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B63DB">
      <w:pPr>
        <w:spacing w:line="360" w:lineRule="auto"/>
        <w:jc w:val="center"/>
        <w:rPr>
          <w:rFonts w:hint="eastAsia" w:ascii="宋体" w:hAnsi="宋体"/>
          <w:sz w:val="36"/>
          <w:highlight w:val="none"/>
        </w:rPr>
      </w:pPr>
    </w:p>
    <w:p w14:paraId="1CD51AFF">
      <w:pPr>
        <w:snapToGrid w:val="0"/>
        <w:jc w:val="center"/>
        <w:rPr>
          <w:rFonts w:hint="eastAsia" w:ascii="宋体" w:hAnsi="宋体" w:eastAsia="宋体"/>
          <w:b/>
          <w:sz w:val="32"/>
          <w:szCs w:val="32"/>
          <w:highlight w:val="none"/>
          <w:lang w:eastAsia="zh-CN"/>
        </w:rPr>
      </w:pPr>
      <w:r>
        <w:rPr>
          <w:rFonts w:hint="eastAsia" w:ascii="宋体" w:hAnsi="宋体"/>
          <w:b/>
          <w:sz w:val="36"/>
          <w:szCs w:val="36"/>
          <w:highlight w:val="none"/>
          <w:lang w:eastAsia="zh-CN"/>
        </w:rPr>
        <w:t>连申线南通段三级航道整治工程及航道提升工程文物资源区域评估项目</w:t>
      </w:r>
    </w:p>
    <w:p w14:paraId="092DF131">
      <w:pPr>
        <w:spacing w:line="360" w:lineRule="auto"/>
        <w:jc w:val="center"/>
        <w:rPr>
          <w:rFonts w:hint="eastAsia" w:ascii="宋体" w:hAnsi="宋体"/>
          <w:sz w:val="24"/>
          <w:highlight w:val="none"/>
        </w:rPr>
      </w:pPr>
    </w:p>
    <w:p w14:paraId="381C0805">
      <w:pPr>
        <w:spacing w:line="360" w:lineRule="auto"/>
        <w:jc w:val="center"/>
        <w:rPr>
          <w:rFonts w:ascii="宋体" w:hAnsi="宋体"/>
          <w:sz w:val="24"/>
          <w:highlight w:val="none"/>
        </w:rPr>
      </w:pPr>
    </w:p>
    <w:p w14:paraId="5969895D">
      <w:pPr>
        <w:pStyle w:val="35"/>
        <w:rPr>
          <w:rFonts w:hint="eastAsia" w:ascii="宋体" w:hAnsi="宋体"/>
          <w:highlight w:val="none"/>
        </w:rPr>
      </w:pPr>
    </w:p>
    <w:p w14:paraId="072696D2">
      <w:pPr>
        <w:spacing w:line="360" w:lineRule="auto"/>
        <w:jc w:val="center"/>
        <w:rPr>
          <w:rFonts w:hint="eastAsia" w:ascii="宋体" w:hAnsi="宋体"/>
          <w:sz w:val="24"/>
          <w:highlight w:val="none"/>
        </w:rPr>
      </w:pPr>
    </w:p>
    <w:p w14:paraId="2C59E602">
      <w:pPr>
        <w:spacing w:line="360" w:lineRule="auto"/>
        <w:jc w:val="center"/>
        <w:rPr>
          <w:rFonts w:hint="eastAsia" w:ascii="宋体" w:hAnsi="宋体"/>
          <w:sz w:val="24"/>
          <w:highlight w:val="none"/>
        </w:rPr>
      </w:pPr>
    </w:p>
    <w:p w14:paraId="6DE77682">
      <w:pPr>
        <w:spacing w:line="360" w:lineRule="auto"/>
        <w:jc w:val="center"/>
        <w:rPr>
          <w:rFonts w:hint="eastAsia" w:ascii="宋体" w:hAnsi="宋体"/>
          <w:b/>
          <w:kern w:val="72"/>
          <w:sz w:val="72"/>
          <w:szCs w:val="72"/>
          <w:highlight w:val="none"/>
        </w:rPr>
      </w:pPr>
    </w:p>
    <w:p w14:paraId="1A876CB3">
      <w:pPr>
        <w:spacing w:line="360" w:lineRule="auto"/>
        <w:jc w:val="center"/>
        <w:rPr>
          <w:rFonts w:hint="eastAsia" w:ascii="宋体" w:hAnsi="宋体"/>
          <w:kern w:val="72"/>
          <w:sz w:val="72"/>
          <w:szCs w:val="72"/>
          <w:highlight w:val="none"/>
          <w:u w:val="single"/>
        </w:rPr>
      </w:pPr>
      <w:r>
        <w:rPr>
          <w:rFonts w:hint="eastAsia" w:ascii="宋体" w:hAnsi="宋体"/>
          <w:b/>
          <w:kern w:val="72"/>
          <w:sz w:val="72"/>
          <w:szCs w:val="72"/>
          <w:highlight w:val="none"/>
        </w:rPr>
        <w:t>招 标 文 件</w:t>
      </w:r>
    </w:p>
    <w:p w14:paraId="1FD0228B">
      <w:pPr>
        <w:spacing w:line="360" w:lineRule="auto"/>
        <w:jc w:val="center"/>
        <w:rPr>
          <w:rFonts w:hint="eastAsia" w:ascii="宋体" w:hAnsi="宋体"/>
          <w:sz w:val="24"/>
          <w:highlight w:val="none"/>
        </w:rPr>
      </w:pPr>
    </w:p>
    <w:p w14:paraId="34576C90">
      <w:pPr>
        <w:spacing w:line="360" w:lineRule="auto"/>
        <w:jc w:val="center"/>
        <w:rPr>
          <w:rFonts w:hint="eastAsia" w:ascii="宋体" w:hAnsi="宋体"/>
          <w:sz w:val="24"/>
          <w:highlight w:val="none"/>
        </w:rPr>
      </w:pPr>
    </w:p>
    <w:p w14:paraId="7933A063">
      <w:pPr>
        <w:spacing w:line="360" w:lineRule="auto"/>
        <w:jc w:val="center"/>
        <w:rPr>
          <w:rFonts w:hint="eastAsia" w:ascii="宋体" w:hAnsi="宋体"/>
          <w:sz w:val="24"/>
          <w:highlight w:val="none"/>
        </w:rPr>
      </w:pPr>
    </w:p>
    <w:p w14:paraId="34E61018">
      <w:pPr>
        <w:spacing w:line="360" w:lineRule="auto"/>
        <w:jc w:val="center"/>
        <w:rPr>
          <w:rFonts w:hint="eastAsia" w:ascii="宋体" w:hAnsi="宋体"/>
          <w:sz w:val="24"/>
          <w:highlight w:val="none"/>
        </w:rPr>
      </w:pPr>
    </w:p>
    <w:p w14:paraId="4197B53F">
      <w:pPr>
        <w:spacing w:line="360" w:lineRule="auto"/>
        <w:jc w:val="center"/>
        <w:rPr>
          <w:rFonts w:hint="eastAsia" w:ascii="宋体" w:hAnsi="宋体"/>
          <w:sz w:val="24"/>
          <w:highlight w:val="none"/>
        </w:rPr>
      </w:pPr>
    </w:p>
    <w:p w14:paraId="40DCF24A">
      <w:pPr>
        <w:tabs>
          <w:tab w:val="left" w:pos="5535"/>
        </w:tabs>
        <w:spacing w:line="360" w:lineRule="auto"/>
        <w:jc w:val="left"/>
        <w:rPr>
          <w:rFonts w:ascii="宋体" w:hAnsi="宋体"/>
          <w:sz w:val="24"/>
          <w:highlight w:val="none"/>
        </w:rPr>
      </w:pPr>
      <w:r>
        <w:rPr>
          <w:rFonts w:ascii="宋体" w:hAnsi="宋体"/>
          <w:sz w:val="24"/>
          <w:highlight w:val="none"/>
        </w:rPr>
        <w:tab/>
      </w:r>
    </w:p>
    <w:p w14:paraId="29D9AC83">
      <w:pPr>
        <w:tabs>
          <w:tab w:val="left" w:pos="5535"/>
        </w:tabs>
        <w:spacing w:line="360" w:lineRule="auto"/>
        <w:jc w:val="left"/>
        <w:rPr>
          <w:rFonts w:hint="eastAsia" w:ascii="宋体" w:hAnsi="宋体"/>
          <w:sz w:val="24"/>
          <w:highlight w:val="none"/>
        </w:rPr>
      </w:pPr>
    </w:p>
    <w:p w14:paraId="7B5E2878">
      <w:pPr>
        <w:spacing w:line="360" w:lineRule="auto"/>
        <w:jc w:val="center"/>
        <w:rPr>
          <w:rFonts w:hint="eastAsia" w:ascii="宋体" w:hAnsi="宋体"/>
          <w:sz w:val="24"/>
          <w:highlight w:val="none"/>
        </w:rPr>
      </w:pPr>
    </w:p>
    <w:p w14:paraId="1AE71914">
      <w:pPr>
        <w:pStyle w:val="14"/>
        <w:rPr>
          <w:rFonts w:hint="eastAsia"/>
          <w:highlight w:val="none"/>
        </w:rPr>
      </w:pPr>
    </w:p>
    <w:p w14:paraId="10639761">
      <w:pPr>
        <w:rPr>
          <w:rFonts w:hint="eastAsia"/>
          <w:highlight w:val="none"/>
        </w:rPr>
      </w:pPr>
    </w:p>
    <w:p w14:paraId="539A007D">
      <w:pPr>
        <w:pStyle w:val="14"/>
        <w:rPr>
          <w:rFonts w:hint="eastAsia"/>
          <w:highlight w:val="none"/>
        </w:rPr>
      </w:pPr>
    </w:p>
    <w:p w14:paraId="0E876A0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bCs w:val="0"/>
          <w:kern w:val="0"/>
          <w:sz w:val="30"/>
          <w:szCs w:val="30"/>
          <w:highlight w:val="none"/>
          <w:lang w:eastAsia="zh-CN"/>
        </w:rPr>
      </w:pPr>
      <w:r>
        <w:rPr>
          <w:rFonts w:hint="eastAsia" w:ascii="宋体" w:hAnsi="宋体"/>
          <w:b/>
          <w:bCs w:val="0"/>
          <w:kern w:val="0"/>
          <w:sz w:val="30"/>
          <w:szCs w:val="30"/>
          <w:highlight w:val="none"/>
        </w:rPr>
        <w:t>招标人：</w:t>
      </w:r>
      <w:r>
        <w:rPr>
          <w:rFonts w:hint="eastAsia" w:ascii="宋体" w:hAnsi="宋体"/>
          <w:b/>
          <w:bCs w:val="0"/>
          <w:kern w:val="0"/>
          <w:sz w:val="30"/>
          <w:szCs w:val="30"/>
          <w:highlight w:val="none"/>
          <w:lang w:eastAsia="zh-CN"/>
        </w:rPr>
        <w:t>南通市港航事业发展中心</w:t>
      </w:r>
    </w:p>
    <w:p w14:paraId="0744536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bCs w:val="0"/>
          <w:kern w:val="0"/>
          <w:sz w:val="30"/>
          <w:szCs w:val="30"/>
          <w:highlight w:val="none"/>
          <w:lang w:eastAsia="zh-CN"/>
        </w:rPr>
      </w:pPr>
      <w:r>
        <w:rPr>
          <w:rFonts w:hint="eastAsia" w:ascii="宋体" w:hAnsi="宋体"/>
          <w:b/>
          <w:bCs w:val="0"/>
          <w:kern w:val="0"/>
          <w:sz w:val="30"/>
          <w:szCs w:val="30"/>
          <w:highlight w:val="none"/>
        </w:rPr>
        <w:t>招标代理：</w:t>
      </w:r>
      <w:r>
        <w:rPr>
          <w:rFonts w:hint="eastAsia" w:ascii="宋体" w:hAnsi="宋体"/>
          <w:b/>
          <w:bCs w:val="0"/>
          <w:kern w:val="0"/>
          <w:sz w:val="30"/>
          <w:szCs w:val="30"/>
          <w:highlight w:val="none"/>
          <w:lang w:eastAsia="zh-CN"/>
        </w:rPr>
        <w:t>国信国际工程咨询集团股份有限公司</w:t>
      </w:r>
    </w:p>
    <w:p w14:paraId="12C7DF3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bCs w:val="0"/>
          <w:kern w:val="0"/>
          <w:sz w:val="30"/>
          <w:szCs w:val="30"/>
          <w:highlight w:val="none"/>
        </w:rPr>
      </w:pPr>
      <w:r>
        <w:rPr>
          <w:rFonts w:hint="eastAsia" w:ascii="宋体" w:hAnsi="宋体"/>
          <w:b/>
          <w:bCs w:val="0"/>
          <w:kern w:val="0"/>
          <w:sz w:val="30"/>
          <w:szCs w:val="30"/>
          <w:highlight w:val="none"/>
        </w:rPr>
        <w:t>202</w:t>
      </w:r>
      <w:r>
        <w:rPr>
          <w:rFonts w:hint="eastAsia" w:ascii="宋体" w:hAnsi="宋体"/>
          <w:b/>
          <w:bCs w:val="0"/>
          <w:kern w:val="0"/>
          <w:sz w:val="30"/>
          <w:szCs w:val="30"/>
          <w:highlight w:val="none"/>
          <w:lang w:val="en-US" w:eastAsia="zh-CN"/>
        </w:rPr>
        <w:t>5</w:t>
      </w:r>
      <w:r>
        <w:rPr>
          <w:rFonts w:hint="eastAsia" w:ascii="宋体" w:hAnsi="宋体"/>
          <w:b/>
          <w:bCs w:val="0"/>
          <w:kern w:val="0"/>
          <w:sz w:val="30"/>
          <w:szCs w:val="30"/>
          <w:highlight w:val="none"/>
        </w:rPr>
        <w:t>年</w:t>
      </w:r>
      <w:r>
        <w:rPr>
          <w:rFonts w:hint="eastAsia" w:ascii="宋体" w:hAnsi="宋体"/>
          <w:b/>
          <w:bCs w:val="0"/>
          <w:kern w:val="0"/>
          <w:sz w:val="30"/>
          <w:szCs w:val="30"/>
          <w:highlight w:val="none"/>
          <w:lang w:val="en-US" w:eastAsia="zh-CN"/>
        </w:rPr>
        <w:t>2</w:t>
      </w:r>
      <w:r>
        <w:rPr>
          <w:rFonts w:hint="eastAsia" w:ascii="宋体" w:hAnsi="宋体"/>
          <w:b/>
          <w:bCs w:val="0"/>
          <w:kern w:val="0"/>
          <w:sz w:val="30"/>
          <w:szCs w:val="30"/>
          <w:highlight w:val="none"/>
        </w:rPr>
        <w:t>月</w:t>
      </w:r>
    </w:p>
    <w:p w14:paraId="63DD7A4D">
      <w:pPr>
        <w:jc w:val="center"/>
        <w:rPr>
          <w:rFonts w:hint="eastAsia" w:ascii="宋体" w:hAnsi="宋体"/>
          <w:b/>
          <w:bCs w:val="0"/>
          <w:kern w:val="0"/>
          <w:sz w:val="30"/>
          <w:szCs w:val="30"/>
          <w:highlight w:val="none"/>
        </w:rPr>
      </w:pPr>
    </w:p>
    <w:p w14:paraId="149FF62E">
      <w:pPr>
        <w:snapToGrid w:val="0"/>
        <w:jc w:val="center"/>
        <w:rPr>
          <w:rFonts w:hint="eastAsia" w:ascii="Arial" w:hAnsi="Arial"/>
          <w:b/>
          <w:spacing w:val="40"/>
          <w:sz w:val="36"/>
          <w:highlight w:val="none"/>
        </w:rPr>
        <w:sectPr>
          <w:pgSz w:w="11907" w:h="16840"/>
          <w:pgMar w:top="1418" w:right="1275" w:bottom="851" w:left="1418" w:header="851" w:footer="592" w:gutter="0"/>
          <w:cols w:space="720" w:num="1"/>
          <w:titlePg/>
          <w:docGrid w:linePitch="312" w:charSpace="0"/>
        </w:sectPr>
      </w:pPr>
      <w:bookmarkStart w:id="0" w:name="_Toc35844034"/>
      <w:bookmarkStart w:id="1" w:name="_Toc9674811"/>
    </w:p>
    <w:p w14:paraId="282515BC">
      <w:pPr>
        <w:snapToGrid w:val="0"/>
        <w:jc w:val="center"/>
        <w:rPr>
          <w:rFonts w:ascii="Arial" w:hAnsi="Arial"/>
          <w:b/>
          <w:spacing w:val="40"/>
          <w:sz w:val="36"/>
          <w:highlight w:val="none"/>
        </w:rPr>
      </w:pPr>
      <w:r>
        <w:rPr>
          <w:rFonts w:hint="eastAsia" w:ascii="Arial" w:hAnsi="Arial"/>
          <w:b/>
          <w:spacing w:val="40"/>
          <w:sz w:val="36"/>
          <w:highlight w:val="none"/>
        </w:rPr>
        <w:t>第一章 招标公告</w:t>
      </w:r>
    </w:p>
    <w:p w14:paraId="6819605A">
      <w:pPr>
        <w:snapToGrid w:val="0"/>
        <w:jc w:val="center"/>
        <w:rPr>
          <w:rFonts w:hint="eastAsia" w:ascii="宋体" w:hAnsi="宋体" w:eastAsia="宋体"/>
          <w:b/>
          <w:bCs/>
          <w:snapToGrid w:val="0"/>
          <w:kern w:val="0"/>
          <w:sz w:val="44"/>
          <w:szCs w:val="44"/>
          <w:highlight w:val="none"/>
          <w:lang w:eastAsia="zh-CN"/>
        </w:rPr>
      </w:pPr>
      <w:r>
        <w:rPr>
          <w:rFonts w:hint="eastAsia" w:ascii="宋体" w:hAnsi="宋体"/>
          <w:b/>
          <w:sz w:val="28"/>
          <w:szCs w:val="28"/>
          <w:highlight w:val="none"/>
          <w:lang w:eastAsia="zh-CN"/>
        </w:rPr>
        <w:t>连申线南通段三级航道整治工程及航道提升工程文物资源区域评估项目</w:t>
      </w:r>
    </w:p>
    <w:p w14:paraId="47E5E077">
      <w:pPr>
        <w:spacing w:line="360" w:lineRule="auto"/>
        <w:jc w:val="center"/>
        <w:rPr>
          <w:rFonts w:hint="eastAsia" w:ascii="Arial" w:hAnsi="Arial"/>
          <w:b/>
          <w:sz w:val="32"/>
          <w:szCs w:val="32"/>
          <w:highlight w:val="none"/>
        </w:rPr>
      </w:pPr>
      <w:r>
        <w:rPr>
          <w:rFonts w:hint="eastAsia" w:ascii="宋体" w:hAnsi="宋体"/>
          <w:b/>
          <w:sz w:val="28"/>
          <w:szCs w:val="28"/>
          <w:highlight w:val="none"/>
        </w:rPr>
        <w:t>招标公告</w:t>
      </w:r>
    </w:p>
    <w:p w14:paraId="34E02DA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1.招标条件</w:t>
      </w:r>
    </w:p>
    <w:p w14:paraId="5DAC80E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本招标项目</w:t>
      </w:r>
      <w:r>
        <w:rPr>
          <w:rFonts w:hint="eastAsia" w:ascii="宋体" w:hAnsi="宋体" w:cs="宋体"/>
          <w:bCs/>
          <w:sz w:val="21"/>
          <w:szCs w:val="21"/>
          <w:highlight w:val="none"/>
          <w:u w:val="single"/>
          <w:lang w:eastAsia="zh-CN"/>
        </w:rPr>
        <w:t>连申线南通段三级航道整治工程及航道提升工程</w:t>
      </w:r>
      <w:r>
        <w:rPr>
          <w:rFonts w:hint="eastAsia" w:ascii="宋体" w:hAnsi="宋体" w:eastAsia="宋体" w:cs="宋体"/>
          <w:bCs/>
          <w:sz w:val="21"/>
          <w:szCs w:val="21"/>
          <w:highlight w:val="none"/>
          <w:u w:val="single"/>
          <w:lang w:eastAsia="zh-CN"/>
        </w:rPr>
        <w:t>文物资源区域评估项目</w:t>
      </w:r>
      <w:r>
        <w:rPr>
          <w:rFonts w:hint="eastAsia" w:ascii="宋体" w:hAnsi="宋体" w:eastAsia="宋体" w:cs="宋体"/>
          <w:sz w:val="21"/>
          <w:szCs w:val="21"/>
          <w:highlight w:val="none"/>
        </w:rPr>
        <w:t>资金已落实，招标人为</w:t>
      </w:r>
      <w:r>
        <w:rPr>
          <w:rFonts w:hint="eastAsia" w:ascii="宋体" w:hAnsi="宋体" w:eastAsia="宋体" w:cs="宋体"/>
          <w:sz w:val="21"/>
          <w:szCs w:val="21"/>
          <w:highlight w:val="none"/>
          <w:u w:val="single"/>
          <w:lang w:eastAsia="zh-CN"/>
        </w:rPr>
        <w:t>南通市港航事业发展中心</w:t>
      </w:r>
      <w:r>
        <w:rPr>
          <w:rFonts w:hint="eastAsia" w:ascii="宋体" w:hAnsi="宋体" w:eastAsia="宋体" w:cs="宋体"/>
          <w:sz w:val="21"/>
          <w:szCs w:val="21"/>
          <w:highlight w:val="none"/>
        </w:rPr>
        <w:t>。项目已具备招标条件，现对该项目进行公开招标。</w:t>
      </w:r>
    </w:p>
    <w:p w14:paraId="10432964">
      <w:pPr>
        <w:keepNext w:val="0"/>
        <w:keepLines w:val="0"/>
        <w:pageBreakBefore w:val="0"/>
        <w:widowControl w:val="0"/>
        <w:tabs>
          <w:tab w:val="left" w:pos="0"/>
        </w:tabs>
        <w:kinsoku/>
        <w:wordWrap/>
        <w:overflowPunct/>
        <w:topLinePunct w:val="0"/>
        <w:autoSpaceDE/>
        <w:autoSpaceDN/>
        <w:bidi w:val="0"/>
        <w:adjustRightInd/>
        <w:snapToGrid/>
        <w:spacing w:line="360" w:lineRule="auto"/>
        <w:jc w:val="both"/>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2.项目概况与招标范围</w:t>
      </w:r>
    </w:p>
    <w:p w14:paraId="3934C23A">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2.1项目概况</w:t>
      </w:r>
      <w:bookmarkStart w:id="101" w:name="_GoBack"/>
      <w:bookmarkEnd w:id="101"/>
    </w:p>
    <w:p w14:paraId="7C33CBF0">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lang w:val="en-US" w:eastAsia="zh-CN"/>
        </w:rPr>
      </w:pPr>
      <w:bookmarkStart w:id="2" w:name="_Hlk173164935"/>
      <w:r>
        <w:rPr>
          <w:rFonts w:hint="eastAsia" w:ascii="宋体" w:hAnsi="宋体" w:eastAsia="宋体" w:cs="宋体"/>
          <w:sz w:val="21"/>
          <w:szCs w:val="21"/>
          <w:highlight w:val="none"/>
          <w:lang w:val="en-US" w:eastAsia="zh-CN"/>
        </w:rPr>
        <w:t>（1）连申线南通段三级航道整治工程</w:t>
      </w:r>
    </w:p>
    <w:p w14:paraId="49B9B30A">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连申线南通段航道等级现状为</w:t>
      </w:r>
      <w:r>
        <w:rPr>
          <w:rFonts w:hint="eastAsia" w:ascii="宋体" w:hAnsi="宋体" w:cs="宋体"/>
          <w:sz w:val="21"/>
          <w:szCs w:val="21"/>
          <w:highlight w:val="none"/>
          <w:lang w:val="en-US" w:eastAsia="zh-CN"/>
        </w:rPr>
        <w:t>三</w:t>
      </w:r>
      <w:r>
        <w:rPr>
          <w:rFonts w:hint="eastAsia" w:ascii="宋体" w:hAnsi="宋体" w:eastAsia="宋体" w:cs="宋体"/>
          <w:sz w:val="21"/>
          <w:szCs w:val="21"/>
          <w:highlight w:val="none"/>
          <w:lang w:val="en-US" w:eastAsia="zh-CN"/>
        </w:rPr>
        <w:t>级，航道总长约72公里，沿线经过海安、如皋，其中海安段长25km，如皋段长47km，现有海安船闸和焦港船闸各1座。共计292.9097公顷农用地转为建设用地。</w:t>
      </w:r>
    </w:p>
    <w:p w14:paraId="4C34FAFD">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w:t>
      </w:r>
      <w:bookmarkEnd w:id="2"/>
      <w:r>
        <w:rPr>
          <w:rFonts w:hint="eastAsia" w:ascii="宋体" w:hAnsi="宋体" w:cs="宋体"/>
          <w:sz w:val="21"/>
          <w:szCs w:val="21"/>
          <w:highlight w:val="none"/>
          <w:lang w:val="en-US" w:eastAsia="zh-CN"/>
        </w:rPr>
        <w:t>连申线南通段航道提升工程</w:t>
      </w:r>
    </w:p>
    <w:p w14:paraId="2C4F7225">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连申线南通段航道提升工程起于通榆河盐城与南通交界处，终于焦港下游南通与泰州交界处，全长约70公里，途径海安、如皋两市。连申线南通段航道提升工程，包含整治航道里程约63公里，新（改）建海安二线船闸，新建焦港二线船闸，改建新长铁路1座，改建公路桥4座。工程主要包含：航道工程、船闸工程、桥梁工程、铁路工程、配套及附属工程等，总投资约83亿。因航道等级提升，较三级航道拟新增用地海安船闸约22.6公顷，焦港船闸约38.2公顷（涉及基本农田），海安段航道约0.7公顷，如皋段航道约12公顷（涉及基本农田）。</w:t>
      </w:r>
    </w:p>
    <w:p w14:paraId="293761F4">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lang w:val="en-GB"/>
        </w:rPr>
      </w:pPr>
      <w:r>
        <w:rPr>
          <w:rFonts w:hint="eastAsia" w:ascii="宋体" w:hAnsi="宋体" w:eastAsia="宋体" w:cs="宋体"/>
          <w:sz w:val="21"/>
          <w:szCs w:val="21"/>
          <w:highlight w:val="none"/>
        </w:rPr>
        <w:t>2.2</w:t>
      </w:r>
      <w:r>
        <w:rPr>
          <w:rFonts w:hint="eastAsia" w:ascii="宋体" w:hAnsi="宋体" w:eastAsia="宋体" w:cs="宋体"/>
          <w:sz w:val="21"/>
          <w:szCs w:val="21"/>
          <w:highlight w:val="none"/>
          <w:lang w:val="en-GB"/>
        </w:rPr>
        <w:t>招标范围与标段划分</w:t>
      </w:r>
    </w:p>
    <w:p w14:paraId="180840D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本次招标共设一个标段，即</w:t>
      </w:r>
      <w:r>
        <w:rPr>
          <w:rFonts w:hint="eastAsia" w:ascii="宋体" w:hAnsi="宋体" w:cs="宋体"/>
          <w:sz w:val="21"/>
          <w:szCs w:val="21"/>
          <w:highlight w:val="none"/>
          <w:lang w:eastAsia="zh-CN"/>
        </w:rPr>
        <w:t>LSXHD</w:t>
      </w:r>
      <w:r>
        <w:rPr>
          <w:rFonts w:hint="eastAsia" w:ascii="宋体" w:hAnsi="宋体" w:eastAsia="宋体" w:cs="宋体"/>
          <w:sz w:val="21"/>
          <w:szCs w:val="21"/>
          <w:highlight w:val="none"/>
          <w:lang w:eastAsia="zh-CN"/>
        </w:rPr>
        <w:t>-WWPG标段</w:t>
      </w:r>
      <w:r>
        <w:rPr>
          <w:rFonts w:hint="eastAsia" w:ascii="宋体" w:hAnsi="宋体" w:eastAsia="宋体" w:cs="宋体"/>
          <w:sz w:val="21"/>
          <w:szCs w:val="21"/>
          <w:highlight w:val="none"/>
        </w:rPr>
        <w:t xml:space="preserve">。工作内容包括但不限于： </w:t>
      </w:r>
    </w:p>
    <w:p w14:paraId="371E9005">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在对</w:t>
      </w:r>
      <w:r>
        <w:rPr>
          <w:rFonts w:hint="eastAsia" w:ascii="宋体" w:hAnsi="宋体" w:eastAsia="宋体" w:cs="宋体"/>
          <w:sz w:val="21"/>
          <w:szCs w:val="21"/>
          <w:highlight w:val="none"/>
          <w:lang w:val="en-US" w:eastAsia="zh-CN"/>
        </w:rPr>
        <w:t>连申线南通段三级航道整治工程、</w:t>
      </w:r>
      <w:r>
        <w:rPr>
          <w:rFonts w:hint="eastAsia" w:ascii="宋体" w:hAnsi="宋体" w:cs="宋体"/>
          <w:sz w:val="21"/>
          <w:szCs w:val="21"/>
          <w:highlight w:val="none"/>
          <w:lang w:val="en-US" w:eastAsia="zh-CN"/>
        </w:rPr>
        <w:t>连申线南通段航道提升工程</w:t>
      </w:r>
      <w:r>
        <w:rPr>
          <w:rFonts w:hint="eastAsia" w:ascii="宋体" w:hAnsi="宋体" w:eastAsia="宋体" w:cs="宋体"/>
          <w:sz w:val="21"/>
          <w:szCs w:val="21"/>
          <w:highlight w:val="none"/>
        </w:rPr>
        <w:t xml:space="preserve">航道资源区域现场踏勘的基础上，对航道的现状等特点进行初步分析，确定论证范围、论证内容和要求，编制论证工作方案。通过现场测试、资料收集和处理，开展论证分析，组织考古调查勘探，编制文物资源区域评估报告，给出论证结论。形成的最终调查报告，需通过江苏省文物局组织的审核，取得批复文件，同时还应开展后期服务，包括论证报告结论的应用解释、与其他评价报告结论的衔接等。 </w:t>
      </w:r>
    </w:p>
    <w:p w14:paraId="23E1140C">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2.3服务周期</w:t>
      </w:r>
    </w:p>
    <w:p w14:paraId="4806B491">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（1）连申线南通段三级航道整治工程</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自签订合同之日起</w:t>
      </w:r>
      <w:r>
        <w:rPr>
          <w:rFonts w:hint="eastAsia" w:ascii="宋体" w:hAnsi="宋体" w:eastAsia="宋体" w:cs="宋体"/>
          <w:sz w:val="21"/>
          <w:szCs w:val="21"/>
          <w:highlight w:val="none"/>
          <w:lang w:val="en-US" w:eastAsia="zh-CN"/>
        </w:rPr>
        <w:t>60</w:t>
      </w:r>
      <w:r>
        <w:rPr>
          <w:rFonts w:hint="eastAsia" w:ascii="宋体" w:hAnsi="宋体" w:eastAsia="宋体" w:cs="宋体"/>
          <w:sz w:val="21"/>
          <w:szCs w:val="21"/>
          <w:highlight w:val="none"/>
        </w:rPr>
        <w:t>天内完成文物资源区域评估工作，评估工作完成后30天内取得江苏省文物局验收并取得批复。</w:t>
      </w:r>
    </w:p>
    <w:p w14:paraId="0B145861">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cs="宋体"/>
          <w:sz w:val="21"/>
          <w:szCs w:val="21"/>
          <w:highlight w:val="none"/>
          <w:lang w:val="en-US" w:eastAsia="zh-CN"/>
        </w:rPr>
        <w:t>连申线南通段航道提升工程：</w:t>
      </w:r>
      <w:r>
        <w:rPr>
          <w:rFonts w:hint="eastAsia" w:ascii="宋体" w:hAnsi="宋体" w:eastAsia="宋体" w:cs="宋体"/>
          <w:sz w:val="21"/>
          <w:szCs w:val="21"/>
          <w:highlight w:val="none"/>
        </w:rPr>
        <w:t>自</w:t>
      </w:r>
      <w:r>
        <w:rPr>
          <w:rFonts w:hint="eastAsia" w:ascii="宋体" w:hAnsi="宋体" w:eastAsia="宋体" w:cs="宋体"/>
          <w:sz w:val="21"/>
          <w:szCs w:val="21"/>
          <w:highlight w:val="none"/>
          <w:lang w:val="en-US" w:eastAsia="zh-CN"/>
        </w:rPr>
        <w:t>工可方案稳定后60</w:t>
      </w:r>
      <w:r>
        <w:rPr>
          <w:rFonts w:hint="eastAsia" w:ascii="宋体" w:hAnsi="宋体" w:eastAsia="宋体" w:cs="宋体"/>
          <w:sz w:val="21"/>
          <w:szCs w:val="21"/>
          <w:highlight w:val="none"/>
        </w:rPr>
        <w:t>天内完成文物资源区域评估工作，评估工作完成后30天内取得江苏省文物局验收并取得批复。</w:t>
      </w:r>
    </w:p>
    <w:p w14:paraId="390516E5">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如遇重要考古发现经发包人确认后可适当顺延，实际工作周期可能调整，承包人应服从发包人的统一工作安排。</w:t>
      </w:r>
    </w:p>
    <w:p w14:paraId="6B030C1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3.投标人合格条件</w:t>
      </w:r>
    </w:p>
    <w:p w14:paraId="6663262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GB"/>
        </w:rPr>
        <w:t>.</w:t>
      </w:r>
      <w:r>
        <w:rPr>
          <w:rFonts w:hint="eastAsia" w:ascii="宋体" w:hAnsi="宋体" w:eastAsia="宋体" w:cs="宋体"/>
          <w:sz w:val="21"/>
          <w:szCs w:val="21"/>
          <w:highlight w:val="none"/>
        </w:rPr>
        <w:t>1本次招标要求投标人具有与本次招标项目相应的资质和业绩，并在人员等方面具有相应的能力，具体要求如下：</w:t>
      </w:r>
    </w:p>
    <w:p w14:paraId="1ABBC718">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（1）投标人应为具有独立承担民事责任的能力</w:t>
      </w:r>
      <w:r>
        <w:rPr>
          <w:rFonts w:hint="eastAsia" w:ascii="黑体" w:hAnsi="黑体" w:eastAsia="黑体" w:cs="黑体"/>
          <w:b/>
          <w:bCs/>
          <w:sz w:val="21"/>
          <w:szCs w:val="21"/>
          <w:highlight w:val="none"/>
          <w:lang w:val="en-US" w:eastAsia="zh-CN"/>
        </w:rPr>
        <w:t>法人或组织，</w:t>
      </w:r>
      <w:r>
        <w:rPr>
          <w:rFonts w:hint="eastAsia" w:ascii="黑体" w:hAnsi="黑体" w:eastAsia="黑体" w:cs="黑体"/>
          <w:b/>
          <w:bCs/>
          <w:sz w:val="21"/>
          <w:szCs w:val="21"/>
          <w:highlight w:val="none"/>
        </w:rPr>
        <w:t>具有统一社会信用代码信息，具有有效的基本账户开户许可证或基本存款账户的信息证明。</w:t>
      </w:r>
    </w:p>
    <w:p w14:paraId="5D37C0F8">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（2）业绩要求：投标人完成过文物资源区域评估项目或文物影响评估项目。</w:t>
      </w:r>
    </w:p>
    <w:p w14:paraId="5263976F">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（3）项目负责人要求：拟投入的项目负责人担任过已完文物资源区域评估项目或已完文物影响评估项目的项目负责人。</w:t>
      </w:r>
    </w:p>
    <w:p w14:paraId="07685ECA">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拟投入本项目的项目负责人必须为投标单位正</w:t>
      </w:r>
      <w:r>
        <w:rPr>
          <w:rFonts w:hint="eastAsia" w:ascii="黑体" w:hAnsi="黑体" w:eastAsia="黑体" w:cs="黑体"/>
          <w:b/>
          <w:bCs/>
          <w:sz w:val="21"/>
          <w:szCs w:val="21"/>
          <w:highlight w:val="none"/>
        </w:rPr>
        <w:t>式人员，出具投标人为其缴纳的近3个月（2024年</w:t>
      </w:r>
      <w:r>
        <w:rPr>
          <w:rFonts w:hint="eastAsia" w:ascii="黑体" w:hAnsi="黑体" w:eastAsia="黑体" w:cs="黑体"/>
          <w:b/>
          <w:bCs/>
          <w:sz w:val="21"/>
          <w:szCs w:val="21"/>
          <w:highlight w:val="none"/>
          <w:lang w:val="en-US" w:eastAsia="zh-CN"/>
        </w:rPr>
        <w:t>10</w:t>
      </w:r>
      <w:r>
        <w:rPr>
          <w:rFonts w:hint="eastAsia" w:ascii="黑体" w:hAnsi="黑体" w:eastAsia="黑体" w:cs="黑体"/>
          <w:b/>
          <w:bCs/>
          <w:sz w:val="21"/>
          <w:szCs w:val="21"/>
          <w:highlight w:val="none"/>
        </w:rPr>
        <w:t>月~2024年1</w:t>
      </w:r>
      <w:r>
        <w:rPr>
          <w:rFonts w:hint="eastAsia" w:ascii="黑体" w:hAnsi="黑体" w:eastAsia="黑体" w:cs="黑体"/>
          <w:b/>
          <w:bCs/>
          <w:sz w:val="21"/>
          <w:szCs w:val="21"/>
          <w:highlight w:val="none"/>
          <w:lang w:val="en-US" w:eastAsia="zh-CN"/>
        </w:rPr>
        <w:t>2</w:t>
      </w:r>
      <w:r>
        <w:rPr>
          <w:rFonts w:hint="eastAsia" w:ascii="黑体" w:hAnsi="黑体" w:eastAsia="黑体" w:cs="黑体"/>
          <w:b/>
          <w:bCs/>
          <w:sz w:val="21"/>
          <w:szCs w:val="21"/>
          <w:highlight w:val="none"/>
        </w:rPr>
        <w:t>月或2024年1</w:t>
      </w:r>
      <w:r>
        <w:rPr>
          <w:rFonts w:hint="eastAsia" w:ascii="黑体" w:hAnsi="黑体" w:eastAsia="黑体" w:cs="黑体"/>
          <w:b/>
          <w:bCs/>
          <w:sz w:val="21"/>
          <w:szCs w:val="21"/>
          <w:highlight w:val="none"/>
          <w:lang w:val="en-US" w:eastAsia="zh-CN"/>
        </w:rPr>
        <w:t>1</w:t>
      </w:r>
      <w:r>
        <w:rPr>
          <w:rFonts w:hint="eastAsia" w:ascii="黑体" w:hAnsi="黑体" w:eastAsia="黑体" w:cs="黑体"/>
          <w:b/>
          <w:bCs/>
          <w:sz w:val="21"/>
          <w:szCs w:val="21"/>
          <w:highlight w:val="none"/>
        </w:rPr>
        <w:t>月~202</w:t>
      </w:r>
      <w:r>
        <w:rPr>
          <w:rFonts w:hint="eastAsia" w:ascii="黑体" w:hAnsi="黑体" w:eastAsia="黑体" w:cs="黑体"/>
          <w:b/>
          <w:bCs/>
          <w:sz w:val="21"/>
          <w:szCs w:val="21"/>
          <w:highlight w:val="none"/>
          <w:lang w:val="en-US" w:eastAsia="zh-CN"/>
        </w:rPr>
        <w:t>5</w:t>
      </w:r>
      <w:r>
        <w:rPr>
          <w:rFonts w:hint="eastAsia" w:ascii="黑体" w:hAnsi="黑体" w:eastAsia="黑体" w:cs="黑体"/>
          <w:b/>
          <w:bCs/>
          <w:sz w:val="21"/>
          <w:szCs w:val="21"/>
          <w:highlight w:val="none"/>
        </w:rPr>
        <w:t>年</w:t>
      </w:r>
      <w:r>
        <w:rPr>
          <w:rFonts w:hint="eastAsia" w:ascii="黑体" w:hAnsi="黑体" w:eastAsia="黑体" w:cs="黑体"/>
          <w:b/>
          <w:bCs/>
          <w:sz w:val="21"/>
          <w:szCs w:val="21"/>
          <w:highlight w:val="none"/>
          <w:lang w:val="en-US" w:eastAsia="zh-CN"/>
        </w:rPr>
        <w:t>1</w:t>
      </w:r>
      <w:r>
        <w:rPr>
          <w:rFonts w:hint="eastAsia" w:ascii="黑体" w:hAnsi="黑体" w:eastAsia="黑体" w:cs="黑体"/>
          <w:b/>
          <w:bCs/>
          <w:sz w:val="21"/>
          <w:szCs w:val="21"/>
          <w:highlight w:val="none"/>
        </w:rPr>
        <w:t>月或2024年1</w:t>
      </w:r>
      <w:r>
        <w:rPr>
          <w:rFonts w:hint="eastAsia" w:ascii="黑体" w:hAnsi="黑体" w:eastAsia="黑体" w:cs="黑体"/>
          <w:b/>
          <w:bCs/>
          <w:sz w:val="21"/>
          <w:szCs w:val="21"/>
          <w:highlight w:val="none"/>
          <w:lang w:val="en-US" w:eastAsia="zh-CN"/>
        </w:rPr>
        <w:t>2</w:t>
      </w:r>
      <w:r>
        <w:rPr>
          <w:rFonts w:hint="eastAsia" w:ascii="黑体" w:hAnsi="黑体" w:eastAsia="黑体" w:cs="黑体"/>
          <w:b/>
          <w:bCs/>
          <w:sz w:val="21"/>
          <w:szCs w:val="21"/>
          <w:highlight w:val="none"/>
        </w:rPr>
        <w:t>月~2025年</w:t>
      </w:r>
      <w:r>
        <w:rPr>
          <w:rFonts w:hint="eastAsia" w:ascii="黑体" w:hAnsi="黑体" w:eastAsia="黑体" w:cs="黑体"/>
          <w:b/>
          <w:bCs/>
          <w:sz w:val="21"/>
          <w:szCs w:val="21"/>
          <w:highlight w:val="none"/>
          <w:lang w:val="en-US" w:eastAsia="zh-CN"/>
        </w:rPr>
        <w:t>2</w:t>
      </w:r>
      <w:r>
        <w:rPr>
          <w:rFonts w:hint="eastAsia" w:ascii="黑体" w:hAnsi="黑体" w:eastAsia="黑体" w:cs="黑体"/>
          <w:b/>
          <w:bCs/>
          <w:sz w:val="21"/>
          <w:szCs w:val="21"/>
          <w:highlight w:val="none"/>
        </w:rPr>
        <w:t>月）的社</w:t>
      </w:r>
      <w:r>
        <w:rPr>
          <w:rFonts w:hint="eastAsia" w:ascii="黑体" w:hAnsi="黑体" w:eastAsia="黑体" w:cs="黑体"/>
          <w:b/>
          <w:bCs/>
          <w:sz w:val="21"/>
          <w:szCs w:val="21"/>
          <w:highlight w:val="none"/>
        </w:rPr>
        <w:t>保缴费证明[社保缴纳证明材料需含缴费起止时间、缴费单位、缴费人员姓名并由社保机构加盖缴费证明专用章，社保机构官网上打印件与线下的盖章件具有同等效力，缴费单位须与投标人名称一致（投标人下属不具备独立法人资格的分支机构缴纳的社保视为本单位）。若社保缴费证明材料中体现缴费类别的，则至少包含养老保险。]。</w:t>
      </w:r>
    </w:p>
    <w:p w14:paraId="1BAEEC5F">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w:t>
      </w:r>
      <w:r>
        <w:rPr>
          <w:rFonts w:hint="eastAsia" w:ascii="黑体" w:hAnsi="黑体" w:eastAsia="黑体" w:cs="黑体"/>
          <w:b/>
          <w:bCs/>
          <w:sz w:val="21"/>
          <w:szCs w:val="21"/>
          <w:highlight w:val="none"/>
          <w:lang w:val="en-US" w:eastAsia="zh-CN"/>
        </w:rPr>
        <w:t>4</w:t>
      </w:r>
      <w:r>
        <w:rPr>
          <w:rFonts w:hint="eastAsia" w:ascii="黑体" w:hAnsi="黑体" w:eastAsia="黑体" w:cs="黑体"/>
          <w:b/>
          <w:bCs/>
          <w:sz w:val="21"/>
          <w:szCs w:val="21"/>
          <w:highlight w:val="none"/>
        </w:rPr>
        <w:t xml:space="preserve">）信誉要求： </w:t>
      </w:r>
    </w:p>
    <w:p w14:paraId="4C6F7FF8">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a、截止投标文件递交时间当日，投标人未在“信用中国”网站（</w:t>
      </w:r>
      <w:r>
        <w:rPr>
          <w:rFonts w:hint="eastAsia" w:ascii="黑体" w:hAnsi="黑体" w:eastAsia="黑体" w:cs="黑体"/>
          <w:b/>
          <w:bCs/>
          <w:sz w:val="21"/>
          <w:szCs w:val="21"/>
          <w:highlight w:val="none"/>
        </w:rPr>
        <w:fldChar w:fldCharType="begin"/>
      </w:r>
      <w:r>
        <w:rPr>
          <w:rFonts w:hint="eastAsia" w:ascii="黑体" w:hAnsi="黑体" w:eastAsia="黑体" w:cs="黑体"/>
          <w:b/>
          <w:bCs/>
          <w:sz w:val="21"/>
          <w:szCs w:val="21"/>
          <w:highlight w:val="none"/>
        </w:rPr>
        <w:instrText xml:space="preserve"> HYPERLINK "http://www.creditchina.gov.cn/" </w:instrText>
      </w:r>
      <w:r>
        <w:rPr>
          <w:rFonts w:hint="eastAsia" w:ascii="黑体" w:hAnsi="黑体" w:eastAsia="黑体" w:cs="黑体"/>
          <w:b/>
          <w:bCs/>
          <w:sz w:val="21"/>
          <w:szCs w:val="21"/>
          <w:highlight w:val="none"/>
        </w:rPr>
        <w:fldChar w:fldCharType="separate"/>
      </w:r>
      <w:r>
        <w:rPr>
          <w:rFonts w:hint="eastAsia" w:ascii="黑体" w:hAnsi="黑体" w:eastAsia="黑体" w:cs="黑体"/>
          <w:b/>
          <w:bCs/>
          <w:sz w:val="21"/>
          <w:szCs w:val="21"/>
          <w:highlight w:val="none"/>
        </w:rPr>
        <w:t>http://www.creditchina.gov.cn/</w:t>
      </w:r>
      <w:r>
        <w:rPr>
          <w:rFonts w:hint="eastAsia" w:ascii="黑体" w:hAnsi="黑体" w:eastAsia="黑体" w:cs="黑体"/>
          <w:b/>
          <w:bCs/>
          <w:sz w:val="21"/>
          <w:szCs w:val="21"/>
          <w:highlight w:val="none"/>
        </w:rPr>
        <w:fldChar w:fldCharType="end"/>
      </w:r>
      <w:r>
        <w:rPr>
          <w:rFonts w:hint="eastAsia" w:ascii="黑体" w:hAnsi="黑体" w:eastAsia="黑体" w:cs="黑体"/>
          <w:b/>
          <w:bCs/>
          <w:sz w:val="21"/>
          <w:szCs w:val="21"/>
          <w:highlight w:val="none"/>
        </w:rPr>
        <w:t xml:space="preserve">）中被列入失信被执行人名单； </w:t>
      </w:r>
    </w:p>
    <w:p w14:paraId="0FF9A4DC">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lang w:eastAsia="zh-CN"/>
        </w:rPr>
      </w:pPr>
      <w:r>
        <w:rPr>
          <w:rFonts w:hint="eastAsia" w:ascii="黑体" w:hAnsi="黑体" w:eastAsia="黑体" w:cs="黑体"/>
          <w:b/>
          <w:bCs/>
          <w:sz w:val="21"/>
          <w:szCs w:val="21"/>
          <w:highlight w:val="none"/>
        </w:rPr>
        <w:t>b、截止投标文件递交时间当日，投标人未在国家企业信用信息公示系统（</w:t>
      </w:r>
      <w:r>
        <w:rPr>
          <w:rFonts w:hint="eastAsia" w:ascii="黑体" w:hAnsi="黑体" w:eastAsia="黑体" w:cs="黑体"/>
          <w:b/>
          <w:bCs/>
          <w:sz w:val="21"/>
          <w:szCs w:val="21"/>
          <w:highlight w:val="none"/>
        </w:rPr>
        <w:fldChar w:fldCharType="begin"/>
      </w:r>
      <w:r>
        <w:rPr>
          <w:rFonts w:hint="eastAsia" w:ascii="黑体" w:hAnsi="黑体" w:eastAsia="黑体" w:cs="黑体"/>
          <w:b/>
          <w:bCs/>
          <w:sz w:val="21"/>
          <w:szCs w:val="21"/>
          <w:highlight w:val="none"/>
        </w:rPr>
        <w:instrText xml:space="preserve"> HYPERLINK "http://www.gsxt.gov.cn/" </w:instrText>
      </w:r>
      <w:r>
        <w:rPr>
          <w:rFonts w:hint="eastAsia" w:ascii="黑体" w:hAnsi="黑体" w:eastAsia="黑体" w:cs="黑体"/>
          <w:b/>
          <w:bCs/>
          <w:sz w:val="21"/>
          <w:szCs w:val="21"/>
          <w:highlight w:val="none"/>
        </w:rPr>
        <w:fldChar w:fldCharType="separate"/>
      </w:r>
      <w:r>
        <w:rPr>
          <w:rFonts w:hint="eastAsia" w:ascii="黑体" w:hAnsi="黑体" w:eastAsia="黑体" w:cs="黑体"/>
          <w:b/>
          <w:bCs/>
          <w:sz w:val="21"/>
          <w:szCs w:val="21"/>
          <w:highlight w:val="none"/>
        </w:rPr>
        <w:t>http://www.gsxt.gov.cn/</w:t>
      </w:r>
      <w:r>
        <w:rPr>
          <w:rFonts w:hint="eastAsia" w:ascii="黑体" w:hAnsi="黑体" w:eastAsia="黑体" w:cs="黑体"/>
          <w:b/>
          <w:bCs/>
          <w:sz w:val="21"/>
          <w:szCs w:val="21"/>
          <w:highlight w:val="none"/>
        </w:rPr>
        <w:fldChar w:fldCharType="end"/>
      </w:r>
      <w:r>
        <w:rPr>
          <w:rFonts w:hint="eastAsia" w:ascii="黑体" w:hAnsi="黑体" w:eastAsia="黑体" w:cs="黑体"/>
          <w:b/>
          <w:bCs/>
          <w:sz w:val="21"/>
          <w:szCs w:val="21"/>
          <w:highlight w:val="none"/>
        </w:rPr>
        <w:t>）中被列入严重违法失信企业名单</w:t>
      </w:r>
      <w:r>
        <w:rPr>
          <w:rFonts w:hint="eastAsia" w:ascii="黑体" w:hAnsi="黑体" w:eastAsia="黑体" w:cs="黑体"/>
          <w:b/>
          <w:bCs/>
          <w:sz w:val="21"/>
          <w:szCs w:val="21"/>
          <w:highlight w:val="none"/>
          <w:lang w:eastAsia="zh-CN"/>
        </w:rPr>
        <w:t>。</w:t>
      </w:r>
    </w:p>
    <w:p w14:paraId="56DE5690">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b w:val="0"/>
          <w:bCs w:val="0"/>
          <w:sz w:val="21"/>
          <w:szCs w:val="21"/>
          <w:highlight w:val="none"/>
          <w:lang w:val="zh-CN"/>
        </w:rPr>
      </w:pPr>
      <w:r>
        <w:rPr>
          <w:rFonts w:hint="eastAsia" w:ascii="宋体" w:hAnsi="宋体" w:eastAsia="宋体" w:cs="宋体"/>
          <w:b w:val="0"/>
          <w:bCs w:val="0"/>
          <w:sz w:val="21"/>
          <w:szCs w:val="21"/>
          <w:highlight w:val="none"/>
        </w:rPr>
        <w:t>3.2本次招标不接受联合体投标。</w:t>
      </w:r>
    </w:p>
    <w:p w14:paraId="201DBAFF">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3.3与招标人存在利害关系可能影响招标公正性的法人、其他组织或者个人，不得参加本标段的投标；单位负责人为同一人或者存在控股、管理关系的不同单位，不得同时参加同一标段的投标，否则，其投标均无效。 </w:t>
      </w:r>
    </w:p>
    <w:p w14:paraId="18DB63E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4.技术成果经济补偿</w:t>
      </w:r>
    </w:p>
    <w:p w14:paraId="654C8EA2">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本次招标对未中标人投标文件中的技术成果</w:t>
      </w:r>
      <w:r>
        <w:rPr>
          <w:rFonts w:hint="eastAsia" w:ascii="宋体" w:hAnsi="宋体" w:eastAsia="宋体" w:cs="宋体"/>
          <w:sz w:val="21"/>
          <w:szCs w:val="21"/>
          <w:highlight w:val="none"/>
          <w:u w:val="single"/>
        </w:rPr>
        <w:t>不给予</w:t>
      </w:r>
      <w:r>
        <w:rPr>
          <w:rFonts w:hint="eastAsia" w:ascii="宋体" w:hAnsi="宋体" w:eastAsia="宋体" w:cs="宋体"/>
          <w:sz w:val="21"/>
          <w:szCs w:val="21"/>
          <w:highlight w:val="none"/>
        </w:rPr>
        <w:t>经济补偿。</w:t>
      </w:r>
    </w:p>
    <w:p w14:paraId="1700E5A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val="en-US" w:eastAsia="zh-CN"/>
        </w:rPr>
        <w:t>投标预约</w:t>
      </w:r>
    </w:p>
    <w:p w14:paraId="6F2194B4">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5.1预约时间：自本公告上网发布之日起至202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年</w:t>
      </w:r>
      <w:r>
        <w:rPr>
          <w:rFonts w:hint="eastAsia" w:ascii="宋体" w:hAnsi="宋体" w:cs="宋体"/>
          <w:sz w:val="21"/>
          <w:szCs w:val="21"/>
          <w:highlight w:val="none"/>
          <w:u w:val="single"/>
          <w:lang w:val="en-US" w:eastAsia="zh-CN"/>
        </w:rPr>
        <w:t>3</w:t>
      </w:r>
      <w:r>
        <w:rPr>
          <w:rFonts w:hint="eastAsia" w:ascii="宋体" w:hAnsi="宋体" w:eastAsia="宋体" w:cs="宋体"/>
          <w:sz w:val="21"/>
          <w:szCs w:val="21"/>
          <w:highlight w:val="none"/>
        </w:rPr>
        <w:t>月</w:t>
      </w:r>
      <w:r>
        <w:rPr>
          <w:rFonts w:hint="eastAsia" w:ascii="宋体" w:hAnsi="宋体" w:cs="宋体"/>
          <w:sz w:val="21"/>
          <w:szCs w:val="21"/>
          <w:highlight w:val="none"/>
          <w:u w:val="single"/>
          <w:lang w:val="en-US" w:eastAsia="zh-CN"/>
        </w:rPr>
        <w:t>7</w:t>
      </w:r>
      <w:r>
        <w:rPr>
          <w:rFonts w:hint="eastAsia" w:ascii="宋体" w:hAnsi="宋体" w:eastAsia="宋体" w:cs="宋体"/>
          <w:sz w:val="21"/>
          <w:szCs w:val="21"/>
          <w:highlight w:val="none"/>
        </w:rPr>
        <w:t>日，每日工作时间：上午9:00至11:30整，下午13:30至17:30整（北京时间，双休、节假日除外）。</w:t>
      </w:r>
    </w:p>
    <w:p w14:paraId="3FF39C3A">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5.2预约方式：凡符合资格要求并有意愿参加本项目的投标人，请如实填写《申请函》（格式见本项目公告附件）并加盖公章，发彩色扫描件至邮箱（</w:t>
      </w:r>
      <w:r>
        <w:rPr>
          <w:rFonts w:hint="eastAsia" w:ascii="宋体" w:hAnsi="宋体" w:eastAsia="宋体" w:cs="宋体"/>
          <w:sz w:val="21"/>
          <w:szCs w:val="21"/>
          <w:highlight w:val="none"/>
        </w:rPr>
        <w:t>1972125847@qq.com</w:t>
      </w:r>
      <w:r>
        <w:rPr>
          <w:rFonts w:hint="eastAsia" w:ascii="宋体" w:hAnsi="宋体" w:eastAsia="宋体" w:cs="宋体"/>
          <w:sz w:val="21"/>
          <w:szCs w:val="21"/>
          <w:highlight w:val="none"/>
        </w:rPr>
        <w:t>）中，并致电招标代理确认邮件送达，确认预约是否成功。凡预约成功的投标人，招标代理将邮寄一份纸质招标文件。</w:t>
      </w:r>
    </w:p>
    <w:p w14:paraId="5F05DBB5">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招标文件资料费300元/套。</w:t>
      </w:r>
    </w:p>
    <w:p w14:paraId="1585FC00">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招标代理联系人：</w:t>
      </w:r>
      <w:r>
        <w:rPr>
          <w:rFonts w:hint="eastAsia" w:ascii="宋体" w:hAnsi="宋体" w:cs="宋体"/>
          <w:sz w:val="21"/>
          <w:szCs w:val="21"/>
          <w:highlight w:val="none"/>
          <w:lang w:val="en-US" w:eastAsia="zh-CN"/>
        </w:rPr>
        <w:t>李</w:t>
      </w:r>
      <w:r>
        <w:rPr>
          <w:rFonts w:hint="eastAsia" w:ascii="宋体" w:hAnsi="宋体" w:eastAsia="宋体" w:cs="宋体"/>
          <w:sz w:val="21"/>
          <w:szCs w:val="21"/>
          <w:highlight w:val="none"/>
          <w:lang w:val="en-US" w:eastAsia="zh-CN"/>
        </w:rPr>
        <w:t>工</w:t>
      </w:r>
      <w:r>
        <w:rPr>
          <w:rFonts w:hint="eastAsia" w:ascii="宋体" w:hAnsi="宋体" w:eastAsia="宋体" w:cs="宋体"/>
          <w:sz w:val="21"/>
          <w:szCs w:val="21"/>
          <w:highlight w:val="none"/>
        </w:rPr>
        <w:t>，联系电话：</w:t>
      </w:r>
      <w:r>
        <w:rPr>
          <w:rFonts w:hint="eastAsia" w:ascii="宋体" w:hAnsi="宋体" w:eastAsia="宋体" w:cs="宋体"/>
          <w:sz w:val="21"/>
          <w:szCs w:val="21"/>
          <w:highlight w:val="none"/>
          <w:lang w:val="en-US" w:eastAsia="zh-CN"/>
        </w:rPr>
        <w:t>18962742739</w:t>
      </w:r>
      <w:r>
        <w:rPr>
          <w:rFonts w:hint="eastAsia" w:ascii="宋体" w:hAnsi="宋体" w:eastAsia="宋体" w:cs="宋体"/>
          <w:sz w:val="21"/>
          <w:szCs w:val="21"/>
          <w:highlight w:val="none"/>
        </w:rPr>
        <w:t>。</w:t>
      </w:r>
    </w:p>
    <w:p w14:paraId="3F178FD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注：未按上述要求进行预约及支付招标文件费用的，视为放弃本项目投标。</w:t>
      </w:r>
    </w:p>
    <w:p w14:paraId="54657B3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6.投标文件的递交及相关事宜</w:t>
      </w:r>
    </w:p>
    <w:p w14:paraId="0F7E27DD">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6.1 招标人将于下列时间和地点组织进行工程现场踏勘并召开投标预备会。 </w:t>
      </w:r>
    </w:p>
    <w:p w14:paraId="2CBB2B7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踏勘现场时间及地点：招标人不组织现场考察，投标人如需进行现场考察，可自行前往，考察费用由投标人自理，安全自负。</w:t>
      </w:r>
    </w:p>
    <w:p w14:paraId="6543E831">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投标预备会时间及地点：不召开。</w:t>
      </w:r>
    </w:p>
    <w:p w14:paraId="5F8FA99A">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6.2递交投标文件截止时间、地点</w:t>
      </w:r>
    </w:p>
    <w:p w14:paraId="4EB3626D">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（1）递交投标文件截止时间（开标时间）：2024年</w:t>
      </w:r>
      <w:r>
        <w:rPr>
          <w:rFonts w:hint="eastAsia" w:ascii="宋体" w:hAnsi="宋体" w:cs="宋体"/>
          <w:sz w:val="21"/>
          <w:szCs w:val="21"/>
          <w:highlight w:val="none"/>
          <w:u w:val="single"/>
          <w:lang w:val="en-US" w:eastAsia="zh-CN"/>
        </w:rPr>
        <w:t>3</w:t>
      </w:r>
      <w:r>
        <w:rPr>
          <w:rFonts w:hint="eastAsia" w:ascii="宋体" w:hAnsi="宋体" w:eastAsia="宋体" w:cs="宋体"/>
          <w:sz w:val="21"/>
          <w:szCs w:val="21"/>
          <w:highlight w:val="none"/>
        </w:rPr>
        <w:t>月</w:t>
      </w:r>
      <w:r>
        <w:rPr>
          <w:rFonts w:hint="eastAsia" w:ascii="宋体" w:hAnsi="宋体" w:cs="宋体"/>
          <w:sz w:val="21"/>
          <w:szCs w:val="21"/>
          <w:highlight w:val="none"/>
          <w:u w:val="single"/>
          <w:lang w:val="en-US" w:eastAsia="zh-CN"/>
        </w:rPr>
        <w:t>21</w:t>
      </w: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rPr>
        <w:t>时30分（北京时间）</w:t>
      </w:r>
    </w:p>
    <w:p w14:paraId="67622BC6">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（2）递交投标文件地点（开标地点）：</w:t>
      </w:r>
      <w:r>
        <w:rPr>
          <w:rFonts w:hint="eastAsia" w:ascii="宋体" w:hAnsi="宋体" w:eastAsia="宋体" w:cs="宋体"/>
          <w:sz w:val="21"/>
          <w:szCs w:val="21"/>
          <w:highlight w:val="none"/>
          <w:u w:val="single"/>
          <w:lang w:eastAsia="zh-CN"/>
        </w:rPr>
        <w:t>南通市崇川区鸿运城市花苑18栋</w:t>
      </w:r>
      <w:r>
        <w:rPr>
          <w:rFonts w:hint="eastAsia" w:ascii="宋体" w:hAnsi="宋体" w:eastAsia="宋体" w:cs="宋体"/>
          <w:sz w:val="21"/>
          <w:szCs w:val="21"/>
          <w:highlight w:val="none"/>
        </w:rPr>
        <w:t>，如有变动，另行通知。</w:t>
      </w:r>
    </w:p>
    <w:p w14:paraId="52A66648">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6.3逾期送达的、未送达指定地点的或不按照招标文件要求密封的投标文件，招标人将予以拒收。</w:t>
      </w:r>
    </w:p>
    <w:p w14:paraId="6B3DA1B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发布公告的媒介</w:t>
      </w:r>
    </w:p>
    <w:p w14:paraId="1ADC610C">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本次招标公告在南通市交通运输局网站（http://jtysj.nantong.gov.cn）上发布。南通市交通运输局网站是本项目招标公告、招标文件澄清、补遗书、中标候选人公示、中标公告等招标信息约定的唯一公开发布媒介。</w:t>
      </w:r>
    </w:p>
    <w:p w14:paraId="3741A45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.其他</w:t>
      </w:r>
    </w:p>
    <w:p w14:paraId="04EB45F6">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.1招标人邀请投标人的法定代表人或其授权代理人准时参与开标会，投标人未派遣法定代表人或其授权代理人参与开标会的，视为默认开标结果。</w:t>
      </w:r>
    </w:p>
    <w:p w14:paraId="4411E5A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.2对开标过程有异议的，请于开标过程中提出，如无投标人提出异议，视同默认开标过程及结果。</w:t>
      </w:r>
    </w:p>
    <w:p w14:paraId="3506B834">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.3投标人在递交投标文件时，应按投标人须知前附表规定提交投标保证金。</w:t>
      </w:r>
    </w:p>
    <w:p w14:paraId="38FD9E40">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4已获取招标文件的投标人，不得擅自放弃投标，若因故确需放弃，则须在提交投标文件截止之日3日前书面告知招标人或代理单位，如无故不参加投标而造成投标人不足3家而重新招标的，若重新招标的招标范围、规模和资格要求等未发生改变，招标人可以拒绝其参加重新招标的投标。</w:t>
      </w:r>
    </w:p>
    <w:p w14:paraId="5B98786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联系方式</w:t>
      </w:r>
    </w:p>
    <w:p w14:paraId="7F0D6256">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招 标 人：</w:t>
      </w:r>
      <w:r>
        <w:rPr>
          <w:rFonts w:hint="eastAsia" w:ascii="宋体" w:hAnsi="宋体" w:eastAsia="宋体" w:cs="宋体"/>
          <w:sz w:val="21"/>
          <w:szCs w:val="21"/>
          <w:highlight w:val="none"/>
          <w:lang w:eastAsia="zh-CN"/>
        </w:rPr>
        <w:t>南通市港航事业发展中心</w:t>
      </w:r>
    </w:p>
    <w:p w14:paraId="253B6F69">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    址：南通市外环西路99号</w:t>
      </w:r>
    </w:p>
    <w:p w14:paraId="57873F4B">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    话：0513-83549373</w:t>
      </w:r>
    </w:p>
    <w:p w14:paraId="6773585F">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联 系 人：缪铧葳</w:t>
      </w:r>
    </w:p>
    <w:p w14:paraId="379CFE41">
      <w:pPr>
        <w:keepNext w:val="0"/>
        <w:keepLines w:val="0"/>
        <w:pageBreakBefore w:val="0"/>
        <w:widowControl w:val="0"/>
        <w:kinsoku/>
        <w:wordWrap/>
        <w:overflowPunct/>
        <w:topLinePunct w:val="0"/>
        <w:autoSpaceDE/>
        <w:autoSpaceDN/>
        <w:bidi w:val="0"/>
        <w:adjustRightInd/>
        <w:snapToGrid w:val="0"/>
        <w:spacing w:line="360" w:lineRule="auto"/>
        <w:ind w:left="0" w:leftChars="0"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招标代理：国信国际工程咨询集团股份有限公司</w:t>
      </w:r>
    </w:p>
    <w:p w14:paraId="04719F6C">
      <w:pPr>
        <w:keepNext w:val="0"/>
        <w:keepLines w:val="0"/>
        <w:pageBreakBefore w:val="0"/>
        <w:widowControl w:val="0"/>
        <w:kinsoku/>
        <w:wordWrap/>
        <w:overflowPunct/>
        <w:topLinePunct w:val="0"/>
        <w:autoSpaceDE/>
        <w:autoSpaceDN/>
        <w:bidi w:val="0"/>
        <w:adjustRightInd/>
        <w:snapToGrid w:val="0"/>
        <w:spacing w:line="360" w:lineRule="auto"/>
        <w:ind w:left="0" w:leftChars="0"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 xml:space="preserve">地址：南京市建邺区新城科技园国际研发总园2栋7层 </w:t>
      </w:r>
    </w:p>
    <w:p w14:paraId="443D4240">
      <w:pPr>
        <w:keepNext w:val="0"/>
        <w:keepLines w:val="0"/>
        <w:pageBreakBefore w:val="0"/>
        <w:widowControl w:val="0"/>
        <w:kinsoku/>
        <w:wordWrap/>
        <w:overflowPunct/>
        <w:topLinePunct w:val="0"/>
        <w:autoSpaceDE/>
        <w:autoSpaceDN/>
        <w:bidi w:val="0"/>
        <w:adjustRightInd/>
        <w:snapToGrid w:val="0"/>
        <w:spacing w:line="360" w:lineRule="auto"/>
        <w:ind w:left="0" w:leftChars="0"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电话：</w:t>
      </w:r>
      <w:r>
        <w:rPr>
          <w:rFonts w:hint="eastAsia" w:ascii="宋体" w:hAnsi="宋体" w:cs="宋体"/>
          <w:sz w:val="21"/>
          <w:szCs w:val="21"/>
          <w:highlight w:val="none"/>
          <w:lang w:eastAsia="zh-CN"/>
        </w:rPr>
        <w:t>18962742739</w:t>
      </w:r>
      <w:r>
        <w:rPr>
          <w:rFonts w:hint="eastAsia" w:ascii="宋体" w:hAnsi="宋体" w:eastAsia="宋体" w:cs="宋体"/>
          <w:sz w:val="21"/>
          <w:szCs w:val="21"/>
          <w:highlight w:val="none"/>
          <w:lang w:eastAsia="zh-CN"/>
        </w:rPr>
        <w:t xml:space="preserve"> </w:t>
      </w:r>
    </w:p>
    <w:p w14:paraId="360A7477">
      <w:pPr>
        <w:keepNext w:val="0"/>
        <w:keepLines w:val="0"/>
        <w:pageBreakBefore w:val="0"/>
        <w:widowControl w:val="0"/>
        <w:kinsoku/>
        <w:wordWrap/>
        <w:overflowPunct/>
        <w:topLinePunct w:val="0"/>
        <w:autoSpaceDE/>
        <w:autoSpaceDN/>
        <w:bidi w:val="0"/>
        <w:adjustRightInd/>
        <w:snapToGrid w:val="0"/>
        <w:spacing w:line="360" w:lineRule="auto"/>
        <w:ind w:left="0" w:leftChars="0"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联系人：</w:t>
      </w:r>
      <w:r>
        <w:rPr>
          <w:rFonts w:hint="eastAsia" w:ascii="宋体" w:hAnsi="宋体" w:cs="宋体"/>
          <w:sz w:val="21"/>
          <w:szCs w:val="21"/>
          <w:highlight w:val="none"/>
          <w:lang w:eastAsia="zh-CN"/>
        </w:rPr>
        <w:t>李工</w:t>
      </w:r>
    </w:p>
    <w:p w14:paraId="2B723F5C">
      <w:pPr>
        <w:pStyle w:val="14"/>
        <w:rPr>
          <w:rFonts w:hint="eastAsia" w:ascii="宋体" w:hAnsi="宋体" w:cs="宋体"/>
          <w:szCs w:val="21"/>
          <w:highlight w:val="none"/>
        </w:rPr>
      </w:pPr>
    </w:p>
    <w:p w14:paraId="06EA91C1">
      <w:pPr>
        <w:rPr>
          <w:rFonts w:hint="eastAsia"/>
          <w:highlight w:val="none"/>
        </w:rPr>
      </w:pPr>
      <w:r>
        <w:rPr>
          <w:rFonts w:hint="eastAsia"/>
          <w:highlight w:val="none"/>
        </w:rPr>
        <w:br w:type="page"/>
      </w:r>
    </w:p>
    <w:p w14:paraId="5B2D6AA8">
      <w:pPr>
        <w:ind w:right="840" w:firstLine="491" w:firstLineChars="233"/>
        <w:rPr>
          <w:rFonts w:ascii="宋体" w:hAnsi="宋体"/>
          <w:b/>
          <w:szCs w:val="21"/>
          <w:highlight w:val="none"/>
        </w:rPr>
      </w:pPr>
    </w:p>
    <w:p w14:paraId="0A80FB97">
      <w:pPr>
        <w:pStyle w:val="2"/>
        <w:spacing w:before="3600"/>
        <w:jc w:val="center"/>
        <w:rPr>
          <w:rFonts w:hint="eastAsia" w:ascii="黑体" w:eastAsia="黑体"/>
          <w:sz w:val="52"/>
          <w:szCs w:val="52"/>
          <w:highlight w:val="none"/>
        </w:rPr>
      </w:pPr>
      <w:r>
        <w:rPr>
          <w:rFonts w:hint="eastAsia" w:ascii="黑体" w:eastAsia="黑体"/>
          <w:sz w:val="52"/>
          <w:szCs w:val="52"/>
          <w:highlight w:val="none"/>
        </w:rPr>
        <w:t>第二章  投标人须知</w:t>
      </w:r>
    </w:p>
    <w:p w14:paraId="407EF928">
      <w:pPr>
        <w:spacing w:after="120" w:afterLines="50"/>
        <w:rPr>
          <w:rFonts w:hint="eastAsia" w:ascii="宋体" w:hAnsi="宋体"/>
          <w:sz w:val="24"/>
          <w:highlight w:val="none"/>
        </w:rPr>
      </w:pPr>
    </w:p>
    <w:p w14:paraId="122A3636">
      <w:pPr>
        <w:pStyle w:val="3"/>
        <w:snapToGrid w:val="0"/>
        <w:spacing w:before="0" w:after="120" w:line="360" w:lineRule="auto"/>
        <w:jc w:val="center"/>
        <w:rPr>
          <w:rFonts w:hint="eastAsia"/>
          <w:highlight w:val="none"/>
        </w:rPr>
      </w:pPr>
      <w:r>
        <w:rPr>
          <w:rFonts w:hint="eastAsia"/>
          <w:highlight w:val="none"/>
        </w:rPr>
        <w:br w:type="page"/>
      </w:r>
      <w:r>
        <w:rPr>
          <w:rFonts w:hint="eastAsia"/>
          <w:highlight w:val="none"/>
        </w:rPr>
        <w:t>第二章  投标人须知</w:t>
      </w:r>
    </w:p>
    <w:p w14:paraId="443E92D5">
      <w:pPr>
        <w:spacing w:after="120" w:afterLines="50"/>
        <w:jc w:val="center"/>
        <w:rPr>
          <w:rFonts w:hint="eastAsia" w:ascii="宋体" w:hAnsi="宋体"/>
          <w:b/>
          <w:sz w:val="28"/>
          <w:szCs w:val="28"/>
          <w:highlight w:val="none"/>
        </w:rPr>
      </w:pPr>
      <w:r>
        <w:rPr>
          <w:rFonts w:hint="eastAsia" w:ascii="宋体" w:hAnsi="宋体"/>
          <w:b/>
          <w:sz w:val="28"/>
          <w:szCs w:val="28"/>
          <w:highlight w:val="none"/>
        </w:rPr>
        <w:t>投标人须知前附表</w:t>
      </w:r>
    </w:p>
    <w:tbl>
      <w:tblPr>
        <w:tblStyle w:val="37"/>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68"/>
        <w:gridCol w:w="2043"/>
        <w:gridCol w:w="5975"/>
      </w:tblGrid>
      <w:tr w14:paraId="7AD91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8" w:hRule="atLeast"/>
          <w:tblHeader/>
          <w:jc w:val="center"/>
        </w:trPr>
        <w:tc>
          <w:tcPr>
            <w:tcW w:w="1168" w:type="dxa"/>
            <w:noWrap w:val="0"/>
            <w:vAlign w:val="center"/>
          </w:tcPr>
          <w:p w14:paraId="7BC5EB33">
            <w:pPr>
              <w:jc w:val="center"/>
              <w:rPr>
                <w:rFonts w:hint="eastAsia" w:ascii="宋体" w:hAnsi="宋体" w:cs="宋体"/>
                <w:b/>
                <w:szCs w:val="21"/>
                <w:highlight w:val="none"/>
              </w:rPr>
            </w:pPr>
            <w:r>
              <w:rPr>
                <w:rFonts w:hint="eastAsia" w:ascii="宋体" w:hAnsi="宋体" w:cs="宋体"/>
                <w:b/>
                <w:szCs w:val="21"/>
                <w:highlight w:val="none"/>
              </w:rPr>
              <w:t>条款号</w:t>
            </w:r>
          </w:p>
        </w:tc>
        <w:tc>
          <w:tcPr>
            <w:tcW w:w="2043" w:type="dxa"/>
            <w:noWrap w:val="0"/>
            <w:vAlign w:val="center"/>
          </w:tcPr>
          <w:p w14:paraId="6E9A066C">
            <w:pPr>
              <w:jc w:val="center"/>
              <w:rPr>
                <w:rFonts w:hint="eastAsia" w:ascii="宋体" w:hAnsi="宋体" w:cs="宋体"/>
                <w:b/>
                <w:szCs w:val="21"/>
                <w:highlight w:val="none"/>
              </w:rPr>
            </w:pPr>
            <w:r>
              <w:rPr>
                <w:rFonts w:hint="eastAsia" w:ascii="宋体" w:hAnsi="宋体" w:cs="宋体"/>
                <w:b/>
                <w:szCs w:val="21"/>
                <w:highlight w:val="none"/>
              </w:rPr>
              <w:t>条 款 名 称</w:t>
            </w:r>
          </w:p>
        </w:tc>
        <w:tc>
          <w:tcPr>
            <w:tcW w:w="5975" w:type="dxa"/>
            <w:noWrap w:val="0"/>
            <w:vAlign w:val="center"/>
          </w:tcPr>
          <w:p w14:paraId="1CD7CB37">
            <w:pPr>
              <w:jc w:val="center"/>
              <w:rPr>
                <w:rFonts w:hint="eastAsia" w:ascii="宋体" w:hAnsi="宋体" w:cs="宋体"/>
                <w:b/>
                <w:szCs w:val="21"/>
                <w:highlight w:val="none"/>
              </w:rPr>
            </w:pPr>
            <w:r>
              <w:rPr>
                <w:rFonts w:hint="eastAsia" w:ascii="宋体" w:hAnsi="宋体" w:cs="宋体"/>
                <w:b/>
                <w:szCs w:val="21"/>
                <w:highlight w:val="none"/>
              </w:rPr>
              <w:t>编 列 内 容</w:t>
            </w:r>
          </w:p>
        </w:tc>
      </w:tr>
      <w:tr w14:paraId="659B8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49695A71">
            <w:pPr>
              <w:jc w:val="center"/>
              <w:rPr>
                <w:rFonts w:hint="eastAsia" w:ascii="宋体" w:hAnsi="宋体" w:cs="宋体"/>
                <w:szCs w:val="21"/>
                <w:highlight w:val="none"/>
              </w:rPr>
            </w:pPr>
            <w:r>
              <w:rPr>
                <w:rFonts w:hint="eastAsia" w:ascii="宋体" w:hAnsi="宋体" w:cs="宋体"/>
                <w:szCs w:val="21"/>
                <w:highlight w:val="none"/>
              </w:rPr>
              <w:t>1.1.2</w:t>
            </w:r>
          </w:p>
        </w:tc>
        <w:tc>
          <w:tcPr>
            <w:tcW w:w="2043" w:type="dxa"/>
            <w:noWrap w:val="0"/>
            <w:vAlign w:val="center"/>
          </w:tcPr>
          <w:p w14:paraId="05891B05">
            <w:pPr>
              <w:jc w:val="center"/>
              <w:rPr>
                <w:rFonts w:hint="eastAsia" w:ascii="宋体" w:hAnsi="宋体" w:cs="宋体"/>
                <w:szCs w:val="21"/>
                <w:highlight w:val="none"/>
              </w:rPr>
            </w:pPr>
            <w:r>
              <w:rPr>
                <w:rFonts w:hint="eastAsia" w:ascii="宋体" w:hAnsi="宋体" w:cs="宋体"/>
                <w:szCs w:val="21"/>
                <w:highlight w:val="none"/>
              </w:rPr>
              <w:t>招标人</w:t>
            </w:r>
          </w:p>
        </w:tc>
        <w:tc>
          <w:tcPr>
            <w:tcW w:w="5975" w:type="dxa"/>
            <w:noWrap w:val="0"/>
            <w:vAlign w:val="center"/>
          </w:tcPr>
          <w:p w14:paraId="6EF6297C">
            <w:pPr>
              <w:widowControl/>
              <w:autoSpaceDE/>
              <w:autoSpaceDN/>
              <w:adjustRightInd w:val="0"/>
              <w:snapToGrid w:val="0"/>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bidi="ar-SA"/>
              </w:rPr>
              <w:t>招 标 人：</w:t>
            </w:r>
            <w:r>
              <w:rPr>
                <w:rFonts w:hint="eastAsia" w:ascii="宋体" w:hAnsi="宋体" w:eastAsia="宋体" w:cs="宋体"/>
                <w:sz w:val="21"/>
                <w:szCs w:val="21"/>
                <w:highlight w:val="none"/>
                <w:lang w:val="en-US" w:eastAsia="zh-CN" w:bidi="ar-SA"/>
              </w:rPr>
              <w:t>南通市港航事业发展中心</w:t>
            </w:r>
          </w:p>
          <w:p w14:paraId="0F682063">
            <w:pPr>
              <w:widowControl/>
              <w:autoSpaceDE/>
              <w:autoSpaceDN/>
              <w:adjustRightInd w:val="0"/>
              <w:snapToGrid w:val="0"/>
              <w:rPr>
                <w:rFonts w:hint="eastAsia" w:ascii="宋体" w:hAnsi="宋体" w:eastAsia="宋体" w:cs="宋体"/>
                <w:sz w:val="21"/>
                <w:szCs w:val="21"/>
                <w:highlight w:val="none"/>
                <w:lang w:val="en-US" w:bidi="ar-SA"/>
              </w:rPr>
            </w:pPr>
            <w:r>
              <w:rPr>
                <w:rFonts w:hint="eastAsia" w:ascii="宋体" w:hAnsi="宋体" w:eastAsia="宋体" w:cs="宋体"/>
                <w:sz w:val="21"/>
                <w:szCs w:val="21"/>
                <w:highlight w:val="none"/>
                <w:lang w:val="en-US" w:bidi="ar-SA"/>
              </w:rPr>
              <w:t>地    址：南通市外环西路99号</w:t>
            </w:r>
          </w:p>
          <w:p w14:paraId="5CFD6498">
            <w:pPr>
              <w:widowControl/>
              <w:autoSpaceDE/>
              <w:autoSpaceDN/>
              <w:adjustRightInd w:val="0"/>
              <w:snapToGrid w:val="0"/>
              <w:rPr>
                <w:rFonts w:hint="eastAsia" w:ascii="宋体" w:hAnsi="宋体" w:eastAsia="宋体" w:cs="宋体"/>
                <w:sz w:val="21"/>
                <w:szCs w:val="21"/>
                <w:highlight w:val="none"/>
                <w:lang w:val="en-US" w:bidi="ar-SA"/>
              </w:rPr>
            </w:pPr>
            <w:r>
              <w:rPr>
                <w:rFonts w:hint="eastAsia" w:ascii="宋体" w:hAnsi="宋体" w:eastAsia="宋体" w:cs="宋体"/>
                <w:sz w:val="21"/>
                <w:szCs w:val="21"/>
                <w:highlight w:val="none"/>
                <w:lang w:val="en-US" w:bidi="ar-SA"/>
              </w:rPr>
              <w:t>电    话：0513-83549373</w:t>
            </w:r>
          </w:p>
          <w:p w14:paraId="51083FAB">
            <w:pPr>
              <w:widowControl/>
              <w:autoSpaceDE/>
              <w:autoSpaceDN/>
              <w:adjustRightInd w:val="0"/>
              <w:snapToGrid w:val="0"/>
              <w:rPr>
                <w:rFonts w:hint="eastAsia" w:ascii="宋体" w:hAnsi="宋体" w:eastAsia="宋体" w:cs="宋体"/>
                <w:sz w:val="21"/>
                <w:szCs w:val="21"/>
                <w:highlight w:val="none"/>
              </w:rPr>
            </w:pPr>
            <w:r>
              <w:rPr>
                <w:rFonts w:hint="eastAsia" w:ascii="宋体" w:hAnsi="宋体" w:eastAsia="宋体" w:cs="宋体"/>
                <w:sz w:val="21"/>
                <w:szCs w:val="21"/>
                <w:highlight w:val="none"/>
                <w:lang w:val="en-US" w:bidi="ar-SA"/>
              </w:rPr>
              <w:t>联 系 人：</w:t>
            </w:r>
            <w:r>
              <w:rPr>
                <w:rFonts w:hint="eastAsia" w:ascii="宋体" w:hAnsi="宋体" w:eastAsia="宋体" w:cs="宋体"/>
                <w:sz w:val="21"/>
                <w:szCs w:val="21"/>
                <w:highlight w:val="none"/>
                <w:lang w:val="en-US" w:eastAsia="zh-CN" w:bidi="ar-SA"/>
              </w:rPr>
              <w:t>缪铧葳</w:t>
            </w:r>
          </w:p>
        </w:tc>
      </w:tr>
      <w:tr w14:paraId="6C476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31ABDF88">
            <w:pPr>
              <w:jc w:val="center"/>
              <w:rPr>
                <w:rFonts w:hint="eastAsia" w:ascii="宋体" w:hAnsi="宋体" w:cs="宋体"/>
                <w:szCs w:val="21"/>
                <w:highlight w:val="none"/>
              </w:rPr>
            </w:pPr>
            <w:r>
              <w:rPr>
                <w:rFonts w:hint="eastAsia" w:ascii="宋体" w:hAnsi="宋体" w:cs="宋体"/>
                <w:szCs w:val="21"/>
                <w:highlight w:val="none"/>
              </w:rPr>
              <w:t xml:space="preserve">1.1.3 </w:t>
            </w:r>
          </w:p>
        </w:tc>
        <w:tc>
          <w:tcPr>
            <w:tcW w:w="2043" w:type="dxa"/>
            <w:noWrap w:val="0"/>
            <w:vAlign w:val="center"/>
          </w:tcPr>
          <w:p w14:paraId="46AA416F">
            <w:pPr>
              <w:spacing w:line="340" w:lineRule="exact"/>
              <w:jc w:val="center"/>
              <w:rPr>
                <w:rFonts w:hint="eastAsia" w:ascii="宋体" w:hAnsi="宋体" w:cs="宋体"/>
                <w:szCs w:val="21"/>
                <w:highlight w:val="none"/>
              </w:rPr>
            </w:pPr>
            <w:r>
              <w:rPr>
                <w:rFonts w:hint="eastAsia" w:ascii="宋体" w:hAnsi="宋体" w:cs="宋体"/>
                <w:szCs w:val="21"/>
                <w:highlight w:val="none"/>
              </w:rPr>
              <w:t>招标代理机构</w:t>
            </w:r>
          </w:p>
        </w:tc>
        <w:tc>
          <w:tcPr>
            <w:tcW w:w="5975" w:type="dxa"/>
            <w:noWrap w:val="0"/>
            <w:vAlign w:val="center"/>
          </w:tcPr>
          <w:p w14:paraId="7F207FB8">
            <w:pPr>
              <w:snapToGrid w:val="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招标代理：国信国际工程咨询集团股份有限公司</w:t>
            </w:r>
          </w:p>
          <w:p w14:paraId="31041B42">
            <w:pPr>
              <w:snapToGrid w:val="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 xml:space="preserve">地址：南京市建邺区新城科技园国际研发总园2栋7层 </w:t>
            </w:r>
          </w:p>
          <w:p w14:paraId="28DCA400">
            <w:pPr>
              <w:snapToGrid w:val="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电话：</w:t>
            </w:r>
            <w:r>
              <w:rPr>
                <w:rFonts w:hint="eastAsia" w:ascii="宋体" w:hAnsi="宋体" w:cs="宋体"/>
                <w:sz w:val="21"/>
                <w:szCs w:val="21"/>
                <w:highlight w:val="none"/>
                <w:lang w:eastAsia="zh-CN"/>
              </w:rPr>
              <w:t>18962742739</w:t>
            </w:r>
            <w:r>
              <w:rPr>
                <w:rFonts w:hint="eastAsia" w:ascii="宋体" w:hAnsi="宋体" w:eastAsia="宋体" w:cs="宋体"/>
                <w:sz w:val="21"/>
                <w:szCs w:val="21"/>
                <w:highlight w:val="none"/>
                <w:lang w:eastAsia="zh-CN"/>
              </w:rPr>
              <w:t xml:space="preserve"> </w:t>
            </w:r>
          </w:p>
          <w:p w14:paraId="7C4DC4FD">
            <w:pPr>
              <w:snapToGrid w:val="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联系人：</w:t>
            </w:r>
            <w:r>
              <w:rPr>
                <w:rFonts w:hint="eastAsia" w:ascii="宋体" w:hAnsi="宋体" w:cs="宋体"/>
                <w:sz w:val="21"/>
                <w:szCs w:val="21"/>
                <w:highlight w:val="none"/>
                <w:lang w:eastAsia="zh-CN"/>
              </w:rPr>
              <w:t>李工</w:t>
            </w:r>
          </w:p>
        </w:tc>
      </w:tr>
      <w:tr w14:paraId="3C97C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bottom"/>
          </w:tcPr>
          <w:p w14:paraId="453CDABF">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1.1.4 </w:t>
            </w:r>
          </w:p>
        </w:tc>
        <w:tc>
          <w:tcPr>
            <w:tcW w:w="2043" w:type="dxa"/>
            <w:noWrap w:val="0"/>
            <w:vAlign w:val="top"/>
          </w:tcPr>
          <w:p w14:paraId="4F922168">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招标项目名称 </w:t>
            </w:r>
          </w:p>
        </w:tc>
        <w:tc>
          <w:tcPr>
            <w:tcW w:w="5975" w:type="dxa"/>
            <w:noWrap w:val="0"/>
            <w:vAlign w:val="center"/>
          </w:tcPr>
          <w:p w14:paraId="7239A094">
            <w:pPr>
              <w:adjustRightInd w:val="0"/>
              <w:snapToGrid w:val="0"/>
              <w:ind w:left="105" w:leftChars="50" w:right="105" w:rightChars="50"/>
              <w:jc w:val="left"/>
              <w:rPr>
                <w:rFonts w:hint="eastAsia" w:ascii="宋体" w:hAnsi="宋体" w:eastAsia="宋体" w:cs="宋体"/>
                <w:szCs w:val="21"/>
                <w:highlight w:val="none"/>
                <w:lang w:eastAsia="zh-CN"/>
              </w:rPr>
            </w:pPr>
            <w:r>
              <w:rPr>
                <w:rFonts w:hint="eastAsia" w:ascii="宋体" w:hAnsi="宋体" w:cs="宋体"/>
                <w:szCs w:val="21"/>
                <w:highlight w:val="none"/>
                <w:lang w:eastAsia="zh-CN"/>
              </w:rPr>
              <w:t>连申线南通段三级航道整治工程及航道提升工程文物资源区域评估项目</w:t>
            </w:r>
          </w:p>
        </w:tc>
      </w:tr>
      <w:tr w14:paraId="2E720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bottom"/>
          </w:tcPr>
          <w:p w14:paraId="5676FCC7">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1.1.5 </w:t>
            </w:r>
          </w:p>
        </w:tc>
        <w:tc>
          <w:tcPr>
            <w:tcW w:w="2043" w:type="dxa"/>
            <w:noWrap w:val="0"/>
            <w:vAlign w:val="top"/>
          </w:tcPr>
          <w:p w14:paraId="0E4A7D81">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标段建设地点 </w:t>
            </w:r>
          </w:p>
        </w:tc>
        <w:tc>
          <w:tcPr>
            <w:tcW w:w="5975" w:type="dxa"/>
            <w:noWrap w:val="0"/>
            <w:vAlign w:val="center"/>
          </w:tcPr>
          <w:p w14:paraId="4E0B648F">
            <w:pPr>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南通市境内</w:t>
            </w:r>
          </w:p>
        </w:tc>
      </w:tr>
      <w:tr w14:paraId="7B399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bottom"/>
          </w:tcPr>
          <w:p w14:paraId="54EB03B3">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1.1.6 </w:t>
            </w:r>
          </w:p>
        </w:tc>
        <w:tc>
          <w:tcPr>
            <w:tcW w:w="2043" w:type="dxa"/>
            <w:noWrap w:val="0"/>
            <w:vAlign w:val="top"/>
          </w:tcPr>
          <w:p w14:paraId="34B4D1C3">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标段建设规模 </w:t>
            </w:r>
          </w:p>
        </w:tc>
        <w:tc>
          <w:tcPr>
            <w:tcW w:w="5975" w:type="dxa"/>
            <w:noWrap w:val="0"/>
            <w:vAlign w:val="center"/>
          </w:tcPr>
          <w:p w14:paraId="3921D7F5">
            <w:pPr>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详见招标公告</w:t>
            </w:r>
          </w:p>
        </w:tc>
      </w:tr>
      <w:tr w14:paraId="190AA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bottom"/>
          </w:tcPr>
          <w:p w14:paraId="53175A5E">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1.1.7 </w:t>
            </w:r>
          </w:p>
        </w:tc>
        <w:tc>
          <w:tcPr>
            <w:tcW w:w="2043" w:type="dxa"/>
            <w:noWrap w:val="0"/>
            <w:vAlign w:val="top"/>
          </w:tcPr>
          <w:p w14:paraId="02BB8C6C">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标段投资估算 </w:t>
            </w:r>
          </w:p>
        </w:tc>
        <w:tc>
          <w:tcPr>
            <w:tcW w:w="5975" w:type="dxa"/>
            <w:noWrap w:val="0"/>
            <w:vAlign w:val="center"/>
          </w:tcPr>
          <w:p w14:paraId="091597BD">
            <w:pPr>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详见招标公告</w:t>
            </w:r>
          </w:p>
        </w:tc>
      </w:tr>
      <w:tr w14:paraId="18167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bottom"/>
          </w:tcPr>
          <w:p w14:paraId="7A58E0CA">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1.2.1 </w:t>
            </w:r>
          </w:p>
        </w:tc>
        <w:tc>
          <w:tcPr>
            <w:tcW w:w="2043" w:type="dxa"/>
            <w:noWrap w:val="0"/>
            <w:vAlign w:val="top"/>
          </w:tcPr>
          <w:p w14:paraId="28374B29">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资金来源及比例 </w:t>
            </w:r>
          </w:p>
        </w:tc>
        <w:tc>
          <w:tcPr>
            <w:tcW w:w="5975" w:type="dxa"/>
            <w:noWrap w:val="0"/>
            <w:vAlign w:val="center"/>
          </w:tcPr>
          <w:p w14:paraId="6CBD31B0">
            <w:pPr>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详见招标公告</w:t>
            </w:r>
          </w:p>
        </w:tc>
      </w:tr>
      <w:tr w14:paraId="44550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bottom"/>
          </w:tcPr>
          <w:p w14:paraId="27888D21">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1.2.2 </w:t>
            </w:r>
          </w:p>
        </w:tc>
        <w:tc>
          <w:tcPr>
            <w:tcW w:w="2043" w:type="dxa"/>
            <w:noWrap w:val="0"/>
            <w:vAlign w:val="top"/>
          </w:tcPr>
          <w:p w14:paraId="6E447849">
            <w:pPr>
              <w:spacing w:line="259" w:lineRule="auto"/>
              <w:ind w:right="53"/>
              <w:jc w:val="center"/>
              <w:rPr>
                <w:rFonts w:hint="eastAsia" w:ascii="宋体" w:hAnsi="宋体" w:cs="宋体"/>
                <w:szCs w:val="21"/>
                <w:highlight w:val="none"/>
              </w:rPr>
            </w:pPr>
            <w:r>
              <w:rPr>
                <w:rFonts w:hint="eastAsia" w:ascii="宋体" w:hAnsi="宋体" w:cs="宋体"/>
                <w:szCs w:val="21"/>
                <w:highlight w:val="none"/>
              </w:rPr>
              <w:t xml:space="preserve">资金落实情况 </w:t>
            </w:r>
          </w:p>
        </w:tc>
        <w:tc>
          <w:tcPr>
            <w:tcW w:w="5975" w:type="dxa"/>
            <w:noWrap w:val="0"/>
            <w:vAlign w:val="center"/>
          </w:tcPr>
          <w:p w14:paraId="3C11E0CA">
            <w:pPr>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资金已落实</w:t>
            </w:r>
          </w:p>
        </w:tc>
      </w:tr>
      <w:tr w14:paraId="49416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 w:hRule="atLeast"/>
          <w:jc w:val="center"/>
        </w:trPr>
        <w:tc>
          <w:tcPr>
            <w:tcW w:w="1168" w:type="dxa"/>
            <w:noWrap w:val="0"/>
            <w:vAlign w:val="center"/>
          </w:tcPr>
          <w:p w14:paraId="2964F589">
            <w:pPr>
              <w:spacing w:line="259" w:lineRule="auto"/>
              <w:ind w:right="53"/>
              <w:jc w:val="center"/>
              <w:rPr>
                <w:rFonts w:hint="eastAsia" w:ascii="宋体" w:hAnsi="宋体" w:cs="宋体"/>
                <w:szCs w:val="21"/>
                <w:highlight w:val="none"/>
              </w:rPr>
            </w:pPr>
            <w:r>
              <w:rPr>
                <w:rFonts w:hint="eastAsia" w:ascii="宋体" w:hAnsi="宋体" w:cs="宋体"/>
                <w:szCs w:val="21"/>
                <w:highlight w:val="none"/>
              </w:rPr>
              <w:t>1.3.1</w:t>
            </w:r>
          </w:p>
        </w:tc>
        <w:tc>
          <w:tcPr>
            <w:tcW w:w="2043" w:type="dxa"/>
            <w:noWrap w:val="0"/>
            <w:vAlign w:val="center"/>
          </w:tcPr>
          <w:p w14:paraId="42BC7A5B">
            <w:pPr>
              <w:jc w:val="center"/>
              <w:rPr>
                <w:rFonts w:hint="eastAsia" w:ascii="宋体" w:hAnsi="宋体" w:cs="宋体"/>
                <w:szCs w:val="21"/>
                <w:highlight w:val="none"/>
              </w:rPr>
            </w:pPr>
            <w:r>
              <w:rPr>
                <w:rFonts w:hint="eastAsia" w:ascii="宋体" w:hAnsi="宋体" w:cs="宋体"/>
                <w:szCs w:val="21"/>
                <w:highlight w:val="none"/>
              </w:rPr>
              <w:t>招标范围</w:t>
            </w:r>
          </w:p>
        </w:tc>
        <w:tc>
          <w:tcPr>
            <w:tcW w:w="5975" w:type="dxa"/>
            <w:noWrap w:val="0"/>
            <w:vAlign w:val="center"/>
          </w:tcPr>
          <w:p w14:paraId="7A7C318D">
            <w:pPr>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详见招标公告</w:t>
            </w:r>
          </w:p>
        </w:tc>
      </w:tr>
      <w:tr w14:paraId="2D614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331059F8">
            <w:pPr>
              <w:spacing w:line="259" w:lineRule="auto"/>
              <w:ind w:right="53"/>
              <w:jc w:val="center"/>
              <w:rPr>
                <w:rFonts w:hint="eastAsia" w:ascii="宋体" w:hAnsi="宋体" w:cs="宋体"/>
                <w:szCs w:val="21"/>
                <w:highlight w:val="none"/>
              </w:rPr>
            </w:pPr>
            <w:r>
              <w:rPr>
                <w:rFonts w:hint="eastAsia" w:ascii="宋体" w:hAnsi="宋体" w:cs="宋体"/>
                <w:szCs w:val="21"/>
                <w:highlight w:val="none"/>
              </w:rPr>
              <w:t>1.3.2</w:t>
            </w:r>
          </w:p>
        </w:tc>
        <w:tc>
          <w:tcPr>
            <w:tcW w:w="2043" w:type="dxa"/>
            <w:noWrap w:val="0"/>
            <w:vAlign w:val="center"/>
          </w:tcPr>
          <w:p w14:paraId="569BDF10">
            <w:pPr>
              <w:jc w:val="center"/>
              <w:rPr>
                <w:rFonts w:ascii="宋体" w:hAnsi="宋体" w:cs="宋体"/>
                <w:szCs w:val="21"/>
                <w:highlight w:val="none"/>
              </w:rPr>
            </w:pPr>
            <w:r>
              <w:rPr>
                <w:rFonts w:hint="eastAsia" w:ascii="宋体" w:hAnsi="宋体" w:cs="宋体"/>
                <w:szCs w:val="21"/>
                <w:highlight w:val="none"/>
              </w:rPr>
              <w:t>服务期限</w:t>
            </w:r>
          </w:p>
        </w:tc>
        <w:tc>
          <w:tcPr>
            <w:tcW w:w="5975" w:type="dxa"/>
            <w:noWrap w:val="0"/>
            <w:vAlign w:val="center"/>
          </w:tcPr>
          <w:p w14:paraId="25BD16E1">
            <w:pPr>
              <w:ind w:left="105" w:leftChars="50" w:right="105" w:rightChars="50"/>
              <w:rPr>
                <w:rFonts w:hint="eastAsia" w:ascii="宋体" w:hAnsi="宋体" w:cs="宋体"/>
                <w:szCs w:val="21"/>
                <w:highlight w:val="none"/>
              </w:rPr>
            </w:pPr>
            <w:r>
              <w:rPr>
                <w:rFonts w:hint="eastAsia" w:ascii="宋体" w:hAnsi="宋体" w:cs="宋体"/>
                <w:szCs w:val="21"/>
                <w:highlight w:val="none"/>
              </w:rPr>
              <w:t>详见招标公告</w:t>
            </w:r>
          </w:p>
        </w:tc>
      </w:tr>
      <w:tr w14:paraId="7659A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4C9A58F5">
            <w:pPr>
              <w:jc w:val="center"/>
              <w:rPr>
                <w:rFonts w:hint="eastAsia" w:ascii="宋体" w:hAnsi="宋体" w:cs="宋体"/>
                <w:szCs w:val="21"/>
                <w:highlight w:val="none"/>
                <w:vertAlign w:val="superscript"/>
              </w:rPr>
            </w:pPr>
            <w:r>
              <w:rPr>
                <w:rFonts w:hint="eastAsia" w:ascii="宋体" w:hAnsi="宋体" w:cs="宋体"/>
                <w:szCs w:val="21"/>
                <w:highlight w:val="none"/>
              </w:rPr>
              <w:t>1.4.1</w:t>
            </w:r>
            <w:r>
              <w:rPr>
                <w:rFonts w:hint="eastAsia" w:ascii="宋体" w:hAnsi="宋体" w:cs="宋体"/>
                <w:szCs w:val="21"/>
                <w:highlight w:val="none"/>
                <w:vertAlign w:val="superscript"/>
              </w:rPr>
              <w:t xml:space="preserve"> </w:t>
            </w:r>
          </w:p>
        </w:tc>
        <w:tc>
          <w:tcPr>
            <w:tcW w:w="2043" w:type="dxa"/>
            <w:noWrap w:val="0"/>
            <w:vAlign w:val="center"/>
          </w:tcPr>
          <w:p w14:paraId="6CE7A534">
            <w:pPr>
              <w:jc w:val="center"/>
              <w:rPr>
                <w:rFonts w:hint="eastAsia" w:ascii="宋体" w:hAnsi="宋体" w:cs="宋体"/>
                <w:szCs w:val="21"/>
                <w:highlight w:val="none"/>
              </w:rPr>
            </w:pPr>
            <w:r>
              <w:rPr>
                <w:rFonts w:hint="eastAsia" w:ascii="宋体" w:hAnsi="宋体" w:cs="宋体"/>
                <w:szCs w:val="21"/>
                <w:highlight w:val="none"/>
              </w:rPr>
              <w:t>投标人资质条件、能力和信誉</w:t>
            </w:r>
          </w:p>
        </w:tc>
        <w:tc>
          <w:tcPr>
            <w:tcW w:w="5975" w:type="dxa"/>
            <w:noWrap w:val="0"/>
            <w:vAlign w:val="center"/>
          </w:tcPr>
          <w:p w14:paraId="5D182C77">
            <w:pPr>
              <w:ind w:left="105" w:leftChars="50" w:right="105" w:rightChars="50"/>
              <w:rPr>
                <w:rFonts w:hint="eastAsia" w:ascii="宋体" w:hAnsi="宋体" w:cs="宋体"/>
                <w:szCs w:val="21"/>
                <w:highlight w:val="none"/>
              </w:rPr>
            </w:pPr>
            <w:r>
              <w:rPr>
                <w:rFonts w:hint="eastAsia" w:ascii="宋体" w:hAnsi="宋体" w:cs="宋体"/>
                <w:szCs w:val="21"/>
                <w:highlight w:val="none"/>
              </w:rPr>
              <w:t>详见招标公告</w:t>
            </w:r>
          </w:p>
        </w:tc>
      </w:tr>
      <w:tr w14:paraId="33D8C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55D0C1D1">
            <w:pPr>
              <w:jc w:val="center"/>
              <w:rPr>
                <w:rFonts w:hint="eastAsia" w:ascii="宋体" w:hAnsi="宋体" w:cs="宋体"/>
                <w:szCs w:val="21"/>
                <w:highlight w:val="none"/>
              </w:rPr>
            </w:pPr>
            <w:r>
              <w:rPr>
                <w:rFonts w:hint="eastAsia" w:ascii="宋体" w:hAnsi="宋体" w:cs="宋体"/>
                <w:szCs w:val="21"/>
                <w:highlight w:val="none"/>
              </w:rPr>
              <w:t>1.4.2</w:t>
            </w:r>
          </w:p>
        </w:tc>
        <w:tc>
          <w:tcPr>
            <w:tcW w:w="2043" w:type="dxa"/>
            <w:noWrap w:val="0"/>
            <w:vAlign w:val="center"/>
          </w:tcPr>
          <w:p w14:paraId="627BAE7D">
            <w:pPr>
              <w:jc w:val="center"/>
              <w:rPr>
                <w:rFonts w:hint="eastAsia" w:ascii="宋体" w:hAnsi="宋体" w:cs="宋体"/>
                <w:szCs w:val="21"/>
                <w:highlight w:val="none"/>
              </w:rPr>
            </w:pPr>
            <w:r>
              <w:rPr>
                <w:rFonts w:hint="eastAsia" w:ascii="宋体" w:hAnsi="宋体" w:cs="宋体"/>
                <w:szCs w:val="21"/>
                <w:highlight w:val="none"/>
              </w:rPr>
              <w:t>联合体</w:t>
            </w:r>
          </w:p>
        </w:tc>
        <w:tc>
          <w:tcPr>
            <w:tcW w:w="5975" w:type="dxa"/>
            <w:noWrap w:val="0"/>
            <w:vAlign w:val="center"/>
          </w:tcPr>
          <w:p w14:paraId="58AA9D72">
            <w:pPr>
              <w:ind w:left="105" w:leftChars="50" w:right="105" w:rightChars="50"/>
              <w:rPr>
                <w:rFonts w:hint="eastAsia" w:ascii="宋体" w:hAnsi="宋体" w:cs="宋体"/>
                <w:szCs w:val="21"/>
                <w:highlight w:val="none"/>
              </w:rPr>
            </w:pPr>
            <w:r>
              <w:rPr>
                <w:rFonts w:hint="eastAsia" w:ascii="宋体" w:hAnsi="宋体" w:cs="宋体"/>
                <w:szCs w:val="21"/>
                <w:highlight w:val="none"/>
              </w:rPr>
              <w:t>☑不接受</w:t>
            </w:r>
          </w:p>
          <w:p w14:paraId="5D3DCFC1">
            <w:pPr>
              <w:ind w:left="105" w:leftChars="50" w:right="105" w:rightChars="50"/>
              <w:rPr>
                <w:rFonts w:hint="eastAsia"/>
                <w:highlight w:val="none"/>
              </w:rPr>
            </w:pPr>
            <w:r>
              <w:rPr>
                <w:rFonts w:hint="eastAsia" w:ascii="宋体" w:hAnsi="宋体" w:cs="宋体"/>
                <w:szCs w:val="21"/>
                <w:highlight w:val="none"/>
              </w:rPr>
              <w:t>□接受，应满足下列要求：/</w:t>
            </w:r>
          </w:p>
        </w:tc>
      </w:tr>
      <w:tr w14:paraId="1E3D4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39FCD0B2">
            <w:pPr>
              <w:jc w:val="center"/>
              <w:rPr>
                <w:rFonts w:ascii="宋体" w:hAnsi="宋体" w:cs="宋体"/>
                <w:szCs w:val="21"/>
                <w:highlight w:val="none"/>
              </w:rPr>
            </w:pPr>
            <w:r>
              <w:rPr>
                <w:rFonts w:hint="eastAsia" w:ascii="宋体" w:hAnsi="宋体" w:cs="宋体"/>
                <w:szCs w:val="21"/>
                <w:highlight w:val="none"/>
              </w:rPr>
              <w:t>1.4.3</w:t>
            </w:r>
          </w:p>
        </w:tc>
        <w:tc>
          <w:tcPr>
            <w:tcW w:w="2043" w:type="dxa"/>
            <w:noWrap w:val="0"/>
            <w:vAlign w:val="center"/>
          </w:tcPr>
          <w:p w14:paraId="5D5F12B5">
            <w:pPr>
              <w:jc w:val="center"/>
              <w:rPr>
                <w:rFonts w:ascii="宋体" w:hAnsi="宋体" w:cs="宋体"/>
                <w:szCs w:val="21"/>
                <w:highlight w:val="none"/>
              </w:rPr>
            </w:pPr>
            <w:r>
              <w:rPr>
                <w:rFonts w:hint="eastAsia" w:ascii="宋体" w:hAnsi="宋体" w:cs="宋体"/>
                <w:szCs w:val="21"/>
                <w:highlight w:val="none"/>
              </w:rPr>
              <w:t>投标人不得存在的其他关联情形</w:t>
            </w:r>
          </w:p>
        </w:tc>
        <w:tc>
          <w:tcPr>
            <w:tcW w:w="5975" w:type="dxa"/>
            <w:noWrap w:val="0"/>
            <w:vAlign w:val="center"/>
          </w:tcPr>
          <w:p w14:paraId="46761767">
            <w:pPr>
              <w:ind w:left="105" w:leftChars="50" w:right="105" w:rightChars="50"/>
              <w:rPr>
                <w:rFonts w:hint="eastAsia" w:ascii="宋体" w:hAnsi="宋体" w:cs="宋体"/>
                <w:szCs w:val="21"/>
                <w:highlight w:val="none"/>
              </w:rPr>
            </w:pPr>
            <w:r>
              <w:rPr>
                <w:rFonts w:hint="eastAsia" w:ascii="宋体" w:hAnsi="宋体" w:cs="宋体"/>
                <w:szCs w:val="21"/>
                <w:highlight w:val="none"/>
              </w:rPr>
              <w:t>/</w:t>
            </w:r>
          </w:p>
        </w:tc>
      </w:tr>
      <w:tr w14:paraId="7CE2D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29168C9F">
            <w:pPr>
              <w:jc w:val="center"/>
              <w:rPr>
                <w:rFonts w:ascii="宋体" w:hAnsi="宋体" w:cs="宋体"/>
                <w:szCs w:val="21"/>
                <w:highlight w:val="none"/>
              </w:rPr>
            </w:pPr>
            <w:r>
              <w:rPr>
                <w:rFonts w:hint="eastAsia" w:ascii="宋体" w:hAnsi="宋体" w:cs="宋体"/>
                <w:szCs w:val="21"/>
                <w:highlight w:val="none"/>
              </w:rPr>
              <w:t>1.4.4</w:t>
            </w:r>
          </w:p>
        </w:tc>
        <w:tc>
          <w:tcPr>
            <w:tcW w:w="2043" w:type="dxa"/>
            <w:noWrap w:val="0"/>
            <w:vAlign w:val="center"/>
          </w:tcPr>
          <w:p w14:paraId="79C37B77">
            <w:pPr>
              <w:jc w:val="center"/>
              <w:rPr>
                <w:rFonts w:ascii="宋体" w:hAnsi="宋体" w:cs="宋体"/>
                <w:szCs w:val="21"/>
                <w:highlight w:val="none"/>
              </w:rPr>
            </w:pPr>
            <w:r>
              <w:rPr>
                <w:rFonts w:hint="eastAsia" w:ascii="宋体" w:hAnsi="宋体" w:cs="宋体"/>
                <w:szCs w:val="21"/>
                <w:highlight w:val="none"/>
              </w:rPr>
              <w:t>投标人不得存在的其他不良状况或不良信用记录</w:t>
            </w:r>
          </w:p>
        </w:tc>
        <w:tc>
          <w:tcPr>
            <w:tcW w:w="5975" w:type="dxa"/>
            <w:noWrap w:val="0"/>
            <w:vAlign w:val="center"/>
          </w:tcPr>
          <w:p w14:paraId="56FF23BE">
            <w:pPr>
              <w:ind w:left="105" w:leftChars="50" w:right="105" w:rightChars="50"/>
              <w:rPr>
                <w:rFonts w:hint="eastAsia" w:ascii="宋体" w:hAnsi="宋体" w:cs="宋体"/>
                <w:szCs w:val="21"/>
                <w:highlight w:val="none"/>
              </w:rPr>
            </w:pPr>
            <w:r>
              <w:rPr>
                <w:rFonts w:hint="eastAsia" w:ascii="宋体" w:hAnsi="宋体" w:cs="宋体"/>
                <w:szCs w:val="21"/>
                <w:highlight w:val="none"/>
              </w:rPr>
              <w:t>/</w:t>
            </w:r>
          </w:p>
        </w:tc>
      </w:tr>
      <w:tr w14:paraId="3734A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tcBorders>
              <w:bottom w:val="single" w:color="auto" w:sz="4" w:space="0"/>
            </w:tcBorders>
            <w:noWrap w:val="0"/>
            <w:vAlign w:val="center"/>
          </w:tcPr>
          <w:p w14:paraId="1D238ACB">
            <w:pPr>
              <w:jc w:val="center"/>
              <w:rPr>
                <w:rFonts w:hint="eastAsia" w:ascii="宋体" w:hAnsi="宋体" w:cs="宋体"/>
                <w:szCs w:val="21"/>
                <w:highlight w:val="none"/>
              </w:rPr>
            </w:pPr>
            <w:r>
              <w:rPr>
                <w:rFonts w:hint="eastAsia" w:ascii="宋体" w:hAnsi="宋体" w:cs="宋体"/>
                <w:szCs w:val="21"/>
                <w:highlight w:val="none"/>
              </w:rPr>
              <w:t>1.10.2</w:t>
            </w:r>
          </w:p>
        </w:tc>
        <w:tc>
          <w:tcPr>
            <w:tcW w:w="2043" w:type="dxa"/>
            <w:tcBorders>
              <w:bottom w:val="single" w:color="auto" w:sz="4" w:space="0"/>
            </w:tcBorders>
            <w:noWrap w:val="0"/>
            <w:vAlign w:val="center"/>
          </w:tcPr>
          <w:p w14:paraId="5A25D97E">
            <w:pPr>
              <w:jc w:val="center"/>
              <w:rPr>
                <w:rFonts w:ascii="宋体" w:hAnsi="宋体" w:cs="宋体"/>
                <w:szCs w:val="21"/>
                <w:highlight w:val="none"/>
              </w:rPr>
            </w:pPr>
            <w:r>
              <w:rPr>
                <w:rFonts w:hint="eastAsia" w:ascii="宋体" w:hAnsi="宋体" w:cs="宋体"/>
                <w:szCs w:val="21"/>
                <w:highlight w:val="none"/>
              </w:rPr>
              <w:t>投标人在投标预备会前提出问题</w:t>
            </w:r>
          </w:p>
        </w:tc>
        <w:tc>
          <w:tcPr>
            <w:tcW w:w="5975" w:type="dxa"/>
            <w:noWrap w:val="0"/>
            <w:vAlign w:val="center"/>
          </w:tcPr>
          <w:p w14:paraId="0482B5AF">
            <w:pPr>
              <w:ind w:left="105" w:leftChars="50" w:right="105" w:rightChars="50"/>
              <w:rPr>
                <w:rFonts w:hint="eastAsia" w:ascii="宋体" w:hAnsi="宋体" w:cs="宋体"/>
                <w:szCs w:val="21"/>
                <w:highlight w:val="none"/>
              </w:rPr>
            </w:pPr>
            <w:r>
              <w:rPr>
                <w:rFonts w:hint="eastAsia" w:ascii="宋体" w:hAnsi="宋体"/>
                <w:sz w:val="22"/>
                <w:szCs w:val="22"/>
                <w:highlight w:val="none"/>
              </w:rPr>
              <w:t>/</w:t>
            </w:r>
          </w:p>
        </w:tc>
      </w:tr>
      <w:tr w14:paraId="3C06E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68" w:type="dxa"/>
            <w:tcBorders>
              <w:top w:val="single" w:color="auto" w:sz="4" w:space="0"/>
              <w:left w:val="single" w:color="auto" w:sz="4" w:space="0"/>
              <w:bottom w:val="single" w:color="auto" w:sz="4" w:space="0"/>
            </w:tcBorders>
            <w:noWrap w:val="0"/>
            <w:vAlign w:val="center"/>
          </w:tcPr>
          <w:p w14:paraId="474BB552">
            <w:pPr>
              <w:spacing w:line="259" w:lineRule="auto"/>
              <w:ind w:right="103"/>
              <w:jc w:val="center"/>
              <w:rPr>
                <w:rFonts w:hint="eastAsia" w:ascii="宋体" w:hAnsi="宋体" w:cs="宋体"/>
                <w:szCs w:val="21"/>
                <w:highlight w:val="none"/>
              </w:rPr>
            </w:pPr>
            <w:r>
              <w:rPr>
                <w:rFonts w:hint="eastAsia" w:ascii="宋体" w:hAnsi="宋体" w:cs="宋体"/>
                <w:szCs w:val="21"/>
                <w:highlight w:val="none"/>
              </w:rPr>
              <w:t>1.11.1</w:t>
            </w:r>
          </w:p>
        </w:tc>
        <w:tc>
          <w:tcPr>
            <w:tcW w:w="2043" w:type="dxa"/>
            <w:tcBorders>
              <w:top w:val="single" w:color="auto" w:sz="4" w:space="0"/>
              <w:bottom w:val="single" w:color="auto" w:sz="4" w:space="0"/>
              <w:right w:val="single" w:color="auto" w:sz="4" w:space="0"/>
            </w:tcBorders>
            <w:noWrap w:val="0"/>
            <w:vAlign w:val="center"/>
          </w:tcPr>
          <w:p w14:paraId="4976563B">
            <w:pPr>
              <w:ind w:left="63" w:leftChars="30"/>
              <w:jc w:val="center"/>
              <w:rPr>
                <w:rFonts w:hint="eastAsia" w:ascii="宋体" w:hAnsi="宋体" w:cs="宋体"/>
                <w:szCs w:val="21"/>
                <w:highlight w:val="none"/>
              </w:rPr>
            </w:pPr>
            <w:r>
              <w:rPr>
                <w:rFonts w:hint="eastAsia" w:ascii="宋体" w:hAnsi="宋体" w:cs="宋体"/>
                <w:szCs w:val="21"/>
                <w:highlight w:val="none"/>
              </w:rPr>
              <w:t>分  包</w:t>
            </w:r>
          </w:p>
        </w:tc>
        <w:tc>
          <w:tcPr>
            <w:tcW w:w="5975" w:type="dxa"/>
            <w:tcBorders>
              <w:left w:val="single" w:color="auto" w:sz="4" w:space="0"/>
            </w:tcBorders>
            <w:noWrap w:val="0"/>
            <w:vAlign w:val="top"/>
          </w:tcPr>
          <w:p w14:paraId="10E00C86">
            <w:pPr>
              <w:ind w:left="63" w:leftChars="30"/>
              <w:rPr>
                <w:rFonts w:hint="eastAsia" w:ascii="宋体" w:hAnsi="宋体" w:cs="宋体"/>
                <w:szCs w:val="21"/>
                <w:highlight w:val="none"/>
              </w:rPr>
            </w:pPr>
            <w:r>
              <w:rPr>
                <w:rFonts w:hint="eastAsia" w:ascii="宋体" w:hAnsi="宋体" w:cs="宋体"/>
                <w:szCs w:val="21"/>
                <w:highlight w:val="none"/>
              </w:rPr>
              <w:t xml:space="preserve">☑不允许 </w:t>
            </w:r>
          </w:p>
          <w:p w14:paraId="6DAFD5CA">
            <w:pPr>
              <w:ind w:left="63" w:leftChars="30"/>
              <w:rPr>
                <w:rFonts w:hint="eastAsia" w:ascii="宋体" w:hAnsi="宋体" w:cs="宋体"/>
                <w:szCs w:val="21"/>
                <w:highlight w:val="none"/>
              </w:rPr>
            </w:pPr>
            <w:r>
              <w:rPr>
                <w:rFonts w:hint="eastAsia" w:ascii="宋体" w:hAnsi="宋体" w:cs="宋体"/>
                <w:szCs w:val="21"/>
                <w:highlight w:val="none"/>
              </w:rPr>
              <w:t>□允许</w:t>
            </w:r>
          </w:p>
        </w:tc>
      </w:tr>
      <w:tr w14:paraId="1DC96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tcBorders>
              <w:top w:val="single" w:color="auto" w:sz="4" w:space="0"/>
            </w:tcBorders>
            <w:noWrap w:val="0"/>
            <w:vAlign w:val="center"/>
          </w:tcPr>
          <w:p w14:paraId="17D7B445">
            <w:pPr>
              <w:jc w:val="center"/>
              <w:rPr>
                <w:rFonts w:hint="eastAsia" w:ascii="宋体" w:hAnsi="宋体" w:cs="宋体"/>
                <w:szCs w:val="21"/>
                <w:highlight w:val="none"/>
              </w:rPr>
            </w:pPr>
            <w:r>
              <w:rPr>
                <w:rFonts w:hint="eastAsia" w:ascii="宋体" w:hAnsi="宋体" w:cs="宋体"/>
                <w:szCs w:val="21"/>
                <w:highlight w:val="none"/>
              </w:rPr>
              <w:t>2.1</w:t>
            </w:r>
          </w:p>
        </w:tc>
        <w:tc>
          <w:tcPr>
            <w:tcW w:w="2043" w:type="dxa"/>
            <w:tcBorders>
              <w:top w:val="single" w:color="auto" w:sz="4" w:space="0"/>
            </w:tcBorders>
            <w:noWrap w:val="0"/>
            <w:vAlign w:val="center"/>
          </w:tcPr>
          <w:p w14:paraId="487EBEF6">
            <w:pPr>
              <w:jc w:val="center"/>
              <w:rPr>
                <w:rFonts w:hint="eastAsia" w:ascii="宋体" w:hAnsi="宋体" w:cs="宋体"/>
                <w:szCs w:val="21"/>
                <w:highlight w:val="none"/>
              </w:rPr>
            </w:pPr>
            <w:r>
              <w:rPr>
                <w:rFonts w:hint="eastAsia" w:ascii="宋体" w:hAnsi="宋体" w:cs="宋体"/>
                <w:szCs w:val="21"/>
                <w:highlight w:val="none"/>
              </w:rPr>
              <w:t>构成招标文件的其他材料</w:t>
            </w:r>
          </w:p>
        </w:tc>
        <w:tc>
          <w:tcPr>
            <w:tcW w:w="5975" w:type="dxa"/>
            <w:noWrap w:val="0"/>
            <w:vAlign w:val="center"/>
          </w:tcPr>
          <w:p w14:paraId="4C2A5E91">
            <w:pPr>
              <w:ind w:left="105" w:leftChars="50" w:right="105" w:rightChars="50"/>
              <w:rPr>
                <w:rFonts w:hint="eastAsia" w:ascii="宋体" w:hAnsi="宋体" w:cs="宋体"/>
                <w:szCs w:val="21"/>
                <w:highlight w:val="none"/>
              </w:rPr>
            </w:pPr>
            <w:r>
              <w:rPr>
                <w:rFonts w:hint="eastAsia" w:ascii="宋体" w:hAnsi="宋体" w:cs="宋体"/>
                <w:szCs w:val="21"/>
                <w:highlight w:val="none"/>
              </w:rPr>
              <w:t>/</w:t>
            </w:r>
          </w:p>
        </w:tc>
      </w:tr>
      <w:tr w14:paraId="4F493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168" w:type="dxa"/>
            <w:noWrap w:val="0"/>
            <w:vAlign w:val="center"/>
          </w:tcPr>
          <w:p w14:paraId="5B244B74">
            <w:pPr>
              <w:jc w:val="center"/>
              <w:rPr>
                <w:rFonts w:ascii="宋体" w:hAnsi="宋体" w:cs="宋体"/>
                <w:szCs w:val="21"/>
                <w:highlight w:val="none"/>
              </w:rPr>
            </w:pPr>
            <w:r>
              <w:rPr>
                <w:rFonts w:hint="eastAsia" w:ascii="宋体" w:hAnsi="宋体" w:cs="宋体"/>
                <w:szCs w:val="21"/>
                <w:highlight w:val="none"/>
              </w:rPr>
              <w:t>2.2.1</w:t>
            </w:r>
          </w:p>
        </w:tc>
        <w:tc>
          <w:tcPr>
            <w:tcW w:w="2043" w:type="dxa"/>
            <w:noWrap w:val="0"/>
            <w:vAlign w:val="center"/>
          </w:tcPr>
          <w:p w14:paraId="52F766B8">
            <w:pPr>
              <w:autoSpaceDE w:val="0"/>
              <w:autoSpaceDN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投标人要求澄清招标文件</w:t>
            </w:r>
          </w:p>
        </w:tc>
        <w:tc>
          <w:tcPr>
            <w:tcW w:w="5975" w:type="dxa"/>
            <w:noWrap w:val="0"/>
            <w:vAlign w:val="center"/>
          </w:tcPr>
          <w:p w14:paraId="111AC7EA">
            <w:pPr>
              <w:widowControl/>
              <w:adjustRightInd w:val="0"/>
              <w:snapToGrid w:val="0"/>
              <w:ind w:left="105" w:leftChars="50" w:right="105" w:rightChars="50"/>
              <w:rPr>
                <w:rFonts w:hint="eastAsia" w:ascii="宋体" w:hAnsi="宋体" w:cs="宋体"/>
                <w:kern w:val="0"/>
                <w:szCs w:val="21"/>
                <w:highlight w:val="none"/>
              </w:rPr>
            </w:pPr>
            <w:r>
              <w:rPr>
                <w:rFonts w:hint="eastAsia" w:ascii="宋体" w:hAnsi="宋体" w:cs="宋体"/>
                <w:kern w:val="0"/>
                <w:szCs w:val="21"/>
                <w:highlight w:val="none"/>
              </w:rPr>
              <w:t>时间：投标截止日10天前</w:t>
            </w:r>
          </w:p>
          <w:p w14:paraId="6AEA5430">
            <w:pPr>
              <w:widowControl/>
              <w:adjustRightInd w:val="0"/>
              <w:snapToGrid w:val="0"/>
              <w:ind w:left="105" w:leftChars="50" w:right="105" w:rightChars="50"/>
              <w:rPr>
                <w:rFonts w:hint="eastAsia" w:ascii="宋体" w:hAnsi="宋体" w:cs="宋体"/>
                <w:sz w:val="21"/>
                <w:szCs w:val="21"/>
                <w:highlight w:val="none"/>
              </w:rPr>
            </w:pPr>
            <w:r>
              <w:rPr>
                <w:rFonts w:hint="eastAsia" w:ascii="宋体" w:hAnsi="宋体" w:cs="宋体"/>
                <w:kern w:val="0"/>
                <w:szCs w:val="21"/>
                <w:highlight w:val="none"/>
              </w:rPr>
              <w:t>形式：投标人应以书面（含传真）的方式在投标截止时间10天以前通知招标代理。</w:t>
            </w:r>
          </w:p>
        </w:tc>
      </w:tr>
      <w:tr w14:paraId="1FF22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1E303762">
            <w:pPr>
              <w:jc w:val="center"/>
              <w:rPr>
                <w:rFonts w:ascii="宋体" w:hAnsi="宋体" w:cs="宋体"/>
                <w:szCs w:val="21"/>
                <w:highlight w:val="none"/>
              </w:rPr>
            </w:pPr>
            <w:r>
              <w:rPr>
                <w:rFonts w:hint="eastAsia" w:ascii="宋体" w:hAnsi="宋体" w:cs="宋体"/>
                <w:szCs w:val="21"/>
                <w:highlight w:val="none"/>
              </w:rPr>
              <w:t>2.2.2</w:t>
            </w:r>
          </w:p>
        </w:tc>
        <w:tc>
          <w:tcPr>
            <w:tcW w:w="2043" w:type="dxa"/>
            <w:noWrap w:val="0"/>
            <w:vAlign w:val="center"/>
          </w:tcPr>
          <w:p w14:paraId="669E9239">
            <w:pPr>
              <w:widowControl/>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招标文件澄清发出的形式</w:t>
            </w:r>
          </w:p>
        </w:tc>
        <w:tc>
          <w:tcPr>
            <w:tcW w:w="5975" w:type="dxa"/>
            <w:noWrap w:val="0"/>
            <w:vAlign w:val="center"/>
          </w:tcPr>
          <w:p w14:paraId="3C4C45A9">
            <w:pPr>
              <w:widowControl/>
              <w:adjustRightInd w:val="0"/>
              <w:snapToGrid w:val="0"/>
              <w:ind w:left="105" w:leftChars="50" w:right="105" w:rightChars="50"/>
              <w:jc w:val="left"/>
              <w:rPr>
                <w:rFonts w:hint="eastAsia" w:ascii="宋体" w:hAnsi="宋体" w:cs="宋体"/>
                <w:kern w:val="0"/>
                <w:szCs w:val="21"/>
                <w:highlight w:val="none"/>
              </w:rPr>
            </w:pPr>
            <w:r>
              <w:rPr>
                <w:rFonts w:hint="eastAsia" w:ascii="宋体" w:hAnsi="宋体" w:cs="宋体"/>
                <w:kern w:val="0"/>
                <w:szCs w:val="21"/>
                <w:highlight w:val="none"/>
              </w:rPr>
              <w:t>在南通市交通运输局网站（http://jtysj.nantong.gov.cn）上发布招标文件澄清。</w:t>
            </w:r>
          </w:p>
          <w:p w14:paraId="11AA8242">
            <w:pPr>
              <w:widowControl/>
              <w:adjustRightInd w:val="0"/>
              <w:snapToGrid w:val="0"/>
              <w:ind w:left="105" w:leftChars="50" w:right="105" w:rightChars="50"/>
              <w:rPr>
                <w:rFonts w:hint="eastAsia" w:ascii="宋体" w:hAnsi="宋体" w:cs="宋体"/>
                <w:sz w:val="21"/>
                <w:szCs w:val="21"/>
                <w:highlight w:val="none"/>
              </w:rPr>
            </w:pPr>
            <w:r>
              <w:rPr>
                <w:rFonts w:hint="eastAsia" w:ascii="宋体" w:hAnsi="宋体" w:cs="宋体"/>
                <w:kern w:val="0"/>
                <w:szCs w:val="21"/>
                <w:highlight w:val="none"/>
              </w:rPr>
              <w:t>澄清招标文件的时间距投标截止时间不足15日，且澄清内容可能影响投标文件编制的，将相应延长投标截止时间。</w:t>
            </w:r>
          </w:p>
        </w:tc>
      </w:tr>
      <w:tr w14:paraId="016D8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1" w:hRule="atLeast"/>
          <w:jc w:val="center"/>
        </w:trPr>
        <w:tc>
          <w:tcPr>
            <w:tcW w:w="1168" w:type="dxa"/>
            <w:noWrap w:val="0"/>
            <w:vAlign w:val="center"/>
          </w:tcPr>
          <w:p w14:paraId="7A7C737D">
            <w:pPr>
              <w:jc w:val="center"/>
              <w:rPr>
                <w:rFonts w:ascii="宋体" w:hAnsi="宋体" w:cs="宋体"/>
                <w:szCs w:val="21"/>
                <w:highlight w:val="none"/>
              </w:rPr>
            </w:pPr>
            <w:r>
              <w:rPr>
                <w:rFonts w:hint="eastAsia" w:ascii="宋体" w:hAnsi="宋体" w:cs="宋体"/>
                <w:szCs w:val="21"/>
                <w:highlight w:val="none"/>
              </w:rPr>
              <w:t>2.2.3</w:t>
            </w:r>
          </w:p>
        </w:tc>
        <w:tc>
          <w:tcPr>
            <w:tcW w:w="2043" w:type="dxa"/>
            <w:noWrap w:val="0"/>
            <w:vAlign w:val="center"/>
          </w:tcPr>
          <w:p w14:paraId="35777C0D">
            <w:pPr>
              <w:autoSpaceDE w:val="0"/>
              <w:autoSpaceDN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投标人确认收到招标文件澄清</w:t>
            </w:r>
          </w:p>
        </w:tc>
        <w:tc>
          <w:tcPr>
            <w:tcW w:w="5975" w:type="dxa"/>
            <w:noWrap w:val="0"/>
            <w:vAlign w:val="center"/>
          </w:tcPr>
          <w:p w14:paraId="4D9B22FD">
            <w:pPr>
              <w:widowControl/>
              <w:adjustRightInd w:val="0"/>
              <w:snapToGrid w:val="0"/>
              <w:ind w:left="105" w:leftChars="50" w:right="105" w:rightChars="50"/>
              <w:jc w:val="left"/>
              <w:rPr>
                <w:rFonts w:hint="eastAsia" w:ascii="宋体" w:hAnsi="宋体" w:cs="宋体"/>
                <w:sz w:val="21"/>
                <w:szCs w:val="21"/>
                <w:highlight w:val="none"/>
              </w:rPr>
            </w:pPr>
            <w:r>
              <w:rPr>
                <w:rFonts w:hint="eastAsia" w:ascii="宋体" w:hAnsi="宋体" w:cs="宋体"/>
                <w:kern w:val="0"/>
                <w:szCs w:val="21"/>
                <w:highlight w:val="none"/>
              </w:rPr>
              <w:t>在南通市交通运输局网站（http://jtysj.nantong.gov.cn）上发布招标文件澄清，请投标人自行查看下载。在网站上一经公布，视为投标人已知悉并自行进行下载，无需确认。</w:t>
            </w:r>
          </w:p>
        </w:tc>
      </w:tr>
      <w:tr w14:paraId="7CBA5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 w:hRule="atLeast"/>
          <w:jc w:val="center"/>
        </w:trPr>
        <w:tc>
          <w:tcPr>
            <w:tcW w:w="1168" w:type="dxa"/>
            <w:noWrap w:val="0"/>
            <w:vAlign w:val="center"/>
          </w:tcPr>
          <w:p w14:paraId="2278DB4F">
            <w:pPr>
              <w:jc w:val="center"/>
              <w:rPr>
                <w:rFonts w:hint="eastAsia" w:ascii="宋体" w:hAnsi="宋体" w:cs="宋体"/>
                <w:szCs w:val="21"/>
                <w:highlight w:val="none"/>
              </w:rPr>
            </w:pPr>
            <w:r>
              <w:rPr>
                <w:rFonts w:hint="eastAsia" w:ascii="宋体" w:hAnsi="宋体" w:cs="宋体"/>
                <w:szCs w:val="21"/>
                <w:highlight w:val="none"/>
              </w:rPr>
              <w:t>2.3.1</w:t>
            </w:r>
          </w:p>
        </w:tc>
        <w:tc>
          <w:tcPr>
            <w:tcW w:w="2043" w:type="dxa"/>
            <w:noWrap w:val="0"/>
            <w:vAlign w:val="center"/>
          </w:tcPr>
          <w:p w14:paraId="3AB5AC69">
            <w:pPr>
              <w:autoSpaceDE w:val="0"/>
              <w:autoSpaceDN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招标文件修改发出的形式</w:t>
            </w:r>
          </w:p>
        </w:tc>
        <w:tc>
          <w:tcPr>
            <w:tcW w:w="5975" w:type="dxa"/>
            <w:noWrap w:val="0"/>
            <w:vAlign w:val="center"/>
          </w:tcPr>
          <w:p w14:paraId="69CE15BB">
            <w:pPr>
              <w:widowControl/>
              <w:adjustRightInd w:val="0"/>
              <w:snapToGrid w:val="0"/>
              <w:ind w:left="105" w:leftChars="50" w:right="105" w:rightChars="50"/>
              <w:rPr>
                <w:rFonts w:hint="eastAsia" w:ascii="宋体" w:hAnsi="宋体" w:cs="宋体"/>
                <w:sz w:val="21"/>
                <w:szCs w:val="21"/>
                <w:highlight w:val="none"/>
              </w:rPr>
            </w:pPr>
            <w:r>
              <w:rPr>
                <w:rFonts w:hint="eastAsia" w:ascii="宋体" w:hAnsi="宋体" w:cs="宋体"/>
                <w:kern w:val="0"/>
                <w:szCs w:val="21"/>
                <w:highlight w:val="none"/>
              </w:rPr>
              <w:t>在南通市交通运输局网站（http://jtysj.nantong.gov.cn）上发布招标文件修改。修改招标文件的时间距投标截止时间不足15日，且修改内容可能影响投标文件编制的，将相应延长投标截止时间。</w:t>
            </w:r>
          </w:p>
        </w:tc>
      </w:tr>
      <w:tr w14:paraId="4167B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9" w:hRule="atLeast"/>
          <w:jc w:val="center"/>
        </w:trPr>
        <w:tc>
          <w:tcPr>
            <w:tcW w:w="1168" w:type="dxa"/>
            <w:noWrap w:val="0"/>
            <w:vAlign w:val="center"/>
          </w:tcPr>
          <w:p w14:paraId="4EE4A956">
            <w:pPr>
              <w:spacing w:line="259" w:lineRule="auto"/>
              <w:jc w:val="center"/>
              <w:rPr>
                <w:rFonts w:hint="eastAsia" w:ascii="宋体" w:hAnsi="宋体" w:cs="宋体"/>
                <w:szCs w:val="21"/>
                <w:highlight w:val="none"/>
              </w:rPr>
            </w:pPr>
            <w:r>
              <w:rPr>
                <w:rFonts w:hint="eastAsia" w:ascii="宋体" w:hAnsi="宋体" w:cs="宋体"/>
                <w:szCs w:val="21"/>
                <w:highlight w:val="none"/>
              </w:rPr>
              <w:t>2.3.2</w:t>
            </w:r>
          </w:p>
        </w:tc>
        <w:tc>
          <w:tcPr>
            <w:tcW w:w="2043" w:type="dxa"/>
            <w:noWrap w:val="0"/>
            <w:vAlign w:val="center"/>
          </w:tcPr>
          <w:p w14:paraId="3121FCF6">
            <w:pPr>
              <w:widowControl/>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投标人确认收到招标文件修改</w:t>
            </w:r>
          </w:p>
        </w:tc>
        <w:tc>
          <w:tcPr>
            <w:tcW w:w="5975" w:type="dxa"/>
            <w:noWrap w:val="0"/>
            <w:vAlign w:val="center"/>
          </w:tcPr>
          <w:p w14:paraId="05B521F2">
            <w:pPr>
              <w:widowControl/>
              <w:adjustRightInd w:val="0"/>
              <w:snapToGrid w:val="0"/>
              <w:ind w:left="105" w:leftChars="50" w:right="105" w:rightChars="50"/>
              <w:rPr>
                <w:rFonts w:hint="eastAsia" w:ascii="宋体" w:hAnsi="宋体" w:cs="宋体"/>
                <w:sz w:val="21"/>
                <w:szCs w:val="21"/>
                <w:highlight w:val="none"/>
              </w:rPr>
            </w:pPr>
            <w:r>
              <w:rPr>
                <w:rFonts w:hint="eastAsia" w:ascii="宋体" w:hAnsi="宋体" w:cs="宋体"/>
                <w:kern w:val="0"/>
                <w:szCs w:val="21"/>
                <w:highlight w:val="none"/>
              </w:rPr>
              <w:t>在南通市交通运输局网站（http://jtysj.nantong.gov.cn）上发布招标文件修改，请投标人自行查看下载。在网站上一经公布，视为投标人已知悉并自行进行下载，无需确认。</w:t>
            </w:r>
          </w:p>
        </w:tc>
      </w:tr>
      <w:tr w14:paraId="5EF12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3" w:hRule="atLeast"/>
          <w:jc w:val="center"/>
        </w:trPr>
        <w:tc>
          <w:tcPr>
            <w:tcW w:w="1168" w:type="dxa"/>
            <w:noWrap w:val="0"/>
            <w:vAlign w:val="center"/>
          </w:tcPr>
          <w:p w14:paraId="5CF563A3">
            <w:pPr>
              <w:spacing w:line="259" w:lineRule="auto"/>
              <w:jc w:val="center"/>
              <w:rPr>
                <w:rFonts w:hint="eastAsia" w:ascii="宋体" w:hAnsi="宋体" w:cs="宋体"/>
                <w:szCs w:val="21"/>
                <w:highlight w:val="none"/>
              </w:rPr>
            </w:pPr>
            <w:r>
              <w:rPr>
                <w:rFonts w:hint="eastAsia" w:ascii="宋体" w:hAnsi="宋体" w:cs="宋体"/>
                <w:szCs w:val="21"/>
                <w:highlight w:val="none"/>
              </w:rPr>
              <w:t xml:space="preserve">3.1.1 </w:t>
            </w:r>
          </w:p>
        </w:tc>
        <w:tc>
          <w:tcPr>
            <w:tcW w:w="2043" w:type="dxa"/>
            <w:noWrap w:val="0"/>
            <w:vAlign w:val="center"/>
          </w:tcPr>
          <w:p w14:paraId="19C01AA4">
            <w:pPr>
              <w:spacing w:line="259" w:lineRule="auto"/>
              <w:jc w:val="center"/>
              <w:rPr>
                <w:rFonts w:hint="eastAsia" w:ascii="宋体" w:hAnsi="宋体" w:cs="宋体"/>
                <w:szCs w:val="21"/>
                <w:highlight w:val="none"/>
              </w:rPr>
            </w:pPr>
            <w:r>
              <w:rPr>
                <w:rFonts w:hint="eastAsia" w:ascii="宋体" w:hAnsi="宋体" w:cs="宋体"/>
                <w:szCs w:val="21"/>
                <w:highlight w:val="none"/>
              </w:rPr>
              <w:t>构成投标文件的其他资料</w:t>
            </w:r>
          </w:p>
        </w:tc>
        <w:tc>
          <w:tcPr>
            <w:tcW w:w="5975" w:type="dxa"/>
            <w:noWrap w:val="0"/>
            <w:vAlign w:val="center"/>
          </w:tcPr>
          <w:p w14:paraId="0263A1C6">
            <w:pPr>
              <w:ind w:left="105" w:leftChars="50" w:right="105" w:rightChars="50"/>
              <w:rPr>
                <w:rFonts w:hint="eastAsia" w:ascii="宋体" w:hAnsi="宋体" w:cs="宋体"/>
                <w:szCs w:val="21"/>
                <w:highlight w:val="none"/>
              </w:rPr>
            </w:pPr>
            <w:r>
              <w:rPr>
                <w:rFonts w:hint="eastAsia" w:ascii="宋体" w:hAnsi="宋体" w:cs="宋体"/>
                <w:spacing w:val="-2"/>
                <w:szCs w:val="21"/>
                <w:highlight w:val="none"/>
              </w:rPr>
              <w:t>详见招标文件“ 投标文件格式”中“其他资料”。</w:t>
            </w:r>
          </w:p>
        </w:tc>
      </w:tr>
      <w:tr w14:paraId="732EC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5" w:hRule="atLeast"/>
          <w:jc w:val="center"/>
        </w:trPr>
        <w:tc>
          <w:tcPr>
            <w:tcW w:w="1168" w:type="dxa"/>
            <w:noWrap w:val="0"/>
            <w:vAlign w:val="center"/>
          </w:tcPr>
          <w:p w14:paraId="79CA4776">
            <w:pPr>
              <w:spacing w:line="259" w:lineRule="auto"/>
              <w:ind w:right="106"/>
              <w:jc w:val="center"/>
              <w:rPr>
                <w:rFonts w:hint="eastAsia" w:ascii="宋体" w:hAnsi="宋体" w:cs="宋体"/>
                <w:szCs w:val="21"/>
                <w:highlight w:val="none"/>
              </w:rPr>
            </w:pPr>
            <w:r>
              <w:rPr>
                <w:rFonts w:hint="eastAsia" w:ascii="宋体" w:hAnsi="宋体" w:cs="宋体"/>
                <w:szCs w:val="21"/>
                <w:highlight w:val="none"/>
              </w:rPr>
              <w:t>3.2.1</w:t>
            </w:r>
          </w:p>
        </w:tc>
        <w:tc>
          <w:tcPr>
            <w:tcW w:w="2043" w:type="dxa"/>
            <w:noWrap w:val="0"/>
            <w:vAlign w:val="center"/>
          </w:tcPr>
          <w:p w14:paraId="038EA01E">
            <w:pPr>
              <w:spacing w:line="259" w:lineRule="auto"/>
              <w:jc w:val="center"/>
              <w:rPr>
                <w:rFonts w:hint="eastAsia" w:ascii="宋体" w:hAnsi="宋体" w:cs="宋体"/>
                <w:szCs w:val="21"/>
                <w:highlight w:val="none"/>
              </w:rPr>
            </w:pPr>
            <w:r>
              <w:rPr>
                <w:rFonts w:hint="eastAsia" w:ascii="宋体" w:hAnsi="宋体" w:cs="宋体"/>
                <w:szCs w:val="21"/>
                <w:highlight w:val="none"/>
              </w:rPr>
              <w:t>增值税税金的计算方法</w:t>
            </w:r>
          </w:p>
        </w:tc>
        <w:tc>
          <w:tcPr>
            <w:tcW w:w="5975" w:type="dxa"/>
            <w:noWrap w:val="0"/>
            <w:vAlign w:val="center"/>
          </w:tcPr>
          <w:p w14:paraId="30C3453E">
            <w:pPr>
              <w:ind w:left="105" w:leftChars="50" w:right="105" w:rightChars="50"/>
              <w:rPr>
                <w:rFonts w:hint="eastAsia" w:ascii="宋体" w:hAnsi="宋体" w:cs="宋体"/>
                <w:spacing w:val="-2"/>
                <w:szCs w:val="21"/>
                <w:highlight w:val="none"/>
              </w:rPr>
            </w:pPr>
            <w:r>
              <w:rPr>
                <w:rFonts w:hint="eastAsia" w:ascii="宋体" w:hAnsi="宋体" w:cs="宋体"/>
                <w:szCs w:val="21"/>
                <w:highlight w:val="none"/>
              </w:rPr>
              <w:t>按一般计税方法计算</w:t>
            </w:r>
          </w:p>
        </w:tc>
      </w:tr>
      <w:tr w14:paraId="7E82B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68" w:type="dxa"/>
            <w:noWrap w:val="0"/>
            <w:vAlign w:val="center"/>
          </w:tcPr>
          <w:p w14:paraId="06E7263F">
            <w:pPr>
              <w:spacing w:line="259" w:lineRule="auto"/>
              <w:ind w:right="106"/>
              <w:jc w:val="center"/>
              <w:rPr>
                <w:rFonts w:hint="eastAsia" w:ascii="宋体" w:hAnsi="宋体" w:cs="宋体"/>
                <w:szCs w:val="21"/>
                <w:highlight w:val="none"/>
              </w:rPr>
            </w:pPr>
            <w:r>
              <w:rPr>
                <w:rFonts w:hint="eastAsia" w:ascii="宋体" w:hAnsi="宋体" w:cs="宋体"/>
                <w:szCs w:val="21"/>
                <w:highlight w:val="none"/>
              </w:rPr>
              <w:t>3.2.3</w:t>
            </w:r>
          </w:p>
        </w:tc>
        <w:tc>
          <w:tcPr>
            <w:tcW w:w="2043" w:type="dxa"/>
            <w:noWrap w:val="0"/>
            <w:vAlign w:val="center"/>
          </w:tcPr>
          <w:p w14:paraId="2A65D22C">
            <w:pPr>
              <w:spacing w:line="259" w:lineRule="auto"/>
              <w:jc w:val="center"/>
              <w:rPr>
                <w:rFonts w:hint="eastAsia" w:ascii="宋体" w:hAnsi="宋体" w:cs="宋体"/>
                <w:szCs w:val="21"/>
                <w:highlight w:val="none"/>
              </w:rPr>
            </w:pPr>
            <w:r>
              <w:rPr>
                <w:rFonts w:hint="eastAsia" w:ascii="宋体" w:hAnsi="宋体" w:cs="宋体"/>
                <w:szCs w:val="21"/>
                <w:highlight w:val="none"/>
              </w:rPr>
              <w:t>报价方式</w:t>
            </w:r>
          </w:p>
        </w:tc>
        <w:tc>
          <w:tcPr>
            <w:tcW w:w="5975" w:type="dxa"/>
            <w:noWrap w:val="0"/>
            <w:vAlign w:val="center"/>
          </w:tcPr>
          <w:p w14:paraId="11B480DA">
            <w:pPr>
              <w:ind w:left="105" w:leftChars="50" w:right="105" w:rightChars="50"/>
              <w:rPr>
                <w:rFonts w:hint="eastAsia" w:ascii="宋体" w:hAnsi="宋体" w:cs="宋体"/>
                <w:szCs w:val="21"/>
                <w:highlight w:val="none"/>
              </w:rPr>
            </w:pPr>
            <w:r>
              <w:rPr>
                <w:rFonts w:hint="eastAsia" w:ascii="宋体" w:hAnsi="宋体" w:cs="宋体"/>
                <w:color w:val="000000"/>
                <w:kern w:val="0"/>
                <w:szCs w:val="21"/>
                <w:highlight w:val="none"/>
              </w:rPr>
              <w:t>☑</w:t>
            </w:r>
            <w:r>
              <w:rPr>
                <w:rFonts w:hint="eastAsia" w:ascii="宋体" w:hAnsi="宋体" w:cs="宋体"/>
                <w:szCs w:val="21"/>
                <w:highlight w:val="none"/>
              </w:rPr>
              <w:t>总价</w:t>
            </w:r>
          </w:p>
          <w:p w14:paraId="185BFBAB">
            <w:pPr>
              <w:ind w:left="105" w:leftChars="50" w:right="105" w:rightChars="50"/>
              <w:rPr>
                <w:rFonts w:hint="eastAsia" w:ascii="宋体" w:hAnsi="宋体" w:cs="宋体"/>
                <w:szCs w:val="21"/>
                <w:highlight w:val="none"/>
              </w:rPr>
            </w:pPr>
            <w:r>
              <w:rPr>
                <w:rFonts w:hint="eastAsia" w:ascii="宋体" w:hAnsi="宋体" w:cs="宋体"/>
                <w:color w:val="000000"/>
                <w:kern w:val="0"/>
                <w:szCs w:val="21"/>
                <w:highlight w:val="none"/>
              </w:rPr>
              <w:t>□单价</w:t>
            </w:r>
          </w:p>
        </w:tc>
      </w:tr>
      <w:tr w14:paraId="545F5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68" w:type="dxa"/>
            <w:noWrap w:val="0"/>
            <w:vAlign w:val="center"/>
          </w:tcPr>
          <w:p w14:paraId="656C72E2">
            <w:pPr>
              <w:spacing w:line="259" w:lineRule="auto"/>
              <w:ind w:right="106"/>
              <w:jc w:val="center"/>
              <w:rPr>
                <w:rFonts w:hint="eastAsia" w:ascii="宋体" w:hAnsi="宋体" w:cs="宋体"/>
                <w:szCs w:val="21"/>
                <w:highlight w:val="none"/>
              </w:rPr>
            </w:pPr>
            <w:r>
              <w:rPr>
                <w:rFonts w:hint="eastAsia" w:ascii="宋体" w:hAnsi="宋体" w:cs="宋体"/>
                <w:szCs w:val="21"/>
                <w:highlight w:val="none"/>
              </w:rPr>
              <w:t>3.2.4</w:t>
            </w:r>
          </w:p>
        </w:tc>
        <w:tc>
          <w:tcPr>
            <w:tcW w:w="2043" w:type="dxa"/>
            <w:noWrap w:val="0"/>
            <w:vAlign w:val="center"/>
          </w:tcPr>
          <w:p w14:paraId="4D96143A">
            <w:pPr>
              <w:spacing w:line="259" w:lineRule="auto"/>
              <w:ind w:right="106"/>
              <w:jc w:val="center"/>
              <w:rPr>
                <w:rFonts w:hint="eastAsia" w:ascii="宋体" w:hAnsi="宋体" w:cs="宋体"/>
                <w:szCs w:val="21"/>
                <w:highlight w:val="none"/>
              </w:rPr>
            </w:pPr>
            <w:r>
              <w:rPr>
                <w:rFonts w:hint="eastAsia" w:ascii="宋体" w:hAnsi="宋体" w:cs="宋体"/>
                <w:szCs w:val="21"/>
                <w:highlight w:val="none"/>
              </w:rPr>
              <w:t>最高投标限价</w:t>
            </w:r>
          </w:p>
        </w:tc>
        <w:tc>
          <w:tcPr>
            <w:tcW w:w="5975" w:type="dxa"/>
            <w:noWrap w:val="0"/>
            <w:vAlign w:val="bottom"/>
          </w:tcPr>
          <w:p w14:paraId="3503E205">
            <w:pPr>
              <w:widowControl/>
              <w:spacing w:line="259" w:lineRule="auto"/>
              <w:ind w:left="105" w:leftChars="50" w:right="105" w:rightChars="50"/>
              <w:rPr>
                <w:rFonts w:hint="eastAsia" w:ascii="宋体" w:hAnsi="宋体" w:cs="宋体"/>
                <w:kern w:val="0"/>
                <w:szCs w:val="21"/>
                <w:highlight w:val="none"/>
              </w:rPr>
            </w:pPr>
            <w:r>
              <w:rPr>
                <w:rFonts w:hint="eastAsia" w:ascii="宋体" w:hAnsi="宋体" w:cs="宋体"/>
                <w:color w:val="000000"/>
                <w:kern w:val="0"/>
                <w:szCs w:val="21"/>
                <w:highlight w:val="none"/>
              </w:rPr>
              <w:t>□</w:t>
            </w:r>
            <w:r>
              <w:rPr>
                <w:rFonts w:hint="eastAsia" w:ascii="宋体" w:hAnsi="宋体" w:cs="宋体"/>
                <w:kern w:val="0"/>
                <w:szCs w:val="21"/>
                <w:highlight w:val="none"/>
              </w:rPr>
              <w:t xml:space="preserve">无 </w:t>
            </w:r>
          </w:p>
          <w:p w14:paraId="4299A525">
            <w:pPr>
              <w:spacing w:line="259" w:lineRule="auto"/>
              <w:rPr>
                <w:rFonts w:hint="eastAsia"/>
                <w:highlight w:val="none"/>
              </w:rPr>
            </w:pPr>
            <w:r>
              <w:rPr>
                <w:rFonts w:hint="eastAsia" w:ascii="宋体" w:hAnsi="宋体" w:cs="宋体"/>
                <w:color w:val="000000"/>
                <w:kern w:val="0"/>
                <w:szCs w:val="21"/>
                <w:highlight w:val="none"/>
              </w:rPr>
              <w:t>☑</w:t>
            </w:r>
            <w:r>
              <w:rPr>
                <w:rFonts w:hint="eastAsia" w:ascii="宋体" w:hAnsi="宋体" w:cs="宋体"/>
                <w:b/>
                <w:bCs/>
                <w:szCs w:val="21"/>
                <w:highlight w:val="none"/>
              </w:rPr>
              <w:t>有，</w:t>
            </w:r>
            <w:r>
              <w:rPr>
                <w:rFonts w:hint="eastAsia" w:ascii="黑体" w:hAnsi="黑体" w:eastAsia="黑体" w:cs="黑体"/>
                <w:b/>
                <w:bCs/>
                <w:sz w:val="24"/>
                <w:highlight w:val="none"/>
                <w:lang w:val="en-US"/>
              </w:rPr>
              <w:t>本项目招标人设定的最高投标限价为：人民币</w:t>
            </w:r>
            <w:r>
              <w:rPr>
                <w:rFonts w:hint="eastAsia" w:ascii="黑体" w:hAnsi="黑体" w:eastAsia="黑体" w:cs="黑体"/>
                <w:b/>
                <w:bCs/>
                <w:sz w:val="24"/>
                <w:highlight w:val="none"/>
                <w:lang w:val="en-US" w:eastAsia="zh-CN"/>
              </w:rPr>
              <w:t>伍拾柒</w:t>
            </w:r>
            <w:r>
              <w:rPr>
                <w:rFonts w:hint="eastAsia" w:ascii="黑体" w:hAnsi="黑体" w:eastAsia="黑体" w:cs="黑体"/>
                <w:b/>
                <w:bCs/>
                <w:sz w:val="24"/>
                <w:highlight w:val="none"/>
                <w:lang w:val="en-US"/>
              </w:rPr>
              <w:t>万元</w:t>
            </w:r>
            <w:r>
              <w:rPr>
                <w:rFonts w:hint="eastAsia" w:ascii="黑体" w:hAnsi="黑体" w:eastAsia="黑体" w:cs="黑体"/>
                <w:b/>
                <w:bCs/>
                <w:sz w:val="24"/>
                <w:highlight w:val="none"/>
                <w:lang w:val="en-US" w:eastAsia="zh-CN"/>
              </w:rPr>
              <w:t>整</w:t>
            </w:r>
            <w:r>
              <w:rPr>
                <w:rFonts w:hint="eastAsia" w:ascii="黑体" w:hAnsi="黑体" w:eastAsia="黑体" w:cs="黑体"/>
                <w:b/>
                <w:bCs/>
                <w:sz w:val="24"/>
                <w:highlight w:val="none"/>
                <w:lang w:val="en-US"/>
              </w:rPr>
              <w:t>（¥</w:t>
            </w:r>
            <w:r>
              <w:rPr>
                <w:rFonts w:hint="eastAsia" w:ascii="黑体" w:hAnsi="黑体" w:eastAsia="黑体" w:cs="黑体"/>
                <w:b/>
                <w:bCs/>
                <w:sz w:val="24"/>
                <w:highlight w:val="none"/>
                <w:lang w:val="en-US" w:eastAsia="zh-CN"/>
              </w:rPr>
              <w:t>57</w:t>
            </w:r>
            <w:r>
              <w:rPr>
                <w:rFonts w:hint="eastAsia" w:ascii="黑体" w:hAnsi="黑体" w:eastAsia="黑体" w:cs="黑体"/>
                <w:b/>
                <w:bCs/>
                <w:sz w:val="24"/>
                <w:highlight w:val="none"/>
                <w:lang w:val="en-US"/>
              </w:rPr>
              <w:t>0000元）。</w:t>
            </w:r>
            <w:r>
              <w:rPr>
                <w:rFonts w:hint="eastAsia" w:ascii="黑体" w:hAnsi="黑体" w:eastAsia="黑体" w:cs="黑体"/>
                <w:b/>
                <w:bCs/>
                <w:sz w:val="24"/>
                <w:szCs w:val="24"/>
                <w:highlight w:val="none"/>
              </w:rPr>
              <w:t>投标人的</w:t>
            </w:r>
            <w:r>
              <w:rPr>
                <w:rFonts w:hint="eastAsia" w:ascii="黑体" w:hAnsi="黑体" w:eastAsia="黑体" w:cs="黑体"/>
                <w:b/>
                <w:bCs/>
                <w:sz w:val="24"/>
                <w:szCs w:val="24"/>
                <w:highlight w:val="none"/>
                <w:lang w:val="en-US" w:eastAsia="zh-CN"/>
              </w:rPr>
              <w:t>投标</w:t>
            </w:r>
            <w:r>
              <w:rPr>
                <w:rFonts w:hint="eastAsia" w:ascii="黑体" w:hAnsi="黑体" w:eastAsia="黑体" w:cs="黑体"/>
                <w:b/>
                <w:bCs/>
                <w:sz w:val="24"/>
                <w:szCs w:val="24"/>
                <w:highlight w:val="none"/>
              </w:rPr>
              <w:t>报价超出招标人设定的最高投标限价的，招标人不予接受，其投标按否决投标处理。</w:t>
            </w:r>
          </w:p>
        </w:tc>
      </w:tr>
      <w:tr w14:paraId="2C29E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1168" w:type="dxa"/>
            <w:noWrap w:val="0"/>
            <w:vAlign w:val="center"/>
          </w:tcPr>
          <w:p w14:paraId="7F2A52B7">
            <w:pPr>
              <w:spacing w:line="259" w:lineRule="auto"/>
              <w:ind w:right="2"/>
              <w:jc w:val="center"/>
              <w:rPr>
                <w:rFonts w:hint="eastAsia" w:ascii="宋体" w:hAnsi="宋体" w:cs="宋体"/>
                <w:szCs w:val="21"/>
                <w:highlight w:val="none"/>
              </w:rPr>
            </w:pPr>
            <w:r>
              <w:rPr>
                <w:rFonts w:hint="eastAsia" w:ascii="宋体" w:hAnsi="宋体" w:cs="宋体"/>
                <w:szCs w:val="21"/>
                <w:highlight w:val="none"/>
              </w:rPr>
              <w:t>3.2.5</w:t>
            </w:r>
          </w:p>
        </w:tc>
        <w:tc>
          <w:tcPr>
            <w:tcW w:w="2043" w:type="dxa"/>
            <w:noWrap w:val="0"/>
            <w:vAlign w:val="center"/>
          </w:tcPr>
          <w:p w14:paraId="713197DD">
            <w:pPr>
              <w:spacing w:line="259" w:lineRule="auto"/>
              <w:jc w:val="center"/>
              <w:rPr>
                <w:rFonts w:hint="eastAsia" w:ascii="宋体" w:hAnsi="宋体" w:cs="宋体"/>
                <w:szCs w:val="21"/>
                <w:highlight w:val="none"/>
              </w:rPr>
            </w:pPr>
            <w:r>
              <w:rPr>
                <w:rFonts w:hint="eastAsia" w:ascii="宋体" w:hAnsi="宋体" w:cs="宋体"/>
                <w:szCs w:val="21"/>
                <w:highlight w:val="none"/>
              </w:rPr>
              <w:t>投标报价的其他要求</w:t>
            </w:r>
          </w:p>
        </w:tc>
        <w:tc>
          <w:tcPr>
            <w:tcW w:w="5975" w:type="dxa"/>
            <w:noWrap w:val="0"/>
            <w:vAlign w:val="bottom"/>
          </w:tcPr>
          <w:p w14:paraId="3B02EC70">
            <w:pPr>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0" w:leftChars="0" w:right="0" w:rightChars="0"/>
              <w:jc w:val="both"/>
              <w:textAlignment w:val="auto"/>
              <w:rPr>
                <w:rFonts w:hint="eastAsia" w:ascii="宋体" w:hAnsi="宋体" w:eastAsia="宋体" w:cs="宋体"/>
                <w:b/>
                <w:bCs/>
                <w:kern w:val="21"/>
                <w:sz w:val="21"/>
                <w:szCs w:val="21"/>
                <w:highlight w:val="none"/>
              </w:rPr>
            </w:pPr>
            <w:r>
              <w:rPr>
                <w:rFonts w:hint="eastAsia" w:ascii="宋体" w:hAnsi="宋体" w:eastAsia="宋体" w:cs="宋体"/>
                <w:b/>
                <w:bCs/>
                <w:kern w:val="21"/>
                <w:sz w:val="21"/>
                <w:szCs w:val="21"/>
                <w:highlight w:val="none"/>
                <w:lang w:val="en-US" w:eastAsia="zh-CN" w:bidi="ar-SA"/>
              </w:rPr>
              <w:t>（1）</w:t>
            </w:r>
            <w:r>
              <w:rPr>
                <w:rFonts w:hint="eastAsia" w:ascii="宋体" w:hAnsi="宋体" w:eastAsia="宋体" w:cs="宋体"/>
                <w:b/>
                <w:bCs/>
                <w:kern w:val="21"/>
                <w:sz w:val="21"/>
                <w:szCs w:val="21"/>
                <w:highlight w:val="none"/>
                <w:lang w:val="en-US"/>
              </w:rPr>
              <w:t>本项目采用</w:t>
            </w:r>
            <w:r>
              <w:rPr>
                <w:rFonts w:hint="eastAsia" w:ascii="宋体" w:hAnsi="宋体" w:cs="宋体"/>
                <w:b/>
                <w:bCs/>
                <w:kern w:val="21"/>
                <w:sz w:val="21"/>
                <w:szCs w:val="21"/>
                <w:highlight w:val="none"/>
                <w:lang w:val="en-US" w:eastAsia="zh-CN"/>
              </w:rPr>
              <w:t>固定单价</w:t>
            </w:r>
            <w:r>
              <w:rPr>
                <w:rFonts w:hint="eastAsia" w:ascii="宋体" w:hAnsi="宋体" w:eastAsia="宋体" w:cs="宋体"/>
                <w:b/>
                <w:bCs/>
                <w:kern w:val="21"/>
                <w:sz w:val="21"/>
                <w:szCs w:val="21"/>
                <w:highlight w:val="none"/>
                <w:lang w:val="en-US"/>
              </w:rPr>
              <w:t>合同。</w:t>
            </w:r>
            <w:r>
              <w:rPr>
                <w:rFonts w:hint="eastAsia" w:ascii="宋体" w:hAnsi="宋体" w:eastAsia="宋体" w:cs="宋体"/>
                <w:b/>
                <w:bCs/>
                <w:kern w:val="21"/>
                <w:sz w:val="21"/>
                <w:szCs w:val="21"/>
                <w:highlight w:val="none"/>
                <w:lang w:val="en-US" w:bidi="ar-SA"/>
              </w:rPr>
              <w:t>合同实施期间，</w:t>
            </w:r>
            <w:r>
              <w:rPr>
                <w:rFonts w:hint="eastAsia" w:ascii="宋体" w:hAnsi="宋体" w:cs="宋体"/>
                <w:b/>
                <w:bCs/>
                <w:kern w:val="21"/>
                <w:sz w:val="21"/>
                <w:szCs w:val="21"/>
                <w:highlight w:val="none"/>
                <w:lang w:val="en-US" w:eastAsia="zh-CN" w:bidi="ar-SA"/>
              </w:rPr>
              <w:t>单价</w:t>
            </w:r>
            <w:r>
              <w:rPr>
                <w:rFonts w:hint="eastAsia" w:ascii="宋体" w:hAnsi="宋体" w:eastAsia="宋体" w:cs="宋体"/>
                <w:b/>
                <w:bCs/>
                <w:kern w:val="21"/>
                <w:sz w:val="21"/>
                <w:szCs w:val="21"/>
                <w:highlight w:val="none"/>
                <w:lang w:val="en-US" w:bidi="ar-SA"/>
              </w:rPr>
              <w:t>不随国家政策或法规、标准及市场因素的变化而进行调整。也不因实际服务周期的延长或缩短而调整。</w:t>
            </w:r>
            <w:r>
              <w:rPr>
                <w:rFonts w:hint="eastAsia" w:ascii="宋体" w:hAnsi="宋体" w:eastAsia="宋体" w:cs="宋体"/>
                <w:b/>
                <w:bCs/>
                <w:kern w:val="21"/>
                <w:sz w:val="21"/>
                <w:szCs w:val="21"/>
                <w:highlight w:val="none"/>
              </w:rPr>
              <w:t>合同执行期间，办理手续时，相关部门有新增工作内容的，中标人</w:t>
            </w:r>
            <w:r>
              <w:rPr>
                <w:rFonts w:hint="eastAsia" w:ascii="宋体" w:hAnsi="宋体" w:eastAsia="宋体" w:cs="宋体"/>
                <w:b/>
                <w:bCs/>
                <w:kern w:val="21"/>
                <w:sz w:val="21"/>
                <w:szCs w:val="21"/>
                <w:highlight w:val="none"/>
                <w:lang w:val="en-US"/>
              </w:rPr>
              <w:t>须</w:t>
            </w:r>
            <w:r>
              <w:rPr>
                <w:rFonts w:hint="eastAsia" w:ascii="宋体" w:hAnsi="宋体" w:eastAsia="宋体" w:cs="宋体"/>
                <w:b/>
                <w:bCs/>
                <w:kern w:val="21"/>
                <w:sz w:val="21"/>
                <w:szCs w:val="21"/>
                <w:highlight w:val="none"/>
              </w:rPr>
              <w:t>按要求完成，合同</w:t>
            </w:r>
            <w:r>
              <w:rPr>
                <w:rFonts w:hint="eastAsia" w:ascii="宋体" w:hAnsi="宋体" w:cs="宋体"/>
                <w:b/>
                <w:bCs/>
                <w:kern w:val="21"/>
                <w:sz w:val="21"/>
                <w:szCs w:val="21"/>
                <w:highlight w:val="none"/>
                <w:lang w:val="en-US" w:eastAsia="zh-CN"/>
              </w:rPr>
              <w:t>单价</w:t>
            </w:r>
            <w:r>
              <w:rPr>
                <w:rFonts w:hint="eastAsia" w:ascii="宋体" w:hAnsi="宋体" w:eastAsia="宋体" w:cs="宋体"/>
                <w:b/>
                <w:bCs/>
                <w:kern w:val="21"/>
                <w:sz w:val="21"/>
                <w:szCs w:val="21"/>
                <w:highlight w:val="none"/>
              </w:rPr>
              <w:t>不予增加或调整，投标人在报价时应予充分考虑。</w:t>
            </w:r>
          </w:p>
          <w:p w14:paraId="14FD3067">
            <w:pPr>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0" w:leftChars="0" w:right="0" w:rightChars="0"/>
              <w:jc w:val="both"/>
              <w:textAlignment w:val="auto"/>
              <w:rPr>
                <w:rFonts w:hint="default" w:ascii="宋体" w:hAnsi="宋体" w:eastAsia="宋体" w:cs="宋体"/>
                <w:b/>
                <w:bCs/>
                <w:kern w:val="21"/>
                <w:sz w:val="21"/>
                <w:szCs w:val="21"/>
                <w:highlight w:val="none"/>
                <w:lang w:val="en-US" w:eastAsia="zh-CN"/>
              </w:rPr>
            </w:pPr>
            <w:r>
              <w:rPr>
                <w:rFonts w:hint="eastAsia" w:ascii="宋体" w:hAnsi="宋体" w:eastAsia="宋体" w:cs="宋体"/>
                <w:b/>
                <w:bCs/>
                <w:kern w:val="21"/>
                <w:sz w:val="21"/>
                <w:szCs w:val="21"/>
                <w:highlight w:val="none"/>
                <w:lang w:val="en-US" w:eastAsia="zh-CN"/>
              </w:rPr>
              <w:t>（2）关于报价清单的说明</w:t>
            </w:r>
          </w:p>
          <w:p w14:paraId="2418FA71">
            <w:pPr>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0" w:leftChars="0" w:right="0" w:rightChars="0" w:firstLine="422" w:firstLineChars="200"/>
              <w:jc w:val="both"/>
              <w:textAlignment w:val="auto"/>
              <w:rPr>
                <w:rFonts w:hint="eastAsia" w:ascii="宋体" w:hAnsi="宋体" w:eastAsia="宋体" w:cs="宋体"/>
                <w:b/>
                <w:bCs/>
                <w:kern w:val="21"/>
                <w:sz w:val="21"/>
                <w:szCs w:val="21"/>
                <w:highlight w:val="none"/>
                <w:lang w:val="zh-CN" w:eastAsia="zh-CN"/>
              </w:rPr>
            </w:pPr>
            <w:r>
              <w:rPr>
                <w:rFonts w:hint="default" w:ascii="宋体" w:hAnsi="宋体" w:eastAsia="宋体" w:cs="宋体"/>
                <w:b/>
                <w:bCs/>
                <w:kern w:val="21"/>
                <w:sz w:val="21"/>
                <w:szCs w:val="21"/>
                <w:highlight w:val="none"/>
                <w:lang w:val="en-US" w:eastAsia="zh-CN"/>
              </w:rPr>
              <w:t>①</w:t>
            </w:r>
            <w:r>
              <w:rPr>
                <w:rFonts w:hint="eastAsia" w:ascii="宋体" w:hAnsi="宋体" w:eastAsia="宋体" w:cs="宋体"/>
                <w:b/>
                <w:bCs/>
                <w:kern w:val="21"/>
                <w:sz w:val="21"/>
                <w:szCs w:val="21"/>
                <w:highlight w:val="none"/>
                <w:lang w:val="en-US" w:eastAsia="zh-CN"/>
              </w:rPr>
              <w:t>报价清单</w:t>
            </w:r>
            <w:r>
              <w:rPr>
                <w:rFonts w:hint="eastAsia" w:ascii="宋体" w:hAnsi="宋体" w:eastAsia="宋体" w:cs="宋体"/>
                <w:b/>
                <w:bCs/>
                <w:kern w:val="21"/>
                <w:sz w:val="21"/>
                <w:szCs w:val="21"/>
                <w:highlight w:val="none"/>
                <w:lang w:val="zh-CN" w:eastAsia="zh-CN"/>
              </w:rPr>
              <w:t>中所列数量是估算的数量，仅作为投标报价的基础，不能作为最终结算与支付的依据。实际支付应按实际完成的工程量计量，按本工程量清单的单价计算支付金额。</w:t>
            </w:r>
          </w:p>
          <w:p w14:paraId="61C0AEAD">
            <w:pPr>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0" w:leftChars="0" w:right="0" w:rightChars="0" w:firstLine="422" w:firstLineChars="200"/>
              <w:jc w:val="both"/>
              <w:textAlignment w:val="auto"/>
              <w:rPr>
                <w:rFonts w:hint="default" w:ascii="宋体" w:hAnsi="宋体" w:eastAsia="宋体" w:cs="宋体"/>
                <w:b/>
                <w:bCs/>
                <w:kern w:val="21"/>
                <w:sz w:val="21"/>
                <w:szCs w:val="21"/>
                <w:highlight w:val="none"/>
                <w:lang w:val="en-US" w:eastAsia="zh-CN"/>
              </w:rPr>
            </w:pPr>
            <w:r>
              <w:rPr>
                <w:rFonts w:hint="default" w:ascii="宋体" w:hAnsi="宋体" w:eastAsia="宋体" w:cs="宋体"/>
                <w:b/>
                <w:bCs/>
                <w:kern w:val="21"/>
                <w:sz w:val="21"/>
                <w:szCs w:val="21"/>
                <w:highlight w:val="none"/>
                <w:lang w:val="en-US" w:eastAsia="zh-CN"/>
              </w:rPr>
              <w:t>②</w:t>
            </w:r>
            <w:r>
              <w:rPr>
                <w:rFonts w:hint="eastAsia" w:ascii="宋体" w:hAnsi="宋体" w:eastAsia="宋体" w:cs="宋体"/>
                <w:b/>
                <w:bCs/>
                <w:kern w:val="21"/>
                <w:sz w:val="21"/>
                <w:szCs w:val="21"/>
                <w:highlight w:val="none"/>
                <w:lang w:val="zh-CN" w:eastAsia="zh-CN"/>
              </w:rPr>
              <w:t>实际完成的工程量计算方法</w:t>
            </w:r>
            <w:r>
              <w:rPr>
                <w:rFonts w:hint="eastAsia" w:ascii="宋体" w:hAnsi="宋体" w:eastAsia="宋体" w:cs="宋体"/>
                <w:b/>
                <w:bCs/>
                <w:kern w:val="21"/>
                <w:sz w:val="21"/>
                <w:szCs w:val="21"/>
                <w:highlight w:val="none"/>
                <w:lang w:val="en-US" w:eastAsia="zh-CN"/>
              </w:rPr>
              <w:t>:</w:t>
            </w:r>
          </w:p>
          <w:p w14:paraId="07A5ABA3">
            <w:pPr>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0" w:leftChars="0" w:right="0" w:rightChars="0" w:firstLine="422" w:firstLineChars="200"/>
              <w:jc w:val="both"/>
              <w:textAlignment w:val="auto"/>
              <w:rPr>
                <w:rFonts w:hint="eastAsia" w:ascii="宋体" w:hAnsi="宋体" w:eastAsia="宋体" w:cs="宋体"/>
                <w:b/>
                <w:bCs/>
                <w:kern w:val="21"/>
                <w:sz w:val="21"/>
                <w:szCs w:val="21"/>
                <w:highlight w:val="none"/>
                <w:lang w:val="en-US" w:eastAsia="zh-CN"/>
              </w:rPr>
            </w:pPr>
            <w:r>
              <w:rPr>
                <w:rFonts w:hint="eastAsia" w:ascii="宋体" w:hAnsi="宋体" w:eastAsia="宋体" w:cs="宋体"/>
                <w:b/>
                <w:bCs/>
                <w:kern w:val="21"/>
                <w:sz w:val="21"/>
                <w:szCs w:val="21"/>
                <w:highlight w:val="none"/>
                <w:lang w:val="en-US" w:eastAsia="zh-CN"/>
              </w:rPr>
              <w:t>连申线南通段三级航道整治工程：以用地批复文件中的征地面积扣除已办理国有土地划拨手续的面积为准。</w:t>
            </w:r>
          </w:p>
          <w:p w14:paraId="340DB6A7">
            <w:pPr>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0" w:leftChars="0" w:right="0" w:rightChars="0" w:firstLine="422" w:firstLineChars="200"/>
              <w:jc w:val="both"/>
              <w:textAlignment w:val="auto"/>
              <w:rPr>
                <w:rFonts w:hint="default" w:ascii="宋体" w:hAnsi="宋体" w:eastAsia="宋体" w:cs="宋体"/>
                <w:b/>
                <w:bCs/>
                <w:kern w:val="21"/>
                <w:sz w:val="21"/>
                <w:szCs w:val="21"/>
                <w:highlight w:val="none"/>
                <w:lang w:val="en-US" w:eastAsia="zh-CN"/>
              </w:rPr>
            </w:pPr>
            <w:r>
              <w:rPr>
                <w:rFonts w:hint="eastAsia" w:ascii="宋体" w:hAnsi="宋体" w:eastAsia="宋体" w:cs="宋体"/>
                <w:b/>
                <w:bCs/>
                <w:kern w:val="21"/>
                <w:sz w:val="21"/>
                <w:szCs w:val="21"/>
                <w:highlight w:val="none"/>
                <w:lang w:val="en-US" w:eastAsia="zh-CN"/>
              </w:rPr>
              <w:t>连申线南通段航道提升工程：以用地批复文件中的征地面积为准。</w:t>
            </w:r>
          </w:p>
          <w:p w14:paraId="367CDF18">
            <w:pPr>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0" w:leftChars="0" w:right="0" w:rightChars="0" w:firstLine="422" w:firstLineChars="200"/>
              <w:jc w:val="both"/>
              <w:textAlignment w:val="auto"/>
              <w:rPr>
                <w:rFonts w:hint="eastAsia" w:ascii="宋体" w:hAnsi="宋体" w:eastAsia="宋体" w:cs="宋体"/>
                <w:b/>
                <w:bCs/>
                <w:kern w:val="21"/>
                <w:sz w:val="21"/>
                <w:szCs w:val="21"/>
                <w:highlight w:val="none"/>
                <w:lang w:val="en-US" w:eastAsia="zh-CN"/>
              </w:rPr>
            </w:pPr>
            <w:r>
              <w:rPr>
                <w:rFonts w:hint="default" w:ascii="宋体" w:hAnsi="宋体" w:eastAsia="宋体" w:cs="宋体"/>
                <w:b/>
                <w:bCs/>
                <w:kern w:val="21"/>
                <w:sz w:val="21"/>
                <w:szCs w:val="21"/>
                <w:highlight w:val="none"/>
                <w:lang w:val="en-US" w:eastAsia="zh-CN"/>
              </w:rPr>
              <w:t>③</w:t>
            </w:r>
            <w:r>
              <w:rPr>
                <w:rFonts w:hint="eastAsia" w:ascii="宋体" w:hAnsi="宋体" w:eastAsia="宋体" w:cs="宋体"/>
                <w:b/>
                <w:bCs/>
                <w:kern w:val="21"/>
                <w:sz w:val="21"/>
                <w:szCs w:val="21"/>
                <w:highlight w:val="none"/>
                <w:lang w:val="en-US" w:eastAsia="zh-CN"/>
              </w:rPr>
              <w:t>连申线南通段三级航道整治工程实际征地面积为292.9097公顷，其中焦港船闸（495246m2）、如皋水上服务区（16065m2）已办理国有土地划拨手续</w:t>
            </w:r>
            <w:r>
              <w:rPr>
                <w:rFonts w:hint="eastAsia" w:ascii="宋体" w:hAnsi="宋体" w:cs="宋体"/>
                <w:b/>
                <w:bCs/>
                <w:kern w:val="21"/>
                <w:sz w:val="21"/>
                <w:szCs w:val="21"/>
                <w:highlight w:val="none"/>
                <w:lang w:val="en-US" w:eastAsia="zh-CN"/>
              </w:rPr>
              <w:t>（不在本次实施范围）</w:t>
            </w:r>
            <w:r>
              <w:rPr>
                <w:rFonts w:hint="eastAsia" w:ascii="宋体" w:hAnsi="宋体" w:eastAsia="宋体" w:cs="宋体"/>
                <w:b/>
                <w:bCs/>
                <w:kern w:val="21"/>
                <w:sz w:val="21"/>
                <w:szCs w:val="21"/>
                <w:highlight w:val="none"/>
                <w:lang w:val="en-US" w:eastAsia="zh-CN"/>
              </w:rPr>
              <w:t>。</w:t>
            </w:r>
          </w:p>
          <w:p w14:paraId="70A6104C">
            <w:pPr>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left="0" w:leftChars="0" w:right="0" w:rightChars="0" w:firstLine="422" w:firstLineChars="200"/>
              <w:jc w:val="both"/>
              <w:textAlignment w:val="auto"/>
              <w:rPr>
                <w:rFonts w:hint="eastAsia" w:ascii="宋体" w:hAnsi="宋体" w:eastAsia="宋体" w:cs="宋体"/>
                <w:b/>
                <w:bCs/>
                <w:kern w:val="21"/>
                <w:sz w:val="21"/>
                <w:szCs w:val="21"/>
                <w:highlight w:val="none"/>
                <w:lang w:val="en-US" w:eastAsia="zh-CN"/>
              </w:rPr>
            </w:pPr>
            <w:r>
              <w:rPr>
                <w:rFonts w:hint="eastAsia" w:ascii="宋体" w:hAnsi="宋体" w:eastAsia="宋体" w:cs="宋体"/>
                <w:b/>
                <w:bCs/>
                <w:kern w:val="21"/>
                <w:sz w:val="21"/>
                <w:szCs w:val="21"/>
                <w:highlight w:val="none"/>
                <w:lang w:val="en-US" w:eastAsia="zh-CN"/>
              </w:rPr>
              <w:t>连申线南通段航道提升工程工可暂未报批，拟新增用地73.5公顷为暂定工程量，</w:t>
            </w:r>
            <w:r>
              <w:rPr>
                <w:rFonts w:hint="eastAsia" w:ascii="宋体" w:hAnsi="宋体" w:eastAsia="宋体" w:cs="宋体"/>
                <w:b/>
                <w:bCs/>
                <w:kern w:val="21"/>
                <w:sz w:val="21"/>
                <w:szCs w:val="21"/>
                <w:highlight w:val="none"/>
                <w:lang w:val="zh-CN" w:eastAsia="zh-CN"/>
              </w:rPr>
              <w:t>实际支付应按</w:t>
            </w:r>
            <w:r>
              <w:rPr>
                <w:rFonts w:hint="eastAsia" w:ascii="宋体" w:hAnsi="宋体" w:eastAsia="宋体" w:cs="宋体"/>
                <w:b/>
                <w:bCs/>
                <w:kern w:val="21"/>
                <w:sz w:val="21"/>
                <w:szCs w:val="21"/>
                <w:highlight w:val="none"/>
                <w:lang w:val="en-US" w:eastAsia="zh-CN"/>
              </w:rPr>
              <w:t>连申线南通段航道提升工程用地批复文件中的征地面积为准。</w:t>
            </w:r>
          </w:p>
          <w:p w14:paraId="10E2B898">
            <w:pPr>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right="0" w:rightChars="0"/>
              <w:jc w:val="both"/>
              <w:textAlignment w:val="auto"/>
              <w:rPr>
                <w:rFonts w:hint="eastAsia" w:ascii="宋体" w:hAnsi="宋体" w:eastAsia="宋体" w:cs="宋体"/>
                <w:kern w:val="21"/>
                <w:sz w:val="21"/>
                <w:szCs w:val="21"/>
                <w:highlight w:val="none"/>
                <w:lang w:val="en-US" w:eastAsia="zh-CN"/>
              </w:rPr>
            </w:pPr>
            <w:r>
              <w:rPr>
                <w:rFonts w:hint="eastAsia" w:ascii="宋体" w:hAnsi="宋体" w:eastAsia="宋体" w:cs="宋体"/>
                <w:kern w:val="21"/>
                <w:sz w:val="21"/>
                <w:szCs w:val="21"/>
                <w:highlight w:val="none"/>
                <w:lang w:eastAsia="zh-CN"/>
              </w:rPr>
              <w:t>（</w:t>
            </w:r>
            <w:r>
              <w:rPr>
                <w:rFonts w:hint="eastAsia" w:ascii="宋体" w:hAnsi="宋体" w:cs="宋体"/>
                <w:kern w:val="21"/>
                <w:sz w:val="21"/>
                <w:szCs w:val="21"/>
                <w:highlight w:val="none"/>
                <w:lang w:val="en-US" w:eastAsia="zh-CN"/>
              </w:rPr>
              <w:t>3</w:t>
            </w:r>
            <w:r>
              <w:rPr>
                <w:rFonts w:hint="eastAsia" w:ascii="宋体" w:hAnsi="宋体" w:eastAsia="宋体" w:cs="宋体"/>
                <w:kern w:val="21"/>
                <w:sz w:val="21"/>
                <w:szCs w:val="21"/>
                <w:highlight w:val="none"/>
                <w:lang w:eastAsia="zh-CN"/>
              </w:rPr>
              <w:t>）</w:t>
            </w:r>
            <w:r>
              <w:rPr>
                <w:rFonts w:hint="eastAsia" w:ascii="宋体" w:hAnsi="宋体" w:eastAsia="宋体" w:cs="宋体"/>
                <w:kern w:val="21"/>
                <w:sz w:val="21"/>
                <w:szCs w:val="21"/>
                <w:highlight w:val="none"/>
                <w:lang w:val="en-US" w:eastAsia="zh-CN"/>
              </w:rPr>
              <w:t>本项目包含的“</w:t>
            </w:r>
            <w:r>
              <w:rPr>
                <w:rFonts w:hint="eastAsia" w:ascii="宋体" w:hAnsi="宋体" w:cs="宋体"/>
                <w:kern w:val="21"/>
                <w:sz w:val="21"/>
                <w:szCs w:val="21"/>
                <w:highlight w:val="none"/>
                <w:lang w:val="en-US" w:eastAsia="zh-CN"/>
              </w:rPr>
              <w:t>连申线南通段航道提升工程</w:t>
            </w:r>
            <w:r>
              <w:rPr>
                <w:rFonts w:hint="eastAsia" w:ascii="宋体" w:hAnsi="宋体" w:eastAsia="宋体" w:cs="宋体"/>
                <w:kern w:val="21"/>
                <w:sz w:val="21"/>
                <w:szCs w:val="21"/>
                <w:highlight w:val="none"/>
                <w:lang w:val="en-US" w:eastAsia="zh-CN"/>
              </w:rPr>
              <w:t>”拟按海安船闸、焦港船闸、海安段航道、如皋段航道、新长铁路桥五个段落进行立项（工可报批）。</w:t>
            </w:r>
            <w:r>
              <w:rPr>
                <w:rFonts w:hint="eastAsia" w:ascii="宋体" w:hAnsi="宋体" w:eastAsia="宋体" w:cs="宋体"/>
                <w:kern w:val="21"/>
                <w:sz w:val="21"/>
                <w:szCs w:val="21"/>
                <w:highlight w:val="none"/>
                <w:lang w:val="en-US" w:eastAsia="zh-CN"/>
              </w:rPr>
              <w:t>合同实施时，文物资源区域评估工作若需分批次进行评审，承包人</w:t>
            </w:r>
            <w:r>
              <w:rPr>
                <w:rFonts w:hint="eastAsia" w:ascii="宋体" w:hAnsi="宋体" w:eastAsia="宋体" w:cs="宋体"/>
                <w:kern w:val="21"/>
                <w:sz w:val="21"/>
                <w:szCs w:val="21"/>
                <w:highlight w:val="none"/>
                <w:lang w:eastAsia="zh-CN"/>
              </w:rPr>
              <w:t>应</w:t>
            </w:r>
            <w:r>
              <w:rPr>
                <w:rFonts w:hint="eastAsia" w:ascii="宋体" w:hAnsi="宋体" w:eastAsia="宋体" w:cs="宋体"/>
                <w:kern w:val="21"/>
                <w:sz w:val="21"/>
                <w:szCs w:val="21"/>
                <w:highlight w:val="none"/>
                <w:lang w:val="en-US" w:eastAsia="zh-CN"/>
              </w:rPr>
              <w:t>无条件服从对</w:t>
            </w:r>
            <w:r>
              <w:rPr>
                <w:rFonts w:hint="eastAsia" w:ascii="宋体" w:hAnsi="宋体" w:eastAsia="宋体" w:cs="宋体"/>
                <w:kern w:val="21"/>
                <w:sz w:val="21"/>
                <w:szCs w:val="21"/>
                <w:highlight w:val="none"/>
                <w:lang w:eastAsia="zh-CN"/>
              </w:rPr>
              <w:t>项目</w:t>
            </w:r>
            <w:r>
              <w:rPr>
                <w:rFonts w:hint="eastAsia" w:ascii="宋体" w:hAnsi="宋体" w:eastAsia="宋体" w:cs="宋体"/>
                <w:kern w:val="21"/>
                <w:sz w:val="21"/>
                <w:szCs w:val="21"/>
                <w:highlight w:val="none"/>
                <w:lang w:val="en-US" w:eastAsia="zh-CN"/>
              </w:rPr>
              <w:t>进行“分段分批次”报审</w:t>
            </w:r>
            <w:r>
              <w:rPr>
                <w:rFonts w:hint="eastAsia" w:ascii="宋体" w:hAnsi="宋体" w:eastAsia="宋体" w:cs="宋体"/>
                <w:kern w:val="21"/>
                <w:sz w:val="21"/>
                <w:szCs w:val="21"/>
                <w:highlight w:val="none"/>
                <w:lang w:eastAsia="zh-CN"/>
              </w:rPr>
              <w:t>的要求，</w:t>
            </w:r>
            <w:r>
              <w:rPr>
                <w:rFonts w:hint="eastAsia" w:ascii="宋体" w:hAnsi="宋体" w:eastAsia="宋体" w:cs="宋体"/>
                <w:kern w:val="21"/>
                <w:sz w:val="21"/>
                <w:szCs w:val="21"/>
                <w:highlight w:val="none"/>
                <w:lang w:val="en-US" w:eastAsia="zh-CN"/>
              </w:rPr>
              <w:t>且各段落间隔时间可能较长，由此产生相关费用的增加，在投标</w:t>
            </w:r>
            <w:r>
              <w:rPr>
                <w:rFonts w:hint="eastAsia" w:ascii="宋体" w:hAnsi="宋体" w:cs="宋体"/>
                <w:kern w:val="21"/>
                <w:sz w:val="21"/>
                <w:szCs w:val="21"/>
                <w:highlight w:val="none"/>
                <w:lang w:val="en-US" w:eastAsia="zh-CN"/>
              </w:rPr>
              <w:t>报价</w:t>
            </w:r>
            <w:r>
              <w:rPr>
                <w:rFonts w:hint="eastAsia" w:ascii="宋体" w:hAnsi="宋体" w:eastAsia="宋体" w:cs="宋体"/>
                <w:kern w:val="21"/>
                <w:sz w:val="21"/>
                <w:szCs w:val="21"/>
                <w:highlight w:val="none"/>
                <w:lang w:val="en-US" w:eastAsia="zh-CN"/>
              </w:rPr>
              <w:t>时应充分考虑。</w:t>
            </w:r>
          </w:p>
          <w:p w14:paraId="6627A1E3">
            <w:pPr>
              <w:keepNext w:val="0"/>
              <w:keepLines w:val="0"/>
              <w:pageBreakBefore w:val="0"/>
              <w:widowControl/>
              <w:numPr>
                <w:ilvl w:val="0"/>
                <w:numId w:val="0"/>
              </w:numPr>
              <w:kinsoku/>
              <w:wordWrap/>
              <w:overflowPunct/>
              <w:topLinePunct w:val="0"/>
              <w:autoSpaceDE w:val="0"/>
              <w:autoSpaceDN w:val="0"/>
              <w:bidi w:val="0"/>
              <w:adjustRightInd/>
              <w:snapToGrid/>
              <w:spacing w:line="240" w:lineRule="auto"/>
              <w:ind w:right="0" w:rightChars="0"/>
              <w:jc w:val="both"/>
              <w:textAlignment w:val="auto"/>
              <w:rPr>
                <w:rFonts w:hint="eastAsia" w:ascii="宋体" w:hAnsi="宋体" w:eastAsia="宋体" w:cs="宋体"/>
                <w:kern w:val="21"/>
                <w:sz w:val="21"/>
                <w:szCs w:val="21"/>
                <w:highlight w:val="none"/>
                <w:lang w:val="en-US" w:eastAsia="zh-CN"/>
              </w:rPr>
            </w:pPr>
            <w:r>
              <w:rPr>
                <w:rFonts w:hint="eastAsia" w:ascii="宋体" w:hAnsi="宋体" w:cs="宋体"/>
                <w:kern w:val="21"/>
                <w:sz w:val="21"/>
                <w:szCs w:val="21"/>
                <w:highlight w:val="none"/>
                <w:lang w:val="en-US" w:eastAsia="zh-CN"/>
              </w:rPr>
              <w:t>（4）</w:t>
            </w:r>
            <w:r>
              <w:rPr>
                <w:rFonts w:hint="eastAsia" w:ascii="宋体" w:hAnsi="宋体" w:eastAsia="宋体" w:cs="宋体"/>
                <w:kern w:val="21"/>
                <w:sz w:val="21"/>
                <w:szCs w:val="21"/>
                <w:highlight w:val="none"/>
                <w:lang w:val="en-US" w:eastAsia="zh-CN"/>
              </w:rPr>
              <w:t>本项目中“连申线南通段航道提升工程”为暂定工程名称，最终以工可批复文件中的项目名称为准，投标人在项目实施过程中应做好与发包人的沟通。</w:t>
            </w:r>
          </w:p>
          <w:p w14:paraId="65E6CDC1">
            <w:pPr>
              <w:keepNext w:val="0"/>
              <w:keepLines w:val="0"/>
              <w:pageBreakBefore w:val="0"/>
              <w:widowControl/>
              <w:tabs>
                <w:tab w:val="left" w:pos="21"/>
              </w:tabs>
              <w:kinsoku/>
              <w:wordWrap/>
              <w:overflowPunct/>
              <w:topLinePunct w:val="0"/>
              <w:autoSpaceDE w:val="0"/>
              <w:autoSpaceDN w:val="0"/>
              <w:bidi w:val="0"/>
              <w:adjustRightInd/>
              <w:snapToGrid/>
              <w:spacing w:line="240" w:lineRule="auto"/>
              <w:ind w:left="0" w:leftChars="0" w:right="0" w:rightChars="0"/>
              <w:jc w:val="both"/>
              <w:textAlignment w:val="auto"/>
              <w:rPr>
                <w:rFonts w:hint="eastAsia" w:ascii="宋体" w:hAnsi="宋体" w:eastAsia="宋体" w:cs="宋体"/>
                <w:kern w:val="21"/>
                <w:sz w:val="21"/>
                <w:szCs w:val="21"/>
                <w:highlight w:val="none"/>
              </w:rPr>
            </w:pPr>
            <w:r>
              <w:rPr>
                <w:rFonts w:hint="eastAsia" w:ascii="宋体" w:hAnsi="宋体" w:eastAsia="宋体" w:cs="宋体"/>
                <w:kern w:val="21"/>
                <w:sz w:val="21"/>
                <w:szCs w:val="21"/>
                <w:highlight w:val="none"/>
              </w:rPr>
              <w:t>（</w:t>
            </w:r>
            <w:r>
              <w:rPr>
                <w:rFonts w:hint="eastAsia" w:ascii="宋体" w:hAnsi="宋体" w:cs="宋体"/>
                <w:kern w:val="21"/>
                <w:sz w:val="21"/>
                <w:szCs w:val="21"/>
                <w:highlight w:val="none"/>
                <w:lang w:val="en-US" w:eastAsia="zh-CN"/>
              </w:rPr>
              <w:t>5</w:t>
            </w:r>
            <w:r>
              <w:rPr>
                <w:rFonts w:hint="eastAsia" w:ascii="宋体" w:hAnsi="宋体" w:eastAsia="宋体" w:cs="宋体"/>
                <w:kern w:val="21"/>
                <w:sz w:val="21"/>
                <w:szCs w:val="21"/>
                <w:highlight w:val="none"/>
              </w:rPr>
              <w:t>）本项目招标人不提供任何设施与物品，投标人中标后在现场生活、办公用房，办公、生活设施以及交通、水电、通讯等问题由投标人在投标报价时自行考虑。</w:t>
            </w:r>
          </w:p>
          <w:p w14:paraId="01E94434">
            <w:pPr>
              <w:keepNext w:val="0"/>
              <w:keepLines w:val="0"/>
              <w:pageBreakBefore w:val="0"/>
              <w:widowControl/>
              <w:tabs>
                <w:tab w:val="left" w:pos="21"/>
              </w:tabs>
              <w:kinsoku/>
              <w:wordWrap/>
              <w:overflowPunct/>
              <w:topLinePunct w:val="0"/>
              <w:autoSpaceDE w:val="0"/>
              <w:autoSpaceDN w:val="0"/>
              <w:bidi w:val="0"/>
              <w:adjustRightInd/>
              <w:snapToGrid/>
              <w:spacing w:line="240" w:lineRule="auto"/>
              <w:ind w:left="0" w:leftChars="0" w:right="0" w:rightChars="0"/>
              <w:jc w:val="both"/>
              <w:textAlignment w:val="auto"/>
              <w:rPr>
                <w:rFonts w:hint="eastAsia" w:ascii="宋体" w:hAnsi="宋体" w:eastAsia="宋体" w:cs="宋体"/>
                <w:kern w:val="21"/>
                <w:sz w:val="21"/>
                <w:szCs w:val="21"/>
                <w:highlight w:val="none"/>
              </w:rPr>
            </w:pPr>
            <w:r>
              <w:rPr>
                <w:rFonts w:hint="eastAsia" w:ascii="宋体" w:hAnsi="宋体" w:eastAsia="宋体" w:cs="宋体"/>
                <w:kern w:val="21"/>
                <w:sz w:val="21"/>
                <w:szCs w:val="21"/>
                <w:highlight w:val="none"/>
              </w:rPr>
              <w:t>（</w:t>
            </w:r>
            <w:r>
              <w:rPr>
                <w:rFonts w:hint="eastAsia" w:ascii="宋体" w:hAnsi="宋体" w:cs="宋体"/>
                <w:kern w:val="21"/>
                <w:sz w:val="21"/>
                <w:szCs w:val="21"/>
                <w:highlight w:val="none"/>
                <w:lang w:val="en-US" w:eastAsia="zh-CN"/>
              </w:rPr>
              <w:t>6</w:t>
            </w:r>
            <w:r>
              <w:rPr>
                <w:rFonts w:hint="eastAsia" w:ascii="宋体" w:hAnsi="宋体" w:eastAsia="宋体" w:cs="宋体"/>
                <w:kern w:val="21"/>
                <w:sz w:val="21"/>
                <w:szCs w:val="21"/>
                <w:highlight w:val="none"/>
              </w:rPr>
              <w:t>）投标人应为投入的工作人员进行必要的安全教育，配备必要的安全装备，并为相关现场服务人员投保并承担费用，相关费用在投标报价中充分考虑。</w:t>
            </w:r>
          </w:p>
          <w:p w14:paraId="670FCC6D">
            <w:pPr>
              <w:keepNext w:val="0"/>
              <w:keepLines w:val="0"/>
              <w:pageBreakBefore w:val="0"/>
              <w:widowControl/>
              <w:tabs>
                <w:tab w:val="left" w:pos="21"/>
              </w:tabs>
              <w:kinsoku/>
              <w:wordWrap/>
              <w:overflowPunct/>
              <w:topLinePunct w:val="0"/>
              <w:autoSpaceDE w:val="0"/>
              <w:autoSpaceDN w:val="0"/>
              <w:bidi w:val="0"/>
              <w:adjustRightInd/>
              <w:snapToGrid/>
              <w:spacing w:line="240" w:lineRule="auto"/>
              <w:ind w:left="0" w:leftChars="0" w:right="0" w:rightChars="0"/>
              <w:jc w:val="both"/>
              <w:textAlignment w:val="auto"/>
              <w:rPr>
                <w:rFonts w:hint="eastAsia" w:ascii="宋体" w:hAnsi="宋体" w:eastAsia="宋体" w:cs="宋体"/>
                <w:kern w:val="21"/>
                <w:sz w:val="21"/>
                <w:szCs w:val="21"/>
                <w:highlight w:val="none"/>
              </w:rPr>
            </w:pPr>
            <w:r>
              <w:rPr>
                <w:rFonts w:hint="eastAsia" w:ascii="宋体" w:hAnsi="宋体" w:eastAsia="宋体" w:cs="宋体"/>
                <w:kern w:val="21"/>
                <w:sz w:val="21"/>
                <w:szCs w:val="21"/>
                <w:highlight w:val="none"/>
              </w:rPr>
              <w:t>（</w:t>
            </w:r>
            <w:r>
              <w:rPr>
                <w:rFonts w:hint="eastAsia" w:ascii="宋体" w:hAnsi="宋体" w:cs="宋体"/>
                <w:kern w:val="21"/>
                <w:sz w:val="21"/>
                <w:szCs w:val="21"/>
                <w:highlight w:val="none"/>
                <w:lang w:val="en-US" w:eastAsia="zh-CN"/>
              </w:rPr>
              <w:t>7</w:t>
            </w:r>
            <w:r>
              <w:rPr>
                <w:rFonts w:hint="eastAsia" w:ascii="宋体" w:hAnsi="宋体" w:eastAsia="宋体" w:cs="宋体"/>
                <w:kern w:val="21"/>
                <w:sz w:val="21"/>
                <w:szCs w:val="21"/>
                <w:highlight w:val="none"/>
              </w:rPr>
              <w:t>）本项目实施期间，为完成合同工作内容所涉一切工作均应由中标人负责并承担费用；为便于工作的开展，发包人可提供一定的协助，由此所发生的一切相关费用均由中标人承担，投标人在投标报价时应予充分考虑。</w:t>
            </w:r>
          </w:p>
          <w:p w14:paraId="715BCDB9">
            <w:pPr>
              <w:pStyle w:val="52"/>
              <w:keepNext w:val="0"/>
              <w:keepLines w:val="0"/>
              <w:pageBreakBefore w:val="0"/>
              <w:numPr>
                <w:ilvl w:val="0"/>
                <w:numId w:val="0"/>
              </w:numPr>
              <w:kinsoku/>
              <w:wordWrap/>
              <w:overflowPunct/>
              <w:topLinePunct w:val="0"/>
              <w:autoSpaceDE w:val="0"/>
              <w:autoSpaceDN w:val="0"/>
              <w:bidi w:val="0"/>
              <w:adjustRightInd/>
              <w:snapToGrid/>
              <w:spacing w:after="0" w:line="240" w:lineRule="auto"/>
              <w:ind w:left="0" w:leftChars="0" w:right="0" w:rightChars="0"/>
              <w:jc w:val="both"/>
              <w:textAlignment w:val="auto"/>
              <w:rPr>
                <w:rFonts w:hint="eastAsia" w:ascii="宋体" w:hAnsi="宋体" w:eastAsia="宋体" w:cs="宋体"/>
                <w:kern w:val="21"/>
                <w:sz w:val="21"/>
                <w:szCs w:val="21"/>
                <w:highlight w:val="none"/>
                <w:lang w:val="zh-CN"/>
              </w:rPr>
            </w:pPr>
            <w:r>
              <w:rPr>
                <w:rFonts w:hint="eastAsia" w:ascii="宋体" w:hAnsi="宋体" w:eastAsia="宋体" w:cs="宋体"/>
                <w:kern w:val="21"/>
                <w:sz w:val="21"/>
                <w:szCs w:val="21"/>
                <w:highlight w:val="none"/>
              </w:rPr>
              <w:t>（</w:t>
            </w:r>
            <w:r>
              <w:rPr>
                <w:rFonts w:hint="eastAsia" w:ascii="宋体" w:hAnsi="宋体" w:cs="宋体"/>
                <w:kern w:val="21"/>
                <w:sz w:val="21"/>
                <w:szCs w:val="21"/>
                <w:highlight w:val="none"/>
                <w:lang w:val="en-US" w:eastAsia="zh-CN"/>
              </w:rPr>
              <w:t>8</w:t>
            </w:r>
            <w:r>
              <w:rPr>
                <w:rFonts w:hint="eastAsia" w:ascii="宋体" w:hAnsi="宋体" w:eastAsia="宋体" w:cs="宋体"/>
                <w:kern w:val="21"/>
                <w:sz w:val="21"/>
                <w:szCs w:val="21"/>
                <w:highlight w:val="none"/>
              </w:rPr>
              <w:t>）本项目要求中标人完成项目后，将项目所涉全部咨询成果提供纸质文件（具体份数按发包人要求）和电子文件（拷入U盘）一式两份交付发包人，相关费用包含在相关项目报价中，投标报价时应作充分考虑。</w:t>
            </w:r>
          </w:p>
          <w:p w14:paraId="5BA8FA37">
            <w:pPr>
              <w:keepNext w:val="0"/>
              <w:keepLines w:val="0"/>
              <w:pageBreakBefore w:val="0"/>
              <w:widowControl/>
              <w:suppressLineNumbers w:val="0"/>
              <w:kinsoku/>
              <w:wordWrap/>
              <w:overflowPunct/>
              <w:topLinePunct w:val="0"/>
              <w:autoSpaceDE w:val="0"/>
              <w:autoSpaceDN w:val="0"/>
              <w:bidi w:val="0"/>
              <w:adjustRightInd/>
              <w:snapToGrid/>
              <w:spacing w:line="240" w:lineRule="auto"/>
              <w:ind w:left="0" w:leftChars="0" w:right="0" w:rightChars="0"/>
              <w:jc w:val="both"/>
              <w:textAlignment w:val="auto"/>
              <w:rPr>
                <w:rFonts w:hint="default" w:eastAsia="宋体"/>
                <w:highlight w:val="none"/>
                <w:lang w:val="en-US" w:eastAsia="zh-CN"/>
              </w:rPr>
            </w:pPr>
            <w:r>
              <w:rPr>
                <w:rFonts w:hint="eastAsia" w:ascii="宋体" w:hAnsi="宋体" w:eastAsia="宋体" w:cs="宋体"/>
                <w:kern w:val="21"/>
                <w:sz w:val="21"/>
                <w:szCs w:val="21"/>
                <w:highlight w:val="none"/>
              </w:rPr>
              <w:t>（</w:t>
            </w:r>
            <w:r>
              <w:rPr>
                <w:rFonts w:hint="eastAsia" w:ascii="宋体" w:hAnsi="宋体" w:cs="宋体"/>
                <w:kern w:val="21"/>
                <w:sz w:val="21"/>
                <w:szCs w:val="21"/>
                <w:highlight w:val="none"/>
                <w:lang w:val="en-US" w:eastAsia="zh-CN"/>
              </w:rPr>
              <w:t>9</w:t>
            </w:r>
            <w:r>
              <w:rPr>
                <w:rFonts w:hint="eastAsia" w:ascii="宋体" w:hAnsi="宋体" w:eastAsia="宋体" w:cs="宋体"/>
                <w:kern w:val="21"/>
                <w:sz w:val="21"/>
                <w:szCs w:val="21"/>
                <w:highlight w:val="none"/>
              </w:rPr>
              <w:t>）</w:t>
            </w:r>
            <w:r>
              <w:rPr>
                <w:rFonts w:hint="eastAsia" w:ascii="宋体" w:hAnsi="宋体" w:eastAsia="宋体" w:cs="宋体"/>
                <w:b w:val="0"/>
                <w:bCs w:val="0"/>
                <w:kern w:val="21"/>
                <w:sz w:val="21"/>
                <w:szCs w:val="21"/>
                <w:highlight w:val="none"/>
                <w:u w:val="none"/>
                <w:lang w:val="en-US" w:eastAsia="zh-CN"/>
              </w:rPr>
              <w:t>本项目招标代理服务费用由中标人承担，该费用不单独计列，计入投标总价中。中标人须按中标金额，分别参照（“江苏省招标投标协会关于印发《江苏省招标代理服务收费的指导意见》的通知（苏招协[2022]002号）收费标准”+“江苏省工程造价管理协会关于印发《江苏省工程造价咨询服务收费指导意见》的通知（苏建价协（2022）7号）中附件1：序号8收费项目的收费标准”）*折扣系数（81%）计算。中标人收到中标通知书之日起7日内一次性向招标代理机构支付招标代理服务费。</w:t>
            </w:r>
          </w:p>
        </w:tc>
      </w:tr>
      <w:tr w14:paraId="56A7B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 w:hRule="atLeast"/>
          <w:jc w:val="center"/>
        </w:trPr>
        <w:tc>
          <w:tcPr>
            <w:tcW w:w="1168" w:type="dxa"/>
            <w:noWrap w:val="0"/>
            <w:vAlign w:val="center"/>
          </w:tcPr>
          <w:p w14:paraId="5107441E">
            <w:pPr>
              <w:jc w:val="center"/>
              <w:rPr>
                <w:rFonts w:hint="eastAsia" w:ascii="宋体" w:hAnsi="宋体" w:cs="宋体"/>
                <w:szCs w:val="21"/>
                <w:highlight w:val="none"/>
              </w:rPr>
            </w:pPr>
            <w:r>
              <w:rPr>
                <w:rFonts w:hint="eastAsia" w:ascii="宋体" w:hAnsi="宋体" w:cs="宋体"/>
                <w:szCs w:val="21"/>
                <w:highlight w:val="none"/>
              </w:rPr>
              <w:t>3.3.1</w:t>
            </w:r>
          </w:p>
        </w:tc>
        <w:tc>
          <w:tcPr>
            <w:tcW w:w="2043" w:type="dxa"/>
            <w:noWrap w:val="0"/>
            <w:vAlign w:val="center"/>
          </w:tcPr>
          <w:p w14:paraId="695F65C8">
            <w:pPr>
              <w:jc w:val="center"/>
              <w:rPr>
                <w:rFonts w:hint="eastAsia" w:ascii="宋体" w:hAnsi="宋体" w:cs="宋体"/>
                <w:szCs w:val="21"/>
                <w:highlight w:val="none"/>
              </w:rPr>
            </w:pPr>
            <w:r>
              <w:rPr>
                <w:rFonts w:hint="eastAsia" w:ascii="宋体" w:hAnsi="宋体" w:cs="宋体"/>
                <w:szCs w:val="21"/>
                <w:highlight w:val="none"/>
              </w:rPr>
              <w:t>投标有效期</w:t>
            </w:r>
          </w:p>
        </w:tc>
        <w:tc>
          <w:tcPr>
            <w:tcW w:w="5975" w:type="dxa"/>
            <w:noWrap w:val="0"/>
            <w:vAlign w:val="center"/>
          </w:tcPr>
          <w:p w14:paraId="6D769948">
            <w:pPr>
              <w:ind w:left="105" w:leftChars="50" w:right="105" w:rightChars="50"/>
              <w:rPr>
                <w:rFonts w:hint="eastAsia" w:ascii="宋体" w:hAnsi="宋体" w:cs="宋体"/>
                <w:szCs w:val="21"/>
                <w:highlight w:val="none"/>
              </w:rPr>
            </w:pPr>
            <w:r>
              <w:rPr>
                <w:rFonts w:hint="eastAsia" w:ascii="宋体" w:hAnsi="宋体" w:cs="宋体"/>
                <w:szCs w:val="21"/>
                <w:highlight w:val="none"/>
              </w:rPr>
              <w:t>自投标人提交投标文件截止之日起计算</w:t>
            </w:r>
            <w:r>
              <w:rPr>
                <w:rFonts w:hint="eastAsia" w:ascii="宋体" w:hAnsi="宋体" w:cs="宋体"/>
                <w:szCs w:val="21"/>
                <w:highlight w:val="none"/>
                <w:u w:val="single"/>
              </w:rPr>
              <w:t>90</w:t>
            </w:r>
            <w:r>
              <w:rPr>
                <w:rFonts w:hint="eastAsia" w:ascii="宋体" w:hAnsi="宋体" w:cs="宋体"/>
                <w:szCs w:val="21"/>
                <w:highlight w:val="none"/>
              </w:rPr>
              <w:t>天</w:t>
            </w:r>
          </w:p>
        </w:tc>
      </w:tr>
      <w:tr w14:paraId="08EB0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6" w:hRule="atLeast"/>
          <w:jc w:val="center"/>
        </w:trPr>
        <w:tc>
          <w:tcPr>
            <w:tcW w:w="1168" w:type="dxa"/>
            <w:noWrap w:val="0"/>
            <w:vAlign w:val="center"/>
          </w:tcPr>
          <w:p w14:paraId="467E38E7">
            <w:pPr>
              <w:jc w:val="center"/>
              <w:rPr>
                <w:rFonts w:hint="eastAsia" w:ascii="宋体" w:hAnsi="宋体" w:cs="宋体"/>
                <w:szCs w:val="21"/>
                <w:highlight w:val="none"/>
              </w:rPr>
            </w:pPr>
            <w:r>
              <w:rPr>
                <w:rFonts w:hint="eastAsia" w:ascii="宋体" w:hAnsi="宋体" w:cs="宋体"/>
                <w:szCs w:val="21"/>
                <w:highlight w:val="none"/>
              </w:rPr>
              <w:t>3.4.1</w:t>
            </w:r>
          </w:p>
        </w:tc>
        <w:tc>
          <w:tcPr>
            <w:tcW w:w="2043" w:type="dxa"/>
            <w:noWrap w:val="0"/>
            <w:vAlign w:val="center"/>
          </w:tcPr>
          <w:p w14:paraId="5654FC08">
            <w:pPr>
              <w:jc w:val="center"/>
              <w:rPr>
                <w:rFonts w:hint="eastAsia" w:ascii="宋体" w:hAnsi="宋体" w:cs="宋体"/>
                <w:szCs w:val="21"/>
                <w:highlight w:val="none"/>
              </w:rPr>
            </w:pPr>
            <w:r>
              <w:rPr>
                <w:rFonts w:hint="eastAsia" w:ascii="宋体" w:hAnsi="宋体" w:cs="宋体"/>
                <w:szCs w:val="21"/>
                <w:highlight w:val="none"/>
              </w:rPr>
              <w:t>投标保证金</w:t>
            </w:r>
          </w:p>
        </w:tc>
        <w:tc>
          <w:tcPr>
            <w:tcW w:w="5975" w:type="dxa"/>
            <w:noWrap w:val="0"/>
            <w:vAlign w:val="center"/>
          </w:tcPr>
          <w:p w14:paraId="231CCE8F">
            <w:pPr>
              <w:numPr>
                <w:ilvl w:val="0"/>
                <w:numId w:val="0"/>
              </w:num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kern w:val="2"/>
                <w:sz w:val="21"/>
                <w:szCs w:val="21"/>
                <w:highlight w:val="none"/>
                <w:lang w:val="en-US" w:eastAsia="zh-CN" w:bidi="ar-SA"/>
              </w:rPr>
              <w:t>一、</w:t>
            </w:r>
            <w:r>
              <w:rPr>
                <w:rFonts w:hint="eastAsia" w:ascii="宋体" w:hAnsi="宋体"/>
                <w:b/>
                <w:bCs/>
                <w:szCs w:val="21"/>
                <w:highlight w:val="none"/>
              </w:rPr>
              <w:t>投标保证金的金额：</w:t>
            </w:r>
            <w:r>
              <w:rPr>
                <w:rFonts w:hint="eastAsia" w:ascii="宋体" w:hAnsi="宋体"/>
                <w:b/>
                <w:bCs/>
                <w:szCs w:val="21"/>
                <w:highlight w:val="none"/>
                <w:lang w:val="en-US" w:eastAsia="zh-CN"/>
              </w:rPr>
              <w:t>伍仟</w:t>
            </w:r>
            <w:r>
              <w:rPr>
                <w:rFonts w:hint="eastAsia" w:ascii="宋体" w:hAnsi="宋体"/>
                <w:b/>
                <w:bCs/>
                <w:szCs w:val="21"/>
                <w:highlight w:val="none"/>
              </w:rPr>
              <w:t>元。</w:t>
            </w:r>
          </w:p>
          <w:p w14:paraId="64B4611A">
            <w:p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szCs w:val="21"/>
                <w:highlight w:val="none"/>
              </w:rPr>
              <w:t>二、投标保证金的递交截止时间为：同投标文件递交截止时间（即开标时间）</w:t>
            </w:r>
          </w:p>
          <w:p w14:paraId="50BCFB2C">
            <w:p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szCs w:val="21"/>
                <w:highlight w:val="none"/>
              </w:rPr>
              <w:t>三、投标保证金的形式：不限</w:t>
            </w:r>
          </w:p>
          <w:p w14:paraId="0F935432">
            <w:p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szCs w:val="21"/>
                <w:highlight w:val="none"/>
              </w:rPr>
              <w:t>投标人根据实际情况合理选择以下任意一种方式：</w:t>
            </w:r>
          </w:p>
          <w:p w14:paraId="6828CEB6">
            <w:p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szCs w:val="21"/>
                <w:highlight w:val="none"/>
              </w:rPr>
              <w:t>（1）现金方式（应当从投标人基本账户转出）：</w:t>
            </w:r>
          </w:p>
          <w:p w14:paraId="12AC72AC">
            <w:p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szCs w:val="21"/>
                <w:highlight w:val="none"/>
              </w:rPr>
              <w:t>①若采用转账（网银或柜面皆可），投标人应将投标保证金由投标人基本账户一次性汇入招标人指定账户，否则，视为投标保证金无效。同时将转账凭证扫描件附在投标文件中。</w:t>
            </w:r>
          </w:p>
          <w:p w14:paraId="2CA2B71D">
            <w:p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szCs w:val="21"/>
                <w:highlight w:val="none"/>
              </w:rPr>
              <w:t>②若采用银行汇票或银行本票（若投标人基本开户行在</w:t>
            </w:r>
            <w:r>
              <w:rPr>
                <w:rFonts w:hint="eastAsia" w:ascii="宋体" w:hAnsi="宋体"/>
                <w:b/>
                <w:bCs/>
                <w:szCs w:val="21"/>
                <w:highlight w:val="none"/>
                <w:lang w:val="en-US" w:eastAsia="zh-CN"/>
              </w:rPr>
              <w:t>南京</w:t>
            </w:r>
            <w:r>
              <w:rPr>
                <w:rFonts w:hint="eastAsia" w:ascii="宋体" w:hAnsi="宋体"/>
                <w:b/>
                <w:bCs/>
                <w:szCs w:val="21"/>
                <w:highlight w:val="none"/>
              </w:rPr>
              <w:t>，则可递交银行本票），投标人应将银行汇票或银行本票原件递交给招标代理，且投标保证金必须由投标人基本账户汇出，否则视为投标保证金无效。同时将银行汇票或银行本票扫描件附在投标文件中，采用银行本票的，同时附银行本票申请单扫描件）。</w:t>
            </w:r>
          </w:p>
          <w:p w14:paraId="0DB8082F">
            <w:p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szCs w:val="21"/>
                <w:highlight w:val="none"/>
              </w:rPr>
              <w:t>注：投标保证金缴纳开户银行及账号如下</w:t>
            </w:r>
          </w:p>
          <w:p w14:paraId="0EBA1FEB">
            <w:pPr>
              <w:adjustRightInd w:val="0"/>
              <w:snapToGrid w:val="0"/>
              <w:spacing w:line="300" w:lineRule="exact"/>
              <w:ind w:left="105" w:leftChars="50" w:right="105" w:rightChars="50"/>
              <w:jc w:val="left"/>
              <w:rPr>
                <w:rFonts w:hint="eastAsia" w:ascii="黑体" w:hAnsi="黑体" w:eastAsia="黑体" w:cs="黑体"/>
                <w:b/>
                <w:bCs/>
                <w:szCs w:val="21"/>
                <w:highlight w:val="none"/>
                <w:u w:val="none"/>
              </w:rPr>
            </w:pPr>
            <w:r>
              <w:rPr>
                <w:rFonts w:hint="eastAsia" w:ascii="黑体" w:hAnsi="黑体" w:eastAsia="黑体" w:cs="黑体"/>
                <w:b/>
                <w:bCs/>
                <w:szCs w:val="21"/>
                <w:highlight w:val="none"/>
                <w:u w:val="none"/>
              </w:rPr>
              <w:t>开户名称:国信国际工程咨询集团股份有限公司江苏分公司</w:t>
            </w:r>
          </w:p>
          <w:p w14:paraId="1C373C9B">
            <w:pPr>
              <w:adjustRightInd w:val="0"/>
              <w:snapToGrid w:val="0"/>
              <w:spacing w:line="300" w:lineRule="exact"/>
              <w:ind w:left="105" w:leftChars="50" w:right="105" w:rightChars="50"/>
              <w:jc w:val="left"/>
              <w:rPr>
                <w:rFonts w:hint="eastAsia" w:ascii="黑体" w:hAnsi="黑体" w:eastAsia="黑体" w:cs="黑体"/>
                <w:b/>
                <w:bCs/>
                <w:szCs w:val="21"/>
                <w:highlight w:val="none"/>
                <w:u w:val="none"/>
              </w:rPr>
            </w:pPr>
            <w:r>
              <w:rPr>
                <w:rFonts w:hint="eastAsia" w:ascii="黑体" w:hAnsi="黑体" w:eastAsia="黑体" w:cs="黑体"/>
                <w:b/>
                <w:bCs/>
                <w:szCs w:val="21"/>
                <w:highlight w:val="none"/>
                <w:u w:val="none"/>
              </w:rPr>
              <w:t>开户银行:招商银行南京奥体支行</w:t>
            </w:r>
          </w:p>
          <w:p w14:paraId="6232EE70">
            <w:pPr>
              <w:adjustRightInd w:val="0"/>
              <w:snapToGrid w:val="0"/>
              <w:spacing w:line="300" w:lineRule="exact"/>
              <w:ind w:left="105" w:leftChars="50" w:right="105" w:rightChars="50"/>
              <w:jc w:val="left"/>
              <w:rPr>
                <w:rFonts w:hint="eastAsia" w:ascii="黑体" w:hAnsi="黑体" w:eastAsia="黑体" w:cs="黑体"/>
                <w:b/>
                <w:bCs/>
                <w:szCs w:val="21"/>
                <w:highlight w:val="none"/>
                <w:u w:val="none"/>
              </w:rPr>
            </w:pPr>
            <w:r>
              <w:rPr>
                <w:rFonts w:hint="eastAsia" w:ascii="黑体" w:hAnsi="黑体" w:eastAsia="黑体" w:cs="黑体"/>
                <w:b/>
                <w:bCs/>
                <w:szCs w:val="21"/>
                <w:highlight w:val="none"/>
                <w:u w:val="none"/>
              </w:rPr>
              <w:t>银行帐号:125905501810301</w:t>
            </w:r>
          </w:p>
          <w:p w14:paraId="34E81D4D">
            <w:pPr>
              <w:adjustRightInd w:val="0"/>
              <w:snapToGrid w:val="0"/>
              <w:spacing w:line="300" w:lineRule="exact"/>
              <w:ind w:left="105" w:leftChars="50" w:right="105" w:rightChars="50"/>
              <w:jc w:val="left"/>
              <w:rPr>
                <w:rFonts w:hint="eastAsia" w:ascii="黑体" w:hAnsi="黑体" w:eastAsia="黑体" w:cs="黑体"/>
                <w:b/>
                <w:bCs/>
                <w:szCs w:val="21"/>
                <w:highlight w:val="none"/>
                <w:u w:val="none"/>
              </w:rPr>
            </w:pPr>
            <w:r>
              <w:rPr>
                <w:rFonts w:hint="eastAsia" w:ascii="黑体" w:hAnsi="黑体" w:eastAsia="黑体" w:cs="黑体"/>
                <w:b/>
                <w:bCs/>
                <w:szCs w:val="21"/>
                <w:highlight w:val="none"/>
                <w:u w:val="none"/>
              </w:rPr>
              <w:t>注:“请投标人在汇款时务必注明“</w:t>
            </w:r>
            <w:r>
              <w:rPr>
                <w:rFonts w:hint="eastAsia" w:ascii="黑体" w:hAnsi="黑体" w:eastAsia="黑体" w:cs="黑体"/>
                <w:b/>
                <w:bCs/>
                <w:szCs w:val="21"/>
                <w:highlight w:val="none"/>
                <w:u w:val="none"/>
                <w:lang w:eastAsia="zh-CN"/>
              </w:rPr>
              <w:t>LSXHD</w:t>
            </w:r>
            <w:r>
              <w:rPr>
                <w:rFonts w:hint="eastAsia" w:ascii="黑体" w:hAnsi="黑体" w:eastAsia="黑体" w:cs="黑体"/>
                <w:b/>
                <w:bCs/>
                <w:szCs w:val="21"/>
                <w:highlight w:val="none"/>
                <w:u w:val="none"/>
              </w:rPr>
              <w:t>-WWPG保证金”导致投标无效等后果由投标人自行承担。”</w:t>
            </w:r>
          </w:p>
          <w:p w14:paraId="5248B48F">
            <w:p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szCs w:val="21"/>
                <w:highlight w:val="none"/>
              </w:rPr>
              <w:t>（2）保函、保单等非现金方式（各类保函、保单的费用应由投标人基本账户汇出）：</w:t>
            </w:r>
          </w:p>
          <w:p w14:paraId="3D66C026">
            <w:p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szCs w:val="21"/>
                <w:highlight w:val="none"/>
              </w:rPr>
              <w:t>①若采用银行保函，银行保函应采用招标文件提供的格式，且应在投标有效期内保持有效，招标人如果按规定延长了投标有效期，则投标保证金的有效期也相应延长。银行保函原件递交给招标代理，并将银行保函扫描件和费用支付凭证的扫描件附在投标文件中。（不限于基本开户行）</w:t>
            </w:r>
          </w:p>
          <w:p w14:paraId="29D0D9BB">
            <w:p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szCs w:val="21"/>
                <w:highlight w:val="none"/>
              </w:rPr>
              <w:t>②若采用保险机构的保单、担保保函，应采用招标文件提供的格式，且应在投标有效期内保持有效，招标人如果按规定延长了投标有效期，则投标保证金的有效期也相应延长。如出具纸质保单、保函的，则应将保单、保函原件给招标代理，并将保单、保函扫描件和费用支付凭证的扫描件附在投标文件中；如出具电子保单、保函的，则须将保函扫描件和费用支付凭证的扫描件附在投标文件中。</w:t>
            </w:r>
          </w:p>
          <w:p w14:paraId="7278B075">
            <w:pPr>
              <w:adjustRightInd w:val="0"/>
              <w:snapToGrid w:val="0"/>
              <w:spacing w:line="300" w:lineRule="exact"/>
              <w:ind w:left="105" w:leftChars="50" w:right="105" w:rightChars="50"/>
              <w:jc w:val="left"/>
              <w:rPr>
                <w:rFonts w:hint="eastAsia" w:ascii="宋体" w:hAnsi="宋体"/>
                <w:b/>
                <w:bCs/>
                <w:szCs w:val="21"/>
                <w:highlight w:val="none"/>
              </w:rPr>
            </w:pPr>
            <w:r>
              <w:rPr>
                <w:rFonts w:hint="eastAsia" w:ascii="宋体" w:hAnsi="宋体"/>
                <w:b/>
                <w:bCs/>
                <w:szCs w:val="21"/>
                <w:highlight w:val="none"/>
              </w:rPr>
              <w:t>（3）</w:t>
            </w:r>
            <w:r>
              <w:rPr>
                <w:rFonts w:hint="eastAsia" w:ascii="宋体" w:hAnsi="宋体"/>
                <w:b/>
                <w:bCs/>
                <w:szCs w:val="21"/>
                <w:highlight w:val="none"/>
                <w:u w:val="single"/>
              </w:rPr>
              <w:t>采用《投标保证金信用承诺书》方式，格式详见招标文件第七章投标文件格式。</w:t>
            </w:r>
          </w:p>
          <w:p w14:paraId="771DAD8C">
            <w:pPr>
              <w:adjustRightInd w:val="0"/>
              <w:snapToGrid w:val="0"/>
              <w:spacing w:line="300" w:lineRule="exact"/>
              <w:ind w:left="105" w:leftChars="50" w:right="105" w:rightChars="50"/>
              <w:jc w:val="left"/>
              <w:rPr>
                <w:rFonts w:hint="eastAsia" w:ascii="宋体" w:hAnsi="宋体"/>
                <w:bCs/>
                <w:kern w:val="21"/>
                <w:sz w:val="24"/>
                <w:highlight w:val="none"/>
              </w:rPr>
            </w:pPr>
            <w:r>
              <w:rPr>
                <w:rFonts w:hint="eastAsia" w:ascii="宋体" w:hAnsi="宋体"/>
                <w:b/>
                <w:bCs/>
                <w:szCs w:val="21"/>
                <w:highlight w:val="none"/>
              </w:rPr>
              <w:t>四、投标保证金的退还：由招标人/招标代理按规定办理退还手续。</w:t>
            </w:r>
          </w:p>
        </w:tc>
      </w:tr>
      <w:tr w14:paraId="6E7BB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9" w:hRule="atLeast"/>
          <w:jc w:val="center"/>
        </w:trPr>
        <w:tc>
          <w:tcPr>
            <w:tcW w:w="1168" w:type="dxa"/>
            <w:noWrap w:val="0"/>
            <w:vAlign w:val="center"/>
          </w:tcPr>
          <w:p w14:paraId="0C681756">
            <w:pPr>
              <w:spacing w:line="259" w:lineRule="auto"/>
              <w:ind w:right="2"/>
              <w:jc w:val="center"/>
              <w:rPr>
                <w:rFonts w:hint="eastAsia" w:ascii="宋体" w:hAnsi="宋体" w:cs="宋体"/>
                <w:szCs w:val="21"/>
                <w:highlight w:val="none"/>
              </w:rPr>
            </w:pPr>
            <w:r>
              <w:rPr>
                <w:rFonts w:hint="eastAsia" w:ascii="宋体" w:hAnsi="宋体" w:cs="宋体"/>
                <w:szCs w:val="21"/>
                <w:highlight w:val="none"/>
              </w:rPr>
              <w:t>3.4.3</w:t>
            </w:r>
          </w:p>
        </w:tc>
        <w:tc>
          <w:tcPr>
            <w:tcW w:w="2043" w:type="dxa"/>
            <w:noWrap w:val="0"/>
            <w:vAlign w:val="center"/>
          </w:tcPr>
          <w:p w14:paraId="0376BA15">
            <w:pPr>
              <w:spacing w:line="259" w:lineRule="auto"/>
              <w:ind w:left="175"/>
              <w:jc w:val="center"/>
              <w:rPr>
                <w:rFonts w:hint="eastAsia" w:ascii="宋体" w:hAnsi="宋体" w:cs="宋体"/>
                <w:szCs w:val="21"/>
                <w:highlight w:val="none"/>
              </w:rPr>
            </w:pPr>
            <w:r>
              <w:rPr>
                <w:rFonts w:hint="eastAsia" w:ascii="宋体" w:hAnsi="宋体" w:cs="宋体"/>
                <w:szCs w:val="21"/>
                <w:highlight w:val="none"/>
              </w:rPr>
              <w:t>投标保证金的利息计算原则</w:t>
            </w:r>
          </w:p>
        </w:tc>
        <w:tc>
          <w:tcPr>
            <w:tcW w:w="5975" w:type="dxa"/>
            <w:noWrap w:val="0"/>
            <w:vAlign w:val="top"/>
          </w:tcPr>
          <w:p w14:paraId="10E1E2CC">
            <w:pPr>
              <w:ind w:left="105" w:leftChars="50" w:right="105" w:rightChars="50"/>
              <w:rPr>
                <w:rFonts w:hint="eastAsia" w:ascii="宋体" w:hAnsi="宋体" w:cs="宋体"/>
                <w:bCs/>
                <w:szCs w:val="21"/>
                <w:highlight w:val="none"/>
              </w:rPr>
            </w:pPr>
            <w:r>
              <w:rPr>
                <w:rFonts w:hint="eastAsia" w:ascii="宋体" w:hAnsi="宋体" w:cs="宋体"/>
                <w:bCs/>
                <w:szCs w:val="21"/>
                <w:highlight w:val="none"/>
              </w:rPr>
              <w:t>(1)计算利息的起始日期为投标截止当日，终止日期为招标人退还投标保证金日期的前一天；</w:t>
            </w:r>
          </w:p>
          <w:p w14:paraId="442E14A9">
            <w:pPr>
              <w:ind w:left="105" w:leftChars="50" w:right="105" w:rightChars="50"/>
              <w:rPr>
                <w:rFonts w:hint="eastAsia" w:ascii="宋体" w:hAnsi="宋体" w:cs="宋体"/>
                <w:b/>
                <w:szCs w:val="21"/>
                <w:highlight w:val="none"/>
                <w:u w:val="single"/>
              </w:rPr>
            </w:pPr>
            <w:r>
              <w:rPr>
                <w:rFonts w:hint="eastAsia" w:ascii="宋体" w:hAnsi="宋体" w:cs="宋体"/>
                <w:b/>
                <w:szCs w:val="21"/>
                <w:highlight w:val="none"/>
                <w:u w:val="single"/>
              </w:rPr>
              <w:t>(2)投标保证金的利息按照第（1）款所述计息时间段招标人指定汇入银行公告的活期存款利率计付，并扣除招标人（招标代理）汇款手续费；</w:t>
            </w:r>
          </w:p>
          <w:p w14:paraId="07C3569C">
            <w:pPr>
              <w:ind w:left="105" w:leftChars="50" w:right="105" w:rightChars="50"/>
              <w:rPr>
                <w:rFonts w:hint="eastAsia" w:ascii="宋体" w:hAnsi="宋体" w:cs="宋体"/>
                <w:b/>
                <w:szCs w:val="21"/>
                <w:highlight w:val="none"/>
                <w:u w:val="single"/>
              </w:rPr>
            </w:pPr>
            <w:r>
              <w:rPr>
                <w:rFonts w:hint="eastAsia" w:ascii="宋体" w:hAnsi="宋体" w:cs="宋体"/>
                <w:bCs/>
                <w:szCs w:val="21"/>
                <w:highlight w:val="none"/>
              </w:rPr>
              <w:t>(3)利息金额计算至分位，分以下尾数四舍五入。</w:t>
            </w:r>
          </w:p>
        </w:tc>
      </w:tr>
      <w:tr w14:paraId="2F831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6F2C11BD">
            <w:pPr>
              <w:spacing w:line="259" w:lineRule="auto"/>
              <w:ind w:right="2"/>
              <w:jc w:val="center"/>
              <w:rPr>
                <w:rFonts w:hint="eastAsia" w:ascii="宋体" w:hAnsi="宋体" w:cs="宋体"/>
                <w:szCs w:val="21"/>
                <w:highlight w:val="none"/>
              </w:rPr>
            </w:pPr>
            <w:r>
              <w:rPr>
                <w:rFonts w:hint="eastAsia" w:ascii="宋体" w:hAnsi="宋体" w:cs="宋体"/>
                <w:szCs w:val="21"/>
                <w:highlight w:val="none"/>
              </w:rPr>
              <w:t>3.4.4</w:t>
            </w:r>
          </w:p>
        </w:tc>
        <w:tc>
          <w:tcPr>
            <w:tcW w:w="2043" w:type="dxa"/>
            <w:noWrap w:val="0"/>
            <w:vAlign w:val="center"/>
          </w:tcPr>
          <w:p w14:paraId="05D09F23">
            <w:pPr>
              <w:spacing w:line="259" w:lineRule="auto"/>
              <w:jc w:val="center"/>
              <w:rPr>
                <w:rFonts w:hint="eastAsia" w:ascii="宋体" w:hAnsi="宋体" w:cs="宋体"/>
                <w:szCs w:val="21"/>
                <w:highlight w:val="none"/>
              </w:rPr>
            </w:pPr>
            <w:r>
              <w:rPr>
                <w:rFonts w:hint="eastAsia" w:ascii="宋体" w:hAnsi="宋体" w:cs="宋体"/>
                <w:szCs w:val="21"/>
                <w:highlight w:val="none"/>
              </w:rPr>
              <w:t>其他可以不予退还投标保证金的情形</w:t>
            </w:r>
          </w:p>
        </w:tc>
        <w:tc>
          <w:tcPr>
            <w:tcW w:w="5975" w:type="dxa"/>
            <w:noWrap w:val="0"/>
            <w:vAlign w:val="center"/>
          </w:tcPr>
          <w:p w14:paraId="51B3650E">
            <w:pPr>
              <w:adjustRightInd w:val="0"/>
              <w:snapToGrid w:val="0"/>
              <w:spacing w:line="300" w:lineRule="exact"/>
              <w:ind w:left="105" w:leftChars="50" w:right="105" w:rightChars="50"/>
              <w:jc w:val="left"/>
              <w:rPr>
                <w:rFonts w:hint="eastAsia" w:ascii="宋体" w:hAnsi="宋体"/>
                <w:b/>
                <w:bCs/>
                <w:szCs w:val="21"/>
                <w:highlight w:val="none"/>
                <w:u w:val="single"/>
              </w:rPr>
            </w:pPr>
            <w:r>
              <w:rPr>
                <w:rFonts w:hint="eastAsia" w:ascii="宋体" w:hAnsi="宋体"/>
                <w:b/>
                <w:bCs/>
                <w:szCs w:val="21"/>
                <w:highlight w:val="none"/>
                <w:u w:val="single"/>
              </w:rPr>
              <w:t>(3)其他可以不予退还投标保证金的情形：</w:t>
            </w:r>
          </w:p>
          <w:p w14:paraId="04F3EE14">
            <w:pPr>
              <w:adjustRightInd w:val="0"/>
              <w:snapToGrid w:val="0"/>
              <w:spacing w:line="300" w:lineRule="exact"/>
              <w:ind w:left="105" w:leftChars="50" w:right="105" w:rightChars="50"/>
              <w:jc w:val="left"/>
              <w:rPr>
                <w:rFonts w:hint="eastAsia" w:ascii="宋体" w:hAnsi="宋体"/>
                <w:b/>
                <w:bCs/>
                <w:szCs w:val="21"/>
                <w:highlight w:val="none"/>
                <w:u w:val="single"/>
              </w:rPr>
            </w:pPr>
            <w:r>
              <w:rPr>
                <w:rFonts w:hint="eastAsia" w:ascii="宋体" w:hAnsi="宋体"/>
                <w:b/>
                <w:bCs/>
                <w:szCs w:val="21"/>
                <w:highlight w:val="none"/>
                <w:u w:val="single"/>
              </w:rPr>
              <w:t>①投标人不接受依据评标办法的规定对其投标文件中细微偏差进行澄清和补正；</w:t>
            </w:r>
          </w:p>
          <w:p w14:paraId="259F1B0E">
            <w:pPr>
              <w:adjustRightInd w:val="0"/>
              <w:snapToGrid w:val="0"/>
              <w:spacing w:line="300" w:lineRule="exact"/>
              <w:ind w:left="105" w:leftChars="50" w:right="105" w:rightChars="50"/>
              <w:jc w:val="left"/>
              <w:rPr>
                <w:rFonts w:hint="eastAsia" w:ascii="宋体" w:hAnsi="宋体"/>
                <w:b/>
                <w:bCs/>
                <w:szCs w:val="21"/>
                <w:highlight w:val="none"/>
                <w:u w:val="single"/>
              </w:rPr>
            </w:pPr>
            <w:r>
              <w:rPr>
                <w:rFonts w:hint="eastAsia" w:ascii="宋体" w:hAnsi="宋体"/>
                <w:b/>
                <w:bCs/>
                <w:szCs w:val="21"/>
                <w:highlight w:val="none"/>
                <w:u w:val="single"/>
              </w:rPr>
              <w:t>②投标人提交了虚假资料；</w:t>
            </w:r>
          </w:p>
          <w:p w14:paraId="1B40CA7A">
            <w:pPr>
              <w:adjustRightInd w:val="0"/>
              <w:snapToGrid w:val="0"/>
              <w:spacing w:line="300" w:lineRule="exact"/>
              <w:ind w:left="105" w:leftChars="50" w:right="105" w:rightChars="50"/>
              <w:jc w:val="left"/>
              <w:rPr>
                <w:rFonts w:hint="eastAsia" w:ascii="宋体" w:hAnsi="宋体" w:cs="宋体"/>
                <w:b/>
                <w:szCs w:val="21"/>
                <w:highlight w:val="none"/>
                <w:u w:val="single"/>
              </w:rPr>
            </w:pPr>
            <w:r>
              <w:rPr>
                <w:rFonts w:hint="eastAsia" w:ascii="宋体" w:hAnsi="宋体"/>
                <w:b/>
                <w:bCs/>
                <w:szCs w:val="21"/>
                <w:highlight w:val="none"/>
                <w:u w:val="single"/>
              </w:rPr>
              <w:t>③投标人有串标、围标、“挂靠”其他单位参与投标，贿赂评标专家或招标人工作人员，以及其他违反国家招投标管理有关规定的行为。</w:t>
            </w:r>
          </w:p>
        </w:tc>
      </w:tr>
      <w:tr w14:paraId="6E57D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12484E14">
            <w:pPr>
              <w:spacing w:line="259" w:lineRule="auto"/>
              <w:ind w:right="5"/>
              <w:jc w:val="center"/>
              <w:rPr>
                <w:rFonts w:hint="eastAsia" w:ascii="宋体" w:hAnsi="宋体" w:cs="宋体"/>
                <w:szCs w:val="21"/>
                <w:highlight w:val="none"/>
              </w:rPr>
            </w:pPr>
            <w:r>
              <w:rPr>
                <w:rFonts w:hint="eastAsia" w:ascii="宋体" w:hAnsi="宋体" w:cs="宋体"/>
                <w:szCs w:val="21"/>
                <w:highlight w:val="none"/>
              </w:rPr>
              <w:t>3.5</w:t>
            </w:r>
          </w:p>
        </w:tc>
        <w:tc>
          <w:tcPr>
            <w:tcW w:w="2043" w:type="dxa"/>
            <w:noWrap w:val="0"/>
            <w:vAlign w:val="center"/>
          </w:tcPr>
          <w:p w14:paraId="1470B1EB">
            <w:pPr>
              <w:spacing w:line="259" w:lineRule="auto"/>
              <w:jc w:val="center"/>
              <w:rPr>
                <w:rFonts w:ascii="宋体" w:hAnsi="宋体" w:cs="宋体"/>
                <w:szCs w:val="21"/>
                <w:highlight w:val="none"/>
              </w:rPr>
            </w:pPr>
            <w:r>
              <w:rPr>
                <w:rFonts w:ascii="宋体" w:hAnsi="宋体" w:cs="宋体"/>
                <w:szCs w:val="21"/>
                <w:highlight w:val="none"/>
              </w:rPr>
              <w:t>资格审查资料的特殊要求</w:t>
            </w:r>
          </w:p>
        </w:tc>
        <w:tc>
          <w:tcPr>
            <w:tcW w:w="5975" w:type="dxa"/>
            <w:noWrap w:val="0"/>
            <w:vAlign w:val="top"/>
          </w:tcPr>
          <w:p w14:paraId="58EBC264">
            <w:pPr>
              <w:ind w:left="105" w:leftChars="50"/>
              <w:rPr>
                <w:rFonts w:hint="eastAsia" w:ascii="宋体" w:hAnsi="宋体" w:cs="宋体"/>
                <w:bCs/>
                <w:szCs w:val="21"/>
                <w:highlight w:val="none"/>
              </w:rPr>
            </w:pPr>
            <w:r>
              <w:rPr>
                <w:rFonts w:hint="eastAsia" w:ascii="宋体" w:hAnsi="宋体" w:cs="宋体"/>
                <w:bCs/>
                <w:szCs w:val="21"/>
                <w:highlight w:val="none"/>
              </w:rPr>
              <w:t>无</w:t>
            </w:r>
          </w:p>
        </w:tc>
      </w:tr>
      <w:tr w14:paraId="7B490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3D87550B">
            <w:pPr>
              <w:spacing w:line="259" w:lineRule="auto"/>
              <w:ind w:right="2"/>
              <w:jc w:val="center"/>
              <w:rPr>
                <w:rFonts w:hint="eastAsia" w:ascii="宋体" w:hAnsi="宋体" w:cs="宋体"/>
                <w:szCs w:val="21"/>
                <w:highlight w:val="none"/>
              </w:rPr>
            </w:pPr>
            <w:r>
              <w:rPr>
                <w:rFonts w:hint="eastAsia" w:ascii="宋体" w:hAnsi="宋体" w:cs="宋体"/>
                <w:szCs w:val="21"/>
                <w:highlight w:val="none"/>
              </w:rPr>
              <w:t>3.6.1</w:t>
            </w:r>
          </w:p>
        </w:tc>
        <w:tc>
          <w:tcPr>
            <w:tcW w:w="2043" w:type="dxa"/>
            <w:noWrap w:val="0"/>
            <w:vAlign w:val="center"/>
          </w:tcPr>
          <w:p w14:paraId="420F0838">
            <w:pPr>
              <w:spacing w:line="259" w:lineRule="auto"/>
              <w:ind w:left="175"/>
              <w:jc w:val="center"/>
              <w:rPr>
                <w:rFonts w:hint="eastAsia" w:ascii="宋体" w:hAnsi="宋体" w:cs="宋体"/>
                <w:szCs w:val="21"/>
                <w:highlight w:val="none"/>
              </w:rPr>
            </w:pPr>
            <w:r>
              <w:rPr>
                <w:rFonts w:hint="eastAsia" w:ascii="宋体" w:hAnsi="宋体" w:cs="宋体"/>
                <w:szCs w:val="21"/>
                <w:highlight w:val="none"/>
              </w:rPr>
              <w:t>是否允许递交备选投标方案</w:t>
            </w:r>
          </w:p>
        </w:tc>
        <w:tc>
          <w:tcPr>
            <w:tcW w:w="5975" w:type="dxa"/>
            <w:noWrap w:val="0"/>
            <w:vAlign w:val="top"/>
          </w:tcPr>
          <w:p w14:paraId="252C50A5">
            <w:pPr>
              <w:spacing w:after="28" w:line="259" w:lineRule="auto"/>
              <w:ind w:left="105" w:leftChars="50" w:right="105" w:rightChars="50"/>
              <w:rPr>
                <w:rFonts w:hint="eastAsia" w:ascii="宋体" w:hAnsi="宋体" w:cs="宋体"/>
                <w:szCs w:val="21"/>
                <w:highlight w:val="none"/>
              </w:rPr>
            </w:pPr>
            <w:r>
              <w:rPr>
                <w:rFonts w:hint="eastAsia" w:ascii="宋体" w:hAnsi="宋体" w:cs="宋体"/>
                <w:szCs w:val="21"/>
                <w:highlight w:val="none"/>
              </w:rPr>
              <w:t xml:space="preserve">☑不允许 </w:t>
            </w:r>
          </w:p>
          <w:p w14:paraId="70688BED">
            <w:pPr>
              <w:spacing w:line="259" w:lineRule="auto"/>
              <w:ind w:left="105" w:leftChars="50" w:right="105" w:rightChars="50"/>
              <w:rPr>
                <w:rFonts w:hint="eastAsia" w:ascii="宋体" w:hAnsi="宋体" w:cs="宋体"/>
                <w:b/>
                <w:szCs w:val="21"/>
                <w:highlight w:val="none"/>
                <w:u w:val="single"/>
              </w:rPr>
            </w:pPr>
            <w:r>
              <w:rPr>
                <w:rFonts w:hint="eastAsia" w:ascii="宋体" w:hAnsi="宋体" w:cs="宋体"/>
                <w:szCs w:val="21"/>
                <w:highlight w:val="none"/>
              </w:rPr>
              <w:t xml:space="preserve">□允许 </w:t>
            </w:r>
          </w:p>
        </w:tc>
      </w:tr>
      <w:tr w14:paraId="16163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3A96F5CB">
            <w:pPr>
              <w:spacing w:line="259" w:lineRule="auto"/>
              <w:ind w:right="2"/>
              <w:jc w:val="center"/>
              <w:rPr>
                <w:rFonts w:hint="eastAsia" w:ascii="宋体" w:hAnsi="宋体" w:cs="宋体"/>
                <w:szCs w:val="21"/>
                <w:highlight w:val="none"/>
              </w:rPr>
            </w:pPr>
            <w:r>
              <w:rPr>
                <w:rFonts w:hint="eastAsia" w:ascii="宋体" w:hAnsi="宋体" w:cs="宋体"/>
                <w:szCs w:val="21"/>
                <w:highlight w:val="none"/>
              </w:rPr>
              <w:t>3.7.4</w:t>
            </w:r>
          </w:p>
        </w:tc>
        <w:tc>
          <w:tcPr>
            <w:tcW w:w="2043" w:type="dxa"/>
            <w:noWrap w:val="0"/>
            <w:vAlign w:val="center"/>
          </w:tcPr>
          <w:p w14:paraId="6DD515B8">
            <w:pPr>
              <w:spacing w:line="259" w:lineRule="auto"/>
              <w:ind w:left="175"/>
              <w:jc w:val="center"/>
              <w:rPr>
                <w:rFonts w:hint="eastAsia" w:ascii="宋体" w:hAnsi="宋体" w:cs="宋体"/>
                <w:szCs w:val="21"/>
                <w:highlight w:val="none"/>
              </w:rPr>
            </w:pPr>
            <w:r>
              <w:rPr>
                <w:rFonts w:hint="eastAsia" w:ascii="宋体" w:hAnsi="宋体" w:cs="宋体"/>
                <w:szCs w:val="21"/>
                <w:highlight w:val="none"/>
              </w:rPr>
              <w:t>投标文件副本份数及其他要求</w:t>
            </w:r>
          </w:p>
        </w:tc>
        <w:tc>
          <w:tcPr>
            <w:tcW w:w="5975" w:type="dxa"/>
            <w:noWrap w:val="0"/>
            <w:vAlign w:val="top"/>
          </w:tcPr>
          <w:p w14:paraId="1498CD74">
            <w:pPr>
              <w:spacing w:after="28" w:line="259" w:lineRule="auto"/>
              <w:ind w:left="105" w:leftChars="50" w:right="105" w:rightChars="50"/>
              <w:rPr>
                <w:rFonts w:ascii="宋体" w:hAnsi="宋体" w:cs="宋体"/>
                <w:szCs w:val="21"/>
                <w:highlight w:val="none"/>
              </w:rPr>
            </w:pPr>
            <w:r>
              <w:rPr>
                <w:rFonts w:hint="eastAsia" w:ascii="宋体" w:hAnsi="宋体" w:cs="宋体"/>
                <w:szCs w:val="21"/>
                <w:highlight w:val="none"/>
              </w:rPr>
              <w:t>投标文件的份数：正本 1 份，副本 4 份。</w:t>
            </w:r>
          </w:p>
          <w:p w14:paraId="5257ED0A">
            <w:pPr>
              <w:spacing w:after="28" w:line="259" w:lineRule="auto"/>
              <w:ind w:left="105" w:leftChars="50" w:right="105" w:rightChars="50"/>
              <w:rPr>
                <w:rFonts w:hint="eastAsia" w:ascii="宋体" w:hAnsi="宋体" w:cs="宋体"/>
                <w:szCs w:val="21"/>
                <w:highlight w:val="none"/>
              </w:rPr>
            </w:pPr>
            <w:r>
              <w:rPr>
                <w:rFonts w:hint="eastAsia" w:ascii="宋体" w:hAnsi="宋体" w:cs="宋体"/>
                <w:szCs w:val="21"/>
                <w:highlight w:val="none"/>
              </w:rPr>
              <w:t>提交电子版文件1份（u盘），电子文件为盖章后的投标文件扫描件，电子文件不得设置密码并保证无病毒。</w:t>
            </w:r>
          </w:p>
        </w:tc>
      </w:tr>
      <w:tr w14:paraId="66A38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9" w:hRule="atLeast"/>
          <w:jc w:val="center"/>
        </w:trPr>
        <w:tc>
          <w:tcPr>
            <w:tcW w:w="1168" w:type="dxa"/>
            <w:noWrap w:val="0"/>
            <w:vAlign w:val="center"/>
          </w:tcPr>
          <w:p w14:paraId="59D7C043">
            <w:pPr>
              <w:spacing w:line="259" w:lineRule="auto"/>
              <w:ind w:right="2"/>
              <w:jc w:val="center"/>
              <w:rPr>
                <w:rFonts w:hint="eastAsia" w:ascii="宋体" w:hAnsi="宋体" w:cs="宋体"/>
                <w:szCs w:val="21"/>
                <w:highlight w:val="none"/>
              </w:rPr>
            </w:pPr>
            <w:r>
              <w:rPr>
                <w:rFonts w:hint="eastAsia" w:ascii="宋体" w:hAnsi="宋体" w:cs="宋体"/>
                <w:szCs w:val="21"/>
                <w:highlight w:val="none"/>
              </w:rPr>
              <w:t>4.1.2</w:t>
            </w:r>
          </w:p>
        </w:tc>
        <w:tc>
          <w:tcPr>
            <w:tcW w:w="2043" w:type="dxa"/>
            <w:noWrap w:val="0"/>
            <w:vAlign w:val="center"/>
          </w:tcPr>
          <w:p w14:paraId="43F0996A">
            <w:pPr>
              <w:jc w:val="center"/>
              <w:rPr>
                <w:rFonts w:hint="eastAsia" w:ascii="宋体" w:hAnsi="宋体"/>
                <w:spacing w:val="-1"/>
                <w:highlight w:val="none"/>
              </w:rPr>
            </w:pPr>
            <w:r>
              <w:rPr>
                <w:rFonts w:hint="eastAsia" w:ascii="宋体" w:hAnsi="宋体"/>
                <w:spacing w:val="-1"/>
                <w:highlight w:val="none"/>
              </w:rPr>
              <w:t>封套上应载明的信息</w:t>
            </w:r>
          </w:p>
        </w:tc>
        <w:tc>
          <w:tcPr>
            <w:tcW w:w="5975" w:type="dxa"/>
            <w:noWrap w:val="0"/>
            <w:vAlign w:val="top"/>
          </w:tcPr>
          <w:p w14:paraId="719DE78E">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snapToGrid w:val="0"/>
                <w:color w:val="auto"/>
                <w:kern w:val="0"/>
                <w:sz w:val="21"/>
                <w:szCs w:val="21"/>
                <w:highlight w:val="none"/>
              </w:rPr>
              <w:t>封套上应注明：</w:t>
            </w:r>
          </w:p>
          <w:p w14:paraId="55AB7EA5">
            <w:pPr>
              <w:pStyle w:val="87"/>
              <w:tabs>
                <w:tab w:val="left" w:pos="0"/>
              </w:tabs>
              <w:adjustRightInd w:val="0"/>
              <w:snapToGrid w:val="0"/>
              <w:spacing w:line="240" w:lineRule="auto"/>
              <w:ind w:left="105" w:leftChars="50" w:right="105" w:rightChars="50" w:firstLine="0" w:firstLineChars="0"/>
              <w:rPr>
                <w:rFonts w:hint="eastAsia" w:cs="宋体"/>
                <w:b/>
                <w:snapToGrid w:val="0"/>
                <w:color w:val="auto"/>
                <w:kern w:val="0"/>
                <w:sz w:val="21"/>
                <w:szCs w:val="21"/>
                <w:highlight w:val="none"/>
              </w:rPr>
            </w:pPr>
            <w:r>
              <w:rPr>
                <w:rFonts w:hint="eastAsia" w:cs="宋体"/>
                <w:b/>
                <w:snapToGrid w:val="0"/>
                <w:color w:val="auto"/>
                <w:kern w:val="0"/>
                <w:sz w:val="21"/>
                <w:szCs w:val="21"/>
                <w:highlight w:val="none"/>
              </w:rPr>
              <w:t>投标文件第一个信封（商务及技术文件）封套：</w:t>
            </w:r>
          </w:p>
          <w:p w14:paraId="2EB4CBFE">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snapToGrid w:val="0"/>
                <w:color w:val="auto"/>
                <w:kern w:val="0"/>
                <w:sz w:val="21"/>
                <w:szCs w:val="21"/>
                <w:highlight w:val="none"/>
              </w:rPr>
              <w:t>投标人地址：</w:t>
            </w:r>
            <w:r>
              <w:rPr>
                <w:rFonts w:hint="eastAsia" w:cs="宋体"/>
                <w:snapToGrid w:val="0"/>
                <w:color w:val="auto"/>
                <w:kern w:val="0"/>
                <w:sz w:val="21"/>
                <w:szCs w:val="21"/>
                <w:highlight w:val="none"/>
                <w:u w:val="single"/>
              </w:rPr>
              <w:t xml:space="preserve">          </w:t>
            </w:r>
          </w:p>
          <w:p w14:paraId="5C625C27">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snapToGrid w:val="0"/>
                <w:color w:val="auto"/>
                <w:kern w:val="0"/>
                <w:sz w:val="21"/>
                <w:szCs w:val="21"/>
                <w:highlight w:val="none"/>
              </w:rPr>
              <w:t>投标人名称：</w:t>
            </w:r>
            <w:r>
              <w:rPr>
                <w:rFonts w:hint="eastAsia" w:cs="宋体"/>
                <w:snapToGrid w:val="0"/>
                <w:color w:val="auto"/>
                <w:kern w:val="0"/>
                <w:sz w:val="21"/>
                <w:szCs w:val="21"/>
                <w:highlight w:val="none"/>
                <w:u w:val="single"/>
              </w:rPr>
              <w:t xml:space="preserve">          </w:t>
            </w:r>
          </w:p>
          <w:p w14:paraId="2CD799DC">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snapToGrid w:val="0"/>
                <w:color w:val="auto"/>
                <w:kern w:val="0"/>
                <w:sz w:val="21"/>
                <w:szCs w:val="21"/>
                <w:highlight w:val="none"/>
              </w:rPr>
              <w:t>投标人联系人：</w:t>
            </w:r>
            <w:r>
              <w:rPr>
                <w:rFonts w:hint="eastAsia" w:cs="宋体"/>
                <w:snapToGrid w:val="0"/>
                <w:color w:val="auto"/>
                <w:kern w:val="0"/>
                <w:sz w:val="21"/>
                <w:szCs w:val="21"/>
                <w:highlight w:val="none"/>
                <w:u w:val="single"/>
              </w:rPr>
              <w:t xml:space="preserve">          </w:t>
            </w:r>
          </w:p>
          <w:p w14:paraId="381BA165">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snapToGrid w:val="0"/>
                <w:color w:val="auto"/>
                <w:kern w:val="0"/>
                <w:sz w:val="21"/>
                <w:szCs w:val="21"/>
                <w:highlight w:val="none"/>
              </w:rPr>
              <w:t>投标人联系电话：</w:t>
            </w:r>
            <w:r>
              <w:rPr>
                <w:rFonts w:hint="eastAsia" w:cs="宋体"/>
                <w:snapToGrid w:val="0"/>
                <w:color w:val="auto"/>
                <w:kern w:val="0"/>
                <w:sz w:val="21"/>
                <w:szCs w:val="21"/>
                <w:highlight w:val="none"/>
                <w:u w:val="single"/>
              </w:rPr>
              <w:t xml:space="preserve">  </w:t>
            </w:r>
            <w:r>
              <w:rPr>
                <w:rFonts w:hint="eastAsia" w:cs="宋体"/>
                <w:snapToGrid w:val="0"/>
                <w:color w:val="auto"/>
                <w:kern w:val="0"/>
                <w:sz w:val="21"/>
                <w:szCs w:val="21"/>
                <w:highlight w:val="none"/>
                <w:u w:val="single"/>
                <w:lang w:val="en-US" w:eastAsia="zh-CN"/>
              </w:rPr>
              <w:t xml:space="preserve">       </w:t>
            </w:r>
          </w:p>
          <w:p w14:paraId="2953A489">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snapToGrid w:val="0"/>
                <w:color w:val="auto"/>
                <w:kern w:val="0"/>
                <w:sz w:val="21"/>
                <w:szCs w:val="21"/>
                <w:highlight w:val="none"/>
              </w:rPr>
              <w:t>招标人名称：</w:t>
            </w:r>
            <w:r>
              <w:rPr>
                <w:rFonts w:hint="eastAsia" w:cs="宋体"/>
                <w:snapToGrid w:val="0"/>
                <w:color w:val="auto"/>
                <w:kern w:val="0"/>
                <w:sz w:val="21"/>
                <w:szCs w:val="21"/>
                <w:highlight w:val="none"/>
                <w:u w:val="single"/>
              </w:rPr>
              <w:t xml:space="preserve">  </w:t>
            </w:r>
            <w:r>
              <w:rPr>
                <w:rFonts w:hint="eastAsia" w:cs="宋体"/>
                <w:snapToGrid w:val="0"/>
                <w:color w:val="auto"/>
                <w:kern w:val="0"/>
                <w:sz w:val="21"/>
                <w:szCs w:val="21"/>
                <w:highlight w:val="none"/>
                <w:u w:val="single"/>
                <w:lang w:val="en-US" w:eastAsia="zh-CN"/>
              </w:rPr>
              <w:t xml:space="preserve">       </w:t>
            </w:r>
          </w:p>
          <w:p w14:paraId="58B03D19">
            <w:pPr>
              <w:pStyle w:val="87"/>
              <w:tabs>
                <w:tab w:val="left" w:pos="0"/>
              </w:tabs>
              <w:adjustRightInd w:val="0"/>
              <w:snapToGrid w:val="0"/>
              <w:spacing w:line="240" w:lineRule="auto"/>
              <w:ind w:left="105" w:leftChars="50" w:right="105" w:rightChars="50" w:firstLine="0" w:firstLineChars="0"/>
              <w:rPr>
                <w:rFonts w:hint="eastAsia" w:cs="宋体"/>
                <w:b/>
                <w:snapToGrid w:val="0"/>
                <w:color w:val="auto"/>
                <w:kern w:val="0"/>
                <w:sz w:val="21"/>
                <w:szCs w:val="21"/>
                <w:highlight w:val="none"/>
              </w:rPr>
            </w:pPr>
            <w:r>
              <w:rPr>
                <w:rFonts w:hint="eastAsia" w:cs="宋体"/>
                <w:b/>
                <w:snapToGrid w:val="0"/>
                <w:color w:val="auto"/>
                <w:kern w:val="0"/>
                <w:sz w:val="21"/>
                <w:szCs w:val="21"/>
                <w:highlight w:val="none"/>
                <w:lang w:eastAsia="zh-CN"/>
              </w:rPr>
              <w:t>连申线南通段三级航道整治工程及航道提升工程文物资源区域评估项目</w:t>
            </w:r>
            <w:r>
              <w:rPr>
                <w:rFonts w:hint="eastAsia" w:cs="宋体"/>
                <w:b/>
                <w:snapToGrid w:val="0"/>
                <w:color w:val="auto"/>
                <w:kern w:val="0"/>
                <w:sz w:val="21"/>
                <w:szCs w:val="21"/>
                <w:highlight w:val="none"/>
              </w:rPr>
              <w:t>第一个信封（商务及技术文件）投标文件</w:t>
            </w:r>
          </w:p>
          <w:p w14:paraId="7B5C7290">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snapToGrid w:val="0"/>
                <w:color w:val="auto"/>
                <w:kern w:val="0"/>
                <w:sz w:val="21"/>
                <w:szCs w:val="21"/>
                <w:highlight w:val="none"/>
              </w:rPr>
              <w:t>在</w:t>
            </w:r>
            <w:r>
              <w:rPr>
                <w:rFonts w:hint="eastAsia" w:cs="宋体"/>
                <w:snapToGrid w:val="0"/>
                <w:color w:val="auto"/>
                <w:kern w:val="0"/>
                <w:sz w:val="21"/>
                <w:szCs w:val="21"/>
                <w:highlight w:val="none"/>
                <w:u w:val="single"/>
              </w:rPr>
              <w:t xml:space="preserve">     </w:t>
            </w:r>
            <w:r>
              <w:rPr>
                <w:rFonts w:hint="eastAsia" w:cs="宋体"/>
                <w:snapToGrid w:val="0"/>
                <w:color w:val="auto"/>
                <w:kern w:val="0"/>
                <w:sz w:val="21"/>
                <w:szCs w:val="21"/>
                <w:highlight w:val="none"/>
              </w:rPr>
              <w:t>年</w:t>
            </w:r>
            <w:r>
              <w:rPr>
                <w:rFonts w:hint="eastAsia" w:cs="宋体"/>
                <w:snapToGrid w:val="0"/>
                <w:color w:val="auto"/>
                <w:kern w:val="0"/>
                <w:sz w:val="21"/>
                <w:szCs w:val="21"/>
                <w:highlight w:val="none"/>
                <w:u w:val="single"/>
              </w:rPr>
              <w:t xml:space="preserve">     </w:t>
            </w:r>
            <w:r>
              <w:rPr>
                <w:rFonts w:hint="eastAsia" w:cs="宋体"/>
                <w:snapToGrid w:val="0"/>
                <w:color w:val="auto"/>
                <w:kern w:val="0"/>
                <w:sz w:val="21"/>
                <w:szCs w:val="21"/>
                <w:highlight w:val="none"/>
              </w:rPr>
              <w:t>月</w:t>
            </w:r>
            <w:r>
              <w:rPr>
                <w:rFonts w:hint="eastAsia" w:cs="宋体"/>
                <w:snapToGrid w:val="0"/>
                <w:color w:val="auto"/>
                <w:kern w:val="0"/>
                <w:sz w:val="21"/>
                <w:szCs w:val="21"/>
                <w:highlight w:val="none"/>
                <w:u w:val="single"/>
              </w:rPr>
              <w:t xml:space="preserve">     </w:t>
            </w:r>
            <w:r>
              <w:rPr>
                <w:rFonts w:hint="eastAsia" w:cs="宋体"/>
                <w:snapToGrid w:val="0"/>
                <w:color w:val="auto"/>
                <w:kern w:val="0"/>
                <w:sz w:val="21"/>
                <w:szCs w:val="21"/>
                <w:highlight w:val="none"/>
              </w:rPr>
              <w:t>日</w:t>
            </w:r>
            <w:r>
              <w:rPr>
                <w:rFonts w:hint="eastAsia" w:cs="宋体"/>
                <w:snapToGrid w:val="0"/>
                <w:color w:val="auto"/>
                <w:kern w:val="0"/>
                <w:sz w:val="21"/>
                <w:szCs w:val="21"/>
                <w:highlight w:val="none"/>
                <w:u w:val="single"/>
              </w:rPr>
              <w:t xml:space="preserve">     </w:t>
            </w:r>
            <w:r>
              <w:rPr>
                <w:rFonts w:hint="eastAsia" w:cs="宋体"/>
                <w:snapToGrid w:val="0"/>
                <w:color w:val="auto"/>
                <w:kern w:val="0"/>
                <w:sz w:val="21"/>
                <w:szCs w:val="21"/>
                <w:highlight w:val="none"/>
              </w:rPr>
              <w:t>时</w:t>
            </w:r>
            <w:r>
              <w:rPr>
                <w:rFonts w:hint="eastAsia" w:cs="宋体"/>
                <w:snapToGrid w:val="0"/>
                <w:color w:val="auto"/>
                <w:kern w:val="0"/>
                <w:sz w:val="21"/>
                <w:szCs w:val="21"/>
                <w:highlight w:val="none"/>
                <w:u w:val="single"/>
              </w:rPr>
              <w:t xml:space="preserve">     </w:t>
            </w:r>
            <w:r>
              <w:rPr>
                <w:rFonts w:hint="eastAsia" w:cs="宋体"/>
                <w:snapToGrid w:val="0"/>
                <w:color w:val="auto"/>
                <w:kern w:val="0"/>
                <w:sz w:val="21"/>
                <w:szCs w:val="21"/>
                <w:highlight w:val="none"/>
              </w:rPr>
              <w:t>分（即投标截止时间）前不得开启</w:t>
            </w:r>
          </w:p>
          <w:p w14:paraId="2134D604">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b/>
                <w:snapToGrid w:val="0"/>
                <w:color w:val="auto"/>
                <w:kern w:val="0"/>
                <w:sz w:val="21"/>
                <w:szCs w:val="21"/>
                <w:highlight w:val="none"/>
              </w:rPr>
              <w:t>投标文件第二个信封（投标报价和报价清单）封套：</w:t>
            </w:r>
            <w:r>
              <w:rPr>
                <w:rFonts w:hint="eastAsia" w:cs="宋体"/>
                <w:snapToGrid w:val="0"/>
                <w:color w:val="auto"/>
                <w:kern w:val="0"/>
                <w:sz w:val="21"/>
                <w:szCs w:val="21"/>
                <w:highlight w:val="none"/>
                <w:u w:val="single"/>
              </w:rPr>
              <w:t xml:space="preserve">       </w:t>
            </w:r>
          </w:p>
          <w:p w14:paraId="00859122">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snapToGrid w:val="0"/>
                <w:color w:val="auto"/>
                <w:kern w:val="0"/>
                <w:sz w:val="21"/>
                <w:szCs w:val="21"/>
                <w:highlight w:val="none"/>
              </w:rPr>
              <w:t>投标人地址：</w:t>
            </w:r>
            <w:r>
              <w:rPr>
                <w:rFonts w:hint="eastAsia" w:cs="宋体"/>
                <w:snapToGrid w:val="0"/>
                <w:color w:val="auto"/>
                <w:kern w:val="0"/>
                <w:sz w:val="21"/>
                <w:szCs w:val="21"/>
                <w:highlight w:val="none"/>
                <w:u w:val="single"/>
              </w:rPr>
              <w:t xml:space="preserve">          </w:t>
            </w:r>
          </w:p>
          <w:p w14:paraId="3048F864">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snapToGrid w:val="0"/>
                <w:color w:val="auto"/>
                <w:kern w:val="0"/>
                <w:sz w:val="21"/>
                <w:szCs w:val="21"/>
                <w:highlight w:val="none"/>
              </w:rPr>
              <w:t>投标人名称：</w:t>
            </w:r>
            <w:r>
              <w:rPr>
                <w:rFonts w:hint="eastAsia" w:cs="宋体"/>
                <w:snapToGrid w:val="0"/>
                <w:color w:val="auto"/>
                <w:kern w:val="0"/>
                <w:sz w:val="21"/>
                <w:szCs w:val="21"/>
                <w:highlight w:val="none"/>
                <w:u w:val="single"/>
              </w:rPr>
              <w:t xml:space="preserve">          </w:t>
            </w:r>
          </w:p>
          <w:p w14:paraId="559D9C58">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snapToGrid w:val="0"/>
                <w:color w:val="auto"/>
                <w:kern w:val="0"/>
                <w:sz w:val="21"/>
                <w:szCs w:val="21"/>
                <w:highlight w:val="none"/>
              </w:rPr>
              <w:t>投标人联系人：</w:t>
            </w:r>
            <w:r>
              <w:rPr>
                <w:rFonts w:hint="eastAsia" w:cs="宋体"/>
                <w:snapToGrid w:val="0"/>
                <w:color w:val="auto"/>
                <w:kern w:val="0"/>
                <w:sz w:val="21"/>
                <w:szCs w:val="21"/>
                <w:highlight w:val="none"/>
                <w:u w:val="single"/>
              </w:rPr>
              <w:t xml:space="preserve">          </w:t>
            </w:r>
          </w:p>
          <w:p w14:paraId="335950CE">
            <w:pPr>
              <w:pStyle w:val="87"/>
              <w:tabs>
                <w:tab w:val="left" w:pos="0"/>
              </w:tabs>
              <w:adjustRightInd w:val="0"/>
              <w:snapToGrid w:val="0"/>
              <w:spacing w:line="240" w:lineRule="auto"/>
              <w:ind w:left="105" w:leftChars="50" w:right="105" w:rightChars="50" w:firstLine="0" w:firstLineChars="0"/>
              <w:rPr>
                <w:rFonts w:hint="default" w:eastAsia="宋体" w:cs="宋体"/>
                <w:snapToGrid w:val="0"/>
                <w:color w:val="auto"/>
                <w:kern w:val="0"/>
                <w:sz w:val="21"/>
                <w:szCs w:val="21"/>
                <w:highlight w:val="none"/>
                <w:lang w:val="en-US" w:eastAsia="zh-CN"/>
              </w:rPr>
            </w:pPr>
            <w:r>
              <w:rPr>
                <w:rFonts w:hint="eastAsia" w:cs="宋体"/>
                <w:snapToGrid w:val="0"/>
                <w:color w:val="auto"/>
                <w:kern w:val="0"/>
                <w:sz w:val="21"/>
                <w:szCs w:val="21"/>
                <w:highlight w:val="none"/>
              </w:rPr>
              <w:t>投标人联系电话：</w:t>
            </w:r>
            <w:r>
              <w:rPr>
                <w:rFonts w:hint="eastAsia" w:cs="宋体"/>
                <w:snapToGrid w:val="0"/>
                <w:color w:val="auto"/>
                <w:kern w:val="0"/>
                <w:sz w:val="21"/>
                <w:szCs w:val="21"/>
                <w:highlight w:val="none"/>
                <w:u w:val="single"/>
              </w:rPr>
              <w:t xml:space="preserve">  </w:t>
            </w:r>
            <w:r>
              <w:rPr>
                <w:rFonts w:hint="eastAsia" w:cs="宋体"/>
                <w:snapToGrid w:val="0"/>
                <w:color w:val="auto"/>
                <w:kern w:val="0"/>
                <w:sz w:val="21"/>
                <w:szCs w:val="21"/>
                <w:highlight w:val="none"/>
                <w:u w:val="single"/>
                <w:lang w:val="en-US" w:eastAsia="zh-CN"/>
              </w:rPr>
              <w:t xml:space="preserve">       </w:t>
            </w:r>
          </w:p>
          <w:p w14:paraId="204310C5">
            <w:pPr>
              <w:pStyle w:val="87"/>
              <w:tabs>
                <w:tab w:val="left" w:pos="0"/>
              </w:tabs>
              <w:adjustRightInd w:val="0"/>
              <w:snapToGrid w:val="0"/>
              <w:spacing w:line="240" w:lineRule="auto"/>
              <w:ind w:left="105" w:leftChars="50" w:right="105" w:rightChars="50" w:firstLine="0" w:firstLineChars="0"/>
              <w:rPr>
                <w:rFonts w:hint="eastAsia" w:cs="宋体"/>
                <w:snapToGrid w:val="0"/>
                <w:color w:val="auto"/>
                <w:kern w:val="0"/>
                <w:sz w:val="21"/>
                <w:szCs w:val="21"/>
                <w:highlight w:val="none"/>
              </w:rPr>
            </w:pPr>
            <w:r>
              <w:rPr>
                <w:rFonts w:hint="eastAsia" w:cs="宋体"/>
                <w:snapToGrid w:val="0"/>
                <w:color w:val="auto"/>
                <w:kern w:val="0"/>
                <w:sz w:val="21"/>
                <w:szCs w:val="21"/>
                <w:highlight w:val="none"/>
              </w:rPr>
              <w:t>招标人名称：</w:t>
            </w:r>
            <w:r>
              <w:rPr>
                <w:rFonts w:hint="eastAsia" w:cs="宋体"/>
                <w:snapToGrid w:val="0"/>
                <w:color w:val="auto"/>
                <w:kern w:val="0"/>
                <w:sz w:val="21"/>
                <w:szCs w:val="21"/>
                <w:highlight w:val="none"/>
                <w:u w:val="single"/>
              </w:rPr>
              <w:t xml:space="preserve">  </w:t>
            </w:r>
            <w:r>
              <w:rPr>
                <w:rFonts w:hint="eastAsia" w:cs="宋体"/>
                <w:snapToGrid w:val="0"/>
                <w:color w:val="auto"/>
                <w:kern w:val="0"/>
                <w:sz w:val="21"/>
                <w:szCs w:val="21"/>
                <w:highlight w:val="none"/>
                <w:u w:val="single"/>
                <w:lang w:val="en-US" w:eastAsia="zh-CN"/>
              </w:rPr>
              <w:t xml:space="preserve">       </w:t>
            </w:r>
          </w:p>
          <w:p w14:paraId="0549B7D3">
            <w:pPr>
              <w:pStyle w:val="87"/>
              <w:tabs>
                <w:tab w:val="left" w:pos="0"/>
              </w:tabs>
              <w:adjustRightInd w:val="0"/>
              <w:snapToGrid w:val="0"/>
              <w:spacing w:line="240" w:lineRule="auto"/>
              <w:ind w:left="105" w:leftChars="50" w:right="105" w:rightChars="50" w:firstLine="0" w:firstLineChars="0"/>
              <w:rPr>
                <w:rFonts w:hint="eastAsia" w:cs="宋体"/>
                <w:b/>
                <w:snapToGrid w:val="0"/>
                <w:color w:val="auto"/>
                <w:kern w:val="0"/>
                <w:sz w:val="21"/>
                <w:szCs w:val="21"/>
                <w:highlight w:val="none"/>
              </w:rPr>
            </w:pPr>
            <w:r>
              <w:rPr>
                <w:rFonts w:hint="eastAsia" w:cs="宋体"/>
                <w:b/>
                <w:snapToGrid w:val="0"/>
                <w:color w:val="auto"/>
                <w:kern w:val="0"/>
                <w:sz w:val="21"/>
                <w:szCs w:val="21"/>
                <w:highlight w:val="none"/>
                <w:lang w:eastAsia="zh-CN"/>
              </w:rPr>
              <w:t>连申线南通段三级航道整治工程及航道提升工程文物资源区域评估项目</w:t>
            </w:r>
            <w:r>
              <w:rPr>
                <w:rFonts w:hint="eastAsia" w:cs="宋体"/>
                <w:b/>
                <w:snapToGrid w:val="0"/>
                <w:color w:val="auto"/>
                <w:kern w:val="0"/>
                <w:sz w:val="21"/>
                <w:szCs w:val="21"/>
                <w:highlight w:val="none"/>
              </w:rPr>
              <w:t>第二个信封（投标报价和报价清单）投标文件</w:t>
            </w:r>
          </w:p>
          <w:p w14:paraId="3E71D382">
            <w:pPr>
              <w:adjustRightInd w:val="0"/>
              <w:snapToGrid w:val="0"/>
              <w:ind w:left="105" w:leftChars="50" w:right="105" w:rightChars="50"/>
              <w:rPr>
                <w:rFonts w:hint="eastAsia" w:ascii="宋体" w:hAnsi="宋体" w:cs="宋体"/>
                <w:szCs w:val="21"/>
                <w:highlight w:val="none"/>
              </w:rPr>
            </w:pPr>
            <w:r>
              <w:rPr>
                <w:rFonts w:hint="eastAsia" w:ascii="宋体" w:hAnsi="宋体" w:cs="宋体"/>
                <w:snapToGrid w:val="0"/>
                <w:szCs w:val="21"/>
                <w:highlight w:val="none"/>
              </w:rPr>
              <w:t>在投标文件第一个信封（商务及技术文件）评审结束前不得开启。</w:t>
            </w:r>
          </w:p>
        </w:tc>
      </w:tr>
      <w:tr w14:paraId="27863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jc w:val="center"/>
        </w:trPr>
        <w:tc>
          <w:tcPr>
            <w:tcW w:w="1168" w:type="dxa"/>
            <w:noWrap w:val="0"/>
            <w:vAlign w:val="center"/>
          </w:tcPr>
          <w:p w14:paraId="49025BB5">
            <w:pPr>
              <w:widowControl/>
              <w:wordWrap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5.1</w:t>
            </w:r>
          </w:p>
        </w:tc>
        <w:tc>
          <w:tcPr>
            <w:tcW w:w="2043" w:type="dxa"/>
            <w:noWrap w:val="0"/>
            <w:vAlign w:val="center"/>
          </w:tcPr>
          <w:p w14:paraId="0B3E3F26">
            <w:pPr>
              <w:widowControl/>
              <w:spacing w:line="259" w:lineRule="auto"/>
              <w:jc w:val="center"/>
              <w:rPr>
                <w:rFonts w:hint="eastAsia" w:ascii="宋体" w:hAnsi="宋体" w:cs="宋体"/>
                <w:szCs w:val="21"/>
                <w:highlight w:val="none"/>
              </w:rPr>
            </w:pPr>
            <w:r>
              <w:rPr>
                <w:rFonts w:hint="eastAsia" w:ascii="宋体" w:hAnsi="宋体" w:cs="宋体"/>
                <w:szCs w:val="21"/>
                <w:highlight w:val="none"/>
              </w:rPr>
              <w:t>开标时间和地点</w:t>
            </w:r>
          </w:p>
        </w:tc>
        <w:tc>
          <w:tcPr>
            <w:tcW w:w="5975" w:type="dxa"/>
            <w:noWrap w:val="0"/>
            <w:vAlign w:val="center"/>
          </w:tcPr>
          <w:p w14:paraId="339656A2">
            <w:pPr>
              <w:widowControl/>
              <w:ind w:left="105" w:leftChars="50" w:right="105" w:rightChars="50"/>
              <w:jc w:val="left"/>
              <w:rPr>
                <w:rFonts w:hint="eastAsia" w:ascii="宋体" w:hAnsi="宋体" w:cs="宋体"/>
                <w:bCs/>
                <w:szCs w:val="21"/>
                <w:highlight w:val="none"/>
                <w:lang w:val="zh-CN"/>
              </w:rPr>
            </w:pPr>
            <w:r>
              <w:rPr>
                <w:rFonts w:hint="eastAsia" w:ascii="宋体" w:hAnsi="宋体" w:cs="宋体"/>
                <w:bCs/>
                <w:szCs w:val="21"/>
                <w:highlight w:val="none"/>
                <w:lang w:val="zh-CN"/>
              </w:rPr>
              <w:t>详见招标公告及补遗书。</w:t>
            </w:r>
          </w:p>
        </w:tc>
      </w:tr>
      <w:tr w14:paraId="2DD71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4" w:hRule="atLeast"/>
          <w:jc w:val="center"/>
        </w:trPr>
        <w:tc>
          <w:tcPr>
            <w:tcW w:w="1168" w:type="dxa"/>
            <w:noWrap w:val="0"/>
            <w:vAlign w:val="center"/>
          </w:tcPr>
          <w:p w14:paraId="5E8FF547">
            <w:pPr>
              <w:widowControl/>
              <w:wordWrap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6.1.1</w:t>
            </w:r>
          </w:p>
        </w:tc>
        <w:tc>
          <w:tcPr>
            <w:tcW w:w="2043" w:type="dxa"/>
            <w:noWrap w:val="0"/>
            <w:vAlign w:val="center"/>
          </w:tcPr>
          <w:p w14:paraId="58EB81EA">
            <w:pPr>
              <w:widowControl/>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评标委员会的组建</w:t>
            </w:r>
          </w:p>
        </w:tc>
        <w:tc>
          <w:tcPr>
            <w:tcW w:w="5975" w:type="dxa"/>
            <w:noWrap w:val="0"/>
            <w:vAlign w:val="center"/>
          </w:tcPr>
          <w:p w14:paraId="5B75955B">
            <w:pPr>
              <w:widowControl/>
              <w:tabs>
                <w:tab w:val="left" w:pos="312"/>
              </w:tabs>
              <w:adjustRightInd w:val="0"/>
              <w:snapToGrid w:val="0"/>
              <w:ind w:left="105" w:leftChars="50" w:right="105" w:rightChars="50"/>
              <w:jc w:val="left"/>
              <w:rPr>
                <w:rFonts w:hint="eastAsia" w:ascii="宋体" w:hAnsi="宋体" w:cs="宋体"/>
                <w:kern w:val="0"/>
                <w:szCs w:val="21"/>
                <w:highlight w:val="none"/>
              </w:rPr>
            </w:pPr>
            <w:r>
              <w:rPr>
                <w:rFonts w:hint="eastAsia" w:ascii="宋体" w:hAnsi="宋体" w:cs="宋体"/>
                <w:kern w:val="0"/>
                <w:szCs w:val="21"/>
                <w:highlight w:val="none"/>
              </w:rPr>
              <w:t>评标委员会构成：5人或5人以上单数，其中招标人代表不超过成员总数的1/3，专家不少于成员总数的2/3。</w:t>
            </w:r>
          </w:p>
          <w:p w14:paraId="705D15F5">
            <w:pPr>
              <w:widowControl/>
              <w:tabs>
                <w:tab w:val="left" w:pos="312"/>
              </w:tabs>
              <w:adjustRightInd w:val="0"/>
              <w:snapToGrid w:val="0"/>
              <w:ind w:left="105" w:leftChars="50" w:right="105" w:rightChars="50"/>
              <w:jc w:val="left"/>
              <w:rPr>
                <w:rFonts w:hint="eastAsia" w:ascii="宋体" w:hAnsi="宋体" w:cs="宋体"/>
                <w:szCs w:val="21"/>
                <w:highlight w:val="none"/>
              </w:rPr>
            </w:pPr>
            <w:r>
              <w:rPr>
                <w:rFonts w:hint="eastAsia" w:ascii="宋体" w:hAnsi="宋体" w:cs="宋体"/>
                <w:kern w:val="0"/>
                <w:szCs w:val="21"/>
                <w:highlight w:val="none"/>
              </w:rPr>
              <w:t>评标专家确定方式：</w:t>
            </w:r>
            <w:r>
              <w:rPr>
                <w:rFonts w:hint="eastAsia" w:ascii="宋体" w:hAnsi="宋体" w:cs="宋体"/>
                <w:kern w:val="0"/>
                <w:szCs w:val="21"/>
                <w:highlight w:val="none"/>
                <w:lang w:val="en-US" w:eastAsia="zh-CN"/>
              </w:rPr>
              <w:t>由招标人依法组建</w:t>
            </w:r>
          </w:p>
        </w:tc>
      </w:tr>
      <w:tr w14:paraId="3D55F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4" w:hRule="atLeast"/>
          <w:jc w:val="center"/>
        </w:trPr>
        <w:tc>
          <w:tcPr>
            <w:tcW w:w="1168" w:type="dxa"/>
            <w:noWrap w:val="0"/>
            <w:vAlign w:val="center"/>
          </w:tcPr>
          <w:p w14:paraId="48B30309">
            <w:pPr>
              <w:widowControl/>
              <w:wordWrap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6.3.2</w:t>
            </w:r>
          </w:p>
        </w:tc>
        <w:tc>
          <w:tcPr>
            <w:tcW w:w="2043" w:type="dxa"/>
            <w:noWrap w:val="0"/>
            <w:vAlign w:val="center"/>
          </w:tcPr>
          <w:p w14:paraId="61A102A0">
            <w:pPr>
              <w:widowControl/>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评标委员会推荐中标候选人的人数</w:t>
            </w:r>
          </w:p>
        </w:tc>
        <w:tc>
          <w:tcPr>
            <w:tcW w:w="5975" w:type="dxa"/>
            <w:noWrap w:val="0"/>
            <w:vAlign w:val="center"/>
          </w:tcPr>
          <w:p w14:paraId="376B8342">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评标委员会推荐的中标候选人的数量为3家，若有效投标人不足3家的，则推荐的中标候选人的数量为有效投标人的数量。</w:t>
            </w:r>
          </w:p>
        </w:tc>
      </w:tr>
      <w:tr w14:paraId="51F7D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9" w:hRule="atLeast"/>
          <w:jc w:val="center"/>
        </w:trPr>
        <w:tc>
          <w:tcPr>
            <w:tcW w:w="1168" w:type="dxa"/>
            <w:noWrap w:val="0"/>
            <w:vAlign w:val="center"/>
          </w:tcPr>
          <w:p w14:paraId="42EF5845">
            <w:pPr>
              <w:widowControl/>
              <w:wordWrap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7.1</w:t>
            </w:r>
          </w:p>
        </w:tc>
        <w:tc>
          <w:tcPr>
            <w:tcW w:w="2043" w:type="dxa"/>
            <w:noWrap w:val="0"/>
            <w:vAlign w:val="center"/>
          </w:tcPr>
          <w:p w14:paraId="000EFE98">
            <w:pPr>
              <w:widowControl/>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中标候选人的公示媒介及期限</w:t>
            </w:r>
          </w:p>
        </w:tc>
        <w:tc>
          <w:tcPr>
            <w:tcW w:w="5975" w:type="dxa"/>
            <w:noWrap w:val="0"/>
            <w:vAlign w:val="center"/>
          </w:tcPr>
          <w:p w14:paraId="2F12B635">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公示媒介：同招标公告发布媒介</w:t>
            </w:r>
          </w:p>
          <w:p w14:paraId="148DC3D2">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公示期限：3日</w:t>
            </w:r>
          </w:p>
          <w:p w14:paraId="59C07DA7">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公示的其他内容：</w:t>
            </w:r>
            <w:r>
              <w:rPr>
                <w:rFonts w:hint="eastAsia" w:ascii="宋体" w:hAnsi="宋体" w:cs="宋体"/>
                <w:szCs w:val="21"/>
                <w:highlight w:val="none"/>
                <w:u w:val="single"/>
              </w:rPr>
              <w:t xml:space="preserve"> / </w:t>
            </w:r>
          </w:p>
        </w:tc>
      </w:tr>
      <w:tr w14:paraId="214C0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79E936C9">
            <w:pPr>
              <w:widowControl/>
              <w:wordWrap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7.4</w:t>
            </w:r>
          </w:p>
        </w:tc>
        <w:tc>
          <w:tcPr>
            <w:tcW w:w="2043" w:type="dxa"/>
            <w:noWrap w:val="0"/>
            <w:vAlign w:val="center"/>
          </w:tcPr>
          <w:p w14:paraId="79A3765B">
            <w:pPr>
              <w:autoSpaceDE w:val="0"/>
              <w:autoSpaceDN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是否授权评标委员会确定中标人</w:t>
            </w:r>
          </w:p>
        </w:tc>
        <w:tc>
          <w:tcPr>
            <w:tcW w:w="5975" w:type="dxa"/>
            <w:noWrap w:val="0"/>
            <w:vAlign w:val="center"/>
          </w:tcPr>
          <w:p w14:paraId="53EEECA2">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□是</w:t>
            </w:r>
          </w:p>
          <w:p w14:paraId="1E8EA047">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kern w:val="0"/>
                <w:szCs w:val="21"/>
                <w:highlight w:val="none"/>
              </w:rPr>
              <w:t>☑</w:t>
            </w:r>
            <w:r>
              <w:rPr>
                <w:rFonts w:hint="eastAsia" w:ascii="宋体" w:hAnsi="宋体" w:cs="宋体"/>
                <w:szCs w:val="21"/>
                <w:highlight w:val="none"/>
              </w:rPr>
              <w:t>否</w:t>
            </w:r>
          </w:p>
        </w:tc>
      </w:tr>
      <w:tr w14:paraId="55369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44" w:hRule="atLeast"/>
          <w:jc w:val="center"/>
        </w:trPr>
        <w:tc>
          <w:tcPr>
            <w:tcW w:w="1168" w:type="dxa"/>
            <w:noWrap w:val="0"/>
            <w:vAlign w:val="center"/>
          </w:tcPr>
          <w:p w14:paraId="7084FB7E">
            <w:pPr>
              <w:widowControl/>
              <w:wordWrap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7.5</w:t>
            </w:r>
          </w:p>
        </w:tc>
        <w:tc>
          <w:tcPr>
            <w:tcW w:w="2043" w:type="dxa"/>
            <w:noWrap w:val="0"/>
            <w:vAlign w:val="center"/>
          </w:tcPr>
          <w:p w14:paraId="6F0AE5FE">
            <w:pPr>
              <w:autoSpaceDE w:val="0"/>
              <w:autoSpaceDN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中标通知书和中标结果通知发出的形式</w:t>
            </w:r>
          </w:p>
        </w:tc>
        <w:tc>
          <w:tcPr>
            <w:tcW w:w="5975" w:type="dxa"/>
            <w:noWrap w:val="0"/>
            <w:vAlign w:val="center"/>
          </w:tcPr>
          <w:p w14:paraId="26F541E4">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1.中标通知书发出的形式：以传真或电子邮件的形式将中标通知书扫描件发送给中标人，中标通知书原件由中标人自行至招标人处领取。</w:t>
            </w:r>
          </w:p>
          <w:p w14:paraId="67345886">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 xml:space="preserve">2.中标结果通知发出的形式：中标结果公告见招标公告发布媒介。 </w:t>
            </w:r>
          </w:p>
          <w:p w14:paraId="6E0F23CF">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由投标人自行查看，招标人不再另行以其他形式通知未中标的投标人。</w:t>
            </w:r>
          </w:p>
        </w:tc>
      </w:tr>
      <w:tr w14:paraId="7B7FB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7" w:hRule="atLeast"/>
          <w:jc w:val="center"/>
        </w:trPr>
        <w:tc>
          <w:tcPr>
            <w:tcW w:w="1168" w:type="dxa"/>
            <w:noWrap w:val="0"/>
            <w:vAlign w:val="center"/>
          </w:tcPr>
          <w:p w14:paraId="2BF5D579">
            <w:pPr>
              <w:widowControl/>
              <w:wordWrap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7.6</w:t>
            </w:r>
          </w:p>
        </w:tc>
        <w:tc>
          <w:tcPr>
            <w:tcW w:w="2043" w:type="dxa"/>
            <w:noWrap w:val="0"/>
            <w:vAlign w:val="center"/>
          </w:tcPr>
          <w:p w14:paraId="45C63F29">
            <w:pPr>
              <w:autoSpaceDE w:val="0"/>
              <w:autoSpaceDN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中标结果公告媒介及期限</w:t>
            </w:r>
          </w:p>
        </w:tc>
        <w:tc>
          <w:tcPr>
            <w:tcW w:w="5975" w:type="dxa"/>
            <w:noWrap w:val="0"/>
            <w:vAlign w:val="center"/>
          </w:tcPr>
          <w:p w14:paraId="5D2FF420">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公告媒介：同招标公告发布媒介</w:t>
            </w:r>
          </w:p>
          <w:p w14:paraId="52D6760E">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rPr>
              <w:t>公告期限：3日</w:t>
            </w:r>
          </w:p>
        </w:tc>
      </w:tr>
      <w:tr w14:paraId="3FAE7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1168" w:type="dxa"/>
            <w:noWrap w:val="0"/>
            <w:vAlign w:val="center"/>
          </w:tcPr>
          <w:p w14:paraId="05AC74E9">
            <w:pPr>
              <w:spacing w:line="259" w:lineRule="auto"/>
              <w:ind w:right="108"/>
              <w:jc w:val="center"/>
              <w:rPr>
                <w:rFonts w:hint="eastAsia" w:ascii="宋体" w:hAnsi="宋体" w:cs="宋体"/>
                <w:szCs w:val="21"/>
                <w:highlight w:val="none"/>
              </w:rPr>
            </w:pPr>
            <w:r>
              <w:rPr>
                <w:rFonts w:hint="eastAsia" w:ascii="宋体" w:hAnsi="宋体" w:cs="宋体"/>
                <w:szCs w:val="21"/>
                <w:highlight w:val="none"/>
              </w:rPr>
              <w:t>7.7</w:t>
            </w:r>
          </w:p>
        </w:tc>
        <w:tc>
          <w:tcPr>
            <w:tcW w:w="2043" w:type="dxa"/>
            <w:noWrap w:val="0"/>
            <w:vAlign w:val="center"/>
          </w:tcPr>
          <w:p w14:paraId="3A2A2C08">
            <w:pPr>
              <w:spacing w:line="259" w:lineRule="auto"/>
              <w:ind w:right="106"/>
              <w:jc w:val="center"/>
              <w:rPr>
                <w:rFonts w:hint="eastAsia" w:ascii="宋体" w:hAnsi="宋体" w:cs="宋体"/>
                <w:szCs w:val="21"/>
                <w:highlight w:val="none"/>
              </w:rPr>
            </w:pPr>
            <w:r>
              <w:rPr>
                <w:rFonts w:hint="eastAsia" w:ascii="宋体" w:hAnsi="宋体" w:cs="宋体"/>
                <w:szCs w:val="21"/>
                <w:highlight w:val="none"/>
              </w:rPr>
              <w:t>技术成果经济补偿</w:t>
            </w:r>
          </w:p>
        </w:tc>
        <w:tc>
          <w:tcPr>
            <w:tcW w:w="5975" w:type="dxa"/>
            <w:noWrap w:val="0"/>
            <w:vAlign w:val="top"/>
          </w:tcPr>
          <w:p w14:paraId="67EECF5F">
            <w:pPr>
              <w:spacing w:after="33" w:line="259" w:lineRule="auto"/>
              <w:ind w:left="105" w:leftChars="50" w:right="105" w:rightChars="50"/>
              <w:rPr>
                <w:rFonts w:hint="eastAsia" w:ascii="宋体" w:hAnsi="宋体" w:cs="宋体"/>
                <w:szCs w:val="21"/>
                <w:highlight w:val="none"/>
              </w:rPr>
            </w:pPr>
            <w:r>
              <w:rPr>
                <w:rFonts w:hint="eastAsia" w:ascii="宋体" w:hAnsi="宋体" w:cs="宋体"/>
                <w:szCs w:val="21"/>
                <w:highlight w:val="none"/>
              </w:rPr>
              <w:t xml:space="preserve">☑不补偿 </w:t>
            </w:r>
          </w:p>
          <w:p w14:paraId="23B668BF">
            <w:pPr>
              <w:spacing w:line="259" w:lineRule="auto"/>
              <w:ind w:left="105" w:leftChars="50" w:right="105" w:rightChars="50"/>
              <w:rPr>
                <w:rFonts w:hint="eastAsia" w:ascii="宋体" w:hAnsi="宋体" w:cs="宋体"/>
                <w:szCs w:val="21"/>
                <w:highlight w:val="none"/>
              </w:rPr>
            </w:pPr>
            <w:r>
              <w:rPr>
                <w:rFonts w:hint="eastAsia" w:ascii="宋体" w:hAnsi="宋体" w:cs="宋体"/>
                <w:szCs w:val="21"/>
                <w:highlight w:val="none"/>
              </w:rPr>
              <w:t xml:space="preserve">□补偿，补偿标准： </w:t>
            </w:r>
          </w:p>
        </w:tc>
      </w:tr>
      <w:tr w14:paraId="19843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3" w:hRule="atLeast"/>
          <w:jc w:val="center"/>
        </w:trPr>
        <w:tc>
          <w:tcPr>
            <w:tcW w:w="1168" w:type="dxa"/>
            <w:noWrap w:val="0"/>
            <w:vAlign w:val="center"/>
          </w:tcPr>
          <w:p w14:paraId="32C29E30">
            <w:pPr>
              <w:widowControl/>
              <w:wordWrap w:val="0"/>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7.8.1</w:t>
            </w:r>
          </w:p>
        </w:tc>
        <w:tc>
          <w:tcPr>
            <w:tcW w:w="2043" w:type="dxa"/>
            <w:noWrap w:val="0"/>
            <w:vAlign w:val="center"/>
          </w:tcPr>
          <w:p w14:paraId="386B7349">
            <w:pPr>
              <w:widowControl/>
              <w:adjustRightInd w:val="0"/>
              <w:snapToGrid w:val="0"/>
              <w:jc w:val="center"/>
              <w:rPr>
                <w:rFonts w:hint="eastAsia" w:ascii="宋体" w:hAnsi="宋体" w:cs="宋体"/>
                <w:szCs w:val="21"/>
                <w:highlight w:val="none"/>
              </w:rPr>
            </w:pPr>
            <w:r>
              <w:rPr>
                <w:rFonts w:hint="eastAsia" w:ascii="宋体" w:hAnsi="宋体" w:cs="宋体"/>
                <w:kern w:val="0"/>
                <w:szCs w:val="21"/>
                <w:highlight w:val="none"/>
              </w:rPr>
              <w:t>履约保证金</w:t>
            </w:r>
          </w:p>
        </w:tc>
        <w:tc>
          <w:tcPr>
            <w:tcW w:w="5975" w:type="dxa"/>
            <w:noWrap w:val="0"/>
            <w:vAlign w:val="center"/>
          </w:tcPr>
          <w:p w14:paraId="709FD0E1">
            <w:pPr>
              <w:keepNext w:val="0"/>
              <w:keepLines w:val="0"/>
              <w:pageBreakBefore w:val="0"/>
              <w:widowControl/>
              <w:kinsoku/>
              <w:wordWrap/>
              <w:overflowPunct/>
              <w:topLinePunct w:val="0"/>
              <w:autoSpaceDE/>
              <w:autoSpaceDN/>
              <w:bidi w:val="0"/>
              <w:adjustRightInd/>
              <w:snapToGrid/>
              <w:ind w:left="0" w:leftChars="0" w:right="0" w:rightChars="0"/>
              <w:jc w:val="left"/>
              <w:textAlignment w:val="auto"/>
              <w:rPr>
                <w:rFonts w:hint="eastAsia" w:ascii="宋体" w:hAnsi="宋体" w:cs="宋体"/>
                <w:szCs w:val="21"/>
                <w:highlight w:val="none"/>
                <w:lang w:val="zh-CN"/>
              </w:rPr>
            </w:pPr>
            <w:r>
              <w:rPr>
                <w:rFonts w:hint="eastAsia" w:ascii="宋体" w:hAnsi="宋体" w:cs="宋体"/>
                <w:szCs w:val="21"/>
                <w:highlight w:val="none"/>
                <w:lang w:val="zh-CN"/>
              </w:rPr>
              <w:t>是否要求中标人提交履约保证金：</w:t>
            </w:r>
          </w:p>
          <w:p w14:paraId="71F368F1">
            <w:pPr>
              <w:keepNext w:val="0"/>
              <w:keepLines w:val="0"/>
              <w:pageBreakBefore w:val="0"/>
              <w:widowControl/>
              <w:kinsoku/>
              <w:wordWrap/>
              <w:overflowPunct/>
              <w:topLinePunct w:val="0"/>
              <w:autoSpaceDE/>
              <w:autoSpaceDN/>
              <w:bidi w:val="0"/>
              <w:adjustRightInd/>
              <w:snapToGrid/>
              <w:spacing w:line="300" w:lineRule="exact"/>
              <w:ind w:left="0" w:leftChars="0" w:right="0" w:rightChars="0"/>
              <w:jc w:val="both"/>
              <w:textAlignment w:val="auto"/>
              <w:rPr>
                <w:rFonts w:hint="eastAsia" w:ascii="宋体" w:hAnsi="宋体" w:eastAsia="宋体" w:cs="宋体"/>
                <w:b/>
                <w:bCs/>
                <w:sz w:val="21"/>
                <w:szCs w:val="21"/>
                <w:highlight w:val="none"/>
              </w:rPr>
            </w:pPr>
            <w:r>
              <w:rPr>
                <w:rFonts w:hint="eastAsia" w:ascii="宋体" w:hAnsi="宋体" w:cs="宋体"/>
                <w:kern w:val="0"/>
                <w:szCs w:val="21"/>
                <w:highlight w:val="none"/>
                <w:lang w:eastAsia="zh-CN"/>
              </w:rPr>
              <w:t>☑</w:t>
            </w:r>
            <w:r>
              <w:rPr>
                <w:rFonts w:hint="eastAsia" w:ascii="宋体" w:hAnsi="宋体" w:cs="宋体"/>
                <w:szCs w:val="21"/>
                <w:highlight w:val="none"/>
                <w:lang w:val="zh-CN"/>
              </w:rPr>
              <w:t>要求，</w:t>
            </w:r>
            <w:r>
              <w:rPr>
                <w:rFonts w:hint="eastAsia" w:ascii="宋体" w:hAnsi="宋体" w:eastAsia="宋体" w:cs="宋体"/>
                <w:b/>
                <w:bCs/>
                <w:sz w:val="21"/>
                <w:szCs w:val="21"/>
                <w:highlight w:val="none"/>
                <w:lang w:val="zh-CN"/>
              </w:rPr>
              <w:t>履约保证金的形式：</w:t>
            </w:r>
            <w:r>
              <w:rPr>
                <w:rFonts w:hint="eastAsia" w:ascii="宋体" w:hAnsi="宋体" w:eastAsia="宋体" w:cs="宋体"/>
                <w:b/>
                <w:bCs/>
                <w:sz w:val="21"/>
                <w:szCs w:val="21"/>
                <w:highlight w:val="none"/>
              </w:rPr>
              <w:t>不限，可采用保函、电汇或银行汇票形式等，在签订合同前汇入招标人指定账户。</w:t>
            </w:r>
          </w:p>
          <w:p w14:paraId="52B5AE04">
            <w:pPr>
              <w:keepNext w:val="0"/>
              <w:keepLines w:val="0"/>
              <w:pageBreakBefore w:val="0"/>
              <w:widowControl/>
              <w:kinsoku/>
              <w:wordWrap/>
              <w:overflowPunct/>
              <w:topLinePunct w:val="0"/>
              <w:autoSpaceDE/>
              <w:autoSpaceDN/>
              <w:bidi w:val="0"/>
              <w:adjustRightInd/>
              <w:snapToGrid/>
              <w:ind w:left="0" w:leftChars="0" w:right="0" w:rightChars="0"/>
              <w:jc w:val="both"/>
              <w:textAlignment w:val="auto"/>
              <w:rPr>
                <w:rFonts w:hint="eastAsia" w:ascii="宋体" w:hAnsi="宋体" w:eastAsia="宋体" w:cs="宋体"/>
                <w:b/>
                <w:bCs/>
                <w:sz w:val="21"/>
                <w:szCs w:val="21"/>
                <w:highlight w:val="none"/>
                <w:lang w:val="zh-CN"/>
              </w:rPr>
            </w:pPr>
            <w:r>
              <w:rPr>
                <w:rFonts w:hint="eastAsia" w:ascii="宋体" w:hAnsi="宋体" w:eastAsia="宋体" w:cs="宋体"/>
                <w:b/>
                <w:bCs/>
                <w:sz w:val="21"/>
                <w:szCs w:val="21"/>
                <w:highlight w:val="none"/>
                <w:lang w:val="zh-CN"/>
              </w:rPr>
              <w:t>履约保证金的金额：</w:t>
            </w:r>
            <w:r>
              <w:rPr>
                <w:rFonts w:hint="eastAsia" w:ascii="宋体" w:hAnsi="宋体" w:eastAsia="宋体" w:cs="宋体"/>
                <w:b/>
                <w:bCs/>
                <w:sz w:val="21"/>
                <w:szCs w:val="21"/>
                <w:highlight w:val="none"/>
                <w:lang w:val="en-US" w:eastAsia="zh-CN"/>
              </w:rPr>
              <w:t>5</w:t>
            </w:r>
            <w:r>
              <w:rPr>
                <w:rFonts w:hint="eastAsia" w:ascii="宋体" w:hAnsi="宋体" w:eastAsia="宋体" w:cs="宋体"/>
                <w:b/>
                <w:bCs/>
                <w:sz w:val="21"/>
                <w:szCs w:val="21"/>
                <w:highlight w:val="none"/>
                <w:lang w:val="zh-CN"/>
              </w:rPr>
              <w:t>％签约合同价。</w:t>
            </w:r>
          </w:p>
          <w:p w14:paraId="0C3C9920">
            <w:pPr>
              <w:keepNext w:val="0"/>
              <w:keepLines w:val="0"/>
              <w:pageBreakBefore w:val="0"/>
              <w:widowControl/>
              <w:kinsoku/>
              <w:wordWrap/>
              <w:overflowPunct/>
              <w:topLinePunct w:val="0"/>
              <w:autoSpaceDE/>
              <w:autoSpaceDN/>
              <w:bidi w:val="0"/>
              <w:adjustRightInd/>
              <w:snapToGrid/>
              <w:ind w:left="0" w:leftChars="0" w:right="0" w:rightChars="0"/>
              <w:jc w:val="both"/>
              <w:textAlignment w:val="auto"/>
              <w:rPr>
                <w:rFonts w:hint="eastAsia" w:ascii="宋体" w:hAnsi="宋体" w:eastAsia="宋体" w:cs="宋体"/>
                <w:b/>
                <w:bCs/>
                <w:sz w:val="21"/>
                <w:szCs w:val="21"/>
                <w:highlight w:val="none"/>
                <w:lang w:val="zh-CN"/>
              </w:rPr>
            </w:pPr>
            <w:r>
              <w:rPr>
                <w:rFonts w:hint="eastAsia" w:ascii="宋体" w:hAnsi="宋体" w:eastAsia="宋体" w:cs="宋体"/>
                <w:b/>
                <w:bCs/>
                <w:sz w:val="21"/>
                <w:szCs w:val="21"/>
                <w:highlight w:val="none"/>
                <w:lang w:val="zh-CN"/>
              </w:rPr>
              <w:t>采用银行保函时，出具保函的银行级别：</w:t>
            </w:r>
            <w:r>
              <w:rPr>
                <w:rFonts w:hint="eastAsia" w:ascii="宋体" w:hAnsi="宋体" w:eastAsia="宋体" w:cs="宋体"/>
                <w:b/>
                <w:bCs/>
                <w:sz w:val="21"/>
                <w:szCs w:val="21"/>
                <w:highlight w:val="none"/>
              </w:rPr>
              <w:t>支行及以上级别的国有或股份制商业银行。</w:t>
            </w:r>
          </w:p>
          <w:p w14:paraId="03FAE97B">
            <w:pPr>
              <w:widowControl/>
              <w:adjustRightInd w:val="0"/>
              <w:snapToGrid w:val="0"/>
              <w:ind w:left="105" w:leftChars="50" w:right="105" w:rightChars="50"/>
              <w:jc w:val="left"/>
              <w:rPr>
                <w:rFonts w:hint="eastAsia" w:ascii="宋体" w:hAnsi="宋体" w:cs="宋体"/>
                <w:szCs w:val="21"/>
                <w:highlight w:val="none"/>
              </w:rPr>
            </w:pPr>
            <w:r>
              <w:rPr>
                <w:rFonts w:hint="eastAsia" w:ascii="宋体" w:hAnsi="宋体" w:cs="宋体"/>
                <w:szCs w:val="21"/>
                <w:highlight w:val="none"/>
                <w:lang w:val="zh-CN"/>
              </w:rPr>
              <w:t>□不要求</w:t>
            </w:r>
          </w:p>
        </w:tc>
      </w:tr>
      <w:tr w14:paraId="608BC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3" w:hRule="atLeast"/>
          <w:jc w:val="center"/>
        </w:trPr>
        <w:tc>
          <w:tcPr>
            <w:tcW w:w="1168" w:type="dxa"/>
            <w:noWrap w:val="0"/>
            <w:vAlign w:val="center"/>
          </w:tcPr>
          <w:p w14:paraId="4CD714F4">
            <w:pPr>
              <w:widowControl/>
              <w:wordWrap w:val="0"/>
              <w:adjustRightInd w:val="0"/>
              <w:snapToGrid w:val="0"/>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8.5.1</w:t>
            </w:r>
          </w:p>
        </w:tc>
        <w:tc>
          <w:tcPr>
            <w:tcW w:w="2043" w:type="dxa"/>
            <w:noWrap w:val="0"/>
            <w:vAlign w:val="center"/>
          </w:tcPr>
          <w:p w14:paraId="013B5216">
            <w:pPr>
              <w:widowControl/>
              <w:adjustRightInd w:val="0"/>
              <w:snapToGrid w:val="0"/>
              <w:jc w:val="center"/>
              <w:rPr>
                <w:rFonts w:hint="eastAsia" w:ascii="宋体" w:hAnsi="宋体" w:cs="宋体"/>
                <w:kern w:val="0"/>
                <w:szCs w:val="21"/>
                <w:highlight w:val="none"/>
              </w:rPr>
            </w:pPr>
            <w:r>
              <w:rPr>
                <w:rFonts w:hint="eastAsia" w:ascii="宋体" w:hAnsi="宋体" w:cs="宋体"/>
                <w:kern w:val="0"/>
                <w:szCs w:val="21"/>
                <w:highlight w:val="none"/>
              </w:rPr>
              <w:t>监督部门</w:t>
            </w:r>
          </w:p>
        </w:tc>
        <w:tc>
          <w:tcPr>
            <w:tcW w:w="5975" w:type="dxa"/>
            <w:noWrap w:val="0"/>
            <w:vAlign w:val="center"/>
          </w:tcPr>
          <w:p w14:paraId="200CDE0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宋体" w:hAnsi="宋体" w:eastAsia="宋体"/>
                <w:sz w:val="21"/>
                <w:szCs w:val="21"/>
                <w:highlight w:val="none"/>
                <w:lang w:val="en-US" w:eastAsia="zh-CN"/>
              </w:rPr>
            </w:pPr>
            <w:r>
              <w:rPr>
                <w:rFonts w:hint="eastAsia" w:ascii="宋体" w:hAnsi="宋体"/>
                <w:sz w:val="21"/>
                <w:szCs w:val="21"/>
                <w:highlight w:val="none"/>
                <w:lang w:val="zh-CN"/>
              </w:rPr>
              <w:t>监督部门：南通市港航事业发展中心</w:t>
            </w:r>
            <w:r>
              <w:rPr>
                <w:rFonts w:hint="eastAsia" w:ascii="宋体" w:hAnsi="宋体"/>
                <w:sz w:val="21"/>
                <w:szCs w:val="21"/>
                <w:highlight w:val="none"/>
                <w:lang w:val="en-US" w:eastAsia="zh-CN"/>
              </w:rPr>
              <w:t>纪检监察室</w:t>
            </w:r>
          </w:p>
          <w:p w14:paraId="455FEAD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宋体" w:hAnsi="宋体"/>
                <w:sz w:val="21"/>
                <w:szCs w:val="21"/>
                <w:highlight w:val="none"/>
                <w:lang w:val="zh-CN"/>
              </w:rPr>
            </w:pPr>
            <w:r>
              <w:rPr>
                <w:rFonts w:hint="eastAsia" w:ascii="宋体" w:hAnsi="宋体"/>
                <w:sz w:val="21"/>
                <w:szCs w:val="21"/>
                <w:highlight w:val="none"/>
                <w:lang w:val="zh-CN"/>
              </w:rPr>
              <w:t>地址: 南通市外环西路99号</w:t>
            </w:r>
          </w:p>
          <w:p w14:paraId="65804071">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szCs w:val="21"/>
                <w:highlight w:val="none"/>
                <w:lang w:val="zh-CN"/>
              </w:rPr>
            </w:pPr>
            <w:r>
              <w:rPr>
                <w:rFonts w:hint="eastAsia" w:ascii="宋体" w:hAnsi="宋体"/>
                <w:sz w:val="21"/>
                <w:szCs w:val="21"/>
                <w:highlight w:val="none"/>
                <w:lang w:val="zh-CN"/>
              </w:rPr>
              <w:t>电话: 0513-</w:t>
            </w:r>
            <w:r>
              <w:rPr>
                <w:rFonts w:hint="eastAsia" w:ascii="宋体" w:hAnsi="宋体"/>
                <w:sz w:val="21"/>
                <w:szCs w:val="21"/>
                <w:highlight w:val="none"/>
                <w:lang w:val="en-US" w:eastAsia="zh-CN"/>
              </w:rPr>
              <w:t>83549393</w:t>
            </w:r>
          </w:p>
        </w:tc>
      </w:tr>
    </w:tbl>
    <w:p w14:paraId="132BAA2C">
      <w:pPr>
        <w:jc w:val="center"/>
        <w:rPr>
          <w:rFonts w:hint="eastAsia" w:ascii="宋体" w:hAnsi="宋体" w:cs="宋体"/>
          <w:kern w:val="0"/>
          <w:szCs w:val="21"/>
          <w:highlight w:val="none"/>
        </w:rPr>
      </w:pPr>
      <w:r>
        <w:rPr>
          <w:sz w:val="28"/>
          <w:highlight w:val="none"/>
        </w:rPr>
        <w:br w:type="page"/>
      </w:r>
      <w:r>
        <w:rPr>
          <w:rFonts w:hint="eastAsia" w:ascii="宋体" w:hAnsi="宋体" w:cs="宋体"/>
          <w:kern w:val="0"/>
          <w:szCs w:val="21"/>
          <w:highlight w:val="none"/>
        </w:rPr>
        <w:t>总则</w:t>
      </w:r>
    </w:p>
    <w:p w14:paraId="4C8C2411">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1.1 项目概况</w:t>
      </w:r>
    </w:p>
    <w:p w14:paraId="4D38A1C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1.1.1 根据《中华人民共和国招标投标法》、《中华人民共和国招标投标法实施条例》等有关法律、法规和规章的规定，本招标项目已具备招标条件，现对本项目进行招标。</w:t>
      </w:r>
    </w:p>
    <w:p w14:paraId="27A432B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1.1.2本招标项目招标人:见投标人须知前附表。</w:t>
      </w:r>
    </w:p>
    <w:p w14:paraId="0067CFD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1.1.3本标段招标代理机构: 见投标人须知前附表。</w:t>
      </w:r>
    </w:p>
    <w:p w14:paraId="5F7C587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1.1.4本招标项目名称:见投标人须知前附表。</w:t>
      </w:r>
    </w:p>
    <w:p w14:paraId="4FF691C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1.1.5本标段建设地点:见投标人须知前附表。</w:t>
      </w:r>
    </w:p>
    <w:p w14:paraId="31EE801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1.1.6 本标段建设规模: 见投标人须知前附表。</w:t>
      </w:r>
    </w:p>
    <w:p w14:paraId="36E9106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1.1.7本标段投资估算: 见投标人须知前附表。</w:t>
      </w:r>
    </w:p>
    <w:p w14:paraId="0644662A">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1.2 招标项目的资金来源和落实情况</w:t>
      </w:r>
    </w:p>
    <w:p w14:paraId="7335F84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1.2.1 资金来源及比例：见投标人须知前附表。</w:t>
      </w:r>
    </w:p>
    <w:p w14:paraId="5F15510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1.2.2 资金落实情况：见投标人须知前附表。</w:t>
      </w:r>
    </w:p>
    <w:p w14:paraId="536C5D1A">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1.3 招标范围、计划工期、质量要求和安全目标</w:t>
      </w:r>
    </w:p>
    <w:p w14:paraId="5FE6896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1.3.1 招标范围：见投标人须知前附表。</w:t>
      </w:r>
    </w:p>
    <w:p w14:paraId="056812AE">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1.3.2本标段的服务期限: 见投标人须知前附表。</w:t>
      </w:r>
    </w:p>
    <w:p w14:paraId="06A67DE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1.3.3本标段的质量要求: 见投标人须知前附表。</w:t>
      </w:r>
    </w:p>
    <w:p w14:paraId="392B0C2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1.3.4本标段的安全目标: 见投标人须知前附表。</w:t>
      </w:r>
    </w:p>
    <w:p w14:paraId="415F550F">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1.4 投标人资格要求</w:t>
      </w:r>
    </w:p>
    <w:p w14:paraId="07C9C07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1.4.1投标人应具备承担本项目的资质条件、能力和信誉。</w:t>
      </w:r>
    </w:p>
    <w:p w14:paraId="11DC31C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（1）资质要求：见投标人须知前附表；</w:t>
      </w:r>
    </w:p>
    <w:p w14:paraId="7172652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（2）业绩要求：见投标人须知前附表；</w:t>
      </w:r>
    </w:p>
    <w:p w14:paraId="74F7A72C">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（3）信誉要求：见投标人须知前附表；</w:t>
      </w:r>
    </w:p>
    <w:p w14:paraId="322A539C">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（4）项目负责人资格：见投标人须知前附表；</w:t>
      </w:r>
    </w:p>
    <w:p w14:paraId="6E0CAA8C">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（5）其他要求：见投标人须知前附表。</w:t>
      </w:r>
    </w:p>
    <w:p w14:paraId="1EF315E8">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需要提交的相关证明材料见本章第3.5款的规定。</w:t>
      </w:r>
    </w:p>
    <w:p w14:paraId="06422F8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1.4.2 投标人须知前附表规定接受联合体投标的，联合体除应符合本章第1.4.1项和投标人须知前附表的要求外，还应遵守以下规定：</w:t>
      </w:r>
    </w:p>
    <w:p w14:paraId="72B1AD3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（1）联合体各方应按招标文件提供的格式签订联合体协议书，明确联合体牵头人和各方权利义务，并承诺就中标项目向招标人承担连带责任；</w:t>
      </w:r>
    </w:p>
    <w:p w14:paraId="79F59AEC">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（2）由同一专业的单位组成的联合体，按照资质等级较低的单位确定资质等级；</w:t>
      </w:r>
    </w:p>
    <w:p w14:paraId="2F819D2C">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（3）联合体各方不得再以自己名义单独或参加其他联合体在同一标段中投标；</w:t>
      </w:r>
    </w:p>
    <w:p w14:paraId="67890CC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14:paraId="7D155E2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（5）尽管委任了联合体牵头人，但联合体各成员在投标、签订合同与履行合同过程中，仍负有连带的和各自的法律责任。</w:t>
      </w:r>
    </w:p>
    <w:p w14:paraId="0FEA7F08">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1.4.3 投标人（包括联合体各成员）不得与本标段相关单位存在下列关联关系：</w:t>
      </w:r>
    </w:p>
    <w:p w14:paraId="30614516">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（1）为招标人不具有独立法人资格的附属机构（单位）；</w:t>
      </w:r>
    </w:p>
    <w:p w14:paraId="5C61A2C7">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（2）与招标人存在利害关系且可能影响招标公正性；</w:t>
      </w:r>
    </w:p>
    <w:p w14:paraId="6216D5A2">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（3）与本标段的其他投标人同为一个单位负责人；</w:t>
      </w:r>
    </w:p>
    <w:p w14:paraId="4976A55E">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（4）与本标段的其他投标人存在控股、管理关系；</w:t>
      </w:r>
    </w:p>
    <w:p w14:paraId="5B1F7E7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（5）为本标段的代建人；</w:t>
      </w:r>
    </w:p>
    <w:p w14:paraId="19A976E7">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（6）为本标段的招标代理机构；</w:t>
      </w:r>
    </w:p>
    <w:p w14:paraId="2B2F1D2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（7）与本标段的监理人或代建人或招标代理机构同为一个法定代表人；</w:t>
      </w:r>
    </w:p>
    <w:p w14:paraId="4877262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（8）与本标段的监理人或代建人或招标代理机构存在控股或参股关系；</w:t>
      </w:r>
    </w:p>
    <w:p w14:paraId="75BBE1B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（9）法律法规或投标人须知前附表规定的其他情形。</w:t>
      </w:r>
    </w:p>
    <w:p w14:paraId="4C8384D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1.4.4 投标人（包括联合体各成员）不得存在下列不良状况或不良信用记录：</w:t>
      </w:r>
    </w:p>
    <w:p w14:paraId="466E10DC">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（1）被省级及以上交通运输主管部门取消招标项目所在地的投标资格且处于有效期内；</w:t>
      </w:r>
    </w:p>
    <w:p w14:paraId="7619E0DE">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（2）被责令停业，暂扣或吊销执照，或吊销资质证书；</w:t>
      </w:r>
    </w:p>
    <w:p w14:paraId="5FE64A8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（3）进入清算程序，或被宣告破产，或其他丧失履约能力的情形；</w:t>
      </w:r>
    </w:p>
    <w:p w14:paraId="136C03C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（4）在国家企业信用信息公示系统（http://www.gsxt.gov.cn/）中被列入严重违法失信企业名单；</w:t>
      </w:r>
    </w:p>
    <w:p w14:paraId="26EF5EB3">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（5）在“信用中国”网站（http://www.creditchina.gov.cn/）中被列入失信被执行人名单；</w:t>
      </w:r>
    </w:p>
    <w:p w14:paraId="2D3457B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（6）法律法规或投标人须知前附表规定的其他情形。</w:t>
      </w:r>
    </w:p>
    <w:p w14:paraId="35FE2DBF">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1.5 费用承担</w:t>
      </w:r>
    </w:p>
    <w:p w14:paraId="19EC25C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投标人准备和参加投标活动发生的费用自理。</w:t>
      </w:r>
    </w:p>
    <w:p w14:paraId="5DA9CFA3">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1.6 保密</w:t>
      </w:r>
    </w:p>
    <w:p w14:paraId="2A0175DA">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参与招标投标活动的各方应对招标文件和投标文件中的商业和技术等秘密保密，否则应承担相应的法律责任。</w:t>
      </w:r>
    </w:p>
    <w:p w14:paraId="5E0C471A">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1.7 语言文字</w:t>
      </w:r>
    </w:p>
    <w:p w14:paraId="14C8B98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招标投标文件使用的语言文字为中文。专用术语使用外文的，应附有中文注释。</w:t>
      </w:r>
    </w:p>
    <w:p w14:paraId="33BD5E18">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1.8 计量单位</w:t>
      </w:r>
    </w:p>
    <w:p w14:paraId="6104B6E6">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所有计量均采用中华人民共和国法定计量单位。</w:t>
      </w:r>
    </w:p>
    <w:p w14:paraId="52831DBF">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1.9 踏勘现场</w:t>
      </w:r>
    </w:p>
    <w:p w14:paraId="38E5C91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1.9.1 第一章“招标公告”或“投标邀请书”规定组织踏勘现场的，招标人按规定的时间、地点组织投标人踏勘项目现场。部分投标人未按时参加踏勘现场的，不影响踏勘现场的正常进行。招标人不得组织单个或部分投标人踏勘项目现场。</w:t>
      </w:r>
    </w:p>
    <w:p w14:paraId="3BF7D1EE">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1.9.2投标人踏勘现场发生的费用自理。</w:t>
      </w:r>
    </w:p>
    <w:p w14:paraId="76736EE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1.9.3除招标人的原因外, 投标人自行负责在踏勘现场中所发生的人员伤亡和财产损失。</w:t>
      </w:r>
    </w:p>
    <w:p w14:paraId="74A2B50A">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1.9.4招标人在踏勘现场中介绍的工程场地和相关的周边环境情況，供投标人在编制投标文件时参考, 招标人不对投标人据此作出的判断和决策负责。</w:t>
      </w:r>
    </w:p>
    <w:p w14:paraId="62CF5E47">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1.10 投标预备会</w:t>
      </w:r>
    </w:p>
    <w:p w14:paraId="6FDEA826">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1.10.1 第一章“招标公告”或“投标邀请书”规定召开投标预备会的，招标人按规定的时间和地点召开投标预备会，澄清投标人提出的问题。</w:t>
      </w:r>
    </w:p>
    <w:p w14:paraId="5B16EFD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1.10.2 投标人应按投标人须知前附表规定的时间和形式将提出的问题送达招标人，以便招标人在会议期间澄清。</w:t>
      </w:r>
    </w:p>
    <w:p w14:paraId="5F09D723">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1.10.3 投标预备会后，招标人将对投标人所提问题的澄清，以本章第2.2款规定的形式通知所有购买招标文件的投标人。该澄清内容为招标文件的组成部分。</w:t>
      </w:r>
    </w:p>
    <w:p w14:paraId="22220B6B">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1.11 分包</w:t>
      </w:r>
    </w:p>
    <w:p w14:paraId="7C00EA6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1.11.1 投标人拟在中标后将中标项目的部分非主体、非关键性工作进行分包的，应符合以下规定：</w:t>
      </w:r>
    </w:p>
    <w:p w14:paraId="63BEEB7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（1）分包内容要求: 允许分包的范围仅限于项目内容中非主体、非关键性的技术工作。招标人允许分包或不允许分包的工程(如有)应在投标人须知前附表中载明。</w:t>
      </w:r>
    </w:p>
    <w:p w14:paraId="6899D3C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（2）接受分包的第三人资格要求: 分包人的资格能力应与其分包工程的标准和规模相适应,且具备投标人须知前附表中规定的资格条件。</w:t>
      </w:r>
    </w:p>
    <w:p w14:paraId="0698FAD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（3）其他要求:投标人如有分包计划，应按第六章“投标文件格式”的要求填写“拟分包项目情况表”， 明确拟分包的工程及规模，且投标人中标后的分包应满足合同条款第4.3款的相关要求。</w:t>
      </w:r>
    </w:p>
    <w:p w14:paraId="3FFD919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1.11.2 中标人不得向他人转让中标项目，接受分包的人不得再次分包。中标人应就分包项目向招标人负责，接受分包的人就分包项目承担连带责任。</w:t>
      </w:r>
    </w:p>
    <w:p w14:paraId="17B9EA49">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1.12 响应和偏差</w:t>
      </w:r>
    </w:p>
    <w:p w14:paraId="185A68B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1.12.1 投标文件偏离招标文件某些要求，视为投标文件存在偏差。偏差包括重大偏差和细微偏差。</w:t>
      </w:r>
    </w:p>
    <w:p w14:paraId="4AB79A97">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1.12.2 投标文件应对招标文件的实质性要求和条件作出满足性或更有利于招标人的响应，否则，视为投标文件存在重大偏差，投标人的投标将被否决。</w:t>
      </w:r>
    </w:p>
    <w:p w14:paraId="723B585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投标文件存在第三章“评标办法”中所列任一否决投标情形的，均属于存在重大偏差。</w:t>
      </w:r>
    </w:p>
    <w:p w14:paraId="3B3C4782">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1.12.3 投标文件中的下列偏差为细微偏差：</w:t>
      </w:r>
    </w:p>
    <w:p w14:paraId="075C50D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在按照第三章“评标办法”的规定对投标价进行算术性错误修正及其他错误修正后，最终投标报价未超过最高投标限价（如有）的情况下，出现第三章“评标办法”规定的算术性错误和投标报价的其他错误；</w:t>
      </w:r>
    </w:p>
    <w:p w14:paraId="01A0EDE2">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（2）技术建议书不够完善；</w:t>
      </w:r>
    </w:p>
    <w:p w14:paraId="5E0D3D16">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（3）投标文件个别文字有遗漏错误等不影响投标文件实质性内容的偏差。</w:t>
      </w:r>
    </w:p>
    <w:p w14:paraId="358AD5D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1.12.4 评标委员会对投标文件中的细微偏差按如下规定处理：</w:t>
      </w:r>
    </w:p>
    <w:p w14:paraId="04E4ED46">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（1）对于本章第1.12.3项（1）目所述的细微偏差，按照第三章“评标办法”的规定予以修正并要求投标人进行澄清；</w:t>
      </w:r>
    </w:p>
    <w:p w14:paraId="0B55294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（2）对于本章第1.12.3 项（2）、（3）目所述的细微偏差，可在相关评分因素的评分中的酌情扣分。</w:t>
      </w:r>
    </w:p>
    <w:p w14:paraId="79D637F8">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1.12.5投标人应根据招标文件的要求提供工作大纲等内容以对招标文件作出响应。</w:t>
      </w:r>
    </w:p>
    <w:p w14:paraId="6FEABDB2">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2.招标文件</w:t>
      </w:r>
    </w:p>
    <w:p w14:paraId="7BBCCF0E">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2.1 招标文件的组成</w:t>
      </w:r>
    </w:p>
    <w:p w14:paraId="46B5C66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本招标文件包括：</w:t>
      </w:r>
    </w:p>
    <w:p w14:paraId="0CB91AD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（1）招标公告（或投标邀请书）；</w:t>
      </w:r>
    </w:p>
    <w:p w14:paraId="577E2BE2">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（2）投标人须知；</w:t>
      </w:r>
    </w:p>
    <w:p w14:paraId="3578359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（3）评标办法；</w:t>
      </w:r>
    </w:p>
    <w:p w14:paraId="7C9DA4F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（4）合同条款及格式；</w:t>
      </w:r>
    </w:p>
    <w:p w14:paraId="75CD4A0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（5）发包人要求</w:t>
      </w:r>
    </w:p>
    <w:p w14:paraId="484383A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（6）投标文件格式；</w:t>
      </w:r>
    </w:p>
    <w:p w14:paraId="359F1117">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（7）投标人须知前附表规定的其他资料。</w:t>
      </w:r>
    </w:p>
    <w:p w14:paraId="302E8F7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根据本章第1.10 款、第2.2款和第2.3款对招标文件所作的澄清、修改，构成招标文件的组成部分。</w:t>
      </w:r>
    </w:p>
    <w:p w14:paraId="0F4A7B9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当招标文件、招标文件的澄清或修改等在同一内容的表述上不一致时，以最后发出的文件为准。</w:t>
      </w:r>
    </w:p>
    <w:p w14:paraId="1E74BF61">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2.2 招标文件的澄清</w:t>
      </w:r>
    </w:p>
    <w:p w14:paraId="55562AA3">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6BF685B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2.2.2 招标文件的澄清以投标人须知前附表规定的形式发给所有购买招标文件的投标人，但不指明澄清问题的来源。澄清发出的时间距本章第4.2.1项规定的投标截止时间不足15日，且澄清内容可能影响投标文件编制的，将相应延长投标截止时间。</w:t>
      </w:r>
    </w:p>
    <w:p w14:paraId="05943BB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2.2.3 招标文件澄清发出的同时，投标人应注意及时浏览网上发出的澄清，因投标人自身原因未及时获知澄清内容而导致的任何后果将由投标人自行承担。</w:t>
      </w:r>
    </w:p>
    <w:p w14:paraId="4F3AE59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2.2.4 除非招标人认为确有必要答复，否则，招标人有权拒绝回复投标人在本章第2.2.1项规定的时间后提出的任何澄清要求。</w:t>
      </w:r>
    </w:p>
    <w:p w14:paraId="0E8BBF1E">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2.3 招标文件的修改</w:t>
      </w:r>
    </w:p>
    <w:p w14:paraId="13FD5943">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2.3.1 招标人以投标人须知前附表规定的形式修改招标文件，并通知所有已购买招标文件的投标人。修改招标文件的时间距本章第4.2.1项规定的投标截止时间不足15日，且修改内容可能影响投标文件编制的，将相应延长投标截止时间。</w:t>
      </w:r>
    </w:p>
    <w:p w14:paraId="1CCA97B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2.3.2 招标文件修改发出的同时，投标人应注意及时浏览网上发出的修改，因投标人自身原因未及时获知修改内容而导致的任何后果将由投标人自行承担。</w:t>
      </w:r>
    </w:p>
    <w:p w14:paraId="3BAE7544">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2.4 招标文件的异议</w:t>
      </w:r>
    </w:p>
    <w:p w14:paraId="00892AF3">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投标人或其他利害关系人对招标文件有异议的，应在投标截止时间10日前以书面形式提出。招标人将在收到异议之日起3日内作出答复；作出答复前，将暂停招标投标活动。提出异议与作出答复均应以书面（含传真）的方式。</w:t>
      </w:r>
    </w:p>
    <w:p w14:paraId="48150DEC">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3.投标文件</w:t>
      </w:r>
    </w:p>
    <w:p w14:paraId="5028899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3.1 投标文件的组成</w:t>
      </w:r>
    </w:p>
    <w:p w14:paraId="4ED852C2">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3.1.1 投标文件应采用双信封形式, 包括下列内容:</w:t>
      </w:r>
    </w:p>
    <w:p w14:paraId="0210F0D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第一个信封（商务及技术文件）：</w:t>
      </w:r>
    </w:p>
    <w:p w14:paraId="276E706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（1）投标函；</w:t>
      </w:r>
    </w:p>
    <w:p w14:paraId="2D3B565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（2）授权委托书或法定代表人身份证明；</w:t>
      </w:r>
    </w:p>
    <w:p w14:paraId="2993FEF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（3）投标保证金；</w:t>
      </w:r>
    </w:p>
    <w:p w14:paraId="7C34C85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（4）拟分包项目情况表；</w:t>
      </w:r>
    </w:p>
    <w:p w14:paraId="4C0BA9AE">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（5）投标报表；</w:t>
      </w:r>
    </w:p>
    <w:p w14:paraId="36A6A65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（6）工作大纲；</w:t>
      </w:r>
    </w:p>
    <w:p w14:paraId="222ADCF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（7）其他资料。</w:t>
      </w:r>
    </w:p>
    <w:p w14:paraId="52ECBCBA">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第二个信封（报价文件）：</w:t>
      </w:r>
    </w:p>
    <w:p w14:paraId="734B1F02">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（1）投标函；</w:t>
      </w:r>
    </w:p>
    <w:p w14:paraId="788A0336">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（2）报价清单。</w:t>
      </w:r>
    </w:p>
    <w:p w14:paraId="4381ADAC">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投标人在评标过程中作出的符合法律法规和招标文件规定的澄清确认，构成投标文件的组成部分。</w:t>
      </w:r>
    </w:p>
    <w:p w14:paraId="0EE59A5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3.1.2投标人须知前附表规定不接受联合体投标的, 或投标人没有组成联合体的, 投标文件不包括本章第3.1.1(3)目所指的联合体协议书。</w:t>
      </w:r>
    </w:p>
    <w:p w14:paraId="37097377">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3.1.3 投标人须知前附表未要求提交投标保证金的，投标文件不包括本章第3.1.1（4）目所指的投标保证金。</w:t>
      </w:r>
    </w:p>
    <w:p w14:paraId="6793F8FC">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3.2 投标报价</w:t>
      </w:r>
    </w:p>
    <w:p w14:paraId="2F72984C">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3.2.1 投标报价应包括国家规定的增值税税金，除投标人须知前附表另有规定外，增值税税金按一般计税方法计算。投标人应按第六章“投标文件格式”的要求在投标函中进行报价并填写报价清单相应表格。</w:t>
      </w:r>
    </w:p>
    <w:p w14:paraId="206E643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3.2.2投标人应充分了解本项目的总体情况以及影响投标报价的其他要素, 招标文件规定的工作内容和计划工作量，自行测算咨询服务费用。</w:t>
      </w:r>
    </w:p>
    <w:p w14:paraId="09C8C037">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3.2.3本项目的报价方式见投标人须知前附表。投标人在投标截止时间前修改投标函中的投标报价总额，应同时修改投标文件“报价清单”中的相应报价。此修改须符合本章第4.3款的有关要求。</w:t>
      </w:r>
    </w:p>
    <w:p w14:paraId="5DB85C3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3.2.4招标人设有最高投标限价的, 投标人的投标报价不得超过最高投标限价, 最高投标限价在投标人须知前附表中载明。</w:t>
      </w:r>
    </w:p>
    <w:p w14:paraId="45C70982">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3.2.5投标报价的其他要求见投标人须知前附表。</w:t>
      </w:r>
    </w:p>
    <w:p w14:paraId="5363FE58">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3.3 投标有效期</w:t>
      </w:r>
    </w:p>
    <w:p w14:paraId="24C5A2A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3.3.1除投标人须知前附表另有规定外,投标有效期为90日。</w:t>
      </w:r>
    </w:p>
    <w:p w14:paraId="27F9877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3.3.2 在投标有效期内，投标人撤销投标文件的，应承担招标文件和法律规定的责任。</w:t>
      </w:r>
    </w:p>
    <w:p w14:paraId="3377372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3.3.3 出现特殊情况需要延长投标有效期的，招标人通知所有投标人延长投标有效期。投标人应予以答复，同意延长的，应相应延长其投标保证金的有效期，但不得要求或被允许修改其投标文件；投标人拒绝延长的，其投标失效，但投标人有权收回其投标保证金及以现金或支票形式递交的投标保证金的银行同期活期存款利息。</w:t>
      </w:r>
    </w:p>
    <w:p w14:paraId="3142B309">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3.4 投标保证金</w:t>
      </w:r>
    </w:p>
    <w:p w14:paraId="4DEF622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3.4.1投标人在递交投标文件的同时, 应按投标人须知前附表规定的金额和第六章“投标文件格式”规定的投标保证金格式递交投标保证金，并作为其投标文件的组成部分。联合体投标的，其投标保证金由牵头人递交，并应符合投标人须知前附表的规定。</w:t>
      </w:r>
    </w:p>
    <w:p w14:paraId="798771C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3.4.2 投标人不按本章第3.4.1项要求提交投标保证金的，评标委员会将否决其投标。</w:t>
      </w:r>
    </w:p>
    <w:p w14:paraId="06CC0C0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3.4.3 招标人最迟将在中标通知书发出后5日内向中标候选人以外的其他投标人退还投标保证金，与中标人签订合同后5日内向中标人和其他中标候选人退还投标保证金。投标保证金以现金或支票形式递交的，招标人应同时退还投标保证金的银行同期活期存款利息，且退还至投标人的基本账户。</w:t>
      </w:r>
    </w:p>
    <w:p w14:paraId="594E980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利息计算原则见投标人须知前附表。</w:t>
      </w:r>
    </w:p>
    <w:p w14:paraId="09710B87">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3.4.4 有下列情形之一的，投标保证金将不予退还：</w:t>
      </w:r>
    </w:p>
    <w:p w14:paraId="727CB9A8">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（1）投标人在投标有效期内撤销投标文件；</w:t>
      </w:r>
    </w:p>
    <w:p w14:paraId="26F2AB3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（2）中标人在收到中标通知书后，无正当理由不与招标人订立合同，在签订合同时向招标人提出附加条件，或不按照招标文件要求提交履约保证金；</w:t>
      </w:r>
    </w:p>
    <w:p w14:paraId="690EF19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（3）发生投标人须知前附表规定的其他可以不予退还投标保证金的情形。</w:t>
      </w:r>
    </w:p>
    <w:p w14:paraId="466970B6">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3.5 资格审查资料</w:t>
      </w:r>
    </w:p>
    <w:p w14:paraId="669D25B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3.5.1投标人须按投标人须知前附表和招标文件 “投标文件格式”中规定的表格内容填写资格审查相关资料，并按其具体要求提供相关证件及证明材料。</w:t>
      </w:r>
    </w:p>
    <w:p w14:paraId="09DD959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3.5.2 投标人须知前附表规定接受联合体投标的，本章第</w:t>
      </w:r>
      <w:r>
        <w:rPr>
          <w:rFonts w:ascii="宋体" w:hAnsi="宋体" w:cs="宋体"/>
          <w:kern w:val="0"/>
          <w:szCs w:val="21"/>
          <w:highlight w:val="none"/>
        </w:rPr>
        <w:t>3.5.1</w:t>
      </w:r>
      <w:r>
        <w:rPr>
          <w:rFonts w:hint="eastAsia" w:ascii="宋体" w:hAnsi="宋体" w:cs="宋体"/>
          <w:kern w:val="0"/>
          <w:szCs w:val="21"/>
          <w:highlight w:val="none"/>
        </w:rPr>
        <w:t>项至第</w:t>
      </w:r>
      <w:r>
        <w:rPr>
          <w:rFonts w:ascii="宋体" w:hAnsi="宋体" w:cs="宋体"/>
          <w:kern w:val="0"/>
          <w:szCs w:val="21"/>
          <w:highlight w:val="none"/>
        </w:rPr>
        <w:t>3.5.5</w:t>
      </w:r>
      <w:r>
        <w:rPr>
          <w:rFonts w:hint="eastAsia" w:ascii="宋体" w:hAnsi="宋体" w:cs="宋体"/>
          <w:kern w:val="0"/>
          <w:szCs w:val="21"/>
          <w:highlight w:val="none"/>
        </w:rPr>
        <w:t xml:space="preserve">项规定的表格和资料应包括联合体各方相关情况。 </w:t>
      </w:r>
    </w:p>
    <w:p w14:paraId="1518C70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 xml:space="preserve">3.5.3 除合同条款约定的特殊情形外，投标人在投标文件中填报的项目负责人不允许更换。 </w:t>
      </w:r>
    </w:p>
    <w:p w14:paraId="07EF7B32">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 xml:space="preserve">3.5.4 招标人有权核查投标人在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合同价款或履约保证金中扣除不超过 </w:t>
      </w:r>
      <w:r>
        <w:rPr>
          <w:rFonts w:ascii="宋体" w:hAnsi="宋体" w:cs="宋体"/>
          <w:kern w:val="0"/>
          <w:szCs w:val="21"/>
          <w:highlight w:val="none"/>
        </w:rPr>
        <w:t>5</w:t>
      </w:r>
      <w:r>
        <w:rPr>
          <w:rFonts w:hint="eastAsia" w:ascii="宋体" w:hAnsi="宋体" w:cs="宋体"/>
          <w:kern w:val="0"/>
          <w:szCs w:val="21"/>
          <w:highlight w:val="none"/>
        </w:rPr>
        <w:t xml:space="preserve">％签约合同价的金额作为违约金。 </w:t>
      </w:r>
    </w:p>
    <w:p w14:paraId="1227BE6B">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3.6 备选投标方案</w:t>
      </w:r>
    </w:p>
    <w:p w14:paraId="0F586A27">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3.6.1 除投标人须知前附表规定允许外，投标人不得递交备选投标方案，否则其投标将被否决。</w:t>
      </w:r>
    </w:p>
    <w:p w14:paraId="30DF01A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14:paraId="35E8CE4E">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3.6.3 投标人提供两个或两个以上投标报价，或在投标文件中提供一个报价，但同时提供两个或两个以上工作大纲的，视为提供备选方案。</w:t>
      </w:r>
    </w:p>
    <w:p w14:paraId="06146016">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3.7 投标文件的编制</w:t>
      </w:r>
    </w:p>
    <w:p w14:paraId="36B1CD6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3.7.1 投标文件应投标须知前附表要求及第六章“投标文件格式”进行编写，如有必要，可以增加附页，作为投标文件的组成部分。</w:t>
      </w:r>
    </w:p>
    <w:p w14:paraId="2ABA60F6">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 xml:space="preserve">3.7.2 投标文件应对招标文件有关服务期限、投标有效期、质量要求、安全目标、发包人要求、招标范围等实质性内容作出响应。 </w:t>
      </w:r>
    </w:p>
    <w:p w14:paraId="3EA1DC88">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3.7.3 投标文件应用不褪色的材料书写或打印。投标文件格式中明确要求投标人法定代表人或其委托代理人签字之处，必须由相关人员亲笔签名（或签章）；明确要求投标人加盖单位章之处，必须加盖单位章。 其中，投标函及对投标文件的澄清和说明应加盖投标人单位章，或由投标人的法定代表人或其委托代理人签字（或签章）。</w:t>
      </w:r>
    </w:p>
    <w:p w14:paraId="784B8D5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如果投标文件由委托代理人签署，则投标人须提交授权委托书，授权委托书应按 第六章“投标文件格式”的要求出具，并由法定代表人和委托代理人签名（或签章）。如果由投标人的法定代表人签署投标文件，则不需提交授权书，但应提供法定代表人身份证明。</w:t>
      </w:r>
    </w:p>
    <w:p w14:paraId="77A7EB3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如果由投标人的法定代表人亲自签署投标文件，则投标人须提交法定代表人身份证明，身份证明应符合第六章“投标文件格式”的要求。</w:t>
      </w:r>
    </w:p>
    <w:p w14:paraId="2D21433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以联合体形式参与投标的，投标文件由联合体牵头人的法定代表人或其委托代理人按上述规定签署并加盖联合体牵头人单位章。法定代表人授权委托书或法定代表人身份证明须由联合体牵头人按上述规定出具。</w:t>
      </w:r>
    </w:p>
    <w:p w14:paraId="372BD46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投标文件应尽量避免涂改、行间插字或删除。 如果出现上述情况，改动之处应由投标人的法定代表人或其授权的代理人签字（或签章）或加盖单位章。</w:t>
      </w:r>
    </w:p>
    <w:p w14:paraId="07318E82">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3.7.4  投标文件正本一份,  副本份数见投标人须知前附表。正本和副本的封面右上角上应清楚地标记“正本”或“副本”字样。投标人应根据投标人须知前附表要求提供电子版文件。当副本和正本不一致或电子版文件和纸质正本文件不一致时，以纸质正本文件为准。</w:t>
      </w:r>
    </w:p>
    <w:p w14:paraId="09D0D083">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3.7.5  投标文件的正本与副本应分别装订成册，投标文件规格幅面A4纸（图纸等除外），编制目录并逐页标注连续页码。投标文件不得采用活页夹装订，否则，招标人对由于投标文件装订松散而造成的丢失或其他后果不承担任何责任。投标文件正本应使用不能擦去的墨水书写或打印，并按第六篇“投标文件格式”的要求进行相关人员签字（或签章）、盖投标人单位章。</w:t>
      </w:r>
    </w:p>
    <w:p w14:paraId="524E6C96">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3.7.6</w:t>
      </w:r>
      <w:r>
        <w:rPr>
          <w:rFonts w:hint="eastAsia" w:ascii="宋体" w:hAnsi="宋体" w:cs="宋体"/>
          <w:kern w:val="0"/>
          <w:szCs w:val="21"/>
          <w:highlight w:val="none"/>
        </w:rPr>
        <w:t>投标文件正本应使用不能擦去的墨水书写或打印，并按第六篇“投标文件格式”的要求进行相关人员签字（或签章）、盖投标人单位章。副本可为正本复印件。</w:t>
      </w:r>
    </w:p>
    <w:p w14:paraId="2691D47D">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4.投标</w:t>
      </w:r>
    </w:p>
    <w:p w14:paraId="29619BCC">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4.1 投标文件的密封和标识</w:t>
      </w:r>
    </w:p>
    <w:p w14:paraId="5C3A98A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4.1.1投标文件应采用双信封形式密封。投标文件第一个信封（商务及技术文件）以及第二个信封（报价文件）应分别单独密封包装。商务技术文件的正本与副本应统一密封在一个封套中。报价文件的正本与副本以及投标文件电子版文件（U盘介质）应统一密封在另一个封套中。封套上加盖投标人单位章或由投标人的法定代表人或其委托代理人签字（或签章）。</w:t>
      </w:r>
    </w:p>
    <w:p w14:paraId="72E6CFFE">
      <w:pPr>
        <w:spacing w:line="360" w:lineRule="auto"/>
        <w:ind w:firstLine="420" w:firstLineChars="200"/>
        <w:rPr>
          <w:rFonts w:hint="eastAsia" w:ascii="宋体" w:hAnsi="宋体" w:cs="宋体"/>
          <w:kern w:val="0"/>
          <w:szCs w:val="21"/>
          <w:highlight w:val="none"/>
        </w:rPr>
      </w:pPr>
      <w:r>
        <w:rPr>
          <w:rFonts w:ascii="宋体" w:hAnsi="宋体" w:cs="宋体"/>
          <w:kern w:val="0"/>
          <w:szCs w:val="21"/>
          <w:highlight w:val="none"/>
        </w:rPr>
        <w:t xml:space="preserve">4.1.2 </w:t>
      </w:r>
      <w:r>
        <w:rPr>
          <w:rFonts w:hint="eastAsia" w:ascii="宋体" w:hAnsi="宋体" w:cs="宋体"/>
          <w:kern w:val="0"/>
          <w:szCs w:val="21"/>
          <w:highlight w:val="none"/>
        </w:rPr>
        <w:t>投标文件第一个信封（商务及技术文件）、第二个信封（报价文件）封套上应写明的内容见投标人须知前附表。</w:t>
      </w:r>
    </w:p>
    <w:p w14:paraId="4C0113B9">
      <w:pPr>
        <w:spacing w:line="360" w:lineRule="auto"/>
        <w:ind w:firstLine="420" w:firstLineChars="200"/>
        <w:rPr>
          <w:rFonts w:hint="eastAsia" w:ascii="宋体" w:hAnsi="宋体" w:cs="宋体"/>
          <w:kern w:val="0"/>
          <w:szCs w:val="21"/>
          <w:highlight w:val="none"/>
        </w:rPr>
      </w:pPr>
      <w:r>
        <w:rPr>
          <w:rFonts w:ascii="宋体" w:hAnsi="宋体" w:cs="宋体"/>
          <w:kern w:val="0"/>
          <w:szCs w:val="21"/>
          <w:highlight w:val="none"/>
        </w:rPr>
        <w:t xml:space="preserve">4.1.3 </w:t>
      </w:r>
      <w:r>
        <w:rPr>
          <w:rFonts w:hint="eastAsia" w:ascii="宋体" w:hAnsi="宋体" w:cs="宋体"/>
          <w:kern w:val="0"/>
          <w:szCs w:val="21"/>
          <w:highlight w:val="none"/>
        </w:rPr>
        <w:t xml:space="preserve">未按本章第 </w:t>
      </w:r>
      <w:r>
        <w:rPr>
          <w:rFonts w:ascii="宋体" w:hAnsi="宋体" w:cs="宋体"/>
          <w:kern w:val="0"/>
          <w:szCs w:val="21"/>
          <w:highlight w:val="none"/>
        </w:rPr>
        <w:t xml:space="preserve">4.1.1 </w:t>
      </w:r>
      <w:r>
        <w:rPr>
          <w:rFonts w:hint="eastAsia" w:ascii="宋体" w:hAnsi="宋体" w:cs="宋体"/>
          <w:kern w:val="0"/>
          <w:szCs w:val="21"/>
          <w:highlight w:val="none"/>
        </w:rPr>
        <w:t>项要求密封的投标文件，招标人将予以拒收。</w:t>
      </w:r>
    </w:p>
    <w:p w14:paraId="1AF436FF">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4.2 投标文件的递交</w:t>
      </w:r>
    </w:p>
    <w:p w14:paraId="5095F1B8">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4.2.1投标人应在第一章“招标公告”或“投标邀请书”规定的投标截止时间前递交投标文件。</w:t>
      </w:r>
    </w:p>
    <w:p w14:paraId="3EB603DA">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4.2.2投标人递交投标文件的地点：见第一章“招标公告”或“投标邀请书”。</w:t>
      </w:r>
    </w:p>
    <w:p w14:paraId="7E1358B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4.2.3除投标人须知前附表另有规定外，投标人所递交的投标文件不予退还。投标人少于3 个的，投标文件当场退还给投标人。</w:t>
      </w:r>
    </w:p>
    <w:p w14:paraId="6A70CE0E">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4.2.5逾期送达的或未送达指定地点的投标文件，招标人将予以拒收。</w:t>
      </w:r>
    </w:p>
    <w:p w14:paraId="71302315">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4.3 投标文件的修改与撤回</w:t>
      </w:r>
    </w:p>
    <w:p w14:paraId="493F011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4.3.1本章第4.2.1项规定的投标截止时间前，投标人可以修改或撤回已递交的投标文件，但应以书面形式通知招标人。</w:t>
      </w:r>
    </w:p>
    <w:p w14:paraId="16D958E2">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4.3.2投标人修改或撤回已递交投标文件的书面通知应按照本章第3.7.3项的要求签字或盖章。招标人收到书面通知后，向投标人出具签收凭证。</w:t>
      </w:r>
    </w:p>
    <w:p w14:paraId="2AA9587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4.3.3投标人撤回投标文件的，招标人自收到投标人书面撤回通知之日起5日内退还已收取的投标保证金。</w:t>
      </w:r>
    </w:p>
    <w:p w14:paraId="5B5BCDB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4.3.4修改的内容为投标文件的组成部分。修改的投标文件应按照本章第3条、第4条的规定进行编制、密封、标记和递交，并标明“修改”字样。</w:t>
      </w:r>
    </w:p>
    <w:p w14:paraId="674227F4">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5.开标</w:t>
      </w:r>
    </w:p>
    <w:p w14:paraId="207CE59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5.1 开标时间和地点</w:t>
      </w:r>
    </w:p>
    <w:p w14:paraId="68B7DC8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招标人在本章第4.2.1项规定的投标截止时间（开标时间）和投标人须知前附表规定的地点对收到的投标文件第一个信封（商务及技术文件）公开开标，并邀请所有投标人的法定代表人或其委托代理人准时参加。</w:t>
      </w:r>
    </w:p>
    <w:p w14:paraId="2204B723">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招标人在投标人须知前附表规定的时间和地点对投标文件第二个信封（报价文件）公开开标，并邀请所有投标人的法定代表人或其委托代理人准时参加。</w:t>
      </w:r>
    </w:p>
    <w:p w14:paraId="4AD19F76">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投标人若未派法定代表人或委托代理人出席开标活动，视为该投标人默认开标结果。</w:t>
      </w:r>
    </w:p>
    <w:p w14:paraId="1AFB4E9B">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5.2 开标程序</w:t>
      </w:r>
    </w:p>
    <w:p w14:paraId="6FE2BD3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5.2.1 主持人按下列程序对投标文件第一个信封（商务及技术文件）进行开标：</w:t>
      </w:r>
    </w:p>
    <w:p w14:paraId="626699B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（1）宣布开标纪律；</w:t>
      </w:r>
    </w:p>
    <w:p w14:paraId="0827C89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（2）公布在投标截止时间前递交投标文件的投标人数量；</w:t>
      </w:r>
    </w:p>
    <w:p w14:paraId="50D7C3D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（3）由投标人代表检查投标文件的密封情况；</w:t>
      </w:r>
    </w:p>
    <w:p w14:paraId="67C8868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（4）公布标段名称、投标人名称、投标函中主要内容，并记录在案；</w:t>
      </w:r>
    </w:p>
    <w:p w14:paraId="0124494C">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（5）投标人代表、招标人代表、记录人等有关人员在开标记录上签字确认；</w:t>
      </w:r>
    </w:p>
    <w:p w14:paraId="53ADC0B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（6）开标结束。</w:t>
      </w:r>
    </w:p>
    <w:p w14:paraId="54E6E42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5.2.2  在投标文件第一个信封（商务及技术文件）开标现场，投标文件第二个信封（报价文件）不予开封。</w:t>
      </w:r>
    </w:p>
    <w:p w14:paraId="167BEBC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5.2.3  招标人将按照本章第 5.1  款规定的时间和地点对投标文件第二个信封（报价文件）进行开标。主持人按下列程序进行开标：</w:t>
      </w:r>
    </w:p>
    <w:p w14:paraId="590F7AA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（1）宣布通过投标文件第一个信封（商务及技术文件）评审结果；</w:t>
      </w:r>
    </w:p>
    <w:p w14:paraId="782A7AED">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（2）拆封通过投标文件第一个信封（商务及技术文件）评审的投标文件第二个信封（报价文件），公布标段名称、投标人名称、投标报价及其他内容，并记录在案；</w:t>
      </w:r>
    </w:p>
    <w:p w14:paraId="0764EE83">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（3）计算并宣布评标基准价；</w:t>
      </w:r>
    </w:p>
    <w:p w14:paraId="464526DC">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（4）将未通过投标文件第一个信封（商务及技术文件）评审的投标文件第二个信封（报价文件）退还给投标人；</w:t>
      </w:r>
    </w:p>
    <w:p w14:paraId="28DB687A">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（5）投标人代表、招标人代表、记录人等有关人员在开标记录上签字确认；</w:t>
      </w:r>
    </w:p>
    <w:p w14:paraId="7FEB0FF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（6）开标结束。</w:t>
      </w:r>
    </w:p>
    <w:p w14:paraId="7C3FBB9E">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5.2.4 在投标文件第二个信封(报价文件)开标现场，招标人将按第三章“评标办法” 规定的原则计算并宣布评标基准价。若招标人发现投标文件出现以下任一情况，其投标报价将不再参加评标基准价的计算:</w:t>
      </w:r>
    </w:p>
    <w:p w14:paraId="12D3300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（1）未在投标函上填写投标总价；</w:t>
      </w:r>
    </w:p>
    <w:p w14:paraId="61F6F60A">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（2）投标报价超出招标人公布的最高投标限价 (如有)；</w:t>
      </w:r>
    </w:p>
    <w:p w14:paraId="7DA9A5B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（3）投标报价的大写金额无法确定具体数值；</w:t>
      </w:r>
    </w:p>
    <w:p w14:paraId="3E5302CB">
      <w:pPr>
        <w:widowControl/>
        <w:spacing w:line="360" w:lineRule="auto"/>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（4）投标函上填写的标段号与投标文件封套上标记的标段号不一致。</w:t>
      </w:r>
    </w:p>
    <w:p w14:paraId="1D20DB9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w:t>
      </w:r>
    </w:p>
    <w:p w14:paraId="1291102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5.2.5 在投标文件第一个信封（商务及技术文件）或第二个信封（报价文件）开标过程中，若招标人宣读的内容与投标文件不符，投标人有权在开标现场提出疑问，经招标人当场核查确认之后，可重新宣读其投标文件。若投标人现场未提出疑问，则认为投标人已确认招标人宣读的内容。</w:t>
      </w:r>
    </w:p>
    <w:p w14:paraId="0542FC0E">
      <w:pPr>
        <w:spacing w:line="360" w:lineRule="auto"/>
        <w:ind w:firstLine="422" w:firstLineChars="200"/>
        <w:rPr>
          <w:rFonts w:hint="eastAsia" w:ascii="宋体" w:hAnsi="宋体" w:cs="宋体"/>
          <w:b/>
          <w:bCs/>
          <w:kern w:val="0"/>
          <w:szCs w:val="21"/>
          <w:highlight w:val="none"/>
          <w:lang w:val="zh-CN"/>
        </w:rPr>
      </w:pPr>
      <w:r>
        <w:rPr>
          <w:rFonts w:hint="eastAsia" w:ascii="宋体" w:hAnsi="宋体" w:cs="宋体"/>
          <w:b/>
          <w:bCs/>
          <w:kern w:val="0"/>
          <w:szCs w:val="21"/>
          <w:highlight w:val="none"/>
        </w:rPr>
        <w:t>5.3开标异议</w:t>
      </w:r>
    </w:p>
    <w:p w14:paraId="13F4B28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投标人对开标有异议的，应在开标现场提出，招标人当场作出答复，并制作记录,有异议的投标人代表、招标人代表、记录人等有关人员在记录上签字确认。</w:t>
      </w:r>
    </w:p>
    <w:p w14:paraId="75A31DD1">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6.评标</w:t>
      </w:r>
    </w:p>
    <w:p w14:paraId="00152BBD">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6.1 评标委员会</w:t>
      </w:r>
    </w:p>
    <w:p w14:paraId="692CB92A">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6.1.1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6B2B7266">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6.1.2 评标委员会成员有下列情形之一的，应主动提出回避：</w:t>
      </w:r>
    </w:p>
    <w:p w14:paraId="799D06AA">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（1）为负责招标项目监督管理的交通运输主管部门的工作人员；</w:t>
      </w:r>
    </w:p>
    <w:p w14:paraId="3B38647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（2）与投标人法定代表人或其委托代理人有近亲属关系；</w:t>
      </w:r>
    </w:p>
    <w:p w14:paraId="27B0DBA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（3）为投标人的工作人员或退休人员；</w:t>
      </w:r>
    </w:p>
    <w:p w14:paraId="0DFCCBD6">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（4）与投标人有其他利害关系，可能影响评标活动公正性；</w:t>
      </w:r>
    </w:p>
    <w:p w14:paraId="5202AD4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（5）在与招标投标有关的活动中有过违法违规行为、曾受过行政处罚或刑事处罚。</w:t>
      </w:r>
    </w:p>
    <w:p w14:paraId="4C6A6EA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6.1.3 评标过程中，评标委员会成员有回避事由、擅离职守或因健康等原因不能继续评标的，招标人有权更换。被更换的评标委员会成员作出的评审结论无效，由更换后的评标委员会成员重新进行评审。</w:t>
      </w:r>
    </w:p>
    <w:p w14:paraId="59D70356">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6.2 评标原则</w:t>
      </w:r>
    </w:p>
    <w:p w14:paraId="091F9D8E">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评标活动遵循公平、公正、科学和择优的原则。</w:t>
      </w:r>
    </w:p>
    <w:p w14:paraId="590BCA1D">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6.3 评标</w:t>
      </w:r>
    </w:p>
    <w:p w14:paraId="427FFE0E">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6.3.1 评标委员会按照第三章“评标办法”规定的方法、评审因素、标准和程序对投标文件进行评审。第三章“评标办法”没有规定的方法、评审因素和标准，不作为评标依据。</w:t>
      </w:r>
    </w:p>
    <w:p w14:paraId="112B231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6.3.2 评标及补救措施</w:t>
      </w:r>
    </w:p>
    <w:p w14:paraId="734E52BC">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评标委员会按照本章第6.3.1项的规定在电子评标系统上开展评审工作。如果评标过程中出现异常情況, 导致无法继续评审工作的, 可暂停评标, 对原有资料及信息作出妥善保密处理, 待电子评标系统恢复正常之后,应重新组织评审。</w:t>
      </w:r>
    </w:p>
    <w:p w14:paraId="78D17B74">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7.合同授予</w:t>
      </w:r>
    </w:p>
    <w:p w14:paraId="63DDFBB0">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7.1 中标候选人公示</w:t>
      </w:r>
    </w:p>
    <w:p w14:paraId="26F4317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招标人在收到评标报告之日起3日内，按照投标人须知前附表规定的公示媒介和期限公示中标候选人，公示期不得少于3日，公示内容包括：</w:t>
      </w:r>
    </w:p>
    <w:p w14:paraId="2353D15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（1）中标候选人排序、名称、投标报价、项目负责人；</w:t>
      </w:r>
    </w:p>
    <w:p w14:paraId="6E4DCB8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（2）提出异议的渠道和方式；</w:t>
      </w:r>
    </w:p>
    <w:p w14:paraId="39D70228">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（3）投标人须知前附表规定公示的其他内容。</w:t>
      </w:r>
    </w:p>
    <w:p w14:paraId="1B444EE3">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7.2 评标结果异议</w:t>
      </w:r>
    </w:p>
    <w:p w14:paraId="41C8A84D">
      <w:pPr>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投标人或其他利害关系人对依法必须进行招标的项目的评标结果有异议的，应在中标候选人公示期间提出。招标人将在收到异议之日起3日内作出答复；作出答复前，将暂停招标投标活动。</w:t>
      </w:r>
    </w:p>
    <w:p w14:paraId="44CB8350">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7.3 中标候选人履约能力审查</w:t>
      </w:r>
    </w:p>
    <w:p w14:paraId="7B64D00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中标候选人的经营、财务状况发生较大变化或存在违法行为，招标人认为可能影响其履约能力的，将在发出中标通知书前提请原评标委员会按照招标文件规定的标准和方法进行审查确认。</w:t>
      </w:r>
    </w:p>
    <w:p w14:paraId="4F69A656">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7.4 定标</w:t>
      </w:r>
    </w:p>
    <w:p w14:paraId="669518DE">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按照投标人须知前附表的规定，招标人或招标人授权的评标委员会依法确定中标人。</w:t>
      </w:r>
    </w:p>
    <w:p w14:paraId="057EF010">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7.5 中标通知</w:t>
      </w:r>
    </w:p>
    <w:p w14:paraId="08D1C3E7">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在本章第3.3款规定的投标有效期内，招标人以投标人须知前附表规定的形式向中标人发出中标通知书，同时将中标结果通知未中标的投标人。</w:t>
      </w:r>
    </w:p>
    <w:p w14:paraId="46DE711C">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7.6 中标结果公告</w:t>
      </w:r>
    </w:p>
    <w:p w14:paraId="5DADB35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招标人在确定中标人之日起3日内，按照投标人须知前附表规定的公告媒介和期限公告中标结果，公告期不得少于3日。公告内容包括中标人名称、中标价。</w:t>
      </w:r>
    </w:p>
    <w:p w14:paraId="5FCB5EDF">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7.7 技术成果经济补偿</w:t>
      </w:r>
    </w:p>
    <w:p w14:paraId="336AB7FA">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招标人对符合招标文件规定的未中标人的技术成果进行补偿的, 招标人将按投标人须知前附表规定的标准给予经济补偿, 未中标人在投标文件中声明放弃技术成果经济补偿费的除外。 招标人将于中标通知书发出后30日内向未中标人支付技术成果经济补偿费。</w:t>
      </w:r>
    </w:p>
    <w:p w14:paraId="254DBD39">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7.8 履约保证金</w:t>
      </w:r>
    </w:p>
    <w:p w14:paraId="09797139">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7.8.1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ascii="宋体" w:hAnsi="宋体" w:cs="宋体"/>
          <w:kern w:val="0"/>
          <w:szCs w:val="21"/>
          <w:highlight w:val="none"/>
        </w:rPr>
        <w:t>5</w:t>
      </w:r>
      <w:r>
        <w:rPr>
          <w:rFonts w:hint="eastAsia" w:ascii="宋体" w:hAnsi="宋体" w:cs="宋体"/>
          <w:kern w:val="0"/>
          <w:szCs w:val="21"/>
          <w:highlight w:val="none"/>
        </w:rPr>
        <w:t>%。</w:t>
      </w:r>
    </w:p>
    <w:p w14:paraId="0C90905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采用银行保函时，应由符合投标人须知前附表规定级别的银行开具，所需的费用由中标人承担，中标人应保证银行保函有效。</w:t>
      </w:r>
    </w:p>
    <w:p w14:paraId="4BC5E0C3">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7.8.2 中标人不能按本章第7.8.1项要求提交履约保证金的，视为放弃中标，其投标保证金不予退还，给招标人造成的损失超过投标保证金数额的，中标人还应对超过部分予以赔偿。</w:t>
      </w:r>
    </w:p>
    <w:p w14:paraId="59D28FEA">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7.9 签订合同</w:t>
      </w:r>
    </w:p>
    <w:p w14:paraId="439F5C83">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7.9.1 招标人和中标人应在中标通知书发出之日起30日内，根据招标文件和中标人的投标文件订立书面合同。中标人无正当理由拒签合同，在签订合同时向招标人提出附加条件，或不按照招标文件要求提交履约保证金的，招标人取消其中标资格，其投标保证金不予退还；给招标人造成的损失超过投标保证金数额的，中标人还应对超过部分予以赔偿。</w:t>
      </w:r>
    </w:p>
    <w:p w14:paraId="5AB07782">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7.9.2 发出中标通知书后，招标人无正当理由拒签合同，或在签订合同时向中标人提出附加条件的，招标人向中标人退还投标保证金；给中标人造成损失的，还应赔偿损失。</w:t>
      </w:r>
    </w:p>
    <w:p w14:paraId="335217F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招标人不得以压低咨询服务费、增加工作量、缩短服务期限等作为中标的条件,不得与中标人再行订立背离合同实质性内容的其他协议。</w:t>
      </w:r>
    </w:p>
    <w:p w14:paraId="2BC9401B">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7.9.3 签约合同价的确定原则如下：</w:t>
      </w:r>
    </w:p>
    <w:p w14:paraId="72C25EF4">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（1）按照评标办法规定对投标报价进行修正后，若修正后的最终投标报价小于开标时的投标函大写金额报价，则签订合同时以修正后的最终投标报价为准；</w:t>
      </w:r>
    </w:p>
    <w:p w14:paraId="4A952D2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（2）按照评标办法规定对投标报价进行修正后，若修正后的最终投标报价大于开标时的投标函大写金额报价，则签订合同时以开标时的投标函大写金额报价为准，同时按比例修正相应子目的单价或合价。</w:t>
      </w:r>
    </w:p>
    <w:p w14:paraId="00EEF14A">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7.9.4 联合体中标的，联合体各方应共同与招标人签订合同，就中标项目向招标人承担连带责任。</w:t>
      </w:r>
    </w:p>
    <w:p w14:paraId="3D5E6C4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 xml:space="preserve">7.9.5 招标人和中标人在签订合同协议书的同时，须按照本招标文件规定的格式和要求签订廉政合同，明确双方在廉政建设方面的权利和义务以及应承担的违约责任。 </w:t>
      </w:r>
    </w:p>
    <w:p w14:paraId="67C444F2">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8.纪律和监督</w:t>
      </w:r>
    </w:p>
    <w:p w14:paraId="6B87648E">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8.1 对招标人的纪律要求</w:t>
      </w:r>
    </w:p>
    <w:p w14:paraId="5A5C48F6">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招标人不得泄露招标投标活动中应保密的情况和资料，不得与投标人串通损害国家利益、社会公共利益或他人合法权益。</w:t>
      </w:r>
    </w:p>
    <w:p w14:paraId="2BEFC06D">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8.2 对投标人的纪律要求</w:t>
      </w:r>
    </w:p>
    <w:p w14:paraId="3FED667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投标人不得相互串通投标或与招标人串通投标，不得向招标人或评标委员会成员行贿谋取中标，不得以他人名义投标或以其他方式弄虚作假骗取中标；投标人不得以任何方式干扰、影响评标工作。</w:t>
      </w:r>
    </w:p>
    <w:p w14:paraId="4DFECF37">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8.3 对评标委员会成员的纪律要求</w:t>
      </w:r>
    </w:p>
    <w:p w14:paraId="21A14F23">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w:t>
      </w:r>
    </w:p>
    <w:p w14:paraId="2961D5FF">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8.4 对与评标活动有关的工作人员的纪律要求</w:t>
      </w:r>
    </w:p>
    <w:p w14:paraId="3C37F4C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14:paraId="1664FC66">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8.5 投诉</w:t>
      </w:r>
    </w:p>
    <w:p w14:paraId="46AB263F">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8.5.1 投标人或其他利害关系人认为招标投标活动不符合法律、行政法规规定的，可以自知道或应当知道之日起10日内向有关行政监督部门投诉。投诉应有明确的请求和必要的证明材料。</w:t>
      </w:r>
    </w:p>
    <w:p w14:paraId="6C0B49A1">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监督部门的联系方式见投标人须知前附表。</w:t>
      </w:r>
    </w:p>
    <w:p w14:paraId="461A4157">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8.5.2 投标人或其他利害关系人对招标文件、开标和评标结果提出投诉的，应按照本章第2.4款、第5.3款和第7.2款的规定先向招标人提出异议。异议答复期间不计算在第8.5.1项规定的期限内。</w:t>
      </w:r>
    </w:p>
    <w:p w14:paraId="3FB711AA">
      <w:pPr>
        <w:spacing w:line="360" w:lineRule="auto"/>
        <w:ind w:firstLine="422" w:firstLineChars="200"/>
        <w:rPr>
          <w:rFonts w:hint="eastAsia" w:ascii="宋体" w:hAnsi="宋体" w:cs="宋体"/>
          <w:b/>
          <w:bCs/>
          <w:kern w:val="0"/>
          <w:szCs w:val="21"/>
          <w:highlight w:val="none"/>
        </w:rPr>
      </w:pPr>
      <w:r>
        <w:rPr>
          <w:rFonts w:hint="eastAsia" w:ascii="宋体" w:hAnsi="宋体" w:cs="宋体"/>
          <w:b/>
          <w:bCs/>
          <w:kern w:val="0"/>
          <w:szCs w:val="21"/>
          <w:highlight w:val="none"/>
        </w:rPr>
        <w:t>9.需要补充的其他内容</w:t>
      </w:r>
    </w:p>
    <w:p w14:paraId="78E93A95">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9.1 自购买招标文件之日起，投标人应保证其提供的联系方式（电话、传真、电子邮件）一直有效，以便及时收到招标人发出的函件(招标文件的澄清、修改等)，并应及时向招标人反馈信息，否则招标人不承担由此引起的一切后果。</w:t>
      </w:r>
    </w:p>
    <w:p w14:paraId="7DC9E390">
      <w:pPr>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需要补充的其他内容：见投标人须知前附表。</w:t>
      </w:r>
    </w:p>
    <w:bookmarkEnd w:id="0"/>
    <w:bookmarkEnd w:id="1"/>
    <w:p w14:paraId="33AEC418">
      <w:pPr>
        <w:spacing w:line="360" w:lineRule="auto"/>
        <w:ind w:firstLine="420" w:firstLineChars="200"/>
        <w:rPr>
          <w:rFonts w:hint="eastAsia" w:ascii="宋体" w:hAnsi="宋体" w:cs="宋体"/>
          <w:kern w:val="0"/>
          <w:szCs w:val="21"/>
          <w:highlight w:val="none"/>
        </w:rPr>
      </w:pPr>
      <w:bookmarkStart w:id="3" w:name="_Toc351563290"/>
      <w:bookmarkStart w:id="4" w:name="_Toc359310257"/>
      <w:bookmarkStart w:id="5" w:name="_Toc437854264"/>
      <w:bookmarkStart w:id="6" w:name="_Toc312247027"/>
      <w:bookmarkStart w:id="7" w:name="_Toc163552477"/>
      <w:bookmarkStart w:id="8" w:name="_Toc507577054"/>
      <w:bookmarkStart w:id="9" w:name="_Toc183332591"/>
      <w:bookmarkStart w:id="10" w:name="_Toc308697151"/>
    </w:p>
    <w:bookmarkEnd w:id="3"/>
    <w:bookmarkEnd w:id="4"/>
    <w:bookmarkEnd w:id="5"/>
    <w:bookmarkEnd w:id="6"/>
    <w:bookmarkEnd w:id="7"/>
    <w:bookmarkEnd w:id="8"/>
    <w:bookmarkEnd w:id="9"/>
    <w:bookmarkEnd w:id="10"/>
    <w:p w14:paraId="6EC2A10A">
      <w:pPr>
        <w:adjustRightInd w:val="0"/>
        <w:snapToGrid w:val="0"/>
        <w:spacing w:after="120" w:afterLines="50" w:line="360" w:lineRule="auto"/>
        <w:ind w:firstLine="360" w:firstLineChars="150"/>
        <w:rPr>
          <w:rFonts w:hint="eastAsia" w:ascii="宋体" w:hAnsi="宋体"/>
          <w:sz w:val="24"/>
          <w:highlight w:val="none"/>
          <w:lang w:val="en-GB"/>
        </w:rPr>
      </w:pPr>
    </w:p>
    <w:p w14:paraId="5A705450">
      <w:pPr>
        <w:adjustRightInd w:val="0"/>
        <w:snapToGrid w:val="0"/>
        <w:spacing w:after="120" w:afterLines="50" w:line="360" w:lineRule="auto"/>
        <w:ind w:firstLine="482" w:firstLineChars="150"/>
        <w:rPr>
          <w:rFonts w:hint="eastAsia" w:ascii="黑体" w:hAnsi="宋体" w:eastAsia="黑体"/>
          <w:b/>
          <w:bCs/>
          <w:sz w:val="32"/>
          <w:szCs w:val="32"/>
          <w:highlight w:val="none"/>
        </w:rPr>
      </w:pPr>
      <w:r>
        <w:rPr>
          <w:rFonts w:hint="eastAsia" w:ascii="黑体" w:hAnsi="宋体" w:eastAsia="黑体"/>
          <w:b/>
          <w:bCs/>
          <w:sz w:val="32"/>
          <w:szCs w:val="32"/>
          <w:highlight w:val="none"/>
        </w:rPr>
        <w:br w:type="page"/>
      </w:r>
    </w:p>
    <w:p w14:paraId="279F99A6">
      <w:pPr>
        <w:pStyle w:val="13"/>
        <w:topLinePunct/>
        <w:spacing w:line="400" w:lineRule="atLeast"/>
        <w:ind w:right="420"/>
        <w:rPr>
          <w:rFonts w:hint="eastAsia" w:hAnsi="宋体"/>
          <w:sz w:val="23"/>
          <w:szCs w:val="23"/>
          <w:highlight w:val="none"/>
        </w:rPr>
      </w:pPr>
    </w:p>
    <w:p w14:paraId="219A2743">
      <w:pPr>
        <w:pStyle w:val="13"/>
        <w:topLinePunct/>
        <w:spacing w:line="400" w:lineRule="atLeast"/>
        <w:ind w:right="420"/>
        <w:rPr>
          <w:rFonts w:hint="eastAsia" w:hAnsi="宋体"/>
          <w:sz w:val="23"/>
          <w:szCs w:val="23"/>
          <w:highlight w:val="none"/>
        </w:rPr>
      </w:pPr>
    </w:p>
    <w:p w14:paraId="19D900DD">
      <w:pPr>
        <w:spacing w:before="120" w:after="120" w:line="360" w:lineRule="auto"/>
        <w:rPr>
          <w:rFonts w:hint="eastAsia" w:ascii="黑体" w:eastAsia="黑体"/>
          <w:b/>
          <w:bCs/>
          <w:kern w:val="44"/>
          <w:szCs w:val="21"/>
          <w:highlight w:val="none"/>
        </w:rPr>
      </w:pPr>
    </w:p>
    <w:p w14:paraId="4AB0B662">
      <w:pPr>
        <w:spacing w:before="120" w:after="120" w:line="360" w:lineRule="auto"/>
        <w:ind w:firstLine="210" w:firstLineChars="100"/>
        <w:rPr>
          <w:rFonts w:hint="eastAsia" w:ascii="宋体" w:hAnsi="宋体"/>
          <w:bCs/>
          <w:kern w:val="44"/>
          <w:szCs w:val="21"/>
          <w:highlight w:val="none"/>
        </w:rPr>
      </w:pPr>
      <w:bookmarkStart w:id="11" w:name="_Toc255396810"/>
    </w:p>
    <w:p w14:paraId="569FC15C">
      <w:pPr>
        <w:pStyle w:val="2"/>
        <w:spacing w:before="3600"/>
        <w:jc w:val="center"/>
        <w:rPr>
          <w:rFonts w:ascii="黑体" w:eastAsia="黑体"/>
          <w:sz w:val="52"/>
          <w:szCs w:val="52"/>
          <w:highlight w:val="none"/>
        </w:rPr>
        <w:sectPr>
          <w:footerReference r:id="rId6" w:type="first"/>
          <w:footerReference r:id="rId5" w:type="default"/>
          <w:pgSz w:w="11907" w:h="16840"/>
          <w:pgMar w:top="1418" w:right="1275" w:bottom="851" w:left="1418" w:header="851" w:footer="592" w:gutter="0"/>
          <w:pgNumType w:fmt="decimal" w:start="1"/>
          <w:cols w:space="720" w:num="1"/>
          <w:titlePg/>
          <w:docGrid w:linePitch="312" w:charSpace="0"/>
        </w:sectPr>
      </w:pPr>
      <w:bookmarkStart w:id="12" w:name="_Toc282634965"/>
      <w:bookmarkStart w:id="13" w:name="_Toc507577058"/>
      <w:r>
        <w:rPr>
          <w:rFonts w:hint="eastAsia" w:ascii="黑体" w:eastAsia="黑体"/>
          <w:sz w:val="52"/>
          <w:szCs w:val="52"/>
          <w:highlight w:val="none"/>
        </w:rPr>
        <w:t>第三章 评标办法</w:t>
      </w:r>
      <w:bookmarkEnd w:id="12"/>
      <w:bookmarkEnd w:id="13"/>
    </w:p>
    <w:bookmarkEnd w:id="11"/>
    <w:p w14:paraId="226C6BBD">
      <w:pPr>
        <w:pStyle w:val="3"/>
        <w:spacing w:before="120" w:after="120" w:line="360" w:lineRule="auto"/>
        <w:jc w:val="center"/>
        <w:rPr>
          <w:highlight w:val="none"/>
        </w:rPr>
      </w:pPr>
      <w:bookmarkStart w:id="14" w:name="_Toc312247032"/>
      <w:bookmarkStart w:id="15" w:name="_Toc282634966"/>
      <w:bookmarkStart w:id="16" w:name="_Toc359310262"/>
      <w:bookmarkStart w:id="17" w:name="_Toc437854269"/>
      <w:bookmarkStart w:id="18" w:name="_Toc351563295"/>
      <w:bookmarkStart w:id="19" w:name="_Toc293501774"/>
      <w:bookmarkStart w:id="20" w:name="_Toc255396871"/>
      <w:bookmarkStart w:id="21" w:name="_Toc308697156"/>
      <w:bookmarkStart w:id="22" w:name="_Toc507577059"/>
      <w:r>
        <w:rPr>
          <w:rFonts w:hint="eastAsia"/>
          <w:highlight w:val="none"/>
        </w:rPr>
        <w:t>评标办法（综合评估法）</w:t>
      </w:r>
      <w:bookmarkEnd w:id="14"/>
      <w:bookmarkEnd w:id="15"/>
      <w:bookmarkEnd w:id="16"/>
      <w:bookmarkEnd w:id="17"/>
      <w:bookmarkEnd w:id="18"/>
      <w:bookmarkEnd w:id="19"/>
      <w:bookmarkEnd w:id="20"/>
      <w:bookmarkEnd w:id="21"/>
      <w:bookmarkEnd w:id="22"/>
    </w:p>
    <w:p w14:paraId="341197D4">
      <w:pPr>
        <w:spacing w:line="360" w:lineRule="auto"/>
        <w:rPr>
          <w:rFonts w:hint="eastAsia"/>
          <w:b/>
          <w:sz w:val="28"/>
          <w:szCs w:val="28"/>
          <w:highlight w:val="none"/>
        </w:rPr>
      </w:pPr>
      <w:bookmarkStart w:id="23" w:name="_Toc255396872"/>
      <w:r>
        <w:rPr>
          <w:b/>
          <w:sz w:val="28"/>
          <w:szCs w:val="28"/>
          <w:highlight w:val="none"/>
        </w:rPr>
        <w:t>评标办法前附表</w:t>
      </w:r>
      <w:bookmarkEnd w:id="23"/>
    </w:p>
    <w:tbl>
      <w:tblPr>
        <w:tblStyle w:val="37"/>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26"/>
        <w:gridCol w:w="1240"/>
        <w:gridCol w:w="7361"/>
      </w:tblGrid>
      <w:tr w14:paraId="5750E4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blHeader/>
          <w:jc w:val="center"/>
        </w:trPr>
        <w:tc>
          <w:tcPr>
            <w:tcW w:w="533" w:type="pct"/>
            <w:noWrap w:val="0"/>
            <w:vAlign w:val="center"/>
          </w:tcPr>
          <w:p w14:paraId="368EC2D1">
            <w:pPr>
              <w:snapToGrid w:val="0"/>
              <w:jc w:val="center"/>
              <w:rPr>
                <w:rFonts w:hint="eastAsia" w:ascii="黑体" w:hAnsi="宋体" w:eastAsia="黑体"/>
                <w:b/>
                <w:szCs w:val="21"/>
                <w:highlight w:val="none"/>
              </w:rPr>
            </w:pPr>
            <w:bookmarkStart w:id="24" w:name="_Toc179632618"/>
            <w:bookmarkStart w:id="25" w:name="_Toc282634967"/>
            <w:bookmarkStart w:id="26" w:name="_Toc152045600"/>
            <w:bookmarkStart w:id="27" w:name="_Toc144974567"/>
            <w:bookmarkStart w:id="28" w:name="_Toc152042377"/>
            <w:r>
              <w:rPr>
                <w:rFonts w:hint="eastAsia" w:ascii="黑体" w:hAnsi="宋体" w:eastAsia="黑体"/>
                <w:b/>
                <w:szCs w:val="21"/>
                <w:highlight w:val="none"/>
              </w:rPr>
              <w:t>条款号</w:t>
            </w:r>
          </w:p>
        </w:tc>
        <w:tc>
          <w:tcPr>
            <w:tcW w:w="644" w:type="pct"/>
            <w:noWrap w:val="0"/>
            <w:vAlign w:val="center"/>
          </w:tcPr>
          <w:p w14:paraId="2082D704">
            <w:pPr>
              <w:snapToGrid w:val="0"/>
              <w:jc w:val="center"/>
              <w:rPr>
                <w:rFonts w:hint="eastAsia" w:ascii="黑体" w:hAnsi="宋体" w:eastAsia="黑体"/>
                <w:b/>
                <w:szCs w:val="21"/>
                <w:highlight w:val="none"/>
              </w:rPr>
            </w:pPr>
            <w:r>
              <w:rPr>
                <w:rFonts w:hint="eastAsia" w:ascii="黑体" w:hAnsi="宋体" w:eastAsia="黑体"/>
                <w:b/>
                <w:szCs w:val="21"/>
                <w:highlight w:val="none"/>
              </w:rPr>
              <w:t>条款名称</w:t>
            </w:r>
          </w:p>
        </w:tc>
        <w:tc>
          <w:tcPr>
            <w:tcW w:w="3823" w:type="pct"/>
            <w:noWrap w:val="0"/>
            <w:vAlign w:val="center"/>
          </w:tcPr>
          <w:p w14:paraId="4B67FDDC">
            <w:pPr>
              <w:snapToGrid w:val="0"/>
              <w:jc w:val="center"/>
              <w:rPr>
                <w:rFonts w:hint="eastAsia" w:ascii="黑体" w:hAnsi="宋体" w:eastAsia="黑体"/>
                <w:b/>
                <w:szCs w:val="21"/>
                <w:highlight w:val="none"/>
              </w:rPr>
            </w:pPr>
            <w:r>
              <w:rPr>
                <w:rFonts w:hint="eastAsia" w:ascii="黑体" w:hAnsi="宋体" w:eastAsia="黑体"/>
                <w:b/>
                <w:szCs w:val="21"/>
                <w:highlight w:val="none"/>
              </w:rPr>
              <w:t>评审因素与评审标准</w:t>
            </w:r>
          </w:p>
        </w:tc>
      </w:tr>
      <w:tr w14:paraId="478C3B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jc w:val="center"/>
        </w:trPr>
        <w:tc>
          <w:tcPr>
            <w:tcW w:w="1177" w:type="pct"/>
            <w:gridSpan w:val="2"/>
            <w:noWrap w:val="0"/>
            <w:vAlign w:val="center"/>
          </w:tcPr>
          <w:p w14:paraId="4EDB441A">
            <w:pPr>
              <w:jc w:val="center"/>
              <w:rPr>
                <w:rFonts w:hint="eastAsia" w:ascii="黑体" w:hAnsi="宋体" w:eastAsia="黑体"/>
                <w:szCs w:val="21"/>
                <w:highlight w:val="none"/>
              </w:rPr>
            </w:pPr>
            <w:r>
              <w:rPr>
                <w:rFonts w:ascii="宋体" w:hAnsi="宋体"/>
                <w:sz w:val="24"/>
                <w:highlight w:val="none"/>
              </w:rPr>
              <w:t>1. 评标方法</w:t>
            </w:r>
          </w:p>
        </w:tc>
        <w:tc>
          <w:tcPr>
            <w:tcW w:w="3823" w:type="pct"/>
            <w:noWrap w:val="0"/>
            <w:vAlign w:val="top"/>
          </w:tcPr>
          <w:p w14:paraId="7D84D806">
            <w:pPr>
              <w:jc w:val="both"/>
              <w:rPr>
                <w:rFonts w:hint="eastAsia" w:ascii="宋体" w:hAnsi="宋体" w:eastAsia="宋体" w:cs="宋体"/>
                <w:highlight w:val="none"/>
              </w:rPr>
            </w:pPr>
            <w:r>
              <w:rPr>
                <w:rFonts w:hint="eastAsia" w:ascii="宋体" w:hAnsi="宋体" w:eastAsia="宋体" w:cs="宋体"/>
                <w:highlight w:val="none"/>
              </w:rPr>
              <w:t>1、综合评分相等时，评标委员会依次按照以下优先顺序推荐中标候选人：</w:t>
            </w:r>
          </w:p>
          <w:p w14:paraId="2A06746B">
            <w:pPr>
              <w:jc w:val="both"/>
              <w:rPr>
                <w:rFonts w:hint="eastAsia" w:ascii="宋体" w:hAnsi="宋体" w:eastAsia="宋体" w:cs="宋体"/>
                <w:highlight w:val="none"/>
              </w:rPr>
            </w:pPr>
            <w:r>
              <w:rPr>
                <w:rFonts w:hint="eastAsia" w:ascii="宋体" w:hAnsi="宋体" w:eastAsia="宋体" w:cs="宋体"/>
                <w:highlight w:val="none"/>
              </w:rPr>
              <w:t>（1）评标价低的投标人优先；</w:t>
            </w:r>
          </w:p>
          <w:p w14:paraId="4A59FCF0">
            <w:pPr>
              <w:jc w:val="both"/>
              <w:rPr>
                <w:rFonts w:hint="eastAsia" w:ascii="宋体" w:hAnsi="宋体" w:eastAsia="宋体" w:cs="宋体"/>
                <w:highlight w:val="none"/>
                <w:lang w:val="en-US" w:eastAsia="zh-CN"/>
              </w:rPr>
            </w:pPr>
            <w:r>
              <w:rPr>
                <w:rFonts w:hint="eastAsia" w:ascii="宋体" w:hAnsi="宋体" w:eastAsia="宋体" w:cs="宋体"/>
                <w:highlight w:val="none"/>
                <w:lang w:eastAsia="zh-CN"/>
              </w:rPr>
              <w:t>（</w:t>
            </w:r>
            <w:r>
              <w:rPr>
                <w:rFonts w:hint="eastAsia" w:ascii="宋体" w:hAnsi="宋体" w:eastAsia="宋体" w:cs="宋体"/>
                <w:highlight w:val="none"/>
                <w:lang w:val="en-US" w:eastAsia="zh-CN"/>
              </w:rPr>
              <w:t>2</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工作大纲中</w:t>
            </w:r>
            <w:r>
              <w:rPr>
                <w:rFonts w:hint="eastAsia" w:ascii="宋体" w:hAnsi="宋体" w:eastAsia="宋体" w:cs="宋体"/>
                <w:highlight w:val="none"/>
              </w:rPr>
              <w:t>“工作的程序与方法”得分较高的投标人优先</w:t>
            </w:r>
            <w:r>
              <w:rPr>
                <w:rFonts w:hint="eastAsia" w:ascii="宋体" w:hAnsi="宋体" w:eastAsia="宋体" w:cs="宋体"/>
                <w:highlight w:val="none"/>
                <w:lang w:eastAsia="zh-CN"/>
              </w:rPr>
              <w:t>。</w:t>
            </w:r>
          </w:p>
          <w:p w14:paraId="343ADB28">
            <w:pPr>
              <w:jc w:val="both"/>
              <w:rPr>
                <w:rFonts w:hint="eastAsia" w:ascii="宋体" w:hAnsi="宋体" w:eastAsia="宋体" w:cs="宋体"/>
                <w:highlight w:val="none"/>
              </w:rPr>
            </w:pPr>
            <w:r>
              <w:rPr>
                <w:rFonts w:hint="eastAsia" w:ascii="宋体" w:hAnsi="宋体" w:eastAsia="宋体" w:cs="宋体"/>
                <w:highlight w:val="none"/>
              </w:rPr>
              <w:t>（</w:t>
            </w:r>
            <w:r>
              <w:rPr>
                <w:rFonts w:hint="eastAsia" w:ascii="宋体" w:hAnsi="宋体" w:eastAsia="宋体" w:cs="宋体"/>
                <w:highlight w:val="none"/>
                <w:lang w:val="en-US" w:eastAsia="zh-CN"/>
              </w:rPr>
              <w:t>3</w:t>
            </w:r>
            <w:r>
              <w:rPr>
                <w:rFonts w:hint="eastAsia" w:ascii="宋体" w:hAnsi="宋体" w:eastAsia="宋体" w:cs="宋体"/>
                <w:highlight w:val="none"/>
              </w:rPr>
              <w:t>）仍不能确定的，由评标委员会投票决定。</w:t>
            </w:r>
          </w:p>
          <w:p w14:paraId="1D655841">
            <w:pPr>
              <w:jc w:val="both"/>
              <w:rPr>
                <w:rFonts w:hint="eastAsia" w:ascii="宋体" w:hAnsi="宋体" w:eastAsia="宋体" w:cs="宋体"/>
                <w:highlight w:val="none"/>
              </w:rPr>
            </w:pPr>
            <w:r>
              <w:rPr>
                <w:rFonts w:hint="eastAsia" w:ascii="宋体" w:hAnsi="宋体" w:eastAsia="宋体" w:cs="宋体"/>
                <w:highlight w:val="none"/>
              </w:rPr>
              <w:t>2、评标委员会按本章第3.2.1款规定的量化因素和分值进行打分，并计算出各投标人的商务和技术得分。各评分因素得分为评标委员会各成员的打分平均值（若该评分因素含细分项，按评分因素细分项分别计算得分），评标委员会成员总数为7人或7人以上时，该平均值以去掉一个最高分和一个最低分后计算，计算保留小数点后两位，小数点后第三位“四舍五入”。评标委员会成员对某一项评分因素细分值的评分低于权重分值60%的，应在评标报告中作出说明。</w:t>
            </w:r>
          </w:p>
          <w:p w14:paraId="3D66AE63">
            <w:pPr>
              <w:jc w:val="both"/>
              <w:rPr>
                <w:rFonts w:hint="eastAsia" w:ascii="宋体" w:hAnsi="宋体" w:eastAsia="宋体" w:cs="宋体"/>
                <w:highlight w:val="none"/>
              </w:rPr>
            </w:pPr>
            <w:r>
              <w:rPr>
                <w:rFonts w:hint="eastAsia" w:ascii="宋体" w:hAnsi="宋体" w:eastAsia="宋体" w:cs="宋体"/>
                <w:highlight w:val="none"/>
              </w:rPr>
              <w:t>3、本项目通过投标文件第一信封（商务及技术文件）评审的投标人不足3家的，评标委员会可以否决全部投标；未否决全部投标的，评标委员会应当在评标报告中阐明理由，招标人可按照第二章“投标人须知”第5.1款规定的时间和地点对投标文件第二信封（报价文件）进行开标，但评标委员会在进行报价文件评审时仍有权否决全部投标。</w:t>
            </w:r>
          </w:p>
          <w:p w14:paraId="314DD8F8">
            <w:pPr>
              <w:jc w:val="both"/>
              <w:rPr>
                <w:rFonts w:hint="eastAsia" w:ascii="宋体" w:hAnsi="宋体" w:eastAsia="宋体" w:cs="宋体"/>
                <w:highlight w:val="none"/>
              </w:rPr>
            </w:pPr>
            <w:r>
              <w:rPr>
                <w:rFonts w:hint="eastAsia" w:ascii="宋体" w:hAnsi="宋体" w:eastAsia="宋体" w:cs="宋体"/>
                <w:highlight w:val="none"/>
              </w:rPr>
              <w:t>4、其他：</w:t>
            </w:r>
          </w:p>
          <w:p w14:paraId="0D59C8BC">
            <w:pPr>
              <w:jc w:val="both"/>
              <w:rPr>
                <w:rFonts w:hint="eastAsia" w:ascii="宋体" w:hAnsi="宋体" w:eastAsia="宋体" w:cs="宋体"/>
                <w:highlight w:val="none"/>
              </w:rPr>
            </w:pPr>
            <w:r>
              <w:rPr>
                <w:rFonts w:hint="eastAsia" w:ascii="宋体" w:hAnsi="宋体" w:eastAsia="宋体" w:cs="宋体"/>
                <w:highlight w:val="none"/>
                <w:lang w:eastAsia="zh-CN"/>
              </w:rPr>
              <w:t>（</w:t>
            </w:r>
            <w:r>
              <w:rPr>
                <w:rFonts w:hint="eastAsia" w:ascii="宋体" w:hAnsi="宋体" w:eastAsia="宋体" w:cs="宋体"/>
                <w:highlight w:val="none"/>
                <w:lang w:val="en-US" w:eastAsia="zh-CN"/>
              </w:rPr>
              <w:t>1</w:t>
            </w:r>
            <w:r>
              <w:rPr>
                <w:rFonts w:hint="eastAsia" w:ascii="宋体" w:hAnsi="宋体" w:eastAsia="宋体" w:cs="宋体"/>
                <w:highlight w:val="none"/>
                <w:lang w:eastAsia="zh-CN"/>
              </w:rPr>
              <w:t>）</w:t>
            </w:r>
            <w:r>
              <w:rPr>
                <w:rFonts w:hint="eastAsia" w:ascii="宋体" w:hAnsi="宋体" w:eastAsia="宋体" w:cs="宋体"/>
                <w:highlight w:val="none"/>
              </w:rPr>
              <w:t>评标委员会完成评标后，应向招标人提交书面评标报告。</w:t>
            </w:r>
          </w:p>
          <w:p w14:paraId="5B1A0A78">
            <w:pPr>
              <w:jc w:val="both"/>
              <w:rPr>
                <w:rFonts w:hint="eastAsia" w:ascii="宋体" w:hAnsi="宋体" w:eastAsia="宋体" w:cs="宋体"/>
                <w:highlight w:val="none"/>
              </w:rPr>
            </w:pPr>
            <w:r>
              <w:rPr>
                <w:rFonts w:hint="eastAsia" w:ascii="宋体" w:hAnsi="宋体" w:eastAsia="宋体" w:cs="宋体"/>
                <w:highlight w:val="none"/>
              </w:rPr>
              <w:t>（2）如果评标委员会认为在评标过程中有影响最终评标结果的不能确定的特殊问题，应在评标意见中记载并提请招标人决定。</w:t>
            </w:r>
          </w:p>
          <w:p w14:paraId="31E458B4">
            <w:pPr>
              <w:jc w:val="both"/>
              <w:rPr>
                <w:rFonts w:hint="eastAsia" w:eastAsia="黑体"/>
                <w:highlight w:val="none"/>
              </w:rPr>
            </w:pPr>
            <w:r>
              <w:rPr>
                <w:rFonts w:hint="eastAsia" w:ascii="宋体" w:hAnsi="宋体" w:eastAsia="宋体" w:cs="宋体"/>
                <w:highlight w:val="none"/>
              </w:rPr>
              <w:t>（3）如所有投标文件均未通过形式评审与响应性评审、资格评审，或投标缺乏竞争性，招标人可重新招标。</w:t>
            </w:r>
          </w:p>
        </w:tc>
      </w:tr>
      <w:tr w14:paraId="13592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33" w:type="pct"/>
            <w:noWrap w:val="0"/>
            <w:vAlign w:val="center"/>
          </w:tcPr>
          <w:p w14:paraId="77289ED8">
            <w:pPr>
              <w:spacing w:after="117" w:line="259" w:lineRule="auto"/>
              <w:ind w:right="103"/>
              <w:jc w:val="center"/>
              <w:rPr>
                <w:rFonts w:hint="eastAsia" w:ascii="黑体" w:hAnsi="黑体" w:eastAsia="黑体" w:cs="黑体"/>
                <w:highlight w:val="none"/>
              </w:rPr>
            </w:pPr>
            <w:r>
              <w:rPr>
                <w:rFonts w:hint="eastAsia" w:ascii="黑体" w:hAnsi="黑体" w:eastAsia="黑体" w:cs="黑体"/>
                <w:highlight w:val="none"/>
              </w:rPr>
              <w:t>2.1.1</w:t>
            </w:r>
          </w:p>
          <w:p w14:paraId="58CE3BB5">
            <w:pPr>
              <w:spacing w:line="259" w:lineRule="auto"/>
              <w:ind w:right="103"/>
              <w:jc w:val="center"/>
              <w:rPr>
                <w:rFonts w:hint="eastAsia" w:ascii="黑体" w:hAnsi="黑体" w:eastAsia="黑体" w:cs="黑体"/>
                <w:szCs w:val="21"/>
                <w:highlight w:val="none"/>
              </w:rPr>
            </w:pPr>
            <w:r>
              <w:rPr>
                <w:rFonts w:hint="eastAsia" w:ascii="黑体" w:hAnsi="黑体" w:eastAsia="黑体" w:cs="黑体"/>
                <w:highlight w:val="none"/>
              </w:rPr>
              <w:t>2.1.3（A）</w:t>
            </w:r>
          </w:p>
        </w:tc>
        <w:tc>
          <w:tcPr>
            <w:tcW w:w="644" w:type="pct"/>
            <w:noWrap w:val="0"/>
            <w:vAlign w:val="center"/>
          </w:tcPr>
          <w:p w14:paraId="43EFE367">
            <w:pPr>
              <w:spacing w:line="259" w:lineRule="auto"/>
              <w:jc w:val="center"/>
              <w:rPr>
                <w:rFonts w:hint="eastAsia" w:ascii="黑体" w:hAnsi="黑体" w:eastAsia="黑体" w:cs="黑体"/>
                <w:szCs w:val="21"/>
                <w:highlight w:val="none"/>
              </w:rPr>
            </w:pPr>
            <w:r>
              <w:rPr>
                <w:rFonts w:hint="eastAsia" w:ascii="黑体" w:hAnsi="黑体" w:eastAsia="黑体" w:cs="黑体"/>
                <w:highlight w:val="none"/>
              </w:rPr>
              <w:t>形式评审与响应性评审标准</w:t>
            </w:r>
          </w:p>
        </w:tc>
        <w:tc>
          <w:tcPr>
            <w:tcW w:w="3823" w:type="pct"/>
            <w:noWrap w:val="0"/>
            <w:vAlign w:val="top"/>
          </w:tcPr>
          <w:p w14:paraId="092D7A60">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第一个信封（商务及技术文件）评审标准： </w:t>
            </w:r>
          </w:p>
          <w:p w14:paraId="7802E8DE">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（1）投标文件按照招标文件规定的格式、内容填写，字迹清晰可辨： </w:t>
            </w:r>
          </w:p>
          <w:p w14:paraId="2BAA2672">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a.投标函按招标文件规定填报了项目名称、补遗书编号（如有）、服务期限； </w:t>
            </w:r>
          </w:p>
          <w:p w14:paraId="60D966D1">
            <w:pPr>
              <w:snapToGrid w:val="0"/>
              <w:jc w:val="both"/>
              <w:rPr>
                <w:rFonts w:hint="eastAsia" w:ascii="黑体" w:hAnsi="黑体" w:eastAsia="黑体" w:cs="黑体"/>
                <w:b/>
                <w:kern w:val="0"/>
                <w:szCs w:val="21"/>
                <w:highlight w:val="none"/>
                <w:lang w:eastAsia="zh-CN"/>
              </w:rPr>
            </w:pPr>
            <w:r>
              <w:rPr>
                <w:rFonts w:hint="eastAsia" w:ascii="黑体" w:hAnsi="黑体" w:eastAsia="黑体" w:cs="黑体"/>
                <w:b/>
                <w:kern w:val="0"/>
                <w:szCs w:val="21"/>
                <w:highlight w:val="none"/>
              </w:rPr>
              <w:t>b.投标文件组成齐全完整，内容均按规定填写</w:t>
            </w:r>
            <w:r>
              <w:rPr>
                <w:rFonts w:hint="eastAsia" w:ascii="黑体" w:hAnsi="黑体" w:eastAsia="黑体" w:cs="黑体"/>
                <w:b/>
                <w:kern w:val="0"/>
                <w:szCs w:val="21"/>
                <w:highlight w:val="none"/>
                <w:lang w:eastAsia="zh-CN"/>
              </w:rPr>
              <w:t>。</w:t>
            </w:r>
          </w:p>
          <w:p w14:paraId="34874B46">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（2）投标文件上相关人员的签字（或盖章）、投标人的单位章盖章齐全，符合招标文件规定。 </w:t>
            </w:r>
          </w:p>
          <w:p w14:paraId="6EC00F72">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（3）投标人按照招标文件的规定提供了投标保证金。 </w:t>
            </w:r>
          </w:p>
          <w:p w14:paraId="027926B6">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（4）投标人法定代表人授权委托代理人签署投标文件的，须提交授权委托书，且授权人和被授权人均在授权委托书上签名（或盖章）。 </w:t>
            </w:r>
          </w:p>
          <w:p w14:paraId="3BC924CB">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（5）投标人法定代表人亲自签署投标文件的，提供了法定代表人身份证明，且法定代表人在法定代表人身份证明上签名(或盖章)。 </w:t>
            </w:r>
          </w:p>
          <w:p w14:paraId="18E14D6F">
            <w:pPr>
              <w:snapToGrid w:val="0"/>
              <w:jc w:val="both"/>
              <w:rPr>
                <w:rFonts w:hint="eastAsia" w:ascii="黑体" w:hAnsi="黑体" w:eastAsia="黑体" w:cs="黑体"/>
                <w:b/>
                <w:kern w:val="0"/>
                <w:szCs w:val="21"/>
                <w:highlight w:val="none"/>
                <w:lang w:eastAsia="zh-CN"/>
              </w:rPr>
            </w:pPr>
            <w:r>
              <w:rPr>
                <w:rFonts w:hint="eastAsia" w:ascii="黑体" w:hAnsi="黑体" w:eastAsia="黑体" w:cs="黑体"/>
                <w:b/>
                <w:kern w:val="0"/>
                <w:szCs w:val="21"/>
                <w:highlight w:val="none"/>
              </w:rPr>
              <w:t>（6）投标人未以联合体形式投标</w:t>
            </w:r>
            <w:r>
              <w:rPr>
                <w:rFonts w:hint="eastAsia" w:ascii="黑体" w:hAnsi="黑体" w:eastAsia="黑体" w:cs="黑体"/>
                <w:b/>
                <w:kern w:val="0"/>
                <w:szCs w:val="21"/>
                <w:highlight w:val="none"/>
                <w:lang w:eastAsia="zh-CN"/>
              </w:rPr>
              <w:t>。</w:t>
            </w:r>
          </w:p>
          <w:p w14:paraId="14D22F8A">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（7）投标人无分包计划。</w:t>
            </w:r>
          </w:p>
          <w:p w14:paraId="46D75C63">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（8）同一投标人未提交两个以上不同的投标文件，但招标文件要求提交备选投标的除外。 </w:t>
            </w:r>
          </w:p>
          <w:p w14:paraId="4203F000">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（9）投标文件中未出现有关投标报价的内容。 </w:t>
            </w:r>
          </w:p>
          <w:p w14:paraId="5EBDE7B0">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（10）投标文件载明的招标项目完成期限未超过招标文件规定的时限。 </w:t>
            </w:r>
          </w:p>
          <w:p w14:paraId="4A71B656">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（11）投标文件对招标文件的实质性要求和条件作出响应。 </w:t>
            </w:r>
          </w:p>
          <w:p w14:paraId="70875892">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（12）权利义务符合招标文件规定： </w:t>
            </w:r>
          </w:p>
          <w:p w14:paraId="47E752F7">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a.投标人应接受招标文件规定的风险划分原则，未提出新的风险划分办法； </w:t>
            </w:r>
          </w:p>
          <w:p w14:paraId="44157D24">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b.投标人未增加发包人的责任范围，或减少投标人义务； </w:t>
            </w:r>
          </w:p>
          <w:p w14:paraId="59D24294">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c.投标人未提出不同的支付办法； </w:t>
            </w:r>
          </w:p>
          <w:p w14:paraId="6DC3B474">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d.投标人对合同纠纷、事故处理办法未提出异议； </w:t>
            </w:r>
          </w:p>
          <w:p w14:paraId="7ADBB5E8">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e.投标人在投标活动中无欺诈行为；</w:t>
            </w:r>
          </w:p>
          <w:p w14:paraId="2A8FDFC1">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f.投标人未对合同条款有重要保留。 </w:t>
            </w:r>
          </w:p>
          <w:p w14:paraId="556B604F">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（13）投标人没有《中华人民共和国招标投标法实施条例》中明确的串通投标行为。</w:t>
            </w:r>
          </w:p>
          <w:p w14:paraId="4342DDBE">
            <w:pPr>
              <w:snapToGrid w:val="0"/>
              <w:jc w:val="both"/>
              <w:rPr>
                <w:rFonts w:hint="eastAsia" w:ascii="黑体" w:hAnsi="黑体" w:eastAsia="黑体" w:cs="黑体"/>
                <w:b/>
                <w:bCs/>
                <w:highlight w:val="none"/>
              </w:rPr>
            </w:pPr>
            <w:r>
              <w:rPr>
                <w:rFonts w:hint="eastAsia" w:ascii="黑体" w:hAnsi="黑体" w:eastAsia="黑体" w:cs="黑体"/>
                <w:b/>
                <w:kern w:val="0"/>
                <w:szCs w:val="21"/>
                <w:highlight w:val="none"/>
              </w:rPr>
              <w:t>（14）投标文件未附有招标文件规定范围内的招标人不能接受的条件。</w:t>
            </w:r>
          </w:p>
        </w:tc>
      </w:tr>
      <w:tr w14:paraId="669590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1" w:hRule="atLeast"/>
          <w:jc w:val="center"/>
        </w:trPr>
        <w:tc>
          <w:tcPr>
            <w:tcW w:w="533" w:type="pct"/>
            <w:noWrap w:val="0"/>
            <w:vAlign w:val="center"/>
          </w:tcPr>
          <w:p w14:paraId="0606B015">
            <w:pPr>
              <w:spacing w:after="117" w:line="259" w:lineRule="auto"/>
              <w:ind w:right="103"/>
              <w:jc w:val="center"/>
              <w:rPr>
                <w:rFonts w:hint="eastAsia" w:ascii="黑体" w:hAnsi="黑体" w:eastAsia="黑体" w:cs="黑体"/>
                <w:highlight w:val="none"/>
              </w:rPr>
            </w:pPr>
            <w:r>
              <w:rPr>
                <w:rFonts w:hint="eastAsia" w:ascii="黑体" w:hAnsi="黑体" w:eastAsia="黑体" w:cs="黑体"/>
                <w:highlight w:val="none"/>
              </w:rPr>
              <w:t>2.1.1</w:t>
            </w:r>
          </w:p>
          <w:p w14:paraId="5E11729F">
            <w:pPr>
              <w:spacing w:line="259" w:lineRule="auto"/>
              <w:ind w:right="103"/>
              <w:jc w:val="center"/>
              <w:rPr>
                <w:rFonts w:hint="eastAsia" w:ascii="黑体" w:hAnsi="黑体" w:eastAsia="黑体" w:cs="黑体"/>
                <w:highlight w:val="none"/>
              </w:rPr>
            </w:pPr>
            <w:r>
              <w:rPr>
                <w:rFonts w:hint="eastAsia" w:ascii="黑体" w:hAnsi="黑体" w:eastAsia="黑体" w:cs="黑体"/>
                <w:highlight w:val="none"/>
              </w:rPr>
              <w:t>2.1.3（B）</w:t>
            </w:r>
          </w:p>
        </w:tc>
        <w:tc>
          <w:tcPr>
            <w:tcW w:w="644" w:type="pct"/>
            <w:noWrap w:val="0"/>
            <w:vAlign w:val="center"/>
          </w:tcPr>
          <w:p w14:paraId="1D026E55">
            <w:pPr>
              <w:spacing w:line="259" w:lineRule="auto"/>
              <w:jc w:val="center"/>
              <w:rPr>
                <w:rFonts w:hint="eastAsia" w:ascii="黑体" w:hAnsi="黑体" w:eastAsia="黑体" w:cs="黑体"/>
                <w:highlight w:val="none"/>
              </w:rPr>
            </w:pPr>
            <w:r>
              <w:rPr>
                <w:rFonts w:hint="eastAsia" w:ascii="黑体" w:hAnsi="黑体" w:eastAsia="黑体" w:cs="黑体"/>
                <w:highlight w:val="none"/>
              </w:rPr>
              <w:t>形式评审与响应性评审标准</w:t>
            </w:r>
          </w:p>
        </w:tc>
        <w:tc>
          <w:tcPr>
            <w:tcW w:w="3823" w:type="pct"/>
            <w:noWrap w:val="0"/>
            <w:vAlign w:val="center"/>
          </w:tcPr>
          <w:p w14:paraId="6DA65F46">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第二个信封（报价文件）评审标准： </w:t>
            </w:r>
          </w:p>
          <w:p w14:paraId="6BD55EB0">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（1）投标文件按照招标文件规定的格式、内容填写，字迹清晰可辨，内容齐全完整： </w:t>
            </w:r>
          </w:p>
          <w:p w14:paraId="38C191A5">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a.投标函按招标文件规定填报了项目名称、标段号、补遗书编号（如有）、投标价（包括大写金额和小写金额）；</w:t>
            </w:r>
          </w:p>
          <w:p w14:paraId="607BAB79">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b.报价清单说明文字与招标文件规定一致，未进行实质性修改和删减； </w:t>
            </w:r>
          </w:p>
          <w:p w14:paraId="680B89BA">
            <w:pPr>
              <w:snapToGrid w:val="0"/>
              <w:jc w:val="both"/>
              <w:rPr>
                <w:rFonts w:hint="eastAsia" w:ascii="黑体" w:hAnsi="黑体" w:eastAsia="黑体" w:cs="黑体"/>
                <w:b/>
                <w:kern w:val="0"/>
                <w:szCs w:val="21"/>
                <w:highlight w:val="none"/>
                <w:lang w:eastAsia="zh-CN"/>
              </w:rPr>
            </w:pPr>
            <w:r>
              <w:rPr>
                <w:rFonts w:hint="eastAsia" w:ascii="黑体" w:hAnsi="黑体" w:eastAsia="黑体" w:cs="黑体"/>
                <w:b/>
                <w:kern w:val="0"/>
                <w:szCs w:val="21"/>
                <w:highlight w:val="none"/>
              </w:rPr>
              <w:t>c.投标文件组成齐全完整，内容均按规定填写</w:t>
            </w:r>
            <w:r>
              <w:rPr>
                <w:rFonts w:hint="eastAsia" w:ascii="黑体" w:hAnsi="黑体" w:eastAsia="黑体" w:cs="黑体"/>
                <w:b/>
                <w:kern w:val="0"/>
                <w:szCs w:val="21"/>
                <w:highlight w:val="none"/>
                <w:lang w:eastAsia="zh-CN"/>
              </w:rPr>
              <w:t>。</w:t>
            </w:r>
          </w:p>
          <w:p w14:paraId="30763497">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（2）投标文件上法定代表人或其委托代理人的签字（或盖章）、投标人的单位章盖章齐全，符合招标文件规定。 </w:t>
            </w:r>
          </w:p>
          <w:p w14:paraId="79973F1E">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（3）投标报价未超出最高投标限价。 </w:t>
            </w:r>
          </w:p>
          <w:p w14:paraId="2EEB00FF">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（4）投标报价的大写金额能够确定具体数值。 </w:t>
            </w:r>
          </w:p>
          <w:p w14:paraId="15693CC9">
            <w:pPr>
              <w:snapToGrid w:val="0"/>
              <w:jc w:val="both"/>
              <w:rPr>
                <w:rFonts w:hint="eastAsia" w:ascii="黑体" w:hAnsi="黑体" w:eastAsia="黑体" w:cs="黑体"/>
                <w:highlight w:val="none"/>
              </w:rPr>
            </w:pPr>
            <w:r>
              <w:rPr>
                <w:rFonts w:hint="eastAsia" w:ascii="黑体" w:hAnsi="黑体" w:eastAsia="黑体" w:cs="黑体"/>
                <w:b/>
                <w:kern w:val="0"/>
                <w:szCs w:val="21"/>
                <w:highlight w:val="none"/>
              </w:rPr>
              <w:t>（5）同一投标人未提交两个以上不同的投标报价，但招标文件要求提交备选投标的除外。</w:t>
            </w:r>
          </w:p>
        </w:tc>
      </w:tr>
      <w:tr w14:paraId="28DB51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33" w:type="pct"/>
            <w:noWrap w:val="0"/>
            <w:vAlign w:val="center"/>
          </w:tcPr>
          <w:p w14:paraId="58D6F06E">
            <w:pPr>
              <w:spacing w:line="259" w:lineRule="auto"/>
              <w:ind w:right="3"/>
              <w:jc w:val="center"/>
              <w:rPr>
                <w:rFonts w:hint="eastAsia" w:ascii="黑体" w:hAnsi="黑体" w:eastAsia="黑体" w:cs="黑体"/>
                <w:szCs w:val="21"/>
                <w:highlight w:val="none"/>
              </w:rPr>
            </w:pPr>
            <w:r>
              <w:rPr>
                <w:rFonts w:hint="eastAsia" w:ascii="黑体" w:hAnsi="黑体" w:eastAsia="黑体" w:cs="黑体"/>
                <w:highlight w:val="none"/>
              </w:rPr>
              <w:t xml:space="preserve">2.1.2 </w:t>
            </w:r>
          </w:p>
        </w:tc>
        <w:tc>
          <w:tcPr>
            <w:tcW w:w="644" w:type="pct"/>
            <w:noWrap w:val="0"/>
            <w:vAlign w:val="center"/>
          </w:tcPr>
          <w:p w14:paraId="041DF7AD">
            <w:pPr>
              <w:spacing w:line="259" w:lineRule="auto"/>
              <w:jc w:val="center"/>
              <w:rPr>
                <w:rFonts w:hint="eastAsia" w:ascii="黑体" w:hAnsi="黑体" w:eastAsia="黑体" w:cs="黑体"/>
                <w:szCs w:val="21"/>
                <w:highlight w:val="none"/>
              </w:rPr>
            </w:pPr>
            <w:r>
              <w:rPr>
                <w:rFonts w:hint="eastAsia" w:ascii="黑体" w:hAnsi="黑体" w:eastAsia="黑体" w:cs="黑体"/>
                <w:highlight w:val="none"/>
              </w:rPr>
              <w:t xml:space="preserve">资格评审标准 </w:t>
            </w:r>
          </w:p>
        </w:tc>
        <w:tc>
          <w:tcPr>
            <w:tcW w:w="3823" w:type="pct"/>
            <w:noWrap w:val="0"/>
            <w:vAlign w:val="center"/>
          </w:tcPr>
          <w:p w14:paraId="5CFCFA8A">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（1）投标人的</w:t>
            </w:r>
            <w:r>
              <w:rPr>
                <w:rFonts w:hint="eastAsia" w:ascii="黑体" w:hAnsi="黑体" w:eastAsia="黑体" w:cs="黑体"/>
                <w:b/>
                <w:kern w:val="0"/>
                <w:szCs w:val="21"/>
                <w:highlight w:val="none"/>
                <w:lang w:val="en-US" w:eastAsia="zh-CN"/>
              </w:rPr>
              <w:t>资格要求</w:t>
            </w:r>
            <w:r>
              <w:rPr>
                <w:rFonts w:hint="eastAsia" w:ascii="黑体" w:hAnsi="黑体" w:eastAsia="黑体" w:cs="黑体"/>
                <w:b/>
                <w:kern w:val="0"/>
                <w:szCs w:val="21"/>
                <w:highlight w:val="none"/>
              </w:rPr>
              <w:t xml:space="preserve">符合招标文件规定。 </w:t>
            </w:r>
          </w:p>
          <w:p w14:paraId="55252991">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（2）投标人的类似项目业绩符合招标文件规定。 </w:t>
            </w:r>
          </w:p>
          <w:p w14:paraId="2424B0BF">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（3）投标人的项目负责人资格符合招标文件规定。 </w:t>
            </w:r>
          </w:p>
          <w:p w14:paraId="58B4A4A4">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 xml:space="preserve">（4）投标人的信誉符合招标文件规定。 </w:t>
            </w:r>
          </w:p>
          <w:p w14:paraId="41603FD6">
            <w:pPr>
              <w:snapToGrid w:val="0"/>
              <w:jc w:val="both"/>
              <w:rPr>
                <w:rFonts w:hint="eastAsia" w:ascii="黑体" w:hAnsi="黑体" w:eastAsia="黑体" w:cs="黑体"/>
                <w:b/>
                <w:kern w:val="0"/>
                <w:szCs w:val="21"/>
                <w:highlight w:val="none"/>
              </w:rPr>
            </w:pPr>
            <w:r>
              <w:rPr>
                <w:rFonts w:hint="eastAsia" w:ascii="黑体" w:hAnsi="黑体" w:eastAsia="黑体" w:cs="黑体"/>
                <w:b/>
                <w:kern w:val="0"/>
                <w:szCs w:val="21"/>
                <w:highlight w:val="none"/>
              </w:rPr>
              <w:t>（5）投标人的其他要求符合招标文件规定。</w:t>
            </w:r>
          </w:p>
          <w:p w14:paraId="3AB2F90C">
            <w:pPr>
              <w:snapToGrid w:val="0"/>
              <w:jc w:val="both"/>
              <w:rPr>
                <w:rFonts w:hint="eastAsia" w:ascii="黑体" w:hAnsi="黑体" w:eastAsia="黑体" w:cs="黑体"/>
                <w:b/>
                <w:szCs w:val="21"/>
                <w:highlight w:val="none"/>
              </w:rPr>
            </w:pPr>
            <w:r>
              <w:rPr>
                <w:rFonts w:hint="eastAsia" w:ascii="黑体" w:hAnsi="黑体" w:eastAsia="黑体" w:cs="黑体"/>
                <w:b/>
                <w:kern w:val="0"/>
                <w:szCs w:val="21"/>
                <w:highlight w:val="none"/>
              </w:rPr>
              <w:t>（6）投标人不存在第二章“投</w:t>
            </w:r>
            <w:r>
              <w:rPr>
                <w:rStyle w:val="45"/>
                <w:rFonts w:hint="eastAsia" w:ascii="黑体" w:hAnsi="黑体" w:eastAsia="黑体" w:cs="黑体"/>
                <w:b/>
                <w:kern w:val="0"/>
                <w:szCs w:val="21"/>
                <w:highlight w:val="none"/>
              </w:rPr>
              <w:footnoteReference w:id="0"/>
            </w:r>
            <w:r>
              <w:rPr>
                <w:rFonts w:hint="eastAsia" w:ascii="黑体" w:hAnsi="黑体" w:eastAsia="黑体" w:cs="黑体"/>
                <w:b/>
                <w:kern w:val="0"/>
                <w:szCs w:val="21"/>
                <w:highlight w:val="none"/>
              </w:rPr>
              <w:t xml:space="preserve">标人须知”第1.4.3项或第1.4.4项规定的任何一种情形。 </w:t>
            </w:r>
          </w:p>
        </w:tc>
      </w:tr>
    </w:tbl>
    <w:p w14:paraId="3C04B705">
      <w:pPr>
        <w:rPr>
          <w:vanish/>
          <w:highlight w:val="none"/>
        </w:rPr>
      </w:pPr>
    </w:p>
    <w:tbl>
      <w:tblPr>
        <w:tblStyle w:val="37"/>
        <w:tblpPr w:leftFromText="180" w:rightFromText="180" w:vertAnchor="text" w:horzAnchor="margin" w:tblpY="15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20"/>
        <w:gridCol w:w="1240"/>
        <w:gridCol w:w="7367"/>
      </w:tblGrid>
      <w:tr w14:paraId="5F625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8" w:hRule="atLeast"/>
        </w:trPr>
        <w:tc>
          <w:tcPr>
            <w:tcW w:w="530" w:type="pct"/>
            <w:noWrap w:val="0"/>
            <w:vAlign w:val="center"/>
          </w:tcPr>
          <w:p w14:paraId="18F1FF81">
            <w:pPr>
              <w:spacing w:line="360" w:lineRule="auto"/>
              <w:jc w:val="center"/>
              <w:rPr>
                <w:rFonts w:ascii="宋体" w:hAnsi="宋体"/>
                <w:b/>
                <w:szCs w:val="21"/>
                <w:highlight w:val="none"/>
              </w:rPr>
            </w:pPr>
            <w:r>
              <w:rPr>
                <w:rFonts w:hint="eastAsia" w:ascii="宋体" w:hAnsi="宋体"/>
                <w:b/>
                <w:szCs w:val="21"/>
                <w:highlight w:val="none"/>
              </w:rPr>
              <w:t>条款号</w:t>
            </w:r>
          </w:p>
        </w:tc>
        <w:tc>
          <w:tcPr>
            <w:tcW w:w="644" w:type="pct"/>
            <w:noWrap w:val="0"/>
            <w:vAlign w:val="center"/>
          </w:tcPr>
          <w:p w14:paraId="51F83447">
            <w:pPr>
              <w:spacing w:line="360" w:lineRule="auto"/>
              <w:jc w:val="center"/>
              <w:rPr>
                <w:rFonts w:ascii="宋体" w:hAnsi="宋体"/>
                <w:b/>
                <w:szCs w:val="21"/>
                <w:highlight w:val="none"/>
              </w:rPr>
            </w:pPr>
            <w:r>
              <w:rPr>
                <w:rFonts w:hint="eastAsia" w:ascii="宋体" w:hAnsi="宋体"/>
                <w:b/>
                <w:szCs w:val="21"/>
                <w:highlight w:val="none"/>
              </w:rPr>
              <w:t>条款名称</w:t>
            </w:r>
          </w:p>
        </w:tc>
        <w:tc>
          <w:tcPr>
            <w:tcW w:w="3826" w:type="pct"/>
            <w:noWrap w:val="0"/>
            <w:vAlign w:val="center"/>
          </w:tcPr>
          <w:p w14:paraId="4C4AA82C">
            <w:pPr>
              <w:spacing w:line="360" w:lineRule="auto"/>
              <w:jc w:val="center"/>
              <w:rPr>
                <w:rFonts w:ascii="宋体" w:hAnsi="宋体"/>
                <w:b/>
                <w:szCs w:val="21"/>
                <w:highlight w:val="none"/>
              </w:rPr>
            </w:pPr>
            <w:r>
              <w:rPr>
                <w:rFonts w:hint="eastAsia" w:ascii="宋体" w:hAnsi="宋体"/>
                <w:b/>
                <w:szCs w:val="21"/>
                <w:highlight w:val="none"/>
              </w:rPr>
              <w:t>条款名称</w:t>
            </w:r>
          </w:p>
        </w:tc>
      </w:tr>
      <w:tr w14:paraId="03B00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0" w:hRule="atLeast"/>
        </w:trPr>
        <w:tc>
          <w:tcPr>
            <w:tcW w:w="530" w:type="pct"/>
            <w:noWrap w:val="0"/>
            <w:vAlign w:val="center"/>
          </w:tcPr>
          <w:p w14:paraId="01816B91">
            <w:pPr>
              <w:jc w:val="center"/>
              <w:rPr>
                <w:highlight w:val="none"/>
              </w:rPr>
            </w:pPr>
            <w:r>
              <w:rPr>
                <w:highlight w:val="none"/>
              </w:rPr>
              <w:t>2.2.1</w:t>
            </w:r>
          </w:p>
        </w:tc>
        <w:tc>
          <w:tcPr>
            <w:tcW w:w="644" w:type="pct"/>
            <w:noWrap w:val="0"/>
            <w:vAlign w:val="center"/>
          </w:tcPr>
          <w:p w14:paraId="266ADE4A">
            <w:pPr>
              <w:jc w:val="center"/>
              <w:rPr>
                <w:highlight w:val="none"/>
              </w:rPr>
            </w:pPr>
            <w:r>
              <w:rPr>
                <w:rFonts w:hint="eastAsia"/>
                <w:highlight w:val="none"/>
              </w:rPr>
              <w:t>分值构成（总分100 分）</w:t>
            </w:r>
          </w:p>
        </w:tc>
        <w:tc>
          <w:tcPr>
            <w:tcW w:w="3826" w:type="pct"/>
            <w:noWrap w:val="0"/>
            <w:vAlign w:val="center"/>
          </w:tcPr>
          <w:p w14:paraId="4D0556E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第一信封（商务和技术文件）分值构成：</w:t>
            </w:r>
          </w:p>
          <w:p w14:paraId="5B99B1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工作大纲：45分</w:t>
            </w:r>
          </w:p>
          <w:p w14:paraId="66FDCC6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企业业绩：20分</w:t>
            </w:r>
          </w:p>
          <w:p w14:paraId="5D7191D9">
            <w:pPr>
              <w:pStyle w:val="14"/>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项目负责人：25分</w:t>
            </w:r>
          </w:p>
          <w:p w14:paraId="7397E18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第二信封（投标报价和工程量清单）分值构成：</w:t>
            </w:r>
          </w:p>
          <w:p w14:paraId="2861D11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ighlight w:val="none"/>
                <w:lang w:val="en-GB"/>
              </w:rPr>
            </w:pPr>
            <w:r>
              <w:rPr>
                <w:rFonts w:hint="eastAsia" w:ascii="宋体" w:hAnsi="宋体" w:eastAsia="宋体" w:cs="宋体"/>
                <w:b/>
                <w:bCs/>
                <w:sz w:val="21"/>
                <w:szCs w:val="21"/>
                <w:highlight w:val="none"/>
              </w:rPr>
              <w:t>评标价:10分</w:t>
            </w:r>
          </w:p>
        </w:tc>
      </w:tr>
      <w:tr w14:paraId="2B73C9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3" w:hRule="atLeast"/>
        </w:trPr>
        <w:tc>
          <w:tcPr>
            <w:tcW w:w="530" w:type="pct"/>
            <w:tcBorders>
              <w:bottom w:val="single" w:color="auto" w:sz="4" w:space="0"/>
            </w:tcBorders>
            <w:noWrap w:val="0"/>
            <w:vAlign w:val="center"/>
          </w:tcPr>
          <w:p w14:paraId="4DD36744">
            <w:pPr>
              <w:spacing w:line="259" w:lineRule="auto"/>
              <w:ind w:left="20"/>
              <w:jc w:val="center"/>
              <w:rPr>
                <w:rFonts w:ascii="宋体" w:hAnsi="宋体"/>
                <w:szCs w:val="21"/>
                <w:highlight w:val="none"/>
              </w:rPr>
            </w:pPr>
            <w:r>
              <w:rPr>
                <w:rFonts w:eastAsia="Times New Roman"/>
                <w:highlight w:val="none"/>
              </w:rPr>
              <w:t xml:space="preserve">2.2.2 </w:t>
            </w:r>
          </w:p>
        </w:tc>
        <w:tc>
          <w:tcPr>
            <w:tcW w:w="644" w:type="pct"/>
            <w:tcBorders>
              <w:bottom w:val="single" w:color="auto" w:sz="4" w:space="0"/>
            </w:tcBorders>
            <w:noWrap w:val="0"/>
            <w:vAlign w:val="center"/>
          </w:tcPr>
          <w:p w14:paraId="642A8F66">
            <w:pPr>
              <w:spacing w:line="259" w:lineRule="auto"/>
              <w:jc w:val="center"/>
              <w:rPr>
                <w:rFonts w:ascii="宋体" w:hAnsi="宋体"/>
                <w:szCs w:val="21"/>
                <w:highlight w:val="none"/>
              </w:rPr>
            </w:pPr>
            <w:r>
              <w:rPr>
                <w:highlight w:val="none"/>
              </w:rPr>
              <w:t>评标基准价计算方法</w:t>
            </w:r>
            <w:r>
              <w:rPr>
                <w:rFonts w:eastAsia="Times New Roman"/>
                <w:highlight w:val="none"/>
              </w:rPr>
              <w:t xml:space="preserve"> </w:t>
            </w:r>
          </w:p>
        </w:tc>
        <w:tc>
          <w:tcPr>
            <w:tcW w:w="3826" w:type="pct"/>
            <w:tcBorders>
              <w:bottom w:val="single" w:color="auto" w:sz="4" w:space="0"/>
            </w:tcBorders>
            <w:noWrap w:val="0"/>
            <w:vAlign w:val="center"/>
          </w:tcPr>
          <w:p w14:paraId="3D345E4D">
            <w:pPr>
              <w:ind w:right="113"/>
              <w:rPr>
                <w:rFonts w:hint="eastAsia" w:ascii="宋体" w:hAnsi="宋体" w:eastAsia="宋体" w:cs="宋体"/>
                <w:szCs w:val="21"/>
                <w:highlight w:val="none"/>
              </w:rPr>
            </w:pPr>
            <w:r>
              <w:rPr>
                <w:rFonts w:hint="eastAsia" w:ascii="宋体" w:hAnsi="宋体" w:eastAsia="宋体" w:cs="宋体"/>
                <w:szCs w:val="21"/>
                <w:highlight w:val="none"/>
              </w:rPr>
              <w:t>评标基准价的计算：</w:t>
            </w:r>
          </w:p>
          <w:p w14:paraId="2BF05178">
            <w:pPr>
              <w:ind w:right="113"/>
              <w:rPr>
                <w:rFonts w:hint="eastAsia" w:ascii="宋体" w:hAnsi="宋体" w:eastAsia="宋体" w:cs="宋体"/>
                <w:szCs w:val="21"/>
                <w:highlight w:val="none"/>
              </w:rPr>
            </w:pPr>
            <w:r>
              <w:rPr>
                <w:rFonts w:hint="eastAsia" w:ascii="宋体" w:hAnsi="宋体" w:eastAsia="宋体" w:cs="宋体"/>
                <w:szCs w:val="21"/>
                <w:highlight w:val="none"/>
              </w:rPr>
              <w:t>在开标现场，招标人将当场计算并宣布评标基准价。</w:t>
            </w:r>
          </w:p>
          <w:p w14:paraId="4FE44C48">
            <w:pPr>
              <w:ind w:right="113"/>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eastAsia="宋体" w:cs="宋体"/>
                <w:szCs w:val="21"/>
                <w:highlight w:val="none"/>
              </w:rPr>
              <w:tab/>
            </w:r>
            <w:r>
              <w:rPr>
                <w:rFonts w:hint="eastAsia" w:ascii="宋体" w:hAnsi="宋体" w:eastAsia="宋体" w:cs="宋体"/>
                <w:szCs w:val="21"/>
                <w:highlight w:val="none"/>
              </w:rPr>
              <w:t>评标价的确定：</w:t>
            </w:r>
          </w:p>
          <w:p w14:paraId="039B7E6E">
            <w:pPr>
              <w:ind w:right="113"/>
              <w:rPr>
                <w:rFonts w:hint="eastAsia" w:ascii="宋体" w:hAnsi="宋体" w:eastAsia="宋体" w:cs="宋体"/>
                <w:szCs w:val="21"/>
                <w:highlight w:val="none"/>
              </w:rPr>
            </w:pPr>
            <w:r>
              <w:rPr>
                <w:rFonts w:hint="eastAsia" w:ascii="宋体" w:hAnsi="宋体" w:eastAsia="宋体" w:cs="宋体"/>
                <w:szCs w:val="21"/>
                <w:highlight w:val="none"/>
              </w:rPr>
              <w:t>评标价=投标函文字报价</w:t>
            </w:r>
          </w:p>
          <w:p w14:paraId="0A93A32B">
            <w:pPr>
              <w:ind w:right="113"/>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eastAsia="宋体" w:cs="宋体"/>
                <w:szCs w:val="21"/>
                <w:highlight w:val="none"/>
              </w:rPr>
              <w:tab/>
            </w:r>
            <w:r>
              <w:rPr>
                <w:rFonts w:hint="eastAsia" w:ascii="宋体" w:hAnsi="宋体" w:eastAsia="宋体" w:cs="宋体"/>
                <w:szCs w:val="21"/>
                <w:highlight w:val="none"/>
              </w:rPr>
              <w:t>评标价平均值的计算：</w:t>
            </w:r>
          </w:p>
          <w:p w14:paraId="33043CC3">
            <w:pPr>
              <w:ind w:right="113"/>
              <w:rPr>
                <w:rFonts w:hint="eastAsia" w:ascii="宋体" w:hAnsi="宋体" w:eastAsia="宋体" w:cs="宋体"/>
                <w:szCs w:val="21"/>
                <w:highlight w:val="none"/>
              </w:rPr>
            </w:pPr>
            <w:r>
              <w:rPr>
                <w:rFonts w:hint="eastAsia" w:ascii="宋体" w:hAnsi="宋体" w:eastAsia="宋体" w:cs="宋体"/>
                <w:szCs w:val="21"/>
                <w:highlight w:val="none"/>
              </w:rPr>
              <w:t>除按第二章“投标人须知”第5.2.4项规定开标现场被宣布被否决其投标的投标报价之外，所有投标人的评标价去掉一个最高值和一个最低值后的算术平均值即为评标价平均值（如果参与评标价平均值计算的有效投标人少于5家时，则计算评标价平均值时不去掉最高值和最低值）；</w:t>
            </w:r>
          </w:p>
          <w:p w14:paraId="5E15E23E">
            <w:pPr>
              <w:ind w:right="113"/>
              <w:rPr>
                <w:rFonts w:hint="eastAsia" w:ascii="宋体" w:hAnsi="宋体" w:eastAsia="宋体" w:cs="宋体"/>
                <w:szCs w:val="21"/>
                <w:highlight w:val="none"/>
              </w:rPr>
            </w:pPr>
            <w:r>
              <w:rPr>
                <w:rFonts w:hint="eastAsia" w:ascii="宋体" w:hAnsi="宋体" w:eastAsia="宋体" w:cs="宋体"/>
                <w:szCs w:val="21"/>
                <w:highlight w:val="none"/>
              </w:rPr>
              <w:t>(3)</w:t>
            </w:r>
            <w:r>
              <w:rPr>
                <w:rFonts w:hint="eastAsia" w:ascii="宋体" w:hAnsi="宋体" w:eastAsia="宋体" w:cs="宋体"/>
                <w:szCs w:val="21"/>
                <w:highlight w:val="none"/>
              </w:rPr>
              <w:tab/>
            </w:r>
            <w:r>
              <w:rPr>
                <w:rFonts w:hint="eastAsia" w:ascii="宋体" w:hAnsi="宋体" w:eastAsia="宋体" w:cs="宋体"/>
                <w:szCs w:val="21"/>
                <w:highlight w:val="none"/>
              </w:rPr>
              <w:t>评标基准价的确定</w:t>
            </w:r>
          </w:p>
          <w:p w14:paraId="4577EA4E">
            <w:pPr>
              <w:ind w:right="113"/>
              <w:rPr>
                <w:rFonts w:hint="eastAsia" w:ascii="宋体" w:hAnsi="宋体" w:eastAsia="宋体" w:cs="宋体"/>
                <w:szCs w:val="21"/>
                <w:highlight w:val="none"/>
              </w:rPr>
            </w:pPr>
            <w:r>
              <w:rPr>
                <w:rFonts w:hint="eastAsia" w:ascii="宋体" w:hAnsi="宋体" w:eastAsia="宋体" w:cs="宋体"/>
                <w:szCs w:val="21"/>
                <w:highlight w:val="none"/>
              </w:rPr>
              <w:t>将评标价平均值直接作为评标基准价。</w:t>
            </w:r>
          </w:p>
          <w:p w14:paraId="23F4C2B0">
            <w:pPr>
              <w:ind w:right="113"/>
              <w:rPr>
                <w:rFonts w:ascii="宋体" w:hAnsi="宋体"/>
                <w:b/>
                <w:szCs w:val="21"/>
                <w:highlight w:val="none"/>
              </w:rPr>
            </w:pPr>
            <w:r>
              <w:rPr>
                <w:rFonts w:hint="eastAsia" w:ascii="宋体" w:hAnsi="宋体" w:eastAsia="宋体" w:cs="宋体"/>
                <w:b/>
                <w:szCs w:val="21"/>
                <w:highlight w:val="none"/>
              </w:rPr>
              <w:t>在评标过程中，评标委员会应对招标人计算的评标基准价进行复核，存在计算错误的应予以修正并在评标报告中作出说明。除此之外，评标基准价在整个评标期间保持不变，不随任何因素发生变化。</w:t>
            </w:r>
          </w:p>
        </w:tc>
      </w:tr>
      <w:tr w14:paraId="21B747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6" w:hRule="atLeast"/>
        </w:trPr>
        <w:tc>
          <w:tcPr>
            <w:tcW w:w="530" w:type="pct"/>
            <w:tcBorders>
              <w:top w:val="single" w:color="auto" w:sz="4" w:space="0"/>
              <w:bottom w:val="single" w:color="auto" w:sz="4" w:space="0"/>
            </w:tcBorders>
            <w:noWrap w:val="0"/>
            <w:vAlign w:val="center"/>
          </w:tcPr>
          <w:p w14:paraId="25926965">
            <w:pPr>
              <w:jc w:val="center"/>
              <w:rPr>
                <w:rFonts w:ascii="宋体" w:hAnsi="宋体"/>
                <w:szCs w:val="21"/>
                <w:highlight w:val="none"/>
              </w:rPr>
            </w:pPr>
            <w:r>
              <w:rPr>
                <w:rFonts w:hint="eastAsia"/>
                <w:szCs w:val="21"/>
                <w:highlight w:val="none"/>
              </w:rPr>
              <w:t>2.2.3</w:t>
            </w:r>
          </w:p>
        </w:tc>
        <w:tc>
          <w:tcPr>
            <w:tcW w:w="644" w:type="pct"/>
            <w:tcBorders>
              <w:top w:val="single" w:color="auto" w:sz="4" w:space="0"/>
              <w:bottom w:val="single" w:color="auto" w:sz="4" w:space="0"/>
            </w:tcBorders>
            <w:noWrap w:val="0"/>
            <w:vAlign w:val="center"/>
          </w:tcPr>
          <w:p w14:paraId="26555056">
            <w:pPr>
              <w:ind w:left="-107" w:leftChars="-51" w:right="-107" w:rightChars="-51"/>
              <w:jc w:val="center"/>
              <w:rPr>
                <w:rFonts w:ascii="宋体" w:hAnsi="宋体"/>
                <w:szCs w:val="21"/>
                <w:highlight w:val="none"/>
              </w:rPr>
            </w:pPr>
            <w:r>
              <w:rPr>
                <w:rFonts w:hAnsi="宋体"/>
                <w:szCs w:val="21"/>
                <w:highlight w:val="none"/>
              </w:rPr>
              <w:t>评标价的偏差率计算公式</w:t>
            </w:r>
          </w:p>
        </w:tc>
        <w:tc>
          <w:tcPr>
            <w:tcW w:w="3826" w:type="pct"/>
            <w:tcBorders>
              <w:top w:val="single" w:color="auto" w:sz="4" w:space="0"/>
              <w:bottom w:val="single" w:color="auto" w:sz="4" w:space="0"/>
            </w:tcBorders>
            <w:noWrap w:val="0"/>
            <w:vAlign w:val="center"/>
          </w:tcPr>
          <w:p w14:paraId="2F011947">
            <w:pPr>
              <w:snapToGrid w:val="0"/>
              <w:ind w:right="113"/>
              <w:contextualSpacing/>
              <w:rPr>
                <w:rFonts w:hint="eastAsia" w:ascii="黑体" w:hAnsi="宋体" w:eastAsia="黑体"/>
                <w:b/>
                <w:szCs w:val="21"/>
                <w:highlight w:val="none"/>
              </w:rPr>
            </w:pPr>
            <w:r>
              <w:rPr>
                <w:rFonts w:hAnsi="宋体"/>
                <w:szCs w:val="21"/>
                <w:highlight w:val="none"/>
              </w:rPr>
              <w:t>偏差率</w:t>
            </w:r>
            <w:r>
              <w:rPr>
                <w:szCs w:val="21"/>
                <w:highlight w:val="none"/>
              </w:rPr>
              <w:t>=100%×</w:t>
            </w:r>
            <w:r>
              <w:rPr>
                <w:rFonts w:hAnsi="宋体"/>
                <w:szCs w:val="21"/>
                <w:highlight w:val="none"/>
              </w:rPr>
              <w:t>（投标人评标价-评标基准价）/评标基准价</w:t>
            </w:r>
          </w:p>
        </w:tc>
      </w:tr>
    </w:tbl>
    <w:p w14:paraId="637F6784">
      <w:pPr>
        <w:snapToGrid w:val="0"/>
        <w:spacing w:line="360" w:lineRule="exact"/>
        <w:rPr>
          <w:rFonts w:ascii="宋体" w:hAnsi="宋体"/>
          <w:highlight w:val="none"/>
        </w:rPr>
      </w:pPr>
    </w:p>
    <w:tbl>
      <w:tblPr>
        <w:tblStyle w:val="37"/>
        <w:tblW w:w="5004" w:type="pct"/>
        <w:jc w:val="center"/>
        <w:tblLayout w:type="autofit"/>
        <w:tblCellMar>
          <w:top w:w="138" w:type="dxa"/>
          <w:left w:w="70" w:type="dxa"/>
          <w:bottom w:w="10" w:type="dxa"/>
          <w:right w:w="0" w:type="dxa"/>
        </w:tblCellMar>
      </w:tblPr>
      <w:tblGrid>
        <w:gridCol w:w="947"/>
        <w:gridCol w:w="805"/>
        <w:gridCol w:w="585"/>
        <w:gridCol w:w="895"/>
        <w:gridCol w:w="2047"/>
        <w:gridCol w:w="762"/>
        <w:gridCol w:w="3453"/>
      </w:tblGrid>
      <w:tr w14:paraId="32E3840A">
        <w:tblPrEx>
          <w:tblCellMar>
            <w:top w:w="138" w:type="dxa"/>
            <w:left w:w="70" w:type="dxa"/>
            <w:bottom w:w="10" w:type="dxa"/>
            <w:right w:w="0" w:type="dxa"/>
          </w:tblCellMar>
        </w:tblPrEx>
        <w:trPr>
          <w:trHeight w:val="391" w:hRule="atLeast"/>
          <w:jc w:val="center"/>
        </w:trPr>
        <w:tc>
          <w:tcPr>
            <w:tcW w:w="499" w:type="pct"/>
            <w:vMerge w:val="restart"/>
            <w:tcBorders>
              <w:top w:val="single" w:color="000000" w:sz="4" w:space="0"/>
              <w:left w:val="single" w:color="000000" w:sz="4" w:space="0"/>
              <w:bottom w:val="single" w:color="000000" w:sz="4" w:space="0"/>
              <w:right w:val="single" w:color="000000" w:sz="4" w:space="0"/>
            </w:tcBorders>
            <w:noWrap w:val="0"/>
            <w:vAlign w:val="center"/>
          </w:tcPr>
          <w:p w14:paraId="417573EB">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条款号</w:t>
            </w:r>
          </w:p>
        </w:tc>
        <w:tc>
          <w:tcPr>
            <w:tcW w:w="2682" w:type="pct"/>
            <w:gridSpan w:val="5"/>
            <w:tcBorders>
              <w:top w:val="single" w:color="000000" w:sz="4" w:space="0"/>
              <w:left w:val="single" w:color="000000" w:sz="4" w:space="0"/>
              <w:bottom w:val="single" w:color="000000" w:sz="4" w:space="0"/>
              <w:right w:val="single" w:color="000000" w:sz="4" w:space="0"/>
            </w:tcBorders>
            <w:noWrap w:val="0"/>
            <w:vAlign w:val="center"/>
          </w:tcPr>
          <w:p w14:paraId="2B0602BE">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评分因素与权重分值</w:t>
            </w:r>
          </w:p>
        </w:tc>
        <w:tc>
          <w:tcPr>
            <w:tcW w:w="1817" w:type="pct"/>
            <w:vMerge w:val="restart"/>
            <w:tcBorders>
              <w:top w:val="single" w:color="000000" w:sz="4" w:space="0"/>
              <w:left w:val="single" w:color="000000" w:sz="4" w:space="0"/>
              <w:bottom w:val="single" w:color="000000" w:sz="4" w:space="0"/>
              <w:right w:val="single" w:color="000000" w:sz="4" w:space="0"/>
            </w:tcBorders>
            <w:noWrap w:val="0"/>
            <w:vAlign w:val="center"/>
          </w:tcPr>
          <w:p w14:paraId="44BEDCBE">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评分标准</w:t>
            </w:r>
          </w:p>
        </w:tc>
      </w:tr>
      <w:tr w14:paraId="0361D2A1">
        <w:tblPrEx>
          <w:tblCellMar>
            <w:top w:w="138" w:type="dxa"/>
            <w:left w:w="70" w:type="dxa"/>
            <w:bottom w:w="10" w:type="dxa"/>
            <w:right w:w="0" w:type="dxa"/>
          </w:tblCellMar>
        </w:tblPrEx>
        <w:trPr>
          <w:trHeight w:val="768" w:hRule="atLeast"/>
          <w:jc w:val="center"/>
        </w:trPr>
        <w:tc>
          <w:tcPr>
            <w:tcW w:w="499" w:type="pct"/>
            <w:vMerge w:val="continue"/>
            <w:tcBorders>
              <w:top w:val="nil"/>
              <w:left w:val="single" w:color="000000" w:sz="4" w:space="0"/>
              <w:bottom w:val="single" w:color="000000" w:sz="4" w:space="0"/>
              <w:right w:val="single" w:color="000000" w:sz="4" w:space="0"/>
            </w:tcBorders>
            <w:noWrap w:val="0"/>
            <w:vAlign w:val="center"/>
          </w:tcPr>
          <w:p w14:paraId="7D44E638">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p>
        </w:tc>
        <w:tc>
          <w:tcPr>
            <w:tcW w:w="732" w:type="pct"/>
            <w:gridSpan w:val="2"/>
            <w:tcBorders>
              <w:top w:val="single" w:color="000000" w:sz="4" w:space="0"/>
              <w:left w:val="single" w:color="000000" w:sz="4" w:space="0"/>
              <w:bottom w:val="single" w:color="000000" w:sz="4" w:space="0"/>
              <w:right w:val="single" w:color="000000" w:sz="4" w:space="0"/>
            </w:tcBorders>
            <w:noWrap w:val="0"/>
            <w:vAlign w:val="center"/>
          </w:tcPr>
          <w:p w14:paraId="6E4BE646">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评分因素</w:t>
            </w:r>
          </w:p>
        </w:tc>
        <w:tc>
          <w:tcPr>
            <w:tcW w:w="471" w:type="pct"/>
            <w:tcBorders>
              <w:top w:val="single" w:color="000000" w:sz="4" w:space="0"/>
              <w:left w:val="single" w:color="000000" w:sz="4" w:space="0"/>
              <w:bottom w:val="single" w:color="000000" w:sz="4" w:space="0"/>
              <w:right w:val="single" w:color="000000" w:sz="4" w:space="0"/>
            </w:tcBorders>
            <w:noWrap w:val="0"/>
            <w:vAlign w:val="center"/>
          </w:tcPr>
          <w:p w14:paraId="4BF98E4E">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评分因素权重分值</w:t>
            </w:r>
          </w:p>
        </w:tc>
        <w:tc>
          <w:tcPr>
            <w:tcW w:w="1078" w:type="pct"/>
            <w:tcBorders>
              <w:top w:val="single" w:color="000000" w:sz="4" w:space="0"/>
              <w:left w:val="single" w:color="000000" w:sz="4" w:space="0"/>
              <w:bottom w:val="single" w:color="000000" w:sz="4" w:space="0"/>
              <w:right w:val="single" w:color="000000" w:sz="4" w:space="0"/>
            </w:tcBorders>
            <w:noWrap w:val="0"/>
            <w:vAlign w:val="center"/>
          </w:tcPr>
          <w:p w14:paraId="02D16299">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各评分因素细分项</w:t>
            </w:r>
          </w:p>
        </w:tc>
        <w:tc>
          <w:tcPr>
            <w:tcW w:w="400" w:type="pct"/>
            <w:tcBorders>
              <w:top w:val="single" w:color="000000" w:sz="4" w:space="0"/>
              <w:left w:val="single" w:color="000000" w:sz="4" w:space="0"/>
              <w:bottom w:val="single" w:color="000000" w:sz="4" w:space="0"/>
              <w:right w:val="single" w:color="000000" w:sz="4" w:space="0"/>
            </w:tcBorders>
            <w:noWrap w:val="0"/>
            <w:vAlign w:val="center"/>
          </w:tcPr>
          <w:p w14:paraId="3B5355EC">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分值</w:t>
            </w:r>
          </w:p>
        </w:tc>
        <w:tc>
          <w:tcPr>
            <w:tcW w:w="1817" w:type="pct"/>
            <w:vMerge w:val="continue"/>
            <w:tcBorders>
              <w:top w:val="nil"/>
              <w:left w:val="single" w:color="000000" w:sz="4" w:space="0"/>
              <w:bottom w:val="single" w:color="000000" w:sz="4" w:space="0"/>
              <w:right w:val="single" w:color="000000" w:sz="4" w:space="0"/>
            </w:tcBorders>
            <w:noWrap w:val="0"/>
            <w:vAlign w:val="bottom"/>
          </w:tcPr>
          <w:p w14:paraId="605CDE91">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p>
        </w:tc>
      </w:tr>
      <w:tr w14:paraId="322848E6">
        <w:tblPrEx>
          <w:tblCellMar>
            <w:top w:w="138" w:type="dxa"/>
            <w:left w:w="70" w:type="dxa"/>
            <w:bottom w:w="10" w:type="dxa"/>
            <w:right w:w="0" w:type="dxa"/>
          </w:tblCellMar>
        </w:tblPrEx>
        <w:trPr>
          <w:trHeight w:val="519" w:hRule="atLeast"/>
          <w:jc w:val="center"/>
        </w:trPr>
        <w:tc>
          <w:tcPr>
            <w:tcW w:w="499" w:type="pct"/>
            <w:vMerge w:val="restart"/>
            <w:tcBorders>
              <w:top w:val="single" w:color="000000" w:sz="4" w:space="0"/>
              <w:left w:val="single" w:color="000000" w:sz="4" w:space="0"/>
              <w:right w:val="single" w:color="000000" w:sz="4" w:space="0"/>
            </w:tcBorders>
            <w:noWrap w:val="0"/>
            <w:vAlign w:val="center"/>
          </w:tcPr>
          <w:p w14:paraId="7F885C9C">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bookmarkStart w:id="29" w:name="_Hlk168519894"/>
            <w:r>
              <w:rPr>
                <w:rFonts w:hint="eastAsia" w:ascii="宋体" w:hAnsi="宋体" w:eastAsia="宋体" w:cs="宋体"/>
                <w:highlight w:val="none"/>
              </w:rPr>
              <w:t>2.2.4（1）</w:t>
            </w:r>
          </w:p>
        </w:tc>
        <w:tc>
          <w:tcPr>
            <w:tcW w:w="732" w:type="pct"/>
            <w:gridSpan w:val="2"/>
            <w:vMerge w:val="restart"/>
            <w:tcBorders>
              <w:top w:val="single" w:color="000000" w:sz="4" w:space="0"/>
              <w:left w:val="single" w:color="000000" w:sz="4" w:space="0"/>
              <w:right w:val="single" w:color="000000" w:sz="4" w:space="0"/>
            </w:tcBorders>
            <w:noWrap w:val="0"/>
            <w:vAlign w:val="center"/>
          </w:tcPr>
          <w:p w14:paraId="32A7EB15">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工作大纲</w:t>
            </w:r>
          </w:p>
        </w:tc>
        <w:tc>
          <w:tcPr>
            <w:tcW w:w="471" w:type="pct"/>
            <w:vMerge w:val="restart"/>
            <w:tcBorders>
              <w:top w:val="single" w:color="000000" w:sz="4" w:space="0"/>
              <w:left w:val="single" w:color="000000" w:sz="4" w:space="0"/>
              <w:right w:val="single" w:color="000000" w:sz="4" w:space="0"/>
            </w:tcBorders>
            <w:noWrap w:val="0"/>
            <w:vAlign w:val="center"/>
          </w:tcPr>
          <w:p w14:paraId="164C136B">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u w:val="single" w:color="000000"/>
              </w:rPr>
              <w:t>45</w:t>
            </w:r>
            <w:r>
              <w:rPr>
                <w:rFonts w:hint="eastAsia" w:ascii="宋体" w:hAnsi="宋体" w:eastAsia="宋体" w:cs="宋体"/>
                <w:highlight w:val="none"/>
              </w:rPr>
              <w:t>分</w:t>
            </w:r>
          </w:p>
        </w:tc>
        <w:tc>
          <w:tcPr>
            <w:tcW w:w="1078" w:type="pct"/>
            <w:tcBorders>
              <w:top w:val="single" w:color="000000" w:sz="4" w:space="0"/>
              <w:left w:val="single" w:color="000000" w:sz="4" w:space="0"/>
              <w:bottom w:val="single" w:color="000000" w:sz="4" w:space="0"/>
              <w:right w:val="single" w:color="000000" w:sz="4" w:space="0"/>
            </w:tcBorders>
            <w:noWrap w:val="0"/>
            <w:vAlign w:val="center"/>
          </w:tcPr>
          <w:p w14:paraId="7DAA54F9">
            <w:pPr>
              <w:keepNext w:val="0"/>
              <w:keepLines w:val="0"/>
              <w:pageBreakBefore w:val="0"/>
              <w:widowControl w:val="0"/>
              <w:tabs>
                <w:tab w:val="left" w:pos="993"/>
              </w:tabs>
              <w:kinsoku/>
              <w:wordWrap/>
              <w:overflowPunct/>
              <w:topLinePunct w:val="0"/>
              <w:autoSpaceDE w:val="0"/>
              <w:autoSpaceDN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sz w:val="21"/>
                <w:szCs w:val="21"/>
                <w:highlight w:val="none"/>
              </w:rPr>
              <w:t>对本项目的理解</w:t>
            </w:r>
          </w:p>
        </w:tc>
        <w:tc>
          <w:tcPr>
            <w:tcW w:w="400" w:type="pct"/>
            <w:tcBorders>
              <w:top w:val="single" w:color="000000" w:sz="4" w:space="0"/>
              <w:left w:val="single" w:color="000000" w:sz="4" w:space="0"/>
              <w:bottom w:val="single" w:color="000000" w:sz="4" w:space="0"/>
              <w:right w:val="single" w:color="000000" w:sz="4" w:space="0"/>
            </w:tcBorders>
            <w:noWrap w:val="0"/>
            <w:vAlign w:val="center"/>
          </w:tcPr>
          <w:p w14:paraId="79298C1B">
            <w:pPr>
              <w:keepNext w:val="0"/>
              <w:keepLines w:val="0"/>
              <w:pageBreakBefore w:val="0"/>
              <w:widowControl w:val="0"/>
              <w:kinsoku/>
              <w:wordWrap/>
              <w:overflowPunct/>
              <w:topLinePunct w:val="0"/>
              <w:bidi w:val="0"/>
              <w:adjustRightInd/>
              <w:snapToGrid/>
              <w:spacing w:line="240" w:lineRule="auto"/>
              <w:ind w:left="-105" w:leftChars="-50" w:right="-105" w:rightChars="-50"/>
              <w:jc w:val="center"/>
              <w:textAlignment w:val="auto"/>
              <w:rPr>
                <w:rFonts w:hint="eastAsia" w:ascii="宋体" w:hAnsi="宋体" w:eastAsia="宋体" w:cs="宋体"/>
                <w:highlight w:val="none"/>
              </w:rPr>
            </w:pPr>
            <w:r>
              <w:rPr>
                <w:rFonts w:hint="eastAsia" w:ascii="宋体" w:hAnsi="宋体" w:eastAsia="宋体" w:cs="宋体"/>
                <w:sz w:val="21"/>
                <w:szCs w:val="21"/>
                <w:highlight w:val="none"/>
              </w:rPr>
              <w:t>10</w:t>
            </w:r>
          </w:p>
        </w:tc>
        <w:tc>
          <w:tcPr>
            <w:tcW w:w="1817" w:type="pct"/>
            <w:tcBorders>
              <w:top w:val="single" w:color="000000" w:sz="4" w:space="0"/>
              <w:left w:val="single" w:color="000000" w:sz="4" w:space="0"/>
              <w:bottom w:val="single" w:color="000000" w:sz="4" w:space="0"/>
              <w:right w:val="single" w:color="000000" w:sz="4" w:space="0"/>
            </w:tcBorders>
            <w:noWrap w:val="0"/>
            <w:vAlign w:val="center"/>
          </w:tcPr>
          <w:p w14:paraId="60ABB7A9">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r>
              <w:rPr>
                <w:rFonts w:hint="eastAsia" w:ascii="宋体" w:hAnsi="宋体" w:eastAsia="宋体" w:cs="宋体"/>
                <w:sz w:val="21"/>
                <w:szCs w:val="21"/>
                <w:highlight w:val="none"/>
              </w:rPr>
              <w:t>根据投标人对本项目的理解是否全面、深刻等方面进行评分。</w:t>
            </w:r>
            <w:r>
              <w:rPr>
                <w:rFonts w:hint="eastAsia" w:ascii="宋体" w:hAnsi="宋体" w:eastAsia="宋体" w:cs="宋体"/>
                <w:sz w:val="21"/>
                <w:szCs w:val="21"/>
                <w:highlight w:val="none"/>
                <w:lang w:val="en-US" w:eastAsia="zh-CN"/>
              </w:rPr>
              <w:t>得分低于60%时说明理由。</w:t>
            </w:r>
          </w:p>
        </w:tc>
      </w:tr>
      <w:tr w14:paraId="7988DD2C">
        <w:tblPrEx>
          <w:tblCellMar>
            <w:top w:w="138" w:type="dxa"/>
            <w:left w:w="70" w:type="dxa"/>
            <w:bottom w:w="10" w:type="dxa"/>
            <w:right w:w="0" w:type="dxa"/>
          </w:tblCellMar>
        </w:tblPrEx>
        <w:trPr>
          <w:trHeight w:val="1100" w:hRule="atLeast"/>
          <w:jc w:val="center"/>
        </w:trPr>
        <w:tc>
          <w:tcPr>
            <w:tcW w:w="499" w:type="pct"/>
            <w:vMerge w:val="continue"/>
            <w:tcBorders>
              <w:left w:val="single" w:color="000000" w:sz="4" w:space="0"/>
              <w:right w:val="single" w:color="000000" w:sz="4" w:space="0"/>
            </w:tcBorders>
            <w:noWrap w:val="0"/>
            <w:vAlign w:val="center"/>
          </w:tcPr>
          <w:p w14:paraId="6AF04B40">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p>
        </w:tc>
        <w:tc>
          <w:tcPr>
            <w:tcW w:w="732" w:type="pct"/>
            <w:gridSpan w:val="2"/>
            <w:vMerge w:val="continue"/>
            <w:tcBorders>
              <w:left w:val="single" w:color="000000" w:sz="4" w:space="0"/>
              <w:right w:val="single" w:color="000000" w:sz="4" w:space="0"/>
            </w:tcBorders>
            <w:noWrap w:val="0"/>
            <w:vAlign w:val="center"/>
          </w:tcPr>
          <w:p w14:paraId="5C6D2FB3">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p>
        </w:tc>
        <w:tc>
          <w:tcPr>
            <w:tcW w:w="471" w:type="pct"/>
            <w:vMerge w:val="continue"/>
            <w:tcBorders>
              <w:left w:val="single" w:color="000000" w:sz="4" w:space="0"/>
              <w:right w:val="single" w:color="000000" w:sz="4" w:space="0"/>
            </w:tcBorders>
            <w:noWrap w:val="0"/>
            <w:vAlign w:val="center"/>
          </w:tcPr>
          <w:p w14:paraId="3BECE0E0">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p>
        </w:tc>
        <w:tc>
          <w:tcPr>
            <w:tcW w:w="1078" w:type="pct"/>
            <w:tcBorders>
              <w:top w:val="single" w:color="000000" w:sz="4" w:space="0"/>
              <w:left w:val="single" w:color="000000" w:sz="4" w:space="0"/>
              <w:bottom w:val="single" w:color="000000" w:sz="4" w:space="0"/>
              <w:right w:val="single" w:color="000000" w:sz="4" w:space="0"/>
            </w:tcBorders>
            <w:noWrap w:val="0"/>
            <w:vAlign w:val="center"/>
          </w:tcPr>
          <w:p w14:paraId="3FF409E4">
            <w:pPr>
              <w:keepNext w:val="0"/>
              <w:keepLines w:val="0"/>
              <w:pageBreakBefore w:val="0"/>
              <w:widowControl w:val="0"/>
              <w:tabs>
                <w:tab w:val="left" w:pos="993"/>
              </w:tabs>
              <w:kinsoku/>
              <w:wordWrap/>
              <w:overflowPunct/>
              <w:topLinePunct w:val="0"/>
              <w:autoSpaceDE w:val="0"/>
              <w:autoSpaceDN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sz w:val="21"/>
                <w:szCs w:val="21"/>
                <w:highlight w:val="none"/>
              </w:rPr>
              <w:t>工作的程序与方法</w:t>
            </w:r>
          </w:p>
        </w:tc>
        <w:tc>
          <w:tcPr>
            <w:tcW w:w="400" w:type="pct"/>
            <w:tcBorders>
              <w:top w:val="single" w:color="000000" w:sz="4" w:space="0"/>
              <w:left w:val="single" w:color="000000" w:sz="4" w:space="0"/>
              <w:bottom w:val="single" w:color="000000" w:sz="4" w:space="0"/>
              <w:right w:val="single" w:color="000000" w:sz="4" w:space="0"/>
            </w:tcBorders>
            <w:noWrap w:val="0"/>
            <w:vAlign w:val="center"/>
          </w:tcPr>
          <w:p w14:paraId="6D02641C">
            <w:pPr>
              <w:keepNext w:val="0"/>
              <w:keepLines w:val="0"/>
              <w:pageBreakBefore w:val="0"/>
              <w:widowControl w:val="0"/>
              <w:kinsoku/>
              <w:wordWrap/>
              <w:overflowPunct/>
              <w:topLinePunct w:val="0"/>
              <w:bidi w:val="0"/>
              <w:adjustRightInd/>
              <w:snapToGrid/>
              <w:spacing w:line="240" w:lineRule="auto"/>
              <w:ind w:left="-105" w:leftChars="-50" w:right="-105" w:rightChars="-50"/>
              <w:jc w:val="center"/>
              <w:textAlignment w:val="auto"/>
              <w:rPr>
                <w:rFonts w:hint="eastAsia" w:ascii="宋体" w:hAnsi="宋体" w:eastAsia="宋体" w:cs="宋体"/>
                <w:highlight w:val="none"/>
              </w:rPr>
            </w:pPr>
            <w:r>
              <w:rPr>
                <w:rFonts w:hint="eastAsia" w:ascii="宋体" w:hAnsi="宋体" w:eastAsia="宋体" w:cs="宋体"/>
                <w:sz w:val="21"/>
                <w:szCs w:val="21"/>
                <w:highlight w:val="none"/>
              </w:rPr>
              <w:t>15</w:t>
            </w:r>
          </w:p>
        </w:tc>
        <w:tc>
          <w:tcPr>
            <w:tcW w:w="1817" w:type="pct"/>
            <w:tcBorders>
              <w:top w:val="single" w:color="000000" w:sz="4" w:space="0"/>
              <w:left w:val="single" w:color="000000" w:sz="4" w:space="0"/>
              <w:bottom w:val="single" w:color="000000" w:sz="4" w:space="0"/>
              <w:right w:val="single" w:color="000000" w:sz="4" w:space="0"/>
            </w:tcBorders>
            <w:noWrap w:val="0"/>
            <w:vAlign w:val="center"/>
          </w:tcPr>
          <w:p w14:paraId="0588F017">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r>
              <w:rPr>
                <w:rFonts w:hint="eastAsia" w:ascii="宋体" w:hAnsi="宋体" w:eastAsia="宋体" w:cs="宋体"/>
                <w:sz w:val="21"/>
                <w:szCs w:val="21"/>
                <w:highlight w:val="none"/>
              </w:rPr>
              <w:t>根据投标人对工作方案、方法、指导思想、服务承诺、最终报告的可行性、针对性和可靠性等方面进行评分。</w:t>
            </w:r>
            <w:r>
              <w:rPr>
                <w:rFonts w:hint="eastAsia" w:ascii="宋体" w:hAnsi="宋体" w:eastAsia="宋体" w:cs="宋体"/>
                <w:sz w:val="21"/>
                <w:szCs w:val="21"/>
                <w:highlight w:val="none"/>
                <w:lang w:val="en-US" w:eastAsia="zh-CN"/>
              </w:rPr>
              <w:t>得分低于60%时说明理由。</w:t>
            </w:r>
          </w:p>
        </w:tc>
      </w:tr>
      <w:tr w14:paraId="036F431E">
        <w:tblPrEx>
          <w:tblCellMar>
            <w:top w:w="138" w:type="dxa"/>
            <w:left w:w="70" w:type="dxa"/>
            <w:bottom w:w="10" w:type="dxa"/>
            <w:right w:w="0" w:type="dxa"/>
          </w:tblCellMar>
        </w:tblPrEx>
        <w:trPr>
          <w:trHeight w:val="855" w:hRule="atLeast"/>
          <w:jc w:val="center"/>
        </w:trPr>
        <w:tc>
          <w:tcPr>
            <w:tcW w:w="499" w:type="pct"/>
            <w:vMerge w:val="continue"/>
            <w:tcBorders>
              <w:left w:val="single" w:color="000000" w:sz="4" w:space="0"/>
              <w:right w:val="single" w:color="000000" w:sz="4" w:space="0"/>
            </w:tcBorders>
            <w:noWrap w:val="0"/>
            <w:vAlign w:val="center"/>
          </w:tcPr>
          <w:p w14:paraId="18D8F531">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p>
        </w:tc>
        <w:tc>
          <w:tcPr>
            <w:tcW w:w="732" w:type="pct"/>
            <w:gridSpan w:val="2"/>
            <w:vMerge w:val="continue"/>
            <w:tcBorders>
              <w:left w:val="single" w:color="000000" w:sz="4" w:space="0"/>
              <w:right w:val="single" w:color="000000" w:sz="4" w:space="0"/>
            </w:tcBorders>
            <w:noWrap w:val="0"/>
            <w:vAlign w:val="center"/>
          </w:tcPr>
          <w:p w14:paraId="7F1E9953">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p>
        </w:tc>
        <w:tc>
          <w:tcPr>
            <w:tcW w:w="471" w:type="pct"/>
            <w:vMerge w:val="continue"/>
            <w:tcBorders>
              <w:left w:val="single" w:color="000000" w:sz="4" w:space="0"/>
              <w:right w:val="single" w:color="000000" w:sz="4" w:space="0"/>
            </w:tcBorders>
            <w:noWrap w:val="0"/>
            <w:vAlign w:val="center"/>
          </w:tcPr>
          <w:p w14:paraId="0D741AF1">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p>
        </w:tc>
        <w:tc>
          <w:tcPr>
            <w:tcW w:w="1078" w:type="pct"/>
            <w:tcBorders>
              <w:top w:val="single" w:color="000000" w:sz="4" w:space="0"/>
              <w:left w:val="single" w:color="000000" w:sz="4" w:space="0"/>
              <w:bottom w:val="single" w:color="000000" w:sz="4" w:space="0"/>
              <w:right w:val="single" w:color="000000" w:sz="4" w:space="0"/>
            </w:tcBorders>
            <w:noWrap w:val="0"/>
            <w:vAlign w:val="center"/>
          </w:tcPr>
          <w:p w14:paraId="339C8774">
            <w:pPr>
              <w:keepNext w:val="0"/>
              <w:keepLines w:val="0"/>
              <w:pageBreakBefore w:val="0"/>
              <w:widowControl w:val="0"/>
              <w:tabs>
                <w:tab w:val="left" w:pos="993"/>
              </w:tabs>
              <w:kinsoku/>
              <w:wordWrap/>
              <w:overflowPunct/>
              <w:topLinePunct w:val="0"/>
              <w:autoSpaceDE w:val="0"/>
              <w:autoSpaceDN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sz w:val="21"/>
                <w:szCs w:val="21"/>
                <w:highlight w:val="none"/>
              </w:rPr>
              <w:t>工作服务的目标及保证措施</w:t>
            </w:r>
          </w:p>
        </w:tc>
        <w:tc>
          <w:tcPr>
            <w:tcW w:w="400" w:type="pct"/>
            <w:tcBorders>
              <w:top w:val="single" w:color="000000" w:sz="4" w:space="0"/>
              <w:left w:val="single" w:color="000000" w:sz="4" w:space="0"/>
              <w:bottom w:val="single" w:color="000000" w:sz="4" w:space="0"/>
              <w:right w:val="single" w:color="000000" w:sz="4" w:space="0"/>
            </w:tcBorders>
            <w:noWrap w:val="0"/>
            <w:vAlign w:val="center"/>
          </w:tcPr>
          <w:p w14:paraId="0FF61E2D">
            <w:pPr>
              <w:keepNext w:val="0"/>
              <w:keepLines w:val="0"/>
              <w:pageBreakBefore w:val="0"/>
              <w:widowControl w:val="0"/>
              <w:kinsoku/>
              <w:wordWrap/>
              <w:overflowPunct/>
              <w:topLinePunct w:val="0"/>
              <w:bidi w:val="0"/>
              <w:adjustRightInd/>
              <w:snapToGrid/>
              <w:spacing w:line="240" w:lineRule="auto"/>
              <w:ind w:left="-105" w:leftChars="-50" w:right="-105" w:rightChars="-50"/>
              <w:jc w:val="center"/>
              <w:textAlignment w:val="auto"/>
              <w:rPr>
                <w:rFonts w:hint="eastAsia" w:ascii="宋体" w:hAnsi="宋体" w:eastAsia="宋体" w:cs="宋体"/>
                <w:highlight w:val="none"/>
              </w:rPr>
            </w:pPr>
            <w:r>
              <w:rPr>
                <w:rFonts w:hint="eastAsia" w:ascii="宋体" w:hAnsi="宋体" w:eastAsia="宋体" w:cs="宋体"/>
                <w:sz w:val="21"/>
                <w:szCs w:val="21"/>
                <w:highlight w:val="none"/>
              </w:rPr>
              <w:t>15</w:t>
            </w:r>
          </w:p>
        </w:tc>
        <w:tc>
          <w:tcPr>
            <w:tcW w:w="1817" w:type="pct"/>
            <w:tcBorders>
              <w:top w:val="single" w:color="000000" w:sz="4" w:space="0"/>
              <w:left w:val="single" w:color="000000" w:sz="4" w:space="0"/>
              <w:bottom w:val="single" w:color="000000" w:sz="4" w:space="0"/>
              <w:right w:val="single" w:color="000000" w:sz="4" w:space="0"/>
            </w:tcBorders>
            <w:noWrap w:val="0"/>
            <w:vAlign w:val="center"/>
          </w:tcPr>
          <w:p w14:paraId="1673E20D">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r>
              <w:rPr>
                <w:rFonts w:hint="eastAsia" w:ascii="宋体" w:hAnsi="宋体" w:eastAsia="宋体" w:cs="宋体"/>
                <w:sz w:val="21"/>
                <w:szCs w:val="21"/>
                <w:highlight w:val="none"/>
              </w:rPr>
              <w:t>根据投标人对工作服务的目标、服务承诺、工作计划及保证进度的措施、工作质量与服务保证措施等方面进行评分。</w:t>
            </w:r>
            <w:r>
              <w:rPr>
                <w:rFonts w:hint="eastAsia" w:ascii="宋体" w:hAnsi="宋体" w:eastAsia="宋体" w:cs="宋体"/>
                <w:sz w:val="21"/>
                <w:szCs w:val="21"/>
                <w:highlight w:val="none"/>
                <w:lang w:val="en-US" w:eastAsia="zh-CN"/>
              </w:rPr>
              <w:t>得分低于60%时说明理由。</w:t>
            </w:r>
          </w:p>
        </w:tc>
      </w:tr>
      <w:tr w14:paraId="5F58A086">
        <w:tblPrEx>
          <w:tblCellMar>
            <w:top w:w="138" w:type="dxa"/>
            <w:left w:w="70" w:type="dxa"/>
            <w:bottom w:w="10" w:type="dxa"/>
            <w:right w:w="0" w:type="dxa"/>
          </w:tblCellMar>
        </w:tblPrEx>
        <w:trPr>
          <w:trHeight w:val="20" w:hRule="atLeast"/>
          <w:jc w:val="center"/>
        </w:trPr>
        <w:tc>
          <w:tcPr>
            <w:tcW w:w="499" w:type="pct"/>
            <w:vMerge w:val="continue"/>
            <w:tcBorders>
              <w:left w:val="single" w:color="000000" w:sz="4" w:space="0"/>
              <w:bottom w:val="single" w:color="auto" w:sz="4" w:space="0"/>
              <w:right w:val="single" w:color="000000" w:sz="4" w:space="0"/>
            </w:tcBorders>
            <w:noWrap w:val="0"/>
            <w:vAlign w:val="center"/>
          </w:tcPr>
          <w:p w14:paraId="0D366995">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p>
        </w:tc>
        <w:tc>
          <w:tcPr>
            <w:tcW w:w="732" w:type="pct"/>
            <w:gridSpan w:val="2"/>
            <w:vMerge w:val="continue"/>
            <w:tcBorders>
              <w:left w:val="single" w:color="000000" w:sz="4" w:space="0"/>
              <w:bottom w:val="single" w:color="auto" w:sz="4" w:space="0"/>
              <w:right w:val="single" w:color="000000" w:sz="4" w:space="0"/>
            </w:tcBorders>
            <w:noWrap w:val="0"/>
            <w:vAlign w:val="center"/>
          </w:tcPr>
          <w:p w14:paraId="16DE6049">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p>
        </w:tc>
        <w:tc>
          <w:tcPr>
            <w:tcW w:w="471" w:type="pct"/>
            <w:vMerge w:val="continue"/>
            <w:tcBorders>
              <w:left w:val="single" w:color="000000" w:sz="4" w:space="0"/>
              <w:bottom w:val="single" w:color="auto" w:sz="4" w:space="0"/>
              <w:right w:val="single" w:color="000000" w:sz="4" w:space="0"/>
            </w:tcBorders>
            <w:noWrap w:val="0"/>
            <w:vAlign w:val="center"/>
          </w:tcPr>
          <w:p w14:paraId="268FF08E">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p>
        </w:tc>
        <w:tc>
          <w:tcPr>
            <w:tcW w:w="1078" w:type="pct"/>
            <w:tcBorders>
              <w:top w:val="single" w:color="000000" w:sz="4" w:space="0"/>
              <w:left w:val="single" w:color="000000" w:sz="4" w:space="0"/>
              <w:bottom w:val="single" w:color="000000" w:sz="4" w:space="0"/>
              <w:right w:val="single" w:color="000000" w:sz="4" w:space="0"/>
            </w:tcBorders>
            <w:noWrap w:val="0"/>
            <w:vAlign w:val="center"/>
          </w:tcPr>
          <w:p w14:paraId="125DA0ED">
            <w:pPr>
              <w:keepNext w:val="0"/>
              <w:keepLines w:val="0"/>
              <w:pageBreakBefore w:val="0"/>
              <w:widowControl w:val="0"/>
              <w:tabs>
                <w:tab w:val="left" w:pos="993"/>
              </w:tabs>
              <w:kinsoku/>
              <w:wordWrap/>
              <w:overflowPunct/>
              <w:topLinePunct w:val="0"/>
              <w:autoSpaceDE w:val="0"/>
              <w:autoSpaceDN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snapToGrid w:val="0"/>
                <w:kern w:val="0"/>
                <w:sz w:val="21"/>
                <w:szCs w:val="21"/>
                <w:highlight w:val="none"/>
              </w:rPr>
              <w:t>投标人</w:t>
            </w:r>
            <w:r>
              <w:rPr>
                <w:rFonts w:hint="eastAsia" w:ascii="宋体" w:hAnsi="宋体" w:eastAsia="宋体" w:cs="宋体"/>
                <w:sz w:val="21"/>
                <w:szCs w:val="21"/>
                <w:highlight w:val="none"/>
              </w:rPr>
              <w:t>自身优势</w:t>
            </w:r>
          </w:p>
        </w:tc>
        <w:tc>
          <w:tcPr>
            <w:tcW w:w="400" w:type="pct"/>
            <w:tcBorders>
              <w:top w:val="single" w:color="000000" w:sz="4" w:space="0"/>
              <w:left w:val="single" w:color="000000" w:sz="4" w:space="0"/>
              <w:bottom w:val="single" w:color="000000" w:sz="4" w:space="0"/>
              <w:right w:val="single" w:color="000000" w:sz="4" w:space="0"/>
            </w:tcBorders>
            <w:noWrap w:val="0"/>
            <w:vAlign w:val="center"/>
          </w:tcPr>
          <w:p w14:paraId="1339EB28">
            <w:pPr>
              <w:keepNext w:val="0"/>
              <w:keepLines w:val="0"/>
              <w:pageBreakBefore w:val="0"/>
              <w:widowControl w:val="0"/>
              <w:kinsoku/>
              <w:wordWrap/>
              <w:overflowPunct/>
              <w:topLinePunct w:val="0"/>
              <w:bidi w:val="0"/>
              <w:adjustRightInd/>
              <w:snapToGrid/>
              <w:spacing w:line="240" w:lineRule="auto"/>
              <w:ind w:left="-105" w:leftChars="-50" w:right="-105" w:rightChars="-50"/>
              <w:jc w:val="center"/>
              <w:textAlignment w:val="auto"/>
              <w:rPr>
                <w:rFonts w:hint="eastAsia" w:ascii="宋体" w:hAnsi="宋体" w:eastAsia="宋体" w:cs="宋体"/>
                <w:highlight w:val="none"/>
              </w:rPr>
            </w:pPr>
            <w:r>
              <w:rPr>
                <w:rFonts w:hint="eastAsia" w:ascii="宋体" w:hAnsi="宋体" w:eastAsia="宋体" w:cs="宋体"/>
                <w:sz w:val="21"/>
                <w:szCs w:val="21"/>
                <w:highlight w:val="none"/>
              </w:rPr>
              <w:t>5</w:t>
            </w:r>
          </w:p>
        </w:tc>
        <w:tc>
          <w:tcPr>
            <w:tcW w:w="1817" w:type="pct"/>
            <w:tcBorders>
              <w:top w:val="single" w:color="000000" w:sz="4" w:space="0"/>
              <w:left w:val="single" w:color="000000" w:sz="4" w:space="0"/>
              <w:bottom w:val="single" w:color="000000" w:sz="4" w:space="0"/>
              <w:right w:val="single" w:color="000000" w:sz="4" w:space="0"/>
            </w:tcBorders>
            <w:noWrap w:val="0"/>
            <w:vAlign w:val="center"/>
          </w:tcPr>
          <w:p w14:paraId="0CBA68A0">
            <w:pPr>
              <w:keepNext w:val="0"/>
              <w:keepLines w:val="0"/>
              <w:pageBreakBefore w:val="0"/>
              <w:widowControl w:val="0"/>
              <w:kinsoku/>
              <w:wordWrap/>
              <w:overflowPunct/>
              <w:topLinePunct w:val="0"/>
              <w:bidi w:val="0"/>
              <w:adjustRightInd/>
              <w:snapToGrid/>
              <w:spacing w:line="240" w:lineRule="auto"/>
              <w:ind w:left="0" w:right="0"/>
              <w:textAlignment w:val="auto"/>
              <w:rPr>
                <w:rFonts w:hint="eastAsia" w:ascii="宋体" w:hAnsi="宋体" w:eastAsia="宋体" w:cs="宋体"/>
                <w:highlight w:val="none"/>
              </w:rPr>
            </w:pPr>
            <w:r>
              <w:rPr>
                <w:rFonts w:hint="eastAsia" w:ascii="宋体" w:hAnsi="宋体" w:eastAsia="宋体" w:cs="宋体"/>
                <w:sz w:val="21"/>
                <w:szCs w:val="21"/>
                <w:highlight w:val="none"/>
              </w:rPr>
              <w:t>根据投标人综合实力以及投标人工作上的优势等方面进行评分。</w:t>
            </w:r>
            <w:r>
              <w:rPr>
                <w:rFonts w:hint="eastAsia" w:ascii="宋体" w:hAnsi="宋体" w:eastAsia="宋体" w:cs="宋体"/>
                <w:sz w:val="21"/>
                <w:szCs w:val="21"/>
                <w:highlight w:val="none"/>
                <w:lang w:val="en-US" w:eastAsia="zh-CN"/>
              </w:rPr>
              <w:t>得分低于60%时说明理由。</w:t>
            </w:r>
          </w:p>
        </w:tc>
      </w:tr>
      <w:bookmarkEnd w:id="29"/>
      <w:tr w14:paraId="545D4E55">
        <w:tblPrEx>
          <w:tblCellMar>
            <w:top w:w="138" w:type="dxa"/>
            <w:left w:w="70" w:type="dxa"/>
            <w:bottom w:w="10" w:type="dxa"/>
            <w:right w:w="0" w:type="dxa"/>
          </w:tblCellMar>
        </w:tblPrEx>
        <w:trPr>
          <w:trHeight w:val="389" w:hRule="atLeast"/>
          <w:jc w:val="center"/>
        </w:trPr>
        <w:tc>
          <w:tcPr>
            <w:tcW w:w="499" w:type="pct"/>
            <w:tcBorders>
              <w:top w:val="single" w:color="auto" w:sz="4" w:space="0"/>
              <w:left w:val="single" w:color="auto" w:sz="4" w:space="0"/>
              <w:bottom w:val="single" w:color="auto" w:sz="4" w:space="0"/>
              <w:right w:val="single" w:color="000000" w:sz="4" w:space="0"/>
            </w:tcBorders>
            <w:noWrap w:val="0"/>
            <w:vAlign w:val="center"/>
          </w:tcPr>
          <w:p w14:paraId="5CF767BE">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2.2.4（2）</w:t>
            </w:r>
          </w:p>
        </w:tc>
        <w:tc>
          <w:tcPr>
            <w:tcW w:w="732" w:type="pct"/>
            <w:gridSpan w:val="2"/>
            <w:tcBorders>
              <w:top w:val="single" w:color="auto" w:sz="4" w:space="0"/>
              <w:left w:val="single" w:color="000000" w:sz="4" w:space="0"/>
              <w:bottom w:val="single" w:color="auto" w:sz="4" w:space="0"/>
              <w:right w:val="single" w:color="000000" w:sz="4" w:space="0"/>
            </w:tcBorders>
            <w:noWrap w:val="0"/>
            <w:vAlign w:val="center"/>
          </w:tcPr>
          <w:p w14:paraId="61B8A570">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主要人员</w:t>
            </w:r>
          </w:p>
        </w:tc>
        <w:tc>
          <w:tcPr>
            <w:tcW w:w="471" w:type="pct"/>
            <w:tcBorders>
              <w:top w:val="single" w:color="auto" w:sz="4" w:space="0"/>
              <w:left w:val="single" w:color="000000" w:sz="4" w:space="0"/>
              <w:bottom w:val="single" w:color="auto" w:sz="4" w:space="0"/>
              <w:right w:val="single" w:color="auto" w:sz="4" w:space="0"/>
            </w:tcBorders>
            <w:noWrap w:val="0"/>
            <w:vAlign w:val="center"/>
          </w:tcPr>
          <w:p w14:paraId="4D5D5317">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u w:val="single" w:color="000000"/>
              </w:rPr>
              <w:t>25</w:t>
            </w:r>
            <w:r>
              <w:rPr>
                <w:rFonts w:hint="eastAsia" w:ascii="宋体" w:hAnsi="宋体" w:eastAsia="宋体" w:cs="宋体"/>
                <w:highlight w:val="none"/>
              </w:rPr>
              <w:t>分</w:t>
            </w:r>
          </w:p>
        </w:tc>
        <w:tc>
          <w:tcPr>
            <w:tcW w:w="1078" w:type="pct"/>
            <w:tcBorders>
              <w:top w:val="single" w:color="000000" w:sz="4" w:space="0"/>
              <w:left w:val="single" w:color="auto" w:sz="4" w:space="0"/>
              <w:bottom w:val="single" w:color="000000" w:sz="4" w:space="0"/>
              <w:right w:val="single" w:color="000000" w:sz="4" w:space="0"/>
            </w:tcBorders>
            <w:noWrap w:val="0"/>
            <w:vAlign w:val="center"/>
          </w:tcPr>
          <w:p w14:paraId="5CD09F46">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highlight w:val="none"/>
              </w:rPr>
            </w:pPr>
            <w:r>
              <w:rPr>
                <w:rFonts w:hint="eastAsia" w:ascii="宋体" w:hAnsi="宋体" w:eastAsia="宋体" w:cs="宋体"/>
                <w:highlight w:val="none"/>
              </w:rPr>
              <w:t>拟投入本项目的项目负责人资格和能力</w:t>
            </w:r>
          </w:p>
        </w:tc>
        <w:tc>
          <w:tcPr>
            <w:tcW w:w="400" w:type="pct"/>
            <w:tcBorders>
              <w:top w:val="single" w:color="000000" w:sz="4" w:space="0"/>
              <w:left w:val="single" w:color="000000" w:sz="4" w:space="0"/>
              <w:bottom w:val="single" w:color="000000" w:sz="4" w:space="0"/>
              <w:right w:val="single" w:color="000000" w:sz="4" w:space="0"/>
            </w:tcBorders>
            <w:noWrap w:val="0"/>
            <w:vAlign w:val="center"/>
          </w:tcPr>
          <w:p w14:paraId="69B7BA40">
            <w:pPr>
              <w:keepNext w:val="0"/>
              <w:keepLines w:val="0"/>
              <w:pageBreakBefore w:val="0"/>
              <w:widowControl w:val="0"/>
              <w:kinsoku/>
              <w:wordWrap/>
              <w:overflowPunct/>
              <w:topLinePunct w:val="0"/>
              <w:bidi w:val="0"/>
              <w:adjustRightInd/>
              <w:snapToGrid/>
              <w:spacing w:line="240" w:lineRule="auto"/>
              <w:ind w:left="105" w:leftChars="50" w:right="105" w:rightChars="50"/>
              <w:jc w:val="left"/>
              <w:textAlignment w:val="auto"/>
              <w:rPr>
                <w:rFonts w:hint="eastAsia" w:ascii="宋体" w:hAnsi="宋体" w:eastAsia="宋体" w:cs="宋体"/>
                <w:highlight w:val="none"/>
              </w:rPr>
            </w:pPr>
            <w:r>
              <w:rPr>
                <w:rFonts w:hint="eastAsia" w:ascii="宋体" w:hAnsi="宋体" w:eastAsia="宋体" w:cs="宋体"/>
                <w:highlight w:val="none"/>
                <w:lang w:val="en-US" w:eastAsia="zh-CN"/>
              </w:rPr>
              <w:t>25</w:t>
            </w:r>
            <w:r>
              <w:rPr>
                <w:rFonts w:hint="eastAsia" w:ascii="宋体" w:hAnsi="宋体" w:eastAsia="宋体" w:cs="宋体"/>
                <w:highlight w:val="none"/>
              </w:rPr>
              <w:t>分</w:t>
            </w:r>
          </w:p>
        </w:tc>
        <w:tc>
          <w:tcPr>
            <w:tcW w:w="1817" w:type="pct"/>
            <w:tcBorders>
              <w:top w:val="single" w:color="000000" w:sz="4" w:space="0"/>
              <w:left w:val="single" w:color="000000" w:sz="4" w:space="0"/>
              <w:bottom w:val="single" w:color="000000" w:sz="4" w:space="0"/>
              <w:right w:val="single" w:color="000000" w:sz="4" w:space="0"/>
            </w:tcBorders>
            <w:noWrap w:val="0"/>
            <w:vAlign w:val="center"/>
          </w:tcPr>
          <w:p w14:paraId="14600F46">
            <w:pPr>
              <w:keepNext w:val="0"/>
              <w:keepLines w:val="0"/>
              <w:pageBreakBefore w:val="0"/>
              <w:widowControl w:val="0"/>
              <w:kinsoku/>
              <w:wordWrap/>
              <w:overflowPunct/>
              <w:topLinePunct w:val="0"/>
              <w:bidi w:val="0"/>
              <w:adjustRightInd/>
              <w:snapToGrid/>
              <w:spacing w:line="240" w:lineRule="auto"/>
              <w:ind w:left="0" w:right="105" w:rightChars="50"/>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rPr>
              <w:t>拟投入本项目的项目负责人满足项目负责人资格要求的得基本分</w:t>
            </w:r>
            <w:r>
              <w:rPr>
                <w:rFonts w:hint="eastAsia" w:ascii="宋体" w:hAnsi="宋体" w:eastAsia="宋体" w:cs="宋体"/>
                <w:szCs w:val="21"/>
                <w:highlight w:val="none"/>
                <w:lang w:val="en-US" w:eastAsia="zh-CN"/>
              </w:rPr>
              <w:t>21</w:t>
            </w:r>
            <w:r>
              <w:rPr>
                <w:rFonts w:hint="eastAsia" w:ascii="宋体" w:hAnsi="宋体" w:eastAsia="宋体" w:cs="宋体"/>
                <w:szCs w:val="21"/>
                <w:highlight w:val="none"/>
              </w:rPr>
              <w:t>分</w:t>
            </w:r>
            <w:r>
              <w:rPr>
                <w:rFonts w:hint="eastAsia" w:ascii="宋体" w:hAnsi="宋体" w:eastAsia="宋体" w:cs="宋体"/>
                <w:szCs w:val="21"/>
                <w:highlight w:val="none"/>
                <w:lang w:eastAsia="zh-CN"/>
              </w:rPr>
              <w:t>；</w:t>
            </w:r>
          </w:p>
          <w:p w14:paraId="05C70813">
            <w:pPr>
              <w:keepNext w:val="0"/>
              <w:keepLines w:val="0"/>
              <w:pageBreakBefore w:val="0"/>
              <w:widowControl w:val="0"/>
              <w:kinsoku/>
              <w:wordWrap/>
              <w:overflowPunct/>
              <w:topLinePunct w:val="0"/>
              <w:bidi w:val="0"/>
              <w:adjustRightInd/>
              <w:snapToGrid/>
              <w:spacing w:line="240" w:lineRule="auto"/>
              <w:ind w:left="0" w:right="105" w:rightChars="50"/>
              <w:textAlignment w:val="auto"/>
              <w:rPr>
                <w:rFonts w:hint="eastAsia" w:ascii="宋体" w:hAnsi="宋体" w:eastAsia="宋体" w:cs="宋体"/>
                <w:szCs w:val="21"/>
                <w:highlight w:val="none"/>
              </w:rPr>
            </w:pPr>
            <w:r>
              <w:rPr>
                <w:rFonts w:hint="eastAsia" w:ascii="宋体" w:hAnsi="宋体" w:eastAsia="宋体" w:cs="宋体"/>
                <w:szCs w:val="21"/>
                <w:highlight w:val="none"/>
              </w:rPr>
              <w:t>在此基础上，</w:t>
            </w:r>
            <w:r>
              <w:rPr>
                <w:rFonts w:hint="eastAsia" w:ascii="宋体" w:hAnsi="宋体" w:eastAsia="宋体" w:cs="宋体"/>
                <w:szCs w:val="21"/>
                <w:highlight w:val="none"/>
                <w:lang w:val="en-US" w:eastAsia="zh-CN"/>
              </w:rPr>
              <w:t>每</w:t>
            </w:r>
            <w:r>
              <w:rPr>
                <w:rFonts w:hint="eastAsia" w:ascii="宋体" w:hAnsi="宋体" w:eastAsia="宋体" w:cs="宋体"/>
                <w:szCs w:val="21"/>
                <w:highlight w:val="none"/>
              </w:rPr>
              <w:t>增加一个在已完的文物资源区域评估项目或文物影响评估项目中担任过项目负责人的业绩加</w:t>
            </w:r>
            <w:r>
              <w:rPr>
                <w:rFonts w:hint="eastAsia" w:ascii="宋体" w:hAnsi="宋体" w:eastAsia="宋体" w:cs="宋体"/>
                <w:szCs w:val="21"/>
                <w:highlight w:val="none"/>
                <w:lang w:val="en-US" w:eastAsia="zh-CN"/>
              </w:rPr>
              <w:t>2</w:t>
            </w:r>
            <w:r>
              <w:rPr>
                <w:rFonts w:hint="eastAsia" w:ascii="宋体" w:hAnsi="宋体" w:eastAsia="宋体" w:cs="宋体"/>
                <w:szCs w:val="21"/>
                <w:highlight w:val="none"/>
              </w:rPr>
              <w:t>分，最多加</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分。</w:t>
            </w:r>
          </w:p>
          <w:p w14:paraId="672F0660">
            <w:pPr>
              <w:keepNext w:val="0"/>
              <w:keepLines w:val="0"/>
              <w:pageBreakBefore w:val="0"/>
              <w:widowControl w:val="0"/>
              <w:kinsoku/>
              <w:wordWrap/>
              <w:overflowPunct/>
              <w:topLinePunct w:val="0"/>
              <w:bidi w:val="0"/>
              <w:adjustRightInd/>
              <w:snapToGrid/>
              <w:spacing w:line="240" w:lineRule="auto"/>
              <w:ind w:left="0" w:right="105" w:rightChars="50"/>
              <w:textAlignment w:val="auto"/>
              <w:rPr>
                <w:rFonts w:hint="eastAsia" w:ascii="宋体" w:hAnsi="宋体" w:eastAsia="宋体" w:cs="宋体"/>
                <w:szCs w:val="21"/>
                <w:highlight w:val="none"/>
              </w:rPr>
            </w:pPr>
            <w:r>
              <w:rPr>
                <w:rFonts w:hint="eastAsia" w:ascii="宋体" w:hAnsi="宋体" w:eastAsia="宋体" w:cs="宋体"/>
                <w:szCs w:val="21"/>
                <w:highlight w:val="none"/>
              </w:rPr>
              <w:t>本项满分25分。</w:t>
            </w:r>
          </w:p>
          <w:p w14:paraId="054BA5FC">
            <w:pPr>
              <w:keepNext w:val="0"/>
              <w:keepLines w:val="0"/>
              <w:pageBreakBefore w:val="0"/>
              <w:widowControl w:val="0"/>
              <w:kinsoku/>
              <w:wordWrap/>
              <w:overflowPunct/>
              <w:topLinePunct w:val="0"/>
              <w:bidi w:val="0"/>
              <w:adjustRightInd/>
              <w:snapToGrid/>
              <w:spacing w:line="240" w:lineRule="auto"/>
              <w:ind w:left="0" w:right="105" w:rightChars="50"/>
              <w:textAlignment w:val="auto"/>
              <w:rPr>
                <w:rFonts w:hint="eastAsia" w:ascii="宋体" w:hAnsi="宋体" w:eastAsia="宋体" w:cs="宋体"/>
                <w:szCs w:val="21"/>
                <w:highlight w:val="none"/>
              </w:rPr>
            </w:pPr>
            <w:r>
              <w:rPr>
                <w:rFonts w:hint="eastAsia" w:ascii="宋体" w:hAnsi="宋体" w:eastAsia="宋体" w:cs="宋体"/>
                <w:szCs w:val="21"/>
                <w:highlight w:val="none"/>
              </w:rPr>
              <w:t>注：一个合同仅计一次分。</w:t>
            </w:r>
          </w:p>
          <w:p w14:paraId="0F8D2CA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宋体" w:hAnsi="宋体" w:eastAsia="宋体" w:cs="宋体"/>
                <w:highlight w:val="none"/>
              </w:rPr>
            </w:pPr>
            <w:r>
              <w:rPr>
                <w:rFonts w:hint="eastAsia" w:ascii="宋体" w:hAnsi="宋体" w:eastAsia="宋体" w:cs="宋体"/>
                <w:highlight w:val="none"/>
              </w:rPr>
              <w:t>①提供有效的业绩合同复印件（或扫描件），若合同内容无法体现相关内容（如项目内容），须同时提供委托方出具的加盖公章的相关证明材料复印件（或扫描件），否则不得分。</w:t>
            </w:r>
          </w:p>
          <w:p w14:paraId="7B2061E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rPr>
                <w:rFonts w:hint="eastAsia" w:ascii="宋体" w:hAnsi="宋体" w:eastAsia="宋体" w:cs="宋体"/>
                <w:szCs w:val="21"/>
                <w:highlight w:val="none"/>
              </w:rPr>
            </w:pPr>
            <w:r>
              <w:rPr>
                <w:rFonts w:hint="eastAsia" w:ascii="宋体" w:hAnsi="宋体" w:eastAsia="宋体" w:cs="宋体"/>
                <w:highlight w:val="none"/>
              </w:rPr>
              <w:t>②项目负责人业绩和企业业绩如为同一业绩，可分别加分。</w:t>
            </w:r>
          </w:p>
        </w:tc>
      </w:tr>
      <w:tr w14:paraId="45A0D38D">
        <w:tblPrEx>
          <w:tblCellMar>
            <w:top w:w="138" w:type="dxa"/>
            <w:left w:w="70" w:type="dxa"/>
            <w:bottom w:w="10" w:type="dxa"/>
            <w:right w:w="0" w:type="dxa"/>
          </w:tblCellMar>
        </w:tblPrEx>
        <w:trPr>
          <w:trHeight w:val="90" w:hRule="atLeast"/>
          <w:jc w:val="center"/>
        </w:trPr>
        <w:tc>
          <w:tcPr>
            <w:tcW w:w="499" w:type="pct"/>
            <w:tcBorders>
              <w:top w:val="single" w:color="auto" w:sz="4" w:space="0"/>
              <w:left w:val="single" w:color="000000" w:sz="4" w:space="0"/>
              <w:bottom w:val="single" w:color="000000" w:sz="4" w:space="0"/>
              <w:right w:val="single" w:color="000000" w:sz="4" w:space="0"/>
            </w:tcBorders>
            <w:noWrap w:val="0"/>
            <w:vAlign w:val="center"/>
          </w:tcPr>
          <w:p w14:paraId="5D521DA5">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2.2.4（3）</w:t>
            </w:r>
          </w:p>
        </w:tc>
        <w:tc>
          <w:tcPr>
            <w:tcW w:w="732" w:type="pct"/>
            <w:gridSpan w:val="2"/>
            <w:tcBorders>
              <w:top w:val="single" w:color="auto" w:sz="4" w:space="0"/>
              <w:left w:val="single" w:color="000000" w:sz="4" w:space="0"/>
              <w:bottom w:val="single" w:color="000000" w:sz="4" w:space="0"/>
              <w:right w:val="single" w:color="000000" w:sz="4" w:space="0"/>
            </w:tcBorders>
            <w:noWrap w:val="0"/>
            <w:vAlign w:val="center"/>
          </w:tcPr>
          <w:p w14:paraId="531A5DD0">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评标价</w:t>
            </w:r>
          </w:p>
        </w:tc>
        <w:tc>
          <w:tcPr>
            <w:tcW w:w="471" w:type="pct"/>
            <w:tcBorders>
              <w:top w:val="single" w:color="auto" w:sz="4" w:space="0"/>
              <w:left w:val="single" w:color="000000" w:sz="4" w:space="0"/>
              <w:bottom w:val="single" w:color="000000" w:sz="4" w:space="0"/>
              <w:right w:val="single" w:color="000000" w:sz="4" w:space="0"/>
            </w:tcBorders>
            <w:noWrap w:val="0"/>
            <w:vAlign w:val="center"/>
          </w:tcPr>
          <w:p w14:paraId="64769B60">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u w:val="single" w:color="000000"/>
              </w:rPr>
              <w:t>10</w:t>
            </w:r>
            <w:r>
              <w:rPr>
                <w:rFonts w:hint="eastAsia" w:ascii="宋体" w:hAnsi="宋体" w:eastAsia="宋体" w:cs="宋体"/>
                <w:highlight w:val="none"/>
              </w:rPr>
              <w:t>分</w:t>
            </w:r>
          </w:p>
        </w:tc>
        <w:tc>
          <w:tcPr>
            <w:tcW w:w="3297" w:type="pct"/>
            <w:gridSpan w:val="3"/>
            <w:tcBorders>
              <w:top w:val="single" w:color="000000" w:sz="4" w:space="0"/>
              <w:left w:val="single" w:color="000000" w:sz="4" w:space="0"/>
              <w:bottom w:val="single" w:color="000000" w:sz="4" w:space="0"/>
              <w:right w:val="single" w:color="000000" w:sz="4" w:space="0"/>
            </w:tcBorders>
            <w:noWrap w:val="0"/>
            <w:vAlign w:val="center"/>
          </w:tcPr>
          <w:p w14:paraId="2EF2022E">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highlight w:val="none"/>
              </w:rPr>
            </w:pPr>
            <w:r>
              <w:rPr>
                <w:rFonts w:hint="eastAsia" w:ascii="宋体" w:hAnsi="宋体" w:eastAsia="宋体" w:cs="宋体"/>
                <w:highlight w:val="none"/>
              </w:rPr>
              <w:t>评标价得分计算公式示例：</w:t>
            </w:r>
          </w:p>
          <w:p w14:paraId="769C8A27">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highlight w:val="none"/>
              </w:rPr>
            </w:pPr>
            <w:r>
              <w:rPr>
                <w:rFonts w:hint="eastAsia" w:ascii="宋体" w:hAnsi="宋体" w:eastAsia="宋体" w:cs="宋体"/>
                <w:highlight w:val="none"/>
              </w:rPr>
              <w:t>如果投标人的评标价&gt;评标基准价，则评标价得分＝F－偏差率×100×E1；</w:t>
            </w:r>
          </w:p>
          <w:p w14:paraId="611625A5">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highlight w:val="none"/>
              </w:rPr>
            </w:pPr>
            <w:r>
              <w:rPr>
                <w:rFonts w:hint="eastAsia" w:ascii="宋体" w:hAnsi="宋体" w:eastAsia="宋体" w:cs="宋体"/>
                <w:highlight w:val="none"/>
              </w:rPr>
              <w:t>如果投标人的评标价≤评标基准价，则评标价得分＝F＋偏差率×100×E2。</w:t>
            </w:r>
          </w:p>
          <w:p w14:paraId="3BE3A7C4">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kern w:val="0"/>
                <w:highlight w:val="none"/>
              </w:rPr>
            </w:pPr>
            <w:r>
              <w:rPr>
                <w:rFonts w:hint="eastAsia" w:ascii="宋体" w:hAnsi="宋体" w:eastAsia="宋体" w:cs="宋体"/>
                <w:highlight w:val="none"/>
              </w:rPr>
              <w:t>其中：</w:t>
            </w:r>
            <w:r>
              <w:rPr>
                <w:rFonts w:hint="eastAsia" w:ascii="宋体" w:hAnsi="宋体" w:eastAsia="宋体" w:cs="宋体"/>
                <w:kern w:val="0"/>
                <w:highlight w:val="none"/>
              </w:rPr>
              <w:t>F是投标报价所占的权重分值，F=10。</w:t>
            </w:r>
          </w:p>
          <w:p w14:paraId="70AF3E8E">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highlight w:val="none"/>
              </w:rPr>
            </w:pPr>
            <w:r>
              <w:rPr>
                <w:rFonts w:hint="eastAsia" w:ascii="宋体" w:hAnsi="宋体" w:eastAsia="宋体" w:cs="宋体"/>
                <w:highlight w:val="none"/>
              </w:rPr>
              <w:t>E1 是评标价每高于评标基准价一个百分点的扣分值，E1=0.2；</w:t>
            </w:r>
          </w:p>
          <w:p w14:paraId="4B02416B">
            <w:pPr>
              <w:keepNext w:val="0"/>
              <w:keepLines w:val="0"/>
              <w:pageBreakBefore w:val="0"/>
              <w:widowControl w:val="0"/>
              <w:kinsoku/>
              <w:wordWrap/>
              <w:overflowPunct/>
              <w:topLinePunct w:val="0"/>
              <w:bidi w:val="0"/>
              <w:adjustRightInd/>
              <w:snapToGrid/>
              <w:spacing w:line="240" w:lineRule="auto"/>
              <w:ind w:left="105" w:leftChars="50" w:right="105" w:rightChars="50"/>
              <w:jc w:val="left"/>
              <w:textAlignment w:val="auto"/>
              <w:rPr>
                <w:rFonts w:hint="eastAsia" w:ascii="宋体" w:hAnsi="宋体" w:eastAsia="宋体" w:cs="宋体"/>
                <w:highlight w:val="none"/>
              </w:rPr>
            </w:pPr>
            <w:r>
              <w:rPr>
                <w:rFonts w:hint="eastAsia" w:ascii="宋体" w:hAnsi="宋体" w:eastAsia="宋体" w:cs="宋体"/>
                <w:spacing w:val="-6"/>
                <w:highlight w:val="none"/>
              </w:rPr>
              <w:t>E2 是评标价每低于评标基准价一个百分点的扣分值，E2=0.1。</w:t>
            </w:r>
          </w:p>
        </w:tc>
      </w:tr>
      <w:tr w14:paraId="363EB69F">
        <w:tblPrEx>
          <w:tblCellMar>
            <w:top w:w="138" w:type="dxa"/>
            <w:left w:w="29" w:type="dxa"/>
            <w:bottom w:w="10" w:type="dxa"/>
            <w:right w:w="0" w:type="dxa"/>
          </w:tblCellMar>
        </w:tblPrEx>
        <w:trPr>
          <w:trHeight w:val="289" w:hRule="atLeast"/>
          <w:jc w:val="center"/>
        </w:trPr>
        <w:tc>
          <w:tcPr>
            <w:tcW w:w="499" w:type="pct"/>
            <w:tcBorders>
              <w:top w:val="single" w:color="000000" w:sz="4" w:space="0"/>
              <w:left w:val="single" w:color="000000" w:sz="4" w:space="0"/>
              <w:bottom w:val="single" w:color="000000" w:sz="4" w:space="0"/>
              <w:right w:val="single" w:color="000000" w:sz="4" w:space="0"/>
            </w:tcBorders>
            <w:noWrap w:val="0"/>
            <w:vAlign w:val="center"/>
          </w:tcPr>
          <w:p w14:paraId="6D48B383">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2.2.4（4）</w:t>
            </w:r>
          </w:p>
        </w:tc>
        <w:tc>
          <w:tcPr>
            <w:tcW w:w="424" w:type="pct"/>
            <w:tcBorders>
              <w:top w:val="single" w:color="000000" w:sz="4" w:space="0"/>
              <w:left w:val="single" w:color="000000" w:sz="4" w:space="0"/>
              <w:bottom w:val="single" w:color="000000" w:sz="4" w:space="0"/>
              <w:right w:val="single" w:color="000000" w:sz="4" w:space="0"/>
            </w:tcBorders>
            <w:noWrap w:val="0"/>
            <w:vAlign w:val="center"/>
          </w:tcPr>
          <w:p w14:paraId="01EA9117">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其他因素</w:t>
            </w:r>
          </w:p>
        </w:tc>
        <w:tc>
          <w:tcPr>
            <w:tcW w:w="308" w:type="pct"/>
            <w:tcBorders>
              <w:top w:val="single" w:color="000000" w:sz="4" w:space="0"/>
              <w:left w:val="single" w:color="000000" w:sz="4" w:space="0"/>
              <w:bottom w:val="single" w:color="000000" w:sz="4" w:space="0"/>
              <w:right w:val="single" w:color="000000" w:sz="4" w:space="0"/>
            </w:tcBorders>
            <w:noWrap w:val="0"/>
            <w:vAlign w:val="center"/>
          </w:tcPr>
          <w:p w14:paraId="5D8FD3FD">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投标人业绩</w:t>
            </w:r>
          </w:p>
        </w:tc>
        <w:tc>
          <w:tcPr>
            <w:tcW w:w="471" w:type="pct"/>
            <w:tcBorders>
              <w:top w:val="single" w:color="000000" w:sz="4" w:space="0"/>
              <w:left w:val="single" w:color="000000" w:sz="4" w:space="0"/>
              <w:bottom w:val="single" w:color="000000" w:sz="4" w:space="0"/>
              <w:right w:val="single" w:color="000000" w:sz="4" w:space="0"/>
            </w:tcBorders>
            <w:noWrap w:val="0"/>
            <w:vAlign w:val="center"/>
          </w:tcPr>
          <w:p w14:paraId="024242B9">
            <w:pPr>
              <w:keepNext w:val="0"/>
              <w:keepLines w:val="0"/>
              <w:pageBreakBefore w:val="0"/>
              <w:widowControl w:val="0"/>
              <w:kinsoku/>
              <w:wordWrap/>
              <w:overflowPunct/>
              <w:topLinePunct w:val="0"/>
              <w:bidi w:val="0"/>
              <w:adjustRightInd/>
              <w:snapToGrid/>
              <w:spacing w:line="240" w:lineRule="auto"/>
              <w:ind w:left="0" w:right="0"/>
              <w:jc w:val="center"/>
              <w:textAlignment w:val="auto"/>
              <w:rPr>
                <w:rFonts w:hint="eastAsia" w:ascii="宋体" w:hAnsi="宋体" w:eastAsia="宋体" w:cs="宋体"/>
                <w:highlight w:val="none"/>
              </w:rPr>
            </w:pPr>
            <w:r>
              <w:rPr>
                <w:rFonts w:hint="eastAsia" w:ascii="宋体" w:hAnsi="宋体" w:eastAsia="宋体" w:cs="宋体"/>
                <w:highlight w:val="none"/>
              </w:rPr>
              <w:t>20分</w:t>
            </w:r>
          </w:p>
        </w:tc>
        <w:tc>
          <w:tcPr>
            <w:tcW w:w="3297" w:type="pct"/>
            <w:gridSpan w:val="3"/>
            <w:tcBorders>
              <w:top w:val="single" w:color="000000" w:sz="4" w:space="0"/>
              <w:left w:val="single" w:color="000000" w:sz="4" w:space="0"/>
              <w:bottom w:val="single" w:color="000000" w:sz="4" w:space="0"/>
              <w:right w:val="single" w:color="000000" w:sz="4" w:space="0"/>
            </w:tcBorders>
            <w:noWrap w:val="0"/>
            <w:vAlign w:val="center"/>
          </w:tcPr>
          <w:p w14:paraId="3C9A6EE4">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highlight w:val="none"/>
              </w:rPr>
            </w:pPr>
            <w:r>
              <w:rPr>
                <w:rFonts w:hint="eastAsia" w:ascii="宋体" w:hAnsi="宋体" w:eastAsia="宋体" w:cs="宋体"/>
                <w:highlight w:val="none"/>
              </w:rPr>
              <w:t>投标人业绩满足资格条件要求的得基本分14分；</w:t>
            </w:r>
          </w:p>
          <w:p w14:paraId="2384B556">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highlight w:val="none"/>
              </w:rPr>
            </w:pPr>
            <w:r>
              <w:rPr>
                <w:rFonts w:hint="eastAsia" w:ascii="宋体" w:hAnsi="宋体" w:eastAsia="宋体" w:cs="宋体"/>
                <w:highlight w:val="none"/>
              </w:rPr>
              <w:t>在此基础上，投标人每增加一项已完的文物资源区域评估项目或文物影响评估项目的业绩，加</w:t>
            </w:r>
            <w:r>
              <w:rPr>
                <w:rFonts w:hint="eastAsia" w:ascii="宋体" w:hAnsi="宋体" w:eastAsia="宋体" w:cs="宋体"/>
                <w:highlight w:val="none"/>
                <w:lang w:val="en-US" w:eastAsia="zh-CN"/>
              </w:rPr>
              <w:t>2</w:t>
            </w:r>
            <w:r>
              <w:rPr>
                <w:rFonts w:hint="eastAsia" w:ascii="宋体" w:hAnsi="宋体" w:eastAsia="宋体" w:cs="宋体"/>
                <w:highlight w:val="none"/>
              </w:rPr>
              <w:t>分，最多加6分。</w:t>
            </w:r>
          </w:p>
          <w:p w14:paraId="204AB3F1">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highlight w:val="none"/>
              </w:rPr>
            </w:pPr>
            <w:r>
              <w:rPr>
                <w:rFonts w:hint="eastAsia" w:ascii="宋体" w:hAnsi="宋体" w:eastAsia="宋体" w:cs="宋体"/>
                <w:highlight w:val="none"/>
              </w:rPr>
              <w:t>本项满分20分。</w:t>
            </w:r>
          </w:p>
          <w:p w14:paraId="7A4B3033">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highlight w:val="none"/>
              </w:rPr>
            </w:pPr>
            <w:r>
              <w:rPr>
                <w:rFonts w:hint="eastAsia" w:ascii="宋体" w:hAnsi="宋体" w:eastAsia="宋体" w:cs="宋体"/>
                <w:highlight w:val="none"/>
              </w:rPr>
              <w:t>注：一个合同仅计一次分。</w:t>
            </w:r>
          </w:p>
          <w:p w14:paraId="0E85C438">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highlight w:val="none"/>
              </w:rPr>
            </w:pPr>
            <w:r>
              <w:rPr>
                <w:rFonts w:hint="eastAsia" w:ascii="宋体" w:hAnsi="宋体" w:eastAsia="宋体" w:cs="宋体"/>
                <w:highlight w:val="none"/>
              </w:rPr>
              <w:t>①提供有效的业绩合同复印件（或扫描件），若合同内容无法体现相关内容（如项目内容），须同时提供委托方出具的加盖公章的相关证明材料复印件（或扫描件），否则不得分。</w:t>
            </w:r>
          </w:p>
          <w:p w14:paraId="0381448F">
            <w:pPr>
              <w:keepNext w:val="0"/>
              <w:keepLines w:val="0"/>
              <w:pageBreakBefore w:val="0"/>
              <w:widowControl w:val="0"/>
              <w:kinsoku/>
              <w:wordWrap/>
              <w:overflowPunct/>
              <w:topLinePunct w:val="0"/>
              <w:bidi w:val="0"/>
              <w:adjustRightInd/>
              <w:snapToGrid/>
              <w:spacing w:line="240" w:lineRule="auto"/>
              <w:ind w:left="105" w:leftChars="50" w:right="105" w:rightChars="50"/>
              <w:textAlignment w:val="auto"/>
              <w:rPr>
                <w:rFonts w:hint="eastAsia" w:ascii="宋体" w:hAnsi="宋体" w:eastAsia="宋体" w:cs="宋体"/>
                <w:szCs w:val="21"/>
                <w:highlight w:val="none"/>
              </w:rPr>
            </w:pPr>
            <w:r>
              <w:rPr>
                <w:rFonts w:hint="eastAsia" w:ascii="宋体" w:hAnsi="宋体" w:eastAsia="宋体" w:cs="宋体"/>
                <w:highlight w:val="none"/>
              </w:rPr>
              <w:t>②项目负责人业绩和企业业绩如为同一业绩，可分别加分。</w:t>
            </w:r>
          </w:p>
        </w:tc>
      </w:tr>
    </w:tbl>
    <w:p w14:paraId="325C407A">
      <w:pPr>
        <w:snapToGrid w:val="0"/>
        <w:spacing w:line="360" w:lineRule="exact"/>
        <w:rPr>
          <w:rFonts w:hint="eastAsia" w:ascii="宋体" w:hAnsi="宋体" w:eastAsia="宋体" w:cs="宋体"/>
          <w:highlight w:val="none"/>
        </w:rPr>
      </w:pPr>
    </w:p>
    <w:bookmarkEnd w:id="24"/>
    <w:bookmarkEnd w:id="25"/>
    <w:bookmarkEnd w:id="26"/>
    <w:bookmarkEnd w:id="27"/>
    <w:bookmarkEnd w:id="28"/>
    <w:p w14:paraId="1CBFFB9D">
      <w:pPr>
        <w:snapToGrid w:val="0"/>
        <w:spacing w:line="300" w:lineRule="auto"/>
        <w:rPr>
          <w:rFonts w:hint="eastAsia" w:ascii="宋体" w:hAnsi="宋体"/>
          <w:b/>
          <w:szCs w:val="21"/>
          <w:highlight w:val="none"/>
        </w:rPr>
      </w:pPr>
    </w:p>
    <w:p w14:paraId="2AC119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highlight w:val="none"/>
        </w:rPr>
      </w:pPr>
      <w:r>
        <w:rPr>
          <w:rFonts w:ascii="宋体" w:hAnsi="宋体"/>
          <w:highlight w:val="none"/>
        </w:rPr>
        <w:br w:type="page"/>
      </w:r>
      <w:r>
        <w:rPr>
          <w:rFonts w:hint="eastAsia" w:ascii="宋体" w:hAnsi="宋体" w:eastAsia="宋体" w:cs="宋体"/>
          <w:b/>
          <w:bCs/>
          <w:highlight w:val="none"/>
        </w:rPr>
        <w:t xml:space="preserve">1. 评标方法 </w:t>
      </w:r>
    </w:p>
    <w:p w14:paraId="2EFE63C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本次评标采用综合评估法。评标委员会对满足招标文件实质性要求的投标文件，按照本章第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14:paraId="2F5FEF9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highlight w:val="none"/>
        </w:rPr>
      </w:pPr>
      <w:r>
        <w:rPr>
          <w:rFonts w:hint="eastAsia" w:ascii="宋体" w:hAnsi="宋体" w:eastAsia="宋体" w:cs="宋体"/>
          <w:b/>
          <w:bCs/>
          <w:highlight w:val="none"/>
        </w:rPr>
        <w:t xml:space="preserve">2. 评审标准 </w:t>
      </w:r>
    </w:p>
    <w:p w14:paraId="2ADB46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2.1 初步评审标准 </w:t>
      </w:r>
    </w:p>
    <w:p w14:paraId="44B42B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2.1.1 形式评审标准：见评标办法前附表。 </w:t>
      </w:r>
    </w:p>
    <w:p w14:paraId="76F13D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2.1.2 资格评审标准：见评标办法前附表。（适用于未进行资格预审的） </w:t>
      </w:r>
    </w:p>
    <w:p w14:paraId="790199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2.1.2 资格评审标准：见资格预审文件第三章“资格审查办法”详细审查标准。（适用于已进行资格预审的） </w:t>
      </w:r>
    </w:p>
    <w:p w14:paraId="190B046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2.1.3 响应性评审标准：见评标办法前附表。 </w:t>
      </w:r>
    </w:p>
    <w:p w14:paraId="630ED62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highlight w:val="none"/>
        </w:rPr>
      </w:pPr>
      <w:r>
        <w:rPr>
          <w:rFonts w:hint="eastAsia" w:ascii="宋体" w:hAnsi="宋体" w:eastAsia="宋体" w:cs="宋体"/>
          <w:b/>
          <w:bCs/>
          <w:highlight w:val="none"/>
        </w:rPr>
        <w:t xml:space="preserve">2.2 分值构成与评分标准 </w:t>
      </w:r>
    </w:p>
    <w:p w14:paraId="3E7B49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2.2.1 分值构成 </w:t>
      </w:r>
    </w:p>
    <w:p w14:paraId="03BDEB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（1）工作大纲：见评标办法前附表； </w:t>
      </w:r>
    </w:p>
    <w:p w14:paraId="486C9A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（2）主要人员：见评标办法前附表； </w:t>
      </w:r>
    </w:p>
    <w:p w14:paraId="1EC8DC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（3）评标价：见评标办法前附表； </w:t>
      </w:r>
    </w:p>
    <w:p w14:paraId="105B8F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（4）其他评分因素：见评标办法前附表。 </w:t>
      </w:r>
    </w:p>
    <w:p w14:paraId="2AC044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2.2.2 评标基准价计算 </w:t>
      </w:r>
    </w:p>
    <w:p w14:paraId="384BD1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lang w:val="zh-CN"/>
        </w:rPr>
      </w:pPr>
      <w:r>
        <w:rPr>
          <w:rFonts w:hint="eastAsia" w:ascii="宋体" w:hAnsi="宋体" w:eastAsia="宋体" w:cs="宋体"/>
          <w:highlight w:val="none"/>
        </w:rPr>
        <w:t>评标基准价计算方法：见评标办法前附表。</w:t>
      </w:r>
    </w:p>
    <w:p w14:paraId="161E8B9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2.2.3 评标价的偏差率计算 </w:t>
      </w:r>
    </w:p>
    <w:p w14:paraId="332ADCF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评标价的偏差率计算公式：见评标办法前附表。 </w:t>
      </w:r>
    </w:p>
    <w:p w14:paraId="7A97C6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2.2.4 评分标准 </w:t>
      </w:r>
    </w:p>
    <w:p w14:paraId="53354B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（1）工作大纲评分标准：见评标办法前附表； </w:t>
      </w:r>
    </w:p>
    <w:p w14:paraId="696386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（2）主要人员评分标准：见评标办法前附表； </w:t>
      </w:r>
    </w:p>
    <w:p w14:paraId="0D2DAF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（3）评标价评分标准：见评标办法前附表； </w:t>
      </w:r>
    </w:p>
    <w:p w14:paraId="3F1C18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（4）其他因素评分标准：见评标办法前附表。 </w:t>
      </w:r>
    </w:p>
    <w:p w14:paraId="18AAFA9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highlight w:val="none"/>
        </w:rPr>
      </w:pPr>
      <w:r>
        <w:rPr>
          <w:rFonts w:hint="eastAsia" w:ascii="宋体" w:hAnsi="宋体" w:eastAsia="宋体" w:cs="宋体"/>
          <w:b/>
          <w:bCs/>
          <w:highlight w:val="none"/>
        </w:rPr>
        <w:t xml:space="preserve">3. 评标程序 </w:t>
      </w:r>
    </w:p>
    <w:p w14:paraId="74A46ED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highlight w:val="none"/>
        </w:rPr>
      </w:pPr>
      <w:r>
        <w:rPr>
          <w:rFonts w:hint="eastAsia" w:ascii="宋体" w:hAnsi="宋体" w:eastAsia="宋体" w:cs="宋体"/>
          <w:b/>
          <w:bCs/>
          <w:highlight w:val="none"/>
        </w:rPr>
        <w:t xml:space="preserve">3.1 第一个信封初步评审 </w:t>
      </w:r>
    </w:p>
    <w:p w14:paraId="2706C6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3.1.1评标委员会依据本章第2.1款规定的标准对投标文件第一个信封（商务及技术文件）进行初步评审。有一项不符合评审标准的，评标委员会应否决其投标。</w:t>
      </w:r>
    </w:p>
    <w:p w14:paraId="3F7EEC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本项目初步评审程序为：</w:t>
      </w:r>
    </w:p>
    <w:p w14:paraId="363B95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①评标委员会依据本章第2.1.1、2.1.3款规定的标准对投标文件第一个信封（商务及技术文件）进行形式评审与响应性评审；</w:t>
      </w:r>
    </w:p>
    <w:p w14:paraId="70A6C9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②评标委员会根据本章第2.1.2款规定的标准对投标人进行资格评审，并确定通过第一信封资格审查的投标人名单。</w:t>
      </w:r>
    </w:p>
    <w:p w14:paraId="5123453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highlight w:val="none"/>
        </w:rPr>
      </w:pPr>
      <w:r>
        <w:rPr>
          <w:rFonts w:hint="eastAsia" w:ascii="宋体" w:hAnsi="宋体" w:eastAsia="宋体" w:cs="宋体"/>
          <w:b/>
          <w:bCs/>
          <w:highlight w:val="none"/>
        </w:rPr>
        <w:t xml:space="preserve">3.2 第一个信封详细评审 </w:t>
      </w:r>
    </w:p>
    <w:p w14:paraId="4ACC04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3.2.1 评标委员会按本章第2.2款规定的量化因素和分值进行打分，并计算出各投标人的商务和技术得分。 </w:t>
      </w:r>
    </w:p>
    <w:p w14:paraId="5C9A4E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color w:val="000000"/>
          <w:highlight w:val="none"/>
        </w:rPr>
        <w:t>（1）按本章第 2.2.4 项（1）目</w:t>
      </w:r>
      <w:r>
        <w:rPr>
          <w:rFonts w:hint="eastAsia" w:ascii="宋体" w:hAnsi="宋体" w:eastAsia="宋体" w:cs="宋体"/>
          <w:highlight w:val="none"/>
        </w:rPr>
        <w:t xml:space="preserve">规定的评审因素和分值对技术建议书部分计算出得分A； </w:t>
      </w:r>
    </w:p>
    <w:p w14:paraId="0BE74B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（2）按本章第 2.2.4 项（2）目规定的评审因素和分值对主要人员部分计算出得分B； </w:t>
      </w:r>
    </w:p>
    <w:p w14:paraId="35765B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（3）按本章第 2.2.4 项（4）目规定的评审因素和分值对其他部分计算出得分D。 </w:t>
      </w:r>
    </w:p>
    <w:p w14:paraId="377DA2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3.2.2 投标人的商务和技术得分分值计算保留小数点后两位，小数点后第三位“四舍五入”。 </w:t>
      </w:r>
    </w:p>
    <w:p w14:paraId="0D136F0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3.2.3 投标人的商务和技术得分=A+B+D。  </w:t>
      </w:r>
    </w:p>
    <w:p w14:paraId="1657F09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highlight w:val="none"/>
        </w:rPr>
      </w:pPr>
      <w:r>
        <w:rPr>
          <w:rFonts w:hint="eastAsia" w:ascii="宋体" w:hAnsi="宋体" w:eastAsia="宋体" w:cs="宋体"/>
          <w:b/>
          <w:bCs/>
          <w:highlight w:val="none"/>
        </w:rPr>
        <w:t xml:space="preserve">3.3 第二个信封开标 </w:t>
      </w:r>
    </w:p>
    <w:p w14:paraId="4FD9AB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第一个信封（商务及技术文件）评审结束后，招标人将按照第二章“投标人须知”第5.1款规定的时间和地点对通过投标文件第一个信封（商务及技术文件）评审的投标文件第二个信封（报价文件）进行开标。 </w:t>
      </w:r>
    </w:p>
    <w:p w14:paraId="6897A39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highlight w:val="none"/>
        </w:rPr>
      </w:pPr>
      <w:r>
        <w:rPr>
          <w:rFonts w:hint="eastAsia" w:ascii="宋体" w:hAnsi="宋体" w:eastAsia="宋体" w:cs="宋体"/>
          <w:b/>
          <w:bCs/>
          <w:highlight w:val="none"/>
        </w:rPr>
        <w:t xml:space="preserve">3.4 第二个信封初步评审 </w:t>
      </w:r>
    </w:p>
    <w:p w14:paraId="06C8B6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3.4.1 评标委员会依据本章第2.1.1项、第2.1.3项规定的评审标准对投标文件第二个信封（报价文件）进行初步评审。有一项不符合评审标准的，评标委员会应否决其投标。 </w:t>
      </w:r>
    </w:p>
    <w:p w14:paraId="61F61D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3.4.2 投标报价有算术错误的，评标委员会按以下原则对投标报价进行修正，修正的价格经投标人书面确认后具有约束力。投标人不接受修正价格的，评标委员会应否决其投标。 </w:t>
      </w:r>
    </w:p>
    <w:p w14:paraId="545BA8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（1）投标文件中的大写金额与小写金额不一致的，以大写金额为准； </w:t>
      </w:r>
    </w:p>
    <w:p w14:paraId="32F493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（2）总价金额与依据单价计算出的结果不一致的，以单价金额为准修正总价，但单价金额小数点有明显错误的除外； </w:t>
      </w:r>
    </w:p>
    <w:p w14:paraId="0032C8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（3）当单价与数量相乘不等于合价时，以单价计算为准，如果单价有明显的小数点位置差错，应以标出的合价为准，同时对单价予以修正； </w:t>
      </w:r>
    </w:p>
    <w:p w14:paraId="2FF733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（4）当各子目的合价累计不等于总价时，应以各子目合价累计数为准，修正总价。 </w:t>
      </w:r>
    </w:p>
    <w:p w14:paraId="1F1ED0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3.4.3 修正后的最终投标报价若超过最高投标限价（如有），评标委员会应否决其投标。 </w:t>
      </w:r>
    </w:p>
    <w:p w14:paraId="1DD198F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3.4.4 修正后的最终投标报价仅作为签订合同的一个依据，不参与评标价得分的计算。 </w:t>
      </w:r>
    </w:p>
    <w:p w14:paraId="39363D7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highlight w:val="none"/>
        </w:rPr>
      </w:pPr>
      <w:r>
        <w:rPr>
          <w:rFonts w:hint="eastAsia" w:ascii="宋体" w:hAnsi="宋体" w:eastAsia="宋体" w:cs="宋体"/>
          <w:b/>
          <w:bCs/>
          <w:highlight w:val="none"/>
        </w:rPr>
        <w:t xml:space="preserve">3.5 第二个信封详细评审 </w:t>
      </w:r>
    </w:p>
    <w:p w14:paraId="11A8E2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3.5.1 评标委员会按本章第2.2.4项（3）目规定的评审因素和分值对评标价计算出得分 C。评标价得分分值计算保留小数点后两位，小数点后第三位“四舍五入”。 </w:t>
      </w:r>
    </w:p>
    <w:p w14:paraId="694C7A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3.5.2 投标人综合得分=投标人的商务和技术得分+C。 </w:t>
      </w:r>
    </w:p>
    <w:p w14:paraId="5DB1B7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3.5.3 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 </w:t>
      </w:r>
    </w:p>
    <w:p w14:paraId="0914B7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3.6 投标文件相关信息的核查 </w:t>
      </w:r>
    </w:p>
    <w:p w14:paraId="00E641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3.6.1 评标委员会应对在评标过程中发现的投标人与投标人之间、投标人与招标人之间存在的串通投标的情形进行评审和认定。投标人存在串通投标、弄虚作假、行贿等违法行为的，评标委员会应否决其投标。 </w:t>
      </w:r>
    </w:p>
    <w:p w14:paraId="4CEA26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（1）有下列情形之一的，属于投标人相互串通投标： </w:t>
      </w:r>
    </w:p>
    <w:p w14:paraId="3B9A20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a.投标人之间协商投标报价等投标文件的实质性内容； </w:t>
      </w:r>
    </w:p>
    <w:p w14:paraId="13F835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b.投标人之间约定中标人； </w:t>
      </w:r>
    </w:p>
    <w:p w14:paraId="047B86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c.投标人之间约定部分投标人放弃投标或中标； </w:t>
      </w:r>
    </w:p>
    <w:p w14:paraId="6FA66A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d.属于同一集团、协会、商会等组织成员的投标人按照该组织要求协同投标； </w:t>
      </w:r>
    </w:p>
    <w:p w14:paraId="7C62E2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e.投标人之间为谋取中标或排斥特定投标人而采取的其他联合行动。 </w:t>
      </w:r>
    </w:p>
    <w:p w14:paraId="6A5AB6C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（2）有下列情形之一的，视为投标人相互串通投标： </w:t>
      </w:r>
    </w:p>
    <w:p w14:paraId="136AF6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a.不同投标人的投标文件由同一单位或个人编制； </w:t>
      </w:r>
    </w:p>
    <w:p w14:paraId="091D4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b.不同投标人委托同一单位或个人办理投标事宜； </w:t>
      </w:r>
    </w:p>
    <w:p w14:paraId="200C1C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c.不同投标人的投标文件载明的项目管理成员为同一人； </w:t>
      </w:r>
    </w:p>
    <w:p w14:paraId="6E0D8D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d.不同投标人的投标文件异常一致或投标报价呈规律性差异； </w:t>
      </w:r>
    </w:p>
    <w:p w14:paraId="4CC8E21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e.不同投标人的投标文件相互混装； </w:t>
      </w:r>
    </w:p>
    <w:p w14:paraId="154611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f.不同投标人的投标保证金从同一单位或个人的账户转出。 </w:t>
      </w:r>
    </w:p>
    <w:p w14:paraId="5EC37D8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（3）有下列情形之一的，属于招标人与投标人串通投标： </w:t>
      </w:r>
    </w:p>
    <w:p w14:paraId="5B3D112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a.招标人在开标前开启投标文件并将有关信息泄露给其他投标人; </w:t>
      </w:r>
    </w:p>
    <w:p w14:paraId="234B2DF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b.招标人直接或间接向投标人泄露标底、评标委员会成员等信息； </w:t>
      </w:r>
    </w:p>
    <w:p w14:paraId="37B17F5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c.招标人明示或暗示投标人压低或抬高投标报价； </w:t>
      </w:r>
    </w:p>
    <w:p w14:paraId="0B0C41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d.招标人授意投标人撤换、修改投标文件； </w:t>
      </w:r>
    </w:p>
    <w:p w14:paraId="06CA19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e.招标人明示或暗示投标人为特定投标人中标提供方便； </w:t>
      </w:r>
    </w:p>
    <w:p w14:paraId="1C633E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f.招标人与投标人为谋求特定投标人中标而采取的其他串通行为。 </w:t>
      </w:r>
    </w:p>
    <w:p w14:paraId="16880CC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（4）投标人有下列情形之一的，属于弄虚作假的行为： </w:t>
      </w:r>
    </w:p>
    <w:p w14:paraId="589B06A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a.使用通过受让或租借等方式获取的资格、资质证书投标； </w:t>
      </w:r>
    </w:p>
    <w:p w14:paraId="144923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b.使用伪造、变造的许可证件； </w:t>
      </w:r>
    </w:p>
    <w:p w14:paraId="2231EE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c.提供虚假的业绩； </w:t>
      </w:r>
    </w:p>
    <w:p w14:paraId="41AB54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d.提供虚假的项目负责人或主要技术人员简历、劳动关系证明； </w:t>
      </w:r>
    </w:p>
    <w:p w14:paraId="5F71AA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e.提供虚假的信用状况； </w:t>
      </w:r>
    </w:p>
    <w:p w14:paraId="0F8807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f.其他弄虚作假的行为。 </w:t>
      </w:r>
    </w:p>
    <w:p w14:paraId="1DC5850B">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highlight w:val="none"/>
        </w:rPr>
      </w:pPr>
      <w:r>
        <w:rPr>
          <w:rFonts w:hint="eastAsia" w:ascii="宋体" w:hAnsi="宋体" w:eastAsia="宋体" w:cs="宋体"/>
          <w:b/>
          <w:bCs/>
          <w:highlight w:val="none"/>
        </w:rPr>
        <w:t xml:space="preserve">3.7 投标文件的澄清和说明 </w:t>
      </w:r>
    </w:p>
    <w:p w14:paraId="29221E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3.7.1 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 </w:t>
      </w:r>
    </w:p>
    <w:p w14:paraId="73BA85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3.7.2 澄清和说明不得超出投标文件的范围或改变投标文件的实质性内容（算术性错误的修正除外）。投标人的书面澄清、说明属于投标文件的组成部分。 </w:t>
      </w:r>
    </w:p>
    <w:p w14:paraId="123A40D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3.7.3 评标委员会不得暗示或诱导投标人作出澄清、说明，对投标人提交的澄清、说明有疑问的，可以要求投标人进一步澄清或说明，直至满足评标委员会的要求。 </w:t>
      </w:r>
    </w:p>
    <w:p w14:paraId="42B24FF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3.7.4 凡超出招标文件规定的或给发包人带来未曾要求的利益的变化、偏差或其他因素在评标时不予考虑。 </w:t>
      </w:r>
    </w:p>
    <w:p w14:paraId="675F3F32">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highlight w:val="none"/>
        </w:rPr>
      </w:pPr>
      <w:r>
        <w:rPr>
          <w:rFonts w:hint="eastAsia" w:ascii="宋体" w:hAnsi="宋体" w:eastAsia="宋体" w:cs="宋体"/>
          <w:b/>
          <w:bCs/>
          <w:highlight w:val="none"/>
        </w:rPr>
        <w:t xml:space="preserve">3.8 不得否决投标的情形 </w:t>
      </w:r>
    </w:p>
    <w:p w14:paraId="7307E45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投标文件存在第二章“投标人须知”第 1.12.3 项所列情形的，均视为细微偏差，评标委员会不得否决投标人的投标，应按照第二章“投标人须知”第 1.12.4 项规定的原则处理。 </w:t>
      </w:r>
    </w:p>
    <w:p w14:paraId="1C37B65A">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highlight w:val="none"/>
        </w:rPr>
      </w:pPr>
      <w:r>
        <w:rPr>
          <w:rFonts w:hint="eastAsia" w:ascii="宋体" w:hAnsi="宋体" w:eastAsia="宋体" w:cs="宋体"/>
          <w:b/>
          <w:bCs/>
          <w:highlight w:val="none"/>
        </w:rPr>
        <w:t xml:space="preserve">3.9 评标结果 </w:t>
      </w:r>
    </w:p>
    <w:p w14:paraId="6D3DA6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 xml:space="preserve">3.9.1 除第二章“投标人须知”前附表授权直接确定中标人外，评标委员会按照得分由高到低的顺序推荐中标候选人，并标明排序。 </w:t>
      </w:r>
    </w:p>
    <w:p w14:paraId="7CF687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highlight w:val="none"/>
        </w:rPr>
      </w:pPr>
      <w:r>
        <w:rPr>
          <w:rFonts w:hint="eastAsia" w:ascii="宋体" w:hAnsi="宋体" w:eastAsia="宋体" w:cs="宋体"/>
          <w:highlight w:val="none"/>
        </w:rPr>
        <w:t>3.9.2 评标委员会完成评标后，应向招标人提交书面评标报告。</w:t>
      </w:r>
      <w:r>
        <w:rPr>
          <w:rFonts w:hint="eastAsia" w:ascii="宋体" w:hAnsi="宋体" w:eastAsia="宋体" w:cs="宋体"/>
          <w:kern w:val="0"/>
          <w:szCs w:val="21"/>
          <w:highlight w:val="none"/>
        </w:rPr>
        <w:t>如果评标委员会认为在评标过程中有影响最终评标结果的不能确定的特殊问题，应在评标意见中记载并提请招标人决定。</w:t>
      </w:r>
    </w:p>
    <w:p w14:paraId="55C19682">
      <w:pPr>
        <w:snapToGrid w:val="0"/>
        <w:spacing w:line="300" w:lineRule="auto"/>
        <w:ind w:firstLine="420" w:firstLineChars="200"/>
        <w:rPr>
          <w:rFonts w:hint="eastAsia" w:ascii="宋体" w:hAnsi="宋体"/>
          <w:highlight w:val="none"/>
        </w:rPr>
      </w:pPr>
    </w:p>
    <w:p w14:paraId="6A71F154">
      <w:pPr>
        <w:pStyle w:val="2"/>
        <w:spacing w:before="3600"/>
        <w:jc w:val="center"/>
        <w:rPr>
          <w:rFonts w:hint="eastAsia" w:ascii="黑体" w:eastAsia="黑体"/>
          <w:sz w:val="52"/>
          <w:szCs w:val="52"/>
          <w:highlight w:val="none"/>
        </w:rPr>
      </w:pPr>
      <w:r>
        <w:rPr>
          <w:highlight w:val="none"/>
        </w:rPr>
        <w:br w:type="page"/>
      </w:r>
      <w:bookmarkStart w:id="30" w:name="_Toc282634970"/>
      <w:bookmarkStart w:id="31" w:name="_Toc144974577"/>
      <w:bookmarkStart w:id="32" w:name="_Toc152045609"/>
      <w:bookmarkStart w:id="33" w:name="_Toc507577060"/>
      <w:bookmarkStart w:id="34" w:name="_Toc152042387"/>
      <w:bookmarkStart w:id="35" w:name="_Toc179632627"/>
      <w:bookmarkStart w:id="36" w:name="_Toc277171852"/>
      <w:r>
        <w:rPr>
          <w:rFonts w:hint="eastAsia" w:ascii="黑体" w:eastAsia="黑体"/>
          <w:sz w:val="52"/>
          <w:szCs w:val="52"/>
          <w:highlight w:val="none"/>
        </w:rPr>
        <w:t>第四章 合同条款及格式</w:t>
      </w:r>
      <w:bookmarkEnd w:id="30"/>
      <w:bookmarkEnd w:id="31"/>
      <w:bookmarkEnd w:id="32"/>
      <w:bookmarkEnd w:id="33"/>
      <w:bookmarkEnd w:id="34"/>
      <w:bookmarkEnd w:id="35"/>
      <w:bookmarkEnd w:id="36"/>
    </w:p>
    <w:p w14:paraId="0ADD7AFB">
      <w:pPr>
        <w:keepNext/>
        <w:keepLines/>
        <w:adjustRightInd w:val="0"/>
        <w:snapToGrid w:val="0"/>
        <w:spacing w:before="120" w:line="360" w:lineRule="auto"/>
        <w:jc w:val="center"/>
        <w:outlineLvl w:val="1"/>
        <w:rPr>
          <w:rFonts w:eastAsia="黑体"/>
          <w:b/>
          <w:bCs/>
          <w:sz w:val="32"/>
          <w:szCs w:val="32"/>
          <w:highlight w:val="none"/>
        </w:rPr>
      </w:pPr>
      <w:r>
        <w:rPr>
          <w:rFonts w:ascii="宋体" w:hAnsi="宋体"/>
          <w:highlight w:val="none"/>
        </w:rPr>
        <w:br w:type="page"/>
      </w:r>
      <w:r>
        <w:rPr>
          <w:rFonts w:eastAsia="黑体"/>
          <w:b/>
          <w:bCs/>
          <w:sz w:val="32"/>
          <w:szCs w:val="32"/>
          <w:highlight w:val="none"/>
        </w:rPr>
        <w:t>第一部分合同协议书</w:t>
      </w:r>
    </w:p>
    <w:p w14:paraId="5BABA9A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bookmarkStart w:id="37" w:name="_Toc181175469"/>
      <w:bookmarkStart w:id="38" w:name="_Toc216001610"/>
      <w:r>
        <w:rPr>
          <w:rFonts w:hint="eastAsia" w:ascii="宋体" w:hAnsi="宋体" w:eastAsia="宋体" w:cs="宋体"/>
          <w:snapToGrid/>
          <w:kern w:val="21"/>
          <w:sz w:val="21"/>
          <w:szCs w:val="21"/>
          <w:highlight w:val="none"/>
        </w:rPr>
        <w:t>本合同书由</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u w:val="single"/>
        </w:rPr>
        <w:t>（发包人全称）</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rPr>
        <w:t>（以下称发包人）与</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u w:val="single"/>
        </w:rPr>
        <w:t>（咨询单位全称）</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rPr>
        <w:t>（以下称咨询单位）于</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rPr>
        <w:t>年</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rPr>
        <w:t>月</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rPr>
        <w:t>日商定并签署。</w:t>
      </w:r>
    </w:p>
    <w:p w14:paraId="13F062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鉴于发包人拟开展</w:t>
      </w:r>
      <w:r>
        <w:rPr>
          <w:rFonts w:hint="eastAsia" w:ascii="宋体" w:hAnsi="宋体" w:eastAsia="宋体" w:cs="宋体"/>
          <w:snapToGrid/>
          <w:kern w:val="21"/>
          <w:sz w:val="21"/>
          <w:szCs w:val="21"/>
          <w:highlight w:val="none"/>
          <w:u w:val="single"/>
        </w:rPr>
        <w:t xml:space="preserve">  （项目名称）       </w:t>
      </w:r>
      <w:r>
        <w:rPr>
          <w:rFonts w:hint="eastAsia" w:ascii="宋体" w:hAnsi="宋体" w:eastAsia="宋体" w:cs="宋体"/>
          <w:snapToGrid/>
          <w:kern w:val="21"/>
          <w:sz w:val="21"/>
          <w:szCs w:val="21"/>
          <w:highlight w:val="none"/>
        </w:rPr>
        <w:t>工作，并通过年月日的中标通知书接受了中标人以人民币</w:t>
      </w:r>
      <w:r>
        <w:rPr>
          <w:rFonts w:hint="eastAsia" w:ascii="宋体" w:hAnsi="宋体" w:eastAsia="宋体" w:cs="宋体"/>
          <w:snapToGrid/>
          <w:kern w:val="21"/>
          <w:sz w:val="21"/>
          <w:szCs w:val="21"/>
          <w:highlight w:val="none"/>
          <w:u w:val="single"/>
        </w:rPr>
        <w:t xml:space="preserve">      </w:t>
      </w:r>
      <w:r>
        <w:rPr>
          <w:rFonts w:hint="eastAsia" w:ascii="宋体" w:hAnsi="宋体" w:eastAsia="宋体" w:cs="宋体"/>
          <w:snapToGrid/>
          <w:kern w:val="21"/>
          <w:sz w:val="21"/>
          <w:szCs w:val="21"/>
          <w:highlight w:val="none"/>
        </w:rPr>
        <w:t>元为</w:t>
      </w:r>
      <w:r>
        <w:rPr>
          <w:rFonts w:hint="eastAsia" w:ascii="宋体" w:hAnsi="宋体" w:eastAsia="宋体" w:cs="宋体"/>
          <w:snapToGrid/>
          <w:kern w:val="21"/>
          <w:sz w:val="21"/>
          <w:szCs w:val="21"/>
          <w:highlight w:val="none"/>
          <w:u w:val="single"/>
        </w:rPr>
        <w:t xml:space="preserve">  （项目名称）</w:t>
      </w:r>
      <w:r>
        <w:rPr>
          <w:rFonts w:hint="eastAsia" w:ascii="宋体" w:hAnsi="宋体" w:eastAsia="宋体" w:cs="宋体"/>
          <w:snapToGrid/>
          <w:kern w:val="21"/>
          <w:sz w:val="21"/>
          <w:szCs w:val="21"/>
          <w:highlight w:val="none"/>
        </w:rPr>
        <w:t>所做的投标，双方达成如下协议：</w:t>
      </w:r>
    </w:p>
    <w:p w14:paraId="1FD01EC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一、下列文件应视为构成并作为阅读和理解本协议的组成部分，即：</w:t>
      </w:r>
    </w:p>
    <w:p w14:paraId="482942A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1、合同书及附件（含澄清文件）（如需要）；</w:t>
      </w:r>
    </w:p>
    <w:p w14:paraId="6E31D14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2、中标通知书；</w:t>
      </w:r>
    </w:p>
    <w:p w14:paraId="2E00722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3、投标函；</w:t>
      </w:r>
    </w:p>
    <w:p w14:paraId="2537AB1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4、合同条款；</w:t>
      </w:r>
    </w:p>
    <w:p w14:paraId="6561517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5、发包人要求；</w:t>
      </w:r>
    </w:p>
    <w:p w14:paraId="4AA8515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6、招标文件其它内容；</w:t>
      </w:r>
    </w:p>
    <w:p w14:paraId="205DF70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7、投标文件；</w:t>
      </w:r>
    </w:p>
    <w:p w14:paraId="32C7AF7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8、构成本合同组成的</w:t>
      </w:r>
      <w:r>
        <w:rPr>
          <w:rFonts w:hint="eastAsia" w:ascii="宋体" w:hAnsi="宋体" w:eastAsia="宋体" w:cs="宋体"/>
          <w:snapToGrid/>
          <w:kern w:val="21"/>
          <w:sz w:val="21"/>
          <w:szCs w:val="21"/>
          <w:highlight w:val="none"/>
          <w:lang w:val="zh-CN"/>
        </w:rPr>
        <w:t>其他文件。</w:t>
      </w:r>
    </w:p>
    <w:p w14:paraId="17AB9CB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上述文件应认为是互为补充和解释的，但如有含义不清或互相矛盾处，以上列次序在先者为准。</w:t>
      </w:r>
    </w:p>
    <w:p w14:paraId="6EFB496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lang w:bidi="zh-CN"/>
        </w:rPr>
      </w:pPr>
      <w:r>
        <w:rPr>
          <w:rFonts w:hint="eastAsia" w:ascii="宋体" w:hAnsi="宋体" w:eastAsia="宋体" w:cs="宋体"/>
          <w:snapToGrid/>
          <w:kern w:val="21"/>
          <w:sz w:val="21"/>
          <w:szCs w:val="21"/>
          <w:highlight w:val="none"/>
        </w:rPr>
        <w:t>二、合同工作内容：在对</w:t>
      </w:r>
      <w:r>
        <w:rPr>
          <w:rFonts w:hint="eastAsia" w:ascii="宋体" w:hAnsi="宋体" w:eastAsia="宋体" w:cs="宋体"/>
          <w:snapToGrid/>
          <w:kern w:val="21"/>
          <w:sz w:val="21"/>
          <w:szCs w:val="21"/>
          <w:highlight w:val="none"/>
          <w:lang w:val="en-US" w:eastAsia="zh-CN"/>
        </w:rPr>
        <w:t>连申线南通段三级航道整治工程、</w:t>
      </w:r>
      <w:r>
        <w:rPr>
          <w:rFonts w:hint="eastAsia" w:ascii="宋体" w:hAnsi="宋体" w:cs="宋体"/>
          <w:snapToGrid/>
          <w:kern w:val="21"/>
          <w:sz w:val="21"/>
          <w:szCs w:val="21"/>
          <w:highlight w:val="none"/>
          <w:lang w:val="en-US" w:eastAsia="zh-CN"/>
        </w:rPr>
        <w:t>连申线南通段航道提升工程</w:t>
      </w:r>
      <w:r>
        <w:rPr>
          <w:rFonts w:hint="eastAsia" w:ascii="宋体" w:hAnsi="宋体" w:eastAsia="宋体" w:cs="宋体"/>
          <w:snapToGrid/>
          <w:kern w:val="21"/>
          <w:sz w:val="21"/>
          <w:szCs w:val="21"/>
          <w:highlight w:val="none"/>
        </w:rPr>
        <w:t>航道资源区域现场踏勘的基础上，对航道的现状等特点进行初步分析，确定论证范围、论证内容和要求，编制论证工作方案。通过现场测试、资料收集和处理，开展论证分析，组织考古调查勘探，编制文物资源区域评估报告，给出论证结论。形成的最终调查报告，需通过江苏省文物局组织的审核，取得批复文件，同时还应开展后期服务，包括论证报告结论的应用解释、与其他评价报告结论的衔接等。</w:t>
      </w:r>
      <w:r>
        <w:rPr>
          <w:rFonts w:hint="eastAsia" w:ascii="宋体" w:hAnsi="宋体" w:eastAsia="宋体" w:cs="宋体"/>
          <w:snapToGrid/>
          <w:kern w:val="21"/>
          <w:sz w:val="21"/>
          <w:szCs w:val="21"/>
          <w:highlight w:val="none"/>
          <w:lang w:bidi="zh-CN"/>
        </w:rPr>
        <w:t xml:space="preserve"> </w:t>
      </w:r>
    </w:p>
    <w:p w14:paraId="454B0DA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三、</w:t>
      </w:r>
      <w:r>
        <w:rPr>
          <w:rFonts w:hint="eastAsia" w:ascii="宋体" w:hAnsi="宋体" w:eastAsia="宋体" w:cs="宋体"/>
          <w:b/>
          <w:bCs/>
          <w:kern w:val="21"/>
          <w:sz w:val="21"/>
          <w:szCs w:val="21"/>
          <w:highlight w:val="none"/>
          <w:lang w:val="en-US"/>
        </w:rPr>
        <w:t>本项目采用</w:t>
      </w:r>
      <w:r>
        <w:rPr>
          <w:rFonts w:hint="eastAsia" w:ascii="宋体" w:hAnsi="宋体" w:cs="宋体"/>
          <w:b/>
          <w:bCs/>
          <w:kern w:val="21"/>
          <w:sz w:val="21"/>
          <w:szCs w:val="21"/>
          <w:highlight w:val="none"/>
          <w:lang w:val="en-US" w:eastAsia="zh-CN"/>
        </w:rPr>
        <w:t>固定单价</w:t>
      </w:r>
      <w:r>
        <w:rPr>
          <w:rFonts w:hint="eastAsia" w:ascii="宋体" w:hAnsi="宋体" w:eastAsia="宋体" w:cs="宋体"/>
          <w:b/>
          <w:bCs/>
          <w:kern w:val="21"/>
          <w:sz w:val="21"/>
          <w:szCs w:val="21"/>
          <w:highlight w:val="none"/>
          <w:lang w:val="en-US"/>
        </w:rPr>
        <w:t>合同。</w:t>
      </w:r>
      <w:r>
        <w:rPr>
          <w:rFonts w:hint="eastAsia" w:ascii="宋体" w:hAnsi="宋体" w:eastAsia="宋体" w:cs="宋体"/>
          <w:b/>
          <w:bCs/>
          <w:kern w:val="21"/>
          <w:sz w:val="21"/>
          <w:szCs w:val="21"/>
          <w:highlight w:val="none"/>
          <w:lang w:val="en-US" w:eastAsia="zh-CN"/>
        </w:rPr>
        <w:t>签约</w:t>
      </w:r>
      <w:r>
        <w:rPr>
          <w:rFonts w:hint="eastAsia" w:ascii="宋体" w:hAnsi="宋体" w:eastAsia="宋体" w:cs="宋体"/>
          <w:snapToGrid/>
          <w:kern w:val="21"/>
          <w:sz w:val="21"/>
          <w:szCs w:val="21"/>
          <w:highlight w:val="none"/>
        </w:rPr>
        <w:t>合同</w:t>
      </w:r>
      <w:r>
        <w:rPr>
          <w:rFonts w:hint="eastAsia" w:ascii="宋体" w:hAnsi="宋体" w:cs="宋体"/>
          <w:snapToGrid/>
          <w:kern w:val="21"/>
          <w:sz w:val="21"/>
          <w:szCs w:val="21"/>
          <w:highlight w:val="none"/>
          <w:lang w:val="en-US" w:eastAsia="zh-CN"/>
        </w:rPr>
        <w:t>价</w:t>
      </w:r>
      <w:r>
        <w:rPr>
          <w:rFonts w:hint="eastAsia" w:ascii="宋体" w:hAnsi="宋体" w:eastAsia="宋体" w:cs="宋体"/>
          <w:snapToGrid/>
          <w:kern w:val="21"/>
          <w:sz w:val="21"/>
          <w:szCs w:val="21"/>
          <w:highlight w:val="none"/>
        </w:rPr>
        <w:t>：</w:t>
      </w:r>
      <w:r>
        <w:rPr>
          <w:rFonts w:hint="eastAsia" w:ascii="宋体" w:hAnsi="宋体" w:eastAsia="宋体" w:cs="宋体"/>
          <w:snapToGrid/>
          <w:kern w:val="21"/>
          <w:sz w:val="21"/>
          <w:szCs w:val="21"/>
          <w:highlight w:val="none"/>
          <w:u w:val="single"/>
        </w:rPr>
        <w:t xml:space="preserve">       </w:t>
      </w:r>
      <w:r>
        <w:rPr>
          <w:rFonts w:hint="eastAsia" w:ascii="宋体" w:hAnsi="宋体" w:eastAsia="宋体" w:cs="宋体"/>
          <w:snapToGrid/>
          <w:kern w:val="21"/>
          <w:sz w:val="21"/>
          <w:szCs w:val="21"/>
          <w:highlight w:val="none"/>
        </w:rPr>
        <w:t>元；</w:t>
      </w:r>
    </w:p>
    <w:p w14:paraId="031DD81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四、项目负责人：</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rPr>
        <w:t>。</w:t>
      </w:r>
    </w:p>
    <w:p w14:paraId="5A4F02E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五、服务周期：</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rPr>
        <w:t xml:space="preserve">。 </w:t>
      </w:r>
    </w:p>
    <w:p w14:paraId="6AD484E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六、发包人和咨询单位双方的责任和义务及违约条款遵照本项目招标文件合同条款的规定。</w:t>
      </w:r>
    </w:p>
    <w:p w14:paraId="0DC2A73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七、付款方式：</w:t>
      </w:r>
    </w:p>
    <w:p w14:paraId="211D92C1">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（1）取得连申线南通段三级航道整治工程文物主管部门批复后一个月内支付合同总价的40%；</w:t>
      </w:r>
    </w:p>
    <w:p w14:paraId="4C35EC24">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（2）发包人取得连申线南通段三级航道整治工程国有土地划拨决定书后一个月内支付</w:t>
      </w:r>
      <w:r>
        <w:rPr>
          <w:rFonts w:hint="eastAsia" w:ascii="宋体" w:hAnsi="宋体" w:cs="宋体"/>
          <w:b/>
          <w:bCs/>
          <w:snapToGrid/>
          <w:kern w:val="21"/>
          <w:sz w:val="21"/>
          <w:szCs w:val="21"/>
          <w:highlight w:val="none"/>
          <w:lang w:val="en-US" w:eastAsia="zh-CN"/>
        </w:rPr>
        <w:t>至</w:t>
      </w:r>
      <w:r>
        <w:rPr>
          <w:rFonts w:hint="eastAsia" w:ascii="宋体" w:hAnsi="宋体" w:eastAsia="宋体" w:cs="宋体"/>
          <w:b/>
          <w:bCs/>
          <w:snapToGrid/>
          <w:kern w:val="21"/>
          <w:sz w:val="21"/>
          <w:szCs w:val="21"/>
          <w:highlight w:val="none"/>
          <w:lang w:val="en-US" w:eastAsia="zh-CN"/>
        </w:rPr>
        <w:t>合同总价的</w:t>
      </w:r>
      <w:r>
        <w:rPr>
          <w:rFonts w:hint="eastAsia" w:ascii="宋体" w:hAnsi="宋体" w:cs="宋体"/>
          <w:b/>
          <w:bCs/>
          <w:snapToGrid/>
          <w:kern w:val="21"/>
          <w:sz w:val="21"/>
          <w:szCs w:val="21"/>
          <w:highlight w:val="none"/>
          <w:lang w:val="en-US" w:eastAsia="zh-CN"/>
        </w:rPr>
        <w:t>6</w:t>
      </w:r>
      <w:r>
        <w:rPr>
          <w:rFonts w:hint="eastAsia" w:ascii="宋体" w:hAnsi="宋体" w:eastAsia="宋体" w:cs="宋体"/>
          <w:b/>
          <w:bCs/>
          <w:snapToGrid/>
          <w:kern w:val="21"/>
          <w:sz w:val="21"/>
          <w:szCs w:val="21"/>
          <w:highlight w:val="none"/>
          <w:lang w:val="en-US" w:eastAsia="zh-CN"/>
        </w:rPr>
        <w:t>0%；</w:t>
      </w:r>
    </w:p>
    <w:p w14:paraId="1A6BA066">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（3）取得连申线南通段航道提升工程文物主管部门批复后一个月内支付</w:t>
      </w:r>
      <w:r>
        <w:rPr>
          <w:rFonts w:hint="eastAsia" w:ascii="宋体" w:hAnsi="宋体" w:cs="宋体"/>
          <w:b/>
          <w:bCs/>
          <w:snapToGrid/>
          <w:kern w:val="21"/>
          <w:sz w:val="21"/>
          <w:szCs w:val="21"/>
          <w:highlight w:val="none"/>
          <w:lang w:val="en-US" w:eastAsia="zh-CN"/>
        </w:rPr>
        <w:t>至</w:t>
      </w:r>
      <w:r>
        <w:rPr>
          <w:rFonts w:hint="eastAsia" w:ascii="宋体" w:hAnsi="宋体" w:eastAsia="宋体" w:cs="宋体"/>
          <w:b/>
          <w:bCs/>
          <w:snapToGrid/>
          <w:kern w:val="21"/>
          <w:sz w:val="21"/>
          <w:szCs w:val="21"/>
          <w:highlight w:val="none"/>
          <w:lang w:val="en-US" w:eastAsia="zh-CN"/>
        </w:rPr>
        <w:t>合同总价的</w:t>
      </w:r>
      <w:r>
        <w:rPr>
          <w:rFonts w:hint="eastAsia" w:ascii="宋体" w:hAnsi="宋体" w:cs="宋体"/>
          <w:b/>
          <w:bCs/>
          <w:snapToGrid/>
          <w:kern w:val="21"/>
          <w:sz w:val="21"/>
          <w:szCs w:val="21"/>
          <w:highlight w:val="none"/>
          <w:lang w:val="en-US" w:eastAsia="zh-CN"/>
        </w:rPr>
        <w:t>8</w:t>
      </w:r>
      <w:r>
        <w:rPr>
          <w:rFonts w:hint="eastAsia" w:ascii="宋体" w:hAnsi="宋体" w:eastAsia="宋体" w:cs="宋体"/>
          <w:b/>
          <w:bCs/>
          <w:snapToGrid/>
          <w:kern w:val="21"/>
          <w:sz w:val="21"/>
          <w:szCs w:val="21"/>
          <w:highlight w:val="none"/>
          <w:lang w:val="en-US" w:eastAsia="zh-CN"/>
        </w:rPr>
        <w:t>0%；</w:t>
      </w:r>
    </w:p>
    <w:p w14:paraId="3D9FBB25">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default"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（4）发包人取得连申线南通段航道提升工程国有土地划拨决定书后一个月内支付至结算总价的100%。</w:t>
      </w:r>
    </w:p>
    <w:p w14:paraId="002F6A7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八、在签订本合同协议的同时，双方共同签订《廉洁合同》，双方共同遵守执行。</w:t>
      </w:r>
    </w:p>
    <w:p w14:paraId="15B9EE9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九、保密要求</w:t>
      </w:r>
    </w:p>
    <w:p w14:paraId="74743CE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1、咨询单位保证是本合同规定提供的一切技术和资料的合法持有者，如果发生第三方指控侵权时，则由咨询单位负责与第三方交涉并承担由此引起的一切法律上和经济上的责任。</w:t>
      </w:r>
    </w:p>
    <w:p w14:paraId="7F1F97B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2、发包人同意在合同有效期内对咨询单位提供给发包人的技术资料进行保密，如果上述技术资料中的一部分或者全部被咨询单位或第三方公布，发包人对公开部分则不再承担保密义务。</w:t>
      </w:r>
    </w:p>
    <w:p w14:paraId="311C384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3、咨询单位应对发包人提供的有关资料保密，除非事先征得发包人书面同意，不得将发包人提供的相关资料用于本合同范围外的所有其他场合。</w:t>
      </w:r>
    </w:p>
    <w:p w14:paraId="1456DED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4、发包人和咨询单位双方均有权继续使用此次科研成果于其它研究或工程。</w:t>
      </w:r>
    </w:p>
    <w:p w14:paraId="480FA89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十、本合同未尽事宜由双方协商解决。</w:t>
      </w:r>
    </w:p>
    <w:p w14:paraId="158869A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十一、本合同书经双方代表签字并加盖公章后立即产生法律效力，合同费用结清后失效。双方要恪守信誉，严格履行。</w:t>
      </w:r>
    </w:p>
    <w:p w14:paraId="37769D0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十</w:t>
      </w:r>
      <w:r>
        <w:rPr>
          <w:rFonts w:hint="eastAsia" w:ascii="宋体" w:hAnsi="宋体" w:eastAsia="宋体" w:cs="宋体"/>
          <w:snapToGrid/>
          <w:kern w:val="21"/>
          <w:sz w:val="21"/>
          <w:szCs w:val="21"/>
          <w:highlight w:val="none"/>
          <w:lang w:val="en-US" w:eastAsia="zh-CN"/>
        </w:rPr>
        <w:t>二</w:t>
      </w:r>
      <w:r>
        <w:rPr>
          <w:rFonts w:hint="eastAsia" w:ascii="宋体" w:hAnsi="宋体" w:eastAsia="宋体" w:cs="宋体"/>
          <w:snapToGrid/>
          <w:kern w:val="21"/>
          <w:sz w:val="21"/>
          <w:szCs w:val="21"/>
          <w:highlight w:val="none"/>
        </w:rPr>
        <w:t>、本合同一式</w:t>
      </w:r>
      <w:r>
        <w:rPr>
          <w:rFonts w:hint="eastAsia" w:ascii="宋体" w:hAnsi="宋体" w:eastAsia="宋体" w:cs="宋体"/>
          <w:snapToGrid/>
          <w:kern w:val="21"/>
          <w:sz w:val="21"/>
          <w:szCs w:val="21"/>
          <w:highlight w:val="none"/>
          <w:u w:val="single"/>
        </w:rPr>
        <w:t>陆</w:t>
      </w:r>
      <w:r>
        <w:rPr>
          <w:rFonts w:hint="eastAsia" w:ascii="宋体" w:hAnsi="宋体" w:eastAsia="宋体" w:cs="宋体"/>
          <w:snapToGrid/>
          <w:kern w:val="21"/>
          <w:sz w:val="21"/>
          <w:szCs w:val="21"/>
          <w:highlight w:val="none"/>
        </w:rPr>
        <w:t>份，由双方各持</w:t>
      </w:r>
      <w:r>
        <w:rPr>
          <w:rFonts w:hint="eastAsia" w:ascii="宋体" w:hAnsi="宋体" w:eastAsia="宋体" w:cs="宋体"/>
          <w:snapToGrid/>
          <w:kern w:val="21"/>
          <w:sz w:val="21"/>
          <w:szCs w:val="21"/>
          <w:highlight w:val="none"/>
          <w:u w:val="single"/>
        </w:rPr>
        <w:t>叁</w:t>
      </w:r>
      <w:r>
        <w:rPr>
          <w:rFonts w:hint="eastAsia" w:ascii="宋体" w:hAnsi="宋体" w:eastAsia="宋体" w:cs="宋体"/>
          <w:snapToGrid/>
          <w:kern w:val="21"/>
          <w:sz w:val="21"/>
          <w:szCs w:val="21"/>
          <w:highlight w:val="none"/>
        </w:rPr>
        <w:t>份。</w:t>
      </w:r>
    </w:p>
    <w:p w14:paraId="3E12BB0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p>
    <w:p w14:paraId="1D3B0DB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p>
    <w:p w14:paraId="763CE46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发包人(盖章):</w:t>
      </w:r>
      <w:r>
        <w:rPr>
          <w:rFonts w:hint="eastAsia" w:ascii="宋体" w:hAnsi="宋体" w:eastAsia="宋体" w:cs="宋体"/>
          <w:snapToGrid/>
          <w:kern w:val="21"/>
          <w:sz w:val="21"/>
          <w:szCs w:val="21"/>
          <w:highlight w:val="none"/>
          <w:lang w:val="en-US" w:eastAsia="zh-CN"/>
        </w:rPr>
        <w:t xml:space="preserve">                           </w:t>
      </w:r>
      <w:r>
        <w:rPr>
          <w:rFonts w:hint="eastAsia" w:ascii="宋体" w:hAnsi="宋体" w:eastAsia="宋体" w:cs="宋体"/>
          <w:snapToGrid/>
          <w:kern w:val="21"/>
          <w:sz w:val="21"/>
          <w:szCs w:val="21"/>
          <w:highlight w:val="none"/>
        </w:rPr>
        <w:t xml:space="preserve">咨询单位(盖章) ： </w:t>
      </w:r>
    </w:p>
    <w:p w14:paraId="0AF0035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 xml:space="preserve">法 人 代 表                             法 人 代 表  </w:t>
      </w:r>
    </w:p>
    <w:p w14:paraId="15029CE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或其委托代理人（签字）：                或其委托代理人（签字）：</w:t>
      </w:r>
    </w:p>
    <w:p w14:paraId="44A51B2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签约日期：</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rPr>
        <w:t>年</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rPr>
        <w:t>月</w:t>
      </w:r>
      <w:r>
        <w:rPr>
          <w:rFonts w:hint="eastAsia" w:ascii="宋体" w:hAnsi="宋体" w:eastAsia="宋体" w:cs="宋体"/>
          <w:snapToGrid/>
          <w:kern w:val="21"/>
          <w:sz w:val="21"/>
          <w:szCs w:val="21"/>
          <w:highlight w:val="none"/>
          <w:u w:val="single"/>
          <w:lang w:val="en-US" w:eastAsia="zh-CN"/>
        </w:rPr>
        <w:t xml:space="preserve">   </w:t>
      </w:r>
      <w:r>
        <w:rPr>
          <w:rFonts w:hint="eastAsia" w:ascii="宋体" w:hAnsi="宋体" w:eastAsia="宋体" w:cs="宋体"/>
          <w:snapToGrid/>
          <w:kern w:val="21"/>
          <w:sz w:val="21"/>
          <w:szCs w:val="21"/>
          <w:highlight w:val="none"/>
        </w:rPr>
        <w:t>日</w:t>
      </w:r>
    </w:p>
    <w:p w14:paraId="3DCC67D6">
      <w:pPr>
        <w:widowControl/>
        <w:jc w:val="left"/>
        <w:rPr>
          <w:rFonts w:eastAsia="黑体"/>
          <w:b/>
          <w:bCs/>
          <w:sz w:val="32"/>
          <w:szCs w:val="32"/>
          <w:highlight w:val="none"/>
        </w:rPr>
      </w:pPr>
      <w:r>
        <w:rPr>
          <w:rFonts w:eastAsia="黑体"/>
          <w:b/>
          <w:bCs/>
          <w:sz w:val="32"/>
          <w:szCs w:val="32"/>
          <w:highlight w:val="none"/>
        </w:rPr>
        <w:br w:type="page"/>
      </w:r>
    </w:p>
    <w:p w14:paraId="425A3EDD">
      <w:pPr>
        <w:keepNext/>
        <w:keepLines/>
        <w:adjustRightInd w:val="0"/>
        <w:snapToGrid w:val="0"/>
        <w:spacing w:line="360" w:lineRule="auto"/>
        <w:jc w:val="center"/>
        <w:outlineLvl w:val="1"/>
        <w:rPr>
          <w:rFonts w:eastAsia="黑体"/>
          <w:b/>
          <w:bCs/>
          <w:sz w:val="32"/>
          <w:szCs w:val="32"/>
          <w:highlight w:val="none"/>
        </w:rPr>
      </w:pPr>
      <w:r>
        <w:rPr>
          <w:rFonts w:eastAsia="黑体"/>
          <w:b/>
          <w:bCs/>
          <w:sz w:val="32"/>
          <w:szCs w:val="32"/>
          <w:highlight w:val="none"/>
        </w:rPr>
        <w:t>第二部分</w:t>
      </w:r>
      <w:bookmarkEnd w:id="37"/>
      <w:r>
        <w:rPr>
          <w:rFonts w:eastAsia="黑体"/>
          <w:b/>
          <w:bCs/>
          <w:sz w:val="32"/>
          <w:szCs w:val="32"/>
          <w:highlight w:val="none"/>
        </w:rPr>
        <w:t>合同条款</w:t>
      </w:r>
      <w:bookmarkEnd w:id="38"/>
    </w:p>
    <w:p w14:paraId="14ED3F8C">
      <w:pPr>
        <w:keepNext/>
        <w:keepLines/>
        <w:pageBreakBefore w:val="0"/>
        <w:widowControl w:val="0"/>
        <w:wordWrap/>
        <w:overflowPunct/>
        <w:topLinePunct w:val="0"/>
        <w:bidi w:val="0"/>
        <w:adjustRightInd/>
        <w:snapToGrid/>
        <w:spacing w:line="360" w:lineRule="auto"/>
        <w:ind w:firstLine="422" w:firstLineChars="200"/>
        <w:jc w:val="left"/>
        <w:outlineLvl w:val="2"/>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第一条  定义和解释</w:t>
      </w:r>
    </w:p>
    <w:p w14:paraId="3D800E11">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本合同条款下述定义和解释仅限于本招标文件使用。</w:t>
      </w:r>
    </w:p>
    <w:p w14:paraId="2914E1A5">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1.1 项目名称：</w:t>
      </w:r>
      <w:r>
        <w:rPr>
          <w:rFonts w:hint="eastAsia" w:ascii="宋体" w:hAnsi="宋体" w:cs="宋体"/>
          <w:snapToGrid/>
          <w:kern w:val="21"/>
          <w:sz w:val="21"/>
          <w:szCs w:val="21"/>
          <w:highlight w:val="none"/>
          <w:lang w:eastAsia="zh-CN"/>
        </w:rPr>
        <w:t>连申线南通段三级航道整治工程及航道提升工程</w:t>
      </w:r>
      <w:r>
        <w:rPr>
          <w:rFonts w:hint="eastAsia" w:ascii="宋体" w:hAnsi="宋体" w:eastAsia="宋体" w:cs="宋体"/>
          <w:snapToGrid/>
          <w:kern w:val="21"/>
          <w:sz w:val="21"/>
          <w:szCs w:val="21"/>
          <w:highlight w:val="none"/>
          <w:lang w:eastAsia="zh-CN"/>
        </w:rPr>
        <w:t>文物资源区域评估项目</w:t>
      </w:r>
      <w:r>
        <w:rPr>
          <w:rFonts w:hint="eastAsia" w:ascii="宋体" w:hAnsi="宋体" w:eastAsia="宋体" w:cs="宋体"/>
          <w:snapToGrid/>
          <w:kern w:val="21"/>
          <w:sz w:val="21"/>
          <w:szCs w:val="21"/>
          <w:highlight w:val="none"/>
        </w:rPr>
        <w:t>。</w:t>
      </w:r>
    </w:p>
    <w:p w14:paraId="42753DF5">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1.2 业主：即合同书中的“甲方”，本合同的业主为</w:t>
      </w:r>
      <w:r>
        <w:rPr>
          <w:rFonts w:hint="eastAsia" w:ascii="宋体" w:hAnsi="宋体" w:eastAsia="宋体" w:cs="宋体"/>
          <w:snapToGrid/>
          <w:kern w:val="21"/>
          <w:sz w:val="21"/>
          <w:szCs w:val="21"/>
          <w:highlight w:val="none"/>
          <w:lang w:eastAsia="zh-CN"/>
        </w:rPr>
        <w:t>南通市港航事业发展中心</w:t>
      </w:r>
      <w:r>
        <w:rPr>
          <w:rFonts w:hint="eastAsia" w:ascii="宋体" w:hAnsi="宋体" w:eastAsia="宋体" w:cs="宋体"/>
          <w:snapToGrid/>
          <w:kern w:val="21"/>
          <w:sz w:val="21"/>
          <w:szCs w:val="21"/>
          <w:highlight w:val="none"/>
        </w:rPr>
        <w:t>。</w:t>
      </w:r>
    </w:p>
    <w:p w14:paraId="2FD08262">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1.3 咨询单位：是指其投标函已被发包人所接受，并与业主代表签订了合同书承担本合同咨询服务的独立咨询机构或企事业单位，以及取得该当事机构资格的合法继承人，但不包括该当事机构的任何受让人。</w:t>
      </w:r>
    </w:p>
    <w:p w14:paraId="5C1A3B9F">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1.4 项目负责人：是指由咨询单位书面委任的负责本项目咨询服务的组织管理者。</w:t>
      </w:r>
    </w:p>
    <w:p w14:paraId="54F6B1E0">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1.5合同：是指合同书、中标通知书、投标函、合同条款、技术标准与规范，以及构成合同组成部分的其它文件。</w:t>
      </w:r>
    </w:p>
    <w:p w14:paraId="1EEC0564">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1.6技术标准与规范：是指所有的中华人民共和国国家标准及有关部门颁发的现行相关规范及技术标准。</w:t>
      </w:r>
    </w:p>
    <w:p w14:paraId="24E4F7D4">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1.7承包人应根据上阶段成果的批复意见或业主的指令进行下一阶段的工作。</w:t>
      </w:r>
    </w:p>
    <w:p w14:paraId="374EAEAC">
      <w:pPr>
        <w:keepNext w:val="0"/>
        <w:keepLines w:val="0"/>
        <w:pageBreakBefore w:val="0"/>
        <w:widowControl w:val="0"/>
        <w:wordWrap/>
        <w:overflowPunct/>
        <w:topLinePunct w:val="0"/>
        <w:autoSpaceDE w:val="0"/>
        <w:autoSpaceDN w:val="0"/>
        <w:bidi w:val="0"/>
        <w:adjustRightInd/>
        <w:snapToGrid/>
        <w:spacing w:line="360" w:lineRule="auto"/>
        <w:ind w:firstLine="420" w:firstLineChars="200"/>
        <w:jc w:val="both"/>
        <w:rPr>
          <w:rFonts w:hint="eastAsia" w:ascii="宋体" w:hAnsi="宋体" w:eastAsia="宋体" w:cs="宋体"/>
          <w:snapToGrid/>
          <w:kern w:val="21"/>
          <w:sz w:val="21"/>
          <w:szCs w:val="21"/>
          <w:highlight w:val="none"/>
          <w:lang w:bidi="zh-CN"/>
        </w:rPr>
      </w:pPr>
      <w:r>
        <w:rPr>
          <w:rFonts w:hint="eastAsia" w:ascii="宋体" w:hAnsi="宋体" w:eastAsia="宋体" w:cs="宋体"/>
          <w:snapToGrid/>
          <w:kern w:val="21"/>
          <w:sz w:val="21"/>
          <w:szCs w:val="21"/>
          <w:highlight w:val="none"/>
        </w:rPr>
        <w:t>1.7.1工作内容：在对</w:t>
      </w:r>
      <w:r>
        <w:rPr>
          <w:rFonts w:hint="eastAsia" w:ascii="宋体" w:hAnsi="宋体" w:eastAsia="宋体" w:cs="宋体"/>
          <w:snapToGrid/>
          <w:kern w:val="21"/>
          <w:sz w:val="21"/>
          <w:szCs w:val="21"/>
          <w:highlight w:val="none"/>
          <w:lang w:val="en-US" w:eastAsia="zh-CN"/>
        </w:rPr>
        <w:t>连申线南通段三级航道整治工程、</w:t>
      </w:r>
      <w:r>
        <w:rPr>
          <w:rFonts w:hint="eastAsia" w:ascii="宋体" w:hAnsi="宋体" w:cs="宋体"/>
          <w:snapToGrid/>
          <w:kern w:val="21"/>
          <w:sz w:val="21"/>
          <w:szCs w:val="21"/>
          <w:highlight w:val="none"/>
          <w:lang w:val="en-US" w:eastAsia="zh-CN"/>
        </w:rPr>
        <w:t>连申线南通段航道提升工程</w:t>
      </w:r>
      <w:r>
        <w:rPr>
          <w:rFonts w:hint="eastAsia" w:ascii="宋体" w:hAnsi="宋体" w:eastAsia="宋体" w:cs="宋体"/>
          <w:snapToGrid/>
          <w:kern w:val="21"/>
          <w:sz w:val="21"/>
          <w:szCs w:val="21"/>
          <w:highlight w:val="none"/>
        </w:rPr>
        <w:t>航道资源区域现场踏勘的基础上，对航道的现状等特点进行初步分析，确定论证范围、论证内容和要求，编制论证工作方案。通过现场测试、资料收集和处理，开展论证分析，组织考古调查勘探，编制文物资源区域评估报告，给出论证结论。形成的最终调查报告，需通过江苏省文物局组织的审核，取得批复文件，同时还应开展后期服务，包括论证报告结论的应用解释、与其他评价报告结论的衔接等。</w:t>
      </w:r>
    </w:p>
    <w:p w14:paraId="057FC06F">
      <w:pPr>
        <w:keepNext w:val="0"/>
        <w:keepLines w:val="0"/>
        <w:pageBreakBefore w:val="0"/>
        <w:widowControl w:val="0"/>
        <w:wordWrap/>
        <w:overflowPunct/>
        <w:topLinePunct w:val="0"/>
        <w:autoSpaceDE w:val="0"/>
        <w:autoSpaceDN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1.7.2</w:t>
      </w:r>
      <w:r>
        <w:rPr>
          <w:rFonts w:hint="eastAsia" w:ascii="宋体" w:hAnsi="宋体" w:eastAsia="宋体" w:cs="宋体"/>
          <w:snapToGrid/>
          <w:kern w:val="21"/>
          <w:sz w:val="21"/>
          <w:szCs w:val="21"/>
          <w:highlight w:val="none"/>
          <w:lang w:val="en-US" w:eastAsia="zh-CN"/>
        </w:rPr>
        <w:t>服务</w:t>
      </w:r>
      <w:r>
        <w:rPr>
          <w:rFonts w:hint="eastAsia" w:ascii="宋体" w:hAnsi="宋体" w:eastAsia="宋体" w:cs="宋体"/>
          <w:snapToGrid/>
          <w:kern w:val="21"/>
          <w:sz w:val="21"/>
          <w:szCs w:val="21"/>
          <w:highlight w:val="none"/>
        </w:rPr>
        <w:t>周期：</w:t>
      </w:r>
    </w:p>
    <w:p w14:paraId="227A3E71">
      <w:pPr>
        <w:keepNext w:val="0"/>
        <w:keepLines w:val="0"/>
        <w:pageBreakBefore w:val="0"/>
        <w:widowControl w:val="0"/>
        <w:wordWrap/>
        <w:overflowPunct/>
        <w:topLinePunct w:val="0"/>
        <w:autoSpaceDE w:val="0"/>
        <w:autoSpaceDN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lang w:val="en-US" w:eastAsia="zh-CN"/>
        </w:rPr>
        <w:t>连申线南通段三级航道整治工程</w:t>
      </w:r>
      <w:r>
        <w:rPr>
          <w:rFonts w:hint="eastAsia" w:ascii="宋体" w:hAnsi="宋体" w:cs="宋体"/>
          <w:snapToGrid/>
          <w:kern w:val="21"/>
          <w:sz w:val="21"/>
          <w:szCs w:val="21"/>
          <w:highlight w:val="none"/>
          <w:lang w:val="en-US" w:eastAsia="zh-CN"/>
        </w:rPr>
        <w:t>：</w:t>
      </w:r>
      <w:r>
        <w:rPr>
          <w:rFonts w:hint="eastAsia" w:ascii="宋体" w:hAnsi="宋体" w:eastAsia="宋体" w:cs="宋体"/>
          <w:snapToGrid/>
          <w:kern w:val="21"/>
          <w:sz w:val="21"/>
          <w:szCs w:val="21"/>
          <w:highlight w:val="none"/>
        </w:rPr>
        <w:t>自签订合同之日起</w:t>
      </w:r>
      <w:r>
        <w:rPr>
          <w:rFonts w:hint="eastAsia" w:ascii="宋体" w:hAnsi="宋体" w:eastAsia="宋体" w:cs="宋体"/>
          <w:snapToGrid/>
          <w:kern w:val="21"/>
          <w:sz w:val="21"/>
          <w:szCs w:val="21"/>
          <w:highlight w:val="none"/>
          <w:lang w:val="en-US" w:eastAsia="zh-CN"/>
        </w:rPr>
        <w:t>60</w:t>
      </w:r>
      <w:r>
        <w:rPr>
          <w:rFonts w:hint="eastAsia" w:ascii="宋体" w:hAnsi="宋体" w:eastAsia="宋体" w:cs="宋体"/>
          <w:snapToGrid/>
          <w:kern w:val="21"/>
          <w:sz w:val="21"/>
          <w:szCs w:val="21"/>
          <w:highlight w:val="none"/>
        </w:rPr>
        <w:t>天内完成文物资源区域评估工作，评估工作完成后30天内取得江苏省文物局验收并取得批复。</w:t>
      </w:r>
    </w:p>
    <w:p w14:paraId="40BA1BF5">
      <w:pPr>
        <w:keepNext w:val="0"/>
        <w:keepLines w:val="0"/>
        <w:pageBreakBefore w:val="0"/>
        <w:widowControl w:val="0"/>
        <w:wordWrap/>
        <w:overflowPunct/>
        <w:topLinePunct w:val="0"/>
        <w:autoSpaceDE w:val="0"/>
        <w:autoSpaceDN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cs="宋体"/>
          <w:snapToGrid/>
          <w:kern w:val="21"/>
          <w:sz w:val="21"/>
          <w:szCs w:val="21"/>
          <w:highlight w:val="none"/>
          <w:lang w:val="en-US" w:eastAsia="zh-CN"/>
        </w:rPr>
        <w:t>连申线南通段航道提升工程：</w:t>
      </w:r>
      <w:r>
        <w:rPr>
          <w:rFonts w:hint="eastAsia" w:ascii="宋体" w:hAnsi="宋体" w:eastAsia="宋体" w:cs="宋体"/>
          <w:snapToGrid/>
          <w:kern w:val="21"/>
          <w:sz w:val="21"/>
          <w:szCs w:val="21"/>
          <w:highlight w:val="none"/>
        </w:rPr>
        <w:t>自</w:t>
      </w:r>
      <w:r>
        <w:rPr>
          <w:rFonts w:hint="eastAsia" w:ascii="宋体" w:hAnsi="宋体" w:eastAsia="宋体" w:cs="宋体"/>
          <w:snapToGrid/>
          <w:kern w:val="21"/>
          <w:sz w:val="21"/>
          <w:szCs w:val="21"/>
          <w:highlight w:val="none"/>
          <w:lang w:val="en-US" w:eastAsia="zh-CN"/>
        </w:rPr>
        <w:t>工可方案稳定后60</w:t>
      </w:r>
      <w:r>
        <w:rPr>
          <w:rFonts w:hint="eastAsia" w:ascii="宋体" w:hAnsi="宋体" w:eastAsia="宋体" w:cs="宋体"/>
          <w:snapToGrid/>
          <w:kern w:val="21"/>
          <w:sz w:val="21"/>
          <w:szCs w:val="21"/>
          <w:highlight w:val="none"/>
        </w:rPr>
        <w:t>天内完成文物资源区域评估工作，评估工作完成后30天内取得江苏省文物局验收并取得批复。</w:t>
      </w:r>
    </w:p>
    <w:p w14:paraId="3426CEE3">
      <w:pPr>
        <w:keepNext w:val="0"/>
        <w:keepLines w:val="0"/>
        <w:pageBreakBefore w:val="0"/>
        <w:widowControl w:val="0"/>
        <w:wordWrap/>
        <w:overflowPunct/>
        <w:topLinePunct w:val="0"/>
        <w:autoSpaceDE w:val="0"/>
        <w:autoSpaceDN w:val="0"/>
        <w:bidi w:val="0"/>
        <w:adjustRightInd/>
        <w:snapToGrid/>
        <w:spacing w:line="360" w:lineRule="auto"/>
        <w:ind w:firstLine="420" w:firstLineChars="200"/>
        <w:jc w:val="both"/>
        <w:rPr>
          <w:rFonts w:hint="eastAsia" w:ascii="宋体" w:hAnsi="宋体" w:eastAsia="宋体" w:cs="宋体"/>
          <w:snapToGrid/>
          <w:kern w:val="21"/>
          <w:sz w:val="21"/>
          <w:szCs w:val="21"/>
          <w:highlight w:val="none"/>
          <w:lang w:bidi="zh-CN"/>
        </w:rPr>
      </w:pPr>
      <w:r>
        <w:rPr>
          <w:rFonts w:hint="eastAsia" w:ascii="宋体" w:hAnsi="宋体" w:eastAsia="宋体" w:cs="宋体"/>
          <w:snapToGrid/>
          <w:kern w:val="21"/>
          <w:sz w:val="21"/>
          <w:szCs w:val="21"/>
          <w:highlight w:val="none"/>
        </w:rPr>
        <w:t>如遇重要考古发现经发包人确认后可适当顺延，实际工作周期可能调整，承包人应服从发包人的统一工作安排。</w:t>
      </w:r>
    </w:p>
    <w:p w14:paraId="3B4E68A7">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1.8 不可抗力：指发包人与咨询单位不能预见、或不能采取措施避免并不能克服的自然灾害或社会政治因素等。</w:t>
      </w:r>
    </w:p>
    <w:p w14:paraId="4CCBB2F6">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1.9天：指日历日。年、月、日按公历计算。</w:t>
      </w:r>
    </w:p>
    <w:p w14:paraId="39AC8BED">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1.10 时间：本招标文件所指时间均为北京时间。</w:t>
      </w:r>
    </w:p>
    <w:p w14:paraId="6D3A2C61">
      <w:pPr>
        <w:keepNext/>
        <w:keepLines/>
        <w:pageBreakBefore w:val="0"/>
        <w:widowControl w:val="0"/>
        <w:wordWrap/>
        <w:overflowPunct/>
        <w:topLinePunct w:val="0"/>
        <w:bidi w:val="0"/>
        <w:adjustRightInd/>
        <w:snapToGrid/>
        <w:spacing w:line="360" w:lineRule="auto"/>
        <w:ind w:firstLine="422" w:firstLineChars="200"/>
        <w:jc w:val="left"/>
        <w:outlineLvl w:val="2"/>
        <w:rPr>
          <w:rFonts w:hint="eastAsia" w:ascii="宋体" w:hAnsi="宋体" w:eastAsia="宋体" w:cs="宋体"/>
          <w:b/>
          <w:bCs w:val="0"/>
          <w:sz w:val="21"/>
          <w:szCs w:val="21"/>
          <w:highlight w:val="none"/>
        </w:rPr>
      </w:pPr>
      <w:bookmarkStart w:id="39" w:name="_Toc258313640"/>
      <w:r>
        <w:rPr>
          <w:rFonts w:hint="eastAsia" w:ascii="宋体" w:hAnsi="宋体" w:eastAsia="宋体" w:cs="宋体"/>
          <w:b/>
          <w:bCs w:val="0"/>
          <w:sz w:val="21"/>
          <w:szCs w:val="21"/>
          <w:highlight w:val="none"/>
        </w:rPr>
        <w:t>第二条   一般责任和义务</w:t>
      </w:r>
      <w:bookmarkEnd w:id="39"/>
    </w:p>
    <w:p w14:paraId="3BFC47BC">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bookmarkStart w:id="40" w:name="_Toc258313641"/>
      <w:r>
        <w:rPr>
          <w:rFonts w:hint="eastAsia" w:ascii="宋体" w:hAnsi="宋体" w:eastAsia="宋体" w:cs="宋体"/>
          <w:snapToGrid/>
          <w:kern w:val="21"/>
          <w:sz w:val="21"/>
          <w:szCs w:val="21"/>
          <w:highlight w:val="none"/>
        </w:rPr>
        <w:t>2.1 规划研究服务的进度计划的提交：咨询单位在接到中标通知书后，应在发包人规定的时间内，根据招标文件中规定的项目工作周期向发包人提交两份详细的进度工作计划，以及为完成本计划而建议采用的措施和说明。</w:t>
      </w:r>
    </w:p>
    <w:p w14:paraId="40335E31">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2.2 安全、保卫与环境保护：咨询单位的人员在进行外业勘察时，应采取相应的安全、保卫和环境保护措施，如咨询单位未能采取有效的措施，而发生的与外业活动有关的人身伤亡、罚款、索赔、损失赔偿、诉讼费用及其他一切责任应由咨询单位负责。</w:t>
      </w:r>
    </w:p>
    <w:p w14:paraId="33CF3432">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2.3 保险：咨询单位为实施本项目，应参加发包人风险以外的其它有关的雇主责任保险，以使本项目顺利进行。</w:t>
      </w:r>
    </w:p>
    <w:p w14:paraId="30F35838">
      <w:pPr>
        <w:keepNext/>
        <w:keepLines/>
        <w:pageBreakBefore w:val="0"/>
        <w:widowControl w:val="0"/>
        <w:wordWrap/>
        <w:overflowPunct/>
        <w:topLinePunct w:val="0"/>
        <w:bidi w:val="0"/>
        <w:adjustRightInd/>
        <w:snapToGrid/>
        <w:spacing w:line="360" w:lineRule="auto"/>
        <w:ind w:firstLine="422" w:firstLineChars="200"/>
        <w:jc w:val="left"/>
        <w:outlineLvl w:val="2"/>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第三条  发包人的责任与义务</w:t>
      </w:r>
      <w:bookmarkEnd w:id="40"/>
    </w:p>
    <w:p w14:paraId="448FCFAC">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3.1发包人根据项目的具体情况和技术要求，确定工作周期，并按本合同有关规定及时支付咨询服务的费用。</w:t>
      </w:r>
    </w:p>
    <w:p w14:paraId="6E0A581C">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3.2 发包人应向咨询单位提供开展咨询服务工作所需要的前一阶段文件、资料等。</w:t>
      </w:r>
    </w:p>
    <w:p w14:paraId="10AD2D37">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3.3 在服务人员进入现场进行调查作业时，发包人将对咨询单位与地方政府及有关部门的协调工作提供必要的协助，但不免除咨询单位根据本合同规定应负的责任。</w:t>
      </w:r>
    </w:p>
    <w:p w14:paraId="2B970FE9">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3.4 咨询单位完成咨询服务工作后，发包人应配合咨询单位做好相关部门审批工作（如有）。</w:t>
      </w:r>
    </w:p>
    <w:p w14:paraId="4A41D744">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3.5 除合同另有规定外，发包人应保护咨询单位的投标文件、相关报告书。未经咨询单位同意，发包人对咨询单位交付的成果文件不得擅自修改、复制或向第三方转让或用于本合同以外的项目。</w:t>
      </w:r>
    </w:p>
    <w:p w14:paraId="7647399D">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3.6 由于执行发包人的书面指令而造成的相关报告书不能通过主管部门的审查或不能取得批复，应由发包人承担主要责任。但不免除咨询单位应负的责任。</w:t>
      </w:r>
    </w:p>
    <w:p w14:paraId="4EDB0127">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3.7咨询服务过程中，需要发包人提供协助的，发包人应尽可能提供协助，但发包人的协助承诺不作为咨询单位不能按期按要求完成服务成果的理由。</w:t>
      </w:r>
    </w:p>
    <w:p w14:paraId="6A4B62CA">
      <w:pPr>
        <w:keepNext/>
        <w:keepLines/>
        <w:pageBreakBefore w:val="0"/>
        <w:widowControl w:val="0"/>
        <w:wordWrap/>
        <w:overflowPunct/>
        <w:topLinePunct w:val="0"/>
        <w:bidi w:val="0"/>
        <w:adjustRightInd/>
        <w:snapToGrid/>
        <w:spacing w:line="360" w:lineRule="auto"/>
        <w:ind w:firstLine="422" w:firstLineChars="200"/>
        <w:jc w:val="left"/>
        <w:outlineLvl w:val="2"/>
        <w:rPr>
          <w:rFonts w:hint="eastAsia" w:ascii="宋体" w:hAnsi="宋体" w:eastAsia="宋体" w:cs="宋体"/>
          <w:b/>
          <w:bCs w:val="0"/>
          <w:sz w:val="21"/>
          <w:szCs w:val="21"/>
          <w:highlight w:val="none"/>
        </w:rPr>
      </w:pPr>
      <w:bookmarkStart w:id="41" w:name="_Toc258313642"/>
      <w:r>
        <w:rPr>
          <w:rFonts w:hint="eastAsia" w:ascii="宋体" w:hAnsi="宋体" w:eastAsia="宋体" w:cs="宋体"/>
          <w:b/>
          <w:bCs w:val="0"/>
          <w:sz w:val="21"/>
          <w:szCs w:val="21"/>
          <w:highlight w:val="none"/>
        </w:rPr>
        <w:t>第四条  咨询单位的责任与义务</w:t>
      </w:r>
      <w:bookmarkEnd w:id="41"/>
    </w:p>
    <w:p w14:paraId="52222324">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bookmarkStart w:id="42" w:name="_Toc258313643"/>
      <w:r>
        <w:rPr>
          <w:rFonts w:hint="eastAsia" w:ascii="宋体" w:hAnsi="宋体" w:eastAsia="宋体" w:cs="宋体"/>
          <w:snapToGrid/>
          <w:kern w:val="21"/>
          <w:sz w:val="21"/>
          <w:szCs w:val="21"/>
          <w:highlight w:val="none"/>
        </w:rPr>
        <w:t>4.1咨询单位应做好质量管理工作，建立健全质量保证体系，加强工作全过程的质量控制，建立完整的报告的编制、复核、审核、会签和批准制度，明确各阶段的责任人，应按期、按质、按量地完成双方商定的各项工作内容，并对研究报告的质量负责。报告质量应达到省内领先水平。</w:t>
      </w:r>
    </w:p>
    <w:p w14:paraId="2C398EBD">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4.2 认真组织专家对研究成果进行审查，并出具审查书面意见和整理会议纪要。</w:t>
      </w:r>
    </w:p>
    <w:p w14:paraId="647487F5">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cs="宋体"/>
          <w:snapToGrid/>
          <w:kern w:val="21"/>
          <w:sz w:val="21"/>
          <w:szCs w:val="21"/>
          <w:highlight w:val="none"/>
          <w:lang w:val="en-US" w:eastAsia="zh-CN"/>
        </w:rPr>
        <w:t xml:space="preserve">4.3 </w:t>
      </w:r>
      <w:r>
        <w:rPr>
          <w:rFonts w:hint="eastAsia" w:ascii="宋体" w:hAnsi="宋体" w:eastAsia="宋体" w:cs="宋体"/>
          <w:snapToGrid/>
          <w:kern w:val="21"/>
          <w:sz w:val="21"/>
          <w:szCs w:val="21"/>
          <w:highlight w:val="none"/>
          <w:lang w:val="en-US" w:eastAsia="zh-CN"/>
        </w:rPr>
        <w:t>本项目包含的“</w:t>
      </w:r>
      <w:r>
        <w:rPr>
          <w:rFonts w:hint="eastAsia" w:ascii="宋体" w:hAnsi="宋体" w:cs="宋体"/>
          <w:snapToGrid/>
          <w:kern w:val="21"/>
          <w:sz w:val="21"/>
          <w:szCs w:val="21"/>
          <w:highlight w:val="none"/>
          <w:lang w:val="en-US" w:eastAsia="zh-CN"/>
        </w:rPr>
        <w:t>连申线南通段航道提升工程</w:t>
      </w:r>
      <w:r>
        <w:rPr>
          <w:rFonts w:hint="eastAsia" w:ascii="宋体" w:hAnsi="宋体" w:eastAsia="宋体" w:cs="宋体"/>
          <w:snapToGrid/>
          <w:kern w:val="21"/>
          <w:sz w:val="21"/>
          <w:szCs w:val="21"/>
          <w:highlight w:val="none"/>
          <w:lang w:val="en-US" w:eastAsia="zh-CN"/>
        </w:rPr>
        <w:t>”拟按海安船闸、焦港船闸、海安段航道、如皋段航道、新长铁路桥五个段落进行立项（工可报批）。合同实施时，文物资源区域评估工作若需分批次进行评审，承包人</w:t>
      </w:r>
      <w:r>
        <w:rPr>
          <w:rFonts w:hint="eastAsia" w:ascii="宋体" w:hAnsi="宋体" w:eastAsia="宋体" w:cs="宋体"/>
          <w:snapToGrid/>
          <w:kern w:val="21"/>
          <w:sz w:val="21"/>
          <w:szCs w:val="21"/>
          <w:highlight w:val="none"/>
          <w:lang w:eastAsia="zh-CN"/>
        </w:rPr>
        <w:t>应</w:t>
      </w:r>
      <w:r>
        <w:rPr>
          <w:rFonts w:hint="eastAsia" w:ascii="宋体" w:hAnsi="宋体" w:eastAsia="宋体" w:cs="宋体"/>
          <w:snapToGrid/>
          <w:kern w:val="21"/>
          <w:sz w:val="21"/>
          <w:szCs w:val="21"/>
          <w:highlight w:val="none"/>
          <w:lang w:val="en-US" w:eastAsia="zh-CN"/>
        </w:rPr>
        <w:t>无条件服从对</w:t>
      </w:r>
      <w:r>
        <w:rPr>
          <w:rFonts w:hint="eastAsia" w:ascii="宋体" w:hAnsi="宋体" w:eastAsia="宋体" w:cs="宋体"/>
          <w:snapToGrid/>
          <w:kern w:val="21"/>
          <w:sz w:val="21"/>
          <w:szCs w:val="21"/>
          <w:highlight w:val="none"/>
          <w:lang w:eastAsia="zh-CN"/>
        </w:rPr>
        <w:t>项目</w:t>
      </w:r>
      <w:r>
        <w:rPr>
          <w:rFonts w:hint="eastAsia" w:ascii="宋体" w:hAnsi="宋体" w:eastAsia="宋体" w:cs="宋体"/>
          <w:snapToGrid/>
          <w:kern w:val="21"/>
          <w:sz w:val="21"/>
          <w:szCs w:val="21"/>
          <w:highlight w:val="none"/>
          <w:lang w:val="en-US" w:eastAsia="zh-CN"/>
        </w:rPr>
        <w:t>进行“分段分批次”报审</w:t>
      </w:r>
      <w:r>
        <w:rPr>
          <w:rFonts w:hint="eastAsia" w:ascii="宋体" w:hAnsi="宋体" w:eastAsia="宋体" w:cs="宋体"/>
          <w:snapToGrid/>
          <w:kern w:val="21"/>
          <w:sz w:val="21"/>
          <w:szCs w:val="21"/>
          <w:highlight w:val="none"/>
          <w:lang w:eastAsia="zh-CN"/>
        </w:rPr>
        <w:t>的要求，</w:t>
      </w:r>
      <w:r>
        <w:rPr>
          <w:rFonts w:hint="eastAsia" w:ascii="宋体" w:hAnsi="宋体" w:eastAsia="宋体" w:cs="宋体"/>
          <w:snapToGrid/>
          <w:kern w:val="21"/>
          <w:sz w:val="21"/>
          <w:szCs w:val="21"/>
          <w:highlight w:val="none"/>
          <w:lang w:val="en-US" w:eastAsia="zh-CN"/>
        </w:rPr>
        <w:t>且各段落间隔时间可能较长，由此产生相关费用的增加，</w:t>
      </w:r>
      <w:r>
        <w:rPr>
          <w:rFonts w:hint="eastAsia" w:ascii="宋体" w:hAnsi="宋体" w:cs="宋体"/>
          <w:snapToGrid/>
          <w:kern w:val="21"/>
          <w:sz w:val="21"/>
          <w:szCs w:val="21"/>
          <w:highlight w:val="none"/>
          <w:lang w:val="en-US" w:eastAsia="zh-CN"/>
        </w:rPr>
        <w:t>已包含在投标报价中</w:t>
      </w:r>
      <w:r>
        <w:rPr>
          <w:rFonts w:hint="eastAsia" w:ascii="宋体" w:hAnsi="宋体" w:eastAsia="宋体" w:cs="宋体"/>
          <w:snapToGrid/>
          <w:kern w:val="21"/>
          <w:sz w:val="21"/>
          <w:szCs w:val="21"/>
          <w:highlight w:val="none"/>
          <w:lang w:val="en-US" w:eastAsia="zh-CN"/>
        </w:rPr>
        <w:t>。</w:t>
      </w:r>
    </w:p>
    <w:p w14:paraId="728EAF71">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w:t>
      </w:r>
      <w:r>
        <w:rPr>
          <w:rFonts w:hint="eastAsia" w:ascii="宋体" w:hAnsi="宋体" w:cs="宋体"/>
          <w:snapToGrid/>
          <w:kern w:val="21"/>
          <w:sz w:val="21"/>
          <w:szCs w:val="21"/>
          <w:highlight w:val="none"/>
          <w:lang w:val="en-US" w:eastAsia="zh-CN"/>
        </w:rPr>
        <w:t>4</w:t>
      </w:r>
      <w:r>
        <w:rPr>
          <w:rFonts w:hint="eastAsia" w:ascii="宋体" w:hAnsi="宋体" w:eastAsia="宋体" w:cs="宋体"/>
          <w:snapToGrid/>
          <w:kern w:val="21"/>
          <w:sz w:val="21"/>
          <w:szCs w:val="21"/>
          <w:highlight w:val="none"/>
        </w:rPr>
        <w:t>应自行承担为所有工作内容和提供完整的研究成果文件（包括全部基础资料电子文件和最终成果文件电子版）所需的调查费、研究费、踏勘费、劳务费、交通费、组织座谈会所需费用、咨询费、评审费、会务费、出版费、管理费、利润、税金等全部费用。</w:t>
      </w:r>
    </w:p>
    <w:p w14:paraId="11060DF8">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w:t>
      </w:r>
      <w:r>
        <w:rPr>
          <w:rFonts w:hint="eastAsia" w:ascii="宋体" w:hAnsi="宋体" w:cs="宋体"/>
          <w:snapToGrid/>
          <w:kern w:val="21"/>
          <w:sz w:val="21"/>
          <w:szCs w:val="21"/>
          <w:highlight w:val="none"/>
          <w:lang w:val="en-US" w:eastAsia="zh-CN"/>
        </w:rPr>
        <w:t>5</w:t>
      </w:r>
      <w:r>
        <w:rPr>
          <w:rFonts w:hint="eastAsia" w:ascii="宋体" w:hAnsi="宋体" w:eastAsia="宋体" w:cs="宋体"/>
          <w:snapToGrid/>
          <w:kern w:val="21"/>
          <w:sz w:val="21"/>
          <w:szCs w:val="21"/>
          <w:highlight w:val="none"/>
        </w:rPr>
        <w:t>在研究报告编制过程中，应主动和甲方保持密切联系。</w:t>
      </w:r>
    </w:p>
    <w:p w14:paraId="027FF5B2">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w:t>
      </w:r>
      <w:r>
        <w:rPr>
          <w:rFonts w:hint="eastAsia" w:ascii="宋体" w:hAnsi="宋体" w:cs="宋体"/>
          <w:snapToGrid/>
          <w:kern w:val="21"/>
          <w:sz w:val="21"/>
          <w:szCs w:val="21"/>
          <w:highlight w:val="none"/>
          <w:lang w:val="en-US" w:eastAsia="zh-CN"/>
        </w:rPr>
        <w:t>6</w:t>
      </w:r>
      <w:r>
        <w:rPr>
          <w:rFonts w:hint="eastAsia" w:ascii="宋体" w:hAnsi="宋体" w:eastAsia="宋体" w:cs="宋体"/>
          <w:snapToGrid/>
          <w:kern w:val="21"/>
          <w:sz w:val="21"/>
          <w:szCs w:val="21"/>
          <w:highlight w:val="none"/>
        </w:rPr>
        <w:t>未经甲方同意，不能将研究工作及研究报告成果文件转让给第三方。</w:t>
      </w:r>
    </w:p>
    <w:p w14:paraId="253A3784">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w:t>
      </w:r>
      <w:r>
        <w:rPr>
          <w:rFonts w:hint="eastAsia" w:ascii="宋体" w:hAnsi="宋体" w:cs="宋体"/>
          <w:snapToGrid/>
          <w:kern w:val="21"/>
          <w:sz w:val="21"/>
          <w:szCs w:val="21"/>
          <w:highlight w:val="none"/>
          <w:lang w:val="en-US" w:eastAsia="zh-CN"/>
        </w:rPr>
        <w:t>7</w:t>
      </w:r>
      <w:r>
        <w:rPr>
          <w:rFonts w:hint="eastAsia" w:ascii="宋体" w:hAnsi="宋体" w:eastAsia="宋体" w:cs="宋体"/>
          <w:snapToGrid/>
          <w:kern w:val="21"/>
          <w:sz w:val="21"/>
          <w:szCs w:val="21"/>
          <w:highlight w:val="none"/>
        </w:rPr>
        <w:t>人员保证与变更</w:t>
      </w:r>
    </w:p>
    <w:p w14:paraId="2ECCFE39">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⑴ 乙方应按投标文件中承诺的人员投入工作，在报告编制过程应保持人员的相对稳定，不得擅自更换。确需调整，应报经甲方批准。</w:t>
      </w:r>
    </w:p>
    <w:p w14:paraId="1E8C9DB9">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⑵ 如果乙方的人员渎职或不能胜任工作或从事其他违法活动，甲方有权书面要求更换，乙方应立即派出具有同等或以上资历的人员替换；若非因上述原因，乙方有权拒绝。</w:t>
      </w:r>
    </w:p>
    <w:p w14:paraId="33F4C5D3">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⑶ 若乙方的进度没有达到乙方投标文件中承诺的进度计划，甲方有权提出要求增加工作人员，乙方应立即安排，其费用被认为已包含在合同价格之中。</w:t>
      </w:r>
    </w:p>
    <w:p w14:paraId="7AB362F9">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4.8若乙方在合同履行期间发生人员伤亡或财产的损失，或者造成第三方的人员伤亡或财产损失，乙方应承担全部责任，并保障甲方免于承担由此造成的一切损害和损失。</w:t>
      </w:r>
    </w:p>
    <w:p w14:paraId="7A8743BB">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4.9乙方负责定期向甲方报告工作进展情况。</w:t>
      </w:r>
    </w:p>
    <w:p w14:paraId="4D4AB1FB">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4.10乙方应根据甲方的要求，就研究的项目加强与相关部门的协调衔接，及时向与项目有关的其它单位提供项目研究资料。乙方应落实安全责任，对投入的工作人员进行必要的安全教育，并配备必要的安全装备等，确保本项目实施过程无人员伤亡、无火灾、无交通责任事故发生。</w:t>
      </w:r>
    </w:p>
    <w:p w14:paraId="3F3B64DD">
      <w:pPr>
        <w:keepNext/>
        <w:keepLines/>
        <w:pageBreakBefore w:val="0"/>
        <w:widowControl w:val="0"/>
        <w:wordWrap/>
        <w:overflowPunct/>
        <w:topLinePunct w:val="0"/>
        <w:bidi w:val="0"/>
        <w:adjustRightInd/>
        <w:snapToGrid/>
        <w:spacing w:line="360" w:lineRule="auto"/>
        <w:ind w:firstLine="422" w:firstLineChars="200"/>
        <w:jc w:val="left"/>
        <w:outlineLvl w:val="2"/>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第五条  违约与赔偿</w:t>
      </w:r>
      <w:bookmarkEnd w:id="42"/>
    </w:p>
    <w:p w14:paraId="512B3B59">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5.1 发包人的违约</w:t>
      </w:r>
    </w:p>
    <w:p w14:paraId="1457786A">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在合同履行期间，发包人要求终止或解除合同的（但并非中标人原因造成），发包人应按中标人完成的实际工作量支付费用。</w:t>
      </w:r>
    </w:p>
    <w:p w14:paraId="0F0307C5">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5.2 咨询单位的违约</w:t>
      </w:r>
    </w:p>
    <w:p w14:paraId="3E3C1199">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（1）咨询单位将咨询服务工作任务转包，或者未经发包人同意私自分包的，发包人将有权中止合同，并计扣咨询单位合同价5-10%的违约金。</w:t>
      </w:r>
    </w:p>
    <w:p w14:paraId="4AF9F883">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（2）乙方未按照国家现行的标准或规范开展工作、编制相应报告，或未根据甲方的指令进行变更，给甲方造成损失等，如发生上述任何行为，除由有关部门给予处罚外，甲方将扣除合同价的5%～10%作为罚金。</w:t>
      </w:r>
    </w:p>
    <w:p w14:paraId="12AA0196">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（3）因编制报告深度不够、质量低劣、不符合国家文件规定或报告未通过评审、引起返工而造成的质量问题除由乙方负责继续完善报告编制外，应视造成的损失，甲方可扣除乙方合同价的2%～10%作为罚金。</w:t>
      </w:r>
    </w:p>
    <w:p w14:paraId="2B1B5016">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如果乙方未能按期提交各阶段成果文件（甲方同意延长期限的情况除外），则每延期15天（不足15天按15天计），甲方将扣除合同费用总金额的1%作为延期违约金。延期违约金上限为合同费用总金额的10%，达到该上限金额的，甲方可单方面终止合同，且后续未支付费用将不再支付，给甲方造成损失的，甲方有权要求乙方赔偿其直接经济损失。</w:t>
      </w:r>
    </w:p>
    <w:p w14:paraId="5A3883FE">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b/>
          <w:bCs/>
          <w:snapToGrid/>
          <w:kern w:val="21"/>
          <w:sz w:val="21"/>
          <w:szCs w:val="21"/>
          <w:highlight w:val="none"/>
        </w:rPr>
      </w:pPr>
      <w:r>
        <w:rPr>
          <w:rFonts w:hint="eastAsia" w:ascii="宋体" w:hAnsi="宋体" w:eastAsia="宋体" w:cs="宋体"/>
          <w:snapToGrid/>
          <w:kern w:val="21"/>
          <w:sz w:val="21"/>
          <w:szCs w:val="21"/>
          <w:highlight w:val="none"/>
        </w:rPr>
        <w:t>（5）合同生效后，如果乙方更换投标文件中承诺的项目负责人和其他主要人员，必须征得发包人的同意，并且更换人员的水平不得低于原有的水平，同时，发包人将保留对咨询单位罚款的权力：其中更换项目负责人按</w:t>
      </w:r>
      <w:r>
        <w:rPr>
          <w:rFonts w:hint="eastAsia" w:ascii="宋体" w:hAnsi="宋体" w:eastAsia="宋体" w:cs="宋体"/>
          <w:snapToGrid/>
          <w:kern w:val="21"/>
          <w:sz w:val="21"/>
          <w:szCs w:val="21"/>
          <w:highlight w:val="none"/>
          <w:lang w:val="en-US" w:eastAsia="zh-CN"/>
        </w:rPr>
        <w:t>1</w:t>
      </w:r>
      <w:r>
        <w:rPr>
          <w:rFonts w:hint="eastAsia" w:ascii="宋体" w:hAnsi="宋体" w:eastAsia="宋体" w:cs="宋体"/>
          <w:snapToGrid/>
          <w:kern w:val="21"/>
          <w:sz w:val="21"/>
          <w:szCs w:val="21"/>
          <w:highlight w:val="none"/>
        </w:rPr>
        <w:t>万元/人次处以罚金，其他主要人员</w:t>
      </w:r>
      <w:r>
        <w:rPr>
          <w:rFonts w:hint="eastAsia" w:ascii="宋体" w:hAnsi="宋体" w:eastAsia="宋体" w:cs="宋体"/>
          <w:snapToGrid/>
          <w:kern w:val="21"/>
          <w:sz w:val="21"/>
          <w:szCs w:val="21"/>
          <w:highlight w:val="none"/>
          <w:lang w:val="en-US" w:eastAsia="zh-CN"/>
        </w:rPr>
        <w:t>5000</w:t>
      </w:r>
      <w:r>
        <w:rPr>
          <w:rFonts w:hint="eastAsia" w:ascii="宋体" w:hAnsi="宋体" w:eastAsia="宋体" w:cs="宋体"/>
          <w:snapToGrid/>
          <w:kern w:val="21"/>
          <w:sz w:val="21"/>
          <w:szCs w:val="21"/>
          <w:highlight w:val="none"/>
        </w:rPr>
        <w:t>元/人次。</w:t>
      </w:r>
      <w:r>
        <w:rPr>
          <w:rFonts w:hint="eastAsia" w:ascii="宋体" w:hAnsi="宋体" w:eastAsia="宋体" w:cs="宋体"/>
          <w:b/>
          <w:bCs/>
          <w:snapToGrid/>
          <w:kern w:val="21"/>
          <w:sz w:val="21"/>
          <w:szCs w:val="21"/>
          <w:highlight w:val="none"/>
        </w:rPr>
        <w:t>如果乙方擅自更换投标文件中承诺的项目负责人和其他主要人员的</w:t>
      </w:r>
      <w:r>
        <w:rPr>
          <w:rFonts w:hint="eastAsia" w:ascii="宋体" w:hAnsi="宋体" w:eastAsia="宋体" w:cs="宋体"/>
          <w:b/>
          <w:bCs/>
          <w:snapToGrid/>
          <w:color w:val="000000"/>
          <w:kern w:val="21"/>
          <w:sz w:val="21"/>
          <w:szCs w:val="21"/>
          <w:highlight w:val="none"/>
        </w:rPr>
        <w:t>，将予以处罚，具体处罚金额如下：</w:t>
      </w:r>
      <w:r>
        <w:rPr>
          <w:rFonts w:hint="eastAsia" w:ascii="宋体" w:hAnsi="宋体" w:eastAsia="宋体" w:cs="宋体"/>
          <w:b/>
          <w:bCs/>
          <w:snapToGrid/>
          <w:kern w:val="21"/>
          <w:sz w:val="21"/>
          <w:szCs w:val="21"/>
          <w:highlight w:val="none"/>
          <w:lang w:val="en-US" w:eastAsia="zh-CN"/>
        </w:rPr>
        <w:t>2</w:t>
      </w:r>
      <w:r>
        <w:rPr>
          <w:rFonts w:hint="eastAsia" w:ascii="宋体" w:hAnsi="宋体" w:eastAsia="宋体" w:cs="宋体"/>
          <w:b/>
          <w:bCs/>
          <w:snapToGrid/>
          <w:kern w:val="21"/>
          <w:sz w:val="21"/>
          <w:szCs w:val="21"/>
          <w:highlight w:val="none"/>
        </w:rPr>
        <w:t>万元/人次处以罚金，其他主要人员</w:t>
      </w:r>
      <w:r>
        <w:rPr>
          <w:rFonts w:hint="eastAsia" w:ascii="宋体" w:hAnsi="宋体" w:eastAsia="宋体" w:cs="宋体"/>
          <w:b/>
          <w:bCs/>
          <w:snapToGrid/>
          <w:kern w:val="21"/>
          <w:sz w:val="21"/>
          <w:szCs w:val="21"/>
          <w:highlight w:val="none"/>
          <w:lang w:val="en-US" w:eastAsia="zh-CN"/>
        </w:rPr>
        <w:t>1</w:t>
      </w:r>
      <w:r>
        <w:rPr>
          <w:rFonts w:hint="eastAsia" w:ascii="宋体" w:hAnsi="宋体" w:eastAsia="宋体" w:cs="宋体"/>
          <w:b/>
          <w:bCs/>
          <w:snapToGrid/>
          <w:kern w:val="21"/>
          <w:sz w:val="21"/>
          <w:szCs w:val="21"/>
          <w:highlight w:val="none"/>
        </w:rPr>
        <w:t>万元/人次。</w:t>
      </w:r>
    </w:p>
    <w:p w14:paraId="09601440">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（6）合同生效后，如乙方提出终止合同，除履约保证金不予退还外，还应承担由此给甲方带来的的一切直接损失。</w:t>
      </w:r>
    </w:p>
    <w:p w14:paraId="1CC508DC">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若发生上述（1）—（3）情况中任一款甲方有权收回已委托乙方的全部或部分工作，乙方无条件接受。</w:t>
      </w:r>
    </w:p>
    <w:p w14:paraId="04C5BBE0">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5.3 责任的期限</w:t>
      </w:r>
    </w:p>
    <w:p w14:paraId="485BA165">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责任与义务期限为合同书中规定的时间范围。</w:t>
      </w:r>
    </w:p>
    <w:p w14:paraId="46228D5C">
      <w:pPr>
        <w:keepNext/>
        <w:keepLines/>
        <w:pageBreakBefore w:val="0"/>
        <w:widowControl w:val="0"/>
        <w:wordWrap/>
        <w:overflowPunct/>
        <w:topLinePunct w:val="0"/>
        <w:bidi w:val="0"/>
        <w:adjustRightInd/>
        <w:snapToGrid/>
        <w:spacing w:line="360" w:lineRule="auto"/>
        <w:ind w:firstLine="422" w:firstLineChars="200"/>
        <w:jc w:val="left"/>
        <w:outlineLvl w:val="2"/>
        <w:rPr>
          <w:rFonts w:hint="eastAsia" w:ascii="宋体" w:hAnsi="宋体" w:eastAsia="宋体" w:cs="宋体"/>
          <w:b/>
          <w:bCs w:val="0"/>
          <w:sz w:val="21"/>
          <w:szCs w:val="21"/>
          <w:highlight w:val="none"/>
        </w:rPr>
      </w:pPr>
      <w:bookmarkStart w:id="43" w:name="_Toc258313644"/>
      <w:r>
        <w:rPr>
          <w:rFonts w:hint="eastAsia" w:ascii="宋体" w:hAnsi="宋体" w:eastAsia="宋体" w:cs="宋体"/>
          <w:b/>
          <w:bCs w:val="0"/>
          <w:sz w:val="21"/>
          <w:szCs w:val="21"/>
          <w:highlight w:val="none"/>
        </w:rPr>
        <w:t>第六条  合同的生效、变更与终止</w:t>
      </w:r>
      <w:bookmarkEnd w:id="43"/>
    </w:p>
    <w:p w14:paraId="38F99A81">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6.1 合同的生效</w:t>
      </w:r>
    </w:p>
    <w:p w14:paraId="0BBDD824">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合同书自双方签字盖章后所有合同文件生效。咨询单位工作的开始和完成时间按照合同书的规定执行。</w:t>
      </w:r>
    </w:p>
    <w:p w14:paraId="0F1DDE78">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6.2 合同文件的优先次序</w:t>
      </w:r>
    </w:p>
    <w:p w14:paraId="26EF153F">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组成合同的各个文件应该认为是一个整体，互为补充和解释，如果有互相矛盾处，以下面所列顺序在前者为准：</w:t>
      </w:r>
    </w:p>
    <w:p w14:paraId="7424152C">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（1）合同书及附件（含澄清文件）（如需要）；</w:t>
      </w:r>
    </w:p>
    <w:p w14:paraId="55F3E137">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（2）中标通知书；</w:t>
      </w:r>
    </w:p>
    <w:p w14:paraId="10709E7F">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（3）投标函及附表；</w:t>
      </w:r>
    </w:p>
    <w:p w14:paraId="073ABF5C">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（4）合同条款；</w:t>
      </w:r>
    </w:p>
    <w:p w14:paraId="6414BDB6">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（5）技术规范；</w:t>
      </w:r>
    </w:p>
    <w:p w14:paraId="6D56F55D">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（6）招标文件其它内容；</w:t>
      </w:r>
    </w:p>
    <w:p w14:paraId="5BFD5BA5">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（7）投标文件；</w:t>
      </w:r>
    </w:p>
    <w:p w14:paraId="26FBDE1C">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（8）构成本合同组成的</w:t>
      </w:r>
      <w:r>
        <w:rPr>
          <w:rFonts w:hint="eastAsia" w:ascii="宋体" w:hAnsi="宋体" w:eastAsia="宋体" w:cs="宋体"/>
          <w:snapToGrid/>
          <w:kern w:val="21"/>
          <w:sz w:val="21"/>
          <w:szCs w:val="21"/>
          <w:highlight w:val="none"/>
          <w:lang w:val="zh-CN"/>
        </w:rPr>
        <w:t>其他文件。</w:t>
      </w:r>
    </w:p>
    <w:p w14:paraId="5AB89992">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6.3 履约担保</w:t>
      </w:r>
    </w:p>
    <w:p w14:paraId="074BE755">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咨询单位应按投标人须知前附表规定的金额和方式向发包人提交履约担保。</w:t>
      </w:r>
      <w:r>
        <w:rPr>
          <w:rFonts w:hint="eastAsia" w:ascii="宋体" w:hAnsi="宋体" w:eastAsia="宋体" w:cs="宋体"/>
          <w:bCs/>
          <w:snapToGrid/>
          <w:kern w:val="21"/>
          <w:sz w:val="21"/>
          <w:szCs w:val="21"/>
          <w:highlight w:val="none"/>
        </w:rPr>
        <w:t>如采用银行保函形式</w:t>
      </w:r>
      <w:r>
        <w:rPr>
          <w:rFonts w:hint="eastAsia" w:ascii="宋体" w:hAnsi="宋体" w:eastAsia="宋体" w:cs="宋体"/>
          <w:snapToGrid/>
          <w:kern w:val="21"/>
          <w:sz w:val="21"/>
          <w:szCs w:val="21"/>
          <w:highlight w:val="none"/>
        </w:rPr>
        <w:t>（保函格式、内容需获得发包人认可）</w:t>
      </w:r>
      <w:r>
        <w:rPr>
          <w:rFonts w:hint="eastAsia" w:ascii="宋体" w:hAnsi="宋体" w:eastAsia="宋体" w:cs="宋体"/>
          <w:bCs/>
          <w:snapToGrid/>
          <w:kern w:val="21"/>
          <w:sz w:val="21"/>
          <w:szCs w:val="21"/>
          <w:highlight w:val="none"/>
        </w:rPr>
        <w:t>，则开具保函的银行级别应为国有商业银行或股份制商业银行的支行及其以上级别</w:t>
      </w:r>
      <w:r>
        <w:rPr>
          <w:rFonts w:hint="eastAsia" w:ascii="宋体" w:hAnsi="宋体" w:eastAsia="宋体" w:cs="宋体"/>
          <w:snapToGrid/>
          <w:kern w:val="21"/>
          <w:sz w:val="21"/>
          <w:szCs w:val="21"/>
          <w:highlight w:val="none"/>
        </w:rPr>
        <w:t>。</w:t>
      </w:r>
    </w:p>
    <w:p w14:paraId="1CCA75E0">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6.4 延误</w:t>
      </w:r>
    </w:p>
    <w:p w14:paraId="5E359E2C">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由于发包人或不可抗力等因素，导致服务增加和时间延续则：</w:t>
      </w:r>
    </w:p>
    <w:p w14:paraId="5182C900">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（1）咨询单位应将此情况与可能产生的影响尽快通知发包人，并采取合理措施使损失减至最低；</w:t>
      </w:r>
    </w:p>
    <w:p w14:paraId="51856556">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（2）咨询单位应保持详细原始记录。</w:t>
      </w:r>
    </w:p>
    <w:p w14:paraId="348CB0B8">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3）由于发包人或不可抗力等因素，咨询单位无法履行合同的，咨询单位可以提出终止合同，并于28天前以书面形式通知发包人，由此造成的损失，应由发包人根据合同单价和咨询单位实际完成的工作量予以赔偿。</w:t>
      </w:r>
    </w:p>
    <w:p w14:paraId="342969A7">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6.5 推迟与终止</w:t>
      </w:r>
    </w:p>
    <w:p w14:paraId="45F49313">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（1）发包人可以在至少7天以前以书面通知咨询单位暂停全部或部分咨询服务工作或终止本合同书，一旦收到此类通知，咨询单位应立即安排停止计划并将费用减到最小。</w:t>
      </w:r>
    </w:p>
    <w:p w14:paraId="34615E2A">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2）发包人认为咨询单位无正当理由而未履行本合同规定的责任与义务时，应书面通知咨询单位，并说明理由。若发包人在7天内没有收到满意的答复，发包人可以发出进一步的通知终止本合同，但此进一步的通知必须在第一个通知发出14天后发出。</w:t>
      </w:r>
    </w:p>
    <w:p w14:paraId="799236B7">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6.6 合同终止不影响权利和责任</w:t>
      </w:r>
    </w:p>
    <w:p w14:paraId="2D6D6BDC">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不论何种原因，本合同的终止，不应损害和影响各方应有的权利、索赔要求和应负的责任。</w:t>
      </w:r>
    </w:p>
    <w:p w14:paraId="60446DDF">
      <w:pPr>
        <w:keepNext/>
        <w:keepLines/>
        <w:pageBreakBefore w:val="0"/>
        <w:widowControl w:val="0"/>
        <w:wordWrap/>
        <w:overflowPunct/>
        <w:topLinePunct w:val="0"/>
        <w:bidi w:val="0"/>
        <w:adjustRightInd/>
        <w:snapToGrid/>
        <w:spacing w:line="360" w:lineRule="auto"/>
        <w:ind w:firstLine="422" w:firstLineChars="200"/>
        <w:jc w:val="left"/>
        <w:outlineLvl w:val="2"/>
        <w:rPr>
          <w:rFonts w:hint="eastAsia" w:ascii="宋体" w:hAnsi="宋体" w:eastAsia="宋体" w:cs="宋体"/>
          <w:b/>
          <w:bCs w:val="0"/>
          <w:sz w:val="21"/>
          <w:szCs w:val="21"/>
          <w:highlight w:val="none"/>
        </w:rPr>
      </w:pPr>
      <w:bookmarkStart w:id="44" w:name="_Toc258313645"/>
      <w:r>
        <w:rPr>
          <w:rFonts w:hint="eastAsia" w:ascii="宋体" w:hAnsi="宋体" w:eastAsia="宋体" w:cs="宋体"/>
          <w:b/>
          <w:bCs w:val="0"/>
          <w:sz w:val="21"/>
          <w:szCs w:val="21"/>
          <w:highlight w:val="none"/>
        </w:rPr>
        <w:t>第七条   费用与支付</w:t>
      </w:r>
      <w:bookmarkEnd w:id="44"/>
    </w:p>
    <w:p w14:paraId="6F9E7F52">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7.1 咨询服务费用及支付时间</w:t>
      </w:r>
    </w:p>
    <w:p w14:paraId="55111E4A">
      <w:pPr>
        <w:keepNext w:val="0"/>
        <w:keepLines w:val="0"/>
        <w:pageBreakBefore w:val="0"/>
        <w:widowControl w:val="0"/>
        <w:wordWrap/>
        <w:overflowPunct/>
        <w:topLinePunct w:val="0"/>
        <w:bidi w:val="0"/>
        <w:adjustRightInd/>
        <w:snapToGrid/>
        <w:spacing w:line="360" w:lineRule="auto"/>
        <w:ind w:firstLine="422" w:firstLineChars="200"/>
        <w:jc w:val="both"/>
        <w:rPr>
          <w:rFonts w:hint="eastAsia" w:ascii="宋体" w:hAnsi="宋体" w:eastAsia="宋体" w:cs="宋体"/>
          <w:b/>
          <w:bCs/>
          <w:snapToGrid/>
          <w:kern w:val="21"/>
          <w:sz w:val="21"/>
          <w:szCs w:val="21"/>
          <w:highlight w:val="none"/>
        </w:rPr>
      </w:pPr>
      <w:r>
        <w:rPr>
          <w:rFonts w:hint="eastAsia" w:ascii="宋体" w:hAnsi="宋体" w:eastAsia="宋体" w:cs="宋体"/>
          <w:b/>
          <w:bCs/>
          <w:snapToGrid/>
          <w:kern w:val="21"/>
          <w:sz w:val="21"/>
          <w:szCs w:val="21"/>
          <w:highlight w:val="none"/>
          <w:lang w:val="en-US" w:eastAsia="zh-CN"/>
        </w:rPr>
        <w:t>（1）</w:t>
      </w:r>
      <w:r>
        <w:rPr>
          <w:rFonts w:hint="eastAsia" w:ascii="宋体" w:hAnsi="宋体" w:eastAsia="宋体" w:cs="宋体"/>
          <w:b/>
          <w:bCs/>
          <w:snapToGrid/>
          <w:kern w:val="21"/>
          <w:sz w:val="21"/>
          <w:szCs w:val="21"/>
          <w:highlight w:val="none"/>
          <w:lang w:val="en-US"/>
        </w:rPr>
        <w:t>本项目采用</w:t>
      </w:r>
      <w:r>
        <w:rPr>
          <w:rFonts w:hint="eastAsia" w:ascii="宋体" w:hAnsi="宋体" w:eastAsia="宋体" w:cs="宋体"/>
          <w:b/>
          <w:bCs/>
          <w:snapToGrid/>
          <w:kern w:val="21"/>
          <w:sz w:val="21"/>
          <w:szCs w:val="21"/>
          <w:highlight w:val="none"/>
          <w:lang w:val="en-US" w:eastAsia="zh-CN"/>
        </w:rPr>
        <w:t>固定单价</w:t>
      </w:r>
      <w:r>
        <w:rPr>
          <w:rFonts w:hint="eastAsia" w:ascii="宋体" w:hAnsi="宋体" w:eastAsia="宋体" w:cs="宋体"/>
          <w:b/>
          <w:bCs/>
          <w:snapToGrid/>
          <w:kern w:val="21"/>
          <w:sz w:val="21"/>
          <w:szCs w:val="21"/>
          <w:highlight w:val="none"/>
          <w:lang w:val="en-US"/>
        </w:rPr>
        <w:t>合同。合同实施期间，</w:t>
      </w:r>
      <w:r>
        <w:rPr>
          <w:rFonts w:hint="eastAsia" w:ascii="宋体" w:hAnsi="宋体" w:cs="宋体"/>
          <w:b/>
          <w:bCs/>
          <w:snapToGrid/>
          <w:kern w:val="21"/>
          <w:sz w:val="21"/>
          <w:szCs w:val="21"/>
          <w:highlight w:val="none"/>
          <w:lang w:val="en-US" w:eastAsia="zh-CN"/>
        </w:rPr>
        <w:t>合同</w:t>
      </w:r>
      <w:r>
        <w:rPr>
          <w:rFonts w:hint="eastAsia" w:ascii="宋体" w:hAnsi="宋体" w:eastAsia="宋体" w:cs="宋体"/>
          <w:b/>
          <w:bCs/>
          <w:snapToGrid/>
          <w:kern w:val="21"/>
          <w:sz w:val="21"/>
          <w:szCs w:val="21"/>
          <w:highlight w:val="none"/>
          <w:lang w:val="en-US" w:eastAsia="zh-CN"/>
        </w:rPr>
        <w:t>单价</w:t>
      </w:r>
      <w:r>
        <w:rPr>
          <w:rFonts w:hint="eastAsia" w:ascii="宋体" w:hAnsi="宋体" w:eastAsia="宋体" w:cs="宋体"/>
          <w:b/>
          <w:bCs/>
          <w:snapToGrid/>
          <w:kern w:val="21"/>
          <w:sz w:val="21"/>
          <w:szCs w:val="21"/>
          <w:highlight w:val="none"/>
          <w:lang w:val="en-US"/>
        </w:rPr>
        <w:t>不随国家政策或法规、标准及市场因素的变化而进行调整。也不因实际服务周期的延长或缩短而调整。</w:t>
      </w:r>
      <w:r>
        <w:rPr>
          <w:rFonts w:hint="eastAsia" w:ascii="宋体" w:hAnsi="宋体" w:eastAsia="宋体" w:cs="宋体"/>
          <w:b/>
          <w:bCs/>
          <w:snapToGrid/>
          <w:kern w:val="21"/>
          <w:sz w:val="21"/>
          <w:szCs w:val="21"/>
          <w:highlight w:val="none"/>
        </w:rPr>
        <w:t>合同执行期间，办理手续时，相关部门有新增工作内容的，中标人</w:t>
      </w:r>
      <w:r>
        <w:rPr>
          <w:rFonts w:hint="eastAsia" w:ascii="宋体" w:hAnsi="宋体" w:eastAsia="宋体" w:cs="宋体"/>
          <w:b/>
          <w:bCs/>
          <w:snapToGrid/>
          <w:kern w:val="21"/>
          <w:sz w:val="21"/>
          <w:szCs w:val="21"/>
          <w:highlight w:val="none"/>
          <w:lang w:val="en-US"/>
        </w:rPr>
        <w:t>须</w:t>
      </w:r>
      <w:r>
        <w:rPr>
          <w:rFonts w:hint="eastAsia" w:ascii="宋体" w:hAnsi="宋体" w:eastAsia="宋体" w:cs="宋体"/>
          <w:b/>
          <w:bCs/>
          <w:snapToGrid/>
          <w:kern w:val="21"/>
          <w:sz w:val="21"/>
          <w:szCs w:val="21"/>
          <w:highlight w:val="none"/>
        </w:rPr>
        <w:t>按要求完成，合同</w:t>
      </w:r>
      <w:r>
        <w:rPr>
          <w:rFonts w:hint="eastAsia" w:ascii="宋体" w:hAnsi="宋体" w:eastAsia="宋体" w:cs="宋体"/>
          <w:b/>
          <w:bCs/>
          <w:snapToGrid/>
          <w:kern w:val="21"/>
          <w:sz w:val="21"/>
          <w:szCs w:val="21"/>
          <w:highlight w:val="none"/>
          <w:lang w:val="en-US" w:eastAsia="zh-CN"/>
        </w:rPr>
        <w:t>单价</w:t>
      </w:r>
      <w:r>
        <w:rPr>
          <w:rFonts w:hint="eastAsia" w:ascii="宋体" w:hAnsi="宋体" w:eastAsia="宋体" w:cs="宋体"/>
          <w:b/>
          <w:bCs/>
          <w:snapToGrid/>
          <w:kern w:val="21"/>
          <w:sz w:val="21"/>
          <w:szCs w:val="21"/>
          <w:highlight w:val="none"/>
        </w:rPr>
        <w:t>不予增加或调整。</w:t>
      </w:r>
    </w:p>
    <w:p w14:paraId="43054965">
      <w:pPr>
        <w:keepNext w:val="0"/>
        <w:keepLines w:val="0"/>
        <w:pageBreakBefore w:val="0"/>
        <w:widowControl w:val="0"/>
        <w:wordWrap/>
        <w:overflowPunct/>
        <w:topLinePunct w:val="0"/>
        <w:bidi w:val="0"/>
        <w:adjustRightInd/>
        <w:snapToGrid/>
        <w:spacing w:line="360" w:lineRule="auto"/>
        <w:ind w:firstLine="422" w:firstLineChars="200"/>
        <w:jc w:val="both"/>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（2）关于报价清单的说明</w:t>
      </w:r>
    </w:p>
    <w:p w14:paraId="2925876D">
      <w:pPr>
        <w:keepNext w:val="0"/>
        <w:keepLines w:val="0"/>
        <w:pageBreakBefore w:val="0"/>
        <w:widowControl w:val="0"/>
        <w:wordWrap/>
        <w:overflowPunct/>
        <w:topLinePunct w:val="0"/>
        <w:bidi w:val="0"/>
        <w:adjustRightInd/>
        <w:snapToGrid/>
        <w:spacing w:line="360" w:lineRule="auto"/>
        <w:ind w:firstLine="422" w:firstLineChars="200"/>
        <w:jc w:val="both"/>
        <w:rPr>
          <w:rFonts w:hint="eastAsia" w:ascii="宋体" w:hAnsi="宋体" w:eastAsia="宋体" w:cs="宋体"/>
          <w:b/>
          <w:bCs/>
          <w:snapToGrid/>
          <w:kern w:val="21"/>
          <w:sz w:val="21"/>
          <w:szCs w:val="21"/>
          <w:highlight w:val="none"/>
          <w:lang w:val="zh-CN" w:eastAsia="zh-CN"/>
        </w:rPr>
      </w:pPr>
      <w:r>
        <w:rPr>
          <w:rFonts w:hint="eastAsia" w:ascii="宋体" w:hAnsi="宋体" w:eastAsia="宋体" w:cs="宋体"/>
          <w:b/>
          <w:bCs/>
          <w:snapToGrid/>
          <w:kern w:val="21"/>
          <w:sz w:val="21"/>
          <w:szCs w:val="21"/>
          <w:highlight w:val="none"/>
          <w:lang w:val="en-US" w:eastAsia="zh-CN"/>
        </w:rPr>
        <w:t>①报价清单</w:t>
      </w:r>
      <w:r>
        <w:rPr>
          <w:rFonts w:hint="eastAsia" w:ascii="宋体" w:hAnsi="宋体" w:eastAsia="宋体" w:cs="宋体"/>
          <w:b/>
          <w:bCs/>
          <w:snapToGrid/>
          <w:kern w:val="21"/>
          <w:sz w:val="21"/>
          <w:szCs w:val="21"/>
          <w:highlight w:val="none"/>
          <w:lang w:val="zh-CN" w:eastAsia="zh-CN"/>
        </w:rPr>
        <w:t>中所列数量是估算的数量，仅作为投标报价的基础，不能作为最终结算与支付的依据。实际支付应按实际完成的工程量计量，</w:t>
      </w:r>
      <w:r>
        <w:rPr>
          <w:rFonts w:hint="eastAsia" w:ascii="宋体" w:hAnsi="宋体" w:cs="宋体"/>
          <w:b/>
          <w:bCs/>
          <w:snapToGrid/>
          <w:kern w:val="21"/>
          <w:sz w:val="21"/>
          <w:szCs w:val="21"/>
          <w:highlight w:val="none"/>
          <w:lang w:val="zh-CN" w:eastAsia="zh-CN"/>
        </w:rPr>
        <w:t>按本工程量清单的单价计算支付金额</w:t>
      </w:r>
      <w:r>
        <w:rPr>
          <w:rFonts w:hint="eastAsia" w:ascii="宋体" w:hAnsi="宋体" w:eastAsia="宋体" w:cs="宋体"/>
          <w:b/>
          <w:bCs/>
          <w:snapToGrid/>
          <w:kern w:val="21"/>
          <w:sz w:val="21"/>
          <w:szCs w:val="21"/>
          <w:highlight w:val="none"/>
          <w:lang w:val="zh-CN" w:eastAsia="zh-CN"/>
        </w:rPr>
        <w:t>。</w:t>
      </w:r>
    </w:p>
    <w:p w14:paraId="2C7378FF">
      <w:pPr>
        <w:keepNext w:val="0"/>
        <w:keepLines w:val="0"/>
        <w:pageBreakBefore w:val="0"/>
        <w:widowControl w:val="0"/>
        <w:wordWrap/>
        <w:overflowPunct/>
        <w:topLinePunct w:val="0"/>
        <w:bidi w:val="0"/>
        <w:adjustRightInd/>
        <w:snapToGrid/>
        <w:spacing w:line="360" w:lineRule="auto"/>
        <w:ind w:firstLine="422" w:firstLineChars="200"/>
        <w:jc w:val="both"/>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②</w:t>
      </w:r>
      <w:r>
        <w:rPr>
          <w:rFonts w:hint="eastAsia" w:ascii="宋体" w:hAnsi="宋体" w:cs="宋体"/>
          <w:b/>
          <w:bCs/>
          <w:snapToGrid/>
          <w:kern w:val="21"/>
          <w:sz w:val="21"/>
          <w:szCs w:val="21"/>
          <w:highlight w:val="none"/>
          <w:lang w:val="zh-CN" w:eastAsia="zh-CN"/>
        </w:rPr>
        <w:t>实际完成的工程量计算方法</w:t>
      </w:r>
      <w:r>
        <w:rPr>
          <w:rFonts w:hint="eastAsia" w:ascii="宋体" w:hAnsi="宋体" w:eastAsia="宋体" w:cs="宋体"/>
          <w:b/>
          <w:bCs/>
          <w:snapToGrid/>
          <w:kern w:val="21"/>
          <w:sz w:val="21"/>
          <w:szCs w:val="21"/>
          <w:highlight w:val="none"/>
          <w:lang w:val="en-US" w:eastAsia="zh-CN"/>
        </w:rPr>
        <w:t>:</w:t>
      </w:r>
    </w:p>
    <w:p w14:paraId="61FC0A10">
      <w:pPr>
        <w:keepNext w:val="0"/>
        <w:keepLines w:val="0"/>
        <w:pageBreakBefore w:val="0"/>
        <w:widowControl w:val="0"/>
        <w:wordWrap/>
        <w:overflowPunct/>
        <w:topLinePunct w:val="0"/>
        <w:bidi w:val="0"/>
        <w:adjustRightInd/>
        <w:snapToGrid/>
        <w:spacing w:line="360" w:lineRule="auto"/>
        <w:ind w:firstLine="422" w:firstLineChars="200"/>
        <w:jc w:val="both"/>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连申线南通段三级航道整治工程：以用地批复文件中的征地面积扣除已办理国有土地划拨手续的面积为准。</w:t>
      </w:r>
    </w:p>
    <w:p w14:paraId="220DC35E">
      <w:pPr>
        <w:keepNext w:val="0"/>
        <w:keepLines w:val="0"/>
        <w:pageBreakBefore w:val="0"/>
        <w:widowControl w:val="0"/>
        <w:wordWrap/>
        <w:overflowPunct/>
        <w:topLinePunct w:val="0"/>
        <w:bidi w:val="0"/>
        <w:adjustRightInd/>
        <w:snapToGrid/>
        <w:spacing w:line="360" w:lineRule="auto"/>
        <w:ind w:firstLine="422" w:firstLineChars="200"/>
        <w:jc w:val="both"/>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连申线南通段航道提升工程：以用地批复文件中的征地面积为准。</w:t>
      </w:r>
    </w:p>
    <w:p w14:paraId="4DB33F81">
      <w:pPr>
        <w:keepNext w:val="0"/>
        <w:keepLines w:val="0"/>
        <w:pageBreakBefore w:val="0"/>
        <w:widowControl w:val="0"/>
        <w:wordWrap/>
        <w:overflowPunct/>
        <w:topLinePunct w:val="0"/>
        <w:bidi w:val="0"/>
        <w:adjustRightInd/>
        <w:snapToGrid/>
        <w:spacing w:line="360" w:lineRule="auto"/>
        <w:ind w:firstLine="422" w:firstLineChars="200"/>
        <w:jc w:val="both"/>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③连申线南通段三级航道整治工程实际征地面积为292.9097公顷，其中焦港船闸（495246m2）、如皋水上服务区（16065m2）已办理国有土地划拨手续。</w:t>
      </w:r>
    </w:p>
    <w:p w14:paraId="7F70F4BE">
      <w:pPr>
        <w:keepNext w:val="0"/>
        <w:keepLines w:val="0"/>
        <w:pageBreakBefore w:val="0"/>
        <w:widowControl w:val="0"/>
        <w:wordWrap/>
        <w:overflowPunct/>
        <w:topLinePunct w:val="0"/>
        <w:bidi w:val="0"/>
        <w:adjustRightInd/>
        <w:snapToGrid/>
        <w:spacing w:line="360" w:lineRule="auto"/>
        <w:ind w:firstLine="422" w:firstLineChars="200"/>
        <w:jc w:val="both"/>
        <w:rPr>
          <w:rFonts w:hint="eastAsia" w:ascii="宋体" w:hAnsi="宋体" w:eastAsia="宋体" w:cs="宋体"/>
          <w:b/>
          <w:bCs/>
          <w:snapToGrid/>
          <w:kern w:val="21"/>
          <w:sz w:val="21"/>
          <w:szCs w:val="21"/>
          <w:highlight w:val="none"/>
        </w:rPr>
      </w:pPr>
      <w:r>
        <w:rPr>
          <w:rFonts w:hint="eastAsia" w:ascii="宋体" w:hAnsi="宋体" w:eastAsia="宋体" w:cs="宋体"/>
          <w:b/>
          <w:bCs/>
          <w:snapToGrid/>
          <w:kern w:val="21"/>
          <w:sz w:val="21"/>
          <w:szCs w:val="21"/>
          <w:highlight w:val="none"/>
          <w:lang w:val="en-US" w:eastAsia="zh-CN"/>
        </w:rPr>
        <w:t>连申线南通段航道提升工程工可暂未报批，拟新增用地73.5公顷为暂定工程量，</w:t>
      </w:r>
      <w:r>
        <w:rPr>
          <w:rFonts w:hint="eastAsia" w:ascii="宋体" w:hAnsi="宋体" w:eastAsia="宋体" w:cs="宋体"/>
          <w:b/>
          <w:bCs/>
          <w:snapToGrid/>
          <w:kern w:val="21"/>
          <w:sz w:val="21"/>
          <w:szCs w:val="21"/>
          <w:highlight w:val="none"/>
          <w:lang w:val="zh-CN" w:eastAsia="zh-CN"/>
        </w:rPr>
        <w:t>实际支付应按</w:t>
      </w:r>
      <w:r>
        <w:rPr>
          <w:rFonts w:hint="eastAsia" w:ascii="宋体" w:hAnsi="宋体" w:eastAsia="宋体" w:cs="宋体"/>
          <w:b/>
          <w:bCs/>
          <w:snapToGrid/>
          <w:kern w:val="21"/>
          <w:sz w:val="21"/>
          <w:szCs w:val="21"/>
          <w:highlight w:val="none"/>
          <w:lang w:val="en-US" w:eastAsia="zh-CN"/>
        </w:rPr>
        <w:t>连申线南通段航道提升工程用地批复文件中的征地面积为准。</w:t>
      </w:r>
    </w:p>
    <w:p w14:paraId="56E7C921">
      <w:pPr>
        <w:keepNext w:val="0"/>
        <w:keepLines w:val="0"/>
        <w:pageBreakBefore w:val="0"/>
        <w:widowControl w:val="0"/>
        <w:wordWrap/>
        <w:overflowPunct/>
        <w:topLinePunct w:val="0"/>
        <w:bidi w:val="0"/>
        <w:adjustRightInd/>
        <w:snapToGrid/>
        <w:spacing w:line="360" w:lineRule="auto"/>
        <w:ind w:firstLine="422" w:firstLineChars="200"/>
        <w:jc w:val="both"/>
        <w:rPr>
          <w:rFonts w:hint="eastAsia" w:ascii="宋体" w:hAnsi="宋体" w:eastAsia="宋体" w:cs="宋体"/>
          <w:b/>
          <w:bCs/>
          <w:snapToGrid/>
          <w:kern w:val="21"/>
          <w:sz w:val="21"/>
          <w:szCs w:val="21"/>
          <w:highlight w:val="none"/>
        </w:rPr>
      </w:pPr>
      <w:r>
        <w:rPr>
          <w:rFonts w:hint="eastAsia" w:ascii="宋体" w:hAnsi="宋体" w:cs="宋体"/>
          <w:b/>
          <w:bCs/>
          <w:snapToGrid/>
          <w:kern w:val="21"/>
          <w:sz w:val="21"/>
          <w:szCs w:val="21"/>
          <w:highlight w:val="none"/>
          <w:lang w:eastAsia="zh-CN"/>
        </w:rPr>
        <w:t>（</w:t>
      </w:r>
      <w:r>
        <w:rPr>
          <w:rFonts w:hint="eastAsia" w:ascii="宋体" w:hAnsi="宋体" w:cs="宋体"/>
          <w:b/>
          <w:bCs/>
          <w:snapToGrid/>
          <w:kern w:val="21"/>
          <w:sz w:val="21"/>
          <w:szCs w:val="21"/>
          <w:highlight w:val="none"/>
          <w:lang w:val="en-US" w:eastAsia="zh-CN"/>
        </w:rPr>
        <w:t>3</w:t>
      </w:r>
      <w:r>
        <w:rPr>
          <w:rFonts w:hint="eastAsia" w:ascii="宋体" w:hAnsi="宋体" w:cs="宋体"/>
          <w:b/>
          <w:bCs/>
          <w:snapToGrid/>
          <w:kern w:val="21"/>
          <w:sz w:val="21"/>
          <w:szCs w:val="21"/>
          <w:highlight w:val="none"/>
          <w:lang w:eastAsia="zh-CN"/>
        </w:rPr>
        <w:t>）</w:t>
      </w:r>
      <w:r>
        <w:rPr>
          <w:rFonts w:hint="eastAsia" w:ascii="宋体" w:hAnsi="宋体" w:eastAsia="宋体" w:cs="宋体"/>
          <w:b/>
          <w:bCs/>
          <w:snapToGrid/>
          <w:kern w:val="21"/>
          <w:sz w:val="21"/>
          <w:szCs w:val="21"/>
          <w:highlight w:val="none"/>
        </w:rPr>
        <w:t>支付方式：</w:t>
      </w:r>
    </w:p>
    <w:p w14:paraId="11AF723F">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（1）取得连申线南通段三级航道整治工程文物主管部门批复后一个月内支付签约合同总价的40%；</w:t>
      </w:r>
    </w:p>
    <w:p w14:paraId="6550F35F">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（2）发包人取得连申线南通段三级航道整治工程国有土地划拨决定书后一个月内支付</w:t>
      </w:r>
      <w:r>
        <w:rPr>
          <w:rFonts w:hint="eastAsia" w:ascii="宋体" w:hAnsi="宋体" w:cs="宋体"/>
          <w:b/>
          <w:bCs/>
          <w:snapToGrid/>
          <w:kern w:val="21"/>
          <w:sz w:val="21"/>
          <w:szCs w:val="21"/>
          <w:highlight w:val="none"/>
          <w:lang w:val="en-US" w:eastAsia="zh-CN"/>
        </w:rPr>
        <w:t>至</w:t>
      </w:r>
      <w:r>
        <w:rPr>
          <w:rFonts w:hint="eastAsia" w:ascii="宋体" w:hAnsi="宋体" w:eastAsia="宋体" w:cs="宋体"/>
          <w:b/>
          <w:bCs/>
          <w:snapToGrid/>
          <w:kern w:val="21"/>
          <w:sz w:val="21"/>
          <w:szCs w:val="21"/>
          <w:highlight w:val="none"/>
          <w:lang w:val="en-US" w:eastAsia="zh-CN"/>
        </w:rPr>
        <w:t>签约合同总价的</w:t>
      </w:r>
      <w:r>
        <w:rPr>
          <w:rFonts w:hint="eastAsia" w:ascii="宋体" w:hAnsi="宋体" w:cs="宋体"/>
          <w:b/>
          <w:bCs/>
          <w:snapToGrid/>
          <w:kern w:val="21"/>
          <w:sz w:val="21"/>
          <w:szCs w:val="21"/>
          <w:highlight w:val="none"/>
          <w:lang w:val="en-US" w:eastAsia="zh-CN"/>
        </w:rPr>
        <w:t>6</w:t>
      </w:r>
      <w:r>
        <w:rPr>
          <w:rFonts w:hint="eastAsia" w:ascii="宋体" w:hAnsi="宋体" w:eastAsia="宋体" w:cs="宋体"/>
          <w:b/>
          <w:bCs/>
          <w:snapToGrid/>
          <w:kern w:val="21"/>
          <w:sz w:val="21"/>
          <w:szCs w:val="21"/>
          <w:highlight w:val="none"/>
          <w:lang w:val="en-US" w:eastAsia="zh-CN"/>
        </w:rPr>
        <w:t>0%；</w:t>
      </w:r>
    </w:p>
    <w:p w14:paraId="4A12F9B3">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（3）取得连申线南通段航道提升工程文物主管部门批复后一个月内支付</w:t>
      </w:r>
      <w:r>
        <w:rPr>
          <w:rFonts w:hint="eastAsia" w:ascii="宋体" w:hAnsi="宋体" w:cs="宋体"/>
          <w:b/>
          <w:bCs/>
          <w:snapToGrid/>
          <w:kern w:val="21"/>
          <w:sz w:val="21"/>
          <w:szCs w:val="21"/>
          <w:highlight w:val="none"/>
          <w:lang w:val="en-US" w:eastAsia="zh-CN"/>
        </w:rPr>
        <w:t>至</w:t>
      </w:r>
      <w:r>
        <w:rPr>
          <w:rFonts w:hint="eastAsia" w:ascii="宋体" w:hAnsi="宋体" w:eastAsia="宋体" w:cs="宋体"/>
          <w:b/>
          <w:bCs/>
          <w:snapToGrid/>
          <w:kern w:val="21"/>
          <w:sz w:val="21"/>
          <w:szCs w:val="21"/>
          <w:highlight w:val="none"/>
          <w:lang w:val="en-US" w:eastAsia="zh-CN"/>
        </w:rPr>
        <w:t>签约合同总价的</w:t>
      </w:r>
      <w:r>
        <w:rPr>
          <w:rFonts w:hint="eastAsia" w:ascii="宋体" w:hAnsi="宋体" w:cs="宋体"/>
          <w:b/>
          <w:bCs/>
          <w:snapToGrid/>
          <w:kern w:val="21"/>
          <w:sz w:val="21"/>
          <w:szCs w:val="21"/>
          <w:highlight w:val="none"/>
          <w:lang w:val="en-US" w:eastAsia="zh-CN"/>
        </w:rPr>
        <w:t>8</w:t>
      </w:r>
      <w:r>
        <w:rPr>
          <w:rFonts w:hint="eastAsia" w:ascii="宋体" w:hAnsi="宋体" w:eastAsia="宋体" w:cs="宋体"/>
          <w:b/>
          <w:bCs/>
          <w:snapToGrid/>
          <w:kern w:val="21"/>
          <w:sz w:val="21"/>
          <w:szCs w:val="21"/>
          <w:highlight w:val="none"/>
          <w:lang w:val="en-US" w:eastAsia="zh-CN"/>
        </w:rPr>
        <w:t>0%；</w:t>
      </w:r>
    </w:p>
    <w:p w14:paraId="4372BE12">
      <w:pPr>
        <w:keepNext w:val="0"/>
        <w:keepLines w:val="0"/>
        <w:pageBreakBefore w:val="0"/>
        <w:widowControl w:val="0"/>
        <w:wordWrap/>
        <w:overflowPunct/>
        <w:topLinePunct w:val="0"/>
        <w:bidi w:val="0"/>
        <w:adjustRightInd/>
        <w:snapToGrid/>
        <w:spacing w:line="360" w:lineRule="auto"/>
        <w:ind w:firstLine="422" w:firstLineChars="200"/>
        <w:jc w:val="both"/>
        <w:rPr>
          <w:rFonts w:hint="eastAsia" w:ascii="宋体" w:hAnsi="宋体" w:eastAsia="宋体" w:cs="宋体"/>
          <w:b/>
          <w:bCs/>
          <w:snapToGrid/>
          <w:kern w:val="21"/>
          <w:sz w:val="21"/>
          <w:szCs w:val="21"/>
          <w:highlight w:val="none"/>
          <w:lang w:val="en-US" w:eastAsia="zh-CN"/>
        </w:rPr>
      </w:pPr>
      <w:r>
        <w:rPr>
          <w:rFonts w:hint="eastAsia" w:ascii="宋体" w:hAnsi="宋体" w:eastAsia="宋体" w:cs="宋体"/>
          <w:b/>
          <w:bCs/>
          <w:snapToGrid/>
          <w:kern w:val="21"/>
          <w:sz w:val="21"/>
          <w:szCs w:val="21"/>
          <w:highlight w:val="none"/>
          <w:lang w:val="en-US" w:eastAsia="zh-CN"/>
        </w:rPr>
        <w:t>（4）发包人取得连申线南通段航道提升工程国有土地划拨决定书后一个月内支付至结算总价的100%。</w:t>
      </w:r>
    </w:p>
    <w:p w14:paraId="39D097BE">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7.2 有异议的支付</w:t>
      </w:r>
    </w:p>
    <w:p w14:paraId="41B5B349">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如果发包人对咨询单位提交的付款申请有异议时，发包人应在5个工作日内发出书面通知要求咨询单位澄清，此时，应在收到咨询单位书面澄清（以发包人签收的日期为准）之日起30天内支付。如果咨询单位在收到发包人要求书面澄清的通知后15天内（以咨询单位收到通知的日期为准）未做任何书面答复，则发包人不予支付，直到咨询单位作出书面澄清为止。</w:t>
      </w:r>
    </w:p>
    <w:p w14:paraId="3771717C">
      <w:pPr>
        <w:keepNext/>
        <w:keepLines/>
        <w:pageBreakBefore w:val="0"/>
        <w:widowControl w:val="0"/>
        <w:wordWrap/>
        <w:overflowPunct/>
        <w:topLinePunct w:val="0"/>
        <w:bidi w:val="0"/>
        <w:adjustRightInd/>
        <w:snapToGrid/>
        <w:spacing w:line="360" w:lineRule="auto"/>
        <w:ind w:firstLine="422" w:firstLineChars="200"/>
        <w:jc w:val="left"/>
        <w:outlineLvl w:val="2"/>
        <w:rPr>
          <w:rFonts w:hint="eastAsia" w:ascii="宋体" w:hAnsi="宋体" w:eastAsia="宋体" w:cs="宋体"/>
          <w:b/>
          <w:bCs w:val="0"/>
          <w:sz w:val="21"/>
          <w:szCs w:val="21"/>
          <w:highlight w:val="none"/>
        </w:rPr>
      </w:pPr>
      <w:bookmarkStart w:id="45" w:name="_Toc258313646"/>
      <w:r>
        <w:rPr>
          <w:rFonts w:hint="eastAsia" w:ascii="宋体" w:hAnsi="宋体" w:eastAsia="宋体" w:cs="宋体"/>
          <w:b/>
          <w:bCs w:val="0"/>
          <w:sz w:val="21"/>
          <w:szCs w:val="21"/>
          <w:highlight w:val="none"/>
        </w:rPr>
        <w:t>第八条  其  它</w:t>
      </w:r>
      <w:bookmarkEnd w:id="45"/>
    </w:p>
    <w:p w14:paraId="09538DA3">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8.1 转包</w:t>
      </w:r>
    </w:p>
    <w:p w14:paraId="70264EFE">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禁止咨询单位将本合同规定的咨询服务工作任务转包。</w:t>
      </w:r>
    </w:p>
    <w:p w14:paraId="785E7771">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8.2 利益的冲突</w:t>
      </w:r>
    </w:p>
    <w:p w14:paraId="4FAFF84D">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除合同另有规定外，咨询单位及其雇员不应接受本合同规定以外的与本项目有关的利益和报酬；咨询单位不得参与发包人的利益有冲突的任何活动。</w:t>
      </w:r>
    </w:p>
    <w:p w14:paraId="22730AB7">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8.3 保密</w:t>
      </w:r>
    </w:p>
    <w:p w14:paraId="6C274A98">
      <w:pPr>
        <w:keepNext w:val="0"/>
        <w:keepLines w:val="0"/>
        <w:pageBreakBefore w:val="0"/>
        <w:widowControl w:val="0"/>
        <w:kinsoku w:val="0"/>
        <w:wordWrap/>
        <w:overflowPunct/>
        <w:topLinePunct w:val="0"/>
        <w:autoSpaceDE w:val="0"/>
        <w:autoSpaceDN w:val="0"/>
        <w:bidi w:val="0"/>
        <w:adjustRightInd/>
        <w:snapToGrid/>
        <w:spacing w:line="360" w:lineRule="auto"/>
        <w:ind w:firstLine="420" w:firstLineChars="200"/>
        <w:jc w:val="both"/>
        <w:textAlignment w:val="baseline"/>
        <w:rPr>
          <w:rFonts w:hint="eastAsia" w:ascii="宋体" w:hAnsi="宋体" w:eastAsia="宋体" w:cs="宋体"/>
          <w:snapToGrid/>
          <w:color w:val="000000"/>
          <w:kern w:val="21"/>
          <w:sz w:val="21"/>
          <w:szCs w:val="21"/>
          <w:highlight w:val="none"/>
        </w:rPr>
      </w:pPr>
      <w:r>
        <w:rPr>
          <w:rFonts w:hint="eastAsia" w:ascii="宋体" w:hAnsi="宋体" w:eastAsia="宋体" w:cs="宋体"/>
          <w:snapToGrid/>
          <w:kern w:val="21"/>
          <w:sz w:val="21"/>
          <w:szCs w:val="21"/>
          <w:highlight w:val="none"/>
        </w:rPr>
        <w:t>咨询单位及其雇员</w:t>
      </w:r>
      <w:r>
        <w:rPr>
          <w:rFonts w:hint="eastAsia" w:ascii="宋体" w:hAnsi="宋体" w:eastAsia="宋体" w:cs="宋体"/>
          <w:snapToGrid/>
          <w:color w:val="000000"/>
          <w:kern w:val="21"/>
          <w:sz w:val="21"/>
          <w:szCs w:val="21"/>
          <w:highlight w:val="none"/>
        </w:rPr>
        <w:t>在签订合同、履行合同过程中、履行合同后均将严格遵守《中华人民共和国保密法》及其它相关法律法规，认真履行合同中受托人的保密义务，否则自行承担相应的法律责任。</w:t>
      </w:r>
    </w:p>
    <w:p w14:paraId="520F9600">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rPr>
        <w:t>8.4 争端的解决</w:t>
      </w:r>
    </w:p>
    <w:p w14:paraId="3D5CCCE3">
      <w:pPr>
        <w:keepNext w:val="0"/>
        <w:keepLines w:val="0"/>
        <w:pageBreakBefore w:val="0"/>
        <w:widowControl w:val="0"/>
        <w:wordWrap/>
        <w:overflowPunct/>
        <w:topLinePunct w:val="0"/>
        <w:bidi w:val="0"/>
        <w:adjustRightInd/>
        <w:snapToGrid/>
        <w:spacing w:line="360" w:lineRule="auto"/>
        <w:ind w:firstLine="420" w:firstLineChars="200"/>
        <w:jc w:val="both"/>
        <w:rPr>
          <w:rFonts w:hint="eastAsia" w:ascii="宋体" w:hAnsi="宋体" w:eastAsia="宋体" w:cs="宋体"/>
          <w:snapToGrid/>
          <w:kern w:val="21"/>
          <w:sz w:val="21"/>
          <w:szCs w:val="21"/>
          <w:highlight w:val="none"/>
        </w:rPr>
      </w:pPr>
      <w:r>
        <w:rPr>
          <w:rFonts w:hint="eastAsia" w:ascii="宋体" w:hAnsi="宋体" w:eastAsia="宋体" w:cs="宋体"/>
          <w:snapToGrid/>
          <w:kern w:val="21"/>
          <w:sz w:val="21"/>
          <w:szCs w:val="21"/>
          <w:highlight w:val="none"/>
          <w:lang w:val="en-US"/>
        </w:rPr>
        <w:t>本合同在执行过程中，如发生任何争端、纠纷或因违反、终止本合同而引起的对损失损害的任何赔偿，应事先协商，在咨询单位和发包人之间达成一致意见。如未能达成一致，可提交南通仲裁委员会仲裁。仲裁决定具有最终法律效力，其仲裁费用由败诉方承担，或按裁决由双方按比例分担。</w:t>
      </w:r>
    </w:p>
    <w:p w14:paraId="74755C5D">
      <w:pPr>
        <w:autoSpaceDE w:val="0"/>
        <w:autoSpaceDN w:val="0"/>
        <w:jc w:val="center"/>
        <w:rPr>
          <w:rFonts w:hint="eastAsia" w:ascii="宋体" w:hAnsi="宋体" w:cs="宋体"/>
          <w:b/>
          <w:bCs/>
          <w:sz w:val="32"/>
          <w:szCs w:val="32"/>
          <w:highlight w:val="none"/>
        </w:rPr>
        <w:sectPr>
          <w:pgSz w:w="11905" w:h="16838"/>
          <w:pgMar w:top="1247" w:right="1247" w:bottom="1247" w:left="1247" w:header="624" w:footer="737" w:gutter="0"/>
          <w:pgNumType w:fmt="decimal"/>
          <w:cols w:space="720" w:num="1"/>
          <w:docGrid w:linePitch="312" w:charSpace="0"/>
        </w:sectPr>
      </w:pPr>
      <w:bookmarkStart w:id="46" w:name="_Toc216001615"/>
    </w:p>
    <w:p w14:paraId="7E21F811">
      <w:pPr>
        <w:autoSpaceDE w:val="0"/>
        <w:autoSpaceDN w:val="0"/>
        <w:jc w:val="center"/>
        <w:rPr>
          <w:rFonts w:hint="eastAsia" w:ascii="宋体" w:hAnsi="宋体" w:cs="宋体"/>
          <w:b/>
          <w:bCs/>
          <w:sz w:val="32"/>
          <w:szCs w:val="32"/>
          <w:highlight w:val="none"/>
        </w:rPr>
      </w:pPr>
      <w:r>
        <w:rPr>
          <w:rFonts w:hint="eastAsia" w:ascii="宋体" w:hAnsi="宋体" w:cs="宋体"/>
          <w:b/>
          <w:bCs/>
          <w:sz w:val="32"/>
          <w:szCs w:val="32"/>
          <w:highlight w:val="none"/>
        </w:rPr>
        <w:t>第三部分</w:t>
      </w:r>
      <w:r>
        <w:rPr>
          <w:rFonts w:hint="eastAsia" w:ascii="宋体" w:hAnsi="宋体" w:cs="宋体"/>
          <w:b/>
          <w:bCs/>
          <w:sz w:val="32"/>
          <w:szCs w:val="32"/>
          <w:highlight w:val="none"/>
          <w:lang w:val="en-US" w:eastAsia="zh-CN"/>
        </w:rPr>
        <w:t xml:space="preserve"> </w:t>
      </w:r>
      <w:r>
        <w:rPr>
          <w:rFonts w:hint="eastAsia" w:ascii="宋体" w:hAnsi="宋体" w:cs="宋体"/>
          <w:b/>
          <w:bCs/>
          <w:sz w:val="32"/>
          <w:szCs w:val="32"/>
          <w:highlight w:val="none"/>
        </w:rPr>
        <w:t>廉洁合同</w:t>
      </w:r>
      <w:bookmarkEnd w:id="46"/>
    </w:p>
    <w:p w14:paraId="7228F317">
      <w:pPr>
        <w:keepNext/>
        <w:keepLines/>
        <w:adjustRightInd w:val="0"/>
        <w:snapToGrid w:val="0"/>
        <w:spacing w:line="360" w:lineRule="auto"/>
        <w:ind w:firstLine="643" w:firstLineChars="200"/>
        <w:jc w:val="center"/>
        <w:rPr>
          <w:rFonts w:ascii="宋体" w:hAnsi="宋体" w:cs="宋体"/>
          <w:b/>
          <w:bCs/>
          <w:sz w:val="32"/>
          <w:szCs w:val="32"/>
          <w:highlight w:val="none"/>
        </w:rPr>
      </w:pPr>
      <w:r>
        <w:rPr>
          <w:rFonts w:hint="eastAsia" w:ascii="宋体" w:hAnsi="宋体" w:cs="宋体"/>
          <w:b/>
          <w:bCs/>
          <w:sz w:val="32"/>
          <w:szCs w:val="32"/>
          <w:highlight w:val="none"/>
        </w:rPr>
        <w:t>廉洁合同</w:t>
      </w:r>
    </w:p>
    <w:p w14:paraId="7F7A9DFC">
      <w:pPr>
        <w:adjustRightInd w:val="0"/>
        <w:snapToGrid w:val="0"/>
        <w:spacing w:line="360" w:lineRule="auto"/>
        <w:ind w:firstLine="420" w:firstLineChars="200"/>
        <w:rPr>
          <w:szCs w:val="21"/>
          <w:highlight w:val="none"/>
        </w:rPr>
      </w:pPr>
      <w:r>
        <w:rPr>
          <w:szCs w:val="21"/>
          <w:highlight w:val="none"/>
        </w:rPr>
        <w:t>根据交通部《关于在交通基础设施建设中加强廉政建设的若</w:t>
      </w:r>
      <w:r>
        <w:rPr>
          <w:rFonts w:hint="eastAsia"/>
          <w:szCs w:val="21"/>
          <w:highlight w:val="none"/>
        </w:rPr>
        <w:t>干</w:t>
      </w:r>
      <w:r>
        <w:rPr>
          <w:szCs w:val="21"/>
          <w:highlight w:val="none"/>
        </w:rPr>
        <w:t>意见》以及有关工程建设、廉政建设的规定，为做好工程建设中的党风廉政建设，保证工程建设高效优质，保证建设资金的安全和有效使用以及投资效益，项目法人</w:t>
      </w:r>
      <w:r>
        <w:rPr>
          <w:rFonts w:hint="eastAsia"/>
          <w:szCs w:val="21"/>
          <w:highlight w:val="none"/>
          <w:u w:val="single"/>
        </w:rPr>
        <w:t xml:space="preserve">          </w:t>
      </w:r>
      <w:r>
        <w:rPr>
          <w:szCs w:val="21"/>
          <w:highlight w:val="none"/>
        </w:rPr>
        <w:t>（</w:t>
      </w:r>
      <w:r>
        <w:rPr>
          <w:rFonts w:hint="eastAsia"/>
          <w:szCs w:val="21"/>
          <w:highlight w:val="none"/>
        </w:rPr>
        <w:t>以下简称“发包人”</w:t>
      </w:r>
      <w:r>
        <w:rPr>
          <w:szCs w:val="21"/>
          <w:highlight w:val="none"/>
        </w:rPr>
        <w:t>）与</w:t>
      </w:r>
      <w:r>
        <w:rPr>
          <w:rFonts w:hint="eastAsia"/>
          <w:szCs w:val="21"/>
          <w:highlight w:val="none"/>
        </w:rPr>
        <w:t>咨询单位</w:t>
      </w:r>
      <w:r>
        <w:rPr>
          <w:rFonts w:hint="eastAsia"/>
          <w:szCs w:val="21"/>
          <w:highlight w:val="none"/>
          <w:u w:val="single"/>
        </w:rPr>
        <w:t xml:space="preserve">          </w:t>
      </w:r>
      <w:r>
        <w:rPr>
          <w:szCs w:val="21"/>
          <w:highlight w:val="none"/>
        </w:rPr>
        <w:t>（以下简称“咨询单位”），特订立如下合同。</w:t>
      </w:r>
    </w:p>
    <w:p w14:paraId="5BCD28E0">
      <w:pPr>
        <w:adjustRightInd w:val="0"/>
        <w:snapToGrid w:val="0"/>
        <w:spacing w:line="360" w:lineRule="auto"/>
        <w:ind w:firstLine="422" w:firstLineChars="200"/>
        <w:rPr>
          <w:szCs w:val="21"/>
          <w:highlight w:val="none"/>
        </w:rPr>
      </w:pPr>
      <w:r>
        <w:rPr>
          <w:b/>
          <w:szCs w:val="21"/>
          <w:highlight w:val="none"/>
        </w:rPr>
        <w:t>第一条</w:t>
      </w:r>
      <w:r>
        <w:rPr>
          <w:szCs w:val="21"/>
          <w:highlight w:val="none"/>
        </w:rPr>
        <w:t>发包人和</w:t>
      </w:r>
      <w:r>
        <w:rPr>
          <w:rFonts w:hint="eastAsia"/>
          <w:szCs w:val="21"/>
          <w:highlight w:val="none"/>
        </w:rPr>
        <w:t>咨询单位</w:t>
      </w:r>
      <w:r>
        <w:rPr>
          <w:szCs w:val="21"/>
          <w:highlight w:val="none"/>
        </w:rPr>
        <w:t>双方的权利和义务</w:t>
      </w:r>
    </w:p>
    <w:p w14:paraId="7BFBC2E6">
      <w:pPr>
        <w:adjustRightInd w:val="0"/>
        <w:snapToGrid w:val="0"/>
        <w:spacing w:line="360" w:lineRule="auto"/>
        <w:ind w:firstLine="420" w:firstLineChars="200"/>
        <w:rPr>
          <w:szCs w:val="21"/>
          <w:highlight w:val="none"/>
        </w:rPr>
      </w:pPr>
      <w:r>
        <w:rPr>
          <w:szCs w:val="21"/>
          <w:highlight w:val="none"/>
        </w:rPr>
        <w:t>（一）严格遵守国家有关法律法规及交通</w:t>
      </w:r>
      <w:r>
        <w:rPr>
          <w:rFonts w:hint="eastAsia"/>
          <w:szCs w:val="21"/>
          <w:highlight w:val="none"/>
        </w:rPr>
        <w:t>运输</w:t>
      </w:r>
      <w:r>
        <w:rPr>
          <w:szCs w:val="21"/>
          <w:highlight w:val="none"/>
        </w:rPr>
        <w:t>部的有关规定。</w:t>
      </w:r>
    </w:p>
    <w:p w14:paraId="2A6DE670">
      <w:pPr>
        <w:adjustRightInd w:val="0"/>
        <w:snapToGrid w:val="0"/>
        <w:spacing w:line="360" w:lineRule="auto"/>
        <w:ind w:firstLine="420" w:firstLineChars="200"/>
        <w:rPr>
          <w:szCs w:val="21"/>
          <w:highlight w:val="none"/>
        </w:rPr>
      </w:pPr>
      <w:r>
        <w:rPr>
          <w:szCs w:val="21"/>
          <w:highlight w:val="none"/>
        </w:rPr>
        <w:t>（二）严格执行</w:t>
      </w:r>
      <w:r>
        <w:rPr>
          <w:rFonts w:hint="eastAsia"/>
          <w:szCs w:val="21"/>
          <w:highlight w:val="none"/>
          <w:u w:val="single"/>
        </w:rPr>
        <w:t xml:space="preserve">            </w:t>
      </w:r>
      <w:r>
        <w:rPr>
          <w:szCs w:val="21"/>
          <w:highlight w:val="none"/>
        </w:rPr>
        <w:t>项目的合同文件，自觉按合同办事。</w:t>
      </w:r>
    </w:p>
    <w:p w14:paraId="0095945D">
      <w:pPr>
        <w:adjustRightInd w:val="0"/>
        <w:snapToGrid w:val="0"/>
        <w:spacing w:line="360" w:lineRule="auto"/>
        <w:ind w:firstLine="420" w:firstLineChars="200"/>
        <w:rPr>
          <w:szCs w:val="21"/>
          <w:highlight w:val="none"/>
        </w:rPr>
      </w:pPr>
      <w:r>
        <w:rPr>
          <w:szCs w:val="21"/>
          <w:highlight w:val="none"/>
        </w:rPr>
        <w:t>（三）双方的业务活动坚持公开、公正、诚信、透明的原则（除法律认定的商业秘密和合同文件另有规定之外），不得损害国家和集体利益，违反工程建设管理规章制度。</w:t>
      </w:r>
    </w:p>
    <w:p w14:paraId="7734C563">
      <w:pPr>
        <w:adjustRightInd w:val="0"/>
        <w:snapToGrid w:val="0"/>
        <w:spacing w:line="360" w:lineRule="auto"/>
        <w:ind w:firstLine="420" w:firstLineChars="200"/>
        <w:rPr>
          <w:szCs w:val="21"/>
          <w:highlight w:val="none"/>
        </w:rPr>
      </w:pPr>
      <w:r>
        <w:rPr>
          <w:szCs w:val="21"/>
          <w:highlight w:val="none"/>
        </w:rPr>
        <w:t>（四）建立健全廉政制度，开展廉政教育，设立廉政告示牌，公布举报电话，监督并认真查处违法违纪行为。</w:t>
      </w:r>
    </w:p>
    <w:p w14:paraId="791DB113">
      <w:pPr>
        <w:adjustRightInd w:val="0"/>
        <w:snapToGrid w:val="0"/>
        <w:spacing w:line="360" w:lineRule="auto"/>
        <w:ind w:firstLine="420" w:firstLineChars="200"/>
        <w:rPr>
          <w:szCs w:val="21"/>
          <w:highlight w:val="none"/>
        </w:rPr>
      </w:pPr>
      <w:r>
        <w:rPr>
          <w:szCs w:val="21"/>
          <w:highlight w:val="none"/>
        </w:rPr>
        <w:t>（五）发现对方在业务活动中有违反廉政规定的行为，有及时提醒对方纠正的权利和义务。</w:t>
      </w:r>
    </w:p>
    <w:p w14:paraId="08615D51">
      <w:pPr>
        <w:adjustRightInd w:val="0"/>
        <w:snapToGrid w:val="0"/>
        <w:spacing w:line="360" w:lineRule="auto"/>
        <w:ind w:firstLine="420" w:firstLineChars="200"/>
        <w:rPr>
          <w:szCs w:val="21"/>
          <w:highlight w:val="none"/>
        </w:rPr>
      </w:pPr>
      <w:r>
        <w:rPr>
          <w:szCs w:val="21"/>
          <w:highlight w:val="none"/>
        </w:rPr>
        <w:t>（六）发现对方严重违反本合同义务条款的行为，有向其上级有关部门举报、建议给予处理并要求告知处理结果的权利。</w:t>
      </w:r>
      <w:r>
        <w:rPr>
          <w:rFonts w:hint="eastAsia"/>
          <w:szCs w:val="21"/>
          <w:highlight w:val="none"/>
        </w:rPr>
        <w:t>影响合同履行的，可按照合同中关于合同解除的约定处理。</w:t>
      </w:r>
    </w:p>
    <w:p w14:paraId="66BAF679">
      <w:pPr>
        <w:adjustRightInd w:val="0"/>
        <w:snapToGrid w:val="0"/>
        <w:spacing w:line="360" w:lineRule="auto"/>
        <w:ind w:firstLine="422" w:firstLineChars="200"/>
        <w:rPr>
          <w:szCs w:val="21"/>
          <w:highlight w:val="none"/>
        </w:rPr>
      </w:pPr>
      <w:r>
        <w:rPr>
          <w:b/>
          <w:szCs w:val="21"/>
          <w:highlight w:val="none"/>
        </w:rPr>
        <w:t>第二条</w:t>
      </w:r>
      <w:r>
        <w:rPr>
          <w:szCs w:val="21"/>
          <w:highlight w:val="none"/>
        </w:rPr>
        <w:t>发包人的义务</w:t>
      </w:r>
    </w:p>
    <w:p w14:paraId="2CCDC4D2">
      <w:pPr>
        <w:adjustRightInd w:val="0"/>
        <w:snapToGrid w:val="0"/>
        <w:spacing w:line="360" w:lineRule="auto"/>
        <w:ind w:firstLine="420" w:firstLineChars="200"/>
        <w:rPr>
          <w:szCs w:val="21"/>
          <w:highlight w:val="none"/>
        </w:rPr>
      </w:pPr>
      <w:r>
        <w:rPr>
          <w:szCs w:val="21"/>
          <w:highlight w:val="none"/>
        </w:rPr>
        <w:t>（一）发包人作为工程项目的建设单位，认真履行合同规定的发包人责任</w:t>
      </w:r>
      <w:r>
        <w:rPr>
          <w:rFonts w:hint="eastAsia"/>
          <w:szCs w:val="21"/>
          <w:highlight w:val="none"/>
        </w:rPr>
        <w:t>。</w:t>
      </w:r>
    </w:p>
    <w:p w14:paraId="1041ED5B">
      <w:pPr>
        <w:adjustRightInd w:val="0"/>
        <w:snapToGrid w:val="0"/>
        <w:spacing w:line="360" w:lineRule="auto"/>
        <w:ind w:firstLine="420" w:firstLineChars="200"/>
        <w:rPr>
          <w:szCs w:val="21"/>
          <w:highlight w:val="none"/>
        </w:rPr>
      </w:pPr>
      <w:r>
        <w:rPr>
          <w:szCs w:val="21"/>
          <w:highlight w:val="none"/>
        </w:rPr>
        <w:t>（二）发包人及其工作人员不得索要或接受</w:t>
      </w:r>
      <w:r>
        <w:rPr>
          <w:rFonts w:hint="eastAsia"/>
          <w:szCs w:val="21"/>
          <w:highlight w:val="none"/>
        </w:rPr>
        <w:t>咨询单位</w:t>
      </w:r>
      <w:r>
        <w:rPr>
          <w:szCs w:val="21"/>
          <w:highlight w:val="none"/>
        </w:rPr>
        <w:t>的礼金、有价证券和物品，不得在</w:t>
      </w:r>
      <w:r>
        <w:rPr>
          <w:rFonts w:hint="eastAsia"/>
          <w:szCs w:val="21"/>
          <w:highlight w:val="none"/>
        </w:rPr>
        <w:t>咨询单位</w:t>
      </w:r>
      <w:r>
        <w:rPr>
          <w:szCs w:val="21"/>
          <w:highlight w:val="none"/>
        </w:rPr>
        <w:t>报销任何应由发包人或个人支付的费用等。</w:t>
      </w:r>
    </w:p>
    <w:p w14:paraId="4C5BDFFB">
      <w:pPr>
        <w:adjustRightInd w:val="0"/>
        <w:snapToGrid w:val="0"/>
        <w:spacing w:line="360" w:lineRule="auto"/>
        <w:ind w:firstLine="420" w:firstLineChars="200"/>
        <w:rPr>
          <w:szCs w:val="21"/>
          <w:highlight w:val="none"/>
        </w:rPr>
      </w:pPr>
      <w:r>
        <w:rPr>
          <w:szCs w:val="21"/>
          <w:highlight w:val="none"/>
        </w:rPr>
        <w:t>（三）发包人工作人员不得参加咨询单位安排的宴请和娱乐活动；不得接受咨询单位提供的通讯工具、交通工具和办公用品等。</w:t>
      </w:r>
    </w:p>
    <w:p w14:paraId="66998E1C">
      <w:pPr>
        <w:adjustRightInd w:val="0"/>
        <w:snapToGrid w:val="0"/>
        <w:spacing w:line="360" w:lineRule="auto"/>
        <w:ind w:firstLine="420" w:firstLineChars="200"/>
        <w:rPr>
          <w:szCs w:val="21"/>
          <w:highlight w:val="none"/>
        </w:rPr>
      </w:pPr>
      <w:r>
        <w:rPr>
          <w:szCs w:val="21"/>
          <w:highlight w:val="none"/>
        </w:rPr>
        <w:t>（四）发包人及其工作人员不得要求或者接受咨询单位为其住房装修、婚丧嫁娶活动、配偶子女的工作安排以及出国出境、旅游等提供方便等。</w:t>
      </w:r>
    </w:p>
    <w:p w14:paraId="3B40BC90">
      <w:pPr>
        <w:adjustRightInd w:val="0"/>
        <w:snapToGrid w:val="0"/>
        <w:spacing w:line="360" w:lineRule="auto"/>
        <w:ind w:firstLine="420" w:firstLineChars="200"/>
        <w:rPr>
          <w:szCs w:val="21"/>
          <w:highlight w:val="none"/>
        </w:rPr>
      </w:pPr>
      <w:r>
        <w:rPr>
          <w:szCs w:val="21"/>
          <w:highlight w:val="none"/>
        </w:rPr>
        <w:t>（</w:t>
      </w:r>
      <w:r>
        <w:rPr>
          <w:rFonts w:hint="eastAsia"/>
          <w:szCs w:val="21"/>
          <w:highlight w:val="none"/>
        </w:rPr>
        <w:t>五</w:t>
      </w:r>
      <w:r>
        <w:rPr>
          <w:szCs w:val="21"/>
          <w:highlight w:val="none"/>
        </w:rPr>
        <w:t>）发包人工作人员的配偶、子女不得从事与发包人工程有关的分包项目。</w:t>
      </w:r>
    </w:p>
    <w:p w14:paraId="056DD6DF">
      <w:pPr>
        <w:adjustRightInd w:val="0"/>
        <w:snapToGrid w:val="0"/>
        <w:spacing w:line="360" w:lineRule="auto"/>
        <w:ind w:firstLine="422" w:firstLineChars="200"/>
        <w:rPr>
          <w:szCs w:val="21"/>
          <w:highlight w:val="none"/>
        </w:rPr>
      </w:pPr>
      <w:r>
        <w:rPr>
          <w:b/>
          <w:szCs w:val="21"/>
          <w:highlight w:val="none"/>
        </w:rPr>
        <w:t>第三条</w:t>
      </w:r>
      <w:r>
        <w:rPr>
          <w:szCs w:val="21"/>
          <w:highlight w:val="none"/>
        </w:rPr>
        <w:t>咨询单位</w:t>
      </w:r>
      <w:r>
        <w:rPr>
          <w:rFonts w:hint="eastAsia"/>
          <w:szCs w:val="21"/>
          <w:highlight w:val="none"/>
        </w:rPr>
        <w:t>的</w:t>
      </w:r>
      <w:r>
        <w:rPr>
          <w:szCs w:val="21"/>
          <w:highlight w:val="none"/>
        </w:rPr>
        <w:t>义务</w:t>
      </w:r>
    </w:p>
    <w:p w14:paraId="41C6FE1D">
      <w:pPr>
        <w:adjustRightInd w:val="0"/>
        <w:snapToGrid w:val="0"/>
        <w:spacing w:line="360" w:lineRule="auto"/>
        <w:ind w:firstLine="420" w:firstLineChars="200"/>
        <w:rPr>
          <w:szCs w:val="21"/>
          <w:highlight w:val="none"/>
        </w:rPr>
      </w:pPr>
      <w:r>
        <w:rPr>
          <w:szCs w:val="21"/>
          <w:highlight w:val="none"/>
        </w:rPr>
        <w:t>（一）咨询单位不得以任何理由向发包人及其工作人员行贿或馈赠礼金、有价证券、礼品。</w:t>
      </w:r>
    </w:p>
    <w:p w14:paraId="732ABAF5">
      <w:pPr>
        <w:adjustRightInd w:val="0"/>
        <w:snapToGrid w:val="0"/>
        <w:spacing w:line="360" w:lineRule="auto"/>
        <w:ind w:firstLine="420" w:firstLineChars="200"/>
        <w:rPr>
          <w:szCs w:val="21"/>
          <w:highlight w:val="none"/>
        </w:rPr>
      </w:pPr>
      <w:r>
        <w:rPr>
          <w:szCs w:val="21"/>
          <w:highlight w:val="none"/>
        </w:rPr>
        <w:t>（二）咨询单位不得以任何名义为发包人及其工作人员报销应由发包人或个人支付的任何费用。</w:t>
      </w:r>
    </w:p>
    <w:p w14:paraId="6DBBF6BD">
      <w:pPr>
        <w:adjustRightInd w:val="0"/>
        <w:snapToGrid w:val="0"/>
        <w:spacing w:line="360" w:lineRule="auto"/>
        <w:ind w:firstLine="420" w:firstLineChars="200"/>
        <w:rPr>
          <w:szCs w:val="21"/>
          <w:highlight w:val="none"/>
        </w:rPr>
      </w:pPr>
      <w:r>
        <w:rPr>
          <w:szCs w:val="21"/>
          <w:highlight w:val="none"/>
        </w:rPr>
        <w:t>（三）咨询单位不得以任何理由安排发包人工作人员参加宴请及娱乐活动。</w:t>
      </w:r>
    </w:p>
    <w:p w14:paraId="0C87593D">
      <w:pPr>
        <w:adjustRightInd w:val="0"/>
        <w:snapToGrid w:val="0"/>
        <w:spacing w:line="360" w:lineRule="auto"/>
        <w:ind w:firstLine="420" w:firstLineChars="200"/>
        <w:rPr>
          <w:szCs w:val="21"/>
          <w:highlight w:val="none"/>
        </w:rPr>
      </w:pPr>
      <w:r>
        <w:rPr>
          <w:szCs w:val="21"/>
          <w:highlight w:val="none"/>
        </w:rPr>
        <w:t>（四）咨询单位不得为发包人单位和个人购置或提供通讯工具、交通工具和办公用品等。</w:t>
      </w:r>
    </w:p>
    <w:p w14:paraId="60F488F8">
      <w:pPr>
        <w:adjustRightInd w:val="0"/>
        <w:snapToGrid w:val="0"/>
        <w:spacing w:line="360" w:lineRule="auto"/>
        <w:ind w:firstLine="420" w:firstLineChars="200"/>
        <w:rPr>
          <w:szCs w:val="21"/>
          <w:highlight w:val="none"/>
        </w:rPr>
      </w:pPr>
      <w:r>
        <w:rPr>
          <w:szCs w:val="21"/>
          <w:highlight w:val="none"/>
        </w:rPr>
        <w:t>（五）咨询单位及其工作人员不得索取或接受</w:t>
      </w:r>
      <w:r>
        <w:rPr>
          <w:rFonts w:hint="eastAsia"/>
          <w:szCs w:val="21"/>
          <w:highlight w:val="none"/>
        </w:rPr>
        <w:t>工作关系</w:t>
      </w:r>
      <w:r>
        <w:rPr>
          <w:szCs w:val="21"/>
          <w:highlight w:val="none"/>
        </w:rPr>
        <w:t>单位的礼金、有价证券和物品，不得在</w:t>
      </w:r>
      <w:r>
        <w:rPr>
          <w:rFonts w:hint="eastAsia"/>
          <w:szCs w:val="21"/>
          <w:highlight w:val="none"/>
        </w:rPr>
        <w:t>工作关系</w:t>
      </w:r>
      <w:r>
        <w:rPr>
          <w:szCs w:val="21"/>
          <w:highlight w:val="none"/>
        </w:rPr>
        <w:t>单位报销任何应由咨询单位或个人支付的费用。</w:t>
      </w:r>
    </w:p>
    <w:p w14:paraId="1FBA04F5">
      <w:pPr>
        <w:adjustRightInd w:val="0"/>
        <w:snapToGrid w:val="0"/>
        <w:spacing w:line="360" w:lineRule="auto"/>
        <w:ind w:firstLine="420" w:firstLineChars="200"/>
        <w:rPr>
          <w:szCs w:val="21"/>
          <w:highlight w:val="none"/>
        </w:rPr>
      </w:pPr>
      <w:r>
        <w:rPr>
          <w:szCs w:val="21"/>
          <w:highlight w:val="none"/>
        </w:rPr>
        <w:t>（六）咨询单位及其工作人员必须严格按照</w:t>
      </w:r>
      <w:r>
        <w:rPr>
          <w:rFonts w:hint="eastAsia"/>
          <w:szCs w:val="21"/>
          <w:highlight w:val="none"/>
        </w:rPr>
        <w:t>工作</w:t>
      </w:r>
      <w:r>
        <w:rPr>
          <w:szCs w:val="21"/>
          <w:highlight w:val="none"/>
        </w:rPr>
        <w:t>规程办事，不得损害发包人利益。</w:t>
      </w:r>
    </w:p>
    <w:p w14:paraId="3CD37DF7">
      <w:pPr>
        <w:adjustRightInd w:val="0"/>
        <w:snapToGrid w:val="0"/>
        <w:spacing w:line="360" w:lineRule="auto"/>
        <w:ind w:firstLine="422" w:firstLineChars="200"/>
        <w:rPr>
          <w:szCs w:val="21"/>
          <w:highlight w:val="none"/>
        </w:rPr>
      </w:pPr>
      <w:r>
        <w:rPr>
          <w:b/>
          <w:szCs w:val="21"/>
          <w:highlight w:val="none"/>
        </w:rPr>
        <w:t>第四条</w:t>
      </w:r>
      <w:r>
        <w:rPr>
          <w:szCs w:val="21"/>
          <w:highlight w:val="none"/>
        </w:rPr>
        <w:t>违约责任</w:t>
      </w:r>
    </w:p>
    <w:p w14:paraId="5468A282">
      <w:pPr>
        <w:adjustRightInd w:val="0"/>
        <w:snapToGrid w:val="0"/>
        <w:spacing w:line="360" w:lineRule="auto"/>
        <w:ind w:firstLine="420" w:firstLineChars="200"/>
        <w:rPr>
          <w:szCs w:val="21"/>
          <w:highlight w:val="none"/>
        </w:rPr>
      </w:pPr>
      <w:r>
        <w:rPr>
          <w:szCs w:val="21"/>
          <w:highlight w:val="none"/>
        </w:rPr>
        <w:t>（一）发包人及其工作人员违反本合同第一、二条；按管理权限，依据有关规定给予党纪、政纪或组织处理；涉嫌犯罪的，移交司法机关追究刑事责任；给咨询单位单位造成经济损失的，应予以赔偿。</w:t>
      </w:r>
    </w:p>
    <w:p w14:paraId="593BD201">
      <w:pPr>
        <w:adjustRightInd w:val="0"/>
        <w:snapToGrid w:val="0"/>
        <w:spacing w:line="360" w:lineRule="auto"/>
        <w:ind w:firstLine="420" w:firstLineChars="200"/>
        <w:rPr>
          <w:szCs w:val="21"/>
          <w:highlight w:val="none"/>
        </w:rPr>
      </w:pPr>
      <w:r>
        <w:rPr>
          <w:szCs w:val="21"/>
          <w:highlight w:val="none"/>
        </w:rPr>
        <w:t>（二）咨询单位及其工作人员违反本合同第一、三条，按管理权限依据有关规定，给予党纪、政纪或组织处理；给发包人单位造成经济损失的，应予以赔偿</w:t>
      </w:r>
      <w:r>
        <w:rPr>
          <w:rFonts w:hint="eastAsia"/>
          <w:szCs w:val="21"/>
          <w:highlight w:val="none"/>
        </w:rPr>
        <w:t>，并按照违纪违法认定金额的双倍承担违约金。合同款项未完全支付的，违约金在支付时予以扣减；合同款已支付咨询单位或未支付款不足以支付违约金的，咨询单位另行支付违约金。</w:t>
      </w:r>
      <w:r>
        <w:rPr>
          <w:szCs w:val="21"/>
          <w:highlight w:val="none"/>
        </w:rPr>
        <w:t>情节严重的，发包人建议交通工程建设主管部门给予咨询单位一至三年内不得进入其主管的交通工程建设市场的处罚。</w:t>
      </w:r>
    </w:p>
    <w:p w14:paraId="23137CD8">
      <w:pPr>
        <w:adjustRightInd w:val="0"/>
        <w:snapToGrid w:val="0"/>
        <w:spacing w:line="360" w:lineRule="auto"/>
        <w:ind w:firstLine="422" w:firstLineChars="200"/>
        <w:rPr>
          <w:szCs w:val="21"/>
          <w:highlight w:val="none"/>
        </w:rPr>
      </w:pPr>
      <w:r>
        <w:rPr>
          <w:b/>
          <w:szCs w:val="21"/>
          <w:highlight w:val="none"/>
        </w:rPr>
        <w:t>第五条</w:t>
      </w:r>
      <w:r>
        <w:rPr>
          <w:szCs w:val="21"/>
          <w:highlight w:val="none"/>
        </w:rPr>
        <w:t>本合同有效期为甲乙双方签署之日起至</w:t>
      </w:r>
      <w:r>
        <w:rPr>
          <w:rFonts w:hint="eastAsia"/>
          <w:szCs w:val="21"/>
          <w:highlight w:val="none"/>
          <w:lang w:val="en-US" w:eastAsia="zh-CN"/>
        </w:rPr>
        <w:t>该项目全部工作内容完成且通过审查</w:t>
      </w:r>
      <w:r>
        <w:rPr>
          <w:szCs w:val="21"/>
          <w:highlight w:val="none"/>
        </w:rPr>
        <w:t>后止。</w:t>
      </w:r>
    </w:p>
    <w:p w14:paraId="092CE012">
      <w:pPr>
        <w:adjustRightInd w:val="0"/>
        <w:snapToGrid w:val="0"/>
        <w:spacing w:line="360" w:lineRule="auto"/>
        <w:ind w:firstLine="422" w:firstLineChars="200"/>
        <w:rPr>
          <w:szCs w:val="21"/>
          <w:highlight w:val="none"/>
        </w:rPr>
      </w:pPr>
      <w:r>
        <w:rPr>
          <w:b/>
          <w:szCs w:val="21"/>
          <w:highlight w:val="none"/>
        </w:rPr>
        <w:t>第六条</w:t>
      </w:r>
      <w:r>
        <w:rPr>
          <w:szCs w:val="21"/>
          <w:highlight w:val="none"/>
        </w:rPr>
        <w:t>本合同作为</w:t>
      </w:r>
      <w:r>
        <w:rPr>
          <w:rFonts w:hint="eastAsia"/>
          <w:szCs w:val="21"/>
          <w:highlight w:val="none"/>
          <w:u w:val="single"/>
          <w:lang w:val="en-US" w:eastAsia="zh-CN"/>
        </w:rPr>
        <w:t xml:space="preserve">                                                      </w:t>
      </w:r>
      <w:r>
        <w:rPr>
          <w:rFonts w:hint="eastAsia"/>
          <w:szCs w:val="21"/>
          <w:highlight w:val="none"/>
        </w:rPr>
        <w:t>项目</w:t>
      </w:r>
      <w:r>
        <w:rPr>
          <w:szCs w:val="21"/>
          <w:highlight w:val="none"/>
        </w:rPr>
        <w:t>合同的附件，与</w:t>
      </w:r>
      <w:r>
        <w:rPr>
          <w:rFonts w:hint="eastAsia"/>
          <w:szCs w:val="21"/>
          <w:highlight w:val="none"/>
        </w:rPr>
        <w:t>本项目合同</w:t>
      </w:r>
      <w:r>
        <w:rPr>
          <w:szCs w:val="21"/>
          <w:highlight w:val="none"/>
        </w:rPr>
        <w:t>具有同等的法律效力，经合同双方签署后立即生效。</w:t>
      </w:r>
    </w:p>
    <w:p w14:paraId="4851B528">
      <w:pPr>
        <w:adjustRightInd w:val="0"/>
        <w:snapToGrid w:val="0"/>
        <w:spacing w:line="360" w:lineRule="auto"/>
        <w:ind w:firstLine="422" w:firstLineChars="200"/>
        <w:rPr>
          <w:szCs w:val="21"/>
          <w:highlight w:val="none"/>
        </w:rPr>
      </w:pPr>
      <w:r>
        <w:rPr>
          <w:b/>
          <w:szCs w:val="21"/>
          <w:highlight w:val="none"/>
        </w:rPr>
        <w:t>第七条</w:t>
      </w:r>
      <w:r>
        <w:rPr>
          <w:szCs w:val="21"/>
          <w:highlight w:val="none"/>
        </w:rPr>
        <w:t>本合同</w:t>
      </w:r>
      <w:r>
        <w:rPr>
          <w:rFonts w:hint="eastAsia"/>
          <w:szCs w:val="21"/>
          <w:highlight w:val="none"/>
        </w:rPr>
        <w:t>一式陆份，</w:t>
      </w:r>
      <w:r>
        <w:rPr>
          <w:szCs w:val="21"/>
          <w:highlight w:val="none"/>
        </w:rPr>
        <w:t>甲、乙双方各执</w:t>
      </w:r>
      <w:r>
        <w:rPr>
          <w:rFonts w:hint="eastAsia"/>
          <w:szCs w:val="21"/>
          <w:highlight w:val="none"/>
        </w:rPr>
        <w:t>叁</w:t>
      </w:r>
      <w:r>
        <w:rPr>
          <w:szCs w:val="21"/>
          <w:highlight w:val="none"/>
        </w:rPr>
        <w:t>份。</w:t>
      </w:r>
    </w:p>
    <w:p w14:paraId="04892745">
      <w:pPr>
        <w:autoSpaceDE/>
        <w:autoSpaceDN/>
        <w:spacing w:line="440" w:lineRule="exact"/>
        <w:rPr>
          <w:rFonts w:hint="eastAsia"/>
          <w:spacing w:val="2"/>
          <w:kern w:val="2"/>
          <w:sz w:val="21"/>
          <w:szCs w:val="21"/>
          <w:highlight w:val="none"/>
          <w:lang w:val="en-US" w:bidi="ar-SA"/>
        </w:rPr>
      </w:pPr>
    </w:p>
    <w:p w14:paraId="19F3D30D">
      <w:pPr>
        <w:keepNext w:val="0"/>
        <w:keepLines w:val="0"/>
        <w:pageBreakBefore w:val="0"/>
        <w:widowControl w:val="0"/>
        <w:kinsoku/>
        <w:wordWrap/>
        <w:overflowPunct/>
        <w:topLinePunct w:val="0"/>
        <w:autoSpaceDE/>
        <w:autoSpaceDN/>
        <w:bidi w:val="0"/>
        <w:snapToGrid/>
        <w:spacing w:line="360" w:lineRule="auto"/>
        <w:ind w:firstLine="428" w:firstLineChars="200"/>
        <w:textAlignment w:val="auto"/>
        <w:rPr>
          <w:spacing w:val="2"/>
          <w:kern w:val="2"/>
          <w:sz w:val="21"/>
          <w:szCs w:val="21"/>
          <w:highlight w:val="none"/>
          <w:lang w:val="en-US" w:bidi="ar-SA"/>
        </w:rPr>
      </w:pPr>
      <w:r>
        <w:rPr>
          <w:rFonts w:hint="eastAsia"/>
          <w:spacing w:val="2"/>
          <w:kern w:val="2"/>
          <w:sz w:val="21"/>
          <w:szCs w:val="21"/>
          <w:highlight w:val="none"/>
          <w:lang w:val="en-US" w:bidi="ar-SA"/>
        </w:rPr>
        <w:t>发包人</w:t>
      </w:r>
      <w:r>
        <w:rPr>
          <w:rFonts w:hint="eastAsia"/>
          <w:kern w:val="2"/>
          <w:sz w:val="21"/>
          <w:szCs w:val="21"/>
          <w:highlight w:val="none"/>
          <w:lang w:val="en-US" w:bidi="ar-SA"/>
        </w:rPr>
        <w:t>（盖章）</w:t>
      </w:r>
      <w:r>
        <w:rPr>
          <w:rFonts w:hint="eastAsia"/>
          <w:spacing w:val="2"/>
          <w:kern w:val="2"/>
          <w:sz w:val="21"/>
          <w:szCs w:val="21"/>
          <w:highlight w:val="none"/>
          <w:lang w:val="en-US" w:bidi="ar-SA"/>
        </w:rPr>
        <w:t>：</w:t>
      </w:r>
      <w:r>
        <w:rPr>
          <w:rFonts w:hint="eastAsia"/>
          <w:kern w:val="2"/>
          <w:sz w:val="21"/>
          <w:szCs w:val="21"/>
          <w:highlight w:val="none"/>
          <w:u w:val="single"/>
          <w:lang w:val="en-US" w:bidi="ar-SA"/>
        </w:rPr>
        <w:t xml:space="preserve">                </w:t>
      </w:r>
      <w:r>
        <w:rPr>
          <w:rFonts w:hint="eastAsia"/>
          <w:spacing w:val="2"/>
          <w:kern w:val="2"/>
          <w:sz w:val="21"/>
          <w:szCs w:val="21"/>
          <w:highlight w:val="none"/>
          <w:lang w:val="en-US" w:bidi="ar-SA"/>
        </w:rPr>
        <w:t xml:space="preserve">    </w:t>
      </w:r>
      <w:r>
        <w:rPr>
          <w:rFonts w:hint="eastAsia"/>
          <w:spacing w:val="2"/>
          <w:kern w:val="2"/>
          <w:sz w:val="21"/>
          <w:szCs w:val="21"/>
          <w:highlight w:val="none"/>
          <w:lang w:val="en-US" w:eastAsia="zh-CN" w:bidi="ar-SA"/>
        </w:rPr>
        <w:t xml:space="preserve">                     </w:t>
      </w:r>
      <w:r>
        <w:rPr>
          <w:rFonts w:hint="eastAsia"/>
          <w:spacing w:val="2"/>
          <w:kern w:val="2"/>
          <w:sz w:val="21"/>
          <w:szCs w:val="21"/>
          <w:highlight w:val="none"/>
          <w:lang w:val="en-US" w:bidi="ar-SA"/>
        </w:rPr>
        <w:t>咨询单位</w:t>
      </w:r>
      <w:r>
        <w:rPr>
          <w:rFonts w:hint="eastAsia"/>
          <w:kern w:val="2"/>
          <w:sz w:val="21"/>
          <w:szCs w:val="21"/>
          <w:highlight w:val="none"/>
          <w:lang w:val="en-US" w:bidi="ar-SA"/>
        </w:rPr>
        <w:t>（盖章）</w:t>
      </w:r>
      <w:r>
        <w:rPr>
          <w:rFonts w:hint="eastAsia"/>
          <w:spacing w:val="2"/>
          <w:kern w:val="2"/>
          <w:sz w:val="21"/>
          <w:szCs w:val="21"/>
          <w:highlight w:val="none"/>
          <w:lang w:val="en-US" w:bidi="ar-SA"/>
        </w:rPr>
        <w:t>：</w:t>
      </w:r>
      <w:r>
        <w:rPr>
          <w:rFonts w:hint="eastAsia"/>
          <w:kern w:val="2"/>
          <w:sz w:val="21"/>
          <w:szCs w:val="21"/>
          <w:highlight w:val="none"/>
          <w:u w:val="single"/>
          <w:lang w:val="en-US" w:bidi="ar-SA"/>
        </w:rPr>
        <w:t xml:space="preserve">                     </w:t>
      </w:r>
    </w:p>
    <w:p w14:paraId="22788E4E">
      <w:pPr>
        <w:keepNext w:val="0"/>
        <w:keepLines w:val="0"/>
        <w:pageBreakBefore w:val="0"/>
        <w:widowControl w:val="0"/>
        <w:kinsoku/>
        <w:wordWrap/>
        <w:overflowPunct/>
        <w:topLinePunct w:val="0"/>
        <w:autoSpaceDE/>
        <w:autoSpaceDN/>
        <w:bidi w:val="0"/>
        <w:snapToGrid/>
        <w:spacing w:line="360" w:lineRule="auto"/>
        <w:ind w:firstLine="428" w:firstLineChars="200"/>
        <w:jc w:val="both"/>
        <w:textAlignment w:val="auto"/>
        <w:rPr>
          <w:spacing w:val="2"/>
          <w:kern w:val="2"/>
          <w:sz w:val="21"/>
          <w:szCs w:val="21"/>
          <w:highlight w:val="none"/>
          <w:lang w:val="en-US" w:bidi="ar-SA"/>
        </w:rPr>
      </w:pPr>
      <w:r>
        <w:rPr>
          <w:rFonts w:hint="eastAsia"/>
          <w:spacing w:val="2"/>
          <w:kern w:val="2"/>
          <w:sz w:val="21"/>
          <w:szCs w:val="21"/>
          <w:highlight w:val="none"/>
          <w:lang w:val="en-US" w:bidi="ar-SA"/>
        </w:rPr>
        <w:t xml:space="preserve">法定代表人                            </w:t>
      </w:r>
      <w:r>
        <w:rPr>
          <w:rFonts w:hint="eastAsia"/>
          <w:spacing w:val="2"/>
          <w:kern w:val="2"/>
          <w:sz w:val="21"/>
          <w:szCs w:val="21"/>
          <w:highlight w:val="none"/>
          <w:lang w:val="en-US" w:eastAsia="zh-CN" w:bidi="ar-SA"/>
        </w:rPr>
        <w:t xml:space="preserve">                        </w:t>
      </w:r>
      <w:r>
        <w:rPr>
          <w:rFonts w:hint="eastAsia"/>
          <w:spacing w:val="2"/>
          <w:kern w:val="2"/>
          <w:sz w:val="21"/>
          <w:szCs w:val="21"/>
          <w:highlight w:val="none"/>
          <w:lang w:val="en-US" w:bidi="ar-SA"/>
        </w:rPr>
        <w:t>法定代表人</w:t>
      </w:r>
    </w:p>
    <w:p w14:paraId="70AB6732">
      <w:pPr>
        <w:keepNext w:val="0"/>
        <w:keepLines w:val="0"/>
        <w:pageBreakBefore w:val="0"/>
        <w:widowControl w:val="0"/>
        <w:kinsoku/>
        <w:wordWrap/>
        <w:overflowPunct/>
        <w:topLinePunct w:val="0"/>
        <w:autoSpaceDE/>
        <w:autoSpaceDN/>
        <w:bidi w:val="0"/>
        <w:snapToGrid/>
        <w:spacing w:line="360" w:lineRule="auto"/>
        <w:ind w:firstLine="428" w:firstLineChars="200"/>
        <w:jc w:val="both"/>
        <w:textAlignment w:val="auto"/>
        <w:rPr>
          <w:spacing w:val="2"/>
          <w:kern w:val="2"/>
          <w:sz w:val="21"/>
          <w:szCs w:val="21"/>
          <w:highlight w:val="none"/>
          <w:lang w:val="en-US" w:bidi="ar-SA"/>
        </w:rPr>
      </w:pPr>
      <w:r>
        <w:rPr>
          <w:rFonts w:hint="eastAsia"/>
          <w:spacing w:val="2"/>
          <w:kern w:val="2"/>
          <w:sz w:val="21"/>
          <w:szCs w:val="21"/>
          <w:highlight w:val="none"/>
          <w:lang w:val="en-US" w:bidi="ar-SA"/>
        </w:rPr>
        <w:t>或其授权代理人（签字）：</w:t>
      </w:r>
      <w:r>
        <w:rPr>
          <w:rFonts w:hint="eastAsia"/>
          <w:spacing w:val="2"/>
          <w:kern w:val="2"/>
          <w:sz w:val="21"/>
          <w:szCs w:val="21"/>
          <w:highlight w:val="none"/>
          <w:u w:val="single"/>
          <w:lang w:val="en-US" w:bidi="ar-SA"/>
        </w:rPr>
        <w:t xml:space="preserve">      </w:t>
      </w:r>
      <w:r>
        <w:rPr>
          <w:rFonts w:hint="eastAsia"/>
          <w:spacing w:val="2"/>
          <w:kern w:val="2"/>
          <w:sz w:val="21"/>
          <w:szCs w:val="21"/>
          <w:highlight w:val="none"/>
          <w:lang w:val="en-US" w:bidi="ar-SA"/>
        </w:rPr>
        <w:t xml:space="preserve">        </w:t>
      </w:r>
      <w:r>
        <w:rPr>
          <w:rFonts w:hint="eastAsia"/>
          <w:spacing w:val="2"/>
          <w:kern w:val="2"/>
          <w:sz w:val="21"/>
          <w:szCs w:val="21"/>
          <w:highlight w:val="none"/>
          <w:lang w:val="en-US" w:eastAsia="zh-CN" w:bidi="ar-SA"/>
        </w:rPr>
        <w:t xml:space="preserve">           </w:t>
      </w:r>
      <w:r>
        <w:rPr>
          <w:rFonts w:hint="eastAsia"/>
          <w:spacing w:val="2"/>
          <w:kern w:val="2"/>
          <w:sz w:val="21"/>
          <w:szCs w:val="21"/>
          <w:highlight w:val="none"/>
          <w:lang w:val="en-US" w:bidi="ar-SA"/>
        </w:rPr>
        <w:t>或其授权代理人（签字）：</w:t>
      </w:r>
      <w:r>
        <w:rPr>
          <w:rFonts w:hint="eastAsia"/>
          <w:spacing w:val="2"/>
          <w:kern w:val="2"/>
          <w:sz w:val="21"/>
          <w:szCs w:val="21"/>
          <w:highlight w:val="none"/>
          <w:u w:val="single"/>
          <w:lang w:val="en-US" w:bidi="ar-SA"/>
        </w:rPr>
        <w:t xml:space="preserve">      </w:t>
      </w:r>
    </w:p>
    <w:p w14:paraId="600D788F">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snapToGrid w:val="0"/>
          <w:kern w:val="0"/>
          <w:szCs w:val="21"/>
          <w:highlight w:val="none"/>
        </w:rPr>
      </w:pPr>
      <w:r>
        <w:rPr>
          <w:rFonts w:hint="eastAsia"/>
          <w:kern w:val="2"/>
          <w:sz w:val="21"/>
          <w:szCs w:val="21"/>
          <w:highlight w:val="none"/>
          <w:lang w:val="en-US" w:bidi="ar-SA"/>
        </w:rPr>
        <w:t>签约日期：</w:t>
      </w:r>
      <w:r>
        <w:rPr>
          <w:rFonts w:hint="eastAsia"/>
          <w:spacing w:val="2"/>
          <w:kern w:val="2"/>
          <w:sz w:val="21"/>
          <w:szCs w:val="21"/>
          <w:highlight w:val="none"/>
          <w:u w:val="single"/>
          <w:lang w:val="en-US" w:bidi="ar-SA"/>
        </w:rPr>
        <w:t xml:space="preserve">    </w:t>
      </w:r>
      <w:r>
        <w:rPr>
          <w:rFonts w:hint="eastAsia"/>
          <w:kern w:val="2"/>
          <w:sz w:val="21"/>
          <w:szCs w:val="21"/>
          <w:highlight w:val="none"/>
          <w:lang w:val="en-US" w:bidi="ar-SA"/>
        </w:rPr>
        <w:t>年</w:t>
      </w:r>
      <w:r>
        <w:rPr>
          <w:rFonts w:hint="eastAsia"/>
          <w:spacing w:val="2"/>
          <w:kern w:val="2"/>
          <w:sz w:val="21"/>
          <w:szCs w:val="21"/>
          <w:highlight w:val="none"/>
          <w:u w:val="single"/>
          <w:lang w:val="en-US" w:bidi="ar-SA"/>
        </w:rPr>
        <w:t xml:space="preserve">    </w:t>
      </w:r>
      <w:r>
        <w:rPr>
          <w:rFonts w:hint="eastAsia"/>
          <w:kern w:val="2"/>
          <w:sz w:val="21"/>
          <w:szCs w:val="21"/>
          <w:highlight w:val="none"/>
          <w:lang w:val="en-US" w:bidi="ar-SA"/>
        </w:rPr>
        <w:t>月</w:t>
      </w:r>
      <w:r>
        <w:rPr>
          <w:rFonts w:hint="eastAsia"/>
          <w:spacing w:val="2"/>
          <w:kern w:val="2"/>
          <w:sz w:val="21"/>
          <w:szCs w:val="21"/>
          <w:highlight w:val="none"/>
          <w:u w:val="single"/>
          <w:lang w:val="en-US" w:bidi="ar-SA"/>
        </w:rPr>
        <w:t xml:space="preserve">    </w:t>
      </w:r>
      <w:r>
        <w:rPr>
          <w:rFonts w:hint="eastAsia"/>
          <w:kern w:val="2"/>
          <w:sz w:val="21"/>
          <w:szCs w:val="21"/>
          <w:highlight w:val="none"/>
          <w:lang w:val="en-US" w:bidi="ar-SA"/>
        </w:rPr>
        <w:t>日</w:t>
      </w:r>
    </w:p>
    <w:p w14:paraId="28E346A6">
      <w:pPr>
        <w:pStyle w:val="3"/>
        <w:jc w:val="center"/>
        <w:rPr>
          <w:highlight w:val="none"/>
        </w:rPr>
      </w:pPr>
    </w:p>
    <w:p w14:paraId="1E1DA116">
      <w:pPr>
        <w:rPr>
          <w:rFonts w:hint="eastAsia"/>
          <w:highlight w:val="none"/>
        </w:rPr>
      </w:pPr>
    </w:p>
    <w:p w14:paraId="4284F9A9">
      <w:pPr>
        <w:rPr>
          <w:rFonts w:hint="eastAsia"/>
          <w:highlight w:val="none"/>
        </w:rPr>
      </w:pPr>
      <w:r>
        <w:rPr>
          <w:rFonts w:ascii="宋体" w:hAnsi="宋体"/>
          <w:b/>
          <w:bCs/>
          <w:spacing w:val="9"/>
          <w:sz w:val="32"/>
          <w:szCs w:val="32"/>
          <w:highlight w:val="none"/>
        </w:rPr>
        <w:br w:type="page"/>
      </w:r>
      <w:bookmarkStart w:id="47" w:name="_Toc25049767"/>
    </w:p>
    <w:bookmarkEnd w:id="47"/>
    <w:p w14:paraId="483DEE04">
      <w:pPr>
        <w:pStyle w:val="2"/>
        <w:spacing w:before="240" w:after="240" w:line="400" w:lineRule="exact"/>
        <w:jc w:val="center"/>
        <w:rPr>
          <w:rFonts w:hint="eastAsia" w:ascii="Arial" w:hAnsi="Arial" w:eastAsia="黑体"/>
          <w:sz w:val="52"/>
          <w:szCs w:val="52"/>
          <w:highlight w:val="none"/>
        </w:rPr>
      </w:pPr>
      <w:bookmarkStart w:id="48" w:name="_Toc128881293"/>
      <w:bookmarkStart w:id="49" w:name="_Toc507577063"/>
      <w:r>
        <w:rPr>
          <w:rFonts w:hint="eastAsia" w:ascii="Arial" w:hAnsi="Arial" w:eastAsia="黑体"/>
          <w:sz w:val="32"/>
          <w:szCs w:val="32"/>
          <w:highlight w:val="none"/>
        </w:rPr>
        <w:t xml:space="preserve">第五章  </w:t>
      </w:r>
      <w:bookmarkEnd w:id="48"/>
      <w:bookmarkEnd w:id="49"/>
      <w:r>
        <w:rPr>
          <w:rFonts w:hint="eastAsia" w:ascii="Arial" w:hAnsi="Arial" w:eastAsia="黑体"/>
          <w:sz w:val="32"/>
          <w:szCs w:val="32"/>
          <w:highlight w:val="none"/>
        </w:rPr>
        <w:t>发包人要求</w:t>
      </w:r>
    </w:p>
    <w:p w14:paraId="5E6F434F">
      <w:pPr>
        <w:widowControl/>
        <w:kinsoku w:val="0"/>
        <w:autoSpaceDE w:val="0"/>
        <w:autoSpaceDN w:val="0"/>
        <w:adjustRightInd w:val="0"/>
        <w:snapToGrid w:val="0"/>
        <w:spacing w:line="360" w:lineRule="auto"/>
        <w:ind w:firstLine="420" w:firstLineChars="200"/>
        <w:textAlignment w:val="baseline"/>
        <w:rPr>
          <w:rFonts w:hint="eastAsia" w:ascii="宋体" w:hAnsi="宋体" w:cs="宋体"/>
          <w:szCs w:val="21"/>
          <w:highlight w:val="none"/>
        </w:rPr>
      </w:pPr>
      <w:r>
        <w:rPr>
          <w:rFonts w:hint="eastAsia" w:ascii="宋体" w:hAnsi="宋体" w:cs="宋体"/>
          <w:szCs w:val="21"/>
          <w:highlight w:val="none"/>
        </w:rPr>
        <w:t>本项目的研究过程和成果均必须符合国家有关规划、研究、设计方面现行的标准、规范、规程、办法、条例。</w:t>
      </w:r>
    </w:p>
    <w:p w14:paraId="63A3AF10">
      <w:pPr>
        <w:widowControl/>
        <w:kinsoku w:val="0"/>
        <w:autoSpaceDE w:val="0"/>
        <w:autoSpaceDN w:val="0"/>
        <w:adjustRightInd w:val="0"/>
        <w:snapToGrid w:val="0"/>
        <w:spacing w:line="360" w:lineRule="auto"/>
        <w:ind w:firstLine="420" w:firstLineChars="200"/>
        <w:textAlignment w:val="baseline"/>
        <w:rPr>
          <w:rFonts w:hint="eastAsia" w:ascii="宋体" w:hAnsi="宋体" w:cs="宋体"/>
          <w:szCs w:val="21"/>
          <w:highlight w:val="none"/>
        </w:rPr>
      </w:pPr>
      <w:r>
        <w:rPr>
          <w:rFonts w:hint="eastAsia" w:ascii="宋体" w:hAnsi="宋体" w:cs="宋体"/>
          <w:szCs w:val="21"/>
          <w:highlight w:val="none"/>
        </w:rPr>
        <w:t>咨询单位委派的项目负责人在研究工作中使用或参考上述标准、规范以外的技术标准、规范时，应征得发包人或发包人的指定代表人的同意。</w:t>
      </w:r>
    </w:p>
    <w:p w14:paraId="190BC3C2">
      <w:pPr>
        <w:widowControl/>
        <w:kinsoku w:val="0"/>
        <w:autoSpaceDE w:val="0"/>
        <w:autoSpaceDN w:val="0"/>
        <w:adjustRightInd w:val="0"/>
        <w:snapToGrid w:val="0"/>
        <w:spacing w:line="360" w:lineRule="auto"/>
        <w:ind w:firstLine="420" w:firstLineChars="200"/>
        <w:textAlignment w:val="baseline"/>
        <w:rPr>
          <w:rFonts w:hint="eastAsia" w:ascii="宋体" w:hAnsi="宋体" w:cs="宋体"/>
          <w:szCs w:val="21"/>
          <w:highlight w:val="none"/>
        </w:rPr>
      </w:pPr>
      <w:r>
        <w:rPr>
          <w:rFonts w:hint="eastAsia" w:ascii="宋体" w:hAnsi="宋体" w:cs="宋体"/>
          <w:szCs w:val="21"/>
          <w:highlight w:val="none"/>
        </w:rPr>
        <w:t>在研究过程中，如果国家或有关部门颁布了新的技术标准或规范，则咨询单位应采用新的标准或规范进行研究成果编制。</w:t>
      </w:r>
    </w:p>
    <w:p w14:paraId="5418B549">
      <w:pPr>
        <w:tabs>
          <w:tab w:val="left" w:pos="1260"/>
        </w:tabs>
        <w:adjustRightInd w:val="0"/>
        <w:snapToGrid w:val="0"/>
        <w:spacing w:line="360" w:lineRule="auto"/>
        <w:ind w:firstLine="420" w:firstLineChars="200"/>
        <w:rPr>
          <w:highlight w:val="none"/>
        </w:rPr>
      </w:pPr>
    </w:p>
    <w:p w14:paraId="135E3D22">
      <w:pPr>
        <w:tabs>
          <w:tab w:val="left" w:pos="1260"/>
        </w:tabs>
        <w:adjustRightInd w:val="0"/>
        <w:snapToGrid w:val="0"/>
        <w:spacing w:line="360" w:lineRule="auto"/>
        <w:ind w:firstLine="420" w:firstLineChars="200"/>
        <w:rPr>
          <w:rFonts w:hint="eastAsia" w:ascii="宋体" w:hAnsi="宋体"/>
          <w:szCs w:val="21"/>
          <w:highlight w:val="none"/>
        </w:rPr>
      </w:pPr>
    </w:p>
    <w:p w14:paraId="6333DF13">
      <w:pPr>
        <w:tabs>
          <w:tab w:val="left" w:pos="1260"/>
        </w:tabs>
        <w:adjustRightInd w:val="0"/>
        <w:snapToGrid w:val="0"/>
        <w:spacing w:line="360" w:lineRule="auto"/>
        <w:ind w:firstLine="420" w:firstLineChars="200"/>
        <w:rPr>
          <w:rFonts w:hint="eastAsia" w:ascii="宋体" w:hAnsi="宋体"/>
          <w:szCs w:val="21"/>
          <w:highlight w:val="none"/>
        </w:rPr>
      </w:pPr>
    </w:p>
    <w:p w14:paraId="18374851">
      <w:pPr>
        <w:tabs>
          <w:tab w:val="left" w:pos="1260"/>
        </w:tabs>
        <w:spacing w:line="360" w:lineRule="auto"/>
        <w:rPr>
          <w:rFonts w:ascii="Arial" w:hAnsi="Arial"/>
          <w:sz w:val="36"/>
          <w:highlight w:val="none"/>
        </w:rPr>
      </w:pPr>
      <w:r>
        <w:rPr>
          <w:rFonts w:ascii="宋体" w:hAnsi="宋体"/>
          <w:highlight w:val="none"/>
        </w:rPr>
        <w:br w:type="page"/>
      </w:r>
    </w:p>
    <w:p w14:paraId="511934CE">
      <w:pPr>
        <w:rPr>
          <w:rFonts w:ascii="Arial" w:hAnsi="Arial"/>
          <w:sz w:val="36"/>
          <w:highlight w:val="none"/>
        </w:rPr>
      </w:pPr>
    </w:p>
    <w:p w14:paraId="0C79CB8C">
      <w:pPr>
        <w:rPr>
          <w:rFonts w:ascii="Arial" w:hAnsi="Arial"/>
          <w:sz w:val="36"/>
          <w:highlight w:val="none"/>
        </w:rPr>
      </w:pPr>
    </w:p>
    <w:p w14:paraId="5D4D34B0">
      <w:pPr>
        <w:jc w:val="center"/>
        <w:rPr>
          <w:rFonts w:ascii="Arial" w:hAnsi="Arial"/>
          <w:sz w:val="36"/>
          <w:highlight w:val="none"/>
        </w:rPr>
      </w:pPr>
      <w:bookmarkStart w:id="50" w:name="_Toc128881295"/>
      <w:bookmarkStart w:id="51" w:name="_Toc507577064"/>
    </w:p>
    <w:p w14:paraId="5695DC27">
      <w:pPr>
        <w:rPr>
          <w:rFonts w:ascii="Arial" w:hAnsi="Arial"/>
          <w:sz w:val="36"/>
          <w:highlight w:val="none"/>
        </w:rPr>
      </w:pPr>
    </w:p>
    <w:p w14:paraId="35A682F9">
      <w:pPr>
        <w:rPr>
          <w:rFonts w:ascii="Arial" w:hAnsi="Arial"/>
          <w:sz w:val="36"/>
          <w:highlight w:val="none"/>
        </w:rPr>
      </w:pPr>
    </w:p>
    <w:p w14:paraId="01BCB223">
      <w:pPr>
        <w:rPr>
          <w:rFonts w:ascii="Arial" w:hAnsi="Arial"/>
          <w:sz w:val="36"/>
          <w:highlight w:val="none"/>
        </w:rPr>
      </w:pPr>
    </w:p>
    <w:p w14:paraId="1F4D1427">
      <w:pPr>
        <w:rPr>
          <w:rFonts w:ascii="Arial" w:hAnsi="Arial"/>
          <w:sz w:val="36"/>
          <w:highlight w:val="none"/>
        </w:rPr>
      </w:pPr>
    </w:p>
    <w:p w14:paraId="495F15E9">
      <w:pPr>
        <w:rPr>
          <w:rFonts w:ascii="Arial" w:hAnsi="Arial"/>
          <w:sz w:val="36"/>
          <w:highlight w:val="none"/>
        </w:rPr>
      </w:pPr>
    </w:p>
    <w:p w14:paraId="30D77906">
      <w:pPr>
        <w:pStyle w:val="2"/>
        <w:spacing w:line="240" w:lineRule="auto"/>
        <w:jc w:val="center"/>
        <w:rPr>
          <w:rFonts w:hint="eastAsia" w:ascii="Arial" w:hAnsi="Arial" w:eastAsia="黑体"/>
          <w:sz w:val="52"/>
          <w:szCs w:val="52"/>
          <w:highlight w:val="none"/>
        </w:rPr>
      </w:pPr>
      <w:r>
        <w:rPr>
          <w:rFonts w:hint="eastAsia" w:ascii="Arial" w:hAnsi="Arial" w:eastAsia="黑体"/>
          <w:sz w:val="52"/>
          <w:szCs w:val="52"/>
          <w:highlight w:val="none"/>
        </w:rPr>
        <w:t>第六章  投标文件格式</w:t>
      </w:r>
      <w:bookmarkEnd w:id="50"/>
      <w:bookmarkEnd w:id="51"/>
    </w:p>
    <w:p w14:paraId="71591898">
      <w:pPr>
        <w:spacing w:line="360" w:lineRule="auto"/>
        <w:rPr>
          <w:rFonts w:hint="eastAsia" w:ascii="宋体" w:hAnsi="宋体" w:cs="宋体"/>
          <w:bCs/>
          <w:sz w:val="36"/>
          <w:highlight w:val="none"/>
        </w:rPr>
      </w:pPr>
      <w:r>
        <w:rPr>
          <w:rFonts w:ascii="Arial" w:hAnsi="Arial"/>
          <w:highlight w:val="none"/>
        </w:rPr>
        <w:br w:type="page"/>
      </w:r>
      <w:bookmarkStart w:id="52" w:name="_Toc90433436"/>
      <w:r>
        <w:rPr>
          <w:rFonts w:hint="eastAsia" w:ascii="宋体" w:hAnsi="宋体" w:cs="宋体"/>
          <w:bCs/>
          <w:sz w:val="36"/>
          <w:highlight w:val="none"/>
        </w:rPr>
        <w:t>（第一信封封面格式）</w:t>
      </w:r>
      <w:bookmarkEnd w:id="52"/>
    </w:p>
    <w:p w14:paraId="649449F5">
      <w:pPr>
        <w:tabs>
          <w:tab w:val="right" w:leader="hyphen" w:pos="8640"/>
        </w:tabs>
        <w:spacing w:line="360" w:lineRule="auto"/>
        <w:jc w:val="center"/>
        <w:rPr>
          <w:rFonts w:hint="eastAsia" w:ascii="宋体" w:hAnsi="宋体" w:cs="宋体"/>
          <w:b/>
          <w:bCs/>
          <w:spacing w:val="20"/>
          <w:sz w:val="36"/>
          <w:szCs w:val="20"/>
          <w:highlight w:val="none"/>
        </w:rPr>
      </w:pPr>
    </w:p>
    <w:p w14:paraId="326FCA6A">
      <w:pPr>
        <w:spacing w:line="360" w:lineRule="auto"/>
        <w:jc w:val="center"/>
        <w:rPr>
          <w:rFonts w:hint="eastAsia" w:ascii="宋体" w:hAnsi="宋体" w:eastAsia="宋体" w:cs="宋体"/>
          <w:highlight w:val="none"/>
          <w:lang w:eastAsia="zh-CN"/>
        </w:rPr>
      </w:pPr>
      <w:r>
        <w:rPr>
          <w:rFonts w:hint="eastAsia" w:ascii="宋体" w:hAnsi="宋体" w:cs="宋体"/>
          <w:b/>
          <w:bCs/>
          <w:sz w:val="36"/>
          <w:szCs w:val="36"/>
          <w:highlight w:val="none"/>
          <w:lang w:eastAsia="zh-CN"/>
        </w:rPr>
        <w:t>连申线南通段三级航道整治工程及航道提升工程文物资源区域评估项目</w:t>
      </w:r>
    </w:p>
    <w:p w14:paraId="403454E4">
      <w:pPr>
        <w:spacing w:line="360" w:lineRule="auto"/>
        <w:ind w:firstLine="420" w:firstLineChars="200"/>
        <w:jc w:val="center"/>
        <w:rPr>
          <w:rFonts w:ascii="宋体" w:hAnsi="宋体" w:cs="宋体"/>
          <w:highlight w:val="none"/>
        </w:rPr>
      </w:pPr>
    </w:p>
    <w:p w14:paraId="38CD3DBA">
      <w:pPr>
        <w:rPr>
          <w:rFonts w:hint="eastAsia"/>
          <w:highlight w:val="none"/>
        </w:rPr>
      </w:pPr>
    </w:p>
    <w:p w14:paraId="192354C5">
      <w:pPr>
        <w:spacing w:line="360" w:lineRule="auto"/>
        <w:ind w:firstLine="420" w:firstLineChars="200"/>
        <w:jc w:val="center"/>
        <w:rPr>
          <w:rFonts w:hint="eastAsia" w:ascii="宋体" w:hAnsi="宋体" w:cs="宋体"/>
          <w:highlight w:val="none"/>
        </w:rPr>
      </w:pPr>
    </w:p>
    <w:p w14:paraId="2053B870">
      <w:pPr>
        <w:spacing w:before="120" w:beforeLines="50" w:after="240" w:afterLines="100" w:line="360" w:lineRule="auto"/>
        <w:jc w:val="center"/>
        <w:rPr>
          <w:rFonts w:hint="eastAsia" w:ascii="宋体" w:hAnsi="宋体" w:cs="宋体"/>
          <w:b/>
          <w:bCs/>
          <w:sz w:val="84"/>
          <w:szCs w:val="84"/>
          <w:highlight w:val="none"/>
        </w:rPr>
      </w:pPr>
    </w:p>
    <w:p w14:paraId="36B0791C">
      <w:pPr>
        <w:spacing w:before="120" w:beforeLines="50" w:after="240" w:afterLines="100" w:line="360" w:lineRule="auto"/>
        <w:jc w:val="center"/>
        <w:rPr>
          <w:rFonts w:hint="eastAsia" w:ascii="宋体" w:hAnsi="宋体" w:cs="宋体"/>
          <w:b/>
          <w:bCs/>
          <w:sz w:val="84"/>
          <w:szCs w:val="84"/>
          <w:highlight w:val="none"/>
        </w:rPr>
      </w:pPr>
      <w:r>
        <w:rPr>
          <w:rFonts w:hint="eastAsia" w:ascii="宋体" w:hAnsi="宋体" w:cs="宋体"/>
          <w:b/>
          <w:bCs/>
          <w:sz w:val="84"/>
          <w:szCs w:val="84"/>
          <w:highlight w:val="none"/>
        </w:rPr>
        <w:t>投标文件</w:t>
      </w:r>
    </w:p>
    <w:p w14:paraId="580F3391">
      <w:pPr>
        <w:spacing w:line="360" w:lineRule="auto"/>
        <w:jc w:val="center"/>
        <w:rPr>
          <w:rFonts w:hint="eastAsia" w:ascii="宋体" w:hAnsi="宋体" w:cs="宋体"/>
          <w:highlight w:val="none"/>
        </w:rPr>
      </w:pPr>
      <w:bookmarkStart w:id="53" w:name="_Toc350188286"/>
      <w:bookmarkStart w:id="54" w:name="_Toc291352485"/>
      <w:r>
        <w:rPr>
          <w:rFonts w:hint="eastAsia" w:ascii="宋体" w:hAnsi="宋体" w:cs="宋体"/>
          <w:b/>
          <w:bCs/>
          <w:sz w:val="44"/>
          <w:highlight w:val="none"/>
        </w:rPr>
        <w:t>第一信封 商务及技术文件</w:t>
      </w:r>
      <w:bookmarkEnd w:id="53"/>
      <w:bookmarkEnd w:id="54"/>
    </w:p>
    <w:p w14:paraId="5173F317">
      <w:pPr>
        <w:spacing w:line="360" w:lineRule="auto"/>
        <w:ind w:firstLine="720" w:firstLineChars="200"/>
        <w:jc w:val="center"/>
        <w:rPr>
          <w:rFonts w:hint="eastAsia" w:ascii="宋体" w:hAnsi="宋体" w:cs="宋体"/>
          <w:sz w:val="36"/>
          <w:highlight w:val="none"/>
        </w:rPr>
      </w:pPr>
    </w:p>
    <w:p w14:paraId="10323FD4">
      <w:pPr>
        <w:spacing w:line="360" w:lineRule="auto"/>
        <w:ind w:firstLine="420" w:firstLineChars="200"/>
        <w:rPr>
          <w:rFonts w:hint="eastAsia" w:ascii="宋体" w:hAnsi="宋体" w:cs="宋体"/>
          <w:highlight w:val="none"/>
        </w:rPr>
      </w:pPr>
    </w:p>
    <w:p w14:paraId="6FDC0E44">
      <w:pPr>
        <w:spacing w:line="360" w:lineRule="auto"/>
        <w:ind w:firstLine="420" w:firstLineChars="200"/>
        <w:rPr>
          <w:rFonts w:hint="eastAsia" w:ascii="宋体" w:hAnsi="宋体" w:cs="宋体"/>
          <w:highlight w:val="none"/>
        </w:rPr>
      </w:pPr>
    </w:p>
    <w:p w14:paraId="06FF310E">
      <w:pPr>
        <w:rPr>
          <w:rFonts w:hint="eastAsia" w:ascii="宋体" w:hAnsi="宋体" w:cs="宋体"/>
          <w:highlight w:val="none"/>
        </w:rPr>
      </w:pPr>
    </w:p>
    <w:p w14:paraId="59AC16A6">
      <w:pPr>
        <w:ind w:firstLine="420" w:firstLineChars="200"/>
        <w:rPr>
          <w:rFonts w:hint="eastAsia" w:ascii="宋体" w:hAnsi="宋体" w:cs="宋体"/>
          <w:highlight w:val="none"/>
        </w:rPr>
      </w:pPr>
    </w:p>
    <w:p w14:paraId="443B25FF">
      <w:pPr>
        <w:rPr>
          <w:rFonts w:hint="eastAsia" w:ascii="宋体" w:hAnsi="宋体" w:cs="宋体"/>
          <w:highlight w:val="none"/>
        </w:rPr>
      </w:pPr>
    </w:p>
    <w:p w14:paraId="5D0DC518">
      <w:pPr>
        <w:ind w:firstLine="420" w:firstLineChars="200"/>
        <w:rPr>
          <w:rFonts w:hint="eastAsia"/>
          <w:highlight w:val="none"/>
        </w:rPr>
      </w:pPr>
    </w:p>
    <w:p w14:paraId="094E50C9">
      <w:pPr>
        <w:spacing w:line="360" w:lineRule="auto"/>
        <w:ind w:firstLine="420" w:firstLineChars="200"/>
        <w:rPr>
          <w:rFonts w:hint="eastAsia" w:ascii="宋体" w:hAnsi="宋体" w:cs="宋体"/>
          <w:highlight w:val="none"/>
        </w:rPr>
      </w:pPr>
    </w:p>
    <w:p w14:paraId="521F7B1D">
      <w:pPr>
        <w:spacing w:line="360" w:lineRule="auto"/>
        <w:rPr>
          <w:rFonts w:hint="eastAsia" w:ascii="宋体" w:hAnsi="宋体" w:cs="宋体"/>
          <w:sz w:val="36"/>
          <w:highlight w:val="none"/>
        </w:rPr>
      </w:pPr>
    </w:p>
    <w:p w14:paraId="74EE9A20">
      <w:pPr>
        <w:spacing w:line="360" w:lineRule="auto"/>
        <w:jc w:val="center"/>
        <w:rPr>
          <w:rFonts w:hint="eastAsia" w:ascii="宋体" w:hAnsi="宋体" w:cs="宋体"/>
          <w:b/>
          <w:bCs/>
          <w:sz w:val="36"/>
          <w:highlight w:val="none"/>
        </w:rPr>
      </w:pPr>
      <w:r>
        <w:rPr>
          <w:rFonts w:hint="eastAsia" w:ascii="宋体" w:hAnsi="宋体" w:cs="宋体"/>
          <w:b/>
          <w:bCs/>
          <w:sz w:val="36"/>
          <w:highlight w:val="none"/>
        </w:rPr>
        <w:t>投标单位：</w:t>
      </w:r>
      <w:r>
        <w:rPr>
          <w:rFonts w:hint="eastAsia" w:ascii="宋体" w:hAnsi="宋体" w:cs="宋体"/>
          <w:b/>
          <w:bCs/>
          <w:sz w:val="36"/>
          <w:highlight w:val="none"/>
          <w:u w:val="single"/>
          <w:lang w:val="en-US" w:eastAsia="zh-CN"/>
        </w:rPr>
        <w:t xml:space="preserve">           </w:t>
      </w:r>
      <w:r>
        <w:rPr>
          <w:rFonts w:hint="eastAsia" w:ascii="宋体" w:hAnsi="宋体" w:cs="宋体"/>
          <w:b/>
          <w:bCs/>
          <w:sz w:val="36"/>
          <w:highlight w:val="none"/>
          <w:u w:val="single"/>
        </w:rPr>
        <w:t>（盖单位章）</w:t>
      </w:r>
    </w:p>
    <w:p w14:paraId="44A2D5F7">
      <w:pPr>
        <w:tabs>
          <w:tab w:val="left" w:pos="5670"/>
        </w:tabs>
        <w:spacing w:line="360" w:lineRule="auto"/>
        <w:rPr>
          <w:rFonts w:hint="eastAsia" w:ascii="宋体" w:hAnsi="宋体" w:cs="宋体"/>
          <w:b/>
          <w:sz w:val="36"/>
          <w:highlight w:val="none"/>
        </w:rPr>
      </w:pPr>
      <w:r>
        <w:rPr>
          <w:rFonts w:hint="eastAsia" w:ascii="宋体" w:hAnsi="宋体" w:cs="宋体"/>
          <w:b/>
          <w:bCs/>
          <w:sz w:val="36"/>
          <w:highlight w:val="none"/>
        </w:rPr>
        <w:t xml:space="preserve">             </w:t>
      </w:r>
      <w:r>
        <w:rPr>
          <w:rFonts w:hint="eastAsia" w:ascii="宋体" w:hAnsi="宋体" w:cs="宋体"/>
          <w:b/>
          <w:bCs/>
          <w:sz w:val="36"/>
          <w:highlight w:val="none"/>
          <w:lang w:val="en-US" w:eastAsia="zh-CN"/>
        </w:rPr>
        <w:t xml:space="preserve">  </w:t>
      </w:r>
      <w:r>
        <w:rPr>
          <w:rFonts w:hint="eastAsia" w:ascii="宋体" w:hAnsi="宋体" w:cs="宋体"/>
          <w:b/>
          <w:bCs/>
          <w:sz w:val="36"/>
          <w:highlight w:val="none"/>
          <w:u w:val="single"/>
        </w:rPr>
        <w:t xml:space="preserve">       </w:t>
      </w:r>
      <w:r>
        <w:rPr>
          <w:rFonts w:hint="eastAsia" w:ascii="宋体" w:hAnsi="宋体" w:cs="宋体"/>
          <w:b/>
          <w:bCs/>
          <w:sz w:val="36"/>
          <w:highlight w:val="none"/>
        </w:rPr>
        <w:t>年</w:t>
      </w:r>
      <w:r>
        <w:rPr>
          <w:rFonts w:hint="eastAsia" w:ascii="宋体" w:hAnsi="宋体" w:cs="宋体"/>
          <w:b/>
          <w:bCs/>
          <w:sz w:val="36"/>
          <w:highlight w:val="none"/>
          <w:u w:val="single"/>
        </w:rPr>
        <w:t xml:space="preserve">     </w:t>
      </w:r>
      <w:r>
        <w:rPr>
          <w:rFonts w:hint="eastAsia" w:ascii="宋体" w:hAnsi="宋体" w:cs="宋体"/>
          <w:b/>
          <w:bCs/>
          <w:sz w:val="36"/>
          <w:highlight w:val="none"/>
        </w:rPr>
        <w:t>月</w:t>
      </w:r>
      <w:r>
        <w:rPr>
          <w:rFonts w:hint="eastAsia" w:ascii="宋体" w:hAnsi="宋体" w:cs="宋体"/>
          <w:b/>
          <w:bCs/>
          <w:sz w:val="36"/>
          <w:highlight w:val="none"/>
          <w:u w:val="single"/>
        </w:rPr>
        <w:t xml:space="preserve">     </w:t>
      </w:r>
      <w:r>
        <w:rPr>
          <w:rFonts w:hint="eastAsia" w:ascii="宋体" w:hAnsi="宋体" w:cs="宋体"/>
          <w:b/>
          <w:bCs/>
          <w:sz w:val="36"/>
          <w:highlight w:val="none"/>
        </w:rPr>
        <w:t>日</w:t>
      </w:r>
    </w:p>
    <w:p w14:paraId="69702A93">
      <w:pPr>
        <w:pStyle w:val="71"/>
        <w:spacing w:before="120" w:beforeLines="50" w:after="120" w:afterLines="50" w:line="360" w:lineRule="auto"/>
        <w:jc w:val="center"/>
        <w:rPr>
          <w:rFonts w:hint="eastAsia" w:ascii="宋体" w:hAnsi="宋体" w:eastAsia="宋体"/>
          <w:highlight w:val="none"/>
        </w:rPr>
      </w:pPr>
      <w:bookmarkStart w:id="55" w:name="_Toc507577065"/>
      <w:bookmarkStart w:id="56" w:name="_Toc293501782"/>
      <w:bookmarkStart w:id="57" w:name="_Toc351563301"/>
      <w:bookmarkStart w:id="58" w:name="_Toc276385634"/>
      <w:bookmarkStart w:id="59" w:name="_Toc282613997"/>
      <w:bookmarkStart w:id="60" w:name="_Toc312247038"/>
      <w:bookmarkStart w:id="61" w:name="_Toc437854275"/>
      <w:bookmarkStart w:id="62" w:name="_Toc359310268"/>
      <w:bookmarkStart w:id="63" w:name="_Toc276367176"/>
      <w:bookmarkStart w:id="64" w:name="_Toc276384194"/>
      <w:r>
        <w:rPr>
          <w:rFonts w:ascii="宋体" w:hAnsi="宋体" w:eastAsia="宋体"/>
          <w:highlight w:val="none"/>
        </w:rPr>
        <w:br w:type="page"/>
      </w:r>
      <w:r>
        <w:rPr>
          <w:rFonts w:hint="eastAsia" w:ascii="宋体" w:hAnsi="宋体" w:eastAsia="宋体"/>
          <w:highlight w:val="none"/>
        </w:rPr>
        <w:t>一、投标函</w:t>
      </w:r>
      <w:bookmarkEnd w:id="55"/>
      <w:bookmarkEnd w:id="56"/>
      <w:bookmarkEnd w:id="57"/>
      <w:bookmarkEnd w:id="58"/>
      <w:bookmarkEnd w:id="59"/>
      <w:bookmarkEnd w:id="60"/>
      <w:bookmarkEnd w:id="61"/>
      <w:bookmarkEnd w:id="62"/>
      <w:bookmarkEnd w:id="63"/>
      <w:bookmarkEnd w:id="64"/>
    </w:p>
    <w:p w14:paraId="6C367F2F">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1"/>
          <w:szCs w:val="21"/>
          <w:highlight w:val="none"/>
        </w:rPr>
      </w:pPr>
      <w:r>
        <w:rPr>
          <w:rFonts w:ascii="宋体" w:hAnsi="宋体"/>
          <w:sz w:val="21"/>
          <w:szCs w:val="21"/>
          <w:highlight w:val="none"/>
        </w:rPr>
        <w:t>（招标人名称）</w:t>
      </w:r>
      <w:r>
        <w:rPr>
          <w:rFonts w:hint="eastAsia" w:ascii="宋体" w:hAnsi="宋体"/>
          <w:sz w:val="21"/>
          <w:szCs w:val="21"/>
          <w:highlight w:val="none"/>
          <w:u w:val="single"/>
        </w:rPr>
        <w:t xml:space="preserve"> </w:t>
      </w:r>
      <w:r>
        <w:rPr>
          <w:rFonts w:ascii="宋体" w:hAnsi="宋体"/>
          <w:sz w:val="21"/>
          <w:szCs w:val="21"/>
          <w:highlight w:val="none"/>
          <w:u w:val="single"/>
        </w:rPr>
        <w:t xml:space="preserve">     </w:t>
      </w:r>
      <w:r>
        <w:rPr>
          <w:rFonts w:ascii="宋体" w:hAnsi="宋体"/>
          <w:sz w:val="21"/>
          <w:szCs w:val="21"/>
          <w:highlight w:val="none"/>
        </w:rPr>
        <w:t xml:space="preserve">： </w:t>
      </w:r>
    </w:p>
    <w:p w14:paraId="585412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highlight w:val="none"/>
        </w:rPr>
      </w:pPr>
      <w:r>
        <w:rPr>
          <w:rFonts w:ascii="宋体" w:hAnsi="宋体"/>
          <w:sz w:val="21"/>
          <w:szCs w:val="21"/>
          <w:highlight w:val="none"/>
        </w:rPr>
        <w:t>1、我方在仔细研究了</w:t>
      </w:r>
      <w:r>
        <w:rPr>
          <w:rFonts w:hint="eastAsia" w:ascii="宋体" w:hAnsi="宋体"/>
          <w:sz w:val="21"/>
          <w:szCs w:val="21"/>
          <w:highlight w:val="none"/>
          <w:u w:val="single"/>
        </w:rPr>
        <w:t xml:space="preserve"> </w:t>
      </w:r>
      <w:r>
        <w:rPr>
          <w:rFonts w:ascii="宋体" w:hAnsi="宋体"/>
          <w:sz w:val="21"/>
          <w:szCs w:val="21"/>
          <w:highlight w:val="none"/>
          <w:u w:val="single"/>
        </w:rPr>
        <w:t xml:space="preserve">     </w:t>
      </w:r>
      <w:r>
        <w:rPr>
          <w:rFonts w:ascii="宋体" w:hAnsi="宋体"/>
          <w:sz w:val="21"/>
          <w:szCs w:val="21"/>
          <w:highlight w:val="none"/>
        </w:rPr>
        <w:t>（项目名称）的招标文件并了解该项目基本情况后，决定参加该项目投标。在此郑重表示，我们愿意按照招标文件确定的投入力量和工作方案、遵照招标文件规定的责任和义务、并以投标文件第二信封报价函上的投标总价，承担本项目的服务工作。</w:t>
      </w:r>
    </w:p>
    <w:p w14:paraId="0FEDC2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highlight w:val="none"/>
        </w:rPr>
      </w:pPr>
      <w:r>
        <w:rPr>
          <w:rFonts w:ascii="宋体" w:hAnsi="宋体"/>
          <w:sz w:val="21"/>
          <w:szCs w:val="21"/>
          <w:highlight w:val="none"/>
        </w:rPr>
        <w:t>2、</w:t>
      </w:r>
      <w:r>
        <w:rPr>
          <w:rFonts w:hint="eastAsia" w:ascii="宋体" w:hAnsi="宋体"/>
          <w:sz w:val="21"/>
          <w:szCs w:val="21"/>
          <w:highlight w:val="none"/>
        </w:rPr>
        <w:t>我单位一旦中选，将保证按本投标文件配备的人员提供服务，即</w:t>
      </w:r>
    </w:p>
    <w:p w14:paraId="71023D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highlight w:val="none"/>
        </w:rPr>
      </w:pPr>
      <w:r>
        <w:rPr>
          <w:rFonts w:hint="eastAsia" w:ascii="宋体" w:hAnsi="宋体"/>
          <w:sz w:val="21"/>
          <w:szCs w:val="21"/>
          <w:highlight w:val="none"/>
        </w:rPr>
        <w:t>（1）</w:t>
      </w:r>
      <w:r>
        <w:rPr>
          <w:rFonts w:ascii="宋体" w:hAnsi="宋体"/>
          <w:sz w:val="21"/>
          <w:szCs w:val="21"/>
          <w:highlight w:val="none"/>
        </w:rPr>
        <w:t>项目负责人：</w:t>
      </w:r>
      <w:r>
        <w:rPr>
          <w:rFonts w:hint="eastAsia" w:ascii="宋体" w:hAnsi="宋体"/>
          <w:sz w:val="21"/>
          <w:szCs w:val="21"/>
          <w:highlight w:val="none"/>
          <w:u w:val="single"/>
        </w:rPr>
        <w:t xml:space="preserve"> </w:t>
      </w:r>
      <w:r>
        <w:rPr>
          <w:rFonts w:ascii="宋体" w:hAnsi="宋体"/>
          <w:sz w:val="21"/>
          <w:szCs w:val="21"/>
          <w:highlight w:val="none"/>
          <w:u w:val="single"/>
        </w:rPr>
        <w:t xml:space="preserve">     </w:t>
      </w:r>
      <w:r>
        <w:rPr>
          <w:rFonts w:ascii="宋体" w:hAnsi="宋体"/>
          <w:sz w:val="21"/>
          <w:szCs w:val="21"/>
          <w:highlight w:val="none"/>
        </w:rPr>
        <w:t>,身份证号为</w:t>
      </w:r>
      <w:r>
        <w:rPr>
          <w:rFonts w:hint="eastAsia" w:ascii="宋体" w:hAnsi="宋体"/>
          <w:sz w:val="21"/>
          <w:szCs w:val="21"/>
          <w:highlight w:val="none"/>
          <w:u w:val="single"/>
        </w:rPr>
        <w:t xml:space="preserve"> </w:t>
      </w:r>
      <w:r>
        <w:rPr>
          <w:rFonts w:ascii="宋体" w:hAnsi="宋体"/>
          <w:sz w:val="21"/>
          <w:szCs w:val="21"/>
          <w:highlight w:val="none"/>
          <w:u w:val="single"/>
        </w:rPr>
        <w:t xml:space="preserve">     </w:t>
      </w:r>
      <w:r>
        <w:rPr>
          <w:rFonts w:hint="eastAsia" w:ascii="宋体" w:hAnsi="宋体"/>
          <w:sz w:val="21"/>
          <w:szCs w:val="21"/>
          <w:highlight w:val="none"/>
        </w:rPr>
        <w:t>；</w:t>
      </w:r>
    </w:p>
    <w:p w14:paraId="05CC93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highlight w:val="none"/>
        </w:rPr>
      </w:pPr>
      <w:r>
        <w:rPr>
          <w:rFonts w:ascii="宋体" w:hAnsi="宋体"/>
          <w:sz w:val="21"/>
          <w:szCs w:val="21"/>
          <w:highlight w:val="none"/>
        </w:rPr>
        <w:t>3、计划服务周期：</w:t>
      </w:r>
      <w:r>
        <w:rPr>
          <w:rFonts w:hint="eastAsia" w:ascii="宋体" w:hAnsi="宋体"/>
          <w:sz w:val="21"/>
          <w:szCs w:val="21"/>
          <w:highlight w:val="none"/>
          <w:u w:val="single"/>
        </w:rPr>
        <w:t xml:space="preserve">       </w:t>
      </w:r>
      <w:r>
        <w:rPr>
          <w:rFonts w:ascii="宋体" w:hAnsi="宋体"/>
          <w:sz w:val="21"/>
          <w:szCs w:val="21"/>
          <w:highlight w:val="none"/>
        </w:rPr>
        <w:t xml:space="preserve">。  </w:t>
      </w:r>
    </w:p>
    <w:p w14:paraId="41FA1C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highlight w:val="none"/>
        </w:rPr>
      </w:pPr>
      <w:r>
        <w:rPr>
          <w:rFonts w:hint="eastAsia" w:ascii="宋体" w:hAnsi="宋体"/>
          <w:sz w:val="21"/>
          <w:szCs w:val="21"/>
          <w:highlight w:val="none"/>
        </w:rPr>
        <w:t>4</w:t>
      </w:r>
      <w:r>
        <w:rPr>
          <w:rFonts w:ascii="宋体" w:hAnsi="宋体"/>
          <w:sz w:val="21"/>
          <w:szCs w:val="21"/>
          <w:highlight w:val="none"/>
        </w:rPr>
        <w:t>、我方同意所递交的投标文件在“投标人须知”前附表规定的投标有效期内有效，在此期限届满之前，本投标函将始终对我方具有约束力，并随时接受中选。</w:t>
      </w:r>
    </w:p>
    <w:p w14:paraId="63566A9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highlight w:val="none"/>
        </w:rPr>
      </w:pPr>
      <w:r>
        <w:rPr>
          <w:rFonts w:hint="eastAsia" w:ascii="宋体" w:hAnsi="宋体"/>
          <w:sz w:val="21"/>
          <w:szCs w:val="21"/>
          <w:highlight w:val="none"/>
        </w:rPr>
        <w:t>5</w:t>
      </w:r>
      <w:r>
        <w:rPr>
          <w:rFonts w:ascii="宋体" w:hAnsi="宋体"/>
          <w:sz w:val="21"/>
          <w:szCs w:val="21"/>
          <w:highlight w:val="none"/>
        </w:rPr>
        <w:t>、如果你单位接受我们的投标文件，我们保证按照投标文件的约定及时与你方按招标文件中服务合同的格式及内容签署服务合同。</w:t>
      </w:r>
    </w:p>
    <w:p w14:paraId="1AE071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highlight w:val="none"/>
        </w:rPr>
      </w:pPr>
      <w:r>
        <w:rPr>
          <w:rFonts w:hint="eastAsia" w:ascii="宋体" w:hAnsi="宋体"/>
          <w:sz w:val="21"/>
          <w:szCs w:val="21"/>
          <w:highlight w:val="none"/>
        </w:rPr>
        <w:t>6</w:t>
      </w:r>
      <w:r>
        <w:rPr>
          <w:rFonts w:ascii="宋体" w:hAnsi="宋体"/>
          <w:sz w:val="21"/>
          <w:szCs w:val="21"/>
          <w:highlight w:val="none"/>
        </w:rPr>
        <w:t>、除非另外达成协议并生效，你方的招标文件、中标通知书和本投标文件将构成约束我们双方的合同。</w:t>
      </w:r>
    </w:p>
    <w:p w14:paraId="326344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highlight w:val="none"/>
        </w:rPr>
      </w:pPr>
      <w:r>
        <w:rPr>
          <w:rFonts w:ascii="宋体" w:hAnsi="宋体"/>
          <w:sz w:val="21"/>
          <w:szCs w:val="21"/>
          <w:highlight w:val="none"/>
        </w:rPr>
        <w:t>7</w:t>
      </w:r>
      <w:r>
        <w:rPr>
          <w:rFonts w:hint="eastAsia" w:ascii="宋体" w:hAnsi="宋体"/>
          <w:sz w:val="21"/>
          <w:szCs w:val="21"/>
          <w:highlight w:val="none"/>
        </w:rPr>
        <w:t>、</w:t>
      </w:r>
      <w:r>
        <w:rPr>
          <w:rFonts w:hint="eastAsia" w:ascii="宋体" w:hAnsi="宋体"/>
          <w:sz w:val="21"/>
          <w:szCs w:val="21"/>
          <w:highlight w:val="none"/>
          <w:u w:val="single"/>
        </w:rPr>
        <w:t xml:space="preserve"> </w:t>
      </w:r>
      <w:r>
        <w:rPr>
          <w:rFonts w:ascii="宋体" w:hAnsi="宋体"/>
          <w:sz w:val="21"/>
          <w:szCs w:val="21"/>
          <w:highlight w:val="none"/>
          <w:u w:val="single"/>
        </w:rPr>
        <w:t xml:space="preserve">     </w:t>
      </w:r>
      <w:r>
        <w:rPr>
          <w:rFonts w:ascii="宋体" w:hAnsi="宋体"/>
          <w:sz w:val="21"/>
          <w:szCs w:val="21"/>
          <w:highlight w:val="none"/>
        </w:rPr>
        <w:t xml:space="preserve">（其他补充说明）。 </w:t>
      </w:r>
    </w:p>
    <w:p w14:paraId="31D8F495">
      <w:pPr>
        <w:spacing w:line="400" w:lineRule="exact"/>
        <w:ind w:firstLine="441" w:firstLineChars="210"/>
        <w:jc w:val="left"/>
        <w:rPr>
          <w:rFonts w:hint="eastAsia" w:ascii="宋体" w:hAnsi="宋体"/>
          <w:szCs w:val="21"/>
          <w:highlight w:val="none"/>
        </w:rPr>
      </w:pPr>
    </w:p>
    <w:p w14:paraId="2AB7A265">
      <w:pPr>
        <w:spacing w:line="351" w:lineRule="auto"/>
        <w:rPr>
          <w:szCs w:val="21"/>
          <w:highlight w:val="none"/>
        </w:rPr>
      </w:pPr>
      <w:r>
        <w:rPr>
          <w:szCs w:val="21"/>
          <w:highlight w:val="none"/>
        </w:rPr>
        <w:t>投</w:t>
      </w:r>
      <w:r>
        <w:rPr>
          <w:rFonts w:eastAsia="Times New Roman"/>
          <w:szCs w:val="21"/>
          <w:highlight w:val="none"/>
        </w:rPr>
        <w:t xml:space="preserve"> </w:t>
      </w:r>
      <w:r>
        <w:rPr>
          <w:szCs w:val="21"/>
          <w:highlight w:val="none"/>
        </w:rPr>
        <w:t>标</w:t>
      </w:r>
      <w:r>
        <w:rPr>
          <w:rFonts w:eastAsia="Times New Roman"/>
          <w:szCs w:val="21"/>
          <w:highlight w:val="none"/>
        </w:rPr>
        <w:t xml:space="preserve"> </w:t>
      </w:r>
      <w:r>
        <w:rPr>
          <w:szCs w:val="21"/>
          <w:highlight w:val="none"/>
        </w:rPr>
        <w:t>人：</w:t>
      </w:r>
      <w:r>
        <w:rPr>
          <w:rFonts w:eastAsia="Times New Roman"/>
          <w:szCs w:val="21"/>
          <w:highlight w:val="none"/>
          <w:u w:val="single" w:color="000000"/>
        </w:rPr>
        <w:t xml:space="preserve">                    </w:t>
      </w:r>
      <w:r>
        <w:rPr>
          <w:rFonts w:hAnsi="宋体"/>
          <w:kern w:val="21"/>
          <w:szCs w:val="21"/>
          <w:highlight w:val="none"/>
        </w:rPr>
        <w:t>（盖单位章）</w:t>
      </w:r>
    </w:p>
    <w:p w14:paraId="3A5EF86F">
      <w:pPr>
        <w:spacing w:line="351" w:lineRule="auto"/>
        <w:rPr>
          <w:szCs w:val="21"/>
          <w:highlight w:val="none"/>
        </w:rPr>
      </w:pPr>
      <w:r>
        <w:rPr>
          <w:szCs w:val="21"/>
          <w:highlight w:val="none"/>
        </w:rPr>
        <w:t>法定代表人或其委托代理人：</w:t>
      </w:r>
      <w:r>
        <w:rPr>
          <w:rFonts w:eastAsia="Times New Roman"/>
          <w:szCs w:val="21"/>
          <w:highlight w:val="none"/>
          <w:u w:val="single" w:color="000000"/>
        </w:rPr>
        <w:t xml:space="preserve">           </w:t>
      </w:r>
      <w:r>
        <w:rPr>
          <w:rFonts w:hAnsi="宋体"/>
          <w:kern w:val="21"/>
          <w:szCs w:val="21"/>
          <w:highlight w:val="none"/>
        </w:rPr>
        <w:t>（</w:t>
      </w:r>
      <w:r>
        <w:rPr>
          <w:rFonts w:hint="eastAsia" w:hAnsi="宋体"/>
          <w:kern w:val="21"/>
          <w:szCs w:val="21"/>
          <w:highlight w:val="none"/>
        </w:rPr>
        <w:t>签字或盖章</w:t>
      </w:r>
      <w:r>
        <w:rPr>
          <w:rFonts w:hAnsi="宋体"/>
          <w:kern w:val="21"/>
          <w:szCs w:val="21"/>
          <w:highlight w:val="none"/>
        </w:rPr>
        <w:t>）</w:t>
      </w:r>
      <w:r>
        <w:rPr>
          <w:rFonts w:eastAsia="Times New Roman"/>
          <w:szCs w:val="21"/>
          <w:highlight w:val="none"/>
        </w:rPr>
        <w:t xml:space="preserve"> </w:t>
      </w:r>
    </w:p>
    <w:p w14:paraId="7BBDAFDF">
      <w:pPr>
        <w:spacing w:after="98" w:line="330" w:lineRule="auto"/>
        <w:ind w:right="2"/>
        <w:rPr>
          <w:rFonts w:eastAsia="Times New Roman"/>
          <w:szCs w:val="21"/>
          <w:highlight w:val="none"/>
        </w:rPr>
      </w:pPr>
      <w:r>
        <w:rPr>
          <w:szCs w:val="21"/>
          <w:highlight w:val="none"/>
        </w:rPr>
        <w:t>地</w:t>
      </w:r>
      <w:r>
        <w:rPr>
          <w:rFonts w:eastAsia="Times New Roman"/>
          <w:szCs w:val="21"/>
          <w:highlight w:val="none"/>
        </w:rPr>
        <w:t xml:space="preserve">    </w:t>
      </w:r>
      <w:r>
        <w:rPr>
          <w:szCs w:val="21"/>
          <w:highlight w:val="none"/>
        </w:rPr>
        <w:t>址：</w:t>
      </w:r>
      <w:r>
        <w:rPr>
          <w:rFonts w:eastAsia="Times New Roman"/>
          <w:szCs w:val="21"/>
          <w:highlight w:val="none"/>
          <w:u w:val="single" w:color="000000"/>
        </w:rPr>
        <w:t xml:space="preserve">                                 </w:t>
      </w:r>
      <w:r>
        <w:rPr>
          <w:rFonts w:eastAsia="Times New Roman"/>
          <w:szCs w:val="21"/>
          <w:highlight w:val="none"/>
        </w:rPr>
        <w:t xml:space="preserve">      </w:t>
      </w:r>
    </w:p>
    <w:p w14:paraId="755B3C8B">
      <w:pPr>
        <w:spacing w:after="98" w:line="330" w:lineRule="auto"/>
        <w:ind w:right="2"/>
        <w:rPr>
          <w:rFonts w:eastAsia="Times New Roman"/>
          <w:szCs w:val="21"/>
          <w:highlight w:val="none"/>
        </w:rPr>
      </w:pPr>
      <w:r>
        <w:rPr>
          <w:szCs w:val="21"/>
          <w:highlight w:val="none"/>
        </w:rPr>
        <w:t>网</w:t>
      </w:r>
      <w:r>
        <w:rPr>
          <w:rFonts w:eastAsia="Times New Roman"/>
          <w:szCs w:val="21"/>
          <w:highlight w:val="none"/>
        </w:rPr>
        <w:t xml:space="preserve">    </w:t>
      </w:r>
      <w:r>
        <w:rPr>
          <w:szCs w:val="21"/>
          <w:highlight w:val="none"/>
        </w:rPr>
        <w:t>址：</w:t>
      </w:r>
      <w:r>
        <w:rPr>
          <w:rFonts w:eastAsia="Times New Roman"/>
          <w:szCs w:val="21"/>
          <w:highlight w:val="none"/>
          <w:u w:val="single" w:color="000000"/>
        </w:rPr>
        <w:t xml:space="preserve">                                 </w:t>
      </w:r>
      <w:r>
        <w:rPr>
          <w:rFonts w:eastAsia="Times New Roman"/>
          <w:szCs w:val="21"/>
          <w:highlight w:val="none"/>
        </w:rPr>
        <w:t xml:space="preserve">     </w:t>
      </w:r>
    </w:p>
    <w:p w14:paraId="1C9FE998">
      <w:pPr>
        <w:spacing w:after="98" w:line="330" w:lineRule="auto"/>
        <w:ind w:right="2"/>
        <w:rPr>
          <w:rFonts w:eastAsia="Times New Roman"/>
          <w:szCs w:val="21"/>
          <w:highlight w:val="none"/>
        </w:rPr>
      </w:pPr>
      <w:r>
        <w:rPr>
          <w:szCs w:val="21"/>
          <w:highlight w:val="none"/>
        </w:rPr>
        <w:t>电</w:t>
      </w:r>
      <w:r>
        <w:rPr>
          <w:rFonts w:eastAsia="Times New Roman"/>
          <w:szCs w:val="21"/>
          <w:highlight w:val="none"/>
        </w:rPr>
        <w:t xml:space="preserve">    </w:t>
      </w:r>
      <w:r>
        <w:rPr>
          <w:szCs w:val="21"/>
          <w:highlight w:val="none"/>
        </w:rPr>
        <w:t>话：</w:t>
      </w:r>
      <w:r>
        <w:rPr>
          <w:rFonts w:eastAsia="Times New Roman"/>
          <w:szCs w:val="21"/>
          <w:highlight w:val="none"/>
          <w:u w:val="single" w:color="000000"/>
        </w:rPr>
        <w:t xml:space="preserve">                                 </w:t>
      </w:r>
      <w:r>
        <w:rPr>
          <w:rFonts w:eastAsia="Times New Roman"/>
          <w:szCs w:val="21"/>
          <w:highlight w:val="none"/>
        </w:rPr>
        <w:t xml:space="preserve">      </w:t>
      </w:r>
    </w:p>
    <w:p w14:paraId="021347ED">
      <w:pPr>
        <w:spacing w:after="98" w:line="330" w:lineRule="auto"/>
        <w:ind w:right="2"/>
        <w:rPr>
          <w:rFonts w:eastAsia="Times New Roman"/>
          <w:szCs w:val="21"/>
          <w:highlight w:val="none"/>
        </w:rPr>
      </w:pPr>
      <w:r>
        <w:rPr>
          <w:szCs w:val="21"/>
          <w:highlight w:val="none"/>
        </w:rPr>
        <w:t>传</w:t>
      </w:r>
      <w:r>
        <w:rPr>
          <w:rFonts w:eastAsia="Times New Roman"/>
          <w:szCs w:val="21"/>
          <w:highlight w:val="none"/>
        </w:rPr>
        <w:t xml:space="preserve">    </w:t>
      </w:r>
      <w:r>
        <w:rPr>
          <w:szCs w:val="21"/>
          <w:highlight w:val="none"/>
        </w:rPr>
        <w:t>真：</w:t>
      </w:r>
      <w:r>
        <w:rPr>
          <w:rFonts w:eastAsia="Times New Roman"/>
          <w:szCs w:val="21"/>
          <w:highlight w:val="none"/>
          <w:u w:val="single" w:color="000000"/>
        </w:rPr>
        <w:t xml:space="preserve">                                 </w:t>
      </w:r>
      <w:r>
        <w:rPr>
          <w:rFonts w:eastAsia="Times New Roman"/>
          <w:szCs w:val="21"/>
          <w:highlight w:val="none"/>
        </w:rPr>
        <w:t xml:space="preserve">      </w:t>
      </w:r>
    </w:p>
    <w:p w14:paraId="570F8CC9">
      <w:pPr>
        <w:spacing w:after="98" w:line="330" w:lineRule="auto"/>
        <w:ind w:right="2"/>
        <w:rPr>
          <w:szCs w:val="21"/>
          <w:highlight w:val="none"/>
        </w:rPr>
      </w:pPr>
      <w:r>
        <w:rPr>
          <w:szCs w:val="21"/>
          <w:highlight w:val="none"/>
        </w:rPr>
        <w:t>邮政编码：</w:t>
      </w:r>
      <w:r>
        <w:rPr>
          <w:rFonts w:eastAsia="Times New Roman"/>
          <w:szCs w:val="21"/>
          <w:highlight w:val="none"/>
          <w:u w:val="single" w:color="000000"/>
        </w:rPr>
        <w:t xml:space="preserve">                                 </w:t>
      </w:r>
      <w:r>
        <w:rPr>
          <w:rFonts w:eastAsia="Times New Roman"/>
          <w:szCs w:val="21"/>
          <w:highlight w:val="none"/>
        </w:rPr>
        <w:t xml:space="preserve">   </w:t>
      </w:r>
    </w:p>
    <w:p w14:paraId="1AE50AC4">
      <w:pPr>
        <w:topLinePunct/>
        <w:spacing w:before="120" w:beforeLines="50" w:after="120" w:afterLines="50"/>
        <w:ind w:right="844"/>
        <w:jc w:val="both"/>
        <w:rPr>
          <w:b/>
          <w:bCs/>
          <w:highlight w:val="none"/>
        </w:rPr>
      </w:pPr>
      <w:r>
        <w:rPr>
          <w:rFonts w:hint="eastAsia" w:ascii="宋体" w:hAnsi="宋体" w:cs="宋体"/>
          <w:szCs w:val="21"/>
          <w:highlight w:val="none"/>
        </w:rPr>
        <w:t>日</w:t>
      </w:r>
      <w:r>
        <w:rPr>
          <w:rFonts w:hint="eastAsia" w:eastAsia="Times New Roman"/>
          <w:szCs w:val="21"/>
          <w:highlight w:val="none"/>
        </w:rPr>
        <w:t xml:space="preserve"> </w:t>
      </w:r>
      <w:r>
        <w:rPr>
          <w:rFonts w:hint="eastAsia" w:ascii="宋体" w:hAnsi="宋体" w:cs="宋体"/>
          <w:szCs w:val="21"/>
          <w:highlight w:val="none"/>
        </w:rPr>
        <w:t>期</w:t>
      </w:r>
      <w:r>
        <w:rPr>
          <w:rFonts w:hint="eastAsia" w:eastAsia="Times New Roman"/>
          <w:szCs w:val="21"/>
          <w:highlight w:val="none"/>
        </w:rPr>
        <w:t xml:space="preserve"> </w:t>
      </w:r>
      <w:r>
        <w:rPr>
          <w:rFonts w:hint="eastAsia" w:ascii="宋体" w:hAnsi="宋体" w:cs="宋体"/>
          <w:szCs w:val="21"/>
          <w:highlight w:val="none"/>
        </w:rPr>
        <w:t>：</w:t>
      </w:r>
      <w:r>
        <w:rPr>
          <w:rFonts w:hint="eastAsia" w:eastAsia="宋体"/>
          <w:szCs w:val="21"/>
          <w:highlight w:val="none"/>
          <w:u w:val="single"/>
          <w:lang w:val="en-US" w:eastAsia="zh-CN"/>
        </w:rPr>
        <w:t xml:space="preserve">      </w:t>
      </w:r>
      <w:r>
        <w:rPr>
          <w:rFonts w:hint="eastAsia" w:ascii="宋体" w:hAnsi="宋体" w:cs="宋体"/>
          <w:szCs w:val="21"/>
          <w:highlight w:val="none"/>
        </w:rPr>
        <w:t>年</w:t>
      </w:r>
      <w:r>
        <w:rPr>
          <w:rFonts w:hint="eastAsia" w:eastAsia="宋体"/>
          <w:szCs w:val="21"/>
          <w:highlight w:val="none"/>
          <w:u w:val="single"/>
          <w:lang w:val="en-US" w:eastAsia="zh-CN"/>
        </w:rPr>
        <w:t xml:space="preserve">      </w:t>
      </w:r>
      <w:r>
        <w:rPr>
          <w:rFonts w:hint="eastAsia" w:ascii="宋体" w:hAnsi="宋体" w:cs="宋体"/>
          <w:szCs w:val="21"/>
          <w:highlight w:val="none"/>
        </w:rPr>
        <w:t>月</w:t>
      </w:r>
      <w:r>
        <w:rPr>
          <w:rFonts w:hint="eastAsia" w:eastAsia="宋体"/>
          <w:szCs w:val="21"/>
          <w:highlight w:val="none"/>
          <w:u w:val="single"/>
          <w:lang w:val="en-US" w:eastAsia="zh-CN"/>
        </w:rPr>
        <w:t xml:space="preserve">      </w:t>
      </w:r>
      <w:r>
        <w:rPr>
          <w:rFonts w:hint="eastAsia" w:ascii="宋体" w:hAnsi="宋体" w:cs="宋体"/>
          <w:szCs w:val="21"/>
          <w:highlight w:val="none"/>
        </w:rPr>
        <w:t>日</w:t>
      </w:r>
    </w:p>
    <w:p w14:paraId="5D305995">
      <w:pPr>
        <w:topLinePunct/>
        <w:spacing w:before="120" w:beforeLines="50" w:after="120" w:afterLines="50"/>
        <w:ind w:right="844"/>
        <w:jc w:val="center"/>
        <w:rPr>
          <w:rFonts w:hint="eastAsia" w:ascii="宋体" w:hAnsi="宋体" w:cs="黑体"/>
          <w:sz w:val="36"/>
          <w:szCs w:val="36"/>
          <w:highlight w:val="none"/>
        </w:rPr>
        <w:sectPr>
          <w:pgSz w:w="11905" w:h="16838"/>
          <w:pgMar w:top="1247" w:right="1247" w:bottom="1247" w:left="1247" w:header="624" w:footer="737" w:gutter="0"/>
          <w:pgNumType w:fmt="decimal"/>
          <w:cols w:space="720" w:num="1"/>
          <w:docGrid w:linePitch="312" w:charSpace="0"/>
        </w:sectPr>
      </w:pPr>
    </w:p>
    <w:p w14:paraId="36B5C70F">
      <w:pPr>
        <w:topLinePunct/>
        <w:spacing w:before="120" w:beforeLines="50" w:after="120" w:afterLines="50"/>
        <w:ind w:right="844"/>
        <w:jc w:val="center"/>
        <w:rPr>
          <w:rFonts w:hint="eastAsia" w:ascii="宋体" w:hAnsi="宋体" w:cs="黑体"/>
          <w:sz w:val="32"/>
          <w:szCs w:val="32"/>
          <w:highlight w:val="none"/>
        </w:rPr>
      </w:pPr>
      <w:r>
        <w:rPr>
          <w:rFonts w:hint="eastAsia" w:ascii="宋体" w:hAnsi="宋体" w:cs="黑体"/>
          <w:sz w:val="32"/>
          <w:szCs w:val="32"/>
          <w:highlight w:val="none"/>
        </w:rPr>
        <w:t>二、授权委托书或法定代表人身份证明</w:t>
      </w:r>
    </w:p>
    <w:p w14:paraId="152E859F">
      <w:pPr>
        <w:topLinePunct/>
        <w:spacing w:before="120" w:beforeLines="50" w:after="120" w:afterLines="50"/>
        <w:jc w:val="center"/>
        <w:rPr>
          <w:rFonts w:hint="eastAsia" w:ascii="宋体" w:hAnsi="宋体"/>
          <w:b/>
          <w:bCs/>
          <w:kern w:val="21"/>
          <w:sz w:val="30"/>
          <w:szCs w:val="30"/>
          <w:highlight w:val="none"/>
        </w:rPr>
      </w:pPr>
      <w:r>
        <w:rPr>
          <w:rFonts w:hint="eastAsia" w:ascii="宋体" w:hAnsi="宋体"/>
          <w:b/>
          <w:bCs/>
          <w:kern w:val="21"/>
          <w:sz w:val="30"/>
          <w:szCs w:val="30"/>
          <w:highlight w:val="none"/>
        </w:rPr>
        <w:t>（一）授权委托书</w:t>
      </w:r>
    </w:p>
    <w:p w14:paraId="289CC97D">
      <w:pPr>
        <w:topLinePunct/>
        <w:spacing w:before="120" w:beforeLines="50" w:line="400" w:lineRule="exact"/>
        <w:ind w:firstLine="561"/>
        <w:rPr>
          <w:kern w:val="21"/>
          <w:szCs w:val="21"/>
          <w:highlight w:val="none"/>
        </w:rPr>
      </w:pPr>
      <w:r>
        <w:rPr>
          <w:rFonts w:hAnsi="宋体"/>
          <w:kern w:val="21"/>
          <w:szCs w:val="21"/>
          <w:highlight w:val="none"/>
        </w:rPr>
        <w:t>本人</w:t>
      </w:r>
      <w:r>
        <w:rPr>
          <w:rFonts w:hint="eastAsia"/>
          <w:kern w:val="21"/>
          <w:szCs w:val="21"/>
          <w:highlight w:val="none"/>
          <w:u w:val="single"/>
        </w:rPr>
        <w:t xml:space="preserve">        </w:t>
      </w:r>
      <w:r>
        <w:rPr>
          <w:rFonts w:hint="eastAsia"/>
          <w:kern w:val="21"/>
          <w:szCs w:val="21"/>
          <w:highlight w:val="none"/>
        </w:rPr>
        <w:t>(</w:t>
      </w:r>
      <w:r>
        <w:rPr>
          <w:rFonts w:hAnsi="宋体"/>
          <w:kern w:val="21"/>
          <w:szCs w:val="21"/>
          <w:highlight w:val="none"/>
        </w:rPr>
        <w:t>姓名</w:t>
      </w:r>
      <w:r>
        <w:rPr>
          <w:rFonts w:hint="eastAsia" w:hAnsi="宋体"/>
          <w:kern w:val="21"/>
          <w:szCs w:val="21"/>
          <w:highlight w:val="none"/>
        </w:rPr>
        <w:t>)</w:t>
      </w:r>
      <w:r>
        <w:rPr>
          <w:rFonts w:hAnsi="宋体"/>
          <w:kern w:val="21"/>
          <w:szCs w:val="21"/>
          <w:highlight w:val="none"/>
        </w:rPr>
        <w:t>系</w:t>
      </w:r>
      <w:r>
        <w:rPr>
          <w:rFonts w:hint="eastAsia"/>
          <w:kern w:val="21"/>
          <w:szCs w:val="21"/>
          <w:highlight w:val="none"/>
          <w:u w:val="single"/>
        </w:rPr>
        <w:t xml:space="preserve">        </w:t>
      </w:r>
      <w:r>
        <w:rPr>
          <w:rFonts w:hint="eastAsia" w:hAnsi="宋体"/>
          <w:kern w:val="21"/>
          <w:szCs w:val="21"/>
          <w:highlight w:val="none"/>
        </w:rPr>
        <w:t xml:space="preserve"> (</w:t>
      </w:r>
      <w:r>
        <w:rPr>
          <w:rFonts w:hAnsi="宋体"/>
          <w:kern w:val="21"/>
          <w:szCs w:val="21"/>
          <w:highlight w:val="none"/>
        </w:rPr>
        <w:t>投标人名称</w:t>
      </w:r>
      <w:r>
        <w:rPr>
          <w:rFonts w:hint="eastAsia" w:hAnsi="宋体"/>
          <w:kern w:val="21"/>
          <w:szCs w:val="21"/>
          <w:highlight w:val="none"/>
        </w:rPr>
        <w:t>)</w:t>
      </w:r>
      <w:r>
        <w:rPr>
          <w:rFonts w:hAnsi="宋体"/>
          <w:kern w:val="21"/>
          <w:szCs w:val="21"/>
          <w:highlight w:val="none"/>
        </w:rPr>
        <w:t>的法定代表人，现委托</w:t>
      </w:r>
      <w:r>
        <w:rPr>
          <w:rFonts w:hint="eastAsia"/>
          <w:kern w:val="21"/>
          <w:szCs w:val="21"/>
          <w:highlight w:val="none"/>
          <w:u w:val="single"/>
        </w:rPr>
        <w:t xml:space="preserve">    (</w:t>
      </w:r>
      <w:r>
        <w:rPr>
          <w:rFonts w:hAnsi="宋体"/>
          <w:kern w:val="21"/>
          <w:szCs w:val="21"/>
          <w:highlight w:val="none"/>
          <w:u w:val="single"/>
        </w:rPr>
        <w:t>姓名</w:t>
      </w:r>
      <w:r>
        <w:rPr>
          <w:rFonts w:hint="eastAsia" w:hAnsi="宋体"/>
          <w:kern w:val="21"/>
          <w:szCs w:val="21"/>
          <w:highlight w:val="none"/>
          <w:u w:val="single"/>
        </w:rPr>
        <w:t>)</w:t>
      </w:r>
      <w:r>
        <w:rPr>
          <w:rFonts w:hAnsi="宋体"/>
          <w:kern w:val="21"/>
          <w:szCs w:val="21"/>
          <w:highlight w:val="none"/>
        </w:rPr>
        <w:t>为我方代理人。代理人根据授权，以我方名义签署、澄清</w:t>
      </w:r>
      <w:r>
        <w:rPr>
          <w:rFonts w:hint="eastAsia" w:hAnsi="宋体"/>
          <w:kern w:val="21"/>
          <w:szCs w:val="21"/>
          <w:highlight w:val="none"/>
        </w:rPr>
        <w:t>确认</w:t>
      </w:r>
      <w:r>
        <w:rPr>
          <w:rFonts w:hAnsi="宋体"/>
          <w:kern w:val="21"/>
          <w:szCs w:val="21"/>
          <w:highlight w:val="none"/>
        </w:rPr>
        <w:t>、递交、撤回、修改</w:t>
      </w:r>
      <w:r>
        <w:rPr>
          <w:rFonts w:hint="eastAsia"/>
          <w:kern w:val="21"/>
          <w:szCs w:val="21"/>
          <w:highlight w:val="none"/>
          <w:u w:val="single"/>
        </w:rPr>
        <w:t xml:space="preserve">     </w:t>
      </w:r>
      <w:r>
        <w:rPr>
          <w:rFonts w:hint="eastAsia" w:hAnsi="宋体"/>
          <w:kern w:val="21"/>
          <w:szCs w:val="21"/>
          <w:highlight w:val="none"/>
          <w:u w:val="single"/>
        </w:rPr>
        <w:t xml:space="preserve">    </w:t>
      </w:r>
      <w:r>
        <w:rPr>
          <w:rFonts w:hAnsi="宋体"/>
          <w:kern w:val="21"/>
          <w:szCs w:val="21"/>
          <w:highlight w:val="none"/>
          <w:u w:val="single"/>
        </w:rPr>
        <w:t xml:space="preserve">  </w:t>
      </w:r>
      <w:r>
        <w:rPr>
          <w:rFonts w:hint="eastAsia" w:hAnsi="宋体"/>
          <w:kern w:val="21"/>
          <w:szCs w:val="21"/>
          <w:highlight w:val="none"/>
          <w:u w:val="single"/>
        </w:rPr>
        <w:t xml:space="preserve">   </w:t>
      </w:r>
      <w:r>
        <w:rPr>
          <w:rFonts w:hint="eastAsia" w:hAnsi="宋体"/>
          <w:kern w:val="21"/>
          <w:szCs w:val="21"/>
          <w:highlight w:val="none"/>
        </w:rPr>
        <w:t>（项目名称）</w:t>
      </w:r>
      <w:r>
        <w:rPr>
          <w:rFonts w:hAnsi="宋体"/>
          <w:kern w:val="21"/>
          <w:szCs w:val="21"/>
          <w:highlight w:val="none"/>
        </w:rPr>
        <w:t>投标文件、签订合同和处理有关事宜，其法律后果由我方承担。</w:t>
      </w:r>
    </w:p>
    <w:p w14:paraId="50AC173C">
      <w:pPr>
        <w:topLinePunct/>
        <w:spacing w:line="400" w:lineRule="exact"/>
        <w:rPr>
          <w:kern w:val="21"/>
          <w:szCs w:val="21"/>
          <w:highlight w:val="none"/>
        </w:rPr>
      </w:pPr>
    </w:p>
    <w:p w14:paraId="59D9062C">
      <w:pPr>
        <w:topLinePunct/>
        <w:spacing w:line="400" w:lineRule="exact"/>
        <w:ind w:firstLine="420" w:firstLineChars="200"/>
        <w:rPr>
          <w:kern w:val="21"/>
          <w:szCs w:val="21"/>
          <w:highlight w:val="none"/>
          <w:u w:val="single"/>
        </w:rPr>
      </w:pPr>
      <w:r>
        <w:rPr>
          <w:rFonts w:hAnsi="宋体"/>
          <w:kern w:val="21"/>
          <w:szCs w:val="21"/>
          <w:highlight w:val="none"/>
        </w:rPr>
        <w:t>委托期限：</w:t>
      </w:r>
      <w:r>
        <w:rPr>
          <w:rFonts w:hint="eastAsia" w:hAnsi="宋体"/>
          <w:kern w:val="21"/>
          <w:szCs w:val="21"/>
          <w:highlight w:val="none"/>
        </w:rPr>
        <w:t>自本委托书签署之日起至投标有效期期满。</w:t>
      </w:r>
    </w:p>
    <w:p w14:paraId="79AE876D">
      <w:pPr>
        <w:topLinePunct/>
        <w:spacing w:line="400" w:lineRule="exact"/>
        <w:rPr>
          <w:rFonts w:hAnsi="宋体"/>
          <w:kern w:val="21"/>
          <w:szCs w:val="21"/>
          <w:highlight w:val="none"/>
        </w:rPr>
      </w:pPr>
    </w:p>
    <w:p w14:paraId="1BD56E2D">
      <w:pPr>
        <w:topLinePunct/>
        <w:spacing w:line="400" w:lineRule="exact"/>
        <w:ind w:firstLine="420" w:firstLineChars="200"/>
        <w:rPr>
          <w:kern w:val="21"/>
          <w:szCs w:val="21"/>
          <w:highlight w:val="none"/>
        </w:rPr>
      </w:pPr>
      <w:r>
        <w:rPr>
          <w:rFonts w:hAnsi="宋体"/>
          <w:kern w:val="21"/>
          <w:szCs w:val="21"/>
          <w:highlight w:val="none"/>
        </w:rPr>
        <w:t>代理人无转委托权。</w:t>
      </w:r>
    </w:p>
    <w:p w14:paraId="3EDA6A35">
      <w:pPr>
        <w:topLinePunct/>
        <w:spacing w:line="400" w:lineRule="exact"/>
        <w:rPr>
          <w:kern w:val="21"/>
          <w:szCs w:val="21"/>
          <w:highlight w:val="none"/>
        </w:rPr>
      </w:pPr>
    </w:p>
    <w:p w14:paraId="7E16497B">
      <w:pPr>
        <w:topLinePunct/>
        <w:spacing w:line="400" w:lineRule="exact"/>
        <w:ind w:firstLine="420" w:firstLineChars="200"/>
        <w:rPr>
          <w:rFonts w:hAnsi="宋体"/>
          <w:kern w:val="21"/>
          <w:szCs w:val="21"/>
          <w:highlight w:val="none"/>
        </w:rPr>
      </w:pPr>
      <w:r>
        <w:rPr>
          <w:rFonts w:hAnsi="宋体"/>
          <w:kern w:val="21"/>
          <w:szCs w:val="21"/>
          <w:highlight w:val="none"/>
        </w:rPr>
        <w:t>附：</w:t>
      </w:r>
      <w:r>
        <w:rPr>
          <w:rFonts w:hint="eastAsia" w:hAnsi="宋体"/>
          <w:kern w:val="21"/>
          <w:szCs w:val="21"/>
          <w:highlight w:val="none"/>
        </w:rPr>
        <w:t>法定代表人身份证复印件及委托代理人身份证复印件。</w:t>
      </w:r>
    </w:p>
    <w:p w14:paraId="5A4A4C07">
      <w:pPr>
        <w:topLinePunct/>
        <w:ind w:firstLine="420" w:firstLineChars="200"/>
        <w:rPr>
          <w:kern w:val="21"/>
          <w:szCs w:val="21"/>
          <w:highlight w:val="none"/>
        </w:rPr>
      </w:pPr>
    </w:p>
    <w:p w14:paraId="1FAF14EB">
      <w:pPr>
        <w:topLinePunct/>
        <w:rPr>
          <w:kern w:val="21"/>
          <w:szCs w:val="21"/>
          <w:highlight w:val="none"/>
        </w:rPr>
      </w:pPr>
    </w:p>
    <w:p w14:paraId="585FECA9">
      <w:pPr>
        <w:topLinePunct/>
        <w:ind w:right="840"/>
        <w:jc w:val="left"/>
        <w:rPr>
          <w:kern w:val="21"/>
          <w:szCs w:val="21"/>
          <w:highlight w:val="none"/>
        </w:rPr>
      </w:pPr>
      <w:r>
        <w:rPr>
          <w:rFonts w:hAnsi="宋体"/>
          <w:kern w:val="21"/>
          <w:szCs w:val="21"/>
          <w:highlight w:val="none"/>
        </w:rPr>
        <w:t>投标人</w:t>
      </w:r>
      <w:r>
        <w:rPr>
          <w:rFonts w:hint="eastAsia" w:hAnsi="宋体"/>
          <w:kern w:val="21"/>
          <w:szCs w:val="21"/>
          <w:highlight w:val="none"/>
        </w:rPr>
        <w:t>(</w:t>
      </w:r>
      <w:r>
        <w:rPr>
          <w:rFonts w:hAnsi="宋体"/>
          <w:kern w:val="21"/>
          <w:szCs w:val="21"/>
          <w:highlight w:val="none"/>
        </w:rPr>
        <w:t>盖单位章</w:t>
      </w:r>
      <w:r>
        <w:rPr>
          <w:rFonts w:hint="eastAsia" w:hAnsi="宋体"/>
          <w:kern w:val="21"/>
          <w:szCs w:val="21"/>
          <w:highlight w:val="none"/>
        </w:rPr>
        <w:t>)</w:t>
      </w:r>
      <w:r>
        <w:rPr>
          <w:rFonts w:hAnsi="宋体"/>
          <w:kern w:val="21"/>
          <w:szCs w:val="21"/>
          <w:highlight w:val="none"/>
        </w:rPr>
        <w:t>：</w:t>
      </w:r>
      <w:r>
        <w:rPr>
          <w:rFonts w:hint="eastAsia" w:hAnsi="宋体"/>
          <w:kern w:val="21"/>
          <w:szCs w:val="21"/>
          <w:highlight w:val="none"/>
          <w:u w:val="single"/>
        </w:rPr>
        <w:t xml:space="preserve">                            </w:t>
      </w:r>
      <w:r>
        <w:rPr>
          <w:rFonts w:hint="eastAsia"/>
          <w:kern w:val="21"/>
          <w:szCs w:val="21"/>
          <w:highlight w:val="none"/>
          <w:u w:val="single"/>
        </w:rPr>
        <w:t xml:space="preserve">  </w:t>
      </w:r>
      <w:r>
        <w:rPr>
          <w:rFonts w:hint="eastAsia" w:ascii="宋体" w:hAnsi="宋体" w:cs="宋体"/>
          <w:szCs w:val="21"/>
          <w:highlight w:val="none"/>
          <w:u w:val="single" w:color="000000"/>
        </w:rPr>
        <w:tab/>
      </w:r>
      <w:r>
        <w:rPr>
          <w:rFonts w:hint="eastAsia" w:ascii="宋体" w:hAnsi="宋体" w:cs="宋体"/>
          <w:szCs w:val="21"/>
          <w:highlight w:val="none"/>
          <w:u w:val="single" w:color="000000"/>
        </w:rPr>
        <w:t xml:space="preserve">   </w:t>
      </w:r>
      <w:r>
        <w:rPr>
          <w:rFonts w:hint="eastAsia"/>
          <w:kern w:val="21"/>
          <w:szCs w:val="21"/>
          <w:highlight w:val="none"/>
          <w:u w:val="single"/>
        </w:rPr>
        <w:t xml:space="preserve">          </w:t>
      </w:r>
      <w:r>
        <w:rPr>
          <w:rFonts w:hint="eastAsia" w:hAnsi="宋体"/>
          <w:kern w:val="21"/>
          <w:szCs w:val="21"/>
          <w:highlight w:val="none"/>
        </w:rPr>
        <w:t xml:space="preserve"> </w:t>
      </w:r>
    </w:p>
    <w:p w14:paraId="2D939DCB">
      <w:pPr>
        <w:topLinePunct/>
        <w:rPr>
          <w:rFonts w:hAnsi="宋体"/>
          <w:kern w:val="21"/>
          <w:szCs w:val="21"/>
          <w:highlight w:val="none"/>
        </w:rPr>
      </w:pPr>
    </w:p>
    <w:p w14:paraId="0A60F591">
      <w:pPr>
        <w:topLinePunct/>
        <w:jc w:val="left"/>
        <w:rPr>
          <w:kern w:val="21"/>
          <w:szCs w:val="21"/>
          <w:highlight w:val="none"/>
        </w:rPr>
      </w:pPr>
      <w:r>
        <w:rPr>
          <w:rFonts w:hAnsi="宋体"/>
          <w:kern w:val="21"/>
          <w:szCs w:val="21"/>
          <w:highlight w:val="none"/>
        </w:rPr>
        <w:t>法定代表人（</w:t>
      </w:r>
      <w:r>
        <w:rPr>
          <w:rFonts w:hint="eastAsia" w:hAnsi="宋体"/>
          <w:kern w:val="21"/>
          <w:szCs w:val="21"/>
          <w:highlight w:val="none"/>
        </w:rPr>
        <w:t>签字或盖章</w:t>
      </w:r>
      <w:r>
        <w:rPr>
          <w:rFonts w:hAnsi="宋体"/>
          <w:kern w:val="21"/>
          <w:szCs w:val="21"/>
          <w:highlight w:val="none"/>
        </w:rPr>
        <w:t>）</w:t>
      </w:r>
      <w:r>
        <w:rPr>
          <w:rFonts w:eastAsia="Times New Roman"/>
          <w:szCs w:val="21"/>
          <w:highlight w:val="none"/>
        </w:rPr>
        <w:t xml:space="preserve"> </w:t>
      </w:r>
      <w:r>
        <w:rPr>
          <w:rFonts w:hAnsi="宋体"/>
          <w:kern w:val="21"/>
          <w:szCs w:val="21"/>
          <w:highlight w:val="none"/>
        </w:rPr>
        <w:t>：</w:t>
      </w:r>
      <w:r>
        <w:rPr>
          <w:rFonts w:hint="eastAsia"/>
          <w:kern w:val="21"/>
          <w:szCs w:val="21"/>
          <w:highlight w:val="none"/>
          <w:u w:val="single"/>
        </w:rPr>
        <w:t xml:space="preserve"> </w:t>
      </w:r>
      <w:r>
        <w:rPr>
          <w:rFonts w:hint="eastAsia" w:hAnsi="宋体"/>
          <w:kern w:val="21"/>
          <w:szCs w:val="21"/>
          <w:highlight w:val="none"/>
          <w:u w:val="single"/>
        </w:rPr>
        <w:t xml:space="preserve">                            </w:t>
      </w:r>
      <w:r>
        <w:rPr>
          <w:rFonts w:hint="eastAsia"/>
          <w:kern w:val="21"/>
          <w:szCs w:val="21"/>
          <w:highlight w:val="none"/>
          <w:u w:val="single"/>
        </w:rPr>
        <w:t xml:space="preserve">  </w:t>
      </w:r>
      <w:r>
        <w:rPr>
          <w:rFonts w:hint="eastAsia" w:ascii="宋体" w:hAnsi="宋体" w:cs="宋体"/>
          <w:szCs w:val="21"/>
          <w:highlight w:val="none"/>
          <w:u w:val="single" w:color="000000"/>
        </w:rPr>
        <w:tab/>
      </w:r>
      <w:r>
        <w:rPr>
          <w:rFonts w:hint="eastAsia"/>
          <w:kern w:val="21"/>
          <w:szCs w:val="21"/>
          <w:highlight w:val="none"/>
          <w:u w:val="single"/>
        </w:rPr>
        <w:t xml:space="preserve">           </w:t>
      </w:r>
    </w:p>
    <w:p w14:paraId="5A4B70DE">
      <w:pPr>
        <w:topLinePunct/>
        <w:rPr>
          <w:rFonts w:hAnsi="宋体"/>
          <w:kern w:val="21"/>
          <w:szCs w:val="21"/>
          <w:highlight w:val="none"/>
        </w:rPr>
      </w:pPr>
    </w:p>
    <w:p w14:paraId="02AEEDE6">
      <w:pPr>
        <w:topLinePunct/>
        <w:jc w:val="left"/>
        <w:rPr>
          <w:kern w:val="21"/>
          <w:szCs w:val="21"/>
          <w:highlight w:val="none"/>
          <w:u w:val="single"/>
        </w:rPr>
      </w:pPr>
      <w:r>
        <w:rPr>
          <w:rFonts w:hAnsi="宋体"/>
          <w:kern w:val="21"/>
          <w:szCs w:val="21"/>
          <w:highlight w:val="none"/>
        </w:rPr>
        <w:t>身份证号码：</w:t>
      </w:r>
      <w:r>
        <w:rPr>
          <w:rFonts w:hint="eastAsia" w:hAnsi="宋体"/>
          <w:kern w:val="21"/>
          <w:szCs w:val="21"/>
          <w:highlight w:val="none"/>
          <w:u w:val="single"/>
        </w:rPr>
        <w:t xml:space="preserve">                            </w:t>
      </w:r>
      <w:r>
        <w:rPr>
          <w:rFonts w:hint="eastAsia"/>
          <w:kern w:val="21"/>
          <w:szCs w:val="21"/>
          <w:highlight w:val="none"/>
          <w:u w:val="single"/>
        </w:rPr>
        <w:t xml:space="preserve">  </w:t>
      </w:r>
      <w:r>
        <w:rPr>
          <w:rFonts w:hint="eastAsia" w:ascii="宋体" w:hAnsi="宋体" w:cs="宋体"/>
          <w:szCs w:val="21"/>
          <w:highlight w:val="none"/>
          <w:u w:val="single" w:color="000000"/>
        </w:rPr>
        <w:tab/>
      </w:r>
      <w:r>
        <w:rPr>
          <w:rFonts w:hint="eastAsia"/>
          <w:kern w:val="21"/>
          <w:szCs w:val="21"/>
          <w:highlight w:val="none"/>
          <w:u w:val="single"/>
        </w:rPr>
        <w:t xml:space="preserve">                   </w:t>
      </w:r>
    </w:p>
    <w:p w14:paraId="1D3A4553">
      <w:pPr>
        <w:topLinePunct/>
        <w:rPr>
          <w:rFonts w:hAnsi="宋体"/>
          <w:kern w:val="21"/>
          <w:szCs w:val="21"/>
          <w:highlight w:val="none"/>
        </w:rPr>
      </w:pPr>
    </w:p>
    <w:p w14:paraId="55B96D89">
      <w:pPr>
        <w:topLinePunct/>
        <w:ind w:right="420"/>
        <w:jc w:val="left"/>
        <w:rPr>
          <w:kern w:val="21"/>
          <w:szCs w:val="21"/>
          <w:highlight w:val="none"/>
        </w:rPr>
      </w:pPr>
      <w:r>
        <w:rPr>
          <w:rFonts w:hint="eastAsia" w:hAnsi="宋体"/>
          <w:kern w:val="21"/>
          <w:szCs w:val="21"/>
          <w:highlight w:val="none"/>
        </w:rPr>
        <w:t>委托代理</w:t>
      </w:r>
      <w:r>
        <w:rPr>
          <w:rFonts w:hAnsi="宋体"/>
          <w:kern w:val="21"/>
          <w:szCs w:val="21"/>
          <w:highlight w:val="none"/>
        </w:rPr>
        <w:t>人（</w:t>
      </w:r>
      <w:r>
        <w:rPr>
          <w:rFonts w:hint="eastAsia" w:hAnsi="宋体"/>
          <w:kern w:val="21"/>
          <w:szCs w:val="21"/>
          <w:highlight w:val="none"/>
        </w:rPr>
        <w:t>签字或盖章</w:t>
      </w:r>
      <w:r>
        <w:rPr>
          <w:rFonts w:hAnsi="宋体"/>
          <w:kern w:val="21"/>
          <w:szCs w:val="21"/>
          <w:highlight w:val="none"/>
        </w:rPr>
        <w:t>）</w:t>
      </w:r>
      <w:r>
        <w:rPr>
          <w:rFonts w:eastAsia="Times New Roman"/>
          <w:szCs w:val="21"/>
          <w:highlight w:val="none"/>
        </w:rPr>
        <w:t xml:space="preserve"> </w:t>
      </w:r>
      <w:r>
        <w:rPr>
          <w:rFonts w:hAnsi="宋体"/>
          <w:kern w:val="21"/>
          <w:szCs w:val="21"/>
          <w:highlight w:val="none"/>
        </w:rPr>
        <w:t>：</w:t>
      </w:r>
      <w:r>
        <w:rPr>
          <w:rFonts w:hint="eastAsia" w:hAnsi="宋体"/>
          <w:kern w:val="21"/>
          <w:szCs w:val="21"/>
          <w:highlight w:val="none"/>
          <w:u w:val="single"/>
        </w:rPr>
        <w:t xml:space="preserve">                            </w:t>
      </w:r>
      <w:r>
        <w:rPr>
          <w:rFonts w:hint="eastAsia"/>
          <w:kern w:val="21"/>
          <w:szCs w:val="21"/>
          <w:highlight w:val="none"/>
          <w:u w:val="single"/>
        </w:rPr>
        <w:t xml:space="preserve">  </w:t>
      </w:r>
      <w:r>
        <w:rPr>
          <w:rFonts w:hint="eastAsia" w:ascii="宋体" w:hAnsi="宋体" w:cs="宋体"/>
          <w:szCs w:val="21"/>
          <w:highlight w:val="none"/>
          <w:u w:val="single" w:color="000000"/>
        </w:rPr>
        <w:tab/>
      </w:r>
      <w:r>
        <w:rPr>
          <w:rFonts w:hint="eastAsia"/>
          <w:kern w:val="21"/>
          <w:szCs w:val="21"/>
          <w:highlight w:val="none"/>
          <w:u w:val="single"/>
        </w:rPr>
        <w:t xml:space="preserve">            </w:t>
      </w:r>
    </w:p>
    <w:p w14:paraId="0CAB3295">
      <w:pPr>
        <w:topLinePunct/>
        <w:rPr>
          <w:rFonts w:hAnsi="宋体"/>
          <w:kern w:val="21"/>
          <w:szCs w:val="21"/>
          <w:highlight w:val="none"/>
        </w:rPr>
      </w:pPr>
    </w:p>
    <w:p w14:paraId="3AB8B3ED">
      <w:pPr>
        <w:topLinePunct/>
        <w:ind w:right="420"/>
        <w:jc w:val="left"/>
        <w:rPr>
          <w:kern w:val="21"/>
          <w:szCs w:val="21"/>
          <w:highlight w:val="none"/>
          <w:u w:val="single"/>
        </w:rPr>
      </w:pPr>
      <w:r>
        <w:rPr>
          <w:rFonts w:hAnsi="宋体"/>
          <w:kern w:val="21"/>
          <w:szCs w:val="21"/>
          <w:highlight w:val="none"/>
        </w:rPr>
        <w:t>身份证号码：</w:t>
      </w:r>
      <w:r>
        <w:rPr>
          <w:rFonts w:hint="eastAsia" w:hAnsi="宋体"/>
          <w:kern w:val="21"/>
          <w:szCs w:val="21"/>
          <w:highlight w:val="none"/>
          <w:u w:val="single"/>
        </w:rPr>
        <w:t xml:space="preserve">                            </w:t>
      </w:r>
      <w:r>
        <w:rPr>
          <w:rFonts w:hint="eastAsia"/>
          <w:kern w:val="21"/>
          <w:szCs w:val="21"/>
          <w:highlight w:val="none"/>
          <w:u w:val="single"/>
        </w:rPr>
        <w:t xml:space="preserve">  </w:t>
      </w:r>
      <w:r>
        <w:rPr>
          <w:rFonts w:hint="eastAsia" w:ascii="宋体" w:hAnsi="宋体" w:cs="宋体"/>
          <w:szCs w:val="21"/>
          <w:highlight w:val="none"/>
          <w:u w:val="single" w:color="000000"/>
        </w:rPr>
        <w:tab/>
      </w:r>
      <w:r>
        <w:rPr>
          <w:rFonts w:hint="eastAsia"/>
          <w:kern w:val="21"/>
          <w:szCs w:val="21"/>
          <w:highlight w:val="none"/>
          <w:u w:val="single"/>
        </w:rPr>
        <w:t xml:space="preserve">                   </w:t>
      </w:r>
    </w:p>
    <w:p w14:paraId="546DFA85">
      <w:pPr>
        <w:topLinePunct/>
        <w:rPr>
          <w:kern w:val="21"/>
          <w:szCs w:val="21"/>
          <w:highlight w:val="none"/>
        </w:rPr>
      </w:pPr>
    </w:p>
    <w:p w14:paraId="6BE83618">
      <w:pPr>
        <w:topLinePunct/>
        <w:spacing w:before="120" w:beforeLines="50" w:after="120" w:afterLines="50"/>
        <w:jc w:val="left"/>
        <w:rPr>
          <w:rFonts w:hint="eastAsia" w:hAnsi="宋体"/>
          <w:kern w:val="21"/>
          <w:szCs w:val="21"/>
          <w:highlight w:val="none"/>
        </w:rPr>
      </w:pPr>
      <w:r>
        <w:rPr>
          <w:rFonts w:hint="eastAsia"/>
          <w:kern w:val="21"/>
          <w:szCs w:val="21"/>
          <w:highlight w:val="none"/>
          <w:u w:val="single"/>
        </w:rPr>
        <w:t xml:space="preserve">     </w:t>
      </w:r>
      <w:r>
        <w:rPr>
          <w:rFonts w:hAnsi="宋体"/>
          <w:kern w:val="21"/>
          <w:szCs w:val="21"/>
          <w:highlight w:val="none"/>
        </w:rPr>
        <w:t>年</w:t>
      </w:r>
      <w:r>
        <w:rPr>
          <w:rFonts w:hint="eastAsia"/>
          <w:kern w:val="21"/>
          <w:szCs w:val="21"/>
          <w:highlight w:val="none"/>
          <w:u w:val="single"/>
        </w:rPr>
        <w:t xml:space="preserve">     </w:t>
      </w:r>
      <w:r>
        <w:rPr>
          <w:rFonts w:hAnsi="宋体"/>
          <w:kern w:val="21"/>
          <w:szCs w:val="21"/>
          <w:highlight w:val="none"/>
        </w:rPr>
        <w:t>月</w:t>
      </w:r>
      <w:r>
        <w:rPr>
          <w:rFonts w:hint="eastAsia"/>
          <w:kern w:val="21"/>
          <w:szCs w:val="21"/>
          <w:highlight w:val="none"/>
          <w:u w:val="single"/>
        </w:rPr>
        <w:t xml:space="preserve">     </w:t>
      </w:r>
      <w:r>
        <w:rPr>
          <w:rFonts w:hAnsi="宋体"/>
          <w:kern w:val="21"/>
          <w:szCs w:val="21"/>
          <w:highlight w:val="none"/>
        </w:rPr>
        <w:t>日</w:t>
      </w:r>
    </w:p>
    <w:p w14:paraId="2E1A9818">
      <w:pPr>
        <w:topLinePunct/>
        <w:spacing w:before="120" w:beforeLines="50" w:after="120" w:afterLines="50"/>
        <w:jc w:val="center"/>
        <w:rPr>
          <w:rFonts w:hint="eastAsia" w:hAnsi="宋体"/>
          <w:kern w:val="21"/>
          <w:szCs w:val="21"/>
          <w:highlight w:val="none"/>
        </w:rPr>
      </w:pPr>
    </w:p>
    <w:p w14:paraId="01E7D3CB">
      <w:pPr>
        <w:topLinePunct/>
        <w:spacing w:before="120" w:beforeLines="50" w:after="120" w:afterLines="50"/>
        <w:jc w:val="center"/>
        <w:rPr>
          <w:rFonts w:hint="eastAsia" w:hAnsi="宋体"/>
          <w:kern w:val="21"/>
          <w:szCs w:val="21"/>
          <w:highlight w:val="none"/>
        </w:rPr>
      </w:pPr>
    </w:p>
    <w:p w14:paraId="0CA88C5A">
      <w:pPr>
        <w:spacing w:line="360" w:lineRule="auto"/>
        <w:rPr>
          <w:rFonts w:hint="eastAsia" w:ascii="宋体" w:hAnsi="宋体" w:cs="宋体"/>
          <w:szCs w:val="21"/>
          <w:highlight w:val="none"/>
        </w:rPr>
      </w:pPr>
    </w:p>
    <w:p w14:paraId="3516DD79">
      <w:pPr>
        <w:spacing w:line="360" w:lineRule="auto"/>
        <w:rPr>
          <w:rFonts w:hint="eastAsia" w:ascii="宋体" w:hAnsi="宋体" w:cs="宋体"/>
          <w:szCs w:val="21"/>
          <w:highlight w:val="none"/>
        </w:rPr>
      </w:pPr>
    </w:p>
    <w:p w14:paraId="20BAF07F">
      <w:pPr>
        <w:spacing w:line="360" w:lineRule="auto"/>
        <w:rPr>
          <w:rFonts w:hint="eastAsia" w:ascii="宋体" w:hAnsi="宋体" w:cs="宋体"/>
          <w:szCs w:val="21"/>
          <w:highlight w:val="none"/>
        </w:rPr>
      </w:pPr>
    </w:p>
    <w:p w14:paraId="0A4D068A">
      <w:pPr>
        <w:spacing w:line="360" w:lineRule="auto"/>
        <w:rPr>
          <w:rFonts w:hint="eastAsia" w:ascii="宋体" w:hAnsi="宋体" w:cs="宋体"/>
          <w:szCs w:val="21"/>
          <w:highlight w:val="none"/>
        </w:rPr>
      </w:pPr>
    </w:p>
    <w:p w14:paraId="00A69C79">
      <w:pPr>
        <w:spacing w:line="360" w:lineRule="auto"/>
        <w:rPr>
          <w:rFonts w:hint="eastAsia" w:ascii="宋体" w:hAnsi="宋体" w:cs="宋体"/>
          <w:szCs w:val="21"/>
          <w:highlight w:val="none"/>
        </w:rPr>
      </w:pPr>
    </w:p>
    <w:p w14:paraId="02573947">
      <w:pPr>
        <w:spacing w:line="360" w:lineRule="auto"/>
        <w:rPr>
          <w:rFonts w:hint="eastAsia" w:ascii="宋体" w:hAnsi="宋体" w:cs="宋体"/>
          <w:szCs w:val="21"/>
          <w:highlight w:val="none"/>
        </w:rPr>
      </w:pPr>
    </w:p>
    <w:p w14:paraId="1F3E065D">
      <w:pPr>
        <w:spacing w:line="360" w:lineRule="auto"/>
        <w:rPr>
          <w:rFonts w:hint="eastAsia" w:ascii="宋体" w:hAnsi="宋体" w:cs="宋体"/>
          <w:szCs w:val="21"/>
          <w:highlight w:val="none"/>
        </w:rPr>
      </w:pPr>
    </w:p>
    <w:p w14:paraId="2F6DA535">
      <w:pPr>
        <w:spacing w:line="360" w:lineRule="auto"/>
        <w:rPr>
          <w:rFonts w:hint="eastAsia" w:ascii="宋体" w:hAnsi="宋体" w:cs="宋体"/>
          <w:szCs w:val="21"/>
          <w:highlight w:val="none"/>
        </w:rPr>
      </w:pPr>
    </w:p>
    <w:p w14:paraId="5CCBF3B5">
      <w:pPr>
        <w:spacing w:line="360" w:lineRule="auto"/>
        <w:rPr>
          <w:rFonts w:hint="eastAsia" w:ascii="宋体" w:hAnsi="宋体" w:cs="宋体"/>
          <w:szCs w:val="21"/>
          <w:highlight w:val="none"/>
        </w:rPr>
      </w:pPr>
    </w:p>
    <w:p w14:paraId="4CBB91A5">
      <w:pPr>
        <w:spacing w:line="360" w:lineRule="auto"/>
        <w:rPr>
          <w:rFonts w:hint="eastAsia" w:ascii="宋体" w:hAnsi="宋体" w:cs="宋体"/>
          <w:szCs w:val="21"/>
          <w:highlight w:val="none"/>
        </w:rPr>
      </w:pPr>
    </w:p>
    <w:p w14:paraId="768A1A8E">
      <w:pPr>
        <w:spacing w:line="360" w:lineRule="auto"/>
        <w:rPr>
          <w:rFonts w:hint="eastAsia" w:ascii="宋体" w:hAnsi="宋体" w:cs="宋体"/>
          <w:b/>
          <w:bCs/>
          <w:szCs w:val="21"/>
          <w:highlight w:val="none"/>
        </w:rPr>
      </w:pPr>
      <w:r>
        <w:rPr>
          <w:rFonts w:hint="eastAsia" w:ascii="宋体" w:hAnsi="宋体" w:cs="宋体"/>
          <w:b/>
          <w:bCs/>
          <w:szCs w:val="21"/>
          <w:highlight w:val="none"/>
        </w:rPr>
        <w:t>注：如果由投标人的法定代表人签署投标文件，则无须提交授权委托书。</w:t>
      </w:r>
    </w:p>
    <w:p w14:paraId="48DFB847">
      <w:pPr>
        <w:autoSpaceDE w:val="0"/>
        <w:autoSpaceDN w:val="0"/>
        <w:adjustRightInd w:val="0"/>
        <w:spacing w:line="360" w:lineRule="exact"/>
        <w:rPr>
          <w:rFonts w:hint="eastAsia"/>
          <w:kern w:val="21"/>
          <w:sz w:val="20"/>
          <w:szCs w:val="20"/>
          <w:highlight w:val="none"/>
          <w:u w:val="single"/>
        </w:rPr>
      </w:pPr>
    </w:p>
    <w:p w14:paraId="153A0BA2">
      <w:pPr>
        <w:topLinePunct/>
        <w:spacing w:before="120" w:beforeLines="50" w:after="120" w:afterLines="50"/>
        <w:jc w:val="center"/>
        <w:rPr>
          <w:rFonts w:hint="eastAsia" w:ascii="宋体" w:hAnsi="宋体"/>
          <w:kern w:val="21"/>
          <w:sz w:val="30"/>
          <w:szCs w:val="30"/>
          <w:highlight w:val="none"/>
        </w:rPr>
      </w:pPr>
      <w:r>
        <w:rPr>
          <w:rFonts w:ascii="宋体" w:hAnsi="宋体"/>
          <w:kern w:val="21"/>
          <w:sz w:val="36"/>
          <w:szCs w:val="36"/>
          <w:highlight w:val="none"/>
        </w:rPr>
        <w:br w:type="page"/>
      </w:r>
      <w:r>
        <w:rPr>
          <w:rFonts w:hint="eastAsia" w:ascii="宋体" w:hAnsi="宋体"/>
          <w:b/>
          <w:bCs/>
          <w:kern w:val="21"/>
          <w:sz w:val="30"/>
          <w:szCs w:val="30"/>
          <w:highlight w:val="none"/>
        </w:rPr>
        <w:t>(</w:t>
      </w:r>
      <w:r>
        <w:rPr>
          <w:rFonts w:ascii="宋体" w:hAnsi="宋体"/>
          <w:b/>
          <w:bCs/>
          <w:kern w:val="21"/>
          <w:sz w:val="30"/>
          <w:szCs w:val="30"/>
          <w:highlight w:val="none"/>
        </w:rPr>
        <w:t>二</w:t>
      </w:r>
      <w:r>
        <w:rPr>
          <w:rFonts w:hint="eastAsia" w:ascii="宋体" w:hAnsi="宋体"/>
          <w:b/>
          <w:bCs/>
          <w:kern w:val="21"/>
          <w:sz w:val="30"/>
          <w:szCs w:val="30"/>
          <w:highlight w:val="none"/>
        </w:rPr>
        <w:t>)法定代表人身份证明</w:t>
      </w:r>
    </w:p>
    <w:p w14:paraId="16BB6883">
      <w:pPr>
        <w:topLinePunct/>
        <w:spacing w:before="120" w:beforeLines="50" w:after="120" w:afterLines="50"/>
        <w:jc w:val="center"/>
        <w:rPr>
          <w:rFonts w:ascii="宋体" w:hAnsi="宋体"/>
          <w:kern w:val="21"/>
          <w:sz w:val="36"/>
          <w:szCs w:val="36"/>
          <w:highlight w:val="none"/>
        </w:rPr>
      </w:pPr>
    </w:p>
    <w:p w14:paraId="71AE1A37">
      <w:pPr>
        <w:topLinePunct/>
        <w:rPr>
          <w:rFonts w:hAnsi="宋体"/>
          <w:kern w:val="21"/>
          <w:sz w:val="28"/>
          <w:szCs w:val="28"/>
          <w:highlight w:val="none"/>
        </w:rPr>
      </w:pPr>
    </w:p>
    <w:p w14:paraId="7DFDC550">
      <w:pPr>
        <w:keepNext w:val="0"/>
        <w:keepLines w:val="0"/>
        <w:pageBreakBefore w:val="0"/>
        <w:widowControl w:val="0"/>
        <w:kinsoku/>
        <w:wordWrap/>
        <w:overflowPunct/>
        <w:topLinePunct/>
        <w:autoSpaceDE/>
        <w:autoSpaceDN/>
        <w:bidi w:val="0"/>
        <w:adjustRightInd/>
        <w:snapToGrid/>
        <w:spacing w:line="480" w:lineRule="auto"/>
        <w:ind w:right="0"/>
        <w:textAlignment w:val="auto"/>
        <w:rPr>
          <w:highlight w:val="none"/>
        </w:rPr>
      </w:pPr>
      <w:r>
        <w:rPr>
          <w:rFonts w:hAnsi="宋体"/>
          <w:kern w:val="21"/>
          <w:szCs w:val="21"/>
          <w:highlight w:val="none"/>
        </w:rPr>
        <w:t>投标人名称：</w:t>
      </w:r>
      <w:r>
        <w:rPr>
          <w:rFonts w:hint="eastAsia" w:hAnsi="宋体"/>
          <w:kern w:val="21"/>
          <w:szCs w:val="21"/>
          <w:highlight w:val="none"/>
          <w:u w:val="single"/>
        </w:rPr>
        <w:t xml:space="preserve">                            </w:t>
      </w:r>
      <w:r>
        <w:rPr>
          <w:rFonts w:hint="eastAsia"/>
          <w:kern w:val="21"/>
          <w:szCs w:val="21"/>
          <w:highlight w:val="none"/>
          <w:u w:val="single"/>
        </w:rPr>
        <w:t xml:space="preserve">  </w:t>
      </w:r>
      <w:r>
        <w:rPr>
          <w:rFonts w:hint="eastAsia" w:ascii="宋体" w:hAnsi="宋体" w:cs="宋体"/>
          <w:szCs w:val="21"/>
          <w:highlight w:val="none"/>
          <w:u w:val="single" w:color="000000"/>
        </w:rPr>
        <w:tab/>
      </w:r>
      <w:r>
        <w:rPr>
          <w:rFonts w:hint="eastAsia"/>
          <w:kern w:val="21"/>
          <w:szCs w:val="21"/>
          <w:highlight w:val="none"/>
          <w:u w:val="single"/>
        </w:rPr>
        <w:t xml:space="preserve">  </w:t>
      </w:r>
    </w:p>
    <w:p w14:paraId="7C3EF5BE">
      <w:pPr>
        <w:keepNext w:val="0"/>
        <w:keepLines w:val="0"/>
        <w:pageBreakBefore w:val="0"/>
        <w:widowControl w:val="0"/>
        <w:kinsoku/>
        <w:wordWrap/>
        <w:overflowPunct/>
        <w:topLinePunct/>
        <w:autoSpaceDE/>
        <w:autoSpaceDN/>
        <w:bidi w:val="0"/>
        <w:adjustRightInd/>
        <w:snapToGrid/>
        <w:spacing w:line="480" w:lineRule="auto"/>
        <w:ind w:right="0"/>
        <w:textAlignment w:val="auto"/>
        <w:rPr>
          <w:kern w:val="21"/>
          <w:szCs w:val="21"/>
          <w:highlight w:val="none"/>
          <w:u w:val="single"/>
        </w:rPr>
      </w:pPr>
      <w:r>
        <w:rPr>
          <w:rFonts w:hAnsi="宋体"/>
          <w:kern w:val="21"/>
          <w:szCs w:val="21"/>
          <w:highlight w:val="none"/>
        </w:rPr>
        <w:t>姓名：</w:t>
      </w:r>
      <w:r>
        <w:rPr>
          <w:rFonts w:hAnsi="宋体"/>
          <w:kern w:val="21"/>
          <w:szCs w:val="21"/>
          <w:highlight w:val="none"/>
          <w:u w:val="single"/>
        </w:rPr>
        <w:t>（</w:t>
      </w:r>
      <w:r>
        <w:rPr>
          <w:rFonts w:hint="eastAsia" w:hAnsi="宋体"/>
          <w:kern w:val="21"/>
          <w:szCs w:val="21"/>
          <w:highlight w:val="none"/>
          <w:u w:val="single"/>
        </w:rPr>
        <w:t>签字或盖章</w:t>
      </w:r>
      <w:r>
        <w:rPr>
          <w:rFonts w:hAnsi="宋体"/>
          <w:kern w:val="21"/>
          <w:szCs w:val="21"/>
          <w:highlight w:val="none"/>
          <w:u w:val="single"/>
        </w:rPr>
        <w:t>）</w:t>
      </w:r>
      <w:r>
        <w:rPr>
          <w:rFonts w:eastAsia="Times New Roman"/>
          <w:szCs w:val="21"/>
          <w:highlight w:val="none"/>
        </w:rPr>
        <w:t xml:space="preserve"> </w:t>
      </w:r>
      <w:r>
        <w:rPr>
          <w:rFonts w:hAnsi="宋体"/>
          <w:kern w:val="21"/>
          <w:szCs w:val="21"/>
          <w:highlight w:val="none"/>
        </w:rPr>
        <w:t>性别：</w:t>
      </w:r>
      <w:r>
        <w:rPr>
          <w:rFonts w:hint="eastAsia"/>
          <w:kern w:val="21"/>
          <w:szCs w:val="21"/>
          <w:highlight w:val="none"/>
          <w:u w:val="single"/>
        </w:rPr>
        <w:t xml:space="preserve">                         </w:t>
      </w:r>
      <w:r>
        <w:rPr>
          <w:rFonts w:hAnsi="宋体"/>
          <w:kern w:val="21"/>
          <w:szCs w:val="21"/>
          <w:highlight w:val="none"/>
        </w:rPr>
        <w:t>年龄：</w:t>
      </w:r>
      <w:r>
        <w:rPr>
          <w:rFonts w:hint="eastAsia"/>
          <w:kern w:val="21"/>
          <w:szCs w:val="21"/>
          <w:highlight w:val="none"/>
          <w:u w:val="single"/>
        </w:rPr>
        <w:t xml:space="preserve">                      </w:t>
      </w:r>
      <w:r>
        <w:rPr>
          <w:rFonts w:hAnsi="宋体"/>
          <w:kern w:val="21"/>
          <w:szCs w:val="21"/>
          <w:highlight w:val="none"/>
        </w:rPr>
        <w:t>职务：</w:t>
      </w:r>
      <w:r>
        <w:rPr>
          <w:rFonts w:hint="eastAsia" w:hAnsi="宋体"/>
          <w:kern w:val="21"/>
          <w:szCs w:val="21"/>
          <w:highlight w:val="none"/>
          <w:u w:val="single"/>
        </w:rPr>
        <w:t xml:space="preserve">                            </w:t>
      </w:r>
      <w:r>
        <w:rPr>
          <w:rFonts w:hint="eastAsia"/>
          <w:kern w:val="21"/>
          <w:szCs w:val="21"/>
          <w:highlight w:val="none"/>
          <w:u w:val="single"/>
        </w:rPr>
        <w:t xml:space="preserve">  </w:t>
      </w:r>
      <w:r>
        <w:rPr>
          <w:rFonts w:hint="eastAsia" w:ascii="宋体" w:hAnsi="宋体" w:cs="宋体"/>
          <w:szCs w:val="21"/>
          <w:highlight w:val="none"/>
          <w:u w:val="single" w:color="000000"/>
        </w:rPr>
        <w:tab/>
      </w:r>
      <w:r>
        <w:rPr>
          <w:rFonts w:hint="eastAsia"/>
          <w:kern w:val="21"/>
          <w:szCs w:val="21"/>
          <w:highlight w:val="none"/>
          <w:u w:val="single"/>
        </w:rPr>
        <w:t xml:space="preserve">  </w:t>
      </w:r>
    </w:p>
    <w:p w14:paraId="041E06B7">
      <w:pPr>
        <w:keepNext w:val="0"/>
        <w:keepLines w:val="0"/>
        <w:pageBreakBefore w:val="0"/>
        <w:widowControl w:val="0"/>
        <w:kinsoku/>
        <w:wordWrap/>
        <w:overflowPunct/>
        <w:topLinePunct/>
        <w:autoSpaceDE/>
        <w:autoSpaceDN/>
        <w:bidi w:val="0"/>
        <w:adjustRightInd/>
        <w:snapToGrid/>
        <w:spacing w:line="480" w:lineRule="auto"/>
        <w:ind w:right="0"/>
        <w:textAlignment w:val="auto"/>
        <w:rPr>
          <w:kern w:val="21"/>
          <w:szCs w:val="21"/>
          <w:highlight w:val="none"/>
          <w:u w:val="single"/>
        </w:rPr>
      </w:pPr>
      <w:r>
        <w:rPr>
          <w:rFonts w:hAnsi="宋体"/>
          <w:kern w:val="21"/>
          <w:szCs w:val="21"/>
          <w:highlight w:val="none"/>
        </w:rPr>
        <w:t>系</w:t>
      </w:r>
      <w:r>
        <w:rPr>
          <w:rFonts w:hint="eastAsia"/>
          <w:kern w:val="21"/>
          <w:szCs w:val="21"/>
          <w:highlight w:val="none"/>
          <w:u w:val="single"/>
        </w:rPr>
        <w:t xml:space="preserve">      </w:t>
      </w:r>
      <w:r>
        <w:rPr>
          <w:kern w:val="21"/>
          <w:szCs w:val="21"/>
          <w:highlight w:val="none"/>
          <w:u w:val="single"/>
        </w:rPr>
        <w:t xml:space="preserve"> </w:t>
      </w:r>
      <w:r>
        <w:rPr>
          <w:rFonts w:hint="eastAsia"/>
          <w:kern w:val="21"/>
          <w:szCs w:val="21"/>
          <w:highlight w:val="none"/>
          <w:u w:val="single"/>
        </w:rPr>
        <w:t xml:space="preserve">        </w:t>
      </w:r>
      <w:r>
        <w:rPr>
          <w:kern w:val="21"/>
          <w:szCs w:val="21"/>
          <w:highlight w:val="none"/>
          <w:u w:val="single"/>
        </w:rPr>
        <w:t>(</w:t>
      </w:r>
      <w:r>
        <w:rPr>
          <w:rFonts w:hAnsi="宋体"/>
          <w:kern w:val="21"/>
          <w:szCs w:val="21"/>
          <w:highlight w:val="none"/>
          <w:u w:val="single"/>
        </w:rPr>
        <w:t>投标人名称</w:t>
      </w:r>
      <w:r>
        <w:rPr>
          <w:kern w:val="21"/>
          <w:szCs w:val="21"/>
          <w:highlight w:val="none"/>
          <w:u w:val="single"/>
        </w:rPr>
        <w:t>)</w:t>
      </w:r>
      <w:r>
        <w:rPr>
          <w:rFonts w:hint="eastAsia"/>
          <w:kern w:val="21"/>
          <w:szCs w:val="21"/>
          <w:highlight w:val="none"/>
          <w:u w:val="single"/>
          <w:lang w:val="en-US" w:eastAsia="zh-CN"/>
        </w:rPr>
        <w:t xml:space="preserve">   </w:t>
      </w:r>
      <w:r>
        <w:rPr>
          <w:rFonts w:hAnsi="宋体"/>
          <w:kern w:val="21"/>
          <w:szCs w:val="21"/>
          <w:highlight w:val="none"/>
        </w:rPr>
        <w:t>的法定代表人。</w:t>
      </w:r>
    </w:p>
    <w:p w14:paraId="66A66882">
      <w:pPr>
        <w:topLinePunct/>
        <w:rPr>
          <w:kern w:val="21"/>
          <w:szCs w:val="21"/>
          <w:highlight w:val="none"/>
        </w:rPr>
      </w:pPr>
    </w:p>
    <w:p w14:paraId="2F99ABB2">
      <w:pPr>
        <w:topLinePunct/>
        <w:ind w:firstLine="420" w:firstLineChars="200"/>
        <w:rPr>
          <w:rFonts w:hint="eastAsia" w:hAnsi="宋体"/>
          <w:kern w:val="21"/>
          <w:szCs w:val="21"/>
          <w:highlight w:val="none"/>
        </w:rPr>
      </w:pPr>
      <w:r>
        <w:rPr>
          <w:rFonts w:hAnsi="宋体"/>
          <w:kern w:val="21"/>
          <w:szCs w:val="21"/>
          <w:highlight w:val="none"/>
        </w:rPr>
        <w:t>特此证明。</w:t>
      </w:r>
    </w:p>
    <w:p w14:paraId="77EFDFF1">
      <w:pPr>
        <w:topLinePunct/>
        <w:ind w:firstLine="420" w:firstLineChars="200"/>
        <w:rPr>
          <w:rFonts w:hAnsi="宋体"/>
          <w:kern w:val="21"/>
          <w:szCs w:val="21"/>
          <w:highlight w:val="none"/>
        </w:rPr>
      </w:pPr>
    </w:p>
    <w:p w14:paraId="1B894896">
      <w:pPr>
        <w:topLinePunct/>
        <w:rPr>
          <w:rFonts w:hAnsi="宋体"/>
          <w:kern w:val="21"/>
          <w:szCs w:val="21"/>
          <w:highlight w:val="none"/>
        </w:rPr>
      </w:pPr>
    </w:p>
    <w:p w14:paraId="294F201B">
      <w:pPr>
        <w:topLinePunct/>
        <w:rPr>
          <w:rFonts w:hint="eastAsia"/>
          <w:kern w:val="21"/>
          <w:szCs w:val="21"/>
          <w:highlight w:val="none"/>
        </w:rPr>
      </w:pPr>
      <w:r>
        <w:rPr>
          <w:rFonts w:hint="eastAsia"/>
          <w:kern w:val="21"/>
          <w:szCs w:val="21"/>
          <w:highlight w:val="none"/>
        </w:rPr>
        <w:t>附：法定代表人身份证复印件。</w:t>
      </w:r>
    </w:p>
    <w:p w14:paraId="1665FB50">
      <w:pPr>
        <w:topLinePunct/>
        <w:rPr>
          <w:rFonts w:hint="eastAsia"/>
          <w:kern w:val="21"/>
          <w:szCs w:val="21"/>
          <w:highlight w:val="none"/>
        </w:rPr>
      </w:pPr>
    </w:p>
    <w:p w14:paraId="4127D03F">
      <w:pPr>
        <w:topLinePunct/>
        <w:rPr>
          <w:rFonts w:hint="eastAsia"/>
          <w:kern w:val="21"/>
          <w:szCs w:val="21"/>
          <w:highlight w:val="none"/>
        </w:rPr>
      </w:pPr>
    </w:p>
    <w:p w14:paraId="0C3FEBA6">
      <w:pPr>
        <w:topLinePunct/>
        <w:rPr>
          <w:rFonts w:hint="eastAsia"/>
          <w:kern w:val="21"/>
          <w:szCs w:val="21"/>
          <w:highlight w:val="none"/>
        </w:rPr>
      </w:pPr>
    </w:p>
    <w:p w14:paraId="0DCF15E6">
      <w:pPr>
        <w:topLinePunct/>
        <w:rPr>
          <w:rFonts w:hint="eastAsia"/>
          <w:kern w:val="21"/>
          <w:szCs w:val="21"/>
          <w:highlight w:val="none"/>
        </w:rPr>
      </w:pPr>
    </w:p>
    <w:p w14:paraId="6AB37A6A">
      <w:pPr>
        <w:topLinePunct/>
        <w:rPr>
          <w:rFonts w:hint="eastAsia"/>
          <w:kern w:val="21"/>
          <w:szCs w:val="21"/>
          <w:highlight w:val="none"/>
        </w:rPr>
      </w:pPr>
    </w:p>
    <w:p w14:paraId="0CB177A7">
      <w:pPr>
        <w:topLinePunct/>
        <w:rPr>
          <w:rFonts w:hint="eastAsia"/>
          <w:kern w:val="21"/>
          <w:szCs w:val="21"/>
          <w:highlight w:val="none"/>
        </w:rPr>
      </w:pPr>
    </w:p>
    <w:p w14:paraId="03E71C56">
      <w:pPr>
        <w:topLinePunct/>
        <w:rPr>
          <w:rFonts w:hint="eastAsia"/>
          <w:kern w:val="21"/>
          <w:szCs w:val="21"/>
          <w:highlight w:val="none"/>
        </w:rPr>
      </w:pPr>
    </w:p>
    <w:p w14:paraId="5163E418">
      <w:pPr>
        <w:topLinePunct/>
        <w:rPr>
          <w:kern w:val="21"/>
          <w:szCs w:val="21"/>
          <w:highlight w:val="none"/>
        </w:rPr>
      </w:pPr>
    </w:p>
    <w:p w14:paraId="73393959">
      <w:pPr>
        <w:topLinePunct/>
        <w:rPr>
          <w:kern w:val="21"/>
          <w:szCs w:val="21"/>
          <w:highlight w:val="none"/>
        </w:rPr>
      </w:pPr>
    </w:p>
    <w:p w14:paraId="603D855F">
      <w:pPr>
        <w:topLinePunct/>
        <w:rPr>
          <w:kern w:val="21"/>
          <w:szCs w:val="21"/>
          <w:highlight w:val="none"/>
        </w:rPr>
      </w:pPr>
    </w:p>
    <w:p w14:paraId="3CE3DBDD">
      <w:pPr>
        <w:topLinePunct/>
        <w:ind w:right="-52"/>
        <w:jc w:val="right"/>
        <w:rPr>
          <w:kern w:val="21"/>
          <w:szCs w:val="21"/>
          <w:highlight w:val="none"/>
        </w:rPr>
      </w:pPr>
      <w:r>
        <w:rPr>
          <w:rFonts w:hAnsi="宋体"/>
          <w:kern w:val="21"/>
          <w:szCs w:val="21"/>
          <w:highlight w:val="none"/>
        </w:rPr>
        <w:t>投标人：</w:t>
      </w:r>
      <w:r>
        <w:rPr>
          <w:rFonts w:hint="eastAsia"/>
          <w:kern w:val="21"/>
          <w:szCs w:val="21"/>
          <w:highlight w:val="none"/>
          <w:u w:val="single"/>
        </w:rPr>
        <w:t xml:space="preserve">                   </w:t>
      </w:r>
      <w:r>
        <w:rPr>
          <w:rFonts w:hint="eastAsia" w:hAnsi="宋体"/>
          <w:kern w:val="21"/>
          <w:szCs w:val="21"/>
          <w:highlight w:val="none"/>
        </w:rPr>
        <w:t xml:space="preserve"> (</w:t>
      </w:r>
      <w:r>
        <w:rPr>
          <w:rFonts w:hAnsi="宋体"/>
          <w:kern w:val="21"/>
          <w:szCs w:val="21"/>
          <w:highlight w:val="none"/>
        </w:rPr>
        <w:t>盖单位章</w:t>
      </w:r>
      <w:r>
        <w:rPr>
          <w:rFonts w:hint="eastAsia" w:hAnsi="宋体"/>
          <w:kern w:val="21"/>
          <w:szCs w:val="21"/>
          <w:highlight w:val="none"/>
        </w:rPr>
        <w:t>)</w:t>
      </w:r>
    </w:p>
    <w:p w14:paraId="2C785906">
      <w:pPr>
        <w:topLinePunct/>
        <w:rPr>
          <w:kern w:val="21"/>
          <w:szCs w:val="21"/>
          <w:highlight w:val="none"/>
        </w:rPr>
      </w:pPr>
    </w:p>
    <w:p w14:paraId="22F329FE">
      <w:pPr>
        <w:topLinePunct/>
        <w:jc w:val="right"/>
        <w:rPr>
          <w:kern w:val="21"/>
          <w:szCs w:val="21"/>
          <w:highlight w:val="none"/>
        </w:rPr>
      </w:pPr>
      <w:r>
        <w:rPr>
          <w:rFonts w:hint="eastAsia"/>
          <w:kern w:val="21"/>
          <w:szCs w:val="21"/>
          <w:highlight w:val="none"/>
          <w:u w:val="single"/>
        </w:rPr>
        <w:t xml:space="preserve">      </w:t>
      </w:r>
      <w:r>
        <w:rPr>
          <w:rFonts w:hAnsi="宋体"/>
          <w:kern w:val="21"/>
          <w:szCs w:val="21"/>
          <w:highlight w:val="none"/>
        </w:rPr>
        <w:t>年</w:t>
      </w:r>
      <w:r>
        <w:rPr>
          <w:rFonts w:hint="eastAsia" w:hAnsi="宋体"/>
          <w:kern w:val="21"/>
          <w:szCs w:val="21"/>
          <w:highlight w:val="none"/>
        </w:rPr>
        <w:t xml:space="preserve"> </w:t>
      </w:r>
      <w:r>
        <w:rPr>
          <w:rFonts w:hint="eastAsia"/>
          <w:kern w:val="21"/>
          <w:szCs w:val="21"/>
          <w:highlight w:val="none"/>
          <w:u w:val="single"/>
        </w:rPr>
        <w:t xml:space="preserve">      </w:t>
      </w:r>
      <w:r>
        <w:rPr>
          <w:rFonts w:hint="eastAsia" w:hAnsi="宋体"/>
          <w:kern w:val="21"/>
          <w:szCs w:val="21"/>
          <w:highlight w:val="none"/>
        </w:rPr>
        <w:t xml:space="preserve"> </w:t>
      </w:r>
      <w:r>
        <w:rPr>
          <w:rFonts w:hAnsi="宋体"/>
          <w:kern w:val="21"/>
          <w:szCs w:val="21"/>
          <w:highlight w:val="none"/>
        </w:rPr>
        <w:t>月</w:t>
      </w:r>
      <w:r>
        <w:rPr>
          <w:rFonts w:hint="eastAsia" w:hAnsi="宋体"/>
          <w:kern w:val="21"/>
          <w:szCs w:val="21"/>
          <w:highlight w:val="none"/>
        </w:rPr>
        <w:t xml:space="preserve"> </w:t>
      </w:r>
      <w:r>
        <w:rPr>
          <w:rFonts w:hint="eastAsia"/>
          <w:kern w:val="21"/>
          <w:szCs w:val="21"/>
          <w:highlight w:val="none"/>
          <w:u w:val="single"/>
        </w:rPr>
        <w:t xml:space="preserve">      </w:t>
      </w:r>
      <w:r>
        <w:rPr>
          <w:rFonts w:hint="eastAsia" w:hAnsi="宋体"/>
          <w:kern w:val="21"/>
          <w:szCs w:val="21"/>
          <w:highlight w:val="none"/>
        </w:rPr>
        <w:t xml:space="preserve"> </w:t>
      </w:r>
      <w:r>
        <w:rPr>
          <w:rFonts w:hAnsi="宋体"/>
          <w:kern w:val="21"/>
          <w:szCs w:val="21"/>
          <w:highlight w:val="none"/>
        </w:rPr>
        <w:t>日</w:t>
      </w:r>
    </w:p>
    <w:p w14:paraId="2D9E681A">
      <w:pPr>
        <w:spacing w:line="400" w:lineRule="exact"/>
        <w:rPr>
          <w:rFonts w:hint="eastAsia" w:ascii="宋体" w:hAnsi="宋体" w:cs="宋体"/>
          <w:b/>
          <w:szCs w:val="21"/>
          <w:highlight w:val="none"/>
        </w:rPr>
      </w:pPr>
    </w:p>
    <w:p w14:paraId="13344646">
      <w:pPr>
        <w:spacing w:line="400" w:lineRule="exact"/>
        <w:rPr>
          <w:rFonts w:hint="eastAsia" w:ascii="宋体" w:hAnsi="宋体" w:cs="宋体"/>
          <w:b/>
          <w:szCs w:val="21"/>
          <w:highlight w:val="none"/>
        </w:rPr>
      </w:pPr>
    </w:p>
    <w:p w14:paraId="75CE9A3D">
      <w:pPr>
        <w:spacing w:line="400" w:lineRule="exact"/>
        <w:rPr>
          <w:rFonts w:hint="eastAsia" w:ascii="宋体" w:hAnsi="宋体" w:cs="宋体"/>
          <w:b/>
          <w:szCs w:val="21"/>
          <w:highlight w:val="none"/>
        </w:rPr>
      </w:pPr>
    </w:p>
    <w:p w14:paraId="05334940">
      <w:pPr>
        <w:spacing w:line="400" w:lineRule="exact"/>
        <w:rPr>
          <w:rFonts w:hint="eastAsia" w:ascii="宋体" w:hAnsi="宋体" w:cs="宋体"/>
          <w:b/>
          <w:szCs w:val="21"/>
          <w:highlight w:val="none"/>
        </w:rPr>
      </w:pPr>
    </w:p>
    <w:p w14:paraId="1FA041C7">
      <w:pPr>
        <w:spacing w:line="400" w:lineRule="exact"/>
        <w:rPr>
          <w:rFonts w:hint="eastAsia" w:ascii="宋体" w:hAnsi="宋体" w:cs="宋体"/>
          <w:b/>
          <w:szCs w:val="21"/>
          <w:highlight w:val="none"/>
        </w:rPr>
      </w:pPr>
    </w:p>
    <w:p w14:paraId="4762181F">
      <w:pPr>
        <w:spacing w:line="400" w:lineRule="exact"/>
        <w:rPr>
          <w:rFonts w:hint="eastAsia" w:ascii="宋体" w:hAnsi="宋体" w:cs="宋体"/>
          <w:b/>
          <w:szCs w:val="21"/>
          <w:highlight w:val="none"/>
        </w:rPr>
      </w:pPr>
    </w:p>
    <w:p w14:paraId="4AB38223">
      <w:pPr>
        <w:spacing w:line="400" w:lineRule="exact"/>
        <w:rPr>
          <w:rFonts w:hint="eastAsia" w:ascii="宋体" w:hAnsi="宋体" w:cs="宋体"/>
          <w:b/>
          <w:szCs w:val="21"/>
          <w:highlight w:val="none"/>
        </w:rPr>
      </w:pPr>
    </w:p>
    <w:p w14:paraId="5B872BB5">
      <w:pPr>
        <w:spacing w:line="400" w:lineRule="exact"/>
        <w:rPr>
          <w:rFonts w:hint="eastAsia" w:ascii="宋体" w:hAnsi="宋体" w:cs="宋体"/>
          <w:b/>
          <w:szCs w:val="21"/>
          <w:highlight w:val="none"/>
        </w:rPr>
      </w:pPr>
    </w:p>
    <w:p w14:paraId="2B2D1180">
      <w:pPr>
        <w:spacing w:line="400" w:lineRule="exact"/>
        <w:rPr>
          <w:rFonts w:hint="eastAsia" w:ascii="宋体" w:hAnsi="宋体" w:cs="宋体"/>
          <w:b/>
          <w:szCs w:val="21"/>
          <w:highlight w:val="none"/>
        </w:rPr>
      </w:pPr>
    </w:p>
    <w:p w14:paraId="23C661F9">
      <w:pPr>
        <w:spacing w:line="400" w:lineRule="exact"/>
        <w:rPr>
          <w:rFonts w:hint="eastAsia" w:ascii="宋体" w:hAnsi="宋体" w:cs="宋体"/>
          <w:b/>
          <w:szCs w:val="21"/>
          <w:highlight w:val="none"/>
        </w:rPr>
      </w:pPr>
    </w:p>
    <w:p w14:paraId="72C41442">
      <w:pPr>
        <w:spacing w:line="400" w:lineRule="exact"/>
        <w:rPr>
          <w:rFonts w:hint="eastAsia" w:ascii="宋体" w:hAnsi="宋体" w:cs="宋体"/>
          <w:b/>
          <w:szCs w:val="21"/>
          <w:highlight w:val="none"/>
        </w:rPr>
      </w:pPr>
    </w:p>
    <w:p w14:paraId="0FDBFE1A">
      <w:pPr>
        <w:spacing w:line="400" w:lineRule="exact"/>
        <w:rPr>
          <w:rFonts w:hint="eastAsia" w:ascii="宋体" w:hAnsi="宋体" w:cs="宋体"/>
          <w:b/>
          <w:szCs w:val="21"/>
          <w:highlight w:val="none"/>
        </w:rPr>
      </w:pPr>
    </w:p>
    <w:p w14:paraId="55E18376">
      <w:pPr>
        <w:spacing w:line="400" w:lineRule="exact"/>
        <w:rPr>
          <w:rFonts w:hint="eastAsia" w:ascii="宋体" w:hAnsi="宋体" w:cs="宋体"/>
          <w:b/>
          <w:szCs w:val="21"/>
          <w:highlight w:val="none"/>
        </w:rPr>
      </w:pPr>
    </w:p>
    <w:p w14:paraId="6A7ED6B7">
      <w:pPr>
        <w:spacing w:line="400" w:lineRule="exact"/>
        <w:rPr>
          <w:rFonts w:hint="eastAsia" w:ascii="宋体" w:hAnsi="宋体" w:cs="宋体"/>
          <w:b/>
          <w:szCs w:val="21"/>
          <w:highlight w:val="none"/>
        </w:rPr>
      </w:pPr>
      <w:r>
        <w:rPr>
          <w:rFonts w:hint="eastAsia" w:ascii="宋体" w:hAnsi="宋体" w:cs="宋体"/>
          <w:b/>
          <w:szCs w:val="21"/>
          <w:highlight w:val="none"/>
        </w:rPr>
        <w:t>注：如果由投标人的法定代表人签署投标文件，需提交法定代表人身份证明。</w:t>
      </w:r>
    </w:p>
    <w:p w14:paraId="4C6299C2">
      <w:pPr>
        <w:widowControl/>
        <w:autoSpaceDE w:val="0"/>
        <w:autoSpaceDN w:val="0"/>
        <w:snapToGrid w:val="0"/>
        <w:spacing w:line="360" w:lineRule="auto"/>
        <w:ind w:left="108" w:right="522" w:firstLine="420"/>
        <w:jc w:val="center"/>
        <w:rPr>
          <w:rFonts w:hint="eastAsia" w:ascii="宋体" w:hAnsi="宋体" w:cs="宋体"/>
          <w:b/>
          <w:bCs/>
          <w:szCs w:val="21"/>
          <w:highlight w:val="none"/>
        </w:rPr>
      </w:pPr>
      <w:r>
        <w:rPr>
          <w:rFonts w:eastAsia="黑体" w:cs="黑体"/>
          <w:sz w:val="36"/>
          <w:szCs w:val="36"/>
          <w:highlight w:val="none"/>
        </w:rPr>
        <w:br w:type="page"/>
      </w:r>
      <w:r>
        <w:rPr>
          <w:rFonts w:hint="eastAsia" w:ascii="宋体" w:hAnsi="宋体" w:cs="黑体"/>
          <w:sz w:val="32"/>
          <w:szCs w:val="32"/>
          <w:highlight w:val="none"/>
        </w:rPr>
        <w:t>三、投标保证金</w:t>
      </w:r>
    </w:p>
    <w:p w14:paraId="297FB92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rPr>
          <w:rFonts w:hint="eastAsia" w:ascii="宋体" w:hAnsi="宋体" w:eastAsia="宋体" w:cs="宋体"/>
          <w:b/>
          <w:bCs/>
          <w:szCs w:val="21"/>
          <w:highlight w:val="none"/>
        </w:rPr>
      </w:pPr>
      <w:r>
        <w:rPr>
          <w:rFonts w:hint="eastAsia" w:ascii="宋体" w:hAnsi="宋体" w:eastAsia="宋体" w:cs="宋体"/>
          <w:b/>
          <w:bCs/>
          <w:szCs w:val="21"/>
          <w:highlight w:val="none"/>
        </w:rPr>
        <w:t>一、投标保证金的金额：详见投标人须知前附表。</w:t>
      </w:r>
    </w:p>
    <w:p w14:paraId="588240C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二、投标保证金的递交截止时间为：同投标文件递交截止时间（即开标时间）</w:t>
      </w:r>
    </w:p>
    <w:p w14:paraId="5F37690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三、投标保证金的形式：不限</w:t>
      </w:r>
    </w:p>
    <w:p w14:paraId="6A579A3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投标人根据实际情况合理选择以下任意一种方式：</w:t>
      </w:r>
    </w:p>
    <w:p w14:paraId="64F7972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（1）现金方式（应当从投标人基本账户转出）：</w:t>
      </w:r>
    </w:p>
    <w:p w14:paraId="53E03FE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①若采用转账（网银或柜面皆可），投标人应将投标保证金由投标人基本账户一次性汇入招标人指定账户，否则，视为投标保证金无效。同时将转账凭证扫描件附在投标文件中。</w:t>
      </w:r>
    </w:p>
    <w:p w14:paraId="2777306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②若采用银行汇票或银行本票（若投标人基本开户行在</w:t>
      </w:r>
      <w:r>
        <w:rPr>
          <w:rFonts w:hint="eastAsia" w:ascii="宋体" w:hAnsi="宋体"/>
          <w:b/>
          <w:bCs/>
          <w:szCs w:val="21"/>
          <w:highlight w:val="none"/>
          <w:lang w:val="en-US" w:eastAsia="zh-CN"/>
        </w:rPr>
        <w:t>南京</w:t>
      </w:r>
      <w:r>
        <w:rPr>
          <w:rFonts w:hint="eastAsia" w:ascii="宋体" w:hAnsi="宋体"/>
          <w:b/>
          <w:bCs/>
          <w:szCs w:val="21"/>
          <w:highlight w:val="none"/>
        </w:rPr>
        <w:t>，则可递交银行本票），投标人应将银行汇票或银行本票原件递交给招标代理，且投标保证金必须由投标人基本账户汇出，否则视为投标保证金无效。同时将银行汇票或银行本票扫描件附在投标文件中，采用银行本票的，同时附银行本票申请单扫描件）。</w:t>
      </w:r>
    </w:p>
    <w:p w14:paraId="65AE013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注：投标保证金缴纳开户银行及账号如下</w:t>
      </w:r>
    </w:p>
    <w:p w14:paraId="7C12216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开户名称:国信国际工程咨询集团股份有限公司江苏分公司</w:t>
      </w:r>
    </w:p>
    <w:p w14:paraId="17399F5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开户银行:招商银行南京奥体支行</w:t>
      </w:r>
    </w:p>
    <w:p w14:paraId="0AC41B0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银行帐号:1259055018103012400020347</w:t>
      </w:r>
    </w:p>
    <w:p w14:paraId="1F490F5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注:“请投标人在汇款时务必注明“</w:t>
      </w:r>
      <w:r>
        <w:rPr>
          <w:rFonts w:hint="eastAsia" w:ascii="宋体" w:hAnsi="宋体"/>
          <w:b/>
          <w:bCs/>
          <w:szCs w:val="21"/>
          <w:highlight w:val="none"/>
          <w:lang w:eastAsia="zh-CN"/>
        </w:rPr>
        <w:t>LSXHD</w:t>
      </w:r>
      <w:r>
        <w:rPr>
          <w:rFonts w:hint="eastAsia" w:ascii="宋体" w:hAnsi="宋体"/>
          <w:b/>
          <w:bCs/>
          <w:szCs w:val="21"/>
          <w:highlight w:val="none"/>
        </w:rPr>
        <w:t>-WWPG保证金”导致投标无效等后果由投标人自行承担。”</w:t>
      </w:r>
    </w:p>
    <w:p w14:paraId="730E7B3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（2）保函、保单等非现金方式（各类保函、保单的费用应由投标人基本账户汇出）：</w:t>
      </w:r>
    </w:p>
    <w:p w14:paraId="30B1D0C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①若采用银行保函，银行保函应采用招标文件提供的格式，且应在投标有效期内保持有效，招标人如果按规定延长了投标有效期，则投标保证金的有效期也相应延长。银行保函原件递交给招标代理，并将银行保函扫描件和费用支付凭证的扫描件附在投标文件中。（不限于基本开户行）</w:t>
      </w:r>
    </w:p>
    <w:p w14:paraId="4F276C0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rPr>
        <w:t>②若采用保险机构的保单、担保保函，应采用招标文件提供的格式，且应在投标有效期内保持有效，招标人如果按规定延长了投标有效期，则投标保证金的有效期也相应延长。如出具纸质保单、保函的，则应将保单、保函原件给招标代理，并将保单、保函扫描件和费用支付凭证的扫描件附在投标文件中；如出具电子保单、保函的，则须将保函扫描件和费用支付凭证的扫描件附在投标文件中。</w:t>
      </w:r>
    </w:p>
    <w:p w14:paraId="159C36E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left"/>
        <w:textAlignment w:val="auto"/>
        <w:rPr>
          <w:rFonts w:hint="eastAsia" w:ascii="宋体" w:hAnsi="宋体"/>
          <w:b/>
          <w:bCs/>
          <w:szCs w:val="21"/>
          <w:highlight w:val="none"/>
        </w:rPr>
      </w:pPr>
      <w:r>
        <w:rPr>
          <w:rFonts w:hint="eastAsia" w:ascii="宋体" w:hAnsi="宋体"/>
          <w:b/>
          <w:bCs/>
          <w:szCs w:val="21"/>
          <w:highlight w:val="none"/>
          <w:u w:val="single"/>
        </w:rPr>
        <w:t>（3）采用《投标保证金信用承诺书》方式，格式详见招标文件第七章投标文件格式。</w:t>
      </w:r>
    </w:p>
    <w:p w14:paraId="7831D14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rPr>
          <w:rFonts w:hint="eastAsia" w:ascii="宋体" w:hAnsi="宋体"/>
          <w:b/>
          <w:bCs/>
          <w:szCs w:val="21"/>
          <w:highlight w:val="none"/>
        </w:rPr>
      </w:pPr>
      <w:r>
        <w:rPr>
          <w:rFonts w:hint="eastAsia" w:ascii="宋体" w:hAnsi="宋体"/>
          <w:b/>
          <w:bCs/>
          <w:szCs w:val="21"/>
          <w:highlight w:val="none"/>
        </w:rPr>
        <w:t>四、投标保证金的退还：由招标人/招标代理按规定办理退还手续。</w:t>
      </w:r>
    </w:p>
    <w:p w14:paraId="5C979535">
      <w:pPr>
        <w:spacing w:line="400" w:lineRule="exact"/>
        <w:jc w:val="center"/>
        <w:rPr>
          <w:rFonts w:ascii="宋体"/>
          <w:b/>
          <w:bCs/>
          <w:sz w:val="24"/>
          <w:highlight w:val="none"/>
        </w:rPr>
      </w:pPr>
    </w:p>
    <w:p w14:paraId="548A2045">
      <w:pPr>
        <w:spacing w:line="400" w:lineRule="exact"/>
        <w:jc w:val="center"/>
        <w:rPr>
          <w:rFonts w:ascii="宋体"/>
          <w:b/>
          <w:bCs/>
          <w:sz w:val="24"/>
          <w:highlight w:val="none"/>
        </w:rPr>
      </w:pPr>
    </w:p>
    <w:p w14:paraId="6999815C">
      <w:pPr>
        <w:spacing w:line="400" w:lineRule="exact"/>
        <w:jc w:val="center"/>
        <w:rPr>
          <w:rFonts w:ascii="宋体"/>
          <w:b/>
          <w:bCs/>
          <w:sz w:val="24"/>
          <w:highlight w:val="none"/>
        </w:rPr>
      </w:pPr>
    </w:p>
    <w:p w14:paraId="6FCED0A6">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cs="宋体"/>
          <w:b/>
          <w:bCs/>
          <w:sz w:val="28"/>
          <w:szCs w:val="28"/>
          <w:highlight w:val="none"/>
        </w:rPr>
      </w:pPr>
      <w:r>
        <w:rPr>
          <w:rFonts w:hint="eastAsia" w:ascii="宋体" w:hAnsi="宋体" w:cs="宋体"/>
          <w:sz w:val="24"/>
          <w:highlight w:val="none"/>
        </w:rPr>
        <w:br w:type="page"/>
      </w:r>
      <w:r>
        <w:rPr>
          <w:rFonts w:hint="eastAsia" w:ascii="宋体" w:hAnsi="宋体" w:cs="宋体"/>
          <w:sz w:val="24"/>
          <w:highlight w:val="none"/>
        </w:rPr>
        <w:t>如采用投标保证金信用承诺书形式递交投标保证金</w:t>
      </w:r>
    </w:p>
    <w:p w14:paraId="236BF477">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宋体" w:hAnsi="宋体" w:cs="宋体"/>
          <w:b/>
          <w:bCs/>
          <w:sz w:val="28"/>
          <w:szCs w:val="24"/>
          <w:highlight w:val="none"/>
        </w:rPr>
      </w:pPr>
      <w:r>
        <w:rPr>
          <w:rFonts w:hint="eastAsia" w:ascii="宋体" w:hAnsi="宋体" w:cs="宋体"/>
          <w:b/>
          <w:bCs/>
          <w:sz w:val="28"/>
          <w:szCs w:val="24"/>
          <w:highlight w:val="none"/>
        </w:rPr>
        <w:t>投标保证金信用承诺书</w:t>
      </w:r>
    </w:p>
    <w:p w14:paraId="1E817B4C">
      <w:pPr>
        <w:keepNext w:val="0"/>
        <w:keepLines w:val="0"/>
        <w:pageBreakBefore w:val="0"/>
        <w:widowControl w:val="0"/>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u w:val="single"/>
        </w:rPr>
      </w:pPr>
      <w:r>
        <w:rPr>
          <w:rFonts w:hint="eastAsia" w:ascii="宋体" w:hAnsi="宋体" w:cs="宋体"/>
          <w:sz w:val="24"/>
          <w:highlight w:val="none"/>
        </w:rPr>
        <w:t>致：</w:t>
      </w:r>
      <w:r>
        <w:rPr>
          <w:rFonts w:hint="eastAsia" w:ascii="宋体" w:hAnsi="宋体" w:cs="宋体"/>
          <w:sz w:val="24"/>
          <w:highlight w:val="none"/>
          <w:u w:val="single"/>
        </w:rPr>
        <w:t xml:space="preserve">（招标人名称）         </w:t>
      </w:r>
    </w:p>
    <w:p w14:paraId="53D9EE02">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本公司(单位)拟参加</w:t>
      </w:r>
      <w:r>
        <w:rPr>
          <w:rFonts w:hint="eastAsia" w:ascii="宋体" w:hAnsi="宋体" w:cs="宋体"/>
          <w:sz w:val="24"/>
          <w:highlight w:val="none"/>
          <w:u w:val="single"/>
        </w:rPr>
        <w:t xml:space="preserve">                  </w:t>
      </w:r>
      <w:r>
        <w:rPr>
          <w:rFonts w:hint="eastAsia" w:ascii="宋体" w:hAnsi="宋体" w:cs="宋体"/>
          <w:sz w:val="24"/>
          <w:highlight w:val="none"/>
        </w:rPr>
        <w:t>项目的投标，自愿以书面承诺形式替代投标保证金并愿意承担不实承诺的法律责任。</w:t>
      </w:r>
    </w:p>
    <w:p w14:paraId="78EED4CC">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2" w:firstLineChars="200"/>
        <w:textAlignment w:val="auto"/>
        <w:rPr>
          <w:rFonts w:hint="eastAsia" w:ascii="宋体" w:hAnsi="宋体" w:cs="宋体"/>
          <w:sz w:val="24"/>
          <w:highlight w:val="none"/>
        </w:rPr>
      </w:pPr>
      <w:r>
        <w:rPr>
          <w:rFonts w:hint="eastAsia" w:ascii="宋体" w:hAnsi="宋体" w:cs="宋体"/>
          <w:b/>
          <w:bCs/>
          <w:sz w:val="24"/>
          <w:highlight w:val="none"/>
        </w:rPr>
        <w:t>一、项目基本情况</w:t>
      </w:r>
    </w:p>
    <w:p w14:paraId="50ADC59A">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项目名称：</w:t>
      </w:r>
      <w:r>
        <w:rPr>
          <w:rFonts w:hint="eastAsia" w:ascii="宋体" w:hAnsi="宋体" w:cs="宋体"/>
          <w:sz w:val="24"/>
          <w:highlight w:val="none"/>
          <w:u w:val="single"/>
        </w:rPr>
        <w:t xml:space="preserve">             </w:t>
      </w:r>
    </w:p>
    <w:p w14:paraId="235589E0">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标段名称：</w:t>
      </w:r>
      <w:r>
        <w:rPr>
          <w:rFonts w:hint="eastAsia" w:ascii="宋体" w:hAnsi="宋体" w:cs="宋体"/>
          <w:sz w:val="24"/>
          <w:highlight w:val="none"/>
          <w:u w:val="single"/>
        </w:rPr>
        <w:t xml:space="preserve">             </w:t>
      </w:r>
    </w:p>
    <w:p w14:paraId="38AB7A1E">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保证金金额：</w:t>
      </w:r>
      <w:r>
        <w:rPr>
          <w:rFonts w:hint="eastAsia" w:ascii="宋体" w:hAnsi="宋体" w:cs="宋体"/>
          <w:sz w:val="24"/>
          <w:highlight w:val="none"/>
          <w:u w:val="single"/>
        </w:rPr>
        <w:t xml:space="preserve">          </w:t>
      </w:r>
      <w:r>
        <w:rPr>
          <w:rFonts w:hint="eastAsia" w:ascii="宋体" w:hAnsi="宋体" w:cs="宋体"/>
          <w:sz w:val="24"/>
          <w:highlight w:val="none"/>
        </w:rPr>
        <w:t>，投标有效期：</w:t>
      </w:r>
      <w:r>
        <w:rPr>
          <w:rFonts w:hint="eastAsia" w:ascii="宋体" w:hAnsi="宋体" w:cs="宋体"/>
          <w:sz w:val="24"/>
          <w:highlight w:val="none"/>
          <w:u w:val="single"/>
        </w:rPr>
        <w:t xml:space="preserve">     </w:t>
      </w:r>
      <w:r>
        <w:rPr>
          <w:rFonts w:hint="eastAsia" w:ascii="宋体" w:hAnsi="宋体" w:cs="宋体"/>
          <w:sz w:val="24"/>
          <w:highlight w:val="none"/>
        </w:rPr>
        <w:t>天，投标有效期延长的，本承诺书有效期相应顺延。</w:t>
      </w:r>
    </w:p>
    <w:p w14:paraId="3F943BA0">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2" w:firstLineChars="200"/>
        <w:textAlignment w:val="auto"/>
        <w:rPr>
          <w:rFonts w:hint="eastAsia" w:ascii="宋体" w:hAnsi="宋体" w:cs="宋体"/>
          <w:b/>
          <w:bCs/>
          <w:sz w:val="24"/>
          <w:highlight w:val="none"/>
        </w:rPr>
      </w:pPr>
      <w:r>
        <w:rPr>
          <w:rFonts w:hint="eastAsia" w:ascii="宋体" w:hAnsi="宋体" w:cs="宋体"/>
          <w:b/>
          <w:bCs/>
          <w:sz w:val="24"/>
          <w:highlight w:val="none"/>
        </w:rPr>
        <w:t>二、本公司（单位）承诺</w:t>
      </w:r>
    </w:p>
    <w:p w14:paraId="5C365FD9">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（一）符合信用承诺制的办理条件，无不良信用记录或虚假承诺等情形。</w:t>
      </w:r>
    </w:p>
    <w:p w14:paraId="73F2F53B">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（二）在此次招标活动中不发生以下情形:</w:t>
      </w:r>
    </w:p>
    <w:p w14:paraId="1B9B071E">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1.在开标后和投标有效期满之前撤销投标文件；</w:t>
      </w:r>
    </w:p>
    <w:p w14:paraId="4CDC65B4">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2.在收到中标通知后，不能或拒绝在中标通知书规定的时间内与招标人签订合同；</w:t>
      </w:r>
    </w:p>
    <w:p w14:paraId="62DDBCEA">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3.与招标人签订合同后，未在规定的时间内提交符合招标文件要求的履约担保；</w:t>
      </w:r>
    </w:p>
    <w:p w14:paraId="6ED34057">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left="458" w:leftChars="218" w:firstLine="0" w:firstLineChars="0"/>
        <w:textAlignment w:val="auto"/>
        <w:rPr>
          <w:rFonts w:hint="eastAsia" w:ascii="宋体" w:hAnsi="宋体" w:cs="宋体"/>
          <w:sz w:val="24"/>
          <w:highlight w:val="none"/>
        </w:rPr>
      </w:pPr>
      <w:r>
        <w:rPr>
          <w:rFonts w:hint="eastAsia" w:ascii="宋体" w:hAnsi="宋体" w:cs="宋体"/>
          <w:sz w:val="24"/>
          <w:highlight w:val="none"/>
        </w:rPr>
        <w:t>4.法律、法规或部门规章、招标文件等规定的关于不予退还投标保证金的其他要求。（三）自愿承担不实承诺的法律后果：</w:t>
      </w:r>
    </w:p>
    <w:p w14:paraId="0A4EFC3D">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1.投标资格无效；</w:t>
      </w:r>
    </w:p>
    <w:p w14:paraId="3C5E4FE9">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2.将失信行为记录到招标投标信用信息共享平台或公共资源交易服务平台予以公示，在公示期间内不参与南通市内项目的投标；给他人造成损失的，依法承担赔偿责任；违反相关法律法规的，交由相关行政监管部门处理；涉嫌犯罪的，依法移送司法机关。</w:t>
      </w:r>
    </w:p>
    <w:p w14:paraId="2B5F69E5">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3.自发现承诺内容失信行为之日起5个工作日内向招标人补缴投标保证金，逾期补缴的的视为失信行为记入信用记录；给他人造成损失的，依法承担赔偿责任。</w:t>
      </w:r>
    </w:p>
    <w:p w14:paraId="23569266">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4.</w:t>
      </w:r>
      <w:r>
        <w:rPr>
          <w:rFonts w:hint="eastAsia" w:ascii="宋体" w:hAnsi="宋体" w:cs="宋体"/>
          <w:sz w:val="24"/>
          <w:highlight w:val="none"/>
          <w:lang w:val="zh-CN"/>
        </w:rPr>
        <w:t>招标人依法提起诉讼的，相关诉讼费用（包括</w:t>
      </w:r>
      <w:r>
        <w:rPr>
          <w:rFonts w:hint="eastAsia" w:ascii="宋体" w:hAnsi="宋体" w:cs="宋体"/>
          <w:sz w:val="24"/>
          <w:highlight w:val="none"/>
        </w:rPr>
        <w:t>但不</w:t>
      </w:r>
      <w:r>
        <w:rPr>
          <w:rFonts w:hint="eastAsia" w:ascii="宋体" w:hAnsi="宋体" w:cs="宋体"/>
          <w:sz w:val="24"/>
          <w:highlight w:val="none"/>
          <w:lang w:val="zh-CN"/>
        </w:rPr>
        <w:t>限于案件受理费、律师费、申请费、差旅费等）由我公司承担，</w:t>
      </w:r>
      <w:r>
        <w:rPr>
          <w:rFonts w:hint="eastAsia" w:ascii="宋体" w:hAnsi="宋体" w:cs="宋体"/>
          <w:sz w:val="24"/>
          <w:highlight w:val="none"/>
        </w:rPr>
        <w:t>南通市内</w:t>
      </w:r>
      <w:r>
        <w:rPr>
          <w:rFonts w:hint="eastAsia" w:ascii="宋体" w:hAnsi="宋体" w:cs="宋体"/>
          <w:sz w:val="24"/>
          <w:highlight w:val="none"/>
          <w:lang w:val="zh-CN"/>
        </w:rPr>
        <w:t>各级公共资源交易中心、招标人有权暂缓退付我公司以现金方式缴纳的其他项目保证金，并</w:t>
      </w:r>
      <w:r>
        <w:rPr>
          <w:rFonts w:hint="eastAsia" w:ascii="宋体" w:hAnsi="宋体" w:cs="宋体"/>
          <w:sz w:val="24"/>
          <w:highlight w:val="none"/>
        </w:rPr>
        <w:t>配合</w:t>
      </w:r>
      <w:r>
        <w:rPr>
          <w:rFonts w:hint="eastAsia" w:ascii="宋体" w:hAnsi="宋体" w:cs="宋体"/>
          <w:sz w:val="24"/>
          <w:highlight w:val="none"/>
          <w:lang w:val="zh-CN"/>
        </w:rPr>
        <w:t>法院执行。</w:t>
      </w:r>
    </w:p>
    <w:p w14:paraId="71EB3399">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（四）上述承诺是自身真实的意思表示。</w:t>
      </w:r>
    </w:p>
    <w:p w14:paraId="73967E7E">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申请人（盖</w:t>
      </w:r>
      <w:r>
        <w:rPr>
          <w:rFonts w:hint="eastAsia" w:ascii="宋体" w:hAnsi="宋体" w:cs="宋体"/>
          <w:sz w:val="24"/>
          <w:highlight w:val="none"/>
          <w:lang w:val="en-US" w:eastAsia="zh-CN"/>
        </w:rPr>
        <w:t>单位</w:t>
      </w:r>
      <w:r>
        <w:rPr>
          <w:rFonts w:hint="eastAsia" w:ascii="宋体" w:hAnsi="宋体" w:cs="宋体"/>
          <w:sz w:val="24"/>
          <w:highlight w:val="none"/>
        </w:rPr>
        <w:t>章）：</w:t>
      </w:r>
      <w:r>
        <w:rPr>
          <w:rFonts w:hint="eastAsia" w:ascii="宋体" w:hAnsi="宋体" w:cs="宋体"/>
          <w:sz w:val="24"/>
          <w:highlight w:val="none"/>
          <w:u w:val="single"/>
        </w:rPr>
        <w:t xml:space="preserve">             </w:t>
      </w:r>
    </w:p>
    <w:p w14:paraId="52EB6BED">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法定代表人（签字或签章）：</w:t>
      </w:r>
      <w:r>
        <w:rPr>
          <w:rFonts w:hint="eastAsia" w:ascii="宋体" w:hAnsi="宋体" w:cs="宋体"/>
          <w:sz w:val="24"/>
          <w:highlight w:val="none"/>
          <w:u w:val="single"/>
        </w:rPr>
        <w:t xml:space="preserve">             </w:t>
      </w:r>
    </w:p>
    <w:p w14:paraId="01B97DFC">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联系电话：</w:t>
      </w:r>
      <w:r>
        <w:rPr>
          <w:rFonts w:hint="eastAsia" w:ascii="宋体" w:hAnsi="宋体" w:cs="宋体"/>
          <w:sz w:val="24"/>
          <w:highlight w:val="none"/>
          <w:u w:val="single"/>
        </w:rPr>
        <w:t xml:space="preserve">             </w:t>
      </w:r>
    </w:p>
    <w:p w14:paraId="19C31282">
      <w:pPr>
        <w:keepNext w:val="0"/>
        <w:keepLines w:val="0"/>
        <w:pageBreakBefore w:val="0"/>
        <w:widowControl w:val="0"/>
        <w:tabs>
          <w:tab w:val="left" w:pos="8190"/>
          <w:tab w:val="left" w:pos="8820"/>
        </w:tabs>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sz w:val="24"/>
          <w:highlight w:val="none"/>
          <w:lang w:val="zh-CN"/>
        </w:rPr>
      </w:pPr>
      <w:r>
        <w:rPr>
          <w:rFonts w:hint="eastAsia" w:ascii="宋体" w:hAnsi="宋体" w:cs="宋体"/>
          <w:sz w:val="24"/>
          <w:highlight w:val="none"/>
          <w:lang w:val="zh-CN"/>
        </w:rPr>
        <w:t>承诺日期：</w:t>
      </w:r>
      <w:r>
        <w:rPr>
          <w:rFonts w:hint="eastAsia" w:ascii="宋体" w:hAnsi="宋体" w:cs="宋体"/>
          <w:sz w:val="24"/>
          <w:highlight w:val="none"/>
          <w:u w:val="single"/>
        </w:rPr>
        <w:t xml:space="preserve">             </w:t>
      </w:r>
    </w:p>
    <w:p w14:paraId="316ECBA0">
      <w:pPr>
        <w:keepNext w:val="0"/>
        <w:keepLines w:val="0"/>
        <w:pageBreakBefore w:val="0"/>
        <w:widowControl w:val="0"/>
        <w:kinsoku/>
        <w:wordWrap/>
        <w:overflowPunct/>
        <w:topLinePunct w:val="0"/>
        <w:autoSpaceDE w:val="0"/>
        <w:autoSpaceDN w:val="0"/>
        <w:bidi w:val="0"/>
        <w:adjustRightInd/>
        <w:snapToGrid/>
        <w:spacing w:line="312" w:lineRule="auto"/>
        <w:ind w:firstLine="480" w:firstLineChars="200"/>
        <w:textAlignment w:val="auto"/>
        <w:rPr>
          <w:rFonts w:hint="eastAsia" w:ascii="宋体" w:hAnsi="宋体" w:cs="宋体"/>
          <w:b/>
          <w:bCs/>
          <w:highlight w:val="none"/>
        </w:rPr>
      </w:pPr>
      <w:r>
        <w:rPr>
          <w:rFonts w:hint="eastAsia" w:ascii="宋体" w:hAnsi="宋体" w:cs="宋体"/>
          <w:sz w:val="24"/>
          <w:highlight w:val="none"/>
          <w:u w:val="single"/>
        </w:rPr>
        <w:t xml:space="preserve">      </w:t>
      </w:r>
      <w:r>
        <w:rPr>
          <w:rFonts w:hint="eastAsia" w:ascii="宋体" w:hAnsi="宋体" w:cs="宋体"/>
          <w:sz w:val="24"/>
          <w:highlight w:val="none"/>
          <w:lang w:val="zh-CN"/>
        </w:rPr>
        <w:t>年</w:t>
      </w:r>
      <w:r>
        <w:rPr>
          <w:rFonts w:hint="eastAsia" w:ascii="宋体" w:hAnsi="宋体" w:cs="宋体"/>
          <w:sz w:val="24"/>
          <w:highlight w:val="none"/>
          <w:u w:val="single"/>
        </w:rPr>
        <w:t xml:space="preserve">      </w:t>
      </w:r>
      <w:r>
        <w:rPr>
          <w:rFonts w:hint="eastAsia" w:ascii="宋体" w:hAnsi="宋体" w:cs="宋体"/>
          <w:sz w:val="24"/>
          <w:highlight w:val="none"/>
          <w:lang w:val="zh-CN"/>
        </w:rPr>
        <w:t>月</w:t>
      </w:r>
      <w:r>
        <w:rPr>
          <w:rFonts w:hint="eastAsia" w:ascii="宋体" w:hAnsi="宋体" w:cs="宋体"/>
          <w:sz w:val="24"/>
          <w:highlight w:val="none"/>
          <w:u w:val="single"/>
        </w:rPr>
        <w:t xml:space="preserve">      </w:t>
      </w:r>
      <w:r>
        <w:rPr>
          <w:rFonts w:hint="eastAsia" w:ascii="宋体" w:hAnsi="宋体" w:cs="宋体"/>
          <w:sz w:val="24"/>
          <w:highlight w:val="none"/>
          <w:lang w:val="zh-CN"/>
        </w:rPr>
        <w:t>日</w:t>
      </w:r>
    </w:p>
    <w:p w14:paraId="53B78199">
      <w:pPr>
        <w:autoSpaceDE w:val="0"/>
        <w:autoSpaceDN w:val="0"/>
        <w:snapToGrid w:val="0"/>
        <w:spacing w:line="360" w:lineRule="auto"/>
        <w:ind w:left="108" w:right="522" w:firstLine="420"/>
        <w:jc w:val="left"/>
        <w:rPr>
          <w:rFonts w:hint="eastAsia" w:ascii="Microsoft JhengHei" w:eastAsia="Microsoft JhengHei"/>
          <w:b/>
          <w:highlight w:val="none"/>
          <w:u w:val="single"/>
        </w:rPr>
      </w:pPr>
    </w:p>
    <w:p w14:paraId="684FC913">
      <w:pPr>
        <w:spacing w:before="39"/>
        <w:jc w:val="left"/>
        <w:rPr>
          <w:rFonts w:hint="eastAsia" w:ascii="宋体" w:hAnsi="宋体" w:eastAsia="宋体" w:cs="宋体"/>
          <w:sz w:val="24"/>
          <w:szCs w:val="24"/>
          <w:highlight w:val="none"/>
          <w:lang w:eastAsia="zh-CN"/>
        </w:rPr>
      </w:pPr>
      <w:r>
        <w:rPr>
          <w:rFonts w:hint="eastAsia" w:ascii="宋体" w:hAnsi="宋体" w:cs="宋体"/>
          <w:sz w:val="24"/>
          <w:szCs w:val="24"/>
          <w:highlight w:val="none"/>
        </w:rPr>
        <w:t>如采用保函或保单形式，格式如下</w:t>
      </w:r>
      <w:r>
        <w:rPr>
          <w:rFonts w:hint="eastAsia" w:ascii="宋体" w:hAnsi="宋体" w:cs="宋体"/>
          <w:sz w:val="24"/>
          <w:szCs w:val="24"/>
          <w:highlight w:val="none"/>
          <w:lang w:eastAsia="zh-CN"/>
        </w:rPr>
        <w:t>：</w:t>
      </w:r>
    </w:p>
    <w:p w14:paraId="05C151B9">
      <w:pPr>
        <w:tabs>
          <w:tab w:val="left" w:pos="2532"/>
        </w:tabs>
        <w:spacing w:line="328" w:lineRule="auto"/>
        <w:ind w:left="108" w:right="108" w:firstLine="479"/>
        <w:jc w:val="left"/>
        <w:rPr>
          <w:rFonts w:hint="eastAsia" w:ascii="宋体" w:hAnsi="宋体" w:cs="宋体"/>
          <w:sz w:val="24"/>
          <w:szCs w:val="24"/>
          <w:highlight w:val="none"/>
        </w:rPr>
      </w:pPr>
    </w:p>
    <w:p w14:paraId="753842BF">
      <w:pPr>
        <w:tabs>
          <w:tab w:val="left" w:pos="2532"/>
        </w:tabs>
        <w:spacing w:line="360" w:lineRule="auto"/>
        <w:ind w:firstLine="420"/>
        <w:jc w:val="left"/>
        <w:rPr>
          <w:rFonts w:hint="eastAsia" w:ascii="宋体" w:hAnsi="宋体" w:cs="宋体"/>
          <w:sz w:val="24"/>
          <w:szCs w:val="24"/>
          <w:highlight w:val="none"/>
        </w:rPr>
      </w:pPr>
      <w:r>
        <w:rPr>
          <w:rFonts w:hint="eastAsia" w:ascii="宋体" w:hAnsi="宋体" w:cs="宋体"/>
          <w:sz w:val="24"/>
          <w:szCs w:val="24"/>
          <w:highlight w:val="none"/>
        </w:rPr>
        <w:t>鉴于</w:t>
      </w:r>
      <w:r>
        <w:rPr>
          <w:rFonts w:hint="eastAsia" w:ascii="宋体" w:hAnsi="宋体" w:cs="宋体"/>
          <w:sz w:val="24"/>
          <w:szCs w:val="24"/>
          <w:highlight w:val="none"/>
          <w:u w:val="single"/>
        </w:rPr>
        <w:tab/>
      </w:r>
      <w:r>
        <w:rPr>
          <w:rFonts w:hint="eastAsia" w:ascii="宋体" w:hAnsi="宋体" w:cs="宋体"/>
          <w:sz w:val="24"/>
          <w:szCs w:val="24"/>
          <w:highlight w:val="none"/>
        </w:rPr>
        <w:t>（投</w:t>
      </w:r>
      <w:r>
        <w:rPr>
          <w:rFonts w:hint="eastAsia" w:ascii="宋体" w:hAnsi="宋体" w:cs="宋体"/>
          <w:spacing w:val="8"/>
          <w:sz w:val="24"/>
          <w:szCs w:val="24"/>
          <w:highlight w:val="none"/>
        </w:rPr>
        <w:t>标人名称，以下称“</w:t>
      </w:r>
      <w:r>
        <w:rPr>
          <w:rFonts w:hint="eastAsia" w:ascii="宋体" w:hAnsi="宋体" w:cs="宋体"/>
          <w:sz w:val="24"/>
          <w:szCs w:val="24"/>
          <w:highlight w:val="none"/>
        </w:rPr>
        <w:t>投</w:t>
      </w:r>
      <w:r>
        <w:rPr>
          <w:rFonts w:hint="eastAsia" w:ascii="宋体" w:hAnsi="宋体" w:cs="宋体"/>
          <w:spacing w:val="8"/>
          <w:sz w:val="24"/>
          <w:szCs w:val="24"/>
          <w:highlight w:val="none"/>
        </w:rPr>
        <w:t>标人”）</w:t>
      </w:r>
      <w:r>
        <w:rPr>
          <w:rFonts w:hint="eastAsia" w:ascii="宋体" w:hAnsi="宋体" w:cs="宋体"/>
          <w:sz w:val="24"/>
          <w:szCs w:val="24"/>
          <w:highlight w:val="none"/>
        </w:rPr>
        <w:t>于</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pacing w:val="8"/>
          <w:sz w:val="24"/>
          <w:szCs w:val="24"/>
          <w:highlight w:val="none"/>
        </w:rPr>
        <w:t>日参</w:t>
      </w:r>
      <w:r>
        <w:rPr>
          <w:rFonts w:hint="eastAsia" w:ascii="宋体" w:hAnsi="宋体" w:cs="宋体"/>
          <w:sz w:val="24"/>
          <w:szCs w:val="24"/>
          <w:highlight w:val="none"/>
        </w:rPr>
        <w:t>加</w:t>
      </w:r>
      <w:r>
        <w:rPr>
          <w:rFonts w:hint="eastAsia" w:ascii="宋体" w:hAnsi="宋体" w:cs="宋体"/>
          <w:sz w:val="24"/>
          <w:szCs w:val="24"/>
          <w:highlight w:val="none"/>
          <w:u w:val="single"/>
        </w:rPr>
        <w:t xml:space="preserve">          </w:t>
      </w:r>
      <w:r>
        <w:rPr>
          <w:rFonts w:hint="eastAsia" w:ascii="宋体" w:hAnsi="宋体" w:cs="宋体"/>
          <w:sz w:val="24"/>
          <w:szCs w:val="24"/>
          <w:highlight w:val="none"/>
        </w:rPr>
        <w:t>（项目名称）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标段的投标，</w:t>
      </w:r>
      <w:r>
        <w:rPr>
          <w:rFonts w:hint="eastAsia" w:ascii="宋体" w:hAnsi="宋体" w:cs="宋体"/>
          <w:sz w:val="24"/>
          <w:szCs w:val="24"/>
          <w:highlight w:val="none"/>
          <w:u w:val="single"/>
        </w:rPr>
        <w:t xml:space="preserve">          </w:t>
      </w:r>
      <w:r>
        <w:rPr>
          <w:rFonts w:hint="eastAsia" w:ascii="宋体" w:hAnsi="宋体" w:cs="宋体"/>
          <w:sz w:val="24"/>
          <w:szCs w:val="24"/>
          <w:highlight w:val="none"/>
        </w:rPr>
        <w:t>（担保人名称，</w:t>
      </w:r>
      <w:r>
        <w:rPr>
          <w:rFonts w:hint="eastAsia" w:ascii="宋体" w:hAnsi="宋体" w:cs="宋体"/>
          <w:spacing w:val="-8"/>
          <w:sz w:val="24"/>
          <w:szCs w:val="24"/>
          <w:highlight w:val="none"/>
        </w:rPr>
        <w:t>以下简称</w:t>
      </w:r>
      <w:r>
        <w:rPr>
          <w:rFonts w:hint="eastAsia" w:ascii="宋体" w:hAnsi="宋体" w:cs="宋体"/>
          <w:spacing w:val="-2"/>
          <w:sz w:val="24"/>
          <w:szCs w:val="24"/>
          <w:highlight w:val="none"/>
        </w:rPr>
        <w:t>“</w:t>
      </w:r>
      <w:r>
        <w:rPr>
          <w:rFonts w:hint="eastAsia" w:ascii="宋体" w:hAnsi="宋体" w:cs="宋体"/>
          <w:spacing w:val="-8"/>
          <w:sz w:val="24"/>
          <w:szCs w:val="24"/>
          <w:highlight w:val="none"/>
        </w:rPr>
        <w:t>我方</w:t>
      </w:r>
      <w:r>
        <w:rPr>
          <w:rFonts w:hint="eastAsia" w:ascii="宋体" w:hAnsi="宋体" w:cs="宋体"/>
          <w:spacing w:val="8"/>
          <w:sz w:val="24"/>
          <w:szCs w:val="24"/>
          <w:highlight w:val="none"/>
        </w:rPr>
        <w:t>”）</w:t>
      </w:r>
      <w:r>
        <w:rPr>
          <w:rFonts w:hint="eastAsia" w:ascii="宋体" w:hAnsi="宋体" w:cs="宋体"/>
          <w:sz w:val="24"/>
          <w:szCs w:val="24"/>
          <w:highlight w:val="none"/>
        </w:rPr>
        <w:t>无</w:t>
      </w:r>
      <w:r>
        <w:rPr>
          <w:rFonts w:hint="eastAsia" w:ascii="宋体" w:hAnsi="宋体" w:cs="宋体"/>
          <w:spacing w:val="-48"/>
          <w:sz w:val="24"/>
          <w:szCs w:val="24"/>
          <w:highlight w:val="none"/>
        </w:rPr>
        <w:t xml:space="preserve"> </w:t>
      </w:r>
      <w:r>
        <w:rPr>
          <w:rFonts w:hint="eastAsia" w:ascii="宋体" w:hAnsi="宋体" w:cs="宋体"/>
          <w:spacing w:val="-8"/>
          <w:sz w:val="24"/>
          <w:szCs w:val="24"/>
          <w:highlight w:val="none"/>
        </w:rPr>
        <w:t>条件地、不可撤销地保证：若</w:t>
      </w:r>
      <w:r>
        <w:rPr>
          <w:rFonts w:hint="eastAsia" w:ascii="宋体" w:hAnsi="宋体" w:cs="宋体"/>
          <w:spacing w:val="-18"/>
          <w:sz w:val="24"/>
          <w:szCs w:val="24"/>
          <w:highlight w:val="none"/>
        </w:rPr>
        <w:t>投</w:t>
      </w:r>
      <w:r>
        <w:rPr>
          <w:rFonts w:hint="eastAsia" w:ascii="宋体" w:hAnsi="宋体" w:cs="宋体"/>
          <w:spacing w:val="-8"/>
          <w:sz w:val="24"/>
          <w:szCs w:val="24"/>
          <w:highlight w:val="none"/>
        </w:rPr>
        <w:t>标人在投标有效期内撤销投标文件，中标</w:t>
      </w:r>
      <w:r>
        <w:rPr>
          <w:rFonts w:hint="eastAsia" w:ascii="宋体" w:hAnsi="宋体" w:cs="宋体"/>
          <w:sz w:val="24"/>
          <w:szCs w:val="24"/>
          <w:highlight w:val="none"/>
        </w:rPr>
        <w:t>后无正当理由不与招标人订立合同</w:t>
      </w:r>
      <w:r>
        <w:rPr>
          <w:rFonts w:hint="eastAsia" w:ascii="宋体" w:hAnsi="宋体" w:cs="宋体"/>
          <w:spacing w:val="-156"/>
          <w:sz w:val="24"/>
          <w:szCs w:val="24"/>
          <w:highlight w:val="none"/>
        </w:rPr>
        <w:t>，</w:t>
      </w:r>
      <w:r>
        <w:rPr>
          <w:rFonts w:hint="eastAsia" w:ascii="宋体" w:hAnsi="宋体" w:cs="宋体"/>
          <w:sz w:val="24"/>
          <w:szCs w:val="24"/>
          <w:highlight w:val="none"/>
        </w:rPr>
        <w:t>在签订合同时向招标人提出附加条件，不按照招标文件要求提交履约保证金，或发生招标文件明确规定可以不予退还投标保证金的其他情形，我方承担保证责任。收到你方书面通知后，我方在</w:t>
      </w:r>
      <w:r>
        <w:rPr>
          <w:rFonts w:hint="eastAsia" w:ascii="宋体" w:hAnsi="宋体" w:cs="宋体"/>
          <w:spacing w:val="-60"/>
          <w:sz w:val="24"/>
          <w:szCs w:val="24"/>
          <w:highlight w:val="none"/>
        </w:rPr>
        <w:t xml:space="preserve"> </w:t>
      </w:r>
      <w:r>
        <w:rPr>
          <w:rFonts w:hint="eastAsia" w:ascii="宋体" w:hAnsi="宋体" w:cs="宋体"/>
          <w:sz w:val="24"/>
          <w:szCs w:val="24"/>
          <w:highlight w:val="none"/>
        </w:rPr>
        <w:t>7</w:t>
      </w:r>
      <w:r>
        <w:rPr>
          <w:rFonts w:hint="eastAsia" w:ascii="宋体" w:hAnsi="宋体" w:cs="宋体"/>
          <w:spacing w:val="-60"/>
          <w:sz w:val="24"/>
          <w:szCs w:val="24"/>
          <w:highlight w:val="none"/>
        </w:rPr>
        <w:t xml:space="preserve"> </w:t>
      </w:r>
      <w:r>
        <w:rPr>
          <w:rFonts w:hint="eastAsia" w:ascii="宋体" w:hAnsi="宋体" w:cs="宋体"/>
          <w:sz w:val="24"/>
          <w:szCs w:val="24"/>
          <w:highlight w:val="none"/>
        </w:rPr>
        <w:t>日内向你方无条件支付人民币（大写）</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ab/>
      </w:r>
      <w:r>
        <w:rPr>
          <w:rFonts w:hint="eastAsia" w:ascii="宋体" w:hAnsi="宋体" w:cs="宋体"/>
          <w:spacing w:val="-4"/>
          <w:sz w:val="24"/>
          <w:szCs w:val="24"/>
          <w:highlight w:val="none"/>
        </w:rPr>
        <w:t>元。 本保函在投标有效期或经延长的投标有效期内保持有效。要求我方承担保</w:t>
      </w:r>
      <w:r>
        <w:rPr>
          <w:rFonts w:hint="eastAsia" w:ascii="宋体" w:hAnsi="宋体" w:cs="宋体"/>
          <w:sz w:val="24"/>
          <w:szCs w:val="24"/>
          <w:highlight w:val="none"/>
        </w:rPr>
        <w:t>证责任的通知应在上述期限内送达我方。你方延长投标有效期的决定，应通知我方。</w:t>
      </w:r>
    </w:p>
    <w:p w14:paraId="520796FA">
      <w:pPr>
        <w:pStyle w:val="14"/>
        <w:rPr>
          <w:rFonts w:hint="eastAsia" w:ascii="宋体" w:hAnsi="宋体" w:cs="宋体"/>
          <w:sz w:val="24"/>
          <w:szCs w:val="24"/>
          <w:highlight w:val="none"/>
        </w:rPr>
      </w:pPr>
    </w:p>
    <w:p w14:paraId="05ACD06B">
      <w:pPr>
        <w:pStyle w:val="14"/>
        <w:rPr>
          <w:rFonts w:hint="eastAsia" w:ascii="宋体" w:hAnsi="宋体" w:cs="宋体"/>
          <w:sz w:val="24"/>
          <w:szCs w:val="24"/>
          <w:highlight w:val="none"/>
        </w:rPr>
      </w:pPr>
    </w:p>
    <w:p w14:paraId="4AD5D9E2">
      <w:pPr>
        <w:pStyle w:val="14"/>
        <w:rPr>
          <w:rFonts w:hint="eastAsia" w:ascii="宋体" w:hAnsi="宋体" w:cs="宋体"/>
          <w:sz w:val="24"/>
          <w:szCs w:val="24"/>
          <w:highlight w:val="none"/>
        </w:rPr>
      </w:pPr>
    </w:p>
    <w:p w14:paraId="1C35E18D">
      <w:pPr>
        <w:pStyle w:val="14"/>
        <w:rPr>
          <w:rFonts w:hint="eastAsia" w:ascii="宋体" w:hAnsi="宋体" w:cs="宋体"/>
          <w:sz w:val="24"/>
          <w:szCs w:val="24"/>
          <w:highlight w:val="none"/>
        </w:rPr>
      </w:pPr>
    </w:p>
    <w:p w14:paraId="18C7D5ED">
      <w:pPr>
        <w:pStyle w:val="14"/>
        <w:spacing w:before="4"/>
        <w:rPr>
          <w:rFonts w:hint="eastAsia" w:ascii="宋体" w:hAnsi="宋体" w:cs="宋体"/>
          <w:sz w:val="24"/>
          <w:szCs w:val="24"/>
          <w:highlight w:val="none"/>
        </w:rPr>
      </w:pPr>
    </w:p>
    <w:p w14:paraId="44C0879D">
      <w:pPr>
        <w:tabs>
          <w:tab w:val="left" w:pos="7128"/>
          <w:tab w:val="left" w:pos="7609"/>
          <w:tab w:val="left" w:pos="8898"/>
        </w:tabs>
        <w:spacing w:line="336" w:lineRule="auto"/>
        <w:ind w:left="2089" w:right="370"/>
        <w:jc w:val="left"/>
        <w:rPr>
          <w:rFonts w:hint="eastAsia" w:ascii="宋体" w:hAnsi="宋体" w:cs="宋体"/>
          <w:sz w:val="24"/>
          <w:szCs w:val="24"/>
          <w:highlight w:val="none"/>
        </w:rPr>
      </w:pPr>
      <w:r>
        <w:rPr>
          <w:rFonts w:hint="eastAsia" w:ascii="宋体" w:hAnsi="宋体" w:cs="宋体"/>
          <w:sz w:val="24"/>
          <w:szCs w:val="24"/>
          <w:highlight w:val="none"/>
        </w:rPr>
        <w:t>担保人名称：</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rPr>
        <w:t>（盖章）</w:t>
      </w:r>
      <w:r>
        <w:rPr>
          <w:rFonts w:hint="eastAsia" w:ascii="宋体" w:hAnsi="宋体" w:cs="宋体"/>
          <w:sz w:val="24"/>
          <w:szCs w:val="24"/>
          <w:highlight w:val="none"/>
        </w:rPr>
        <w:tab/>
      </w:r>
    </w:p>
    <w:p w14:paraId="3FAA4ECE">
      <w:pPr>
        <w:tabs>
          <w:tab w:val="left" w:pos="7128"/>
          <w:tab w:val="left" w:pos="7609"/>
          <w:tab w:val="left" w:pos="8898"/>
        </w:tabs>
        <w:spacing w:line="336" w:lineRule="auto"/>
        <w:ind w:left="2089" w:right="370"/>
        <w:jc w:val="left"/>
        <w:rPr>
          <w:rFonts w:hint="eastAsia" w:ascii="宋体" w:hAnsi="宋体" w:cs="宋体"/>
          <w:sz w:val="24"/>
          <w:szCs w:val="24"/>
          <w:highlight w:val="none"/>
        </w:rPr>
      </w:pPr>
      <w:r>
        <w:rPr>
          <w:rFonts w:hint="eastAsia" w:ascii="宋体" w:hAnsi="宋体" w:cs="宋体"/>
          <w:sz w:val="24"/>
          <w:szCs w:val="24"/>
          <w:highlight w:val="none"/>
        </w:rPr>
        <w:t>法</w:t>
      </w:r>
      <w:r>
        <w:rPr>
          <w:rFonts w:hint="eastAsia" w:ascii="宋体" w:hAnsi="宋体" w:cs="宋体"/>
          <w:spacing w:val="-18"/>
          <w:sz w:val="24"/>
          <w:szCs w:val="24"/>
          <w:highlight w:val="none"/>
        </w:rPr>
        <w:t>定</w:t>
      </w:r>
      <w:r>
        <w:rPr>
          <w:rFonts w:hint="eastAsia" w:ascii="宋体" w:hAnsi="宋体" w:cs="宋体"/>
          <w:sz w:val="24"/>
          <w:szCs w:val="24"/>
          <w:highlight w:val="none"/>
        </w:rPr>
        <w:t>代表人或其委托代理人：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ab/>
      </w:r>
      <w:r>
        <w:rPr>
          <w:rFonts w:hint="eastAsia" w:ascii="宋体" w:hAnsi="宋体" w:cs="宋体"/>
          <w:sz w:val="24"/>
          <w:szCs w:val="24"/>
          <w:highlight w:val="none"/>
        </w:rPr>
        <w:t>（签字）</w:t>
      </w:r>
    </w:p>
    <w:p w14:paraId="0E75A3E0">
      <w:pPr>
        <w:tabs>
          <w:tab w:val="left" w:pos="8199"/>
          <w:tab w:val="left" w:pos="8254"/>
        </w:tabs>
        <w:spacing w:before="31" w:line="336" w:lineRule="auto"/>
        <w:ind w:left="2089" w:right="948"/>
        <w:jc w:val="left"/>
        <w:rPr>
          <w:rFonts w:hint="eastAsia" w:ascii="宋体" w:hAnsi="宋体" w:cs="宋体"/>
          <w:sz w:val="24"/>
          <w:szCs w:val="24"/>
          <w:highlight w:val="none"/>
          <w:u w:val="single"/>
        </w:rPr>
      </w:pPr>
      <w:r>
        <w:rPr>
          <w:rFonts w:hint="eastAsia" w:ascii="宋体" w:hAnsi="宋体" w:cs="宋体"/>
          <w:sz w:val="24"/>
          <w:szCs w:val="24"/>
          <w:highlight w:val="none"/>
        </w:rPr>
        <w:t>地    址：</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p>
    <w:p w14:paraId="2937512F">
      <w:pPr>
        <w:tabs>
          <w:tab w:val="left" w:pos="8199"/>
          <w:tab w:val="left" w:pos="8254"/>
        </w:tabs>
        <w:spacing w:before="31" w:line="336" w:lineRule="auto"/>
        <w:ind w:left="2089" w:right="948"/>
        <w:jc w:val="left"/>
        <w:rPr>
          <w:rFonts w:hint="eastAsia" w:ascii="宋体" w:hAnsi="宋体" w:cs="宋体"/>
          <w:sz w:val="24"/>
          <w:szCs w:val="24"/>
          <w:highlight w:val="none"/>
          <w:u w:val="single"/>
        </w:rPr>
      </w:pPr>
      <w:r>
        <w:rPr>
          <w:rFonts w:hint="eastAsia" w:ascii="宋体" w:hAnsi="宋体" w:cs="宋体"/>
          <w:sz w:val="24"/>
          <w:szCs w:val="24"/>
          <w:highlight w:val="none"/>
        </w:rPr>
        <w:t>邮政编码：</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p>
    <w:p w14:paraId="4C98C572">
      <w:pPr>
        <w:tabs>
          <w:tab w:val="left" w:pos="8199"/>
          <w:tab w:val="left" w:pos="8254"/>
        </w:tabs>
        <w:spacing w:before="31" w:line="336" w:lineRule="auto"/>
        <w:ind w:left="2089" w:right="948"/>
        <w:jc w:val="left"/>
        <w:rPr>
          <w:rFonts w:hint="eastAsia" w:ascii="宋体" w:hAnsi="宋体" w:cs="宋体"/>
          <w:sz w:val="24"/>
          <w:szCs w:val="24"/>
          <w:highlight w:val="none"/>
          <w:u w:val="single"/>
        </w:rPr>
      </w:pPr>
      <w:r>
        <w:rPr>
          <w:rFonts w:hint="eastAsia" w:ascii="宋体" w:hAnsi="宋体" w:cs="宋体"/>
          <w:sz w:val="24"/>
          <w:szCs w:val="24"/>
          <w:highlight w:val="none"/>
        </w:rPr>
        <w:t>电    话：</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p>
    <w:p w14:paraId="21C671E5">
      <w:pPr>
        <w:tabs>
          <w:tab w:val="left" w:pos="8199"/>
          <w:tab w:val="left" w:pos="8254"/>
        </w:tabs>
        <w:spacing w:before="31" w:line="336" w:lineRule="auto"/>
        <w:ind w:left="2089" w:right="948"/>
        <w:jc w:val="left"/>
        <w:rPr>
          <w:rFonts w:hint="eastAsia" w:ascii="宋体" w:hAnsi="宋体" w:cs="宋体"/>
          <w:sz w:val="24"/>
          <w:szCs w:val="24"/>
          <w:highlight w:val="none"/>
        </w:rPr>
      </w:pPr>
      <w:r>
        <w:rPr>
          <w:rFonts w:hint="eastAsia" w:ascii="宋体" w:hAnsi="宋体" w:cs="宋体"/>
          <w:sz w:val="24"/>
          <w:szCs w:val="24"/>
          <w:highlight w:val="none"/>
        </w:rPr>
        <w:t>传    真：</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ab/>
      </w:r>
    </w:p>
    <w:p w14:paraId="57CB77CE">
      <w:pPr>
        <w:widowControl/>
        <w:autoSpaceDE w:val="0"/>
        <w:autoSpaceDN w:val="0"/>
        <w:snapToGrid w:val="0"/>
        <w:spacing w:line="360" w:lineRule="auto"/>
        <w:ind w:left="108" w:right="522" w:firstLine="420"/>
        <w:jc w:val="right"/>
        <w:rPr>
          <w:rFonts w:hint="eastAsia" w:ascii="黑体" w:hAnsi="黑体" w:eastAsia="黑体" w:cs="黑体"/>
          <w:b/>
          <w:szCs w:val="21"/>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日</w:t>
      </w:r>
    </w:p>
    <w:p w14:paraId="26BD852E">
      <w:pPr>
        <w:spacing w:line="400" w:lineRule="exact"/>
        <w:jc w:val="center"/>
        <w:rPr>
          <w:rFonts w:ascii="宋体"/>
          <w:b/>
          <w:bCs/>
          <w:sz w:val="24"/>
          <w:highlight w:val="none"/>
        </w:rPr>
      </w:pPr>
    </w:p>
    <w:p w14:paraId="3EB1EA91">
      <w:pPr>
        <w:spacing w:line="400" w:lineRule="exact"/>
        <w:ind w:firstLine="511" w:firstLineChars="212"/>
        <w:rPr>
          <w:rFonts w:ascii="宋体"/>
          <w:b/>
          <w:bCs/>
          <w:sz w:val="24"/>
          <w:highlight w:val="none"/>
          <w:u w:val="single"/>
        </w:rPr>
      </w:pPr>
    </w:p>
    <w:p w14:paraId="11FD619D">
      <w:pPr>
        <w:spacing w:line="400" w:lineRule="exact"/>
        <w:ind w:firstLine="422" w:firstLineChars="200"/>
        <w:rPr>
          <w:rFonts w:ascii="黑体" w:hAnsi="黑体" w:eastAsia="黑体"/>
          <w:b/>
          <w:bCs/>
          <w:szCs w:val="21"/>
          <w:highlight w:val="none"/>
        </w:rPr>
      </w:pPr>
    </w:p>
    <w:p w14:paraId="37F3CAE7">
      <w:pPr>
        <w:widowControl/>
        <w:jc w:val="left"/>
        <w:rPr>
          <w:rFonts w:hint="eastAsia" w:ascii="黑体" w:hAnsi="黑体" w:eastAsia="黑体"/>
          <w:b/>
          <w:bCs/>
          <w:szCs w:val="21"/>
          <w:highlight w:val="none"/>
        </w:rPr>
      </w:pPr>
    </w:p>
    <w:p w14:paraId="2B5C39A4">
      <w:pPr>
        <w:adjustRightInd w:val="0"/>
        <w:snapToGrid w:val="0"/>
        <w:spacing w:line="360" w:lineRule="auto"/>
        <w:ind w:firstLine="480" w:firstLineChars="200"/>
        <w:jc w:val="center"/>
        <w:rPr>
          <w:rFonts w:ascii="宋体" w:hAnsi="宋体"/>
          <w:highlight w:val="none"/>
        </w:rPr>
      </w:pPr>
      <w:r>
        <w:rPr>
          <w:rFonts w:hint="eastAsia" w:ascii="宋体" w:hAnsi="宋体" w:cs="宋体"/>
          <w:sz w:val="24"/>
          <w:highlight w:val="none"/>
        </w:rPr>
        <w:br w:type="page"/>
      </w:r>
      <w:bookmarkStart w:id="65" w:name="_Toc450042251"/>
      <w:bookmarkStart w:id="66" w:name="_Toc375120975"/>
      <w:bookmarkStart w:id="67" w:name="_Toc348862338"/>
      <w:bookmarkStart w:id="68" w:name="_Toc282614043"/>
    </w:p>
    <w:p w14:paraId="6B3AD93D">
      <w:pPr>
        <w:pStyle w:val="71"/>
        <w:spacing w:before="120" w:beforeLines="50" w:after="120" w:afterLines="50" w:line="360" w:lineRule="auto"/>
        <w:rPr>
          <w:rFonts w:ascii="宋体" w:hAnsi="宋体" w:eastAsia="宋体"/>
          <w:szCs w:val="32"/>
          <w:highlight w:val="none"/>
        </w:rPr>
      </w:pPr>
      <w:r>
        <w:rPr>
          <w:rFonts w:hint="eastAsia" w:ascii="宋体" w:hAnsi="宋体" w:eastAsia="宋体"/>
          <w:highlight w:val="none"/>
        </w:rPr>
        <w:t>四、拟分包项目情况表</w:t>
      </w:r>
      <w:bookmarkEnd w:id="65"/>
      <w:bookmarkEnd w:id="66"/>
      <w:bookmarkEnd w:id="67"/>
    </w:p>
    <w:p w14:paraId="715CF3BB">
      <w:pPr>
        <w:jc w:val="center"/>
        <w:rPr>
          <w:rFonts w:ascii="黑体" w:eastAsia="黑体"/>
          <w:b/>
          <w:sz w:val="10"/>
          <w:szCs w:val="10"/>
          <w:highlight w:val="none"/>
        </w:rPr>
      </w:pPr>
    </w:p>
    <w:tbl>
      <w:tblPr>
        <w:tblStyle w:val="37"/>
        <w:tblW w:w="5008" w:type="pct"/>
        <w:tblInd w:w="0" w:type="dxa"/>
        <w:tblLayout w:type="autofit"/>
        <w:tblCellMar>
          <w:top w:w="0" w:type="dxa"/>
          <w:left w:w="0" w:type="dxa"/>
          <w:bottom w:w="0" w:type="dxa"/>
          <w:right w:w="0" w:type="dxa"/>
        </w:tblCellMar>
      </w:tblPr>
      <w:tblGrid>
        <w:gridCol w:w="1660"/>
        <w:gridCol w:w="1839"/>
        <w:gridCol w:w="1559"/>
        <w:gridCol w:w="2541"/>
        <w:gridCol w:w="1837"/>
      </w:tblGrid>
      <w:tr w14:paraId="0E247513">
        <w:tblPrEx>
          <w:tblCellMar>
            <w:top w:w="0" w:type="dxa"/>
            <w:left w:w="0" w:type="dxa"/>
            <w:bottom w:w="0" w:type="dxa"/>
            <w:right w:w="0" w:type="dxa"/>
          </w:tblCellMar>
        </w:tblPrEx>
        <w:trPr>
          <w:trHeight w:val="890" w:hRule="exact"/>
        </w:trPr>
        <w:tc>
          <w:tcPr>
            <w:tcW w:w="880" w:type="pct"/>
            <w:tcBorders>
              <w:top w:val="single" w:color="000000" w:sz="4" w:space="0"/>
              <w:left w:val="single" w:color="000000" w:sz="4" w:space="0"/>
              <w:bottom w:val="single" w:color="000000" w:sz="4" w:space="0"/>
              <w:right w:val="single" w:color="000000" w:sz="4" w:space="0"/>
            </w:tcBorders>
            <w:noWrap w:val="0"/>
            <w:vAlign w:val="center"/>
          </w:tcPr>
          <w:p w14:paraId="49EB7498">
            <w:pPr>
              <w:pStyle w:val="75"/>
              <w:spacing w:before="106"/>
              <w:ind w:left="2"/>
              <w:jc w:val="center"/>
              <w:rPr>
                <w:rFonts w:ascii="宋体" w:hAnsi="宋体" w:eastAsia="宋体" w:cs="宋体"/>
                <w:sz w:val="21"/>
                <w:szCs w:val="21"/>
                <w:highlight w:val="none"/>
              </w:rPr>
            </w:pPr>
            <w:r>
              <w:rPr>
                <w:rFonts w:ascii="宋体" w:hAnsi="宋体" w:eastAsia="宋体" w:cs="宋体"/>
                <w:spacing w:val="-1"/>
                <w:sz w:val="21"/>
                <w:szCs w:val="21"/>
                <w:highlight w:val="none"/>
              </w:rPr>
              <w:t>拟分包的工程</w:t>
            </w:r>
          </w:p>
          <w:p w14:paraId="03884A79">
            <w:pPr>
              <w:pStyle w:val="75"/>
              <w:spacing w:before="166"/>
              <w:ind w:left="2"/>
              <w:jc w:val="center"/>
              <w:rPr>
                <w:rFonts w:ascii="宋体" w:hAnsi="宋体" w:eastAsia="宋体" w:cs="宋体"/>
                <w:sz w:val="21"/>
                <w:szCs w:val="21"/>
                <w:highlight w:val="none"/>
              </w:rPr>
            </w:pPr>
            <w:r>
              <w:rPr>
                <w:rFonts w:ascii="宋体" w:hAnsi="宋体" w:eastAsia="宋体" w:cs="宋体"/>
                <w:sz w:val="21"/>
                <w:szCs w:val="21"/>
                <w:highlight w:val="none"/>
              </w:rPr>
              <w:t>项目</w:t>
            </w:r>
          </w:p>
        </w:tc>
        <w:tc>
          <w:tcPr>
            <w:tcW w:w="974" w:type="pct"/>
            <w:tcBorders>
              <w:top w:val="single" w:color="000000" w:sz="4" w:space="0"/>
              <w:left w:val="single" w:color="000000" w:sz="4" w:space="0"/>
              <w:bottom w:val="single" w:color="000000" w:sz="4" w:space="0"/>
              <w:right w:val="single" w:color="000000" w:sz="4" w:space="0"/>
            </w:tcBorders>
            <w:noWrap w:val="0"/>
            <w:vAlign w:val="center"/>
          </w:tcPr>
          <w:p w14:paraId="3C01F06F">
            <w:pPr>
              <w:pStyle w:val="75"/>
              <w:ind w:left="284"/>
              <w:jc w:val="center"/>
              <w:rPr>
                <w:rFonts w:ascii="宋体" w:hAnsi="宋体" w:eastAsia="宋体" w:cs="宋体"/>
                <w:sz w:val="21"/>
                <w:szCs w:val="21"/>
                <w:highlight w:val="none"/>
              </w:rPr>
            </w:pPr>
            <w:r>
              <w:rPr>
                <w:rFonts w:ascii="宋体" w:hAnsi="宋体" w:eastAsia="宋体" w:cs="宋体"/>
                <w:spacing w:val="-2"/>
                <w:sz w:val="21"/>
                <w:szCs w:val="21"/>
                <w:highlight w:val="none"/>
              </w:rPr>
              <w:t>主要工程内容</w:t>
            </w:r>
          </w:p>
        </w:tc>
        <w:tc>
          <w:tcPr>
            <w:tcW w:w="825" w:type="pct"/>
            <w:tcBorders>
              <w:top w:val="single" w:color="000000" w:sz="4" w:space="0"/>
              <w:left w:val="single" w:color="000000" w:sz="4" w:space="0"/>
              <w:bottom w:val="single" w:color="000000" w:sz="4" w:space="0"/>
              <w:right w:val="single" w:color="000000" w:sz="4" w:space="0"/>
            </w:tcBorders>
            <w:noWrap w:val="0"/>
            <w:vAlign w:val="center"/>
          </w:tcPr>
          <w:p w14:paraId="411F8DB7">
            <w:pPr>
              <w:pStyle w:val="75"/>
              <w:ind w:left="140"/>
              <w:jc w:val="center"/>
              <w:rPr>
                <w:rFonts w:ascii="宋体" w:hAnsi="宋体" w:eastAsia="宋体" w:cs="宋体"/>
                <w:sz w:val="21"/>
                <w:szCs w:val="21"/>
                <w:highlight w:val="none"/>
              </w:rPr>
            </w:pPr>
            <w:r>
              <w:rPr>
                <w:rFonts w:hint="eastAsia" w:ascii="宋体" w:hAnsi="宋体" w:eastAsia="宋体" w:cs="宋体"/>
                <w:spacing w:val="-2"/>
                <w:sz w:val="21"/>
                <w:szCs w:val="21"/>
                <w:highlight w:val="none"/>
                <w:lang w:eastAsia="zh-CN"/>
              </w:rPr>
              <w:t>工作</w:t>
            </w:r>
            <w:r>
              <w:rPr>
                <w:rFonts w:ascii="宋体" w:hAnsi="宋体" w:eastAsia="宋体" w:cs="宋体"/>
                <w:spacing w:val="-2"/>
                <w:sz w:val="21"/>
                <w:szCs w:val="21"/>
                <w:highlight w:val="none"/>
              </w:rPr>
              <w:t>任务</w:t>
            </w:r>
          </w:p>
        </w:tc>
        <w:tc>
          <w:tcPr>
            <w:tcW w:w="1346" w:type="pct"/>
            <w:tcBorders>
              <w:top w:val="single" w:color="000000" w:sz="4" w:space="0"/>
              <w:left w:val="single" w:color="000000" w:sz="4" w:space="0"/>
              <w:bottom w:val="single" w:color="000000" w:sz="4" w:space="0"/>
              <w:right w:val="single" w:color="000000" w:sz="4" w:space="0"/>
            </w:tcBorders>
            <w:noWrap w:val="0"/>
            <w:vAlign w:val="center"/>
          </w:tcPr>
          <w:p w14:paraId="1B609555">
            <w:pPr>
              <w:pStyle w:val="75"/>
              <w:spacing w:before="106"/>
              <w:jc w:val="center"/>
              <w:rPr>
                <w:rFonts w:ascii="宋体" w:hAnsi="宋体" w:eastAsia="宋体" w:cs="宋体"/>
                <w:sz w:val="21"/>
                <w:szCs w:val="21"/>
                <w:highlight w:val="none"/>
                <w:lang w:eastAsia="zh-CN"/>
              </w:rPr>
            </w:pPr>
            <w:r>
              <w:rPr>
                <w:rFonts w:ascii="宋体" w:hAnsi="宋体" w:eastAsia="宋体" w:cs="宋体"/>
                <w:spacing w:val="-2"/>
                <w:sz w:val="21"/>
                <w:szCs w:val="21"/>
                <w:highlight w:val="none"/>
                <w:lang w:eastAsia="zh-CN"/>
              </w:rPr>
              <w:t>分包工作量占总工作量的</w:t>
            </w:r>
          </w:p>
          <w:p w14:paraId="76EF87D3">
            <w:pPr>
              <w:pStyle w:val="75"/>
              <w:spacing w:before="131"/>
              <w:ind w:right="1"/>
              <w:jc w:val="center"/>
              <w:rPr>
                <w:rFonts w:ascii="宋体" w:hAnsi="宋体" w:eastAsia="宋体" w:cs="宋体"/>
                <w:sz w:val="24"/>
                <w:szCs w:val="24"/>
                <w:highlight w:val="none"/>
              </w:rPr>
            </w:pPr>
            <w:r>
              <w:rPr>
                <w:rFonts w:ascii="宋体" w:hAnsi="宋体" w:eastAsia="宋体" w:cs="宋体"/>
                <w:spacing w:val="-1"/>
                <w:sz w:val="21"/>
                <w:szCs w:val="21"/>
                <w:highlight w:val="none"/>
              </w:rPr>
              <w:t>比例</w:t>
            </w:r>
            <w:r>
              <w:rPr>
                <w:rFonts w:ascii="宋体" w:hAnsi="宋体" w:eastAsia="宋体" w:cs="宋体"/>
                <w:spacing w:val="-1"/>
                <w:sz w:val="24"/>
                <w:szCs w:val="24"/>
                <w:highlight w:val="none"/>
              </w:rPr>
              <w:t>（</w:t>
            </w:r>
            <w:r>
              <w:rPr>
                <w:rFonts w:ascii="Times New Roman" w:hAnsi="Times New Roman" w:eastAsia="Times New Roman"/>
                <w:spacing w:val="-1"/>
                <w:sz w:val="24"/>
                <w:szCs w:val="24"/>
                <w:highlight w:val="none"/>
              </w:rPr>
              <w:t>%</w:t>
            </w:r>
            <w:r>
              <w:rPr>
                <w:rFonts w:ascii="宋体" w:hAnsi="宋体" w:eastAsia="宋体" w:cs="宋体"/>
                <w:spacing w:val="-1"/>
                <w:sz w:val="24"/>
                <w:szCs w:val="24"/>
                <w:highlight w:val="none"/>
              </w:rPr>
              <w:t>）</w:t>
            </w:r>
          </w:p>
        </w:tc>
        <w:tc>
          <w:tcPr>
            <w:tcW w:w="973" w:type="pct"/>
            <w:tcBorders>
              <w:top w:val="single" w:color="000000" w:sz="4" w:space="0"/>
              <w:left w:val="single" w:color="000000" w:sz="4" w:space="0"/>
              <w:bottom w:val="single" w:color="000000" w:sz="4" w:space="0"/>
              <w:right w:val="single" w:color="000000" w:sz="4" w:space="0"/>
            </w:tcBorders>
            <w:noWrap w:val="0"/>
            <w:vAlign w:val="center"/>
          </w:tcPr>
          <w:p w14:paraId="56165A12">
            <w:pPr>
              <w:pStyle w:val="75"/>
              <w:jc w:val="center"/>
              <w:rPr>
                <w:rFonts w:ascii="宋体" w:hAnsi="宋体" w:eastAsia="宋体" w:cs="宋体"/>
                <w:sz w:val="21"/>
                <w:szCs w:val="21"/>
                <w:highlight w:val="none"/>
              </w:rPr>
            </w:pPr>
            <w:r>
              <w:rPr>
                <w:rFonts w:ascii="宋体" w:hAnsi="宋体" w:eastAsia="宋体" w:cs="宋体"/>
                <w:sz w:val="21"/>
                <w:szCs w:val="21"/>
                <w:highlight w:val="none"/>
              </w:rPr>
              <w:t>备 注</w:t>
            </w:r>
          </w:p>
        </w:tc>
      </w:tr>
      <w:tr w14:paraId="1460E90F">
        <w:tblPrEx>
          <w:tblCellMar>
            <w:top w:w="0" w:type="dxa"/>
            <w:left w:w="0" w:type="dxa"/>
            <w:bottom w:w="0" w:type="dxa"/>
            <w:right w:w="0" w:type="dxa"/>
          </w:tblCellMar>
        </w:tblPrEx>
        <w:trPr>
          <w:trHeight w:val="45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6E33181C">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6EB0E266">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600330F7">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3D0449A3">
            <w:pPr>
              <w:rPr>
                <w:highlight w:val="none"/>
              </w:rPr>
            </w:pPr>
          </w:p>
        </w:tc>
        <w:tc>
          <w:tcPr>
            <w:tcW w:w="973" w:type="pct"/>
            <w:vMerge w:val="restart"/>
            <w:tcBorders>
              <w:top w:val="single" w:color="000000" w:sz="4" w:space="0"/>
              <w:left w:val="single" w:color="000000" w:sz="4" w:space="0"/>
              <w:right w:val="single" w:color="000000" w:sz="4" w:space="0"/>
            </w:tcBorders>
            <w:noWrap w:val="0"/>
            <w:vAlign w:val="top"/>
          </w:tcPr>
          <w:p w14:paraId="033DF98E">
            <w:pPr>
              <w:pStyle w:val="75"/>
              <w:rPr>
                <w:rFonts w:ascii="黑体" w:hAnsi="黑体" w:eastAsia="黑体" w:cs="黑体"/>
                <w:highlight w:val="none"/>
                <w:lang w:eastAsia="zh-CN"/>
              </w:rPr>
            </w:pPr>
          </w:p>
          <w:p w14:paraId="1954DB56">
            <w:pPr>
              <w:pStyle w:val="75"/>
              <w:rPr>
                <w:rFonts w:ascii="黑体" w:hAnsi="黑体" w:eastAsia="黑体" w:cs="黑体"/>
                <w:highlight w:val="none"/>
                <w:lang w:eastAsia="zh-CN"/>
              </w:rPr>
            </w:pPr>
          </w:p>
          <w:p w14:paraId="6BD0D9CF">
            <w:pPr>
              <w:pStyle w:val="75"/>
              <w:rPr>
                <w:rFonts w:ascii="黑体" w:hAnsi="黑体" w:eastAsia="黑体" w:cs="黑体"/>
                <w:highlight w:val="none"/>
                <w:lang w:eastAsia="zh-CN"/>
              </w:rPr>
            </w:pPr>
          </w:p>
          <w:p w14:paraId="0831FE0A">
            <w:pPr>
              <w:pStyle w:val="75"/>
              <w:rPr>
                <w:rFonts w:ascii="黑体" w:hAnsi="黑体" w:eastAsia="黑体" w:cs="黑体"/>
                <w:highlight w:val="none"/>
                <w:lang w:eastAsia="zh-CN"/>
              </w:rPr>
            </w:pPr>
          </w:p>
          <w:p w14:paraId="5D677BF5">
            <w:pPr>
              <w:pStyle w:val="75"/>
              <w:rPr>
                <w:rFonts w:ascii="黑体" w:hAnsi="黑体" w:eastAsia="黑体" w:cs="黑体"/>
                <w:highlight w:val="none"/>
                <w:lang w:eastAsia="zh-CN"/>
              </w:rPr>
            </w:pPr>
          </w:p>
          <w:p w14:paraId="2BC27942">
            <w:pPr>
              <w:pStyle w:val="75"/>
              <w:rPr>
                <w:rFonts w:ascii="黑体" w:hAnsi="黑体" w:eastAsia="黑体" w:cs="黑体"/>
                <w:highlight w:val="none"/>
                <w:lang w:eastAsia="zh-CN"/>
              </w:rPr>
            </w:pPr>
          </w:p>
          <w:p w14:paraId="6CF048F5">
            <w:pPr>
              <w:pStyle w:val="75"/>
              <w:rPr>
                <w:rFonts w:ascii="黑体" w:hAnsi="黑体" w:eastAsia="黑体" w:cs="黑体"/>
                <w:highlight w:val="none"/>
                <w:lang w:eastAsia="zh-CN"/>
              </w:rPr>
            </w:pPr>
          </w:p>
          <w:p w14:paraId="0853ED44">
            <w:pPr>
              <w:pStyle w:val="75"/>
              <w:rPr>
                <w:rFonts w:ascii="黑体" w:hAnsi="黑体" w:eastAsia="黑体" w:cs="黑体"/>
                <w:highlight w:val="none"/>
                <w:lang w:eastAsia="zh-CN"/>
              </w:rPr>
            </w:pPr>
          </w:p>
          <w:p w14:paraId="3BF1C2FB">
            <w:pPr>
              <w:pStyle w:val="75"/>
              <w:rPr>
                <w:rFonts w:ascii="黑体" w:hAnsi="黑体" w:eastAsia="黑体" w:cs="黑体"/>
                <w:highlight w:val="none"/>
                <w:lang w:eastAsia="zh-CN"/>
              </w:rPr>
            </w:pPr>
          </w:p>
          <w:p w14:paraId="04C1114B">
            <w:pPr>
              <w:pStyle w:val="75"/>
              <w:rPr>
                <w:rFonts w:ascii="黑体" w:hAnsi="黑体" w:eastAsia="黑体" w:cs="黑体"/>
                <w:highlight w:val="none"/>
                <w:lang w:eastAsia="zh-CN"/>
              </w:rPr>
            </w:pPr>
          </w:p>
          <w:p w14:paraId="291C2953">
            <w:pPr>
              <w:pStyle w:val="75"/>
              <w:rPr>
                <w:rFonts w:ascii="黑体" w:hAnsi="黑体" w:eastAsia="黑体" w:cs="黑体"/>
                <w:highlight w:val="none"/>
                <w:lang w:eastAsia="zh-CN"/>
              </w:rPr>
            </w:pPr>
          </w:p>
          <w:p w14:paraId="640E5741">
            <w:pPr>
              <w:pStyle w:val="75"/>
              <w:rPr>
                <w:rFonts w:ascii="黑体" w:hAnsi="黑体" w:eastAsia="黑体" w:cs="黑体"/>
                <w:highlight w:val="none"/>
                <w:lang w:eastAsia="zh-CN"/>
              </w:rPr>
            </w:pPr>
          </w:p>
          <w:p w14:paraId="2CC1BA80">
            <w:pPr>
              <w:pStyle w:val="75"/>
              <w:rPr>
                <w:rFonts w:ascii="黑体" w:hAnsi="黑体" w:eastAsia="黑体" w:cs="黑体"/>
                <w:highlight w:val="none"/>
                <w:lang w:eastAsia="zh-CN"/>
              </w:rPr>
            </w:pPr>
          </w:p>
          <w:p w14:paraId="41B27574">
            <w:pPr>
              <w:pStyle w:val="75"/>
              <w:rPr>
                <w:rFonts w:ascii="黑体" w:hAnsi="黑体" w:eastAsia="黑体" w:cs="黑体"/>
                <w:highlight w:val="none"/>
                <w:lang w:eastAsia="zh-CN"/>
              </w:rPr>
            </w:pPr>
          </w:p>
          <w:p w14:paraId="0163E768">
            <w:pPr>
              <w:pStyle w:val="75"/>
              <w:spacing w:before="173" w:line="349" w:lineRule="auto"/>
              <w:ind w:left="102" w:right="98"/>
              <w:jc w:val="both"/>
              <w:rPr>
                <w:rFonts w:ascii="宋体" w:hAnsi="宋体" w:eastAsia="宋体" w:cs="宋体"/>
                <w:spacing w:val="-53"/>
                <w:sz w:val="21"/>
                <w:szCs w:val="21"/>
                <w:highlight w:val="none"/>
                <w:lang w:eastAsia="zh-CN"/>
              </w:rPr>
            </w:pPr>
            <w:r>
              <w:rPr>
                <w:rFonts w:ascii="宋体" w:hAnsi="宋体" w:eastAsia="宋体" w:cs="宋体"/>
                <w:sz w:val="21"/>
                <w:szCs w:val="21"/>
                <w:highlight w:val="none"/>
                <w:lang w:eastAsia="zh-CN"/>
              </w:rPr>
              <w:t>若无</w:t>
            </w:r>
            <w:r>
              <w:rPr>
                <w:rFonts w:ascii="宋体" w:hAnsi="宋体" w:eastAsia="宋体" w:cs="宋体"/>
                <w:spacing w:val="-3"/>
                <w:sz w:val="21"/>
                <w:szCs w:val="21"/>
                <w:highlight w:val="none"/>
                <w:lang w:eastAsia="zh-CN"/>
              </w:rPr>
              <w:t>分</w:t>
            </w:r>
            <w:r>
              <w:rPr>
                <w:rFonts w:ascii="宋体" w:hAnsi="宋体" w:eastAsia="宋体" w:cs="宋体"/>
                <w:sz w:val="21"/>
                <w:szCs w:val="21"/>
                <w:highlight w:val="none"/>
                <w:lang w:eastAsia="zh-CN"/>
              </w:rPr>
              <w:t>包</w:t>
            </w:r>
            <w:r>
              <w:rPr>
                <w:rFonts w:ascii="宋体" w:hAnsi="宋体" w:eastAsia="宋体" w:cs="宋体"/>
                <w:spacing w:val="-3"/>
                <w:sz w:val="21"/>
                <w:szCs w:val="21"/>
                <w:highlight w:val="none"/>
                <w:lang w:eastAsia="zh-CN"/>
              </w:rPr>
              <w:t>计划</w:t>
            </w:r>
            <w:r>
              <w:rPr>
                <w:rFonts w:ascii="宋体" w:hAnsi="宋体" w:eastAsia="宋体" w:cs="宋体"/>
                <w:spacing w:val="-53"/>
                <w:sz w:val="21"/>
                <w:szCs w:val="21"/>
                <w:highlight w:val="none"/>
                <w:lang w:eastAsia="zh-CN"/>
              </w:rPr>
              <w:t>，</w:t>
            </w:r>
            <w:r>
              <w:rPr>
                <w:rFonts w:hint="eastAsia" w:ascii="宋体" w:hAnsi="宋体" w:eastAsia="宋体" w:cs="宋体"/>
                <w:spacing w:val="-53"/>
                <w:sz w:val="21"/>
                <w:szCs w:val="21"/>
                <w:highlight w:val="none"/>
                <w:lang w:eastAsia="zh-CN"/>
              </w:rPr>
              <w:t>则</w:t>
            </w:r>
          </w:p>
          <w:p w14:paraId="14B41FC5">
            <w:pPr>
              <w:pStyle w:val="75"/>
              <w:spacing w:before="173" w:line="349" w:lineRule="auto"/>
              <w:ind w:left="102" w:right="98"/>
              <w:jc w:val="both"/>
              <w:rPr>
                <w:rFonts w:ascii="Times New Roman" w:hAnsi="Times New Roman" w:eastAsia="Times New Roman"/>
                <w:sz w:val="21"/>
                <w:szCs w:val="21"/>
                <w:highlight w:val="none"/>
                <w:lang w:eastAsia="zh-CN"/>
              </w:rPr>
            </w:pPr>
            <w:r>
              <w:rPr>
                <w:rFonts w:ascii="宋体" w:hAnsi="宋体" w:eastAsia="宋体" w:cs="宋体"/>
                <w:sz w:val="21"/>
                <w:szCs w:val="21"/>
                <w:highlight w:val="none"/>
                <w:lang w:eastAsia="zh-CN"/>
              </w:rPr>
              <w:t>投</w:t>
            </w:r>
            <w:r>
              <w:rPr>
                <w:rFonts w:ascii="宋体" w:hAnsi="宋体" w:eastAsia="宋体" w:cs="宋体"/>
                <w:spacing w:val="11"/>
                <w:sz w:val="21"/>
                <w:szCs w:val="21"/>
                <w:highlight w:val="none"/>
                <w:lang w:eastAsia="zh-CN"/>
              </w:rPr>
              <w:t>标人</w:t>
            </w:r>
            <w:r>
              <w:rPr>
                <w:rFonts w:ascii="宋体" w:hAnsi="宋体" w:eastAsia="宋体" w:cs="宋体"/>
                <w:spacing w:val="15"/>
                <w:sz w:val="21"/>
                <w:szCs w:val="21"/>
                <w:highlight w:val="none"/>
                <w:lang w:eastAsia="zh-CN"/>
              </w:rPr>
              <w:t>应在本</w:t>
            </w:r>
            <w:r>
              <w:rPr>
                <w:rFonts w:ascii="宋体" w:hAnsi="宋体" w:eastAsia="宋体" w:cs="宋体"/>
                <w:sz w:val="21"/>
                <w:szCs w:val="21"/>
                <w:highlight w:val="none"/>
                <w:lang w:eastAsia="zh-CN"/>
              </w:rPr>
              <w:t>表</w:t>
            </w:r>
            <w:r>
              <w:rPr>
                <w:rFonts w:ascii="宋体" w:hAnsi="宋体" w:eastAsia="宋体" w:cs="宋体"/>
                <w:spacing w:val="-1"/>
                <w:sz w:val="21"/>
                <w:szCs w:val="21"/>
                <w:highlight w:val="none"/>
                <w:lang w:eastAsia="zh-CN"/>
              </w:rPr>
              <w:t>填写</w:t>
            </w:r>
            <w:r>
              <w:rPr>
                <w:rFonts w:ascii="Times New Roman" w:hAnsi="Times New Roman" w:eastAsia="Times New Roman"/>
                <w:spacing w:val="-1"/>
                <w:sz w:val="21"/>
                <w:szCs w:val="21"/>
                <w:highlight w:val="none"/>
                <w:lang w:eastAsia="zh-CN"/>
              </w:rPr>
              <w:t>“</w:t>
            </w:r>
            <w:r>
              <w:rPr>
                <w:rFonts w:ascii="宋体" w:hAnsi="宋体" w:eastAsia="宋体" w:cs="宋体"/>
                <w:spacing w:val="-1"/>
                <w:sz w:val="21"/>
                <w:szCs w:val="21"/>
                <w:highlight w:val="none"/>
                <w:lang w:eastAsia="zh-CN"/>
              </w:rPr>
              <w:t>无</w:t>
            </w:r>
            <w:r>
              <w:rPr>
                <w:rFonts w:ascii="Times New Roman" w:hAnsi="Times New Roman" w:eastAsia="Times New Roman"/>
                <w:spacing w:val="-1"/>
                <w:sz w:val="21"/>
                <w:szCs w:val="21"/>
                <w:highlight w:val="none"/>
                <w:lang w:eastAsia="zh-CN"/>
              </w:rPr>
              <w:t>”</w:t>
            </w:r>
          </w:p>
        </w:tc>
      </w:tr>
      <w:tr w14:paraId="7218A715">
        <w:tblPrEx>
          <w:tblCellMar>
            <w:top w:w="0" w:type="dxa"/>
            <w:left w:w="0" w:type="dxa"/>
            <w:bottom w:w="0" w:type="dxa"/>
            <w:right w:w="0" w:type="dxa"/>
          </w:tblCellMar>
        </w:tblPrEx>
        <w:trPr>
          <w:trHeight w:val="569"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4CFAAE9B">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6D397225">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6E4A7815">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6F096868">
            <w:pPr>
              <w:rPr>
                <w:highlight w:val="none"/>
              </w:rPr>
            </w:pPr>
          </w:p>
        </w:tc>
        <w:tc>
          <w:tcPr>
            <w:tcW w:w="973" w:type="pct"/>
            <w:vMerge w:val="continue"/>
            <w:tcBorders>
              <w:left w:val="single" w:color="000000" w:sz="4" w:space="0"/>
              <w:right w:val="single" w:color="000000" w:sz="4" w:space="0"/>
            </w:tcBorders>
            <w:noWrap w:val="0"/>
            <w:vAlign w:val="top"/>
          </w:tcPr>
          <w:p w14:paraId="2B7C0EDA">
            <w:pPr>
              <w:rPr>
                <w:highlight w:val="none"/>
              </w:rPr>
            </w:pPr>
          </w:p>
        </w:tc>
      </w:tr>
      <w:tr w14:paraId="40543808">
        <w:tblPrEx>
          <w:tblCellMar>
            <w:top w:w="0" w:type="dxa"/>
            <w:left w:w="0" w:type="dxa"/>
            <w:bottom w:w="0" w:type="dxa"/>
            <w:right w:w="0" w:type="dxa"/>
          </w:tblCellMar>
        </w:tblPrEx>
        <w:trPr>
          <w:trHeight w:val="46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59FBFB24">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1DDD1F91">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28E8D575">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57F605BA">
            <w:pPr>
              <w:rPr>
                <w:highlight w:val="none"/>
              </w:rPr>
            </w:pPr>
          </w:p>
        </w:tc>
        <w:tc>
          <w:tcPr>
            <w:tcW w:w="973" w:type="pct"/>
            <w:vMerge w:val="continue"/>
            <w:tcBorders>
              <w:left w:val="single" w:color="000000" w:sz="4" w:space="0"/>
              <w:right w:val="single" w:color="000000" w:sz="4" w:space="0"/>
            </w:tcBorders>
            <w:noWrap w:val="0"/>
            <w:vAlign w:val="top"/>
          </w:tcPr>
          <w:p w14:paraId="73CDD0FD">
            <w:pPr>
              <w:rPr>
                <w:highlight w:val="none"/>
              </w:rPr>
            </w:pPr>
          </w:p>
        </w:tc>
      </w:tr>
      <w:tr w14:paraId="770F6E21">
        <w:tblPrEx>
          <w:tblCellMar>
            <w:top w:w="0" w:type="dxa"/>
            <w:left w:w="0" w:type="dxa"/>
            <w:bottom w:w="0" w:type="dxa"/>
            <w:right w:w="0" w:type="dxa"/>
          </w:tblCellMar>
        </w:tblPrEx>
        <w:trPr>
          <w:trHeight w:val="449"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4AD6E96D">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4DA31D8A">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7ECC32E4">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5B63F72F">
            <w:pPr>
              <w:rPr>
                <w:highlight w:val="none"/>
              </w:rPr>
            </w:pPr>
          </w:p>
        </w:tc>
        <w:tc>
          <w:tcPr>
            <w:tcW w:w="973" w:type="pct"/>
            <w:vMerge w:val="continue"/>
            <w:tcBorders>
              <w:left w:val="single" w:color="000000" w:sz="4" w:space="0"/>
              <w:right w:val="single" w:color="000000" w:sz="4" w:space="0"/>
            </w:tcBorders>
            <w:noWrap w:val="0"/>
            <w:vAlign w:val="top"/>
          </w:tcPr>
          <w:p w14:paraId="322E7538">
            <w:pPr>
              <w:rPr>
                <w:highlight w:val="none"/>
              </w:rPr>
            </w:pPr>
          </w:p>
        </w:tc>
      </w:tr>
      <w:tr w14:paraId="7A61F7A5">
        <w:tblPrEx>
          <w:tblCellMar>
            <w:top w:w="0" w:type="dxa"/>
            <w:left w:w="0" w:type="dxa"/>
            <w:bottom w:w="0" w:type="dxa"/>
            <w:right w:w="0" w:type="dxa"/>
          </w:tblCellMar>
        </w:tblPrEx>
        <w:trPr>
          <w:trHeight w:val="600"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077FE667">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55010FC6">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5FBA6B4F">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0BEEB8C4">
            <w:pPr>
              <w:rPr>
                <w:highlight w:val="none"/>
              </w:rPr>
            </w:pPr>
          </w:p>
        </w:tc>
        <w:tc>
          <w:tcPr>
            <w:tcW w:w="973" w:type="pct"/>
            <w:vMerge w:val="continue"/>
            <w:tcBorders>
              <w:left w:val="single" w:color="000000" w:sz="4" w:space="0"/>
              <w:right w:val="single" w:color="000000" w:sz="4" w:space="0"/>
            </w:tcBorders>
            <w:noWrap w:val="0"/>
            <w:vAlign w:val="top"/>
          </w:tcPr>
          <w:p w14:paraId="4483783A">
            <w:pPr>
              <w:rPr>
                <w:highlight w:val="none"/>
              </w:rPr>
            </w:pPr>
          </w:p>
        </w:tc>
      </w:tr>
      <w:tr w14:paraId="7AE11A56">
        <w:tblPrEx>
          <w:tblCellMar>
            <w:top w:w="0" w:type="dxa"/>
            <w:left w:w="0" w:type="dxa"/>
            <w:bottom w:w="0" w:type="dxa"/>
            <w:right w:w="0" w:type="dxa"/>
          </w:tblCellMar>
        </w:tblPrEx>
        <w:trPr>
          <w:trHeight w:val="46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06D00D0B">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7529DD57">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58B2DC69">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3ABC76AE">
            <w:pPr>
              <w:rPr>
                <w:highlight w:val="none"/>
              </w:rPr>
            </w:pPr>
          </w:p>
        </w:tc>
        <w:tc>
          <w:tcPr>
            <w:tcW w:w="973" w:type="pct"/>
            <w:vMerge w:val="continue"/>
            <w:tcBorders>
              <w:left w:val="single" w:color="000000" w:sz="4" w:space="0"/>
              <w:right w:val="single" w:color="000000" w:sz="4" w:space="0"/>
            </w:tcBorders>
            <w:noWrap w:val="0"/>
            <w:vAlign w:val="top"/>
          </w:tcPr>
          <w:p w14:paraId="46D9BC65">
            <w:pPr>
              <w:rPr>
                <w:highlight w:val="none"/>
              </w:rPr>
            </w:pPr>
          </w:p>
        </w:tc>
      </w:tr>
      <w:tr w14:paraId="0202112C">
        <w:tblPrEx>
          <w:tblCellMar>
            <w:top w:w="0" w:type="dxa"/>
            <w:left w:w="0" w:type="dxa"/>
            <w:bottom w:w="0" w:type="dxa"/>
            <w:right w:w="0" w:type="dxa"/>
          </w:tblCellMar>
        </w:tblPrEx>
        <w:trPr>
          <w:trHeight w:val="46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19593382">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5293CF4C">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32EF3052">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7C0E0193">
            <w:pPr>
              <w:rPr>
                <w:highlight w:val="none"/>
              </w:rPr>
            </w:pPr>
          </w:p>
        </w:tc>
        <w:tc>
          <w:tcPr>
            <w:tcW w:w="973" w:type="pct"/>
            <w:vMerge w:val="continue"/>
            <w:tcBorders>
              <w:left w:val="single" w:color="000000" w:sz="4" w:space="0"/>
              <w:right w:val="single" w:color="000000" w:sz="4" w:space="0"/>
            </w:tcBorders>
            <w:noWrap w:val="0"/>
            <w:vAlign w:val="top"/>
          </w:tcPr>
          <w:p w14:paraId="75C5FF44">
            <w:pPr>
              <w:rPr>
                <w:highlight w:val="none"/>
              </w:rPr>
            </w:pPr>
          </w:p>
        </w:tc>
      </w:tr>
      <w:tr w14:paraId="0835844B">
        <w:tblPrEx>
          <w:tblCellMar>
            <w:top w:w="0" w:type="dxa"/>
            <w:left w:w="0" w:type="dxa"/>
            <w:bottom w:w="0" w:type="dxa"/>
            <w:right w:w="0" w:type="dxa"/>
          </w:tblCellMar>
        </w:tblPrEx>
        <w:trPr>
          <w:trHeight w:val="458"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148B3283">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0E574897">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2CC44D15">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6AA718FD">
            <w:pPr>
              <w:rPr>
                <w:highlight w:val="none"/>
              </w:rPr>
            </w:pPr>
          </w:p>
        </w:tc>
        <w:tc>
          <w:tcPr>
            <w:tcW w:w="973" w:type="pct"/>
            <w:vMerge w:val="continue"/>
            <w:tcBorders>
              <w:left w:val="single" w:color="000000" w:sz="4" w:space="0"/>
              <w:right w:val="single" w:color="000000" w:sz="4" w:space="0"/>
            </w:tcBorders>
            <w:noWrap w:val="0"/>
            <w:vAlign w:val="top"/>
          </w:tcPr>
          <w:p w14:paraId="113FCC4E">
            <w:pPr>
              <w:rPr>
                <w:highlight w:val="none"/>
              </w:rPr>
            </w:pPr>
          </w:p>
        </w:tc>
      </w:tr>
      <w:tr w14:paraId="3C86D178">
        <w:tblPrEx>
          <w:tblCellMar>
            <w:top w:w="0" w:type="dxa"/>
            <w:left w:w="0" w:type="dxa"/>
            <w:bottom w:w="0" w:type="dxa"/>
            <w:right w:w="0" w:type="dxa"/>
          </w:tblCellMar>
        </w:tblPrEx>
        <w:trPr>
          <w:trHeight w:val="46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3A80B9ED">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5F00D64F">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57F88E9F">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36580BFC">
            <w:pPr>
              <w:rPr>
                <w:highlight w:val="none"/>
              </w:rPr>
            </w:pPr>
          </w:p>
        </w:tc>
        <w:tc>
          <w:tcPr>
            <w:tcW w:w="973" w:type="pct"/>
            <w:vMerge w:val="continue"/>
            <w:tcBorders>
              <w:left w:val="single" w:color="000000" w:sz="4" w:space="0"/>
              <w:right w:val="single" w:color="000000" w:sz="4" w:space="0"/>
            </w:tcBorders>
            <w:noWrap w:val="0"/>
            <w:vAlign w:val="top"/>
          </w:tcPr>
          <w:p w14:paraId="45B5871C">
            <w:pPr>
              <w:rPr>
                <w:highlight w:val="none"/>
              </w:rPr>
            </w:pPr>
          </w:p>
        </w:tc>
      </w:tr>
      <w:tr w14:paraId="3C66F53F">
        <w:tblPrEx>
          <w:tblCellMar>
            <w:top w:w="0" w:type="dxa"/>
            <w:left w:w="0" w:type="dxa"/>
            <w:bottom w:w="0" w:type="dxa"/>
            <w:right w:w="0" w:type="dxa"/>
          </w:tblCellMar>
        </w:tblPrEx>
        <w:trPr>
          <w:trHeight w:val="46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0299148F">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165EF59B">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20252347">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3BEAD3BE">
            <w:pPr>
              <w:rPr>
                <w:highlight w:val="none"/>
              </w:rPr>
            </w:pPr>
          </w:p>
        </w:tc>
        <w:tc>
          <w:tcPr>
            <w:tcW w:w="973" w:type="pct"/>
            <w:vMerge w:val="continue"/>
            <w:tcBorders>
              <w:left w:val="single" w:color="000000" w:sz="4" w:space="0"/>
              <w:right w:val="single" w:color="000000" w:sz="4" w:space="0"/>
            </w:tcBorders>
            <w:noWrap w:val="0"/>
            <w:vAlign w:val="top"/>
          </w:tcPr>
          <w:p w14:paraId="5BBCA7C3">
            <w:pPr>
              <w:rPr>
                <w:highlight w:val="none"/>
              </w:rPr>
            </w:pPr>
          </w:p>
        </w:tc>
      </w:tr>
      <w:tr w14:paraId="6900EC91">
        <w:tblPrEx>
          <w:tblCellMar>
            <w:top w:w="0" w:type="dxa"/>
            <w:left w:w="0" w:type="dxa"/>
            <w:bottom w:w="0" w:type="dxa"/>
            <w:right w:w="0" w:type="dxa"/>
          </w:tblCellMar>
        </w:tblPrEx>
        <w:trPr>
          <w:trHeight w:val="459"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1CEB8D35">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1F8C1BDF">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59FFE309">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7F9E4476">
            <w:pPr>
              <w:rPr>
                <w:highlight w:val="none"/>
              </w:rPr>
            </w:pPr>
          </w:p>
        </w:tc>
        <w:tc>
          <w:tcPr>
            <w:tcW w:w="973" w:type="pct"/>
            <w:vMerge w:val="continue"/>
            <w:tcBorders>
              <w:left w:val="single" w:color="000000" w:sz="4" w:space="0"/>
              <w:right w:val="single" w:color="000000" w:sz="4" w:space="0"/>
            </w:tcBorders>
            <w:noWrap w:val="0"/>
            <w:vAlign w:val="top"/>
          </w:tcPr>
          <w:p w14:paraId="0785B3B8">
            <w:pPr>
              <w:rPr>
                <w:highlight w:val="none"/>
              </w:rPr>
            </w:pPr>
          </w:p>
        </w:tc>
      </w:tr>
      <w:tr w14:paraId="524BF9E6">
        <w:tblPrEx>
          <w:tblCellMar>
            <w:top w:w="0" w:type="dxa"/>
            <w:left w:w="0" w:type="dxa"/>
            <w:bottom w:w="0" w:type="dxa"/>
            <w:right w:w="0" w:type="dxa"/>
          </w:tblCellMar>
        </w:tblPrEx>
        <w:trPr>
          <w:trHeight w:val="46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02FB1B34">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63D3ACFF">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13223FBF">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3C577BDB">
            <w:pPr>
              <w:rPr>
                <w:highlight w:val="none"/>
              </w:rPr>
            </w:pPr>
          </w:p>
        </w:tc>
        <w:tc>
          <w:tcPr>
            <w:tcW w:w="973" w:type="pct"/>
            <w:vMerge w:val="continue"/>
            <w:tcBorders>
              <w:left w:val="single" w:color="000000" w:sz="4" w:space="0"/>
              <w:right w:val="single" w:color="000000" w:sz="4" w:space="0"/>
            </w:tcBorders>
            <w:noWrap w:val="0"/>
            <w:vAlign w:val="top"/>
          </w:tcPr>
          <w:p w14:paraId="4A19CA76">
            <w:pPr>
              <w:rPr>
                <w:highlight w:val="none"/>
              </w:rPr>
            </w:pPr>
          </w:p>
        </w:tc>
      </w:tr>
      <w:tr w14:paraId="144B7EF1">
        <w:tblPrEx>
          <w:tblCellMar>
            <w:top w:w="0" w:type="dxa"/>
            <w:left w:w="0" w:type="dxa"/>
            <w:bottom w:w="0" w:type="dxa"/>
            <w:right w:w="0" w:type="dxa"/>
          </w:tblCellMar>
        </w:tblPrEx>
        <w:trPr>
          <w:trHeight w:val="46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575895E2">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2E876C8C">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3D28D56B">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62926579">
            <w:pPr>
              <w:rPr>
                <w:highlight w:val="none"/>
              </w:rPr>
            </w:pPr>
          </w:p>
        </w:tc>
        <w:tc>
          <w:tcPr>
            <w:tcW w:w="973" w:type="pct"/>
            <w:vMerge w:val="continue"/>
            <w:tcBorders>
              <w:left w:val="single" w:color="000000" w:sz="4" w:space="0"/>
              <w:right w:val="single" w:color="000000" w:sz="4" w:space="0"/>
            </w:tcBorders>
            <w:noWrap w:val="0"/>
            <w:vAlign w:val="top"/>
          </w:tcPr>
          <w:p w14:paraId="17890873">
            <w:pPr>
              <w:rPr>
                <w:highlight w:val="none"/>
              </w:rPr>
            </w:pPr>
          </w:p>
        </w:tc>
      </w:tr>
      <w:tr w14:paraId="42E3B221">
        <w:trPr>
          <w:trHeight w:val="458"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7D43FB47">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6C9FDFC1">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73BE513F">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3D6A6490">
            <w:pPr>
              <w:rPr>
                <w:highlight w:val="none"/>
              </w:rPr>
            </w:pPr>
          </w:p>
        </w:tc>
        <w:tc>
          <w:tcPr>
            <w:tcW w:w="973" w:type="pct"/>
            <w:vMerge w:val="continue"/>
            <w:tcBorders>
              <w:left w:val="single" w:color="000000" w:sz="4" w:space="0"/>
              <w:right w:val="single" w:color="000000" w:sz="4" w:space="0"/>
            </w:tcBorders>
            <w:noWrap w:val="0"/>
            <w:vAlign w:val="top"/>
          </w:tcPr>
          <w:p w14:paraId="2819E46A">
            <w:pPr>
              <w:rPr>
                <w:highlight w:val="none"/>
              </w:rPr>
            </w:pPr>
          </w:p>
        </w:tc>
      </w:tr>
      <w:tr w14:paraId="616CBCB2">
        <w:tblPrEx>
          <w:tblCellMar>
            <w:top w:w="0" w:type="dxa"/>
            <w:left w:w="0" w:type="dxa"/>
            <w:bottom w:w="0" w:type="dxa"/>
            <w:right w:w="0" w:type="dxa"/>
          </w:tblCellMar>
        </w:tblPrEx>
        <w:trPr>
          <w:trHeight w:val="46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443C96FA">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228BCCE0">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62D63CCF">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17A6E1E3">
            <w:pPr>
              <w:rPr>
                <w:highlight w:val="none"/>
              </w:rPr>
            </w:pPr>
          </w:p>
        </w:tc>
        <w:tc>
          <w:tcPr>
            <w:tcW w:w="973" w:type="pct"/>
            <w:vMerge w:val="continue"/>
            <w:tcBorders>
              <w:left w:val="single" w:color="000000" w:sz="4" w:space="0"/>
              <w:right w:val="single" w:color="000000" w:sz="4" w:space="0"/>
            </w:tcBorders>
            <w:noWrap w:val="0"/>
            <w:vAlign w:val="top"/>
          </w:tcPr>
          <w:p w14:paraId="35DD8481">
            <w:pPr>
              <w:rPr>
                <w:highlight w:val="none"/>
              </w:rPr>
            </w:pPr>
          </w:p>
        </w:tc>
      </w:tr>
      <w:tr w14:paraId="7F78C16B">
        <w:tblPrEx>
          <w:tblCellMar>
            <w:top w:w="0" w:type="dxa"/>
            <w:left w:w="0" w:type="dxa"/>
            <w:bottom w:w="0" w:type="dxa"/>
            <w:right w:w="0" w:type="dxa"/>
          </w:tblCellMar>
        </w:tblPrEx>
        <w:trPr>
          <w:trHeight w:val="46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3FBE9E71">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4B2A734A">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5320AFC1">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779F81A1">
            <w:pPr>
              <w:rPr>
                <w:highlight w:val="none"/>
              </w:rPr>
            </w:pPr>
          </w:p>
        </w:tc>
        <w:tc>
          <w:tcPr>
            <w:tcW w:w="973" w:type="pct"/>
            <w:vMerge w:val="continue"/>
            <w:tcBorders>
              <w:left w:val="single" w:color="000000" w:sz="4" w:space="0"/>
              <w:right w:val="single" w:color="000000" w:sz="4" w:space="0"/>
            </w:tcBorders>
            <w:noWrap w:val="0"/>
            <w:vAlign w:val="top"/>
          </w:tcPr>
          <w:p w14:paraId="768B4404">
            <w:pPr>
              <w:rPr>
                <w:highlight w:val="none"/>
              </w:rPr>
            </w:pPr>
          </w:p>
        </w:tc>
      </w:tr>
      <w:tr w14:paraId="47478996">
        <w:trPr>
          <w:trHeight w:val="458"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285BC1F3">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437B3568">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5D3FD630">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5AE55700">
            <w:pPr>
              <w:rPr>
                <w:highlight w:val="none"/>
              </w:rPr>
            </w:pPr>
          </w:p>
        </w:tc>
        <w:tc>
          <w:tcPr>
            <w:tcW w:w="973" w:type="pct"/>
            <w:vMerge w:val="continue"/>
            <w:tcBorders>
              <w:left w:val="single" w:color="000000" w:sz="4" w:space="0"/>
              <w:right w:val="single" w:color="000000" w:sz="4" w:space="0"/>
            </w:tcBorders>
            <w:noWrap w:val="0"/>
            <w:vAlign w:val="top"/>
          </w:tcPr>
          <w:p w14:paraId="5A0DBAF2">
            <w:pPr>
              <w:rPr>
                <w:highlight w:val="none"/>
              </w:rPr>
            </w:pPr>
          </w:p>
        </w:tc>
      </w:tr>
      <w:tr w14:paraId="2FD5771F">
        <w:tblPrEx>
          <w:tblCellMar>
            <w:top w:w="0" w:type="dxa"/>
            <w:left w:w="0" w:type="dxa"/>
            <w:bottom w:w="0" w:type="dxa"/>
            <w:right w:w="0" w:type="dxa"/>
          </w:tblCellMar>
        </w:tblPrEx>
        <w:trPr>
          <w:trHeight w:val="46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0F35A2D6">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7BCE6846">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5A78D33E">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68A2C385">
            <w:pPr>
              <w:rPr>
                <w:highlight w:val="none"/>
              </w:rPr>
            </w:pPr>
          </w:p>
        </w:tc>
        <w:tc>
          <w:tcPr>
            <w:tcW w:w="973" w:type="pct"/>
            <w:vMerge w:val="continue"/>
            <w:tcBorders>
              <w:left w:val="single" w:color="000000" w:sz="4" w:space="0"/>
              <w:right w:val="single" w:color="000000" w:sz="4" w:space="0"/>
            </w:tcBorders>
            <w:noWrap w:val="0"/>
            <w:vAlign w:val="top"/>
          </w:tcPr>
          <w:p w14:paraId="2631C5A4">
            <w:pPr>
              <w:rPr>
                <w:highlight w:val="none"/>
              </w:rPr>
            </w:pPr>
          </w:p>
        </w:tc>
      </w:tr>
      <w:tr w14:paraId="5738BF82">
        <w:tblPrEx>
          <w:tblCellMar>
            <w:top w:w="0" w:type="dxa"/>
            <w:left w:w="0" w:type="dxa"/>
            <w:bottom w:w="0" w:type="dxa"/>
            <w:right w:w="0" w:type="dxa"/>
          </w:tblCellMar>
        </w:tblPrEx>
        <w:trPr>
          <w:trHeight w:val="461" w:hRule="exact"/>
        </w:trPr>
        <w:tc>
          <w:tcPr>
            <w:tcW w:w="880" w:type="pct"/>
            <w:tcBorders>
              <w:top w:val="single" w:color="000000" w:sz="4" w:space="0"/>
              <w:left w:val="single" w:color="000000" w:sz="4" w:space="0"/>
              <w:bottom w:val="single" w:color="000000" w:sz="4" w:space="0"/>
              <w:right w:val="single" w:color="000000" w:sz="4" w:space="0"/>
            </w:tcBorders>
            <w:noWrap w:val="0"/>
            <w:vAlign w:val="top"/>
          </w:tcPr>
          <w:p w14:paraId="4245B8F9">
            <w:pPr>
              <w:rPr>
                <w:highlight w:val="none"/>
              </w:rPr>
            </w:pPr>
          </w:p>
        </w:tc>
        <w:tc>
          <w:tcPr>
            <w:tcW w:w="974" w:type="pct"/>
            <w:tcBorders>
              <w:top w:val="single" w:color="000000" w:sz="4" w:space="0"/>
              <w:left w:val="single" w:color="000000" w:sz="4" w:space="0"/>
              <w:bottom w:val="single" w:color="000000" w:sz="4" w:space="0"/>
              <w:right w:val="single" w:color="000000" w:sz="4" w:space="0"/>
            </w:tcBorders>
            <w:noWrap w:val="0"/>
            <w:vAlign w:val="top"/>
          </w:tcPr>
          <w:p w14:paraId="3A055603">
            <w:pPr>
              <w:rPr>
                <w:highlight w:val="none"/>
              </w:rPr>
            </w:pPr>
          </w:p>
        </w:tc>
        <w:tc>
          <w:tcPr>
            <w:tcW w:w="825" w:type="pct"/>
            <w:tcBorders>
              <w:top w:val="single" w:color="000000" w:sz="4" w:space="0"/>
              <w:left w:val="single" w:color="000000" w:sz="4" w:space="0"/>
              <w:bottom w:val="single" w:color="000000" w:sz="4" w:space="0"/>
              <w:right w:val="single" w:color="000000" w:sz="4" w:space="0"/>
            </w:tcBorders>
            <w:noWrap w:val="0"/>
            <w:vAlign w:val="top"/>
          </w:tcPr>
          <w:p w14:paraId="3BCD80D7">
            <w:pPr>
              <w:rPr>
                <w:highlight w:val="none"/>
              </w:rPr>
            </w:pP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16D7E9D1">
            <w:pPr>
              <w:rPr>
                <w:highlight w:val="none"/>
              </w:rPr>
            </w:pPr>
          </w:p>
        </w:tc>
        <w:tc>
          <w:tcPr>
            <w:tcW w:w="973" w:type="pct"/>
            <w:vMerge w:val="continue"/>
            <w:tcBorders>
              <w:left w:val="single" w:color="000000" w:sz="4" w:space="0"/>
              <w:right w:val="single" w:color="000000" w:sz="4" w:space="0"/>
            </w:tcBorders>
            <w:noWrap w:val="0"/>
            <w:vAlign w:val="top"/>
          </w:tcPr>
          <w:p w14:paraId="424B493A">
            <w:pPr>
              <w:rPr>
                <w:highlight w:val="none"/>
              </w:rPr>
            </w:pPr>
          </w:p>
        </w:tc>
      </w:tr>
      <w:tr w14:paraId="2457F11D">
        <w:tblPrEx>
          <w:tblCellMar>
            <w:top w:w="0" w:type="dxa"/>
            <w:left w:w="0" w:type="dxa"/>
            <w:bottom w:w="0" w:type="dxa"/>
            <w:right w:w="0" w:type="dxa"/>
          </w:tblCellMar>
        </w:tblPrEx>
        <w:trPr>
          <w:trHeight w:val="458" w:hRule="exact"/>
        </w:trPr>
        <w:tc>
          <w:tcPr>
            <w:tcW w:w="2680" w:type="pct"/>
            <w:gridSpan w:val="3"/>
            <w:tcBorders>
              <w:top w:val="single" w:color="000000" w:sz="4" w:space="0"/>
              <w:left w:val="single" w:color="000000" w:sz="4" w:space="0"/>
              <w:bottom w:val="single" w:color="000000" w:sz="4" w:space="0"/>
              <w:right w:val="single" w:color="000000" w:sz="4" w:space="0"/>
            </w:tcBorders>
            <w:noWrap w:val="0"/>
            <w:vAlign w:val="top"/>
          </w:tcPr>
          <w:p w14:paraId="71B67A19">
            <w:pPr>
              <w:pStyle w:val="75"/>
              <w:spacing w:before="76"/>
              <w:ind w:left="1138"/>
              <w:rPr>
                <w:rFonts w:ascii="宋体" w:hAnsi="宋体" w:eastAsia="宋体" w:cs="宋体"/>
                <w:sz w:val="24"/>
                <w:szCs w:val="24"/>
                <w:highlight w:val="none"/>
                <w:lang w:eastAsia="zh-CN"/>
              </w:rPr>
            </w:pPr>
            <w:r>
              <w:rPr>
                <w:rFonts w:ascii="宋体" w:hAnsi="宋体" w:eastAsia="宋体" w:cs="宋体"/>
                <w:spacing w:val="-2"/>
                <w:sz w:val="21"/>
                <w:szCs w:val="21"/>
                <w:highlight w:val="none"/>
                <w:lang w:eastAsia="zh-CN"/>
              </w:rPr>
              <w:t>拟分包工作量合计比例</w:t>
            </w:r>
            <w:r>
              <w:rPr>
                <w:rFonts w:ascii="宋体" w:hAnsi="宋体" w:eastAsia="宋体" w:cs="宋体"/>
                <w:spacing w:val="-2"/>
                <w:sz w:val="24"/>
                <w:szCs w:val="24"/>
                <w:highlight w:val="none"/>
                <w:lang w:eastAsia="zh-CN"/>
              </w:rPr>
              <w:t>（</w:t>
            </w:r>
            <w:r>
              <w:rPr>
                <w:rFonts w:ascii="Times New Roman" w:hAnsi="Times New Roman" w:eastAsia="Times New Roman"/>
                <w:spacing w:val="-2"/>
                <w:sz w:val="24"/>
                <w:szCs w:val="24"/>
                <w:highlight w:val="none"/>
                <w:lang w:eastAsia="zh-CN"/>
              </w:rPr>
              <w:t>%</w:t>
            </w:r>
            <w:r>
              <w:rPr>
                <w:rFonts w:ascii="宋体" w:hAnsi="宋体" w:eastAsia="宋体" w:cs="宋体"/>
                <w:spacing w:val="-2"/>
                <w:sz w:val="24"/>
                <w:szCs w:val="24"/>
                <w:highlight w:val="none"/>
                <w:lang w:eastAsia="zh-CN"/>
              </w:rPr>
              <w:t>）</w:t>
            </w:r>
          </w:p>
        </w:tc>
        <w:tc>
          <w:tcPr>
            <w:tcW w:w="1346" w:type="pct"/>
            <w:tcBorders>
              <w:top w:val="single" w:color="000000" w:sz="4" w:space="0"/>
              <w:left w:val="single" w:color="000000" w:sz="4" w:space="0"/>
              <w:bottom w:val="single" w:color="000000" w:sz="4" w:space="0"/>
              <w:right w:val="single" w:color="000000" w:sz="4" w:space="0"/>
            </w:tcBorders>
            <w:noWrap w:val="0"/>
            <w:vAlign w:val="top"/>
          </w:tcPr>
          <w:p w14:paraId="6EED8792">
            <w:pPr>
              <w:rPr>
                <w:highlight w:val="none"/>
              </w:rPr>
            </w:pPr>
          </w:p>
        </w:tc>
        <w:tc>
          <w:tcPr>
            <w:tcW w:w="973" w:type="pct"/>
            <w:vMerge w:val="continue"/>
            <w:tcBorders>
              <w:left w:val="single" w:color="000000" w:sz="4" w:space="0"/>
              <w:bottom w:val="single" w:color="000000" w:sz="4" w:space="0"/>
              <w:right w:val="single" w:color="000000" w:sz="4" w:space="0"/>
            </w:tcBorders>
            <w:noWrap w:val="0"/>
            <w:vAlign w:val="top"/>
          </w:tcPr>
          <w:p w14:paraId="4346A695">
            <w:pPr>
              <w:rPr>
                <w:highlight w:val="none"/>
              </w:rPr>
            </w:pPr>
          </w:p>
        </w:tc>
      </w:tr>
    </w:tbl>
    <w:p w14:paraId="4E26E0F7">
      <w:pPr>
        <w:ind w:right="105" w:rightChars="50"/>
        <w:rPr>
          <w:rFonts w:ascii="宋体" w:hAnsi="宋体" w:cs="宋体"/>
          <w:szCs w:val="21"/>
          <w:highlight w:val="none"/>
        </w:rPr>
      </w:pPr>
      <w:r>
        <w:rPr>
          <w:rFonts w:ascii="宋体" w:hAnsi="宋体" w:cs="宋体"/>
          <w:szCs w:val="21"/>
          <w:highlight w:val="none"/>
        </w:rPr>
        <w:t>注：</w:t>
      </w:r>
      <w:r>
        <w:rPr>
          <w:rFonts w:hint="eastAsia" w:ascii="宋体" w:hAnsi="宋体" w:cs="宋体"/>
          <w:szCs w:val="21"/>
          <w:highlight w:val="none"/>
        </w:rPr>
        <w:t>本表不可缺省，若无分包计划，请在“</w:t>
      </w:r>
      <w:r>
        <w:rPr>
          <w:rFonts w:ascii="宋体" w:hAnsi="宋体" w:cs="宋体"/>
          <w:spacing w:val="-1"/>
          <w:szCs w:val="21"/>
          <w:highlight w:val="none"/>
        </w:rPr>
        <w:t>拟分包的工程</w:t>
      </w:r>
      <w:r>
        <w:rPr>
          <w:rFonts w:ascii="宋体" w:hAnsi="宋体" w:cs="宋体"/>
          <w:szCs w:val="21"/>
          <w:highlight w:val="none"/>
        </w:rPr>
        <w:t>项目</w:t>
      </w:r>
      <w:r>
        <w:rPr>
          <w:rFonts w:hint="eastAsia" w:ascii="宋体" w:hAnsi="宋体" w:cs="宋体"/>
          <w:szCs w:val="21"/>
          <w:highlight w:val="none"/>
        </w:rPr>
        <w:t>”处填写无。</w:t>
      </w:r>
    </w:p>
    <w:bookmarkEnd w:id="68"/>
    <w:p w14:paraId="3C471DD6">
      <w:pPr>
        <w:pStyle w:val="71"/>
        <w:spacing w:before="120" w:beforeLines="50" w:after="120" w:afterLines="50" w:line="360" w:lineRule="auto"/>
        <w:rPr>
          <w:rFonts w:ascii="宋体" w:hAnsi="宋体" w:eastAsia="宋体"/>
          <w:highlight w:val="none"/>
        </w:rPr>
      </w:pPr>
      <w:bookmarkStart w:id="69" w:name="_Toc450042252"/>
      <w:bookmarkStart w:id="70" w:name="_Toc293501786"/>
      <w:bookmarkStart w:id="71" w:name="_Toc348862339"/>
      <w:bookmarkStart w:id="72" w:name="_Toc282614044"/>
      <w:bookmarkStart w:id="73" w:name="_Toc375120976"/>
      <w:bookmarkStart w:id="74" w:name="_Toc359310283"/>
      <w:r>
        <w:rPr>
          <w:rFonts w:hint="eastAsia" w:ascii="宋体" w:hAnsi="宋体" w:eastAsia="宋体"/>
          <w:highlight w:val="none"/>
        </w:rPr>
        <w:br w:type="page"/>
      </w:r>
      <w:r>
        <w:rPr>
          <w:rFonts w:hint="eastAsia" w:ascii="宋体" w:hAnsi="宋体" w:eastAsia="宋体"/>
          <w:highlight w:val="none"/>
        </w:rPr>
        <w:t>五、</w:t>
      </w:r>
      <w:bookmarkEnd w:id="69"/>
      <w:bookmarkEnd w:id="70"/>
      <w:bookmarkEnd w:id="71"/>
      <w:bookmarkEnd w:id="72"/>
      <w:bookmarkEnd w:id="73"/>
      <w:r>
        <w:rPr>
          <w:rFonts w:hint="eastAsia" w:ascii="宋体" w:hAnsi="宋体" w:eastAsia="宋体"/>
          <w:highlight w:val="none"/>
        </w:rPr>
        <w:t>投标报表</w:t>
      </w:r>
    </w:p>
    <w:p w14:paraId="5B25B624">
      <w:pPr>
        <w:keepNext/>
        <w:keepLines/>
        <w:spacing w:before="120" w:beforeLines="50" w:after="120" w:afterLines="50" w:line="360" w:lineRule="auto"/>
        <w:jc w:val="center"/>
        <w:outlineLvl w:val="1"/>
        <w:rPr>
          <w:rFonts w:hint="eastAsia" w:ascii="宋体" w:hAnsi="宋体" w:cs="宋体"/>
          <w:sz w:val="28"/>
          <w:szCs w:val="28"/>
          <w:highlight w:val="none"/>
        </w:rPr>
      </w:pPr>
      <w:bookmarkStart w:id="75" w:name="_Toc112157057"/>
      <w:r>
        <w:rPr>
          <w:rFonts w:hint="eastAsia" w:ascii="宋体" w:hAnsi="宋体" w:cs="宋体"/>
          <w:sz w:val="28"/>
          <w:szCs w:val="28"/>
          <w:highlight w:val="none"/>
        </w:rPr>
        <w:t>1、拟投入本标段主要人员情况表</w:t>
      </w:r>
      <w:bookmarkEnd w:id="75"/>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3"/>
        <w:gridCol w:w="1354"/>
        <w:gridCol w:w="466"/>
        <w:gridCol w:w="476"/>
        <w:gridCol w:w="762"/>
        <w:gridCol w:w="687"/>
        <w:gridCol w:w="539"/>
        <w:gridCol w:w="899"/>
        <w:gridCol w:w="1005"/>
        <w:gridCol w:w="945"/>
        <w:gridCol w:w="974"/>
        <w:gridCol w:w="1087"/>
      </w:tblGrid>
      <w:tr w14:paraId="0D823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225" w:type="pct"/>
            <w:noWrap w:val="0"/>
            <w:vAlign w:val="center"/>
          </w:tcPr>
          <w:p w14:paraId="3E300BCD">
            <w:pPr>
              <w:spacing w:line="360" w:lineRule="auto"/>
              <w:jc w:val="center"/>
              <w:rPr>
                <w:rFonts w:hint="eastAsia" w:ascii="宋体" w:hAnsi="宋体" w:cs="宋体"/>
                <w:szCs w:val="21"/>
                <w:highlight w:val="none"/>
              </w:rPr>
            </w:pPr>
            <w:r>
              <w:rPr>
                <w:rFonts w:hint="eastAsia" w:ascii="宋体" w:hAnsi="宋体" w:cs="宋体"/>
                <w:szCs w:val="21"/>
                <w:highlight w:val="none"/>
              </w:rPr>
              <w:t>序号</w:t>
            </w:r>
          </w:p>
        </w:tc>
        <w:tc>
          <w:tcPr>
            <w:tcW w:w="703" w:type="pct"/>
            <w:noWrap w:val="0"/>
            <w:vAlign w:val="center"/>
          </w:tcPr>
          <w:p w14:paraId="5A23CCB8">
            <w:pPr>
              <w:spacing w:line="360" w:lineRule="auto"/>
              <w:jc w:val="center"/>
              <w:rPr>
                <w:rFonts w:hint="eastAsia" w:ascii="宋体" w:hAnsi="宋体" w:cs="宋体"/>
                <w:szCs w:val="21"/>
                <w:highlight w:val="none"/>
              </w:rPr>
            </w:pPr>
            <w:r>
              <w:rPr>
                <w:rFonts w:hint="eastAsia" w:ascii="宋体" w:hAnsi="宋体" w:cs="宋体"/>
                <w:szCs w:val="21"/>
                <w:highlight w:val="none"/>
              </w:rPr>
              <w:t>在本项目中担任职务</w:t>
            </w:r>
          </w:p>
        </w:tc>
        <w:tc>
          <w:tcPr>
            <w:tcW w:w="242" w:type="pct"/>
            <w:noWrap w:val="0"/>
            <w:vAlign w:val="center"/>
          </w:tcPr>
          <w:p w14:paraId="2DB793AD">
            <w:pPr>
              <w:spacing w:line="360" w:lineRule="auto"/>
              <w:jc w:val="center"/>
              <w:rPr>
                <w:rFonts w:hint="eastAsia" w:ascii="宋体" w:hAnsi="宋体" w:cs="宋体"/>
                <w:szCs w:val="21"/>
                <w:highlight w:val="none"/>
              </w:rPr>
            </w:pPr>
            <w:r>
              <w:rPr>
                <w:rFonts w:hint="eastAsia" w:ascii="宋体" w:hAnsi="宋体" w:cs="宋体"/>
                <w:szCs w:val="21"/>
                <w:highlight w:val="none"/>
              </w:rPr>
              <w:t>姓名</w:t>
            </w:r>
          </w:p>
        </w:tc>
        <w:tc>
          <w:tcPr>
            <w:tcW w:w="247" w:type="pct"/>
            <w:noWrap w:val="0"/>
            <w:vAlign w:val="center"/>
          </w:tcPr>
          <w:p w14:paraId="2E61B5F8">
            <w:pPr>
              <w:spacing w:line="360" w:lineRule="auto"/>
              <w:jc w:val="center"/>
              <w:rPr>
                <w:rFonts w:hint="eastAsia" w:ascii="宋体" w:hAnsi="宋体" w:cs="宋体"/>
                <w:szCs w:val="21"/>
                <w:highlight w:val="none"/>
              </w:rPr>
            </w:pPr>
            <w:r>
              <w:rPr>
                <w:rFonts w:hint="eastAsia" w:ascii="宋体" w:hAnsi="宋体" w:cs="宋体"/>
                <w:szCs w:val="21"/>
                <w:highlight w:val="none"/>
              </w:rPr>
              <w:t>年龄</w:t>
            </w:r>
          </w:p>
        </w:tc>
        <w:tc>
          <w:tcPr>
            <w:tcW w:w="396" w:type="pct"/>
            <w:noWrap w:val="0"/>
            <w:vAlign w:val="center"/>
          </w:tcPr>
          <w:p w14:paraId="037C1B89">
            <w:pPr>
              <w:spacing w:line="360" w:lineRule="auto"/>
              <w:jc w:val="center"/>
              <w:rPr>
                <w:rFonts w:hint="eastAsia" w:ascii="宋体" w:hAnsi="宋体" w:cs="宋体"/>
                <w:szCs w:val="21"/>
                <w:highlight w:val="none"/>
              </w:rPr>
            </w:pPr>
            <w:r>
              <w:rPr>
                <w:rFonts w:hint="eastAsia" w:ascii="宋体" w:hAnsi="宋体" w:cs="宋体"/>
                <w:szCs w:val="21"/>
                <w:highlight w:val="none"/>
              </w:rPr>
              <w:t>技术职称</w:t>
            </w:r>
          </w:p>
        </w:tc>
        <w:tc>
          <w:tcPr>
            <w:tcW w:w="357" w:type="pct"/>
            <w:noWrap w:val="0"/>
            <w:vAlign w:val="center"/>
          </w:tcPr>
          <w:p w14:paraId="4396C2FC">
            <w:pPr>
              <w:spacing w:line="360" w:lineRule="auto"/>
              <w:jc w:val="center"/>
              <w:rPr>
                <w:rFonts w:hint="eastAsia" w:ascii="宋体" w:hAnsi="宋体" w:cs="宋体"/>
                <w:szCs w:val="21"/>
                <w:highlight w:val="none"/>
              </w:rPr>
            </w:pPr>
            <w:r>
              <w:rPr>
                <w:rFonts w:hint="eastAsia" w:ascii="宋体" w:hAnsi="宋体" w:cs="宋体"/>
                <w:szCs w:val="21"/>
                <w:highlight w:val="none"/>
              </w:rPr>
              <w:t>工作年限</w:t>
            </w:r>
          </w:p>
        </w:tc>
        <w:tc>
          <w:tcPr>
            <w:tcW w:w="280" w:type="pct"/>
            <w:noWrap w:val="0"/>
            <w:vAlign w:val="center"/>
          </w:tcPr>
          <w:p w14:paraId="6BEDC606">
            <w:pPr>
              <w:spacing w:line="360" w:lineRule="auto"/>
              <w:jc w:val="center"/>
              <w:rPr>
                <w:rFonts w:hint="eastAsia" w:ascii="宋体" w:hAnsi="宋体" w:cs="宋体"/>
                <w:szCs w:val="21"/>
                <w:highlight w:val="none"/>
              </w:rPr>
            </w:pPr>
            <w:r>
              <w:rPr>
                <w:rFonts w:hint="eastAsia" w:ascii="宋体" w:hAnsi="宋体" w:cs="宋体"/>
                <w:szCs w:val="21"/>
                <w:highlight w:val="none"/>
              </w:rPr>
              <w:t>学历</w:t>
            </w:r>
          </w:p>
        </w:tc>
        <w:tc>
          <w:tcPr>
            <w:tcW w:w="467" w:type="pct"/>
            <w:noWrap w:val="0"/>
            <w:vAlign w:val="center"/>
          </w:tcPr>
          <w:p w14:paraId="444C96C4">
            <w:pPr>
              <w:spacing w:line="360" w:lineRule="auto"/>
              <w:jc w:val="center"/>
              <w:rPr>
                <w:rFonts w:hint="eastAsia" w:ascii="宋体" w:hAnsi="宋体" w:cs="宋体"/>
                <w:szCs w:val="21"/>
                <w:highlight w:val="none"/>
              </w:rPr>
            </w:pPr>
            <w:r>
              <w:rPr>
                <w:rFonts w:hint="eastAsia" w:ascii="宋体" w:hAnsi="宋体" w:cs="宋体"/>
                <w:szCs w:val="21"/>
                <w:highlight w:val="none"/>
              </w:rPr>
              <w:t>所学专业</w:t>
            </w:r>
          </w:p>
        </w:tc>
        <w:tc>
          <w:tcPr>
            <w:tcW w:w="522" w:type="pct"/>
            <w:noWrap w:val="0"/>
            <w:vAlign w:val="center"/>
          </w:tcPr>
          <w:p w14:paraId="158AE88D">
            <w:pPr>
              <w:spacing w:line="360" w:lineRule="auto"/>
              <w:jc w:val="center"/>
              <w:rPr>
                <w:rFonts w:hint="eastAsia" w:ascii="宋体" w:hAnsi="宋体" w:cs="宋体"/>
                <w:szCs w:val="21"/>
                <w:highlight w:val="none"/>
              </w:rPr>
            </w:pPr>
            <w:r>
              <w:rPr>
                <w:rFonts w:hint="eastAsia" w:ascii="宋体" w:hAnsi="宋体" w:cs="宋体"/>
                <w:szCs w:val="21"/>
                <w:highlight w:val="none"/>
              </w:rPr>
              <w:t>执业资格名称</w:t>
            </w:r>
          </w:p>
        </w:tc>
        <w:tc>
          <w:tcPr>
            <w:tcW w:w="491" w:type="pct"/>
            <w:noWrap w:val="0"/>
            <w:vAlign w:val="center"/>
          </w:tcPr>
          <w:p w14:paraId="43AD1381">
            <w:pPr>
              <w:spacing w:line="360" w:lineRule="auto"/>
              <w:jc w:val="center"/>
              <w:rPr>
                <w:rFonts w:hint="eastAsia" w:ascii="宋体" w:hAnsi="宋体" w:cs="宋体"/>
                <w:szCs w:val="21"/>
                <w:highlight w:val="none"/>
              </w:rPr>
            </w:pPr>
            <w:r>
              <w:rPr>
                <w:rFonts w:hint="eastAsia" w:ascii="宋体" w:hAnsi="宋体" w:cs="宋体"/>
                <w:szCs w:val="21"/>
                <w:highlight w:val="none"/>
              </w:rPr>
              <w:t>执业资格等级</w:t>
            </w:r>
          </w:p>
        </w:tc>
        <w:tc>
          <w:tcPr>
            <w:tcW w:w="506" w:type="pct"/>
            <w:noWrap w:val="0"/>
            <w:vAlign w:val="center"/>
          </w:tcPr>
          <w:p w14:paraId="7ED2CD29">
            <w:pPr>
              <w:spacing w:line="360" w:lineRule="auto"/>
              <w:jc w:val="center"/>
              <w:rPr>
                <w:rFonts w:hint="eastAsia" w:ascii="宋体" w:hAnsi="宋体" w:cs="宋体"/>
                <w:szCs w:val="21"/>
                <w:highlight w:val="none"/>
              </w:rPr>
            </w:pPr>
            <w:r>
              <w:rPr>
                <w:rFonts w:hint="eastAsia" w:ascii="宋体" w:hAnsi="宋体" w:cs="宋体"/>
                <w:szCs w:val="21"/>
                <w:highlight w:val="none"/>
              </w:rPr>
              <w:t>执业资格编号</w:t>
            </w:r>
          </w:p>
        </w:tc>
        <w:tc>
          <w:tcPr>
            <w:tcW w:w="564" w:type="pct"/>
            <w:noWrap w:val="0"/>
            <w:vAlign w:val="center"/>
          </w:tcPr>
          <w:p w14:paraId="24F2C9FC">
            <w:pPr>
              <w:spacing w:line="360" w:lineRule="auto"/>
              <w:jc w:val="center"/>
              <w:rPr>
                <w:rFonts w:hint="eastAsia" w:ascii="宋体" w:hAnsi="宋体" w:cs="宋体"/>
                <w:szCs w:val="21"/>
                <w:highlight w:val="none"/>
              </w:rPr>
            </w:pPr>
            <w:r>
              <w:rPr>
                <w:rFonts w:hint="eastAsia" w:ascii="宋体" w:hAnsi="宋体" w:cs="宋体"/>
                <w:szCs w:val="21"/>
                <w:highlight w:val="none"/>
              </w:rPr>
              <w:t>执业资格有效期</w:t>
            </w:r>
          </w:p>
        </w:tc>
      </w:tr>
      <w:tr w14:paraId="77258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 w:type="pct"/>
            <w:noWrap w:val="0"/>
            <w:vAlign w:val="top"/>
          </w:tcPr>
          <w:p w14:paraId="050B2705">
            <w:pPr>
              <w:spacing w:line="360" w:lineRule="auto"/>
              <w:jc w:val="center"/>
              <w:rPr>
                <w:rFonts w:hint="eastAsia" w:ascii="宋体" w:hAnsi="宋体" w:cs="宋体"/>
                <w:szCs w:val="21"/>
                <w:highlight w:val="none"/>
              </w:rPr>
            </w:pPr>
            <w:r>
              <w:rPr>
                <w:rFonts w:hint="eastAsia" w:ascii="宋体" w:hAnsi="宋体" w:cs="宋体"/>
                <w:szCs w:val="21"/>
                <w:highlight w:val="none"/>
              </w:rPr>
              <w:t>1</w:t>
            </w:r>
          </w:p>
        </w:tc>
        <w:tc>
          <w:tcPr>
            <w:tcW w:w="703" w:type="pct"/>
            <w:noWrap w:val="0"/>
            <w:vAlign w:val="top"/>
          </w:tcPr>
          <w:p w14:paraId="250BE420">
            <w:pPr>
              <w:spacing w:line="360" w:lineRule="auto"/>
              <w:jc w:val="center"/>
              <w:rPr>
                <w:rFonts w:hint="eastAsia" w:ascii="宋体" w:hAnsi="宋体" w:cs="宋体"/>
                <w:szCs w:val="21"/>
                <w:highlight w:val="none"/>
              </w:rPr>
            </w:pPr>
            <w:r>
              <w:rPr>
                <w:rFonts w:hint="eastAsia" w:ascii="宋体" w:hAnsi="宋体" w:cs="宋体"/>
                <w:szCs w:val="21"/>
                <w:highlight w:val="none"/>
              </w:rPr>
              <w:t>项目负责人</w:t>
            </w:r>
          </w:p>
        </w:tc>
        <w:tc>
          <w:tcPr>
            <w:tcW w:w="242" w:type="pct"/>
            <w:noWrap w:val="0"/>
            <w:vAlign w:val="top"/>
          </w:tcPr>
          <w:p w14:paraId="57DEFA30">
            <w:pPr>
              <w:spacing w:line="360" w:lineRule="auto"/>
              <w:jc w:val="center"/>
              <w:rPr>
                <w:rFonts w:hint="eastAsia" w:ascii="宋体" w:hAnsi="宋体" w:cs="宋体"/>
                <w:szCs w:val="21"/>
                <w:highlight w:val="none"/>
              </w:rPr>
            </w:pPr>
          </w:p>
        </w:tc>
        <w:tc>
          <w:tcPr>
            <w:tcW w:w="247" w:type="pct"/>
            <w:noWrap w:val="0"/>
            <w:vAlign w:val="top"/>
          </w:tcPr>
          <w:p w14:paraId="72FAAFA6">
            <w:pPr>
              <w:spacing w:line="360" w:lineRule="auto"/>
              <w:jc w:val="center"/>
              <w:rPr>
                <w:rFonts w:hint="eastAsia" w:ascii="宋体" w:hAnsi="宋体" w:cs="宋体"/>
                <w:szCs w:val="21"/>
                <w:highlight w:val="none"/>
              </w:rPr>
            </w:pPr>
          </w:p>
        </w:tc>
        <w:tc>
          <w:tcPr>
            <w:tcW w:w="396" w:type="pct"/>
            <w:noWrap w:val="0"/>
            <w:vAlign w:val="top"/>
          </w:tcPr>
          <w:p w14:paraId="6F1FFD77">
            <w:pPr>
              <w:spacing w:line="360" w:lineRule="auto"/>
              <w:jc w:val="center"/>
              <w:rPr>
                <w:rFonts w:hint="eastAsia" w:ascii="宋体" w:hAnsi="宋体" w:cs="宋体"/>
                <w:szCs w:val="21"/>
                <w:highlight w:val="none"/>
              </w:rPr>
            </w:pPr>
          </w:p>
        </w:tc>
        <w:tc>
          <w:tcPr>
            <w:tcW w:w="357" w:type="pct"/>
            <w:noWrap w:val="0"/>
            <w:vAlign w:val="top"/>
          </w:tcPr>
          <w:p w14:paraId="219F9C2C">
            <w:pPr>
              <w:spacing w:line="360" w:lineRule="auto"/>
              <w:jc w:val="center"/>
              <w:rPr>
                <w:rFonts w:hint="eastAsia" w:ascii="宋体" w:hAnsi="宋体" w:cs="宋体"/>
                <w:szCs w:val="21"/>
                <w:highlight w:val="none"/>
              </w:rPr>
            </w:pPr>
          </w:p>
        </w:tc>
        <w:tc>
          <w:tcPr>
            <w:tcW w:w="280" w:type="pct"/>
            <w:noWrap w:val="0"/>
            <w:vAlign w:val="top"/>
          </w:tcPr>
          <w:p w14:paraId="7E746E70">
            <w:pPr>
              <w:spacing w:line="360" w:lineRule="auto"/>
              <w:jc w:val="center"/>
              <w:rPr>
                <w:rFonts w:hint="eastAsia" w:ascii="宋体" w:hAnsi="宋体" w:cs="宋体"/>
                <w:szCs w:val="21"/>
                <w:highlight w:val="none"/>
              </w:rPr>
            </w:pPr>
          </w:p>
        </w:tc>
        <w:tc>
          <w:tcPr>
            <w:tcW w:w="467" w:type="pct"/>
            <w:noWrap w:val="0"/>
            <w:vAlign w:val="top"/>
          </w:tcPr>
          <w:p w14:paraId="5F557414">
            <w:pPr>
              <w:spacing w:line="360" w:lineRule="auto"/>
              <w:jc w:val="center"/>
              <w:rPr>
                <w:rFonts w:hint="eastAsia" w:ascii="宋体" w:hAnsi="宋体" w:cs="宋体"/>
                <w:szCs w:val="21"/>
                <w:highlight w:val="none"/>
              </w:rPr>
            </w:pPr>
          </w:p>
        </w:tc>
        <w:tc>
          <w:tcPr>
            <w:tcW w:w="522" w:type="pct"/>
            <w:noWrap w:val="0"/>
            <w:vAlign w:val="top"/>
          </w:tcPr>
          <w:p w14:paraId="647194F3">
            <w:pPr>
              <w:spacing w:line="360" w:lineRule="auto"/>
              <w:jc w:val="center"/>
              <w:rPr>
                <w:rFonts w:hint="eastAsia" w:ascii="宋体" w:hAnsi="宋体" w:cs="宋体"/>
                <w:szCs w:val="21"/>
                <w:highlight w:val="none"/>
              </w:rPr>
            </w:pPr>
          </w:p>
        </w:tc>
        <w:tc>
          <w:tcPr>
            <w:tcW w:w="491" w:type="pct"/>
            <w:noWrap w:val="0"/>
            <w:vAlign w:val="top"/>
          </w:tcPr>
          <w:p w14:paraId="69A5AA82">
            <w:pPr>
              <w:spacing w:line="360" w:lineRule="auto"/>
              <w:jc w:val="center"/>
              <w:rPr>
                <w:rFonts w:hint="eastAsia" w:ascii="宋体" w:hAnsi="宋体" w:cs="宋体"/>
                <w:szCs w:val="21"/>
                <w:highlight w:val="none"/>
              </w:rPr>
            </w:pPr>
          </w:p>
        </w:tc>
        <w:tc>
          <w:tcPr>
            <w:tcW w:w="506" w:type="pct"/>
            <w:noWrap w:val="0"/>
            <w:vAlign w:val="top"/>
          </w:tcPr>
          <w:p w14:paraId="78F5B590">
            <w:pPr>
              <w:spacing w:line="360" w:lineRule="auto"/>
              <w:jc w:val="center"/>
              <w:rPr>
                <w:rFonts w:hint="eastAsia" w:ascii="宋体" w:hAnsi="宋体" w:cs="宋体"/>
                <w:szCs w:val="21"/>
                <w:highlight w:val="none"/>
              </w:rPr>
            </w:pPr>
          </w:p>
        </w:tc>
        <w:tc>
          <w:tcPr>
            <w:tcW w:w="564" w:type="pct"/>
            <w:noWrap w:val="0"/>
            <w:vAlign w:val="top"/>
          </w:tcPr>
          <w:p w14:paraId="589C6121">
            <w:pPr>
              <w:spacing w:line="360" w:lineRule="auto"/>
              <w:jc w:val="center"/>
              <w:rPr>
                <w:rFonts w:hint="eastAsia" w:ascii="宋体" w:hAnsi="宋体" w:cs="宋体"/>
                <w:szCs w:val="21"/>
                <w:highlight w:val="none"/>
              </w:rPr>
            </w:pPr>
          </w:p>
        </w:tc>
      </w:tr>
      <w:tr w14:paraId="168BD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 w:type="pct"/>
            <w:noWrap w:val="0"/>
            <w:vAlign w:val="top"/>
          </w:tcPr>
          <w:p w14:paraId="1F32EA5B">
            <w:pPr>
              <w:spacing w:line="360" w:lineRule="auto"/>
              <w:jc w:val="center"/>
              <w:rPr>
                <w:rFonts w:hint="eastAsia" w:ascii="宋体" w:hAnsi="宋体" w:cs="宋体"/>
                <w:szCs w:val="21"/>
                <w:highlight w:val="none"/>
              </w:rPr>
            </w:pPr>
            <w:r>
              <w:rPr>
                <w:rFonts w:hint="eastAsia" w:ascii="宋体" w:hAnsi="宋体" w:cs="宋体"/>
                <w:szCs w:val="21"/>
                <w:highlight w:val="none"/>
              </w:rPr>
              <w:t>2</w:t>
            </w:r>
          </w:p>
        </w:tc>
        <w:tc>
          <w:tcPr>
            <w:tcW w:w="703" w:type="pct"/>
            <w:noWrap w:val="0"/>
            <w:vAlign w:val="top"/>
          </w:tcPr>
          <w:p w14:paraId="0D75C244">
            <w:pPr>
              <w:spacing w:line="360" w:lineRule="auto"/>
              <w:jc w:val="center"/>
              <w:rPr>
                <w:rFonts w:hint="eastAsia" w:ascii="宋体" w:hAnsi="宋体" w:cs="宋体"/>
                <w:szCs w:val="21"/>
                <w:highlight w:val="none"/>
              </w:rPr>
            </w:pPr>
          </w:p>
        </w:tc>
        <w:tc>
          <w:tcPr>
            <w:tcW w:w="242" w:type="pct"/>
            <w:noWrap w:val="0"/>
            <w:vAlign w:val="top"/>
          </w:tcPr>
          <w:p w14:paraId="6E7E5B0A">
            <w:pPr>
              <w:spacing w:line="360" w:lineRule="auto"/>
              <w:jc w:val="center"/>
              <w:rPr>
                <w:rFonts w:hint="eastAsia" w:ascii="宋体" w:hAnsi="宋体" w:cs="宋体"/>
                <w:szCs w:val="21"/>
                <w:highlight w:val="none"/>
              </w:rPr>
            </w:pPr>
          </w:p>
        </w:tc>
        <w:tc>
          <w:tcPr>
            <w:tcW w:w="247" w:type="pct"/>
            <w:noWrap w:val="0"/>
            <w:vAlign w:val="top"/>
          </w:tcPr>
          <w:p w14:paraId="3E38FC8B">
            <w:pPr>
              <w:spacing w:line="360" w:lineRule="auto"/>
              <w:jc w:val="center"/>
              <w:rPr>
                <w:rFonts w:hint="eastAsia" w:ascii="宋体" w:hAnsi="宋体" w:cs="宋体"/>
                <w:szCs w:val="21"/>
                <w:highlight w:val="none"/>
              </w:rPr>
            </w:pPr>
          </w:p>
        </w:tc>
        <w:tc>
          <w:tcPr>
            <w:tcW w:w="396" w:type="pct"/>
            <w:noWrap w:val="0"/>
            <w:vAlign w:val="top"/>
          </w:tcPr>
          <w:p w14:paraId="26757029">
            <w:pPr>
              <w:spacing w:line="360" w:lineRule="auto"/>
              <w:jc w:val="center"/>
              <w:rPr>
                <w:rFonts w:hint="eastAsia" w:ascii="宋体" w:hAnsi="宋体" w:cs="宋体"/>
                <w:szCs w:val="21"/>
                <w:highlight w:val="none"/>
              </w:rPr>
            </w:pPr>
          </w:p>
        </w:tc>
        <w:tc>
          <w:tcPr>
            <w:tcW w:w="357" w:type="pct"/>
            <w:noWrap w:val="0"/>
            <w:vAlign w:val="top"/>
          </w:tcPr>
          <w:p w14:paraId="00EE709B">
            <w:pPr>
              <w:spacing w:line="360" w:lineRule="auto"/>
              <w:jc w:val="center"/>
              <w:rPr>
                <w:rFonts w:hint="eastAsia" w:ascii="宋体" w:hAnsi="宋体" w:cs="宋体"/>
                <w:szCs w:val="21"/>
                <w:highlight w:val="none"/>
              </w:rPr>
            </w:pPr>
          </w:p>
        </w:tc>
        <w:tc>
          <w:tcPr>
            <w:tcW w:w="280" w:type="pct"/>
            <w:noWrap w:val="0"/>
            <w:vAlign w:val="top"/>
          </w:tcPr>
          <w:p w14:paraId="0E60B9D6">
            <w:pPr>
              <w:spacing w:line="360" w:lineRule="auto"/>
              <w:jc w:val="center"/>
              <w:rPr>
                <w:rFonts w:hint="eastAsia" w:ascii="宋体" w:hAnsi="宋体" w:cs="宋体"/>
                <w:szCs w:val="21"/>
                <w:highlight w:val="none"/>
              </w:rPr>
            </w:pPr>
          </w:p>
        </w:tc>
        <w:tc>
          <w:tcPr>
            <w:tcW w:w="467" w:type="pct"/>
            <w:noWrap w:val="0"/>
            <w:vAlign w:val="top"/>
          </w:tcPr>
          <w:p w14:paraId="14FC44BE">
            <w:pPr>
              <w:spacing w:line="360" w:lineRule="auto"/>
              <w:jc w:val="center"/>
              <w:rPr>
                <w:rFonts w:hint="eastAsia" w:ascii="宋体" w:hAnsi="宋体" w:cs="宋体"/>
                <w:szCs w:val="21"/>
                <w:highlight w:val="none"/>
              </w:rPr>
            </w:pPr>
          </w:p>
        </w:tc>
        <w:tc>
          <w:tcPr>
            <w:tcW w:w="522" w:type="pct"/>
            <w:noWrap w:val="0"/>
            <w:vAlign w:val="top"/>
          </w:tcPr>
          <w:p w14:paraId="675E3B4A">
            <w:pPr>
              <w:spacing w:line="360" w:lineRule="auto"/>
              <w:jc w:val="center"/>
              <w:rPr>
                <w:rFonts w:hint="eastAsia" w:ascii="宋体" w:hAnsi="宋体" w:cs="宋体"/>
                <w:szCs w:val="21"/>
                <w:highlight w:val="none"/>
              </w:rPr>
            </w:pPr>
          </w:p>
        </w:tc>
        <w:tc>
          <w:tcPr>
            <w:tcW w:w="491" w:type="pct"/>
            <w:noWrap w:val="0"/>
            <w:vAlign w:val="top"/>
          </w:tcPr>
          <w:p w14:paraId="1A8CCFD8">
            <w:pPr>
              <w:spacing w:line="360" w:lineRule="auto"/>
              <w:jc w:val="center"/>
              <w:rPr>
                <w:rFonts w:hint="eastAsia" w:ascii="宋体" w:hAnsi="宋体" w:cs="宋体"/>
                <w:szCs w:val="21"/>
                <w:highlight w:val="none"/>
              </w:rPr>
            </w:pPr>
          </w:p>
        </w:tc>
        <w:tc>
          <w:tcPr>
            <w:tcW w:w="506" w:type="pct"/>
            <w:noWrap w:val="0"/>
            <w:vAlign w:val="top"/>
          </w:tcPr>
          <w:p w14:paraId="35D3EDA0">
            <w:pPr>
              <w:spacing w:line="360" w:lineRule="auto"/>
              <w:jc w:val="center"/>
              <w:rPr>
                <w:rFonts w:hint="eastAsia" w:ascii="宋体" w:hAnsi="宋体" w:cs="宋体"/>
                <w:szCs w:val="21"/>
                <w:highlight w:val="none"/>
              </w:rPr>
            </w:pPr>
          </w:p>
        </w:tc>
        <w:tc>
          <w:tcPr>
            <w:tcW w:w="564" w:type="pct"/>
            <w:noWrap w:val="0"/>
            <w:vAlign w:val="top"/>
          </w:tcPr>
          <w:p w14:paraId="5EF00FCF">
            <w:pPr>
              <w:spacing w:line="360" w:lineRule="auto"/>
              <w:jc w:val="center"/>
              <w:rPr>
                <w:rFonts w:hint="eastAsia" w:ascii="宋体" w:hAnsi="宋体" w:cs="宋体"/>
                <w:szCs w:val="21"/>
                <w:highlight w:val="none"/>
              </w:rPr>
            </w:pPr>
          </w:p>
        </w:tc>
      </w:tr>
      <w:tr w14:paraId="7E16E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 w:type="pct"/>
            <w:noWrap w:val="0"/>
            <w:vAlign w:val="top"/>
          </w:tcPr>
          <w:p w14:paraId="26B253F4">
            <w:pPr>
              <w:spacing w:line="360" w:lineRule="auto"/>
              <w:jc w:val="center"/>
              <w:rPr>
                <w:rFonts w:hint="eastAsia" w:ascii="宋体" w:hAnsi="宋体" w:cs="宋体"/>
                <w:szCs w:val="21"/>
                <w:highlight w:val="none"/>
              </w:rPr>
            </w:pPr>
            <w:r>
              <w:rPr>
                <w:rFonts w:hint="eastAsia" w:ascii="宋体" w:hAnsi="宋体" w:cs="宋体"/>
                <w:szCs w:val="21"/>
                <w:highlight w:val="none"/>
              </w:rPr>
              <w:t>3</w:t>
            </w:r>
          </w:p>
        </w:tc>
        <w:tc>
          <w:tcPr>
            <w:tcW w:w="703" w:type="pct"/>
            <w:noWrap w:val="0"/>
            <w:vAlign w:val="top"/>
          </w:tcPr>
          <w:p w14:paraId="2E0852BC">
            <w:pPr>
              <w:spacing w:line="360" w:lineRule="auto"/>
              <w:jc w:val="center"/>
              <w:rPr>
                <w:rFonts w:hint="eastAsia" w:ascii="宋体" w:hAnsi="宋体" w:cs="宋体"/>
                <w:szCs w:val="21"/>
                <w:highlight w:val="none"/>
              </w:rPr>
            </w:pPr>
          </w:p>
        </w:tc>
        <w:tc>
          <w:tcPr>
            <w:tcW w:w="242" w:type="pct"/>
            <w:noWrap w:val="0"/>
            <w:vAlign w:val="top"/>
          </w:tcPr>
          <w:p w14:paraId="670BA8FC">
            <w:pPr>
              <w:spacing w:line="360" w:lineRule="auto"/>
              <w:jc w:val="center"/>
              <w:rPr>
                <w:rFonts w:hint="eastAsia" w:ascii="宋体" w:hAnsi="宋体" w:cs="宋体"/>
                <w:szCs w:val="21"/>
                <w:highlight w:val="none"/>
              </w:rPr>
            </w:pPr>
          </w:p>
        </w:tc>
        <w:tc>
          <w:tcPr>
            <w:tcW w:w="247" w:type="pct"/>
            <w:noWrap w:val="0"/>
            <w:vAlign w:val="top"/>
          </w:tcPr>
          <w:p w14:paraId="2B4E6A8A">
            <w:pPr>
              <w:spacing w:line="360" w:lineRule="auto"/>
              <w:jc w:val="center"/>
              <w:rPr>
                <w:rFonts w:hint="eastAsia" w:ascii="宋体" w:hAnsi="宋体" w:cs="宋体"/>
                <w:szCs w:val="21"/>
                <w:highlight w:val="none"/>
              </w:rPr>
            </w:pPr>
          </w:p>
        </w:tc>
        <w:tc>
          <w:tcPr>
            <w:tcW w:w="396" w:type="pct"/>
            <w:noWrap w:val="0"/>
            <w:vAlign w:val="top"/>
          </w:tcPr>
          <w:p w14:paraId="2FA93629">
            <w:pPr>
              <w:spacing w:line="360" w:lineRule="auto"/>
              <w:jc w:val="center"/>
              <w:rPr>
                <w:rFonts w:hint="eastAsia" w:ascii="宋体" w:hAnsi="宋体" w:cs="宋体"/>
                <w:szCs w:val="21"/>
                <w:highlight w:val="none"/>
              </w:rPr>
            </w:pPr>
          </w:p>
        </w:tc>
        <w:tc>
          <w:tcPr>
            <w:tcW w:w="357" w:type="pct"/>
            <w:noWrap w:val="0"/>
            <w:vAlign w:val="top"/>
          </w:tcPr>
          <w:p w14:paraId="13398327">
            <w:pPr>
              <w:spacing w:line="360" w:lineRule="auto"/>
              <w:jc w:val="center"/>
              <w:rPr>
                <w:rFonts w:hint="eastAsia" w:ascii="宋体" w:hAnsi="宋体" w:cs="宋体"/>
                <w:szCs w:val="21"/>
                <w:highlight w:val="none"/>
              </w:rPr>
            </w:pPr>
          </w:p>
        </w:tc>
        <w:tc>
          <w:tcPr>
            <w:tcW w:w="280" w:type="pct"/>
            <w:noWrap w:val="0"/>
            <w:vAlign w:val="top"/>
          </w:tcPr>
          <w:p w14:paraId="09830081">
            <w:pPr>
              <w:spacing w:line="360" w:lineRule="auto"/>
              <w:jc w:val="center"/>
              <w:rPr>
                <w:rFonts w:hint="eastAsia" w:ascii="宋体" w:hAnsi="宋体" w:cs="宋体"/>
                <w:szCs w:val="21"/>
                <w:highlight w:val="none"/>
              </w:rPr>
            </w:pPr>
          </w:p>
        </w:tc>
        <w:tc>
          <w:tcPr>
            <w:tcW w:w="467" w:type="pct"/>
            <w:noWrap w:val="0"/>
            <w:vAlign w:val="top"/>
          </w:tcPr>
          <w:p w14:paraId="06CCD2E8">
            <w:pPr>
              <w:spacing w:line="360" w:lineRule="auto"/>
              <w:jc w:val="center"/>
              <w:rPr>
                <w:rFonts w:hint="eastAsia" w:ascii="宋体" w:hAnsi="宋体" w:cs="宋体"/>
                <w:szCs w:val="21"/>
                <w:highlight w:val="none"/>
              </w:rPr>
            </w:pPr>
          </w:p>
        </w:tc>
        <w:tc>
          <w:tcPr>
            <w:tcW w:w="522" w:type="pct"/>
            <w:noWrap w:val="0"/>
            <w:vAlign w:val="top"/>
          </w:tcPr>
          <w:p w14:paraId="2B9BC6DA">
            <w:pPr>
              <w:spacing w:line="360" w:lineRule="auto"/>
              <w:jc w:val="center"/>
              <w:rPr>
                <w:rFonts w:hint="eastAsia" w:ascii="宋体" w:hAnsi="宋体" w:cs="宋体"/>
                <w:szCs w:val="21"/>
                <w:highlight w:val="none"/>
              </w:rPr>
            </w:pPr>
          </w:p>
        </w:tc>
        <w:tc>
          <w:tcPr>
            <w:tcW w:w="491" w:type="pct"/>
            <w:noWrap w:val="0"/>
            <w:vAlign w:val="top"/>
          </w:tcPr>
          <w:p w14:paraId="364B5E51">
            <w:pPr>
              <w:spacing w:line="360" w:lineRule="auto"/>
              <w:jc w:val="center"/>
              <w:rPr>
                <w:rFonts w:hint="eastAsia" w:ascii="宋体" w:hAnsi="宋体" w:cs="宋体"/>
                <w:szCs w:val="21"/>
                <w:highlight w:val="none"/>
              </w:rPr>
            </w:pPr>
          </w:p>
        </w:tc>
        <w:tc>
          <w:tcPr>
            <w:tcW w:w="506" w:type="pct"/>
            <w:noWrap w:val="0"/>
            <w:vAlign w:val="top"/>
          </w:tcPr>
          <w:p w14:paraId="3A7CCADB">
            <w:pPr>
              <w:spacing w:line="360" w:lineRule="auto"/>
              <w:jc w:val="center"/>
              <w:rPr>
                <w:rFonts w:hint="eastAsia" w:ascii="宋体" w:hAnsi="宋体" w:cs="宋体"/>
                <w:szCs w:val="21"/>
                <w:highlight w:val="none"/>
              </w:rPr>
            </w:pPr>
          </w:p>
        </w:tc>
        <w:tc>
          <w:tcPr>
            <w:tcW w:w="564" w:type="pct"/>
            <w:noWrap w:val="0"/>
            <w:vAlign w:val="top"/>
          </w:tcPr>
          <w:p w14:paraId="29022229">
            <w:pPr>
              <w:spacing w:line="360" w:lineRule="auto"/>
              <w:jc w:val="center"/>
              <w:rPr>
                <w:rFonts w:hint="eastAsia" w:ascii="宋体" w:hAnsi="宋体" w:cs="宋体"/>
                <w:szCs w:val="21"/>
                <w:highlight w:val="none"/>
              </w:rPr>
            </w:pPr>
          </w:p>
        </w:tc>
      </w:tr>
      <w:tr w14:paraId="411F7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 w:type="pct"/>
            <w:noWrap w:val="0"/>
            <w:vAlign w:val="top"/>
          </w:tcPr>
          <w:p w14:paraId="490951C8">
            <w:pPr>
              <w:spacing w:line="360" w:lineRule="auto"/>
              <w:jc w:val="center"/>
              <w:rPr>
                <w:rFonts w:hint="eastAsia" w:ascii="宋体" w:hAnsi="宋体" w:cs="宋体"/>
                <w:szCs w:val="21"/>
                <w:highlight w:val="none"/>
              </w:rPr>
            </w:pPr>
            <w:r>
              <w:rPr>
                <w:rFonts w:hint="eastAsia" w:ascii="宋体" w:hAnsi="宋体" w:cs="宋体"/>
                <w:szCs w:val="21"/>
                <w:highlight w:val="none"/>
              </w:rPr>
              <w:t>4</w:t>
            </w:r>
          </w:p>
        </w:tc>
        <w:tc>
          <w:tcPr>
            <w:tcW w:w="703" w:type="pct"/>
            <w:noWrap w:val="0"/>
            <w:vAlign w:val="top"/>
          </w:tcPr>
          <w:p w14:paraId="331CC67C">
            <w:pPr>
              <w:spacing w:line="360" w:lineRule="auto"/>
              <w:jc w:val="center"/>
              <w:rPr>
                <w:rFonts w:hint="eastAsia" w:ascii="宋体" w:hAnsi="宋体" w:cs="宋体"/>
                <w:szCs w:val="21"/>
                <w:highlight w:val="none"/>
              </w:rPr>
            </w:pPr>
          </w:p>
        </w:tc>
        <w:tc>
          <w:tcPr>
            <w:tcW w:w="242" w:type="pct"/>
            <w:noWrap w:val="0"/>
            <w:vAlign w:val="top"/>
          </w:tcPr>
          <w:p w14:paraId="5EFCB920">
            <w:pPr>
              <w:spacing w:line="360" w:lineRule="auto"/>
              <w:jc w:val="center"/>
              <w:rPr>
                <w:rFonts w:hint="eastAsia" w:ascii="宋体" w:hAnsi="宋体" w:cs="宋体"/>
                <w:szCs w:val="21"/>
                <w:highlight w:val="none"/>
              </w:rPr>
            </w:pPr>
          </w:p>
        </w:tc>
        <w:tc>
          <w:tcPr>
            <w:tcW w:w="247" w:type="pct"/>
            <w:noWrap w:val="0"/>
            <w:vAlign w:val="top"/>
          </w:tcPr>
          <w:p w14:paraId="61DF3107">
            <w:pPr>
              <w:spacing w:line="360" w:lineRule="auto"/>
              <w:jc w:val="center"/>
              <w:rPr>
                <w:rFonts w:hint="eastAsia" w:ascii="宋体" w:hAnsi="宋体" w:cs="宋体"/>
                <w:szCs w:val="21"/>
                <w:highlight w:val="none"/>
              </w:rPr>
            </w:pPr>
          </w:p>
        </w:tc>
        <w:tc>
          <w:tcPr>
            <w:tcW w:w="396" w:type="pct"/>
            <w:noWrap w:val="0"/>
            <w:vAlign w:val="top"/>
          </w:tcPr>
          <w:p w14:paraId="210EFE33">
            <w:pPr>
              <w:spacing w:line="360" w:lineRule="auto"/>
              <w:jc w:val="center"/>
              <w:rPr>
                <w:rFonts w:hint="eastAsia" w:ascii="宋体" w:hAnsi="宋体" w:cs="宋体"/>
                <w:szCs w:val="21"/>
                <w:highlight w:val="none"/>
              </w:rPr>
            </w:pPr>
          </w:p>
        </w:tc>
        <w:tc>
          <w:tcPr>
            <w:tcW w:w="357" w:type="pct"/>
            <w:noWrap w:val="0"/>
            <w:vAlign w:val="top"/>
          </w:tcPr>
          <w:p w14:paraId="3913B8C0">
            <w:pPr>
              <w:spacing w:line="360" w:lineRule="auto"/>
              <w:jc w:val="center"/>
              <w:rPr>
                <w:rFonts w:hint="eastAsia" w:ascii="宋体" w:hAnsi="宋体" w:cs="宋体"/>
                <w:szCs w:val="21"/>
                <w:highlight w:val="none"/>
              </w:rPr>
            </w:pPr>
          </w:p>
        </w:tc>
        <w:tc>
          <w:tcPr>
            <w:tcW w:w="280" w:type="pct"/>
            <w:noWrap w:val="0"/>
            <w:vAlign w:val="top"/>
          </w:tcPr>
          <w:p w14:paraId="69E074B5">
            <w:pPr>
              <w:spacing w:line="360" w:lineRule="auto"/>
              <w:jc w:val="center"/>
              <w:rPr>
                <w:rFonts w:hint="eastAsia" w:ascii="宋体" w:hAnsi="宋体" w:cs="宋体"/>
                <w:szCs w:val="21"/>
                <w:highlight w:val="none"/>
              </w:rPr>
            </w:pPr>
          </w:p>
        </w:tc>
        <w:tc>
          <w:tcPr>
            <w:tcW w:w="467" w:type="pct"/>
            <w:noWrap w:val="0"/>
            <w:vAlign w:val="top"/>
          </w:tcPr>
          <w:p w14:paraId="52902768">
            <w:pPr>
              <w:spacing w:line="360" w:lineRule="auto"/>
              <w:jc w:val="center"/>
              <w:rPr>
                <w:rFonts w:hint="eastAsia" w:ascii="宋体" w:hAnsi="宋体" w:cs="宋体"/>
                <w:szCs w:val="21"/>
                <w:highlight w:val="none"/>
              </w:rPr>
            </w:pPr>
          </w:p>
        </w:tc>
        <w:tc>
          <w:tcPr>
            <w:tcW w:w="522" w:type="pct"/>
            <w:noWrap w:val="0"/>
            <w:vAlign w:val="top"/>
          </w:tcPr>
          <w:p w14:paraId="495A98D3">
            <w:pPr>
              <w:spacing w:line="360" w:lineRule="auto"/>
              <w:jc w:val="center"/>
              <w:rPr>
                <w:rFonts w:hint="eastAsia" w:ascii="宋体" w:hAnsi="宋体" w:cs="宋体"/>
                <w:szCs w:val="21"/>
                <w:highlight w:val="none"/>
              </w:rPr>
            </w:pPr>
          </w:p>
        </w:tc>
        <w:tc>
          <w:tcPr>
            <w:tcW w:w="491" w:type="pct"/>
            <w:noWrap w:val="0"/>
            <w:vAlign w:val="top"/>
          </w:tcPr>
          <w:p w14:paraId="689D71BB">
            <w:pPr>
              <w:spacing w:line="360" w:lineRule="auto"/>
              <w:jc w:val="center"/>
              <w:rPr>
                <w:rFonts w:hint="eastAsia" w:ascii="宋体" w:hAnsi="宋体" w:cs="宋体"/>
                <w:szCs w:val="21"/>
                <w:highlight w:val="none"/>
              </w:rPr>
            </w:pPr>
          </w:p>
        </w:tc>
        <w:tc>
          <w:tcPr>
            <w:tcW w:w="506" w:type="pct"/>
            <w:noWrap w:val="0"/>
            <w:vAlign w:val="top"/>
          </w:tcPr>
          <w:p w14:paraId="5956FCD5">
            <w:pPr>
              <w:spacing w:line="360" w:lineRule="auto"/>
              <w:jc w:val="center"/>
              <w:rPr>
                <w:rFonts w:hint="eastAsia" w:ascii="宋体" w:hAnsi="宋体" w:cs="宋体"/>
                <w:szCs w:val="21"/>
                <w:highlight w:val="none"/>
              </w:rPr>
            </w:pPr>
          </w:p>
        </w:tc>
        <w:tc>
          <w:tcPr>
            <w:tcW w:w="564" w:type="pct"/>
            <w:noWrap w:val="0"/>
            <w:vAlign w:val="top"/>
          </w:tcPr>
          <w:p w14:paraId="730CAB61">
            <w:pPr>
              <w:spacing w:line="360" w:lineRule="auto"/>
              <w:jc w:val="center"/>
              <w:rPr>
                <w:rFonts w:hint="eastAsia" w:ascii="宋体" w:hAnsi="宋体" w:cs="宋体"/>
                <w:szCs w:val="21"/>
                <w:highlight w:val="none"/>
              </w:rPr>
            </w:pPr>
          </w:p>
        </w:tc>
      </w:tr>
      <w:tr w14:paraId="00170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 w:type="pct"/>
            <w:noWrap w:val="0"/>
            <w:vAlign w:val="top"/>
          </w:tcPr>
          <w:p w14:paraId="6909A2AD">
            <w:pPr>
              <w:spacing w:line="360" w:lineRule="auto"/>
              <w:jc w:val="center"/>
              <w:rPr>
                <w:rFonts w:hint="eastAsia" w:ascii="宋体" w:hAnsi="宋体" w:cs="宋体"/>
                <w:szCs w:val="21"/>
                <w:highlight w:val="none"/>
              </w:rPr>
            </w:pPr>
            <w:r>
              <w:rPr>
                <w:rFonts w:hint="eastAsia" w:ascii="宋体" w:hAnsi="宋体" w:cs="宋体"/>
                <w:szCs w:val="21"/>
                <w:highlight w:val="none"/>
              </w:rPr>
              <w:t>5</w:t>
            </w:r>
          </w:p>
        </w:tc>
        <w:tc>
          <w:tcPr>
            <w:tcW w:w="703" w:type="pct"/>
            <w:noWrap w:val="0"/>
            <w:vAlign w:val="top"/>
          </w:tcPr>
          <w:p w14:paraId="308250B3">
            <w:pPr>
              <w:spacing w:line="360" w:lineRule="auto"/>
              <w:jc w:val="center"/>
              <w:rPr>
                <w:rFonts w:hint="eastAsia" w:ascii="宋体" w:hAnsi="宋体" w:cs="宋体"/>
                <w:szCs w:val="21"/>
                <w:highlight w:val="none"/>
              </w:rPr>
            </w:pPr>
          </w:p>
        </w:tc>
        <w:tc>
          <w:tcPr>
            <w:tcW w:w="242" w:type="pct"/>
            <w:noWrap w:val="0"/>
            <w:vAlign w:val="top"/>
          </w:tcPr>
          <w:p w14:paraId="03F22BBD">
            <w:pPr>
              <w:spacing w:line="360" w:lineRule="auto"/>
              <w:jc w:val="center"/>
              <w:rPr>
                <w:rFonts w:hint="eastAsia" w:ascii="宋体" w:hAnsi="宋体" w:cs="宋体"/>
                <w:szCs w:val="21"/>
                <w:highlight w:val="none"/>
              </w:rPr>
            </w:pPr>
          </w:p>
        </w:tc>
        <w:tc>
          <w:tcPr>
            <w:tcW w:w="247" w:type="pct"/>
            <w:noWrap w:val="0"/>
            <w:vAlign w:val="top"/>
          </w:tcPr>
          <w:p w14:paraId="5E45FC18">
            <w:pPr>
              <w:spacing w:line="360" w:lineRule="auto"/>
              <w:jc w:val="center"/>
              <w:rPr>
                <w:rFonts w:hint="eastAsia" w:ascii="宋体" w:hAnsi="宋体" w:cs="宋体"/>
                <w:szCs w:val="21"/>
                <w:highlight w:val="none"/>
              </w:rPr>
            </w:pPr>
          </w:p>
        </w:tc>
        <w:tc>
          <w:tcPr>
            <w:tcW w:w="396" w:type="pct"/>
            <w:noWrap w:val="0"/>
            <w:vAlign w:val="top"/>
          </w:tcPr>
          <w:p w14:paraId="119A8258">
            <w:pPr>
              <w:spacing w:line="360" w:lineRule="auto"/>
              <w:jc w:val="center"/>
              <w:rPr>
                <w:rFonts w:hint="eastAsia" w:ascii="宋体" w:hAnsi="宋体" w:cs="宋体"/>
                <w:szCs w:val="21"/>
                <w:highlight w:val="none"/>
              </w:rPr>
            </w:pPr>
          </w:p>
        </w:tc>
        <w:tc>
          <w:tcPr>
            <w:tcW w:w="357" w:type="pct"/>
            <w:noWrap w:val="0"/>
            <w:vAlign w:val="top"/>
          </w:tcPr>
          <w:p w14:paraId="7F77D647">
            <w:pPr>
              <w:spacing w:line="360" w:lineRule="auto"/>
              <w:jc w:val="center"/>
              <w:rPr>
                <w:rFonts w:hint="eastAsia" w:ascii="宋体" w:hAnsi="宋体" w:cs="宋体"/>
                <w:szCs w:val="21"/>
                <w:highlight w:val="none"/>
              </w:rPr>
            </w:pPr>
          </w:p>
        </w:tc>
        <w:tc>
          <w:tcPr>
            <w:tcW w:w="280" w:type="pct"/>
            <w:noWrap w:val="0"/>
            <w:vAlign w:val="top"/>
          </w:tcPr>
          <w:p w14:paraId="67A8DF20">
            <w:pPr>
              <w:spacing w:line="360" w:lineRule="auto"/>
              <w:jc w:val="center"/>
              <w:rPr>
                <w:rFonts w:hint="eastAsia" w:ascii="宋体" w:hAnsi="宋体" w:cs="宋体"/>
                <w:szCs w:val="21"/>
                <w:highlight w:val="none"/>
              </w:rPr>
            </w:pPr>
          </w:p>
        </w:tc>
        <w:tc>
          <w:tcPr>
            <w:tcW w:w="467" w:type="pct"/>
            <w:noWrap w:val="0"/>
            <w:vAlign w:val="top"/>
          </w:tcPr>
          <w:p w14:paraId="214A2B53">
            <w:pPr>
              <w:spacing w:line="360" w:lineRule="auto"/>
              <w:jc w:val="center"/>
              <w:rPr>
                <w:rFonts w:hint="eastAsia" w:ascii="宋体" w:hAnsi="宋体" w:cs="宋体"/>
                <w:szCs w:val="21"/>
                <w:highlight w:val="none"/>
              </w:rPr>
            </w:pPr>
          </w:p>
        </w:tc>
        <w:tc>
          <w:tcPr>
            <w:tcW w:w="522" w:type="pct"/>
            <w:noWrap w:val="0"/>
            <w:vAlign w:val="top"/>
          </w:tcPr>
          <w:p w14:paraId="31DB4FB5">
            <w:pPr>
              <w:spacing w:line="360" w:lineRule="auto"/>
              <w:jc w:val="center"/>
              <w:rPr>
                <w:rFonts w:hint="eastAsia" w:ascii="宋体" w:hAnsi="宋体" w:cs="宋体"/>
                <w:szCs w:val="21"/>
                <w:highlight w:val="none"/>
              </w:rPr>
            </w:pPr>
          </w:p>
        </w:tc>
        <w:tc>
          <w:tcPr>
            <w:tcW w:w="491" w:type="pct"/>
            <w:noWrap w:val="0"/>
            <w:vAlign w:val="top"/>
          </w:tcPr>
          <w:p w14:paraId="6A1C63BE">
            <w:pPr>
              <w:spacing w:line="360" w:lineRule="auto"/>
              <w:jc w:val="center"/>
              <w:rPr>
                <w:rFonts w:hint="eastAsia" w:ascii="宋体" w:hAnsi="宋体" w:cs="宋体"/>
                <w:szCs w:val="21"/>
                <w:highlight w:val="none"/>
              </w:rPr>
            </w:pPr>
          </w:p>
        </w:tc>
        <w:tc>
          <w:tcPr>
            <w:tcW w:w="506" w:type="pct"/>
            <w:noWrap w:val="0"/>
            <w:vAlign w:val="top"/>
          </w:tcPr>
          <w:p w14:paraId="210F8C31">
            <w:pPr>
              <w:spacing w:line="360" w:lineRule="auto"/>
              <w:jc w:val="center"/>
              <w:rPr>
                <w:rFonts w:hint="eastAsia" w:ascii="宋体" w:hAnsi="宋体" w:cs="宋体"/>
                <w:szCs w:val="21"/>
                <w:highlight w:val="none"/>
              </w:rPr>
            </w:pPr>
          </w:p>
        </w:tc>
        <w:tc>
          <w:tcPr>
            <w:tcW w:w="564" w:type="pct"/>
            <w:noWrap w:val="0"/>
            <w:vAlign w:val="top"/>
          </w:tcPr>
          <w:p w14:paraId="6B1F3D26">
            <w:pPr>
              <w:spacing w:line="360" w:lineRule="auto"/>
              <w:jc w:val="center"/>
              <w:rPr>
                <w:rFonts w:hint="eastAsia" w:ascii="宋体" w:hAnsi="宋体" w:cs="宋体"/>
                <w:szCs w:val="21"/>
                <w:highlight w:val="none"/>
              </w:rPr>
            </w:pPr>
          </w:p>
        </w:tc>
      </w:tr>
      <w:tr w14:paraId="429A4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 w:type="pct"/>
            <w:noWrap w:val="0"/>
            <w:vAlign w:val="top"/>
          </w:tcPr>
          <w:p w14:paraId="6788FB14">
            <w:pPr>
              <w:spacing w:line="360" w:lineRule="auto"/>
              <w:jc w:val="center"/>
              <w:rPr>
                <w:rFonts w:hint="eastAsia" w:ascii="宋体" w:hAnsi="宋体" w:cs="宋体"/>
                <w:szCs w:val="21"/>
                <w:highlight w:val="none"/>
              </w:rPr>
            </w:pPr>
            <w:r>
              <w:rPr>
                <w:rFonts w:hint="eastAsia" w:ascii="宋体" w:hAnsi="宋体" w:cs="宋体"/>
                <w:szCs w:val="21"/>
                <w:highlight w:val="none"/>
              </w:rPr>
              <w:t>6</w:t>
            </w:r>
          </w:p>
        </w:tc>
        <w:tc>
          <w:tcPr>
            <w:tcW w:w="703" w:type="pct"/>
            <w:noWrap w:val="0"/>
            <w:vAlign w:val="top"/>
          </w:tcPr>
          <w:p w14:paraId="77104073">
            <w:pPr>
              <w:spacing w:line="360" w:lineRule="auto"/>
              <w:jc w:val="center"/>
              <w:rPr>
                <w:rFonts w:hint="eastAsia" w:ascii="宋体" w:hAnsi="宋体" w:cs="宋体"/>
                <w:szCs w:val="21"/>
                <w:highlight w:val="none"/>
              </w:rPr>
            </w:pPr>
          </w:p>
        </w:tc>
        <w:tc>
          <w:tcPr>
            <w:tcW w:w="242" w:type="pct"/>
            <w:noWrap w:val="0"/>
            <w:vAlign w:val="top"/>
          </w:tcPr>
          <w:p w14:paraId="7601A76A">
            <w:pPr>
              <w:spacing w:line="360" w:lineRule="auto"/>
              <w:jc w:val="center"/>
              <w:rPr>
                <w:rFonts w:hint="eastAsia" w:ascii="宋体" w:hAnsi="宋体" w:cs="宋体"/>
                <w:szCs w:val="21"/>
                <w:highlight w:val="none"/>
              </w:rPr>
            </w:pPr>
          </w:p>
        </w:tc>
        <w:tc>
          <w:tcPr>
            <w:tcW w:w="247" w:type="pct"/>
            <w:noWrap w:val="0"/>
            <w:vAlign w:val="top"/>
          </w:tcPr>
          <w:p w14:paraId="77CF4DC5">
            <w:pPr>
              <w:spacing w:line="360" w:lineRule="auto"/>
              <w:jc w:val="center"/>
              <w:rPr>
                <w:rFonts w:hint="eastAsia" w:ascii="宋体" w:hAnsi="宋体" w:cs="宋体"/>
                <w:szCs w:val="21"/>
                <w:highlight w:val="none"/>
              </w:rPr>
            </w:pPr>
          </w:p>
        </w:tc>
        <w:tc>
          <w:tcPr>
            <w:tcW w:w="396" w:type="pct"/>
            <w:noWrap w:val="0"/>
            <w:vAlign w:val="top"/>
          </w:tcPr>
          <w:p w14:paraId="75F7F0AC">
            <w:pPr>
              <w:spacing w:line="360" w:lineRule="auto"/>
              <w:jc w:val="center"/>
              <w:rPr>
                <w:rFonts w:hint="eastAsia" w:ascii="宋体" w:hAnsi="宋体" w:cs="宋体"/>
                <w:szCs w:val="21"/>
                <w:highlight w:val="none"/>
              </w:rPr>
            </w:pPr>
          </w:p>
        </w:tc>
        <w:tc>
          <w:tcPr>
            <w:tcW w:w="357" w:type="pct"/>
            <w:noWrap w:val="0"/>
            <w:vAlign w:val="top"/>
          </w:tcPr>
          <w:p w14:paraId="6AD562AE">
            <w:pPr>
              <w:spacing w:line="360" w:lineRule="auto"/>
              <w:jc w:val="center"/>
              <w:rPr>
                <w:rFonts w:hint="eastAsia" w:ascii="宋体" w:hAnsi="宋体" w:cs="宋体"/>
                <w:szCs w:val="21"/>
                <w:highlight w:val="none"/>
              </w:rPr>
            </w:pPr>
          </w:p>
        </w:tc>
        <w:tc>
          <w:tcPr>
            <w:tcW w:w="280" w:type="pct"/>
            <w:noWrap w:val="0"/>
            <w:vAlign w:val="top"/>
          </w:tcPr>
          <w:p w14:paraId="709ACEE3">
            <w:pPr>
              <w:spacing w:line="360" w:lineRule="auto"/>
              <w:jc w:val="center"/>
              <w:rPr>
                <w:rFonts w:hint="eastAsia" w:ascii="宋体" w:hAnsi="宋体" w:cs="宋体"/>
                <w:szCs w:val="21"/>
                <w:highlight w:val="none"/>
              </w:rPr>
            </w:pPr>
          </w:p>
        </w:tc>
        <w:tc>
          <w:tcPr>
            <w:tcW w:w="467" w:type="pct"/>
            <w:noWrap w:val="0"/>
            <w:vAlign w:val="top"/>
          </w:tcPr>
          <w:p w14:paraId="66BBB0A4">
            <w:pPr>
              <w:spacing w:line="360" w:lineRule="auto"/>
              <w:jc w:val="center"/>
              <w:rPr>
                <w:rFonts w:hint="eastAsia" w:ascii="宋体" w:hAnsi="宋体" w:cs="宋体"/>
                <w:szCs w:val="21"/>
                <w:highlight w:val="none"/>
              </w:rPr>
            </w:pPr>
          </w:p>
        </w:tc>
        <w:tc>
          <w:tcPr>
            <w:tcW w:w="522" w:type="pct"/>
            <w:noWrap w:val="0"/>
            <w:vAlign w:val="top"/>
          </w:tcPr>
          <w:p w14:paraId="0BA9A8C6">
            <w:pPr>
              <w:spacing w:line="360" w:lineRule="auto"/>
              <w:jc w:val="center"/>
              <w:rPr>
                <w:rFonts w:hint="eastAsia" w:ascii="宋体" w:hAnsi="宋体" w:cs="宋体"/>
                <w:szCs w:val="21"/>
                <w:highlight w:val="none"/>
              </w:rPr>
            </w:pPr>
          </w:p>
        </w:tc>
        <w:tc>
          <w:tcPr>
            <w:tcW w:w="491" w:type="pct"/>
            <w:noWrap w:val="0"/>
            <w:vAlign w:val="top"/>
          </w:tcPr>
          <w:p w14:paraId="2F641AD5">
            <w:pPr>
              <w:spacing w:line="360" w:lineRule="auto"/>
              <w:jc w:val="center"/>
              <w:rPr>
                <w:rFonts w:hint="eastAsia" w:ascii="宋体" w:hAnsi="宋体" w:cs="宋体"/>
                <w:szCs w:val="21"/>
                <w:highlight w:val="none"/>
              </w:rPr>
            </w:pPr>
          </w:p>
        </w:tc>
        <w:tc>
          <w:tcPr>
            <w:tcW w:w="506" w:type="pct"/>
            <w:noWrap w:val="0"/>
            <w:vAlign w:val="top"/>
          </w:tcPr>
          <w:p w14:paraId="3925132A">
            <w:pPr>
              <w:spacing w:line="360" w:lineRule="auto"/>
              <w:jc w:val="center"/>
              <w:rPr>
                <w:rFonts w:hint="eastAsia" w:ascii="宋体" w:hAnsi="宋体" w:cs="宋体"/>
                <w:szCs w:val="21"/>
                <w:highlight w:val="none"/>
              </w:rPr>
            </w:pPr>
          </w:p>
        </w:tc>
        <w:tc>
          <w:tcPr>
            <w:tcW w:w="564" w:type="pct"/>
            <w:noWrap w:val="0"/>
            <w:vAlign w:val="top"/>
          </w:tcPr>
          <w:p w14:paraId="46DDBBEF">
            <w:pPr>
              <w:spacing w:line="360" w:lineRule="auto"/>
              <w:jc w:val="center"/>
              <w:rPr>
                <w:rFonts w:hint="eastAsia" w:ascii="宋体" w:hAnsi="宋体" w:cs="宋体"/>
                <w:szCs w:val="21"/>
                <w:highlight w:val="none"/>
              </w:rPr>
            </w:pPr>
          </w:p>
        </w:tc>
      </w:tr>
      <w:tr w14:paraId="62B29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 w:type="pct"/>
            <w:noWrap w:val="0"/>
            <w:vAlign w:val="top"/>
          </w:tcPr>
          <w:p w14:paraId="1FE5ACC0">
            <w:pPr>
              <w:spacing w:line="360" w:lineRule="auto"/>
              <w:jc w:val="center"/>
              <w:rPr>
                <w:rFonts w:hint="eastAsia" w:ascii="宋体" w:hAnsi="宋体" w:cs="宋体"/>
                <w:szCs w:val="21"/>
                <w:highlight w:val="none"/>
              </w:rPr>
            </w:pPr>
          </w:p>
        </w:tc>
        <w:tc>
          <w:tcPr>
            <w:tcW w:w="703" w:type="pct"/>
            <w:noWrap w:val="0"/>
            <w:vAlign w:val="top"/>
          </w:tcPr>
          <w:p w14:paraId="163F1090">
            <w:pPr>
              <w:spacing w:line="360" w:lineRule="auto"/>
              <w:jc w:val="center"/>
              <w:rPr>
                <w:rFonts w:hint="eastAsia" w:ascii="宋体" w:hAnsi="宋体" w:cs="宋体"/>
                <w:szCs w:val="21"/>
                <w:highlight w:val="none"/>
              </w:rPr>
            </w:pPr>
          </w:p>
        </w:tc>
        <w:tc>
          <w:tcPr>
            <w:tcW w:w="242" w:type="pct"/>
            <w:noWrap w:val="0"/>
            <w:vAlign w:val="top"/>
          </w:tcPr>
          <w:p w14:paraId="59FC5E35">
            <w:pPr>
              <w:spacing w:line="360" w:lineRule="auto"/>
              <w:jc w:val="center"/>
              <w:rPr>
                <w:rFonts w:hint="eastAsia" w:ascii="宋体" w:hAnsi="宋体" w:cs="宋体"/>
                <w:szCs w:val="21"/>
                <w:highlight w:val="none"/>
              </w:rPr>
            </w:pPr>
          </w:p>
        </w:tc>
        <w:tc>
          <w:tcPr>
            <w:tcW w:w="247" w:type="pct"/>
            <w:noWrap w:val="0"/>
            <w:vAlign w:val="top"/>
          </w:tcPr>
          <w:p w14:paraId="20223984">
            <w:pPr>
              <w:spacing w:line="360" w:lineRule="auto"/>
              <w:jc w:val="center"/>
              <w:rPr>
                <w:rFonts w:hint="eastAsia" w:ascii="宋体" w:hAnsi="宋体" w:cs="宋体"/>
                <w:szCs w:val="21"/>
                <w:highlight w:val="none"/>
              </w:rPr>
            </w:pPr>
          </w:p>
        </w:tc>
        <w:tc>
          <w:tcPr>
            <w:tcW w:w="396" w:type="pct"/>
            <w:noWrap w:val="0"/>
            <w:vAlign w:val="top"/>
          </w:tcPr>
          <w:p w14:paraId="0BBECF4D">
            <w:pPr>
              <w:spacing w:line="360" w:lineRule="auto"/>
              <w:jc w:val="center"/>
              <w:rPr>
                <w:rFonts w:hint="eastAsia" w:ascii="宋体" w:hAnsi="宋体" w:cs="宋体"/>
                <w:szCs w:val="21"/>
                <w:highlight w:val="none"/>
              </w:rPr>
            </w:pPr>
          </w:p>
        </w:tc>
        <w:tc>
          <w:tcPr>
            <w:tcW w:w="357" w:type="pct"/>
            <w:noWrap w:val="0"/>
            <w:vAlign w:val="top"/>
          </w:tcPr>
          <w:p w14:paraId="2DD7FE0F">
            <w:pPr>
              <w:spacing w:line="360" w:lineRule="auto"/>
              <w:jc w:val="center"/>
              <w:rPr>
                <w:rFonts w:hint="eastAsia" w:ascii="宋体" w:hAnsi="宋体" w:cs="宋体"/>
                <w:szCs w:val="21"/>
                <w:highlight w:val="none"/>
              </w:rPr>
            </w:pPr>
          </w:p>
        </w:tc>
        <w:tc>
          <w:tcPr>
            <w:tcW w:w="280" w:type="pct"/>
            <w:noWrap w:val="0"/>
            <w:vAlign w:val="top"/>
          </w:tcPr>
          <w:p w14:paraId="1040095B">
            <w:pPr>
              <w:spacing w:line="360" w:lineRule="auto"/>
              <w:jc w:val="center"/>
              <w:rPr>
                <w:rFonts w:hint="eastAsia" w:ascii="宋体" w:hAnsi="宋体" w:cs="宋体"/>
                <w:szCs w:val="21"/>
                <w:highlight w:val="none"/>
              </w:rPr>
            </w:pPr>
          </w:p>
        </w:tc>
        <w:tc>
          <w:tcPr>
            <w:tcW w:w="467" w:type="pct"/>
            <w:noWrap w:val="0"/>
            <w:vAlign w:val="top"/>
          </w:tcPr>
          <w:p w14:paraId="4AD93F19">
            <w:pPr>
              <w:spacing w:line="360" w:lineRule="auto"/>
              <w:jc w:val="center"/>
              <w:rPr>
                <w:rFonts w:hint="eastAsia" w:ascii="宋体" w:hAnsi="宋体" w:cs="宋体"/>
                <w:szCs w:val="21"/>
                <w:highlight w:val="none"/>
              </w:rPr>
            </w:pPr>
          </w:p>
        </w:tc>
        <w:tc>
          <w:tcPr>
            <w:tcW w:w="522" w:type="pct"/>
            <w:noWrap w:val="0"/>
            <w:vAlign w:val="top"/>
          </w:tcPr>
          <w:p w14:paraId="57D6F1A0">
            <w:pPr>
              <w:spacing w:line="360" w:lineRule="auto"/>
              <w:jc w:val="center"/>
              <w:rPr>
                <w:rFonts w:hint="eastAsia" w:ascii="宋体" w:hAnsi="宋体" w:cs="宋体"/>
                <w:szCs w:val="21"/>
                <w:highlight w:val="none"/>
              </w:rPr>
            </w:pPr>
          </w:p>
        </w:tc>
        <w:tc>
          <w:tcPr>
            <w:tcW w:w="491" w:type="pct"/>
            <w:noWrap w:val="0"/>
            <w:vAlign w:val="top"/>
          </w:tcPr>
          <w:p w14:paraId="7E2A923D">
            <w:pPr>
              <w:spacing w:line="360" w:lineRule="auto"/>
              <w:jc w:val="center"/>
              <w:rPr>
                <w:rFonts w:hint="eastAsia" w:ascii="宋体" w:hAnsi="宋体" w:cs="宋体"/>
                <w:szCs w:val="21"/>
                <w:highlight w:val="none"/>
              </w:rPr>
            </w:pPr>
          </w:p>
        </w:tc>
        <w:tc>
          <w:tcPr>
            <w:tcW w:w="506" w:type="pct"/>
            <w:noWrap w:val="0"/>
            <w:vAlign w:val="top"/>
          </w:tcPr>
          <w:p w14:paraId="2FDAB66D">
            <w:pPr>
              <w:spacing w:line="360" w:lineRule="auto"/>
              <w:jc w:val="center"/>
              <w:rPr>
                <w:rFonts w:hint="eastAsia" w:ascii="宋体" w:hAnsi="宋体" w:cs="宋体"/>
                <w:szCs w:val="21"/>
                <w:highlight w:val="none"/>
              </w:rPr>
            </w:pPr>
          </w:p>
        </w:tc>
        <w:tc>
          <w:tcPr>
            <w:tcW w:w="564" w:type="pct"/>
            <w:noWrap w:val="0"/>
            <w:vAlign w:val="top"/>
          </w:tcPr>
          <w:p w14:paraId="6F76327F">
            <w:pPr>
              <w:spacing w:line="360" w:lineRule="auto"/>
              <w:jc w:val="center"/>
              <w:rPr>
                <w:rFonts w:hint="eastAsia" w:ascii="宋体" w:hAnsi="宋体" w:cs="宋体"/>
                <w:szCs w:val="21"/>
                <w:highlight w:val="none"/>
              </w:rPr>
            </w:pPr>
          </w:p>
        </w:tc>
      </w:tr>
    </w:tbl>
    <w:p w14:paraId="4ED74888">
      <w:pPr>
        <w:spacing w:line="360" w:lineRule="auto"/>
        <w:ind w:firstLine="540"/>
        <w:jc w:val="center"/>
        <w:rPr>
          <w:rFonts w:hint="eastAsia" w:ascii="宋体" w:hAnsi="宋体" w:cs="宋体"/>
          <w:szCs w:val="21"/>
          <w:highlight w:val="none"/>
        </w:rPr>
      </w:pPr>
    </w:p>
    <w:p w14:paraId="44E35ABD">
      <w:pPr>
        <w:keepNext/>
        <w:keepLines/>
        <w:spacing w:before="100" w:line="360" w:lineRule="auto"/>
        <w:jc w:val="center"/>
        <w:outlineLvl w:val="1"/>
        <w:rPr>
          <w:rFonts w:hint="eastAsia" w:ascii="宋体" w:hAnsi="宋体" w:cs="宋体"/>
          <w:kern w:val="0"/>
          <w:sz w:val="28"/>
          <w:szCs w:val="20"/>
          <w:highlight w:val="none"/>
        </w:rPr>
        <w:sectPr>
          <w:pgSz w:w="11905" w:h="16838"/>
          <w:pgMar w:top="1247" w:right="1247" w:bottom="1247" w:left="1247" w:header="624" w:footer="737" w:gutter="0"/>
          <w:pgNumType w:fmt="decimal"/>
          <w:cols w:space="720" w:num="1"/>
          <w:docGrid w:linePitch="312" w:charSpace="0"/>
        </w:sectPr>
      </w:pPr>
    </w:p>
    <w:p w14:paraId="4676AFC7">
      <w:pPr>
        <w:keepNext/>
        <w:keepLines/>
        <w:spacing w:before="100" w:line="360" w:lineRule="auto"/>
        <w:jc w:val="center"/>
        <w:outlineLvl w:val="1"/>
        <w:rPr>
          <w:rFonts w:hint="eastAsia" w:ascii="宋体" w:hAnsi="宋体" w:cs="宋体"/>
          <w:kern w:val="0"/>
          <w:sz w:val="28"/>
          <w:szCs w:val="20"/>
          <w:highlight w:val="none"/>
        </w:rPr>
      </w:pPr>
      <w:bookmarkStart w:id="76" w:name="_Toc112157058"/>
      <w:r>
        <w:rPr>
          <w:rFonts w:hint="eastAsia" w:ascii="宋体" w:hAnsi="宋体" w:cs="宋体"/>
          <w:kern w:val="0"/>
          <w:sz w:val="28"/>
          <w:szCs w:val="20"/>
          <w:highlight w:val="none"/>
        </w:rPr>
        <w:t>2、</w:t>
      </w:r>
      <w:bookmarkEnd w:id="76"/>
      <w:r>
        <w:rPr>
          <w:rFonts w:hint="eastAsia" w:ascii="宋体" w:hAnsi="宋体" w:cs="宋体"/>
          <w:kern w:val="0"/>
          <w:sz w:val="28"/>
          <w:szCs w:val="20"/>
          <w:highlight w:val="none"/>
        </w:rPr>
        <w:t>项目负责人业绩一览表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
        <w:gridCol w:w="2739"/>
        <w:gridCol w:w="1100"/>
        <w:gridCol w:w="1500"/>
        <w:gridCol w:w="1183"/>
        <w:gridCol w:w="1206"/>
        <w:gridCol w:w="1224"/>
      </w:tblGrid>
      <w:tr w14:paraId="13EA7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6" w:type="dxa"/>
            <w:noWrap w:val="0"/>
            <w:vAlign w:val="center"/>
          </w:tcPr>
          <w:p w14:paraId="68670F9F">
            <w:pPr>
              <w:spacing w:line="360" w:lineRule="auto"/>
              <w:jc w:val="center"/>
              <w:rPr>
                <w:rFonts w:hint="eastAsia" w:ascii="宋体" w:hAnsi="宋体" w:cs="宋体"/>
                <w:bCs/>
                <w:szCs w:val="21"/>
                <w:highlight w:val="none"/>
              </w:rPr>
            </w:pPr>
            <w:r>
              <w:rPr>
                <w:rFonts w:hint="eastAsia" w:ascii="宋体" w:hAnsi="宋体" w:cs="宋体"/>
                <w:bCs/>
                <w:szCs w:val="21"/>
                <w:highlight w:val="none"/>
              </w:rPr>
              <w:t>序号</w:t>
            </w:r>
          </w:p>
        </w:tc>
        <w:tc>
          <w:tcPr>
            <w:tcW w:w="2739" w:type="dxa"/>
            <w:noWrap w:val="0"/>
            <w:vAlign w:val="center"/>
          </w:tcPr>
          <w:p w14:paraId="11B22870">
            <w:pPr>
              <w:spacing w:line="360" w:lineRule="auto"/>
              <w:jc w:val="center"/>
              <w:rPr>
                <w:rFonts w:hint="eastAsia" w:ascii="宋体" w:hAnsi="宋体" w:cs="宋体"/>
                <w:bCs/>
                <w:szCs w:val="21"/>
                <w:highlight w:val="none"/>
              </w:rPr>
            </w:pPr>
            <w:r>
              <w:rPr>
                <w:rFonts w:hint="eastAsia" w:ascii="宋体" w:hAnsi="宋体" w:cs="宋体"/>
                <w:bCs/>
                <w:szCs w:val="21"/>
                <w:highlight w:val="none"/>
              </w:rPr>
              <w:t>在本项目中担任职务</w:t>
            </w:r>
          </w:p>
        </w:tc>
        <w:tc>
          <w:tcPr>
            <w:tcW w:w="1100" w:type="dxa"/>
            <w:noWrap w:val="0"/>
            <w:vAlign w:val="center"/>
          </w:tcPr>
          <w:p w14:paraId="40905283">
            <w:pPr>
              <w:spacing w:line="360" w:lineRule="auto"/>
              <w:jc w:val="center"/>
              <w:rPr>
                <w:rFonts w:hint="eastAsia" w:ascii="宋体" w:hAnsi="宋体" w:cs="宋体"/>
                <w:bCs/>
                <w:szCs w:val="21"/>
                <w:highlight w:val="none"/>
              </w:rPr>
            </w:pPr>
            <w:r>
              <w:rPr>
                <w:rFonts w:hint="eastAsia" w:ascii="宋体" w:hAnsi="宋体" w:cs="宋体"/>
                <w:bCs/>
                <w:szCs w:val="21"/>
                <w:highlight w:val="none"/>
              </w:rPr>
              <w:t>姓 名</w:t>
            </w:r>
          </w:p>
        </w:tc>
        <w:tc>
          <w:tcPr>
            <w:tcW w:w="1500" w:type="dxa"/>
            <w:noWrap w:val="0"/>
            <w:vAlign w:val="center"/>
          </w:tcPr>
          <w:p w14:paraId="240410AF">
            <w:pPr>
              <w:spacing w:line="360" w:lineRule="auto"/>
              <w:jc w:val="center"/>
              <w:rPr>
                <w:rFonts w:hint="eastAsia" w:ascii="宋体" w:hAnsi="宋体" w:cs="宋体"/>
                <w:bCs/>
                <w:szCs w:val="21"/>
                <w:highlight w:val="none"/>
              </w:rPr>
            </w:pPr>
            <w:r>
              <w:rPr>
                <w:rFonts w:hint="eastAsia" w:ascii="宋体" w:hAnsi="宋体" w:cs="宋体"/>
                <w:bCs/>
                <w:szCs w:val="21"/>
                <w:highlight w:val="none"/>
              </w:rPr>
              <w:t>合同签订时间</w:t>
            </w:r>
          </w:p>
        </w:tc>
        <w:tc>
          <w:tcPr>
            <w:tcW w:w="1183" w:type="dxa"/>
            <w:noWrap w:val="0"/>
            <w:vAlign w:val="center"/>
          </w:tcPr>
          <w:p w14:paraId="007EE128">
            <w:pPr>
              <w:spacing w:line="360" w:lineRule="auto"/>
              <w:jc w:val="center"/>
              <w:rPr>
                <w:rFonts w:hint="eastAsia" w:ascii="宋体" w:hAnsi="宋体" w:cs="宋体"/>
                <w:bCs/>
                <w:szCs w:val="21"/>
                <w:highlight w:val="none"/>
              </w:rPr>
            </w:pPr>
            <w:r>
              <w:rPr>
                <w:rFonts w:hint="eastAsia" w:ascii="宋体" w:hAnsi="宋体" w:cs="宋体"/>
                <w:bCs/>
                <w:szCs w:val="21"/>
                <w:highlight w:val="none"/>
              </w:rPr>
              <w:t>项目职务</w:t>
            </w:r>
          </w:p>
        </w:tc>
        <w:tc>
          <w:tcPr>
            <w:tcW w:w="1206" w:type="dxa"/>
            <w:noWrap w:val="0"/>
            <w:vAlign w:val="center"/>
          </w:tcPr>
          <w:p w14:paraId="331A5654">
            <w:pPr>
              <w:spacing w:line="360" w:lineRule="auto"/>
              <w:jc w:val="center"/>
              <w:rPr>
                <w:rFonts w:hint="eastAsia" w:ascii="宋体" w:hAnsi="宋体" w:cs="宋体"/>
                <w:bCs/>
                <w:szCs w:val="21"/>
                <w:highlight w:val="none"/>
              </w:rPr>
            </w:pPr>
            <w:r>
              <w:rPr>
                <w:rFonts w:hint="eastAsia" w:ascii="宋体" w:hAnsi="宋体" w:cs="宋体"/>
                <w:bCs/>
                <w:szCs w:val="21"/>
                <w:highlight w:val="none"/>
              </w:rPr>
              <w:t>项目名称</w:t>
            </w:r>
          </w:p>
        </w:tc>
        <w:tc>
          <w:tcPr>
            <w:tcW w:w="1224" w:type="dxa"/>
            <w:noWrap w:val="0"/>
            <w:vAlign w:val="center"/>
          </w:tcPr>
          <w:p w14:paraId="32ACB763">
            <w:pPr>
              <w:spacing w:line="360" w:lineRule="auto"/>
              <w:jc w:val="center"/>
              <w:rPr>
                <w:rFonts w:hint="eastAsia" w:ascii="宋体" w:hAnsi="宋体" w:cs="宋体"/>
                <w:bCs/>
                <w:szCs w:val="21"/>
                <w:highlight w:val="none"/>
              </w:rPr>
            </w:pPr>
            <w:r>
              <w:rPr>
                <w:rFonts w:hint="eastAsia" w:ascii="宋体" w:hAnsi="宋体" w:cs="宋体"/>
                <w:bCs/>
                <w:szCs w:val="21"/>
                <w:highlight w:val="none"/>
              </w:rPr>
              <w:t>项目简介</w:t>
            </w:r>
          </w:p>
        </w:tc>
      </w:tr>
      <w:tr w14:paraId="21EB7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6" w:type="dxa"/>
            <w:noWrap w:val="0"/>
            <w:vAlign w:val="top"/>
          </w:tcPr>
          <w:p w14:paraId="616115C1">
            <w:pPr>
              <w:spacing w:line="360" w:lineRule="auto"/>
              <w:jc w:val="center"/>
              <w:rPr>
                <w:rFonts w:hint="eastAsia" w:ascii="宋体" w:hAnsi="宋体" w:cs="宋体"/>
                <w:bCs/>
                <w:szCs w:val="21"/>
                <w:highlight w:val="none"/>
              </w:rPr>
            </w:pPr>
            <w:r>
              <w:rPr>
                <w:rFonts w:hint="eastAsia" w:ascii="宋体" w:hAnsi="宋体" w:cs="宋体"/>
                <w:bCs/>
                <w:szCs w:val="21"/>
                <w:highlight w:val="none"/>
              </w:rPr>
              <w:t>1</w:t>
            </w:r>
          </w:p>
        </w:tc>
        <w:tc>
          <w:tcPr>
            <w:tcW w:w="2739" w:type="dxa"/>
            <w:noWrap w:val="0"/>
            <w:vAlign w:val="top"/>
          </w:tcPr>
          <w:p w14:paraId="0D4DEABD">
            <w:pPr>
              <w:spacing w:line="360" w:lineRule="auto"/>
              <w:jc w:val="center"/>
              <w:rPr>
                <w:rFonts w:hint="eastAsia" w:ascii="宋体" w:hAnsi="宋体" w:cs="宋体"/>
                <w:bCs/>
                <w:szCs w:val="21"/>
                <w:highlight w:val="none"/>
              </w:rPr>
            </w:pPr>
            <w:r>
              <w:rPr>
                <w:rFonts w:hint="eastAsia" w:ascii="宋体" w:hAnsi="宋体" w:cs="宋体"/>
                <w:bCs/>
                <w:szCs w:val="21"/>
                <w:highlight w:val="none"/>
              </w:rPr>
              <w:t>项目负责人</w:t>
            </w:r>
          </w:p>
        </w:tc>
        <w:tc>
          <w:tcPr>
            <w:tcW w:w="1100" w:type="dxa"/>
            <w:noWrap w:val="0"/>
            <w:vAlign w:val="top"/>
          </w:tcPr>
          <w:p w14:paraId="747B9CF6">
            <w:pPr>
              <w:spacing w:line="360" w:lineRule="auto"/>
              <w:jc w:val="center"/>
              <w:rPr>
                <w:rFonts w:hint="eastAsia" w:ascii="宋体" w:hAnsi="宋体" w:cs="宋体"/>
                <w:b/>
                <w:szCs w:val="21"/>
                <w:highlight w:val="none"/>
              </w:rPr>
            </w:pPr>
          </w:p>
        </w:tc>
        <w:tc>
          <w:tcPr>
            <w:tcW w:w="1500" w:type="dxa"/>
            <w:noWrap w:val="0"/>
            <w:vAlign w:val="top"/>
          </w:tcPr>
          <w:p w14:paraId="5690D23B">
            <w:pPr>
              <w:spacing w:line="360" w:lineRule="auto"/>
              <w:jc w:val="center"/>
              <w:rPr>
                <w:rFonts w:hint="eastAsia" w:ascii="宋体" w:hAnsi="宋体" w:cs="宋体"/>
                <w:b/>
                <w:szCs w:val="21"/>
                <w:highlight w:val="none"/>
              </w:rPr>
            </w:pPr>
          </w:p>
        </w:tc>
        <w:tc>
          <w:tcPr>
            <w:tcW w:w="1183" w:type="dxa"/>
            <w:noWrap w:val="0"/>
            <w:vAlign w:val="top"/>
          </w:tcPr>
          <w:p w14:paraId="06A845BA">
            <w:pPr>
              <w:spacing w:line="360" w:lineRule="auto"/>
              <w:jc w:val="center"/>
              <w:rPr>
                <w:rFonts w:hint="eastAsia" w:ascii="宋体" w:hAnsi="宋体" w:cs="宋体"/>
                <w:b/>
                <w:szCs w:val="21"/>
                <w:highlight w:val="none"/>
              </w:rPr>
            </w:pPr>
          </w:p>
        </w:tc>
        <w:tc>
          <w:tcPr>
            <w:tcW w:w="1206" w:type="dxa"/>
            <w:noWrap w:val="0"/>
            <w:vAlign w:val="top"/>
          </w:tcPr>
          <w:p w14:paraId="0C9EEE3B">
            <w:pPr>
              <w:spacing w:line="360" w:lineRule="auto"/>
              <w:jc w:val="center"/>
              <w:rPr>
                <w:rFonts w:hint="eastAsia" w:ascii="宋体" w:hAnsi="宋体" w:cs="宋体"/>
                <w:b/>
                <w:szCs w:val="21"/>
                <w:highlight w:val="none"/>
              </w:rPr>
            </w:pPr>
          </w:p>
        </w:tc>
        <w:tc>
          <w:tcPr>
            <w:tcW w:w="1224" w:type="dxa"/>
            <w:noWrap w:val="0"/>
            <w:vAlign w:val="top"/>
          </w:tcPr>
          <w:p w14:paraId="4FCF2BCC">
            <w:pPr>
              <w:spacing w:line="360" w:lineRule="auto"/>
              <w:jc w:val="center"/>
              <w:rPr>
                <w:rFonts w:hint="eastAsia" w:ascii="宋体" w:hAnsi="宋体" w:cs="宋体"/>
                <w:b/>
                <w:szCs w:val="21"/>
                <w:highlight w:val="none"/>
              </w:rPr>
            </w:pPr>
          </w:p>
        </w:tc>
      </w:tr>
      <w:tr w14:paraId="76A38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6" w:type="dxa"/>
            <w:noWrap w:val="0"/>
            <w:vAlign w:val="top"/>
          </w:tcPr>
          <w:p w14:paraId="1344A35C">
            <w:pPr>
              <w:spacing w:line="360" w:lineRule="auto"/>
              <w:jc w:val="center"/>
              <w:rPr>
                <w:rFonts w:hint="eastAsia" w:ascii="宋体" w:hAnsi="宋体" w:cs="宋体"/>
                <w:bCs/>
                <w:szCs w:val="21"/>
                <w:highlight w:val="none"/>
              </w:rPr>
            </w:pPr>
            <w:r>
              <w:rPr>
                <w:rFonts w:hint="eastAsia" w:ascii="宋体" w:hAnsi="宋体" w:cs="宋体"/>
                <w:bCs/>
                <w:szCs w:val="21"/>
                <w:highlight w:val="none"/>
              </w:rPr>
              <w:t>2</w:t>
            </w:r>
          </w:p>
        </w:tc>
        <w:tc>
          <w:tcPr>
            <w:tcW w:w="2739" w:type="dxa"/>
            <w:noWrap w:val="0"/>
            <w:vAlign w:val="top"/>
          </w:tcPr>
          <w:p w14:paraId="09D17CDD">
            <w:pPr>
              <w:spacing w:line="360" w:lineRule="auto"/>
              <w:jc w:val="center"/>
              <w:rPr>
                <w:rFonts w:hint="eastAsia" w:ascii="宋体" w:hAnsi="宋体" w:cs="宋体"/>
                <w:bCs/>
                <w:szCs w:val="21"/>
                <w:highlight w:val="none"/>
              </w:rPr>
            </w:pPr>
          </w:p>
        </w:tc>
        <w:tc>
          <w:tcPr>
            <w:tcW w:w="1100" w:type="dxa"/>
            <w:noWrap w:val="0"/>
            <w:vAlign w:val="top"/>
          </w:tcPr>
          <w:p w14:paraId="09A6B681">
            <w:pPr>
              <w:spacing w:line="360" w:lineRule="auto"/>
              <w:jc w:val="center"/>
              <w:rPr>
                <w:rFonts w:hint="eastAsia" w:ascii="宋体" w:hAnsi="宋体" w:cs="宋体"/>
                <w:b/>
                <w:szCs w:val="21"/>
                <w:highlight w:val="none"/>
              </w:rPr>
            </w:pPr>
          </w:p>
        </w:tc>
        <w:tc>
          <w:tcPr>
            <w:tcW w:w="1500" w:type="dxa"/>
            <w:noWrap w:val="0"/>
            <w:vAlign w:val="top"/>
          </w:tcPr>
          <w:p w14:paraId="6202FFD3">
            <w:pPr>
              <w:spacing w:line="360" w:lineRule="auto"/>
              <w:jc w:val="center"/>
              <w:rPr>
                <w:rFonts w:hint="eastAsia" w:ascii="宋体" w:hAnsi="宋体" w:cs="宋体"/>
                <w:b/>
                <w:szCs w:val="21"/>
                <w:highlight w:val="none"/>
              </w:rPr>
            </w:pPr>
          </w:p>
        </w:tc>
        <w:tc>
          <w:tcPr>
            <w:tcW w:w="1183" w:type="dxa"/>
            <w:noWrap w:val="0"/>
            <w:vAlign w:val="top"/>
          </w:tcPr>
          <w:p w14:paraId="5D1BEF47">
            <w:pPr>
              <w:spacing w:line="360" w:lineRule="auto"/>
              <w:jc w:val="center"/>
              <w:rPr>
                <w:rFonts w:hint="eastAsia" w:ascii="宋体" w:hAnsi="宋体" w:cs="宋体"/>
                <w:b/>
                <w:szCs w:val="21"/>
                <w:highlight w:val="none"/>
              </w:rPr>
            </w:pPr>
          </w:p>
        </w:tc>
        <w:tc>
          <w:tcPr>
            <w:tcW w:w="1206" w:type="dxa"/>
            <w:noWrap w:val="0"/>
            <w:vAlign w:val="top"/>
          </w:tcPr>
          <w:p w14:paraId="4CA92218">
            <w:pPr>
              <w:spacing w:line="360" w:lineRule="auto"/>
              <w:jc w:val="center"/>
              <w:rPr>
                <w:rFonts w:hint="eastAsia" w:ascii="宋体" w:hAnsi="宋体" w:cs="宋体"/>
                <w:b/>
                <w:szCs w:val="21"/>
                <w:highlight w:val="none"/>
              </w:rPr>
            </w:pPr>
          </w:p>
        </w:tc>
        <w:tc>
          <w:tcPr>
            <w:tcW w:w="1224" w:type="dxa"/>
            <w:noWrap w:val="0"/>
            <w:vAlign w:val="top"/>
          </w:tcPr>
          <w:p w14:paraId="629ED571">
            <w:pPr>
              <w:spacing w:line="360" w:lineRule="auto"/>
              <w:jc w:val="center"/>
              <w:rPr>
                <w:rFonts w:hint="eastAsia" w:ascii="宋体" w:hAnsi="宋体" w:cs="宋体"/>
                <w:b/>
                <w:szCs w:val="21"/>
                <w:highlight w:val="none"/>
              </w:rPr>
            </w:pPr>
          </w:p>
        </w:tc>
      </w:tr>
      <w:tr w14:paraId="2AC3E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6" w:type="dxa"/>
            <w:noWrap w:val="0"/>
            <w:vAlign w:val="top"/>
          </w:tcPr>
          <w:p w14:paraId="282AF4CA">
            <w:pPr>
              <w:spacing w:line="360" w:lineRule="auto"/>
              <w:jc w:val="center"/>
              <w:rPr>
                <w:rFonts w:hint="eastAsia" w:ascii="宋体" w:hAnsi="宋体" w:cs="宋体"/>
                <w:bCs/>
                <w:szCs w:val="21"/>
                <w:highlight w:val="none"/>
              </w:rPr>
            </w:pPr>
            <w:r>
              <w:rPr>
                <w:rFonts w:hint="eastAsia" w:ascii="宋体" w:hAnsi="宋体" w:cs="宋体"/>
                <w:bCs/>
                <w:szCs w:val="21"/>
                <w:highlight w:val="none"/>
              </w:rPr>
              <w:t>3</w:t>
            </w:r>
          </w:p>
        </w:tc>
        <w:tc>
          <w:tcPr>
            <w:tcW w:w="2739" w:type="dxa"/>
            <w:noWrap w:val="0"/>
            <w:vAlign w:val="top"/>
          </w:tcPr>
          <w:p w14:paraId="0AC5B139">
            <w:pPr>
              <w:spacing w:line="360" w:lineRule="auto"/>
              <w:jc w:val="center"/>
              <w:rPr>
                <w:rFonts w:hint="eastAsia" w:ascii="宋体" w:hAnsi="宋体" w:cs="宋体"/>
                <w:b/>
                <w:szCs w:val="21"/>
                <w:highlight w:val="none"/>
              </w:rPr>
            </w:pPr>
          </w:p>
        </w:tc>
        <w:tc>
          <w:tcPr>
            <w:tcW w:w="1100" w:type="dxa"/>
            <w:noWrap w:val="0"/>
            <w:vAlign w:val="top"/>
          </w:tcPr>
          <w:p w14:paraId="081C04A0">
            <w:pPr>
              <w:spacing w:line="360" w:lineRule="auto"/>
              <w:jc w:val="center"/>
              <w:rPr>
                <w:rFonts w:hint="eastAsia" w:ascii="宋体" w:hAnsi="宋体" w:cs="宋体"/>
                <w:b/>
                <w:szCs w:val="21"/>
                <w:highlight w:val="none"/>
              </w:rPr>
            </w:pPr>
          </w:p>
        </w:tc>
        <w:tc>
          <w:tcPr>
            <w:tcW w:w="1500" w:type="dxa"/>
            <w:noWrap w:val="0"/>
            <w:vAlign w:val="top"/>
          </w:tcPr>
          <w:p w14:paraId="2E5FE26A">
            <w:pPr>
              <w:spacing w:line="360" w:lineRule="auto"/>
              <w:jc w:val="center"/>
              <w:rPr>
                <w:rFonts w:hint="eastAsia" w:ascii="宋体" w:hAnsi="宋体" w:cs="宋体"/>
                <w:b/>
                <w:szCs w:val="21"/>
                <w:highlight w:val="none"/>
              </w:rPr>
            </w:pPr>
          </w:p>
        </w:tc>
        <w:tc>
          <w:tcPr>
            <w:tcW w:w="1183" w:type="dxa"/>
            <w:noWrap w:val="0"/>
            <w:vAlign w:val="top"/>
          </w:tcPr>
          <w:p w14:paraId="4BB2A8FD">
            <w:pPr>
              <w:spacing w:line="360" w:lineRule="auto"/>
              <w:jc w:val="center"/>
              <w:rPr>
                <w:rFonts w:hint="eastAsia" w:ascii="宋体" w:hAnsi="宋体" w:cs="宋体"/>
                <w:b/>
                <w:szCs w:val="21"/>
                <w:highlight w:val="none"/>
              </w:rPr>
            </w:pPr>
          </w:p>
        </w:tc>
        <w:tc>
          <w:tcPr>
            <w:tcW w:w="1206" w:type="dxa"/>
            <w:noWrap w:val="0"/>
            <w:vAlign w:val="top"/>
          </w:tcPr>
          <w:p w14:paraId="3C977782">
            <w:pPr>
              <w:spacing w:line="360" w:lineRule="auto"/>
              <w:jc w:val="center"/>
              <w:rPr>
                <w:rFonts w:hint="eastAsia" w:ascii="宋体" w:hAnsi="宋体" w:cs="宋体"/>
                <w:b/>
                <w:szCs w:val="21"/>
                <w:highlight w:val="none"/>
              </w:rPr>
            </w:pPr>
          </w:p>
        </w:tc>
        <w:tc>
          <w:tcPr>
            <w:tcW w:w="1224" w:type="dxa"/>
            <w:noWrap w:val="0"/>
            <w:vAlign w:val="top"/>
          </w:tcPr>
          <w:p w14:paraId="1AEB5DDE">
            <w:pPr>
              <w:spacing w:line="360" w:lineRule="auto"/>
              <w:jc w:val="center"/>
              <w:rPr>
                <w:rFonts w:hint="eastAsia" w:ascii="宋体" w:hAnsi="宋体" w:cs="宋体"/>
                <w:b/>
                <w:szCs w:val="21"/>
                <w:highlight w:val="none"/>
              </w:rPr>
            </w:pPr>
          </w:p>
        </w:tc>
      </w:tr>
      <w:tr w14:paraId="509D8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6" w:type="dxa"/>
            <w:noWrap w:val="0"/>
            <w:vAlign w:val="top"/>
          </w:tcPr>
          <w:p w14:paraId="5AC85E05">
            <w:pPr>
              <w:spacing w:line="360" w:lineRule="auto"/>
              <w:jc w:val="center"/>
              <w:rPr>
                <w:rFonts w:hint="eastAsia" w:ascii="宋体" w:hAnsi="宋体" w:cs="宋体"/>
                <w:bCs/>
                <w:szCs w:val="21"/>
                <w:highlight w:val="none"/>
              </w:rPr>
            </w:pPr>
            <w:r>
              <w:rPr>
                <w:rFonts w:hint="eastAsia" w:ascii="宋体" w:hAnsi="宋体" w:cs="宋体"/>
                <w:bCs/>
                <w:szCs w:val="21"/>
                <w:highlight w:val="none"/>
              </w:rPr>
              <w:t>4</w:t>
            </w:r>
          </w:p>
        </w:tc>
        <w:tc>
          <w:tcPr>
            <w:tcW w:w="2739" w:type="dxa"/>
            <w:noWrap w:val="0"/>
            <w:vAlign w:val="top"/>
          </w:tcPr>
          <w:p w14:paraId="4F27844A">
            <w:pPr>
              <w:spacing w:line="360" w:lineRule="auto"/>
              <w:jc w:val="center"/>
              <w:rPr>
                <w:rFonts w:hint="eastAsia" w:ascii="宋体" w:hAnsi="宋体" w:cs="宋体"/>
                <w:b/>
                <w:szCs w:val="21"/>
                <w:highlight w:val="none"/>
              </w:rPr>
            </w:pPr>
          </w:p>
        </w:tc>
        <w:tc>
          <w:tcPr>
            <w:tcW w:w="1100" w:type="dxa"/>
            <w:noWrap w:val="0"/>
            <w:vAlign w:val="top"/>
          </w:tcPr>
          <w:p w14:paraId="70F4C748">
            <w:pPr>
              <w:spacing w:line="360" w:lineRule="auto"/>
              <w:jc w:val="center"/>
              <w:rPr>
                <w:rFonts w:hint="eastAsia" w:ascii="宋体" w:hAnsi="宋体" w:cs="宋体"/>
                <w:b/>
                <w:szCs w:val="21"/>
                <w:highlight w:val="none"/>
              </w:rPr>
            </w:pPr>
          </w:p>
        </w:tc>
        <w:tc>
          <w:tcPr>
            <w:tcW w:w="1500" w:type="dxa"/>
            <w:noWrap w:val="0"/>
            <w:vAlign w:val="top"/>
          </w:tcPr>
          <w:p w14:paraId="4D192283">
            <w:pPr>
              <w:spacing w:line="360" w:lineRule="auto"/>
              <w:jc w:val="center"/>
              <w:rPr>
                <w:rFonts w:hint="eastAsia" w:ascii="宋体" w:hAnsi="宋体" w:cs="宋体"/>
                <w:b/>
                <w:szCs w:val="21"/>
                <w:highlight w:val="none"/>
              </w:rPr>
            </w:pPr>
          </w:p>
        </w:tc>
        <w:tc>
          <w:tcPr>
            <w:tcW w:w="1183" w:type="dxa"/>
            <w:noWrap w:val="0"/>
            <w:vAlign w:val="top"/>
          </w:tcPr>
          <w:p w14:paraId="0AF514EF">
            <w:pPr>
              <w:spacing w:line="360" w:lineRule="auto"/>
              <w:jc w:val="center"/>
              <w:rPr>
                <w:rFonts w:hint="eastAsia" w:ascii="宋体" w:hAnsi="宋体" w:cs="宋体"/>
                <w:b/>
                <w:szCs w:val="21"/>
                <w:highlight w:val="none"/>
              </w:rPr>
            </w:pPr>
          </w:p>
        </w:tc>
        <w:tc>
          <w:tcPr>
            <w:tcW w:w="1206" w:type="dxa"/>
            <w:noWrap w:val="0"/>
            <w:vAlign w:val="top"/>
          </w:tcPr>
          <w:p w14:paraId="08CF9119">
            <w:pPr>
              <w:spacing w:line="360" w:lineRule="auto"/>
              <w:jc w:val="center"/>
              <w:rPr>
                <w:rFonts w:hint="eastAsia" w:ascii="宋体" w:hAnsi="宋体" w:cs="宋体"/>
                <w:b/>
                <w:szCs w:val="21"/>
                <w:highlight w:val="none"/>
              </w:rPr>
            </w:pPr>
          </w:p>
        </w:tc>
        <w:tc>
          <w:tcPr>
            <w:tcW w:w="1224" w:type="dxa"/>
            <w:noWrap w:val="0"/>
            <w:vAlign w:val="top"/>
          </w:tcPr>
          <w:p w14:paraId="663B9DBA">
            <w:pPr>
              <w:spacing w:line="360" w:lineRule="auto"/>
              <w:jc w:val="center"/>
              <w:rPr>
                <w:rFonts w:hint="eastAsia" w:ascii="宋体" w:hAnsi="宋体" w:cs="宋体"/>
                <w:b/>
                <w:szCs w:val="21"/>
                <w:highlight w:val="none"/>
              </w:rPr>
            </w:pPr>
          </w:p>
        </w:tc>
      </w:tr>
      <w:tr w14:paraId="33C5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6" w:type="dxa"/>
            <w:noWrap w:val="0"/>
            <w:vAlign w:val="top"/>
          </w:tcPr>
          <w:p w14:paraId="456142A5">
            <w:pPr>
              <w:spacing w:line="360" w:lineRule="auto"/>
              <w:jc w:val="center"/>
              <w:rPr>
                <w:rFonts w:hint="eastAsia" w:ascii="宋体" w:hAnsi="宋体" w:cs="宋体"/>
                <w:bCs/>
                <w:szCs w:val="21"/>
                <w:highlight w:val="none"/>
              </w:rPr>
            </w:pPr>
            <w:r>
              <w:rPr>
                <w:rFonts w:hint="eastAsia" w:ascii="宋体" w:hAnsi="宋体" w:cs="宋体"/>
                <w:bCs/>
                <w:szCs w:val="21"/>
                <w:highlight w:val="none"/>
              </w:rPr>
              <w:t>5</w:t>
            </w:r>
          </w:p>
        </w:tc>
        <w:tc>
          <w:tcPr>
            <w:tcW w:w="2739" w:type="dxa"/>
            <w:noWrap w:val="0"/>
            <w:vAlign w:val="top"/>
          </w:tcPr>
          <w:p w14:paraId="0263F9F8">
            <w:pPr>
              <w:spacing w:line="360" w:lineRule="auto"/>
              <w:jc w:val="center"/>
              <w:rPr>
                <w:rFonts w:hint="eastAsia" w:ascii="宋体" w:hAnsi="宋体" w:cs="宋体"/>
                <w:b/>
                <w:szCs w:val="21"/>
                <w:highlight w:val="none"/>
              </w:rPr>
            </w:pPr>
          </w:p>
        </w:tc>
        <w:tc>
          <w:tcPr>
            <w:tcW w:w="1100" w:type="dxa"/>
            <w:noWrap w:val="0"/>
            <w:vAlign w:val="top"/>
          </w:tcPr>
          <w:p w14:paraId="61BC9724">
            <w:pPr>
              <w:spacing w:line="360" w:lineRule="auto"/>
              <w:jc w:val="center"/>
              <w:rPr>
                <w:rFonts w:hint="eastAsia" w:ascii="宋体" w:hAnsi="宋体" w:cs="宋体"/>
                <w:b/>
                <w:szCs w:val="21"/>
                <w:highlight w:val="none"/>
              </w:rPr>
            </w:pPr>
          </w:p>
        </w:tc>
        <w:tc>
          <w:tcPr>
            <w:tcW w:w="1500" w:type="dxa"/>
            <w:noWrap w:val="0"/>
            <w:vAlign w:val="top"/>
          </w:tcPr>
          <w:p w14:paraId="58EB0632">
            <w:pPr>
              <w:spacing w:line="360" w:lineRule="auto"/>
              <w:jc w:val="center"/>
              <w:rPr>
                <w:rFonts w:hint="eastAsia" w:ascii="宋体" w:hAnsi="宋体" w:cs="宋体"/>
                <w:b/>
                <w:szCs w:val="21"/>
                <w:highlight w:val="none"/>
              </w:rPr>
            </w:pPr>
          </w:p>
        </w:tc>
        <w:tc>
          <w:tcPr>
            <w:tcW w:w="1183" w:type="dxa"/>
            <w:noWrap w:val="0"/>
            <w:vAlign w:val="top"/>
          </w:tcPr>
          <w:p w14:paraId="046593F6">
            <w:pPr>
              <w:spacing w:line="360" w:lineRule="auto"/>
              <w:jc w:val="center"/>
              <w:rPr>
                <w:rFonts w:hint="eastAsia" w:ascii="宋体" w:hAnsi="宋体" w:cs="宋体"/>
                <w:b/>
                <w:szCs w:val="21"/>
                <w:highlight w:val="none"/>
              </w:rPr>
            </w:pPr>
          </w:p>
        </w:tc>
        <w:tc>
          <w:tcPr>
            <w:tcW w:w="1206" w:type="dxa"/>
            <w:noWrap w:val="0"/>
            <w:vAlign w:val="top"/>
          </w:tcPr>
          <w:p w14:paraId="5A5D0DD5">
            <w:pPr>
              <w:spacing w:line="360" w:lineRule="auto"/>
              <w:jc w:val="center"/>
              <w:rPr>
                <w:rFonts w:hint="eastAsia" w:ascii="宋体" w:hAnsi="宋体" w:cs="宋体"/>
                <w:b/>
                <w:szCs w:val="21"/>
                <w:highlight w:val="none"/>
              </w:rPr>
            </w:pPr>
          </w:p>
        </w:tc>
        <w:tc>
          <w:tcPr>
            <w:tcW w:w="1224" w:type="dxa"/>
            <w:noWrap w:val="0"/>
            <w:vAlign w:val="top"/>
          </w:tcPr>
          <w:p w14:paraId="2E19A5A2">
            <w:pPr>
              <w:spacing w:line="360" w:lineRule="auto"/>
              <w:jc w:val="center"/>
              <w:rPr>
                <w:rFonts w:hint="eastAsia" w:ascii="宋体" w:hAnsi="宋体" w:cs="宋体"/>
                <w:b/>
                <w:szCs w:val="21"/>
                <w:highlight w:val="none"/>
              </w:rPr>
            </w:pPr>
          </w:p>
        </w:tc>
      </w:tr>
      <w:tr w14:paraId="45BE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6" w:type="dxa"/>
            <w:noWrap w:val="0"/>
            <w:vAlign w:val="top"/>
          </w:tcPr>
          <w:p w14:paraId="709F80C5">
            <w:pPr>
              <w:spacing w:line="360" w:lineRule="auto"/>
              <w:jc w:val="center"/>
              <w:rPr>
                <w:rFonts w:hint="eastAsia" w:ascii="宋体" w:hAnsi="宋体" w:cs="宋体"/>
                <w:bCs/>
                <w:szCs w:val="21"/>
                <w:highlight w:val="none"/>
              </w:rPr>
            </w:pPr>
            <w:r>
              <w:rPr>
                <w:rFonts w:hint="eastAsia" w:ascii="宋体" w:hAnsi="宋体" w:cs="宋体"/>
                <w:bCs/>
                <w:szCs w:val="21"/>
                <w:highlight w:val="none"/>
              </w:rPr>
              <w:t>6</w:t>
            </w:r>
          </w:p>
        </w:tc>
        <w:tc>
          <w:tcPr>
            <w:tcW w:w="2739" w:type="dxa"/>
            <w:noWrap w:val="0"/>
            <w:vAlign w:val="top"/>
          </w:tcPr>
          <w:p w14:paraId="18230A18">
            <w:pPr>
              <w:spacing w:line="360" w:lineRule="auto"/>
              <w:jc w:val="center"/>
              <w:rPr>
                <w:rFonts w:hint="eastAsia" w:ascii="宋体" w:hAnsi="宋体" w:cs="宋体"/>
                <w:b/>
                <w:szCs w:val="21"/>
                <w:highlight w:val="none"/>
              </w:rPr>
            </w:pPr>
          </w:p>
        </w:tc>
        <w:tc>
          <w:tcPr>
            <w:tcW w:w="1100" w:type="dxa"/>
            <w:noWrap w:val="0"/>
            <w:vAlign w:val="top"/>
          </w:tcPr>
          <w:p w14:paraId="305AD1E5">
            <w:pPr>
              <w:spacing w:line="360" w:lineRule="auto"/>
              <w:jc w:val="center"/>
              <w:rPr>
                <w:rFonts w:hint="eastAsia" w:ascii="宋体" w:hAnsi="宋体" w:cs="宋体"/>
                <w:b/>
                <w:szCs w:val="21"/>
                <w:highlight w:val="none"/>
              </w:rPr>
            </w:pPr>
          </w:p>
        </w:tc>
        <w:tc>
          <w:tcPr>
            <w:tcW w:w="1500" w:type="dxa"/>
            <w:noWrap w:val="0"/>
            <w:vAlign w:val="top"/>
          </w:tcPr>
          <w:p w14:paraId="208ADC24">
            <w:pPr>
              <w:spacing w:line="360" w:lineRule="auto"/>
              <w:jc w:val="center"/>
              <w:rPr>
                <w:rFonts w:hint="eastAsia" w:ascii="宋体" w:hAnsi="宋体" w:cs="宋体"/>
                <w:b/>
                <w:szCs w:val="21"/>
                <w:highlight w:val="none"/>
              </w:rPr>
            </w:pPr>
          </w:p>
        </w:tc>
        <w:tc>
          <w:tcPr>
            <w:tcW w:w="1183" w:type="dxa"/>
            <w:noWrap w:val="0"/>
            <w:vAlign w:val="top"/>
          </w:tcPr>
          <w:p w14:paraId="171B8453">
            <w:pPr>
              <w:spacing w:line="360" w:lineRule="auto"/>
              <w:jc w:val="center"/>
              <w:rPr>
                <w:rFonts w:hint="eastAsia" w:ascii="宋体" w:hAnsi="宋体" w:cs="宋体"/>
                <w:b/>
                <w:szCs w:val="21"/>
                <w:highlight w:val="none"/>
              </w:rPr>
            </w:pPr>
          </w:p>
        </w:tc>
        <w:tc>
          <w:tcPr>
            <w:tcW w:w="1206" w:type="dxa"/>
            <w:noWrap w:val="0"/>
            <w:vAlign w:val="top"/>
          </w:tcPr>
          <w:p w14:paraId="7EB4EF77">
            <w:pPr>
              <w:spacing w:line="360" w:lineRule="auto"/>
              <w:jc w:val="center"/>
              <w:rPr>
                <w:rFonts w:hint="eastAsia" w:ascii="宋体" w:hAnsi="宋体" w:cs="宋体"/>
                <w:b/>
                <w:szCs w:val="21"/>
                <w:highlight w:val="none"/>
              </w:rPr>
            </w:pPr>
          </w:p>
        </w:tc>
        <w:tc>
          <w:tcPr>
            <w:tcW w:w="1224" w:type="dxa"/>
            <w:noWrap w:val="0"/>
            <w:vAlign w:val="top"/>
          </w:tcPr>
          <w:p w14:paraId="007113FB">
            <w:pPr>
              <w:spacing w:line="360" w:lineRule="auto"/>
              <w:jc w:val="center"/>
              <w:rPr>
                <w:rFonts w:hint="eastAsia" w:ascii="宋体" w:hAnsi="宋体" w:cs="宋体"/>
                <w:b/>
                <w:szCs w:val="21"/>
                <w:highlight w:val="none"/>
              </w:rPr>
            </w:pPr>
          </w:p>
        </w:tc>
      </w:tr>
      <w:tr w14:paraId="6B842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6" w:type="dxa"/>
            <w:noWrap w:val="0"/>
            <w:vAlign w:val="top"/>
          </w:tcPr>
          <w:p w14:paraId="0A0617D1">
            <w:pPr>
              <w:spacing w:line="360" w:lineRule="auto"/>
              <w:jc w:val="center"/>
              <w:rPr>
                <w:rFonts w:hint="eastAsia" w:ascii="宋体" w:hAnsi="宋体" w:cs="宋体"/>
                <w:b/>
                <w:szCs w:val="21"/>
                <w:highlight w:val="none"/>
              </w:rPr>
            </w:pPr>
          </w:p>
        </w:tc>
        <w:tc>
          <w:tcPr>
            <w:tcW w:w="2739" w:type="dxa"/>
            <w:noWrap w:val="0"/>
            <w:vAlign w:val="top"/>
          </w:tcPr>
          <w:p w14:paraId="1977C10A">
            <w:pPr>
              <w:spacing w:line="360" w:lineRule="auto"/>
              <w:jc w:val="center"/>
              <w:rPr>
                <w:rFonts w:hint="eastAsia" w:ascii="宋体" w:hAnsi="宋体" w:cs="宋体"/>
                <w:b/>
                <w:szCs w:val="21"/>
                <w:highlight w:val="none"/>
              </w:rPr>
            </w:pPr>
          </w:p>
        </w:tc>
        <w:tc>
          <w:tcPr>
            <w:tcW w:w="1100" w:type="dxa"/>
            <w:noWrap w:val="0"/>
            <w:vAlign w:val="top"/>
          </w:tcPr>
          <w:p w14:paraId="2A3AE848">
            <w:pPr>
              <w:spacing w:line="360" w:lineRule="auto"/>
              <w:jc w:val="center"/>
              <w:rPr>
                <w:rFonts w:hint="eastAsia" w:ascii="宋体" w:hAnsi="宋体" w:cs="宋体"/>
                <w:b/>
                <w:szCs w:val="21"/>
                <w:highlight w:val="none"/>
              </w:rPr>
            </w:pPr>
          </w:p>
        </w:tc>
        <w:tc>
          <w:tcPr>
            <w:tcW w:w="1500" w:type="dxa"/>
            <w:noWrap w:val="0"/>
            <w:vAlign w:val="top"/>
          </w:tcPr>
          <w:p w14:paraId="41E325A1">
            <w:pPr>
              <w:spacing w:line="360" w:lineRule="auto"/>
              <w:jc w:val="center"/>
              <w:rPr>
                <w:rFonts w:hint="eastAsia" w:ascii="宋体" w:hAnsi="宋体" w:cs="宋体"/>
                <w:b/>
                <w:szCs w:val="21"/>
                <w:highlight w:val="none"/>
              </w:rPr>
            </w:pPr>
          </w:p>
        </w:tc>
        <w:tc>
          <w:tcPr>
            <w:tcW w:w="1183" w:type="dxa"/>
            <w:noWrap w:val="0"/>
            <w:vAlign w:val="top"/>
          </w:tcPr>
          <w:p w14:paraId="28469278">
            <w:pPr>
              <w:spacing w:line="360" w:lineRule="auto"/>
              <w:jc w:val="center"/>
              <w:rPr>
                <w:rFonts w:hint="eastAsia" w:ascii="宋体" w:hAnsi="宋体" w:cs="宋体"/>
                <w:b/>
                <w:szCs w:val="21"/>
                <w:highlight w:val="none"/>
              </w:rPr>
            </w:pPr>
          </w:p>
        </w:tc>
        <w:tc>
          <w:tcPr>
            <w:tcW w:w="1206" w:type="dxa"/>
            <w:noWrap w:val="0"/>
            <w:vAlign w:val="top"/>
          </w:tcPr>
          <w:p w14:paraId="5CFE4DC9">
            <w:pPr>
              <w:spacing w:line="360" w:lineRule="auto"/>
              <w:jc w:val="center"/>
              <w:rPr>
                <w:rFonts w:hint="eastAsia" w:ascii="宋体" w:hAnsi="宋体" w:cs="宋体"/>
                <w:b/>
                <w:szCs w:val="21"/>
                <w:highlight w:val="none"/>
              </w:rPr>
            </w:pPr>
          </w:p>
        </w:tc>
        <w:tc>
          <w:tcPr>
            <w:tcW w:w="1224" w:type="dxa"/>
            <w:noWrap w:val="0"/>
            <w:vAlign w:val="top"/>
          </w:tcPr>
          <w:p w14:paraId="22A2F534">
            <w:pPr>
              <w:spacing w:line="360" w:lineRule="auto"/>
              <w:jc w:val="center"/>
              <w:rPr>
                <w:rFonts w:hint="eastAsia" w:ascii="宋体" w:hAnsi="宋体" w:cs="宋体"/>
                <w:b/>
                <w:szCs w:val="21"/>
                <w:highlight w:val="none"/>
              </w:rPr>
            </w:pPr>
          </w:p>
        </w:tc>
      </w:tr>
      <w:tr w14:paraId="4301F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6" w:type="dxa"/>
            <w:noWrap w:val="0"/>
            <w:vAlign w:val="top"/>
          </w:tcPr>
          <w:p w14:paraId="1858F46D">
            <w:pPr>
              <w:spacing w:line="360" w:lineRule="auto"/>
              <w:rPr>
                <w:rFonts w:hint="eastAsia" w:ascii="宋体" w:hAnsi="宋体" w:cs="宋体"/>
                <w:b/>
                <w:szCs w:val="21"/>
                <w:highlight w:val="none"/>
              </w:rPr>
            </w:pPr>
          </w:p>
        </w:tc>
        <w:tc>
          <w:tcPr>
            <w:tcW w:w="2739" w:type="dxa"/>
            <w:noWrap w:val="0"/>
            <w:vAlign w:val="top"/>
          </w:tcPr>
          <w:p w14:paraId="576EFE3A">
            <w:pPr>
              <w:spacing w:line="360" w:lineRule="auto"/>
              <w:rPr>
                <w:rFonts w:hint="eastAsia" w:ascii="宋体" w:hAnsi="宋体" w:cs="宋体"/>
                <w:b/>
                <w:szCs w:val="21"/>
                <w:highlight w:val="none"/>
              </w:rPr>
            </w:pPr>
          </w:p>
        </w:tc>
        <w:tc>
          <w:tcPr>
            <w:tcW w:w="1100" w:type="dxa"/>
            <w:noWrap w:val="0"/>
            <w:vAlign w:val="top"/>
          </w:tcPr>
          <w:p w14:paraId="75E9EA79">
            <w:pPr>
              <w:spacing w:line="360" w:lineRule="auto"/>
              <w:rPr>
                <w:rFonts w:hint="eastAsia" w:ascii="宋体" w:hAnsi="宋体" w:cs="宋体"/>
                <w:b/>
                <w:szCs w:val="21"/>
                <w:highlight w:val="none"/>
              </w:rPr>
            </w:pPr>
          </w:p>
        </w:tc>
        <w:tc>
          <w:tcPr>
            <w:tcW w:w="1500" w:type="dxa"/>
            <w:noWrap w:val="0"/>
            <w:vAlign w:val="top"/>
          </w:tcPr>
          <w:p w14:paraId="3D67C66C">
            <w:pPr>
              <w:spacing w:line="360" w:lineRule="auto"/>
              <w:rPr>
                <w:rFonts w:hint="eastAsia" w:ascii="宋体" w:hAnsi="宋体" w:cs="宋体"/>
                <w:b/>
                <w:szCs w:val="21"/>
                <w:highlight w:val="none"/>
              </w:rPr>
            </w:pPr>
          </w:p>
        </w:tc>
        <w:tc>
          <w:tcPr>
            <w:tcW w:w="1183" w:type="dxa"/>
            <w:noWrap w:val="0"/>
            <w:vAlign w:val="top"/>
          </w:tcPr>
          <w:p w14:paraId="1F35D5C0">
            <w:pPr>
              <w:spacing w:line="360" w:lineRule="auto"/>
              <w:rPr>
                <w:rFonts w:hint="eastAsia" w:ascii="宋体" w:hAnsi="宋体" w:cs="宋体"/>
                <w:b/>
                <w:szCs w:val="21"/>
                <w:highlight w:val="none"/>
              </w:rPr>
            </w:pPr>
          </w:p>
        </w:tc>
        <w:tc>
          <w:tcPr>
            <w:tcW w:w="1206" w:type="dxa"/>
            <w:noWrap w:val="0"/>
            <w:vAlign w:val="top"/>
          </w:tcPr>
          <w:p w14:paraId="1FD00F38">
            <w:pPr>
              <w:spacing w:line="360" w:lineRule="auto"/>
              <w:rPr>
                <w:rFonts w:hint="eastAsia" w:ascii="宋体" w:hAnsi="宋体" w:cs="宋体"/>
                <w:b/>
                <w:szCs w:val="21"/>
                <w:highlight w:val="none"/>
              </w:rPr>
            </w:pPr>
          </w:p>
        </w:tc>
        <w:tc>
          <w:tcPr>
            <w:tcW w:w="1224" w:type="dxa"/>
            <w:noWrap w:val="0"/>
            <w:vAlign w:val="top"/>
          </w:tcPr>
          <w:p w14:paraId="016BE100">
            <w:pPr>
              <w:spacing w:line="360" w:lineRule="auto"/>
              <w:rPr>
                <w:rFonts w:hint="eastAsia" w:ascii="宋体" w:hAnsi="宋体" w:cs="宋体"/>
                <w:b/>
                <w:szCs w:val="21"/>
                <w:highlight w:val="none"/>
              </w:rPr>
            </w:pPr>
          </w:p>
        </w:tc>
      </w:tr>
    </w:tbl>
    <w:p w14:paraId="5A529D92">
      <w:pPr>
        <w:spacing w:line="360" w:lineRule="auto"/>
        <w:rPr>
          <w:rFonts w:hint="eastAsia" w:ascii="宋体" w:hAnsi="宋体" w:cs="宋体"/>
          <w:szCs w:val="21"/>
          <w:highlight w:val="none"/>
        </w:rPr>
      </w:pPr>
    </w:p>
    <w:p w14:paraId="724B1AE9">
      <w:pPr>
        <w:spacing w:line="360" w:lineRule="auto"/>
        <w:rPr>
          <w:rFonts w:hint="eastAsia" w:ascii="宋体" w:hAnsi="宋体" w:cs="宋体"/>
          <w:szCs w:val="21"/>
          <w:highlight w:val="none"/>
        </w:rPr>
      </w:pPr>
    </w:p>
    <w:p w14:paraId="32DDBE61">
      <w:pPr>
        <w:spacing w:line="360" w:lineRule="auto"/>
        <w:rPr>
          <w:rFonts w:hint="eastAsia" w:ascii="宋体" w:hAnsi="宋体" w:cs="宋体"/>
          <w:szCs w:val="21"/>
          <w:highlight w:val="none"/>
        </w:rPr>
      </w:pPr>
    </w:p>
    <w:p w14:paraId="326CDE78">
      <w:pPr>
        <w:spacing w:line="360" w:lineRule="auto"/>
        <w:rPr>
          <w:rFonts w:hint="eastAsia" w:ascii="宋体" w:hAnsi="宋体" w:cs="宋体"/>
          <w:szCs w:val="21"/>
          <w:highlight w:val="none"/>
        </w:rPr>
      </w:pPr>
    </w:p>
    <w:p w14:paraId="37D29B0D">
      <w:pPr>
        <w:spacing w:line="360" w:lineRule="auto"/>
        <w:rPr>
          <w:rFonts w:hint="eastAsia" w:ascii="宋体" w:hAnsi="宋体" w:cs="宋体"/>
          <w:szCs w:val="21"/>
          <w:highlight w:val="none"/>
        </w:rPr>
      </w:pPr>
    </w:p>
    <w:p w14:paraId="100117CE">
      <w:pPr>
        <w:spacing w:line="360" w:lineRule="auto"/>
        <w:rPr>
          <w:rFonts w:hint="eastAsia" w:ascii="宋体" w:hAnsi="宋体" w:cs="宋体"/>
          <w:szCs w:val="21"/>
          <w:highlight w:val="none"/>
        </w:rPr>
      </w:pPr>
    </w:p>
    <w:p w14:paraId="3243613E">
      <w:pPr>
        <w:spacing w:line="360" w:lineRule="auto"/>
        <w:rPr>
          <w:rFonts w:hint="eastAsia" w:ascii="宋体" w:hAnsi="宋体" w:cs="宋体"/>
          <w:szCs w:val="21"/>
          <w:highlight w:val="none"/>
        </w:rPr>
      </w:pPr>
      <w:r>
        <w:rPr>
          <w:rFonts w:hint="eastAsia" w:ascii="宋体" w:hAnsi="宋体" w:cs="宋体"/>
          <w:szCs w:val="21"/>
          <w:highlight w:val="none"/>
        </w:rPr>
        <w:br w:type="page"/>
      </w:r>
    </w:p>
    <w:p w14:paraId="4EBFA91E">
      <w:pPr>
        <w:keepNext/>
        <w:keepLines/>
        <w:spacing w:before="100" w:line="360" w:lineRule="auto"/>
        <w:jc w:val="center"/>
        <w:outlineLvl w:val="1"/>
        <w:rPr>
          <w:rFonts w:ascii="宋体" w:hAnsi="宋体" w:cs="宋体"/>
          <w:kern w:val="0"/>
          <w:sz w:val="28"/>
          <w:szCs w:val="20"/>
          <w:highlight w:val="none"/>
        </w:rPr>
      </w:pPr>
      <w:bookmarkStart w:id="77" w:name="_Toc112157059"/>
      <w:r>
        <w:rPr>
          <w:rFonts w:hint="eastAsia" w:ascii="宋体" w:hAnsi="宋体" w:cs="宋体"/>
          <w:kern w:val="0"/>
          <w:sz w:val="28"/>
          <w:szCs w:val="20"/>
          <w:highlight w:val="none"/>
        </w:rPr>
        <w:t>3、投标人业绩</w:t>
      </w:r>
      <w:bookmarkEnd w:id="77"/>
      <w:r>
        <w:rPr>
          <w:rFonts w:hint="eastAsia" w:ascii="宋体" w:hAnsi="宋体" w:cs="宋体"/>
          <w:kern w:val="0"/>
          <w:sz w:val="28"/>
          <w:szCs w:val="20"/>
          <w:highlight w:val="none"/>
        </w:rPr>
        <w:t>一览表</w:t>
      </w:r>
    </w:p>
    <w:p w14:paraId="5E58C39C">
      <w:pPr>
        <w:spacing w:line="360" w:lineRule="auto"/>
        <w:jc w:val="center"/>
        <w:rPr>
          <w:rFonts w:hint="eastAsia" w:ascii="宋体" w:hAnsi="宋体" w:cs="宋体"/>
          <w:szCs w:val="21"/>
          <w:highlight w:val="none"/>
        </w:rPr>
      </w:pPr>
    </w:p>
    <w:tbl>
      <w:tblPr>
        <w:tblStyle w:val="37"/>
        <w:tblW w:w="9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
        <w:gridCol w:w="1325"/>
        <w:gridCol w:w="1500"/>
        <w:gridCol w:w="1476"/>
        <w:gridCol w:w="1368"/>
        <w:gridCol w:w="1608"/>
        <w:gridCol w:w="1092"/>
        <w:gridCol w:w="912"/>
      </w:tblGrid>
      <w:tr w14:paraId="2FBE9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14:paraId="1AFB17A8">
            <w:pPr>
              <w:spacing w:line="360" w:lineRule="auto"/>
              <w:jc w:val="center"/>
              <w:rPr>
                <w:rFonts w:hint="eastAsia" w:ascii="宋体" w:hAnsi="宋体" w:cs="宋体"/>
                <w:szCs w:val="21"/>
                <w:highlight w:val="none"/>
              </w:rPr>
            </w:pPr>
            <w:r>
              <w:rPr>
                <w:rFonts w:hint="eastAsia" w:ascii="宋体" w:hAnsi="宋体" w:cs="宋体"/>
                <w:szCs w:val="21"/>
                <w:highlight w:val="none"/>
              </w:rPr>
              <w:t>序号</w:t>
            </w:r>
          </w:p>
        </w:tc>
        <w:tc>
          <w:tcPr>
            <w:tcW w:w="1325" w:type="dxa"/>
            <w:noWrap w:val="0"/>
            <w:vAlign w:val="center"/>
          </w:tcPr>
          <w:p w14:paraId="39985742">
            <w:pPr>
              <w:spacing w:line="360" w:lineRule="auto"/>
              <w:jc w:val="center"/>
              <w:rPr>
                <w:rFonts w:hint="eastAsia" w:ascii="宋体" w:hAnsi="宋体" w:cs="宋体"/>
                <w:szCs w:val="21"/>
                <w:highlight w:val="none"/>
              </w:rPr>
            </w:pPr>
            <w:r>
              <w:rPr>
                <w:rFonts w:hint="eastAsia" w:ascii="宋体" w:hAnsi="宋体" w:cs="宋体"/>
                <w:szCs w:val="21"/>
                <w:highlight w:val="none"/>
              </w:rPr>
              <w:t>项目名称</w:t>
            </w:r>
          </w:p>
        </w:tc>
        <w:tc>
          <w:tcPr>
            <w:tcW w:w="1500" w:type="dxa"/>
            <w:noWrap w:val="0"/>
            <w:vAlign w:val="center"/>
          </w:tcPr>
          <w:p w14:paraId="1871CD1B">
            <w:pPr>
              <w:spacing w:line="360" w:lineRule="auto"/>
              <w:jc w:val="center"/>
              <w:rPr>
                <w:rFonts w:hint="eastAsia" w:ascii="宋体" w:hAnsi="宋体" w:cs="宋体"/>
                <w:b/>
                <w:szCs w:val="21"/>
                <w:highlight w:val="none"/>
              </w:rPr>
            </w:pPr>
            <w:r>
              <w:rPr>
                <w:rFonts w:hint="eastAsia" w:ascii="宋体" w:hAnsi="宋体" w:cs="宋体"/>
                <w:bCs/>
                <w:szCs w:val="21"/>
                <w:highlight w:val="none"/>
              </w:rPr>
              <w:t>合同签订时间</w:t>
            </w:r>
          </w:p>
        </w:tc>
        <w:tc>
          <w:tcPr>
            <w:tcW w:w="1476" w:type="dxa"/>
            <w:noWrap w:val="0"/>
            <w:vAlign w:val="center"/>
          </w:tcPr>
          <w:p w14:paraId="4B616702">
            <w:pPr>
              <w:spacing w:line="360" w:lineRule="auto"/>
              <w:jc w:val="center"/>
              <w:rPr>
                <w:rFonts w:hint="eastAsia" w:ascii="宋体" w:hAnsi="宋体" w:cs="宋体"/>
                <w:szCs w:val="21"/>
                <w:highlight w:val="none"/>
              </w:rPr>
            </w:pPr>
            <w:r>
              <w:rPr>
                <w:rFonts w:hint="eastAsia" w:ascii="宋体" w:hAnsi="宋体" w:cs="宋体"/>
                <w:szCs w:val="21"/>
                <w:highlight w:val="none"/>
              </w:rPr>
              <w:t>项目负责人</w:t>
            </w:r>
          </w:p>
        </w:tc>
        <w:tc>
          <w:tcPr>
            <w:tcW w:w="1368" w:type="dxa"/>
            <w:noWrap w:val="0"/>
            <w:vAlign w:val="center"/>
          </w:tcPr>
          <w:p w14:paraId="68687AA7">
            <w:pPr>
              <w:spacing w:line="360" w:lineRule="auto"/>
              <w:jc w:val="center"/>
              <w:rPr>
                <w:rFonts w:hint="eastAsia" w:ascii="宋体" w:hAnsi="宋体" w:cs="宋体"/>
                <w:szCs w:val="21"/>
                <w:highlight w:val="none"/>
              </w:rPr>
            </w:pPr>
            <w:r>
              <w:rPr>
                <w:rFonts w:hint="eastAsia" w:ascii="宋体" w:hAnsi="宋体" w:cs="宋体"/>
                <w:szCs w:val="21"/>
                <w:highlight w:val="none"/>
              </w:rPr>
              <w:t>发包人名称</w:t>
            </w:r>
          </w:p>
        </w:tc>
        <w:tc>
          <w:tcPr>
            <w:tcW w:w="1608" w:type="dxa"/>
            <w:noWrap w:val="0"/>
            <w:vAlign w:val="center"/>
          </w:tcPr>
          <w:p w14:paraId="214F05E7">
            <w:pPr>
              <w:spacing w:line="360" w:lineRule="auto"/>
              <w:jc w:val="center"/>
              <w:rPr>
                <w:rFonts w:hint="eastAsia" w:ascii="宋体" w:hAnsi="宋体" w:cs="宋体"/>
                <w:szCs w:val="21"/>
                <w:highlight w:val="none"/>
              </w:rPr>
            </w:pPr>
            <w:r>
              <w:rPr>
                <w:rFonts w:hint="eastAsia" w:ascii="宋体" w:hAnsi="宋体" w:cs="宋体"/>
                <w:szCs w:val="21"/>
                <w:highlight w:val="none"/>
              </w:rPr>
              <w:t>发包人联系人</w:t>
            </w:r>
          </w:p>
        </w:tc>
        <w:tc>
          <w:tcPr>
            <w:tcW w:w="1092" w:type="dxa"/>
            <w:noWrap w:val="0"/>
            <w:vAlign w:val="center"/>
          </w:tcPr>
          <w:p w14:paraId="5197EA0A">
            <w:pPr>
              <w:spacing w:line="360" w:lineRule="auto"/>
              <w:jc w:val="center"/>
              <w:rPr>
                <w:rFonts w:hint="eastAsia" w:ascii="宋体" w:hAnsi="宋体" w:cs="宋体"/>
                <w:szCs w:val="21"/>
                <w:highlight w:val="none"/>
              </w:rPr>
            </w:pPr>
            <w:r>
              <w:rPr>
                <w:rFonts w:hint="eastAsia" w:ascii="宋体" w:hAnsi="宋体" w:cs="宋体"/>
                <w:szCs w:val="21"/>
                <w:highlight w:val="none"/>
              </w:rPr>
              <w:t>联系电话</w:t>
            </w:r>
          </w:p>
        </w:tc>
        <w:tc>
          <w:tcPr>
            <w:tcW w:w="912" w:type="dxa"/>
            <w:noWrap w:val="0"/>
            <w:vAlign w:val="center"/>
          </w:tcPr>
          <w:p w14:paraId="6F64FF06">
            <w:pPr>
              <w:spacing w:line="360" w:lineRule="auto"/>
              <w:jc w:val="center"/>
              <w:rPr>
                <w:rFonts w:hint="eastAsia" w:ascii="宋体" w:hAnsi="宋体" w:cs="宋体"/>
                <w:szCs w:val="21"/>
                <w:highlight w:val="none"/>
              </w:rPr>
            </w:pPr>
            <w:r>
              <w:rPr>
                <w:rFonts w:hint="eastAsia" w:ascii="宋体" w:hAnsi="宋体" w:cs="宋体"/>
                <w:szCs w:val="21"/>
                <w:highlight w:val="none"/>
              </w:rPr>
              <w:t>项目简介</w:t>
            </w:r>
          </w:p>
        </w:tc>
      </w:tr>
      <w:tr w14:paraId="159B7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14:paraId="722F0925">
            <w:pPr>
              <w:spacing w:line="360" w:lineRule="auto"/>
              <w:rPr>
                <w:rFonts w:hint="eastAsia" w:ascii="宋体" w:hAnsi="宋体" w:cs="宋体"/>
                <w:szCs w:val="21"/>
                <w:highlight w:val="none"/>
              </w:rPr>
            </w:pPr>
            <w:r>
              <w:rPr>
                <w:rFonts w:hint="eastAsia" w:ascii="宋体" w:hAnsi="宋体" w:cs="宋体"/>
                <w:szCs w:val="21"/>
                <w:highlight w:val="none"/>
              </w:rPr>
              <w:t>1</w:t>
            </w:r>
          </w:p>
        </w:tc>
        <w:tc>
          <w:tcPr>
            <w:tcW w:w="1325" w:type="dxa"/>
            <w:noWrap w:val="0"/>
            <w:vAlign w:val="center"/>
          </w:tcPr>
          <w:p w14:paraId="4338F780">
            <w:pPr>
              <w:spacing w:line="360" w:lineRule="auto"/>
              <w:rPr>
                <w:rFonts w:hint="eastAsia" w:ascii="宋体" w:hAnsi="宋体" w:cs="宋体"/>
                <w:szCs w:val="21"/>
                <w:highlight w:val="none"/>
              </w:rPr>
            </w:pPr>
          </w:p>
        </w:tc>
        <w:tc>
          <w:tcPr>
            <w:tcW w:w="1500" w:type="dxa"/>
            <w:noWrap w:val="0"/>
            <w:vAlign w:val="center"/>
          </w:tcPr>
          <w:p w14:paraId="59DF94BC">
            <w:pPr>
              <w:spacing w:line="360" w:lineRule="auto"/>
              <w:rPr>
                <w:rFonts w:hint="eastAsia" w:ascii="宋体" w:hAnsi="宋体" w:cs="宋体"/>
                <w:szCs w:val="21"/>
                <w:highlight w:val="none"/>
              </w:rPr>
            </w:pPr>
          </w:p>
        </w:tc>
        <w:tc>
          <w:tcPr>
            <w:tcW w:w="1476" w:type="dxa"/>
            <w:noWrap w:val="0"/>
            <w:vAlign w:val="center"/>
          </w:tcPr>
          <w:p w14:paraId="09A84AF8">
            <w:pPr>
              <w:spacing w:line="360" w:lineRule="auto"/>
              <w:rPr>
                <w:rFonts w:hint="eastAsia" w:ascii="宋体" w:hAnsi="宋体" w:cs="宋体"/>
                <w:szCs w:val="21"/>
                <w:highlight w:val="none"/>
              </w:rPr>
            </w:pPr>
          </w:p>
        </w:tc>
        <w:tc>
          <w:tcPr>
            <w:tcW w:w="1368" w:type="dxa"/>
            <w:noWrap w:val="0"/>
            <w:vAlign w:val="center"/>
          </w:tcPr>
          <w:p w14:paraId="5C45EE2E">
            <w:pPr>
              <w:spacing w:line="360" w:lineRule="auto"/>
              <w:rPr>
                <w:rFonts w:hint="eastAsia" w:ascii="宋体" w:hAnsi="宋体" w:cs="宋体"/>
                <w:szCs w:val="21"/>
                <w:highlight w:val="none"/>
              </w:rPr>
            </w:pPr>
          </w:p>
        </w:tc>
        <w:tc>
          <w:tcPr>
            <w:tcW w:w="1608" w:type="dxa"/>
            <w:noWrap w:val="0"/>
            <w:vAlign w:val="center"/>
          </w:tcPr>
          <w:p w14:paraId="20793D20">
            <w:pPr>
              <w:spacing w:line="360" w:lineRule="auto"/>
              <w:rPr>
                <w:rFonts w:hint="eastAsia" w:ascii="宋体" w:hAnsi="宋体" w:cs="宋体"/>
                <w:szCs w:val="21"/>
                <w:highlight w:val="none"/>
              </w:rPr>
            </w:pPr>
          </w:p>
        </w:tc>
        <w:tc>
          <w:tcPr>
            <w:tcW w:w="1092" w:type="dxa"/>
            <w:noWrap w:val="0"/>
            <w:vAlign w:val="center"/>
          </w:tcPr>
          <w:p w14:paraId="387E260D">
            <w:pPr>
              <w:spacing w:line="360" w:lineRule="auto"/>
              <w:rPr>
                <w:rFonts w:hint="eastAsia" w:ascii="宋体" w:hAnsi="宋体" w:cs="宋体"/>
                <w:szCs w:val="21"/>
                <w:highlight w:val="none"/>
              </w:rPr>
            </w:pPr>
          </w:p>
        </w:tc>
        <w:tc>
          <w:tcPr>
            <w:tcW w:w="912" w:type="dxa"/>
            <w:noWrap w:val="0"/>
            <w:vAlign w:val="center"/>
          </w:tcPr>
          <w:p w14:paraId="61340B48">
            <w:pPr>
              <w:spacing w:line="360" w:lineRule="auto"/>
              <w:rPr>
                <w:rFonts w:hint="eastAsia" w:ascii="宋体" w:hAnsi="宋体" w:cs="宋体"/>
                <w:szCs w:val="21"/>
                <w:highlight w:val="none"/>
              </w:rPr>
            </w:pPr>
          </w:p>
        </w:tc>
      </w:tr>
      <w:tr w14:paraId="4A6BE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14:paraId="0CCF4A1F">
            <w:pPr>
              <w:spacing w:line="360" w:lineRule="auto"/>
              <w:rPr>
                <w:rFonts w:hint="eastAsia" w:ascii="宋体" w:hAnsi="宋体" w:cs="宋体"/>
                <w:szCs w:val="21"/>
                <w:highlight w:val="none"/>
              </w:rPr>
            </w:pPr>
            <w:r>
              <w:rPr>
                <w:rFonts w:hint="eastAsia" w:ascii="宋体" w:hAnsi="宋体" w:cs="宋体"/>
                <w:szCs w:val="21"/>
                <w:highlight w:val="none"/>
              </w:rPr>
              <w:t>2</w:t>
            </w:r>
          </w:p>
        </w:tc>
        <w:tc>
          <w:tcPr>
            <w:tcW w:w="1325" w:type="dxa"/>
            <w:noWrap w:val="0"/>
            <w:vAlign w:val="center"/>
          </w:tcPr>
          <w:p w14:paraId="0D7500BB">
            <w:pPr>
              <w:spacing w:line="360" w:lineRule="auto"/>
              <w:rPr>
                <w:rFonts w:hint="eastAsia" w:ascii="宋体" w:hAnsi="宋体" w:cs="宋体"/>
                <w:szCs w:val="21"/>
                <w:highlight w:val="none"/>
              </w:rPr>
            </w:pPr>
          </w:p>
        </w:tc>
        <w:tc>
          <w:tcPr>
            <w:tcW w:w="1500" w:type="dxa"/>
            <w:noWrap w:val="0"/>
            <w:vAlign w:val="center"/>
          </w:tcPr>
          <w:p w14:paraId="72AECEC6">
            <w:pPr>
              <w:spacing w:line="360" w:lineRule="auto"/>
              <w:rPr>
                <w:rFonts w:hint="eastAsia" w:ascii="宋体" w:hAnsi="宋体" w:cs="宋体"/>
                <w:szCs w:val="21"/>
                <w:highlight w:val="none"/>
              </w:rPr>
            </w:pPr>
          </w:p>
        </w:tc>
        <w:tc>
          <w:tcPr>
            <w:tcW w:w="1476" w:type="dxa"/>
            <w:noWrap w:val="0"/>
            <w:vAlign w:val="center"/>
          </w:tcPr>
          <w:p w14:paraId="6AB644AE">
            <w:pPr>
              <w:spacing w:line="360" w:lineRule="auto"/>
              <w:rPr>
                <w:rFonts w:hint="eastAsia" w:ascii="宋体" w:hAnsi="宋体" w:cs="宋体"/>
                <w:szCs w:val="21"/>
                <w:highlight w:val="none"/>
              </w:rPr>
            </w:pPr>
          </w:p>
        </w:tc>
        <w:tc>
          <w:tcPr>
            <w:tcW w:w="1368" w:type="dxa"/>
            <w:noWrap w:val="0"/>
            <w:vAlign w:val="center"/>
          </w:tcPr>
          <w:p w14:paraId="4CC6EF14">
            <w:pPr>
              <w:spacing w:line="360" w:lineRule="auto"/>
              <w:rPr>
                <w:rFonts w:hint="eastAsia" w:ascii="宋体" w:hAnsi="宋体" w:cs="宋体"/>
                <w:szCs w:val="21"/>
                <w:highlight w:val="none"/>
              </w:rPr>
            </w:pPr>
          </w:p>
        </w:tc>
        <w:tc>
          <w:tcPr>
            <w:tcW w:w="1608" w:type="dxa"/>
            <w:noWrap w:val="0"/>
            <w:vAlign w:val="center"/>
          </w:tcPr>
          <w:p w14:paraId="44AC7791">
            <w:pPr>
              <w:spacing w:line="360" w:lineRule="auto"/>
              <w:rPr>
                <w:rFonts w:hint="eastAsia" w:ascii="宋体" w:hAnsi="宋体" w:cs="宋体"/>
                <w:szCs w:val="21"/>
                <w:highlight w:val="none"/>
              </w:rPr>
            </w:pPr>
          </w:p>
        </w:tc>
        <w:tc>
          <w:tcPr>
            <w:tcW w:w="1092" w:type="dxa"/>
            <w:noWrap w:val="0"/>
            <w:vAlign w:val="center"/>
          </w:tcPr>
          <w:p w14:paraId="0078C545">
            <w:pPr>
              <w:spacing w:line="360" w:lineRule="auto"/>
              <w:rPr>
                <w:rFonts w:hint="eastAsia" w:ascii="宋体" w:hAnsi="宋体" w:cs="宋体"/>
                <w:szCs w:val="21"/>
                <w:highlight w:val="none"/>
              </w:rPr>
            </w:pPr>
          </w:p>
        </w:tc>
        <w:tc>
          <w:tcPr>
            <w:tcW w:w="912" w:type="dxa"/>
            <w:noWrap w:val="0"/>
            <w:vAlign w:val="center"/>
          </w:tcPr>
          <w:p w14:paraId="3D3B3CDF">
            <w:pPr>
              <w:spacing w:line="360" w:lineRule="auto"/>
              <w:rPr>
                <w:rFonts w:hint="eastAsia" w:ascii="宋体" w:hAnsi="宋体" w:cs="宋体"/>
                <w:szCs w:val="21"/>
                <w:highlight w:val="none"/>
              </w:rPr>
            </w:pPr>
          </w:p>
        </w:tc>
      </w:tr>
      <w:tr w14:paraId="50CA3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14:paraId="70DB3F0B">
            <w:pPr>
              <w:spacing w:line="360" w:lineRule="auto"/>
              <w:rPr>
                <w:rFonts w:hint="eastAsia" w:ascii="宋体" w:hAnsi="宋体" w:cs="宋体"/>
                <w:szCs w:val="21"/>
                <w:highlight w:val="none"/>
              </w:rPr>
            </w:pPr>
            <w:r>
              <w:rPr>
                <w:rFonts w:hint="eastAsia" w:ascii="宋体" w:hAnsi="宋体" w:cs="宋体"/>
                <w:szCs w:val="21"/>
                <w:highlight w:val="none"/>
              </w:rPr>
              <w:t>3</w:t>
            </w:r>
          </w:p>
        </w:tc>
        <w:tc>
          <w:tcPr>
            <w:tcW w:w="1325" w:type="dxa"/>
            <w:noWrap w:val="0"/>
            <w:vAlign w:val="center"/>
          </w:tcPr>
          <w:p w14:paraId="05D268A9">
            <w:pPr>
              <w:spacing w:line="360" w:lineRule="auto"/>
              <w:rPr>
                <w:rFonts w:hint="eastAsia" w:ascii="宋体" w:hAnsi="宋体" w:cs="宋体"/>
                <w:szCs w:val="21"/>
                <w:highlight w:val="none"/>
              </w:rPr>
            </w:pPr>
          </w:p>
        </w:tc>
        <w:tc>
          <w:tcPr>
            <w:tcW w:w="1500" w:type="dxa"/>
            <w:noWrap w:val="0"/>
            <w:vAlign w:val="center"/>
          </w:tcPr>
          <w:p w14:paraId="4C2CB36E">
            <w:pPr>
              <w:spacing w:line="360" w:lineRule="auto"/>
              <w:rPr>
                <w:rFonts w:hint="eastAsia" w:ascii="宋体" w:hAnsi="宋体" w:cs="宋体"/>
                <w:szCs w:val="21"/>
                <w:highlight w:val="none"/>
              </w:rPr>
            </w:pPr>
          </w:p>
        </w:tc>
        <w:tc>
          <w:tcPr>
            <w:tcW w:w="1476" w:type="dxa"/>
            <w:noWrap w:val="0"/>
            <w:vAlign w:val="center"/>
          </w:tcPr>
          <w:p w14:paraId="2B164EA0">
            <w:pPr>
              <w:spacing w:line="360" w:lineRule="auto"/>
              <w:rPr>
                <w:rFonts w:hint="eastAsia" w:ascii="宋体" w:hAnsi="宋体" w:cs="宋体"/>
                <w:szCs w:val="21"/>
                <w:highlight w:val="none"/>
              </w:rPr>
            </w:pPr>
          </w:p>
        </w:tc>
        <w:tc>
          <w:tcPr>
            <w:tcW w:w="1368" w:type="dxa"/>
            <w:noWrap w:val="0"/>
            <w:vAlign w:val="center"/>
          </w:tcPr>
          <w:p w14:paraId="3A3D7D3E">
            <w:pPr>
              <w:spacing w:line="360" w:lineRule="auto"/>
              <w:rPr>
                <w:rFonts w:hint="eastAsia" w:ascii="宋体" w:hAnsi="宋体" w:cs="宋体"/>
                <w:szCs w:val="21"/>
                <w:highlight w:val="none"/>
              </w:rPr>
            </w:pPr>
          </w:p>
        </w:tc>
        <w:tc>
          <w:tcPr>
            <w:tcW w:w="1608" w:type="dxa"/>
            <w:noWrap w:val="0"/>
            <w:vAlign w:val="center"/>
          </w:tcPr>
          <w:p w14:paraId="2C7C788D">
            <w:pPr>
              <w:spacing w:line="360" w:lineRule="auto"/>
              <w:rPr>
                <w:rFonts w:hint="eastAsia" w:ascii="宋体" w:hAnsi="宋体" w:cs="宋体"/>
                <w:szCs w:val="21"/>
                <w:highlight w:val="none"/>
              </w:rPr>
            </w:pPr>
          </w:p>
        </w:tc>
        <w:tc>
          <w:tcPr>
            <w:tcW w:w="1092" w:type="dxa"/>
            <w:noWrap w:val="0"/>
            <w:vAlign w:val="center"/>
          </w:tcPr>
          <w:p w14:paraId="032A4DEA">
            <w:pPr>
              <w:spacing w:line="360" w:lineRule="auto"/>
              <w:rPr>
                <w:rFonts w:hint="eastAsia" w:ascii="宋体" w:hAnsi="宋体" w:cs="宋体"/>
                <w:szCs w:val="21"/>
                <w:highlight w:val="none"/>
              </w:rPr>
            </w:pPr>
          </w:p>
        </w:tc>
        <w:tc>
          <w:tcPr>
            <w:tcW w:w="912" w:type="dxa"/>
            <w:noWrap w:val="0"/>
            <w:vAlign w:val="center"/>
          </w:tcPr>
          <w:p w14:paraId="1E5B0809">
            <w:pPr>
              <w:spacing w:line="360" w:lineRule="auto"/>
              <w:rPr>
                <w:rFonts w:hint="eastAsia" w:ascii="宋体" w:hAnsi="宋体" w:cs="宋体"/>
                <w:szCs w:val="21"/>
                <w:highlight w:val="none"/>
              </w:rPr>
            </w:pPr>
          </w:p>
        </w:tc>
      </w:tr>
      <w:tr w14:paraId="1C736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14:paraId="732CF2C4">
            <w:pPr>
              <w:spacing w:line="360" w:lineRule="auto"/>
              <w:rPr>
                <w:rFonts w:hint="eastAsia" w:ascii="宋体" w:hAnsi="宋体" w:cs="宋体"/>
                <w:szCs w:val="21"/>
                <w:highlight w:val="none"/>
              </w:rPr>
            </w:pPr>
            <w:r>
              <w:rPr>
                <w:rFonts w:hint="eastAsia" w:ascii="宋体" w:hAnsi="宋体" w:cs="宋体"/>
                <w:szCs w:val="21"/>
                <w:highlight w:val="none"/>
              </w:rPr>
              <w:t>4</w:t>
            </w:r>
          </w:p>
        </w:tc>
        <w:tc>
          <w:tcPr>
            <w:tcW w:w="1325" w:type="dxa"/>
            <w:noWrap w:val="0"/>
            <w:vAlign w:val="center"/>
          </w:tcPr>
          <w:p w14:paraId="603C1277">
            <w:pPr>
              <w:spacing w:line="360" w:lineRule="auto"/>
              <w:rPr>
                <w:rFonts w:hint="eastAsia" w:ascii="宋体" w:hAnsi="宋体" w:cs="宋体"/>
                <w:szCs w:val="21"/>
                <w:highlight w:val="none"/>
              </w:rPr>
            </w:pPr>
          </w:p>
        </w:tc>
        <w:tc>
          <w:tcPr>
            <w:tcW w:w="1500" w:type="dxa"/>
            <w:noWrap w:val="0"/>
            <w:vAlign w:val="center"/>
          </w:tcPr>
          <w:p w14:paraId="330D6037">
            <w:pPr>
              <w:spacing w:line="360" w:lineRule="auto"/>
              <w:rPr>
                <w:rFonts w:hint="eastAsia" w:ascii="宋体" w:hAnsi="宋体" w:cs="宋体"/>
                <w:szCs w:val="21"/>
                <w:highlight w:val="none"/>
              </w:rPr>
            </w:pPr>
          </w:p>
        </w:tc>
        <w:tc>
          <w:tcPr>
            <w:tcW w:w="1476" w:type="dxa"/>
            <w:noWrap w:val="0"/>
            <w:vAlign w:val="center"/>
          </w:tcPr>
          <w:p w14:paraId="6FF2BBC1">
            <w:pPr>
              <w:spacing w:line="360" w:lineRule="auto"/>
              <w:rPr>
                <w:rFonts w:hint="eastAsia" w:ascii="宋体" w:hAnsi="宋体" w:cs="宋体"/>
                <w:szCs w:val="21"/>
                <w:highlight w:val="none"/>
              </w:rPr>
            </w:pPr>
          </w:p>
        </w:tc>
        <w:tc>
          <w:tcPr>
            <w:tcW w:w="1368" w:type="dxa"/>
            <w:noWrap w:val="0"/>
            <w:vAlign w:val="center"/>
          </w:tcPr>
          <w:p w14:paraId="6A8E25AF">
            <w:pPr>
              <w:spacing w:line="360" w:lineRule="auto"/>
              <w:rPr>
                <w:rFonts w:hint="eastAsia" w:ascii="宋体" w:hAnsi="宋体" w:cs="宋体"/>
                <w:szCs w:val="21"/>
                <w:highlight w:val="none"/>
              </w:rPr>
            </w:pPr>
          </w:p>
        </w:tc>
        <w:tc>
          <w:tcPr>
            <w:tcW w:w="1608" w:type="dxa"/>
            <w:noWrap w:val="0"/>
            <w:vAlign w:val="center"/>
          </w:tcPr>
          <w:p w14:paraId="780F0F09">
            <w:pPr>
              <w:spacing w:line="360" w:lineRule="auto"/>
              <w:rPr>
                <w:rFonts w:hint="eastAsia" w:ascii="宋体" w:hAnsi="宋体" w:cs="宋体"/>
                <w:szCs w:val="21"/>
                <w:highlight w:val="none"/>
              </w:rPr>
            </w:pPr>
          </w:p>
        </w:tc>
        <w:tc>
          <w:tcPr>
            <w:tcW w:w="1092" w:type="dxa"/>
            <w:noWrap w:val="0"/>
            <w:vAlign w:val="center"/>
          </w:tcPr>
          <w:p w14:paraId="73B7F5D4">
            <w:pPr>
              <w:spacing w:line="360" w:lineRule="auto"/>
              <w:rPr>
                <w:rFonts w:hint="eastAsia" w:ascii="宋体" w:hAnsi="宋体" w:cs="宋体"/>
                <w:szCs w:val="21"/>
                <w:highlight w:val="none"/>
              </w:rPr>
            </w:pPr>
          </w:p>
        </w:tc>
        <w:tc>
          <w:tcPr>
            <w:tcW w:w="912" w:type="dxa"/>
            <w:noWrap w:val="0"/>
            <w:vAlign w:val="center"/>
          </w:tcPr>
          <w:p w14:paraId="15718563">
            <w:pPr>
              <w:spacing w:line="360" w:lineRule="auto"/>
              <w:rPr>
                <w:rFonts w:hint="eastAsia" w:ascii="宋体" w:hAnsi="宋体" w:cs="宋体"/>
                <w:szCs w:val="21"/>
                <w:highlight w:val="none"/>
              </w:rPr>
            </w:pPr>
          </w:p>
        </w:tc>
      </w:tr>
      <w:tr w14:paraId="73162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14:paraId="269FA374">
            <w:pPr>
              <w:spacing w:line="360" w:lineRule="auto"/>
              <w:rPr>
                <w:rFonts w:hint="eastAsia" w:ascii="宋体" w:hAnsi="宋体" w:cs="宋体"/>
                <w:szCs w:val="21"/>
                <w:highlight w:val="none"/>
              </w:rPr>
            </w:pPr>
            <w:r>
              <w:rPr>
                <w:rFonts w:hint="eastAsia" w:ascii="宋体" w:hAnsi="宋体" w:cs="宋体"/>
                <w:szCs w:val="21"/>
                <w:highlight w:val="none"/>
              </w:rPr>
              <w:t>5</w:t>
            </w:r>
          </w:p>
        </w:tc>
        <w:tc>
          <w:tcPr>
            <w:tcW w:w="1325" w:type="dxa"/>
            <w:noWrap w:val="0"/>
            <w:vAlign w:val="center"/>
          </w:tcPr>
          <w:p w14:paraId="6530E4C4">
            <w:pPr>
              <w:spacing w:line="360" w:lineRule="auto"/>
              <w:rPr>
                <w:rFonts w:hint="eastAsia" w:ascii="宋体" w:hAnsi="宋体" w:cs="宋体"/>
                <w:szCs w:val="21"/>
                <w:highlight w:val="none"/>
              </w:rPr>
            </w:pPr>
          </w:p>
        </w:tc>
        <w:tc>
          <w:tcPr>
            <w:tcW w:w="1500" w:type="dxa"/>
            <w:noWrap w:val="0"/>
            <w:vAlign w:val="center"/>
          </w:tcPr>
          <w:p w14:paraId="3CFDD1B4">
            <w:pPr>
              <w:spacing w:line="360" w:lineRule="auto"/>
              <w:rPr>
                <w:rFonts w:hint="eastAsia" w:ascii="宋体" w:hAnsi="宋体" w:cs="宋体"/>
                <w:szCs w:val="21"/>
                <w:highlight w:val="none"/>
              </w:rPr>
            </w:pPr>
          </w:p>
        </w:tc>
        <w:tc>
          <w:tcPr>
            <w:tcW w:w="1476" w:type="dxa"/>
            <w:noWrap w:val="0"/>
            <w:vAlign w:val="center"/>
          </w:tcPr>
          <w:p w14:paraId="7A22D442">
            <w:pPr>
              <w:spacing w:line="360" w:lineRule="auto"/>
              <w:rPr>
                <w:rFonts w:hint="eastAsia" w:ascii="宋体" w:hAnsi="宋体" w:cs="宋体"/>
                <w:szCs w:val="21"/>
                <w:highlight w:val="none"/>
              </w:rPr>
            </w:pPr>
          </w:p>
        </w:tc>
        <w:tc>
          <w:tcPr>
            <w:tcW w:w="1368" w:type="dxa"/>
            <w:noWrap w:val="0"/>
            <w:vAlign w:val="center"/>
          </w:tcPr>
          <w:p w14:paraId="35D624BA">
            <w:pPr>
              <w:spacing w:line="360" w:lineRule="auto"/>
              <w:rPr>
                <w:rFonts w:hint="eastAsia" w:ascii="宋体" w:hAnsi="宋体" w:cs="宋体"/>
                <w:szCs w:val="21"/>
                <w:highlight w:val="none"/>
              </w:rPr>
            </w:pPr>
          </w:p>
        </w:tc>
        <w:tc>
          <w:tcPr>
            <w:tcW w:w="1608" w:type="dxa"/>
            <w:noWrap w:val="0"/>
            <w:vAlign w:val="center"/>
          </w:tcPr>
          <w:p w14:paraId="64D98F0E">
            <w:pPr>
              <w:spacing w:line="360" w:lineRule="auto"/>
              <w:rPr>
                <w:rFonts w:hint="eastAsia" w:ascii="宋体" w:hAnsi="宋体" w:cs="宋体"/>
                <w:szCs w:val="21"/>
                <w:highlight w:val="none"/>
              </w:rPr>
            </w:pPr>
          </w:p>
        </w:tc>
        <w:tc>
          <w:tcPr>
            <w:tcW w:w="1092" w:type="dxa"/>
            <w:noWrap w:val="0"/>
            <w:vAlign w:val="center"/>
          </w:tcPr>
          <w:p w14:paraId="7C987E91">
            <w:pPr>
              <w:spacing w:line="360" w:lineRule="auto"/>
              <w:rPr>
                <w:rFonts w:hint="eastAsia" w:ascii="宋体" w:hAnsi="宋体" w:cs="宋体"/>
                <w:szCs w:val="21"/>
                <w:highlight w:val="none"/>
              </w:rPr>
            </w:pPr>
          </w:p>
        </w:tc>
        <w:tc>
          <w:tcPr>
            <w:tcW w:w="912" w:type="dxa"/>
            <w:noWrap w:val="0"/>
            <w:vAlign w:val="center"/>
          </w:tcPr>
          <w:p w14:paraId="534C2504">
            <w:pPr>
              <w:spacing w:line="360" w:lineRule="auto"/>
              <w:rPr>
                <w:rFonts w:hint="eastAsia" w:ascii="宋体" w:hAnsi="宋体" w:cs="宋体"/>
                <w:szCs w:val="21"/>
                <w:highlight w:val="none"/>
              </w:rPr>
            </w:pPr>
          </w:p>
        </w:tc>
      </w:tr>
      <w:tr w14:paraId="143FE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14:paraId="337691BA">
            <w:pPr>
              <w:spacing w:line="360" w:lineRule="auto"/>
              <w:rPr>
                <w:rFonts w:hint="eastAsia" w:ascii="宋体" w:hAnsi="宋体" w:cs="宋体"/>
                <w:szCs w:val="21"/>
                <w:highlight w:val="none"/>
              </w:rPr>
            </w:pPr>
          </w:p>
        </w:tc>
        <w:tc>
          <w:tcPr>
            <w:tcW w:w="1325" w:type="dxa"/>
            <w:noWrap w:val="0"/>
            <w:vAlign w:val="center"/>
          </w:tcPr>
          <w:p w14:paraId="79247A0A">
            <w:pPr>
              <w:spacing w:line="360" w:lineRule="auto"/>
              <w:rPr>
                <w:rFonts w:hint="eastAsia" w:ascii="宋体" w:hAnsi="宋体" w:cs="宋体"/>
                <w:szCs w:val="21"/>
                <w:highlight w:val="none"/>
              </w:rPr>
            </w:pPr>
          </w:p>
        </w:tc>
        <w:tc>
          <w:tcPr>
            <w:tcW w:w="1500" w:type="dxa"/>
            <w:noWrap w:val="0"/>
            <w:vAlign w:val="center"/>
          </w:tcPr>
          <w:p w14:paraId="07DC76AE">
            <w:pPr>
              <w:spacing w:line="360" w:lineRule="auto"/>
              <w:rPr>
                <w:rFonts w:hint="eastAsia" w:ascii="宋体" w:hAnsi="宋体" w:cs="宋体"/>
                <w:szCs w:val="21"/>
                <w:highlight w:val="none"/>
              </w:rPr>
            </w:pPr>
          </w:p>
        </w:tc>
        <w:tc>
          <w:tcPr>
            <w:tcW w:w="1476" w:type="dxa"/>
            <w:noWrap w:val="0"/>
            <w:vAlign w:val="center"/>
          </w:tcPr>
          <w:p w14:paraId="76953702">
            <w:pPr>
              <w:spacing w:line="360" w:lineRule="auto"/>
              <w:rPr>
                <w:rFonts w:hint="eastAsia" w:ascii="宋体" w:hAnsi="宋体" w:cs="宋体"/>
                <w:szCs w:val="21"/>
                <w:highlight w:val="none"/>
              </w:rPr>
            </w:pPr>
          </w:p>
        </w:tc>
        <w:tc>
          <w:tcPr>
            <w:tcW w:w="1368" w:type="dxa"/>
            <w:noWrap w:val="0"/>
            <w:vAlign w:val="center"/>
          </w:tcPr>
          <w:p w14:paraId="618CF5DC">
            <w:pPr>
              <w:spacing w:line="360" w:lineRule="auto"/>
              <w:rPr>
                <w:rFonts w:hint="eastAsia" w:ascii="宋体" w:hAnsi="宋体" w:cs="宋体"/>
                <w:szCs w:val="21"/>
                <w:highlight w:val="none"/>
              </w:rPr>
            </w:pPr>
          </w:p>
        </w:tc>
        <w:tc>
          <w:tcPr>
            <w:tcW w:w="1608" w:type="dxa"/>
            <w:noWrap w:val="0"/>
            <w:vAlign w:val="center"/>
          </w:tcPr>
          <w:p w14:paraId="1EA8BDC8">
            <w:pPr>
              <w:spacing w:line="360" w:lineRule="auto"/>
              <w:rPr>
                <w:rFonts w:hint="eastAsia" w:ascii="宋体" w:hAnsi="宋体" w:cs="宋体"/>
                <w:szCs w:val="21"/>
                <w:highlight w:val="none"/>
              </w:rPr>
            </w:pPr>
          </w:p>
        </w:tc>
        <w:tc>
          <w:tcPr>
            <w:tcW w:w="1092" w:type="dxa"/>
            <w:noWrap w:val="0"/>
            <w:vAlign w:val="center"/>
          </w:tcPr>
          <w:p w14:paraId="26454ADC">
            <w:pPr>
              <w:spacing w:line="360" w:lineRule="auto"/>
              <w:rPr>
                <w:rFonts w:hint="eastAsia" w:ascii="宋体" w:hAnsi="宋体" w:cs="宋体"/>
                <w:szCs w:val="21"/>
                <w:highlight w:val="none"/>
              </w:rPr>
            </w:pPr>
          </w:p>
        </w:tc>
        <w:tc>
          <w:tcPr>
            <w:tcW w:w="912" w:type="dxa"/>
            <w:noWrap w:val="0"/>
            <w:vAlign w:val="center"/>
          </w:tcPr>
          <w:p w14:paraId="40C7A3D3">
            <w:pPr>
              <w:spacing w:line="360" w:lineRule="auto"/>
              <w:rPr>
                <w:rFonts w:hint="eastAsia" w:ascii="宋体" w:hAnsi="宋体" w:cs="宋体"/>
                <w:szCs w:val="21"/>
                <w:highlight w:val="none"/>
              </w:rPr>
            </w:pPr>
          </w:p>
        </w:tc>
      </w:tr>
      <w:tr w14:paraId="4119D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14:paraId="30766BF9">
            <w:pPr>
              <w:spacing w:line="360" w:lineRule="auto"/>
              <w:rPr>
                <w:rFonts w:hint="eastAsia" w:ascii="宋体" w:hAnsi="宋体" w:cs="宋体"/>
                <w:szCs w:val="21"/>
                <w:highlight w:val="none"/>
              </w:rPr>
            </w:pPr>
          </w:p>
        </w:tc>
        <w:tc>
          <w:tcPr>
            <w:tcW w:w="1325" w:type="dxa"/>
            <w:noWrap w:val="0"/>
            <w:vAlign w:val="center"/>
          </w:tcPr>
          <w:p w14:paraId="2E523635">
            <w:pPr>
              <w:spacing w:line="360" w:lineRule="auto"/>
              <w:rPr>
                <w:rFonts w:hint="eastAsia" w:ascii="宋体" w:hAnsi="宋体" w:cs="宋体"/>
                <w:szCs w:val="21"/>
                <w:highlight w:val="none"/>
              </w:rPr>
            </w:pPr>
          </w:p>
        </w:tc>
        <w:tc>
          <w:tcPr>
            <w:tcW w:w="1500" w:type="dxa"/>
            <w:noWrap w:val="0"/>
            <w:vAlign w:val="center"/>
          </w:tcPr>
          <w:p w14:paraId="3AC79FB2">
            <w:pPr>
              <w:spacing w:line="360" w:lineRule="auto"/>
              <w:rPr>
                <w:rFonts w:hint="eastAsia" w:ascii="宋体" w:hAnsi="宋体" w:cs="宋体"/>
                <w:szCs w:val="21"/>
                <w:highlight w:val="none"/>
              </w:rPr>
            </w:pPr>
          </w:p>
        </w:tc>
        <w:tc>
          <w:tcPr>
            <w:tcW w:w="1476" w:type="dxa"/>
            <w:noWrap w:val="0"/>
            <w:vAlign w:val="center"/>
          </w:tcPr>
          <w:p w14:paraId="3DA81189">
            <w:pPr>
              <w:spacing w:line="360" w:lineRule="auto"/>
              <w:rPr>
                <w:rFonts w:hint="eastAsia" w:ascii="宋体" w:hAnsi="宋体" w:cs="宋体"/>
                <w:szCs w:val="21"/>
                <w:highlight w:val="none"/>
              </w:rPr>
            </w:pPr>
          </w:p>
        </w:tc>
        <w:tc>
          <w:tcPr>
            <w:tcW w:w="1368" w:type="dxa"/>
            <w:noWrap w:val="0"/>
            <w:vAlign w:val="center"/>
          </w:tcPr>
          <w:p w14:paraId="5A3C2D9E">
            <w:pPr>
              <w:spacing w:line="360" w:lineRule="auto"/>
              <w:rPr>
                <w:rFonts w:hint="eastAsia" w:ascii="宋体" w:hAnsi="宋体" w:cs="宋体"/>
                <w:szCs w:val="21"/>
                <w:highlight w:val="none"/>
              </w:rPr>
            </w:pPr>
          </w:p>
        </w:tc>
        <w:tc>
          <w:tcPr>
            <w:tcW w:w="1608" w:type="dxa"/>
            <w:noWrap w:val="0"/>
            <w:vAlign w:val="center"/>
          </w:tcPr>
          <w:p w14:paraId="38FBD449">
            <w:pPr>
              <w:spacing w:line="360" w:lineRule="auto"/>
              <w:rPr>
                <w:rFonts w:hint="eastAsia" w:ascii="宋体" w:hAnsi="宋体" w:cs="宋体"/>
                <w:szCs w:val="21"/>
                <w:highlight w:val="none"/>
              </w:rPr>
            </w:pPr>
          </w:p>
        </w:tc>
        <w:tc>
          <w:tcPr>
            <w:tcW w:w="1092" w:type="dxa"/>
            <w:noWrap w:val="0"/>
            <w:vAlign w:val="center"/>
          </w:tcPr>
          <w:p w14:paraId="154A5B48">
            <w:pPr>
              <w:spacing w:line="360" w:lineRule="auto"/>
              <w:rPr>
                <w:rFonts w:hint="eastAsia" w:ascii="宋体" w:hAnsi="宋体" w:cs="宋体"/>
                <w:szCs w:val="21"/>
                <w:highlight w:val="none"/>
              </w:rPr>
            </w:pPr>
          </w:p>
        </w:tc>
        <w:tc>
          <w:tcPr>
            <w:tcW w:w="912" w:type="dxa"/>
            <w:noWrap w:val="0"/>
            <w:vAlign w:val="center"/>
          </w:tcPr>
          <w:p w14:paraId="23AE85AB">
            <w:pPr>
              <w:spacing w:line="360" w:lineRule="auto"/>
              <w:rPr>
                <w:rFonts w:hint="eastAsia" w:ascii="宋体" w:hAnsi="宋体" w:cs="宋体"/>
                <w:szCs w:val="21"/>
                <w:highlight w:val="none"/>
              </w:rPr>
            </w:pPr>
          </w:p>
        </w:tc>
      </w:tr>
      <w:tr w14:paraId="5257E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dxa"/>
            <w:noWrap w:val="0"/>
            <w:vAlign w:val="center"/>
          </w:tcPr>
          <w:p w14:paraId="66719F4A">
            <w:pPr>
              <w:spacing w:line="360" w:lineRule="auto"/>
              <w:rPr>
                <w:rFonts w:hint="eastAsia" w:ascii="宋体" w:hAnsi="宋体" w:cs="宋体"/>
                <w:szCs w:val="21"/>
                <w:highlight w:val="none"/>
              </w:rPr>
            </w:pPr>
          </w:p>
        </w:tc>
        <w:tc>
          <w:tcPr>
            <w:tcW w:w="1325" w:type="dxa"/>
            <w:noWrap w:val="0"/>
            <w:vAlign w:val="center"/>
          </w:tcPr>
          <w:p w14:paraId="00890796">
            <w:pPr>
              <w:spacing w:line="360" w:lineRule="auto"/>
              <w:rPr>
                <w:rFonts w:hint="eastAsia" w:ascii="宋体" w:hAnsi="宋体" w:cs="宋体"/>
                <w:szCs w:val="21"/>
                <w:highlight w:val="none"/>
              </w:rPr>
            </w:pPr>
          </w:p>
        </w:tc>
        <w:tc>
          <w:tcPr>
            <w:tcW w:w="1500" w:type="dxa"/>
            <w:noWrap w:val="0"/>
            <w:vAlign w:val="center"/>
          </w:tcPr>
          <w:p w14:paraId="528B5706">
            <w:pPr>
              <w:spacing w:line="360" w:lineRule="auto"/>
              <w:rPr>
                <w:rFonts w:hint="eastAsia" w:ascii="宋体" w:hAnsi="宋体" w:cs="宋体"/>
                <w:szCs w:val="21"/>
                <w:highlight w:val="none"/>
              </w:rPr>
            </w:pPr>
          </w:p>
        </w:tc>
        <w:tc>
          <w:tcPr>
            <w:tcW w:w="1476" w:type="dxa"/>
            <w:noWrap w:val="0"/>
            <w:vAlign w:val="center"/>
          </w:tcPr>
          <w:p w14:paraId="740E5C41">
            <w:pPr>
              <w:spacing w:line="360" w:lineRule="auto"/>
              <w:rPr>
                <w:rFonts w:hint="eastAsia" w:ascii="宋体" w:hAnsi="宋体" w:cs="宋体"/>
                <w:szCs w:val="21"/>
                <w:highlight w:val="none"/>
              </w:rPr>
            </w:pPr>
          </w:p>
        </w:tc>
        <w:tc>
          <w:tcPr>
            <w:tcW w:w="1368" w:type="dxa"/>
            <w:noWrap w:val="0"/>
            <w:vAlign w:val="center"/>
          </w:tcPr>
          <w:p w14:paraId="14E07120">
            <w:pPr>
              <w:spacing w:line="360" w:lineRule="auto"/>
              <w:rPr>
                <w:rFonts w:hint="eastAsia" w:ascii="宋体" w:hAnsi="宋体" w:cs="宋体"/>
                <w:szCs w:val="21"/>
                <w:highlight w:val="none"/>
              </w:rPr>
            </w:pPr>
          </w:p>
        </w:tc>
        <w:tc>
          <w:tcPr>
            <w:tcW w:w="1608" w:type="dxa"/>
            <w:noWrap w:val="0"/>
            <w:vAlign w:val="center"/>
          </w:tcPr>
          <w:p w14:paraId="2C1158D1">
            <w:pPr>
              <w:spacing w:line="360" w:lineRule="auto"/>
              <w:rPr>
                <w:rFonts w:hint="eastAsia" w:ascii="宋体" w:hAnsi="宋体" w:cs="宋体"/>
                <w:szCs w:val="21"/>
                <w:highlight w:val="none"/>
              </w:rPr>
            </w:pPr>
          </w:p>
        </w:tc>
        <w:tc>
          <w:tcPr>
            <w:tcW w:w="1092" w:type="dxa"/>
            <w:noWrap w:val="0"/>
            <w:vAlign w:val="center"/>
          </w:tcPr>
          <w:p w14:paraId="742E9D7D">
            <w:pPr>
              <w:spacing w:line="360" w:lineRule="auto"/>
              <w:rPr>
                <w:rFonts w:hint="eastAsia" w:ascii="宋体" w:hAnsi="宋体" w:cs="宋体"/>
                <w:szCs w:val="21"/>
                <w:highlight w:val="none"/>
              </w:rPr>
            </w:pPr>
          </w:p>
        </w:tc>
        <w:tc>
          <w:tcPr>
            <w:tcW w:w="912" w:type="dxa"/>
            <w:noWrap w:val="0"/>
            <w:vAlign w:val="center"/>
          </w:tcPr>
          <w:p w14:paraId="6E212EF9">
            <w:pPr>
              <w:spacing w:line="360" w:lineRule="auto"/>
              <w:rPr>
                <w:rFonts w:hint="eastAsia" w:ascii="宋体" w:hAnsi="宋体" w:cs="宋体"/>
                <w:szCs w:val="21"/>
                <w:highlight w:val="none"/>
              </w:rPr>
            </w:pPr>
          </w:p>
        </w:tc>
      </w:tr>
    </w:tbl>
    <w:p w14:paraId="52D88897">
      <w:pPr>
        <w:spacing w:line="360" w:lineRule="auto"/>
        <w:rPr>
          <w:rFonts w:hint="eastAsia" w:ascii="宋体" w:hAnsi="宋体" w:cs="宋体"/>
          <w:szCs w:val="21"/>
          <w:highlight w:val="none"/>
        </w:rPr>
      </w:pPr>
    </w:p>
    <w:p w14:paraId="58A01484">
      <w:pPr>
        <w:spacing w:line="360" w:lineRule="auto"/>
        <w:rPr>
          <w:rFonts w:hint="eastAsia" w:ascii="宋体" w:hAnsi="宋体" w:cs="宋体"/>
          <w:szCs w:val="21"/>
          <w:highlight w:val="none"/>
        </w:rPr>
      </w:pPr>
    </w:p>
    <w:p w14:paraId="4A5A62B5">
      <w:pPr>
        <w:spacing w:line="360" w:lineRule="auto"/>
        <w:rPr>
          <w:rFonts w:hint="eastAsia" w:ascii="宋体" w:hAnsi="宋体" w:cs="宋体"/>
          <w:szCs w:val="21"/>
          <w:highlight w:val="none"/>
        </w:rPr>
      </w:pPr>
    </w:p>
    <w:p w14:paraId="2138947A">
      <w:pPr>
        <w:spacing w:line="360" w:lineRule="auto"/>
        <w:rPr>
          <w:rFonts w:hint="eastAsia" w:ascii="宋体" w:hAnsi="宋体" w:cs="宋体"/>
          <w:szCs w:val="21"/>
          <w:highlight w:val="none"/>
        </w:rPr>
      </w:pPr>
    </w:p>
    <w:p w14:paraId="1D65C1E8">
      <w:pPr>
        <w:spacing w:line="360" w:lineRule="auto"/>
        <w:rPr>
          <w:rFonts w:hint="eastAsia" w:ascii="宋体" w:hAnsi="宋体" w:cs="宋体"/>
          <w:szCs w:val="21"/>
          <w:highlight w:val="none"/>
        </w:rPr>
        <w:sectPr>
          <w:pgSz w:w="11905" w:h="16838"/>
          <w:pgMar w:top="1247" w:right="1247" w:bottom="1247" w:left="1247" w:header="624" w:footer="737" w:gutter="0"/>
          <w:pgNumType w:fmt="decimal"/>
          <w:cols w:space="720" w:num="1"/>
          <w:docGrid w:linePitch="312" w:charSpace="0"/>
        </w:sectPr>
      </w:pPr>
    </w:p>
    <w:p w14:paraId="57CEA06D">
      <w:pPr>
        <w:keepNext/>
        <w:keepLines/>
        <w:spacing w:before="100" w:line="360" w:lineRule="auto"/>
        <w:jc w:val="center"/>
        <w:outlineLvl w:val="1"/>
        <w:rPr>
          <w:rFonts w:hint="eastAsia" w:ascii="宋体" w:hAnsi="宋体" w:cs="宋体"/>
          <w:kern w:val="0"/>
          <w:sz w:val="28"/>
          <w:szCs w:val="20"/>
          <w:highlight w:val="none"/>
        </w:rPr>
      </w:pPr>
      <w:r>
        <w:rPr>
          <w:rFonts w:hint="eastAsia" w:ascii="宋体" w:hAnsi="宋体" w:cs="宋体"/>
          <w:kern w:val="0"/>
          <w:sz w:val="28"/>
          <w:szCs w:val="20"/>
          <w:highlight w:val="none"/>
        </w:rPr>
        <w:t>4、申请人（投标人）与其他单位存在控股、管理关系表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5172"/>
        <w:gridCol w:w="3210"/>
      </w:tblGrid>
      <w:tr w14:paraId="4E496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dxa"/>
            <w:noWrap w:val="0"/>
            <w:vAlign w:val="top"/>
          </w:tcPr>
          <w:p w14:paraId="4C7AF2BE">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序号</w:t>
            </w:r>
          </w:p>
        </w:tc>
        <w:tc>
          <w:tcPr>
            <w:tcW w:w="5172" w:type="dxa"/>
            <w:noWrap w:val="0"/>
            <w:vAlign w:val="top"/>
          </w:tcPr>
          <w:p w14:paraId="2E023516">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控股、管理申请人/投标人的单位名称</w:t>
            </w:r>
          </w:p>
        </w:tc>
        <w:tc>
          <w:tcPr>
            <w:tcW w:w="3210" w:type="dxa"/>
            <w:noWrap w:val="0"/>
            <w:vAlign w:val="top"/>
          </w:tcPr>
          <w:p w14:paraId="5B278B9C">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控股、管理关系情况说明</w:t>
            </w:r>
          </w:p>
        </w:tc>
      </w:tr>
      <w:tr w14:paraId="24B75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dxa"/>
            <w:noWrap w:val="0"/>
            <w:vAlign w:val="top"/>
          </w:tcPr>
          <w:p w14:paraId="38639CAA">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1</w:t>
            </w:r>
          </w:p>
        </w:tc>
        <w:tc>
          <w:tcPr>
            <w:tcW w:w="5172" w:type="dxa"/>
            <w:noWrap w:val="0"/>
            <w:vAlign w:val="top"/>
          </w:tcPr>
          <w:p w14:paraId="1E323478">
            <w:pPr>
              <w:keepNext/>
              <w:keepLines/>
              <w:spacing w:before="100" w:line="360" w:lineRule="auto"/>
              <w:jc w:val="center"/>
              <w:outlineLvl w:val="1"/>
              <w:rPr>
                <w:rFonts w:hint="eastAsia" w:ascii="宋体" w:hAnsi="宋体" w:cs="宋体"/>
                <w:szCs w:val="21"/>
                <w:highlight w:val="none"/>
              </w:rPr>
            </w:pPr>
          </w:p>
        </w:tc>
        <w:tc>
          <w:tcPr>
            <w:tcW w:w="3210" w:type="dxa"/>
            <w:noWrap w:val="0"/>
            <w:vAlign w:val="top"/>
          </w:tcPr>
          <w:p w14:paraId="7EAF7D18">
            <w:pPr>
              <w:keepNext/>
              <w:keepLines/>
              <w:spacing w:before="100" w:line="360" w:lineRule="auto"/>
              <w:jc w:val="center"/>
              <w:outlineLvl w:val="1"/>
              <w:rPr>
                <w:rFonts w:hint="eastAsia" w:ascii="宋体" w:hAnsi="宋体" w:cs="宋体"/>
                <w:szCs w:val="21"/>
                <w:highlight w:val="none"/>
              </w:rPr>
            </w:pPr>
          </w:p>
        </w:tc>
      </w:tr>
      <w:tr w14:paraId="3957C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dxa"/>
            <w:noWrap w:val="0"/>
            <w:vAlign w:val="top"/>
          </w:tcPr>
          <w:p w14:paraId="7CC259E8">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2</w:t>
            </w:r>
          </w:p>
        </w:tc>
        <w:tc>
          <w:tcPr>
            <w:tcW w:w="5172" w:type="dxa"/>
            <w:noWrap w:val="0"/>
            <w:vAlign w:val="top"/>
          </w:tcPr>
          <w:p w14:paraId="2C7F9472">
            <w:pPr>
              <w:keepNext/>
              <w:keepLines/>
              <w:spacing w:before="100" w:line="360" w:lineRule="auto"/>
              <w:jc w:val="center"/>
              <w:outlineLvl w:val="1"/>
              <w:rPr>
                <w:rFonts w:hint="eastAsia" w:ascii="宋体" w:hAnsi="宋体" w:cs="宋体"/>
                <w:szCs w:val="21"/>
                <w:highlight w:val="none"/>
              </w:rPr>
            </w:pPr>
          </w:p>
        </w:tc>
        <w:tc>
          <w:tcPr>
            <w:tcW w:w="3210" w:type="dxa"/>
            <w:noWrap w:val="0"/>
            <w:vAlign w:val="top"/>
          </w:tcPr>
          <w:p w14:paraId="2010189C">
            <w:pPr>
              <w:keepNext/>
              <w:keepLines/>
              <w:spacing w:before="100" w:line="360" w:lineRule="auto"/>
              <w:jc w:val="center"/>
              <w:outlineLvl w:val="1"/>
              <w:rPr>
                <w:rFonts w:hint="eastAsia" w:ascii="宋体" w:hAnsi="宋体" w:cs="宋体"/>
                <w:szCs w:val="21"/>
                <w:highlight w:val="none"/>
              </w:rPr>
            </w:pPr>
          </w:p>
        </w:tc>
      </w:tr>
      <w:tr w14:paraId="503DA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dxa"/>
            <w:noWrap w:val="0"/>
            <w:vAlign w:val="top"/>
          </w:tcPr>
          <w:p w14:paraId="09B1A1DB">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3</w:t>
            </w:r>
          </w:p>
        </w:tc>
        <w:tc>
          <w:tcPr>
            <w:tcW w:w="5172" w:type="dxa"/>
            <w:noWrap w:val="0"/>
            <w:vAlign w:val="top"/>
          </w:tcPr>
          <w:p w14:paraId="4C54FDE4">
            <w:pPr>
              <w:keepNext/>
              <w:keepLines/>
              <w:spacing w:before="100" w:line="360" w:lineRule="auto"/>
              <w:jc w:val="center"/>
              <w:outlineLvl w:val="1"/>
              <w:rPr>
                <w:rFonts w:hint="eastAsia" w:ascii="宋体" w:hAnsi="宋体" w:cs="宋体"/>
                <w:szCs w:val="21"/>
                <w:highlight w:val="none"/>
              </w:rPr>
            </w:pPr>
          </w:p>
        </w:tc>
        <w:tc>
          <w:tcPr>
            <w:tcW w:w="3210" w:type="dxa"/>
            <w:noWrap w:val="0"/>
            <w:vAlign w:val="top"/>
          </w:tcPr>
          <w:p w14:paraId="241DC366">
            <w:pPr>
              <w:keepNext/>
              <w:keepLines/>
              <w:spacing w:before="100" w:line="360" w:lineRule="auto"/>
              <w:jc w:val="center"/>
              <w:outlineLvl w:val="1"/>
              <w:rPr>
                <w:rFonts w:hint="eastAsia" w:ascii="宋体" w:hAnsi="宋体" w:cs="宋体"/>
                <w:szCs w:val="21"/>
                <w:highlight w:val="none"/>
              </w:rPr>
            </w:pPr>
          </w:p>
        </w:tc>
      </w:tr>
      <w:tr w14:paraId="397BC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dxa"/>
            <w:noWrap w:val="0"/>
            <w:vAlign w:val="top"/>
          </w:tcPr>
          <w:p w14:paraId="6DAE5B58">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4</w:t>
            </w:r>
          </w:p>
        </w:tc>
        <w:tc>
          <w:tcPr>
            <w:tcW w:w="5172" w:type="dxa"/>
            <w:noWrap w:val="0"/>
            <w:vAlign w:val="top"/>
          </w:tcPr>
          <w:p w14:paraId="777E60AA">
            <w:pPr>
              <w:keepNext/>
              <w:keepLines/>
              <w:spacing w:before="100" w:line="360" w:lineRule="auto"/>
              <w:jc w:val="center"/>
              <w:outlineLvl w:val="1"/>
              <w:rPr>
                <w:rFonts w:hint="eastAsia" w:ascii="宋体" w:hAnsi="宋体" w:cs="宋体"/>
                <w:szCs w:val="21"/>
                <w:highlight w:val="none"/>
              </w:rPr>
            </w:pPr>
          </w:p>
        </w:tc>
        <w:tc>
          <w:tcPr>
            <w:tcW w:w="3210" w:type="dxa"/>
            <w:noWrap w:val="0"/>
            <w:vAlign w:val="top"/>
          </w:tcPr>
          <w:p w14:paraId="66FB5FE0">
            <w:pPr>
              <w:keepNext/>
              <w:keepLines/>
              <w:spacing w:before="100" w:line="360" w:lineRule="auto"/>
              <w:jc w:val="center"/>
              <w:outlineLvl w:val="1"/>
              <w:rPr>
                <w:rFonts w:hint="eastAsia" w:ascii="宋体" w:hAnsi="宋体" w:cs="宋体"/>
                <w:szCs w:val="21"/>
                <w:highlight w:val="none"/>
              </w:rPr>
            </w:pPr>
          </w:p>
        </w:tc>
      </w:tr>
      <w:tr w14:paraId="31571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dxa"/>
            <w:noWrap w:val="0"/>
            <w:vAlign w:val="top"/>
          </w:tcPr>
          <w:p w14:paraId="47EB65D7">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5</w:t>
            </w:r>
          </w:p>
        </w:tc>
        <w:tc>
          <w:tcPr>
            <w:tcW w:w="5172" w:type="dxa"/>
            <w:noWrap w:val="0"/>
            <w:vAlign w:val="top"/>
          </w:tcPr>
          <w:p w14:paraId="11A023ED">
            <w:pPr>
              <w:keepNext/>
              <w:keepLines/>
              <w:spacing w:before="100" w:line="360" w:lineRule="auto"/>
              <w:jc w:val="center"/>
              <w:outlineLvl w:val="1"/>
              <w:rPr>
                <w:rFonts w:hint="eastAsia" w:ascii="宋体" w:hAnsi="宋体" w:cs="宋体"/>
                <w:szCs w:val="21"/>
                <w:highlight w:val="none"/>
              </w:rPr>
            </w:pPr>
          </w:p>
        </w:tc>
        <w:tc>
          <w:tcPr>
            <w:tcW w:w="3210" w:type="dxa"/>
            <w:noWrap w:val="0"/>
            <w:vAlign w:val="top"/>
          </w:tcPr>
          <w:p w14:paraId="723F9972">
            <w:pPr>
              <w:keepNext/>
              <w:keepLines/>
              <w:spacing w:before="100" w:line="360" w:lineRule="auto"/>
              <w:jc w:val="center"/>
              <w:outlineLvl w:val="1"/>
              <w:rPr>
                <w:rFonts w:hint="eastAsia" w:ascii="宋体" w:hAnsi="宋体" w:cs="宋体"/>
                <w:szCs w:val="21"/>
                <w:highlight w:val="none"/>
              </w:rPr>
            </w:pPr>
          </w:p>
        </w:tc>
      </w:tr>
      <w:tr w14:paraId="63AE2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dxa"/>
            <w:noWrap w:val="0"/>
            <w:vAlign w:val="top"/>
          </w:tcPr>
          <w:p w14:paraId="6119D4AC">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6</w:t>
            </w:r>
          </w:p>
        </w:tc>
        <w:tc>
          <w:tcPr>
            <w:tcW w:w="5172" w:type="dxa"/>
            <w:noWrap w:val="0"/>
            <w:vAlign w:val="top"/>
          </w:tcPr>
          <w:p w14:paraId="1E0A5982">
            <w:pPr>
              <w:keepNext/>
              <w:keepLines/>
              <w:spacing w:before="100" w:line="360" w:lineRule="auto"/>
              <w:jc w:val="center"/>
              <w:outlineLvl w:val="1"/>
              <w:rPr>
                <w:rFonts w:hint="eastAsia" w:ascii="宋体" w:hAnsi="宋体" w:cs="宋体"/>
                <w:szCs w:val="21"/>
                <w:highlight w:val="none"/>
              </w:rPr>
            </w:pPr>
          </w:p>
        </w:tc>
        <w:tc>
          <w:tcPr>
            <w:tcW w:w="3210" w:type="dxa"/>
            <w:noWrap w:val="0"/>
            <w:vAlign w:val="top"/>
          </w:tcPr>
          <w:p w14:paraId="65E7E0B4">
            <w:pPr>
              <w:keepNext/>
              <w:keepLines/>
              <w:spacing w:before="100" w:line="360" w:lineRule="auto"/>
              <w:jc w:val="center"/>
              <w:outlineLvl w:val="1"/>
              <w:rPr>
                <w:rFonts w:hint="eastAsia" w:ascii="宋体" w:hAnsi="宋体" w:cs="宋体"/>
                <w:szCs w:val="21"/>
                <w:highlight w:val="none"/>
              </w:rPr>
            </w:pPr>
          </w:p>
        </w:tc>
      </w:tr>
      <w:tr w14:paraId="4C9E3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dxa"/>
            <w:noWrap w:val="0"/>
            <w:vAlign w:val="top"/>
          </w:tcPr>
          <w:p w14:paraId="447BCE72">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7</w:t>
            </w:r>
          </w:p>
        </w:tc>
        <w:tc>
          <w:tcPr>
            <w:tcW w:w="5172" w:type="dxa"/>
            <w:noWrap w:val="0"/>
            <w:vAlign w:val="top"/>
          </w:tcPr>
          <w:p w14:paraId="62F6D6FA">
            <w:pPr>
              <w:keepNext/>
              <w:keepLines/>
              <w:spacing w:before="100" w:line="360" w:lineRule="auto"/>
              <w:jc w:val="center"/>
              <w:outlineLvl w:val="1"/>
              <w:rPr>
                <w:rFonts w:hint="eastAsia" w:ascii="宋体" w:hAnsi="宋体" w:cs="宋体"/>
                <w:szCs w:val="21"/>
                <w:highlight w:val="none"/>
              </w:rPr>
            </w:pPr>
          </w:p>
        </w:tc>
        <w:tc>
          <w:tcPr>
            <w:tcW w:w="3210" w:type="dxa"/>
            <w:noWrap w:val="0"/>
            <w:vAlign w:val="top"/>
          </w:tcPr>
          <w:p w14:paraId="32E66619">
            <w:pPr>
              <w:keepNext/>
              <w:keepLines/>
              <w:spacing w:before="100" w:line="360" w:lineRule="auto"/>
              <w:jc w:val="center"/>
              <w:outlineLvl w:val="1"/>
              <w:rPr>
                <w:rFonts w:hint="eastAsia" w:ascii="宋体" w:hAnsi="宋体" w:cs="宋体"/>
                <w:szCs w:val="21"/>
                <w:highlight w:val="none"/>
              </w:rPr>
            </w:pPr>
          </w:p>
        </w:tc>
      </w:tr>
      <w:tr w14:paraId="28896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dxa"/>
            <w:noWrap w:val="0"/>
            <w:vAlign w:val="top"/>
          </w:tcPr>
          <w:p w14:paraId="6449D618">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8</w:t>
            </w:r>
          </w:p>
        </w:tc>
        <w:tc>
          <w:tcPr>
            <w:tcW w:w="5172" w:type="dxa"/>
            <w:noWrap w:val="0"/>
            <w:vAlign w:val="top"/>
          </w:tcPr>
          <w:p w14:paraId="435E2F39">
            <w:pPr>
              <w:keepNext/>
              <w:keepLines/>
              <w:spacing w:before="100" w:line="360" w:lineRule="auto"/>
              <w:jc w:val="center"/>
              <w:outlineLvl w:val="1"/>
              <w:rPr>
                <w:rFonts w:hint="eastAsia" w:ascii="宋体" w:hAnsi="宋体" w:cs="宋体"/>
                <w:szCs w:val="21"/>
                <w:highlight w:val="none"/>
              </w:rPr>
            </w:pPr>
          </w:p>
        </w:tc>
        <w:tc>
          <w:tcPr>
            <w:tcW w:w="3210" w:type="dxa"/>
            <w:noWrap w:val="0"/>
            <w:vAlign w:val="top"/>
          </w:tcPr>
          <w:p w14:paraId="4DA93B18">
            <w:pPr>
              <w:keepNext/>
              <w:keepLines/>
              <w:spacing w:before="100" w:line="360" w:lineRule="auto"/>
              <w:jc w:val="center"/>
              <w:outlineLvl w:val="1"/>
              <w:rPr>
                <w:rFonts w:hint="eastAsia" w:ascii="宋体" w:hAnsi="宋体" w:cs="宋体"/>
                <w:szCs w:val="21"/>
                <w:highlight w:val="none"/>
              </w:rPr>
            </w:pPr>
          </w:p>
        </w:tc>
      </w:tr>
      <w:tr w14:paraId="3E6E7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dxa"/>
            <w:noWrap w:val="0"/>
            <w:vAlign w:val="top"/>
          </w:tcPr>
          <w:p w14:paraId="34F3E7CC">
            <w:pPr>
              <w:keepNext/>
              <w:keepLines/>
              <w:spacing w:before="100" w:line="360" w:lineRule="auto"/>
              <w:jc w:val="center"/>
              <w:outlineLvl w:val="1"/>
              <w:rPr>
                <w:rFonts w:hint="eastAsia" w:ascii="宋体" w:hAnsi="宋体" w:cs="宋体"/>
                <w:szCs w:val="21"/>
                <w:highlight w:val="none"/>
              </w:rPr>
            </w:pPr>
            <w:r>
              <w:rPr>
                <w:rFonts w:hint="eastAsia" w:ascii="宋体" w:hAnsi="宋体" w:cs="宋体"/>
                <w:szCs w:val="21"/>
                <w:highlight w:val="none"/>
              </w:rPr>
              <w:t>9</w:t>
            </w:r>
          </w:p>
        </w:tc>
        <w:tc>
          <w:tcPr>
            <w:tcW w:w="5172" w:type="dxa"/>
            <w:noWrap w:val="0"/>
            <w:vAlign w:val="top"/>
          </w:tcPr>
          <w:p w14:paraId="72E85B23">
            <w:pPr>
              <w:keepNext/>
              <w:keepLines/>
              <w:spacing w:before="100" w:line="360" w:lineRule="auto"/>
              <w:jc w:val="center"/>
              <w:outlineLvl w:val="1"/>
              <w:rPr>
                <w:rFonts w:hint="eastAsia" w:ascii="宋体" w:hAnsi="宋体" w:cs="宋体"/>
                <w:szCs w:val="21"/>
                <w:highlight w:val="none"/>
              </w:rPr>
            </w:pPr>
          </w:p>
        </w:tc>
        <w:tc>
          <w:tcPr>
            <w:tcW w:w="3210" w:type="dxa"/>
            <w:noWrap w:val="0"/>
            <w:vAlign w:val="top"/>
          </w:tcPr>
          <w:p w14:paraId="480E5EC3">
            <w:pPr>
              <w:keepNext/>
              <w:keepLines/>
              <w:spacing w:before="100" w:line="360" w:lineRule="auto"/>
              <w:jc w:val="center"/>
              <w:outlineLvl w:val="1"/>
              <w:rPr>
                <w:rFonts w:hint="eastAsia" w:ascii="宋体" w:hAnsi="宋体" w:cs="宋体"/>
                <w:szCs w:val="21"/>
                <w:highlight w:val="none"/>
              </w:rPr>
            </w:pPr>
          </w:p>
        </w:tc>
      </w:tr>
    </w:tbl>
    <w:p w14:paraId="0E9BB2A2">
      <w:pPr>
        <w:spacing w:line="360" w:lineRule="auto"/>
        <w:rPr>
          <w:rFonts w:hint="eastAsia" w:ascii="宋体" w:hAnsi="宋体" w:cs="宋体"/>
          <w:sz w:val="24"/>
          <w:highlight w:val="none"/>
        </w:rPr>
      </w:pPr>
    </w:p>
    <w:p w14:paraId="421BCAE9">
      <w:pPr>
        <w:keepNext/>
        <w:keepLines/>
        <w:spacing w:before="100" w:line="360" w:lineRule="auto"/>
        <w:jc w:val="center"/>
        <w:outlineLvl w:val="1"/>
        <w:rPr>
          <w:rFonts w:hint="eastAsia" w:ascii="宋体" w:hAnsi="宋体"/>
          <w:highlight w:val="none"/>
        </w:rPr>
      </w:pPr>
      <w:r>
        <w:rPr>
          <w:rFonts w:ascii="宋体" w:hAnsi="宋体"/>
          <w:b/>
          <w:bCs/>
          <w:sz w:val="24"/>
          <w:highlight w:val="none"/>
        </w:rPr>
        <w:br w:type="page"/>
      </w:r>
      <w:r>
        <w:rPr>
          <w:rFonts w:hint="eastAsia" w:ascii="宋体" w:hAnsi="宋体" w:cs="宋体"/>
          <w:kern w:val="0"/>
          <w:sz w:val="28"/>
          <w:szCs w:val="20"/>
          <w:highlight w:val="none"/>
        </w:rPr>
        <w:t>5、证明材料</w:t>
      </w:r>
    </w:p>
    <w:p w14:paraId="3D5DBE52">
      <w:pPr>
        <w:ind w:firstLine="482" w:firstLineChars="200"/>
        <w:jc w:val="center"/>
        <w:rPr>
          <w:rFonts w:hint="eastAsia" w:ascii="宋体" w:hAnsi="宋体"/>
          <w:b/>
          <w:sz w:val="24"/>
          <w:highlight w:val="none"/>
          <w:u w:val="single"/>
        </w:rPr>
      </w:pPr>
      <w:bookmarkStart w:id="78" w:name="_Toc293501792"/>
      <w:bookmarkStart w:id="79" w:name="_Toc450042253"/>
      <w:bookmarkStart w:id="80" w:name="_Toc375120977"/>
      <w:bookmarkStart w:id="81" w:name="_Toc373841439"/>
      <w:bookmarkStart w:id="82" w:name="_Toc497203552"/>
      <w:bookmarkStart w:id="83" w:name="_Toc348862345"/>
      <w:bookmarkStart w:id="84" w:name="_Toc308697172"/>
      <w:bookmarkStart w:id="85" w:name="_Toc282614130"/>
      <w:bookmarkStart w:id="86" w:name="_Toc173635176"/>
    </w:p>
    <w:p w14:paraId="54AED17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（1）有效的营业执照和基本账户开户许可证（或基本存款账户信息）；</w:t>
      </w:r>
    </w:p>
    <w:p w14:paraId="0EFD3B6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（2）项目负责人业绩证明材料；</w:t>
      </w:r>
    </w:p>
    <w:p w14:paraId="538C57A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（3）投标人业绩证明材料；</w:t>
      </w:r>
    </w:p>
    <w:p w14:paraId="2211ED8C">
      <w:pPr>
        <w:spacing w:line="360" w:lineRule="auto"/>
        <w:ind w:firstLine="480" w:firstLineChars="200"/>
        <w:rPr>
          <w:rFonts w:hint="eastAsia" w:ascii="宋体" w:hAnsi="宋体" w:eastAsia="宋体" w:cs="宋体"/>
          <w:sz w:val="24"/>
          <w:highlight w:val="none"/>
          <w:lang w:eastAsia="zh-CN"/>
        </w:rPr>
      </w:pPr>
      <w:r>
        <w:rPr>
          <w:rFonts w:hint="eastAsia" w:ascii="宋体" w:hAnsi="宋体" w:cs="宋体"/>
          <w:sz w:val="24"/>
          <w:highlight w:val="none"/>
        </w:rPr>
        <w:t>（4）信誉截图（请在本项目招标公告发布后且递交投标文件截止时间前截取）</w:t>
      </w:r>
      <w:r>
        <w:rPr>
          <w:rFonts w:hint="eastAsia" w:ascii="宋体" w:hAnsi="宋体" w:cs="宋体"/>
          <w:sz w:val="24"/>
          <w:highlight w:val="none"/>
          <w:lang w:eastAsia="zh-CN"/>
        </w:rPr>
        <w:t>；</w:t>
      </w:r>
    </w:p>
    <w:p w14:paraId="2F04F55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w:t>
      </w:r>
      <w:r>
        <w:rPr>
          <w:rFonts w:hint="eastAsia" w:ascii="宋体" w:hAnsi="宋体" w:cs="宋体"/>
          <w:sz w:val="24"/>
          <w:highlight w:val="none"/>
          <w:lang w:val="zh-CN"/>
        </w:rPr>
        <w:t>投标人认为应提供的其他材料。</w:t>
      </w:r>
    </w:p>
    <w:p w14:paraId="3A90E95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上述（1）-（</w:t>
      </w:r>
      <w:r>
        <w:rPr>
          <w:rFonts w:hint="eastAsia" w:ascii="宋体" w:hAnsi="宋体" w:cs="宋体"/>
          <w:sz w:val="24"/>
          <w:highlight w:val="none"/>
          <w:lang w:val="en-US" w:eastAsia="zh-CN"/>
        </w:rPr>
        <w:t>5</w:t>
      </w:r>
      <w:r>
        <w:rPr>
          <w:rFonts w:hint="eastAsia" w:ascii="宋体" w:hAnsi="宋体" w:cs="宋体"/>
          <w:sz w:val="24"/>
          <w:highlight w:val="none"/>
        </w:rPr>
        <w:t>）项材料需按填报顺序提交复印件（或扫描件）并加盖投标单位公章。</w:t>
      </w:r>
    </w:p>
    <w:p w14:paraId="7B4EDEC2">
      <w:pPr>
        <w:ind w:right="420"/>
        <w:rPr>
          <w:rFonts w:hint="eastAsia"/>
          <w:b/>
          <w:sz w:val="24"/>
          <w:highlight w:val="none"/>
        </w:rPr>
      </w:pPr>
    </w:p>
    <w:bookmarkEnd w:id="78"/>
    <w:bookmarkEnd w:id="79"/>
    <w:bookmarkEnd w:id="80"/>
    <w:bookmarkEnd w:id="81"/>
    <w:bookmarkEnd w:id="82"/>
    <w:bookmarkEnd w:id="83"/>
    <w:bookmarkEnd w:id="84"/>
    <w:bookmarkEnd w:id="85"/>
    <w:p w14:paraId="0FAC3F05">
      <w:pPr>
        <w:snapToGrid w:val="0"/>
        <w:spacing w:line="360" w:lineRule="auto"/>
        <w:ind w:right="420" w:firstLine="480" w:firstLineChars="200"/>
        <w:rPr>
          <w:rFonts w:hint="eastAsia" w:ascii="黑体" w:hAnsi="宋体" w:eastAsia="黑体"/>
          <w:snapToGrid w:val="0"/>
          <w:kern w:val="0"/>
          <w:sz w:val="24"/>
          <w:highlight w:val="none"/>
          <w:u w:val="single"/>
        </w:rPr>
      </w:pPr>
    </w:p>
    <w:p w14:paraId="0EF690BE">
      <w:pPr>
        <w:snapToGrid w:val="0"/>
        <w:spacing w:line="360" w:lineRule="auto"/>
        <w:ind w:right="420" w:firstLine="480" w:firstLineChars="200"/>
        <w:rPr>
          <w:rFonts w:hint="eastAsia" w:ascii="黑体" w:hAnsi="宋体" w:eastAsia="黑体"/>
          <w:snapToGrid w:val="0"/>
          <w:kern w:val="0"/>
          <w:sz w:val="24"/>
          <w:highlight w:val="none"/>
          <w:u w:val="single"/>
        </w:rPr>
      </w:pPr>
    </w:p>
    <w:p w14:paraId="761F8504">
      <w:pPr>
        <w:ind w:right="420" w:firstLine="480" w:firstLineChars="200"/>
        <w:rPr>
          <w:rFonts w:hint="eastAsia" w:ascii="宋体" w:hAnsi="宋体"/>
          <w:snapToGrid w:val="0"/>
          <w:kern w:val="0"/>
          <w:sz w:val="24"/>
          <w:highlight w:val="none"/>
          <w:u w:val="single"/>
        </w:rPr>
      </w:pPr>
    </w:p>
    <w:p w14:paraId="1D60A5A4">
      <w:pPr>
        <w:pStyle w:val="71"/>
        <w:spacing w:before="120" w:beforeLines="50" w:after="120" w:afterLines="50" w:line="360" w:lineRule="auto"/>
        <w:rPr>
          <w:rFonts w:ascii="宋体" w:hAnsi="宋体" w:eastAsia="宋体"/>
          <w:highlight w:val="none"/>
        </w:rPr>
      </w:pPr>
      <w:r>
        <w:rPr>
          <w:highlight w:val="none"/>
        </w:rPr>
        <w:br w:type="page"/>
      </w:r>
      <w:bookmarkEnd w:id="74"/>
      <w:bookmarkEnd w:id="86"/>
      <w:bookmarkStart w:id="87" w:name="_Toc348862352"/>
      <w:bookmarkStart w:id="88" w:name="_Toc450042257"/>
      <w:bookmarkStart w:id="89" w:name="_Toc375120984"/>
      <w:bookmarkStart w:id="90" w:name="_Toc348862351"/>
      <w:bookmarkStart w:id="91" w:name="_Toc450042256"/>
      <w:bookmarkStart w:id="92" w:name="_Toc375120983"/>
      <w:bookmarkStart w:id="93" w:name="_Toc293501797"/>
      <w:r>
        <w:rPr>
          <w:rFonts w:hint="eastAsia" w:ascii="宋体" w:hAnsi="宋体" w:eastAsia="宋体"/>
          <w:highlight w:val="none"/>
        </w:rPr>
        <w:t>六、</w:t>
      </w:r>
      <w:bookmarkEnd w:id="87"/>
      <w:bookmarkEnd w:id="88"/>
      <w:bookmarkEnd w:id="89"/>
      <w:r>
        <w:rPr>
          <w:rFonts w:hint="eastAsia" w:ascii="宋体" w:hAnsi="宋体" w:eastAsia="宋体"/>
          <w:highlight w:val="none"/>
        </w:rPr>
        <w:t>工作大纲</w:t>
      </w:r>
    </w:p>
    <w:p w14:paraId="02443FC5">
      <w:pPr>
        <w:spacing w:after="137" w:line="259" w:lineRule="auto"/>
        <w:rPr>
          <w:highlight w:val="none"/>
        </w:rPr>
      </w:pPr>
      <w:r>
        <w:rPr>
          <w:rFonts w:eastAsia="Times New Roman"/>
          <w:highlight w:val="none"/>
        </w:rPr>
        <w:t xml:space="preserve"> </w:t>
      </w:r>
    </w:p>
    <w:p w14:paraId="7176BF5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根据评标办法依序提供。</w:t>
      </w:r>
    </w:p>
    <w:p w14:paraId="23243209">
      <w:pPr>
        <w:spacing w:line="360" w:lineRule="auto"/>
        <w:ind w:firstLine="420" w:firstLineChars="200"/>
        <w:jc w:val="center"/>
        <w:rPr>
          <w:rFonts w:hint="eastAsia" w:ascii="Arial" w:hAnsi="Arial" w:cs="Arial"/>
          <w:szCs w:val="21"/>
          <w:highlight w:val="none"/>
        </w:rPr>
      </w:pPr>
    </w:p>
    <w:p w14:paraId="3E8D5B94">
      <w:pPr>
        <w:pStyle w:val="71"/>
        <w:adjustRightInd/>
        <w:snapToGrid/>
        <w:spacing w:before="120" w:beforeLines="50" w:after="120" w:afterLines="50" w:line="360" w:lineRule="auto"/>
        <w:rPr>
          <w:rFonts w:hint="eastAsia" w:ascii="宋体" w:hAnsi="宋体" w:eastAsia="宋体" w:cs="宋体"/>
          <w:highlight w:val="none"/>
          <w:lang w:val="en-US" w:eastAsia="zh-CN"/>
        </w:rPr>
      </w:pPr>
      <w:r>
        <w:rPr>
          <w:highlight w:val="none"/>
        </w:rPr>
        <w:br w:type="page"/>
      </w:r>
      <w:bookmarkStart w:id="94" w:name="_Toc112157062"/>
      <w:r>
        <w:rPr>
          <w:rFonts w:hint="eastAsia" w:ascii="宋体" w:hAnsi="宋体" w:eastAsia="宋体" w:cs="宋体"/>
          <w:highlight w:val="none"/>
        </w:rPr>
        <w:t>七、</w:t>
      </w:r>
      <w:r>
        <w:rPr>
          <w:rFonts w:hint="eastAsia" w:ascii="宋体" w:hAnsi="宋体" w:eastAsia="宋体" w:cs="宋体"/>
          <w:highlight w:val="none"/>
          <w:lang w:val="en-US" w:eastAsia="zh-CN"/>
        </w:rPr>
        <w:t>其他资料</w:t>
      </w:r>
    </w:p>
    <w:p w14:paraId="656DFBA8">
      <w:pPr>
        <w:pStyle w:val="71"/>
        <w:adjustRightInd/>
        <w:snapToGrid/>
        <w:spacing w:before="120" w:beforeLines="50" w:after="120" w:afterLines="50" w:line="360" w:lineRule="auto"/>
        <w:rPr>
          <w:rFonts w:cs="宋体"/>
          <w:highlight w:val="none"/>
        </w:rPr>
      </w:pPr>
      <w:r>
        <w:rPr>
          <w:rFonts w:hint="eastAsia" w:ascii="宋体" w:hAnsi="宋体" w:eastAsia="宋体" w:cs="宋体"/>
          <w:highlight w:val="none"/>
        </w:rPr>
        <w:t>材料真实性承诺</w:t>
      </w:r>
    </w:p>
    <w:p w14:paraId="032CE981">
      <w:pPr>
        <w:spacing w:line="360" w:lineRule="auto"/>
        <w:rPr>
          <w:rFonts w:hint="eastAsia" w:ascii="宋体" w:hAnsi="宋体" w:eastAsia="宋体"/>
          <w:color w:val="000000"/>
          <w:sz w:val="24"/>
          <w:szCs w:val="24"/>
          <w:highlight w:val="none"/>
          <w:u w:val="single"/>
          <w:lang w:eastAsia="zh-CN"/>
        </w:rPr>
      </w:pPr>
      <w:r>
        <w:rPr>
          <w:rFonts w:hint="eastAsia" w:ascii="Arial Narrow" w:hAnsi="Arial Narrow"/>
          <w:color w:val="000000"/>
          <w:sz w:val="24"/>
          <w:szCs w:val="24"/>
          <w:highlight w:val="none"/>
        </w:rPr>
        <w:t>致：</w:t>
      </w:r>
      <w:r>
        <w:rPr>
          <w:rFonts w:hint="eastAsia" w:ascii="宋体" w:hAnsi="宋体" w:cs="宋体"/>
          <w:color w:val="000000"/>
          <w:sz w:val="24"/>
          <w:szCs w:val="24"/>
          <w:highlight w:val="none"/>
          <w:u w:val="single"/>
          <w:lang w:eastAsia="zh-CN"/>
        </w:rPr>
        <w:t>南通市港航事业发展中心</w:t>
      </w:r>
    </w:p>
    <w:p w14:paraId="0848B93C">
      <w:pPr>
        <w:spacing w:line="360" w:lineRule="auto"/>
        <w:ind w:firstLine="480" w:firstLineChars="200"/>
        <w:rPr>
          <w:rFonts w:ascii="宋体" w:hAnsi="宋体"/>
          <w:color w:val="000000"/>
          <w:sz w:val="24"/>
          <w:szCs w:val="24"/>
          <w:highlight w:val="none"/>
        </w:rPr>
      </w:pPr>
      <w:r>
        <w:rPr>
          <w:rFonts w:hint="eastAsia" w:ascii="宋体" w:hAnsi="宋体"/>
          <w:color w:val="000000"/>
          <w:sz w:val="24"/>
          <w:szCs w:val="24"/>
          <w:highlight w:val="none"/>
        </w:rPr>
        <w:t>本人郑重承诺：</w:t>
      </w:r>
    </w:p>
    <w:p w14:paraId="6BB8B6B2">
      <w:pPr>
        <w:spacing w:line="360" w:lineRule="auto"/>
        <w:ind w:firstLine="480" w:firstLineChars="200"/>
        <w:rPr>
          <w:rFonts w:ascii="宋体" w:hAnsi="宋体"/>
          <w:color w:val="000000"/>
          <w:sz w:val="24"/>
          <w:szCs w:val="24"/>
          <w:highlight w:val="none"/>
        </w:rPr>
      </w:pPr>
      <w:r>
        <w:rPr>
          <w:rFonts w:hint="eastAsia" w:ascii="宋体" w:hAnsi="宋体"/>
          <w:color w:val="000000"/>
          <w:sz w:val="24"/>
          <w:szCs w:val="24"/>
          <w:highlight w:val="none"/>
        </w:rPr>
        <w:t>本企业此次参加</w:t>
      </w:r>
      <w:r>
        <w:rPr>
          <w:rFonts w:ascii="宋体" w:hAnsi="宋体"/>
          <w:b/>
          <w:color w:val="000000"/>
          <w:sz w:val="24"/>
          <w:szCs w:val="24"/>
          <w:highlight w:val="none"/>
          <w:u w:val="single"/>
        </w:rPr>
        <w:t xml:space="preserve">               </w:t>
      </w:r>
      <w:r>
        <w:rPr>
          <w:rFonts w:hint="eastAsia" w:ascii="宋体" w:hAnsi="宋体"/>
          <w:color w:val="000000"/>
          <w:sz w:val="24"/>
          <w:szCs w:val="24"/>
          <w:highlight w:val="none"/>
        </w:rPr>
        <w:t>投标所提交的所有资料都是真实的。如有虚假，本企业愿意接受招标人作出的取消投标、中标资格的决定，同时愿意接受相关行政主管部门依法作出的其它处罚诀定。</w:t>
      </w:r>
    </w:p>
    <w:p w14:paraId="776C7AA1">
      <w:pPr>
        <w:spacing w:line="360" w:lineRule="auto"/>
        <w:jc w:val="center"/>
        <w:rPr>
          <w:rFonts w:ascii="宋体" w:hAnsi="宋体"/>
          <w:color w:val="000000"/>
          <w:sz w:val="24"/>
          <w:szCs w:val="24"/>
          <w:highlight w:val="none"/>
        </w:rPr>
      </w:pPr>
    </w:p>
    <w:p w14:paraId="4AB04254">
      <w:pPr>
        <w:spacing w:line="360" w:lineRule="auto"/>
        <w:rPr>
          <w:rFonts w:ascii="宋体" w:hAnsi="宋体"/>
          <w:color w:val="000000"/>
          <w:sz w:val="24"/>
          <w:szCs w:val="24"/>
          <w:highlight w:val="none"/>
        </w:rPr>
      </w:pPr>
    </w:p>
    <w:p w14:paraId="0BAC64F1">
      <w:pPr>
        <w:spacing w:line="360" w:lineRule="auto"/>
        <w:rPr>
          <w:rFonts w:ascii="宋体" w:hAnsi="宋体"/>
          <w:color w:val="000000"/>
          <w:sz w:val="24"/>
          <w:szCs w:val="24"/>
          <w:highlight w:val="none"/>
        </w:rPr>
      </w:pPr>
    </w:p>
    <w:p w14:paraId="29B95C1D">
      <w:pPr>
        <w:spacing w:line="360" w:lineRule="auto"/>
        <w:rPr>
          <w:rFonts w:ascii="宋体" w:hAnsi="宋体"/>
          <w:color w:val="000000"/>
          <w:sz w:val="24"/>
          <w:szCs w:val="24"/>
          <w:highlight w:val="none"/>
        </w:rPr>
      </w:pPr>
    </w:p>
    <w:p w14:paraId="4591DB8C">
      <w:pPr>
        <w:spacing w:line="360" w:lineRule="auto"/>
        <w:rPr>
          <w:rFonts w:ascii="宋体" w:hAnsi="宋体"/>
          <w:color w:val="000000"/>
          <w:sz w:val="24"/>
          <w:szCs w:val="24"/>
          <w:highlight w:val="none"/>
        </w:rPr>
      </w:pPr>
    </w:p>
    <w:p w14:paraId="7E58089E">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kern w:val="21"/>
          <w:sz w:val="24"/>
          <w:szCs w:val="24"/>
          <w:highlight w:val="none"/>
        </w:rPr>
        <w:t>(盖单位章)</w:t>
      </w:r>
      <w:r>
        <w:rPr>
          <w:rFonts w:hint="eastAsia" w:ascii="宋体" w:hAnsi="宋体" w:eastAsia="宋体" w:cs="宋体"/>
          <w:sz w:val="24"/>
          <w:szCs w:val="24"/>
          <w:highlight w:val="none"/>
        </w:rPr>
        <w:t>：_______________________</w:t>
      </w:r>
    </w:p>
    <w:p w14:paraId="0CB9D3BD">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法定代表人或其委托代理人（签字或盖章）：_________</w:t>
      </w:r>
    </w:p>
    <w:p w14:paraId="78B020D3">
      <w:pPr>
        <w:spacing w:line="440" w:lineRule="exact"/>
        <w:jc w:val="right"/>
        <w:rPr>
          <w:rFonts w:ascii="宋体" w:hAnsi="宋体"/>
          <w:color w:val="000000"/>
          <w:sz w:val="21"/>
          <w:szCs w:val="21"/>
          <w:highlight w:val="none"/>
        </w:rPr>
        <w:sectPr>
          <w:pgSz w:w="11906" w:h="16838"/>
          <w:pgMar w:top="1247" w:right="1247" w:bottom="1247" w:left="1247" w:header="623" w:footer="737" w:gutter="0"/>
          <w:pgNumType w:fmt="decimal"/>
          <w:cols w:space="720" w:num="1"/>
        </w:sectPr>
      </w:pPr>
      <w:r>
        <w:rPr>
          <w:rFonts w:hint="eastAsia" w:ascii="宋体" w:hAnsi="宋体" w:eastAsia="宋体" w:cs="宋体"/>
          <w:sz w:val="24"/>
          <w:szCs w:val="24"/>
          <w:highlight w:val="none"/>
        </w:rPr>
        <w:t>_____年____月____日</w:t>
      </w:r>
    </w:p>
    <w:p w14:paraId="1DCF3C51">
      <w:pPr>
        <w:keepNext w:val="0"/>
        <w:keepLines w:val="0"/>
        <w:pageBreakBefore w:val="0"/>
        <w:widowControl w:val="0"/>
        <w:tabs>
          <w:tab w:val="left" w:pos="555"/>
        </w:tabs>
        <w:kinsoku/>
        <w:wordWrap/>
        <w:overflowPunct/>
        <w:topLinePunct w:val="0"/>
        <w:autoSpaceDE w:val="0"/>
        <w:autoSpaceDN w:val="0"/>
        <w:bidi w:val="0"/>
        <w:adjustRightInd/>
        <w:snapToGrid/>
        <w:spacing w:line="360" w:lineRule="auto"/>
        <w:jc w:val="center"/>
        <w:textAlignment w:val="auto"/>
        <w:rPr>
          <w:sz w:val="30"/>
          <w:highlight w:val="none"/>
        </w:rPr>
      </w:pPr>
      <w:r>
        <w:rPr>
          <w:rFonts w:hint="eastAsia"/>
          <w:b/>
          <w:bCs/>
          <w:sz w:val="32"/>
          <w:szCs w:val="22"/>
          <w:highlight w:val="none"/>
        </w:rPr>
        <w:t>江苏省公路水运建设项目投标人信用承诺书</w:t>
      </w:r>
    </w:p>
    <w:p w14:paraId="58E0A638">
      <w:pPr>
        <w:keepNext w:val="0"/>
        <w:keepLines w:val="0"/>
        <w:pageBreakBefore w:val="0"/>
        <w:widowControl w:val="0"/>
        <w:kinsoku/>
        <w:wordWrap/>
        <w:overflowPunct/>
        <w:topLinePunct w:val="0"/>
        <w:autoSpaceDE w:val="0"/>
        <w:autoSpaceDN w:val="0"/>
        <w:bidi w:val="0"/>
        <w:adjustRightInd/>
        <w:snapToGrid/>
        <w:spacing w:line="480" w:lineRule="auto"/>
        <w:textAlignment w:val="auto"/>
        <w:rPr>
          <w:spacing w:val="-5"/>
          <w:sz w:val="24"/>
          <w:szCs w:val="24"/>
          <w:highlight w:val="none"/>
        </w:rPr>
      </w:pPr>
      <w:r>
        <w:rPr>
          <w:rFonts w:hint="eastAsia"/>
          <w:spacing w:val="-5"/>
          <w:sz w:val="24"/>
          <w:szCs w:val="24"/>
          <w:highlight w:val="none"/>
        </w:rPr>
        <w:t>致：</w:t>
      </w:r>
      <w:r>
        <w:rPr>
          <w:rFonts w:hint="eastAsia"/>
          <w:spacing w:val="-5"/>
          <w:sz w:val="24"/>
          <w:szCs w:val="24"/>
          <w:highlight w:val="none"/>
          <w:u w:val="single"/>
        </w:rPr>
        <w:t>（</w:t>
      </w:r>
      <w:r>
        <w:rPr>
          <w:rFonts w:hint="eastAsia"/>
          <w:spacing w:val="-5"/>
          <w:sz w:val="24"/>
          <w:szCs w:val="24"/>
          <w:highlight w:val="none"/>
          <w:u w:val="single"/>
          <w:lang w:val="en-US"/>
        </w:rPr>
        <w:t>招标人名称</w:t>
      </w:r>
      <w:r>
        <w:rPr>
          <w:rFonts w:hint="eastAsia"/>
          <w:spacing w:val="-5"/>
          <w:sz w:val="24"/>
          <w:szCs w:val="24"/>
          <w:highlight w:val="none"/>
          <w:u w:val="single"/>
        </w:rPr>
        <w:t>）</w:t>
      </w:r>
    </w:p>
    <w:p w14:paraId="49FF41D6">
      <w:pPr>
        <w:keepNext w:val="0"/>
        <w:keepLines w:val="0"/>
        <w:pageBreakBefore w:val="0"/>
        <w:widowControl w:val="0"/>
        <w:kinsoku/>
        <w:wordWrap/>
        <w:overflowPunct/>
        <w:topLinePunct w:val="0"/>
        <w:autoSpaceDE w:val="0"/>
        <w:autoSpaceDN w:val="0"/>
        <w:bidi w:val="0"/>
        <w:adjustRightInd/>
        <w:snapToGrid/>
        <w:spacing w:line="480" w:lineRule="auto"/>
        <w:ind w:leftChars="0" w:firstLine="480" w:firstLineChars="200"/>
        <w:textAlignment w:val="auto"/>
        <w:rPr>
          <w:rFonts w:hint="eastAsia" w:ascii="宋体" w:hAnsi="宋体" w:eastAsia="宋体" w:cs="宋体"/>
          <w:color w:val="000000"/>
          <w:spacing w:val="0"/>
          <w:kern w:val="21"/>
          <w:sz w:val="24"/>
          <w:szCs w:val="24"/>
          <w:highlight w:val="none"/>
        </w:rPr>
      </w:pPr>
      <w:r>
        <w:rPr>
          <w:rFonts w:hint="eastAsia" w:ascii="宋体" w:hAnsi="宋体" w:eastAsia="宋体" w:cs="宋体"/>
          <w:color w:val="000000"/>
          <w:spacing w:val="0"/>
          <w:kern w:val="21"/>
          <w:sz w:val="24"/>
          <w:szCs w:val="24"/>
          <w:highlight w:val="none"/>
        </w:rPr>
        <w:t>我单位自愿参加</w:t>
      </w:r>
      <w:r>
        <w:rPr>
          <w:rFonts w:hint="eastAsia" w:ascii="宋体" w:hAnsi="宋体" w:eastAsia="宋体" w:cs="宋体"/>
          <w:color w:val="000000"/>
          <w:spacing w:val="0"/>
          <w:kern w:val="21"/>
          <w:sz w:val="24"/>
          <w:szCs w:val="24"/>
          <w:highlight w:val="none"/>
          <w:u w:val="single"/>
        </w:rPr>
        <w:t xml:space="preserve">                       </w:t>
      </w:r>
      <w:r>
        <w:rPr>
          <w:rFonts w:hint="eastAsia" w:ascii="宋体" w:hAnsi="宋体" w:eastAsia="宋体" w:cs="宋体"/>
          <w:color w:val="000000"/>
          <w:spacing w:val="0"/>
          <w:kern w:val="21"/>
          <w:sz w:val="24"/>
          <w:szCs w:val="24"/>
          <w:highlight w:val="none"/>
        </w:rPr>
        <w:t>项目的投标活动，并郑重承诺：</w:t>
      </w:r>
    </w:p>
    <w:p w14:paraId="18D70570">
      <w:pPr>
        <w:keepNext w:val="0"/>
        <w:keepLines w:val="0"/>
        <w:pageBreakBefore w:val="0"/>
        <w:widowControl w:val="0"/>
        <w:kinsoku/>
        <w:wordWrap/>
        <w:overflowPunct/>
        <w:topLinePunct w:val="0"/>
        <w:autoSpaceDE w:val="0"/>
        <w:autoSpaceDN w:val="0"/>
        <w:bidi w:val="0"/>
        <w:adjustRightInd/>
        <w:snapToGrid/>
        <w:spacing w:line="480" w:lineRule="auto"/>
        <w:ind w:leftChars="0" w:firstLine="480" w:firstLineChars="200"/>
        <w:textAlignment w:val="auto"/>
        <w:rPr>
          <w:rFonts w:hint="eastAsia" w:ascii="宋体" w:hAnsi="宋体" w:eastAsia="宋体" w:cs="宋体"/>
          <w:color w:val="000000"/>
          <w:spacing w:val="0"/>
          <w:kern w:val="21"/>
          <w:sz w:val="24"/>
          <w:szCs w:val="24"/>
          <w:highlight w:val="none"/>
        </w:rPr>
      </w:pPr>
      <w:r>
        <w:rPr>
          <w:rFonts w:hint="eastAsia" w:ascii="宋体" w:hAnsi="宋体" w:eastAsia="宋体" w:cs="宋体"/>
          <w:color w:val="000000"/>
          <w:spacing w:val="0"/>
          <w:kern w:val="21"/>
          <w:sz w:val="24"/>
          <w:szCs w:val="24"/>
          <w:highlight w:val="none"/>
        </w:rPr>
        <w:t>1.在本项目的投标活动中遵守国家法律法规和交通运输行业有关规定，遵循公开、公平、公正和诚信原则；</w:t>
      </w:r>
    </w:p>
    <w:p w14:paraId="24378EFB">
      <w:pPr>
        <w:keepNext w:val="0"/>
        <w:keepLines w:val="0"/>
        <w:pageBreakBefore w:val="0"/>
        <w:widowControl w:val="0"/>
        <w:kinsoku/>
        <w:wordWrap/>
        <w:overflowPunct/>
        <w:topLinePunct w:val="0"/>
        <w:autoSpaceDE w:val="0"/>
        <w:autoSpaceDN w:val="0"/>
        <w:bidi w:val="0"/>
        <w:adjustRightInd/>
        <w:snapToGrid/>
        <w:spacing w:line="480" w:lineRule="auto"/>
        <w:ind w:leftChars="0" w:firstLine="480" w:firstLineChars="200"/>
        <w:textAlignment w:val="auto"/>
        <w:rPr>
          <w:rFonts w:hint="eastAsia" w:ascii="宋体" w:hAnsi="宋体" w:eastAsia="宋体" w:cs="宋体"/>
          <w:color w:val="000000"/>
          <w:spacing w:val="0"/>
          <w:kern w:val="21"/>
          <w:sz w:val="24"/>
          <w:szCs w:val="24"/>
          <w:highlight w:val="none"/>
        </w:rPr>
      </w:pPr>
      <w:r>
        <w:rPr>
          <w:rFonts w:hint="eastAsia" w:ascii="宋体" w:hAnsi="宋体" w:eastAsia="宋体" w:cs="宋体"/>
          <w:color w:val="000000"/>
          <w:spacing w:val="0"/>
          <w:kern w:val="21"/>
          <w:sz w:val="24"/>
          <w:szCs w:val="24"/>
          <w:highlight w:val="none"/>
        </w:rPr>
        <w:t>2.投标文件中所有内容均为我单位真实意愿表达，相关信息真实有效；</w:t>
      </w:r>
    </w:p>
    <w:p w14:paraId="11803E95">
      <w:pPr>
        <w:keepNext w:val="0"/>
        <w:keepLines w:val="0"/>
        <w:pageBreakBefore w:val="0"/>
        <w:widowControl w:val="0"/>
        <w:kinsoku/>
        <w:wordWrap/>
        <w:overflowPunct/>
        <w:topLinePunct w:val="0"/>
        <w:autoSpaceDE w:val="0"/>
        <w:autoSpaceDN w:val="0"/>
        <w:bidi w:val="0"/>
        <w:adjustRightInd/>
        <w:snapToGrid/>
        <w:spacing w:line="480" w:lineRule="auto"/>
        <w:ind w:leftChars="0" w:firstLine="480" w:firstLineChars="200"/>
        <w:textAlignment w:val="auto"/>
        <w:rPr>
          <w:rFonts w:hint="eastAsia" w:ascii="宋体" w:hAnsi="宋体" w:eastAsia="宋体" w:cs="宋体"/>
          <w:color w:val="000000"/>
          <w:spacing w:val="0"/>
          <w:kern w:val="21"/>
          <w:sz w:val="24"/>
          <w:szCs w:val="24"/>
          <w:highlight w:val="none"/>
        </w:rPr>
      </w:pPr>
      <w:r>
        <w:rPr>
          <w:rFonts w:hint="eastAsia" w:ascii="宋体" w:hAnsi="宋体" w:eastAsia="宋体" w:cs="宋体"/>
          <w:color w:val="000000"/>
          <w:spacing w:val="0"/>
          <w:kern w:val="21"/>
          <w:sz w:val="24"/>
          <w:szCs w:val="24"/>
          <w:highlight w:val="none"/>
        </w:rPr>
        <w:t>3.在本项目中无弄虚作假，无围标串标行为；</w:t>
      </w:r>
    </w:p>
    <w:p w14:paraId="288BAE39">
      <w:pPr>
        <w:keepNext w:val="0"/>
        <w:keepLines w:val="0"/>
        <w:pageBreakBefore w:val="0"/>
        <w:widowControl w:val="0"/>
        <w:kinsoku/>
        <w:wordWrap/>
        <w:overflowPunct/>
        <w:topLinePunct w:val="0"/>
        <w:autoSpaceDE w:val="0"/>
        <w:autoSpaceDN w:val="0"/>
        <w:bidi w:val="0"/>
        <w:adjustRightInd/>
        <w:snapToGrid/>
        <w:spacing w:line="480" w:lineRule="auto"/>
        <w:ind w:leftChars="0" w:firstLine="480" w:firstLineChars="200"/>
        <w:textAlignment w:val="auto"/>
        <w:rPr>
          <w:rFonts w:hint="eastAsia" w:ascii="宋体" w:hAnsi="宋体" w:eastAsia="宋体" w:cs="宋体"/>
          <w:color w:val="000000"/>
          <w:spacing w:val="0"/>
          <w:kern w:val="21"/>
          <w:sz w:val="24"/>
          <w:szCs w:val="24"/>
          <w:highlight w:val="none"/>
        </w:rPr>
      </w:pPr>
      <w:r>
        <w:rPr>
          <w:rFonts w:hint="eastAsia" w:ascii="宋体" w:hAnsi="宋体" w:eastAsia="宋体" w:cs="宋体"/>
          <w:color w:val="000000"/>
          <w:spacing w:val="0"/>
          <w:kern w:val="21"/>
          <w:sz w:val="24"/>
          <w:szCs w:val="24"/>
          <w:highlight w:val="none"/>
        </w:rPr>
        <w:t>4.若我方中标，在合同履行过程中严格执行有关法律、法规、规章和规范性文件的规定，不转包和违法分包；</w:t>
      </w:r>
    </w:p>
    <w:p w14:paraId="73415673">
      <w:pPr>
        <w:keepNext w:val="0"/>
        <w:keepLines w:val="0"/>
        <w:pageBreakBefore w:val="0"/>
        <w:widowControl w:val="0"/>
        <w:numPr>
          <w:ilvl w:val="0"/>
          <w:numId w:val="0"/>
        </w:numPr>
        <w:kinsoku/>
        <w:wordWrap/>
        <w:overflowPunct/>
        <w:topLinePunct w:val="0"/>
        <w:autoSpaceDE w:val="0"/>
        <w:autoSpaceDN w:val="0"/>
        <w:bidi w:val="0"/>
        <w:adjustRightInd/>
        <w:snapToGrid/>
        <w:spacing w:line="480" w:lineRule="auto"/>
        <w:ind w:leftChars="0" w:firstLine="480" w:firstLineChars="200"/>
        <w:textAlignment w:val="auto"/>
        <w:rPr>
          <w:rFonts w:hint="eastAsia" w:ascii="宋体" w:hAnsi="宋体" w:eastAsia="宋体" w:cs="宋体"/>
          <w:spacing w:val="0"/>
          <w:kern w:val="21"/>
          <w:sz w:val="24"/>
          <w:szCs w:val="24"/>
          <w:highlight w:val="none"/>
        </w:rPr>
      </w:pPr>
      <w:r>
        <w:rPr>
          <w:rFonts w:hint="eastAsia" w:ascii="宋体" w:hAnsi="宋体" w:eastAsia="宋体" w:cs="宋体"/>
          <w:color w:val="000000"/>
          <w:spacing w:val="0"/>
          <w:kern w:val="21"/>
          <w:sz w:val="24"/>
          <w:szCs w:val="24"/>
          <w:highlight w:val="none"/>
          <w:lang w:val="en-US" w:eastAsia="zh-CN"/>
        </w:rPr>
        <w:t>5</w:t>
      </w:r>
      <w:r>
        <w:rPr>
          <w:rFonts w:hint="eastAsia" w:ascii="宋体" w:hAnsi="宋体" w:eastAsia="宋体" w:cs="宋体"/>
          <w:color w:val="000000"/>
          <w:spacing w:val="0"/>
          <w:kern w:val="21"/>
          <w:sz w:val="24"/>
          <w:szCs w:val="24"/>
          <w:highlight w:val="none"/>
        </w:rPr>
        <w:t>.我方如有违背承诺，愿意接受依法进行的处罚，按照信用管理规定记入相关责任主体和责任人信用档案，并在交通运输行业和政府相关信用网站公开。</w:t>
      </w:r>
    </w:p>
    <w:p w14:paraId="3028BFD4">
      <w:pPr>
        <w:spacing w:line="560" w:lineRule="exact"/>
        <w:ind w:firstLine="4370" w:firstLineChars="1900"/>
        <w:rPr>
          <w:spacing w:val="-5"/>
          <w:sz w:val="24"/>
          <w:szCs w:val="24"/>
          <w:highlight w:val="none"/>
        </w:rPr>
      </w:pPr>
    </w:p>
    <w:p w14:paraId="4D9DCBE9">
      <w:pPr>
        <w:snapToGrid w:val="0"/>
        <w:spacing w:line="360" w:lineRule="auto"/>
        <w:rPr>
          <w:rFonts w:hint="eastAsia" w:ascii="宋体" w:hAnsi="宋体" w:eastAsia="宋体" w:cs="宋体"/>
          <w:b w:val="0"/>
          <w:bCs w:val="0"/>
          <w:color w:val="000000"/>
          <w:kern w:val="21"/>
          <w:sz w:val="24"/>
          <w:szCs w:val="24"/>
          <w:highlight w:val="none"/>
        </w:rPr>
      </w:pPr>
    </w:p>
    <w:p w14:paraId="68CAB454">
      <w:pPr>
        <w:snapToGrid w:val="0"/>
        <w:spacing w:line="360" w:lineRule="auto"/>
        <w:rPr>
          <w:rFonts w:hint="eastAsia" w:ascii="宋体" w:hAnsi="宋体" w:eastAsia="宋体" w:cs="宋体"/>
          <w:b w:val="0"/>
          <w:bCs w:val="0"/>
          <w:color w:val="000000"/>
          <w:kern w:val="21"/>
          <w:sz w:val="24"/>
          <w:szCs w:val="24"/>
          <w:highlight w:val="none"/>
        </w:rPr>
      </w:pPr>
    </w:p>
    <w:p w14:paraId="386B1A26">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kern w:val="21"/>
          <w:sz w:val="24"/>
          <w:szCs w:val="24"/>
          <w:highlight w:val="none"/>
        </w:rPr>
        <w:t>(盖单位章)</w:t>
      </w:r>
      <w:r>
        <w:rPr>
          <w:rFonts w:hint="eastAsia" w:ascii="宋体" w:hAnsi="宋体" w:eastAsia="宋体" w:cs="宋体"/>
          <w:sz w:val="24"/>
          <w:szCs w:val="24"/>
          <w:highlight w:val="none"/>
        </w:rPr>
        <w:t>：_______________________</w:t>
      </w:r>
    </w:p>
    <w:p w14:paraId="38512D80">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法定代表人或其委托代理人（签字或盖章）：_________</w:t>
      </w:r>
    </w:p>
    <w:p w14:paraId="1DC4E575">
      <w:pPr>
        <w:spacing w:line="440" w:lineRule="exact"/>
        <w:jc w:val="right"/>
        <w:rPr>
          <w:rFonts w:ascii="宋体" w:hAnsi="宋体"/>
          <w:color w:val="000000"/>
          <w:sz w:val="21"/>
          <w:szCs w:val="21"/>
          <w:highlight w:val="none"/>
        </w:rPr>
        <w:sectPr>
          <w:pgSz w:w="11906" w:h="16838"/>
          <w:pgMar w:top="1247" w:right="1247" w:bottom="1247" w:left="1247" w:header="623" w:footer="737" w:gutter="0"/>
          <w:pgNumType w:fmt="decimal"/>
          <w:cols w:space="720" w:num="1"/>
        </w:sectPr>
      </w:pPr>
      <w:r>
        <w:rPr>
          <w:rFonts w:hint="eastAsia" w:ascii="宋体" w:hAnsi="宋体" w:eastAsia="宋体" w:cs="宋体"/>
          <w:sz w:val="24"/>
          <w:szCs w:val="24"/>
          <w:highlight w:val="none"/>
        </w:rPr>
        <w:t>_____年____月____日</w:t>
      </w:r>
    </w:p>
    <w:p w14:paraId="6A9E2D7E">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outlineLvl w:val="2"/>
        <w:rPr>
          <w:highlight w:val="none"/>
        </w:rPr>
      </w:pPr>
      <w:r>
        <w:rPr>
          <w:rFonts w:hint="eastAsia"/>
          <w:b/>
          <w:bCs/>
          <w:sz w:val="32"/>
          <w:szCs w:val="24"/>
          <w:highlight w:val="none"/>
        </w:rPr>
        <w:t>江苏公路水运建设市场主要从业人员信用承诺书</w:t>
      </w:r>
    </w:p>
    <w:p w14:paraId="7E369DBD">
      <w:pPr>
        <w:keepNext w:val="0"/>
        <w:keepLines w:val="0"/>
        <w:pageBreakBefore w:val="0"/>
        <w:widowControl w:val="0"/>
        <w:kinsoku/>
        <w:wordWrap/>
        <w:overflowPunct/>
        <w:topLinePunct w:val="0"/>
        <w:autoSpaceDE w:val="0"/>
        <w:autoSpaceDN w:val="0"/>
        <w:bidi w:val="0"/>
        <w:adjustRightInd/>
        <w:snapToGrid/>
        <w:spacing w:line="560" w:lineRule="exact"/>
        <w:ind w:left="0" w:firstLine="460" w:firstLineChars="200"/>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本人自愿申请参加江苏省公路水运工程主要从业人员信用评价，在此郑重承诺：</w:t>
      </w:r>
    </w:p>
    <w:p w14:paraId="59536A73">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460" w:firstLineChars="200"/>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1.在厅建设市场信用系统中录入的有关本人信用信息，均由本人亲自确认；所有信息都是真实、准确的；</w:t>
      </w:r>
    </w:p>
    <w:p w14:paraId="053155D4">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460" w:firstLineChars="200"/>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2.按照国家和省交通运输主管部门有关规定要求，及时更新和完善信用信息系统中相关信息；</w:t>
      </w:r>
    </w:p>
    <w:p w14:paraId="5250BC86">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460" w:firstLineChars="200"/>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3.同意依法在省交通运输主管部门网站和信用交通江苏网站公示、公布相关信用信息，接受社会监督；</w:t>
      </w:r>
    </w:p>
    <w:p w14:paraId="1055CE6D">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460" w:firstLineChars="200"/>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4.同意政府相关行政主管部门、招标人及工程建设管理工作有关单位因工作需要，依法对本人信用信息进行查询；</w:t>
      </w:r>
    </w:p>
    <w:p w14:paraId="4666D3ED">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460" w:firstLineChars="200"/>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5.如有违背承诺，愿意接受依法进行的处罚，按照信用管理规定记入本人信用档案，并在交通运输行业和政府相关信用网站公开。</w:t>
      </w:r>
    </w:p>
    <w:p w14:paraId="6127B622">
      <w:pPr>
        <w:spacing w:line="560" w:lineRule="exact"/>
        <w:ind w:firstLine="460" w:firstLineChars="200"/>
        <w:rPr>
          <w:spacing w:val="-5"/>
          <w:sz w:val="24"/>
          <w:szCs w:val="24"/>
          <w:highlight w:val="none"/>
        </w:rPr>
      </w:pPr>
    </w:p>
    <w:p w14:paraId="35D06FA5">
      <w:pPr>
        <w:spacing w:line="560" w:lineRule="exact"/>
        <w:rPr>
          <w:rFonts w:hint="eastAsia" w:ascii="宋体" w:hAnsi="宋体" w:cs="宋体"/>
          <w:spacing w:val="-5"/>
          <w:sz w:val="24"/>
          <w:szCs w:val="24"/>
          <w:highlight w:val="none"/>
        </w:rPr>
      </w:pPr>
    </w:p>
    <w:p w14:paraId="4B24F34A">
      <w:pPr>
        <w:spacing w:line="560" w:lineRule="exact"/>
        <w:rPr>
          <w:spacing w:val="-5"/>
          <w:sz w:val="24"/>
          <w:szCs w:val="24"/>
          <w:highlight w:val="none"/>
          <w:u w:val="single"/>
        </w:rPr>
      </w:pPr>
      <w:r>
        <w:rPr>
          <w:rFonts w:hint="eastAsia" w:ascii="宋体" w:hAnsi="宋体" w:cs="宋体"/>
          <w:spacing w:val="-5"/>
          <w:sz w:val="24"/>
          <w:szCs w:val="24"/>
          <w:highlight w:val="none"/>
        </w:rPr>
        <w:t>承诺人：</w:t>
      </w:r>
      <w:r>
        <w:rPr>
          <w:rFonts w:hint="eastAsia" w:ascii="宋体" w:hAnsi="宋体" w:cs="宋体"/>
          <w:sz w:val="24"/>
          <w:szCs w:val="24"/>
          <w:highlight w:val="none"/>
          <w:u w:val="single"/>
        </w:rPr>
        <w:t xml:space="preserve">             </w:t>
      </w:r>
      <w:r>
        <w:rPr>
          <w:rFonts w:hint="eastAsia" w:ascii="宋体" w:hAnsi="宋体" w:cs="宋体"/>
          <w:spacing w:val="-5"/>
          <w:sz w:val="24"/>
          <w:szCs w:val="24"/>
          <w:highlight w:val="none"/>
        </w:rPr>
        <w:t>（项目负责人签字）</w:t>
      </w:r>
    </w:p>
    <w:p w14:paraId="34D378E8">
      <w:pPr>
        <w:pStyle w:val="71"/>
        <w:spacing w:before="120" w:beforeLines="50" w:after="120" w:afterLines="50" w:line="360" w:lineRule="auto"/>
        <w:jc w:val="left"/>
        <w:rPr>
          <w:rFonts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年</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月</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rPr>
        <w:t>日</w:t>
      </w:r>
    </w:p>
    <w:p w14:paraId="1E4A4F84">
      <w:pPr>
        <w:spacing w:line="300" w:lineRule="exact"/>
        <w:ind w:firstLine="4200" w:firstLineChars="1750"/>
        <w:rPr>
          <w:sz w:val="24"/>
          <w:szCs w:val="24"/>
          <w:highlight w:val="none"/>
        </w:rPr>
      </w:pPr>
    </w:p>
    <w:p w14:paraId="0638D980">
      <w:pPr>
        <w:spacing w:line="560" w:lineRule="exact"/>
        <w:ind w:firstLine="5405" w:firstLineChars="2350"/>
        <w:rPr>
          <w:spacing w:val="-5"/>
          <w:sz w:val="24"/>
          <w:highlight w:val="none"/>
        </w:rPr>
      </w:pPr>
    </w:p>
    <w:p w14:paraId="43BE9050">
      <w:pPr>
        <w:spacing w:line="560" w:lineRule="exact"/>
        <w:rPr>
          <w:rFonts w:hint="eastAsia"/>
          <w:b/>
          <w:bCs/>
          <w:spacing w:val="-5"/>
          <w:sz w:val="24"/>
          <w:szCs w:val="24"/>
          <w:highlight w:val="none"/>
        </w:rPr>
      </w:pPr>
    </w:p>
    <w:p w14:paraId="6D633433">
      <w:pPr>
        <w:spacing w:line="560" w:lineRule="exact"/>
        <w:rPr>
          <w:rFonts w:hint="eastAsia"/>
          <w:b/>
          <w:bCs/>
          <w:spacing w:val="-5"/>
          <w:sz w:val="24"/>
          <w:szCs w:val="24"/>
          <w:highlight w:val="none"/>
        </w:rPr>
      </w:pPr>
    </w:p>
    <w:p w14:paraId="37288C08">
      <w:pPr>
        <w:spacing w:line="560" w:lineRule="exact"/>
        <w:rPr>
          <w:rFonts w:hint="eastAsia"/>
          <w:b/>
          <w:bCs/>
          <w:spacing w:val="-5"/>
          <w:sz w:val="24"/>
          <w:szCs w:val="24"/>
          <w:highlight w:val="none"/>
        </w:rPr>
      </w:pPr>
    </w:p>
    <w:p w14:paraId="455FA3EA">
      <w:pPr>
        <w:spacing w:line="360" w:lineRule="auto"/>
        <w:ind w:firstLine="4370" w:firstLineChars="1900"/>
        <w:rPr>
          <w:rFonts w:hint="eastAsia" w:ascii="宋体" w:hAnsi="宋体" w:cs="宋体"/>
          <w:spacing w:val="-5"/>
          <w:sz w:val="24"/>
          <w:highlight w:val="none"/>
        </w:rPr>
      </w:pPr>
    </w:p>
    <w:p w14:paraId="267A4B15">
      <w:pPr>
        <w:keepNext/>
        <w:keepLines/>
        <w:spacing w:before="120" w:beforeLines="50" w:after="120" w:afterLines="50" w:line="360" w:lineRule="auto"/>
        <w:jc w:val="center"/>
        <w:outlineLvl w:val="1"/>
        <w:rPr>
          <w:rFonts w:ascii="宋体" w:hAnsi="宋体" w:cs="宋体"/>
          <w:b/>
          <w:bCs/>
          <w:sz w:val="32"/>
          <w:szCs w:val="20"/>
          <w:highlight w:val="none"/>
        </w:rPr>
      </w:pPr>
    </w:p>
    <w:p w14:paraId="1141AD5A">
      <w:pPr>
        <w:pStyle w:val="14"/>
        <w:rPr>
          <w:rFonts w:hint="eastAsia" w:ascii="宋体" w:hAnsi="宋体" w:cs="宋体"/>
          <w:bCs/>
          <w:sz w:val="36"/>
          <w:highlight w:val="none"/>
        </w:rPr>
      </w:pPr>
      <w:r>
        <w:rPr>
          <w:rFonts w:ascii="宋体" w:hAnsi="宋体" w:cs="宋体"/>
          <w:b/>
          <w:bCs/>
          <w:sz w:val="32"/>
          <w:szCs w:val="20"/>
          <w:highlight w:val="none"/>
        </w:rPr>
        <w:br w:type="page"/>
      </w:r>
      <w:bookmarkEnd w:id="90"/>
      <w:bookmarkEnd w:id="91"/>
      <w:bookmarkEnd w:id="92"/>
      <w:bookmarkEnd w:id="93"/>
      <w:bookmarkEnd w:id="94"/>
      <w:r>
        <w:rPr>
          <w:rFonts w:hint="eastAsia" w:ascii="宋体" w:hAnsi="宋体" w:cs="宋体"/>
          <w:bCs/>
          <w:sz w:val="36"/>
          <w:highlight w:val="none"/>
        </w:rPr>
        <w:t>（第二信封封面格式）</w:t>
      </w:r>
    </w:p>
    <w:p w14:paraId="6BFFF9B8">
      <w:pPr>
        <w:tabs>
          <w:tab w:val="right" w:leader="hyphen" w:pos="8640"/>
        </w:tabs>
        <w:spacing w:line="360" w:lineRule="auto"/>
        <w:jc w:val="center"/>
        <w:rPr>
          <w:rFonts w:hint="eastAsia" w:ascii="宋体" w:hAnsi="宋体" w:cs="宋体"/>
          <w:b/>
          <w:bCs/>
          <w:spacing w:val="20"/>
          <w:sz w:val="36"/>
          <w:szCs w:val="20"/>
          <w:highlight w:val="none"/>
        </w:rPr>
      </w:pPr>
    </w:p>
    <w:p w14:paraId="0D846CC1">
      <w:pPr>
        <w:spacing w:line="360" w:lineRule="auto"/>
        <w:jc w:val="center"/>
        <w:rPr>
          <w:rFonts w:hint="eastAsia" w:ascii="宋体" w:hAnsi="宋体" w:eastAsia="宋体" w:cs="宋体"/>
          <w:spacing w:val="-20"/>
          <w:highlight w:val="none"/>
          <w:lang w:eastAsia="zh-CN"/>
        </w:rPr>
      </w:pPr>
      <w:r>
        <w:rPr>
          <w:rFonts w:hint="eastAsia" w:ascii="宋体" w:hAnsi="宋体" w:cs="宋体"/>
          <w:b/>
          <w:bCs/>
          <w:spacing w:val="-20"/>
          <w:sz w:val="36"/>
          <w:szCs w:val="36"/>
          <w:highlight w:val="none"/>
          <w:lang w:eastAsia="zh-CN"/>
        </w:rPr>
        <w:t>连申线南通段三级航道整治工程及航道提升工程文物资源区域评估项目</w:t>
      </w:r>
    </w:p>
    <w:p w14:paraId="5AFCCAF5">
      <w:pPr>
        <w:spacing w:line="360" w:lineRule="auto"/>
        <w:ind w:firstLine="420" w:firstLineChars="200"/>
        <w:jc w:val="center"/>
        <w:rPr>
          <w:rFonts w:hint="eastAsia" w:ascii="宋体" w:hAnsi="宋体" w:cs="宋体"/>
          <w:highlight w:val="none"/>
        </w:rPr>
      </w:pPr>
    </w:p>
    <w:p w14:paraId="6AE0D06D">
      <w:pPr>
        <w:spacing w:line="360" w:lineRule="auto"/>
        <w:ind w:firstLine="420" w:firstLineChars="200"/>
        <w:jc w:val="center"/>
        <w:rPr>
          <w:rFonts w:hint="eastAsia" w:ascii="宋体" w:hAnsi="宋体" w:cs="宋体"/>
          <w:highlight w:val="none"/>
        </w:rPr>
      </w:pPr>
    </w:p>
    <w:p w14:paraId="436E8187">
      <w:pPr>
        <w:spacing w:line="360" w:lineRule="auto"/>
        <w:ind w:firstLine="420" w:firstLineChars="200"/>
        <w:jc w:val="center"/>
        <w:rPr>
          <w:rFonts w:hint="eastAsia" w:ascii="宋体" w:hAnsi="宋体" w:cs="宋体"/>
          <w:highlight w:val="none"/>
        </w:rPr>
      </w:pPr>
    </w:p>
    <w:p w14:paraId="0E3D7A82">
      <w:pPr>
        <w:spacing w:before="120" w:beforeLines="50" w:after="240" w:afterLines="100" w:line="360" w:lineRule="auto"/>
        <w:jc w:val="center"/>
        <w:rPr>
          <w:rFonts w:hint="eastAsia" w:ascii="宋体" w:hAnsi="宋体" w:cs="宋体"/>
          <w:b/>
          <w:bCs/>
          <w:sz w:val="84"/>
          <w:szCs w:val="84"/>
          <w:highlight w:val="none"/>
        </w:rPr>
      </w:pPr>
    </w:p>
    <w:p w14:paraId="14BAF4D9">
      <w:pPr>
        <w:spacing w:before="120" w:beforeLines="50" w:after="240" w:afterLines="100" w:line="360" w:lineRule="auto"/>
        <w:jc w:val="center"/>
        <w:rPr>
          <w:rFonts w:hint="eastAsia" w:ascii="宋体" w:hAnsi="宋体" w:cs="宋体"/>
          <w:b/>
          <w:bCs/>
          <w:sz w:val="84"/>
          <w:szCs w:val="84"/>
          <w:highlight w:val="none"/>
        </w:rPr>
      </w:pPr>
      <w:r>
        <w:rPr>
          <w:rFonts w:hint="eastAsia" w:ascii="宋体" w:hAnsi="宋体" w:cs="宋体"/>
          <w:b/>
          <w:bCs/>
          <w:sz w:val="84"/>
          <w:szCs w:val="84"/>
          <w:highlight w:val="none"/>
        </w:rPr>
        <w:t>投标文件</w:t>
      </w:r>
    </w:p>
    <w:p w14:paraId="15295CA3">
      <w:pPr>
        <w:spacing w:line="360" w:lineRule="auto"/>
        <w:ind w:firstLine="883" w:firstLineChars="200"/>
        <w:jc w:val="center"/>
        <w:rPr>
          <w:rFonts w:hint="eastAsia" w:ascii="宋体" w:hAnsi="宋体" w:cs="宋体"/>
          <w:highlight w:val="none"/>
        </w:rPr>
      </w:pPr>
      <w:r>
        <w:rPr>
          <w:rFonts w:hint="eastAsia" w:ascii="宋体" w:hAnsi="宋体" w:cs="宋体"/>
          <w:b/>
          <w:bCs/>
          <w:sz w:val="44"/>
          <w:highlight w:val="none"/>
        </w:rPr>
        <w:t>第二信封 投标报价和报价清单</w:t>
      </w:r>
    </w:p>
    <w:p w14:paraId="585DD2B7">
      <w:pPr>
        <w:spacing w:line="360" w:lineRule="auto"/>
        <w:ind w:firstLine="720" w:firstLineChars="200"/>
        <w:jc w:val="center"/>
        <w:rPr>
          <w:rFonts w:hint="eastAsia" w:ascii="宋体" w:hAnsi="宋体" w:cs="宋体"/>
          <w:sz w:val="36"/>
          <w:highlight w:val="none"/>
        </w:rPr>
      </w:pPr>
    </w:p>
    <w:p w14:paraId="6E100656">
      <w:pPr>
        <w:spacing w:line="360" w:lineRule="auto"/>
        <w:ind w:firstLine="420" w:firstLineChars="200"/>
        <w:rPr>
          <w:rFonts w:hint="eastAsia" w:ascii="宋体" w:hAnsi="宋体" w:cs="宋体"/>
          <w:highlight w:val="none"/>
        </w:rPr>
      </w:pPr>
    </w:p>
    <w:p w14:paraId="59444513">
      <w:pPr>
        <w:spacing w:line="360" w:lineRule="auto"/>
        <w:ind w:firstLine="420" w:firstLineChars="200"/>
        <w:rPr>
          <w:rFonts w:hint="eastAsia" w:ascii="宋体" w:hAnsi="宋体" w:cs="宋体"/>
          <w:highlight w:val="none"/>
        </w:rPr>
      </w:pPr>
    </w:p>
    <w:p w14:paraId="5F17EBF4">
      <w:pPr>
        <w:spacing w:line="360" w:lineRule="auto"/>
        <w:ind w:firstLine="420" w:firstLineChars="200"/>
        <w:rPr>
          <w:rFonts w:hint="eastAsia" w:ascii="宋体" w:hAnsi="宋体" w:cs="宋体"/>
          <w:highlight w:val="none"/>
        </w:rPr>
      </w:pPr>
    </w:p>
    <w:p w14:paraId="672160B2">
      <w:pPr>
        <w:spacing w:line="360" w:lineRule="auto"/>
        <w:ind w:firstLine="420" w:firstLineChars="200"/>
        <w:rPr>
          <w:rFonts w:hint="eastAsia" w:ascii="宋体" w:hAnsi="宋体" w:cs="宋体"/>
          <w:highlight w:val="none"/>
        </w:rPr>
      </w:pPr>
    </w:p>
    <w:p w14:paraId="4C409C06">
      <w:pPr>
        <w:spacing w:line="360" w:lineRule="auto"/>
        <w:ind w:firstLine="420" w:firstLineChars="200"/>
        <w:rPr>
          <w:rFonts w:hint="eastAsia" w:ascii="宋体" w:hAnsi="宋体" w:cs="宋体"/>
          <w:highlight w:val="none"/>
        </w:rPr>
      </w:pPr>
    </w:p>
    <w:p w14:paraId="3A72D667">
      <w:pPr>
        <w:spacing w:line="360" w:lineRule="auto"/>
        <w:ind w:firstLine="420" w:firstLineChars="200"/>
        <w:rPr>
          <w:rFonts w:hint="eastAsia" w:ascii="宋体" w:hAnsi="宋体" w:cs="宋体"/>
          <w:highlight w:val="none"/>
        </w:rPr>
      </w:pPr>
    </w:p>
    <w:p w14:paraId="3B5DFDC0">
      <w:pPr>
        <w:spacing w:line="360" w:lineRule="auto"/>
        <w:ind w:firstLine="2160" w:firstLineChars="600"/>
        <w:rPr>
          <w:rFonts w:hint="eastAsia" w:ascii="宋体" w:hAnsi="宋体" w:cs="宋体"/>
          <w:sz w:val="36"/>
          <w:highlight w:val="none"/>
        </w:rPr>
      </w:pPr>
    </w:p>
    <w:p w14:paraId="480034F8">
      <w:pPr>
        <w:spacing w:line="360" w:lineRule="auto"/>
        <w:ind w:firstLine="2168" w:firstLineChars="600"/>
        <w:rPr>
          <w:rFonts w:hint="eastAsia" w:ascii="宋体" w:hAnsi="宋体" w:cs="宋体"/>
          <w:b/>
          <w:bCs/>
          <w:sz w:val="36"/>
          <w:highlight w:val="none"/>
        </w:rPr>
      </w:pPr>
      <w:r>
        <w:rPr>
          <w:rFonts w:hint="eastAsia" w:ascii="宋体" w:hAnsi="宋体" w:cs="宋体"/>
          <w:b/>
          <w:bCs/>
          <w:sz w:val="36"/>
          <w:highlight w:val="none"/>
        </w:rPr>
        <w:t>投标单位：</w:t>
      </w:r>
      <w:r>
        <w:rPr>
          <w:rFonts w:hint="eastAsia" w:ascii="宋体" w:hAnsi="宋体" w:cs="宋体"/>
          <w:b/>
          <w:bCs/>
          <w:sz w:val="36"/>
          <w:highlight w:val="none"/>
          <w:u w:val="single"/>
          <w:lang w:val="en-US" w:eastAsia="zh-CN"/>
        </w:rPr>
        <w:t xml:space="preserve">           </w:t>
      </w:r>
      <w:r>
        <w:rPr>
          <w:rFonts w:hint="eastAsia" w:ascii="宋体" w:hAnsi="宋体" w:cs="宋体"/>
          <w:b/>
          <w:bCs/>
          <w:sz w:val="36"/>
          <w:highlight w:val="none"/>
          <w:u w:val="single"/>
        </w:rPr>
        <w:t>（盖单位章）</w:t>
      </w:r>
    </w:p>
    <w:p w14:paraId="5CDE37ED">
      <w:pPr>
        <w:tabs>
          <w:tab w:val="left" w:pos="5670"/>
        </w:tabs>
        <w:spacing w:line="360" w:lineRule="auto"/>
        <w:ind w:firstLine="2891" w:firstLineChars="800"/>
        <w:rPr>
          <w:rFonts w:hint="eastAsia" w:ascii="宋体" w:hAnsi="宋体" w:cs="宋体"/>
          <w:b/>
          <w:sz w:val="36"/>
          <w:highlight w:val="none"/>
        </w:rPr>
      </w:pPr>
      <w:r>
        <w:rPr>
          <w:rFonts w:hint="eastAsia" w:ascii="宋体" w:hAnsi="宋体" w:cs="宋体"/>
          <w:b/>
          <w:bCs/>
          <w:sz w:val="36"/>
          <w:highlight w:val="none"/>
          <w:u w:val="single"/>
        </w:rPr>
        <w:t xml:space="preserve">       </w:t>
      </w:r>
      <w:r>
        <w:rPr>
          <w:rFonts w:hint="eastAsia" w:ascii="宋体" w:hAnsi="宋体" w:cs="宋体"/>
          <w:b/>
          <w:bCs/>
          <w:sz w:val="36"/>
          <w:highlight w:val="none"/>
        </w:rPr>
        <w:t>年</w:t>
      </w:r>
      <w:r>
        <w:rPr>
          <w:rFonts w:hint="eastAsia" w:ascii="宋体" w:hAnsi="宋体" w:cs="宋体"/>
          <w:b/>
          <w:bCs/>
          <w:sz w:val="36"/>
          <w:highlight w:val="none"/>
          <w:u w:val="single"/>
        </w:rPr>
        <w:t xml:space="preserve">     </w:t>
      </w:r>
      <w:r>
        <w:rPr>
          <w:rFonts w:hint="eastAsia" w:ascii="宋体" w:hAnsi="宋体" w:cs="宋体"/>
          <w:b/>
          <w:bCs/>
          <w:sz w:val="36"/>
          <w:highlight w:val="none"/>
        </w:rPr>
        <w:t>月</w:t>
      </w:r>
      <w:r>
        <w:rPr>
          <w:rFonts w:hint="eastAsia" w:ascii="宋体" w:hAnsi="宋体" w:cs="宋体"/>
          <w:b/>
          <w:bCs/>
          <w:sz w:val="36"/>
          <w:highlight w:val="none"/>
          <w:u w:val="single"/>
        </w:rPr>
        <w:t xml:space="preserve">     </w:t>
      </w:r>
      <w:r>
        <w:rPr>
          <w:rFonts w:hint="eastAsia" w:ascii="宋体" w:hAnsi="宋体" w:cs="宋体"/>
          <w:b/>
          <w:bCs/>
          <w:sz w:val="36"/>
          <w:highlight w:val="none"/>
        </w:rPr>
        <w:t>日</w:t>
      </w:r>
    </w:p>
    <w:p w14:paraId="47156B61">
      <w:pPr>
        <w:tabs>
          <w:tab w:val="left" w:pos="5670"/>
        </w:tabs>
        <w:spacing w:line="360" w:lineRule="auto"/>
        <w:rPr>
          <w:rFonts w:hint="eastAsia" w:ascii="宋体" w:hAnsi="宋体" w:cs="宋体"/>
          <w:b/>
          <w:sz w:val="36"/>
          <w:highlight w:val="none"/>
        </w:rPr>
        <w:sectPr>
          <w:pgSz w:w="11906" w:h="16838"/>
          <w:pgMar w:top="1247" w:right="1247" w:bottom="1247" w:left="1247" w:header="623" w:footer="737" w:gutter="0"/>
          <w:pgNumType w:fmt="decimal"/>
          <w:cols w:space="720" w:num="1"/>
        </w:sectPr>
      </w:pPr>
    </w:p>
    <w:p w14:paraId="13331975">
      <w:pPr>
        <w:keepNext/>
        <w:keepLines/>
        <w:spacing w:line="360" w:lineRule="auto"/>
        <w:jc w:val="center"/>
        <w:outlineLvl w:val="1"/>
        <w:rPr>
          <w:rFonts w:hint="eastAsia" w:ascii="宋体" w:hAnsi="宋体" w:cs="宋体"/>
          <w:b/>
          <w:bCs/>
          <w:sz w:val="28"/>
          <w:szCs w:val="28"/>
          <w:highlight w:val="none"/>
        </w:rPr>
      </w:pPr>
      <w:bookmarkStart w:id="95" w:name="_Toc16584192"/>
      <w:bookmarkStart w:id="96" w:name="_Toc451945809"/>
      <w:bookmarkStart w:id="97" w:name="_Toc446323670"/>
      <w:bookmarkStart w:id="98" w:name="_Toc112157064"/>
      <w:bookmarkStart w:id="99" w:name="_Toc464132494"/>
      <w:bookmarkStart w:id="100" w:name="_Toc451945975"/>
      <w:r>
        <w:rPr>
          <w:rFonts w:hint="eastAsia" w:ascii="宋体" w:hAnsi="宋体" w:cs="宋体"/>
          <w:b/>
          <w:bCs/>
          <w:sz w:val="28"/>
          <w:szCs w:val="28"/>
          <w:highlight w:val="none"/>
        </w:rPr>
        <w:t>一、投标函</w:t>
      </w:r>
      <w:bookmarkEnd w:id="95"/>
      <w:bookmarkEnd w:id="96"/>
      <w:bookmarkEnd w:id="97"/>
      <w:bookmarkEnd w:id="98"/>
      <w:bookmarkEnd w:id="99"/>
      <w:bookmarkEnd w:id="100"/>
    </w:p>
    <w:p w14:paraId="0AE8A1DF">
      <w:pPr>
        <w:spacing w:line="360" w:lineRule="auto"/>
        <w:rPr>
          <w:rFonts w:hint="eastAsia" w:ascii="宋体" w:hAnsi="宋体" w:cs="宋体"/>
          <w:szCs w:val="21"/>
          <w:highlight w:val="none"/>
          <w:u w:val="single"/>
        </w:rPr>
      </w:pPr>
    </w:p>
    <w:p w14:paraId="567A3B33">
      <w:pPr>
        <w:spacing w:line="360" w:lineRule="auto"/>
        <w:rPr>
          <w:rFonts w:hint="eastAsia" w:ascii="宋体" w:hAnsi="宋体" w:cs="宋体"/>
          <w:sz w:val="24"/>
          <w:highlight w:val="none"/>
          <w:u w:val="single"/>
        </w:rPr>
      </w:pPr>
      <w:r>
        <w:rPr>
          <w:rFonts w:hint="eastAsia" w:ascii="宋体" w:hAnsi="宋体" w:cs="宋体"/>
          <w:b/>
          <w:sz w:val="24"/>
          <w:highlight w:val="none"/>
          <w:u w:val="single"/>
          <w:lang w:eastAsia="zh-CN"/>
        </w:rPr>
        <w:t>南通市港航事业发展中心</w:t>
      </w:r>
      <w:r>
        <w:rPr>
          <w:rFonts w:hint="eastAsia" w:ascii="宋体" w:hAnsi="宋体" w:cs="宋体"/>
          <w:sz w:val="24"/>
          <w:highlight w:val="none"/>
          <w:u w:val="single"/>
        </w:rPr>
        <w:t>：</w:t>
      </w:r>
    </w:p>
    <w:p w14:paraId="06E11360">
      <w:pPr>
        <w:spacing w:before="156" w:beforeLines="50" w:after="156" w:afterLines="50"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我方已仔细研究了</w:t>
      </w:r>
      <w:r>
        <w:rPr>
          <w:rFonts w:hint="eastAsia" w:ascii="宋体" w:hAnsi="宋体" w:cs="宋体"/>
          <w:sz w:val="24"/>
          <w:highlight w:val="none"/>
          <w:u w:val="single"/>
          <w:lang w:eastAsia="zh-CN"/>
        </w:rPr>
        <w:t>连申线南通段三级航道整治工程及航道提升工程文物资源区域评估项目</w:t>
      </w:r>
      <w:r>
        <w:rPr>
          <w:rFonts w:hint="eastAsia" w:ascii="宋体" w:hAnsi="宋体" w:cs="宋体"/>
          <w:sz w:val="24"/>
          <w:highlight w:val="none"/>
        </w:rPr>
        <w:t>招标文件的全部内容（含补遗书），我方愿以总价人民币（大写）</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sz w:val="24"/>
          <w:highlight w:val="none"/>
        </w:rPr>
        <w:t>) ，遵照招标文件的要求，承担该项工作。</w:t>
      </w:r>
    </w:p>
    <w:p w14:paraId="4CAB1060">
      <w:pPr>
        <w:wordWrap w:val="0"/>
        <w:spacing w:line="360" w:lineRule="auto"/>
        <w:ind w:firstLine="480" w:firstLineChars="200"/>
        <w:rPr>
          <w:rFonts w:hint="eastAsia" w:ascii="宋体" w:hAnsi="宋体" w:cs="宋体"/>
          <w:sz w:val="24"/>
          <w:highlight w:val="none"/>
        </w:rPr>
      </w:pPr>
    </w:p>
    <w:p w14:paraId="2700EC4B">
      <w:pPr>
        <w:wordWrap w:val="0"/>
        <w:spacing w:line="360" w:lineRule="auto"/>
        <w:ind w:firstLine="480" w:firstLineChars="200"/>
        <w:rPr>
          <w:rFonts w:hint="eastAsia" w:ascii="宋体" w:hAnsi="宋体" w:cs="宋体"/>
          <w:sz w:val="24"/>
          <w:highlight w:val="none"/>
        </w:rPr>
      </w:pPr>
    </w:p>
    <w:p w14:paraId="073021CA">
      <w:pPr>
        <w:wordWrap w:val="0"/>
        <w:spacing w:line="360" w:lineRule="auto"/>
        <w:rPr>
          <w:rFonts w:hint="eastAsia" w:ascii="宋体" w:hAnsi="宋体" w:cs="宋体"/>
          <w:sz w:val="24"/>
          <w:highlight w:val="none"/>
        </w:rPr>
      </w:pPr>
      <w:r>
        <w:rPr>
          <w:rFonts w:hint="eastAsia" w:ascii="宋体" w:hAnsi="宋体" w:cs="宋体"/>
          <w:sz w:val="24"/>
          <w:highlight w:val="none"/>
        </w:rPr>
        <w:t>投标人：</w:t>
      </w:r>
      <w:r>
        <w:rPr>
          <w:rFonts w:hint="eastAsia" w:ascii="宋体" w:hAnsi="宋体" w:cs="宋体"/>
          <w:sz w:val="24"/>
          <w:highlight w:val="none"/>
          <w:u w:val="single"/>
        </w:rPr>
        <w:t xml:space="preserve">                             </w:t>
      </w:r>
      <w:r>
        <w:rPr>
          <w:rFonts w:hint="eastAsia" w:ascii="宋体" w:hAnsi="宋体" w:cs="宋体"/>
          <w:sz w:val="24"/>
          <w:highlight w:val="none"/>
        </w:rPr>
        <w:t>（盖单位章）</w:t>
      </w:r>
    </w:p>
    <w:p w14:paraId="6C08DB16">
      <w:pPr>
        <w:wordWrap w:val="0"/>
        <w:spacing w:line="360" w:lineRule="auto"/>
        <w:rPr>
          <w:rFonts w:hint="eastAsia" w:ascii="宋体" w:hAnsi="宋体" w:cs="宋体"/>
          <w:sz w:val="24"/>
          <w:highlight w:val="none"/>
        </w:rPr>
      </w:pPr>
      <w:r>
        <w:rPr>
          <w:rFonts w:hint="eastAsia" w:ascii="宋体" w:hAnsi="宋体" w:cs="宋体"/>
          <w:sz w:val="24"/>
          <w:highlight w:val="none"/>
        </w:rPr>
        <w:t>法定代表人或委托代理人：</w:t>
      </w:r>
      <w:r>
        <w:rPr>
          <w:rFonts w:hint="eastAsia" w:ascii="宋体" w:hAnsi="宋体" w:cs="宋体"/>
          <w:sz w:val="24"/>
          <w:highlight w:val="none"/>
          <w:u w:val="single"/>
        </w:rPr>
        <w:t xml:space="preserve">            </w:t>
      </w:r>
      <w:r>
        <w:rPr>
          <w:rFonts w:hint="eastAsia" w:ascii="宋体" w:hAnsi="宋体" w:cs="宋体"/>
          <w:sz w:val="24"/>
          <w:highlight w:val="none"/>
        </w:rPr>
        <w:t>（签字或盖章）</w:t>
      </w:r>
    </w:p>
    <w:p w14:paraId="3FE12FB9">
      <w:pPr>
        <w:wordWrap w:val="0"/>
        <w:spacing w:line="360" w:lineRule="auto"/>
        <w:rPr>
          <w:rFonts w:hint="eastAsia" w:ascii="宋体" w:hAnsi="宋体" w:cs="宋体"/>
          <w:sz w:val="24"/>
          <w:highlight w:val="none"/>
        </w:rPr>
      </w:pPr>
      <w:r>
        <w:rPr>
          <w:rFonts w:hint="eastAsia" w:ascii="宋体" w:hAnsi="宋体" w:cs="宋体"/>
          <w:sz w:val="24"/>
          <w:highlight w:val="none"/>
        </w:rPr>
        <w:t>地址：</w:t>
      </w:r>
      <w:r>
        <w:rPr>
          <w:rFonts w:hint="eastAsia" w:ascii="宋体" w:hAnsi="宋体" w:cs="宋体"/>
          <w:sz w:val="24"/>
          <w:highlight w:val="none"/>
          <w:u w:val="single"/>
        </w:rPr>
        <w:t xml:space="preserve">                                          </w:t>
      </w:r>
    </w:p>
    <w:p w14:paraId="1A8B4E21">
      <w:pPr>
        <w:wordWrap w:val="0"/>
        <w:spacing w:line="360" w:lineRule="auto"/>
        <w:rPr>
          <w:rFonts w:hint="eastAsia" w:ascii="宋体" w:hAnsi="宋体" w:cs="宋体"/>
          <w:sz w:val="24"/>
          <w:highlight w:val="none"/>
        </w:rPr>
      </w:pPr>
      <w:r>
        <w:rPr>
          <w:rFonts w:hint="eastAsia" w:ascii="宋体" w:hAnsi="宋体" w:cs="宋体"/>
          <w:sz w:val="24"/>
          <w:highlight w:val="none"/>
        </w:rPr>
        <w:t>电话：</w:t>
      </w:r>
      <w:r>
        <w:rPr>
          <w:rFonts w:hint="eastAsia" w:ascii="宋体" w:hAnsi="宋体" w:cs="宋体"/>
          <w:sz w:val="24"/>
          <w:highlight w:val="none"/>
          <w:u w:val="single"/>
        </w:rPr>
        <w:t xml:space="preserve">                                          </w:t>
      </w:r>
    </w:p>
    <w:p w14:paraId="68172095">
      <w:pPr>
        <w:wordWrap w:val="0"/>
        <w:spacing w:line="360" w:lineRule="auto"/>
        <w:rPr>
          <w:rFonts w:hint="eastAsia" w:ascii="宋体" w:hAnsi="宋体" w:cs="宋体"/>
          <w:sz w:val="24"/>
          <w:highlight w:val="none"/>
        </w:rPr>
      </w:pPr>
      <w:r>
        <w:rPr>
          <w:rFonts w:hint="eastAsia" w:ascii="宋体" w:hAnsi="宋体" w:cs="宋体"/>
          <w:sz w:val="24"/>
          <w:highlight w:val="none"/>
        </w:rPr>
        <w:t>传真：</w:t>
      </w:r>
      <w:r>
        <w:rPr>
          <w:rFonts w:hint="eastAsia" w:ascii="宋体" w:hAnsi="宋体" w:cs="宋体"/>
          <w:sz w:val="24"/>
          <w:highlight w:val="none"/>
          <w:u w:val="single"/>
        </w:rPr>
        <w:t xml:space="preserve">                                          </w:t>
      </w:r>
    </w:p>
    <w:p w14:paraId="2E0E49CA">
      <w:pPr>
        <w:wordWrap w:val="0"/>
        <w:spacing w:line="360" w:lineRule="auto"/>
        <w:rPr>
          <w:rFonts w:hint="eastAsia" w:ascii="宋体" w:hAnsi="宋体" w:cs="宋体"/>
          <w:sz w:val="24"/>
          <w:highlight w:val="none"/>
          <w:u w:val="single"/>
        </w:rPr>
      </w:pPr>
      <w:r>
        <w:rPr>
          <w:rFonts w:hint="eastAsia" w:ascii="宋体" w:hAnsi="宋体" w:cs="宋体"/>
          <w:sz w:val="24"/>
          <w:highlight w:val="none"/>
        </w:rPr>
        <w:t>邮政编码：</w:t>
      </w:r>
      <w:r>
        <w:rPr>
          <w:rFonts w:hint="eastAsia" w:ascii="宋体" w:hAnsi="宋体" w:cs="宋体"/>
          <w:sz w:val="24"/>
          <w:highlight w:val="none"/>
          <w:u w:val="single"/>
        </w:rPr>
        <w:t xml:space="preserve">                               </w:t>
      </w:r>
    </w:p>
    <w:p w14:paraId="72B1B915">
      <w:pPr>
        <w:wordWrap w:val="0"/>
        <w:spacing w:line="360" w:lineRule="auto"/>
        <w:rPr>
          <w:rFonts w:hint="eastAsia" w:ascii="宋体" w:hAnsi="宋体" w:cs="宋体"/>
          <w:b/>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3AF45650">
      <w:pPr>
        <w:pStyle w:val="71"/>
        <w:keepNext/>
        <w:keepLines/>
        <w:pageBreakBefore w:val="0"/>
        <w:widowControl w:val="0"/>
        <w:kinsoku/>
        <w:wordWrap/>
        <w:overflowPunct/>
        <w:topLinePunct w:val="0"/>
        <w:autoSpaceDE/>
        <w:autoSpaceDN/>
        <w:bidi w:val="0"/>
        <w:adjustRightInd/>
        <w:snapToGrid/>
        <w:spacing w:before="0" w:beforeLines="0" w:after="0" w:afterLines="0" w:line="360" w:lineRule="auto"/>
        <w:jc w:val="both"/>
        <w:textAlignment w:val="auto"/>
        <w:rPr>
          <w:rFonts w:hint="eastAsia"/>
          <w:b w:val="0"/>
          <w:szCs w:val="28"/>
          <w:highlight w:val="none"/>
        </w:rPr>
        <w:sectPr>
          <w:headerReference r:id="rId7" w:type="default"/>
          <w:footerReference r:id="rId8" w:type="default"/>
          <w:pgSz w:w="11906" w:h="16838"/>
          <w:pgMar w:top="1134" w:right="1134" w:bottom="1134" w:left="1304" w:header="851" w:footer="851" w:gutter="170"/>
          <w:pgNumType w:fmt="decimal"/>
          <w:cols w:space="720" w:num="1"/>
          <w:docGrid w:type="linesAndChars" w:linePitch="312" w:charSpace="0"/>
        </w:sectPr>
      </w:pPr>
    </w:p>
    <w:p w14:paraId="73EF9A97">
      <w:pPr>
        <w:pStyle w:val="71"/>
        <w:keepNext/>
        <w:keepLines/>
        <w:pageBreakBefore w:val="0"/>
        <w:widowControl w:val="0"/>
        <w:kinsoku/>
        <w:wordWrap/>
        <w:overflowPunct/>
        <w:topLinePunct w:val="0"/>
        <w:autoSpaceDE/>
        <w:autoSpaceDN/>
        <w:bidi w:val="0"/>
        <w:adjustRightInd/>
        <w:snapToGrid/>
        <w:spacing w:before="0" w:beforeLines="0" w:after="0" w:afterLines="0" w:line="360" w:lineRule="auto"/>
        <w:jc w:val="center"/>
        <w:textAlignment w:val="auto"/>
        <w:rPr>
          <w:rFonts w:hint="eastAsia"/>
          <w:highlight w:val="none"/>
        </w:rPr>
      </w:pPr>
      <w:r>
        <w:rPr>
          <w:rFonts w:hint="eastAsia"/>
          <w:b w:val="0"/>
          <w:szCs w:val="28"/>
          <w:highlight w:val="none"/>
        </w:rPr>
        <w:t>二、</w:t>
      </w:r>
      <w:r>
        <w:rPr>
          <w:rFonts w:hint="eastAsia" w:ascii="宋体" w:hAnsi="宋体" w:cs="宋体"/>
          <w:kern w:val="0"/>
          <w:szCs w:val="21"/>
          <w:highlight w:val="none"/>
        </w:rPr>
        <w:t>报价清单</w:t>
      </w:r>
    </w:p>
    <w:tbl>
      <w:tblPr>
        <w:tblStyle w:val="38"/>
        <w:tblW w:w="4982"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50"/>
        <w:gridCol w:w="3976"/>
        <w:gridCol w:w="985"/>
        <w:gridCol w:w="951"/>
        <w:gridCol w:w="1210"/>
        <w:gridCol w:w="1193"/>
        <w:gridCol w:w="615"/>
      </w:tblGrid>
      <w:tr w14:paraId="6442AC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jc w:val="center"/>
        </w:trPr>
        <w:tc>
          <w:tcPr>
            <w:tcW w:w="304" w:type="pct"/>
            <w:noWrap w:val="0"/>
            <w:vAlign w:val="center"/>
          </w:tcPr>
          <w:p w14:paraId="20DAA959">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kern w:val="21"/>
                <w:sz w:val="21"/>
                <w:szCs w:val="21"/>
                <w:highlight w:val="none"/>
                <w:lang w:val="en-US" w:bidi="ar-SA"/>
              </w:rPr>
            </w:pPr>
            <w:r>
              <w:rPr>
                <w:rFonts w:hint="eastAsia" w:ascii="宋体" w:hAnsi="宋体" w:eastAsia="宋体" w:cs="宋体"/>
                <w:b/>
                <w:bCs/>
                <w:kern w:val="21"/>
                <w:sz w:val="21"/>
                <w:szCs w:val="21"/>
                <w:highlight w:val="none"/>
                <w:lang w:val="en-US" w:bidi="ar-SA"/>
              </w:rPr>
              <w:t>序号</w:t>
            </w:r>
          </w:p>
        </w:tc>
        <w:tc>
          <w:tcPr>
            <w:tcW w:w="2111" w:type="pct"/>
            <w:noWrap w:val="0"/>
            <w:vAlign w:val="center"/>
          </w:tcPr>
          <w:p w14:paraId="2D7BAAC8">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宋体" w:hAnsi="宋体" w:eastAsia="宋体" w:cs="宋体"/>
                <w:b/>
                <w:bCs/>
                <w:kern w:val="21"/>
                <w:sz w:val="21"/>
                <w:szCs w:val="21"/>
                <w:highlight w:val="none"/>
                <w:lang w:val="en-US" w:bidi="ar-SA"/>
              </w:rPr>
            </w:pPr>
            <w:r>
              <w:rPr>
                <w:rFonts w:hint="eastAsia" w:ascii="宋体" w:hAnsi="宋体" w:eastAsia="宋体" w:cs="宋体"/>
                <w:b/>
                <w:bCs/>
                <w:kern w:val="21"/>
                <w:sz w:val="21"/>
                <w:szCs w:val="21"/>
                <w:highlight w:val="none"/>
                <w:lang w:val="en-US" w:bidi="ar-SA"/>
              </w:rPr>
              <w:t>工作内容</w:t>
            </w:r>
          </w:p>
        </w:tc>
        <w:tc>
          <w:tcPr>
            <w:tcW w:w="533" w:type="pct"/>
            <w:noWrap w:val="0"/>
            <w:vAlign w:val="center"/>
          </w:tcPr>
          <w:p w14:paraId="19C1D097">
            <w:pPr>
              <w:autoSpaceDE/>
              <w:autoSpaceDN/>
              <w:jc w:val="center"/>
              <w:rPr>
                <w:rFonts w:hint="eastAsia" w:ascii="宋体" w:hAnsi="宋体" w:eastAsia="宋体" w:cs="宋体"/>
                <w:b/>
                <w:bCs/>
                <w:kern w:val="21"/>
                <w:sz w:val="21"/>
                <w:szCs w:val="21"/>
                <w:highlight w:val="none"/>
                <w:lang w:val="en-US" w:bidi="ar-SA"/>
              </w:rPr>
            </w:pPr>
            <w:r>
              <w:rPr>
                <w:rFonts w:hint="eastAsia" w:ascii="宋体" w:hAnsi="宋体" w:eastAsia="宋体" w:cs="宋体"/>
                <w:b/>
                <w:bCs/>
                <w:kern w:val="21"/>
                <w:sz w:val="21"/>
                <w:szCs w:val="21"/>
                <w:highlight w:val="none"/>
                <w:lang w:val="en-US" w:bidi="ar-SA"/>
              </w:rPr>
              <w:t>单位</w:t>
            </w:r>
          </w:p>
        </w:tc>
        <w:tc>
          <w:tcPr>
            <w:tcW w:w="418" w:type="pct"/>
            <w:noWrap w:val="0"/>
            <w:vAlign w:val="center"/>
          </w:tcPr>
          <w:p w14:paraId="2A852321">
            <w:pPr>
              <w:autoSpaceDE/>
              <w:autoSpaceDN/>
              <w:jc w:val="center"/>
              <w:rPr>
                <w:rFonts w:hint="eastAsia" w:ascii="宋体" w:hAnsi="宋体" w:eastAsia="宋体" w:cs="宋体"/>
                <w:b/>
                <w:bCs/>
                <w:kern w:val="21"/>
                <w:sz w:val="21"/>
                <w:szCs w:val="21"/>
                <w:highlight w:val="none"/>
                <w:lang w:val="en-US" w:bidi="ar-SA"/>
              </w:rPr>
            </w:pPr>
            <w:r>
              <w:rPr>
                <w:rFonts w:hint="eastAsia" w:ascii="宋体" w:hAnsi="宋体" w:eastAsia="宋体" w:cs="宋体"/>
                <w:b/>
                <w:bCs/>
                <w:kern w:val="21"/>
                <w:sz w:val="21"/>
                <w:szCs w:val="21"/>
                <w:highlight w:val="none"/>
                <w:lang w:val="en-US" w:bidi="ar-SA"/>
              </w:rPr>
              <w:t>数量</w:t>
            </w:r>
          </w:p>
        </w:tc>
        <w:tc>
          <w:tcPr>
            <w:tcW w:w="650" w:type="pct"/>
            <w:noWrap w:val="0"/>
            <w:vAlign w:val="center"/>
          </w:tcPr>
          <w:p w14:paraId="2D089643">
            <w:pPr>
              <w:autoSpaceDE/>
              <w:autoSpaceDN/>
              <w:jc w:val="center"/>
              <w:rPr>
                <w:rFonts w:hint="eastAsia" w:ascii="宋体" w:hAnsi="宋体" w:eastAsia="宋体" w:cs="宋体"/>
                <w:b/>
                <w:bCs/>
                <w:kern w:val="21"/>
                <w:sz w:val="21"/>
                <w:szCs w:val="21"/>
                <w:highlight w:val="none"/>
                <w:lang w:val="en-US" w:bidi="ar-SA"/>
              </w:rPr>
            </w:pPr>
            <w:r>
              <w:rPr>
                <w:rFonts w:hint="eastAsia" w:ascii="宋体" w:hAnsi="宋体" w:eastAsia="宋体" w:cs="宋体"/>
                <w:b/>
                <w:bCs/>
                <w:kern w:val="21"/>
                <w:sz w:val="21"/>
                <w:szCs w:val="21"/>
                <w:highlight w:val="none"/>
                <w:lang w:val="en-US" w:bidi="ar-SA"/>
              </w:rPr>
              <w:t>单价（元）</w:t>
            </w:r>
          </w:p>
        </w:tc>
        <w:tc>
          <w:tcPr>
            <w:tcW w:w="643" w:type="pct"/>
            <w:noWrap w:val="0"/>
            <w:vAlign w:val="center"/>
          </w:tcPr>
          <w:p w14:paraId="2136EF1D">
            <w:pPr>
              <w:autoSpaceDE/>
              <w:autoSpaceDN/>
              <w:jc w:val="center"/>
              <w:rPr>
                <w:rFonts w:hint="eastAsia" w:ascii="宋体" w:hAnsi="宋体" w:eastAsia="宋体" w:cs="宋体"/>
                <w:b/>
                <w:bCs/>
                <w:kern w:val="21"/>
                <w:sz w:val="21"/>
                <w:szCs w:val="21"/>
                <w:highlight w:val="none"/>
                <w:lang w:val="en-US" w:bidi="ar-SA"/>
              </w:rPr>
            </w:pPr>
            <w:r>
              <w:rPr>
                <w:rFonts w:hint="eastAsia" w:ascii="宋体" w:hAnsi="宋体" w:eastAsia="宋体" w:cs="宋体"/>
                <w:b/>
                <w:bCs/>
                <w:kern w:val="21"/>
                <w:sz w:val="21"/>
                <w:szCs w:val="21"/>
                <w:highlight w:val="none"/>
                <w:lang w:val="en-US" w:bidi="ar-SA"/>
              </w:rPr>
              <w:t>合价（元）</w:t>
            </w:r>
          </w:p>
        </w:tc>
        <w:tc>
          <w:tcPr>
            <w:tcW w:w="338" w:type="pct"/>
            <w:noWrap w:val="0"/>
            <w:vAlign w:val="center"/>
          </w:tcPr>
          <w:p w14:paraId="3ED3AAF2">
            <w:pPr>
              <w:autoSpaceDE/>
              <w:autoSpaceDN/>
              <w:jc w:val="center"/>
              <w:rPr>
                <w:rFonts w:hint="eastAsia" w:ascii="宋体" w:hAnsi="宋体" w:eastAsia="宋体" w:cs="宋体"/>
                <w:b/>
                <w:bCs/>
                <w:kern w:val="21"/>
                <w:sz w:val="21"/>
                <w:szCs w:val="21"/>
                <w:highlight w:val="none"/>
                <w:lang w:val="en-US" w:eastAsia="zh-CN" w:bidi="ar-SA"/>
              </w:rPr>
            </w:pPr>
            <w:r>
              <w:rPr>
                <w:rFonts w:hint="eastAsia" w:ascii="宋体" w:hAnsi="宋体" w:eastAsia="宋体" w:cs="宋体"/>
                <w:b/>
                <w:bCs/>
                <w:kern w:val="21"/>
                <w:sz w:val="21"/>
                <w:szCs w:val="21"/>
                <w:highlight w:val="none"/>
                <w:lang w:val="en-US" w:eastAsia="zh-CN" w:bidi="ar-SA"/>
              </w:rPr>
              <w:t>备注</w:t>
            </w:r>
          </w:p>
        </w:tc>
      </w:tr>
      <w:tr w14:paraId="2A434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304" w:type="pct"/>
            <w:noWrap w:val="0"/>
            <w:vAlign w:val="center"/>
          </w:tcPr>
          <w:p w14:paraId="63FAFFCF">
            <w:pPr>
              <w:autoSpaceDE/>
              <w:autoSpaceDN/>
              <w:jc w:val="center"/>
              <w:rPr>
                <w:rFonts w:hint="eastAsia" w:ascii="宋体" w:hAnsi="宋体" w:eastAsia="宋体" w:cs="宋体"/>
                <w:b w:val="0"/>
                <w:bCs w:val="0"/>
                <w:kern w:val="21"/>
                <w:sz w:val="21"/>
                <w:szCs w:val="21"/>
                <w:highlight w:val="none"/>
                <w:lang w:val="en-US" w:eastAsia="zh-CN" w:bidi="ar-SA"/>
              </w:rPr>
            </w:pPr>
            <w:r>
              <w:rPr>
                <w:rFonts w:hint="eastAsia" w:ascii="宋体" w:hAnsi="宋体" w:eastAsia="宋体" w:cs="宋体"/>
                <w:b w:val="0"/>
                <w:bCs w:val="0"/>
                <w:kern w:val="21"/>
                <w:sz w:val="21"/>
                <w:szCs w:val="21"/>
                <w:highlight w:val="none"/>
                <w:lang w:val="en-US" w:eastAsia="zh-CN" w:bidi="ar-SA"/>
              </w:rPr>
              <w:t>一</w:t>
            </w:r>
          </w:p>
        </w:tc>
        <w:tc>
          <w:tcPr>
            <w:tcW w:w="2111" w:type="pct"/>
            <w:noWrap w:val="0"/>
            <w:vAlign w:val="center"/>
          </w:tcPr>
          <w:p w14:paraId="20460D09">
            <w:pPr>
              <w:autoSpaceDE/>
              <w:autoSpaceDN/>
              <w:jc w:val="left"/>
              <w:rPr>
                <w:rFonts w:hint="default" w:ascii="宋体" w:hAnsi="宋体" w:eastAsia="宋体" w:cs="宋体"/>
                <w:b w:val="0"/>
                <w:bCs w:val="0"/>
                <w:kern w:val="21"/>
                <w:sz w:val="21"/>
                <w:szCs w:val="21"/>
                <w:highlight w:val="none"/>
                <w:lang w:val="en-US" w:eastAsia="zh-CN" w:bidi="ar-SA"/>
              </w:rPr>
            </w:pPr>
            <w:r>
              <w:rPr>
                <w:rFonts w:hint="eastAsia" w:ascii="宋体" w:hAnsi="宋体" w:cs="宋体"/>
                <w:b w:val="0"/>
                <w:bCs w:val="0"/>
                <w:kern w:val="21"/>
                <w:sz w:val="21"/>
                <w:szCs w:val="21"/>
                <w:highlight w:val="none"/>
                <w:lang w:val="en-US" w:eastAsia="zh-CN" w:bidi="ar-SA"/>
              </w:rPr>
              <w:t>连申线南通段三级航道整治工程及航道提升工程</w:t>
            </w:r>
            <w:r>
              <w:rPr>
                <w:rFonts w:hint="default" w:ascii="宋体" w:hAnsi="宋体" w:eastAsia="宋体" w:cs="宋体"/>
                <w:b w:val="0"/>
                <w:bCs w:val="0"/>
                <w:kern w:val="21"/>
                <w:sz w:val="21"/>
                <w:szCs w:val="21"/>
                <w:highlight w:val="none"/>
                <w:lang w:val="en-US" w:eastAsia="zh-CN" w:bidi="ar-SA"/>
              </w:rPr>
              <w:t>文物资源区域评估项目</w:t>
            </w:r>
          </w:p>
        </w:tc>
        <w:tc>
          <w:tcPr>
            <w:tcW w:w="533" w:type="pct"/>
            <w:noWrap w:val="0"/>
            <w:vAlign w:val="center"/>
          </w:tcPr>
          <w:p w14:paraId="7505CB3B">
            <w:pPr>
              <w:autoSpaceDE/>
              <w:autoSpaceDN/>
              <w:jc w:val="center"/>
              <w:rPr>
                <w:rFonts w:hint="default" w:ascii="宋体" w:hAnsi="宋体" w:eastAsia="宋体" w:cs="宋体"/>
                <w:b w:val="0"/>
                <w:bCs w:val="0"/>
                <w:kern w:val="21"/>
                <w:sz w:val="21"/>
                <w:szCs w:val="21"/>
                <w:highlight w:val="none"/>
                <w:lang w:val="en-US" w:eastAsia="zh-CN" w:bidi="ar-SA"/>
              </w:rPr>
            </w:pPr>
            <w:r>
              <w:rPr>
                <w:rFonts w:hint="default" w:ascii="宋体" w:hAnsi="宋体" w:eastAsia="宋体" w:cs="宋体"/>
                <w:b w:val="0"/>
                <w:bCs w:val="0"/>
                <w:kern w:val="21"/>
                <w:sz w:val="21"/>
                <w:szCs w:val="21"/>
                <w:highlight w:val="none"/>
                <w:lang w:val="en-US" w:eastAsia="zh-CN" w:bidi="ar-SA"/>
              </w:rPr>
              <w:t>m2</w:t>
            </w:r>
          </w:p>
        </w:tc>
        <w:tc>
          <w:tcPr>
            <w:tcW w:w="418" w:type="pct"/>
            <w:noWrap w:val="0"/>
            <w:vAlign w:val="center"/>
          </w:tcPr>
          <w:p w14:paraId="183E8306">
            <w:pPr>
              <w:autoSpaceDE/>
              <w:autoSpaceDN/>
              <w:jc w:val="center"/>
              <w:rPr>
                <w:rFonts w:hint="eastAsia" w:ascii="宋体" w:hAnsi="宋体" w:eastAsia="宋体" w:cs="宋体"/>
                <w:b w:val="0"/>
                <w:bCs w:val="0"/>
                <w:kern w:val="21"/>
                <w:sz w:val="21"/>
                <w:szCs w:val="21"/>
                <w:highlight w:val="none"/>
                <w:lang w:val="en-US" w:eastAsia="zh-CN" w:bidi="ar-SA"/>
              </w:rPr>
            </w:pPr>
            <w:r>
              <w:rPr>
                <w:rFonts w:hint="eastAsia" w:ascii="宋体" w:hAnsi="宋体" w:eastAsia="宋体" w:cs="宋体"/>
                <w:b w:val="0"/>
                <w:bCs/>
                <w:color w:val="auto"/>
                <w:sz w:val="21"/>
                <w:szCs w:val="21"/>
                <w:highlight w:val="none"/>
                <w:lang w:val="en-US" w:eastAsia="zh-CN"/>
              </w:rPr>
              <w:t>3152786</w:t>
            </w:r>
          </w:p>
        </w:tc>
        <w:tc>
          <w:tcPr>
            <w:tcW w:w="650" w:type="pct"/>
            <w:noWrap w:val="0"/>
            <w:vAlign w:val="center"/>
          </w:tcPr>
          <w:p w14:paraId="2B074AAF">
            <w:pPr>
              <w:autoSpaceDE/>
              <w:autoSpaceDN/>
              <w:jc w:val="center"/>
              <w:rPr>
                <w:rFonts w:hint="eastAsia" w:ascii="宋体" w:hAnsi="宋体" w:eastAsia="宋体" w:cs="宋体"/>
                <w:b w:val="0"/>
                <w:bCs w:val="0"/>
                <w:kern w:val="21"/>
                <w:sz w:val="21"/>
                <w:szCs w:val="21"/>
                <w:highlight w:val="none"/>
                <w:lang w:val="en-US" w:bidi="ar-SA"/>
              </w:rPr>
            </w:pPr>
          </w:p>
        </w:tc>
        <w:tc>
          <w:tcPr>
            <w:tcW w:w="643" w:type="pct"/>
            <w:noWrap w:val="0"/>
            <w:vAlign w:val="center"/>
          </w:tcPr>
          <w:p w14:paraId="47FFA1E6">
            <w:pPr>
              <w:autoSpaceDE/>
              <w:autoSpaceDN/>
              <w:jc w:val="center"/>
              <w:rPr>
                <w:rFonts w:hint="eastAsia" w:ascii="宋体" w:hAnsi="宋体" w:eastAsia="宋体" w:cs="宋体"/>
                <w:b w:val="0"/>
                <w:bCs w:val="0"/>
                <w:kern w:val="21"/>
                <w:sz w:val="21"/>
                <w:szCs w:val="21"/>
                <w:highlight w:val="none"/>
                <w:lang w:val="en-US" w:bidi="ar-SA"/>
              </w:rPr>
            </w:pPr>
          </w:p>
        </w:tc>
        <w:tc>
          <w:tcPr>
            <w:tcW w:w="338" w:type="pct"/>
            <w:noWrap w:val="0"/>
            <w:vAlign w:val="center"/>
          </w:tcPr>
          <w:p w14:paraId="16EE6DB5">
            <w:pPr>
              <w:autoSpaceDE/>
              <w:autoSpaceDN/>
              <w:jc w:val="center"/>
              <w:rPr>
                <w:rFonts w:hint="eastAsia" w:ascii="宋体" w:hAnsi="宋体" w:eastAsia="宋体" w:cs="宋体"/>
                <w:b w:val="0"/>
                <w:bCs w:val="0"/>
                <w:kern w:val="21"/>
                <w:sz w:val="21"/>
                <w:szCs w:val="21"/>
                <w:highlight w:val="none"/>
                <w:lang w:val="en-US" w:eastAsia="zh-CN" w:bidi="ar-SA"/>
              </w:rPr>
            </w:pPr>
          </w:p>
        </w:tc>
      </w:tr>
      <w:tr w14:paraId="43EDB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4018" w:type="pct"/>
            <w:gridSpan w:val="5"/>
            <w:noWrap w:val="0"/>
            <w:vAlign w:val="center"/>
          </w:tcPr>
          <w:p w14:paraId="6DE65B75">
            <w:pPr>
              <w:autoSpaceDE/>
              <w:autoSpaceDN/>
              <w:jc w:val="center"/>
              <w:rPr>
                <w:rFonts w:hint="eastAsia" w:ascii="宋体" w:hAnsi="宋体" w:eastAsia="宋体" w:cs="宋体"/>
                <w:b w:val="0"/>
                <w:bCs w:val="0"/>
                <w:kern w:val="21"/>
                <w:sz w:val="21"/>
                <w:szCs w:val="21"/>
                <w:highlight w:val="none"/>
                <w:lang w:val="en-US" w:bidi="ar-SA"/>
              </w:rPr>
            </w:pPr>
            <w:r>
              <w:rPr>
                <w:rFonts w:hint="eastAsia" w:ascii="宋体" w:hAnsi="宋体" w:eastAsia="宋体" w:cs="宋体"/>
                <w:b w:val="0"/>
                <w:bCs w:val="0"/>
                <w:kern w:val="21"/>
                <w:sz w:val="21"/>
                <w:szCs w:val="21"/>
                <w:highlight w:val="none"/>
                <w:lang w:val="en-US" w:eastAsia="zh-CN" w:bidi="ar-SA"/>
              </w:rPr>
              <w:t>合  计</w:t>
            </w:r>
            <w:r>
              <w:rPr>
                <w:rFonts w:hint="eastAsia" w:ascii="宋体" w:hAnsi="宋体" w:eastAsia="宋体" w:cs="宋体"/>
                <w:b/>
                <w:bCs/>
                <w:kern w:val="21"/>
                <w:sz w:val="21"/>
                <w:szCs w:val="21"/>
                <w:highlight w:val="none"/>
                <w:lang w:val="en-US" w:bidi="ar-SA"/>
              </w:rPr>
              <w:t>（元）</w:t>
            </w:r>
          </w:p>
        </w:tc>
        <w:tc>
          <w:tcPr>
            <w:tcW w:w="643" w:type="pct"/>
            <w:noWrap w:val="0"/>
            <w:vAlign w:val="center"/>
          </w:tcPr>
          <w:p w14:paraId="6848EFEA">
            <w:pPr>
              <w:autoSpaceDE/>
              <w:autoSpaceDN/>
              <w:jc w:val="center"/>
              <w:rPr>
                <w:rFonts w:hint="eastAsia" w:ascii="宋体" w:hAnsi="宋体" w:eastAsia="宋体" w:cs="宋体"/>
                <w:b w:val="0"/>
                <w:bCs w:val="0"/>
                <w:kern w:val="21"/>
                <w:sz w:val="21"/>
                <w:szCs w:val="21"/>
                <w:highlight w:val="none"/>
                <w:lang w:val="en-US" w:bidi="ar-SA"/>
              </w:rPr>
            </w:pPr>
          </w:p>
        </w:tc>
        <w:tc>
          <w:tcPr>
            <w:tcW w:w="338" w:type="pct"/>
            <w:noWrap w:val="0"/>
            <w:vAlign w:val="center"/>
          </w:tcPr>
          <w:p w14:paraId="0E2361FE">
            <w:pPr>
              <w:autoSpaceDE/>
              <w:autoSpaceDN/>
              <w:jc w:val="center"/>
              <w:rPr>
                <w:rFonts w:hint="eastAsia" w:ascii="宋体" w:hAnsi="宋体" w:eastAsia="宋体" w:cs="宋体"/>
                <w:b w:val="0"/>
                <w:bCs w:val="0"/>
                <w:kern w:val="21"/>
                <w:sz w:val="21"/>
                <w:szCs w:val="21"/>
                <w:highlight w:val="none"/>
                <w:lang w:val="en-US" w:bidi="ar-SA"/>
              </w:rPr>
            </w:pPr>
          </w:p>
        </w:tc>
      </w:tr>
    </w:tbl>
    <w:p w14:paraId="0AF9FD66">
      <w:pPr>
        <w:rPr>
          <w:rFonts w:hint="eastAsia"/>
          <w:highlight w:val="none"/>
        </w:rPr>
      </w:pPr>
    </w:p>
    <w:p w14:paraId="65B16DFB">
      <w:pPr>
        <w:pStyle w:val="3"/>
        <w:keepNext/>
        <w:keepLines/>
        <w:pageBreakBefore w:val="0"/>
        <w:widowControl w:val="0"/>
        <w:kinsoku/>
        <w:wordWrap/>
        <w:overflowPunct/>
        <w:topLinePunct w:val="0"/>
        <w:autoSpaceDE/>
        <w:autoSpaceDN/>
        <w:bidi w:val="0"/>
        <w:adjustRightInd/>
        <w:snapToGrid w:val="0"/>
        <w:spacing w:before="0" w:after="0" w:line="24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rPr>
        <w:t>注：</w:t>
      </w:r>
      <w:r>
        <w:rPr>
          <w:rFonts w:hint="eastAsia" w:ascii="宋体" w:hAnsi="宋体" w:eastAsia="宋体" w:cs="宋体"/>
          <w:b/>
          <w:bCs/>
          <w:color w:val="auto"/>
          <w:sz w:val="24"/>
          <w:szCs w:val="24"/>
          <w:highlight w:val="none"/>
          <w:lang w:val="en-US" w:eastAsia="zh-CN"/>
        </w:rPr>
        <w:t>1、连申线南通段三级航道整治工程及航道提升工程文物资源区域评估项目对应全部费用</w:t>
      </w:r>
      <w:r>
        <w:rPr>
          <w:rFonts w:hint="eastAsia" w:ascii="宋体" w:hAnsi="宋体" w:eastAsia="宋体" w:cs="宋体"/>
          <w:color w:val="auto"/>
          <w:sz w:val="24"/>
          <w:szCs w:val="24"/>
          <w:highlight w:val="none"/>
          <w:lang w:val="zh-CN"/>
        </w:rPr>
        <w:t>按实际完成的工程量计量</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zh-CN"/>
        </w:rPr>
        <w:t>本工程量清单的单价</w:t>
      </w:r>
      <w:r>
        <w:rPr>
          <w:rFonts w:hint="eastAsia" w:ascii="宋体" w:hAnsi="宋体" w:eastAsia="宋体" w:cs="宋体"/>
          <w:color w:val="auto"/>
          <w:sz w:val="24"/>
          <w:szCs w:val="24"/>
          <w:highlight w:val="none"/>
          <w:lang w:val="en-US" w:eastAsia="zh-CN"/>
        </w:rPr>
        <w:t>计算。</w:t>
      </w:r>
    </w:p>
    <w:p w14:paraId="0B58C6B4">
      <w:pPr>
        <w:pStyle w:val="3"/>
        <w:keepNext/>
        <w:keepLines/>
        <w:pageBreakBefore w:val="0"/>
        <w:widowControl w:val="0"/>
        <w:kinsoku/>
        <w:wordWrap/>
        <w:overflowPunct/>
        <w:topLinePunct w:val="0"/>
        <w:autoSpaceDE/>
        <w:autoSpaceDN/>
        <w:bidi w:val="0"/>
        <w:adjustRightInd/>
        <w:snapToGrid w:val="0"/>
        <w:spacing w:before="0" w:after="0" w:line="240"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lang w:val="en-US" w:eastAsia="zh-CN"/>
        </w:rPr>
        <w:t>报价清单</w:t>
      </w:r>
      <w:r>
        <w:rPr>
          <w:rFonts w:hint="eastAsia" w:ascii="宋体" w:hAnsi="宋体" w:eastAsia="宋体" w:cs="宋体"/>
          <w:color w:val="auto"/>
          <w:sz w:val="24"/>
          <w:szCs w:val="24"/>
          <w:highlight w:val="none"/>
          <w:lang w:val="zh-CN"/>
        </w:rPr>
        <w:t>中所列数量是估算的数量，仅作为投标报价的基础，不能作为最终结算与支付的依据。实际支付应按实际完成的工程量计量，按本工程量清单的单价计算支付金额。</w:t>
      </w:r>
    </w:p>
    <w:p w14:paraId="58E33F16">
      <w:pPr>
        <w:pStyle w:val="3"/>
        <w:keepNext/>
        <w:keepLines/>
        <w:pageBreakBefore w:val="0"/>
        <w:widowControl w:val="0"/>
        <w:kinsoku/>
        <w:wordWrap/>
        <w:overflowPunct/>
        <w:topLinePunct w:val="0"/>
        <w:autoSpaceDE/>
        <w:autoSpaceDN/>
        <w:bidi w:val="0"/>
        <w:adjustRightInd/>
        <w:snapToGrid w:val="0"/>
        <w:spacing w:before="0" w:after="0" w:line="240" w:lineRule="auto"/>
        <w:ind w:firstLine="480" w:firstLineChars="200"/>
        <w:jc w:val="lef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zh-CN"/>
        </w:rPr>
        <w:t>实际完成的工程量计算方法</w:t>
      </w:r>
      <w:r>
        <w:rPr>
          <w:rFonts w:hint="eastAsia" w:ascii="宋体" w:hAnsi="宋体" w:eastAsia="宋体" w:cs="宋体"/>
          <w:color w:val="auto"/>
          <w:sz w:val="24"/>
          <w:szCs w:val="24"/>
          <w:highlight w:val="none"/>
          <w:lang w:val="en-US" w:eastAsia="zh-CN"/>
        </w:rPr>
        <w:t>:</w:t>
      </w:r>
    </w:p>
    <w:p w14:paraId="7FE1500F">
      <w:pPr>
        <w:pStyle w:val="3"/>
        <w:keepNext/>
        <w:keepLines/>
        <w:pageBreakBefore w:val="0"/>
        <w:widowControl w:val="0"/>
        <w:kinsoku/>
        <w:wordWrap/>
        <w:overflowPunct/>
        <w:topLinePunct w:val="0"/>
        <w:autoSpaceDE/>
        <w:autoSpaceDN/>
        <w:bidi w:val="0"/>
        <w:adjustRightInd/>
        <w:snapToGrid w:val="0"/>
        <w:spacing w:before="0" w:after="0" w:line="240" w:lineRule="auto"/>
        <w:ind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连申线南通段三级航道整治工程：以用地批复文件中的征地面积扣除已办理国有土地划拨手续的面积为准。</w:t>
      </w:r>
    </w:p>
    <w:p w14:paraId="2FEAD059">
      <w:pPr>
        <w:pStyle w:val="3"/>
        <w:keepNext/>
        <w:keepLines/>
        <w:pageBreakBefore w:val="0"/>
        <w:widowControl w:val="0"/>
        <w:kinsoku/>
        <w:wordWrap/>
        <w:overflowPunct/>
        <w:topLinePunct w:val="0"/>
        <w:autoSpaceDE/>
        <w:autoSpaceDN/>
        <w:bidi w:val="0"/>
        <w:adjustRightInd/>
        <w:snapToGrid w:val="0"/>
        <w:spacing w:before="0" w:after="0" w:line="240" w:lineRule="auto"/>
        <w:ind w:firstLine="480" w:firstLineChars="20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连申线南通段航道提升工程：以用地批复文件中的征地面积为准。</w:t>
      </w:r>
    </w:p>
    <w:p w14:paraId="1284DC24">
      <w:pPr>
        <w:pStyle w:val="3"/>
        <w:keepNext/>
        <w:keepLines/>
        <w:pageBreakBefore w:val="0"/>
        <w:widowControl w:val="0"/>
        <w:kinsoku/>
        <w:wordWrap/>
        <w:overflowPunct/>
        <w:topLinePunct w:val="0"/>
        <w:autoSpaceDE/>
        <w:autoSpaceDN/>
        <w:bidi w:val="0"/>
        <w:adjustRightInd/>
        <w:snapToGrid w:val="0"/>
        <w:spacing w:before="0" w:after="0" w:line="24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、连申线南通段三级航道整治工程实际征地面积为292.9097公顷，其中焦港船闸（495246m2）、如皋水上服务区（16065m2）已办理国有土地划拨手续。</w:t>
      </w:r>
    </w:p>
    <w:p w14:paraId="4810CA4A">
      <w:pPr>
        <w:pStyle w:val="3"/>
        <w:keepNext/>
        <w:keepLines/>
        <w:pageBreakBefore w:val="0"/>
        <w:widowControl w:val="0"/>
        <w:kinsoku/>
        <w:wordWrap/>
        <w:overflowPunct/>
        <w:topLinePunct w:val="0"/>
        <w:autoSpaceDE/>
        <w:autoSpaceDN/>
        <w:bidi w:val="0"/>
        <w:adjustRightInd/>
        <w:snapToGrid w:val="0"/>
        <w:spacing w:before="0" w:after="0" w:line="240" w:lineRule="auto"/>
        <w:ind w:firstLine="480" w:firstLineChars="200"/>
        <w:jc w:val="lef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连申线南通段航道提升工程工可暂未报批，拟新增用地73.5公顷为暂定工程量，</w:t>
      </w:r>
      <w:r>
        <w:rPr>
          <w:rFonts w:hint="eastAsia" w:ascii="宋体" w:hAnsi="宋体" w:eastAsia="宋体" w:cs="宋体"/>
          <w:color w:val="auto"/>
          <w:sz w:val="24"/>
          <w:szCs w:val="24"/>
          <w:highlight w:val="none"/>
          <w:lang w:val="zh-CN" w:eastAsia="zh-CN"/>
        </w:rPr>
        <w:t>实际支付应按</w:t>
      </w:r>
      <w:r>
        <w:rPr>
          <w:rFonts w:hint="eastAsia" w:ascii="宋体" w:hAnsi="宋体" w:eastAsia="宋体" w:cs="宋体"/>
          <w:color w:val="auto"/>
          <w:sz w:val="24"/>
          <w:szCs w:val="24"/>
          <w:highlight w:val="none"/>
          <w:lang w:val="en-US" w:eastAsia="zh-CN"/>
        </w:rPr>
        <w:t>连申线南通段航道提升工程用地批复文件中的征地面积为准。</w:t>
      </w:r>
    </w:p>
    <w:p w14:paraId="33F9F0EE">
      <w:pPr>
        <w:pStyle w:val="3"/>
        <w:keepNext/>
        <w:keepLines/>
        <w:pageBreakBefore w:val="0"/>
        <w:widowControl w:val="0"/>
        <w:kinsoku/>
        <w:wordWrap/>
        <w:overflowPunct/>
        <w:topLinePunct w:val="0"/>
        <w:autoSpaceDE/>
        <w:autoSpaceDN/>
        <w:bidi w:val="0"/>
        <w:adjustRightInd/>
        <w:snapToGrid w:val="0"/>
        <w:spacing w:before="0" w:after="0" w:line="240" w:lineRule="auto"/>
        <w:ind w:firstLine="480" w:firstLineChars="200"/>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本表“投标总价”转入投标函中。</w:t>
      </w:r>
    </w:p>
    <w:p w14:paraId="20E7EFD2">
      <w:pPr>
        <w:pageBreakBefore w:val="0"/>
        <w:widowControl w:val="0"/>
        <w:kinsoku/>
        <w:wordWrap/>
        <w:overflowPunct/>
        <w:topLinePunct w:val="0"/>
        <w:autoSpaceDE/>
        <w:autoSpaceDN/>
        <w:bidi w:val="0"/>
        <w:adjustRightInd/>
        <w:snapToGrid w:val="0"/>
        <w:spacing w:line="240" w:lineRule="auto"/>
        <w:ind w:left="359" w:leftChars="171" w:right="280" w:firstLine="120" w:firstLineChars="50"/>
        <w:jc w:val="both"/>
        <w:textAlignment w:val="auto"/>
        <w:rPr>
          <w:rFonts w:hint="eastAsia" w:ascii="宋体" w:hAnsi="宋体" w:eastAsia="宋体" w:cs="宋体"/>
          <w:sz w:val="24"/>
          <w:highlight w:val="none"/>
        </w:rPr>
      </w:pP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eastAsia="zh-CN"/>
        </w:rPr>
        <w:t>详细费用计算清单及说明的格式由投标人自列。</w:t>
      </w:r>
    </w:p>
    <w:p w14:paraId="54FF0AFC">
      <w:pPr>
        <w:pStyle w:val="56"/>
        <w:rPr>
          <w:rFonts w:hint="eastAsia"/>
          <w:highlight w:val="none"/>
        </w:rPr>
      </w:pPr>
    </w:p>
    <w:p w14:paraId="3DBE5287">
      <w:pPr>
        <w:spacing w:line="360" w:lineRule="auto"/>
        <w:rPr>
          <w:rFonts w:hint="eastAsia" w:ascii="宋体" w:hAnsi="宋体"/>
          <w:szCs w:val="21"/>
          <w:highlight w:val="none"/>
        </w:rPr>
      </w:pPr>
    </w:p>
    <w:p w14:paraId="41230214">
      <w:pPr>
        <w:spacing w:line="360" w:lineRule="auto"/>
        <w:rPr>
          <w:rFonts w:hint="eastAsia" w:ascii="宋体" w:hAnsi="宋体"/>
          <w:szCs w:val="21"/>
          <w:highlight w:val="none"/>
        </w:rPr>
      </w:pPr>
    </w:p>
    <w:p w14:paraId="0C12E9DF">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kern w:val="21"/>
          <w:sz w:val="24"/>
          <w:szCs w:val="24"/>
          <w:highlight w:val="none"/>
        </w:rPr>
        <w:t>(盖单位章)</w:t>
      </w:r>
      <w:r>
        <w:rPr>
          <w:rFonts w:hint="eastAsia" w:ascii="宋体" w:hAnsi="宋体" w:eastAsia="宋体" w:cs="宋体"/>
          <w:sz w:val="24"/>
          <w:szCs w:val="24"/>
          <w:highlight w:val="none"/>
        </w:rPr>
        <w:t>：_______________________</w:t>
      </w:r>
    </w:p>
    <w:p w14:paraId="6B91942B">
      <w:pPr>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法定代表人或其委托代理人（签字或盖章）：_________</w:t>
      </w:r>
    </w:p>
    <w:p w14:paraId="3D8A3815">
      <w:pPr>
        <w:spacing w:line="4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_____年____月____日</w:t>
      </w:r>
    </w:p>
    <w:p w14:paraId="6712F9AD">
      <w:pPr>
        <w:bidi w:val="0"/>
        <w:rPr>
          <w:kern w:val="2"/>
          <w:sz w:val="21"/>
          <w:szCs w:val="24"/>
          <w:highlight w:val="none"/>
          <w:lang w:val="en-US" w:eastAsia="zh-CN" w:bidi="ar-SA"/>
        </w:rPr>
      </w:pPr>
    </w:p>
    <w:p w14:paraId="14EEEA27">
      <w:pPr>
        <w:bidi w:val="0"/>
        <w:rPr>
          <w:highlight w:val="none"/>
          <w:lang w:val="en-US" w:eastAsia="zh-CN"/>
        </w:rPr>
      </w:pPr>
    </w:p>
    <w:p w14:paraId="64ADEBD0">
      <w:pPr>
        <w:bidi w:val="0"/>
        <w:rPr>
          <w:highlight w:val="none"/>
          <w:lang w:val="en-US" w:eastAsia="zh-CN"/>
        </w:rPr>
      </w:pPr>
    </w:p>
    <w:p w14:paraId="50343979">
      <w:pPr>
        <w:bidi w:val="0"/>
        <w:rPr>
          <w:highlight w:val="none"/>
          <w:lang w:val="en-US" w:eastAsia="zh-CN"/>
        </w:rPr>
      </w:pPr>
    </w:p>
    <w:p w14:paraId="53306A42">
      <w:pPr>
        <w:bidi w:val="0"/>
        <w:rPr>
          <w:highlight w:val="none"/>
          <w:lang w:val="en-US" w:eastAsia="zh-CN"/>
        </w:rPr>
      </w:pPr>
    </w:p>
    <w:p w14:paraId="41DE8B5F">
      <w:pPr>
        <w:spacing w:line="360" w:lineRule="auto"/>
        <w:ind w:right="280"/>
        <w:rPr>
          <w:rFonts w:ascii="宋体" w:hAnsi="宋体"/>
          <w:sz w:val="24"/>
          <w:highlight w:val="none"/>
        </w:rPr>
      </w:pPr>
    </w:p>
    <w:sectPr>
      <w:pgSz w:w="11906" w:h="16838"/>
      <w:pgMar w:top="1134" w:right="1134" w:bottom="1134" w:left="1304" w:header="851" w:footer="851" w:gutter="170"/>
      <w:pgNumType w:fmt="decimal"/>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08C72">
    <w:pPr>
      <w:pStyle w:val="2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6FD341">
                          <w:pPr>
                            <w:pStyle w:val="23"/>
                          </w:pPr>
                          <w:r>
                            <w:fldChar w:fldCharType="begin"/>
                          </w:r>
                          <w:r>
                            <w:instrText xml:space="preserve"> PAGE  \* MERGEFORMAT </w:instrText>
                          </w:r>
                          <w:r>
                            <w:fldChar w:fldCharType="separate"/>
                          </w:r>
                          <w:r>
                            <w:t>3</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96FD341">
                    <w:pPr>
                      <w:pStyle w:val="2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BF910">
    <w:pPr>
      <w:pStyle w:val="23"/>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2D658E">
                          <w:pPr>
                            <w:pStyle w:val="23"/>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LMb65DdAQAAvgMAAA4AAAAAAAAA&#10;AQAgAAAAHgEAAGRycy9lMm9Eb2MueG1sUEsFBgAAAAAGAAYAWQEAAG0FAAAAAA==&#10;">
              <v:fill on="f" focussize="0,0"/>
              <v:stroke on="f"/>
              <v:imagedata o:title=""/>
              <o:lock v:ext="edit" aspectratio="f"/>
              <v:textbox inset="0mm,0mm,0mm,0mm" style="mso-fit-shape-to-text:t;">
                <w:txbxContent>
                  <w:p w14:paraId="1A2D658E">
                    <w:pPr>
                      <w:pStyle w:val="2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2E822">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CE9DC1">
                          <w:pPr>
                            <w:pStyle w:val="23"/>
                          </w:pPr>
                          <w:r>
                            <w:fldChar w:fldCharType="begin"/>
                          </w:r>
                          <w:r>
                            <w:instrText xml:space="preserve"> PAGE  \* MERGEFORMAT </w:instrText>
                          </w:r>
                          <w:r>
                            <w:fldChar w:fldCharType="separate"/>
                          </w:r>
                          <w:r>
                            <w:t>62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Gx6hx3gEAAL4DAAAOAAAAAAAA&#10;AAEAIAAAAB4BAABkcnMvZTJvRG9jLnhtbFBLBQYAAAAABgAGAFkBAABuBQAAAAA=&#10;">
              <v:fill on="f" focussize="0,0"/>
              <v:stroke on="f"/>
              <v:imagedata o:title=""/>
              <o:lock v:ext="edit" aspectratio="f"/>
              <v:textbox inset="0mm,0mm,0mm,0mm" style="mso-fit-shape-to-text:t;">
                <w:txbxContent>
                  <w:p w14:paraId="41CE9DC1">
                    <w:pPr>
                      <w:pStyle w:val="23"/>
                    </w:pPr>
                    <w:r>
                      <w:fldChar w:fldCharType="begin"/>
                    </w:r>
                    <w:r>
                      <w:instrText xml:space="preserve"> PAGE  \* MERGEFORMAT </w:instrText>
                    </w:r>
                    <w:r>
                      <w:fldChar w:fldCharType="separate"/>
                    </w:r>
                    <w:r>
                      <w:t>62</w:t>
                    </w:r>
                    <w:r>
                      <w:fldChar w:fldCharType="end"/>
                    </w:r>
                  </w:p>
                </w:txbxContent>
              </v:textbox>
            </v:shape>
          </w:pict>
        </mc:Fallback>
      </mc:AlternateContent>
    </w:r>
  </w:p>
  <w:p w14:paraId="5514E3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footnote>
  <w:footnote w:type="continuationSeparator" w:id="3">
    <w:p/>
  </w:footnote>
  <w:footnote w:id="0">
    <w:p w14:paraId="0E271516">
      <w:pPr>
        <w:pStyle w:val="2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462A9">
    <w:pPr>
      <w:tabs>
        <w:tab w:val="left" w:pos="1715"/>
      </w:tabs>
      <w:rPr>
        <w:rFonts w:hint="eastAsia"/>
      </w:rPr>
    </w:pPr>
    <w:r>
      <w:tab/>
    </w:r>
    <w:r>
      <w:tab/>
    </w:r>
  </w:p>
  <w:p w14:paraId="388B81AF">
    <w:pPr>
      <w:rPr>
        <w:rFonts w:hint="eastAsia" w:ascii="宋体" w:hAnsi="宋体"/>
      </w:rPr>
    </w:pPr>
  </w:p>
  <w:p w14:paraId="167137D3">
    <w:pPr>
      <w:rPr>
        <w:rFonts w:hint="eastAsia" w:ascii="宋体" w:hAnsi="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hyphenationZone w:val="360"/>
  <w:displayHorizontalDrawingGridEvery w:val="1"/>
  <w:displayVerticalDrawingGridEvery w:val="1"/>
  <w:noPunctuationKerning w:val="1"/>
  <w:characterSpacingControl w:val="doNotCompress"/>
  <w:hdrShapeDefaults>
    <o:shapelayout v:ext="edit">
      <o:idmap v:ext="edit" data="1"/>
    </o:shapelayout>
  </w:hdrShapeDefaults>
  <w:footnotePr>
    <w:footnote w:id="2"/>
    <w:footnote w:id="3"/>
  </w:footnotePr>
  <w:endnotePr>
    <w:endnote w:id="0"/>
    <w:endnote w:id="1"/>
  </w:endnotePr>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yYmU2ZTAzMDU2YjM4MTljYWI2ZWU1MzFlMjY2MmYifQ=="/>
  </w:docVars>
  <w:rsids>
    <w:rsidRoot w:val="00A7357E"/>
    <w:rsid w:val="000004F2"/>
    <w:rsid w:val="0000305C"/>
    <w:rsid w:val="000032AA"/>
    <w:rsid w:val="0000345E"/>
    <w:rsid w:val="0000369D"/>
    <w:rsid w:val="00004597"/>
    <w:rsid w:val="00004F42"/>
    <w:rsid w:val="00005313"/>
    <w:rsid w:val="000057D1"/>
    <w:rsid w:val="00005B98"/>
    <w:rsid w:val="0000715A"/>
    <w:rsid w:val="000072A5"/>
    <w:rsid w:val="00007C51"/>
    <w:rsid w:val="00012614"/>
    <w:rsid w:val="000140E0"/>
    <w:rsid w:val="00015822"/>
    <w:rsid w:val="00016463"/>
    <w:rsid w:val="00016F3E"/>
    <w:rsid w:val="00017636"/>
    <w:rsid w:val="00017D95"/>
    <w:rsid w:val="0002160C"/>
    <w:rsid w:val="00023506"/>
    <w:rsid w:val="000235A2"/>
    <w:rsid w:val="00023B90"/>
    <w:rsid w:val="00023CA9"/>
    <w:rsid w:val="00024064"/>
    <w:rsid w:val="00025A2D"/>
    <w:rsid w:val="00025A81"/>
    <w:rsid w:val="00027E83"/>
    <w:rsid w:val="000309CA"/>
    <w:rsid w:val="00030B4A"/>
    <w:rsid w:val="00031259"/>
    <w:rsid w:val="00032071"/>
    <w:rsid w:val="000331F7"/>
    <w:rsid w:val="000336BA"/>
    <w:rsid w:val="00033DD0"/>
    <w:rsid w:val="00033E3D"/>
    <w:rsid w:val="00034346"/>
    <w:rsid w:val="000357EC"/>
    <w:rsid w:val="00036179"/>
    <w:rsid w:val="000368A3"/>
    <w:rsid w:val="00040794"/>
    <w:rsid w:val="00040D20"/>
    <w:rsid w:val="00040F0D"/>
    <w:rsid w:val="000424D0"/>
    <w:rsid w:val="00045DBF"/>
    <w:rsid w:val="00045EF5"/>
    <w:rsid w:val="00047A27"/>
    <w:rsid w:val="00050041"/>
    <w:rsid w:val="000506E8"/>
    <w:rsid w:val="000529CC"/>
    <w:rsid w:val="00052C2C"/>
    <w:rsid w:val="00055463"/>
    <w:rsid w:val="00055E05"/>
    <w:rsid w:val="00056ABE"/>
    <w:rsid w:val="000571C8"/>
    <w:rsid w:val="000578C2"/>
    <w:rsid w:val="000603B6"/>
    <w:rsid w:val="00060D9A"/>
    <w:rsid w:val="00061328"/>
    <w:rsid w:val="00061405"/>
    <w:rsid w:val="000638CC"/>
    <w:rsid w:val="00063EEF"/>
    <w:rsid w:val="000643ED"/>
    <w:rsid w:val="00064767"/>
    <w:rsid w:val="00065DDE"/>
    <w:rsid w:val="000661B5"/>
    <w:rsid w:val="00070927"/>
    <w:rsid w:val="0007303D"/>
    <w:rsid w:val="000737A9"/>
    <w:rsid w:val="00074B24"/>
    <w:rsid w:val="0007605D"/>
    <w:rsid w:val="000764D8"/>
    <w:rsid w:val="00076791"/>
    <w:rsid w:val="00076A80"/>
    <w:rsid w:val="00076BE8"/>
    <w:rsid w:val="00077066"/>
    <w:rsid w:val="000774BC"/>
    <w:rsid w:val="00077B9B"/>
    <w:rsid w:val="00080428"/>
    <w:rsid w:val="0008096E"/>
    <w:rsid w:val="000812DD"/>
    <w:rsid w:val="00082671"/>
    <w:rsid w:val="00082885"/>
    <w:rsid w:val="00082E1C"/>
    <w:rsid w:val="000838E8"/>
    <w:rsid w:val="00083ECE"/>
    <w:rsid w:val="00084AF9"/>
    <w:rsid w:val="00085600"/>
    <w:rsid w:val="00087A78"/>
    <w:rsid w:val="0009001D"/>
    <w:rsid w:val="00091460"/>
    <w:rsid w:val="00091841"/>
    <w:rsid w:val="0009217D"/>
    <w:rsid w:val="00092E0C"/>
    <w:rsid w:val="000941C0"/>
    <w:rsid w:val="00096393"/>
    <w:rsid w:val="00096C47"/>
    <w:rsid w:val="00096FAB"/>
    <w:rsid w:val="000977E4"/>
    <w:rsid w:val="000A029C"/>
    <w:rsid w:val="000A0B65"/>
    <w:rsid w:val="000A0DD7"/>
    <w:rsid w:val="000A13C7"/>
    <w:rsid w:val="000A2D9C"/>
    <w:rsid w:val="000A3D2E"/>
    <w:rsid w:val="000A47AA"/>
    <w:rsid w:val="000A4E8B"/>
    <w:rsid w:val="000A7190"/>
    <w:rsid w:val="000A7903"/>
    <w:rsid w:val="000B130A"/>
    <w:rsid w:val="000B20A3"/>
    <w:rsid w:val="000B26AC"/>
    <w:rsid w:val="000B2EE3"/>
    <w:rsid w:val="000B3120"/>
    <w:rsid w:val="000B37EA"/>
    <w:rsid w:val="000B4952"/>
    <w:rsid w:val="000B4B90"/>
    <w:rsid w:val="000B538F"/>
    <w:rsid w:val="000B6FDE"/>
    <w:rsid w:val="000B70F8"/>
    <w:rsid w:val="000B743C"/>
    <w:rsid w:val="000C0E31"/>
    <w:rsid w:val="000C2637"/>
    <w:rsid w:val="000C2BCE"/>
    <w:rsid w:val="000C4FED"/>
    <w:rsid w:val="000C50B5"/>
    <w:rsid w:val="000C5D64"/>
    <w:rsid w:val="000C7BC6"/>
    <w:rsid w:val="000D04A4"/>
    <w:rsid w:val="000D08B2"/>
    <w:rsid w:val="000D2019"/>
    <w:rsid w:val="000D2D80"/>
    <w:rsid w:val="000D37FB"/>
    <w:rsid w:val="000D667E"/>
    <w:rsid w:val="000D6F83"/>
    <w:rsid w:val="000D7843"/>
    <w:rsid w:val="000D7A37"/>
    <w:rsid w:val="000E053A"/>
    <w:rsid w:val="000E0BED"/>
    <w:rsid w:val="000E1C47"/>
    <w:rsid w:val="000E237A"/>
    <w:rsid w:val="000E2B44"/>
    <w:rsid w:val="000E35BE"/>
    <w:rsid w:val="000E3FDC"/>
    <w:rsid w:val="000E4093"/>
    <w:rsid w:val="000E43C1"/>
    <w:rsid w:val="000E4E3A"/>
    <w:rsid w:val="000E58E0"/>
    <w:rsid w:val="000E5C80"/>
    <w:rsid w:val="000E5D3F"/>
    <w:rsid w:val="000E6F72"/>
    <w:rsid w:val="000E739A"/>
    <w:rsid w:val="000E787C"/>
    <w:rsid w:val="000F01F0"/>
    <w:rsid w:val="000F122C"/>
    <w:rsid w:val="000F1DCB"/>
    <w:rsid w:val="000F463F"/>
    <w:rsid w:val="000F7136"/>
    <w:rsid w:val="000F7367"/>
    <w:rsid w:val="000F76F6"/>
    <w:rsid w:val="00100A84"/>
    <w:rsid w:val="00100DA1"/>
    <w:rsid w:val="001029AB"/>
    <w:rsid w:val="00104CCF"/>
    <w:rsid w:val="00105A38"/>
    <w:rsid w:val="00110827"/>
    <w:rsid w:val="00110890"/>
    <w:rsid w:val="00110CDC"/>
    <w:rsid w:val="001113BD"/>
    <w:rsid w:val="00111611"/>
    <w:rsid w:val="00112184"/>
    <w:rsid w:val="00112D9E"/>
    <w:rsid w:val="00112FA9"/>
    <w:rsid w:val="00114152"/>
    <w:rsid w:val="001149D6"/>
    <w:rsid w:val="00115EF0"/>
    <w:rsid w:val="00117953"/>
    <w:rsid w:val="001213EA"/>
    <w:rsid w:val="001223FD"/>
    <w:rsid w:val="00122CB2"/>
    <w:rsid w:val="00127193"/>
    <w:rsid w:val="0012770F"/>
    <w:rsid w:val="001319AE"/>
    <w:rsid w:val="001323CB"/>
    <w:rsid w:val="00132B11"/>
    <w:rsid w:val="00133AB2"/>
    <w:rsid w:val="00135ABA"/>
    <w:rsid w:val="001361C3"/>
    <w:rsid w:val="001369B4"/>
    <w:rsid w:val="00137237"/>
    <w:rsid w:val="001379E3"/>
    <w:rsid w:val="001414E0"/>
    <w:rsid w:val="00141AD4"/>
    <w:rsid w:val="001424C6"/>
    <w:rsid w:val="00142E96"/>
    <w:rsid w:val="0014309D"/>
    <w:rsid w:val="00143BCA"/>
    <w:rsid w:val="00144826"/>
    <w:rsid w:val="0014530F"/>
    <w:rsid w:val="001453EA"/>
    <w:rsid w:val="00146FD9"/>
    <w:rsid w:val="0015094C"/>
    <w:rsid w:val="00150A2E"/>
    <w:rsid w:val="00150B05"/>
    <w:rsid w:val="001514CA"/>
    <w:rsid w:val="001520DA"/>
    <w:rsid w:val="001541E0"/>
    <w:rsid w:val="00154724"/>
    <w:rsid w:val="001550BB"/>
    <w:rsid w:val="00155D69"/>
    <w:rsid w:val="00155E2F"/>
    <w:rsid w:val="00161ECC"/>
    <w:rsid w:val="001624D8"/>
    <w:rsid w:val="00162EA3"/>
    <w:rsid w:val="0016330F"/>
    <w:rsid w:val="001633CD"/>
    <w:rsid w:val="00163B2B"/>
    <w:rsid w:val="00164FE1"/>
    <w:rsid w:val="0016535F"/>
    <w:rsid w:val="001669B3"/>
    <w:rsid w:val="00167AD0"/>
    <w:rsid w:val="00167C23"/>
    <w:rsid w:val="00167CAD"/>
    <w:rsid w:val="0017007E"/>
    <w:rsid w:val="0017019D"/>
    <w:rsid w:val="00170C48"/>
    <w:rsid w:val="00171C6C"/>
    <w:rsid w:val="001723B5"/>
    <w:rsid w:val="00173FC7"/>
    <w:rsid w:val="00174235"/>
    <w:rsid w:val="00174941"/>
    <w:rsid w:val="001751CC"/>
    <w:rsid w:val="0017553E"/>
    <w:rsid w:val="001757BB"/>
    <w:rsid w:val="00176686"/>
    <w:rsid w:val="00176836"/>
    <w:rsid w:val="001770B7"/>
    <w:rsid w:val="00177D95"/>
    <w:rsid w:val="0018020D"/>
    <w:rsid w:val="0018155C"/>
    <w:rsid w:val="00181993"/>
    <w:rsid w:val="001820DF"/>
    <w:rsid w:val="00184173"/>
    <w:rsid w:val="001853BE"/>
    <w:rsid w:val="00190F72"/>
    <w:rsid w:val="0019195D"/>
    <w:rsid w:val="00192942"/>
    <w:rsid w:val="00195B89"/>
    <w:rsid w:val="00195F32"/>
    <w:rsid w:val="00196F1B"/>
    <w:rsid w:val="001A01AC"/>
    <w:rsid w:val="001A078B"/>
    <w:rsid w:val="001A07EA"/>
    <w:rsid w:val="001A0F00"/>
    <w:rsid w:val="001A0FBA"/>
    <w:rsid w:val="001A1379"/>
    <w:rsid w:val="001A1765"/>
    <w:rsid w:val="001A17DD"/>
    <w:rsid w:val="001A1896"/>
    <w:rsid w:val="001A2241"/>
    <w:rsid w:val="001A3B99"/>
    <w:rsid w:val="001A3C66"/>
    <w:rsid w:val="001A3C90"/>
    <w:rsid w:val="001A3D56"/>
    <w:rsid w:val="001A46B2"/>
    <w:rsid w:val="001A48B6"/>
    <w:rsid w:val="001A4DEB"/>
    <w:rsid w:val="001A65E3"/>
    <w:rsid w:val="001A6C3F"/>
    <w:rsid w:val="001B0418"/>
    <w:rsid w:val="001B1843"/>
    <w:rsid w:val="001B36AD"/>
    <w:rsid w:val="001B637B"/>
    <w:rsid w:val="001B646C"/>
    <w:rsid w:val="001C0A64"/>
    <w:rsid w:val="001C2573"/>
    <w:rsid w:val="001C264D"/>
    <w:rsid w:val="001C3140"/>
    <w:rsid w:val="001C3189"/>
    <w:rsid w:val="001C4793"/>
    <w:rsid w:val="001C4F9E"/>
    <w:rsid w:val="001C51E8"/>
    <w:rsid w:val="001C5939"/>
    <w:rsid w:val="001C5D62"/>
    <w:rsid w:val="001C6019"/>
    <w:rsid w:val="001C7CDE"/>
    <w:rsid w:val="001C7D0C"/>
    <w:rsid w:val="001D018E"/>
    <w:rsid w:val="001D036D"/>
    <w:rsid w:val="001D0BED"/>
    <w:rsid w:val="001D0F92"/>
    <w:rsid w:val="001D120D"/>
    <w:rsid w:val="001D14FA"/>
    <w:rsid w:val="001D1FEB"/>
    <w:rsid w:val="001D2E4E"/>
    <w:rsid w:val="001D3795"/>
    <w:rsid w:val="001D60ED"/>
    <w:rsid w:val="001E1694"/>
    <w:rsid w:val="001E368D"/>
    <w:rsid w:val="001E399A"/>
    <w:rsid w:val="001E3B9F"/>
    <w:rsid w:val="001E3F83"/>
    <w:rsid w:val="001E7138"/>
    <w:rsid w:val="001E7152"/>
    <w:rsid w:val="001E77B1"/>
    <w:rsid w:val="001E7BAA"/>
    <w:rsid w:val="001F02E8"/>
    <w:rsid w:val="001F0DD9"/>
    <w:rsid w:val="001F0E31"/>
    <w:rsid w:val="001F221A"/>
    <w:rsid w:val="001F35E2"/>
    <w:rsid w:val="001F5B84"/>
    <w:rsid w:val="002009EA"/>
    <w:rsid w:val="00202809"/>
    <w:rsid w:val="00202CA2"/>
    <w:rsid w:val="002058CD"/>
    <w:rsid w:val="00205952"/>
    <w:rsid w:val="002060A4"/>
    <w:rsid w:val="00206583"/>
    <w:rsid w:val="00206A82"/>
    <w:rsid w:val="00206DCC"/>
    <w:rsid w:val="002115C7"/>
    <w:rsid w:val="00212E8E"/>
    <w:rsid w:val="00213D4E"/>
    <w:rsid w:val="00215B50"/>
    <w:rsid w:val="0021615C"/>
    <w:rsid w:val="00216952"/>
    <w:rsid w:val="002171F4"/>
    <w:rsid w:val="00223B2F"/>
    <w:rsid w:val="00224FC8"/>
    <w:rsid w:val="0023044E"/>
    <w:rsid w:val="0023060E"/>
    <w:rsid w:val="00230CA1"/>
    <w:rsid w:val="00230FB5"/>
    <w:rsid w:val="00231CFD"/>
    <w:rsid w:val="002323AB"/>
    <w:rsid w:val="00233070"/>
    <w:rsid w:val="002338A3"/>
    <w:rsid w:val="002338D3"/>
    <w:rsid w:val="00233CE8"/>
    <w:rsid w:val="0023441F"/>
    <w:rsid w:val="00234733"/>
    <w:rsid w:val="00234C85"/>
    <w:rsid w:val="00236868"/>
    <w:rsid w:val="00240A4A"/>
    <w:rsid w:val="00242A72"/>
    <w:rsid w:val="0024714D"/>
    <w:rsid w:val="002479E2"/>
    <w:rsid w:val="00247D2D"/>
    <w:rsid w:val="00250ED5"/>
    <w:rsid w:val="0025123E"/>
    <w:rsid w:val="002516FF"/>
    <w:rsid w:val="00252323"/>
    <w:rsid w:val="00252CD8"/>
    <w:rsid w:val="0025498D"/>
    <w:rsid w:val="00256217"/>
    <w:rsid w:val="00260251"/>
    <w:rsid w:val="002603F9"/>
    <w:rsid w:val="00260EBB"/>
    <w:rsid w:val="00261143"/>
    <w:rsid w:val="002613CC"/>
    <w:rsid w:val="0026196B"/>
    <w:rsid w:val="00262511"/>
    <w:rsid w:val="00262578"/>
    <w:rsid w:val="002645DB"/>
    <w:rsid w:val="00264B04"/>
    <w:rsid w:val="00265A95"/>
    <w:rsid w:val="00265AD4"/>
    <w:rsid w:val="0026757E"/>
    <w:rsid w:val="00267829"/>
    <w:rsid w:val="0027077B"/>
    <w:rsid w:val="00270D4A"/>
    <w:rsid w:val="002738DC"/>
    <w:rsid w:val="00274769"/>
    <w:rsid w:val="002749BF"/>
    <w:rsid w:val="00277242"/>
    <w:rsid w:val="0027769C"/>
    <w:rsid w:val="0028054A"/>
    <w:rsid w:val="002813C0"/>
    <w:rsid w:val="002823FA"/>
    <w:rsid w:val="00282E69"/>
    <w:rsid w:val="00283121"/>
    <w:rsid w:val="00284122"/>
    <w:rsid w:val="0028438A"/>
    <w:rsid w:val="00285126"/>
    <w:rsid w:val="00285646"/>
    <w:rsid w:val="0029090D"/>
    <w:rsid w:val="00290C8A"/>
    <w:rsid w:val="00291908"/>
    <w:rsid w:val="0029379B"/>
    <w:rsid w:val="002938A2"/>
    <w:rsid w:val="00293A7D"/>
    <w:rsid w:val="0029405C"/>
    <w:rsid w:val="00294445"/>
    <w:rsid w:val="00295AC5"/>
    <w:rsid w:val="00295C32"/>
    <w:rsid w:val="0029603B"/>
    <w:rsid w:val="00296D8C"/>
    <w:rsid w:val="002A008C"/>
    <w:rsid w:val="002A0C1E"/>
    <w:rsid w:val="002A2CB7"/>
    <w:rsid w:val="002A323B"/>
    <w:rsid w:val="002A3817"/>
    <w:rsid w:val="002A3C18"/>
    <w:rsid w:val="002A548E"/>
    <w:rsid w:val="002A5A27"/>
    <w:rsid w:val="002A7187"/>
    <w:rsid w:val="002A7522"/>
    <w:rsid w:val="002A7BCF"/>
    <w:rsid w:val="002B05A2"/>
    <w:rsid w:val="002B0DD5"/>
    <w:rsid w:val="002B2419"/>
    <w:rsid w:val="002B26E8"/>
    <w:rsid w:val="002B47CA"/>
    <w:rsid w:val="002B4B2A"/>
    <w:rsid w:val="002B4DE3"/>
    <w:rsid w:val="002B537C"/>
    <w:rsid w:val="002B5583"/>
    <w:rsid w:val="002B6750"/>
    <w:rsid w:val="002B6B26"/>
    <w:rsid w:val="002B7934"/>
    <w:rsid w:val="002C0202"/>
    <w:rsid w:val="002C1D42"/>
    <w:rsid w:val="002C2B04"/>
    <w:rsid w:val="002C2C51"/>
    <w:rsid w:val="002C33D9"/>
    <w:rsid w:val="002C3809"/>
    <w:rsid w:val="002C3B37"/>
    <w:rsid w:val="002C3E71"/>
    <w:rsid w:val="002C3FCF"/>
    <w:rsid w:val="002C57FA"/>
    <w:rsid w:val="002C60A2"/>
    <w:rsid w:val="002C7BE5"/>
    <w:rsid w:val="002D0403"/>
    <w:rsid w:val="002D0BF2"/>
    <w:rsid w:val="002D38EC"/>
    <w:rsid w:val="002D3C7D"/>
    <w:rsid w:val="002D4E14"/>
    <w:rsid w:val="002D4E5C"/>
    <w:rsid w:val="002D6019"/>
    <w:rsid w:val="002D7580"/>
    <w:rsid w:val="002D7E32"/>
    <w:rsid w:val="002E195D"/>
    <w:rsid w:val="002E1BC6"/>
    <w:rsid w:val="002E21A1"/>
    <w:rsid w:val="002E3428"/>
    <w:rsid w:val="002E3963"/>
    <w:rsid w:val="002E3A4B"/>
    <w:rsid w:val="002E3DDC"/>
    <w:rsid w:val="002E6092"/>
    <w:rsid w:val="002E7900"/>
    <w:rsid w:val="002E7CA1"/>
    <w:rsid w:val="002F004D"/>
    <w:rsid w:val="002F0EC3"/>
    <w:rsid w:val="002F2308"/>
    <w:rsid w:val="002F3DB5"/>
    <w:rsid w:val="002F422D"/>
    <w:rsid w:val="002F4923"/>
    <w:rsid w:val="002F50BD"/>
    <w:rsid w:val="002F5677"/>
    <w:rsid w:val="002F602D"/>
    <w:rsid w:val="002F6B57"/>
    <w:rsid w:val="002F7249"/>
    <w:rsid w:val="002F74EC"/>
    <w:rsid w:val="003001A2"/>
    <w:rsid w:val="00300EFE"/>
    <w:rsid w:val="00301EBE"/>
    <w:rsid w:val="003022D6"/>
    <w:rsid w:val="00302379"/>
    <w:rsid w:val="00303BF7"/>
    <w:rsid w:val="00304A8F"/>
    <w:rsid w:val="00305E4E"/>
    <w:rsid w:val="0030628B"/>
    <w:rsid w:val="00307409"/>
    <w:rsid w:val="00307538"/>
    <w:rsid w:val="00307832"/>
    <w:rsid w:val="00307C5B"/>
    <w:rsid w:val="0031181B"/>
    <w:rsid w:val="00311832"/>
    <w:rsid w:val="00312AEE"/>
    <w:rsid w:val="003133CB"/>
    <w:rsid w:val="00313561"/>
    <w:rsid w:val="00314C8D"/>
    <w:rsid w:val="0031512A"/>
    <w:rsid w:val="00315E69"/>
    <w:rsid w:val="003167EB"/>
    <w:rsid w:val="0031693C"/>
    <w:rsid w:val="00322139"/>
    <w:rsid w:val="0032249C"/>
    <w:rsid w:val="00322C99"/>
    <w:rsid w:val="003232A8"/>
    <w:rsid w:val="003236B2"/>
    <w:rsid w:val="003241A1"/>
    <w:rsid w:val="0032441C"/>
    <w:rsid w:val="00324664"/>
    <w:rsid w:val="00324A52"/>
    <w:rsid w:val="00330A90"/>
    <w:rsid w:val="00332E81"/>
    <w:rsid w:val="003334E6"/>
    <w:rsid w:val="00333DD9"/>
    <w:rsid w:val="0033443B"/>
    <w:rsid w:val="00334686"/>
    <w:rsid w:val="00334A1E"/>
    <w:rsid w:val="003355F4"/>
    <w:rsid w:val="00336CC6"/>
    <w:rsid w:val="003375C5"/>
    <w:rsid w:val="0034269B"/>
    <w:rsid w:val="00343183"/>
    <w:rsid w:val="0034320E"/>
    <w:rsid w:val="0034540F"/>
    <w:rsid w:val="00345EA3"/>
    <w:rsid w:val="00346D2B"/>
    <w:rsid w:val="003479AB"/>
    <w:rsid w:val="00347ABA"/>
    <w:rsid w:val="00351928"/>
    <w:rsid w:val="00351BD0"/>
    <w:rsid w:val="00351FD9"/>
    <w:rsid w:val="003532C8"/>
    <w:rsid w:val="00354BF0"/>
    <w:rsid w:val="00356581"/>
    <w:rsid w:val="00361249"/>
    <w:rsid w:val="0036397C"/>
    <w:rsid w:val="003649F2"/>
    <w:rsid w:val="00364C44"/>
    <w:rsid w:val="00364D46"/>
    <w:rsid w:val="00365C4E"/>
    <w:rsid w:val="00365E18"/>
    <w:rsid w:val="003661EF"/>
    <w:rsid w:val="0036734F"/>
    <w:rsid w:val="0036740E"/>
    <w:rsid w:val="00370F98"/>
    <w:rsid w:val="00371129"/>
    <w:rsid w:val="003711A6"/>
    <w:rsid w:val="003711CB"/>
    <w:rsid w:val="003729B3"/>
    <w:rsid w:val="00372E43"/>
    <w:rsid w:val="00372EB7"/>
    <w:rsid w:val="00373F8F"/>
    <w:rsid w:val="00374984"/>
    <w:rsid w:val="003775B1"/>
    <w:rsid w:val="00377AC3"/>
    <w:rsid w:val="0038025D"/>
    <w:rsid w:val="00381357"/>
    <w:rsid w:val="00382EBB"/>
    <w:rsid w:val="003835F9"/>
    <w:rsid w:val="00383C12"/>
    <w:rsid w:val="00384BF3"/>
    <w:rsid w:val="00386A89"/>
    <w:rsid w:val="00390273"/>
    <w:rsid w:val="00392D46"/>
    <w:rsid w:val="0039343E"/>
    <w:rsid w:val="00393512"/>
    <w:rsid w:val="00393BC0"/>
    <w:rsid w:val="00394084"/>
    <w:rsid w:val="00394219"/>
    <w:rsid w:val="003959A1"/>
    <w:rsid w:val="003A0FAA"/>
    <w:rsid w:val="003A1595"/>
    <w:rsid w:val="003A3568"/>
    <w:rsid w:val="003A6E4D"/>
    <w:rsid w:val="003B0248"/>
    <w:rsid w:val="003B067C"/>
    <w:rsid w:val="003B14EB"/>
    <w:rsid w:val="003B19AE"/>
    <w:rsid w:val="003B222C"/>
    <w:rsid w:val="003B27B3"/>
    <w:rsid w:val="003B46B9"/>
    <w:rsid w:val="003B4DAD"/>
    <w:rsid w:val="003B4F79"/>
    <w:rsid w:val="003B5D9A"/>
    <w:rsid w:val="003B5DAA"/>
    <w:rsid w:val="003B63C8"/>
    <w:rsid w:val="003B6880"/>
    <w:rsid w:val="003B6D69"/>
    <w:rsid w:val="003B7112"/>
    <w:rsid w:val="003B75E5"/>
    <w:rsid w:val="003B781D"/>
    <w:rsid w:val="003C1F6A"/>
    <w:rsid w:val="003C28DE"/>
    <w:rsid w:val="003C2D94"/>
    <w:rsid w:val="003C3079"/>
    <w:rsid w:val="003C32B9"/>
    <w:rsid w:val="003C48E8"/>
    <w:rsid w:val="003C4C4C"/>
    <w:rsid w:val="003C5B1B"/>
    <w:rsid w:val="003C7009"/>
    <w:rsid w:val="003D2509"/>
    <w:rsid w:val="003D4170"/>
    <w:rsid w:val="003D4B2F"/>
    <w:rsid w:val="003D52A8"/>
    <w:rsid w:val="003D5836"/>
    <w:rsid w:val="003D6083"/>
    <w:rsid w:val="003E087A"/>
    <w:rsid w:val="003E0BA1"/>
    <w:rsid w:val="003E0DAE"/>
    <w:rsid w:val="003E1232"/>
    <w:rsid w:val="003E1E5F"/>
    <w:rsid w:val="003E27B7"/>
    <w:rsid w:val="003E4256"/>
    <w:rsid w:val="003E4493"/>
    <w:rsid w:val="003E46CC"/>
    <w:rsid w:val="003E4AC9"/>
    <w:rsid w:val="003E5574"/>
    <w:rsid w:val="003F0B4C"/>
    <w:rsid w:val="003F222F"/>
    <w:rsid w:val="003F24EE"/>
    <w:rsid w:val="003F2546"/>
    <w:rsid w:val="003F2B7D"/>
    <w:rsid w:val="003F2E0F"/>
    <w:rsid w:val="003F2F17"/>
    <w:rsid w:val="003F39FA"/>
    <w:rsid w:val="003F4502"/>
    <w:rsid w:val="003F607C"/>
    <w:rsid w:val="003F6742"/>
    <w:rsid w:val="003F6E26"/>
    <w:rsid w:val="003F7094"/>
    <w:rsid w:val="00400A45"/>
    <w:rsid w:val="004011B5"/>
    <w:rsid w:val="0040190D"/>
    <w:rsid w:val="00402D17"/>
    <w:rsid w:val="00403A19"/>
    <w:rsid w:val="0040429D"/>
    <w:rsid w:val="00404642"/>
    <w:rsid w:val="00405A50"/>
    <w:rsid w:val="00405B8C"/>
    <w:rsid w:val="00405DF0"/>
    <w:rsid w:val="00406C0F"/>
    <w:rsid w:val="00407736"/>
    <w:rsid w:val="0041003F"/>
    <w:rsid w:val="00410C08"/>
    <w:rsid w:val="00410C8C"/>
    <w:rsid w:val="00412E14"/>
    <w:rsid w:val="0041392F"/>
    <w:rsid w:val="00413956"/>
    <w:rsid w:val="004139F3"/>
    <w:rsid w:val="00414557"/>
    <w:rsid w:val="00414A7A"/>
    <w:rsid w:val="00414D80"/>
    <w:rsid w:val="0041509F"/>
    <w:rsid w:val="00415856"/>
    <w:rsid w:val="00416656"/>
    <w:rsid w:val="004169C1"/>
    <w:rsid w:val="00416AC2"/>
    <w:rsid w:val="00416E7F"/>
    <w:rsid w:val="004171E8"/>
    <w:rsid w:val="00417732"/>
    <w:rsid w:val="00420FCE"/>
    <w:rsid w:val="00421CC2"/>
    <w:rsid w:val="00421FCE"/>
    <w:rsid w:val="00422006"/>
    <w:rsid w:val="00422153"/>
    <w:rsid w:val="00422E10"/>
    <w:rsid w:val="00423011"/>
    <w:rsid w:val="00423018"/>
    <w:rsid w:val="00423705"/>
    <w:rsid w:val="00423D35"/>
    <w:rsid w:val="00423DD9"/>
    <w:rsid w:val="00425306"/>
    <w:rsid w:val="004259FC"/>
    <w:rsid w:val="00425BB9"/>
    <w:rsid w:val="00427700"/>
    <w:rsid w:val="00430311"/>
    <w:rsid w:val="0043074A"/>
    <w:rsid w:val="00430C91"/>
    <w:rsid w:val="00430DD1"/>
    <w:rsid w:val="004324CD"/>
    <w:rsid w:val="004325A6"/>
    <w:rsid w:val="00432699"/>
    <w:rsid w:val="00432AF9"/>
    <w:rsid w:val="00433968"/>
    <w:rsid w:val="004349DF"/>
    <w:rsid w:val="00434F40"/>
    <w:rsid w:val="00435C39"/>
    <w:rsid w:val="00436C44"/>
    <w:rsid w:val="0043736D"/>
    <w:rsid w:val="004378B3"/>
    <w:rsid w:val="00442299"/>
    <w:rsid w:val="00446B49"/>
    <w:rsid w:val="00446BD3"/>
    <w:rsid w:val="0044750F"/>
    <w:rsid w:val="0045017C"/>
    <w:rsid w:val="0045070A"/>
    <w:rsid w:val="00452665"/>
    <w:rsid w:val="00452A4A"/>
    <w:rsid w:val="00452CBF"/>
    <w:rsid w:val="004531EF"/>
    <w:rsid w:val="0045417A"/>
    <w:rsid w:val="004548D6"/>
    <w:rsid w:val="004549EC"/>
    <w:rsid w:val="00454BBE"/>
    <w:rsid w:val="00455098"/>
    <w:rsid w:val="00456584"/>
    <w:rsid w:val="004576C3"/>
    <w:rsid w:val="004601D2"/>
    <w:rsid w:val="00460ECD"/>
    <w:rsid w:val="00461927"/>
    <w:rsid w:val="00462FD8"/>
    <w:rsid w:val="0046357F"/>
    <w:rsid w:val="00464429"/>
    <w:rsid w:val="00464F2E"/>
    <w:rsid w:val="00465285"/>
    <w:rsid w:val="00465424"/>
    <w:rsid w:val="00465CD0"/>
    <w:rsid w:val="0046608B"/>
    <w:rsid w:val="00466A87"/>
    <w:rsid w:val="00466CC8"/>
    <w:rsid w:val="00470D52"/>
    <w:rsid w:val="00471112"/>
    <w:rsid w:val="00471BA9"/>
    <w:rsid w:val="00471BC9"/>
    <w:rsid w:val="0047364F"/>
    <w:rsid w:val="00473B76"/>
    <w:rsid w:val="00475292"/>
    <w:rsid w:val="004758DF"/>
    <w:rsid w:val="00477BDE"/>
    <w:rsid w:val="00477C96"/>
    <w:rsid w:val="00481DE4"/>
    <w:rsid w:val="00481DED"/>
    <w:rsid w:val="00482FDA"/>
    <w:rsid w:val="004839F2"/>
    <w:rsid w:val="00483F41"/>
    <w:rsid w:val="00486C03"/>
    <w:rsid w:val="00486E88"/>
    <w:rsid w:val="00486FDC"/>
    <w:rsid w:val="004877D5"/>
    <w:rsid w:val="00487B13"/>
    <w:rsid w:val="004907F6"/>
    <w:rsid w:val="00491793"/>
    <w:rsid w:val="004918FB"/>
    <w:rsid w:val="00492461"/>
    <w:rsid w:val="00495C73"/>
    <w:rsid w:val="00496126"/>
    <w:rsid w:val="00497A8B"/>
    <w:rsid w:val="004A2D03"/>
    <w:rsid w:val="004A3417"/>
    <w:rsid w:val="004A352B"/>
    <w:rsid w:val="004A3FAD"/>
    <w:rsid w:val="004A4BD1"/>
    <w:rsid w:val="004A4C4F"/>
    <w:rsid w:val="004A50CF"/>
    <w:rsid w:val="004A5C0C"/>
    <w:rsid w:val="004A5E28"/>
    <w:rsid w:val="004A6C2F"/>
    <w:rsid w:val="004A71A4"/>
    <w:rsid w:val="004A73C1"/>
    <w:rsid w:val="004A7854"/>
    <w:rsid w:val="004B173E"/>
    <w:rsid w:val="004B17CD"/>
    <w:rsid w:val="004B1B81"/>
    <w:rsid w:val="004B1BB0"/>
    <w:rsid w:val="004B25F1"/>
    <w:rsid w:val="004B2703"/>
    <w:rsid w:val="004B2D0E"/>
    <w:rsid w:val="004B2D7C"/>
    <w:rsid w:val="004B39F0"/>
    <w:rsid w:val="004B3C8E"/>
    <w:rsid w:val="004B4DFF"/>
    <w:rsid w:val="004B7203"/>
    <w:rsid w:val="004B7B24"/>
    <w:rsid w:val="004C0647"/>
    <w:rsid w:val="004C19C7"/>
    <w:rsid w:val="004C20D3"/>
    <w:rsid w:val="004C276B"/>
    <w:rsid w:val="004C2EE6"/>
    <w:rsid w:val="004C3C7C"/>
    <w:rsid w:val="004C5868"/>
    <w:rsid w:val="004C636A"/>
    <w:rsid w:val="004C6834"/>
    <w:rsid w:val="004C7116"/>
    <w:rsid w:val="004D087F"/>
    <w:rsid w:val="004D1B95"/>
    <w:rsid w:val="004D1EB7"/>
    <w:rsid w:val="004D2E82"/>
    <w:rsid w:val="004D339C"/>
    <w:rsid w:val="004D3D71"/>
    <w:rsid w:val="004D4E7D"/>
    <w:rsid w:val="004D6DEF"/>
    <w:rsid w:val="004D70B4"/>
    <w:rsid w:val="004E098F"/>
    <w:rsid w:val="004E25C2"/>
    <w:rsid w:val="004E4217"/>
    <w:rsid w:val="004E4863"/>
    <w:rsid w:val="004E4E85"/>
    <w:rsid w:val="004E5E9C"/>
    <w:rsid w:val="004E7707"/>
    <w:rsid w:val="004E781A"/>
    <w:rsid w:val="004F0A80"/>
    <w:rsid w:val="004F0B72"/>
    <w:rsid w:val="004F2E79"/>
    <w:rsid w:val="004F4223"/>
    <w:rsid w:val="004F4C7E"/>
    <w:rsid w:val="004F4D8B"/>
    <w:rsid w:val="004F7415"/>
    <w:rsid w:val="00501E5D"/>
    <w:rsid w:val="0050353C"/>
    <w:rsid w:val="00503E09"/>
    <w:rsid w:val="00505485"/>
    <w:rsid w:val="0050604E"/>
    <w:rsid w:val="00507924"/>
    <w:rsid w:val="00507CFB"/>
    <w:rsid w:val="0051104B"/>
    <w:rsid w:val="00511A70"/>
    <w:rsid w:val="00512386"/>
    <w:rsid w:val="00513D06"/>
    <w:rsid w:val="00515176"/>
    <w:rsid w:val="00515BCD"/>
    <w:rsid w:val="00516C0D"/>
    <w:rsid w:val="00517047"/>
    <w:rsid w:val="005172DE"/>
    <w:rsid w:val="00521000"/>
    <w:rsid w:val="0052271F"/>
    <w:rsid w:val="005252FC"/>
    <w:rsid w:val="0052611E"/>
    <w:rsid w:val="00526D8B"/>
    <w:rsid w:val="00526F7B"/>
    <w:rsid w:val="005271C4"/>
    <w:rsid w:val="005275D9"/>
    <w:rsid w:val="00530D28"/>
    <w:rsid w:val="00530F60"/>
    <w:rsid w:val="00531993"/>
    <w:rsid w:val="005327FF"/>
    <w:rsid w:val="00532C46"/>
    <w:rsid w:val="00534218"/>
    <w:rsid w:val="005342A7"/>
    <w:rsid w:val="00534AE2"/>
    <w:rsid w:val="00534D28"/>
    <w:rsid w:val="00534EDB"/>
    <w:rsid w:val="005353D3"/>
    <w:rsid w:val="00535E8D"/>
    <w:rsid w:val="0053684E"/>
    <w:rsid w:val="00536A1C"/>
    <w:rsid w:val="00536D09"/>
    <w:rsid w:val="005371A3"/>
    <w:rsid w:val="00537B4B"/>
    <w:rsid w:val="0054090E"/>
    <w:rsid w:val="00540EDE"/>
    <w:rsid w:val="005412AA"/>
    <w:rsid w:val="00543E2D"/>
    <w:rsid w:val="00546693"/>
    <w:rsid w:val="005478D9"/>
    <w:rsid w:val="00547D90"/>
    <w:rsid w:val="005539A0"/>
    <w:rsid w:val="005542E5"/>
    <w:rsid w:val="00554939"/>
    <w:rsid w:val="005552E1"/>
    <w:rsid w:val="0055536A"/>
    <w:rsid w:val="00556462"/>
    <w:rsid w:val="00556926"/>
    <w:rsid w:val="00556EFA"/>
    <w:rsid w:val="005600B5"/>
    <w:rsid w:val="00561346"/>
    <w:rsid w:val="00561DD4"/>
    <w:rsid w:val="00562450"/>
    <w:rsid w:val="00562604"/>
    <w:rsid w:val="0056444B"/>
    <w:rsid w:val="005647B5"/>
    <w:rsid w:val="0056539B"/>
    <w:rsid w:val="005653F1"/>
    <w:rsid w:val="00566193"/>
    <w:rsid w:val="005663D1"/>
    <w:rsid w:val="005675FD"/>
    <w:rsid w:val="00570A4F"/>
    <w:rsid w:val="00570AAD"/>
    <w:rsid w:val="00572F3F"/>
    <w:rsid w:val="005735F7"/>
    <w:rsid w:val="00573F79"/>
    <w:rsid w:val="0057511C"/>
    <w:rsid w:val="00575727"/>
    <w:rsid w:val="005763FE"/>
    <w:rsid w:val="0058009C"/>
    <w:rsid w:val="005828DE"/>
    <w:rsid w:val="00583C00"/>
    <w:rsid w:val="00584005"/>
    <w:rsid w:val="005842DF"/>
    <w:rsid w:val="0058741A"/>
    <w:rsid w:val="00590784"/>
    <w:rsid w:val="005928B0"/>
    <w:rsid w:val="005935B1"/>
    <w:rsid w:val="005948F9"/>
    <w:rsid w:val="00594BF5"/>
    <w:rsid w:val="00595DB1"/>
    <w:rsid w:val="00595FD1"/>
    <w:rsid w:val="0059610B"/>
    <w:rsid w:val="005971BD"/>
    <w:rsid w:val="00597885"/>
    <w:rsid w:val="005A1CAD"/>
    <w:rsid w:val="005A3A33"/>
    <w:rsid w:val="005A44D6"/>
    <w:rsid w:val="005A4C5E"/>
    <w:rsid w:val="005A53EA"/>
    <w:rsid w:val="005A594E"/>
    <w:rsid w:val="005A5B67"/>
    <w:rsid w:val="005A5D1C"/>
    <w:rsid w:val="005A79AF"/>
    <w:rsid w:val="005A7E38"/>
    <w:rsid w:val="005A7EBF"/>
    <w:rsid w:val="005B063C"/>
    <w:rsid w:val="005B12D2"/>
    <w:rsid w:val="005B1AD6"/>
    <w:rsid w:val="005B2598"/>
    <w:rsid w:val="005B34AD"/>
    <w:rsid w:val="005B44A4"/>
    <w:rsid w:val="005B4CCE"/>
    <w:rsid w:val="005B76E2"/>
    <w:rsid w:val="005C18E0"/>
    <w:rsid w:val="005C1C98"/>
    <w:rsid w:val="005C26FC"/>
    <w:rsid w:val="005C29C5"/>
    <w:rsid w:val="005C3064"/>
    <w:rsid w:val="005C3AD1"/>
    <w:rsid w:val="005C4121"/>
    <w:rsid w:val="005C4123"/>
    <w:rsid w:val="005C4EA6"/>
    <w:rsid w:val="005C62A3"/>
    <w:rsid w:val="005D01B8"/>
    <w:rsid w:val="005D17AA"/>
    <w:rsid w:val="005D2F5C"/>
    <w:rsid w:val="005D340F"/>
    <w:rsid w:val="005D384A"/>
    <w:rsid w:val="005D3CFD"/>
    <w:rsid w:val="005D403E"/>
    <w:rsid w:val="005D5EF1"/>
    <w:rsid w:val="005D6C08"/>
    <w:rsid w:val="005E2752"/>
    <w:rsid w:val="005E5DB8"/>
    <w:rsid w:val="005E5FBB"/>
    <w:rsid w:val="005E6D53"/>
    <w:rsid w:val="005E6E98"/>
    <w:rsid w:val="005E7EFE"/>
    <w:rsid w:val="005F025F"/>
    <w:rsid w:val="005F0869"/>
    <w:rsid w:val="005F09D4"/>
    <w:rsid w:val="005F184D"/>
    <w:rsid w:val="005F19C2"/>
    <w:rsid w:val="005F1EB6"/>
    <w:rsid w:val="005F26D9"/>
    <w:rsid w:val="005F4106"/>
    <w:rsid w:val="005F5F4D"/>
    <w:rsid w:val="005F60B7"/>
    <w:rsid w:val="005F6426"/>
    <w:rsid w:val="005F67E0"/>
    <w:rsid w:val="005F6A7D"/>
    <w:rsid w:val="005F78AC"/>
    <w:rsid w:val="00601389"/>
    <w:rsid w:val="006013DC"/>
    <w:rsid w:val="00602446"/>
    <w:rsid w:val="00602C9D"/>
    <w:rsid w:val="00603485"/>
    <w:rsid w:val="006042D8"/>
    <w:rsid w:val="00606B2A"/>
    <w:rsid w:val="00610B08"/>
    <w:rsid w:val="00611DFF"/>
    <w:rsid w:val="006121D1"/>
    <w:rsid w:val="00612759"/>
    <w:rsid w:val="00612B0D"/>
    <w:rsid w:val="00612F95"/>
    <w:rsid w:val="00613152"/>
    <w:rsid w:val="00613469"/>
    <w:rsid w:val="00613B26"/>
    <w:rsid w:val="0061534A"/>
    <w:rsid w:val="00615C9A"/>
    <w:rsid w:val="00617434"/>
    <w:rsid w:val="00617689"/>
    <w:rsid w:val="006204AD"/>
    <w:rsid w:val="00621087"/>
    <w:rsid w:val="00621835"/>
    <w:rsid w:val="00622174"/>
    <w:rsid w:val="00622878"/>
    <w:rsid w:val="0062342E"/>
    <w:rsid w:val="006239AB"/>
    <w:rsid w:val="00623B6D"/>
    <w:rsid w:val="00624E46"/>
    <w:rsid w:val="006252A1"/>
    <w:rsid w:val="00626D8D"/>
    <w:rsid w:val="006276FB"/>
    <w:rsid w:val="00627B07"/>
    <w:rsid w:val="00627D35"/>
    <w:rsid w:val="00630B4F"/>
    <w:rsid w:val="0063127C"/>
    <w:rsid w:val="00634FDE"/>
    <w:rsid w:val="006354AF"/>
    <w:rsid w:val="00636B82"/>
    <w:rsid w:val="00637058"/>
    <w:rsid w:val="00640A4A"/>
    <w:rsid w:val="00640AA7"/>
    <w:rsid w:val="006429AD"/>
    <w:rsid w:val="006429B9"/>
    <w:rsid w:val="00643163"/>
    <w:rsid w:val="0064479B"/>
    <w:rsid w:val="006459E6"/>
    <w:rsid w:val="00646AF5"/>
    <w:rsid w:val="0064719B"/>
    <w:rsid w:val="006471BD"/>
    <w:rsid w:val="00647C4D"/>
    <w:rsid w:val="00647EAF"/>
    <w:rsid w:val="00651AE9"/>
    <w:rsid w:val="00651D4E"/>
    <w:rsid w:val="00652181"/>
    <w:rsid w:val="00652620"/>
    <w:rsid w:val="00652E21"/>
    <w:rsid w:val="0065324D"/>
    <w:rsid w:val="00653757"/>
    <w:rsid w:val="00655FD3"/>
    <w:rsid w:val="006560E5"/>
    <w:rsid w:val="00656213"/>
    <w:rsid w:val="00656313"/>
    <w:rsid w:val="00657819"/>
    <w:rsid w:val="00657944"/>
    <w:rsid w:val="00657D27"/>
    <w:rsid w:val="00662194"/>
    <w:rsid w:val="00663A48"/>
    <w:rsid w:val="0066633F"/>
    <w:rsid w:val="00666CF0"/>
    <w:rsid w:val="00670E3A"/>
    <w:rsid w:val="00672794"/>
    <w:rsid w:val="00673962"/>
    <w:rsid w:val="00673B53"/>
    <w:rsid w:val="00676200"/>
    <w:rsid w:val="006778CD"/>
    <w:rsid w:val="00680FB9"/>
    <w:rsid w:val="00681269"/>
    <w:rsid w:val="00681878"/>
    <w:rsid w:val="00681C0F"/>
    <w:rsid w:val="00682EC3"/>
    <w:rsid w:val="00683E57"/>
    <w:rsid w:val="00684291"/>
    <w:rsid w:val="006843FC"/>
    <w:rsid w:val="00690251"/>
    <w:rsid w:val="0069286F"/>
    <w:rsid w:val="00693756"/>
    <w:rsid w:val="00693975"/>
    <w:rsid w:val="00693D3F"/>
    <w:rsid w:val="0069409D"/>
    <w:rsid w:val="00694398"/>
    <w:rsid w:val="00694D1D"/>
    <w:rsid w:val="00695416"/>
    <w:rsid w:val="00696959"/>
    <w:rsid w:val="0069698F"/>
    <w:rsid w:val="00697BBE"/>
    <w:rsid w:val="006A1E52"/>
    <w:rsid w:val="006A1EF5"/>
    <w:rsid w:val="006A2030"/>
    <w:rsid w:val="006A3980"/>
    <w:rsid w:val="006A6170"/>
    <w:rsid w:val="006B0233"/>
    <w:rsid w:val="006B03B8"/>
    <w:rsid w:val="006B1655"/>
    <w:rsid w:val="006B1CAB"/>
    <w:rsid w:val="006B1FBF"/>
    <w:rsid w:val="006B3C54"/>
    <w:rsid w:val="006B5C96"/>
    <w:rsid w:val="006B5ED5"/>
    <w:rsid w:val="006B704B"/>
    <w:rsid w:val="006B7214"/>
    <w:rsid w:val="006C080F"/>
    <w:rsid w:val="006C190C"/>
    <w:rsid w:val="006C2D94"/>
    <w:rsid w:val="006C3C61"/>
    <w:rsid w:val="006C5084"/>
    <w:rsid w:val="006C5E76"/>
    <w:rsid w:val="006C69CD"/>
    <w:rsid w:val="006C7107"/>
    <w:rsid w:val="006C7262"/>
    <w:rsid w:val="006D0818"/>
    <w:rsid w:val="006D0B14"/>
    <w:rsid w:val="006D106C"/>
    <w:rsid w:val="006D1395"/>
    <w:rsid w:val="006D1F95"/>
    <w:rsid w:val="006D2AC9"/>
    <w:rsid w:val="006D402C"/>
    <w:rsid w:val="006D4C5B"/>
    <w:rsid w:val="006D5B48"/>
    <w:rsid w:val="006D7003"/>
    <w:rsid w:val="006E09E1"/>
    <w:rsid w:val="006E0B71"/>
    <w:rsid w:val="006E0CFB"/>
    <w:rsid w:val="006E1906"/>
    <w:rsid w:val="006E1D51"/>
    <w:rsid w:val="006E2795"/>
    <w:rsid w:val="006E4415"/>
    <w:rsid w:val="006E464E"/>
    <w:rsid w:val="006E5CEB"/>
    <w:rsid w:val="006E652D"/>
    <w:rsid w:val="006E677C"/>
    <w:rsid w:val="006E719B"/>
    <w:rsid w:val="006F01CC"/>
    <w:rsid w:val="006F1ABD"/>
    <w:rsid w:val="006F4862"/>
    <w:rsid w:val="006F6AC1"/>
    <w:rsid w:val="006F751D"/>
    <w:rsid w:val="006F7D85"/>
    <w:rsid w:val="007004DD"/>
    <w:rsid w:val="00700E71"/>
    <w:rsid w:val="00701F38"/>
    <w:rsid w:val="007023A9"/>
    <w:rsid w:val="00702E8F"/>
    <w:rsid w:val="007044EF"/>
    <w:rsid w:val="007049D9"/>
    <w:rsid w:val="007050D2"/>
    <w:rsid w:val="00707F75"/>
    <w:rsid w:val="007103F0"/>
    <w:rsid w:val="00710DC4"/>
    <w:rsid w:val="00712F21"/>
    <w:rsid w:val="0071477B"/>
    <w:rsid w:val="0071554F"/>
    <w:rsid w:val="00715A24"/>
    <w:rsid w:val="0071607A"/>
    <w:rsid w:val="00717C7B"/>
    <w:rsid w:val="00723843"/>
    <w:rsid w:val="00723B35"/>
    <w:rsid w:val="00723E42"/>
    <w:rsid w:val="00723F35"/>
    <w:rsid w:val="00725054"/>
    <w:rsid w:val="00727327"/>
    <w:rsid w:val="0073025A"/>
    <w:rsid w:val="0073119D"/>
    <w:rsid w:val="0073187A"/>
    <w:rsid w:val="007322DC"/>
    <w:rsid w:val="0073277F"/>
    <w:rsid w:val="0073387C"/>
    <w:rsid w:val="0074082C"/>
    <w:rsid w:val="0074095E"/>
    <w:rsid w:val="00742C0C"/>
    <w:rsid w:val="007442B6"/>
    <w:rsid w:val="00746E94"/>
    <w:rsid w:val="00747713"/>
    <w:rsid w:val="00750D27"/>
    <w:rsid w:val="007513D9"/>
    <w:rsid w:val="007515B6"/>
    <w:rsid w:val="0075167A"/>
    <w:rsid w:val="007521BA"/>
    <w:rsid w:val="00752A8E"/>
    <w:rsid w:val="00752CE2"/>
    <w:rsid w:val="0075367B"/>
    <w:rsid w:val="00753F30"/>
    <w:rsid w:val="00755AC7"/>
    <w:rsid w:val="00755CAD"/>
    <w:rsid w:val="0075740A"/>
    <w:rsid w:val="0076008D"/>
    <w:rsid w:val="00760B56"/>
    <w:rsid w:val="007635D5"/>
    <w:rsid w:val="007660DC"/>
    <w:rsid w:val="00766C9C"/>
    <w:rsid w:val="007676EF"/>
    <w:rsid w:val="0077178B"/>
    <w:rsid w:val="007720A7"/>
    <w:rsid w:val="00773382"/>
    <w:rsid w:val="0077454E"/>
    <w:rsid w:val="00776DAB"/>
    <w:rsid w:val="00776E5F"/>
    <w:rsid w:val="00777815"/>
    <w:rsid w:val="00780031"/>
    <w:rsid w:val="007811D2"/>
    <w:rsid w:val="00784078"/>
    <w:rsid w:val="00784914"/>
    <w:rsid w:val="00784FA8"/>
    <w:rsid w:val="00785B66"/>
    <w:rsid w:val="00785E0D"/>
    <w:rsid w:val="00787ADE"/>
    <w:rsid w:val="007905EA"/>
    <w:rsid w:val="007907FB"/>
    <w:rsid w:val="007913CB"/>
    <w:rsid w:val="00791748"/>
    <w:rsid w:val="00791AAE"/>
    <w:rsid w:val="00794B3D"/>
    <w:rsid w:val="00795DE2"/>
    <w:rsid w:val="0079667D"/>
    <w:rsid w:val="00796DFA"/>
    <w:rsid w:val="007A1771"/>
    <w:rsid w:val="007A2154"/>
    <w:rsid w:val="007A2185"/>
    <w:rsid w:val="007A2DD7"/>
    <w:rsid w:val="007A751E"/>
    <w:rsid w:val="007B07EE"/>
    <w:rsid w:val="007B2ABC"/>
    <w:rsid w:val="007B3290"/>
    <w:rsid w:val="007B3A56"/>
    <w:rsid w:val="007B48E0"/>
    <w:rsid w:val="007B5B58"/>
    <w:rsid w:val="007B67B0"/>
    <w:rsid w:val="007B6A91"/>
    <w:rsid w:val="007B7B77"/>
    <w:rsid w:val="007B7F69"/>
    <w:rsid w:val="007C076F"/>
    <w:rsid w:val="007C1805"/>
    <w:rsid w:val="007C4568"/>
    <w:rsid w:val="007C649D"/>
    <w:rsid w:val="007C67CF"/>
    <w:rsid w:val="007D1178"/>
    <w:rsid w:val="007D1E07"/>
    <w:rsid w:val="007D21D9"/>
    <w:rsid w:val="007D2D53"/>
    <w:rsid w:val="007D2ECC"/>
    <w:rsid w:val="007D336F"/>
    <w:rsid w:val="007D34F9"/>
    <w:rsid w:val="007D4705"/>
    <w:rsid w:val="007D504C"/>
    <w:rsid w:val="007D5CD2"/>
    <w:rsid w:val="007D7B2A"/>
    <w:rsid w:val="007E29D2"/>
    <w:rsid w:val="007E2D02"/>
    <w:rsid w:val="007E34BA"/>
    <w:rsid w:val="007E355F"/>
    <w:rsid w:val="007E3B7A"/>
    <w:rsid w:val="007E3C21"/>
    <w:rsid w:val="007E57C1"/>
    <w:rsid w:val="007E5960"/>
    <w:rsid w:val="007E678E"/>
    <w:rsid w:val="007E69DF"/>
    <w:rsid w:val="007F27BB"/>
    <w:rsid w:val="007F41D2"/>
    <w:rsid w:val="007F4D96"/>
    <w:rsid w:val="007F73D3"/>
    <w:rsid w:val="00800D5B"/>
    <w:rsid w:val="00800F1A"/>
    <w:rsid w:val="008026CB"/>
    <w:rsid w:val="00802A9F"/>
    <w:rsid w:val="008030B5"/>
    <w:rsid w:val="00804C56"/>
    <w:rsid w:val="00806231"/>
    <w:rsid w:val="008110CB"/>
    <w:rsid w:val="0081117A"/>
    <w:rsid w:val="00814AA5"/>
    <w:rsid w:val="008167BB"/>
    <w:rsid w:val="00816A35"/>
    <w:rsid w:val="00816C46"/>
    <w:rsid w:val="00817ABF"/>
    <w:rsid w:val="00820164"/>
    <w:rsid w:val="0082021F"/>
    <w:rsid w:val="00820D2B"/>
    <w:rsid w:val="008213F1"/>
    <w:rsid w:val="00824BE8"/>
    <w:rsid w:val="008268C3"/>
    <w:rsid w:val="00826A20"/>
    <w:rsid w:val="008310FE"/>
    <w:rsid w:val="008311E7"/>
    <w:rsid w:val="00831B3C"/>
    <w:rsid w:val="00832148"/>
    <w:rsid w:val="008329CC"/>
    <w:rsid w:val="008332BD"/>
    <w:rsid w:val="00834B81"/>
    <w:rsid w:val="0083586B"/>
    <w:rsid w:val="00836B7E"/>
    <w:rsid w:val="00836F95"/>
    <w:rsid w:val="0084027C"/>
    <w:rsid w:val="00840290"/>
    <w:rsid w:val="0084390E"/>
    <w:rsid w:val="00843A94"/>
    <w:rsid w:val="00843C5E"/>
    <w:rsid w:val="0084434B"/>
    <w:rsid w:val="0084492F"/>
    <w:rsid w:val="0084499D"/>
    <w:rsid w:val="00845B38"/>
    <w:rsid w:val="00846515"/>
    <w:rsid w:val="008465F1"/>
    <w:rsid w:val="00846E4E"/>
    <w:rsid w:val="008472F0"/>
    <w:rsid w:val="00847470"/>
    <w:rsid w:val="00847B9C"/>
    <w:rsid w:val="008506A4"/>
    <w:rsid w:val="008508A8"/>
    <w:rsid w:val="00851351"/>
    <w:rsid w:val="0085231F"/>
    <w:rsid w:val="00852FD4"/>
    <w:rsid w:val="0085469F"/>
    <w:rsid w:val="00854A14"/>
    <w:rsid w:val="0085568A"/>
    <w:rsid w:val="00855E81"/>
    <w:rsid w:val="008576DC"/>
    <w:rsid w:val="00860B67"/>
    <w:rsid w:val="00861049"/>
    <w:rsid w:val="008617B3"/>
    <w:rsid w:val="00862CEA"/>
    <w:rsid w:val="008631AE"/>
    <w:rsid w:val="00863862"/>
    <w:rsid w:val="00863A30"/>
    <w:rsid w:val="008648AD"/>
    <w:rsid w:val="008679C4"/>
    <w:rsid w:val="00870BA4"/>
    <w:rsid w:val="00871502"/>
    <w:rsid w:val="00871F3C"/>
    <w:rsid w:val="008724D7"/>
    <w:rsid w:val="008735A4"/>
    <w:rsid w:val="00873967"/>
    <w:rsid w:val="00874B6A"/>
    <w:rsid w:val="008755F2"/>
    <w:rsid w:val="00875EF9"/>
    <w:rsid w:val="00876DFE"/>
    <w:rsid w:val="00880476"/>
    <w:rsid w:val="0088137D"/>
    <w:rsid w:val="00881645"/>
    <w:rsid w:val="008832B8"/>
    <w:rsid w:val="008832BB"/>
    <w:rsid w:val="008832D7"/>
    <w:rsid w:val="00884791"/>
    <w:rsid w:val="0088525E"/>
    <w:rsid w:val="00886257"/>
    <w:rsid w:val="008873BB"/>
    <w:rsid w:val="00887755"/>
    <w:rsid w:val="008878D1"/>
    <w:rsid w:val="00887FCA"/>
    <w:rsid w:val="008902FD"/>
    <w:rsid w:val="00890B62"/>
    <w:rsid w:val="0089280A"/>
    <w:rsid w:val="008934DA"/>
    <w:rsid w:val="00894033"/>
    <w:rsid w:val="00896007"/>
    <w:rsid w:val="00897142"/>
    <w:rsid w:val="008A0B4F"/>
    <w:rsid w:val="008A1810"/>
    <w:rsid w:val="008A1C96"/>
    <w:rsid w:val="008A28E7"/>
    <w:rsid w:val="008A2A95"/>
    <w:rsid w:val="008A2D3C"/>
    <w:rsid w:val="008A41C5"/>
    <w:rsid w:val="008A477B"/>
    <w:rsid w:val="008A4D49"/>
    <w:rsid w:val="008A5423"/>
    <w:rsid w:val="008A5775"/>
    <w:rsid w:val="008A5AF3"/>
    <w:rsid w:val="008A636F"/>
    <w:rsid w:val="008A7C0D"/>
    <w:rsid w:val="008A7DCB"/>
    <w:rsid w:val="008A7DEE"/>
    <w:rsid w:val="008B071B"/>
    <w:rsid w:val="008B0B9C"/>
    <w:rsid w:val="008B1442"/>
    <w:rsid w:val="008B150F"/>
    <w:rsid w:val="008B1919"/>
    <w:rsid w:val="008B1DC2"/>
    <w:rsid w:val="008B2092"/>
    <w:rsid w:val="008B2769"/>
    <w:rsid w:val="008B397A"/>
    <w:rsid w:val="008B3A23"/>
    <w:rsid w:val="008B4DBD"/>
    <w:rsid w:val="008B72F1"/>
    <w:rsid w:val="008B741C"/>
    <w:rsid w:val="008C06E4"/>
    <w:rsid w:val="008C0AD2"/>
    <w:rsid w:val="008C0D7A"/>
    <w:rsid w:val="008C0F0C"/>
    <w:rsid w:val="008C113F"/>
    <w:rsid w:val="008C2F1E"/>
    <w:rsid w:val="008C31D9"/>
    <w:rsid w:val="008C46C5"/>
    <w:rsid w:val="008D1BE1"/>
    <w:rsid w:val="008D2BFE"/>
    <w:rsid w:val="008D34AD"/>
    <w:rsid w:val="008D35DF"/>
    <w:rsid w:val="008D460B"/>
    <w:rsid w:val="008D4A85"/>
    <w:rsid w:val="008D5798"/>
    <w:rsid w:val="008D5BE8"/>
    <w:rsid w:val="008D5EC7"/>
    <w:rsid w:val="008D6B63"/>
    <w:rsid w:val="008D6D9C"/>
    <w:rsid w:val="008D7595"/>
    <w:rsid w:val="008E111F"/>
    <w:rsid w:val="008E2FDB"/>
    <w:rsid w:val="008E4133"/>
    <w:rsid w:val="008E4B61"/>
    <w:rsid w:val="008E5D2B"/>
    <w:rsid w:val="008F094C"/>
    <w:rsid w:val="008F1B9C"/>
    <w:rsid w:val="008F2167"/>
    <w:rsid w:val="008F3A09"/>
    <w:rsid w:val="008F5D1C"/>
    <w:rsid w:val="008F640D"/>
    <w:rsid w:val="008F6F4C"/>
    <w:rsid w:val="008F70C6"/>
    <w:rsid w:val="00900456"/>
    <w:rsid w:val="009005F9"/>
    <w:rsid w:val="00901272"/>
    <w:rsid w:val="009019BB"/>
    <w:rsid w:val="0090205D"/>
    <w:rsid w:val="009025F9"/>
    <w:rsid w:val="009027A0"/>
    <w:rsid w:val="0090379B"/>
    <w:rsid w:val="00904C19"/>
    <w:rsid w:val="00905CD6"/>
    <w:rsid w:val="00905FF9"/>
    <w:rsid w:val="0090734C"/>
    <w:rsid w:val="00907E0C"/>
    <w:rsid w:val="00910C63"/>
    <w:rsid w:val="0091186D"/>
    <w:rsid w:val="0091241E"/>
    <w:rsid w:val="00912B99"/>
    <w:rsid w:val="00912D57"/>
    <w:rsid w:val="009134FB"/>
    <w:rsid w:val="00914537"/>
    <w:rsid w:val="00914A47"/>
    <w:rsid w:val="00914AE8"/>
    <w:rsid w:val="00914D10"/>
    <w:rsid w:val="00914FEF"/>
    <w:rsid w:val="0091511A"/>
    <w:rsid w:val="0091609C"/>
    <w:rsid w:val="00916BBB"/>
    <w:rsid w:val="0091715B"/>
    <w:rsid w:val="00920185"/>
    <w:rsid w:val="00920750"/>
    <w:rsid w:val="00920829"/>
    <w:rsid w:val="00921044"/>
    <w:rsid w:val="00921884"/>
    <w:rsid w:val="009222F9"/>
    <w:rsid w:val="0092285D"/>
    <w:rsid w:val="009230EF"/>
    <w:rsid w:val="009238CA"/>
    <w:rsid w:val="00923D61"/>
    <w:rsid w:val="00926C64"/>
    <w:rsid w:val="00926DBD"/>
    <w:rsid w:val="00927D24"/>
    <w:rsid w:val="00927FA8"/>
    <w:rsid w:val="0093180A"/>
    <w:rsid w:val="0093214B"/>
    <w:rsid w:val="009342A2"/>
    <w:rsid w:val="00935242"/>
    <w:rsid w:val="0093527C"/>
    <w:rsid w:val="00935D8C"/>
    <w:rsid w:val="009373C2"/>
    <w:rsid w:val="0094108B"/>
    <w:rsid w:val="00942F6C"/>
    <w:rsid w:val="00943E98"/>
    <w:rsid w:val="0094426C"/>
    <w:rsid w:val="00945042"/>
    <w:rsid w:val="0094514C"/>
    <w:rsid w:val="00945E02"/>
    <w:rsid w:val="009508F8"/>
    <w:rsid w:val="00950DD9"/>
    <w:rsid w:val="00952526"/>
    <w:rsid w:val="00952881"/>
    <w:rsid w:val="00954BD0"/>
    <w:rsid w:val="0095566E"/>
    <w:rsid w:val="00955CE4"/>
    <w:rsid w:val="00957EEA"/>
    <w:rsid w:val="00961275"/>
    <w:rsid w:val="009626EB"/>
    <w:rsid w:val="00962B40"/>
    <w:rsid w:val="00963087"/>
    <w:rsid w:val="009645AE"/>
    <w:rsid w:val="00964B0A"/>
    <w:rsid w:val="00964E0C"/>
    <w:rsid w:val="00967F71"/>
    <w:rsid w:val="00970B62"/>
    <w:rsid w:val="00970E69"/>
    <w:rsid w:val="00971036"/>
    <w:rsid w:val="00971752"/>
    <w:rsid w:val="009736ED"/>
    <w:rsid w:val="009736F4"/>
    <w:rsid w:val="00974DE1"/>
    <w:rsid w:val="00976793"/>
    <w:rsid w:val="00976F77"/>
    <w:rsid w:val="00977E33"/>
    <w:rsid w:val="00980646"/>
    <w:rsid w:val="00980A60"/>
    <w:rsid w:val="0098121C"/>
    <w:rsid w:val="009816FA"/>
    <w:rsid w:val="00982161"/>
    <w:rsid w:val="00982DB7"/>
    <w:rsid w:val="009839D9"/>
    <w:rsid w:val="00983B75"/>
    <w:rsid w:val="00984054"/>
    <w:rsid w:val="009865B1"/>
    <w:rsid w:val="009871B4"/>
    <w:rsid w:val="00987C83"/>
    <w:rsid w:val="00987D34"/>
    <w:rsid w:val="009919D6"/>
    <w:rsid w:val="009932E7"/>
    <w:rsid w:val="009939EA"/>
    <w:rsid w:val="00994185"/>
    <w:rsid w:val="009942DE"/>
    <w:rsid w:val="00994CB2"/>
    <w:rsid w:val="00996261"/>
    <w:rsid w:val="00997D52"/>
    <w:rsid w:val="00997F1D"/>
    <w:rsid w:val="009A0690"/>
    <w:rsid w:val="009A0DBD"/>
    <w:rsid w:val="009A137C"/>
    <w:rsid w:val="009A1720"/>
    <w:rsid w:val="009A194B"/>
    <w:rsid w:val="009A19E8"/>
    <w:rsid w:val="009A22E3"/>
    <w:rsid w:val="009A2CED"/>
    <w:rsid w:val="009A2D49"/>
    <w:rsid w:val="009A312E"/>
    <w:rsid w:val="009A368E"/>
    <w:rsid w:val="009A37D9"/>
    <w:rsid w:val="009A38D7"/>
    <w:rsid w:val="009A4057"/>
    <w:rsid w:val="009A58AE"/>
    <w:rsid w:val="009A602B"/>
    <w:rsid w:val="009A7763"/>
    <w:rsid w:val="009A7ACF"/>
    <w:rsid w:val="009B21C6"/>
    <w:rsid w:val="009B3A30"/>
    <w:rsid w:val="009B45EF"/>
    <w:rsid w:val="009B50A1"/>
    <w:rsid w:val="009B56DE"/>
    <w:rsid w:val="009B61F7"/>
    <w:rsid w:val="009B728B"/>
    <w:rsid w:val="009B7D6A"/>
    <w:rsid w:val="009C01B3"/>
    <w:rsid w:val="009C0E64"/>
    <w:rsid w:val="009C1324"/>
    <w:rsid w:val="009C1AEA"/>
    <w:rsid w:val="009C2858"/>
    <w:rsid w:val="009C3701"/>
    <w:rsid w:val="009C3E3C"/>
    <w:rsid w:val="009C4336"/>
    <w:rsid w:val="009C6632"/>
    <w:rsid w:val="009D2102"/>
    <w:rsid w:val="009D27E9"/>
    <w:rsid w:val="009D295E"/>
    <w:rsid w:val="009D2B8C"/>
    <w:rsid w:val="009D2BC7"/>
    <w:rsid w:val="009D35A4"/>
    <w:rsid w:val="009D5142"/>
    <w:rsid w:val="009D54D3"/>
    <w:rsid w:val="009D5CBA"/>
    <w:rsid w:val="009D68BC"/>
    <w:rsid w:val="009D6E6A"/>
    <w:rsid w:val="009D6FF1"/>
    <w:rsid w:val="009E022F"/>
    <w:rsid w:val="009E162D"/>
    <w:rsid w:val="009E21CF"/>
    <w:rsid w:val="009E29E0"/>
    <w:rsid w:val="009E3710"/>
    <w:rsid w:val="009E4AAB"/>
    <w:rsid w:val="009E50EB"/>
    <w:rsid w:val="009E5AD2"/>
    <w:rsid w:val="009E620D"/>
    <w:rsid w:val="009E7678"/>
    <w:rsid w:val="009E7775"/>
    <w:rsid w:val="009E7FEF"/>
    <w:rsid w:val="009F086C"/>
    <w:rsid w:val="009F11D3"/>
    <w:rsid w:val="009F21DB"/>
    <w:rsid w:val="009F2A29"/>
    <w:rsid w:val="009F2C67"/>
    <w:rsid w:val="009F334F"/>
    <w:rsid w:val="009F4B4E"/>
    <w:rsid w:val="009F4E10"/>
    <w:rsid w:val="009F6A4B"/>
    <w:rsid w:val="009F7AF5"/>
    <w:rsid w:val="009F7DE8"/>
    <w:rsid w:val="00A01C7C"/>
    <w:rsid w:val="00A02490"/>
    <w:rsid w:val="00A04616"/>
    <w:rsid w:val="00A0498F"/>
    <w:rsid w:val="00A0593A"/>
    <w:rsid w:val="00A06439"/>
    <w:rsid w:val="00A078BD"/>
    <w:rsid w:val="00A121E9"/>
    <w:rsid w:val="00A13430"/>
    <w:rsid w:val="00A13830"/>
    <w:rsid w:val="00A13B19"/>
    <w:rsid w:val="00A14193"/>
    <w:rsid w:val="00A14421"/>
    <w:rsid w:val="00A14555"/>
    <w:rsid w:val="00A14649"/>
    <w:rsid w:val="00A15372"/>
    <w:rsid w:val="00A16257"/>
    <w:rsid w:val="00A16A5D"/>
    <w:rsid w:val="00A17B8C"/>
    <w:rsid w:val="00A17CDA"/>
    <w:rsid w:val="00A17F28"/>
    <w:rsid w:val="00A211B8"/>
    <w:rsid w:val="00A217AD"/>
    <w:rsid w:val="00A21B65"/>
    <w:rsid w:val="00A21C18"/>
    <w:rsid w:val="00A21FD0"/>
    <w:rsid w:val="00A221B1"/>
    <w:rsid w:val="00A226FB"/>
    <w:rsid w:val="00A22945"/>
    <w:rsid w:val="00A22DF6"/>
    <w:rsid w:val="00A24096"/>
    <w:rsid w:val="00A251DC"/>
    <w:rsid w:val="00A32600"/>
    <w:rsid w:val="00A33BFA"/>
    <w:rsid w:val="00A344AA"/>
    <w:rsid w:val="00A3536B"/>
    <w:rsid w:val="00A375AB"/>
    <w:rsid w:val="00A37A0A"/>
    <w:rsid w:val="00A37FD3"/>
    <w:rsid w:val="00A40214"/>
    <w:rsid w:val="00A40C95"/>
    <w:rsid w:val="00A40E2B"/>
    <w:rsid w:val="00A4116E"/>
    <w:rsid w:val="00A43445"/>
    <w:rsid w:val="00A44410"/>
    <w:rsid w:val="00A45371"/>
    <w:rsid w:val="00A4546C"/>
    <w:rsid w:val="00A45930"/>
    <w:rsid w:val="00A4614C"/>
    <w:rsid w:val="00A50D24"/>
    <w:rsid w:val="00A50D94"/>
    <w:rsid w:val="00A523AF"/>
    <w:rsid w:val="00A52498"/>
    <w:rsid w:val="00A5296B"/>
    <w:rsid w:val="00A52F2C"/>
    <w:rsid w:val="00A53094"/>
    <w:rsid w:val="00A53135"/>
    <w:rsid w:val="00A53D22"/>
    <w:rsid w:val="00A54E3F"/>
    <w:rsid w:val="00A55709"/>
    <w:rsid w:val="00A56161"/>
    <w:rsid w:val="00A57903"/>
    <w:rsid w:val="00A57ABC"/>
    <w:rsid w:val="00A657F0"/>
    <w:rsid w:val="00A65C2C"/>
    <w:rsid w:val="00A65CF2"/>
    <w:rsid w:val="00A67950"/>
    <w:rsid w:val="00A67E73"/>
    <w:rsid w:val="00A67FAE"/>
    <w:rsid w:val="00A716D6"/>
    <w:rsid w:val="00A71DEC"/>
    <w:rsid w:val="00A7209E"/>
    <w:rsid w:val="00A7263A"/>
    <w:rsid w:val="00A7357E"/>
    <w:rsid w:val="00A73951"/>
    <w:rsid w:val="00A73E33"/>
    <w:rsid w:val="00A74EF5"/>
    <w:rsid w:val="00A75FEC"/>
    <w:rsid w:val="00A76056"/>
    <w:rsid w:val="00A77116"/>
    <w:rsid w:val="00A77287"/>
    <w:rsid w:val="00A77A16"/>
    <w:rsid w:val="00A8018F"/>
    <w:rsid w:val="00A810AA"/>
    <w:rsid w:val="00A81278"/>
    <w:rsid w:val="00A818E9"/>
    <w:rsid w:val="00A81BCD"/>
    <w:rsid w:val="00A8206D"/>
    <w:rsid w:val="00A8281A"/>
    <w:rsid w:val="00A82AB4"/>
    <w:rsid w:val="00A82ADF"/>
    <w:rsid w:val="00A83121"/>
    <w:rsid w:val="00A84453"/>
    <w:rsid w:val="00A84B6B"/>
    <w:rsid w:val="00A84C69"/>
    <w:rsid w:val="00A84CED"/>
    <w:rsid w:val="00A857A8"/>
    <w:rsid w:val="00A90BF6"/>
    <w:rsid w:val="00A90EFA"/>
    <w:rsid w:val="00A9163D"/>
    <w:rsid w:val="00A92B74"/>
    <w:rsid w:val="00A935BD"/>
    <w:rsid w:val="00A93C3B"/>
    <w:rsid w:val="00A95758"/>
    <w:rsid w:val="00A96890"/>
    <w:rsid w:val="00A96FF1"/>
    <w:rsid w:val="00A977CC"/>
    <w:rsid w:val="00AA040D"/>
    <w:rsid w:val="00AA0DA7"/>
    <w:rsid w:val="00AA1296"/>
    <w:rsid w:val="00AA1851"/>
    <w:rsid w:val="00AA200D"/>
    <w:rsid w:val="00AA4389"/>
    <w:rsid w:val="00AA65E9"/>
    <w:rsid w:val="00AA6FF6"/>
    <w:rsid w:val="00AA739D"/>
    <w:rsid w:val="00AA7749"/>
    <w:rsid w:val="00AA7EB8"/>
    <w:rsid w:val="00AB093C"/>
    <w:rsid w:val="00AB118D"/>
    <w:rsid w:val="00AB180B"/>
    <w:rsid w:val="00AB18AD"/>
    <w:rsid w:val="00AB2108"/>
    <w:rsid w:val="00AB250C"/>
    <w:rsid w:val="00AB3262"/>
    <w:rsid w:val="00AB4F30"/>
    <w:rsid w:val="00AB4F6A"/>
    <w:rsid w:val="00AB58A0"/>
    <w:rsid w:val="00AB70AA"/>
    <w:rsid w:val="00AB78F5"/>
    <w:rsid w:val="00AC13DA"/>
    <w:rsid w:val="00AC32D1"/>
    <w:rsid w:val="00AC34A3"/>
    <w:rsid w:val="00AC5331"/>
    <w:rsid w:val="00AC5376"/>
    <w:rsid w:val="00AD04A1"/>
    <w:rsid w:val="00AD1A1F"/>
    <w:rsid w:val="00AD1BCE"/>
    <w:rsid w:val="00AD3929"/>
    <w:rsid w:val="00AD651D"/>
    <w:rsid w:val="00AD6A67"/>
    <w:rsid w:val="00AE0591"/>
    <w:rsid w:val="00AE0A4D"/>
    <w:rsid w:val="00AE1333"/>
    <w:rsid w:val="00AE3381"/>
    <w:rsid w:val="00AE44F3"/>
    <w:rsid w:val="00AE4E00"/>
    <w:rsid w:val="00AE5A3F"/>
    <w:rsid w:val="00AE7118"/>
    <w:rsid w:val="00AE7135"/>
    <w:rsid w:val="00AE7F50"/>
    <w:rsid w:val="00AF0097"/>
    <w:rsid w:val="00AF2C08"/>
    <w:rsid w:val="00AF3C8F"/>
    <w:rsid w:val="00AF69B9"/>
    <w:rsid w:val="00AF6E23"/>
    <w:rsid w:val="00AF7558"/>
    <w:rsid w:val="00B001ED"/>
    <w:rsid w:val="00B02197"/>
    <w:rsid w:val="00B0328D"/>
    <w:rsid w:val="00B04232"/>
    <w:rsid w:val="00B04330"/>
    <w:rsid w:val="00B0513B"/>
    <w:rsid w:val="00B06FD8"/>
    <w:rsid w:val="00B07B3F"/>
    <w:rsid w:val="00B10F41"/>
    <w:rsid w:val="00B1239C"/>
    <w:rsid w:val="00B12611"/>
    <w:rsid w:val="00B129E1"/>
    <w:rsid w:val="00B12FD0"/>
    <w:rsid w:val="00B13549"/>
    <w:rsid w:val="00B14835"/>
    <w:rsid w:val="00B150BB"/>
    <w:rsid w:val="00B161B9"/>
    <w:rsid w:val="00B17124"/>
    <w:rsid w:val="00B17C88"/>
    <w:rsid w:val="00B17DB6"/>
    <w:rsid w:val="00B20814"/>
    <w:rsid w:val="00B2084E"/>
    <w:rsid w:val="00B20D88"/>
    <w:rsid w:val="00B21CC5"/>
    <w:rsid w:val="00B21EC9"/>
    <w:rsid w:val="00B222CF"/>
    <w:rsid w:val="00B22875"/>
    <w:rsid w:val="00B22E57"/>
    <w:rsid w:val="00B23336"/>
    <w:rsid w:val="00B23762"/>
    <w:rsid w:val="00B23917"/>
    <w:rsid w:val="00B23F41"/>
    <w:rsid w:val="00B25157"/>
    <w:rsid w:val="00B2523A"/>
    <w:rsid w:val="00B25A19"/>
    <w:rsid w:val="00B26049"/>
    <w:rsid w:val="00B27EEB"/>
    <w:rsid w:val="00B27F3A"/>
    <w:rsid w:val="00B31728"/>
    <w:rsid w:val="00B31863"/>
    <w:rsid w:val="00B318CD"/>
    <w:rsid w:val="00B322A6"/>
    <w:rsid w:val="00B331F9"/>
    <w:rsid w:val="00B34946"/>
    <w:rsid w:val="00B34FA8"/>
    <w:rsid w:val="00B35031"/>
    <w:rsid w:val="00B359E9"/>
    <w:rsid w:val="00B36A61"/>
    <w:rsid w:val="00B36DA8"/>
    <w:rsid w:val="00B40FA0"/>
    <w:rsid w:val="00B414B9"/>
    <w:rsid w:val="00B41714"/>
    <w:rsid w:val="00B41A95"/>
    <w:rsid w:val="00B41DC8"/>
    <w:rsid w:val="00B445B1"/>
    <w:rsid w:val="00B447A8"/>
    <w:rsid w:val="00B4495F"/>
    <w:rsid w:val="00B45347"/>
    <w:rsid w:val="00B45A4B"/>
    <w:rsid w:val="00B46DF6"/>
    <w:rsid w:val="00B46F0D"/>
    <w:rsid w:val="00B47639"/>
    <w:rsid w:val="00B50BA1"/>
    <w:rsid w:val="00B52204"/>
    <w:rsid w:val="00B52498"/>
    <w:rsid w:val="00B53FCD"/>
    <w:rsid w:val="00B5757A"/>
    <w:rsid w:val="00B60163"/>
    <w:rsid w:val="00B60CB9"/>
    <w:rsid w:val="00B61B26"/>
    <w:rsid w:val="00B62E8F"/>
    <w:rsid w:val="00B63189"/>
    <w:rsid w:val="00B63648"/>
    <w:rsid w:val="00B63CEF"/>
    <w:rsid w:val="00B644A4"/>
    <w:rsid w:val="00B649D6"/>
    <w:rsid w:val="00B64D02"/>
    <w:rsid w:val="00B651F8"/>
    <w:rsid w:val="00B660F9"/>
    <w:rsid w:val="00B66808"/>
    <w:rsid w:val="00B6724C"/>
    <w:rsid w:val="00B67B1D"/>
    <w:rsid w:val="00B67EBC"/>
    <w:rsid w:val="00B71ABB"/>
    <w:rsid w:val="00B74B35"/>
    <w:rsid w:val="00B75D50"/>
    <w:rsid w:val="00B77311"/>
    <w:rsid w:val="00B80012"/>
    <w:rsid w:val="00B81487"/>
    <w:rsid w:val="00B81DA7"/>
    <w:rsid w:val="00B83872"/>
    <w:rsid w:val="00B840F4"/>
    <w:rsid w:val="00B844F7"/>
    <w:rsid w:val="00B8508D"/>
    <w:rsid w:val="00B8697C"/>
    <w:rsid w:val="00B916AF"/>
    <w:rsid w:val="00B91ED7"/>
    <w:rsid w:val="00B93031"/>
    <w:rsid w:val="00B935B7"/>
    <w:rsid w:val="00B937EA"/>
    <w:rsid w:val="00B942EA"/>
    <w:rsid w:val="00B961C4"/>
    <w:rsid w:val="00B96B15"/>
    <w:rsid w:val="00B97058"/>
    <w:rsid w:val="00B970DC"/>
    <w:rsid w:val="00B9797A"/>
    <w:rsid w:val="00BA0471"/>
    <w:rsid w:val="00BA13C3"/>
    <w:rsid w:val="00BA1477"/>
    <w:rsid w:val="00BA1FEE"/>
    <w:rsid w:val="00BA21B0"/>
    <w:rsid w:val="00BA2AB2"/>
    <w:rsid w:val="00BA4174"/>
    <w:rsid w:val="00BA6AE6"/>
    <w:rsid w:val="00BA7AB6"/>
    <w:rsid w:val="00BB0140"/>
    <w:rsid w:val="00BB08C4"/>
    <w:rsid w:val="00BB1031"/>
    <w:rsid w:val="00BB2566"/>
    <w:rsid w:val="00BB2D47"/>
    <w:rsid w:val="00BB4952"/>
    <w:rsid w:val="00BB4B4E"/>
    <w:rsid w:val="00BB5AAA"/>
    <w:rsid w:val="00BB6684"/>
    <w:rsid w:val="00BB69CA"/>
    <w:rsid w:val="00BB6EA2"/>
    <w:rsid w:val="00BB7686"/>
    <w:rsid w:val="00BC1FF4"/>
    <w:rsid w:val="00BC3910"/>
    <w:rsid w:val="00BC6CAF"/>
    <w:rsid w:val="00BC7523"/>
    <w:rsid w:val="00BD207C"/>
    <w:rsid w:val="00BD213C"/>
    <w:rsid w:val="00BD2C93"/>
    <w:rsid w:val="00BD2F15"/>
    <w:rsid w:val="00BD3D70"/>
    <w:rsid w:val="00BD50FA"/>
    <w:rsid w:val="00BD7783"/>
    <w:rsid w:val="00BE160B"/>
    <w:rsid w:val="00BE1816"/>
    <w:rsid w:val="00BE1AEE"/>
    <w:rsid w:val="00BE2560"/>
    <w:rsid w:val="00BE3D89"/>
    <w:rsid w:val="00BE4086"/>
    <w:rsid w:val="00BE5046"/>
    <w:rsid w:val="00BE569A"/>
    <w:rsid w:val="00BE6ED5"/>
    <w:rsid w:val="00BE7581"/>
    <w:rsid w:val="00BE7766"/>
    <w:rsid w:val="00BE7CEB"/>
    <w:rsid w:val="00BF0595"/>
    <w:rsid w:val="00BF0A5A"/>
    <w:rsid w:val="00BF0BB5"/>
    <w:rsid w:val="00BF1EB6"/>
    <w:rsid w:val="00BF33CF"/>
    <w:rsid w:val="00BF35EC"/>
    <w:rsid w:val="00BF36BD"/>
    <w:rsid w:val="00BF3705"/>
    <w:rsid w:val="00BF448B"/>
    <w:rsid w:val="00BF4BC1"/>
    <w:rsid w:val="00BF5526"/>
    <w:rsid w:val="00BF5536"/>
    <w:rsid w:val="00BF56DC"/>
    <w:rsid w:val="00BF5EFF"/>
    <w:rsid w:val="00BF69F3"/>
    <w:rsid w:val="00BF710A"/>
    <w:rsid w:val="00C008FC"/>
    <w:rsid w:val="00C01D7E"/>
    <w:rsid w:val="00C03D68"/>
    <w:rsid w:val="00C041FB"/>
    <w:rsid w:val="00C0438B"/>
    <w:rsid w:val="00C05139"/>
    <w:rsid w:val="00C06A7C"/>
    <w:rsid w:val="00C07469"/>
    <w:rsid w:val="00C07933"/>
    <w:rsid w:val="00C10963"/>
    <w:rsid w:val="00C10B6E"/>
    <w:rsid w:val="00C10F68"/>
    <w:rsid w:val="00C12FBC"/>
    <w:rsid w:val="00C1318B"/>
    <w:rsid w:val="00C14899"/>
    <w:rsid w:val="00C16061"/>
    <w:rsid w:val="00C16079"/>
    <w:rsid w:val="00C164DA"/>
    <w:rsid w:val="00C16AAD"/>
    <w:rsid w:val="00C17002"/>
    <w:rsid w:val="00C1775C"/>
    <w:rsid w:val="00C21783"/>
    <w:rsid w:val="00C21A9B"/>
    <w:rsid w:val="00C232AA"/>
    <w:rsid w:val="00C23641"/>
    <w:rsid w:val="00C25109"/>
    <w:rsid w:val="00C251D3"/>
    <w:rsid w:val="00C25763"/>
    <w:rsid w:val="00C26990"/>
    <w:rsid w:val="00C314F6"/>
    <w:rsid w:val="00C320F7"/>
    <w:rsid w:val="00C32168"/>
    <w:rsid w:val="00C3558B"/>
    <w:rsid w:val="00C359CA"/>
    <w:rsid w:val="00C35EFD"/>
    <w:rsid w:val="00C36DC4"/>
    <w:rsid w:val="00C37363"/>
    <w:rsid w:val="00C4070C"/>
    <w:rsid w:val="00C409F2"/>
    <w:rsid w:val="00C435A5"/>
    <w:rsid w:val="00C43654"/>
    <w:rsid w:val="00C4475E"/>
    <w:rsid w:val="00C45B38"/>
    <w:rsid w:val="00C45D3D"/>
    <w:rsid w:val="00C47331"/>
    <w:rsid w:val="00C50D7A"/>
    <w:rsid w:val="00C5172C"/>
    <w:rsid w:val="00C52834"/>
    <w:rsid w:val="00C54D1B"/>
    <w:rsid w:val="00C55815"/>
    <w:rsid w:val="00C55B15"/>
    <w:rsid w:val="00C56C48"/>
    <w:rsid w:val="00C56EB2"/>
    <w:rsid w:val="00C57085"/>
    <w:rsid w:val="00C572FC"/>
    <w:rsid w:val="00C60F02"/>
    <w:rsid w:val="00C60F1E"/>
    <w:rsid w:val="00C61FBE"/>
    <w:rsid w:val="00C63F9B"/>
    <w:rsid w:val="00C64E4C"/>
    <w:rsid w:val="00C651A4"/>
    <w:rsid w:val="00C658C1"/>
    <w:rsid w:val="00C65B3C"/>
    <w:rsid w:val="00C675CB"/>
    <w:rsid w:val="00C70A04"/>
    <w:rsid w:val="00C72308"/>
    <w:rsid w:val="00C7356A"/>
    <w:rsid w:val="00C74F3E"/>
    <w:rsid w:val="00C758BE"/>
    <w:rsid w:val="00C7615B"/>
    <w:rsid w:val="00C76606"/>
    <w:rsid w:val="00C7689C"/>
    <w:rsid w:val="00C8171E"/>
    <w:rsid w:val="00C817A6"/>
    <w:rsid w:val="00C81EF5"/>
    <w:rsid w:val="00C8267F"/>
    <w:rsid w:val="00C82D1C"/>
    <w:rsid w:val="00C84537"/>
    <w:rsid w:val="00C84624"/>
    <w:rsid w:val="00C85DDB"/>
    <w:rsid w:val="00C87081"/>
    <w:rsid w:val="00C8710B"/>
    <w:rsid w:val="00C87EC9"/>
    <w:rsid w:val="00C90247"/>
    <w:rsid w:val="00C90637"/>
    <w:rsid w:val="00C90880"/>
    <w:rsid w:val="00C90FDC"/>
    <w:rsid w:val="00C919D2"/>
    <w:rsid w:val="00C91CB8"/>
    <w:rsid w:val="00C91FFE"/>
    <w:rsid w:val="00C92400"/>
    <w:rsid w:val="00C92769"/>
    <w:rsid w:val="00C93960"/>
    <w:rsid w:val="00C93EEF"/>
    <w:rsid w:val="00C93F5D"/>
    <w:rsid w:val="00C949E4"/>
    <w:rsid w:val="00C94AB0"/>
    <w:rsid w:val="00C94ACA"/>
    <w:rsid w:val="00C94C52"/>
    <w:rsid w:val="00C95997"/>
    <w:rsid w:val="00CA0222"/>
    <w:rsid w:val="00CA0312"/>
    <w:rsid w:val="00CA08AE"/>
    <w:rsid w:val="00CA0FD5"/>
    <w:rsid w:val="00CA1DB5"/>
    <w:rsid w:val="00CA2C06"/>
    <w:rsid w:val="00CA30E6"/>
    <w:rsid w:val="00CA41A5"/>
    <w:rsid w:val="00CA420F"/>
    <w:rsid w:val="00CA517E"/>
    <w:rsid w:val="00CA637E"/>
    <w:rsid w:val="00CA6F54"/>
    <w:rsid w:val="00CA720E"/>
    <w:rsid w:val="00CB0A2B"/>
    <w:rsid w:val="00CB1CD3"/>
    <w:rsid w:val="00CB2A16"/>
    <w:rsid w:val="00CB2B64"/>
    <w:rsid w:val="00CB77BE"/>
    <w:rsid w:val="00CC1400"/>
    <w:rsid w:val="00CC2742"/>
    <w:rsid w:val="00CC2860"/>
    <w:rsid w:val="00CC2B92"/>
    <w:rsid w:val="00CC338B"/>
    <w:rsid w:val="00CC3C92"/>
    <w:rsid w:val="00CC4789"/>
    <w:rsid w:val="00CC7CDB"/>
    <w:rsid w:val="00CD0036"/>
    <w:rsid w:val="00CD19A9"/>
    <w:rsid w:val="00CD2196"/>
    <w:rsid w:val="00CD2E55"/>
    <w:rsid w:val="00CD38E0"/>
    <w:rsid w:val="00CD43C0"/>
    <w:rsid w:val="00CD491D"/>
    <w:rsid w:val="00CD5888"/>
    <w:rsid w:val="00CE088E"/>
    <w:rsid w:val="00CE0F34"/>
    <w:rsid w:val="00CE1B6A"/>
    <w:rsid w:val="00CE28B1"/>
    <w:rsid w:val="00CE317A"/>
    <w:rsid w:val="00CE371D"/>
    <w:rsid w:val="00CE3C58"/>
    <w:rsid w:val="00CE4671"/>
    <w:rsid w:val="00CE5BFE"/>
    <w:rsid w:val="00CE62F1"/>
    <w:rsid w:val="00CE6963"/>
    <w:rsid w:val="00CE6C25"/>
    <w:rsid w:val="00CE7E78"/>
    <w:rsid w:val="00CF06D2"/>
    <w:rsid w:val="00CF1407"/>
    <w:rsid w:val="00CF1A46"/>
    <w:rsid w:val="00CF1D76"/>
    <w:rsid w:val="00CF4467"/>
    <w:rsid w:val="00CF53AA"/>
    <w:rsid w:val="00CF548E"/>
    <w:rsid w:val="00CF5534"/>
    <w:rsid w:val="00CF6E51"/>
    <w:rsid w:val="00D0030D"/>
    <w:rsid w:val="00D00368"/>
    <w:rsid w:val="00D00CBE"/>
    <w:rsid w:val="00D00FD5"/>
    <w:rsid w:val="00D02ADE"/>
    <w:rsid w:val="00D04D9B"/>
    <w:rsid w:val="00D074CA"/>
    <w:rsid w:val="00D10835"/>
    <w:rsid w:val="00D10A29"/>
    <w:rsid w:val="00D10D0A"/>
    <w:rsid w:val="00D121C6"/>
    <w:rsid w:val="00D12C18"/>
    <w:rsid w:val="00D1467B"/>
    <w:rsid w:val="00D14C40"/>
    <w:rsid w:val="00D14C52"/>
    <w:rsid w:val="00D14F58"/>
    <w:rsid w:val="00D15406"/>
    <w:rsid w:val="00D200F1"/>
    <w:rsid w:val="00D20569"/>
    <w:rsid w:val="00D20815"/>
    <w:rsid w:val="00D21145"/>
    <w:rsid w:val="00D25856"/>
    <w:rsid w:val="00D26E86"/>
    <w:rsid w:val="00D27CA1"/>
    <w:rsid w:val="00D30A2F"/>
    <w:rsid w:val="00D30D7E"/>
    <w:rsid w:val="00D32B2C"/>
    <w:rsid w:val="00D34711"/>
    <w:rsid w:val="00D348AC"/>
    <w:rsid w:val="00D403F6"/>
    <w:rsid w:val="00D40E12"/>
    <w:rsid w:val="00D415E3"/>
    <w:rsid w:val="00D419E4"/>
    <w:rsid w:val="00D42090"/>
    <w:rsid w:val="00D424FC"/>
    <w:rsid w:val="00D44231"/>
    <w:rsid w:val="00D45972"/>
    <w:rsid w:val="00D45C17"/>
    <w:rsid w:val="00D46056"/>
    <w:rsid w:val="00D4623E"/>
    <w:rsid w:val="00D46B1F"/>
    <w:rsid w:val="00D50555"/>
    <w:rsid w:val="00D51C53"/>
    <w:rsid w:val="00D51F3D"/>
    <w:rsid w:val="00D522AA"/>
    <w:rsid w:val="00D523CC"/>
    <w:rsid w:val="00D525DE"/>
    <w:rsid w:val="00D536BA"/>
    <w:rsid w:val="00D5380E"/>
    <w:rsid w:val="00D5543B"/>
    <w:rsid w:val="00D56390"/>
    <w:rsid w:val="00D56F8B"/>
    <w:rsid w:val="00D61678"/>
    <w:rsid w:val="00D62B80"/>
    <w:rsid w:val="00D62C33"/>
    <w:rsid w:val="00D63ADD"/>
    <w:rsid w:val="00D65524"/>
    <w:rsid w:val="00D713CB"/>
    <w:rsid w:val="00D714F9"/>
    <w:rsid w:val="00D71C4E"/>
    <w:rsid w:val="00D71EB3"/>
    <w:rsid w:val="00D72DCC"/>
    <w:rsid w:val="00D7349E"/>
    <w:rsid w:val="00D735CA"/>
    <w:rsid w:val="00D74530"/>
    <w:rsid w:val="00D753A4"/>
    <w:rsid w:val="00D75470"/>
    <w:rsid w:val="00D7630B"/>
    <w:rsid w:val="00D76940"/>
    <w:rsid w:val="00D80CE1"/>
    <w:rsid w:val="00D82691"/>
    <w:rsid w:val="00D83EB3"/>
    <w:rsid w:val="00D849F0"/>
    <w:rsid w:val="00D855A0"/>
    <w:rsid w:val="00D863B6"/>
    <w:rsid w:val="00D86406"/>
    <w:rsid w:val="00D867A5"/>
    <w:rsid w:val="00D876EC"/>
    <w:rsid w:val="00D907E1"/>
    <w:rsid w:val="00D91178"/>
    <w:rsid w:val="00D927E4"/>
    <w:rsid w:val="00D92A19"/>
    <w:rsid w:val="00D930A1"/>
    <w:rsid w:val="00D93950"/>
    <w:rsid w:val="00D93967"/>
    <w:rsid w:val="00D94FD3"/>
    <w:rsid w:val="00DA04F7"/>
    <w:rsid w:val="00DA08AF"/>
    <w:rsid w:val="00DA0F75"/>
    <w:rsid w:val="00DA268A"/>
    <w:rsid w:val="00DA31D8"/>
    <w:rsid w:val="00DA340F"/>
    <w:rsid w:val="00DA3661"/>
    <w:rsid w:val="00DA3C3C"/>
    <w:rsid w:val="00DA40D6"/>
    <w:rsid w:val="00DA4EFE"/>
    <w:rsid w:val="00DA56F6"/>
    <w:rsid w:val="00DA5953"/>
    <w:rsid w:val="00DA6102"/>
    <w:rsid w:val="00DA6D92"/>
    <w:rsid w:val="00DA74BF"/>
    <w:rsid w:val="00DA7623"/>
    <w:rsid w:val="00DA78DE"/>
    <w:rsid w:val="00DB2246"/>
    <w:rsid w:val="00DB3B00"/>
    <w:rsid w:val="00DB534F"/>
    <w:rsid w:val="00DB5636"/>
    <w:rsid w:val="00DB5692"/>
    <w:rsid w:val="00DB5CDD"/>
    <w:rsid w:val="00DB5E4A"/>
    <w:rsid w:val="00DB5FF0"/>
    <w:rsid w:val="00DB711C"/>
    <w:rsid w:val="00DB756D"/>
    <w:rsid w:val="00DB7CED"/>
    <w:rsid w:val="00DB7F86"/>
    <w:rsid w:val="00DC2E61"/>
    <w:rsid w:val="00DC42DD"/>
    <w:rsid w:val="00DC4D4C"/>
    <w:rsid w:val="00DC5317"/>
    <w:rsid w:val="00DC59D2"/>
    <w:rsid w:val="00DC60F4"/>
    <w:rsid w:val="00DC6193"/>
    <w:rsid w:val="00DC692E"/>
    <w:rsid w:val="00DC6CF2"/>
    <w:rsid w:val="00DC7127"/>
    <w:rsid w:val="00DC7C1D"/>
    <w:rsid w:val="00DC7CCA"/>
    <w:rsid w:val="00DD2BA3"/>
    <w:rsid w:val="00DD3200"/>
    <w:rsid w:val="00DD4066"/>
    <w:rsid w:val="00DD6263"/>
    <w:rsid w:val="00DD6F45"/>
    <w:rsid w:val="00DE0DEF"/>
    <w:rsid w:val="00DE26B1"/>
    <w:rsid w:val="00DE2893"/>
    <w:rsid w:val="00DE2C77"/>
    <w:rsid w:val="00DE482B"/>
    <w:rsid w:val="00DE5882"/>
    <w:rsid w:val="00DE5DA3"/>
    <w:rsid w:val="00DE5FDA"/>
    <w:rsid w:val="00DE69D8"/>
    <w:rsid w:val="00DF0144"/>
    <w:rsid w:val="00DF022F"/>
    <w:rsid w:val="00DF067C"/>
    <w:rsid w:val="00DF1B5E"/>
    <w:rsid w:val="00DF1CC0"/>
    <w:rsid w:val="00DF2CB6"/>
    <w:rsid w:val="00DF2FBD"/>
    <w:rsid w:val="00DF3143"/>
    <w:rsid w:val="00DF7AB0"/>
    <w:rsid w:val="00DF7E1F"/>
    <w:rsid w:val="00E0120E"/>
    <w:rsid w:val="00E01C34"/>
    <w:rsid w:val="00E025BB"/>
    <w:rsid w:val="00E0321D"/>
    <w:rsid w:val="00E03835"/>
    <w:rsid w:val="00E03EE6"/>
    <w:rsid w:val="00E03FF5"/>
    <w:rsid w:val="00E047DB"/>
    <w:rsid w:val="00E049C0"/>
    <w:rsid w:val="00E04C90"/>
    <w:rsid w:val="00E04D50"/>
    <w:rsid w:val="00E0670C"/>
    <w:rsid w:val="00E06FE9"/>
    <w:rsid w:val="00E075A0"/>
    <w:rsid w:val="00E12738"/>
    <w:rsid w:val="00E1339A"/>
    <w:rsid w:val="00E13697"/>
    <w:rsid w:val="00E13C07"/>
    <w:rsid w:val="00E147F4"/>
    <w:rsid w:val="00E1641B"/>
    <w:rsid w:val="00E168F6"/>
    <w:rsid w:val="00E225CF"/>
    <w:rsid w:val="00E22BCD"/>
    <w:rsid w:val="00E22C06"/>
    <w:rsid w:val="00E26B83"/>
    <w:rsid w:val="00E27521"/>
    <w:rsid w:val="00E27D0C"/>
    <w:rsid w:val="00E30ADC"/>
    <w:rsid w:val="00E31596"/>
    <w:rsid w:val="00E32082"/>
    <w:rsid w:val="00E34951"/>
    <w:rsid w:val="00E35374"/>
    <w:rsid w:val="00E35831"/>
    <w:rsid w:val="00E36A7A"/>
    <w:rsid w:val="00E407AA"/>
    <w:rsid w:val="00E40BE4"/>
    <w:rsid w:val="00E411BF"/>
    <w:rsid w:val="00E4315C"/>
    <w:rsid w:val="00E43D25"/>
    <w:rsid w:val="00E43FA3"/>
    <w:rsid w:val="00E459BE"/>
    <w:rsid w:val="00E464DB"/>
    <w:rsid w:val="00E47135"/>
    <w:rsid w:val="00E47C6D"/>
    <w:rsid w:val="00E47D64"/>
    <w:rsid w:val="00E513C3"/>
    <w:rsid w:val="00E530CA"/>
    <w:rsid w:val="00E5357D"/>
    <w:rsid w:val="00E56AB0"/>
    <w:rsid w:val="00E56FE3"/>
    <w:rsid w:val="00E6021D"/>
    <w:rsid w:val="00E60373"/>
    <w:rsid w:val="00E61A10"/>
    <w:rsid w:val="00E63953"/>
    <w:rsid w:val="00E646BC"/>
    <w:rsid w:val="00E65377"/>
    <w:rsid w:val="00E6541E"/>
    <w:rsid w:val="00E676E1"/>
    <w:rsid w:val="00E6793A"/>
    <w:rsid w:val="00E735A9"/>
    <w:rsid w:val="00E73E1C"/>
    <w:rsid w:val="00E7455F"/>
    <w:rsid w:val="00E75074"/>
    <w:rsid w:val="00E75487"/>
    <w:rsid w:val="00E7561C"/>
    <w:rsid w:val="00E76BC9"/>
    <w:rsid w:val="00E779B9"/>
    <w:rsid w:val="00E77A7D"/>
    <w:rsid w:val="00E77AFA"/>
    <w:rsid w:val="00E77CE4"/>
    <w:rsid w:val="00E800C9"/>
    <w:rsid w:val="00E80220"/>
    <w:rsid w:val="00E825B7"/>
    <w:rsid w:val="00E82CEF"/>
    <w:rsid w:val="00E843C4"/>
    <w:rsid w:val="00E84688"/>
    <w:rsid w:val="00E84A09"/>
    <w:rsid w:val="00E84C45"/>
    <w:rsid w:val="00E901C1"/>
    <w:rsid w:val="00E9121F"/>
    <w:rsid w:val="00E91CAC"/>
    <w:rsid w:val="00E938B8"/>
    <w:rsid w:val="00E93E5A"/>
    <w:rsid w:val="00E95955"/>
    <w:rsid w:val="00E95DAC"/>
    <w:rsid w:val="00E977E3"/>
    <w:rsid w:val="00EA0F8C"/>
    <w:rsid w:val="00EA11B4"/>
    <w:rsid w:val="00EA214E"/>
    <w:rsid w:val="00EA30E5"/>
    <w:rsid w:val="00EA379F"/>
    <w:rsid w:val="00EA5745"/>
    <w:rsid w:val="00EA5925"/>
    <w:rsid w:val="00EA5A95"/>
    <w:rsid w:val="00EA650D"/>
    <w:rsid w:val="00EA6FB6"/>
    <w:rsid w:val="00EA7656"/>
    <w:rsid w:val="00EA7C41"/>
    <w:rsid w:val="00EB149C"/>
    <w:rsid w:val="00EB1DBB"/>
    <w:rsid w:val="00EB2418"/>
    <w:rsid w:val="00EB3DA1"/>
    <w:rsid w:val="00EB5538"/>
    <w:rsid w:val="00EB7CEE"/>
    <w:rsid w:val="00EC0F75"/>
    <w:rsid w:val="00EC0FB1"/>
    <w:rsid w:val="00EC21FE"/>
    <w:rsid w:val="00EC2CE6"/>
    <w:rsid w:val="00EC314B"/>
    <w:rsid w:val="00EC419F"/>
    <w:rsid w:val="00EC41C7"/>
    <w:rsid w:val="00EC5210"/>
    <w:rsid w:val="00EC558F"/>
    <w:rsid w:val="00EC65E2"/>
    <w:rsid w:val="00EC6703"/>
    <w:rsid w:val="00EC6AD2"/>
    <w:rsid w:val="00ED0471"/>
    <w:rsid w:val="00ED19F5"/>
    <w:rsid w:val="00ED28D1"/>
    <w:rsid w:val="00ED3556"/>
    <w:rsid w:val="00ED44E7"/>
    <w:rsid w:val="00ED54B6"/>
    <w:rsid w:val="00ED717A"/>
    <w:rsid w:val="00EE08B3"/>
    <w:rsid w:val="00EE08B9"/>
    <w:rsid w:val="00EE0CC5"/>
    <w:rsid w:val="00EE19F6"/>
    <w:rsid w:val="00EE1F21"/>
    <w:rsid w:val="00EE272D"/>
    <w:rsid w:val="00EE2755"/>
    <w:rsid w:val="00EE35A0"/>
    <w:rsid w:val="00EE5D11"/>
    <w:rsid w:val="00EE78CB"/>
    <w:rsid w:val="00EE798D"/>
    <w:rsid w:val="00EF01F2"/>
    <w:rsid w:val="00EF0AB5"/>
    <w:rsid w:val="00EF2A48"/>
    <w:rsid w:val="00EF3240"/>
    <w:rsid w:val="00EF4FD8"/>
    <w:rsid w:val="00EF6AA7"/>
    <w:rsid w:val="00F00672"/>
    <w:rsid w:val="00F01297"/>
    <w:rsid w:val="00F02FF1"/>
    <w:rsid w:val="00F03AA7"/>
    <w:rsid w:val="00F04166"/>
    <w:rsid w:val="00F05466"/>
    <w:rsid w:val="00F05783"/>
    <w:rsid w:val="00F05BDB"/>
    <w:rsid w:val="00F06839"/>
    <w:rsid w:val="00F06967"/>
    <w:rsid w:val="00F069F0"/>
    <w:rsid w:val="00F07504"/>
    <w:rsid w:val="00F10E0E"/>
    <w:rsid w:val="00F11396"/>
    <w:rsid w:val="00F1338A"/>
    <w:rsid w:val="00F14054"/>
    <w:rsid w:val="00F14DF3"/>
    <w:rsid w:val="00F15EE8"/>
    <w:rsid w:val="00F16E43"/>
    <w:rsid w:val="00F17519"/>
    <w:rsid w:val="00F20647"/>
    <w:rsid w:val="00F21DA2"/>
    <w:rsid w:val="00F21F59"/>
    <w:rsid w:val="00F22479"/>
    <w:rsid w:val="00F23166"/>
    <w:rsid w:val="00F234A7"/>
    <w:rsid w:val="00F23572"/>
    <w:rsid w:val="00F237E3"/>
    <w:rsid w:val="00F23F0B"/>
    <w:rsid w:val="00F24185"/>
    <w:rsid w:val="00F24448"/>
    <w:rsid w:val="00F25F85"/>
    <w:rsid w:val="00F26713"/>
    <w:rsid w:val="00F26A3E"/>
    <w:rsid w:val="00F27AA6"/>
    <w:rsid w:val="00F300D1"/>
    <w:rsid w:val="00F313CA"/>
    <w:rsid w:val="00F314A6"/>
    <w:rsid w:val="00F32137"/>
    <w:rsid w:val="00F322FD"/>
    <w:rsid w:val="00F32C3B"/>
    <w:rsid w:val="00F33102"/>
    <w:rsid w:val="00F33C4A"/>
    <w:rsid w:val="00F33F31"/>
    <w:rsid w:val="00F34A0A"/>
    <w:rsid w:val="00F35212"/>
    <w:rsid w:val="00F35511"/>
    <w:rsid w:val="00F372E7"/>
    <w:rsid w:val="00F42D98"/>
    <w:rsid w:val="00F4579E"/>
    <w:rsid w:val="00F46C49"/>
    <w:rsid w:val="00F5025F"/>
    <w:rsid w:val="00F5190C"/>
    <w:rsid w:val="00F51BA8"/>
    <w:rsid w:val="00F51CF3"/>
    <w:rsid w:val="00F52119"/>
    <w:rsid w:val="00F5232E"/>
    <w:rsid w:val="00F53757"/>
    <w:rsid w:val="00F53E24"/>
    <w:rsid w:val="00F55956"/>
    <w:rsid w:val="00F60C4D"/>
    <w:rsid w:val="00F60C6B"/>
    <w:rsid w:val="00F61A60"/>
    <w:rsid w:val="00F63E07"/>
    <w:rsid w:val="00F65017"/>
    <w:rsid w:val="00F65705"/>
    <w:rsid w:val="00F65A85"/>
    <w:rsid w:val="00F66539"/>
    <w:rsid w:val="00F70A0D"/>
    <w:rsid w:val="00F735E5"/>
    <w:rsid w:val="00F73B17"/>
    <w:rsid w:val="00F73FAD"/>
    <w:rsid w:val="00F74D19"/>
    <w:rsid w:val="00F77D34"/>
    <w:rsid w:val="00F81652"/>
    <w:rsid w:val="00F81BEA"/>
    <w:rsid w:val="00F8225C"/>
    <w:rsid w:val="00F8290A"/>
    <w:rsid w:val="00F82D3E"/>
    <w:rsid w:val="00F83FC5"/>
    <w:rsid w:val="00F84405"/>
    <w:rsid w:val="00F844F5"/>
    <w:rsid w:val="00F858E7"/>
    <w:rsid w:val="00F8591A"/>
    <w:rsid w:val="00F85CBA"/>
    <w:rsid w:val="00F86903"/>
    <w:rsid w:val="00F8745F"/>
    <w:rsid w:val="00F87777"/>
    <w:rsid w:val="00F877B0"/>
    <w:rsid w:val="00F905DE"/>
    <w:rsid w:val="00F92BDC"/>
    <w:rsid w:val="00F94801"/>
    <w:rsid w:val="00F95A3D"/>
    <w:rsid w:val="00F96266"/>
    <w:rsid w:val="00F97C91"/>
    <w:rsid w:val="00FA04BC"/>
    <w:rsid w:val="00FA2462"/>
    <w:rsid w:val="00FA4859"/>
    <w:rsid w:val="00FA4FEA"/>
    <w:rsid w:val="00FA52E6"/>
    <w:rsid w:val="00FA56D2"/>
    <w:rsid w:val="00FA63A4"/>
    <w:rsid w:val="00FA7086"/>
    <w:rsid w:val="00FB09CF"/>
    <w:rsid w:val="00FB2CE0"/>
    <w:rsid w:val="00FB3E60"/>
    <w:rsid w:val="00FB4A01"/>
    <w:rsid w:val="00FB7073"/>
    <w:rsid w:val="00FB7BAC"/>
    <w:rsid w:val="00FC02BF"/>
    <w:rsid w:val="00FC07AA"/>
    <w:rsid w:val="00FC09EE"/>
    <w:rsid w:val="00FC21FE"/>
    <w:rsid w:val="00FC31CF"/>
    <w:rsid w:val="00FC44F4"/>
    <w:rsid w:val="00FC4DCD"/>
    <w:rsid w:val="00FC756A"/>
    <w:rsid w:val="00FC792A"/>
    <w:rsid w:val="00FD0520"/>
    <w:rsid w:val="00FD1747"/>
    <w:rsid w:val="00FD1F46"/>
    <w:rsid w:val="00FD22CD"/>
    <w:rsid w:val="00FD236E"/>
    <w:rsid w:val="00FD3EAF"/>
    <w:rsid w:val="00FD5300"/>
    <w:rsid w:val="00FD6F58"/>
    <w:rsid w:val="00FD70F9"/>
    <w:rsid w:val="00FD7F05"/>
    <w:rsid w:val="00FD7F9D"/>
    <w:rsid w:val="00FE35A4"/>
    <w:rsid w:val="00FE4067"/>
    <w:rsid w:val="00FE4B00"/>
    <w:rsid w:val="00FE4E5B"/>
    <w:rsid w:val="00FE5F8D"/>
    <w:rsid w:val="00FE747A"/>
    <w:rsid w:val="00FF0C1A"/>
    <w:rsid w:val="00FF3FD7"/>
    <w:rsid w:val="00FF79E2"/>
    <w:rsid w:val="00FF7A48"/>
    <w:rsid w:val="01014EC3"/>
    <w:rsid w:val="010F6C32"/>
    <w:rsid w:val="0119548C"/>
    <w:rsid w:val="011C51DB"/>
    <w:rsid w:val="01205D5C"/>
    <w:rsid w:val="01241876"/>
    <w:rsid w:val="012D4465"/>
    <w:rsid w:val="01470E0B"/>
    <w:rsid w:val="015679D0"/>
    <w:rsid w:val="015874A9"/>
    <w:rsid w:val="015A7FB4"/>
    <w:rsid w:val="01620A8A"/>
    <w:rsid w:val="01626374"/>
    <w:rsid w:val="01804694"/>
    <w:rsid w:val="018207C5"/>
    <w:rsid w:val="018F1D33"/>
    <w:rsid w:val="01A249C3"/>
    <w:rsid w:val="01A73D87"/>
    <w:rsid w:val="01A87AFF"/>
    <w:rsid w:val="01BD75FD"/>
    <w:rsid w:val="01C609E3"/>
    <w:rsid w:val="01CC1A40"/>
    <w:rsid w:val="01CF1014"/>
    <w:rsid w:val="01F95121"/>
    <w:rsid w:val="02035C63"/>
    <w:rsid w:val="02076F1C"/>
    <w:rsid w:val="02084877"/>
    <w:rsid w:val="02145EAB"/>
    <w:rsid w:val="0219028B"/>
    <w:rsid w:val="021919F3"/>
    <w:rsid w:val="021D673F"/>
    <w:rsid w:val="02340D1E"/>
    <w:rsid w:val="025D08EA"/>
    <w:rsid w:val="027A6ED3"/>
    <w:rsid w:val="027E7148"/>
    <w:rsid w:val="027F2F56"/>
    <w:rsid w:val="028007C7"/>
    <w:rsid w:val="028A2F6D"/>
    <w:rsid w:val="028D28C4"/>
    <w:rsid w:val="029167E5"/>
    <w:rsid w:val="029307AF"/>
    <w:rsid w:val="02A91D81"/>
    <w:rsid w:val="02AE06A2"/>
    <w:rsid w:val="02AE7397"/>
    <w:rsid w:val="02C73042"/>
    <w:rsid w:val="02C86D10"/>
    <w:rsid w:val="02CE17E8"/>
    <w:rsid w:val="02D05560"/>
    <w:rsid w:val="02D74B40"/>
    <w:rsid w:val="02D92666"/>
    <w:rsid w:val="02E11C01"/>
    <w:rsid w:val="02ED7EC0"/>
    <w:rsid w:val="030654EC"/>
    <w:rsid w:val="030F09A7"/>
    <w:rsid w:val="032B5806"/>
    <w:rsid w:val="032B5BC0"/>
    <w:rsid w:val="034675D0"/>
    <w:rsid w:val="034858FF"/>
    <w:rsid w:val="035563E6"/>
    <w:rsid w:val="035B0EED"/>
    <w:rsid w:val="035C4CA2"/>
    <w:rsid w:val="03720261"/>
    <w:rsid w:val="03726617"/>
    <w:rsid w:val="03782B4D"/>
    <w:rsid w:val="03842673"/>
    <w:rsid w:val="038C75CC"/>
    <w:rsid w:val="03977208"/>
    <w:rsid w:val="039E2B74"/>
    <w:rsid w:val="03AC38D7"/>
    <w:rsid w:val="03AD3045"/>
    <w:rsid w:val="03E33071"/>
    <w:rsid w:val="03E4468F"/>
    <w:rsid w:val="03EA3B15"/>
    <w:rsid w:val="03F82FC0"/>
    <w:rsid w:val="03F90958"/>
    <w:rsid w:val="03FA6D38"/>
    <w:rsid w:val="0417069A"/>
    <w:rsid w:val="042A2D98"/>
    <w:rsid w:val="044B0B66"/>
    <w:rsid w:val="0453229F"/>
    <w:rsid w:val="046B19E4"/>
    <w:rsid w:val="04714DA9"/>
    <w:rsid w:val="04762137"/>
    <w:rsid w:val="04763E55"/>
    <w:rsid w:val="048A47AF"/>
    <w:rsid w:val="048E7480"/>
    <w:rsid w:val="049727D9"/>
    <w:rsid w:val="04A03DC8"/>
    <w:rsid w:val="04A10F62"/>
    <w:rsid w:val="04A91BE2"/>
    <w:rsid w:val="04B213C1"/>
    <w:rsid w:val="04B3241F"/>
    <w:rsid w:val="04BA5BEA"/>
    <w:rsid w:val="04C143B8"/>
    <w:rsid w:val="04C37256"/>
    <w:rsid w:val="04C83EAE"/>
    <w:rsid w:val="04D46741"/>
    <w:rsid w:val="04D72BD5"/>
    <w:rsid w:val="04E62626"/>
    <w:rsid w:val="04E81A6A"/>
    <w:rsid w:val="04ED75B3"/>
    <w:rsid w:val="050339CA"/>
    <w:rsid w:val="051A0459"/>
    <w:rsid w:val="051F65C5"/>
    <w:rsid w:val="05254B0B"/>
    <w:rsid w:val="05283431"/>
    <w:rsid w:val="052B0B94"/>
    <w:rsid w:val="05341A24"/>
    <w:rsid w:val="0539563E"/>
    <w:rsid w:val="05410997"/>
    <w:rsid w:val="05480555"/>
    <w:rsid w:val="054D1E6D"/>
    <w:rsid w:val="055C5721"/>
    <w:rsid w:val="055E4AF2"/>
    <w:rsid w:val="05850883"/>
    <w:rsid w:val="05963173"/>
    <w:rsid w:val="059B1E55"/>
    <w:rsid w:val="05A22503"/>
    <w:rsid w:val="05A50F26"/>
    <w:rsid w:val="05A836E1"/>
    <w:rsid w:val="05AC4062"/>
    <w:rsid w:val="05B66C8F"/>
    <w:rsid w:val="05CE4963"/>
    <w:rsid w:val="05E52B46"/>
    <w:rsid w:val="05F22FFD"/>
    <w:rsid w:val="05FB1591"/>
    <w:rsid w:val="06023EA0"/>
    <w:rsid w:val="06054C51"/>
    <w:rsid w:val="060A0D89"/>
    <w:rsid w:val="060A6FDB"/>
    <w:rsid w:val="06153FE9"/>
    <w:rsid w:val="06311E0F"/>
    <w:rsid w:val="063456AB"/>
    <w:rsid w:val="063858F6"/>
    <w:rsid w:val="0639166E"/>
    <w:rsid w:val="06456265"/>
    <w:rsid w:val="064D5471"/>
    <w:rsid w:val="064F2C3F"/>
    <w:rsid w:val="06567A6A"/>
    <w:rsid w:val="06723B40"/>
    <w:rsid w:val="067601CC"/>
    <w:rsid w:val="06782196"/>
    <w:rsid w:val="067A4160"/>
    <w:rsid w:val="0687467E"/>
    <w:rsid w:val="06900B3E"/>
    <w:rsid w:val="06A411DD"/>
    <w:rsid w:val="06AE7ADB"/>
    <w:rsid w:val="06CA042F"/>
    <w:rsid w:val="06CF3878"/>
    <w:rsid w:val="06D55AEB"/>
    <w:rsid w:val="06DA4BFF"/>
    <w:rsid w:val="06DB48EC"/>
    <w:rsid w:val="06F2603B"/>
    <w:rsid w:val="06F4459D"/>
    <w:rsid w:val="07117EF5"/>
    <w:rsid w:val="071D4F1A"/>
    <w:rsid w:val="072F13C9"/>
    <w:rsid w:val="075C3C60"/>
    <w:rsid w:val="07746E01"/>
    <w:rsid w:val="0777515D"/>
    <w:rsid w:val="07794418"/>
    <w:rsid w:val="077C0182"/>
    <w:rsid w:val="07903526"/>
    <w:rsid w:val="07A86AAB"/>
    <w:rsid w:val="07CD4C36"/>
    <w:rsid w:val="07E76CA1"/>
    <w:rsid w:val="07EB71AA"/>
    <w:rsid w:val="07F40FEA"/>
    <w:rsid w:val="0812702F"/>
    <w:rsid w:val="08144D37"/>
    <w:rsid w:val="08145D37"/>
    <w:rsid w:val="081B54CF"/>
    <w:rsid w:val="081D1247"/>
    <w:rsid w:val="081D2836"/>
    <w:rsid w:val="08444A26"/>
    <w:rsid w:val="084560A8"/>
    <w:rsid w:val="084E7652"/>
    <w:rsid w:val="08613A78"/>
    <w:rsid w:val="0871085B"/>
    <w:rsid w:val="08713341"/>
    <w:rsid w:val="088838D6"/>
    <w:rsid w:val="08917C22"/>
    <w:rsid w:val="08981F24"/>
    <w:rsid w:val="08A37B73"/>
    <w:rsid w:val="08A74FB5"/>
    <w:rsid w:val="08AA4E14"/>
    <w:rsid w:val="08AC25CB"/>
    <w:rsid w:val="08B35707"/>
    <w:rsid w:val="08B417E4"/>
    <w:rsid w:val="08BB636A"/>
    <w:rsid w:val="08C01BD2"/>
    <w:rsid w:val="08C4784C"/>
    <w:rsid w:val="08D54A57"/>
    <w:rsid w:val="08ED4BA4"/>
    <w:rsid w:val="08FC0E5C"/>
    <w:rsid w:val="0900025B"/>
    <w:rsid w:val="09120680"/>
    <w:rsid w:val="0917753D"/>
    <w:rsid w:val="09187C60"/>
    <w:rsid w:val="091F2FC9"/>
    <w:rsid w:val="09212671"/>
    <w:rsid w:val="093621BE"/>
    <w:rsid w:val="0950286C"/>
    <w:rsid w:val="096C5E42"/>
    <w:rsid w:val="09792A97"/>
    <w:rsid w:val="09901388"/>
    <w:rsid w:val="099948FD"/>
    <w:rsid w:val="09A23581"/>
    <w:rsid w:val="09B01C47"/>
    <w:rsid w:val="09B07E99"/>
    <w:rsid w:val="09CD44CE"/>
    <w:rsid w:val="09DB4F16"/>
    <w:rsid w:val="09E85885"/>
    <w:rsid w:val="09F20D03"/>
    <w:rsid w:val="0A023C19"/>
    <w:rsid w:val="0A187F18"/>
    <w:rsid w:val="0A1B5312"/>
    <w:rsid w:val="0A1E3055"/>
    <w:rsid w:val="0A1E6D5A"/>
    <w:rsid w:val="0A28603C"/>
    <w:rsid w:val="0A491879"/>
    <w:rsid w:val="0A4D26DD"/>
    <w:rsid w:val="0A5B5F3D"/>
    <w:rsid w:val="0A634F0B"/>
    <w:rsid w:val="0A6C75C6"/>
    <w:rsid w:val="0A802673"/>
    <w:rsid w:val="0A865AAC"/>
    <w:rsid w:val="0A8729A8"/>
    <w:rsid w:val="0A886720"/>
    <w:rsid w:val="0A8C6210"/>
    <w:rsid w:val="0A9652E1"/>
    <w:rsid w:val="0A9B700C"/>
    <w:rsid w:val="0A9E06D5"/>
    <w:rsid w:val="0AAF7F58"/>
    <w:rsid w:val="0AB12E50"/>
    <w:rsid w:val="0AB4115C"/>
    <w:rsid w:val="0AB45767"/>
    <w:rsid w:val="0AC0235E"/>
    <w:rsid w:val="0ACF6A82"/>
    <w:rsid w:val="0AD007F3"/>
    <w:rsid w:val="0AE126F7"/>
    <w:rsid w:val="0AE95411"/>
    <w:rsid w:val="0B016BFE"/>
    <w:rsid w:val="0B09087D"/>
    <w:rsid w:val="0B0A26E0"/>
    <w:rsid w:val="0B185CF6"/>
    <w:rsid w:val="0B21104E"/>
    <w:rsid w:val="0B24469B"/>
    <w:rsid w:val="0B2E72C7"/>
    <w:rsid w:val="0B513AFA"/>
    <w:rsid w:val="0B6902FF"/>
    <w:rsid w:val="0B6B051B"/>
    <w:rsid w:val="0B7D252C"/>
    <w:rsid w:val="0B8433EF"/>
    <w:rsid w:val="0B8B471A"/>
    <w:rsid w:val="0B8C56B2"/>
    <w:rsid w:val="0B923CFA"/>
    <w:rsid w:val="0B981B27"/>
    <w:rsid w:val="0BA218C8"/>
    <w:rsid w:val="0BA70B77"/>
    <w:rsid w:val="0BB75E2E"/>
    <w:rsid w:val="0BCD4D32"/>
    <w:rsid w:val="0BCE00AF"/>
    <w:rsid w:val="0BD75BB1"/>
    <w:rsid w:val="0BDB47E3"/>
    <w:rsid w:val="0BE502CE"/>
    <w:rsid w:val="0BEB0440"/>
    <w:rsid w:val="0C055AB6"/>
    <w:rsid w:val="0C1110C3"/>
    <w:rsid w:val="0C1D00E9"/>
    <w:rsid w:val="0C204ACC"/>
    <w:rsid w:val="0C3A257F"/>
    <w:rsid w:val="0C402AEC"/>
    <w:rsid w:val="0C4A0131"/>
    <w:rsid w:val="0C564D28"/>
    <w:rsid w:val="0C5741E3"/>
    <w:rsid w:val="0C61169D"/>
    <w:rsid w:val="0C6E5F53"/>
    <w:rsid w:val="0C7004A3"/>
    <w:rsid w:val="0C871385"/>
    <w:rsid w:val="0C882E41"/>
    <w:rsid w:val="0C9475FE"/>
    <w:rsid w:val="0C955F24"/>
    <w:rsid w:val="0C964C84"/>
    <w:rsid w:val="0C966329"/>
    <w:rsid w:val="0C970D03"/>
    <w:rsid w:val="0CA27320"/>
    <w:rsid w:val="0CC4006B"/>
    <w:rsid w:val="0CC55A09"/>
    <w:rsid w:val="0CEF3B54"/>
    <w:rsid w:val="0CF40E96"/>
    <w:rsid w:val="0CF70D59"/>
    <w:rsid w:val="0D0664E9"/>
    <w:rsid w:val="0D066FCB"/>
    <w:rsid w:val="0D0B5B12"/>
    <w:rsid w:val="0D110C4F"/>
    <w:rsid w:val="0D183BE6"/>
    <w:rsid w:val="0D186481"/>
    <w:rsid w:val="0D275E8D"/>
    <w:rsid w:val="0D2766C4"/>
    <w:rsid w:val="0D2B7F62"/>
    <w:rsid w:val="0D314E4D"/>
    <w:rsid w:val="0D316015"/>
    <w:rsid w:val="0D3C5483"/>
    <w:rsid w:val="0D411534"/>
    <w:rsid w:val="0D4171EF"/>
    <w:rsid w:val="0D447276"/>
    <w:rsid w:val="0D450378"/>
    <w:rsid w:val="0D531267"/>
    <w:rsid w:val="0D556D8D"/>
    <w:rsid w:val="0D5F7ACE"/>
    <w:rsid w:val="0D643474"/>
    <w:rsid w:val="0D682F64"/>
    <w:rsid w:val="0D8238FA"/>
    <w:rsid w:val="0D881D7B"/>
    <w:rsid w:val="0D8B0A01"/>
    <w:rsid w:val="0D96475D"/>
    <w:rsid w:val="0D972F41"/>
    <w:rsid w:val="0DAF0B93"/>
    <w:rsid w:val="0DB77A48"/>
    <w:rsid w:val="0DBC260E"/>
    <w:rsid w:val="0DC43F13"/>
    <w:rsid w:val="0DC52B91"/>
    <w:rsid w:val="0DCB3427"/>
    <w:rsid w:val="0DED16BC"/>
    <w:rsid w:val="0DEF61C6"/>
    <w:rsid w:val="0DF5199B"/>
    <w:rsid w:val="0E1053AA"/>
    <w:rsid w:val="0E1E72A9"/>
    <w:rsid w:val="0E286250"/>
    <w:rsid w:val="0E36490A"/>
    <w:rsid w:val="0E3966AF"/>
    <w:rsid w:val="0E462B7A"/>
    <w:rsid w:val="0E49620A"/>
    <w:rsid w:val="0E4B0A22"/>
    <w:rsid w:val="0E592DE1"/>
    <w:rsid w:val="0E820056"/>
    <w:rsid w:val="0E873AA6"/>
    <w:rsid w:val="0EA224A6"/>
    <w:rsid w:val="0EA37FCC"/>
    <w:rsid w:val="0EB4013E"/>
    <w:rsid w:val="0EB54160"/>
    <w:rsid w:val="0EB62EFF"/>
    <w:rsid w:val="0EB93DF1"/>
    <w:rsid w:val="0EC4039F"/>
    <w:rsid w:val="0ECA37AB"/>
    <w:rsid w:val="0EDE4C79"/>
    <w:rsid w:val="0EEA79A9"/>
    <w:rsid w:val="0EEC1973"/>
    <w:rsid w:val="0EF32D02"/>
    <w:rsid w:val="0F131E13"/>
    <w:rsid w:val="0F20161D"/>
    <w:rsid w:val="0F3C7AE4"/>
    <w:rsid w:val="0F485AD1"/>
    <w:rsid w:val="0F523506"/>
    <w:rsid w:val="0F5351A9"/>
    <w:rsid w:val="0F587009"/>
    <w:rsid w:val="0F685857"/>
    <w:rsid w:val="0F696CFC"/>
    <w:rsid w:val="0F716486"/>
    <w:rsid w:val="0F76605B"/>
    <w:rsid w:val="0F786741"/>
    <w:rsid w:val="0F8676D2"/>
    <w:rsid w:val="0F895414"/>
    <w:rsid w:val="0F973803"/>
    <w:rsid w:val="0FAB52FE"/>
    <w:rsid w:val="0FB00BF3"/>
    <w:rsid w:val="0FB12034"/>
    <w:rsid w:val="0FC41FA8"/>
    <w:rsid w:val="0FC54E4C"/>
    <w:rsid w:val="0FC65D20"/>
    <w:rsid w:val="0FC7231E"/>
    <w:rsid w:val="0FDA2CEA"/>
    <w:rsid w:val="0FE303CE"/>
    <w:rsid w:val="0FF2793B"/>
    <w:rsid w:val="0FFA1E6E"/>
    <w:rsid w:val="100D394F"/>
    <w:rsid w:val="102B564F"/>
    <w:rsid w:val="10324EC2"/>
    <w:rsid w:val="10477AAB"/>
    <w:rsid w:val="104A6951"/>
    <w:rsid w:val="105945C7"/>
    <w:rsid w:val="107049ED"/>
    <w:rsid w:val="1081290E"/>
    <w:rsid w:val="108F25B6"/>
    <w:rsid w:val="109127D2"/>
    <w:rsid w:val="10922419"/>
    <w:rsid w:val="1097590F"/>
    <w:rsid w:val="109B307D"/>
    <w:rsid w:val="109B4DFE"/>
    <w:rsid w:val="10A122E9"/>
    <w:rsid w:val="10D4446D"/>
    <w:rsid w:val="10E66572"/>
    <w:rsid w:val="10F608C7"/>
    <w:rsid w:val="10FA7624"/>
    <w:rsid w:val="10FB5E9E"/>
    <w:rsid w:val="11120C71"/>
    <w:rsid w:val="111E2041"/>
    <w:rsid w:val="112371A2"/>
    <w:rsid w:val="112A6783"/>
    <w:rsid w:val="112D2658"/>
    <w:rsid w:val="112E7D29"/>
    <w:rsid w:val="11310E7F"/>
    <w:rsid w:val="11366ED6"/>
    <w:rsid w:val="114866E6"/>
    <w:rsid w:val="114D632E"/>
    <w:rsid w:val="11515ABE"/>
    <w:rsid w:val="1156068E"/>
    <w:rsid w:val="115D0B8E"/>
    <w:rsid w:val="115D4462"/>
    <w:rsid w:val="115F6D90"/>
    <w:rsid w:val="1164579C"/>
    <w:rsid w:val="11673533"/>
    <w:rsid w:val="116972AB"/>
    <w:rsid w:val="116E2B13"/>
    <w:rsid w:val="1170063A"/>
    <w:rsid w:val="117532E4"/>
    <w:rsid w:val="11786D58"/>
    <w:rsid w:val="117E1B87"/>
    <w:rsid w:val="11857F27"/>
    <w:rsid w:val="118F1BAE"/>
    <w:rsid w:val="1193257A"/>
    <w:rsid w:val="11951E4E"/>
    <w:rsid w:val="119F3FA4"/>
    <w:rsid w:val="11A01F9C"/>
    <w:rsid w:val="11C35595"/>
    <w:rsid w:val="11D46774"/>
    <w:rsid w:val="11D63897"/>
    <w:rsid w:val="11D937C1"/>
    <w:rsid w:val="11DC36D8"/>
    <w:rsid w:val="11E06E41"/>
    <w:rsid w:val="11E74148"/>
    <w:rsid w:val="11EB5F12"/>
    <w:rsid w:val="11F64A0A"/>
    <w:rsid w:val="11F65E12"/>
    <w:rsid w:val="11F8583B"/>
    <w:rsid w:val="12132094"/>
    <w:rsid w:val="12264D64"/>
    <w:rsid w:val="122E5DFF"/>
    <w:rsid w:val="12381C58"/>
    <w:rsid w:val="123F49E4"/>
    <w:rsid w:val="1255782F"/>
    <w:rsid w:val="126161D4"/>
    <w:rsid w:val="126F08F1"/>
    <w:rsid w:val="12821781"/>
    <w:rsid w:val="12851EC3"/>
    <w:rsid w:val="128A2316"/>
    <w:rsid w:val="128B3251"/>
    <w:rsid w:val="12A43D2D"/>
    <w:rsid w:val="12A77076"/>
    <w:rsid w:val="12AB744F"/>
    <w:rsid w:val="12B20EE4"/>
    <w:rsid w:val="12B233A5"/>
    <w:rsid w:val="12B26A30"/>
    <w:rsid w:val="12BC374A"/>
    <w:rsid w:val="12D25CBB"/>
    <w:rsid w:val="12D63062"/>
    <w:rsid w:val="12D7044C"/>
    <w:rsid w:val="12E0359D"/>
    <w:rsid w:val="12F269CE"/>
    <w:rsid w:val="12FA4864"/>
    <w:rsid w:val="1307642D"/>
    <w:rsid w:val="130F79DE"/>
    <w:rsid w:val="13111E62"/>
    <w:rsid w:val="131817C7"/>
    <w:rsid w:val="131F2D62"/>
    <w:rsid w:val="13235A31"/>
    <w:rsid w:val="13256B6E"/>
    <w:rsid w:val="13292825"/>
    <w:rsid w:val="132A0869"/>
    <w:rsid w:val="132A4818"/>
    <w:rsid w:val="132F1B35"/>
    <w:rsid w:val="132F1E2E"/>
    <w:rsid w:val="132F4CBD"/>
    <w:rsid w:val="13386F35"/>
    <w:rsid w:val="133E02C4"/>
    <w:rsid w:val="13440410"/>
    <w:rsid w:val="134F0723"/>
    <w:rsid w:val="134F210E"/>
    <w:rsid w:val="13541D5A"/>
    <w:rsid w:val="135E5F3A"/>
    <w:rsid w:val="13622204"/>
    <w:rsid w:val="13737F6D"/>
    <w:rsid w:val="13817CB7"/>
    <w:rsid w:val="13893C35"/>
    <w:rsid w:val="1393721B"/>
    <w:rsid w:val="13983E78"/>
    <w:rsid w:val="13A341A1"/>
    <w:rsid w:val="13A7230D"/>
    <w:rsid w:val="13BA5B9C"/>
    <w:rsid w:val="13BC36EA"/>
    <w:rsid w:val="13BF7656"/>
    <w:rsid w:val="13C06B9F"/>
    <w:rsid w:val="13C86620"/>
    <w:rsid w:val="13CE7899"/>
    <w:rsid w:val="13D72F17"/>
    <w:rsid w:val="13E351AC"/>
    <w:rsid w:val="13E42C19"/>
    <w:rsid w:val="13E64BE3"/>
    <w:rsid w:val="13EC32CE"/>
    <w:rsid w:val="13F647D2"/>
    <w:rsid w:val="13FD52B4"/>
    <w:rsid w:val="14007987"/>
    <w:rsid w:val="140212F1"/>
    <w:rsid w:val="14362D4E"/>
    <w:rsid w:val="143C4803"/>
    <w:rsid w:val="14524026"/>
    <w:rsid w:val="1466448D"/>
    <w:rsid w:val="14712F9E"/>
    <w:rsid w:val="14773A8D"/>
    <w:rsid w:val="1481000C"/>
    <w:rsid w:val="14A16D5C"/>
    <w:rsid w:val="14AA29E8"/>
    <w:rsid w:val="14B20F69"/>
    <w:rsid w:val="14B7032D"/>
    <w:rsid w:val="14BE4321"/>
    <w:rsid w:val="14C15C58"/>
    <w:rsid w:val="14CB3EBC"/>
    <w:rsid w:val="14D02891"/>
    <w:rsid w:val="14DB226E"/>
    <w:rsid w:val="14EB0BD4"/>
    <w:rsid w:val="14F50E56"/>
    <w:rsid w:val="150175D8"/>
    <w:rsid w:val="15333E2A"/>
    <w:rsid w:val="154130FA"/>
    <w:rsid w:val="15567B46"/>
    <w:rsid w:val="156725F2"/>
    <w:rsid w:val="156758B0"/>
    <w:rsid w:val="158F3799"/>
    <w:rsid w:val="15B669CC"/>
    <w:rsid w:val="15D03AA4"/>
    <w:rsid w:val="15D867AD"/>
    <w:rsid w:val="15FA3657"/>
    <w:rsid w:val="15FA75D2"/>
    <w:rsid w:val="16004EE4"/>
    <w:rsid w:val="1606331B"/>
    <w:rsid w:val="160C28FB"/>
    <w:rsid w:val="161A5018"/>
    <w:rsid w:val="161C3C0A"/>
    <w:rsid w:val="163C5C53"/>
    <w:rsid w:val="164114E3"/>
    <w:rsid w:val="1647748F"/>
    <w:rsid w:val="16636121"/>
    <w:rsid w:val="16806414"/>
    <w:rsid w:val="168D6FF6"/>
    <w:rsid w:val="169E17A5"/>
    <w:rsid w:val="16AF2E3A"/>
    <w:rsid w:val="16CA541C"/>
    <w:rsid w:val="16CB00C0"/>
    <w:rsid w:val="16CB4564"/>
    <w:rsid w:val="16CE6540"/>
    <w:rsid w:val="16D869AB"/>
    <w:rsid w:val="16E33430"/>
    <w:rsid w:val="16E6314C"/>
    <w:rsid w:val="16E92C5F"/>
    <w:rsid w:val="16EA2C3C"/>
    <w:rsid w:val="17092996"/>
    <w:rsid w:val="170B2BB3"/>
    <w:rsid w:val="170B4784"/>
    <w:rsid w:val="1716211C"/>
    <w:rsid w:val="17343EB7"/>
    <w:rsid w:val="17520D17"/>
    <w:rsid w:val="175B58E8"/>
    <w:rsid w:val="175C51BC"/>
    <w:rsid w:val="17673C42"/>
    <w:rsid w:val="17780248"/>
    <w:rsid w:val="177843C4"/>
    <w:rsid w:val="177D585E"/>
    <w:rsid w:val="17991F6C"/>
    <w:rsid w:val="179E2487"/>
    <w:rsid w:val="17A9167C"/>
    <w:rsid w:val="17B6418E"/>
    <w:rsid w:val="17B91C58"/>
    <w:rsid w:val="17BD20FF"/>
    <w:rsid w:val="17CF41AB"/>
    <w:rsid w:val="17E01EA2"/>
    <w:rsid w:val="17E03B1D"/>
    <w:rsid w:val="17EA0A1A"/>
    <w:rsid w:val="17ED2EB6"/>
    <w:rsid w:val="17F71D03"/>
    <w:rsid w:val="17F751E8"/>
    <w:rsid w:val="1800023D"/>
    <w:rsid w:val="180D1746"/>
    <w:rsid w:val="18100480"/>
    <w:rsid w:val="18137F71"/>
    <w:rsid w:val="181C100C"/>
    <w:rsid w:val="181D6FFB"/>
    <w:rsid w:val="182C23C0"/>
    <w:rsid w:val="18464E68"/>
    <w:rsid w:val="18471586"/>
    <w:rsid w:val="184A121D"/>
    <w:rsid w:val="185A69D2"/>
    <w:rsid w:val="185B3AAA"/>
    <w:rsid w:val="18846779"/>
    <w:rsid w:val="18926700"/>
    <w:rsid w:val="18956BD8"/>
    <w:rsid w:val="189E3CDE"/>
    <w:rsid w:val="18A60DE5"/>
    <w:rsid w:val="18A66ED9"/>
    <w:rsid w:val="18A95C5E"/>
    <w:rsid w:val="18B76B4E"/>
    <w:rsid w:val="18BF2852"/>
    <w:rsid w:val="18C354F3"/>
    <w:rsid w:val="18C96A7F"/>
    <w:rsid w:val="18D95821"/>
    <w:rsid w:val="18DD0866"/>
    <w:rsid w:val="18EA2688"/>
    <w:rsid w:val="18EB2C9C"/>
    <w:rsid w:val="18F558C8"/>
    <w:rsid w:val="19092864"/>
    <w:rsid w:val="191F2D18"/>
    <w:rsid w:val="19306900"/>
    <w:rsid w:val="19341F4D"/>
    <w:rsid w:val="19424F50"/>
    <w:rsid w:val="1953631E"/>
    <w:rsid w:val="19593B83"/>
    <w:rsid w:val="196758D5"/>
    <w:rsid w:val="197407EA"/>
    <w:rsid w:val="197C1A10"/>
    <w:rsid w:val="19801636"/>
    <w:rsid w:val="198B1C9D"/>
    <w:rsid w:val="198B2D22"/>
    <w:rsid w:val="1990114D"/>
    <w:rsid w:val="19984B20"/>
    <w:rsid w:val="199A0D6E"/>
    <w:rsid w:val="19B906A4"/>
    <w:rsid w:val="19C257AA"/>
    <w:rsid w:val="19C73298"/>
    <w:rsid w:val="19EC2827"/>
    <w:rsid w:val="19EF1013"/>
    <w:rsid w:val="19F17B36"/>
    <w:rsid w:val="19F32610"/>
    <w:rsid w:val="19FA5E6C"/>
    <w:rsid w:val="1A004B69"/>
    <w:rsid w:val="1A0F193E"/>
    <w:rsid w:val="1A2010B9"/>
    <w:rsid w:val="1A226249"/>
    <w:rsid w:val="1A25729D"/>
    <w:rsid w:val="1A2D0DB4"/>
    <w:rsid w:val="1A3F0342"/>
    <w:rsid w:val="1A4608A7"/>
    <w:rsid w:val="1A497C7A"/>
    <w:rsid w:val="1A5028DA"/>
    <w:rsid w:val="1A5F3E44"/>
    <w:rsid w:val="1A620D3B"/>
    <w:rsid w:val="1A642D06"/>
    <w:rsid w:val="1A66082C"/>
    <w:rsid w:val="1A6E6200"/>
    <w:rsid w:val="1A6F5F3F"/>
    <w:rsid w:val="1A7171D0"/>
    <w:rsid w:val="1A7F1E85"/>
    <w:rsid w:val="1A881527"/>
    <w:rsid w:val="1A8962C8"/>
    <w:rsid w:val="1A98475D"/>
    <w:rsid w:val="1A9F5AEC"/>
    <w:rsid w:val="1AA56EE2"/>
    <w:rsid w:val="1AB9215B"/>
    <w:rsid w:val="1AC169FE"/>
    <w:rsid w:val="1AC818B6"/>
    <w:rsid w:val="1AD05CA5"/>
    <w:rsid w:val="1AD928F8"/>
    <w:rsid w:val="1AE41750"/>
    <w:rsid w:val="1AF42253"/>
    <w:rsid w:val="1AFD6731"/>
    <w:rsid w:val="1B0342CC"/>
    <w:rsid w:val="1B0B13D3"/>
    <w:rsid w:val="1B1028A4"/>
    <w:rsid w:val="1B1069E9"/>
    <w:rsid w:val="1B177D78"/>
    <w:rsid w:val="1B195134"/>
    <w:rsid w:val="1B1F09DB"/>
    <w:rsid w:val="1B2D6E40"/>
    <w:rsid w:val="1B3721C8"/>
    <w:rsid w:val="1B40154B"/>
    <w:rsid w:val="1B642891"/>
    <w:rsid w:val="1B652734"/>
    <w:rsid w:val="1B6A61A2"/>
    <w:rsid w:val="1B796A2C"/>
    <w:rsid w:val="1BA610D2"/>
    <w:rsid w:val="1BAA299A"/>
    <w:rsid w:val="1BBE6445"/>
    <w:rsid w:val="1BC31088"/>
    <w:rsid w:val="1BCF0653"/>
    <w:rsid w:val="1BDC68CC"/>
    <w:rsid w:val="1BE55780"/>
    <w:rsid w:val="1BE7599C"/>
    <w:rsid w:val="1BF81957"/>
    <w:rsid w:val="1C0302FC"/>
    <w:rsid w:val="1C1555B5"/>
    <w:rsid w:val="1C1B638F"/>
    <w:rsid w:val="1C217D49"/>
    <w:rsid w:val="1C395ACC"/>
    <w:rsid w:val="1C652541"/>
    <w:rsid w:val="1C6C7C4F"/>
    <w:rsid w:val="1C730FDE"/>
    <w:rsid w:val="1C7C1A4F"/>
    <w:rsid w:val="1C7E300B"/>
    <w:rsid w:val="1C7F3E11"/>
    <w:rsid w:val="1C8256C5"/>
    <w:rsid w:val="1CA44CA4"/>
    <w:rsid w:val="1CB41BB9"/>
    <w:rsid w:val="1CC148AF"/>
    <w:rsid w:val="1CC7132A"/>
    <w:rsid w:val="1CCB706C"/>
    <w:rsid w:val="1CD35F20"/>
    <w:rsid w:val="1CE7377A"/>
    <w:rsid w:val="1CE767DB"/>
    <w:rsid w:val="1CF540E9"/>
    <w:rsid w:val="1D022362"/>
    <w:rsid w:val="1D0E5CE4"/>
    <w:rsid w:val="1D1327C1"/>
    <w:rsid w:val="1D166827"/>
    <w:rsid w:val="1D1722B1"/>
    <w:rsid w:val="1D181B85"/>
    <w:rsid w:val="1D1D0A97"/>
    <w:rsid w:val="1D1E5797"/>
    <w:rsid w:val="1D230FA0"/>
    <w:rsid w:val="1D264F75"/>
    <w:rsid w:val="1D295F2B"/>
    <w:rsid w:val="1D2D73DF"/>
    <w:rsid w:val="1D2E61D3"/>
    <w:rsid w:val="1D3544E5"/>
    <w:rsid w:val="1D55480D"/>
    <w:rsid w:val="1D556936"/>
    <w:rsid w:val="1D5C5F16"/>
    <w:rsid w:val="1D6C472A"/>
    <w:rsid w:val="1D752AE7"/>
    <w:rsid w:val="1D7E40DE"/>
    <w:rsid w:val="1D7E7C3A"/>
    <w:rsid w:val="1D85546D"/>
    <w:rsid w:val="1DA17DCD"/>
    <w:rsid w:val="1DAC76E1"/>
    <w:rsid w:val="1DB41C3C"/>
    <w:rsid w:val="1DB573D4"/>
    <w:rsid w:val="1DB7550A"/>
    <w:rsid w:val="1DB911C8"/>
    <w:rsid w:val="1DD0549E"/>
    <w:rsid w:val="1DD65CC8"/>
    <w:rsid w:val="1DE43AFE"/>
    <w:rsid w:val="1DED3012"/>
    <w:rsid w:val="1DF92B5D"/>
    <w:rsid w:val="1DFC3255"/>
    <w:rsid w:val="1DFD14A7"/>
    <w:rsid w:val="1DFD2C0B"/>
    <w:rsid w:val="1E03482E"/>
    <w:rsid w:val="1E047E14"/>
    <w:rsid w:val="1E124827"/>
    <w:rsid w:val="1E195BB5"/>
    <w:rsid w:val="1E1B2701"/>
    <w:rsid w:val="1E360515"/>
    <w:rsid w:val="1E3C78EE"/>
    <w:rsid w:val="1E5F395C"/>
    <w:rsid w:val="1E603227"/>
    <w:rsid w:val="1E641526"/>
    <w:rsid w:val="1E66689C"/>
    <w:rsid w:val="1E71154D"/>
    <w:rsid w:val="1E9D67E6"/>
    <w:rsid w:val="1EA64604"/>
    <w:rsid w:val="1EC05F17"/>
    <w:rsid w:val="1EC650D6"/>
    <w:rsid w:val="1EC818C5"/>
    <w:rsid w:val="1ECC6965"/>
    <w:rsid w:val="1ECD562B"/>
    <w:rsid w:val="1ED52C4B"/>
    <w:rsid w:val="1ED55F80"/>
    <w:rsid w:val="1EE03EF9"/>
    <w:rsid w:val="1EE6018D"/>
    <w:rsid w:val="1EE96F7F"/>
    <w:rsid w:val="1F091FF2"/>
    <w:rsid w:val="1F181318"/>
    <w:rsid w:val="1F201354"/>
    <w:rsid w:val="1F3756F7"/>
    <w:rsid w:val="1F3D090E"/>
    <w:rsid w:val="1F412600"/>
    <w:rsid w:val="1F475A85"/>
    <w:rsid w:val="1F49071C"/>
    <w:rsid w:val="1F52137F"/>
    <w:rsid w:val="1F546F32"/>
    <w:rsid w:val="1F552C1D"/>
    <w:rsid w:val="1F557E56"/>
    <w:rsid w:val="1F58680E"/>
    <w:rsid w:val="1F6C2A6C"/>
    <w:rsid w:val="1F7A10FC"/>
    <w:rsid w:val="1F8245A8"/>
    <w:rsid w:val="1F83778A"/>
    <w:rsid w:val="1F881244"/>
    <w:rsid w:val="1F882FF2"/>
    <w:rsid w:val="1F896D6A"/>
    <w:rsid w:val="1F8C6793"/>
    <w:rsid w:val="1F95570F"/>
    <w:rsid w:val="1FA81505"/>
    <w:rsid w:val="1FAA11BB"/>
    <w:rsid w:val="1FBD70C8"/>
    <w:rsid w:val="1FBE6A14"/>
    <w:rsid w:val="1FD57ACA"/>
    <w:rsid w:val="1FDC4CE2"/>
    <w:rsid w:val="1FDE2C12"/>
    <w:rsid w:val="1FE638CE"/>
    <w:rsid w:val="1FE757FB"/>
    <w:rsid w:val="1FF1013A"/>
    <w:rsid w:val="1FF3223D"/>
    <w:rsid w:val="1FF71F26"/>
    <w:rsid w:val="1FF82F2B"/>
    <w:rsid w:val="2000527E"/>
    <w:rsid w:val="20014B53"/>
    <w:rsid w:val="200E0E80"/>
    <w:rsid w:val="201900EE"/>
    <w:rsid w:val="201C75B7"/>
    <w:rsid w:val="20254CE5"/>
    <w:rsid w:val="20346CD6"/>
    <w:rsid w:val="20484530"/>
    <w:rsid w:val="204A02A8"/>
    <w:rsid w:val="204D5EE4"/>
    <w:rsid w:val="205B0707"/>
    <w:rsid w:val="20742BD0"/>
    <w:rsid w:val="207672EF"/>
    <w:rsid w:val="207B2B57"/>
    <w:rsid w:val="20805068"/>
    <w:rsid w:val="20841603"/>
    <w:rsid w:val="20947775"/>
    <w:rsid w:val="2096079F"/>
    <w:rsid w:val="209F5DCD"/>
    <w:rsid w:val="20A10760"/>
    <w:rsid w:val="20A54A06"/>
    <w:rsid w:val="20A64DE6"/>
    <w:rsid w:val="20AF2801"/>
    <w:rsid w:val="20B41BC5"/>
    <w:rsid w:val="20B56069"/>
    <w:rsid w:val="20BB3BAD"/>
    <w:rsid w:val="20E23B2F"/>
    <w:rsid w:val="20F85F56"/>
    <w:rsid w:val="20FD1687"/>
    <w:rsid w:val="20FD356C"/>
    <w:rsid w:val="210110FC"/>
    <w:rsid w:val="210566DC"/>
    <w:rsid w:val="210C7C53"/>
    <w:rsid w:val="210E39CB"/>
    <w:rsid w:val="214866BE"/>
    <w:rsid w:val="21555354"/>
    <w:rsid w:val="21627873"/>
    <w:rsid w:val="21811433"/>
    <w:rsid w:val="21817CF9"/>
    <w:rsid w:val="21886045"/>
    <w:rsid w:val="21921F06"/>
    <w:rsid w:val="2197751D"/>
    <w:rsid w:val="21A86D68"/>
    <w:rsid w:val="21A8797C"/>
    <w:rsid w:val="21BF4CC5"/>
    <w:rsid w:val="21C2249A"/>
    <w:rsid w:val="21C81DCC"/>
    <w:rsid w:val="21CD6E2F"/>
    <w:rsid w:val="21F33C48"/>
    <w:rsid w:val="21FA7AAB"/>
    <w:rsid w:val="21FE759C"/>
    <w:rsid w:val="22031A81"/>
    <w:rsid w:val="220426D8"/>
    <w:rsid w:val="2208666C"/>
    <w:rsid w:val="220C0B15"/>
    <w:rsid w:val="2210107D"/>
    <w:rsid w:val="22167FB5"/>
    <w:rsid w:val="221F17BE"/>
    <w:rsid w:val="22362F06"/>
    <w:rsid w:val="223940D2"/>
    <w:rsid w:val="223B434C"/>
    <w:rsid w:val="22410890"/>
    <w:rsid w:val="22513B6F"/>
    <w:rsid w:val="225D2905"/>
    <w:rsid w:val="225F450F"/>
    <w:rsid w:val="227008EE"/>
    <w:rsid w:val="22821F7B"/>
    <w:rsid w:val="228E52C1"/>
    <w:rsid w:val="229C0B63"/>
    <w:rsid w:val="229D4FCE"/>
    <w:rsid w:val="22A26579"/>
    <w:rsid w:val="22B62CF0"/>
    <w:rsid w:val="22BA4E19"/>
    <w:rsid w:val="22BA533A"/>
    <w:rsid w:val="22BB723B"/>
    <w:rsid w:val="22BC7FA6"/>
    <w:rsid w:val="22D67BE4"/>
    <w:rsid w:val="22E232C9"/>
    <w:rsid w:val="22EE09B4"/>
    <w:rsid w:val="22F95FB5"/>
    <w:rsid w:val="23046E34"/>
    <w:rsid w:val="23152DEF"/>
    <w:rsid w:val="232B2612"/>
    <w:rsid w:val="23636E5F"/>
    <w:rsid w:val="23671171"/>
    <w:rsid w:val="23713D9D"/>
    <w:rsid w:val="237B2CAF"/>
    <w:rsid w:val="238054D7"/>
    <w:rsid w:val="238B30B1"/>
    <w:rsid w:val="23A75A11"/>
    <w:rsid w:val="23AC0A3A"/>
    <w:rsid w:val="23C22E8A"/>
    <w:rsid w:val="23D763C1"/>
    <w:rsid w:val="23E6478B"/>
    <w:rsid w:val="23E822B1"/>
    <w:rsid w:val="23EB3B50"/>
    <w:rsid w:val="23EC541C"/>
    <w:rsid w:val="23EE5FAD"/>
    <w:rsid w:val="23F91CEF"/>
    <w:rsid w:val="24066BDB"/>
    <w:rsid w:val="241660B5"/>
    <w:rsid w:val="242B6D3C"/>
    <w:rsid w:val="242D380C"/>
    <w:rsid w:val="243953D2"/>
    <w:rsid w:val="24443260"/>
    <w:rsid w:val="24530A16"/>
    <w:rsid w:val="24574454"/>
    <w:rsid w:val="246F652F"/>
    <w:rsid w:val="24815BA6"/>
    <w:rsid w:val="248F6BD1"/>
    <w:rsid w:val="24941F14"/>
    <w:rsid w:val="24AD7057"/>
    <w:rsid w:val="24B7725B"/>
    <w:rsid w:val="24B80EB5"/>
    <w:rsid w:val="24B9237A"/>
    <w:rsid w:val="24C34CAB"/>
    <w:rsid w:val="24C42F77"/>
    <w:rsid w:val="24DF2DCE"/>
    <w:rsid w:val="24E862E1"/>
    <w:rsid w:val="24E94533"/>
    <w:rsid w:val="24ED6C8B"/>
    <w:rsid w:val="24FC0490"/>
    <w:rsid w:val="24FF3D57"/>
    <w:rsid w:val="250A44A9"/>
    <w:rsid w:val="250C0222"/>
    <w:rsid w:val="251470D6"/>
    <w:rsid w:val="25201F1F"/>
    <w:rsid w:val="25493224"/>
    <w:rsid w:val="254B4CDF"/>
    <w:rsid w:val="256C0CC0"/>
    <w:rsid w:val="25707FA0"/>
    <w:rsid w:val="257D4C7B"/>
    <w:rsid w:val="2584125D"/>
    <w:rsid w:val="25861D82"/>
    <w:rsid w:val="25873D4C"/>
    <w:rsid w:val="259708B8"/>
    <w:rsid w:val="25B957A4"/>
    <w:rsid w:val="25C91C6F"/>
    <w:rsid w:val="25C96113"/>
    <w:rsid w:val="25CD79B1"/>
    <w:rsid w:val="25ED0053"/>
    <w:rsid w:val="25F34F3E"/>
    <w:rsid w:val="25FD4535"/>
    <w:rsid w:val="2610789E"/>
    <w:rsid w:val="26213859"/>
    <w:rsid w:val="26265313"/>
    <w:rsid w:val="263E440B"/>
    <w:rsid w:val="26464BF8"/>
    <w:rsid w:val="264A22F7"/>
    <w:rsid w:val="26543C2E"/>
    <w:rsid w:val="265900A7"/>
    <w:rsid w:val="265F6523"/>
    <w:rsid w:val="265F73A5"/>
    <w:rsid w:val="266D2F42"/>
    <w:rsid w:val="2680069D"/>
    <w:rsid w:val="26843509"/>
    <w:rsid w:val="26860079"/>
    <w:rsid w:val="268C261C"/>
    <w:rsid w:val="268E5F2F"/>
    <w:rsid w:val="269F2457"/>
    <w:rsid w:val="26B65C60"/>
    <w:rsid w:val="26BB5417"/>
    <w:rsid w:val="26CC52E2"/>
    <w:rsid w:val="26D0702D"/>
    <w:rsid w:val="26E10629"/>
    <w:rsid w:val="26E15FCF"/>
    <w:rsid w:val="26EA55B5"/>
    <w:rsid w:val="26F521FC"/>
    <w:rsid w:val="26F627B5"/>
    <w:rsid w:val="27003DB6"/>
    <w:rsid w:val="27037402"/>
    <w:rsid w:val="27047BD6"/>
    <w:rsid w:val="270A386A"/>
    <w:rsid w:val="27257379"/>
    <w:rsid w:val="2734580E"/>
    <w:rsid w:val="27435A51"/>
    <w:rsid w:val="274630CE"/>
    <w:rsid w:val="2746618D"/>
    <w:rsid w:val="275F1484"/>
    <w:rsid w:val="276E2ACE"/>
    <w:rsid w:val="276F4A98"/>
    <w:rsid w:val="27743A8D"/>
    <w:rsid w:val="277B51EB"/>
    <w:rsid w:val="27802801"/>
    <w:rsid w:val="27826579"/>
    <w:rsid w:val="27930786"/>
    <w:rsid w:val="279A60C3"/>
    <w:rsid w:val="27BD5803"/>
    <w:rsid w:val="27D03788"/>
    <w:rsid w:val="27D719E1"/>
    <w:rsid w:val="27D930F6"/>
    <w:rsid w:val="27DB14E9"/>
    <w:rsid w:val="27DB3EDB"/>
    <w:rsid w:val="27DC7B5C"/>
    <w:rsid w:val="27DD7C53"/>
    <w:rsid w:val="27E64D5A"/>
    <w:rsid w:val="27FB0314"/>
    <w:rsid w:val="281573ED"/>
    <w:rsid w:val="282B739C"/>
    <w:rsid w:val="283C7201"/>
    <w:rsid w:val="284B388C"/>
    <w:rsid w:val="28687E65"/>
    <w:rsid w:val="286A598B"/>
    <w:rsid w:val="28737A35"/>
    <w:rsid w:val="287440DD"/>
    <w:rsid w:val="28767361"/>
    <w:rsid w:val="28780F6E"/>
    <w:rsid w:val="288A7DDB"/>
    <w:rsid w:val="288B2CD4"/>
    <w:rsid w:val="28940C5A"/>
    <w:rsid w:val="28C24FAF"/>
    <w:rsid w:val="28E120D3"/>
    <w:rsid w:val="28E713DA"/>
    <w:rsid w:val="28F03B0B"/>
    <w:rsid w:val="28FD5C97"/>
    <w:rsid w:val="290955EB"/>
    <w:rsid w:val="29271A16"/>
    <w:rsid w:val="29411F03"/>
    <w:rsid w:val="29475CCC"/>
    <w:rsid w:val="2953641F"/>
    <w:rsid w:val="295B7E5C"/>
    <w:rsid w:val="296174FD"/>
    <w:rsid w:val="2965080E"/>
    <w:rsid w:val="29763EBB"/>
    <w:rsid w:val="298962E5"/>
    <w:rsid w:val="299C6B4E"/>
    <w:rsid w:val="29A70519"/>
    <w:rsid w:val="29C1517D"/>
    <w:rsid w:val="29CE5AA6"/>
    <w:rsid w:val="29D51A8E"/>
    <w:rsid w:val="29D53B8E"/>
    <w:rsid w:val="29D65BCC"/>
    <w:rsid w:val="29DC52B9"/>
    <w:rsid w:val="29E00849"/>
    <w:rsid w:val="29EE77CB"/>
    <w:rsid w:val="2A015762"/>
    <w:rsid w:val="2A053D65"/>
    <w:rsid w:val="2A0719B2"/>
    <w:rsid w:val="2A0C65CE"/>
    <w:rsid w:val="2A155FC6"/>
    <w:rsid w:val="2A17569E"/>
    <w:rsid w:val="2A1F0869"/>
    <w:rsid w:val="2A3004CC"/>
    <w:rsid w:val="2A334B29"/>
    <w:rsid w:val="2A3B2934"/>
    <w:rsid w:val="2A423A42"/>
    <w:rsid w:val="2A4346E5"/>
    <w:rsid w:val="2A594BEC"/>
    <w:rsid w:val="2A5E140E"/>
    <w:rsid w:val="2A650231"/>
    <w:rsid w:val="2A657AEE"/>
    <w:rsid w:val="2A8E48FA"/>
    <w:rsid w:val="2A9D6CE1"/>
    <w:rsid w:val="2AA20A83"/>
    <w:rsid w:val="2AA219A0"/>
    <w:rsid w:val="2AA3506B"/>
    <w:rsid w:val="2AA55516"/>
    <w:rsid w:val="2AA66B98"/>
    <w:rsid w:val="2AA767FE"/>
    <w:rsid w:val="2AA96A67"/>
    <w:rsid w:val="2AC57281"/>
    <w:rsid w:val="2AC93BEE"/>
    <w:rsid w:val="2AC944BF"/>
    <w:rsid w:val="2AD215C5"/>
    <w:rsid w:val="2ADA66CC"/>
    <w:rsid w:val="2ADF7BBD"/>
    <w:rsid w:val="2AF1047C"/>
    <w:rsid w:val="2AF5736B"/>
    <w:rsid w:val="2B147E30"/>
    <w:rsid w:val="2B161F52"/>
    <w:rsid w:val="2B2355CE"/>
    <w:rsid w:val="2B41674B"/>
    <w:rsid w:val="2B4957D2"/>
    <w:rsid w:val="2B4A3852"/>
    <w:rsid w:val="2B4B7D4D"/>
    <w:rsid w:val="2B4F4316"/>
    <w:rsid w:val="2B536BAA"/>
    <w:rsid w:val="2B673EB7"/>
    <w:rsid w:val="2B717BDE"/>
    <w:rsid w:val="2B7A5F60"/>
    <w:rsid w:val="2B7D1AF3"/>
    <w:rsid w:val="2B91322F"/>
    <w:rsid w:val="2B991FF8"/>
    <w:rsid w:val="2BA2543C"/>
    <w:rsid w:val="2BA32C58"/>
    <w:rsid w:val="2BB4440B"/>
    <w:rsid w:val="2BB60EE7"/>
    <w:rsid w:val="2BB807BB"/>
    <w:rsid w:val="2BCB48C9"/>
    <w:rsid w:val="2BCD7F3F"/>
    <w:rsid w:val="2BD02324"/>
    <w:rsid w:val="2BD10251"/>
    <w:rsid w:val="2BD650E5"/>
    <w:rsid w:val="2BDA4BD6"/>
    <w:rsid w:val="2BE9001A"/>
    <w:rsid w:val="2BF20C3B"/>
    <w:rsid w:val="2C013C80"/>
    <w:rsid w:val="2C0E2AD1"/>
    <w:rsid w:val="2C23527F"/>
    <w:rsid w:val="2C3C388D"/>
    <w:rsid w:val="2C3E2E33"/>
    <w:rsid w:val="2C4F778B"/>
    <w:rsid w:val="2C5171ED"/>
    <w:rsid w:val="2C581F9E"/>
    <w:rsid w:val="2C882D31"/>
    <w:rsid w:val="2C892158"/>
    <w:rsid w:val="2C921F69"/>
    <w:rsid w:val="2C94299E"/>
    <w:rsid w:val="2C9A366D"/>
    <w:rsid w:val="2CA4764A"/>
    <w:rsid w:val="2CAD6271"/>
    <w:rsid w:val="2CC633AC"/>
    <w:rsid w:val="2CCC3B8C"/>
    <w:rsid w:val="2CCD535E"/>
    <w:rsid w:val="2CDD0977"/>
    <w:rsid w:val="2CF1520F"/>
    <w:rsid w:val="2CF27456"/>
    <w:rsid w:val="2CFA47FF"/>
    <w:rsid w:val="2D031F0A"/>
    <w:rsid w:val="2D081391"/>
    <w:rsid w:val="2D1063D5"/>
    <w:rsid w:val="2D14055B"/>
    <w:rsid w:val="2D177764"/>
    <w:rsid w:val="2D194754"/>
    <w:rsid w:val="2D7352E2"/>
    <w:rsid w:val="2D766B80"/>
    <w:rsid w:val="2D7828F8"/>
    <w:rsid w:val="2D7D21D8"/>
    <w:rsid w:val="2D7E5A35"/>
    <w:rsid w:val="2D7F3CA2"/>
    <w:rsid w:val="2D8017AD"/>
    <w:rsid w:val="2D9744CD"/>
    <w:rsid w:val="2DA21723"/>
    <w:rsid w:val="2DA87697"/>
    <w:rsid w:val="2DAC73EF"/>
    <w:rsid w:val="2DAE4574"/>
    <w:rsid w:val="2DB8146B"/>
    <w:rsid w:val="2DDF7346"/>
    <w:rsid w:val="2DE0049D"/>
    <w:rsid w:val="2DED6716"/>
    <w:rsid w:val="2DF33B63"/>
    <w:rsid w:val="2DF6381D"/>
    <w:rsid w:val="2DFB0E33"/>
    <w:rsid w:val="2DFD59D8"/>
    <w:rsid w:val="2DFE26D1"/>
    <w:rsid w:val="2DFF6B75"/>
    <w:rsid w:val="2E020414"/>
    <w:rsid w:val="2E053A60"/>
    <w:rsid w:val="2E057F04"/>
    <w:rsid w:val="2E132E86"/>
    <w:rsid w:val="2E302FF7"/>
    <w:rsid w:val="2E37601B"/>
    <w:rsid w:val="2E417EC6"/>
    <w:rsid w:val="2E4D3CFB"/>
    <w:rsid w:val="2E572615"/>
    <w:rsid w:val="2E5A0250"/>
    <w:rsid w:val="2E6C54E2"/>
    <w:rsid w:val="2E7222C0"/>
    <w:rsid w:val="2E7F3812"/>
    <w:rsid w:val="2E826747"/>
    <w:rsid w:val="2E8C567E"/>
    <w:rsid w:val="2E9C2616"/>
    <w:rsid w:val="2E9F5C62"/>
    <w:rsid w:val="2EB8596B"/>
    <w:rsid w:val="2EB86D24"/>
    <w:rsid w:val="2ECB6485"/>
    <w:rsid w:val="2EDC2A13"/>
    <w:rsid w:val="2EE86CE0"/>
    <w:rsid w:val="2EEF6BEA"/>
    <w:rsid w:val="2F037CC1"/>
    <w:rsid w:val="2F1B6FF0"/>
    <w:rsid w:val="2F1C3757"/>
    <w:rsid w:val="2F2443ED"/>
    <w:rsid w:val="2F261674"/>
    <w:rsid w:val="2F2961B8"/>
    <w:rsid w:val="2F2B21FE"/>
    <w:rsid w:val="2F2B5BD1"/>
    <w:rsid w:val="2F443A4E"/>
    <w:rsid w:val="2F4A1D42"/>
    <w:rsid w:val="2F4B061A"/>
    <w:rsid w:val="2F4C6DA4"/>
    <w:rsid w:val="2F6B7174"/>
    <w:rsid w:val="2F71508B"/>
    <w:rsid w:val="2F7215C9"/>
    <w:rsid w:val="2F723377"/>
    <w:rsid w:val="2F805A94"/>
    <w:rsid w:val="2F911A4F"/>
    <w:rsid w:val="2F9E355A"/>
    <w:rsid w:val="2F9E5F1A"/>
    <w:rsid w:val="2FB17FAE"/>
    <w:rsid w:val="2FB92D54"/>
    <w:rsid w:val="2FBB6ACC"/>
    <w:rsid w:val="2FC31E25"/>
    <w:rsid w:val="2FCD67FF"/>
    <w:rsid w:val="2FD44CF7"/>
    <w:rsid w:val="2FE0480D"/>
    <w:rsid w:val="2FE25E7D"/>
    <w:rsid w:val="2FE36023"/>
    <w:rsid w:val="2FF25082"/>
    <w:rsid w:val="2FFA3A98"/>
    <w:rsid w:val="300A19BA"/>
    <w:rsid w:val="3012562D"/>
    <w:rsid w:val="30144939"/>
    <w:rsid w:val="301663F8"/>
    <w:rsid w:val="301A7F97"/>
    <w:rsid w:val="302428C3"/>
    <w:rsid w:val="302A1AD1"/>
    <w:rsid w:val="302F3016"/>
    <w:rsid w:val="3031263E"/>
    <w:rsid w:val="30442DA9"/>
    <w:rsid w:val="30651D00"/>
    <w:rsid w:val="306929CC"/>
    <w:rsid w:val="306C6942"/>
    <w:rsid w:val="3080293D"/>
    <w:rsid w:val="30870837"/>
    <w:rsid w:val="309F63EE"/>
    <w:rsid w:val="30B21F41"/>
    <w:rsid w:val="30BE1D58"/>
    <w:rsid w:val="30C200E3"/>
    <w:rsid w:val="30C4321F"/>
    <w:rsid w:val="30E6401D"/>
    <w:rsid w:val="30FC196D"/>
    <w:rsid w:val="30FD31D0"/>
    <w:rsid w:val="310B1F09"/>
    <w:rsid w:val="31146357"/>
    <w:rsid w:val="311961A0"/>
    <w:rsid w:val="312E7050"/>
    <w:rsid w:val="312F78E9"/>
    <w:rsid w:val="31327262"/>
    <w:rsid w:val="31374F07"/>
    <w:rsid w:val="31440D43"/>
    <w:rsid w:val="31511DE2"/>
    <w:rsid w:val="31554CFE"/>
    <w:rsid w:val="31577F41"/>
    <w:rsid w:val="315A2FE0"/>
    <w:rsid w:val="316F5BEE"/>
    <w:rsid w:val="31750EFD"/>
    <w:rsid w:val="31765DEA"/>
    <w:rsid w:val="317E6003"/>
    <w:rsid w:val="31837FC8"/>
    <w:rsid w:val="31857392"/>
    <w:rsid w:val="318C0694"/>
    <w:rsid w:val="3191799E"/>
    <w:rsid w:val="319475D5"/>
    <w:rsid w:val="31AC2FA2"/>
    <w:rsid w:val="31AD611E"/>
    <w:rsid w:val="31B72BA5"/>
    <w:rsid w:val="31BC6B2B"/>
    <w:rsid w:val="31E22A36"/>
    <w:rsid w:val="31F73945"/>
    <w:rsid w:val="31F9140C"/>
    <w:rsid w:val="31FC33CC"/>
    <w:rsid w:val="3200110E"/>
    <w:rsid w:val="32195D2C"/>
    <w:rsid w:val="32284EB7"/>
    <w:rsid w:val="32381F5C"/>
    <w:rsid w:val="323E4FB8"/>
    <w:rsid w:val="323F121A"/>
    <w:rsid w:val="324D2DB1"/>
    <w:rsid w:val="32586E3D"/>
    <w:rsid w:val="32590EE3"/>
    <w:rsid w:val="325B4596"/>
    <w:rsid w:val="32601BAD"/>
    <w:rsid w:val="32706ABA"/>
    <w:rsid w:val="327D423A"/>
    <w:rsid w:val="32843AED"/>
    <w:rsid w:val="32A55811"/>
    <w:rsid w:val="32A945C3"/>
    <w:rsid w:val="32AF6347"/>
    <w:rsid w:val="32B1065A"/>
    <w:rsid w:val="32BD0406"/>
    <w:rsid w:val="32CE2566"/>
    <w:rsid w:val="32DB5196"/>
    <w:rsid w:val="32E77BD8"/>
    <w:rsid w:val="32EB1C55"/>
    <w:rsid w:val="32EC51EE"/>
    <w:rsid w:val="32F54809"/>
    <w:rsid w:val="330864CC"/>
    <w:rsid w:val="330C5A64"/>
    <w:rsid w:val="33233E16"/>
    <w:rsid w:val="332350B4"/>
    <w:rsid w:val="33263FCB"/>
    <w:rsid w:val="33285AD1"/>
    <w:rsid w:val="33411C34"/>
    <w:rsid w:val="335E1849"/>
    <w:rsid w:val="33670A24"/>
    <w:rsid w:val="33694A91"/>
    <w:rsid w:val="33701431"/>
    <w:rsid w:val="33784CD4"/>
    <w:rsid w:val="33823753"/>
    <w:rsid w:val="338A5133"/>
    <w:rsid w:val="338B0EAB"/>
    <w:rsid w:val="33936A1A"/>
    <w:rsid w:val="339D64B3"/>
    <w:rsid w:val="33AA4719"/>
    <w:rsid w:val="33B45D0C"/>
    <w:rsid w:val="33BE4753"/>
    <w:rsid w:val="33C947D7"/>
    <w:rsid w:val="33D22636"/>
    <w:rsid w:val="33DD4F16"/>
    <w:rsid w:val="33E814CA"/>
    <w:rsid w:val="33E83C08"/>
    <w:rsid w:val="33EA2EAA"/>
    <w:rsid w:val="33F05163"/>
    <w:rsid w:val="33F425AD"/>
    <w:rsid w:val="33F66626"/>
    <w:rsid w:val="34004F23"/>
    <w:rsid w:val="340C5B48"/>
    <w:rsid w:val="341669C7"/>
    <w:rsid w:val="342A364F"/>
    <w:rsid w:val="342D057A"/>
    <w:rsid w:val="34363DF8"/>
    <w:rsid w:val="344273EC"/>
    <w:rsid w:val="34480247"/>
    <w:rsid w:val="3449747A"/>
    <w:rsid w:val="344A6FB9"/>
    <w:rsid w:val="344C23E9"/>
    <w:rsid w:val="346927DD"/>
    <w:rsid w:val="346D235F"/>
    <w:rsid w:val="346F07DF"/>
    <w:rsid w:val="34741205"/>
    <w:rsid w:val="349124F1"/>
    <w:rsid w:val="34967B08"/>
    <w:rsid w:val="349F4C0E"/>
    <w:rsid w:val="349F67AD"/>
    <w:rsid w:val="34B57196"/>
    <w:rsid w:val="34B61F58"/>
    <w:rsid w:val="34D04DC8"/>
    <w:rsid w:val="34DF75C6"/>
    <w:rsid w:val="34ED6A76"/>
    <w:rsid w:val="34F0546A"/>
    <w:rsid w:val="35020CF9"/>
    <w:rsid w:val="35061220"/>
    <w:rsid w:val="35085916"/>
    <w:rsid w:val="350F1D90"/>
    <w:rsid w:val="351C7756"/>
    <w:rsid w:val="351D5B33"/>
    <w:rsid w:val="351E03E2"/>
    <w:rsid w:val="351E1C65"/>
    <w:rsid w:val="35293D4F"/>
    <w:rsid w:val="352D2429"/>
    <w:rsid w:val="352E7D40"/>
    <w:rsid w:val="35466E38"/>
    <w:rsid w:val="35474AB0"/>
    <w:rsid w:val="35505F08"/>
    <w:rsid w:val="355552CD"/>
    <w:rsid w:val="355A28E3"/>
    <w:rsid w:val="355C48AD"/>
    <w:rsid w:val="35604038"/>
    <w:rsid w:val="35610116"/>
    <w:rsid w:val="35690764"/>
    <w:rsid w:val="35695B97"/>
    <w:rsid w:val="3579545F"/>
    <w:rsid w:val="35897048"/>
    <w:rsid w:val="358E07DF"/>
    <w:rsid w:val="359A7184"/>
    <w:rsid w:val="35A149B6"/>
    <w:rsid w:val="35A324DC"/>
    <w:rsid w:val="35A3428A"/>
    <w:rsid w:val="35A85D44"/>
    <w:rsid w:val="35C12962"/>
    <w:rsid w:val="35C601F8"/>
    <w:rsid w:val="35D22DC1"/>
    <w:rsid w:val="35D74C6D"/>
    <w:rsid w:val="35E45BD1"/>
    <w:rsid w:val="36010FB1"/>
    <w:rsid w:val="36262B02"/>
    <w:rsid w:val="36330239"/>
    <w:rsid w:val="36397476"/>
    <w:rsid w:val="36483084"/>
    <w:rsid w:val="36631C6B"/>
    <w:rsid w:val="366B28CE"/>
    <w:rsid w:val="366B5547"/>
    <w:rsid w:val="366C4FC4"/>
    <w:rsid w:val="3670384C"/>
    <w:rsid w:val="368E3C3D"/>
    <w:rsid w:val="36954D4D"/>
    <w:rsid w:val="369A2B99"/>
    <w:rsid w:val="36A26F86"/>
    <w:rsid w:val="36A76EDE"/>
    <w:rsid w:val="36A936A3"/>
    <w:rsid w:val="36AD4330"/>
    <w:rsid w:val="36B159C2"/>
    <w:rsid w:val="36B33DC3"/>
    <w:rsid w:val="36BD7CD2"/>
    <w:rsid w:val="36BF0A79"/>
    <w:rsid w:val="36C3270A"/>
    <w:rsid w:val="36CF1F1C"/>
    <w:rsid w:val="36D6478C"/>
    <w:rsid w:val="36DA0180"/>
    <w:rsid w:val="36EA5EE9"/>
    <w:rsid w:val="37133692"/>
    <w:rsid w:val="3725280A"/>
    <w:rsid w:val="37270D86"/>
    <w:rsid w:val="372C7532"/>
    <w:rsid w:val="373A29CC"/>
    <w:rsid w:val="373B0A35"/>
    <w:rsid w:val="37456DE7"/>
    <w:rsid w:val="37535A49"/>
    <w:rsid w:val="375E2A17"/>
    <w:rsid w:val="375E6B46"/>
    <w:rsid w:val="375F68D7"/>
    <w:rsid w:val="37607F59"/>
    <w:rsid w:val="37721B96"/>
    <w:rsid w:val="37794663"/>
    <w:rsid w:val="377F2AD5"/>
    <w:rsid w:val="37805EE8"/>
    <w:rsid w:val="379229F2"/>
    <w:rsid w:val="379350E3"/>
    <w:rsid w:val="379C5435"/>
    <w:rsid w:val="37A442EA"/>
    <w:rsid w:val="37A54486"/>
    <w:rsid w:val="37A91900"/>
    <w:rsid w:val="37B02877"/>
    <w:rsid w:val="37B23F4F"/>
    <w:rsid w:val="37B247C9"/>
    <w:rsid w:val="37BD153D"/>
    <w:rsid w:val="37BE14FD"/>
    <w:rsid w:val="37C130EE"/>
    <w:rsid w:val="37D351ED"/>
    <w:rsid w:val="37F618D7"/>
    <w:rsid w:val="37FD2661"/>
    <w:rsid w:val="381D0F4D"/>
    <w:rsid w:val="3828795F"/>
    <w:rsid w:val="3837515E"/>
    <w:rsid w:val="383B4C4E"/>
    <w:rsid w:val="3845787B"/>
    <w:rsid w:val="38477D15"/>
    <w:rsid w:val="384D42A5"/>
    <w:rsid w:val="385142BF"/>
    <w:rsid w:val="38514471"/>
    <w:rsid w:val="38561F7D"/>
    <w:rsid w:val="385939AA"/>
    <w:rsid w:val="38627DE6"/>
    <w:rsid w:val="387463B2"/>
    <w:rsid w:val="38797524"/>
    <w:rsid w:val="387E4B3B"/>
    <w:rsid w:val="38824072"/>
    <w:rsid w:val="388D4D7E"/>
    <w:rsid w:val="389E342F"/>
    <w:rsid w:val="38A60C9D"/>
    <w:rsid w:val="38BE06E3"/>
    <w:rsid w:val="38BF587F"/>
    <w:rsid w:val="38C033A5"/>
    <w:rsid w:val="38F24258"/>
    <w:rsid w:val="38F372D7"/>
    <w:rsid w:val="39102CE5"/>
    <w:rsid w:val="3911775D"/>
    <w:rsid w:val="391826EA"/>
    <w:rsid w:val="391A0D07"/>
    <w:rsid w:val="39473649"/>
    <w:rsid w:val="394A0EC1"/>
    <w:rsid w:val="394D25BE"/>
    <w:rsid w:val="394E09B1"/>
    <w:rsid w:val="3961779B"/>
    <w:rsid w:val="39661AE4"/>
    <w:rsid w:val="396629B0"/>
    <w:rsid w:val="39745ED2"/>
    <w:rsid w:val="397A0518"/>
    <w:rsid w:val="397B287A"/>
    <w:rsid w:val="397D519A"/>
    <w:rsid w:val="398155EE"/>
    <w:rsid w:val="398C3287"/>
    <w:rsid w:val="398D1FA5"/>
    <w:rsid w:val="39A340CD"/>
    <w:rsid w:val="39AC04E3"/>
    <w:rsid w:val="39B34CB8"/>
    <w:rsid w:val="39D72754"/>
    <w:rsid w:val="39EF2FC8"/>
    <w:rsid w:val="3A241712"/>
    <w:rsid w:val="3A396F6B"/>
    <w:rsid w:val="3A7206CF"/>
    <w:rsid w:val="3A8614BC"/>
    <w:rsid w:val="3A8D2BD6"/>
    <w:rsid w:val="3A8D4273"/>
    <w:rsid w:val="3A922B1F"/>
    <w:rsid w:val="3A960861"/>
    <w:rsid w:val="3A9E7716"/>
    <w:rsid w:val="3AA0634E"/>
    <w:rsid w:val="3AA52920"/>
    <w:rsid w:val="3AAC3993"/>
    <w:rsid w:val="3AAF5E3E"/>
    <w:rsid w:val="3AB42A96"/>
    <w:rsid w:val="3AB77FE5"/>
    <w:rsid w:val="3AC03B9A"/>
    <w:rsid w:val="3AC66ECA"/>
    <w:rsid w:val="3AE00DC7"/>
    <w:rsid w:val="3AF21781"/>
    <w:rsid w:val="3B077069"/>
    <w:rsid w:val="3B0930C6"/>
    <w:rsid w:val="3B0D21A6"/>
    <w:rsid w:val="3B0F6EC3"/>
    <w:rsid w:val="3B163750"/>
    <w:rsid w:val="3B19284E"/>
    <w:rsid w:val="3B1A3241"/>
    <w:rsid w:val="3B240D52"/>
    <w:rsid w:val="3B241FBC"/>
    <w:rsid w:val="3B293484"/>
    <w:rsid w:val="3B40257B"/>
    <w:rsid w:val="3B4C267E"/>
    <w:rsid w:val="3B4E2EEA"/>
    <w:rsid w:val="3B506C62"/>
    <w:rsid w:val="3B5B73B5"/>
    <w:rsid w:val="3B670D52"/>
    <w:rsid w:val="3B6C3370"/>
    <w:rsid w:val="3B8052D9"/>
    <w:rsid w:val="3BA21CAE"/>
    <w:rsid w:val="3BB05953"/>
    <w:rsid w:val="3BB645EB"/>
    <w:rsid w:val="3BD52B74"/>
    <w:rsid w:val="3BF01CEF"/>
    <w:rsid w:val="3BF66F94"/>
    <w:rsid w:val="3BFA579B"/>
    <w:rsid w:val="3C067321"/>
    <w:rsid w:val="3C11650A"/>
    <w:rsid w:val="3C2C1451"/>
    <w:rsid w:val="3C2F74B0"/>
    <w:rsid w:val="3C380A02"/>
    <w:rsid w:val="3C4A55C1"/>
    <w:rsid w:val="3C4E2A76"/>
    <w:rsid w:val="3C4F5AB7"/>
    <w:rsid w:val="3C664263"/>
    <w:rsid w:val="3C707BC9"/>
    <w:rsid w:val="3C775C4C"/>
    <w:rsid w:val="3C7D75C1"/>
    <w:rsid w:val="3C7E335B"/>
    <w:rsid w:val="3C8A1488"/>
    <w:rsid w:val="3C8F6FA9"/>
    <w:rsid w:val="3C9177B9"/>
    <w:rsid w:val="3C964B49"/>
    <w:rsid w:val="3CA408E8"/>
    <w:rsid w:val="3CAD59EE"/>
    <w:rsid w:val="3CB87B0D"/>
    <w:rsid w:val="3CBE7BFC"/>
    <w:rsid w:val="3CC44D40"/>
    <w:rsid w:val="3CD15B81"/>
    <w:rsid w:val="3CD411CD"/>
    <w:rsid w:val="3CE33B06"/>
    <w:rsid w:val="3CF22B5E"/>
    <w:rsid w:val="3CF25AF7"/>
    <w:rsid w:val="3D006466"/>
    <w:rsid w:val="3D01516C"/>
    <w:rsid w:val="3D103A77"/>
    <w:rsid w:val="3D1617E6"/>
    <w:rsid w:val="3D1F64DB"/>
    <w:rsid w:val="3D267CDA"/>
    <w:rsid w:val="3D2F519B"/>
    <w:rsid w:val="3D5642D8"/>
    <w:rsid w:val="3D6F3C73"/>
    <w:rsid w:val="3D764069"/>
    <w:rsid w:val="3D7D7AB7"/>
    <w:rsid w:val="3D8B6EF5"/>
    <w:rsid w:val="3DA2751D"/>
    <w:rsid w:val="3DA768E2"/>
    <w:rsid w:val="3DC56D68"/>
    <w:rsid w:val="3DCA103D"/>
    <w:rsid w:val="3DD764CD"/>
    <w:rsid w:val="3DDA2813"/>
    <w:rsid w:val="3DFC3447"/>
    <w:rsid w:val="3E004E1C"/>
    <w:rsid w:val="3E0064CC"/>
    <w:rsid w:val="3E1905C9"/>
    <w:rsid w:val="3E23612F"/>
    <w:rsid w:val="3E29379B"/>
    <w:rsid w:val="3E5500EC"/>
    <w:rsid w:val="3E8E4B07"/>
    <w:rsid w:val="3E943E1D"/>
    <w:rsid w:val="3E9926CE"/>
    <w:rsid w:val="3E9C4B02"/>
    <w:rsid w:val="3EA572C5"/>
    <w:rsid w:val="3EB219E2"/>
    <w:rsid w:val="3EB92A0E"/>
    <w:rsid w:val="3EC24545"/>
    <w:rsid w:val="3EC90660"/>
    <w:rsid w:val="3ED342E5"/>
    <w:rsid w:val="3EDC6D9E"/>
    <w:rsid w:val="3EE166B0"/>
    <w:rsid w:val="3EE93B81"/>
    <w:rsid w:val="3EF1250A"/>
    <w:rsid w:val="3F005C7D"/>
    <w:rsid w:val="3F081602"/>
    <w:rsid w:val="3F171845"/>
    <w:rsid w:val="3F206179"/>
    <w:rsid w:val="3F2260D5"/>
    <w:rsid w:val="3F2A77CA"/>
    <w:rsid w:val="3F302A1C"/>
    <w:rsid w:val="3F3146B5"/>
    <w:rsid w:val="3F3348D1"/>
    <w:rsid w:val="3F3E5024"/>
    <w:rsid w:val="3F47212A"/>
    <w:rsid w:val="3F595C80"/>
    <w:rsid w:val="3F5D36FC"/>
    <w:rsid w:val="3F7226D3"/>
    <w:rsid w:val="3F7A2031"/>
    <w:rsid w:val="3F8052EE"/>
    <w:rsid w:val="3F80537F"/>
    <w:rsid w:val="3F807045"/>
    <w:rsid w:val="3F8A64BB"/>
    <w:rsid w:val="3F917807"/>
    <w:rsid w:val="3F980BD8"/>
    <w:rsid w:val="3FA4757D"/>
    <w:rsid w:val="3FB47C57"/>
    <w:rsid w:val="3FBA180C"/>
    <w:rsid w:val="3FC62FF2"/>
    <w:rsid w:val="3FDB0AC5"/>
    <w:rsid w:val="3FE6683D"/>
    <w:rsid w:val="3FF646C7"/>
    <w:rsid w:val="3FF92B60"/>
    <w:rsid w:val="4004626D"/>
    <w:rsid w:val="40163471"/>
    <w:rsid w:val="40214BFC"/>
    <w:rsid w:val="40216FC8"/>
    <w:rsid w:val="40253757"/>
    <w:rsid w:val="40384169"/>
    <w:rsid w:val="403A2A6F"/>
    <w:rsid w:val="403B41A7"/>
    <w:rsid w:val="403D352D"/>
    <w:rsid w:val="40406B40"/>
    <w:rsid w:val="40437B04"/>
    <w:rsid w:val="404A5527"/>
    <w:rsid w:val="404E6ADA"/>
    <w:rsid w:val="40632F94"/>
    <w:rsid w:val="408A49C4"/>
    <w:rsid w:val="408A5FC4"/>
    <w:rsid w:val="408E5B37"/>
    <w:rsid w:val="40910F58"/>
    <w:rsid w:val="40A62E81"/>
    <w:rsid w:val="40CB6D62"/>
    <w:rsid w:val="40D10C13"/>
    <w:rsid w:val="40D15811"/>
    <w:rsid w:val="40E165AE"/>
    <w:rsid w:val="40E602A7"/>
    <w:rsid w:val="40E6042E"/>
    <w:rsid w:val="40E912B9"/>
    <w:rsid w:val="40F40090"/>
    <w:rsid w:val="40F462E2"/>
    <w:rsid w:val="40F46D4D"/>
    <w:rsid w:val="40FC5196"/>
    <w:rsid w:val="41002343"/>
    <w:rsid w:val="41006A35"/>
    <w:rsid w:val="4105337E"/>
    <w:rsid w:val="41197AF6"/>
    <w:rsid w:val="41266C50"/>
    <w:rsid w:val="41377F7D"/>
    <w:rsid w:val="4151412B"/>
    <w:rsid w:val="416C5E78"/>
    <w:rsid w:val="416E23A8"/>
    <w:rsid w:val="417E7959"/>
    <w:rsid w:val="418426C5"/>
    <w:rsid w:val="41AE7455"/>
    <w:rsid w:val="41B45A71"/>
    <w:rsid w:val="41CC4B69"/>
    <w:rsid w:val="41D73AD1"/>
    <w:rsid w:val="41E42DA4"/>
    <w:rsid w:val="41E55C2A"/>
    <w:rsid w:val="41EA7425"/>
    <w:rsid w:val="41ED7771"/>
    <w:rsid w:val="42010CB6"/>
    <w:rsid w:val="42056F3B"/>
    <w:rsid w:val="4219502F"/>
    <w:rsid w:val="421952FE"/>
    <w:rsid w:val="42204899"/>
    <w:rsid w:val="422E137F"/>
    <w:rsid w:val="4252760F"/>
    <w:rsid w:val="425B7C9B"/>
    <w:rsid w:val="425E62C1"/>
    <w:rsid w:val="42613F40"/>
    <w:rsid w:val="427159DF"/>
    <w:rsid w:val="427174BE"/>
    <w:rsid w:val="428A28AE"/>
    <w:rsid w:val="428B67D2"/>
    <w:rsid w:val="42A31D6D"/>
    <w:rsid w:val="42AD6748"/>
    <w:rsid w:val="42BD2703"/>
    <w:rsid w:val="42C341BE"/>
    <w:rsid w:val="42C47ED0"/>
    <w:rsid w:val="42CC3F99"/>
    <w:rsid w:val="42D27FA1"/>
    <w:rsid w:val="42E45B26"/>
    <w:rsid w:val="42EE018C"/>
    <w:rsid w:val="42EF4FB3"/>
    <w:rsid w:val="42F223AD"/>
    <w:rsid w:val="42F25A01"/>
    <w:rsid w:val="42F33ED6"/>
    <w:rsid w:val="42F97BDF"/>
    <w:rsid w:val="42FA74B4"/>
    <w:rsid w:val="42FF4C8F"/>
    <w:rsid w:val="43014CE6"/>
    <w:rsid w:val="430A1DED"/>
    <w:rsid w:val="431762B8"/>
    <w:rsid w:val="431C1B20"/>
    <w:rsid w:val="432D515E"/>
    <w:rsid w:val="43326D2D"/>
    <w:rsid w:val="43432C09"/>
    <w:rsid w:val="434A21E9"/>
    <w:rsid w:val="435520B3"/>
    <w:rsid w:val="43553336"/>
    <w:rsid w:val="435C1F1C"/>
    <w:rsid w:val="435F38EB"/>
    <w:rsid w:val="4364377D"/>
    <w:rsid w:val="43735756"/>
    <w:rsid w:val="43805C0B"/>
    <w:rsid w:val="43845623"/>
    <w:rsid w:val="43874D33"/>
    <w:rsid w:val="43A01FF1"/>
    <w:rsid w:val="43A26D08"/>
    <w:rsid w:val="43A7424C"/>
    <w:rsid w:val="43B835F7"/>
    <w:rsid w:val="43C024AB"/>
    <w:rsid w:val="43C1318F"/>
    <w:rsid w:val="43C276A8"/>
    <w:rsid w:val="43CF26EE"/>
    <w:rsid w:val="43CF283F"/>
    <w:rsid w:val="43D0555C"/>
    <w:rsid w:val="43D16655"/>
    <w:rsid w:val="43E34BD9"/>
    <w:rsid w:val="43EF0457"/>
    <w:rsid w:val="43F8200A"/>
    <w:rsid w:val="43F839F3"/>
    <w:rsid w:val="44245CA9"/>
    <w:rsid w:val="44282599"/>
    <w:rsid w:val="44283583"/>
    <w:rsid w:val="442A3DC9"/>
    <w:rsid w:val="4430537A"/>
    <w:rsid w:val="443B4C21"/>
    <w:rsid w:val="444A6C8C"/>
    <w:rsid w:val="4458180D"/>
    <w:rsid w:val="445C6678"/>
    <w:rsid w:val="44623109"/>
    <w:rsid w:val="446976CE"/>
    <w:rsid w:val="446A5A0C"/>
    <w:rsid w:val="446C43E1"/>
    <w:rsid w:val="446E1F07"/>
    <w:rsid w:val="447265F5"/>
    <w:rsid w:val="448C5F7D"/>
    <w:rsid w:val="44931937"/>
    <w:rsid w:val="449D7326"/>
    <w:rsid w:val="44AD1D09"/>
    <w:rsid w:val="44B30BDC"/>
    <w:rsid w:val="44BC2B59"/>
    <w:rsid w:val="44C24001"/>
    <w:rsid w:val="44C341E9"/>
    <w:rsid w:val="44D04970"/>
    <w:rsid w:val="44E13AAB"/>
    <w:rsid w:val="44E623E5"/>
    <w:rsid w:val="44E95C4B"/>
    <w:rsid w:val="44EB79FC"/>
    <w:rsid w:val="44ED41C5"/>
    <w:rsid w:val="44F47615"/>
    <w:rsid w:val="4500770D"/>
    <w:rsid w:val="4504267C"/>
    <w:rsid w:val="450A60D4"/>
    <w:rsid w:val="451C43A5"/>
    <w:rsid w:val="452D2CCE"/>
    <w:rsid w:val="452F5EAB"/>
    <w:rsid w:val="453579DA"/>
    <w:rsid w:val="453A003B"/>
    <w:rsid w:val="453A3E06"/>
    <w:rsid w:val="453B2269"/>
    <w:rsid w:val="454A13E7"/>
    <w:rsid w:val="455D428F"/>
    <w:rsid w:val="45701CAF"/>
    <w:rsid w:val="45770DF4"/>
    <w:rsid w:val="45781682"/>
    <w:rsid w:val="457E0066"/>
    <w:rsid w:val="45893830"/>
    <w:rsid w:val="458F0387"/>
    <w:rsid w:val="4594346C"/>
    <w:rsid w:val="459534C4"/>
    <w:rsid w:val="45965BB9"/>
    <w:rsid w:val="45987378"/>
    <w:rsid w:val="45A66715"/>
    <w:rsid w:val="45AF0A29"/>
    <w:rsid w:val="45B24076"/>
    <w:rsid w:val="45BD04ED"/>
    <w:rsid w:val="45C25FB0"/>
    <w:rsid w:val="45C74BE2"/>
    <w:rsid w:val="45C85647"/>
    <w:rsid w:val="45CE40E4"/>
    <w:rsid w:val="45D862C9"/>
    <w:rsid w:val="45DE6011"/>
    <w:rsid w:val="46054AED"/>
    <w:rsid w:val="460679F5"/>
    <w:rsid w:val="460E64DB"/>
    <w:rsid w:val="461115E8"/>
    <w:rsid w:val="461B7E6D"/>
    <w:rsid w:val="462E521F"/>
    <w:rsid w:val="464129BD"/>
    <w:rsid w:val="46425BED"/>
    <w:rsid w:val="464E1FF0"/>
    <w:rsid w:val="46537607"/>
    <w:rsid w:val="465A5C7C"/>
    <w:rsid w:val="465F20DF"/>
    <w:rsid w:val="467C4A8C"/>
    <w:rsid w:val="469519CD"/>
    <w:rsid w:val="46A401D2"/>
    <w:rsid w:val="46B04A59"/>
    <w:rsid w:val="46D27D5D"/>
    <w:rsid w:val="46E90004"/>
    <w:rsid w:val="46EE732F"/>
    <w:rsid w:val="46F869FE"/>
    <w:rsid w:val="46FF32EA"/>
    <w:rsid w:val="471A4F84"/>
    <w:rsid w:val="471A7EA4"/>
    <w:rsid w:val="4729480B"/>
    <w:rsid w:val="473016F6"/>
    <w:rsid w:val="47375718"/>
    <w:rsid w:val="4737594F"/>
    <w:rsid w:val="47404443"/>
    <w:rsid w:val="47446E59"/>
    <w:rsid w:val="47507FEA"/>
    <w:rsid w:val="475A388A"/>
    <w:rsid w:val="4768221F"/>
    <w:rsid w:val="47894C94"/>
    <w:rsid w:val="478D27D8"/>
    <w:rsid w:val="479618C6"/>
    <w:rsid w:val="47962F2B"/>
    <w:rsid w:val="47AE6C97"/>
    <w:rsid w:val="47BB699A"/>
    <w:rsid w:val="47CB141F"/>
    <w:rsid w:val="47CC18AF"/>
    <w:rsid w:val="47CC58C3"/>
    <w:rsid w:val="47D2002E"/>
    <w:rsid w:val="47DE73A4"/>
    <w:rsid w:val="47EF335F"/>
    <w:rsid w:val="47EF7816"/>
    <w:rsid w:val="47FA3B50"/>
    <w:rsid w:val="47FD69C0"/>
    <w:rsid w:val="47FF2316"/>
    <w:rsid w:val="48014B9F"/>
    <w:rsid w:val="48117779"/>
    <w:rsid w:val="48126104"/>
    <w:rsid w:val="482C27ED"/>
    <w:rsid w:val="482F5E51"/>
    <w:rsid w:val="4830252B"/>
    <w:rsid w:val="48541414"/>
    <w:rsid w:val="486378A9"/>
    <w:rsid w:val="486755EB"/>
    <w:rsid w:val="487276C6"/>
    <w:rsid w:val="487468D3"/>
    <w:rsid w:val="487675DC"/>
    <w:rsid w:val="487877F8"/>
    <w:rsid w:val="488114D2"/>
    <w:rsid w:val="48873E46"/>
    <w:rsid w:val="489E2BB7"/>
    <w:rsid w:val="48A04659"/>
    <w:rsid w:val="48AE2583"/>
    <w:rsid w:val="48B25DE8"/>
    <w:rsid w:val="48EB49EC"/>
    <w:rsid w:val="48EE25CC"/>
    <w:rsid w:val="48F50C80"/>
    <w:rsid w:val="49041DDE"/>
    <w:rsid w:val="4907287B"/>
    <w:rsid w:val="49080206"/>
    <w:rsid w:val="491F07B8"/>
    <w:rsid w:val="49225970"/>
    <w:rsid w:val="49290AF3"/>
    <w:rsid w:val="49312B3D"/>
    <w:rsid w:val="49403D47"/>
    <w:rsid w:val="49415E3C"/>
    <w:rsid w:val="495A0270"/>
    <w:rsid w:val="495D4A75"/>
    <w:rsid w:val="49736F07"/>
    <w:rsid w:val="49750AC9"/>
    <w:rsid w:val="49861AA1"/>
    <w:rsid w:val="498B2DA7"/>
    <w:rsid w:val="498B768E"/>
    <w:rsid w:val="49940662"/>
    <w:rsid w:val="499E13FA"/>
    <w:rsid w:val="49A63358"/>
    <w:rsid w:val="49AF0FF8"/>
    <w:rsid w:val="49B54134"/>
    <w:rsid w:val="49BE748D"/>
    <w:rsid w:val="49C20002"/>
    <w:rsid w:val="49C5081B"/>
    <w:rsid w:val="49CA4084"/>
    <w:rsid w:val="49D26243"/>
    <w:rsid w:val="49D31523"/>
    <w:rsid w:val="49E21E36"/>
    <w:rsid w:val="49F17862"/>
    <w:rsid w:val="49F92273"/>
    <w:rsid w:val="49FB423D"/>
    <w:rsid w:val="4A031344"/>
    <w:rsid w:val="4A0E709E"/>
    <w:rsid w:val="4A15212E"/>
    <w:rsid w:val="4A201EF6"/>
    <w:rsid w:val="4A2E1E4E"/>
    <w:rsid w:val="4A2F1CB5"/>
    <w:rsid w:val="4A2F5ED4"/>
    <w:rsid w:val="4A4207CA"/>
    <w:rsid w:val="4A4E6A63"/>
    <w:rsid w:val="4A643607"/>
    <w:rsid w:val="4A6B2D69"/>
    <w:rsid w:val="4A6D4E72"/>
    <w:rsid w:val="4A6E78BD"/>
    <w:rsid w:val="4A7E1A74"/>
    <w:rsid w:val="4A7F3EFC"/>
    <w:rsid w:val="4A804742"/>
    <w:rsid w:val="4A831AE6"/>
    <w:rsid w:val="4A9106FD"/>
    <w:rsid w:val="4AA31B0A"/>
    <w:rsid w:val="4AAC19DB"/>
    <w:rsid w:val="4AAC22AD"/>
    <w:rsid w:val="4AAE4734"/>
    <w:rsid w:val="4AAF5028"/>
    <w:rsid w:val="4ABB6418"/>
    <w:rsid w:val="4AC97CB0"/>
    <w:rsid w:val="4ACA42EA"/>
    <w:rsid w:val="4ACE3700"/>
    <w:rsid w:val="4AD4683C"/>
    <w:rsid w:val="4AD616EB"/>
    <w:rsid w:val="4AD8632C"/>
    <w:rsid w:val="4AF40AE9"/>
    <w:rsid w:val="4B05076D"/>
    <w:rsid w:val="4B1D2688"/>
    <w:rsid w:val="4B22103C"/>
    <w:rsid w:val="4B271062"/>
    <w:rsid w:val="4B273258"/>
    <w:rsid w:val="4B2C48CA"/>
    <w:rsid w:val="4B2E419E"/>
    <w:rsid w:val="4B3676BE"/>
    <w:rsid w:val="4B370868"/>
    <w:rsid w:val="4B375749"/>
    <w:rsid w:val="4B391587"/>
    <w:rsid w:val="4B3D0885"/>
    <w:rsid w:val="4B4D1708"/>
    <w:rsid w:val="4B637DBD"/>
    <w:rsid w:val="4B7A73E4"/>
    <w:rsid w:val="4B840262"/>
    <w:rsid w:val="4B844190"/>
    <w:rsid w:val="4B925ABC"/>
    <w:rsid w:val="4BA206E8"/>
    <w:rsid w:val="4BA40904"/>
    <w:rsid w:val="4BA44460"/>
    <w:rsid w:val="4BA7725B"/>
    <w:rsid w:val="4BAF3531"/>
    <w:rsid w:val="4BB54BD2"/>
    <w:rsid w:val="4BBC17AA"/>
    <w:rsid w:val="4BC32090"/>
    <w:rsid w:val="4BD76C95"/>
    <w:rsid w:val="4BD96800"/>
    <w:rsid w:val="4BE11211"/>
    <w:rsid w:val="4BEF4C0F"/>
    <w:rsid w:val="4C0B2731"/>
    <w:rsid w:val="4C1C3A85"/>
    <w:rsid w:val="4C2E2CBA"/>
    <w:rsid w:val="4C2F01CE"/>
    <w:rsid w:val="4C336BFB"/>
    <w:rsid w:val="4C343A36"/>
    <w:rsid w:val="4C43011D"/>
    <w:rsid w:val="4C475FD9"/>
    <w:rsid w:val="4C5365B2"/>
    <w:rsid w:val="4C5403A2"/>
    <w:rsid w:val="4C5B5467"/>
    <w:rsid w:val="4C5E0628"/>
    <w:rsid w:val="4C7242A2"/>
    <w:rsid w:val="4C7272CD"/>
    <w:rsid w:val="4C7546AC"/>
    <w:rsid w:val="4C771B75"/>
    <w:rsid w:val="4C7C303D"/>
    <w:rsid w:val="4C813393"/>
    <w:rsid w:val="4C853EBA"/>
    <w:rsid w:val="4C935448"/>
    <w:rsid w:val="4C950F6F"/>
    <w:rsid w:val="4CB26C21"/>
    <w:rsid w:val="4CCF0659"/>
    <w:rsid w:val="4CD27D27"/>
    <w:rsid w:val="4CD46FC7"/>
    <w:rsid w:val="4CEF3D59"/>
    <w:rsid w:val="4CEF762B"/>
    <w:rsid w:val="4D056F58"/>
    <w:rsid w:val="4D061F9B"/>
    <w:rsid w:val="4D16604C"/>
    <w:rsid w:val="4D1D271C"/>
    <w:rsid w:val="4D341814"/>
    <w:rsid w:val="4D453A21"/>
    <w:rsid w:val="4D454FEF"/>
    <w:rsid w:val="4D4E28D6"/>
    <w:rsid w:val="4D541A92"/>
    <w:rsid w:val="4D583754"/>
    <w:rsid w:val="4D5A3970"/>
    <w:rsid w:val="4D5A571F"/>
    <w:rsid w:val="4D5C3245"/>
    <w:rsid w:val="4D671BE9"/>
    <w:rsid w:val="4D7420BB"/>
    <w:rsid w:val="4D752558"/>
    <w:rsid w:val="4D8125CD"/>
    <w:rsid w:val="4D814A2E"/>
    <w:rsid w:val="4D866F11"/>
    <w:rsid w:val="4DA01554"/>
    <w:rsid w:val="4DA22BC2"/>
    <w:rsid w:val="4DAC584E"/>
    <w:rsid w:val="4DB766CD"/>
    <w:rsid w:val="4DC11B8C"/>
    <w:rsid w:val="4DCE7E2E"/>
    <w:rsid w:val="4DD43DBB"/>
    <w:rsid w:val="4DDE3796"/>
    <w:rsid w:val="4DDF1A7E"/>
    <w:rsid w:val="4DFA25FA"/>
    <w:rsid w:val="4E0752CB"/>
    <w:rsid w:val="4E102492"/>
    <w:rsid w:val="4E1B3100"/>
    <w:rsid w:val="4E355844"/>
    <w:rsid w:val="4E406510"/>
    <w:rsid w:val="4E4A5793"/>
    <w:rsid w:val="4E562C08"/>
    <w:rsid w:val="4E571850"/>
    <w:rsid w:val="4E576029"/>
    <w:rsid w:val="4E701EF1"/>
    <w:rsid w:val="4E75410C"/>
    <w:rsid w:val="4E984750"/>
    <w:rsid w:val="4EAC3A61"/>
    <w:rsid w:val="4EB623BF"/>
    <w:rsid w:val="4EB92A22"/>
    <w:rsid w:val="4EBD0807"/>
    <w:rsid w:val="4ECC7F56"/>
    <w:rsid w:val="4ED128EC"/>
    <w:rsid w:val="4ED65279"/>
    <w:rsid w:val="4EDB463D"/>
    <w:rsid w:val="4EDB63EB"/>
    <w:rsid w:val="4EDD03B5"/>
    <w:rsid w:val="4EE47996"/>
    <w:rsid w:val="4EF170B2"/>
    <w:rsid w:val="4EFA571E"/>
    <w:rsid w:val="4F127672"/>
    <w:rsid w:val="4F1E2041"/>
    <w:rsid w:val="4F2852AB"/>
    <w:rsid w:val="4F2A33D7"/>
    <w:rsid w:val="4F2B354C"/>
    <w:rsid w:val="4F2E641D"/>
    <w:rsid w:val="4F391364"/>
    <w:rsid w:val="4F3C5321"/>
    <w:rsid w:val="4F4246BC"/>
    <w:rsid w:val="4F4421E2"/>
    <w:rsid w:val="4F6463E1"/>
    <w:rsid w:val="4F682BAC"/>
    <w:rsid w:val="4F6B3C13"/>
    <w:rsid w:val="4F8163F5"/>
    <w:rsid w:val="4F923AC5"/>
    <w:rsid w:val="4F9A62A6"/>
    <w:rsid w:val="4FA86710"/>
    <w:rsid w:val="4FB37368"/>
    <w:rsid w:val="4FBB7FCB"/>
    <w:rsid w:val="4FD22D32"/>
    <w:rsid w:val="4FD361E3"/>
    <w:rsid w:val="4FE70DC0"/>
    <w:rsid w:val="4FF2416E"/>
    <w:rsid w:val="4FF36AAE"/>
    <w:rsid w:val="4FFB7978"/>
    <w:rsid w:val="50045577"/>
    <w:rsid w:val="50055E16"/>
    <w:rsid w:val="501C4F0D"/>
    <w:rsid w:val="50355FCF"/>
    <w:rsid w:val="503C55AF"/>
    <w:rsid w:val="503C735D"/>
    <w:rsid w:val="504A169F"/>
    <w:rsid w:val="504B75A0"/>
    <w:rsid w:val="505172D7"/>
    <w:rsid w:val="505C17AE"/>
    <w:rsid w:val="505E7FFF"/>
    <w:rsid w:val="506B1C46"/>
    <w:rsid w:val="506B7C43"/>
    <w:rsid w:val="5085478A"/>
    <w:rsid w:val="508967AB"/>
    <w:rsid w:val="508E0840"/>
    <w:rsid w:val="509423FF"/>
    <w:rsid w:val="509E0F5B"/>
    <w:rsid w:val="50A07E10"/>
    <w:rsid w:val="50A75D18"/>
    <w:rsid w:val="50AE27B1"/>
    <w:rsid w:val="50B40CB4"/>
    <w:rsid w:val="50C8686E"/>
    <w:rsid w:val="50EB6A18"/>
    <w:rsid w:val="50ED759B"/>
    <w:rsid w:val="51071719"/>
    <w:rsid w:val="510734C7"/>
    <w:rsid w:val="511B3417"/>
    <w:rsid w:val="511B6F73"/>
    <w:rsid w:val="5124051D"/>
    <w:rsid w:val="51330760"/>
    <w:rsid w:val="51507E2B"/>
    <w:rsid w:val="51581F75"/>
    <w:rsid w:val="51625145"/>
    <w:rsid w:val="5163266C"/>
    <w:rsid w:val="517843C5"/>
    <w:rsid w:val="51956D25"/>
    <w:rsid w:val="51A71CEE"/>
    <w:rsid w:val="51AD4081"/>
    <w:rsid w:val="51B073BA"/>
    <w:rsid w:val="51BE420A"/>
    <w:rsid w:val="51E27A91"/>
    <w:rsid w:val="51F17774"/>
    <w:rsid w:val="51F31C9E"/>
    <w:rsid w:val="522254A6"/>
    <w:rsid w:val="52253394"/>
    <w:rsid w:val="52320908"/>
    <w:rsid w:val="523F2CCC"/>
    <w:rsid w:val="524551DA"/>
    <w:rsid w:val="524644C3"/>
    <w:rsid w:val="525A7F6F"/>
    <w:rsid w:val="525E180D"/>
    <w:rsid w:val="5262151B"/>
    <w:rsid w:val="52623376"/>
    <w:rsid w:val="526753A7"/>
    <w:rsid w:val="526A6404"/>
    <w:rsid w:val="52707792"/>
    <w:rsid w:val="52757940"/>
    <w:rsid w:val="52773F90"/>
    <w:rsid w:val="528042F1"/>
    <w:rsid w:val="528B637A"/>
    <w:rsid w:val="529348C8"/>
    <w:rsid w:val="529B2258"/>
    <w:rsid w:val="529C2DA3"/>
    <w:rsid w:val="52BC3824"/>
    <w:rsid w:val="52BC5FC2"/>
    <w:rsid w:val="52C70FAC"/>
    <w:rsid w:val="52CC1707"/>
    <w:rsid w:val="52D41ACF"/>
    <w:rsid w:val="52D80321"/>
    <w:rsid w:val="52D954F0"/>
    <w:rsid w:val="52DE247B"/>
    <w:rsid w:val="52E6659B"/>
    <w:rsid w:val="52FE477F"/>
    <w:rsid w:val="53081779"/>
    <w:rsid w:val="531B76FE"/>
    <w:rsid w:val="531E6325"/>
    <w:rsid w:val="531E71EE"/>
    <w:rsid w:val="533407C0"/>
    <w:rsid w:val="533C6F31"/>
    <w:rsid w:val="533D58C6"/>
    <w:rsid w:val="534053B7"/>
    <w:rsid w:val="53476745"/>
    <w:rsid w:val="5358625C"/>
    <w:rsid w:val="536F28AF"/>
    <w:rsid w:val="53715570"/>
    <w:rsid w:val="53724E60"/>
    <w:rsid w:val="537A08C9"/>
    <w:rsid w:val="539A4AC7"/>
    <w:rsid w:val="53A94B6C"/>
    <w:rsid w:val="53BD4383"/>
    <w:rsid w:val="53C51402"/>
    <w:rsid w:val="53D004E8"/>
    <w:rsid w:val="53D64393"/>
    <w:rsid w:val="53DD0E57"/>
    <w:rsid w:val="53E73A84"/>
    <w:rsid w:val="53F372A3"/>
    <w:rsid w:val="54164678"/>
    <w:rsid w:val="541A31C8"/>
    <w:rsid w:val="54273E81"/>
    <w:rsid w:val="54361C0B"/>
    <w:rsid w:val="543D36A4"/>
    <w:rsid w:val="544179C5"/>
    <w:rsid w:val="5459045C"/>
    <w:rsid w:val="54674DCD"/>
    <w:rsid w:val="546E385E"/>
    <w:rsid w:val="546E7D01"/>
    <w:rsid w:val="547A0454"/>
    <w:rsid w:val="54811902"/>
    <w:rsid w:val="548636B9"/>
    <w:rsid w:val="54881CAA"/>
    <w:rsid w:val="548B440F"/>
    <w:rsid w:val="549D4961"/>
    <w:rsid w:val="54A912CA"/>
    <w:rsid w:val="54AB4AB2"/>
    <w:rsid w:val="54CA318A"/>
    <w:rsid w:val="54CB7967"/>
    <w:rsid w:val="54EB4EAE"/>
    <w:rsid w:val="54F876FE"/>
    <w:rsid w:val="54F9581D"/>
    <w:rsid w:val="54FC26FD"/>
    <w:rsid w:val="55022F15"/>
    <w:rsid w:val="5503044A"/>
    <w:rsid w:val="55075EDD"/>
    <w:rsid w:val="550A7A2A"/>
    <w:rsid w:val="550B2854"/>
    <w:rsid w:val="55103EA2"/>
    <w:rsid w:val="55173EF5"/>
    <w:rsid w:val="55204FA6"/>
    <w:rsid w:val="55331330"/>
    <w:rsid w:val="553B5E36"/>
    <w:rsid w:val="55627866"/>
    <w:rsid w:val="556C2493"/>
    <w:rsid w:val="55713605"/>
    <w:rsid w:val="55736C9A"/>
    <w:rsid w:val="558227ED"/>
    <w:rsid w:val="55855303"/>
    <w:rsid w:val="558A163C"/>
    <w:rsid w:val="558F6181"/>
    <w:rsid w:val="5590089E"/>
    <w:rsid w:val="55983288"/>
    <w:rsid w:val="55990DAE"/>
    <w:rsid w:val="559B2662"/>
    <w:rsid w:val="55A25EB5"/>
    <w:rsid w:val="55A73CD9"/>
    <w:rsid w:val="55B23385"/>
    <w:rsid w:val="55C479BC"/>
    <w:rsid w:val="55D6790C"/>
    <w:rsid w:val="55DA7CE6"/>
    <w:rsid w:val="55DD6EED"/>
    <w:rsid w:val="56064695"/>
    <w:rsid w:val="56066A81"/>
    <w:rsid w:val="560C77D2"/>
    <w:rsid w:val="56171C3C"/>
    <w:rsid w:val="56187F25"/>
    <w:rsid w:val="56222B52"/>
    <w:rsid w:val="5627460C"/>
    <w:rsid w:val="562F71C8"/>
    <w:rsid w:val="563977F9"/>
    <w:rsid w:val="563A60ED"/>
    <w:rsid w:val="563B6A02"/>
    <w:rsid w:val="5641747C"/>
    <w:rsid w:val="56722BD1"/>
    <w:rsid w:val="569A239C"/>
    <w:rsid w:val="569C7032"/>
    <w:rsid w:val="56A60BE9"/>
    <w:rsid w:val="56CB51B3"/>
    <w:rsid w:val="56D0280A"/>
    <w:rsid w:val="56E04EA6"/>
    <w:rsid w:val="56EA0ED5"/>
    <w:rsid w:val="56F91B04"/>
    <w:rsid w:val="570404A9"/>
    <w:rsid w:val="570F757A"/>
    <w:rsid w:val="571E156B"/>
    <w:rsid w:val="572528A9"/>
    <w:rsid w:val="5737087F"/>
    <w:rsid w:val="5744643C"/>
    <w:rsid w:val="574B7E86"/>
    <w:rsid w:val="575431DF"/>
    <w:rsid w:val="57580EF5"/>
    <w:rsid w:val="577E46FF"/>
    <w:rsid w:val="57825F9E"/>
    <w:rsid w:val="57865D95"/>
    <w:rsid w:val="578A30A4"/>
    <w:rsid w:val="578C11B7"/>
    <w:rsid w:val="579B148D"/>
    <w:rsid w:val="579D4B86"/>
    <w:rsid w:val="579F36CE"/>
    <w:rsid w:val="57A56619"/>
    <w:rsid w:val="57A9177C"/>
    <w:rsid w:val="57AD137F"/>
    <w:rsid w:val="57AD7F44"/>
    <w:rsid w:val="57BD6FD6"/>
    <w:rsid w:val="57C133C0"/>
    <w:rsid w:val="57C43B00"/>
    <w:rsid w:val="57CA40F1"/>
    <w:rsid w:val="57D32355"/>
    <w:rsid w:val="57D63BF4"/>
    <w:rsid w:val="57E14E9F"/>
    <w:rsid w:val="57E200A3"/>
    <w:rsid w:val="57F137DF"/>
    <w:rsid w:val="58033120"/>
    <w:rsid w:val="58044C05"/>
    <w:rsid w:val="5814249E"/>
    <w:rsid w:val="58211FF3"/>
    <w:rsid w:val="58332657"/>
    <w:rsid w:val="583D0117"/>
    <w:rsid w:val="5846379F"/>
    <w:rsid w:val="584C7890"/>
    <w:rsid w:val="58585790"/>
    <w:rsid w:val="58694DA2"/>
    <w:rsid w:val="586E5AE8"/>
    <w:rsid w:val="5872467C"/>
    <w:rsid w:val="58726012"/>
    <w:rsid w:val="58871392"/>
    <w:rsid w:val="58932655"/>
    <w:rsid w:val="58972DBB"/>
    <w:rsid w:val="589C71B9"/>
    <w:rsid w:val="58A75590"/>
    <w:rsid w:val="58AA0536"/>
    <w:rsid w:val="58AA5041"/>
    <w:rsid w:val="58C3686E"/>
    <w:rsid w:val="58C736EE"/>
    <w:rsid w:val="58C80A4A"/>
    <w:rsid w:val="58DC7930"/>
    <w:rsid w:val="58DF1921"/>
    <w:rsid w:val="58E03405"/>
    <w:rsid w:val="58E33856"/>
    <w:rsid w:val="58E407EA"/>
    <w:rsid w:val="58E735F2"/>
    <w:rsid w:val="58EA1050"/>
    <w:rsid w:val="58EB1B60"/>
    <w:rsid w:val="58F544C0"/>
    <w:rsid w:val="58FB01AB"/>
    <w:rsid w:val="58FC1002"/>
    <w:rsid w:val="58FC3B2E"/>
    <w:rsid w:val="59011144"/>
    <w:rsid w:val="5931649C"/>
    <w:rsid w:val="593B4F03"/>
    <w:rsid w:val="5941080F"/>
    <w:rsid w:val="59417E79"/>
    <w:rsid w:val="595251F6"/>
    <w:rsid w:val="5953318C"/>
    <w:rsid w:val="59616333"/>
    <w:rsid w:val="596D44A2"/>
    <w:rsid w:val="59720E0C"/>
    <w:rsid w:val="597A2F72"/>
    <w:rsid w:val="597D505A"/>
    <w:rsid w:val="598B232F"/>
    <w:rsid w:val="59995821"/>
    <w:rsid w:val="599C7ECB"/>
    <w:rsid w:val="599E2E37"/>
    <w:rsid w:val="59AB1B2F"/>
    <w:rsid w:val="59AD307A"/>
    <w:rsid w:val="59AF01D8"/>
    <w:rsid w:val="59AF0BA0"/>
    <w:rsid w:val="59B259A0"/>
    <w:rsid w:val="59B65A33"/>
    <w:rsid w:val="59BA3E3C"/>
    <w:rsid w:val="59BF6EED"/>
    <w:rsid w:val="59C3464B"/>
    <w:rsid w:val="59CF4D9E"/>
    <w:rsid w:val="59D56AC7"/>
    <w:rsid w:val="59D92F0C"/>
    <w:rsid w:val="59DE1485"/>
    <w:rsid w:val="59F32EDE"/>
    <w:rsid w:val="59F5480B"/>
    <w:rsid w:val="5A0859E3"/>
    <w:rsid w:val="5A1F7AD4"/>
    <w:rsid w:val="5A28545C"/>
    <w:rsid w:val="5A2F13EA"/>
    <w:rsid w:val="5A2F3A8F"/>
    <w:rsid w:val="5A3317D1"/>
    <w:rsid w:val="5A3612C1"/>
    <w:rsid w:val="5A36306F"/>
    <w:rsid w:val="5A393A57"/>
    <w:rsid w:val="5A3B2434"/>
    <w:rsid w:val="5A421A14"/>
    <w:rsid w:val="5A440D18"/>
    <w:rsid w:val="5A4A1D9E"/>
    <w:rsid w:val="5A594C56"/>
    <w:rsid w:val="5A6F0DF7"/>
    <w:rsid w:val="5A8F3576"/>
    <w:rsid w:val="5A920839"/>
    <w:rsid w:val="5AA63D51"/>
    <w:rsid w:val="5AAC1038"/>
    <w:rsid w:val="5AB02224"/>
    <w:rsid w:val="5AB2144A"/>
    <w:rsid w:val="5AC73CC7"/>
    <w:rsid w:val="5ACC7530"/>
    <w:rsid w:val="5AD85ED5"/>
    <w:rsid w:val="5B033BAB"/>
    <w:rsid w:val="5B184523"/>
    <w:rsid w:val="5B1D6F3B"/>
    <w:rsid w:val="5B3E31F0"/>
    <w:rsid w:val="5B497071"/>
    <w:rsid w:val="5B523ED9"/>
    <w:rsid w:val="5B535A79"/>
    <w:rsid w:val="5B760FCC"/>
    <w:rsid w:val="5B853E39"/>
    <w:rsid w:val="5B94004E"/>
    <w:rsid w:val="5B9C5154"/>
    <w:rsid w:val="5BB93F58"/>
    <w:rsid w:val="5BC34703"/>
    <w:rsid w:val="5BCC5A39"/>
    <w:rsid w:val="5BD62414"/>
    <w:rsid w:val="5BDC650C"/>
    <w:rsid w:val="5BDD1514"/>
    <w:rsid w:val="5BE84BEC"/>
    <w:rsid w:val="5BEF34D6"/>
    <w:rsid w:val="5C0351D3"/>
    <w:rsid w:val="5C05719D"/>
    <w:rsid w:val="5C0E7744"/>
    <w:rsid w:val="5C2C7A6D"/>
    <w:rsid w:val="5C392E41"/>
    <w:rsid w:val="5C5D43A1"/>
    <w:rsid w:val="5C6E6394"/>
    <w:rsid w:val="5C71038F"/>
    <w:rsid w:val="5C744961"/>
    <w:rsid w:val="5C80273A"/>
    <w:rsid w:val="5C803189"/>
    <w:rsid w:val="5C9F4EFC"/>
    <w:rsid w:val="5CA33E0D"/>
    <w:rsid w:val="5CB12001"/>
    <w:rsid w:val="5CBF360A"/>
    <w:rsid w:val="5CC76201"/>
    <w:rsid w:val="5CD62992"/>
    <w:rsid w:val="5CDF7755"/>
    <w:rsid w:val="5CF1656F"/>
    <w:rsid w:val="5D006C88"/>
    <w:rsid w:val="5D043DE2"/>
    <w:rsid w:val="5D1347F8"/>
    <w:rsid w:val="5D1A6C78"/>
    <w:rsid w:val="5D1C056B"/>
    <w:rsid w:val="5D2418A5"/>
    <w:rsid w:val="5D396AAA"/>
    <w:rsid w:val="5D3D57B2"/>
    <w:rsid w:val="5D574DCB"/>
    <w:rsid w:val="5D5757D7"/>
    <w:rsid w:val="5D58011B"/>
    <w:rsid w:val="5D6A375C"/>
    <w:rsid w:val="5D6B326F"/>
    <w:rsid w:val="5D6D6DA8"/>
    <w:rsid w:val="5D703F00"/>
    <w:rsid w:val="5D72616D"/>
    <w:rsid w:val="5D755C5D"/>
    <w:rsid w:val="5D7C523D"/>
    <w:rsid w:val="5D822070"/>
    <w:rsid w:val="5D845EA0"/>
    <w:rsid w:val="5DA36C6E"/>
    <w:rsid w:val="5DA84284"/>
    <w:rsid w:val="5DC170F4"/>
    <w:rsid w:val="5DD34304"/>
    <w:rsid w:val="5DD62B9F"/>
    <w:rsid w:val="5DD706C5"/>
    <w:rsid w:val="5DE1116A"/>
    <w:rsid w:val="5DEA664B"/>
    <w:rsid w:val="5DF52A80"/>
    <w:rsid w:val="5DFC3E76"/>
    <w:rsid w:val="5DFD0C61"/>
    <w:rsid w:val="5E0314BA"/>
    <w:rsid w:val="5E1831B8"/>
    <w:rsid w:val="5E203E1A"/>
    <w:rsid w:val="5E2525CD"/>
    <w:rsid w:val="5E32096C"/>
    <w:rsid w:val="5E3D2C1E"/>
    <w:rsid w:val="5E4F20C3"/>
    <w:rsid w:val="5E525A0B"/>
    <w:rsid w:val="5E561F73"/>
    <w:rsid w:val="5E677C9B"/>
    <w:rsid w:val="5E6C7060"/>
    <w:rsid w:val="5E752ACD"/>
    <w:rsid w:val="5E7B10AF"/>
    <w:rsid w:val="5E7D301B"/>
    <w:rsid w:val="5E860CE2"/>
    <w:rsid w:val="5E8E67B5"/>
    <w:rsid w:val="5E9E1600"/>
    <w:rsid w:val="5EA03552"/>
    <w:rsid w:val="5EA06D09"/>
    <w:rsid w:val="5EA467FA"/>
    <w:rsid w:val="5EAD258D"/>
    <w:rsid w:val="5EB70D35"/>
    <w:rsid w:val="5EC542C9"/>
    <w:rsid w:val="5ECF2A5F"/>
    <w:rsid w:val="5ED66BCF"/>
    <w:rsid w:val="5EDB2C5B"/>
    <w:rsid w:val="5EEE3F19"/>
    <w:rsid w:val="5EF534F9"/>
    <w:rsid w:val="5F0752ED"/>
    <w:rsid w:val="5F183EEF"/>
    <w:rsid w:val="5F2E7EB7"/>
    <w:rsid w:val="5F305680"/>
    <w:rsid w:val="5F306A7D"/>
    <w:rsid w:val="5F357D99"/>
    <w:rsid w:val="5F3F4090"/>
    <w:rsid w:val="5F5024DD"/>
    <w:rsid w:val="5F5F4E16"/>
    <w:rsid w:val="5F6D308F"/>
    <w:rsid w:val="5F7E529D"/>
    <w:rsid w:val="5F82462F"/>
    <w:rsid w:val="5F9859B0"/>
    <w:rsid w:val="5FAD475B"/>
    <w:rsid w:val="5FAE215A"/>
    <w:rsid w:val="5FB567E4"/>
    <w:rsid w:val="5FB76D6F"/>
    <w:rsid w:val="5FB8501D"/>
    <w:rsid w:val="5FC353A5"/>
    <w:rsid w:val="5FC44F8A"/>
    <w:rsid w:val="5FCB44AF"/>
    <w:rsid w:val="5FE175D9"/>
    <w:rsid w:val="5FEA0B84"/>
    <w:rsid w:val="5FEA4AC5"/>
    <w:rsid w:val="5FF336B6"/>
    <w:rsid w:val="5FF34165"/>
    <w:rsid w:val="5FF3647B"/>
    <w:rsid w:val="60054770"/>
    <w:rsid w:val="601131A9"/>
    <w:rsid w:val="6011763B"/>
    <w:rsid w:val="60123C37"/>
    <w:rsid w:val="60150E53"/>
    <w:rsid w:val="60171B89"/>
    <w:rsid w:val="602B1F7A"/>
    <w:rsid w:val="603E319C"/>
    <w:rsid w:val="60455DBA"/>
    <w:rsid w:val="607641C6"/>
    <w:rsid w:val="608368E3"/>
    <w:rsid w:val="60877B8E"/>
    <w:rsid w:val="608A2959"/>
    <w:rsid w:val="60922013"/>
    <w:rsid w:val="60936B26"/>
    <w:rsid w:val="60A800F7"/>
    <w:rsid w:val="60AD570E"/>
    <w:rsid w:val="60AD58B7"/>
    <w:rsid w:val="60CA4511"/>
    <w:rsid w:val="60D4713E"/>
    <w:rsid w:val="60E21828"/>
    <w:rsid w:val="60F5158E"/>
    <w:rsid w:val="61083687"/>
    <w:rsid w:val="611E7023"/>
    <w:rsid w:val="611F7E11"/>
    <w:rsid w:val="612E63B4"/>
    <w:rsid w:val="613C2B08"/>
    <w:rsid w:val="61465A85"/>
    <w:rsid w:val="614C1BA2"/>
    <w:rsid w:val="61500EBB"/>
    <w:rsid w:val="615269E1"/>
    <w:rsid w:val="615D0EE2"/>
    <w:rsid w:val="61721786"/>
    <w:rsid w:val="617701F5"/>
    <w:rsid w:val="61802129"/>
    <w:rsid w:val="61806EB1"/>
    <w:rsid w:val="618A738C"/>
    <w:rsid w:val="618B1CD7"/>
    <w:rsid w:val="61920923"/>
    <w:rsid w:val="61AD1E69"/>
    <w:rsid w:val="61BA27D8"/>
    <w:rsid w:val="61BA6246"/>
    <w:rsid w:val="61CB22EF"/>
    <w:rsid w:val="61CF6278"/>
    <w:rsid w:val="61D776CB"/>
    <w:rsid w:val="61D91302"/>
    <w:rsid w:val="61E323CB"/>
    <w:rsid w:val="61EF2482"/>
    <w:rsid w:val="61F52026"/>
    <w:rsid w:val="61F730E4"/>
    <w:rsid w:val="61F77588"/>
    <w:rsid w:val="61FA1728"/>
    <w:rsid w:val="62013F63"/>
    <w:rsid w:val="620330FE"/>
    <w:rsid w:val="620461E4"/>
    <w:rsid w:val="62165C60"/>
    <w:rsid w:val="62195745"/>
    <w:rsid w:val="62255D86"/>
    <w:rsid w:val="623954AB"/>
    <w:rsid w:val="623C0856"/>
    <w:rsid w:val="62562501"/>
    <w:rsid w:val="62612C54"/>
    <w:rsid w:val="62685D90"/>
    <w:rsid w:val="627552CB"/>
    <w:rsid w:val="628F77C1"/>
    <w:rsid w:val="629A2BD6"/>
    <w:rsid w:val="629E07A7"/>
    <w:rsid w:val="62A274F4"/>
    <w:rsid w:val="62B478FB"/>
    <w:rsid w:val="62B965EC"/>
    <w:rsid w:val="62C10A41"/>
    <w:rsid w:val="62D43183"/>
    <w:rsid w:val="62EA2C49"/>
    <w:rsid w:val="62EC4C13"/>
    <w:rsid w:val="62EF64B1"/>
    <w:rsid w:val="63040527"/>
    <w:rsid w:val="631961DD"/>
    <w:rsid w:val="631B1054"/>
    <w:rsid w:val="6321343F"/>
    <w:rsid w:val="63284AA5"/>
    <w:rsid w:val="632D67EF"/>
    <w:rsid w:val="6347009B"/>
    <w:rsid w:val="634A15C6"/>
    <w:rsid w:val="634F5AD0"/>
    <w:rsid w:val="63567279"/>
    <w:rsid w:val="63716EC6"/>
    <w:rsid w:val="637276E8"/>
    <w:rsid w:val="637569B7"/>
    <w:rsid w:val="63800E8D"/>
    <w:rsid w:val="63A05DF1"/>
    <w:rsid w:val="63A51943"/>
    <w:rsid w:val="63A66B70"/>
    <w:rsid w:val="63AB23D8"/>
    <w:rsid w:val="63B74B0A"/>
    <w:rsid w:val="63CE48FE"/>
    <w:rsid w:val="63D63B48"/>
    <w:rsid w:val="63DF468E"/>
    <w:rsid w:val="63EF6837"/>
    <w:rsid w:val="63F1540C"/>
    <w:rsid w:val="63F7531E"/>
    <w:rsid w:val="64094FA3"/>
    <w:rsid w:val="6418323F"/>
    <w:rsid w:val="641F6AD1"/>
    <w:rsid w:val="642301C1"/>
    <w:rsid w:val="642D103F"/>
    <w:rsid w:val="642D645B"/>
    <w:rsid w:val="64371EBE"/>
    <w:rsid w:val="64375D0D"/>
    <w:rsid w:val="64406FC4"/>
    <w:rsid w:val="6449399F"/>
    <w:rsid w:val="644E538B"/>
    <w:rsid w:val="645F0C42"/>
    <w:rsid w:val="64631DD5"/>
    <w:rsid w:val="647B5411"/>
    <w:rsid w:val="648A3E9D"/>
    <w:rsid w:val="648D138E"/>
    <w:rsid w:val="64902B11"/>
    <w:rsid w:val="64B86CB4"/>
    <w:rsid w:val="64BC23C3"/>
    <w:rsid w:val="64D2795F"/>
    <w:rsid w:val="64D83A2E"/>
    <w:rsid w:val="64DE05CA"/>
    <w:rsid w:val="64E5191A"/>
    <w:rsid w:val="64F16511"/>
    <w:rsid w:val="6509385A"/>
    <w:rsid w:val="651915C4"/>
    <w:rsid w:val="651B4B7C"/>
    <w:rsid w:val="651F307E"/>
    <w:rsid w:val="653A0114"/>
    <w:rsid w:val="65425BCE"/>
    <w:rsid w:val="654A1ACA"/>
    <w:rsid w:val="65566374"/>
    <w:rsid w:val="65605444"/>
    <w:rsid w:val="656A066E"/>
    <w:rsid w:val="657038D9"/>
    <w:rsid w:val="65764818"/>
    <w:rsid w:val="6577376B"/>
    <w:rsid w:val="657850F9"/>
    <w:rsid w:val="65846085"/>
    <w:rsid w:val="658A426F"/>
    <w:rsid w:val="65921841"/>
    <w:rsid w:val="65A13508"/>
    <w:rsid w:val="65A77B99"/>
    <w:rsid w:val="65B60D08"/>
    <w:rsid w:val="65D87E96"/>
    <w:rsid w:val="65DE5A03"/>
    <w:rsid w:val="65E513C0"/>
    <w:rsid w:val="65EF4EF4"/>
    <w:rsid w:val="65F53DDF"/>
    <w:rsid w:val="65FC6F1B"/>
    <w:rsid w:val="65FF5B13"/>
    <w:rsid w:val="6609486C"/>
    <w:rsid w:val="6614601C"/>
    <w:rsid w:val="66183441"/>
    <w:rsid w:val="662133A3"/>
    <w:rsid w:val="66271AA6"/>
    <w:rsid w:val="6637434B"/>
    <w:rsid w:val="663743F7"/>
    <w:rsid w:val="663937A1"/>
    <w:rsid w:val="663C1A0D"/>
    <w:rsid w:val="663C7C5F"/>
    <w:rsid w:val="664844AE"/>
    <w:rsid w:val="66536D8A"/>
    <w:rsid w:val="665925BF"/>
    <w:rsid w:val="665B3797"/>
    <w:rsid w:val="665F77C3"/>
    <w:rsid w:val="66682003"/>
    <w:rsid w:val="667324A5"/>
    <w:rsid w:val="667948C4"/>
    <w:rsid w:val="667C005C"/>
    <w:rsid w:val="66862C89"/>
    <w:rsid w:val="668D6CDE"/>
    <w:rsid w:val="669168F5"/>
    <w:rsid w:val="6692162D"/>
    <w:rsid w:val="669453A6"/>
    <w:rsid w:val="66AA6977"/>
    <w:rsid w:val="66B9305E"/>
    <w:rsid w:val="66BC32C6"/>
    <w:rsid w:val="66C11F13"/>
    <w:rsid w:val="66CD08B8"/>
    <w:rsid w:val="66CD7C3A"/>
    <w:rsid w:val="66D87988"/>
    <w:rsid w:val="66E4436D"/>
    <w:rsid w:val="66EA1469"/>
    <w:rsid w:val="66EC569D"/>
    <w:rsid w:val="67080174"/>
    <w:rsid w:val="670C768D"/>
    <w:rsid w:val="672746EF"/>
    <w:rsid w:val="673646AF"/>
    <w:rsid w:val="67397CFB"/>
    <w:rsid w:val="673C10F2"/>
    <w:rsid w:val="67434202"/>
    <w:rsid w:val="67460E25"/>
    <w:rsid w:val="675B2367"/>
    <w:rsid w:val="675C6FF5"/>
    <w:rsid w:val="675D0E51"/>
    <w:rsid w:val="67682F93"/>
    <w:rsid w:val="67701FB0"/>
    <w:rsid w:val="677542BA"/>
    <w:rsid w:val="677B0314"/>
    <w:rsid w:val="678C174C"/>
    <w:rsid w:val="67963A3C"/>
    <w:rsid w:val="679E030F"/>
    <w:rsid w:val="67A91325"/>
    <w:rsid w:val="67A94E81"/>
    <w:rsid w:val="67AA29A7"/>
    <w:rsid w:val="67B41470"/>
    <w:rsid w:val="67BF51F9"/>
    <w:rsid w:val="67CD4D58"/>
    <w:rsid w:val="67D068B1"/>
    <w:rsid w:val="67D5060A"/>
    <w:rsid w:val="67D65719"/>
    <w:rsid w:val="67DA5E66"/>
    <w:rsid w:val="67E67E83"/>
    <w:rsid w:val="67FA1B80"/>
    <w:rsid w:val="681437EA"/>
    <w:rsid w:val="681D16E7"/>
    <w:rsid w:val="682209D8"/>
    <w:rsid w:val="68307350"/>
    <w:rsid w:val="683914F6"/>
    <w:rsid w:val="683D4C76"/>
    <w:rsid w:val="683E58E3"/>
    <w:rsid w:val="6854615A"/>
    <w:rsid w:val="68701E42"/>
    <w:rsid w:val="68716027"/>
    <w:rsid w:val="688020CA"/>
    <w:rsid w:val="68A1319B"/>
    <w:rsid w:val="68A61138"/>
    <w:rsid w:val="68A87665"/>
    <w:rsid w:val="68B04D43"/>
    <w:rsid w:val="68B63CF9"/>
    <w:rsid w:val="68C35E2B"/>
    <w:rsid w:val="68C53F3C"/>
    <w:rsid w:val="68E81401"/>
    <w:rsid w:val="68EF5916"/>
    <w:rsid w:val="68FB170C"/>
    <w:rsid w:val="68FE11FC"/>
    <w:rsid w:val="690A6526"/>
    <w:rsid w:val="69186B69"/>
    <w:rsid w:val="691E189E"/>
    <w:rsid w:val="693966D8"/>
    <w:rsid w:val="693B7832"/>
    <w:rsid w:val="695172A2"/>
    <w:rsid w:val="695232F6"/>
    <w:rsid w:val="6953645B"/>
    <w:rsid w:val="695D6A75"/>
    <w:rsid w:val="696C181C"/>
    <w:rsid w:val="69793B0F"/>
    <w:rsid w:val="69964A86"/>
    <w:rsid w:val="69A01932"/>
    <w:rsid w:val="69A04061"/>
    <w:rsid w:val="69B61AD7"/>
    <w:rsid w:val="69C15E3C"/>
    <w:rsid w:val="69C67D81"/>
    <w:rsid w:val="69D854EC"/>
    <w:rsid w:val="69DB603F"/>
    <w:rsid w:val="69EE301F"/>
    <w:rsid w:val="69F50851"/>
    <w:rsid w:val="69FD14B4"/>
    <w:rsid w:val="6A024D1C"/>
    <w:rsid w:val="6A114F5F"/>
    <w:rsid w:val="6A1231B1"/>
    <w:rsid w:val="6A1522A8"/>
    <w:rsid w:val="6A322CBC"/>
    <w:rsid w:val="6A4522AC"/>
    <w:rsid w:val="6A5A5AF1"/>
    <w:rsid w:val="6A620AD1"/>
    <w:rsid w:val="6A63323F"/>
    <w:rsid w:val="6A633A0D"/>
    <w:rsid w:val="6A6D03E7"/>
    <w:rsid w:val="6A6E23B2"/>
    <w:rsid w:val="6A773014"/>
    <w:rsid w:val="6A782ABD"/>
    <w:rsid w:val="6A8E4728"/>
    <w:rsid w:val="6A90057A"/>
    <w:rsid w:val="6A953F52"/>
    <w:rsid w:val="6A971908"/>
    <w:rsid w:val="6AA06A0F"/>
    <w:rsid w:val="6AB70EF5"/>
    <w:rsid w:val="6ABB78D5"/>
    <w:rsid w:val="6AC36259"/>
    <w:rsid w:val="6AD27D68"/>
    <w:rsid w:val="6ADF0B16"/>
    <w:rsid w:val="6AE0015E"/>
    <w:rsid w:val="6AE575FF"/>
    <w:rsid w:val="6B14781C"/>
    <w:rsid w:val="6B1940CB"/>
    <w:rsid w:val="6B2A5D00"/>
    <w:rsid w:val="6B2D5C0A"/>
    <w:rsid w:val="6B315F34"/>
    <w:rsid w:val="6B413622"/>
    <w:rsid w:val="6B5F4EBE"/>
    <w:rsid w:val="6B76151E"/>
    <w:rsid w:val="6B940997"/>
    <w:rsid w:val="6B9614C8"/>
    <w:rsid w:val="6BA02410"/>
    <w:rsid w:val="6BA0659B"/>
    <w:rsid w:val="6BB64010"/>
    <w:rsid w:val="6BB74167"/>
    <w:rsid w:val="6BC414A7"/>
    <w:rsid w:val="6BD21044"/>
    <w:rsid w:val="6BD504CC"/>
    <w:rsid w:val="6BD712A3"/>
    <w:rsid w:val="6BD76EA2"/>
    <w:rsid w:val="6BD83429"/>
    <w:rsid w:val="6BDF3567"/>
    <w:rsid w:val="6BE0108D"/>
    <w:rsid w:val="6BE04BE9"/>
    <w:rsid w:val="6BE0682E"/>
    <w:rsid w:val="6BE24E05"/>
    <w:rsid w:val="6BE648F5"/>
    <w:rsid w:val="6BE91573"/>
    <w:rsid w:val="6BF16DF6"/>
    <w:rsid w:val="6BF4177C"/>
    <w:rsid w:val="6BFA3EFD"/>
    <w:rsid w:val="6C0E79A8"/>
    <w:rsid w:val="6C1F4726"/>
    <w:rsid w:val="6C264CF2"/>
    <w:rsid w:val="6C2947E2"/>
    <w:rsid w:val="6C366C1F"/>
    <w:rsid w:val="6C490686"/>
    <w:rsid w:val="6C537E1A"/>
    <w:rsid w:val="6C557A85"/>
    <w:rsid w:val="6C6D7992"/>
    <w:rsid w:val="6C705F6D"/>
    <w:rsid w:val="6C783074"/>
    <w:rsid w:val="6C830247"/>
    <w:rsid w:val="6C8717CC"/>
    <w:rsid w:val="6C932EAB"/>
    <w:rsid w:val="6C941525"/>
    <w:rsid w:val="6C9A123C"/>
    <w:rsid w:val="6C9F2CF6"/>
    <w:rsid w:val="6CB01FB8"/>
    <w:rsid w:val="6CB061BF"/>
    <w:rsid w:val="6CB94A62"/>
    <w:rsid w:val="6CC10EBE"/>
    <w:rsid w:val="6CD20DD1"/>
    <w:rsid w:val="6CF070AE"/>
    <w:rsid w:val="6CF3094C"/>
    <w:rsid w:val="6D062075"/>
    <w:rsid w:val="6D090170"/>
    <w:rsid w:val="6D107750"/>
    <w:rsid w:val="6D1170E9"/>
    <w:rsid w:val="6D16520C"/>
    <w:rsid w:val="6D1E037D"/>
    <w:rsid w:val="6D2A7266"/>
    <w:rsid w:val="6D326622"/>
    <w:rsid w:val="6D3C09A9"/>
    <w:rsid w:val="6D4F1ACC"/>
    <w:rsid w:val="6D517854"/>
    <w:rsid w:val="6D5D0BE7"/>
    <w:rsid w:val="6D5E495F"/>
    <w:rsid w:val="6D6D4BA2"/>
    <w:rsid w:val="6D6F4477"/>
    <w:rsid w:val="6D7E5FDA"/>
    <w:rsid w:val="6D8305AD"/>
    <w:rsid w:val="6D8D2B4F"/>
    <w:rsid w:val="6D9D7236"/>
    <w:rsid w:val="6DB4632D"/>
    <w:rsid w:val="6DC567A7"/>
    <w:rsid w:val="6DC70BA6"/>
    <w:rsid w:val="6DD10383"/>
    <w:rsid w:val="6DE210EC"/>
    <w:rsid w:val="6DE3443E"/>
    <w:rsid w:val="6DE85301"/>
    <w:rsid w:val="6DFD1A82"/>
    <w:rsid w:val="6E072901"/>
    <w:rsid w:val="6E073B29"/>
    <w:rsid w:val="6E1B45FE"/>
    <w:rsid w:val="6E2B791C"/>
    <w:rsid w:val="6E5378F4"/>
    <w:rsid w:val="6E5813AF"/>
    <w:rsid w:val="6E5E13E6"/>
    <w:rsid w:val="6E672BEE"/>
    <w:rsid w:val="6E69536A"/>
    <w:rsid w:val="6E863232"/>
    <w:rsid w:val="6E8E1C61"/>
    <w:rsid w:val="6E9028F6"/>
    <w:rsid w:val="6E934195"/>
    <w:rsid w:val="6E9E1CC7"/>
    <w:rsid w:val="6EA40BE6"/>
    <w:rsid w:val="6EB36BD3"/>
    <w:rsid w:val="6EC05BC6"/>
    <w:rsid w:val="6EC267E7"/>
    <w:rsid w:val="6EE03E5F"/>
    <w:rsid w:val="6EE06123"/>
    <w:rsid w:val="6EE449F0"/>
    <w:rsid w:val="6F0B01CF"/>
    <w:rsid w:val="6F12405C"/>
    <w:rsid w:val="6F131395"/>
    <w:rsid w:val="6F1843FB"/>
    <w:rsid w:val="6F1900D9"/>
    <w:rsid w:val="6F1C062E"/>
    <w:rsid w:val="6F273947"/>
    <w:rsid w:val="6F382816"/>
    <w:rsid w:val="6F416D8D"/>
    <w:rsid w:val="6F6C5611"/>
    <w:rsid w:val="6F6D0939"/>
    <w:rsid w:val="6F6F075E"/>
    <w:rsid w:val="6F765F90"/>
    <w:rsid w:val="6F810491"/>
    <w:rsid w:val="6F865AA7"/>
    <w:rsid w:val="6F954E87"/>
    <w:rsid w:val="6FA45D71"/>
    <w:rsid w:val="6FC7059A"/>
    <w:rsid w:val="6FC767EC"/>
    <w:rsid w:val="6FC82E90"/>
    <w:rsid w:val="6FCC1A67"/>
    <w:rsid w:val="6FE0340A"/>
    <w:rsid w:val="6FE436CB"/>
    <w:rsid w:val="6FE76CFB"/>
    <w:rsid w:val="6FE772FE"/>
    <w:rsid w:val="6FEA072C"/>
    <w:rsid w:val="6FF826B9"/>
    <w:rsid w:val="6FFD220E"/>
    <w:rsid w:val="7005614C"/>
    <w:rsid w:val="70122A96"/>
    <w:rsid w:val="70223A22"/>
    <w:rsid w:val="70297E7C"/>
    <w:rsid w:val="703416DA"/>
    <w:rsid w:val="704E2A69"/>
    <w:rsid w:val="705362D1"/>
    <w:rsid w:val="70574BDE"/>
    <w:rsid w:val="705C07E2"/>
    <w:rsid w:val="70657DB3"/>
    <w:rsid w:val="706A7177"/>
    <w:rsid w:val="706E310B"/>
    <w:rsid w:val="707302AD"/>
    <w:rsid w:val="70752068"/>
    <w:rsid w:val="707F7762"/>
    <w:rsid w:val="70803587"/>
    <w:rsid w:val="709333B1"/>
    <w:rsid w:val="709A217B"/>
    <w:rsid w:val="70AB7EBB"/>
    <w:rsid w:val="70C01024"/>
    <w:rsid w:val="70C51F95"/>
    <w:rsid w:val="70C80B8C"/>
    <w:rsid w:val="70CC3F44"/>
    <w:rsid w:val="70D66204"/>
    <w:rsid w:val="70D94A29"/>
    <w:rsid w:val="70DA5EA4"/>
    <w:rsid w:val="70E21E34"/>
    <w:rsid w:val="70F972C0"/>
    <w:rsid w:val="710475CC"/>
    <w:rsid w:val="71094BE2"/>
    <w:rsid w:val="710E21F8"/>
    <w:rsid w:val="71265794"/>
    <w:rsid w:val="712E4649"/>
    <w:rsid w:val="71384BB7"/>
    <w:rsid w:val="714449AB"/>
    <w:rsid w:val="71525835"/>
    <w:rsid w:val="715D354D"/>
    <w:rsid w:val="717136E7"/>
    <w:rsid w:val="71724535"/>
    <w:rsid w:val="717437B2"/>
    <w:rsid w:val="717A675C"/>
    <w:rsid w:val="71867FE1"/>
    <w:rsid w:val="71934DEC"/>
    <w:rsid w:val="719579E5"/>
    <w:rsid w:val="71A05546"/>
    <w:rsid w:val="71A54787"/>
    <w:rsid w:val="71A77AE8"/>
    <w:rsid w:val="71BC7EA6"/>
    <w:rsid w:val="71BE59CD"/>
    <w:rsid w:val="71C541BC"/>
    <w:rsid w:val="71D0053E"/>
    <w:rsid w:val="71DE27CE"/>
    <w:rsid w:val="71F25676"/>
    <w:rsid w:val="71F87130"/>
    <w:rsid w:val="71F96A05"/>
    <w:rsid w:val="71FE401B"/>
    <w:rsid w:val="72012252"/>
    <w:rsid w:val="72062548"/>
    <w:rsid w:val="720A29C0"/>
    <w:rsid w:val="72165809"/>
    <w:rsid w:val="721E646B"/>
    <w:rsid w:val="72212B1B"/>
    <w:rsid w:val="722309E0"/>
    <w:rsid w:val="722577FA"/>
    <w:rsid w:val="723637B5"/>
    <w:rsid w:val="7238577F"/>
    <w:rsid w:val="723A574E"/>
    <w:rsid w:val="72402885"/>
    <w:rsid w:val="724265FE"/>
    <w:rsid w:val="725400DF"/>
    <w:rsid w:val="726245AA"/>
    <w:rsid w:val="726B4423"/>
    <w:rsid w:val="727367B7"/>
    <w:rsid w:val="72755DBA"/>
    <w:rsid w:val="727F33AE"/>
    <w:rsid w:val="729641A8"/>
    <w:rsid w:val="729A01E8"/>
    <w:rsid w:val="72A934AC"/>
    <w:rsid w:val="72AC2DA6"/>
    <w:rsid w:val="72BB015E"/>
    <w:rsid w:val="72C4380F"/>
    <w:rsid w:val="72C46DE9"/>
    <w:rsid w:val="72DC29CB"/>
    <w:rsid w:val="72E4096B"/>
    <w:rsid w:val="730853E8"/>
    <w:rsid w:val="732676A2"/>
    <w:rsid w:val="732950C8"/>
    <w:rsid w:val="732E17EA"/>
    <w:rsid w:val="733028FA"/>
    <w:rsid w:val="734833BB"/>
    <w:rsid w:val="73490041"/>
    <w:rsid w:val="734A1D78"/>
    <w:rsid w:val="73615683"/>
    <w:rsid w:val="736224EF"/>
    <w:rsid w:val="736B7764"/>
    <w:rsid w:val="73730B6B"/>
    <w:rsid w:val="73747021"/>
    <w:rsid w:val="73991FA1"/>
    <w:rsid w:val="739B4217"/>
    <w:rsid w:val="73A34E7A"/>
    <w:rsid w:val="73C117A4"/>
    <w:rsid w:val="73CF3EC1"/>
    <w:rsid w:val="73D019E7"/>
    <w:rsid w:val="73DF4846"/>
    <w:rsid w:val="73E354B1"/>
    <w:rsid w:val="73FB2F08"/>
    <w:rsid w:val="740D2C3B"/>
    <w:rsid w:val="740E1C35"/>
    <w:rsid w:val="7424262C"/>
    <w:rsid w:val="74281823"/>
    <w:rsid w:val="742C1313"/>
    <w:rsid w:val="74393A30"/>
    <w:rsid w:val="743E1047"/>
    <w:rsid w:val="743F2E63"/>
    <w:rsid w:val="74405385"/>
    <w:rsid w:val="74440FBD"/>
    <w:rsid w:val="745A234C"/>
    <w:rsid w:val="745B6FBE"/>
    <w:rsid w:val="745E6FF3"/>
    <w:rsid w:val="746A009B"/>
    <w:rsid w:val="74781223"/>
    <w:rsid w:val="74786307"/>
    <w:rsid w:val="74841935"/>
    <w:rsid w:val="74942D8D"/>
    <w:rsid w:val="74AE5EB3"/>
    <w:rsid w:val="74B32E4B"/>
    <w:rsid w:val="74B44E65"/>
    <w:rsid w:val="74BD37C8"/>
    <w:rsid w:val="74BE612F"/>
    <w:rsid w:val="74C4779E"/>
    <w:rsid w:val="74C52FDD"/>
    <w:rsid w:val="74D9140F"/>
    <w:rsid w:val="74DC1EAE"/>
    <w:rsid w:val="74E03EAC"/>
    <w:rsid w:val="74FA4F6E"/>
    <w:rsid w:val="74FA771D"/>
    <w:rsid w:val="75014DC3"/>
    <w:rsid w:val="75091655"/>
    <w:rsid w:val="750C2452"/>
    <w:rsid w:val="7516167C"/>
    <w:rsid w:val="751A5610"/>
    <w:rsid w:val="7521074C"/>
    <w:rsid w:val="75210DC6"/>
    <w:rsid w:val="752C70F1"/>
    <w:rsid w:val="7531108F"/>
    <w:rsid w:val="75315588"/>
    <w:rsid w:val="75404B73"/>
    <w:rsid w:val="75410DEE"/>
    <w:rsid w:val="75615058"/>
    <w:rsid w:val="758E0339"/>
    <w:rsid w:val="75A16A63"/>
    <w:rsid w:val="75B4336E"/>
    <w:rsid w:val="75BF2C27"/>
    <w:rsid w:val="75C30687"/>
    <w:rsid w:val="75CB7394"/>
    <w:rsid w:val="75D25CFA"/>
    <w:rsid w:val="75D81E22"/>
    <w:rsid w:val="75D91695"/>
    <w:rsid w:val="75DA5BAA"/>
    <w:rsid w:val="75E342E9"/>
    <w:rsid w:val="75E874BC"/>
    <w:rsid w:val="75FE283B"/>
    <w:rsid w:val="75FF5D35"/>
    <w:rsid w:val="76026352"/>
    <w:rsid w:val="760A1C42"/>
    <w:rsid w:val="760D2108"/>
    <w:rsid w:val="761C7166"/>
    <w:rsid w:val="761D362F"/>
    <w:rsid w:val="762972F2"/>
    <w:rsid w:val="762F50EB"/>
    <w:rsid w:val="76326989"/>
    <w:rsid w:val="764A605D"/>
    <w:rsid w:val="764E215B"/>
    <w:rsid w:val="765608C9"/>
    <w:rsid w:val="7657219D"/>
    <w:rsid w:val="765763A5"/>
    <w:rsid w:val="766F3005"/>
    <w:rsid w:val="767D7C04"/>
    <w:rsid w:val="768B35E0"/>
    <w:rsid w:val="76A13C8F"/>
    <w:rsid w:val="76A57534"/>
    <w:rsid w:val="76A7334C"/>
    <w:rsid w:val="76B80C3C"/>
    <w:rsid w:val="76E000CE"/>
    <w:rsid w:val="76E23EC3"/>
    <w:rsid w:val="76EC3E19"/>
    <w:rsid w:val="76FF416C"/>
    <w:rsid w:val="7711659E"/>
    <w:rsid w:val="772067E2"/>
    <w:rsid w:val="772C5186"/>
    <w:rsid w:val="774068A1"/>
    <w:rsid w:val="774B1E85"/>
    <w:rsid w:val="77530965"/>
    <w:rsid w:val="77531C6C"/>
    <w:rsid w:val="775A0584"/>
    <w:rsid w:val="77651AAD"/>
    <w:rsid w:val="77684678"/>
    <w:rsid w:val="776A71DB"/>
    <w:rsid w:val="77731007"/>
    <w:rsid w:val="77754D7F"/>
    <w:rsid w:val="777F79AC"/>
    <w:rsid w:val="77846D70"/>
    <w:rsid w:val="779500A7"/>
    <w:rsid w:val="7798281C"/>
    <w:rsid w:val="779C57BF"/>
    <w:rsid w:val="77C32508"/>
    <w:rsid w:val="77C47474"/>
    <w:rsid w:val="77D23F80"/>
    <w:rsid w:val="77D9530E"/>
    <w:rsid w:val="77DF669D"/>
    <w:rsid w:val="77EB414C"/>
    <w:rsid w:val="77FE2FC7"/>
    <w:rsid w:val="78193CAC"/>
    <w:rsid w:val="781A76D5"/>
    <w:rsid w:val="782567A5"/>
    <w:rsid w:val="782A5B6A"/>
    <w:rsid w:val="78317149"/>
    <w:rsid w:val="78395C12"/>
    <w:rsid w:val="783C5911"/>
    <w:rsid w:val="783E7F38"/>
    <w:rsid w:val="784604CA"/>
    <w:rsid w:val="784A4F99"/>
    <w:rsid w:val="78510CFE"/>
    <w:rsid w:val="78623556"/>
    <w:rsid w:val="786B2608"/>
    <w:rsid w:val="786F4218"/>
    <w:rsid w:val="78712390"/>
    <w:rsid w:val="78773A9D"/>
    <w:rsid w:val="7879264D"/>
    <w:rsid w:val="7889177D"/>
    <w:rsid w:val="788A03B6"/>
    <w:rsid w:val="788A449C"/>
    <w:rsid w:val="788C1D5F"/>
    <w:rsid w:val="78A3200D"/>
    <w:rsid w:val="78B04F1C"/>
    <w:rsid w:val="78B96EEE"/>
    <w:rsid w:val="78BC42A6"/>
    <w:rsid w:val="78C0027C"/>
    <w:rsid w:val="78C338C8"/>
    <w:rsid w:val="78C44990"/>
    <w:rsid w:val="78C963B8"/>
    <w:rsid w:val="78EA70A7"/>
    <w:rsid w:val="78F86E3B"/>
    <w:rsid w:val="78F90E4C"/>
    <w:rsid w:val="78FB721D"/>
    <w:rsid w:val="79061475"/>
    <w:rsid w:val="790C5A7A"/>
    <w:rsid w:val="79111782"/>
    <w:rsid w:val="791A29A1"/>
    <w:rsid w:val="79351547"/>
    <w:rsid w:val="79366790"/>
    <w:rsid w:val="794C1B10"/>
    <w:rsid w:val="794C5FB4"/>
    <w:rsid w:val="794D20CC"/>
    <w:rsid w:val="795E4806"/>
    <w:rsid w:val="796450AB"/>
    <w:rsid w:val="79652BD2"/>
    <w:rsid w:val="797A48CF"/>
    <w:rsid w:val="797D3F37"/>
    <w:rsid w:val="797D7DFA"/>
    <w:rsid w:val="797F0137"/>
    <w:rsid w:val="798D0CDD"/>
    <w:rsid w:val="79935991"/>
    <w:rsid w:val="79A50B4C"/>
    <w:rsid w:val="79A74FA7"/>
    <w:rsid w:val="79A8143C"/>
    <w:rsid w:val="79D34031"/>
    <w:rsid w:val="79E76657"/>
    <w:rsid w:val="79EA4099"/>
    <w:rsid w:val="79F94372"/>
    <w:rsid w:val="7A040C3A"/>
    <w:rsid w:val="7A083C89"/>
    <w:rsid w:val="7A0F1FFA"/>
    <w:rsid w:val="7A142515"/>
    <w:rsid w:val="7A1A7578"/>
    <w:rsid w:val="7A291E51"/>
    <w:rsid w:val="7A330376"/>
    <w:rsid w:val="7A334C60"/>
    <w:rsid w:val="7A3902E6"/>
    <w:rsid w:val="7A427F82"/>
    <w:rsid w:val="7A471E19"/>
    <w:rsid w:val="7A5B75CF"/>
    <w:rsid w:val="7A616BBF"/>
    <w:rsid w:val="7A75572E"/>
    <w:rsid w:val="7A7A4AC0"/>
    <w:rsid w:val="7A7E5C42"/>
    <w:rsid w:val="7A8420F8"/>
    <w:rsid w:val="7A880A29"/>
    <w:rsid w:val="7A9B2D4F"/>
    <w:rsid w:val="7AA374CC"/>
    <w:rsid w:val="7AA506A0"/>
    <w:rsid w:val="7AAD569C"/>
    <w:rsid w:val="7AC60522"/>
    <w:rsid w:val="7AC70C29"/>
    <w:rsid w:val="7ADB139D"/>
    <w:rsid w:val="7ADD3367"/>
    <w:rsid w:val="7AE30252"/>
    <w:rsid w:val="7AED10D1"/>
    <w:rsid w:val="7AEF4E49"/>
    <w:rsid w:val="7AF50918"/>
    <w:rsid w:val="7AF67F85"/>
    <w:rsid w:val="7AFB1A3F"/>
    <w:rsid w:val="7B073F40"/>
    <w:rsid w:val="7B0A3A31"/>
    <w:rsid w:val="7B116B6D"/>
    <w:rsid w:val="7B135F59"/>
    <w:rsid w:val="7B2C39A7"/>
    <w:rsid w:val="7B3F7B7E"/>
    <w:rsid w:val="7B415F4E"/>
    <w:rsid w:val="7B41752C"/>
    <w:rsid w:val="7B444040"/>
    <w:rsid w:val="7B445194"/>
    <w:rsid w:val="7B4B580D"/>
    <w:rsid w:val="7B4E1EEB"/>
    <w:rsid w:val="7B5330E3"/>
    <w:rsid w:val="7B555B44"/>
    <w:rsid w:val="7B560A24"/>
    <w:rsid w:val="7B66335D"/>
    <w:rsid w:val="7B6A41A4"/>
    <w:rsid w:val="7B6C46EB"/>
    <w:rsid w:val="7B6E254A"/>
    <w:rsid w:val="7B7A2964"/>
    <w:rsid w:val="7B7F182F"/>
    <w:rsid w:val="7B8A5F6C"/>
    <w:rsid w:val="7B8F5296"/>
    <w:rsid w:val="7BAB1F59"/>
    <w:rsid w:val="7BAC1C1E"/>
    <w:rsid w:val="7BAD7D1A"/>
    <w:rsid w:val="7BB045D8"/>
    <w:rsid w:val="7BBC2F7D"/>
    <w:rsid w:val="7BC57523"/>
    <w:rsid w:val="7BC60874"/>
    <w:rsid w:val="7BD06A28"/>
    <w:rsid w:val="7BD30CB9"/>
    <w:rsid w:val="7BDD2EF3"/>
    <w:rsid w:val="7BF81ADB"/>
    <w:rsid w:val="7BFF730D"/>
    <w:rsid w:val="7C0028C9"/>
    <w:rsid w:val="7C0342FD"/>
    <w:rsid w:val="7C037D98"/>
    <w:rsid w:val="7C0466D2"/>
    <w:rsid w:val="7C11059D"/>
    <w:rsid w:val="7C1728A9"/>
    <w:rsid w:val="7C173577"/>
    <w:rsid w:val="7C1927E9"/>
    <w:rsid w:val="7C34520D"/>
    <w:rsid w:val="7C4B4301"/>
    <w:rsid w:val="7C640237"/>
    <w:rsid w:val="7C694787"/>
    <w:rsid w:val="7C6B49A3"/>
    <w:rsid w:val="7C6F7FEF"/>
    <w:rsid w:val="7C792C1C"/>
    <w:rsid w:val="7C8163A7"/>
    <w:rsid w:val="7C846463"/>
    <w:rsid w:val="7C961A7B"/>
    <w:rsid w:val="7C9D3288"/>
    <w:rsid w:val="7CAA54CB"/>
    <w:rsid w:val="7CAF4890"/>
    <w:rsid w:val="7CB13231"/>
    <w:rsid w:val="7CB4634A"/>
    <w:rsid w:val="7CC0396B"/>
    <w:rsid w:val="7CD267D0"/>
    <w:rsid w:val="7CD508F4"/>
    <w:rsid w:val="7CD84D80"/>
    <w:rsid w:val="7CDE02C9"/>
    <w:rsid w:val="7CFE2FC4"/>
    <w:rsid w:val="7D0043CE"/>
    <w:rsid w:val="7D034BDB"/>
    <w:rsid w:val="7D060228"/>
    <w:rsid w:val="7D0A5F6A"/>
    <w:rsid w:val="7D292894"/>
    <w:rsid w:val="7D384885"/>
    <w:rsid w:val="7D413DEA"/>
    <w:rsid w:val="7D4C0330"/>
    <w:rsid w:val="7D5947FB"/>
    <w:rsid w:val="7D646AE3"/>
    <w:rsid w:val="7D781125"/>
    <w:rsid w:val="7D7A30EF"/>
    <w:rsid w:val="7D803D18"/>
    <w:rsid w:val="7D820B83"/>
    <w:rsid w:val="7D900C3B"/>
    <w:rsid w:val="7DA43B1A"/>
    <w:rsid w:val="7DA55C93"/>
    <w:rsid w:val="7DA912DF"/>
    <w:rsid w:val="7DAC3ADC"/>
    <w:rsid w:val="7DB263D7"/>
    <w:rsid w:val="7DB61C4E"/>
    <w:rsid w:val="7DD722F0"/>
    <w:rsid w:val="7DE24883"/>
    <w:rsid w:val="7DED1B13"/>
    <w:rsid w:val="7DEE261F"/>
    <w:rsid w:val="7DF559D0"/>
    <w:rsid w:val="7DF664EA"/>
    <w:rsid w:val="7E000B16"/>
    <w:rsid w:val="7E00206C"/>
    <w:rsid w:val="7E125BA3"/>
    <w:rsid w:val="7E127E00"/>
    <w:rsid w:val="7E2A0C72"/>
    <w:rsid w:val="7E305D7D"/>
    <w:rsid w:val="7E3232B9"/>
    <w:rsid w:val="7E326761"/>
    <w:rsid w:val="7E3D5ECB"/>
    <w:rsid w:val="7E484F9C"/>
    <w:rsid w:val="7E4F632A"/>
    <w:rsid w:val="7E5A0471"/>
    <w:rsid w:val="7E7A2C7B"/>
    <w:rsid w:val="7E7D2F27"/>
    <w:rsid w:val="7E861620"/>
    <w:rsid w:val="7E8D6E52"/>
    <w:rsid w:val="7E9E696A"/>
    <w:rsid w:val="7EA43818"/>
    <w:rsid w:val="7EA90DDD"/>
    <w:rsid w:val="7EAE089C"/>
    <w:rsid w:val="7ECA3C03"/>
    <w:rsid w:val="7ECE3FBA"/>
    <w:rsid w:val="7EDC7492"/>
    <w:rsid w:val="7F005876"/>
    <w:rsid w:val="7F01339C"/>
    <w:rsid w:val="7F01514B"/>
    <w:rsid w:val="7F0479CB"/>
    <w:rsid w:val="7F160BF6"/>
    <w:rsid w:val="7F166FCE"/>
    <w:rsid w:val="7F1716D0"/>
    <w:rsid w:val="7F3C4EDD"/>
    <w:rsid w:val="7F401B35"/>
    <w:rsid w:val="7F445858"/>
    <w:rsid w:val="7F474990"/>
    <w:rsid w:val="7F514DD0"/>
    <w:rsid w:val="7F595EDC"/>
    <w:rsid w:val="7F5D1EC5"/>
    <w:rsid w:val="7F705B05"/>
    <w:rsid w:val="7F7144BD"/>
    <w:rsid w:val="7F722216"/>
    <w:rsid w:val="7F7A6FA4"/>
    <w:rsid w:val="7F853B65"/>
    <w:rsid w:val="7F952D3C"/>
    <w:rsid w:val="7F961D37"/>
    <w:rsid w:val="7F97467B"/>
    <w:rsid w:val="7F97669F"/>
    <w:rsid w:val="7F9B10FB"/>
    <w:rsid w:val="7FA2248A"/>
    <w:rsid w:val="7FA87175"/>
    <w:rsid w:val="7FCB7C32"/>
    <w:rsid w:val="7FD0778A"/>
    <w:rsid w:val="7FD8234F"/>
    <w:rsid w:val="7FD85EAB"/>
    <w:rsid w:val="7FF627D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iPriority="99"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line="500" w:lineRule="exact"/>
      <w:outlineLvl w:val="0"/>
    </w:pPr>
    <w:rPr>
      <w:b/>
      <w:sz w:val="24"/>
    </w:rPr>
  </w:style>
  <w:style w:type="paragraph" w:styleId="3">
    <w:name w:val="heading 2"/>
    <w:basedOn w:val="1"/>
    <w:next w:val="1"/>
    <w:link w:val="4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jc w:val="center"/>
      <w:outlineLvl w:val="2"/>
    </w:pPr>
    <w:rPr>
      <w:b/>
      <w:bCs/>
      <w:sz w:val="24"/>
      <w:szCs w:val="32"/>
    </w:rPr>
  </w:style>
  <w:style w:type="paragraph" w:styleId="5">
    <w:name w:val="heading 4"/>
    <w:basedOn w:val="1"/>
    <w:next w:val="1"/>
    <w:link w:val="4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outlineLvl w:val="4"/>
    </w:pPr>
    <w:rPr>
      <w:rFonts w:ascii="宋体" w:hAnsi="宋体"/>
      <w:u w:val="single"/>
    </w:rPr>
  </w:style>
  <w:style w:type="paragraph" w:styleId="7">
    <w:name w:val="heading 6"/>
    <w:basedOn w:val="1"/>
    <w:next w:val="1"/>
    <w:qFormat/>
    <w:uiPriority w:val="0"/>
    <w:pPr>
      <w:keepNext/>
      <w:keepLines/>
      <w:spacing w:before="240" w:after="64" w:line="319" w:lineRule="auto"/>
      <w:ind w:firstLine="471" w:firstLineChars="200"/>
      <w:outlineLvl w:val="5"/>
    </w:pPr>
    <w:rPr>
      <w:rFonts w:ascii="Arial" w:hAnsi="Arial" w:eastAsia="黑体"/>
      <w:b/>
      <w:bCs/>
      <w:sz w:val="24"/>
    </w:rPr>
  </w:style>
  <w:style w:type="paragraph" w:styleId="8">
    <w:name w:val="heading 7"/>
    <w:basedOn w:val="1"/>
    <w:next w:val="1"/>
    <w:qFormat/>
    <w:uiPriority w:val="0"/>
    <w:pPr>
      <w:keepNext/>
      <w:tabs>
        <w:tab w:val="center" w:pos="1512"/>
      </w:tabs>
      <w:snapToGrid w:val="0"/>
      <w:jc w:val="center"/>
      <w:outlineLvl w:val="6"/>
    </w:pPr>
    <w:rPr>
      <w:color w:val="000000"/>
      <w:sz w:val="30"/>
      <w:szCs w:val="30"/>
    </w:rPr>
  </w:style>
  <w:style w:type="character" w:default="1" w:styleId="39">
    <w:name w:val="Default Paragraph Font"/>
    <w:semiHidden/>
    <w:qFormat/>
    <w:uiPriority w:val="0"/>
  </w:style>
  <w:style w:type="table" w:default="1" w:styleId="37">
    <w:name w:val="Normal Table"/>
    <w:semiHidden/>
    <w:qFormat/>
    <w:uiPriority w:val="0"/>
    <w:tblPr>
      <w:tblCellMar>
        <w:top w:w="0" w:type="dxa"/>
        <w:left w:w="108" w:type="dxa"/>
        <w:bottom w:w="0" w:type="dxa"/>
        <w:right w:w="108" w:type="dxa"/>
      </w:tblCellMar>
    </w:tblPr>
  </w:style>
  <w:style w:type="paragraph" w:styleId="9">
    <w:name w:val="toc 7"/>
    <w:basedOn w:val="1"/>
    <w:next w:val="1"/>
    <w:semiHidden/>
    <w:qFormat/>
    <w:uiPriority w:val="0"/>
    <w:pPr>
      <w:ind w:left="2520" w:leftChars="1200"/>
    </w:pPr>
  </w:style>
  <w:style w:type="paragraph" w:styleId="10">
    <w:name w:val="Normal Indent"/>
    <w:basedOn w:val="1"/>
    <w:next w:val="1"/>
    <w:qFormat/>
    <w:uiPriority w:val="0"/>
    <w:pPr>
      <w:autoSpaceDE/>
      <w:autoSpaceDN/>
      <w:spacing w:line="600" w:lineRule="exact"/>
      <w:ind w:firstLine="420"/>
      <w:jc w:val="both"/>
    </w:pPr>
    <w:rPr>
      <w:rFonts w:ascii="Calibri" w:hAnsi="Calibri" w:cs="Times New Roman"/>
      <w:kern w:val="2"/>
      <w:sz w:val="28"/>
      <w:lang w:val="en-US" w:bidi="ar-SA"/>
    </w:rPr>
  </w:style>
  <w:style w:type="paragraph" w:styleId="11">
    <w:name w:val="Document Map"/>
    <w:basedOn w:val="1"/>
    <w:semiHidden/>
    <w:qFormat/>
    <w:uiPriority w:val="0"/>
    <w:pPr>
      <w:shd w:val="clear" w:color="auto" w:fill="000080"/>
    </w:pPr>
  </w:style>
  <w:style w:type="paragraph" w:styleId="12">
    <w:name w:val="annotation text"/>
    <w:basedOn w:val="1"/>
    <w:semiHidden/>
    <w:qFormat/>
    <w:uiPriority w:val="0"/>
    <w:pPr>
      <w:jc w:val="left"/>
    </w:pPr>
  </w:style>
  <w:style w:type="paragraph" w:styleId="13">
    <w:name w:val="Body Text 3"/>
    <w:basedOn w:val="1"/>
    <w:link w:val="48"/>
    <w:qFormat/>
    <w:uiPriority w:val="0"/>
    <w:pPr>
      <w:spacing w:after="120"/>
    </w:pPr>
    <w:rPr>
      <w:sz w:val="16"/>
      <w:szCs w:val="16"/>
    </w:rPr>
  </w:style>
  <w:style w:type="paragraph" w:styleId="14">
    <w:name w:val="Body Text"/>
    <w:basedOn w:val="1"/>
    <w:link w:val="49"/>
    <w:qFormat/>
    <w:uiPriority w:val="0"/>
    <w:pPr>
      <w:spacing w:line="360" w:lineRule="auto"/>
    </w:pPr>
    <w:rPr>
      <w:rFonts w:eastAsia="黑体"/>
      <w:sz w:val="24"/>
      <w:szCs w:val="20"/>
    </w:rPr>
  </w:style>
  <w:style w:type="paragraph" w:styleId="15">
    <w:name w:val="Body Text Indent"/>
    <w:basedOn w:val="1"/>
    <w:qFormat/>
    <w:uiPriority w:val="0"/>
    <w:pPr>
      <w:spacing w:line="360" w:lineRule="auto"/>
      <w:ind w:firstLine="480"/>
    </w:pPr>
    <w:rPr>
      <w:sz w:val="24"/>
      <w:szCs w:val="20"/>
    </w:rPr>
  </w:style>
  <w:style w:type="paragraph" w:styleId="16">
    <w:name w:val="toc 5"/>
    <w:basedOn w:val="1"/>
    <w:next w:val="1"/>
    <w:semiHidden/>
    <w:qFormat/>
    <w:uiPriority w:val="0"/>
    <w:pPr>
      <w:ind w:left="1680" w:leftChars="800"/>
    </w:pPr>
  </w:style>
  <w:style w:type="paragraph" w:styleId="17">
    <w:name w:val="toc 3"/>
    <w:basedOn w:val="1"/>
    <w:next w:val="1"/>
    <w:qFormat/>
    <w:uiPriority w:val="39"/>
    <w:pPr>
      <w:tabs>
        <w:tab w:val="right" w:leader="dot" w:pos="9060"/>
      </w:tabs>
      <w:ind w:left="560" w:hanging="560" w:hangingChars="200"/>
      <w:jc w:val="left"/>
    </w:pPr>
    <w:rPr>
      <w:rFonts w:ascii="宋体" w:hAnsi="宋体"/>
      <w:iCs/>
      <w:sz w:val="28"/>
    </w:rPr>
  </w:style>
  <w:style w:type="paragraph" w:styleId="18">
    <w:name w:val="Plain Text"/>
    <w:basedOn w:val="1"/>
    <w:qFormat/>
    <w:uiPriority w:val="0"/>
    <w:pPr>
      <w:spacing w:line="360" w:lineRule="auto"/>
    </w:pPr>
    <w:rPr>
      <w:rFonts w:ascii="宋体" w:hAnsi="Courier New"/>
      <w:sz w:val="24"/>
      <w:szCs w:val="21"/>
    </w:rPr>
  </w:style>
  <w:style w:type="paragraph" w:styleId="19">
    <w:name w:val="toc 8"/>
    <w:basedOn w:val="1"/>
    <w:next w:val="1"/>
    <w:semiHidden/>
    <w:qFormat/>
    <w:uiPriority w:val="0"/>
    <w:pPr>
      <w:ind w:left="2940" w:leftChars="1400"/>
    </w:pPr>
  </w:style>
  <w:style w:type="paragraph" w:styleId="20">
    <w:name w:val="Date"/>
    <w:basedOn w:val="1"/>
    <w:next w:val="1"/>
    <w:qFormat/>
    <w:uiPriority w:val="0"/>
    <w:pPr>
      <w:ind w:left="100" w:leftChars="2500"/>
    </w:pPr>
    <w:rPr>
      <w:sz w:val="24"/>
      <w:szCs w:val="20"/>
    </w:rPr>
  </w:style>
  <w:style w:type="paragraph" w:styleId="21">
    <w:name w:val="Body Text Indent 2"/>
    <w:basedOn w:val="1"/>
    <w:qFormat/>
    <w:uiPriority w:val="0"/>
    <w:pPr>
      <w:ind w:left="-59" w:leftChars="-28" w:firstLine="315" w:firstLineChars="150"/>
    </w:pPr>
    <w:rPr>
      <w:rFonts w:ascii="Arial" w:hAnsi="Arial"/>
    </w:rPr>
  </w:style>
  <w:style w:type="paragraph" w:styleId="22">
    <w:name w:val="Balloon Text"/>
    <w:basedOn w:val="1"/>
    <w:semiHidden/>
    <w:qFormat/>
    <w:uiPriority w:val="0"/>
    <w:rPr>
      <w:sz w:val="18"/>
      <w:szCs w:val="18"/>
    </w:rPr>
  </w:style>
  <w:style w:type="paragraph" w:styleId="23">
    <w:name w:val="footer"/>
    <w:basedOn w:val="1"/>
    <w:qFormat/>
    <w:uiPriority w:val="0"/>
    <w:pPr>
      <w:tabs>
        <w:tab w:val="center" w:pos="4153"/>
        <w:tab w:val="right" w:pos="8306"/>
      </w:tabs>
      <w:snapToGrid w:val="0"/>
      <w:jc w:val="left"/>
    </w:pPr>
    <w:rPr>
      <w:sz w:val="18"/>
      <w:szCs w:val="18"/>
    </w:rPr>
  </w:style>
  <w:style w:type="paragraph" w:styleId="2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qFormat/>
    <w:uiPriority w:val="39"/>
    <w:pPr>
      <w:tabs>
        <w:tab w:val="right" w:leader="dot" w:pos="9060"/>
      </w:tabs>
      <w:spacing w:before="120" w:after="120"/>
      <w:jc w:val="left"/>
    </w:pPr>
    <w:rPr>
      <w:rFonts w:ascii="黑体" w:hAnsi="宋体" w:eastAsia="黑体"/>
      <w:b/>
      <w:bCs/>
      <w:caps/>
      <w:kern w:val="0"/>
      <w:sz w:val="28"/>
    </w:rPr>
  </w:style>
  <w:style w:type="paragraph" w:styleId="26">
    <w:name w:val="toc 4"/>
    <w:basedOn w:val="1"/>
    <w:next w:val="1"/>
    <w:semiHidden/>
    <w:qFormat/>
    <w:uiPriority w:val="0"/>
    <w:pPr>
      <w:ind w:left="1260" w:leftChars="600"/>
    </w:pPr>
  </w:style>
  <w:style w:type="paragraph" w:styleId="27">
    <w:name w:val="List"/>
    <w:basedOn w:val="1"/>
    <w:qFormat/>
    <w:uiPriority w:val="0"/>
    <w:pPr>
      <w:adjustRightInd w:val="0"/>
      <w:snapToGrid w:val="0"/>
      <w:spacing w:line="20" w:lineRule="atLeast"/>
      <w:jc w:val="center"/>
      <w:textAlignment w:val="baseline"/>
    </w:pPr>
    <w:rPr>
      <w:rFonts w:eastAsia="幼圆"/>
      <w:snapToGrid w:val="0"/>
      <w:spacing w:val="12"/>
      <w:kern w:val="0"/>
      <w:sz w:val="18"/>
      <w:szCs w:val="20"/>
    </w:rPr>
  </w:style>
  <w:style w:type="paragraph" w:styleId="28">
    <w:name w:val="footnote text"/>
    <w:basedOn w:val="1"/>
    <w:unhideWhenUsed/>
    <w:qFormat/>
    <w:uiPriority w:val="99"/>
    <w:pPr>
      <w:snapToGrid w:val="0"/>
      <w:jc w:val="left"/>
    </w:pPr>
    <w:rPr>
      <w:sz w:val="18"/>
    </w:rPr>
  </w:style>
  <w:style w:type="paragraph" w:styleId="29">
    <w:name w:val="toc 6"/>
    <w:basedOn w:val="1"/>
    <w:next w:val="1"/>
    <w:semiHidden/>
    <w:qFormat/>
    <w:uiPriority w:val="0"/>
    <w:pPr>
      <w:ind w:left="2100" w:leftChars="1000"/>
    </w:pPr>
  </w:style>
  <w:style w:type="paragraph" w:styleId="30">
    <w:name w:val="Body Text Indent 3"/>
    <w:basedOn w:val="1"/>
    <w:qFormat/>
    <w:uiPriority w:val="0"/>
    <w:pPr>
      <w:ind w:left="360" w:firstLine="360"/>
    </w:pPr>
    <w:rPr>
      <w:rFonts w:ascii="Arial" w:hAnsi="Arial"/>
    </w:rPr>
  </w:style>
  <w:style w:type="paragraph" w:styleId="31">
    <w:name w:val="toc 2"/>
    <w:basedOn w:val="1"/>
    <w:next w:val="1"/>
    <w:qFormat/>
    <w:uiPriority w:val="39"/>
    <w:pPr>
      <w:ind w:left="210"/>
      <w:jc w:val="left"/>
    </w:pPr>
    <w:rPr>
      <w:smallCaps/>
    </w:rPr>
  </w:style>
  <w:style w:type="paragraph" w:styleId="32">
    <w:name w:val="toc 9"/>
    <w:basedOn w:val="1"/>
    <w:next w:val="1"/>
    <w:semiHidden/>
    <w:qFormat/>
    <w:uiPriority w:val="0"/>
    <w:pPr>
      <w:ind w:left="3360" w:leftChars="1600"/>
    </w:pPr>
  </w:style>
  <w:style w:type="paragraph" w:styleId="33">
    <w:name w:val="Body Text 2"/>
    <w:basedOn w:val="1"/>
    <w:qFormat/>
    <w:uiPriority w:val="0"/>
    <w:pPr>
      <w:tabs>
        <w:tab w:val="left" w:pos="540"/>
      </w:tabs>
      <w:adjustRightInd w:val="0"/>
      <w:snapToGrid w:val="0"/>
    </w:pPr>
    <w:rPr>
      <w:rFonts w:ascii="宋体" w:hAnsi="宋体" w:cs="Arial"/>
      <w:color w:val="000000"/>
      <w:szCs w:val="21"/>
    </w:rPr>
  </w:style>
  <w:style w:type="paragraph" w:styleId="34">
    <w:name w:val="Normal (Web)"/>
    <w:basedOn w:val="1"/>
    <w:next w:val="1"/>
    <w:qFormat/>
    <w:uiPriority w:val="99"/>
    <w:pPr>
      <w:widowControl/>
      <w:spacing w:before="100" w:beforeAutospacing="1" w:after="100" w:afterAutospacing="1"/>
      <w:jc w:val="left"/>
    </w:pPr>
    <w:rPr>
      <w:rFonts w:ascii="宋体" w:hAnsi="宋体" w:cs="宋体"/>
      <w:kern w:val="0"/>
      <w:sz w:val="24"/>
      <w:szCs w:val="24"/>
    </w:rPr>
  </w:style>
  <w:style w:type="paragraph" w:styleId="35">
    <w:name w:val="Title"/>
    <w:basedOn w:val="1"/>
    <w:next w:val="1"/>
    <w:link w:val="50"/>
    <w:qFormat/>
    <w:uiPriority w:val="0"/>
    <w:pPr>
      <w:spacing w:before="240" w:after="60"/>
      <w:jc w:val="center"/>
      <w:outlineLvl w:val="0"/>
    </w:pPr>
    <w:rPr>
      <w:rFonts w:ascii="Arial" w:hAnsi="Arial" w:cs="Arial"/>
      <w:b/>
      <w:bCs/>
      <w:sz w:val="32"/>
      <w:szCs w:val="32"/>
    </w:rPr>
  </w:style>
  <w:style w:type="paragraph" w:styleId="36">
    <w:name w:val="annotation subject"/>
    <w:basedOn w:val="12"/>
    <w:next w:val="12"/>
    <w:semiHidden/>
    <w:qFormat/>
    <w:uiPriority w:val="0"/>
    <w:rPr>
      <w:b/>
      <w:bCs/>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0"/>
    <w:rPr>
      <w:b/>
      <w:bCs/>
    </w:rPr>
  </w:style>
  <w:style w:type="character" w:styleId="41">
    <w:name w:val="page number"/>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semiHidden/>
    <w:qFormat/>
    <w:uiPriority w:val="0"/>
    <w:rPr>
      <w:sz w:val="21"/>
      <w:szCs w:val="21"/>
    </w:rPr>
  </w:style>
  <w:style w:type="character" w:styleId="45">
    <w:name w:val="footnote reference"/>
    <w:unhideWhenUsed/>
    <w:qFormat/>
    <w:uiPriority w:val="99"/>
    <w:rPr>
      <w:vertAlign w:val="superscript"/>
    </w:rPr>
  </w:style>
  <w:style w:type="character" w:customStyle="1" w:styleId="46">
    <w:name w:val="标题 2 Char"/>
    <w:link w:val="3"/>
    <w:qFormat/>
    <w:uiPriority w:val="0"/>
    <w:rPr>
      <w:rFonts w:ascii="Arial" w:hAnsi="Arial" w:eastAsia="黑体"/>
      <w:b/>
      <w:bCs/>
      <w:kern w:val="2"/>
      <w:sz w:val="32"/>
      <w:szCs w:val="32"/>
      <w:lang w:val="en-US" w:eastAsia="zh-CN" w:bidi="ar-SA"/>
    </w:rPr>
  </w:style>
  <w:style w:type="character" w:customStyle="1" w:styleId="47">
    <w:name w:val="标题 4 Char1"/>
    <w:link w:val="5"/>
    <w:qFormat/>
    <w:uiPriority w:val="0"/>
    <w:rPr>
      <w:rFonts w:ascii="Arial" w:hAnsi="Arial" w:eastAsia="黑体"/>
      <w:b/>
      <w:bCs/>
      <w:kern w:val="2"/>
      <w:sz w:val="28"/>
      <w:szCs w:val="28"/>
      <w:lang w:val="en-US" w:eastAsia="zh-CN" w:bidi="ar-SA"/>
    </w:rPr>
  </w:style>
  <w:style w:type="character" w:customStyle="1" w:styleId="48">
    <w:name w:val="正文文本 3 Char"/>
    <w:link w:val="13"/>
    <w:qFormat/>
    <w:uiPriority w:val="0"/>
    <w:rPr>
      <w:kern w:val="2"/>
      <w:sz w:val="16"/>
      <w:szCs w:val="16"/>
    </w:rPr>
  </w:style>
  <w:style w:type="character" w:customStyle="1" w:styleId="49">
    <w:name w:val="正文文本 Char"/>
    <w:link w:val="14"/>
    <w:qFormat/>
    <w:uiPriority w:val="0"/>
    <w:rPr>
      <w:rFonts w:eastAsia="黑体"/>
      <w:kern w:val="2"/>
      <w:sz w:val="24"/>
    </w:rPr>
  </w:style>
  <w:style w:type="character" w:customStyle="1" w:styleId="50">
    <w:name w:val="标题 Char"/>
    <w:link w:val="35"/>
    <w:qFormat/>
    <w:uiPriority w:val="0"/>
    <w:rPr>
      <w:rFonts w:ascii="Arial" w:hAnsi="Arial" w:eastAsia="宋体" w:cs="Arial"/>
      <w:b/>
      <w:bCs/>
      <w:kern w:val="2"/>
      <w:sz w:val="32"/>
      <w:szCs w:val="32"/>
      <w:lang w:val="en-US" w:eastAsia="zh-CN" w:bidi="ar-SA"/>
    </w:rPr>
  </w:style>
  <w:style w:type="character" w:customStyle="1" w:styleId="51">
    <w:name w:val="HTML Markup"/>
    <w:qFormat/>
    <w:uiPriority w:val="0"/>
    <w:rPr>
      <w:vanish/>
      <w:color w:val="FF0000"/>
    </w:rPr>
  </w:style>
  <w:style w:type="paragraph" w:customStyle="1" w:styleId="52">
    <w:name w:val="正文首行缩进 21"/>
    <w:basedOn w:val="53"/>
    <w:qFormat/>
    <w:uiPriority w:val="99"/>
    <w:pPr>
      <w:spacing w:line="360" w:lineRule="auto"/>
    </w:pPr>
    <w:rPr>
      <w:sz w:val="24"/>
    </w:rPr>
  </w:style>
  <w:style w:type="paragraph" w:customStyle="1" w:styleId="53">
    <w:name w:val="正文文本缩进11"/>
    <w:basedOn w:val="1"/>
    <w:next w:val="54"/>
    <w:qFormat/>
    <w:uiPriority w:val="0"/>
    <w:pPr>
      <w:keepNext w:val="0"/>
      <w:keepLines w:val="0"/>
      <w:widowControl w:val="0"/>
      <w:suppressLineNumbers w:val="0"/>
      <w:spacing w:before="0" w:beforeAutospacing="0" w:after="120" w:afterAutospacing="0"/>
      <w:ind w:left="420" w:right="0"/>
      <w:jc w:val="both"/>
    </w:pPr>
    <w:rPr>
      <w:rFonts w:ascii="Times New Roman" w:hAnsi="Times New Roman" w:eastAsia="宋体" w:cs="Times New Roman"/>
      <w:color w:val="000000"/>
      <w:sz w:val="21"/>
      <w:szCs w:val="24"/>
      <w:lang w:val="en-US" w:eastAsia="zh-CN" w:bidi="ar"/>
    </w:rPr>
  </w:style>
  <w:style w:type="paragraph" w:customStyle="1" w:styleId="54">
    <w:name w:val="寄信人地址11"/>
    <w:basedOn w:val="1"/>
    <w:unhideWhenUsed/>
    <w:qFormat/>
    <w:uiPriority w:val="99"/>
    <w:rPr>
      <w:rFonts w:ascii="Arial" w:hAnsi="Arial"/>
    </w:rPr>
  </w:style>
  <w:style w:type="paragraph" w:customStyle="1" w:styleId="55">
    <w:name w:val="正文文本缩进1"/>
    <w:basedOn w:val="1"/>
    <w:qFormat/>
    <w:uiPriority w:val="99"/>
    <w:pPr>
      <w:spacing w:line="150" w:lineRule="atLeast"/>
      <w:ind w:firstLine="420" w:firstLineChars="200"/>
      <w:textAlignment w:val="baseline"/>
    </w:pPr>
  </w:style>
  <w:style w:type="paragraph" w:customStyle="1" w:styleId="56">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57">
    <w:name w:val="页眉 Char"/>
    <w:qFormat/>
    <w:uiPriority w:val="0"/>
    <w:rPr>
      <w:rFonts w:eastAsia="宋体"/>
      <w:kern w:val="2"/>
      <w:sz w:val="18"/>
      <w:szCs w:val="18"/>
      <w:lang w:val="en-US" w:eastAsia="zh-CN" w:bidi="ar-SA"/>
    </w:rPr>
  </w:style>
  <w:style w:type="character" w:customStyle="1" w:styleId="58">
    <w:name w:val="footnote mark"/>
    <w:qFormat/>
    <w:uiPriority w:val="0"/>
    <w:rPr>
      <w:rFonts w:ascii="微软雅黑" w:hAnsi="微软雅黑" w:eastAsia="微软雅黑" w:cs="微软雅黑"/>
      <w:color w:val="000000"/>
      <w:sz w:val="14"/>
      <w:vertAlign w:val="superscript"/>
    </w:rPr>
  </w:style>
  <w:style w:type="character" w:customStyle="1" w:styleId="59">
    <w:name w:val="标题 4 Char"/>
    <w:qFormat/>
    <w:uiPriority w:val="0"/>
    <w:rPr>
      <w:rFonts w:ascii="Arial" w:hAnsi="Arial" w:eastAsia="黑体"/>
      <w:b/>
      <w:bCs/>
      <w:kern w:val="2"/>
      <w:sz w:val="28"/>
      <w:szCs w:val="28"/>
      <w:lang w:val="en-US" w:eastAsia="zh-CN" w:bidi="ar-SA"/>
    </w:rPr>
  </w:style>
  <w:style w:type="paragraph" w:customStyle="1" w:styleId="60">
    <w:name w:val="样式 小四 行距: 1.5 倍行距"/>
    <w:basedOn w:val="1"/>
    <w:qFormat/>
    <w:uiPriority w:val="0"/>
    <w:pPr>
      <w:spacing w:line="360" w:lineRule="auto"/>
      <w:ind w:firstLine="480" w:firstLineChars="200"/>
    </w:pPr>
    <w:rPr>
      <w:rFonts w:ascii="宋体" w:hAnsi="Times New Roman" w:eastAsia="宋体" w:cs="宋体"/>
      <w:sz w:val="24"/>
      <w:szCs w:val="20"/>
    </w:rPr>
  </w:style>
  <w:style w:type="paragraph" w:customStyle="1" w:styleId="61">
    <w:name w:val=" Char Char Char Char Char Char"/>
    <w:basedOn w:val="1"/>
    <w:qFormat/>
    <w:uiPriority w:val="0"/>
  </w:style>
  <w:style w:type="paragraph" w:customStyle="1" w:styleId="62">
    <w:name w:val=" Char Char Char Char Char Char Char"/>
    <w:basedOn w:val="1"/>
    <w:qFormat/>
    <w:uiPriority w:val="0"/>
    <w:pPr>
      <w:tabs>
        <w:tab w:val="left" w:pos="420"/>
      </w:tabs>
      <w:snapToGrid w:val="0"/>
      <w:spacing w:line="360" w:lineRule="auto"/>
      <w:ind w:left="420" w:hanging="420"/>
    </w:pPr>
    <w:rPr>
      <w:rFonts w:eastAsia="仿宋_GB2312" w:cs="宋体"/>
      <w:sz w:val="24"/>
    </w:rPr>
  </w:style>
  <w:style w:type="paragraph" w:customStyle="1" w:styleId="63">
    <w:name w:val="footnote description"/>
    <w:next w:val="1"/>
    <w:qFormat/>
    <w:uiPriority w:val="0"/>
    <w:pPr>
      <w:spacing w:line="344" w:lineRule="auto"/>
    </w:pPr>
    <w:rPr>
      <w:rFonts w:ascii="微软雅黑" w:hAnsi="微软雅黑" w:eastAsia="微软雅黑" w:cs="微软雅黑"/>
      <w:color w:val="000000"/>
      <w:kern w:val="2"/>
      <w:sz w:val="18"/>
      <w:szCs w:val="22"/>
      <w:lang w:val="en-US" w:eastAsia="zh-CN" w:bidi="ar-SA"/>
    </w:rPr>
  </w:style>
  <w:style w:type="paragraph" w:customStyle="1" w:styleId="64">
    <w:name w:val="样式1"/>
    <w:basedOn w:val="1"/>
    <w:qFormat/>
    <w:uiPriority w:val="0"/>
    <w:pPr>
      <w:adjustRightInd w:val="0"/>
      <w:snapToGrid w:val="0"/>
      <w:spacing w:line="288" w:lineRule="auto"/>
      <w:ind w:firstLine="454"/>
      <w:jc w:val="right"/>
      <w:textAlignment w:val="baseline"/>
    </w:pPr>
    <w:rPr>
      <w:rFonts w:eastAsia="黑体"/>
      <w:spacing w:val="12"/>
      <w:kern w:val="0"/>
      <w:szCs w:val="20"/>
    </w:rPr>
  </w:style>
  <w:style w:type="paragraph" w:customStyle="1" w:styleId="65">
    <w:name w:val=" Char Char Char Char Char Char Char Char Char Char Char Char Char Char Char Char Char Char Char Char Char Char Char Char Char"/>
    <w:basedOn w:val="1"/>
    <w:qFormat/>
    <w:uiPriority w:val="0"/>
  </w:style>
  <w:style w:type="paragraph" w:customStyle="1" w:styleId="66">
    <w:name w:val="标题3"/>
    <w:basedOn w:val="4"/>
    <w:qFormat/>
    <w:uiPriority w:val="0"/>
    <w:pPr>
      <w:adjustRightInd w:val="0"/>
      <w:snapToGrid w:val="0"/>
      <w:spacing w:before="100" w:beforeLines="100" w:after="100" w:afterLines="100" w:line="240" w:lineRule="auto"/>
    </w:pPr>
    <w:rPr>
      <w:rFonts w:eastAsia="黑体"/>
      <w:sz w:val="28"/>
      <w:szCs w:val="20"/>
    </w:rPr>
  </w:style>
  <w:style w:type="paragraph" w:styleId="67">
    <w:name w:val="List Paragraph"/>
    <w:basedOn w:val="1"/>
    <w:qFormat/>
    <w:uiPriority w:val="1"/>
    <w:pPr>
      <w:ind w:left="424" w:firstLine="480"/>
    </w:pPr>
    <w:rPr>
      <w:rFonts w:ascii="宋体" w:hAnsi="宋体" w:eastAsia="宋体" w:cs="宋体"/>
      <w:lang w:val="zh-CN" w:eastAsia="zh-CN" w:bidi="zh-CN"/>
    </w:rPr>
  </w:style>
  <w:style w:type="paragraph" w:customStyle="1" w:styleId="68">
    <w:name w:val="样式 标题 3 + (中文) 黑体 小四 非加粗 段前: 7.8 磅 段后: 0 磅 行距: 固定值 20 磅"/>
    <w:basedOn w:val="4"/>
    <w:qFormat/>
    <w:uiPriority w:val="0"/>
    <w:pPr>
      <w:spacing w:before="0" w:after="0" w:line="400" w:lineRule="exact"/>
      <w:jc w:val="both"/>
    </w:pPr>
    <w:rPr>
      <w:rFonts w:eastAsia="黑体" w:cs="宋体"/>
      <w:b w:val="0"/>
      <w:bCs w:val="0"/>
      <w:szCs w:val="20"/>
    </w:rPr>
  </w:style>
  <w:style w:type="paragraph" w:customStyle="1" w:styleId="69">
    <w:name w:val=" Char Char Char Char"/>
    <w:basedOn w:val="1"/>
    <w:qFormat/>
    <w:uiPriority w:val="0"/>
  </w:style>
  <w:style w:type="paragraph" w:customStyle="1" w:styleId="70">
    <w:name w:val="格式2"/>
    <w:qFormat/>
    <w:uiPriority w:val="0"/>
    <w:pPr>
      <w:widowControl w:val="0"/>
      <w:adjustRightInd w:val="0"/>
      <w:snapToGrid w:val="0"/>
      <w:spacing w:before="50" w:line="440" w:lineRule="exact"/>
      <w:jc w:val="both"/>
    </w:pPr>
    <w:rPr>
      <w:rFonts w:ascii="Times New Roman" w:hAnsi="Times New Roman" w:eastAsia="宋体" w:cs="Times New Roman"/>
      <w:snapToGrid w:val="0"/>
      <w:sz w:val="24"/>
      <w:lang w:val="en-US" w:eastAsia="zh-CN" w:bidi="ar-SA"/>
    </w:rPr>
  </w:style>
  <w:style w:type="paragraph" w:customStyle="1" w:styleId="71">
    <w:name w:val="标题 2 + Times New Roman 居中 段前: 0 磅 段后: 0 磅 行距: 单倍行距 + 段前..."/>
    <w:basedOn w:val="1"/>
    <w:qFormat/>
    <w:uiPriority w:val="99"/>
    <w:pPr>
      <w:keepNext/>
      <w:keepLines/>
      <w:adjustRightInd w:val="0"/>
      <w:snapToGrid w:val="0"/>
      <w:spacing w:before="150" w:beforeLines="150" w:after="100" w:afterLines="100"/>
      <w:jc w:val="center"/>
      <w:outlineLvl w:val="1"/>
    </w:pPr>
    <w:rPr>
      <w:rFonts w:eastAsia="黑体"/>
      <w:b/>
      <w:bCs/>
      <w:sz w:val="32"/>
      <w:szCs w:val="20"/>
    </w:rPr>
  </w:style>
  <w:style w:type="paragraph" w:customStyle="1" w:styleId="72">
    <w:name w:val=" Char1"/>
    <w:basedOn w:val="1"/>
    <w:qFormat/>
    <w:uiPriority w:val="0"/>
  </w:style>
  <w:style w:type="paragraph" w:customStyle="1" w:styleId="73">
    <w:name w:val=" Char Char Char1 Char Char Char Char Char Char Char Char Char Char Char Char Char Char Char Char Char Char Char"/>
    <w:basedOn w:val="1"/>
    <w:qFormat/>
    <w:uiPriority w:val="0"/>
  </w:style>
  <w:style w:type="paragraph" w:customStyle="1" w:styleId="74">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75">
    <w:name w:val="Table Paragraph"/>
    <w:basedOn w:val="1"/>
    <w:qFormat/>
    <w:uiPriority w:val="1"/>
    <w:pPr>
      <w:jc w:val="left"/>
    </w:pPr>
    <w:rPr>
      <w:rFonts w:ascii="Calibri" w:hAnsi="Calibri" w:eastAsia="Calibri"/>
      <w:kern w:val="0"/>
      <w:sz w:val="22"/>
      <w:szCs w:val="22"/>
      <w:lang w:eastAsia="en-US"/>
    </w:rPr>
  </w:style>
  <w:style w:type="paragraph" w:customStyle="1" w:styleId="76">
    <w:name w:val="Char Char Char1 Char"/>
    <w:basedOn w:val="3"/>
    <w:next w:val="1"/>
    <w:qFormat/>
    <w:uiPriority w:val="0"/>
    <w:pPr>
      <w:snapToGrid w:val="0"/>
      <w:spacing w:before="120" w:after="120" w:line="240" w:lineRule="auto"/>
      <w:jc w:val="left"/>
    </w:pPr>
    <w:rPr>
      <w:bCs w:val="0"/>
      <w:szCs w:val="20"/>
    </w:rPr>
  </w:style>
  <w:style w:type="paragraph" w:customStyle="1" w:styleId="77">
    <w:name w:val="默认段落字体 Para Char"/>
    <w:basedOn w:val="1"/>
    <w:qFormat/>
    <w:uiPriority w:val="0"/>
    <w:rPr>
      <w:szCs w:val="21"/>
    </w:rPr>
  </w:style>
  <w:style w:type="table" w:customStyle="1" w:styleId="78">
    <w:name w:val="TableGrid"/>
    <w:qFormat/>
    <w:uiPriority w:val="0"/>
    <w:rPr>
      <w:lang w:val="en-US" w:eastAsia="zh-CN" w:bidi="ar-SA"/>
    </w:rPr>
    <w:tblPr>
      <w:tblCellMar>
        <w:top w:w="0" w:type="dxa"/>
        <w:left w:w="0" w:type="dxa"/>
        <w:bottom w:w="0" w:type="dxa"/>
        <w:right w:w="0" w:type="dxa"/>
      </w:tblCellMar>
    </w:tblPr>
  </w:style>
  <w:style w:type="table" w:customStyle="1" w:styleId="79">
    <w:name w:val="Table Normal"/>
    <w:unhideWhenUsed/>
    <w:qFormat/>
    <w:uiPriority w:val="0"/>
    <w:rPr>
      <w:lang w:val="en-US" w:eastAsia="zh-CN" w:bidi="ar-SA"/>
    </w:rPr>
    <w:tblPr>
      <w:tblCellMar>
        <w:top w:w="0" w:type="dxa"/>
        <w:left w:w="0" w:type="dxa"/>
        <w:bottom w:w="0" w:type="dxa"/>
        <w:right w:w="0" w:type="dxa"/>
      </w:tblCellMar>
    </w:tblPr>
  </w:style>
  <w:style w:type="paragraph" w:customStyle="1" w:styleId="80">
    <w:name w:val="Normal_50"/>
    <w:qFormat/>
    <w:uiPriority w:val="0"/>
    <w:pPr>
      <w:spacing w:before="120" w:after="240"/>
      <w:jc w:val="both"/>
    </w:pPr>
    <w:rPr>
      <w:rFonts w:ascii="Calibri" w:hAnsi="Calibri" w:eastAsia="宋体" w:cs="Times New Roman"/>
      <w:sz w:val="22"/>
      <w:szCs w:val="22"/>
      <w:lang w:val="en-US" w:eastAsia="en-US" w:bidi="ar-SA"/>
    </w:rPr>
  </w:style>
  <w:style w:type="paragraph" w:customStyle="1" w:styleId="81">
    <w:name w:val="Normal_29"/>
    <w:qFormat/>
    <w:uiPriority w:val="0"/>
    <w:pPr>
      <w:spacing w:before="120" w:after="240"/>
      <w:jc w:val="both"/>
    </w:pPr>
    <w:rPr>
      <w:rFonts w:ascii="Calibri" w:hAnsi="Calibri" w:eastAsia="宋体" w:cs="Times New Roman"/>
      <w:sz w:val="22"/>
      <w:szCs w:val="22"/>
      <w:lang w:val="en-US" w:eastAsia="en-US" w:bidi="ar-SA"/>
    </w:rPr>
  </w:style>
  <w:style w:type="paragraph" w:customStyle="1" w:styleId="82">
    <w:name w:val="_Style 81"/>
    <w:unhideWhenUsed/>
    <w:qFormat/>
    <w:uiPriority w:val="99"/>
    <w:rPr>
      <w:rFonts w:ascii="Times New Roman" w:hAnsi="Times New Roman" w:eastAsia="宋体" w:cs="Times New Roman"/>
      <w:kern w:val="2"/>
      <w:sz w:val="21"/>
      <w:szCs w:val="24"/>
      <w:lang w:val="en-US" w:eastAsia="zh-CN" w:bidi="ar-SA"/>
    </w:rPr>
  </w:style>
  <w:style w:type="paragraph" w:customStyle="1" w:styleId="83">
    <w:name w:val="zw123"/>
    <w:basedOn w:val="1"/>
    <w:qFormat/>
    <w:uiPriority w:val="99"/>
    <w:pPr>
      <w:autoSpaceDE w:val="0"/>
      <w:autoSpaceDN w:val="0"/>
      <w:adjustRightInd w:val="0"/>
      <w:spacing w:line="360" w:lineRule="auto"/>
      <w:ind w:firstLine="480" w:firstLineChars="200"/>
    </w:pPr>
    <w:rPr>
      <w:rFonts w:ascii="宋体" w:hAnsi="宋体"/>
      <w:sz w:val="24"/>
      <w:szCs w:val="22"/>
    </w:rPr>
  </w:style>
  <w:style w:type="character" w:customStyle="1" w:styleId="84">
    <w:name w:val="font11"/>
    <w:qFormat/>
    <w:uiPriority w:val="0"/>
    <w:rPr>
      <w:rFonts w:hint="eastAsia" w:ascii="宋体" w:hAnsi="宋体" w:eastAsia="宋体" w:cs="宋体"/>
      <w:b/>
      <w:bCs/>
      <w:color w:val="000000"/>
      <w:sz w:val="22"/>
      <w:szCs w:val="22"/>
      <w:u w:val="none"/>
    </w:rPr>
  </w:style>
  <w:style w:type="character" w:customStyle="1" w:styleId="85">
    <w:name w:val="font01"/>
    <w:qFormat/>
    <w:uiPriority w:val="0"/>
    <w:rPr>
      <w:rFonts w:hint="eastAsia" w:ascii="宋体" w:hAnsi="宋体" w:eastAsia="宋体" w:cs="宋体"/>
      <w:color w:val="000000"/>
      <w:sz w:val="22"/>
      <w:szCs w:val="22"/>
      <w:u w:val="none"/>
    </w:rPr>
  </w:style>
  <w:style w:type="paragraph" w:customStyle="1" w:styleId="86">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87">
    <w:name w:val="格式３"/>
    <w:basedOn w:val="1"/>
    <w:qFormat/>
    <w:uiPriority w:val="0"/>
    <w:pPr>
      <w:spacing w:line="420" w:lineRule="exact"/>
      <w:ind w:left="600" w:hanging="600" w:hangingChars="250"/>
    </w:pPr>
    <w:rPr>
      <w:rFonts w:ascii="宋体" w:hAnsi="宋体"/>
      <w:color w:val="000000"/>
      <w:sz w:val="24"/>
      <w:szCs w:val="20"/>
    </w:rPr>
  </w:style>
  <w:style w:type="paragraph" w:customStyle="1" w:styleId="88">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江苏交通工程投资咨询有限公司</Company>
  <Pages>64</Pages>
  <Words>18232</Words>
  <Characters>19530</Characters>
  <Lines>291</Lines>
  <Paragraphs>82</Paragraphs>
  <TotalTime>2</TotalTime>
  <ScaleCrop>false</ScaleCrop>
  <LinksUpToDate>false</LinksUpToDate>
  <CharactersWithSpaces>19910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2024-08-01T02:01:00Z</dcterms:created>
  <dc:creator>勾建山</dc:creator>
  <cp:lastModifiedBy>方寸zth</cp:lastModifiedBy>
  <cp:lastPrinted>2024-05-28T13:39:00Z</cp:lastPrinted>
  <dcterms:modified xsi:type="dcterms:W3CDTF">2025-02-28T05:37:14Z</dcterms:modified>
  <dc:title>南京长江第四大桥勘察设计</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371C4EE385BD49FFBF21E7D150F21358_13</vt:lpwstr>
  </property>
  <property fmtid="{D5CDD505-2E9C-101B-9397-08002B2CF9AE}" pid="4" name="KSOTemplateDocerSaveRecord">
    <vt:lpwstr>eyJoZGlkIjoiYzllZmRlYTM4NmViOGI3NGVjY2NkNTEyNTNkZDYwYzQiLCJ1c2VySWQiOiIxMDYzMjMyNjI2In0=</vt:lpwstr>
  </property>
</Properties>
</file>