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456D0">
      <w:pPr>
        <w:shd w:val="clear" w:color="auto" w:fill="auto"/>
        <w:spacing w:line="500" w:lineRule="exact"/>
        <w:jc w:val="center"/>
        <w:rPr>
          <w:rFonts w:ascii="Times New Roman"/>
          <w:b/>
          <w:color w:val="auto"/>
          <w:spacing w:val="20"/>
          <w:sz w:val="44"/>
          <w:highlight w:val="none"/>
          <w:u w:val="single"/>
        </w:rPr>
      </w:pPr>
    </w:p>
    <w:p w14:paraId="26FCC421">
      <w:pPr>
        <w:shd w:val="clear" w:color="auto" w:fill="auto"/>
        <w:spacing w:line="500" w:lineRule="exact"/>
        <w:jc w:val="center"/>
        <w:rPr>
          <w:rFonts w:hint="eastAsia" w:ascii="Times New Roman" w:eastAsia="宋体"/>
          <w:b/>
          <w:color w:val="auto"/>
          <w:spacing w:val="20"/>
          <w:sz w:val="44"/>
          <w:highlight w:val="none"/>
          <w:u w:val="single"/>
          <w:lang w:eastAsia="zh-CN"/>
        </w:rPr>
      </w:pPr>
      <w:r>
        <w:rPr>
          <w:rFonts w:hint="eastAsia"/>
          <w:b/>
          <w:color w:val="auto"/>
          <w:spacing w:val="20"/>
          <w:sz w:val="36"/>
          <w:szCs w:val="21"/>
          <w:highlight w:val="none"/>
          <w:u w:val="single"/>
          <w:lang w:eastAsia="zh-CN"/>
        </w:rPr>
        <w:t>南通市交通运输局2025年度新能源汽车充（换）电设施验收服务项目</w:t>
      </w:r>
    </w:p>
    <w:p w14:paraId="1B4665A4">
      <w:pPr>
        <w:shd w:val="clear" w:color="auto" w:fill="auto"/>
        <w:jc w:val="center"/>
        <w:rPr>
          <w:rFonts w:ascii="Times New Roman" w:eastAsia="华文新魏"/>
          <w:b/>
          <w:color w:val="auto"/>
          <w:sz w:val="100"/>
          <w:szCs w:val="100"/>
          <w:highlight w:val="none"/>
        </w:rPr>
      </w:pPr>
      <w:r>
        <w:rPr>
          <w:rFonts w:ascii="Times New Roman" w:eastAsia="华文新魏"/>
          <w:b/>
          <w:color w:val="auto"/>
          <w:sz w:val="100"/>
          <w:szCs w:val="100"/>
          <w:highlight w:val="none"/>
        </w:rPr>
        <w:t>采购招标文件</w:t>
      </w:r>
    </w:p>
    <w:p w14:paraId="3D02237A">
      <w:pPr>
        <w:shd w:val="clear" w:color="auto" w:fill="auto"/>
        <w:rPr>
          <w:rFonts w:ascii="Times New Roman"/>
          <w:color w:val="auto"/>
          <w:highlight w:val="none"/>
        </w:rPr>
      </w:pPr>
    </w:p>
    <w:p w14:paraId="4922DBDC">
      <w:pPr>
        <w:shd w:val="clear" w:color="auto" w:fill="auto"/>
        <w:spacing w:line="500" w:lineRule="exact"/>
        <w:jc w:val="center"/>
        <w:rPr>
          <w:rFonts w:ascii="Times New Roman" w:eastAsia="仿宋_GB2312"/>
          <w:b/>
          <w:color w:val="auto"/>
          <w:sz w:val="36"/>
          <w:highlight w:val="none"/>
        </w:rPr>
      </w:pPr>
    </w:p>
    <w:p w14:paraId="071AFF47">
      <w:pPr>
        <w:shd w:val="clear" w:color="auto" w:fill="auto"/>
        <w:spacing w:line="500" w:lineRule="exact"/>
        <w:jc w:val="center"/>
        <w:rPr>
          <w:rFonts w:ascii="Times New Roman" w:eastAsia="仿宋_GB2312"/>
          <w:b/>
          <w:color w:val="auto"/>
          <w:sz w:val="36"/>
          <w:highlight w:val="none"/>
        </w:rPr>
      </w:pPr>
    </w:p>
    <w:p w14:paraId="1422122B">
      <w:pPr>
        <w:shd w:val="clear" w:color="auto" w:fill="auto"/>
        <w:spacing w:line="500" w:lineRule="exact"/>
        <w:jc w:val="center"/>
        <w:rPr>
          <w:rFonts w:ascii="Times New Roman" w:eastAsia="仿宋_GB2312"/>
          <w:b/>
          <w:color w:val="auto"/>
          <w:sz w:val="36"/>
          <w:highlight w:val="none"/>
        </w:rPr>
      </w:pPr>
    </w:p>
    <w:p w14:paraId="06199391">
      <w:pPr>
        <w:shd w:val="clear" w:color="auto" w:fill="auto"/>
        <w:spacing w:line="500" w:lineRule="exact"/>
        <w:rPr>
          <w:rFonts w:ascii="Times New Roman" w:eastAsia="仿宋_GB2312"/>
          <w:color w:val="auto"/>
          <w:highlight w:val="none"/>
        </w:rPr>
      </w:pPr>
      <w:r>
        <w:rPr>
          <w:rFonts w:ascii="Times New Roman" w:eastAsia="仿宋_GB2312"/>
          <w:color w:val="auto"/>
          <w:highlight w:val="none"/>
        </w:rPr>
        <w:pict>
          <v:shape id="_x0000_s1026" o:spid="_x0000_s1026" o:spt="75" type="#_x0000_t75" style="position:absolute;left:0pt;margin-left:136.5pt;margin-top:31.2pt;height:140.95pt;width:183.75pt;mso-wrap-distance-bottom:0pt;mso-wrap-distance-top:0pt;z-index:251659264;mso-width-relative:page;mso-height-relative:page;" o:ole="t" filled="f" stroked="f" coordsize="21600,21600" o:allowincell="f">
            <v:path/>
            <v:fill on="f" focussize="0,0"/>
            <v:stroke on="f"/>
            <v:imagedata r:id="rId7" o:title=""/>
            <o:lock v:ext="edit" aspectratio="t"/>
            <w10:wrap type="topAndBottom"/>
          </v:shape>
          <o:OLEObject Type="Embed" ProgID="" ShapeID="_x0000_s1026" DrawAspect="Content" ObjectID="_1468075725" r:id="rId6">
            <o:LockedField>false</o:LockedField>
          </o:OLEObject>
        </w:pict>
      </w:r>
    </w:p>
    <w:p w14:paraId="3ABEF3FC">
      <w:pPr>
        <w:shd w:val="clear" w:color="auto" w:fill="auto"/>
        <w:spacing w:line="500" w:lineRule="exact"/>
        <w:jc w:val="center"/>
        <w:rPr>
          <w:rFonts w:ascii="Times New Roman" w:eastAsia="仿宋_GB2312"/>
          <w:color w:val="auto"/>
          <w:sz w:val="32"/>
          <w:highlight w:val="none"/>
        </w:rPr>
      </w:pPr>
    </w:p>
    <w:p w14:paraId="7BCD529F">
      <w:pPr>
        <w:shd w:val="clear" w:color="auto" w:fill="auto"/>
        <w:spacing w:line="500" w:lineRule="exact"/>
        <w:rPr>
          <w:rFonts w:ascii="Times New Roman" w:eastAsia="仿宋_GB2312"/>
          <w:color w:val="auto"/>
          <w:sz w:val="32"/>
          <w:highlight w:val="none"/>
        </w:rPr>
      </w:pPr>
    </w:p>
    <w:p w14:paraId="7B728EB9">
      <w:pPr>
        <w:shd w:val="clear" w:color="auto" w:fill="auto"/>
        <w:spacing w:line="500" w:lineRule="exact"/>
        <w:jc w:val="center"/>
        <w:rPr>
          <w:rFonts w:ascii="Times New Roman" w:eastAsia="仿宋_GB2312"/>
          <w:color w:val="auto"/>
          <w:sz w:val="32"/>
          <w:highlight w:val="none"/>
        </w:rPr>
      </w:pPr>
    </w:p>
    <w:p w14:paraId="61C39D53">
      <w:pPr>
        <w:shd w:val="clear" w:color="auto" w:fill="auto"/>
        <w:spacing w:line="500" w:lineRule="exact"/>
        <w:jc w:val="center"/>
        <w:rPr>
          <w:rFonts w:ascii="Times New Roman" w:eastAsia="仿宋_GB2312"/>
          <w:color w:val="auto"/>
          <w:sz w:val="32"/>
          <w:highlight w:val="none"/>
        </w:rPr>
      </w:pPr>
    </w:p>
    <w:p w14:paraId="067D25F4">
      <w:pPr>
        <w:shd w:val="clear" w:color="auto" w:fill="auto"/>
        <w:spacing w:line="500" w:lineRule="exact"/>
        <w:jc w:val="center"/>
        <w:rPr>
          <w:rFonts w:ascii="Times New Roman" w:eastAsia="仿宋_GB2312"/>
          <w:color w:val="auto"/>
          <w:sz w:val="32"/>
          <w:highlight w:val="none"/>
        </w:rPr>
      </w:pPr>
    </w:p>
    <w:p w14:paraId="0C587D8D">
      <w:pPr>
        <w:shd w:val="clear" w:color="auto" w:fill="auto"/>
        <w:spacing w:line="500" w:lineRule="exact"/>
        <w:jc w:val="center"/>
        <w:rPr>
          <w:rFonts w:hint="eastAsia" w:ascii="Times New Roman" w:eastAsia="宋体"/>
          <w:color w:val="auto"/>
          <w:spacing w:val="20"/>
          <w:sz w:val="28"/>
          <w:szCs w:val="28"/>
          <w:highlight w:val="none"/>
          <w:lang w:eastAsia="zh-CN"/>
        </w:rPr>
      </w:pPr>
      <w:r>
        <w:rPr>
          <w:rFonts w:ascii="Times New Roman"/>
          <w:color w:val="auto"/>
          <w:spacing w:val="20"/>
          <w:sz w:val="28"/>
          <w:szCs w:val="28"/>
          <w:highlight w:val="none"/>
        </w:rPr>
        <w:t>采购单位</w:t>
      </w:r>
      <w:r>
        <w:rPr>
          <w:rFonts w:ascii="Times New Roman"/>
          <w:color w:val="auto"/>
          <w:spacing w:val="20"/>
          <w:sz w:val="28"/>
          <w:szCs w:val="28"/>
          <w:highlight w:val="none"/>
          <w:u w:val="single"/>
        </w:rPr>
        <w:t>：</w:t>
      </w:r>
      <w:r>
        <w:rPr>
          <w:rFonts w:hint="eastAsia" w:ascii="Times New Roman"/>
          <w:color w:val="auto"/>
          <w:spacing w:val="20"/>
          <w:sz w:val="28"/>
          <w:szCs w:val="28"/>
          <w:highlight w:val="none"/>
          <w:u w:val="single"/>
        </w:rPr>
        <w:t>南通市交通运输局</w:t>
      </w:r>
    </w:p>
    <w:p w14:paraId="717F49F3">
      <w:pPr>
        <w:shd w:val="clear" w:color="auto" w:fill="auto"/>
        <w:spacing w:line="500" w:lineRule="exact"/>
        <w:jc w:val="center"/>
        <w:rPr>
          <w:rFonts w:hint="eastAsia" w:ascii="Times New Roman" w:eastAsia="宋体"/>
          <w:color w:val="auto"/>
          <w:spacing w:val="20"/>
          <w:sz w:val="28"/>
          <w:szCs w:val="28"/>
          <w:highlight w:val="none"/>
          <w:lang w:eastAsia="zh-CN"/>
        </w:rPr>
      </w:pPr>
      <w:r>
        <w:rPr>
          <w:rFonts w:hint="eastAsia" w:ascii="Times New Roman"/>
          <w:color w:val="auto"/>
          <w:spacing w:val="20"/>
          <w:sz w:val="28"/>
          <w:szCs w:val="28"/>
          <w:highlight w:val="none"/>
          <w:lang w:val="en-US" w:eastAsia="zh-CN"/>
        </w:rPr>
        <w:t xml:space="preserve">       </w:t>
      </w:r>
      <w:r>
        <w:rPr>
          <w:rFonts w:ascii="Times New Roman"/>
          <w:color w:val="auto"/>
          <w:spacing w:val="20"/>
          <w:sz w:val="28"/>
          <w:szCs w:val="28"/>
          <w:highlight w:val="none"/>
        </w:rPr>
        <w:t>代理单位</w:t>
      </w:r>
      <w:r>
        <w:rPr>
          <w:rFonts w:ascii="Times New Roman"/>
          <w:color w:val="auto"/>
          <w:spacing w:val="20"/>
          <w:sz w:val="28"/>
          <w:szCs w:val="28"/>
          <w:highlight w:val="none"/>
          <w:u w:val="single"/>
        </w:rPr>
        <w:t>：</w:t>
      </w:r>
      <w:r>
        <w:rPr>
          <w:rFonts w:hint="eastAsia" w:ascii="Times New Roman"/>
          <w:color w:val="auto"/>
          <w:spacing w:val="20"/>
          <w:sz w:val="28"/>
          <w:szCs w:val="28"/>
          <w:highlight w:val="none"/>
          <w:u w:val="single"/>
          <w:lang w:eastAsia="zh-CN"/>
        </w:rPr>
        <w:t>江苏建诚工程咨询有限公司</w:t>
      </w:r>
    </w:p>
    <w:p w14:paraId="03DA4BE0">
      <w:pPr>
        <w:shd w:val="clear" w:color="auto" w:fill="auto"/>
        <w:spacing w:line="500" w:lineRule="exact"/>
        <w:ind w:firstLine="2560" w:firstLineChars="800"/>
        <w:jc w:val="both"/>
        <w:rPr>
          <w:rFonts w:ascii="Times New Roman"/>
          <w:color w:val="auto"/>
          <w:spacing w:val="20"/>
          <w:sz w:val="28"/>
          <w:szCs w:val="28"/>
          <w:highlight w:val="none"/>
        </w:rPr>
      </w:pPr>
      <w:r>
        <w:rPr>
          <w:rFonts w:ascii="Times New Roman"/>
          <w:color w:val="auto"/>
          <w:spacing w:val="20"/>
          <w:sz w:val="28"/>
          <w:szCs w:val="28"/>
          <w:highlight w:val="none"/>
        </w:rPr>
        <w:t>日</w:t>
      </w:r>
      <w:r>
        <w:rPr>
          <w:rFonts w:hint="eastAsia" w:ascii="Times New Roman"/>
          <w:color w:val="auto"/>
          <w:spacing w:val="20"/>
          <w:sz w:val="28"/>
          <w:szCs w:val="28"/>
          <w:highlight w:val="none"/>
          <w:lang w:val="en-US" w:eastAsia="zh-CN"/>
        </w:rPr>
        <w:t xml:space="preserve">   </w:t>
      </w:r>
      <w:r>
        <w:rPr>
          <w:rFonts w:ascii="Times New Roman"/>
          <w:color w:val="auto"/>
          <w:spacing w:val="20"/>
          <w:sz w:val="28"/>
          <w:szCs w:val="28"/>
          <w:highlight w:val="none"/>
        </w:rPr>
        <w:t>期：</w:t>
      </w:r>
      <w:r>
        <w:rPr>
          <w:rFonts w:hint="eastAsia" w:ascii="Times New Roman"/>
          <w:color w:val="auto"/>
          <w:spacing w:val="20"/>
          <w:sz w:val="28"/>
          <w:szCs w:val="28"/>
          <w:highlight w:val="none"/>
          <w:u w:val="single"/>
        </w:rPr>
        <w:t>2</w:t>
      </w:r>
      <w:r>
        <w:rPr>
          <w:rFonts w:ascii="Times New Roman"/>
          <w:color w:val="auto"/>
          <w:spacing w:val="20"/>
          <w:sz w:val="28"/>
          <w:szCs w:val="28"/>
          <w:highlight w:val="none"/>
          <w:u w:val="single"/>
        </w:rPr>
        <w:t>02</w:t>
      </w:r>
      <w:r>
        <w:rPr>
          <w:rFonts w:hint="eastAsia" w:ascii="Times New Roman"/>
          <w:color w:val="auto"/>
          <w:spacing w:val="20"/>
          <w:sz w:val="28"/>
          <w:szCs w:val="28"/>
          <w:highlight w:val="none"/>
          <w:u w:val="single"/>
          <w:lang w:val="en-US" w:eastAsia="zh-CN"/>
        </w:rPr>
        <w:t>5</w:t>
      </w:r>
      <w:r>
        <w:rPr>
          <w:rFonts w:hint="eastAsia" w:ascii="Times New Roman"/>
          <w:color w:val="auto"/>
          <w:spacing w:val="20"/>
          <w:sz w:val="28"/>
          <w:szCs w:val="28"/>
          <w:highlight w:val="none"/>
          <w:u w:val="single"/>
        </w:rPr>
        <w:t>年</w:t>
      </w:r>
      <w:r>
        <w:rPr>
          <w:rFonts w:hint="eastAsia" w:ascii="Times New Roman"/>
          <w:color w:val="auto"/>
          <w:spacing w:val="20"/>
          <w:sz w:val="28"/>
          <w:szCs w:val="28"/>
          <w:highlight w:val="none"/>
          <w:u w:val="single"/>
          <w:lang w:val="en-US" w:eastAsia="zh-CN"/>
        </w:rPr>
        <w:t>5</w:t>
      </w:r>
      <w:r>
        <w:rPr>
          <w:rFonts w:hint="eastAsia" w:ascii="Times New Roman"/>
          <w:color w:val="auto"/>
          <w:spacing w:val="20"/>
          <w:sz w:val="28"/>
          <w:szCs w:val="28"/>
          <w:highlight w:val="none"/>
          <w:u w:val="single"/>
        </w:rPr>
        <w:t>月</w:t>
      </w:r>
      <w:r>
        <w:rPr>
          <w:rFonts w:hint="eastAsia" w:ascii="Times New Roman"/>
          <w:color w:val="auto"/>
          <w:spacing w:val="20"/>
          <w:sz w:val="28"/>
          <w:szCs w:val="28"/>
          <w:highlight w:val="none"/>
          <w:u w:val="single"/>
          <w:lang w:val="en-US" w:eastAsia="zh-CN"/>
        </w:rPr>
        <w:t>26</w:t>
      </w:r>
      <w:r>
        <w:rPr>
          <w:rFonts w:hint="eastAsia" w:ascii="Times New Roman"/>
          <w:color w:val="auto"/>
          <w:spacing w:val="20"/>
          <w:sz w:val="28"/>
          <w:szCs w:val="28"/>
          <w:highlight w:val="none"/>
          <w:u w:val="single"/>
        </w:rPr>
        <w:t>日</w:t>
      </w:r>
    </w:p>
    <w:p w14:paraId="7DCCC493">
      <w:pPr>
        <w:shd w:val="clear" w:color="auto" w:fill="auto"/>
        <w:adjustRightInd w:val="0"/>
        <w:snapToGrid w:val="0"/>
        <w:ind w:left="-180" w:leftChars="-75"/>
        <w:rPr>
          <w:rFonts w:ascii="Times New Roman"/>
          <w:snapToGrid w:val="0"/>
          <w:color w:val="auto"/>
          <w:sz w:val="26"/>
          <w:szCs w:val="28"/>
          <w:highlight w:val="none"/>
          <w:u w:val="single"/>
        </w:rPr>
      </w:pPr>
      <w:r>
        <w:rPr>
          <w:rFonts w:ascii="Times New Roman"/>
          <w:snapToGrid w:val="0"/>
          <w:color w:val="auto"/>
          <w:sz w:val="26"/>
          <w:szCs w:val="28"/>
          <w:highlight w:val="none"/>
          <w:u w:val="single"/>
        </w:rPr>
        <w:t xml:space="preserve">                                                                    </w:t>
      </w:r>
    </w:p>
    <w:p w14:paraId="5611693C">
      <w:pPr>
        <w:shd w:val="clear" w:color="auto" w:fill="auto"/>
        <w:spacing w:line="500" w:lineRule="exact"/>
        <w:jc w:val="center"/>
        <w:rPr>
          <w:rFonts w:ascii="Times New Roman"/>
          <w:color w:val="auto"/>
          <w:sz w:val="44"/>
          <w:szCs w:val="44"/>
          <w:highlight w:val="none"/>
        </w:rPr>
      </w:pPr>
      <w:r>
        <w:rPr>
          <w:rFonts w:ascii="Times New Roman"/>
          <w:color w:val="auto"/>
          <w:sz w:val="44"/>
          <w:szCs w:val="44"/>
          <w:highlight w:val="none"/>
        </w:rPr>
        <w:br w:type="page"/>
      </w:r>
      <w:r>
        <w:rPr>
          <w:rFonts w:ascii="Times New Roman"/>
          <w:color w:val="auto"/>
          <w:sz w:val="44"/>
          <w:szCs w:val="44"/>
          <w:highlight w:val="none"/>
        </w:rPr>
        <w:t>目      录</w:t>
      </w:r>
    </w:p>
    <w:p w14:paraId="747899BC">
      <w:pPr>
        <w:shd w:val="clear" w:color="auto" w:fill="auto"/>
        <w:spacing w:line="500" w:lineRule="exact"/>
        <w:jc w:val="center"/>
        <w:rPr>
          <w:rFonts w:ascii="Times New Roman"/>
          <w:color w:val="auto"/>
          <w:sz w:val="44"/>
          <w:highlight w:val="none"/>
        </w:rPr>
      </w:pPr>
    </w:p>
    <w:p w14:paraId="18131F8E">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第一部分  招标公告</w:t>
      </w:r>
    </w:p>
    <w:p w14:paraId="32B6EB43">
      <w:pPr>
        <w:shd w:val="clear" w:color="auto" w:fill="auto"/>
        <w:tabs>
          <w:tab w:val="left" w:pos="7740"/>
        </w:tabs>
        <w:spacing w:line="500" w:lineRule="exact"/>
        <w:rPr>
          <w:rFonts w:ascii="Times New Roman"/>
          <w:color w:val="auto"/>
          <w:sz w:val="32"/>
          <w:szCs w:val="32"/>
          <w:highlight w:val="none"/>
        </w:rPr>
      </w:pPr>
    </w:p>
    <w:p w14:paraId="24513623">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第二部分  投标须知</w:t>
      </w:r>
    </w:p>
    <w:p w14:paraId="5C414588">
      <w:pPr>
        <w:shd w:val="clear" w:color="auto" w:fill="auto"/>
        <w:spacing w:line="500" w:lineRule="exact"/>
        <w:rPr>
          <w:rFonts w:ascii="Times New Roman"/>
          <w:color w:val="auto"/>
          <w:sz w:val="32"/>
          <w:szCs w:val="32"/>
          <w:highlight w:val="none"/>
        </w:rPr>
      </w:pPr>
    </w:p>
    <w:p w14:paraId="4208C5CC">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第三部分  项目需求说明</w:t>
      </w:r>
    </w:p>
    <w:p w14:paraId="2F7791C4">
      <w:pPr>
        <w:pStyle w:val="4"/>
        <w:shd w:val="clear" w:color="auto" w:fill="auto"/>
        <w:tabs>
          <w:tab w:val="left" w:pos="7740"/>
          <w:tab w:val="left" w:pos="7920"/>
        </w:tabs>
        <w:spacing w:line="500" w:lineRule="exact"/>
        <w:ind w:left="0"/>
        <w:rPr>
          <w:rFonts w:ascii="Times New Roman" w:eastAsia="宋体"/>
          <w:color w:val="auto"/>
          <w:sz w:val="32"/>
          <w:szCs w:val="32"/>
          <w:highlight w:val="none"/>
        </w:rPr>
      </w:pPr>
    </w:p>
    <w:p w14:paraId="54C90728">
      <w:pPr>
        <w:shd w:val="clear" w:color="auto" w:fill="auto"/>
        <w:tabs>
          <w:tab w:val="left" w:pos="7740"/>
        </w:tabs>
        <w:spacing w:line="500" w:lineRule="exact"/>
        <w:rPr>
          <w:rFonts w:ascii="Times New Roman"/>
          <w:color w:val="auto"/>
          <w:spacing w:val="2"/>
          <w:sz w:val="32"/>
          <w:szCs w:val="32"/>
          <w:highlight w:val="none"/>
        </w:rPr>
      </w:pPr>
      <w:r>
        <w:rPr>
          <w:rFonts w:ascii="Times New Roman"/>
          <w:color w:val="auto"/>
          <w:sz w:val="32"/>
          <w:szCs w:val="32"/>
          <w:highlight w:val="none"/>
        </w:rPr>
        <w:t xml:space="preserve">第四部分  </w:t>
      </w:r>
      <w:r>
        <w:rPr>
          <w:rFonts w:ascii="Times New Roman"/>
          <w:bCs/>
          <w:color w:val="auto"/>
          <w:sz w:val="32"/>
          <w:szCs w:val="32"/>
          <w:highlight w:val="none"/>
        </w:rPr>
        <w:t>开标和评标</w:t>
      </w:r>
    </w:p>
    <w:p w14:paraId="0315019C">
      <w:pPr>
        <w:shd w:val="clear" w:color="auto" w:fill="auto"/>
        <w:spacing w:line="500" w:lineRule="exact"/>
        <w:rPr>
          <w:rFonts w:ascii="Times New Roman"/>
          <w:color w:val="auto"/>
          <w:sz w:val="32"/>
          <w:szCs w:val="32"/>
          <w:highlight w:val="none"/>
        </w:rPr>
      </w:pPr>
    </w:p>
    <w:p w14:paraId="2F89CBB1">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第五部分  合同签订与验收付款</w:t>
      </w:r>
    </w:p>
    <w:p w14:paraId="707F1367">
      <w:pPr>
        <w:shd w:val="clear" w:color="auto" w:fill="auto"/>
        <w:spacing w:line="500" w:lineRule="exact"/>
        <w:rPr>
          <w:rFonts w:ascii="Times New Roman"/>
          <w:color w:val="auto"/>
          <w:sz w:val="32"/>
          <w:szCs w:val="32"/>
          <w:highlight w:val="none"/>
        </w:rPr>
      </w:pPr>
    </w:p>
    <w:p w14:paraId="6E356222">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第六部分  质疑提出和处理</w:t>
      </w:r>
    </w:p>
    <w:p w14:paraId="1325DF20">
      <w:pPr>
        <w:shd w:val="clear" w:color="auto" w:fill="auto"/>
        <w:spacing w:line="500" w:lineRule="exact"/>
        <w:rPr>
          <w:rFonts w:ascii="Times New Roman"/>
          <w:color w:val="auto"/>
          <w:sz w:val="32"/>
          <w:szCs w:val="32"/>
          <w:highlight w:val="none"/>
        </w:rPr>
      </w:pPr>
    </w:p>
    <w:p w14:paraId="10E6771C">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第七部分  投标文件组成</w:t>
      </w:r>
    </w:p>
    <w:p w14:paraId="3CC11500">
      <w:pPr>
        <w:shd w:val="clear" w:color="auto" w:fill="auto"/>
        <w:snapToGrid w:val="0"/>
        <w:spacing w:line="300" w:lineRule="auto"/>
        <w:jc w:val="center"/>
        <w:outlineLvl w:val="0"/>
        <w:rPr>
          <w:rFonts w:ascii="Times New Roman"/>
          <w:b/>
          <w:color w:val="auto"/>
          <w:sz w:val="36"/>
          <w:szCs w:val="36"/>
          <w:highlight w:val="none"/>
        </w:rPr>
      </w:pPr>
      <w:r>
        <w:rPr>
          <w:rFonts w:ascii="Times New Roman"/>
          <w:b/>
          <w:color w:val="auto"/>
          <w:sz w:val="36"/>
          <w:szCs w:val="36"/>
          <w:highlight w:val="none"/>
        </w:rPr>
        <w:br w:type="page"/>
      </w:r>
      <w:r>
        <w:rPr>
          <w:rFonts w:ascii="Times New Roman"/>
          <w:b/>
          <w:color w:val="auto"/>
          <w:sz w:val="36"/>
          <w:szCs w:val="36"/>
          <w:highlight w:val="none"/>
        </w:rPr>
        <w:t xml:space="preserve">第一部分  </w:t>
      </w:r>
      <w:bookmarkStart w:id="0" w:name="OLE_LINK5"/>
      <w:bookmarkStart w:id="1" w:name="OLE_LINK7"/>
      <w:r>
        <w:rPr>
          <w:rFonts w:ascii="Times New Roman"/>
          <w:b/>
          <w:color w:val="auto"/>
          <w:sz w:val="36"/>
          <w:szCs w:val="36"/>
          <w:highlight w:val="none"/>
        </w:rPr>
        <w:t>招标公告</w:t>
      </w:r>
    </w:p>
    <w:bookmarkEnd w:id="0"/>
    <w:bookmarkEnd w:id="1"/>
    <w:p w14:paraId="7C5D8F53">
      <w:pPr>
        <w:shd w:val="clear" w:color="auto" w:fill="auto"/>
        <w:snapToGrid w:val="0"/>
        <w:spacing w:line="480" w:lineRule="exact"/>
        <w:ind w:firstLine="480" w:firstLineChars="200"/>
        <w:rPr>
          <w:rFonts w:ascii="Times New Roman"/>
          <w:color w:val="auto"/>
          <w:highlight w:val="none"/>
        </w:rPr>
      </w:pPr>
      <w:r>
        <w:rPr>
          <w:rFonts w:ascii="Times New Roman"/>
          <w:bCs/>
          <w:color w:val="auto"/>
          <w:highlight w:val="none"/>
        </w:rPr>
        <w:t>项目概况：</w:t>
      </w:r>
      <w:r>
        <w:rPr>
          <w:rFonts w:hint="eastAsia" w:ascii="Times New Roman"/>
          <w:color w:val="auto"/>
          <w:highlight w:val="none"/>
          <w:u w:val="single"/>
          <w:lang w:eastAsia="zh-CN"/>
        </w:rPr>
        <w:t>南通市交通运输局2025年度新能源汽车充（换）电设施验收服务项目</w:t>
      </w:r>
      <w:r>
        <w:rPr>
          <w:rFonts w:ascii="Times New Roman"/>
          <w:color w:val="auto"/>
          <w:highlight w:val="none"/>
        </w:rPr>
        <w:t>招标项目的潜在投标人应在</w:t>
      </w:r>
      <w:r>
        <w:rPr>
          <w:rFonts w:hint="eastAsia" w:ascii="Times New Roman"/>
          <w:color w:val="auto"/>
          <w:highlight w:val="none"/>
          <w:lang w:eastAsia="zh-CN"/>
        </w:rPr>
        <w:t>“</w:t>
      </w:r>
      <w:r>
        <w:rPr>
          <w:rFonts w:ascii="Times New Roman"/>
          <w:bCs/>
          <w:color w:val="auto"/>
          <w:highlight w:val="none"/>
        </w:rPr>
        <w:t>南通市</w:t>
      </w:r>
      <w:r>
        <w:rPr>
          <w:rFonts w:hint="eastAsia" w:ascii="Times New Roman"/>
          <w:bCs/>
          <w:color w:val="auto"/>
          <w:highlight w:val="none"/>
          <w:lang w:eastAsia="zh-CN"/>
        </w:rPr>
        <w:t>南通市交通运输局</w:t>
      </w:r>
      <w:r>
        <w:rPr>
          <w:rFonts w:hint="eastAsia" w:ascii="Times New Roman"/>
          <w:bCs/>
          <w:color w:val="auto"/>
          <w:highlight w:val="none"/>
          <w:lang w:val="en-US" w:eastAsia="zh-CN"/>
        </w:rPr>
        <w:t>-公告公示栏”</w:t>
      </w:r>
      <w:r>
        <w:rPr>
          <w:rFonts w:ascii="Times New Roman"/>
          <w:color w:val="auto"/>
          <w:highlight w:val="none"/>
        </w:rPr>
        <w:t>获取招标文件，并于</w:t>
      </w:r>
      <w:r>
        <w:rPr>
          <w:rFonts w:ascii="Times New Roman"/>
          <w:color w:val="auto"/>
          <w:highlight w:val="none"/>
          <w:u w:val="single"/>
        </w:rPr>
        <w:t xml:space="preserve"> </w:t>
      </w:r>
      <w:r>
        <w:rPr>
          <w:rFonts w:hint="eastAsia" w:ascii="Times New Roman"/>
          <w:color w:val="auto"/>
          <w:highlight w:val="none"/>
          <w:u w:val="single"/>
        </w:rPr>
        <w:t>202</w:t>
      </w:r>
      <w:r>
        <w:rPr>
          <w:rFonts w:hint="eastAsia" w:ascii="Times New Roman"/>
          <w:color w:val="auto"/>
          <w:highlight w:val="none"/>
          <w:u w:val="single"/>
          <w:lang w:val="en-US" w:eastAsia="zh-CN"/>
        </w:rPr>
        <w:t>5</w:t>
      </w:r>
      <w:r>
        <w:rPr>
          <w:rFonts w:ascii="Times New Roman"/>
          <w:color w:val="auto"/>
          <w:highlight w:val="none"/>
          <w:u w:val="single"/>
        </w:rPr>
        <w:t>年</w:t>
      </w:r>
      <w:r>
        <w:rPr>
          <w:rFonts w:hint="eastAsia" w:ascii="Times New Roman"/>
          <w:color w:val="auto"/>
          <w:highlight w:val="none"/>
          <w:u w:val="single"/>
          <w:lang w:val="en-US" w:eastAsia="zh-CN"/>
        </w:rPr>
        <w:t>6</w:t>
      </w:r>
      <w:r>
        <w:rPr>
          <w:rFonts w:ascii="Times New Roman"/>
          <w:color w:val="auto"/>
          <w:highlight w:val="none"/>
          <w:u w:val="single"/>
        </w:rPr>
        <w:t>月</w:t>
      </w:r>
      <w:r>
        <w:rPr>
          <w:rFonts w:hint="eastAsia" w:ascii="Times New Roman"/>
          <w:color w:val="auto"/>
          <w:highlight w:val="none"/>
          <w:u w:val="single"/>
          <w:lang w:val="en-US" w:eastAsia="zh-CN"/>
        </w:rPr>
        <w:t xml:space="preserve"> 19</w:t>
      </w:r>
      <w:r>
        <w:rPr>
          <w:rFonts w:ascii="Times New Roman"/>
          <w:color w:val="auto"/>
          <w:highlight w:val="none"/>
          <w:u w:val="single"/>
        </w:rPr>
        <w:t>日</w:t>
      </w:r>
      <w:r>
        <w:rPr>
          <w:rFonts w:hint="eastAsia" w:ascii="Times New Roman"/>
          <w:color w:val="auto"/>
          <w:highlight w:val="none"/>
          <w:u w:val="single"/>
          <w:lang w:val="en-US" w:eastAsia="zh-CN"/>
        </w:rPr>
        <w:t>14</w:t>
      </w:r>
      <w:r>
        <w:rPr>
          <w:rFonts w:ascii="Times New Roman"/>
          <w:color w:val="auto"/>
          <w:highlight w:val="none"/>
          <w:u w:val="single"/>
        </w:rPr>
        <w:t>点</w:t>
      </w:r>
      <w:r>
        <w:rPr>
          <w:rFonts w:hint="eastAsia" w:ascii="Times New Roman"/>
          <w:color w:val="auto"/>
          <w:highlight w:val="none"/>
          <w:u w:val="single"/>
          <w:lang w:val="en-US" w:eastAsia="zh-CN"/>
        </w:rPr>
        <w:t>0</w:t>
      </w:r>
      <w:r>
        <w:rPr>
          <w:rFonts w:hint="eastAsia" w:ascii="Times New Roman"/>
          <w:color w:val="auto"/>
          <w:highlight w:val="none"/>
          <w:u w:val="single"/>
        </w:rPr>
        <w:t>0</w:t>
      </w:r>
      <w:r>
        <w:rPr>
          <w:rFonts w:ascii="Times New Roman"/>
          <w:color w:val="auto"/>
          <w:highlight w:val="none"/>
          <w:u w:val="single"/>
        </w:rPr>
        <w:t>分</w:t>
      </w:r>
      <w:r>
        <w:rPr>
          <w:rFonts w:ascii="Times New Roman"/>
          <w:color w:val="auto"/>
          <w:highlight w:val="none"/>
        </w:rPr>
        <w:t>（北京时间）前递交投标文件。</w:t>
      </w:r>
    </w:p>
    <w:p w14:paraId="4B90644C">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 xml:space="preserve"> 一、项目基本情况</w:t>
      </w:r>
    </w:p>
    <w:p w14:paraId="1F961EDE">
      <w:pPr>
        <w:shd w:val="clear" w:color="auto" w:fill="auto"/>
        <w:snapToGrid w:val="0"/>
        <w:spacing w:line="480" w:lineRule="exact"/>
        <w:ind w:firstLine="480" w:firstLineChars="200"/>
        <w:rPr>
          <w:rFonts w:hint="eastAsia" w:ascii="Times New Roman" w:eastAsia="宋体"/>
          <w:color w:val="auto"/>
          <w:highlight w:val="none"/>
          <w:lang w:eastAsia="zh-CN"/>
        </w:rPr>
      </w:pPr>
      <w:r>
        <w:rPr>
          <w:rFonts w:ascii="Times New Roman"/>
          <w:color w:val="auto"/>
          <w:highlight w:val="none"/>
        </w:rPr>
        <w:t>项目编号：</w:t>
      </w:r>
      <w:r>
        <w:rPr>
          <w:rFonts w:hint="eastAsia"/>
          <w:color w:val="auto"/>
          <w:highlight w:val="none"/>
          <w:lang w:val="en-US" w:eastAsia="zh-CN"/>
        </w:rPr>
        <w:t xml:space="preserve"> </w:t>
      </w:r>
    </w:p>
    <w:p w14:paraId="5DDBF342">
      <w:pPr>
        <w:shd w:val="clear" w:color="auto" w:fill="auto"/>
        <w:snapToGrid w:val="0"/>
        <w:spacing w:line="480" w:lineRule="exact"/>
        <w:ind w:firstLine="480" w:firstLineChars="200"/>
        <w:rPr>
          <w:rFonts w:hint="eastAsia" w:ascii="Times New Roman" w:eastAsia="宋体"/>
          <w:color w:val="auto"/>
          <w:highlight w:val="none"/>
          <w:lang w:eastAsia="zh-CN"/>
        </w:rPr>
      </w:pPr>
      <w:r>
        <w:rPr>
          <w:rFonts w:ascii="Times New Roman"/>
          <w:color w:val="auto"/>
          <w:highlight w:val="none"/>
        </w:rPr>
        <w:t>项目名称：</w:t>
      </w:r>
      <w:r>
        <w:rPr>
          <w:rFonts w:hint="eastAsia" w:ascii="Times New Roman"/>
          <w:color w:val="auto"/>
          <w:highlight w:val="none"/>
          <w:u w:val="single"/>
          <w:lang w:eastAsia="zh-CN"/>
        </w:rPr>
        <w:t>南通市交通运输局2025年度新能源汽车充（换）电设施验收服务项目</w:t>
      </w:r>
    </w:p>
    <w:p w14:paraId="2B1FA4A7">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预算金额：</w:t>
      </w:r>
      <w:r>
        <w:rPr>
          <w:rFonts w:ascii="Times New Roman"/>
          <w:color w:val="auto"/>
          <w:highlight w:val="none"/>
          <w:u w:val="single"/>
        </w:rPr>
        <w:t xml:space="preserve"> </w:t>
      </w:r>
      <w:r>
        <w:rPr>
          <w:rFonts w:hint="eastAsia" w:ascii="Times New Roman"/>
          <w:color w:val="auto"/>
          <w:highlight w:val="none"/>
          <w:u w:val="single"/>
          <w:lang w:val="en-US" w:eastAsia="zh-CN"/>
        </w:rPr>
        <w:t>14</w:t>
      </w:r>
      <w:r>
        <w:rPr>
          <w:rFonts w:ascii="Times New Roman"/>
          <w:color w:val="auto"/>
          <w:highlight w:val="none"/>
        </w:rPr>
        <w:t>万元</w:t>
      </w:r>
    </w:p>
    <w:p w14:paraId="207F9513">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 xml:space="preserve">最高限价： </w:t>
      </w:r>
      <w:r>
        <w:rPr>
          <w:rFonts w:hint="eastAsia" w:ascii="Times New Roman"/>
          <w:color w:val="auto"/>
          <w:highlight w:val="none"/>
          <w:u w:val="single"/>
          <w:lang w:val="en-US" w:eastAsia="zh-CN"/>
        </w:rPr>
        <w:t>14</w:t>
      </w:r>
      <w:r>
        <w:rPr>
          <w:rFonts w:hint="eastAsia" w:ascii="Times New Roman"/>
          <w:color w:val="auto"/>
          <w:highlight w:val="none"/>
          <w:u w:val="none"/>
          <w:lang w:val="en-US" w:eastAsia="zh-CN"/>
        </w:rPr>
        <w:t>万</w:t>
      </w:r>
      <w:r>
        <w:rPr>
          <w:rFonts w:hint="eastAsia" w:ascii="Times New Roman"/>
          <w:color w:val="auto"/>
          <w:highlight w:val="none"/>
        </w:rPr>
        <w:t>元</w:t>
      </w:r>
    </w:p>
    <w:p w14:paraId="22D8534B">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采购需求：详见</w:t>
      </w:r>
      <w:r>
        <w:rPr>
          <w:rFonts w:ascii="Times New Roman"/>
          <w:color w:val="auto"/>
          <w:spacing w:val="7"/>
          <w:highlight w:val="none"/>
        </w:rPr>
        <w:t>第三部分</w:t>
      </w:r>
      <w:r>
        <w:rPr>
          <w:rFonts w:ascii="Times New Roman"/>
          <w:color w:val="auto"/>
          <w:highlight w:val="none"/>
        </w:rPr>
        <w:t>项目需求。</w:t>
      </w:r>
    </w:p>
    <w:p w14:paraId="08C4A257">
      <w:pPr>
        <w:widowControl/>
        <w:shd w:val="clear" w:color="auto" w:fill="auto"/>
        <w:snapToGrid w:val="0"/>
        <w:spacing w:line="480" w:lineRule="exact"/>
        <w:ind w:firstLine="480" w:firstLineChars="200"/>
        <w:rPr>
          <w:rFonts w:hint="eastAsia" w:ascii="Times New Roman"/>
          <w:color w:val="auto"/>
          <w:spacing w:val="7"/>
          <w:highlight w:val="none"/>
        </w:rPr>
      </w:pPr>
      <w:r>
        <w:rPr>
          <w:rFonts w:hint="eastAsia" w:ascii="Times New Roman"/>
          <w:color w:val="auto"/>
          <w:highlight w:val="none"/>
          <w:lang w:eastAsia="zh-CN"/>
        </w:rPr>
        <w:t>服务周期</w:t>
      </w:r>
      <w:r>
        <w:rPr>
          <w:rFonts w:ascii="Times New Roman"/>
          <w:color w:val="auto"/>
          <w:highlight w:val="none"/>
        </w:rPr>
        <w:t>：</w:t>
      </w:r>
      <w:r>
        <w:rPr>
          <w:rFonts w:hint="eastAsia" w:ascii="Times New Roman" w:hAnsi="Times New Roman" w:eastAsia="宋体" w:cs="Times New Roman"/>
          <w:b w:val="0"/>
          <w:bCs w:val="0"/>
          <w:color w:val="auto"/>
          <w:sz w:val="24"/>
          <w:szCs w:val="20"/>
          <w:highlight w:val="none"/>
          <w:u w:val="single"/>
          <w:lang w:val="en-US" w:eastAsia="zh-CN"/>
        </w:rPr>
        <w:t>原则上按季度组织开展充（换）电设施验收，具体安排结合实际建设情况确定。安全检查工作每半年组织一次。服务周期自合同签订之日起至2025年12月31日。</w:t>
      </w:r>
    </w:p>
    <w:p w14:paraId="39F2625A">
      <w:pPr>
        <w:shd w:val="clear" w:color="auto" w:fill="auto"/>
        <w:spacing w:line="600" w:lineRule="exact"/>
        <w:ind w:firstLine="480" w:firstLineChars="200"/>
        <w:rPr>
          <w:rFonts w:ascii="Times New Roman"/>
          <w:color w:val="auto"/>
          <w:highlight w:val="none"/>
        </w:rPr>
      </w:pPr>
      <w:r>
        <w:rPr>
          <w:rFonts w:ascii="Times New Roman"/>
          <w:color w:val="auto"/>
          <w:highlight w:val="none"/>
        </w:rPr>
        <w:t>本项目不接受联合体投标。</w:t>
      </w:r>
    </w:p>
    <w:p w14:paraId="00EE99FD">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二、申请人的资格要求：</w:t>
      </w:r>
    </w:p>
    <w:p w14:paraId="661D6ACC">
      <w:pPr>
        <w:shd w:val="clear" w:color="auto" w:fill="auto"/>
        <w:snapToGrid w:val="0"/>
        <w:spacing w:line="480" w:lineRule="exact"/>
        <w:ind w:firstLine="480" w:firstLineChars="200"/>
        <w:rPr>
          <w:rFonts w:hint="eastAsia" w:ascii="Times New Roman"/>
          <w:color w:val="auto"/>
          <w:highlight w:val="none"/>
          <w:u w:val="single"/>
        </w:rPr>
      </w:pPr>
      <w:r>
        <w:rPr>
          <w:rFonts w:hint="eastAsia" w:ascii="Times New Roman"/>
          <w:color w:val="auto"/>
          <w:highlight w:val="none"/>
          <w:u w:val="single"/>
          <w:lang w:val="en-US" w:eastAsia="zh-CN"/>
        </w:rPr>
        <w:t>2.1、</w:t>
      </w:r>
      <w:r>
        <w:rPr>
          <w:rFonts w:hint="eastAsia" w:ascii="Times New Roman"/>
          <w:color w:val="auto"/>
          <w:highlight w:val="none"/>
          <w:u w:val="single"/>
        </w:rPr>
        <w:t>符合《中华人民共和国政府采购法》第二十二条的规定：</w:t>
      </w:r>
    </w:p>
    <w:p w14:paraId="695847BE">
      <w:pPr>
        <w:shd w:val="clear" w:color="auto" w:fill="auto"/>
        <w:snapToGrid w:val="0"/>
        <w:spacing w:line="480" w:lineRule="exact"/>
        <w:ind w:firstLine="480" w:firstLineChars="200"/>
        <w:rPr>
          <w:rFonts w:hint="eastAsia" w:ascii="Times New Roman"/>
          <w:color w:val="auto"/>
          <w:highlight w:val="none"/>
          <w:u w:val="single"/>
        </w:rPr>
      </w:pPr>
      <w:r>
        <w:rPr>
          <w:rFonts w:hint="eastAsia" w:ascii="Times New Roman"/>
          <w:color w:val="auto"/>
          <w:highlight w:val="none"/>
          <w:u w:val="single"/>
          <w:lang w:val="en-US" w:eastAsia="zh-CN"/>
        </w:rPr>
        <w:t>2.2、</w:t>
      </w:r>
      <w:r>
        <w:rPr>
          <w:rFonts w:hint="eastAsia" w:ascii="Times New Roman"/>
          <w:color w:val="auto"/>
          <w:highlight w:val="none"/>
          <w:u w:val="single"/>
        </w:rPr>
        <w:t>落实政府采购政策需满足的资格要求：项目执行扶持中小企业、支持监狱企业发展、促进残疾人就业等政府采购政策。供应商为中小微企业、监狱企业或残疾人福利性单位的，需按照采购文件要求提供《中小企业声明函》、《残疾人福利性单位声明函》或监狱和戒毒企业证明材料（本项目为其他未列明行业）。</w:t>
      </w:r>
    </w:p>
    <w:p w14:paraId="3E27CE8F">
      <w:pPr>
        <w:shd w:val="clear" w:color="auto" w:fill="auto"/>
        <w:snapToGrid w:val="0"/>
        <w:spacing w:line="480" w:lineRule="exact"/>
        <w:ind w:firstLine="480" w:firstLineChars="200"/>
        <w:rPr>
          <w:rFonts w:hint="eastAsia" w:ascii="Times New Roman"/>
          <w:color w:val="auto"/>
          <w:highlight w:val="none"/>
          <w:u w:val="single"/>
        </w:rPr>
      </w:pPr>
      <w:r>
        <w:rPr>
          <w:rFonts w:hint="eastAsia" w:ascii="Times New Roman"/>
          <w:color w:val="auto"/>
          <w:highlight w:val="none"/>
          <w:u w:val="single"/>
          <w:lang w:val="en-US" w:eastAsia="zh-CN"/>
        </w:rPr>
        <w:t>2.3、</w:t>
      </w:r>
      <w:r>
        <w:rPr>
          <w:rFonts w:hint="eastAsia" w:ascii="Times New Roman"/>
          <w:color w:val="auto"/>
          <w:highlight w:val="none"/>
          <w:u w:val="single"/>
        </w:rPr>
        <w:t>合格供应商的其他条件：</w:t>
      </w:r>
    </w:p>
    <w:p w14:paraId="34A77B15">
      <w:pPr>
        <w:shd w:val="clear" w:color="auto" w:fill="auto"/>
        <w:snapToGrid w:val="0"/>
        <w:spacing w:line="480" w:lineRule="exact"/>
        <w:ind w:firstLine="480" w:firstLineChars="200"/>
        <w:rPr>
          <w:rFonts w:hint="eastAsia" w:ascii="Times New Roman" w:hAnsi="Times New Roman" w:eastAsia="宋体" w:cs="Times New Roman"/>
          <w:color w:val="auto"/>
          <w:highlight w:val="none"/>
          <w:u w:val="single"/>
          <w:lang w:val="en-US" w:eastAsia="zh-CN"/>
        </w:rPr>
      </w:pPr>
      <w:r>
        <w:rPr>
          <w:rFonts w:hint="eastAsia" w:ascii="Times New Roman" w:hAnsi="Times New Roman" w:eastAsia="宋体" w:cs="Times New Roman"/>
          <w:color w:val="auto"/>
          <w:highlight w:val="none"/>
          <w:u w:val="single"/>
          <w:lang w:val="en-US" w:eastAsia="zh-CN"/>
        </w:rPr>
        <w:t>2.3.1</w:t>
      </w:r>
      <w:r>
        <w:rPr>
          <w:rFonts w:hint="eastAsia" w:ascii="Times New Roman" w:hAnsi="Times New Roman" w:eastAsia="宋体" w:cs="Times New Roman"/>
          <w:bCs w:val="0"/>
          <w:color w:val="auto"/>
          <w:sz w:val="24"/>
          <w:szCs w:val="20"/>
          <w:highlight w:val="none"/>
          <w:u w:val="single"/>
        </w:rPr>
        <w:t xml:space="preserve"> 具有国家认可CNAS资质证书的第三方机构，且证书认可的能力范围应包括电动汽车充换电设施等相关检验检测内容</w:t>
      </w:r>
      <w:r>
        <w:rPr>
          <w:rFonts w:hint="eastAsia" w:ascii="Times New Roman" w:hAnsi="Times New Roman" w:eastAsia="宋体" w:cs="Times New Roman"/>
          <w:bCs w:val="0"/>
          <w:color w:val="auto"/>
          <w:sz w:val="24"/>
          <w:szCs w:val="20"/>
          <w:highlight w:val="none"/>
          <w:u w:val="single"/>
          <w:lang w:eastAsia="zh-CN"/>
        </w:rPr>
        <w:t>；</w:t>
      </w:r>
    </w:p>
    <w:p w14:paraId="07D014A6">
      <w:pPr>
        <w:shd w:val="clear" w:color="auto" w:fill="auto"/>
        <w:snapToGrid w:val="0"/>
        <w:spacing w:line="480" w:lineRule="exact"/>
        <w:ind w:firstLine="480" w:firstLineChars="200"/>
        <w:rPr>
          <w:rFonts w:hint="eastAsia" w:ascii="Times New Roman"/>
          <w:color w:val="auto"/>
          <w:highlight w:val="none"/>
          <w:u w:val="single"/>
        </w:rPr>
      </w:pPr>
      <w:r>
        <w:rPr>
          <w:rFonts w:hint="eastAsia" w:ascii="Times New Roman"/>
          <w:color w:val="auto"/>
          <w:highlight w:val="none"/>
          <w:u w:val="single"/>
          <w:lang w:val="en-US" w:eastAsia="zh-CN"/>
        </w:rPr>
        <w:t>2.3.2</w:t>
      </w:r>
      <w:r>
        <w:rPr>
          <w:rFonts w:hint="eastAsia" w:ascii="Times New Roman"/>
          <w:color w:val="auto"/>
          <w:highlight w:val="none"/>
          <w:u w:val="single"/>
        </w:rPr>
        <w:t>单位负责人为同一人或者存在直接控股、管理关系的不同供应商，不得参加同一合同项下的政府采购活动；</w:t>
      </w:r>
    </w:p>
    <w:p w14:paraId="20781014">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u w:val="single"/>
          <w:lang w:val="en-US" w:eastAsia="zh-CN"/>
        </w:rPr>
        <w:t>2.</w:t>
      </w:r>
      <w:r>
        <w:rPr>
          <w:rFonts w:hint="eastAsia" w:ascii="Times New Roman"/>
          <w:color w:val="auto"/>
          <w:highlight w:val="none"/>
          <w:u w:val="single"/>
        </w:rPr>
        <w:t>3.</w:t>
      </w:r>
      <w:r>
        <w:rPr>
          <w:rFonts w:hint="eastAsia" w:ascii="Times New Roman"/>
          <w:color w:val="auto"/>
          <w:highlight w:val="none"/>
          <w:u w:val="single"/>
          <w:lang w:val="en-US" w:eastAsia="zh-CN"/>
        </w:rPr>
        <w:t>3</w:t>
      </w:r>
      <w:r>
        <w:rPr>
          <w:rFonts w:hint="eastAsia" w:ascii="Times New Roman"/>
          <w:color w:val="auto"/>
          <w:highlight w:val="none"/>
          <w:u w:val="single"/>
        </w:rPr>
        <w:t xml:space="preserve">本项目不接受联合体投标。 </w:t>
      </w:r>
    </w:p>
    <w:p w14:paraId="568A13B9">
      <w:pPr>
        <w:shd w:val="clear" w:color="auto" w:fill="auto"/>
        <w:snapToGrid w:val="0"/>
        <w:spacing w:line="480" w:lineRule="exact"/>
        <w:ind w:firstLine="482" w:firstLineChars="200"/>
        <w:rPr>
          <w:rFonts w:hint="eastAsia" w:ascii="Times New Roman"/>
          <w:b/>
          <w:color w:val="auto"/>
          <w:highlight w:val="none"/>
        </w:rPr>
      </w:pPr>
      <w:r>
        <w:rPr>
          <w:rFonts w:ascii="Times New Roman"/>
          <w:b/>
          <w:color w:val="auto"/>
          <w:highlight w:val="none"/>
        </w:rPr>
        <w:t>三、</w:t>
      </w:r>
      <w:r>
        <w:rPr>
          <w:rFonts w:hint="eastAsia" w:ascii="Times New Roman"/>
          <w:b/>
          <w:color w:val="auto"/>
          <w:highlight w:val="none"/>
        </w:rPr>
        <w:t>申请信息：</w:t>
      </w:r>
    </w:p>
    <w:p w14:paraId="7DCF6077">
      <w:pPr>
        <w:shd w:val="clear" w:color="auto" w:fill="auto"/>
        <w:snapToGrid w:val="0"/>
        <w:spacing w:line="480" w:lineRule="exact"/>
        <w:ind w:firstLine="482" w:firstLineChars="200"/>
        <w:rPr>
          <w:rFonts w:hint="eastAsia" w:ascii="Times New Roman"/>
          <w:b/>
          <w:color w:val="auto"/>
          <w:highlight w:val="none"/>
        </w:rPr>
      </w:pPr>
      <w:r>
        <w:rPr>
          <w:rFonts w:hint="eastAsia" w:ascii="Times New Roman"/>
          <w:b/>
          <w:color w:val="auto"/>
          <w:highlight w:val="none"/>
        </w:rPr>
        <w:t>申请时间：自采购公告上网发布之日起至2025年</w:t>
      </w:r>
      <w:r>
        <w:rPr>
          <w:rFonts w:hint="eastAsia" w:ascii="Times New Roman"/>
          <w:b/>
          <w:color w:val="auto"/>
          <w:highlight w:val="none"/>
          <w:lang w:val="en-US" w:eastAsia="zh-CN"/>
        </w:rPr>
        <w:t>06</w:t>
      </w:r>
      <w:r>
        <w:rPr>
          <w:rFonts w:hint="eastAsia" w:ascii="Times New Roman"/>
          <w:b/>
          <w:color w:val="auto"/>
          <w:highlight w:val="none"/>
        </w:rPr>
        <w:t>月</w:t>
      </w:r>
      <w:r>
        <w:rPr>
          <w:rFonts w:hint="eastAsia" w:ascii="Times New Roman"/>
          <w:b/>
          <w:color w:val="auto"/>
          <w:highlight w:val="none"/>
          <w:lang w:val="en-US" w:eastAsia="zh-CN"/>
        </w:rPr>
        <w:t>19</w:t>
      </w:r>
      <w:r>
        <w:rPr>
          <w:rFonts w:hint="eastAsia" w:ascii="Times New Roman"/>
          <w:b/>
          <w:color w:val="auto"/>
          <w:highlight w:val="none"/>
        </w:rPr>
        <w:t>日，每日工作时间：上午9:00—11:00整，下午13:30—17:00整（节假日除外）。</w:t>
      </w:r>
    </w:p>
    <w:p w14:paraId="3398973A">
      <w:pPr>
        <w:shd w:val="clear" w:color="auto" w:fill="auto"/>
        <w:snapToGrid w:val="0"/>
        <w:spacing w:line="480" w:lineRule="exact"/>
        <w:ind w:firstLine="482" w:firstLineChars="200"/>
        <w:rPr>
          <w:rFonts w:hint="eastAsia" w:ascii="Times New Roman"/>
          <w:b/>
          <w:color w:val="auto"/>
          <w:highlight w:val="none"/>
        </w:rPr>
      </w:pPr>
      <w:r>
        <w:rPr>
          <w:rFonts w:hint="eastAsia" w:ascii="Times New Roman"/>
          <w:b/>
          <w:color w:val="auto"/>
          <w:highlight w:val="none"/>
        </w:rPr>
        <w:t>申请地点：采购代理（江苏建诚工程咨询有限公司）</w:t>
      </w:r>
    </w:p>
    <w:p w14:paraId="4BCD771F">
      <w:pPr>
        <w:shd w:val="clear" w:color="auto" w:fill="auto"/>
        <w:snapToGrid w:val="0"/>
        <w:spacing w:line="480" w:lineRule="exact"/>
        <w:ind w:firstLine="482" w:firstLineChars="200"/>
        <w:rPr>
          <w:rFonts w:hint="eastAsia" w:ascii="Times New Roman"/>
          <w:b/>
          <w:color w:val="auto"/>
          <w:highlight w:val="none"/>
        </w:rPr>
      </w:pPr>
      <w:r>
        <w:rPr>
          <w:rFonts w:hint="eastAsia" w:ascii="Times New Roman"/>
          <w:b/>
          <w:color w:val="auto"/>
          <w:highlight w:val="none"/>
        </w:rPr>
        <w:t>申请地址：南通市崇川区崇川路58号南通产业研究院9号601室</w:t>
      </w:r>
    </w:p>
    <w:p w14:paraId="66FAD133">
      <w:pPr>
        <w:shd w:val="clear" w:color="auto" w:fill="auto"/>
        <w:snapToGrid w:val="0"/>
        <w:spacing w:line="480" w:lineRule="exact"/>
        <w:ind w:firstLine="482" w:firstLineChars="200"/>
        <w:rPr>
          <w:rFonts w:hint="eastAsia" w:ascii="Times New Roman"/>
          <w:b/>
          <w:color w:val="auto"/>
          <w:highlight w:val="none"/>
        </w:rPr>
      </w:pPr>
      <w:r>
        <w:rPr>
          <w:rFonts w:hint="eastAsia" w:ascii="Times New Roman"/>
          <w:b/>
          <w:color w:val="auto"/>
          <w:highlight w:val="none"/>
        </w:rPr>
        <w:t>申请方式：现场领取（也可以联系招标代理，通过电汇方式获取招标文件，联系人：</w:t>
      </w:r>
      <w:r>
        <w:rPr>
          <w:rFonts w:hint="eastAsia" w:ascii="Times New Roman"/>
          <w:b/>
          <w:color w:val="auto"/>
          <w:highlight w:val="none"/>
          <w:lang w:eastAsia="zh-CN"/>
        </w:rPr>
        <w:t>陆</w:t>
      </w:r>
      <w:r>
        <w:rPr>
          <w:rFonts w:hint="eastAsia" w:ascii="Times New Roman"/>
          <w:b/>
          <w:color w:val="auto"/>
          <w:highlight w:val="none"/>
        </w:rPr>
        <w:t>工，联系方式：1</w:t>
      </w:r>
      <w:r>
        <w:rPr>
          <w:rFonts w:hint="eastAsia" w:ascii="Times New Roman"/>
          <w:b/>
          <w:color w:val="auto"/>
          <w:highlight w:val="none"/>
          <w:lang w:val="en-US" w:eastAsia="zh-CN"/>
        </w:rPr>
        <w:t>3862995261</w:t>
      </w:r>
      <w:r>
        <w:rPr>
          <w:rFonts w:hint="eastAsia" w:ascii="Times New Roman"/>
          <w:b/>
          <w:color w:val="auto"/>
          <w:highlight w:val="none"/>
        </w:rPr>
        <w:t>；QQ：</w:t>
      </w:r>
      <w:r>
        <w:rPr>
          <w:rFonts w:hint="eastAsia" w:ascii="Times New Roman"/>
          <w:b/>
          <w:color w:val="auto"/>
          <w:highlight w:val="none"/>
          <w:lang w:val="en-US" w:eastAsia="zh-CN"/>
        </w:rPr>
        <w:t>735763345</w:t>
      </w:r>
      <w:r>
        <w:rPr>
          <w:rFonts w:hint="eastAsia" w:ascii="Times New Roman"/>
          <w:b/>
          <w:color w:val="auto"/>
          <w:highlight w:val="none"/>
        </w:rPr>
        <w:t>）。</w:t>
      </w:r>
    </w:p>
    <w:p w14:paraId="6D4C5C3D">
      <w:pPr>
        <w:shd w:val="clear" w:color="auto" w:fill="auto"/>
        <w:snapToGrid w:val="0"/>
        <w:spacing w:line="480" w:lineRule="exact"/>
        <w:ind w:firstLine="482" w:firstLineChars="200"/>
        <w:rPr>
          <w:rFonts w:hint="eastAsia" w:ascii="Times New Roman"/>
          <w:b/>
          <w:color w:val="auto"/>
          <w:highlight w:val="none"/>
        </w:rPr>
      </w:pPr>
      <w:r>
        <w:rPr>
          <w:rFonts w:hint="eastAsia" w:ascii="Times New Roman"/>
          <w:b/>
          <w:color w:val="auto"/>
          <w:highlight w:val="none"/>
        </w:rPr>
        <w:t>申请提供资料：按附件提供《申请函》</w:t>
      </w:r>
    </w:p>
    <w:p w14:paraId="587D4F57">
      <w:pPr>
        <w:shd w:val="clear" w:color="auto" w:fill="auto"/>
        <w:snapToGrid w:val="0"/>
        <w:spacing w:line="480" w:lineRule="exact"/>
        <w:ind w:firstLine="482" w:firstLineChars="200"/>
        <w:rPr>
          <w:rFonts w:hint="eastAsia" w:ascii="Times New Roman" w:eastAsia="宋体"/>
          <w:b/>
          <w:color w:val="auto"/>
          <w:highlight w:val="none"/>
          <w:lang w:eastAsia="zh-CN"/>
        </w:rPr>
      </w:pPr>
      <w:r>
        <w:rPr>
          <w:rFonts w:hint="eastAsia" w:ascii="Times New Roman"/>
          <w:b/>
          <w:color w:val="auto"/>
          <w:highlight w:val="none"/>
        </w:rPr>
        <w:t>未按要求进行申请的不具备投标资格</w:t>
      </w:r>
      <w:r>
        <w:rPr>
          <w:rFonts w:hint="eastAsia" w:ascii="Times New Roman"/>
          <w:b/>
          <w:color w:val="auto"/>
          <w:highlight w:val="none"/>
          <w:lang w:eastAsia="zh-CN"/>
        </w:rPr>
        <w:t>。</w:t>
      </w:r>
    </w:p>
    <w:p w14:paraId="77D6B185">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四、提交投标文件截止时间、开标时间和地点</w:t>
      </w:r>
    </w:p>
    <w:p w14:paraId="4B517EAE">
      <w:pPr>
        <w:shd w:val="clear" w:color="auto" w:fill="auto"/>
        <w:snapToGrid w:val="0"/>
        <w:spacing w:line="480" w:lineRule="exact"/>
        <w:ind w:firstLine="480" w:firstLineChars="200"/>
        <w:rPr>
          <w:rFonts w:hint="eastAsia" w:ascii="Times New Roman"/>
          <w:color w:val="auto"/>
          <w:highlight w:val="none"/>
        </w:rPr>
      </w:pPr>
      <w:r>
        <w:rPr>
          <w:rFonts w:hint="eastAsia" w:ascii="Times New Roman"/>
          <w:color w:val="auto"/>
          <w:highlight w:val="none"/>
        </w:rPr>
        <w:t>响应文件递交截止时间：2025年</w:t>
      </w:r>
      <w:r>
        <w:rPr>
          <w:rFonts w:hint="eastAsia" w:ascii="Times New Roman"/>
          <w:color w:val="auto"/>
          <w:highlight w:val="none"/>
          <w:lang w:val="en-US" w:eastAsia="zh-CN"/>
        </w:rPr>
        <w:t>06</w:t>
      </w:r>
      <w:r>
        <w:rPr>
          <w:rFonts w:hint="eastAsia" w:ascii="Times New Roman"/>
          <w:color w:val="auto"/>
          <w:highlight w:val="none"/>
        </w:rPr>
        <w:t>月</w:t>
      </w:r>
      <w:r>
        <w:rPr>
          <w:rFonts w:hint="eastAsia" w:ascii="Times New Roman"/>
          <w:color w:val="auto"/>
          <w:highlight w:val="none"/>
          <w:lang w:val="en-US" w:eastAsia="zh-CN"/>
        </w:rPr>
        <w:t xml:space="preserve"> 19</w:t>
      </w:r>
      <w:r>
        <w:rPr>
          <w:rFonts w:hint="eastAsia" w:ascii="Times New Roman"/>
          <w:color w:val="auto"/>
          <w:highlight w:val="none"/>
        </w:rPr>
        <w:t>日14:00（北京时间）</w:t>
      </w:r>
    </w:p>
    <w:p w14:paraId="15257E68">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rPr>
        <w:t>响应文件递交地址：市政务中心北停车楼14楼西会议室（崇川区工农南路150-1号），如有变动，另行通知</w:t>
      </w:r>
      <w:r>
        <w:rPr>
          <w:rFonts w:ascii="Times New Roman"/>
          <w:color w:val="auto"/>
          <w:highlight w:val="none"/>
        </w:rPr>
        <w:t>。</w:t>
      </w:r>
    </w:p>
    <w:p w14:paraId="47F65B1B">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五、公告期限</w:t>
      </w:r>
    </w:p>
    <w:p w14:paraId="14B3546B">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自本公告发布之日起5个工作日。</w:t>
      </w:r>
    </w:p>
    <w:p w14:paraId="3874D6B0">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六、其他补充事宜</w:t>
      </w:r>
    </w:p>
    <w:p w14:paraId="00D9CC35">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1.投标保证金：免收</w:t>
      </w:r>
    </w:p>
    <w:p w14:paraId="64E6EE43">
      <w:pPr>
        <w:shd w:val="clear" w:color="auto" w:fill="auto"/>
        <w:snapToGrid w:val="0"/>
        <w:spacing w:line="480" w:lineRule="exact"/>
        <w:ind w:firstLine="480" w:firstLineChars="200"/>
        <w:rPr>
          <w:rFonts w:ascii="Times New Roman"/>
          <w:b/>
          <w:color w:val="auto"/>
          <w:highlight w:val="none"/>
        </w:rPr>
      </w:pPr>
      <w:r>
        <w:rPr>
          <w:rFonts w:ascii="Times New Roman"/>
          <w:color w:val="auto"/>
          <w:highlight w:val="none"/>
        </w:rPr>
        <w:t>2.项目开标活动模式：</w:t>
      </w:r>
      <w:r>
        <w:rPr>
          <w:rFonts w:ascii="Times New Roman"/>
          <w:bCs/>
          <w:color w:val="auto"/>
          <w:highlight w:val="none"/>
        </w:rPr>
        <w:t>现场投标模式</w:t>
      </w:r>
    </w:p>
    <w:p w14:paraId="0BBD6FDC">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lang w:val="en-US" w:eastAsia="zh-CN"/>
        </w:rPr>
        <w:t>3</w:t>
      </w:r>
      <w:r>
        <w:rPr>
          <w:rFonts w:ascii="Times New Roman"/>
          <w:color w:val="auto"/>
          <w:highlight w:val="none"/>
        </w:rPr>
        <w:t>.对项目需求部分（供应商其他资格要求、项目需求、评分标准）的询问、质疑请向采购人提出，由采购人负责答复；对项目招标文件其它部分的询问请向</w:t>
      </w:r>
      <w:r>
        <w:rPr>
          <w:rFonts w:hint="eastAsia" w:ascii="Times New Roman"/>
          <w:color w:val="auto"/>
          <w:highlight w:val="none"/>
          <w:lang w:val="en-US" w:eastAsia="zh-CN"/>
        </w:rPr>
        <w:t>采购代理</w:t>
      </w:r>
      <w:r>
        <w:rPr>
          <w:rFonts w:ascii="Times New Roman"/>
          <w:color w:val="auto"/>
          <w:highlight w:val="none"/>
        </w:rPr>
        <w:t>提出。</w:t>
      </w:r>
    </w:p>
    <w:p w14:paraId="396F3C80">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lang w:val="en-US" w:eastAsia="zh-CN"/>
        </w:rPr>
        <w:t>4</w:t>
      </w:r>
      <w:r>
        <w:rPr>
          <w:rFonts w:ascii="Times New Roman"/>
          <w:color w:val="auto"/>
          <w:highlight w:val="none"/>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58CE1B12">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七、对本次招标提出询问，请按以下方式联系。</w:t>
      </w:r>
    </w:p>
    <w:p w14:paraId="74311105">
      <w:pPr>
        <w:shd w:val="clear" w:color="auto" w:fill="auto"/>
        <w:adjustRightInd w:val="0"/>
        <w:snapToGrid w:val="0"/>
        <w:spacing w:line="480" w:lineRule="exact"/>
        <w:ind w:firstLine="480" w:firstLineChars="200"/>
        <w:rPr>
          <w:rFonts w:hint="eastAsia" w:ascii="Times New Roman"/>
          <w:color w:val="auto"/>
          <w:highlight w:val="none"/>
        </w:rPr>
      </w:pPr>
      <w:r>
        <w:rPr>
          <w:rFonts w:ascii="Times New Roman"/>
          <w:color w:val="auto"/>
          <w:highlight w:val="none"/>
        </w:rPr>
        <w:t xml:space="preserve">1. </w:t>
      </w:r>
      <w:r>
        <w:rPr>
          <w:rFonts w:hint="eastAsia" w:ascii="Times New Roman"/>
          <w:color w:val="auto"/>
          <w:highlight w:val="none"/>
        </w:rPr>
        <w:t>采购人名称：南通市交通运输局</w:t>
      </w:r>
    </w:p>
    <w:p w14:paraId="41C5D068">
      <w:pPr>
        <w:shd w:val="clear" w:color="auto" w:fill="auto"/>
        <w:adjustRightInd w:val="0"/>
        <w:snapToGrid w:val="0"/>
        <w:spacing w:line="480" w:lineRule="exact"/>
        <w:ind w:firstLine="480" w:firstLineChars="200"/>
        <w:rPr>
          <w:rFonts w:hint="eastAsia" w:ascii="Times New Roman"/>
          <w:color w:val="auto"/>
          <w:highlight w:val="none"/>
        </w:rPr>
      </w:pPr>
      <w:r>
        <w:rPr>
          <w:rFonts w:hint="eastAsia" w:ascii="Times New Roman"/>
          <w:color w:val="auto"/>
          <w:highlight w:val="none"/>
        </w:rPr>
        <w:t>联系地址：市政务中心北停车楼</w:t>
      </w:r>
    </w:p>
    <w:p w14:paraId="53C39357">
      <w:pPr>
        <w:shd w:val="clear" w:color="auto" w:fill="auto"/>
        <w:adjustRightInd w:val="0"/>
        <w:snapToGrid w:val="0"/>
        <w:spacing w:line="480" w:lineRule="exact"/>
        <w:ind w:firstLine="480" w:firstLineChars="200"/>
        <w:rPr>
          <w:rFonts w:hint="default" w:ascii="Times New Roman"/>
          <w:color w:val="auto"/>
          <w:highlight w:val="none"/>
        </w:rPr>
      </w:pPr>
      <w:r>
        <w:rPr>
          <w:rFonts w:hint="eastAsia" w:ascii="Times New Roman"/>
          <w:color w:val="auto"/>
          <w:highlight w:val="none"/>
        </w:rPr>
        <w:t>联 系 人：韩韶英</w:t>
      </w:r>
      <w:r>
        <w:rPr>
          <w:rFonts w:hint="eastAsia" w:ascii="Times New Roman"/>
          <w:color w:val="auto"/>
          <w:highlight w:val="none"/>
          <w:lang w:eastAsia="zh-CN"/>
        </w:rPr>
        <w:t xml:space="preserve"> </w:t>
      </w:r>
      <w:r>
        <w:rPr>
          <w:rFonts w:hint="eastAsia" w:ascii="Times New Roman"/>
          <w:color w:val="auto"/>
          <w:highlight w:val="none"/>
          <w:lang w:val="en-US" w:eastAsia="zh-CN"/>
        </w:rPr>
        <w:t xml:space="preserve">   </w:t>
      </w:r>
    </w:p>
    <w:p w14:paraId="28A263A8">
      <w:pPr>
        <w:shd w:val="clear" w:color="auto" w:fill="auto"/>
        <w:adjustRightInd w:val="0"/>
        <w:snapToGrid w:val="0"/>
        <w:spacing w:line="480" w:lineRule="exact"/>
        <w:ind w:firstLine="480" w:firstLineChars="200"/>
        <w:rPr>
          <w:rFonts w:hint="default" w:ascii="Times New Roman"/>
          <w:color w:val="auto"/>
          <w:highlight w:val="none"/>
        </w:rPr>
      </w:pPr>
      <w:r>
        <w:rPr>
          <w:rFonts w:hint="eastAsia" w:ascii="Times New Roman"/>
          <w:color w:val="auto"/>
          <w:highlight w:val="none"/>
        </w:rPr>
        <w:t>电    话：</w:t>
      </w:r>
      <w:r>
        <w:rPr>
          <w:rFonts w:hint="eastAsia" w:ascii="Times New Roman"/>
          <w:color w:val="auto"/>
          <w:highlight w:val="none"/>
          <w:lang w:val="en-US" w:eastAsia="zh-CN"/>
        </w:rPr>
        <w:t>0513-59003922</w:t>
      </w:r>
      <w:r>
        <w:rPr>
          <w:rFonts w:hint="eastAsia" w:ascii="Times New Roman"/>
          <w:color w:val="auto"/>
          <w:highlight w:val="none"/>
          <w:lang w:eastAsia="zh-CN"/>
        </w:rPr>
        <w:t xml:space="preserve"> </w:t>
      </w:r>
      <w:r>
        <w:rPr>
          <w:rFonts w:hint="eastAsia" w:ascii="Times New Roman"/>
          <w:color w:val="auto"/>
          <w:highlight w:val="none"/>
          <w:lang w:val="en-US" w:eastAsia="zh-CN"/>
        </w:rPr>
        <w:t xml:space="preserve">   </w:t>
      </w:r>
    </w:p>
    <w:p w14:paraId="3A15E42C">
      <w:pPr>
        <w:widowControl/>
        <w:shd w:val="clear" w:color="auto" w:fill="auto"/>
        <w:adjustRightInd w:val="0"/>
        <w:snapToGrid w:val="0"/>
        <w:spacing w:line="480" w:lineRule="exact"/>
        <w:ind w:firstLine="480" w:firstLineChars="200"/>
        <w:jc w:val="left"/>
        <w:rPr>
          <w:rFonts w:ascii="Times New Roman"/>
          <w:color w:val="auto"/>
          <w:highlight w:val="none"/>
        </w:rPr>
      </w:pPr>
      <w:r>
        <w:rPr>
          <w:rFonts w:ascii="Times New Roman"/>
          <w:color w:val="auto"/>
          <w:highlight w:val="none"/>
        </w:rPr>
        <w:t>2. 采购代理机构信息</w:t>
      </w:r>
    </w:p>
    <w:p w14:paraId="239B2798">
      <w:pPr>
        <w:widowControl/>
        <w:shd w:val="clear" w:color="auto" w:fill="auto"/>
        <w:adjustRightInd w:val="0"/>
        <w:snapToGrid w:val="0"/>
        <w:spacing w:line="480" w:lineRule="exact"/>
        <w:ind w:firstLine="480" w:firstLineChars="200"/>
        <w:jc w:val="left"/>
        <w:rPr>
          <w:rFonts w:hint="eastAsia" w:ascii="Times New Roman" w:eastAsia="宋体"/>
          <w:color w:val="auto"/>
          <w:highlight w:val="none"/>
          <w:lang w:eastAsia="zh-CN"/>
        </w:rPr>
      </w:pPr>
      <w:r>
        <w:rPr>
          <w:rFonts w:ascii="Times New Roman"/>
          <w:color w:val="auto"/>
          <w:highlight w:val="none"/>
        </w:rPr>
        <w:t>名 称：</w:t>
      </w:r>
      <w:r>
        <w:rPr>
          <w:rFonts w:hint="eastAsia"/>
          <w:color w:val="auto"/>
          <w:highlight w:val="none"/>
          <w:lang w:eastAsia="zh-CN"/>
        </w:rPr>
        <w:t>江苏建诚工程咨询有限公司</w:t>
      </w:r>
    </w:p>
    <w:p w14:paraId="58F90EFF">
      <w:pPr>
        <w:widowControl/>
        <w:shd w:val="clear" w:color="auto" w:fill="auto"/>
        <w:adjustRightInd w:val="0"/>
        <w:snapToGrid w:val="0"/>
        <w:spacing w:line="480" w:lineRule="exact"/>
        <w:ind w:firstLine="480" w:firstLineChars="200"/>
        <w:jc w:val="left"/>
        <w:rPr>
          <w:rFonts w:ascii="Times New Roman"/>
          <w:color w:val="auto"/>
          <w:highlight w:val="none"/>
        </w:rPr>
      </w:pPr>
      <w:r>
        <w:rPr>
          <w:rFonts w:ascii="Times New Roman"/>
          <w:color w:val="auto"/>
          <w:highlight w:val="none"/>
        </w:rPr>
        <w:t>地 址：</w:t>
      </w:r>
      <w:r>
        <w:rPr>
          <w:rFonts w:hint="eastAsia" w:ascii="Times New Roman"/>
          <w:color w:val="auto"/>
          <w:highlight w:val="none"/>
        </w:rPr>
        <w:t>南通市崇川区崇川路58号产业技术研究院9幢601室</w:t>
      </w:r>
    </w:p>
    <w:p w14:paraId="5ABA8FA4">
      <w:pPr>
        <w:widowControl/>
        <w:shd w:val="clear" w:color="auto" w:fill="auto"/>
        <w:adjustRightInd w:val="0"/>
        <w:snapToGrid w:val="0"/>
        <w:spacing w:line="480" w:lineRule="exact"/>
        <w:ind w:firstLine="480" w:firstLineChars="200"/>
        <w:jc w:val="left"/>
        <w:rPr>
          <w:rFonts w:hint="default" w:ascii="Times New Roman" w:eastAsia="宋体"/>
          <w:color w:val="auto"/>
          <w:highlight w:val="none"/>
          <w:lang w:val="en-US" w:eastAsia="zh-CN"/>
        </w:rPr>
      </w:pPr>
      <w:r>
        <w:rPr>
          <w:rFonts w:ascii="Times New Roman"/>
          <w:color w:val="auto"/>
          <w:highlight w:val="none"/>
        </w:rPr>
        <w:t>联系方式：</w:t>
      </w:r>
      <w:r>
        <w:rPr>
          <w:rFonts w:hint="eastAsia"/>
          <w:color w:val="auto"/>
          <w:highlight w:val="none"/>
          <w:lang w:val="en-US" w:eastAsia="zh-CN"/>
        </w:rPr>
        <w:t>陆妍  13862995261</w:t>
      </w:r>
    </w:p>
    <w:p w14:paraId="3DA6FD82">
      <w:pPr>
        <w:numPr>
          <w:ilvl w:val="0"/>
          <w:numId w:val="1"/>
        </w:numPr>
        <w:shd w:val="clear" w:color="auto" w:fill="auto"/>
        <w:adjustRightInd w:val="0"/>
        <w:snapToGrid w:val="0"/>
        <w:spacing w:line="480" w:lineRule="exact"/>
        <w:ind w:firstLine="480" w:firstLineChars="200"/>
        <w:rPr>
          <w:rFonts w:ascii="Times New Roman"/>
          <w:color w:val="auto"/>
          <w:highlight w:val="none"/>
        </w:rPr>
      </w:pPr>
      <w:r>
        <w:rPr>
          <w:rFonts w:ascii="Times New Roman"/>
          <w:color w:val="auto"/>
          <w:highlight w:val="none"/>
        </w:rPr>
        <w:t>项目联系方式</w:t>
      </w:r>
    </w:p>
    <w:p w14:paraId="520FCA86">
      <w:pPr>
        <w:shd w:val="clear" w:color="auto" w:fill="auto"/>
        <w:snapToGrid w:val="0"/>
        <w:spacing w:line="480" w:lineRule="exact"/>
        <w:ind w:firstLine="480" w:firstLineChars="200"/>
        <w:rPr>
          <w:rFonts w:hint="eastAsia" w:ascii="Times New Roman" w:eastAsia="宋体"/>
          <w:color w:val="auto"/>
          <w:highlight w:val="none"/>
          <w:lang w:eastAsia="zh-CN"/>
        </w:rPr>
      </w:pPr>
      <w:r>
        <w:rPr>
          <w:rFonts w:ascii="Times New Roman"/>
          <w:color w:val="auto"/>
          <w:highlight w:val="none"/>
        </w:rPr>
        <w:t>招标文件制作人：</w:t>
      </w:r>
      <w:r>
        <w:rPr>
          <w:rFonts w:hint="eastAsia"/>
          <w:color w:val="auto"/>
          <w:highlight w:val="none"/>
          <w:lang w:val="en-US" w:eastAsia="zh-CN"/>
        </w:rPr>
        <w:t>陆妍</w:t>
      </w:r>
    </w:p>
    <w:p w14:paraId="3DBF66FE">
      <w:pPr>
        <w:shd w:val="clear" w:color="auto" w:fill="auto"/>
        <w:snapToGrid w:val="0"/>
        <w:spacing w:line="480" w:lineRule="exact"/>
        <w:ind w:firstLine="480" w:firstLineChars="200"/>
        <w:rPr>
          <w:rFonts w:hint="default" w:ascii="Times New Roman"/>
          <w:color w:val="auto"/>
          <w:highlight w:val="none"/>
          <w:lang w:val="en-US"/>
        </w:rPr>
      </w:pPr>
      <w:r>
        <w:rPr>
          <w:rFonts w:ascii="Times New Roman"/>
          <w:color w:val="auto"/>
          <w:highlight w:val="none"/>
        </w:rPr>
        <w:t>电 话：</w:t>
      </w:r>
      <w:r>
        <w:rPr>
          <w:color w:val="auto"/>
          <w:highlight w:val="none"/>
        </w:rPr>
        <w:t>1</w:t>
      </w:r>
      <w:r>
        <w:rPr>
          <w:rFonts w:hint="eastAsia"/>
          <w:color w:val="auto"/>
          <w:highlight w:val="none"/>
          <w:lang w:val="en-US" w:eastAsia="zh-CN"/>
        </w:rPr>
        <w:t>3862995261</w:t>
      </w:r>
    </w:p>
    <w:p w14:paraId="1511808B">
      <w:pPr>
        <w:shd w:val="clear" w:color="auto" w:fill="auto"/>
        <w:adjustRightInd w:val="0"/>
        <w:snapToGrid w:val="0"/>
        <w:spacing w:line="300" w:lineRule="auto"/>
        <w:contextualSpacing/>
        <w:jc w:val="center"/>
        <w:rPr>
          <w:rFonts w:ascii="Times New Roman"/>
          <w:color w:val="auto"/>
          <w:sz w:val="28"/>
          <w:szCs w:val="28"/>
          <w:highlight w:val="none"/>
        </w:rPr>
      </w:pPr>
      <w:r>
        <w:rPr>
          <w:rFonts w:ascii="Times New Roman"/>
          <w:b/>
          <w:color w:val="auto"/>
          <w:sz w:val="36"/>
          <w:szCs w:val="36"/>
          <w:highlight w:val="none"/>
        </w:rPr>
        <w:br w:type="page"/>
      </w:r>
      <w:r>
        <w:rPr>
          <w:rFonts w:ascii="Times New Roman"/>
          <w:b/>
          <w:color w:val="auto"/>
          <w:sz w:val="36"/>
          <w:szCs w:val="36"/>
          <w:highlight w:val="none"/>
        </w:rPr>
        <w:t>第二部分  投标须知</w:t>
      </w:r>
    </w:p>
    <w:p w14:paraId="39E3B8B4">
      <w:pPr>
        <w:shd w:val="clear" w:color="auto" w:fill="auto"/>
        <w:snapToGrid w:val="0"/>
        <w:spacing w:line="480" w:lineRule="exact"/>
        <w:ind w:firstLine="361" w:firstLineChars="150"/>
        <w:outlineLvl w:val="0"/>
        <w:rPr>
          <w:rFonts w:ascii="Times New Roman"/>
          <w:color w:val="auto"/>
          <w:highlight w:val="none"/>
        </w:rPr>
      </w:pPr>
      <w:r>
        <w:rPr>
          <w:rFonts w:ascii="Times New Roman"/>
          <w:b/>
          <w:color w:val="auto"/>
          <w:highlight w:val="none"/>
        </w:rPr>
        <w:t>一、招标文件由采购人或代理机构解释</w:t>
      </w:r>
      <w:r>
        <w:rPr>
          <w:rFonts w:ascii="Times New Roman"/>
          <w:color w:val="auto"/>
          <w:highlight w:val="none"/>
        </w:rPr>
        <w:t>。</w:t>
      </w:r>
    </w:p>
    <w:p w14:paraId="650159C4">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1、供应商下载招标文件后，应仔细检查招标文件的所有内容，如对采购活动事项有疑问的，应在下载招标文件开始之日起3日内以书面形式提出询问或疑问，未在规定的3日内提出询问或疑问的，视同供应商理解并接受本招标文件所有内容，并由此引起的投标损失自负。</w:t>
      </w:r>
    </w:p>
    <w:p w14:paraId="54DC5AF0">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2、投标人应认真审阅招标文件中所有的事项、格式、条款和规范要求等，如果投标人没有按照招标文件要求提交投标文件，或者投标文件没有对招标文件做出实质性响应，其投标将被拒绝，投标人自行承担责任。</w:t>
      </w:r>
    </w:p>
    <w:p w14:paraId="1D9FB171">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二、招标文件的澄清、修改、答疑</w:t>
      </w:r>
    </w:p>
    <w:p w14:paraId="5613EF9B">
      <w:pPr>
        <w:pStyle w:val="4"/>
        <w:shd w:val="clear" w:color="auto" w:fill="auto"/>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1、采购人有权对发出的招标文件进行必要的澄清或修改。</w:t>
      </w:r>
    </w:p>
    <w:p w14:paraId="0A523121">
      <w:pPr>
        <w:pStyle w:val="4"/>
        <w:shd w:val="clear" w:color="auto" w:fill="auto"/>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2、采购人可视情取消、延长相关时间。</w:t>
      </w:r>
    </w:p>
    <w:p w14:paraId="7294C574">
      <w:pPr>
        <w:pStyle w:val="4"/>
        <w:shd w:val="clear" w:color="auto" w:fill="auto"/>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3、采购人对招标文件的澄清、修改将构成招标文件的一部分，对投标人具有约束力。</w:t>
      </w:r>
    </w:p>
    <w:p w14:paraId="67AFF196">
      <w:pPr>
        <w:pStyle w:val="4"/>
        <w:shd w:val="clear" w:color="auto" w:fill="auto"/>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4、投标人由于对招标文件的任何推论和误解以及采购人对有关问题的口头解释所造成的后果，均由投标人自负。</w:t>
      </w:r>
    </w:p>
    <w:p w14:paraId="48A95B50">
      <w:pPr>
        <w:pStyle w:val="4"/>
        <w:shd w:val="clear" w:color="auto" w:fill="auto"/>
        <w:snapToGrid w:val="0"/>
        <w:spacing w:line="480" w:lineRule="exact"/>
        <w:ind w:left="0" w:firstLine="480" w:firstLineChars="200"/>
        <w:contextualSpacing/>
        <w:rPr>
          <w:rFonts w:ascii="Times New Roman" w:eastAsia="宋体"/>
          <w:color w:val="auto"/>
          <w:sz w:val="24"/>
          <w:szCs w:val="24"/>
          <w:highlight w:val="none"/>
        </w:rPr>
      </w:pPr>
      <w:r>
        <w:rPr>
          <w:rFonts w:ascii="Times New Roman" w:eastAsia="宋体"/>
          <w:color w:val="auto"/>
          <w:sz w:val="24"/>
          <w:szCs w:val="24"/>
          <w:highlight w:val="none"/>
        </w:rPr>
        <w:t>5、采购人视情组织答疑会。</w:t>
      </w:r>
    </w:p>
    <w:p w14:paraId="6F4C5543">
      <w:pPr>
        <w:shd w:val="clear" w:color="auto" w:fill="auto"/>
        <w:autoSpaceDE w:val="0"/>
        <w:autoSpaceDN w:val="0"/>
        <w:adjustRightInd w:val="0"/>
        <w:snapToGrid w:val="0"/>
        <w:spacing w:after="120" w:line="480" w:lineRule="exact"/>
        <w:ind w:firstLine="562"/>
        <w:contextualSpacing/>
        <w:rPr>
          <w:rFonts w:ascii="Times New Roman"/>
          <w:b/>
          <w:bCs/>
          <w:color w:val="auto"/>
          <w:highlight w:val="none"/>
        </w:rPr>
      </w:pPr>
      <w:r>
        <w:rPr>
          <w:rFonts w:ascii="Times New Roman"/>
          <w:b/>
          <w:bCs/>
          <w:color w:val="auto"/>
          <w:highlight w:val="none"/>
          <w:lang w:val="zh-CN"/>
        </w:rPr>
        <w:t>三、投标文件的编写、递交、上传</w:t>
      </w:r>
    </w:p>
    <w:p w14:paraId="2D4B0506">
      <w:pPr>
        <w:shd w:val="clear" w:color="auto" w:fill="auto"/>
        <w:autoSpaceDE w:val="0"/>
        <w:autoSpaceDN w:val="0"/>
        <w:adjustRightInd w:val="0"/>
        <w:snapToGrid w:val="0"/>
        <w:spacing w:line="480" w:lineRule="exact"/>
        <w:ind w:right="210" w:firstLine="560"/>
        <w:rPr>
          <w:rFonts w:ascii="Times New Roman"/>
          <w:b/>
          <w:color w:val="auto"/>
          <w:highlight w:val="none"/>
        </w:rPr>
      </w:pPr>
      <w:r>
        <w:rPr>
          <w:rFonts w:ascii="Times New Roman"/>
          <w:b/>
          <w:color w:val="auto"/>
          <w:highlight w:val="none"/>
        </w:rPr>
        <w:t>（一）投标文件的编写</w:t>
      </w:r>
    </w:p>
    <w:p w14:paraId="69895C3C">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供应商按“第七部分 投标文件组成”要求编写投标文件。</w:t>
      </w:r>
    </w:p>
    <w:p w14:paraId="6DA49AB4">
      <w:pPr>
        <w:shd w:val="clear" w:color="auto" w:fill="auto"/>
        <w:snapToGrid w:val="0"/>
        <w:spacing w:line="480" w:lineRule="exact"/>
        <w:ind w:firstLine="482" w:firstLineChars="200"/>
        <w:contextualSpacing/>
        <w:rPr>
          <w:rFonts w:ascii="Times New Roman" w:eastAsia="仿宋_GB2312"/>
          <w:b/>
          <w:color w:val="auto"/>
          <w:highlight w:val="none"/>
        </w:rPr>
      </w:pPr>
      <w:r>
        <w:rPr>
          <w:rFonts w:ascii="Times New Roman"/>
          <w:b/>
          <w:color w:val="auto"/>
          <w:highlight w:val="none"/>
        </w:rPr>
        <w:t>（二）投标文件的递交</w:t>
      </w:r>
    </w:p>
    <w:p w14:paraId="3F5823DD">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1、投标文件三部分内容（资格审查文件、商务技术文件、报价文件）须分别单独密封，并牢固装订成册，不得相互混淆，文件自编目录并连续标注页码，不得将内容拆开。报价文件不得出现于其他投标文件中。</w:t>
      </w:r>
    </w:p>
    <w:p w14:paraId="7A1DCC46">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2、投标文件每一部分内容均须提供“一正、肆副”纸质投标文件，并将正本、副本及图纸类等（如需提供图纸等其它资料的话）合并密封，统一装在一个密封袋或密封箱内（如有A3大小的图纸类，可单独密封）。</w:t>
      </w:r>
    </w:p>
    <w:p w14:paraId="2ED6978D">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3、纸质投标文件须采用A4纸（图纸等除外），正本须打印并由法定代表人或被授权人签字并加盖单位印章。副本可复印，但须加盖单位印章。文件内容中不得行间插字、涂改、增删，如修补错漏处，须由投标文件签署人签字并加盖公章。</w:t>
      </w:r>
    </w:p>
    <w:p w14:paraId="03E4B630">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4、投标文件密封后应标明投标文件项目名称、项目编号、分包号、边缝处加盖单位骑缝章或骑缝签字。</w:t>
      </w:r>
    </w:p>
    <w:p w14:paraId="1F2A9E33">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5、递交时间：供应商须在规定的投标文件接收截止时间前送达指定地点。</w:t>
      </w:r>
    </w:p>
    <w:p w14:paraId="47996DF1">
      <w:pPr>
        <w:shd w:val="clear" w:color="auto" w:fill="auto"/>
        <w:snapToGrid w:val="0"/>
        <w:spacing w:line="480" w:lineRule="exact"/>
        <w:ind w:firstLine="602" w:firstLineChars="250"/>
        <w:contextualSpacing/>
        <w:rPr>
          <w:rFonts w:ascii="Times New Roman"/>
          <w:b/>
          <w:color w:val="auto"/>
          <w:highlight w:val="none"/>
        </w:rPr>
      </w:pPr>
      <w:r>
        <w:rPr>
          <w:rFonts w:ascii="Times New Roman"/>
          <w:b/>
          <w:color w:val="auto"/>
          <w:highlight w:val="none"/>
        </w:rPr>
        <w:t>友情提醒：代理机构将拒绝接收未按照招标文件要求密封的投标文件，拒绝接收在投标文件接收截止时间后递交的投标文件。</w:t>
      </w:r>
    </w:p>
    <w:p w14:paraId="32C69DB7">
      <w:pPr>
        <w:shd w:val="clear" w:color="auto" w:fill="auto"/>
        <w:snapToGrid w:val="0"/>
        <w:spacing w:line="460" w:lineRule="exact"/>
        <w:ind w:firstLine="482" w:firstLineChars="200"/>
        <w:outlineLvl w:val="1"/>
        <w:rPr>
          <w:rFonts w:ascii="Times New Roman"/>
          <w:b/>
          <w:bCs/>
          <w:color w:val="auto"/>
          <w:highlight w:val="none"/>
        </w:rPr>
      </w:pPr>
      <w:r>
        <w:rPr>
          <w:rFonts w:ascii="Times New Roman"/>
          <w:b/>
          <w:bCs/>
          <w:color w:val="auto"/>
          <w:highlight w:val="none"/>
        </w:rPr>
        <w:t>四、投标文件的有效期</w:t>
      </w:r>
    </w:p>
    <w:p w14:paraId="1D713B60">
      <w:pPr>
        <w:shd w:val="clear" w:color="auto" w:fill="auto"/>
        <w:snapToGrid w:val="0"/>
        <w:spacing w:line="460" w:lineRule="exact"/>
        <w:ind w:firstLine="480" w:firstLineChars="200"/>
        <w:rPr>
          <w:rFonts w:ascii="Times New Roman"/>
          <w:color w:val="auto"/>
          <w:highlight w:val="none"/>
        </w:rPr>
      </w:pPr>
      <w:r>
        <w:rPr>
          <w:rFonts w:ascii="Times New Roman"/>
          <w:color w:val="auto"/>
          <w:highlight w:val="none"/>
        </w:rPr>
        <w:t>1、从投标文件接收截止之日算起，</w:t>
      </w:r>
      <w:r>
        <w:rPr>
          <w:rFonts w:hint="eastAsia" w:ascii="Times New Roman"/>
          <w:b/>
          <w:color w:val="auto"/>
          <w:highlight w:val="none"/>
          <w:u w:val="single"/>
        </w:rPr>
        <w:t>45</w:t>
      </w:r>
      <w:r>
        <w:rPr>
          <w:rFonts w:ascii="Times New Roman"/>
          <w:b/>
          <w:color w:val="auto"/>
          <w:highlight w:val="none"/>
          <w:u w:val="single"/>
        </w:rPr>
        <w:t xml:space="preserve"> </w:t>
      </w:r>
      <w:r>
        <w:rPr>
          <w:rFonts w:ascii="Times New Roman"/>
          <w:color w:val="auto"/>
          <w:highlight w:val="none"/>
        </w:rPr>
        <w:t>个“日历天”内投标书应保持有效。有效期短于这个规定期限的，投标将被拒绝。</w:t>
      </w:r>
    </w:p>
    <w:p w14:paraId="551F860D">
      <w:pPr>
        <w:shd w:val="clear" w:color="auto" w:fill="auto"/>
        <w:snapToGrid w:val="0"/>
        <w:spacing w:line="460" w:lineRule="exact"/>
        <w:ind w:firstLine="470" w:firstLineChars="196"/>
        <w:outlineLvl w:val="1"/>
        <w:rPr>
          <w:rFonts w:ascii="Times New Roman"/>
          <w:b/>
          <w:color w:val="auto"/>
          <w:highlight w:val="none"/>
        </w:rPr>
      </w:pPr>
      <w:r>
        <w:rPr>
          <w:rFonts w:ascii="Times New Roman"/>
          <w:color w:val="auto"/>
          <w:highlight w:val="none"/>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14:paraId="7436E03E">
      <w:pPr>
        <w:shd w:val="clear" w:color="auto" w:fill="auto"/>
        <w:snapToGrid w:val="0"/>
        <w:spacing w:line="480" w:lineRule="exact"/>
        <w:ind w:firstLine="482" w:firstLineChars="200"/>
        <w:contextualSpacing/>
        <w:rPr>
          <w:rFonts w:ascii="Times New Roman"/>
          <w:b/>
          <w:color w:val="auto"/>
          <w:highlight w:val="none"/>
        </w:rPr>
      </w:pPr>
      <w:r>
        <w:rPr>
          <w:rFonts w:ascii="Times New Roman"/>
          <w:b/>
          <w:color w:val="auto"/>
          <w:highlight w:val="none"/>
        </w:rPr>
        <w:t>五、投标报价</w:t>
      </w:r>
    </w:p>
    <w:p w14:paraId="0DA8F5C0">
      <w:pPr>
        <w:pStyle w:val="4"/>
        <w:shd w:val="clear" w:color="auto" w:fill="auto"/>
        <w:snapToGrid w:val="0"/>
        <w:spacing w:line="480" w:lineRule="exact"/>
        <w:ind w:left="0" w:firstLine="480" w:firstLineChars="200"/>
        <w:contextualSpacing/>
        <w:rPr>
          <w:rFonts w:ascii="Times New Roman" w:eastAsia="宋体"/>
          <w:b/>
          <w:color w:val="auto"/>
          <w:sz w:val="24"/>
          <w:szCs w:val="24"/>
          <w:highlight w:val="none"/>
        </w:rPr>
      </w:pPr>
      <w:r>
        <w:rPr>
          <w:rFonts w:ascii="Times New Roman" w:eastAsia="宋体"/>
          <w:color w:val="auto"/>
          <w:sz w:val="24"/>
          <w:szCs w:val="24"/>
          <w:highlight w:val="none"/>
        </w:rPr>
        <w:t>一个标的（段）只允许一个报价，不接受任何有选择性的报价。</w:t>
      </w:r>
    </w:p>
    <w:p w14:paraId="02D9A7CE">
      <w:pPr>
        <w:shd w:val="clear" w:color="auto" w:fill="auto"/>
        <w:snapToGrid w:val="0"/>
        <w:spacing w:line="480" w:lineRule="exact"/>
        <w:ind w:firstLine="482" w:firstLineChars="200"/>
        <w:rPr>
          <w:rFonts w:ascii="Times New Roman"/>
          <w:color w:val="auto"/>
          <w:highlight w:val="none"/>
        </w:rPr>
      </w:pPr>
      <w:r>
        <w:rPr>
          <w:rFonts w:ascii="Times New Roman"/>
          <w:b/>
          <w:bCs/>
          <w:color w:val="auto"/>
          <w:highlight w:val="none"/>
        </w:rPr>
        <w:t>六、</w:t>
      </w:r>
      <w:r>
        <w:rPr>
          <w:rFonts w:ascii="Times New Roman"/>
          <w:b/>
          <w:color w:val="auto"/>
          <w:highlight w:val="none"/>
        </w:rPr>
        <w:t>投标</w:t>
      </w:r>
      <w:r>
        <w:rPr>
          <w:rFonts w:ascii="Times New Roman"/>
          <w:b/>
          <w:bCs/>
          <w:color w:val="auto"/>
          <w:highlight w:val="none"/>
        </w:rPr>
        <w:t>费用</w:t>
      </w:r>
    </w:p>
    <w:p w14:paraId="3C8D8572">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lang w:val="en-US" w:eastAsia="zh-CN"/>
        </w:rPr>
        <w:t>1</w:t>
      </w:r>
      <w:r>
        <w:rPr>
          <w:rFonts w:hint="eastAsia" w:ascii="Times New Roman"/>
          <w:color w:val="auto"/>
          <w:highlight w:val="none"/>
        </w:rPr>
        <w:t>、招标代理费：根据国家计委关于印发《招标代理服务收费管理暂行办法》的通知（计价格[2002]1980号）、《国家发展改革委关于降低部分建设项目收费标准规范收费行为等有关问题的通知》（发改价格【2011】534号）的78%计取，按照成交价计算并由成交供应商支付，不足6000元按照6000元计；此部分费用包含在投标报价中，不单独计量支付，成交供应商应在领取成交通知书的同时一次性向招标代理单位支付（按照采购人与代理单位签订的代理合同执行）</w:t>
      </w:r>
      <w:r>
        <w:rPr>
          <w:rFonts w:ascii="Times New Roman"/>
          <w:color w:val="auto"/>
          <w:highlight w:val="none"/>
        </w:rPr>
        <w:t>。</w:t>
      </w:r>
    </w:p>
    <w:p w14:paraId="43C81092">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lang w:val="en-US" w:eastAsia="zh-CN"/>
        </w:rPr>
        <w:t>2</w:t>
      </w:r>
      <w:r>
        <w:rPr>
          <w:rFonts w:ascii="Times New Roman"/>
          <w:color w:val="auto"/>
          <w:highlight w:val="none"/>
        </w:rPr>
        <w:t>、采购人不收取任何费用。</w:t>
      </w:r>
    </w:p>
    <w:p w14:paraId="3F8D6C79">
      <w:pPr>
        <w:shd w:val="clear" w:color="auto" w:fill="auto"/>
        <w:snapToGrid w:val="0"/>
        <w:spacing w:line="480" w:lineRule="exact"/>
        <w:ind w:firstLine="555"/>
        <w:contextualSpacing/>
        <w:jc w:val="center"/>
        <w:rPr>
          <w:rFonts w:ascii="Times New Roman"/>
          <w:color w:val="auto"/>
          <w:sz w:val="28"/>
          <w:szCs w:val="28"/>
          <w:highlight w:val="none"/>
          <w:u w:val="single"/>
        </w:rPr>
      </w:pPr>
      <w:r>
        <w:rPr>
          <w:rFonts w:ascii="Times New Roman"/>
          <w:color w:val="auto"/>
          <w:highlight w:val="none"/>
          <w:u w:val="single"/>
        </w:rPr>
        <w:br w:type="page"/>
      </w:r>
      <w:r>
        <w:rPr>
          <w:rFonts w:ascii="Times New Roman"/>
          <w:b/>
          <w:bCs/>
          <w:color w:val="auto"/>
          <w:sz w:val="36"/>
          <w:szCs w:val="36"/>
          <w:highlight w:val="none"/>
        </w:rPr>
        <w:t>第三部分  项目需求说明</w:t>
      </w:r>
    </w:p>
    <w:p w14:paraId="057B046C">
      <w:pPr>
        <w:shd w:val="clear" w:color="auto" w:fill="auto"/>
        <w:adjustRightInd w:val="0"/>
        <w:snapToGrid w:val="0"/>
        <w:spacing w:line="500" w:lineRule="exact"/>
        <w:ind w:firstLine="480" w:firstLineChars="200"/>
        <w:rPr>
          <w:rFonts w:hint="eastAsia" w:ascii="Times New Roman"/>
          <w:b w:val="0"/>
          <w:bCs/>
          <w:color w:val="auto"/>
          <w:szCs w:val="24"/>
          <w:highlight w:val="none"/>
          <w:lang w:val="zh-CN"/>
        </w:rPr>
      </w:pPr>
      <w:r>
        <w:rPr>
          <w:rFonts w:hint="eastAsia" w:ascii="Times New Roman"/>
          <w:b w:val="0"/>
          <w:bCs/>
          <w:color w:val="auto"/>
          <w:szCs w:val="24"/>
          <w:highlight w:val="none"/>
          <w:lang w:val="zh-CN"/>
        </w:rPr>
        <w:t>1、</w:t>
      </w:r>
      <w:r>
        <w:rPr>
          <w:rFonts w:hint="eastAsia" w:ascii="Times New Roman" w:hAnsi="Times New Roman" w:eastAsia="宋体" w:cs="Times New Roman"/>
          <w:b w:val="0"/>
          <w:bCs/>
          <w:color w:val="auto"/>
          <w:sz w:val="24"/>
          <w:szCs w:val="24"/>
          <w:highlight w:val="none"/>
          <w:lang w:val="zh-CN"/>
        </w:rPr>
        <w:t>项目</w:t>
      </w:r>
      <w:r>
        <w:rPr>
          <w:rFonts w:hint="eastAsia" w:ascii="Times New Roman" w:hAnsi="Times New Roman" w:eastAsia="宋体" w:cs="Times New Roman"/>
          <w:b w:val="0"/>
          <w:bCs/>
          <w:color w:val="auto"/>
          <w:sz w:val="24"/>
          <w:szCs w:val="24"/>
          <w:highlight w:val="none"/>
          <w:lang w:val="zh-CN" w:eastAsia="zh-CN"/>
        </w:rPr>
        <w:t>背景</w:t>
      </w:r>
    </w:p>
    <w:p w14:paraId="52004AA1">
      <w:pPr>
        <w:shd w:val="clear" w:color="auto" w:fill="auto"/>
        <w:adjustRightInd w:val="0"/>
        <w:snapToGrid w:val="0"/>
        <w:spacing w:line="500" w:lineRule="exact"/>
        <w:ind w:firstLine="480" w:firstLineChars="200"/>
        <w:rPr>
          <w:rFonts w:hint="eastAsia" w:ascii="Times New Roman"/>
          <w:b w:val="0"/>
          <w:bCs/>
          <w:color w:val="auto"/>
          <w:szCs w:val="24"/>
          <w:highlight w:val="none"/>
          <w:lang w:val="zh-CN"/>
        </w:rPr>
      </w:pPr>
      <w:r>
        <w:rPr>
          <w:rFonts w:hint="eastAsia" w:ascii="Times New Roman" w:hAnsi="Times New Roman" w:eastAsia="宋体" w:cs="Times New Roman"/>
          <w:bCs/>
          <w:color w:val="auto"/>
          <w:sz w:val="24"/>
          <w:szCs w:val="24"/>
          <w:highlight w:val="none"/>
          <w:lang w:val="zh-CN"/>
        </w:rPr>
        <w:t>为推动和规范我市</w:t>
      </w:r>
      <w:r>
        <w:rPr>
          <w:rFonts w:hint="eastAsia" w:ascii="Times New Roman" w:hAnsi="Times New Roman" w:eastAsia="宋体" w:cs="Times New Roman"/>
          <w:bCs/>
          <w:color w:val="auto"/>
          <w:sz w:val="24"/>
          <w:szCs w:val="24"/>
          <w:highlight w:val="none"/>
          <w:lang w:val="zh-CN" w:eastAsia="zh-CN"/>
        </w:rPr>
        <w:t>新能源汽车</w:t>
      </w:r>
      <w:r>
        <w:rPr>
          <w:rFonts w:hint="eastAsia" w:ascii="Times New Roman" w:hAnsi="Times New Roman" w:eastAsia="宋体" w:cs="Times New Roman"/>
          <w:bCs/>
          <w:color w:val="auto"/>
          <w:sz w:val="24"/>
          <w:szCs w:val="24"/>
          <w:highlight w:val="none"/>
          <w:lang w:val="zh-CN"/>
        </w:rPr>
        <w:t>充（换）电设施</w:t>
      </w:r>
      <w:r>
        <w:rPr>
          <w:rFonts w:hint="eastAsia" w:ascii="Times New Roman" w:hAnsi="Times New Roman" w:eastAsia="宋体" w:cs="Times New Roman"/>
          <w:bCs/>
          <w:color w:val="auto"/>
          <w:sz w:val="24"/>
          <w:szCs w:val="24"/>
          <w:highlight w:val="none"/>
          <w:lang w:val="zh-CN" w:eastAsia="zh-CN"/>
        </w:rPr>
        <w:t>合理布局、规范建设，提升新能源汽车充（换）电设施的建设和运营水平</w:t>
      </w:r>
      <w:r>
        <w:rPr>
          <w:rFonts w:hint="eastAsia" w:ascii="Times New Roman" w:hAnsi="Times New Roman" w:eastAsia="宋体" w:cs="Times New Roman"/>
          <w:bCs/>
          <w:color w:val="auto"/>
          <w:sz w:val="24"/>
          <w:szCs w:val="24"/>
          <w:highlight w:val="none"/>
          <w:lang w:val="zh-CN"/>
        </w:rPr>
        <w:t>，</w:t>
      </w:r>
      <w:r>
        <w:rPr>
          <w:rFonts w:hint="eastAsia" w:ascii="Times New Roman" w:hAnsi="Times New Roman" w:eastAsia="宋体" w:cs="Times New Roman"/>
          <w:bCs/>
          <w:color w:val="auto"/>
          <w:sz w:val="24"/>
          <w:szCs w:val="24"/>
          <w:highlight w:val="none"/>
          <w:lang w:val="zh-CN" w:eastAsia="zh-CN"/>
        </w:rPr>
        <w:t>保障充（换）电安全和高质量服务，促进电动汽车产业健康发展，需委托第三方开展新能源汽车充（换）电设施验收、服务保障能力检查等相关工作</w:t>
      </w:r>
      <w:r>
        <w:rPr>
          <w:rFonts w:hint="eastAsia" w:ascii="Times New Roman" w:hAnsi="Times New Roman" w:eastAsia="宋体" w:cs="Times New Roman"/>
          <w:bCs/>
          <w:color w:val="auto"/>
          <w:sz w:val="24"/>
          <w:szCs w:val="24"/>
          <w:highlight w:val="none"/>
          <w:lang w:val="zh-CN"/>
        </w:rPr>
        <w:t>。</w:t>
      </w:r>
    </w:p>
    <w:p w14:paraId="3A87BE45">
      <w:pPr>
        <w:shd w:val="clear" w:color="auto" w:fill="auto"/>
        <w:adjustRightInd w:val="0"/>
        <w:snapToGrid w:val="0"/>
        <w:spacing w:line="500" w:lineRule="exact"/>
        <w:ind w:firstLine="480" w:firstLineChars="200"/>
        <w:rPr>
          <w:rFonts w:hint="eastAsia" w:ascii="Times New Roman"/>
          <w:b w:val="0"/>
          <w:bCs/>
          <w:color w:val="auto"/>
          <w:szCs w:val="24"/>
          <w:highlight w:val="none"/>
          <w:lang w:val="zh-CN"/>
        </w:rPr>
      </w:pPr>
      <w:r>
        <w:rPr>
          <w:rFonts w:hint="eastAsia" w:ascii="Times New Roman"/>
          <w:b w:val="0"/>
          <w:bCs/>
          <w:color w:val="auto"/>
          <w:szCs w:val="24"/>
          <w:highlight w:val="none"/>
          <w:lang w:val="zh-CN"/>
        </w:rPr>
        <w:t>2、采购服务内容</w:t>
      </w:r>
    </w:p>
    <w:p w14:paraId="33F2616E">
      <w:pPr>
        <w:shd w:val="clear" w:color="auto" w:fill="auto"/>
        <w:adjustRightInd w:val="0"/>
        <w:snapToGrid w:val="0"/>
        <w:spacing w:line="500" w:lineRule="exact"/>
        <w:ind w:firstLine="480" w:firstLineChars="200"/>
        <w:rPr>
          <w:rFonts w:hint="eastAsia" w:ascii="Times New Roman"/>
          <w:b w:val="0"/>
          <w:bCs/>
          <w:color w:val="auto"/>
          <w:szCs w:val="24"/>
          <w:highlight w:val="none"/>
          <w:lang w:val="zh-CN"/>
        </w:rPr>
      </w:pPr>
      <w:r>
        <w:rPr>
          <w:rFonts w:hint="eastAsia" w:ascii="Times New Roman" w:hAnsi="Times New Roman" w:eastAsia="宋体" w:cs="Times New Roman"/>
          <w:bCs/>
          <w:color w:val="auto"/>
          <w:sz w:val="24"/>
          <w:szCs w:val="24"/>
          <w:highlight w:val="none"/>
          <w:lang w:val="zh-CN"/>
        </w:rPr>
        <w:t>根据省新能源汽车充（换）电设施建设运营管理</w:t>
      </w:r>
      <w:r>
        <w:rPr>
          <w:rFonts w:hint="eastAsia" w:ascii="Times New Roman" w:hAnsi="Times New Roman" w:eastAsia="宋体" w:cs="Times New Roman"/>
          <w:bCs/>
          <w:color w:val="auto"/>
          <w:sz w:val="24"/>
          <w:szCs w:val="24"/>
          <w:highlight w:val="none"/>
          <w:lang w:val="zh-CN" w:eastAsia="zh-CN"/>
        </w:rPr>
        <w:t>相关要求</w:t>
      </w:r>
      <w:r>
        <w:rPr>
          <w:rFonts w:hint="eastAsia" w:ascii="Times New Roman" w:hAnsi="Times New Roman" w:eastAsia="宋体" w:cs="Times New Roman"/>
          <w:bCs/>
          <w:color w:val="auto"/>
          <w:sz w:val="24"/>
          <w:szCs w:val="24"/>
          <w:highlight w:val="none"/>
          <w:lang w:val="zh-CN"/>
        </w:rPr>
        <w:t>，围绕南通市新能源汽车充（换）电设施场站建设及安全</w:t>
      </w:r>
      <w:r>
        <w:rPr>
          <w:rFonts w:hint="eastAsia" w:ascii="Times New Roman" w:hAnsi="Times New Roman" w:eastAsia="宋体" w:cs="Times New Roman"/>
          <w:bCs/>
          <w:color w:val="auto"/>
          <w:sz w:val="24"/>
          <w:szCs w:val="24"/>
          <w:highlight w:val="none"/>
          <w:lang w:val="zh-CN" w:eastAsia="zh-CN"/>
        </w:rPr>
        <w:t>高效</w:t>
      </w:r>
      <w:r>
        <w:rPr>
          <w:rFonts w:hint="eastAsia" w:ascii="Times New Roman" w:hAnsi="Times New Roman" w:eastAsia="宋体" w:cs="Times New Roman"/>
          <w:bCs/>
          <w:color w:val="auto"/>
          <w:sz w:val="24"/>
          <w:szCs w:val="24"/>
          <w:highlight w:val="none"/>
          <w:lang w:val="zh-CN"/>
        </w:rPr>
        <w:t>运营，对承诺公示的充（换）电设施建设运营企业在</w:t>
      </w:r>
      <w:r>
        <w:rPr>
          <w:rFonts w:hint="eastAsia" w:ascii="Times New Roman" w:hAnsi="Times New Roman" w:eastAsia="宋体" w:cs="Times New Roman"/>
          <w:bCs/>
          <w:color w:val="auto"/>
          <w:sz w:val="24"/>
          <w:szCs w:val="24"/>
          <w:highlight w:val="none"/>
          <w:lang w:val="zh-CN" w:eastAsia="zh-CN"/>
        </w:rPr>
        <w:t>我</w:t>
      </w:r>
      <w:r>
        <w:rPr>
          <w:rFonts w:hint="eastAsia" w:ascii="Times New Roman" w:hAnsi="Times New Roman" w:eastAsia="宋体" w:cs="Times New Roman"/>
          <w:bCs/>
          <w:color w:val="auto"/>
          <w:sz w:val="24"/>
          <w:szCs w:val="24"/>
          <w:highlight w:val="none"/>
          <w:lang w:val="zh-CN"/>
        </w:rPr>
        <w:t>市建设</w:t>
      </w:r>
      <w:r>
        <w:rPr>
          <w:rFonts w:hint="eastAsia" w:ascii="Times New Roman" w:hAnsi="Times New Roman" w:eastAsia="宋体" w:cs="Times New Roman"/>
          <w:bCs/>
          <w:color w:val="auto"/>
          <w:sz w:val="24"/>
          <w:szCs w:val="24"/>
          <w:highlight w:val="none"/>
          <w:lang w:val="zh-CN" w:eastAsia="zh-CN"/>
        </w:rPr>
        <w:t>运营、</w:t>
      </w:r>
      <w:r>
        <w:rPr>
          <w:rFonts w:hint="eastAsia" w:ascii="Times New Roman" w:hAnsi="Times New Roman" w:eastAsia="宋体" w:cs="Times New Roman"/>
          <w:bCs/>
          <w:color w:val="auto"/>
          <w:sz w:val="24"/>
          <w:szCs w:val="24"/>
          <w:highlight w:val="none"/>
          <w:lang w:val="zh-CN"/>
        </w:rPr>
        <w:t>对外提供</w:t>
      </w:r>
      <w:r>
        <w:rPr>
          <w:rFonts w:hint="eastAsia" w:ascii="Times New Roman" w:hAnsi="Times New Roman" w:eastAsia="宋体" w:cs="Times New Roman"/>
          <w:bCs/>
          <w:color w:val="auto"/>
          <w:sz w:val="24"/>
          <w:szCs w:val="24"/>
          <w:highlight w:val="none"/>
          <w:lang w:val="zh-CN" w:eastAsia="zh-CN"/>
        </w:rPr>
        <w:t>公共</w:t>
      </w:r>
      <w:r>
        <w:rPr>
          <w:rFonts w:hint="eastAsia" w:ascii="Times New Roman" w:hAnsi="Times New Roman" w:eastAsia="宋体" w:cs="Times New Roman"/>
          <w:bCs/>
          <w:color w:val="auto"/>
          <w:sz w:val="24"/>
          <w:szCs w:val="24"/>
          <w:highlight w:val="none"/>
          <w:lang w:val="zh-CN"/>
        </w:rPr>
        <w:t>服务的充（换）电设施进行验收</w:t>
      </w:r>
      <w:r>
        <w:rPr>
          <w:rFonts w:hint="eastAsia" w:ascii="Times New Roman" w:hAnsi="Times New Roman" w:eastAsia="宋体" w:cs="Times New Roman"/>
          <w:bCs/>
          <w:color w:val="auto"/>
          <w:sz w:val="24"/>
          <w:szCs w:val="24"/>
          <w:highlight w:val="none"/>
          <w:lang w:val="zh-CN" w:eastAsia="zh-CN"/>
        </w:rPr>
        <w:t>，或对企业提交的验收结果进行审核</w:t>
      </w:r>
      <w:r>
        <w:rPr>
          <w:rFonts w:hint="eastAsia" w:ascii="Times New Roman" w:hAnsi="Times New Roman" w:eastAsia="宋体" w:cs="Times New Roman"/>
          <w:bCs/>
          <w:color w:val="auto"/>
          <w:sz w:val="24"/>
          <w:szCs w:val="24"/>
          <w:highlight w:val="none"/>
          <w:lang w:val="zh-CN"/>
        </w:rPr>
        <w:t>；</w:t>
      </w:r>
      <w:r>
        <w:rPr>
          <w:rFonts w:hint="eastAsia" w:ascii="Times New Roman" w:hAnsi="Times New Roman" w:eastAsia="宋体" w:cs="Times New Roman"/>
          <w:bCs/>
          <w:color w:val="auto"/>
          <w:sz w:val="24"/>
          <w:szCs w:val="24"/>
          <w:highlight w:val="none"/>
          <w:lang w:val="zh-CN" w:eastAsia="zh-CN"/>
        </w:rPr>
        <w:t>定期对我市</w:t>
      </w:r>
      <w:r>
        <w:rPr>
          <w:rFonts w:hint="eastAsia" w:ascii="Times New Roman" w:hAnsi="Times New Roman" w:eastAsia="宋体" w:cs="Times New Roman"/>
          <w:bCs/>
          <w:color w:val="auto"/>
          <w:sz w:val="24"/>
          <w:szCs w:val="24"/>
          <w:highlight w:val="none"/>
          <w:lang w:val="zh-CN"/>
        </w:rPr>
        <w:t>新能源汽车充（换）电设</w:t>
      </w:r>
      <w:r>
        <w:rPr>
          <w:rFonts w:hint="eastAsia" w:ascii="Times New Roman" w:hAnsi="Times New Roman" w:eastAsia="宋体" w:cs="Times New Roman"/>
          <w:bCs/>
          <w:color w:val="auto"/>
          <w:sz w:val="24"/>
          <w:szCs w:val="24"/>
          <w:highlight w:val="none"/>
          <w:lang w:val="zh-CN" w:eastAsia="zh-CN"/>
        </w:rPr>
        <w:t>施开展服务保障能力检查；为我市新能源汽车充（换）电设施建设运营管理工作提供技术支撑。</w:t>
      </w:r>
    </w:p>
    <w:p w14:paraId="700ADEF5">
      <w:pPr>
        <w:widowControl/>
        <w:shd w:val="clear" w:color="auto" w:fill="auto"/>
        <w:adjustRightInd w:val="0"/>
        <w:snapToGrid w:val="0"/>
        <w:spacing w:line="500" w:lineRule="exact"/>
        <w:ind w:firstLine="480" w:firstLineChars="200"/>
        <w:rPr>
          <w:rFonts w:hint="eastAsia" w:ascii="Times New Roman" w:hAnsi="Times New Roman" w:eastAsia="宋体" w:cs="Times New Roman"/>
          <w:bCs/>
          <w:color w:val="auto"/>
          <w:sz w:val="24"/>
          <w:szCs w:val="24"/>
          <w:highlight w:val="none"/>
          <w:lang w:val="zh-CN" w:eastAsia="zh-CN"/>
        </w:rPr>
      </w:pPr>
      <w:r>
        <w:rPr>
          <w:rFonts w:hint="eastAsia" w:ascii="Times New Roman"/>
          <w:b w:val="0"/>
          <w:bCs/>
          <w:color w:val="auto"/>
          <w:szCs w:val="24"/>
          <w:highlight w:val="none"/>
          <w:lang w:val="zh-CN"/>
        </w:rPr>
        <w:t>3、</w:t>
      </w:r>
      <w:r>
        <w:rPr>
          <w:rFonts w:hint="eastAsia" w:ascii="Times New Roman"/>
          <w:color w:val="auto"/>
          <w:highlight w:val="none"/>
          <w:lang w:eastAsia="zh-CN"/>
        </w:rPr>
        <w:t>服务周期</w:t>
      </w:r>
      <w:r>
        <w:rPr>
          <w:rFonts w:ascii="Times New Roman"/>
          <w:color w:val="auto"/>
          <w:highlight w:val="none"/>
        </w:rPr>
        <w:t>：</w:t>
      </w:r>
      <w:r>
        <w:rPr>
          <w:rFonts w:hint="eastAsia" w:ascii="Times New Roman" w:hAnsi="Times New Roman" w:eastAsia="宋体" w:cs="Times New Roman"/>
          <w:b w:val="0"/>
          <w:bCs w:val="0"/>
          <w:color w:val="auto"/>
          <w:sz w:val="24"/>
          <w:szCs w:val="20"/>
          <w:highlight w:val="none"/>
          <w:u w:val="single"/>
          <w:lang w:val="en-US" w:eastAsia="zh-CN"/>
        </w:rPr>
        <w:t>原则上按季度组织开展充（换）电设施验收，具体安排结合实际建设情况确定。安全检查工作每半年组织一次。服务周期自合同签订之日起至2025年12月31日。</w:t>
      </w:r>
    </w:p>
    <w:p w14:paraId="039F509A">
      <w:pPr>
        <w:shd w:val="clear" w:color="auto" w:fill="auto"/>
        <w:snapToGrid w:val="0"/>
        <w:spacing w:line="300" w:lineRule="auto"/>
        <w:jc w:val="center"/>
        <w:outlineLvl w:val="0"/>
        <w:rPr>
          <w:rFonts w:ascii="Times New Roman"/>
          <w:b/>
          <w:color w:val="auto"/>
          <w:sz w:val="36"/>
          <w:szCs w:val="36"/>
          <w:highlight w:val="none"/>
        </w:rPr>
      </w:pPr>
      <w:r>
        <w:rPr>
          <w:rFonts w:ascii="Times New Roman"/>
          <w:b/>
          <w:color w:val="auto"/>
          <w:sz w:val="36"/>
          <w:szCs w:val="36"/>
          <w:highlight w:val="none"/>
        </w:rPr>
        <w:br w:type="page"/>
      </w:r>
      <w:r>
        <w:rPr>
          <w:rFonts w:ascii="Times New Roman"/>
          <w:b/>
          <w:color w:val="auto"/>
          <w:sz w:val="36"/>
          <w:szCs w:val="36"/>
          <w:highlight w:val="none"/>
        </w:rPr>
        <w:t>第四部分  开标和评标</w:t>
      </w:r>
    </w:p>
    <w:p w14:paraId="16CCCE41">
      <w:pPr>
        <w:shd w:val="clear" w:color="auto" w:fill="auto"/>
        <w:tabs>
          <w:tab w:val="left" w:pos="3585"/>
        </w:tabs>
        <w:snapToGrid w:val="0"/>
        <w:spacing w:line="480" w:lineRule="exact"/>
        <w:ind w:firstLine="463" w:firstLineChars="192"/>
        <w:rPr>
          <w:rFonts w:ascii="Times New Roman"/>
          <w:b/>
          <w:color w:val="auto"/>
          <w:highlight w:val="none"/>
        </w:rPr>
      </w:pPr>
      <w:r>
        <w:rPr>
          <w:rFonts w:ascii="Times New Roman"/>
          <w:b/>
          <w:bCs/>
          <w:color w:val="auto"/>
          <w:highlight w:val="none"/>
        </w:rPr>
        <w:t>一、</w:t>
      </w:r>
      <w:r>
        <w:rPr>
          <w:rFonts w:ascii="Times New Roman"/>
          <w:b/>
          <w:color w:val="auto"/>
          <w:highlight w:val="none"/>
        </w:rPr>
        <w:t>采购人委托代理机构组织开标</w:t>
      </w:r>
    </w:p>
    <w:p w14:paraId="58D04CE8">
      <w:pPr>
        <w:shd w:val="clear" w:color="auto" w:fill="auto"/>
        <w:tabs>
          <w:tab w:val="left" w:pos="3585"/>
        </w:tabs>
        <w:snapToGrid w:val="0"/>
        <w:spacing w:line="480" w:lineRule="exact"/>
        <w:ind w:firstLine="460" w:firstLineChars="192"/>
        <w:rPr>
          <w:rFonts w:ascii="Times New Roman"/>
          <w:color w:val="auto"/>
          <w:highlight w:val="none"/>
        </w:rPr>
      </w:pPr>
      <w:r>
        <w:rPr>
          <w:rFonts w:ascii="Times New Roman"/>
          <w:color w:val="auto"/>
          <w:highlight w:val="none"/>
          <w:lang w:val="zh-CN"/>
        </w:rPr>
        <w:t>投标人须持有效身份</w:t>
      </w:r>
      <w:r>
        <w:rPr>
          <w:rFonts w:ascii="Times New Roman"/>
          <w:color w:val="auto"/>
          <w:highlight w:val="none"/>
        </w:rPr>
        <w:t>证明</w:t>
      </w:r>
      <w:r>
        <w:rPr>
          <w:rFonts w:ascii="Times New Roman"/>
          <w:color w:val="auto"/>
          <w:highlight w:val="none"/>
          <w:lang w:val="zh-CN"/>
        </w:rPr>
        <w:t>参加开标会。</w:t>
      </w:r>
    </w:p>
    <w:p w14:paraId="30B5730F">
      <w:pPr>
        <w:numPr>
          <w:ilvl w:val="0"/>
          <w:numId w:val="2"/>
        </w:numPr>
        <w:shd w:val="clear" w:color="auto" w:fill="auto"/>
        <w:snapToGrid w:val="0"/>
        <w:spacing w:line="480" w:lineRule="exact"/>
        <w:ind w:firstLine="570"/>
        <w:rPr>
          <w:rFonts w:ascii="Times New Roman"/>
          <w:b/>
          <w:bCs/>
          <w:color w:val="auto"/>
          <w:highlight w:val="none"/>
        </w:rPr>
      </w:pPr>
      <w:r>
        <w:rPr>
          <w:rFonts w:ascii="Times New Roman"/>
          <w:b/>
          <w:bCs/>
          <w:color w:val="auto"/>
          <w:highlight w:val="none"/>
        </w:rPr>
        <w:t>评委会由有关专家组成</w:t>
      </w:r>
      <w:r>
        <w:rPr>
          <w:rFonts w:ascii="Times New Roman"/>
          <w:b/>
          <w:color w:val="auto"/>
          <w:highlight w:val="none"/>
        </w:rPr>
        <w:t>，按照</w:t>
      </w:r>
      <w:r>
        <w:rPr>
          <w:rFonts w:ascii="Times New Roman"/>
          <w:b/>
          <w:bCs/>
          <w:color w:val="auto"/>
          <w:highlight w:val="none"/>
        </w:rPr>
        <w:t>公平、公正、择优的原则进行</w:t>
      </w:r>
      <w:r>
        <w:rPr>
          <w:rFonts w:ascii="Times New Roman"/>
          <w:b/>
          <w:color w:val="auto"/>
          <w:highlight w:val="none"/>
        </w:rPr>
        <w:t>独立</w:t>
      </w:r>
      <w:r>
        <w:rPr>
          <w:rFonts w:ascii="Times New Roman"/>
          <w:b/>
          <w:bCs/>
          <w:color w:val="auto"/>
          <w:highlight w:val="none"/>
        </w:rPr>
        <w:t>评标。</w:t>
      </w:r>
    </w:p>
    <w:p w14:paraId="29E3A7C9">
      <w:pPr>
        <w:shd w:val="clear" w:color="auto" w:fill="auto"/>
        <w:snapToGrid w:val="0"/>
        <w:spacing w:line="480" w:lineRule="exact"/>
        <w:ind w:firstLine="480" w:firstLineChars="200"/>
        <w:rPr>
          <w:rFonts w:ascii="Times New Roman"/>
          <w:b/>
          <w:bCs/>
          <w:color w:val="auto"/>
          <w:highlight w:val="none"/>
        </w:rPr>
      </w:pPr>
      <w:r>
        <w:rPr>
          <w:rFonts w:ascii="Times New Roman"/>
          <w:bCs/>
          <w:color w:val="auto"/>
          <w:highlight w:val="none"/>
        </w:rPr>
        <w:t>评委会由</w:t>
      </w:r>
      <w:r>
        <w:rPr>
          <w:rFonts w:hint="eastAsia" w:ascii="Times New Roman"/>
          <w:bCs/>
          <w:color w:val="auto"/>
          <w:highlight w:val="none"/>
          <w:lang w:val="en-US" w:eastAsia="zh-CN"/>
        </w:rPr>
        <w:t>3位</w:t>
      </w:r>
      <w:r>
        <w:rPr>
          <w:rFonts w:ascii="Times New Roman"/>
          <w:bCs/>
          <w:color w:val="auto"/>
          <w:highlight w:val="none"/>
        </w:rPr>
        <w:t>评审专家组成，评审专家在专家库中随机抽取。</w:t>
      </w:r>
    </w:p>
    <w:p w14:paraId="30FDAD03">
      <w:pPr>
        <w:shd w:val="clear" w:color="auto" w:fill="auto"/>
        <w:snapToGrid w:val="0"/>
        <w:spacing w:line="480" w:lineRule="exact"/>
        <w:ind w:firstLine="570"/>
        <w:rPr>
          <w:rFonts w:ascii="Times New Roman"/>
          <w:b/>
          <w:bCs/>
          <w:color w:val="auto"/>
          <w:highlight w:val="none"/>
        </w:rPr>
      </w:pPr>
      <w:r>
        <w:rPr>
          <w:rFonts w:ascii="Times New Roman"/>
          <w:b/>
          <w:bCs/>
          <w:color w:val="auto"/>
          <w:highlight w:val="none"/>
        </w:rPr>
        <w:t>（一）评审内容</w:t>
      </w:r>
    </w:p>
    <w:p w14:paraId="5A0C33D8">
      <w:pPr>
        <w:shd w:val="clear" w:color="auto" w:fill="auto"/>
        <w:snapToGrid w:val="0"/>
        <w:spacing w:line="480" w:lineRule="exact"/>
        <w:ind w:firstLine="480" w:firstLineChars="200"/>
        <w:jc w:val="left"/>
        <w:rPr>
          <w:rFonts w:ascii="Times New Roman"/>
          <w:bCs/>
          <w:color w:val="auto"/>
          <w:highlight w:val="none"/>
        </w:rPr>
      </w:pPr>
      <w:r>
        <w:rPr>
          <w:rFonts w:ascii="Times New Roman"/>
          <w:bCs/>
          <w:color w:val="auto"/>
          <w:highlight w:val="none"/>
        </w:rPr>
        <w:t>1、是否递交投标文件；</w:t>
      </w:r>
    </w:p>
    <w:p w14:paraId="0AFFA1E9">
      <w:pPr>
        <w:shd w:val="clear" w:color="auto" w:fill="auto"/>
        <w:snapToGrid w:val="0"/>
        <w:spacing w:line="480" w:lineRule="exact"/>
        <w:ind w:firstLine="480" w:firstLineChars="200"/>
        <w:jc w:val="left"/>
        <w:rPr>
          <w:rFonts w:ascii="Times New Roman"/>
          <w:bCs/>
          <w:color w:val="auto"/>
          <w:highlight w:val="none"/>
        </w:rPr>
      </w:pPr>
      <w:r>
        <w:rPr>
          <w:rFonts w:ascii="Times New Roman"/>
          <w:bCs/>
          <w:color w:val="auto"/>
          <w:highlight w:val="none"/>
        </w:rPr>
        <w:t>2、投标资格是否符合（由</w:t>
      </w:r>
      <w:r>
        <w:rPr>
          <w:rFonts w:ascii="Times New Roman"/>
          <w:color w:val="auto"/>
          <w:highlight w:val="none"/>
        </w:rPr>
        <w:t>采购人</w:t>
      </w:r>
      <w:r>
        <w:rPr>
          <w:rFonts w:ascii="Times New Roman"/>
          <w:bCs/>
          <w:color w:val="auto"/>
          <w:highlight w:val="none"/>
        </w:rPr>
        <w:t>审查）；</w:t>
      </w:r>
    </w:p>
    <w:p w14:paraId="6000D74A">
      <w:pPr>
        <w:shd w:val="clear" w:color="auto" w:fill="auto"/>
        <w:snapToGrid w:val="0"/>
        <w:spacing w:line="480" w:lineRule="exact"/>
        <w:ind w:firstLine="480" w:firstLineChars="200"/>
        <w:jc w:val="left"/>
        <w:rPr>
          <w:rFonts w:ascii="Times New Roman"/>
          <w:color w:val="auto"/>
          <w:highlight w:val="none"/>
        </w:rPr>
      </w:pPr>
      <w:r>
        <w:rPr>
          <w:rFonts w:ascii="Times New Roman"/>
          <w:color w:val="auto"/>
          <w:highlight w:val="none"/>
        </w:rPr>
        <w:t>3、投标文件是否完整；</w:t>
      </w:r>
    </w:p>
    <w:p w14:paraId="2E7E1766">
      <w:pPr>
        <w:shd w:val="clear" w:color="auto" w:fill="auto"/>
        <w:snapToGrid w:val="0"/>
        <w:spacing w:line="480" w:lineRule="exact"/>
        <w:ind w:firstLine="480" w:firstLineChars="200"/>
        <w:jc w:val="left"/>
        <w:rPr>
          <w:rFonts w:ascii="Times New Roman"/>
          <w:color w:val="auto"/>
          <w:highlight w:val="none"/>
        </w:rPr>
      </w:pPr>
      <w:r>
        <w:rPr>
          <w:rFonts w:ascii="Times New Roman"/>
          <w:color w:val="auto"/>
          <w:highlight w:val="none"/>
        </w:rPr>
        <w:t>4、投标文件是否恰当地签署；</w:t>
      </w:r>
    </w:p>
    <w:p w14:paraId="4CB79092">
      <w:pPr>
        <w:shd w:val="clear" w:color="auto" w:fill="auto"/>
        <w:snapToGrid w:val="0"/>
        <w:spacing w:line="480" w:lineRule="exact"/>
        <w:ind w:firstLine="480" w:firstLineChars="200"/>
        <w:jc w:val="left"/>
        <w:rPr>
          <w:rFonts w:ascii="Times New Roman"/>
          <w:color w:val="auto"/>
          <w:highlight w:val="none"/>
        </w:rPr>
      </w:pPr>
      <w:r>
        <w:rPr>
          <w:rFonts w:ascii="Times New Roman"/>
          <w:color w:val="auto"/>
          <w:highlight w:val="none"/>
        </w:rPr>
        <w:t>5、是否作出实质性响应（是否有实质性响应，只根据投标文件本身，而不寻求外部证据）；</w:t>
      </w:r>
    </w:p>
    <w:p w14:paraId="5EDB57AB">
      <w:pPr>
        <w:shd w:val="clear" w:color="auto" w:fill="auto"/>
        <w:snapToGrid w:val="0"/>
        <w:spacing w:line="480" w:lineRule="exact"/>
        <w:ind w:firstLine="480" w:firstLineChars="200"/>
        <w:jc w:val="left"/>
        <w:rPr>
          <w:rFonts w:ascii="Times New Roman"/>
          <w:color w:val="auto"/>
          <w:highlight w:val="none"/>
        </w:rPr>
      </w:pPr>
      <w:r>
        <w:rPr>
          <w:rFonts w:ascii="Times New Roman"/>
          <w:color w:val="auto"/>
          <w:highlight w:val="none"/>
        </w:rPr>
        <w:t>6、是否有计算错误。</w:t>
      </w:r>
    </w:p>
    <w:p w14:paraId="3E4AF387">
      <w:pPr>
        <w:shd w:val="clear" w:color="auto" w:fill="auto"/>
        <w:snapToGrid w:val="0"/>
        <w:spacing w:line="480" w:lineRule="exact"/>
        <w:ind w:firstLine="482" w:firstLineChars="200"/>
        <w:rPr>
          <w:rFonts w:ascii="Times New Roman"/>
          <w:b/>
          <w:bCs/>
          <w:color w:val="auto"/>
          <w:highlight w:val="none"/>
        </w:rPr>
      </w:pPr>
      <w:r>
        <w:rPr>
          <w:rFonts w:ascii="Times New Roman"/>
          <w:b/>
          <w:bCs/>
          <w:color w:val="auto"/>
          <w:highlight w:val="none"/>
        </w:rPr>
        <w:t>（二）相应的规定</w:t>
      </w:r>
    </w:p>
    <w:p w14:paraId="5F0D7C56">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1、投标文件中开标一览表（报价表）内容与投标文件中相应内容不一致的，以开标一览表（报价表）为准；</w:t>
      </w:r>
    </w:p>
    <w:p w14:paraId="01896AD0">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2、大写金额和小写金额不一致的，以大写金额为准；</w:t>
      </w:r>
    </w:p>
    <w:p w14:paraId="4B55B7A7">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3、单价金额小数点或者百分比有明显错位的，以开标一览表的总价为准，并修改单价；</w:t>
      </w:r>
    </w:p>
    <w:p w14:paraId="29F32E77">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4、总价金额与按单价汇总金额不一致的，以单价金额计算结果为准。</w:t>
      </w:r>
    </w:p>
    <w:p w14:paraId="3B1494E1">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同时出现两种以上不一致的，按照前款规定的顺序修正。修正后的报价按照财政部第87号令第五十一条第二款的规定经投标人确认后产生约束力，投标人不确认的，其投标无效。</w:t>
      </w:r>
    </w:p>
    <w:p w14:paraId="38DAA619">
      <w:pPr>
        <w:shd w:val="clear" w:color="auto" w:fill="auto"/>
        <w:tabs>
          <w:tab w:val="left" w:pos="3585"/>
        </w:tabs>
        <w:snapToGrid w:val="0"/>
        <w:spacing w:line="480" w:lineRule="exact"/>
        <w:ind w:firstLine="482" w:firstLineChars="200"/>
        <w:rPr>
          <w:rFonts w:ascii="Times New Roman"/>
          <w:b/>
          <w:bCs/>
          <w:color w:val="auto"/>
          <w:highlight w:val="none"/>
        </w:rPr>
      </w:pPr>
      <w:r>
        <w:rPr>
          <w:rFonts w:ascii="Times New Roman"/>
          <w:b/>
          <w:bCs/>
          <w:color w:val="auto"/>
          <w:highlight w:val="none"/>
        </w:rPr>
        <w:t>三、</w:t>
      </w:r>
      <w:r>
        <w:rPr>
          <w:rFonts w:ascii="Times New Roman"/>
          <w:b/>
          <w:color w:val="auto"/>
          <w:highlight w:val="none"/>
        </w:rPr>
        <w:t>陈述、演示、</w:t>
      </w:r>
      <w:r>
        <w:rPr>
          <w:rFonts w:ascii="Times New Roman"/>
          <w:b/>
          <w:bCs/>
          <w:color w:val="auto"/>
          <w:highlight w:val="none"/>
        </w:rPr>
        <w:t>答疑、澄清</w:t>
      </w:r>
    </w:p>
    <w:p w14:paraId="2523D6E6">
      <w:pPr>
        <w:shd w:val="clear" w:color="auto" w:fill="auto"/>
        <w:snapToGrid w:val="0"/>
        <w:spacing w:line="480" w:lineRule="exact"/>
        <w:ind w:firstLine="570"/>
        <w:rPr>
          <w:rFonts w:ascii="Times New Roman"/>
          <w:b/>
          <w:color w:val="auto"/>
          <w:highlight w:val="none"/>
        </w:rPr>
      </w:pPr>
      <w:r>
        <w:rPr>
          <w:rFonts w:ascii="Times New Roman"/>
          <w:color w:val="auto"/>
          <w:highlight w:val="none"/>
          <w:shd w:val="clear" w:color="auto" w:fill="FFFFFF"/>
        </w:rPr>
        <w:t>如评委会认为有必要，投标人按评委会的要求作陈述、演示、</w:t>
      </w:r>
      <w:r>
        <w:rPr>
          <w:rFonts w:ascii="Times New Roman"/>
          <w:color w:val="auto"/>
          <w:highlight w:val="none"/>
        </w:rPr>
        <w:t>答疑及澄清其投标内容。时间由评委会掌握。</w:t>
      </w:r>
    </w:p>
    <w:p w14:paraId="14B7506F">
      <w:pPr>
        <w:shd w:val="clear" w:color="auto" w:fill="auto"/>
        <w:snapToGrid w:val="0"/>
        <w:spacing w:line="480" w:lineRule="exact"/>
        <w:ind w:firstLine="570"/>
        <w:rPr>
          <w:rFonts w:ascii="Times New Roman"/>
          <w:color w:val="auto"/>
          <w:highlight w:val="none"/>
        </w:rPr>
      </w:pPr>
      <w:r>
        <w:rPr>
          <w:rFonts w:ascii="Times New Roman"/>
          <w:color w:val="auto"/>
          <w:highlight w:val="none"/>
        </w:rPr>
        <w:t>重要澄清答复应是书面的，但不得对投标内容进行实质性修改。</w:t>
      </w:r>
    </w:p>
    <w:p w14:paraId="528CC1A3">
      <w:pPr>
        <w:shd w:val="clear" w:color="auto" w:fill="auto"/>
        <w:snapToGrid w:val="0"/>
        <w:spacing w:line="480" w:lineRule="exact"/>
        <w:ind w:firstLine="570"/>
        <w:rPr>
          <w:rFonts w:ascii="Times New Roman"/>
          <w:b/>
          <w:color w:val="auto"/>
          <w:highlight w:val="none"/>
        </w:rPr>
      </w:pPr>
      <w:r>
        <w:rPr>
          <w:rFonts w:ascii="Times New Roman"/>
          <w:b/>
          <w:color w:val="auto"/>
          <w:highlight w:val="none"/>
        </w:rPr>
        <w:t>四、出现下列情形之一的，作无效投标处理</w:t>
      </w:r>
    </w:p>
    <w:p w14:paraId="4EC5313B">
      <w:pPr>
        <w:numPr>
          <w:ilvl w:val="0"/>
          <w:numId w:val="3"/>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投标文件未按招标文件要求密封、签署、盖章及主要资料不齐全或加盖电子签章；</w:t>
      </w:r>
    </w:p>
    <w:p w14:paraId="32C7F057">
      <w:pPr>
        <w:numPr>
          <w:ilvl w:val="0"/>
          <w:numId w:val="3"/>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不具备招标文件中规定的资格要求的；</w:t>
      </w:r>
    </w:p>
    <w:p w14:paraId="768EE902">
      <w:pPr>
        <w:numPr>
          <w:ilvl w:val="0"/>
          <w:numId w:val="3"/>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未通过符合性检查的；</w:t>
      </w:r>
    </w:p>
    <w:p w14:paraId="76951673">
      <w:pPr>
        <w:numPr>
          <w:ilvl w:val="0"/>
          <w:numId w:val="3"/>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报价超过招标文件中规定的预算金额或者最高限价的；</w:t>
      </w:r>
    </w:p>
    <w:p w14:paraId="79EB1599">
      <w:pPr>
        <w:numPr>
          <w:ilvl w:val="0"/>
          <w:numId w:val="3"/>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同一投标人提交两个（含两个）以上不同的投标报价的；</w:t>
      </w:r>
    </w:p>
    <w:p w14:paraId="221E4FA7">
      <w:pPr>
        <w:numPr>
          <w:ilvl w:val="0"/>
          <w:numId w:val="3"/>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报价文件出现在其他投标文件中的；</w:t>
      </w:r>
    </w:p>
    <w:p w14:paraId="18AE7F5E">
      <w:pPr>
        <w:numPr>
          <w:ilvl w:val="0"/>
          <w:numId w:val="3"/>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投标文件含有采购人不能接受的附加条件的；</w:t>
      </w:r>
    </w:p>
    <w:p w14:paraId="4A2277DD">
      <w:pPr>
        <w:numPr>
          <w:ilvl w:val="0"/>
          <w:numId w:val="3"/>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不符合招标文件中规定的其他实质性要求和条件的；</w:t>
      </w:r>
    </w:p>
    <w:p w14:paraId="287E8A3B">
      <w:pPr>
        <w:numPr>
          <w:ilvl w:val="0"/>
          <w:numId w:val="3"/>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投标人的商务技术部分得分相差悬殊，评标委员会认为得分畸低者没有实质性响应的；</w:t>
      </w:r>
    </w:p>
    <w:p w14:paraId="6A411F23">
      <w:pPr>
        <w:numPr>
          <w:ilvl w:val="0"/>
          <w:numId w:val="3"/>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评标委员会认为投标人的报价明显低于其他通过符合性审查投标人的报价，有可能影响产品质量或者不能诚信履约的，要求其在合理的时间内提供说明，必要时提交相关证明材料；投标人不能证明其报价合理性的，评标委员会应当将其作为无效投标处理；</w:t>
      </w:r>
    </w:p>
    <w:p w14:paraId="3C2F6EF5">
      <w:pPr>
        <w:numPr>
          <w:ilvl w:val="0"/>
          <w:numId w:val="3"/>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投标人 “信用中国”网站（www.creditchina.gov.cn）</w:t>
      </w:r>
      <w:r>
        <w:rPr>
          <w:rFonts w:hint="eastAsia" w:ascii="Times New Roman"/>
          <w:color w:val="auto"/>
          <w:highlight w:val="none"/>
        </w:rPr>
        <w:t>、“中国政府采购网”（www.ccgp.gov.cn）</w:t>
      </w:r>
      <w:r>
        <w:rPr>
          <w:rFonts w:ascii="Times New Roman"/>
          <w:color w:val="auto"/>
          <w:highlight w:val="none"/>
        </w:rPr>
        <w:t>列入失信被执行人或重大税收违法案件当事人名单或政府采购严重失信行为记录名单。或查询“信用中国”</w:t>
      </w:r>
      <w:r>
        <w:rPr>
          <w:rFonts w:hint="eastAsia" w:ascii="Times New Roman"/>
          <w:color w:val="auto"/>
          <w:highlight w:val="none"/>
        </w:rPr>
        <w:t>、“中国政府采购网”等</w:t>
      </w:r>
      <w:r>
        <w:rPr>
          <w:rFonts w:ascii="Times New Roman"/>
          <w:color w:val="auto"/>
          <w:highlight w:val="none"/>
        </w:rPr>
        <w:t>网站后发现投标人存在其他不符合《中华人民共和国政府采购法》第二十二条规定条件的信用记录；</w:t>
      </w:r>
    </w:p>
    <w:p w14:paraId="3AA648C2">
      <w:pPr>
        <w:numPr>
          <w:ilvl w:val="0"/>
          <w:numId w:val="3"/>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不同的投标人投标文件制作机器码、文件创建标识码一致的；</w:t>
      </w:r>
    </w:p>
    <w:p w14:paraId="490EFF45">
      <w:pPr>
        <w:numPr>
          <w:ilvl w:val="0"/>
          <w:numId w:val="3"/>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其他法律、法规及本招标文件规定的属无效投标的情形。</w:t>
      </w:r>
    </w:p>
    <w:p w14:paraId="56E6D7B4">
      <w:pPr>
        <w:shd w:val="clear" w:color="auto" w:fill="auto"/>
        <w:snapToGrid w:val="0"/>
        <w:spacing w:line="480" w:lineRule="exact"/>
        <w:ind w:firstLine="570"/>
        <w:rPr>
          <w:rFonts w:ascii="Times New Roman"/>
          <w:b/>
          <w:color w:val="auto"/>
          <w:highlight w:val="none"/>
        </w:rPr>
      </w:pPr>
      <w:r>
        <w:rPr>
          <w:rFonts w:ascii="Times New Roman"/>
          <w:b/>
          <w:color w:val="auto"/>
          <w:highlight w:val="none"/>
        </w:rPr>
        <w:t>五、出现下列情形之一的，作废标处理</w:t>
      </w:r>
    </w:p>
    <w:p w14:paraId="220B337A">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 xml:space="preserve">1、符合专业条件的投标人或者对招标文件作实质响应的投标人不足 </w:t>
      </w:r>
      <w:r>
        <w:rPr>
          <w:rFonts w:hint="eastAsia" w:ascii="Times New Roman"/>
          <w:color w:val="auto"/>
          <w:highlight w:val="none"/>
          <w:u w:val="single"/>
        </w:rPr>
        <w:t>3</w:t>
      </w:r>
      <w:r>
        <w:rPr>
          <w:rFonts w:ascii="Times New Roman"/>
          <w:color w:val="auto"/>
          <w:highlight w:val="none"/>
          <w:u w:val="single"/>
        </w:rPr>
        <w:t xml:space="preserve"> </w:t>
      </w:r>
      <w:r>
        <w:rPr>
          <w:rFonts w:ascii="Times New Roman"/>
          <w:color w:val="auto"/>
          <w:highlight w:val="none"/>
        </w:rPr>
        <w:t>家的；</w:t>
      </w:r>
    </w:p>
    <w:p w14:paraId="1A3BFD66">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2、出现影响采购公正的违法违规行为的；</w:t>
      </w:r>
    </w:p>
    <w:p w14:paraId="2C817F52">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3、投标人的报价均超过了采购预算，采购人不能支付的；</w:t>
      </w:r>
    </w:p>
    <w:p w14:paraId="77520838">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4、因重大变故，采购任务取消的；</w:t>
      </w:r>
    </w:p>
    <w:p w14:paraId="2DDA70E7">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5、评标委员会认定招标文件存在歧义、重大缺陷导致评审工作无法进行；</w:t>
      </w:r>
    </w:p>
    <w:p w14:paraId="418EDF73">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6、因系统故障原因造成开评标无法继续进行的。</w:t>
      </w:r>
    </w:p>
    <w:p w14:paraId="15E72815">
      <w:pPr>
        <w:shd w:val="clear" w:color="auto" w:fill="auto"/>
        <w:snapToGrid w:val="0"/>
        <w:spacing w:line="480" w:lineRule="exact"/>
        <w:ind w:firstLine="555"/>
        <w:rPr>
          <w:rFonts w:ascii="Times New Roman"/>
          <w:color w:val="auto"/>
          <w:highlight w:val="none"/>
        </w:rPr>
      </w:pPr>
      <w:r>
        <w:rPr>
          <w:rFonts w:ascii="Times New Roman"/>
          <w:color w:val="auto"/>
          <w:highlight w:val="none"/>
        </w:rPr>
        <w:t>上述均保留评委会认定可以确定为无效投标或废标的其他情况。</w:t>
      </w:r>
    </w:p>
    <w:p w14:paraId="2B15920C">
      <w:pPr>
        <w:shd w:val="clear" w:color="auto" w:fill="auto"/>
        <w:snapToGrid w:val="0"/>
        <w:spacing w:line="480" w:lineRule="exact"/>
        <w:ind w:firstLine="555"/>
        <w:rPr>
          <w:rFonts w:ascii="Times New Roman"/>
          <w:b/>
          <w:color w:val="auto"/>
          <w:highlight w:val="none"/>
        </w:rPr>
      </w:pPr>
      <w:r>
        <w:rPr>
          <w:rFonts w:ascii="Times New Roman"/>
          <w:b/>
          <w:color w:val="auto"/>
          <w:highlight w:val="none"/>
        </w:rPr>
        <w:t>六</w:t>
      </w:r>
      <w:r>
        <w:rPr>
          <w:rFonts w:ascii="Times New Roman"/>
          <w:color w:val="auto"/>
          <w:highlight w:val="none"/>
        </w:rPr>
        <w:t>、</w:t>
      </w:r>
      <w:r>
        <w:rPr>
          <w:rFonts w:ascii="Times New Roman"/>
          <w:b/>
          <w:color w:val="auto"/>
          <w:highlight w:val="none"/>
        </w:rPr>
        <w:t>变更为其他方式采购的情形</w:t>
      </w:r>
    </w:p>
    <w:p w14:paraId="784674DD">
      <w:pPr>
        <w:shd w:val="clear" w:color="auto" w:fill="auto"/>
        <w:autoSpaceDE w:val="0"/>
        <w:autoSpaceDN w:val="0"/>
        <w:adjustRightInd w:val="0"/>
        <w:snapToGrid w:val="0"/>
        <w:spacing w:line="480" w:lineRule="exact"/>
        <w:ind w:firstLine="480" w:firstLineChars="200"/>
        <w:rPr>
          <w:rFonts w:ascii="Times New Roman"/>
          <w:color w:val="auto"/>
          <w:highlight w:val="none"/>
          <w:lang w:val="zh-CN"/>
        </w:rPr>
      </w:pPr>
      <w:r>
        <w:rPr>
          <w:rFonts w:ascii="Times New Roman"/>
          <w:color w:val="auto"/>
          <w:highlight w:val="none"/>
        </w:rPr>
        <w:t>投标截止时间出现：参加投标的供应商不足</w:t>
      </w:r>
      <w:r>
        <w:rPr>
          <w:rFonts w:ascii="Times New Roman"/>
          <w:color w:val="auto"/>
          <w:highlight w:val="none"/>
          <w:u w:val="single"/>
        </w:rPr>
        <w:t xml:space="preserve"> </w:t>
      </w:r>
      <w:r>
        <w:rPr>
          <w:rFonts w:hint="eastAsia" w:ascii="Times New Roman"/>
          <w:color w:val="auto"/>
          <w:highlight w:val="none"/>
          <w:u w:val="single"/>
        </w:rPr>
        <w:t>3</w:t>
      </w:r>
      <w:r>
        <w:rPr>
          <w:rFonts w:ascii="Times New Roman"/>
          <w:color w:val="auto"/>
          <w:highlight w:val="none"/>
          <w:u w:val="single"/>
        </w:rPr>
        <w:t xml:space="preserve"> </w:t>
      </w:r>
      <w:r>
        <w:rPr>
          <w:rFonts w:ascii="Times New Roman"/>
          <w:color w:val="auto"/>
          <w:highlight w:val="none"/>
        </w:rPr>
        <w:t>家的，及评标中出现符合专业条件的供应商或对招标文件作实质响应的投标人不足</w:t>
      </w:r>
      <w:r>
        <w:rPr>
          <w:rFonts w:ascii="Times New Roman"/>
          <w:color w:val="auto"/>
          <w:highlight w:val="none"/>
          <w:u w:val="single"/>
        </w:rPr>
        <w:t xml:space="preserve"> </w:t>
      </w:r>
      <w:r>
        <w:rPr>
          <w:rFonts w:hint="eastAsia" w:ascii="Times New Roman"/>
          <w:color w:val="auto"/>
          <w:highlight w:val="none"/>
          <w:u w:val="single"/>
        </w:rPr>
        <w:t>3</w:t>
      </w:r>
      <w:r>
        <w:rPr>
          <w:rFonts w:ascii="Times New Roman"/>
          <w:color w:val="auto"/>
          <w:highlight w:val="none"/>
          <w:u w:val="single"/>
        </w:rPr>
        <w:t xml:space="preserve"> </w:t>
      </w:r>
      <w:r>
        <w:rPr>
          <w:rFonts w:ascii="Times New Roman"/>
          <w:color w:val="auto"/>
          <w:highlight w:val="none"/>
        </w:rPr>
        <w:t>家如下情形时，除采购任务取消外，采购人报告</w:t>
      </w:r>
      <w:r>
        <w:rPr>
          <w:rFonts w:hint="eastAsia" w:ascii="Times New Roman"/>
          <w:color w:val="auto"/>
          <w:highlight w:val="none"/>
          <w:lang w:val="en-US" w:eastAsia="zh-CN"/>
        </w:rPr>
        <w:t>主管部门</w:t>
      </w:r>
      <w:r>
        <w:rPr>
          <w:rFonts w:ascii="Times New Roman"/>
          <w:color w:val="auto"/>
          <w:highlight w:val="none"/>
        </w:rPr>
        <w:t>，视情采取其他方式采购。</w:t>
      </w:r>
      <w:r>
        <w:rPr>
          <w:rFonts w:ascii="Times New Roman"/>
          <w:color w:val="auto"/>
          <w:highlight w:val="none"/>
          <w:lang w:val="zh-CN"/>
        </w:rPr>
        <w:t>本次招标文件中对供应商资质、技术等要求，将作为</w:t>
      </w:r>
      <w:r>
        <w:rPr>
          <w:rFonts w:ascii="Times New Roman"/>
          <w:color w:val="auto"/>
          <w:highlight w:val="none"/>
        </w:rPr>
        <w:t>其他</w:t>
      </w:r>
      <w:r>
        <w:rPr>
          <w:rFonts w:ascii="Times New Roman"/>
          <w:color w:val="auto"/>
          <w:highlight w:val="none"/>
          <w:lang w:val="zh-CN"/>
        </w:rPr>
        <w:t>方式采购的基本要求和依据。原已经参加投标并符合要求的供应商，根据自愿原则，参加</w:t>
      </w:r>
      <w:r>
        <w:rPr>
          <w:rFonts w:ascii="Times New Roman"/>
          <w:color w:val="auto"/>
          <w:highlight w:val="none"/>
        </w:rPr>
        <w:t>其他</w:t>
      </w:r>
      <w:r>
        <w:rPr>
          <w:rFonts w:ascii="Times New Roman"/>
          <w:color w:val="auto"/>
          <w:highlight w:val="none"/>
          <w:lang w:val="zh-CN"/>
        </w:rPr>
        <w:t>方式采购。</w:t>
      </w:r>
    </w:p>
    <w:p w14:paraId="2ECDF2E7">
      <w:pPr>
        <w:pStyle w:val="10"/>
        <w:shd w:val="clear" w:color="auto" w:fill="auto"/>
        <w:snapToGrid w:val="0"/>
        <w:spacing w:before="0" w:after="0" w:line="500" w:lineRule="exact"/>
        <w:ind w:left="0" w:right="0" w:firstLine="482" w:firstLineChars="200"/>
        <w:jc w:val="left"/>
        <w:rPr>
          <w:rFonts w:ascii="Times New Roman" w:hAnsi="Times New Roman"/>
          <w:b/>
          <w:color w:val="auto"/>
          <w:kern w:val="2"/>
          <w:highlight w:val="none"/>
        </w:rPr>
      </w:pPr>
      <w:r>
        <w:rPr>
          <w:rFonts w:ascii="Times New Roman" w:hAnsi="Times New Roman"/>
          <w:b/>
          <w:color w:val="auto"/>
          <w:highlight w:val="none"/>
        </w:rPr>
        <w:t>七、</w:t>
      </w:r>
      <w:r>
        <w:rPr>
          <w:rFonts w:ascii="Times New Roman" w:hAnsi="Times New Roman"/>
          <w:b/>
          <w:color w:val="auto"/>
          <w:kern w:val="2"/>
          <w:highlight w:val="none"/>
        </w:rPr>
        <w:t>评标流程和评标标准</w:t>
      </w:r>
    </w:p>
    <w:p w14:paraId="77E61B12">
      <w:pPr>
        <w:shd w:val="clear" w:color="auto" w:fill="auto"/>
        <w:adjustRightInd w:val="0"/>
        <w:snapToGrid w:val="0"/>
        <w:spacing w:line="500" w:lineRule="exact"/>
        <w:ind w:firstLine="555"/>
        <w:rPr>
          <w:rFonts w:ascii="Times New Roman"/>
          <w:color w:val="auto"/>
          <w:szCs w:val="24"/>
          <w:highlight w:val="none"/>
        </w:rPr>
      </w:pPr>
      <w:r>
        <w:rPr>
          <w:rFonts w:ascii="Times New Roman"/>
          <w:color w:val="auto"/>
          <w:szCs w:val="24"/>
          <w:highlight w:val="none"/>
        </w:rPr>
        <w:t>采用综合评分法。分资格审查文件、商务技术文件、报价文件三部分评审，总分值为100分，加分和减分因素除外。</w:t>
      </w:r>
    </w:p>
    <w:p w14:paraId="3FE2A585">
      <w:pPr>
        <w:shd w:val="clear" w:color="auto" w:fill="auto"/>
        <w:adjustRightInd w:val="0"/>
        <w:snapToGrid w:val="0"/>
        <w:spacing w:line="500" w:lineRule="exact"/>
        <w:ind w:firstLine="555"/>
        <w:rPr>
          <w:rFonts w:ascii="Times New Roman"/>
          <w:color w:val="auto"/>
          <w:szCs w:val="24"/>
          <w:highlight w:val="none"/>
        </w:rPr>
      </w:pPr>
      <w:r>
        <w:rPr>
          <w:rFonts w:ascii="Times New Roman"/>
          <w:color w:val="auto"/>
          <w:szCs w:val="24"/>
          <w:highlight w:val="none"/>
        </w:rPr>
        <w:t>首先由采购</w:t>
      </w:r>
      <w:r>
        <w:rPr>
          <w:rFonts w:hint="eastAsia" w:ascii="Times New Roman"/>
          <w:color w:val="auto"/>
          <w:szCs w:val="24"/>
          <w:highlight w:val="none"/>
          <w:lang w:val="en-US" w:eastAsia="zh-CN"/>
        </w:rPr>
        <w:t>代理</w:t>
      </w:r>
      <w:r>
        <w:rPr>
          <w:rFonts w:ascii="Times New Roman"/>
          <w:color w:val="auto"/>
          <w:szCs w:val="24"/>
          <w:highlight w:val="none"/>
        </w:rPr>
        <w:t>对投标人资格进行审查，然后评标委员会对符合资格的投标人的投标文件进行符合性审查，最后评标委员会对符合性审查合格的投标文件商务、技术部分进行评估，综合比较与评价。待商务技术文件评审结束后，进行报价文件的开启、评审。投标人商务、技术部分和价格部分的合计分值，为该投标人的评标总得分。</w:t>
      </w:r>
    </w:p>
    <w:p w14:paraId="06C73555">
      <w:pPr>
        <w:shd w:val="clear" w:color="auto" w:fill="auto"/>
        <w:adjustRightInd w:val="0"/>
        <w:snapToGrid w:val="0"/>
        <w:spacing w:line="500" w:lineRule="exact"/>
        <w:ind w:firstLine="555"/>
        <w:rPr>
          <w:rFonts w:ascii="Times New Roman"/>
          <w:color w:val="auto"/>
          <w:szCs w:val="24"/>
          <w:highlight w:val="none"/>
        </w:rPr>
      </w:pPr>
      <w:r>
        <w:rPr>
          <w:rFonts w:ascii="Times New Roman"/>
          <w:color w:val="auto"/>
          <w:szCs w:val="24"/>
          <w:highlight w:val="none"/>
        </w:rPr>
        <w:t>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14:paraId="79F73905">
      <w:pPr>
        <w:shd w:val="clear" w:color="auto" w:fill="auto"/>
        <w:adjustRightInd w:val="0"/>
        <w:snapToGrid w:val="0"/>
        <w:spacing w:line="500" w:lineRule="exact"/>
        <w:ind w:firstLine="555"/>
        <w:rPr>
          <w:rFonts w:ascii="Times New Roman"/>
          <w:color w:val="auto"/>
          <w:szCs w:val="24"/>
          <w:highlight w:val="none"/>
        </w:rPr>
      </w:pPr>
      <w:r>
        <w:rPr>
          <w:rFonts w:ascii="Times New Roman"/>
          <w:color w:val="auto"/>
          <w:szCs w:val="24"/>
          <w:highlight w:val="none"/>
        </w:rPr>
        <w:t>评委在认真审阅投标文件的基础上，根据各投标文件的响应程度独立评判，不得统一打分。</w:t>
      </w:r>
    </w:p>
    <w:p w14:paraId="622B69F9">
      <w:pPr>
        <w:shd w:val="clear" w:color="auto" w:fill="auto"/>
        <w:snapToGrid w:val="0"/>
        <w:spacing w:line="480" w:lineRule="exact"/>
        <w:ind w:firstLine="570"/>
        <w:rPr>
          <w:rFonts w:ascii="Times New Roman"/>
          <w:b/>
          <w:color w:val="auto"/>
          <w:szCs w:val="24"/>
          <w:highlight w:val="none"/>
        </w:rPr>
      </w:pPr>
      <w:r>
        <w:rPr>
          <w:rFonts w:ascii="Times New Roman"/>
          <w:b/>
          <w:color w:val="auto"/>
          <w:szCs w:val="24"/>
          <w:highlight w:val="none"/>
        </w:rPr>
        <w:t>（一）采购</w:t>
      </w:r>
      <w:r>
        <w:rPr>
          <w:rFonts w:hint="eastAsia" w:ascii="Times New Roman"/>
          <w:b/>
          <w:color w:val="auto"/>
          <w:szCs w:val="24"/>
          <w:highlight w:val="none"/>
          <w:lang w:val="en-US" w:eastAsia="zh-CN"/>
        </w:rPr>
        <w:t>代理</w:t>
      </w:r>
      <w:r>
        <w:rPr>
          <w:rFonts w:ascii="Times New Roman"/>
          <w:b/>
          <w:color w:val="auto"/>
          <w:szCs w:val="24"/>
          <w:highlight w:val="none"/>
        </w:rPr>
        <w:t>对投标人资格进行审查。</w:t>
      </w:r>
    </w:p>
    <w:p w14:paraId="56E637AA">
      <w:pPr>
        <w:pStyle w:val="11"/>
        <w:shd w:val="clear" w:color="auto" w:fill="auto"/>
        <w:adjustRightInd w:val="0"/>
        <w:snapToGrid w:val="0"/>
        <w:spacing w:line="50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投标人资格不合格的，其投标文件判定为无效投标文件。</w:t>
      </w:r>
    </w:p>
    <w:p w14:paraId="5A780741">
      <w:pPr>
        <w:shd w:val="clear" w:color="auto" w:fill="auto"/>
        <w:snapToGrid w:val="0"/>
        <w:spacing w:line="480" w:lineRule="exact"/>
        <w:ind w:firstLine="570"/>
        <w:rPr>
          <w:rFonts w:ascii="Times New Roman"/>
          <w:b/>
          <w:color w:val="auto"/>
          <w:szCs w:val="24"/>
          <w:highlight w:val="none"/>
        </w:rPr>
      </w:pPr>
      <w:r>
        <w:rPr>
          <w:rFonts w:ascii="Times New Roman"/>
          <w:b/>
          <w:color w:val="auto"/>
          <w:szCs w:val="24"/>
          <w:highlight w:val="none"/>
        </w:rPr>
        <w:t>（二）评标委员会对符合资格投标人的投标文件进行符合性审查。</w:t>
      </w:r>
    </w:p>
    <w:p w14:paraId="3BED56C3">
      <w:pPr>
        <w:pStyle w:val="11"/>
        <w:shd w:val="clear" w:color="auto" w:fill="auto"/>
        <w:adjustRightInd w:val="0"/>
        <w:snapToGrid w:val="0"/>
        <w:spacing w:line="50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 xml:space="preserve">未通过符合性审查的投标文件，将被判为不满足招标文件实质性要求。 </w:t>
      </w:r>
    </w:p>
    <w:p w14:paraId="7246F514">
      <w:pPr>
        <w:shd w:val="clear" w:color="auto" w:fill="auto"/>
        <w:snapToGrid w:val="0"/>
        <w:spacing w:line="480" w:lineRule="exact"/>
        <w:ind w:firstLine="570"/>
        <w:rPr>
          <w:rFonts w:ascii="Times New Roman"/>
          <w:bCs/>
          <w:color w:val="auto"/>
          <w:szCs w:val="24"/>
          <w:highlight w:val="none"/>
          <w:lang w:val="zh-CN"/>
        </w:rPr>
      </w:pPr>
      <w:r>
        <w:rPr>
          <w:rFonts w:ascii="Times New Roman"/>
          <w:b/>
          <w:color w:val="auto"/>
          <w:szCs w:val="24"/>
          <w:highlight w:val="none"/>
        </w:rPr>
        <w:t>（</w:t>
      </w:r>
      <w:r>
        <w:rPr>
          <w:rFonts w:ascii="Times New Roman"/>
          <w:b/>
          <w:color w:val="auto"/>
          <w:szCs w:val="24"/>
          <w:highlight w:val="none"/>
          <w:lang w:val="zh-CN"/>
        </w:rPr>
        <w:t>三</w:t>
      </w:r>
      <w:r>
        <w:rPr>
          <w:rFonts w:ascii="Times New Roman"/>
          <w:b/>
          <w:color w:val="auto"/>
          <w:szCs w:val="24"/>
          <w:highlight w:val="none"/>
        </w:rPr>
        <w:t>）</w:t>
      </w:r>
      <w:r>
        <w:rPr>
          <w:rFonts w:ascii="Times New Roman"/>
          <w:b/>
          <w:color w:val="auto"/>
          <w:szCs w:val="24"/>
          <w:highlight w:val="none"/>
          <w:lang w:val="zh-CN"/>
        </w:rPr>
        <w:t>商务技术分：</w:t>
      </w:r>
      <w:r>
        <w:rPr>
          <w:rFonts w:ascii="Times New Roman"/>
          <w:bCs/>
          <w:color w:val="auto"/>
          <w:szCs w:val="24"/>
          <w:highlight w:val="none"/>
          <w:u w:val="single"/>
        </w:rPr>
        <w:t xml:space="preserve"> </w:t>
      </w:r>
      <w:r>
        <w:rPr>
          <w:rFonts w:hint="eastAsia" w:ascii="Times New Roman"/>
          <w:bCs/>
          <w:color w:val="auto"/>
          <w:szCs w:val="24"/>
          <w:highlight w:val="none"/>
          <w:u w:val="single"/>
          <w:lang w:val="en-US" w:eastAsia="zh-CN"/>
        </w:rPr>
        <w:t>80</w:t>
      </w:r>
      <w:r>
        <w:rPr>
          <w:rFonts w:ascii="Times New Roman"/>
          <w:bCs/>
          <w:color w:val="auto"/>
          <w:szCs w:val="24"/>
          <w:highlight w:val="none"/>
          <w:u w:val="single"/>
        </w:rPr>
        <w:t xml:space="preserve"> </w:t>
      </w:r>
      <w:r>
        <w:rPr>
          <w:rFonts w:ascii="Times New Roman"/>
          <w:bCs/>
          <w:color w:val="auto"/>
          <w:szCs w:val="24"/>
          <w:highlight w:val="none"/>
          <w:lang w:val="zh-CN"/>
        </w:rPr>
        <w:t>分</w:t>
      </w:r>
      <w:r>
        <w:rPr>
          <w:rFonts w:hint="eastAsia" w:ascii="Times New Roman"/>
          <w:bCs/>
          <w:color w:val="auto"/>
          <w:szCs w:val="24"/>
          <w:highlight w:val="none"/>
          <w:lang w:val="zh-CN"/>
        </w:rPr>
        <w:t>，</w:t>
      </w:r>
      <w:r>
        <w:rPr>
          <w:rFonts w:ascii="Times New Roman" w:hAnsi="Times New Roman" w:eastAsia="宋体" w:cs="Times New Roman"/>
          <w:bCs/>
          <w:color w:val="auto"/>
          <w:sz w:val="24"/>
          <w:szCs w:val="24"/>
          <w:highlight w:val="none"/>
          <w:lang w:val="zh-CN"/>
        </w:rPr>
        <w:t>需按打分标准提供相应的佐证材料</w:t>
      </w:r>
    </w:p>
    <w:p w14:paraId="684551C5">
      <w:pPr>
        <w:adjustRightInd w:val="0"/>
        <w:snapToGrid w:val="0"/>
        <w:spacing w:line="360" w:lineRule="auto"/>
        <w:ind w:firstLine="480" w:firstLineChars="200"/>
        <w:rPr>
          <w:rFonts w:ascii="Garamond" w:hAnsi="Garamond" w:eastAsia="宋体" w:cs="宋体"/>
          <w:sz w:val="21"/>
          <w:szCs w:val="21"/>
        </w:rPr>
      </w:pPr>
      <w:r>
        <w:rPr>
          <w:rFonts w:ascii="Times New Roman"/>
          <w:color w:val="auto"/>
          <w:szCs w:val="24"/>
          <w:highlight w:val="none"/>
        </w:rPr>
        <w:t>各投标人得分为评委会成员评分的算术平均分，分值保留小数点后两位。</w:t>
      </w:r>
    </w:p>
    <w:tbl>
      <w:tblPr>
        <w:tblStyle w:val="7"/>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1138"/>
        <w:gridCol w:w="6788"/>
        <w:gridCol w:w="926"/>
      </w:tblGrid>
      <w:tr w14:paraId="0673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3" w:type="dxa"/>
            <w:noWrap w:val="0"/>
            <w:tcMar>
              <w:top w:w="0" w:type="dxa"/>
              <w:left w:w="108" w:type="dxa"/>
              <w:bottom w:w="0" w:type="dxa"/>
              <w:right w:w="108" w:type="dxa"/>
            </w:tcMar>
            <w:vAlign w:val="center"/>
          </w:tcPr>
          <w:p w14:paraId="43ACC960">
            <w:pPr>
              <w:widowControl/>
              <w:jc w:val="center"/>
              <w:rPr>
                <w:rFonts w:ascii="宋体" w:hAnsi="宋体" w:eastAsia="宋体"/>
                <w:kern w:val="0"/>
                <w:sz w:val="24"/>
                <w:szCs w:val="24"/>
              </w:rPr>
            </w:pPr>
            <w:r>
              <w:rPr>
                <w:rFonts w:ascii="宋体" w:hAnsi="宋体" w:eastAsia="宋体"/>
                <w:b/>
                <w:bCs/>
                <w:kern w:val="0"/>
                <w:sz w:val="24"/>
                <w:szCs w:val="24"/>
              </w:rPr>
              <w:t>序号</w:t>
            </w:r>
          </w:p>
        </w:tc>
        <w:tc>
          <w:tcPr>
            <w:tcW w:w="1138" w:type="dxa"/>
            <w:noWrap w:val="0"/>
            <w:tcMar>
              <w:top w:w="0" w:type="dxa"/>
              <w:left w:w="108" w:type="dxa"/>
              <w:bottom w:w="0" w:type="dxa"/>
              <w:right w:w="108" w:type="dxa"/>
            </w:tcMar>
            <w:vAlign w:val="center"/>
          </w:tcPr>
          <w:p w14:paraId="76ACD20B">
            <w:pPr>
              <w:widowControl/>
              <w:jc w:val="center"/>
              <w:rPr>
                <w:rFonts w:ascii="宋体" w:hAnsi="宋体" w:eastAsia="宋体"/>
                <w:b/>
                <w:bCs/>
                <w:kern w:val="0"/>
                <w:sz w:val="24"/>
                <w:szCs w:val="24"/>
              </w:rPr>
            </w:pPr>
            <w:r>
              <w:rPr>
                <w:rFonts w:ascii="宋体" w:hAnsi="宋体" w:eastAsia="宋体"/>
                <w:b/>
                <w:bCs/>
                <w:kern w:val="0"/>
                <w:sz w:val="24"/>
                <w:szCs w:val="24"/>
              </w:rPr>
              <w:t>评分</w:t>
            </w:r>
          </w:p>
          <w:p w14:paraId="343490E6">
            <w:pPr>
              <w:widowControl/>
              <w:jc w:val="center"/>
              <w:rPr>
                <w:rFonts w:ascii="宋体" w:hAnsi="宋体" w:eastAsia="宋体"/>
                <w:kern w:val="0"/>
                <w:sz w:val="24"/>
                <w:szCs w:val="24"/>
              </w:rPr>
            </w:pPr>
            <w:r>
              <w:rPr>
                <w:rFonts w:ascii="宋体" w:hAnsi="宋体" w:eastAsia="宋体"/>
                <w:b/>
                <w:bCs/>
                <w:kern w:val="0"/>
                <w:sz w:val="24"/>
                <w:szCs w:val="24"/>
              </w:rPr>
              <w:t>因素</w:t>
            </w:r>
          </w:p>
        </w:tc>
        <w:tc>
          <w:tcPr>
            <w:tcW w:w="6788" w:type="dxa"/>
            <w:noWrap w:val="0"/>
            <w:tcMar>
              <w:top w:w="0" w:type="dxa"/>
              <w:left w:w="108" w:type="dxa"/>
              <w:bottom w:w="0" w:type="dxa"/>
              <w:right w:w="108" w:type="dxa"/>
            </w:tcMar>
            <w:vAlign w:val="center"/>
          </w:tcPr>
          <w:p w14:paraId="17FF74AE">
            <w:pPr>
              <w:widowControl/>
              <w:jc w:val="center"/>
              <w:rPr>
                <w:rFonts w:ascii="宋体" w:hAnsi="宋体" w:eastAsia="宋体"/>
                <w:kern w:val="0"/>
                <w:sz w:val="24"/>
                <w:szCs w:val="24"/>
              </w:rPr>
            </w:pPr>
            <w:r>
              <w:rPr>
                <w:rFonts w:ascii="宋体" w:hAnsi="宋体" w:eastAsia="宋体"/>
                <w:b/>
                <w:bCs/>
                <w:kern w:val="0"/>
                <w:sz w:val="24"/>
                <w:szCs w:val="24"/>
              </w:rPr>
              <w:t>评审标准</w:t>
            </w:r>
          </w:p>
        </w:tc>
        <w:tc>
          <w:tcPr>
            <w:tcW w:w="926" w:type="dxa"/>
            <w:noWrap w:val="0"/>
            <w:tcMar>
              <w:top w:w="0" w:type="dxa"/>
              <w:left w:w="108" w:type="dxa"/>
              <w:bottom w:w="0" w:type="dxa"/>
              <w:right w:w="108" w:type="dxa"/>
            </w:tcMar>
            <w:vAlign w:val="center"/>
          </w:tcPr>
          <w:p w14:paraId="2165FFA0">
            <w:pPr>
              <w:widowControl/>
              <w:jc w:val="center"/>
              <w:rPr>
                <w:rFonts w:ascii="宋体" w:hAnsi="宋体" w:eastAsia="宋体"/>
                <w:b/>
                <w:kern w:val="0"/>
                <w:sz w:val="24"/>
                <w:szCs w:val="24"/>
              </w:rPr>
            </w:pPr>
            <w:r>
              <w:rPr>
                <w:rFonts w:ascii="宋体" w:hAnsi="宋体" w:eastAsia="宋体"/>
                <w:b/>
                <w:kern w:val="0"/>
                <w:sz w:val="24"/>
                <w:szCs w:val="24"/>
              </w:rPr>
              <w:t>分值</w:t>
            </w:r>
          </w:p>
        </w:tc>
      </w:tr>
      <w:tr w14:paraId="055E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663" w:type="dxa"/>
            <w:vMerge w:val="restart"/>
            <w:noWrap w:val="0"/>
            <w:tcMar>
              <w:top w:w="0" w:type="dxa"/>
              <w:left w:w="108" w:type="dxa"/>
              <w:bottom w:w="0" w:type="dxa"/>
              <w:right w:w="108" w:type="dxa"/>
            </w:tcMar>
            <w:vAlign w:val="center"/>
          </w:tcPr>
          <w:p w14:paraId="778EA5EF">
            <w:pPr>
              <w:jc w:val="center"/>
              <w:rPr>
                <w:rFonts w:ascii="宋体" w:hAnsi="宋体" w:eastAsia="宋体"/>
                <w:b/>
                <w:bCs/>
                <w:kern w:val="0"/>
                <w:sz w:val="24"/>
                <w:szCs w:val="24"/>
              </w:rPr>
            </w:pPr>
            <w:r>
              <w:rPr>
                <w:rFonts w:hint="eastAsia" w:ascii="宋体" w:hAnsi="宋体" w:eastAsia="宋体"/>
                <w:b/>
                <w:bCs/>
                <w:kern w:val="0"/>
                <w:sz w:val="24"/>
                <w:szCs w:val="24"/>
              </w:rPr>
              <w:t>1</w:t>
            </w:r>
          </w:p>
        </w:tc>
        <w:tc>
          <w:tcPr>
            <w:tcW w:w="1138" w:type="dxa"/>
            <w:vMerge w:val="restart"/>
            <w:noWrap w:val="0"/>
            <w:tcMar>
              <w:top w:w="0" w:type="dxa"/>
              <w:left w:w="108" w:type="dxa"/>
              <w:bottom w:w="0" w:type="dxa"/>
              <w:right w:w="108" w:type="dxa"/>
            </w:tcMar>
            <w:vAlign w:val="center"/>
          </w:tcPr>
          <w:p w14:paraId="46437BD0">
            <w:pPr>
              <w:widowControl/>
              <w:jc w:val="center"/>
              <w:rPr>
                <w:rFonts w:ascii="宋体" w:hAnsi="宋体" w:eastAsia="宋体"/>
                <w:b/>
                <w:bCs/>
                <w:kern w:val="0"/>
                <w:sz w:val="24"/>
                <w:szCs w:val="24"/>
              </w:rPr>
            </w:pPr>
            <w:r>
              <w:rPr>
                <w:rFonts w:ascii="宋体" w:hAnsi="宋体" w:eastAsia="宋体"/>
                <w:b/>
                <w:bCs/>
                <w:kern w:val="0"/>
                <w:sz w:val="24"/>
                <w:szCs w:val="24"/>
              </w:rPr>
              <w:t>技术方案</w:t>
            </w:r>
          </w:p>
        </w:tc>
        <w:tc>
          <w:tcPr>
            <w:tcW w:w="6788" w:type="dxa"/>
            <w:noWrap w:val="0"/>
            <w:tcMar>
              <w:top w:w="0" w:type="dxa"/>
              <w:left w:w="108" w:type="dxa"/>
              <w:bottom w:w="0" w:type="dxa"/>
              <w:right w:w="108" w:type="dxa"/>
            </w:tcMar>
            <w:vAlign w:val="center"/>
          </w:tcPr>
          <w:p w14:paraId="6E2B5776">
            <w:pPr>
              <w:widowControl/>
              <w:rPr>
                <w:rFonts w:ascii="宋体" w:hAnsi="宋体" w:eastAsia="宋体"/>
                <w:sz w:val="24"/>
                <w:szCs w:val="24"/>
                <w:lang w:val="zh-CN"/>
              </w:rPr>
            </w:pPr>
            <w:r>
              <w:rPr>
                <w:rFonts w:hint="eastAsia" w:ascii="宋体" w:hAnsi="宋体" w:eastAsia="宋体"/>
                <w:sz w:val="21"/>
                <w:szCs w:val="21"/>
                <w:lang w:val="zh-CN"/>
              </w:rPr>
              <w:t>根据供应商提供的项目进度计划及质量控制措施内容进行综合评审，得</w:t>
            </w:r>
            <w:r>
              <w:rPr>
                <w:rFonts w:hint="eastAsia" w:ascii="宋体" w:hAnsi="宋体" w:eastAsia="宋体"/>
                <w:sz w:val="21"/>
                <w:szCs w:val="21"/>
                <w:lang w:val="en-US" w:eastAsia="zh-CN"/>
              </w:rPr>
              <w:t>8</w:t>
            </w:r>
            <w:r>
              <w:rPr>
                <w:rFonts w:hint="eastAsia" w:ascii="宋体" w:hAnsi="宋体" w:eastAsia="宋体"/>
                <w:sz w:val="21"/>
                <w:szCs w:val="21"/>
                <w:lang w:val="zh-CN"/>
              </w:rPr>
              <w:t>分；项目进度计划安排合理及质量控制措施内容完整、可靠、详细，得</w:t>
            </w:r>
            <w:r>
              <w:rPr>
                <w:rFonts w:hint="eastAsia" w:ascii="宋体" w:hAnsi="宋体" w:eastAsia="宋体"/>
                <w:sz w:val="21"/>
                <w:szCs w:val="21"/>
                <w:lang w:val="en-US" w:eastAsia="zh-CN"/>
              </w:rPr>
              <w:t>6</w:t>
            </w:r>
            <w:r>
              <w:rPr>
                <w:rFonts w:hint="eastAsia" w:ascii="宋体" w:hAnsi="宋体" w:eastAsia="宋体"/>
                <w:sz w:val="21"/>
                <w:szCs w:val="21"/>
                <w:lang w:val="zh-CN"/>
              </w:rPr>
              <w:t>分；项目进度计划安排一般及质量控制措施内容一般，得</w:t>
            </w:r>
            <w:r>
              <w:rPr>
                <w:rFonts w:hint="eastAsia" w:ascii="宋体" w:hAnsi="宋体" w:eastAsia="宋体"/>
                <w:sz w:val="21"/>
                <w:szCs w:val="21"/>
                <w:lang w:val="en-US" w:eastAsia="zh-CN"/>
              </w:rPr>
              <w:t>4</w:t>
            </w:r>
            <w:r>
              <w:rPr>
                <w:rFonts w:hint="eastAsia" w:ascii="宋体" w:hAnsi="宋体" w:eastAsia="宋体"/>
                <w:sz w:val="21"/>
                <w:szCs w:val="21"/>
                <w:lang w:val="zh-CN"/>
              </w:rPr>
              <w:t>分；安排项目进度不合理及质量控制措施内容不完整或欠缺，得</w:t>
            </w:r>
            <w:r>
              <w:rPr>
                <w:rFonts w:hint="eastAsia" w:ascii="宋体" w:hAnsi="宋体" w:eastAsia="宋体"/>
                <w:sz w:val="21"/>
                <w:szCs w:val="21"/>
                <w:lang w:val="en-US" w:eastAsia="zh-CN"/>
              </w:rPr>
              <w:t>2</w:t>
            </w:r>
            <w:r>
              <w:rPr>
                <w:rFonts w:hint="eastAsia" w:ascii="宋体" w:hAnsi="宋体" w:eastAsia="宋体"/>
                <w:sz w:val="21"/>
                <w:szCs w:val="21"/>
                <w:lang w:val="zh-CN"/>
              </w:rPr>
              <w:t>分。</w:t>
            </w:r>
          </w:p>
        </w:tc>
        <w:tc>
          <w:tcPr>
            <w:tcW w:w="926" w:type="dxa"/>
            <w:noWrap w:val="0"/>
            <w:tcMar>
              <w:top w:w="0" w:type="dxa"/>
              <w:left w:w="108" w:type="dxa"/>
              <w:bottom w:w="0" w:type="dxa"/>
              <w:right w:w="108" w:type="dxa"/>
            </w:tcMar>
            <w:vAlign w:val="center"/>
          </w:tcPr>
          <w:p w14:paraId="18E51531">
            <w:pPr>
              <w:widowControl/>
              <w:jc w:val="center"/>
              <w:rPr>
                <w:rFonts w:ascii="宋体" w:hAnsi="宋体" w:eastAsia="宋体"/>
                <w:b/>
                <w:bCs/>
                <w:kern w:val="0"/>
                <w:sz w:val="21"/>
                <w:szCs w:val="21"/>
              </w:rPr>
            </w:pPr>
            <w:r>
              <w:rPr>
                <w:rFonts w:hint="eastAsia" w:ascii="宋体" w:hAnsi="宋体" w:eastAsia="宋体"/>
                <w:b/>
                <w:bCs/>
                <w:kern w:val="0"/>
                <w:sz w:val="21"/>
                <w:szCs w:val="21"/>
                <w:lang w:val="en-US" w:eastAsia="zh-CN"/>
              </w:rPr>
              <w:t>8</w:t>
            </w:r>
          </w:p>
        </w:tc>
      </w:tr>
      <w:tr w14:paraId="3E3F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63" w:type="dxa"/>
            <w:vMerge w:val="continue"/>
            <w:noWrap w:val="0"/>
            <w:tcMar>
              <w:top w:w="0" w:type="dxa"/>
              <w:left w:w="108" w:type="dxa"/>
              <w:bottom w:w="0" w:type="dxa"/>
              <w:right w:w="108" w:type="dxa"/>
            </w:tcMar>
            <w:vAlign w:val="center"/>
          </w:tcPr>
          <w:p w14:paraId="313BC028">
            <w:pPr>
              <w:jc w:val="center"/>
              <w:rPr>
                <w:rFonts w:ascii="宋体" w:hAnsi="宋体" w:eastAsia="宋体"/>
                <w:b/>
                <w:bCs/>
                <w:kern w:val="0"/>
                <w:sz w:val="21"/>
                <w:szCs w:val="21"/>
              </w:rPr>
            </w:pPr>
          </w:p>
        </w:tc>
        <w:tc>
          <w:tcPr>
            <w:tcW w:w="1138" w:type="dxa"/>
            <w:vMerge w:val="continue"/>
            <w:noWrap w:val="0"/>
            <w:tcMar>
              <w:top w:w="0" w:type="dxa"/>
              <w:left w:w="108" w:type="dxa"/>
              <w:bottom w:w="0" w:type="dxa"/>
              <w:right w:w="108" w:type="dxa"/>
            </w:tcMar>
            <w:vAlign w:val="center"/>
          </w:tcPr>
          <w:p w14:paraId="4497A1DB">
            <w:pPr>
              <w:widowControl/>
              <w:jc w:val="center"/>
              <w:rPr>
                <w:rFonts w:ascii="宋体" w:hAnsi="宋体" w:eastAsia="宋体"/>
                <w:b/>
                <w:bCs/>
                <w:kern w:val="0"/>
                <w:sz w:val="21"/>
                <w:szCs w:val="21"/>
              </w:rPr>
            </w:pPr>
          </w:p>
        </w:tc>
        <w:tc>
          <w:tcPr>
            <w:tcW w:w="6788" w:type="dxa"/>
            <w:noWrap w:val="0"/>
            <w:tcMar>
              <w:top w:w="0" w:type="dxa"/>
              <w:left w:w="108" w:type="dxa"/>
              <w:bottom w:w="0" w:type="dxa"/>
              <w:right w:w="108" w:type="dxa"/>
            </w:tcMar>
            <w:vAlign w:val="center"/>
          </w:tcPr>
          <w:p w14:paraId="754EF945">
            <w:pPr>
              <w:widowControl/>
              <w:rPr>
                <w:rFonts w:ascii="宋体" w:hAnsi="宋体" w:eastAsia="宋体"/>
                <w:sz w:val="24"/>
                <w:szCs w:val="24"/>
                <w:lang w:val="zh-CN"/>
              </w:rPr>
            </w:pPr>
            <w:r>
              <w:rPr>
                <w:rFonts w:hint="eastAsia" w:ascii="宋体" w:hAnsi="宋体" w:eastAsia="宋体"/>
                <w:sz w:val="21"/>
                <w:szCs w:val="21"/>
                <w:lang w:val="zh-CN"/>
              </w:rPr>
              <w:t>项目的理解与认识（</w:t>
            </w:r>
            <w:r>
              <w:rPr>
                <w:rFonts w:hint="eastAsia" w:ascii="宋体" w:hAnsi="宋体" w:eastAsia="宋体"/>
                <w:sz w:val="21"/>
                <w:szCs w:val="21"/>
                <w:lang w:val="en-US" w:eastAsia="zh-CN"/>
              </w:rPr>
              <w:t>8</w:t>
            </w:r>
            <w:r>
              <w:rPr>
                <w:rFonts w:hint="eastAsia" w:ascii="宋体" w:hAnsi="宋体" w:eastAsia="宋体"/>
                <w:sz w:val="21"/>
                <w:szCs w:val="21"/>
                <w:lang w:val="zh-CN"/>
              </w:rPr>
              <w:t>分）：评委根据供应商针对本项目理解的准确性及透彻性等方面评分（科学合理、</w:t>
            </w:r>
            <w:r>
              <w:rPr>
                <w:rFonts w:hint="eastAsia" w:ascii="宋体" w:hAnsi="宋体" w:eastAsia="宋体"/>
                <w:sz w:val="21"/>
                <w:szCs w:val="21"/>
              </w:rPr>
              <w:t>优于文件需求的得</w:t>
            </w:r>
            <w:r>
              <w:rPr>
                <w:rFonts w:hint="eastAsia" w:ascii="宋体" w:hAnsi="宋体" w:eastAsia="宋体"/>
                <w:sz w:val="21"/>
                <w:szCs w:val="21"/>
                <w:lang w:val="en-US" w:eastAsia="zh-CN"/>
              </w:rPr>
              <w:t>8</w:t>
            </w:r>
            <w:r>
              <w:rPr>
                <w:rFonts w:hint="eastAsia" w:ascii="宋体" w:hAnsi="宋体" w:eastAsia="宋体"/>
                <w:sz w:val="21"/>
                <w:szCs w:val="21"/>
                <w:lang w:val="zh-CN"/>
              </w:rPr>
              <w:t>分，基本合理、</w:t>
            </w:r>
            <w:r>
              <w:rPr>
                <w:rFonts w:hint="eastAsia" w:ascii="宋体" w:hAnsi="宋体" w:eastAsia="宋体"/>
                <w:sz w:val="21"/>
                <w:szCs w:val="21"/>
              </w:rPr>
              <w:t>可实施性一般的得</w:t>
            </w:r>
            <w:r>
              <w:rPr>
                <w:rFonts w:hint="eastAsia" w:ascii="宋体" w:hAnsi="宋体" w:eastAsia="宋体"/>
                <w:sz w:val="21"/>
                <w:szCs w:val="21"/>
                <w:lang w:val="en-US" w:eastAsia="zh-CN"/>
              </w:rPr>
              <w:t>5</w:t>
            </w:r>
            <w:r>
              <w:rPr>
                <w:rFonts w:hint="eastAsia" w:ascii="宋体" w:hAnsi="宋体" w:eastAsia="宋体"/>
                <w:sz w:val="21"/>
                <w:szCs w:val="21"/>
                <w:lang w:val="zh-CN"/>
              </w:rPr>
              <w:t>分，</w:t>
            </w:r>
            <w:r>
              <w:rPr>
                <w:rFonts w:hint="eastAsia" w:ascii="宋体" w:hAnsi="宋体" w:eastAsia="宋体"/>
                <w:sz w:val="21"/>
                <w:szCs w:val="21"/>
              </w:rPr>
              <w:t>思路理解</w:t>
            </w:r>
            <w:r>
              <w:rPr>
                <w:rFonts w:hint="eastAsia" w:ascii="宋体" w:hAnsi="宋体" w:eastAsia="宋体"/>
                <w:sz w:val="21"/>
                <w:szCs w:val="21"/>
                <w:lang w:val="zh-CN"/>
              </w:rPr>
              <w:t>一般、</w:t>
            </w:r>
            <w:r>
              <w:rPr>
                <w:rFonts w:hint="eastAsia" w:ascii="宋体" w:hAnsi="宋体" w:eastAsia="宋体"/>
                <w:sz w:val="21"/>
                <w:szCs w:val="21"/>
              </w:rPr>
              <w:t>认识模糊的得</w:t>
            </w:r>
            <w:r>
              <w:rPr>
                <w:rFonts w:hint="eastAsia" w:ascii="宋体" w:hAnsi="宋体" w:eastAsia="宋体"/>
                <w:sz w:val="21"/>
                <w:szCs w:val="21"/>
                <w:lang w:val="en-US" w:eastAsia="zh-CN"/>
              </w:rPr>
              <w:t>2</w:t>
            </w:r>
            <w:r>
              <w:rPr>
                <w:rFonts w:hint="eastAsia" w:ascii="宋体" w:hAnsi="宋体" w:eastAsia="宋体"/>
                <w:sz w:val="21"/>
                <w:szCs w:val="21"/>
                <w:lang w:val="zh-CN"/>
              </w:rPr>
              <w:t>分，</w:t>
            </w:r>
            <w:r>
              <w:rPr>
                <w:rFonts w:hint="eastAsia" w:ascii="宋体" w:hAnsi="宋体" w:eastAsia="宋体"/>
                <w:sz w:val="21"/>
                <w:szCs w:val="21"/>
              </w:rPr>
              <w:t>无不得</w:t>
            </w:r>
            <w:r>
              <w:rPr>
                <w:rFonts w:hint="eastAsia" w:ascii="宋体" w:hAnsi="宋体" w:eastAsia="宋体"/>
                <w:sz w:val="21"/>
                <w:szCs w:val="21"/>
                <w:lang w:val="zh-CN"/>
              </w:rPr>
              <w:t>分）。</w:t>
            </w:r>
          </w:p>
        </w:tc>
        <w:tc>
          <w:tcPr>
            <w:tcW w:w="926" w:type="dxa"/>
            <w:noWrap w:val="0"/>
            <w:tcMar>
              <w:top w:w="0" w:type="dxa"/>
              <w:left w:w="108" w:type="dxa"/>
              <w:bottom w:w="0" w:type="dxa"/>
              <w:right w:w="108" w:type="dxa"/>
            </w:tcMar>
            <w:vAlign w:val="center"/>
          </w:tcPr>
          <w:p w14:paraId="186004CE">
            <w:pPr>
              <w:widowControl/>
              <w:jc w:val="center"/>
              <w:rPr>
                <w:rFonts w:ascii="宋体" w:hAnsi="宋体" w:eastAsia="宋体"/>
                <w:b/>
                <w:bCs/>
                <w:kern w:val="0"/>
                <w:sz w:val="21"/>
                <w:szCs w:val="21"/>
              </w:rPr>
            </w:pPr>
            <w:r>
              <w:rPr>
                <w:rFonts w:hint="eastAsia" w:ascii="宋体" w:hAnsi="宋体" w:eastAsia="宋体"/>
                <w:b/>
                <w:bCs/>
                <w:kern w:val="0"/>
                <w:sz w:val="21"/>
                <w:szCs w:val="21"/>
                <w:lang w:val="en-US" w:eastAsia="zh-CN"/>
              </w:rPr>
              <w:t>8</w:t>
            </w:r>
          </w:p>
        </w:tc>
      </w:tr>
      <w:tr w14:paraId="3276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63" w:type="dxa"/>
            <w:vMerge w:val="continue"/>
            <w:noWrap w:val="0"/>
            <w:tcMar>
              <w:top w:w="0" w:type="dxa"/>
              <w:left w:w="108" w:type="dxa"/>
              <w:bottom w:w="0" w:type="dxa"/>
              <w:right w:w="108" w:type="dxa"/>
            </w:tcMar>
            <w:vAlign w:val="center"/>
          </w:tcPr>
          <w:p w14:paraId="15BEDEAE">
            <w:pPr>
              <w:jc w:val="center"/>
              <w:rPr>
                <w:rFonts w:ascii="宋体" w:hAnsi="宋体" w:eastAsia="宋体"/>
                <w:b/>
                <w:bCs/>
                <w:kern w:val="0"/>
                <w:sz w:val="21"/>
                <w:szCs w:val="21"/>
              </w:rPr>
            </w:pPr>
          </w:p>
        </w:tc>
        <w:tc>
          <w:tcPr>
            <w:tcW w:w="1138" w:type="dxa"/>
            <w:vMerge w:val="continue"/>
            <w:noWrap w:val="0"/>
            <w:tcMar>
              <w:top w:w="0" w:type="dxa"/>
              <w:left w:w="108" w:type="dxa"/>
              <w:bottom w:w="0" w:type="dxa"/>
              <w:right w:w="108" w:type="dxa"/>
            </w:tcMar>
            <w:vAlign w:val="center"/>
          </w:tcPr>
          <w:p w14:paraId="530C6FF8">
            <w:pPr>
              <w:widowControl/>
              <w:jc w:val="center"/>
              <w:rPr>
                <w:rFonts w:ascii="宋体" w:hAnsi="宋体" w:eastAsia="宋体"/>
                <w:b/>
                <w:bCs/>
                <w:kern w:val="0"/>
                <w:sz w:val="21"/>
                <w:szCs w:val="21"/>
              </w:rPr>
            </w:pPr>
          </w:p>
        </w:tc>
        <w:tc>
          <w:tcPr>
            <w:tcW w:w="6788" w:type="dxa"/>
            <w:noWrap w:val="0"/>
            <w:tcMar>
              <w:top w:w="0" w:type="dxa"/>
              <w:left w:w="108" w:type="dxa"/>
              <w:bottom w:w="0" w:type="dxa"/>
              <w:right w:w="108" w:type="dxa"/>
            </w:tcMar>
            <w:vAlign w:val="center"/>
          </w:tcPr>
          <w:p w14:paraId="5E65937A">
            <w:pPr>
              <w:widowControl/>
              <w:rPr>
                <w:rFonts w:ascii="宋体" w:hAnsi="宋体" w:eastAsia="宋体"/>
                <w:sz w:val="24"/>
                <w:szCs w:val="24"/>
                <w:lang w:val="zh-CN"/>
              </w:rPr>
            </w:pPr>
            <w:r>
              <w:rPr>
                <w:rFonts w:hint="eastAsia" w:ascii="宋体" w:hAnsi="宋体" w:eastAsia="宋体"/>
                <w:sz w:val="21"/>
                <w:szCs w:val="21"/>
                <w:lang w:val="zh-CN"/>
              </w:rPr>
              <w:t>项目实施方案(</w:t>
            </w:r>
            <w:r>
              <w:rPr>
                <w:rFonts w:hint="eastAsia" w:ascii="宋体" w:hAnsi="宋体" w:eastAsia="宋体"/>
                <w:sz w:val="21"/>
                <w:szCs w:val="21"/>
                <w:lang w:val="en-US" w:eastAsia="zh-CN"/>
              </w:rPr>
              <w:t>8</w:t>
            </w:r>
            <w:r>
              <w:rPr>
                <w:rFonts w:hint="eastAsia" w:ascii="宋体" w:hAnsi="宋体" w:eastAsia="宋体"/>
                <w:sz w:val="21"/>
                <w:szCs w:val="21"/>
                <w:lang w:val="zh-CN"/>
              </w:rPr>
              <w:t>分)：评委根据供应商有针对性的项目实施方案评分（科学合理、</w:t>
            </w:r>
            <w:r>
              <w:rPr>
                <w:rFonts w:hint="eastAsia" w:ascii="宋体" w:hAnsi="宋体" w:eastAsia="宋体"/>
                <w:sz w:val="21"/>
                <w:szCs w:val="21"/>
              </w:rPr>
              <w:t>优于文件需求的得</w:t>
            </w:r>
            <w:r>
              <w:rPr>
                <w:rFonts w:hint="eastAsia" w:ascii="宋体" w:hAnsi="宋体" w:eastAsia="宋体"/>
                <w:sz w:val="21"/>
                <w:szCs w:val="21"/>
                <w:lang w:val="en-US" w:eastAsia="zh-CN"/>
              </w:rPr>
              <w:t>8</w:t>
            </w:r>
            <w:r>
              <w:rPr>
                <w:rFonts w:hint="eastAsia" w:ascii="宋体" w:hAnsi="宋体" w:eastAsia="宋体"/>
                <w:sz w:val="21"/>
                <w:szCs w:val="21"/>
                <w:lang w:val="zh-CN"/>
              </w:rPr>
              <w:t>分，基本合理、</w:t>
            </w:r>
            <w:r>
              <w:rPr>
                <w:rFonts w:hint="eastAsia" w:ascii="宋体" w:hAnsi="宋体" w:eastAsia="宋体"/>
                <w:sz w:val="21"/>
                <w:szCs w:val="21"/>
              </w:rPr>
              <w:t>可实施性一般的得</w:t>
            </w:r>
            <w:r>
              <w:rPr>
                <w:rFonts w:hint="eastAsia" w:ascii="宋体" w:hAnsi="宋体" w:eastAsia="宋体"/>
                <w:sz w:val="21"/>
                <w:szCs w:val="21"/>
                <w:lang w:val="en-US" w:eastAsia="zh-CN"/>
              </w:rPr>
              <w:t>5</w:t>
            </w:r>
            <w:r>
              <w:rPr>
                <w:rFonts w:hint="eastAsia" w:ascii="宋体" w:hAnsi="宋体" w:eastAsia="宋体"/>
                <w:sz w:val="21"/>
                <w:szCs w:val="21"/>
                <w:lang w:val="zh-CN"/>
              </w:rPr>
              <w:t>分，</w:t>
            </w:r>
            <w:r>
              <w:rPr>
                <w:rFonts w:hint="eastAsia" w:ascii="宋体" w:hAnsi="宋体" w:eastAsia="宋体"/>
                <w:sz w:val="21"/>
                <w:szCs w:val="21"/>
              </w:rPr>
              <w:t>思路理解</w:t>
            </w:r>
            <w:r>
              <w:rPr>
                <w:rFonts w:hint="eastAsia" w:ascii="宋体" w:hAnsi="宋体" w:eastAsia="宋体"/>
                <w:sz w:val="21"/>
                <w:szCs w:val="21"/>
                <w:lang w:val="zh-CN"/>
              </w:rPr>
              <w:t>一般、</w:t>
            </w:r>
            <w:r>
              <w:rPr>
                <w:rFonts w:hint="eastAsia" w:ascii="宋体" w:hAnsi="宋体" w:eastAsia="宋体"/>
                <w:sz w:val="21"/>
                <w:szCs w:val="21"/>
              </w:rPr>
              <w:t>认识模糊的得</w:t>
            </w:r>
            <w:r>
              <w:rPr>
                <w:rFonts w:hint="eastAsia" w:ascii="宋体" w:hAnsi="宋体" w:eastAsia="宋体"/>
                <w:sz w:val="21"/>
                <w:szCs w:val="21"/>
                <w:lang w:val="en-US" w:eastAsia="zh-CN"/>
              </w:rPr>
              <w:t>2</w:t>
            </w:r>
            <w:r>
              <w:rPr>
                <w:rFonts w:hint="eastAsia" w:ascii="宋体" w:hAnsi="宋体" w:eastAsia="宋体"/>
                <w:sz w:val="21"/>
                <w:szCs w:val="21"/>
                <w:lang w:val="zh-CN"/>
              </w:rPr>
              <w:t>分，</w:t>
            </w:r>
            <w:r>
              <w:rPr>
                <w:rFonts w:hint="eastAsia" w:ascii="宋体" w:hAnsi="宋体" w:eastAsia="宋体"/>
                <w:sz w:val="21"/>
                <w:szCs w:val="21"/>
              </w:rPr>
              <w:t>无不得</w:t>
            </w:r>
            <w:r>
              <w:rPr>
                <w:rFonts w:hint="eastAsia" w:ascii="宋体" w:hAnsi="宋体" w:eastAsia="宋体"/>
                <w:sz w:val="21"/>
                <w:szCs w:val="21"/>
                <w:lang w:val="zh-CN"/>
              </w:rPr>
              <w:t>分）。</w:t>
            </w:r>
          </w:p>
        </w:tc>
        <w:tc>
          <w:tcPr>
            <w:tcW w:w="926" w:type="dxa"/>
            <w:noWrap w:val="0"/>
            <w:tcMar>
              <w:top w:w="0" w:type="dxa"/>
              <w:left w:w="108" w:type="dxa"/>
              <w:bottom w:w="0" w:type="dxa"/>
              <w:right w:w="108" w:type="dxa"/>
            </w:tcMar>
            <w:vAlign w:val="center"/>
          </w:tcPr>
          <w:p w14:paraId="00647868">
            <w:pPr>
              <w:widowControl/>
              <w:jc w:val="center"/>
              <w:rPr>
                <w:rFonts w:ascii="宋体" w:hAnsi="宋体" w:eastAsia="宋体"/>
                <w:b/>
                <w:bCs/>
                <w:kern w:val="0"/>
                <w:sz w:val="21"/>
                <w:szCs w:val="21"/>
              </w:rPr>
            </w:pPr>
            <w:r>
              <w:rPr>
                <w:rFonts w:hint="eastAsia" w:ascii="宋体" w:hAnsi="宋体" w:eastAsia="宋体"/>
                <w:b/>
                <w:bCs/>
                <w:kern w:val="0"/>
                <w:sz w:val="21"/>
                <w:szCs w:val="21"/>
                <w:lang w:val="en-US" w:eastAsia="zh-CN"/>
              </w:rPr>
              <w:t>8</w:t>
            </w:r>
          </w:p>
        </w:tc>
      </w:tr>
      <w:tr w14:paraId="6575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63" w:type="dxa"/>
            <w:vMerge w:val="continue"/>
            <w:noWrap w:val="0"/>
            <w:tcMar>
              <w:top w:w="0" w:type="dxa"/>
              <w:left w:w="108" w:type="dxa"/>
              <w:bottom w:w="0" w:type="dxa"/>
              <w:right w:w="108" w:type="dxa"/>
            </w:tcMar>
            <w:vAlign w:val="center"/>
          </w:tcPr>
          <w:p w14:paraId="1F401EFF">
            <w:pPr>
              <w:jc w:val="center"/>
              <w:rPr>
                <w:rFonts w:ascii="宋体" w:hAnsi="宋体" w:eastAsia="宋体"/>
                <w:b/>
                <w:bCs/>
                <w:kern w:val="0"/>
                <w:sz w:val="21"/>
                <w:szCs w:val="21"/>
              </w:rPr>
            </w:pPr>
          </w:p>
        </w:tc>
        <w:tc>
          <w:tcPr>
            <w:tcW w:w="1138" w:type="dxa"/>
            <w:vMerge w:val="continue"/>
            <w:noWrap w:val="0"/>
            <w:tcMar>
              <w:top w:w="0" w:type="dxa"/>
              <w:left w:w="108" w:type="dxa"/>
              <w:bottom w:w="0" w:type="dxa"/>
              <w:right w:w="108" w:type="dxa"/>
            </w:tcMar>
            <w:vAlign w:val="center"/>
          </w:tcPr>
          <w:p w14:paraId="0B814542">
            <w:pPr>
              <w:widowControl/>
              <w:jc w:val="center"/>
              <w:rPr>
                <w:rFonts w:ascii="宋体" w:hAnsi="宋体" w:eastAsia="宋体"/>
                <w:b/>
                <w:bCs/>
                <w:kern w:val="0"/>
                <w:sz w:val="21"/>
                <w:szCs w:val="21"/>
              </w:rPr>
            </w:pPr>
          </w:p>
        </w:tc>
        <w:tc>
          <w:tcPr>
            <w:tcW w:w="6788" w:type="dxa"/>
            <w:noWrap w:val="0"/>
            <w:tcMar>
              <w:top w:w="0" w:type="dxa"/>
              <w:left w:w="108" w:type="dxa"/>
              <w:bottom w:w="0" w:type="dxa"/>
              <w:right w:w="108" w:type="dxa"/>
            </w:tcMar>
            <w:vAlign w:val="center"/>
          </w:tcPr>
          <w:p w14:paraId="79B2FD9B">
            <w:pPr>
              <w:widowControl/>
              <w:rPr>
                <w:rFonts w:ascii="宋体" w:hAnsi="宋体" w:eastAsia="宋体"/>
                <w:sz w:val="24"/>
                <w:szCs w:val="24"/>
                <w:lang w:val="zh-CN"/>
              </w:rPr>
            </w:pPr>
            <w:r>
              <w:rPr>
                <w:rFonts w:ascii="宋体" w:hAnsi="宋体" w:eastAsia="宋体"/>
                <w:sz w:val="21"/>
                <w:szCs w:val="21"/>
                <w:lang w:val="zh-CN"/>
              </w:rPr>
              <w:t>项目的重难点分析及建议</w:t>
            </w:r>
            <w:r>
              <w:rPr>
                <w:rFonts w:hint="eastAsia" w:ascii="宋体" w:hAnsi="宋体" w:eastAsia="宋体"/>
                <w:sz w:val="21"/>
                <w:szCs w:val="21"/>
                <w:lang w:val="zh-CN"/>
              </w:rPr>
              <w:t>(</w:t>
            </w:r>
            <w:r>
              <w:rPr>
                <w:rFonts w:hint="eastAsia" w:ascii="宋体" w:hAnsi="宋体" w:eastAsia="宋体"/>
                <w:sz w:val="21"/>
                <w:szCs w:val="21"/>
                <w:lang w:val="en-US" w:eastAsia="zh-CN"/>
              </w:rPr>
              <w:t>9</w:t>
            </w:r>
            <w:r>
              <w:rPr>
                <w:rFonts w:hint="eastAsia" w:ascii="宋体" w:hAnsi="宋体" w:eastAsia="宋体"/>
                <w:sz w:val="21"/>
                <w:szCs w:val="21"/>
                <w:lang w:val="zh-CN"/>
              </w:rPr>
              <w:t>分)：评委根据供应商</w:t>
            </w:r>
            <w:r>
              <w:rPr>
                <w:rFonts w:ascii="宋体" w:hAnsi="宋体" w:eastAsia="宋体"/>
                <w:sz w:val="21"/>
                <w:szCs w:val="21"/>
                <w:lang w:val="zh-CN"/>
              </w:rPr>
              <w:t>对本项目的难点、重点进行分析</w:t>
            </w:r>
            <w:r>
              <w:rPr>
                <w:rFonts w:hint="eastAsia" w:ascii="宋体" w:hAnsi="宋体" w:eastAsia="宋体"/>
                <w:sz w:val="21"/>
                <w:szCs w:val="21"/>
                <w:lang w:val="zh-CN"/>
              </w:rPr>
              <w:t>及相关建议评分（科学合理、</w:t>
            </w:r>
            <w:r>
              <w:rPr>
                <w:rFonts w:hint="eastAsia" w:ascii="宋体" w:hAnsi="宋体" w:eastAsia="宋体"/>
                <w:sz w:val="21"/>
                <w:szCs w:val="21"/>
              </w:rPr>
              <w:t>优于文件需求的得</w:t>
            </w:r>
            <w:r>
              <w:rPr>
                <w:rFonts w:hint="eastAsia" w:ascii="宋体" w:hAnsi="宋体" w:eastAsia="宋体"/>
                <w:sz w:val="21"/>
                <w:szCs w:val="21"/>
                <w:lang w:val="en-US" w:eastAsia="zh-CN"/>
              </w:rPr>
              <w:t>9</w:t>
            </w:r>
            <w:r>
              <w:rPr>
                <w:rFonts w:hint="eastAsia" w:ascii="宋体" w:hAnsi="宋体" w:eastAsia="宋体"/>
                <w:sz w:val="21"/>
                <w:szCs w:val="21"/>
                <w:lang w:val="zh-CN"/>
              </w:rPr>
              <w:t>分，基本合理、</w:t>
            </w:r>
            <w:r>
              <w:rPr>
                <w:rFonts w:hint="eastAsia" w:ascii="宋体" w:hAnsi="宋体" w:eastAsia="宋体"/>
                <w:sz w:val="21"/>
                <w:szCs w:val="21"/>
              </w:rPr>
              <w:t>可实施性一般的得</w:t>
            </w:r>
            <w:r>
              <w:rPr>
                <w:rFonts w:hint="eastAsia" w:ascii="宋体" w:hAnsi="宋体" w:eastAsia="宋体"/>
                <w:sz w:val="21"/>
                <w:szCs w:val="21"/>
                <w:lang w:val="en-US" w:eastAsia="zh-CN"/>
              </w:rPr>
              <w:t>6</w:t>
            </w:r>
            <w:r>
              <w:rPr>
                <w:rFonts w:hint="eastAsia" w:ascii="宋体" w:hAnsi="宋体" w:eastAsia="宋体"/>
                <w:sz w:val="21"/>
                <w:szCs w:val="21"/>
                <w:lang w:val="zh-CN"/>
              </w:rPr>
              <w:t>分，</w:t>
            </w:r>
            <w:r>
              <w:rPr>
                <w:rFonts w:hint="eastAsia" w:ascii="宋体" w:hAnsi="宋体" w:eastAsia="宋体"/>
                <w:sz w:val="21"/>
                <w:szCs w:val="21"/>
              </w:rPr>
              <w:t>思路理解</w:t>
            </w:r>
            <w:r>
              <w:rPr>
                <w:rFonts w:hint="eastAsia" w:ascii="宋体" w:hAnsi="宋体" w:eastAsia="宋体"/>
                <w:sz w:val="21"/>
                <w:szCs w:val="21"/>
                <w:lang w:val="zh-CN"/>
              </w:rPr>
              <w:t>一般、</w:t>
            </w:r>
            <w:r>
              <w:rPr>
                <w:rFonts w:hint="eastAsia" w:ascii="宋体" w:hAnsi="宋体" w:eastAsia="宋体"/>
                <w:sz w:val="21"/>
                <w:szCs w:val="21"/>
              </w:rPr>
              <w:t>认识模糊的得</w:t>
            </w:r>
            <w:r>
              <w:rPr>
                <w:rFonts w:hint="eastAsia" w:ascii="宋体" w:hAnsi="宋体" w:eastAsia="宋体"/>
                <w:sz w:val="21"/>
                <w:szCs w:val="21"/>
                <w:lang w:val="en-US" w:eastAsia="zh-CN"/>
              </w:rPr>
              <w:t>3</w:t>
            </w:r>
            <w:r>
              <w:rPr>
                <w:rFonts w:hint="eastAsia" w:ascii="宋体" w:hAnsi="宋体" w:eastAsia="宋体"/>
                <w:sz w:val="21"/>
                <w:szCs w:val="21"/>
                <w:lang w:val="zh-CN"/>
              </w:rPr>
              <w:t>分，</w:t>
            </w:r>
            <w:r>
              <w:rPr>
                <w:rFonts w:hint="eastAsia" w:ascii="宋体" w:hAnsi="宋体" w:eastAsia="宋体"/>
                <w:sz w:val="21"/>
                <w:szCs w:val="21"/>
              </w:rPr>
              <w:t>无不得</w:t>
            </w:r>
            <w:r>
              <w:rPr>
                <w:rFonts w:hint="eastAsia" w:ascii="宋体" w:hAnsi="宋体" w:eastAsia="宋体"/>
                <w:sz w:val="21"/>
                <w:szCs w:val="21"/>
                <w:lang w:val="zh-CN"/>
              </w:rPr>
              <w:t>分）</w:t>
            </w:r>
            <w:r>
              <w:rPr>
                <w:rFonts w:ascii="宋体" w:hAnsi="宋体" w:eastAsia="宋体"/>
                <w:sz w:val="21"/>
                <w:szCs w:val="21"/>
                <w:lang w:val="zh-CN"/>
              </w:rPr>
              <w:t>。</w:t>
            </w:r>
          </w:p>
        </w:tc>
        <w:tc>
          <w:tcPr>
            <w:tcW w:w="926" w:type="dxa"/>
            <w:noWrap w:val="0"/>
            <w:tcMar>
              <w:top w:w="0" w:type="dxa"/>
              <w:left w:w="108" w:type="dxa"/>
              <w:bottom w:w="0" w:type="dxa"/>
              <w:right w:w="108" w:type="dxa"/>
            </w:tcMar>
            <w:vAlign w:val="center"/>
          </w:tcPr>
          <w:p w14:paraId="04321EBE">
            <w:pPr>
              <w:widowControl/>
              <w:jc w:val="center"/>
              <w:rPr>
                <w:rFonts w:ascii="宋体" w:hAnsi="宋体" w:eastAsia="宋体"/>
                <w:b/>
                <w:bCs/>
                <w:kern w:val="0"/>
                <w:sz w:val="21"/>
                <w:szCs w:val="21"/>
              </w:rPr>
            </w:pPr>
            <w:r>
              <w:rPr>
                <w:rFonts w:hint="eastAsia" w:ascii="宋体" w:hAnsi="宋体" w:eastAsia="宋体"/>
                <w:b/>
                <w:bCs/>
                <w:kern w:val="0"/>
                <w:sz w:val="21"/>
                <w:szCs w:val="21"/>
                <w:lang w:val="en-US" w:eastAsia="zh-CN"/>
              </w:rPr>
              <w:t>9</w:t>
            </w:r>
          </w:p>
        </w:tc>
      </w:tr>
      <w:tr w14:paraId="1EDD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3" w:type="dxa"/>
            <w:vMerge w:val="continue"/>
            <w:noWrap w:val="0"/>
            <w:tcMar>
              <w:top w:w="0" w:type="dxa"/>
              <w:left w:w="108" w:type="dxa"/>
              <w:bottom w:w="0" w:type="dxa"/>
              <w:right w:w="108" w:type="dxa"/>
            </w:tcMar>
            <w:vAlign w:val="center"/>
          </w:tcPr>
          <w:p w14:paraId="74F1F663">
            <w:pPr>
              <w:widowControl/>
              <w:jc w:val="center"/>
              <w:rPr>
                <w:rFonts w:ascii="宋体" w:hAnsi="宋体" w:eastAsia="宋体"/>
                <w:b/>
                <w:bCs/>
                <w:kern w:val="0"/>
                <w:sz w:val="21"/>
                <w:szCs w:val="21"/>
              </w:rPr>
            </w:pPr>
          </w:p>
        </w:tc>
        <w:tc>
          <w:tcPr>
            <w:tcW w:w="1138" w:type="dxa"/>
            <w:vMerge w:val="continue"/>
            <w:noWrap w:val="0"/>
            <w:tcMar>
              <w:top w:w="0" w:type="dxa"/>
              <w:left w:w="108" w:type="dxa"/>
              <w:bottom w:w="0" w:type="dxa"/>
              <w:right w:w="108" w:type="dxa"/>
            </w:tcMar>
            <w:vAlign w:val="center"/>
          </w:tcPr>
          <w:p w14:paraId="4F0EE83E">
            <w:pPr>
              <w:widowControl/>
              <w:jc w:val="center"/>
              <w:rPr>
                <w:rFonts w:ascii="宋体" w:hAnsi="宋体" w:eastAsia="宋体"/>
                <w:b/>
                <w:bCs/>
                <w:kern w:val="0"/>
                <w:sz w:val="21"/>
                <w:szCs w:val="21"/>
              </w:rPr>
            </w:pPr>
          </w:p>
        </w:tc>
        <w:tc>
          <w:tcPr>
            <w:tcW w:w="6788" w:type="dxa"/>
            <w:noWrap w:val="0"/>
            <w:tcMar>
              <w:top w:w="0" w:type="dxa"/>
              <w:left w:w="108" w:type="dxa"/>
              <w:bottom w:w="0" w:type="dxa"/>
              <w:right w:w="108" w:type="dxa"/>
            </w:tcMar>
            <w:vAlign w:val="center"/>
          </w:tcPr>
          <w:p w14:paraId="14FC91D1">
            <w:pPr>
              <w:widowControl/>
              <w:rPr>
                <w:rFonts w:ascii="宋体" w:hAnsi="宋体" w:eastAsia="宋体"/>
                <w:sz w:val="24"/>
                <w:szCs w:val="24"/>
                <w:lang w:val="zh-CN"/>
              </w:rPr>
            </w:pPr>
            <w:r>
              <w:rPr>
                <w:rFonts w:hint="eastAsia" w:ascii="宋体" w:hAnsi="宋体" w:eastAsia="宋体"/>
                <w:sz w:val="21"/>
                <w:szCs w:val="21"/>
                <w:lang w:val="zh-CN"/>
              </w:rPr>
              <w:t>针对项目审查后续跟踪服务的相关措施（</w:t>
            </w:r>
            <w:r>
              <w:rPr>
                <w:rFonts w:hint="eastAsia" w:ascii="宋体" w:hAnsi="宋体" w:eastAsia="宋体"/>
                <w:sz w:val="21"/>
                <w:szCs w:val="21"/>
                <w:lang w:val="en-US" w:eastAsia="zh-CN"/>
              </w:rPr>
              <w:t>8</w:t>
            </w:r>
            <w:r>
              <w:rPr>
                <w:rFonts w:hint="eastAsia" w:ascii="宋体" w:hAnsi="宋体" w:eastAsia="宋体"/>
                <w:sz w:val="21"/>
                <w:szCs w:val="21"/>
                <w:lang w:val="zh-CN"/>
              </w:rPr>
              <w:t>分）：评委根据供应商对项目审查后续跟踪服务的相关措施评分（科学合理、</w:t>
            </w:r>
            <w:r>
              <w:rPr>
                <w:rFonts w:hint="eastAsia" w:ascii="宋体" w:hAnsi="宋体" w:eastAsia="宋体"/>
                <w:sz w:val="21"/>
                <w:szCs w:val="21"/>
              </w:rPr>
              <w:t>优于文件需求的得</w:t>
            </w:r>
            <w:r>
              <w:rPr>
                <w:rFonts w:hint="eastAsia" w:ascii="宋体" w:hAnsi="宋体" w:eastAsia="宋体"/>
                <w:sz w:val="21"/>
                <w:szCs w:val="21"/>
                <w:lang w:val="en-US" w:eastAsia="zh-CN"/>
              </w:rPr>
              <w:t>8</w:t>
            </w:r>
            <w:r>
              <w:rPr>
                <w:rFonts w:hint="eastAsia" w:ascii="宋体" w:hAnsi="宋体" w:eastAsia="宋体"/>
                <w:sz w:val="21"/>
                <w:szCs w:val="21"/>
                <w:lang w:val="zh-CN"/>
              </w:rPr>
              <w:t>分，基本合理、</w:t>
            </w:r>
            <w:r>
              <w:rPr>
                <w:rFonts w:hint="eastAsia" w:ascii="宋体" w:hAnsi="宋体" w:eastAsia="宋体"/>
                <w:sz w:val="21"/>
                <w:szCs w:val="21"/>
              </w:rPr>
              <w:t>可实施性一般的得</w:t>
            </w:r>
            <w:r>
              <w:rPr>
                <w:rFonts w:hint="eastAsia" w:ascii="宋体" w:hAnsi="宋体" w:eastAsia="宋体"/>
                <w:sz w:val="21"/>
                <w:szCs w:val="21"/>
                <w:lang w:val="en-US" w:eastAsia="zh-CN"/>
              </w:rPr>
              <w:t>5</w:t>
            </w:r>
            <w:r>
              <w:rPr>
                <w:rFonts w:hint="eastAsia" w:ascii="宋体" w:hAnsi="宋体" w:eastAsia="宋体"/>
                <w:sz w:val="21"/>
                <w:szCs w:val="21"/>
                <w:lang w:val="zh-CN"/>
              </w:rPr>
              <w:t>分，</w:t>
            </w:r>
            <w:r>
              <w:rPr>
                <w:rFonts w:hint="eastAsia" w:ascii="宋体" w:hAnsi="宋体" w:eastAsia="宋体"/>
                <w:sz w:val="21"/>
                <w:szCs w:val="21"/>
              </w:rPr>
              <w:t>思路理解</w:t>
            </w:r>
            <w:r>
              <w:rPr>
                <w:rFonts w:hint="eastAsia" w:ascii="宋体" w:hAnsi="宋体" w:eastAsia="宋体"/>
                <w:sz w:val="21"/>
                <w:szCs w:val="21"/>
                <w:lang w:val="zh-CN"/>
              </w:rPr>
              <w:t>一般、</w:t>
            </w:r>
            <w:r>
              <w:rPr>
                <w:rFonts w:hint="eastAsia" w:ascii="宋体" w:hAnsi="宋体" w:eastAsia="宋体"/>
                <w:sz w:val="21"/>
                <w:szCs w:val="21"/>
              </w:rPr>
              <w:t>认识模糊的得</w:t>
            </w:r>
            <w:r>
              <w:rPr>
                <w:rFonts w:hint="eastAsia" w:ascii="宋体" w:hAnsi="宋体" w:eastAsia="宋体"/>
                <w:sz w:val="21"/>
                <w:szCs w:val="21"/>
                <w:lang w:val="en-US" w:eastAsia="zh-CN"/>
              </w:rPr>
              <w:t>2</w:t>
            </w:r>
            <w:r>
              <w:rPr>
                <w:rFonts w:hint="eastAsia" w:ascii="宋体" w:hAnsi="宋体" w:eastAsia="宋体"/>
                <w:sz w:val="21"/>
                <w:szCs w:val="21"/>
                <w:lang w:val="zh-CN"/>
              </w:rPr>
              <w:t>分，</w:t>
            </w:r>
            <w:r>
              <w:rPr>
                <w:rFonts w:hint="eastAsia" w:ascii="宋体" w:hAnsi="宋体" w:eastAsia="宋体"/>
                <w:sz w:val="21"/>
                <w:szCs w:val="21"/>
              </w:rPr>
              <w:t>无不得</w:t>
            </w:r>
            <w:r>
              <w:rPr>
                <w:rFonts w:hint="eastAsia" w:ascii="宋体" w:hAnsi="宋体" w:eastAsia="宋体"/>
                <w:sz w:val="21"/>
                <w:szCs w:val="21"/>
                <w:lang w:val="zh-CN"/>
              </w:rPr>
              <w:t>分）。</w:t>
            </w:r>
          </w:p>
        </w:tc>
        <w:tc>
          <w:tcPr>
            <w:tcW w:w="926" w:type="dxa"/>
            <w:noWrap w:val="0"/>
            <w:tcMar>
              <w:top w:w="0" w:type="dxa"/>
              <w:left w:w="108" w:type="dxa"/>
              <w:bottom w:w="0" w:type="dxa"/>
              <w:right w:w="108" w:type="dxa"/>
            </w:tcMar>
            <w:vAlign w:val="center"/>
          </w:tcPr>
          <w:p w14:paraId="4AB4BB75">
            <w:pPr>
              <w:widowControl/>
              <w:jc w:val="center"/>
              <w:rPr>
                <w:rFonts w:ascii="宋体" w:hAnsi="宋体" w:eastAsia="宋体"/>
                <w:b/>
                <w:bCs/>
                <w:kern w:val="0"/>
                <w:sz w:val="21"/>
                <w:szCs w:val="21"/>
              </w:rPr>
            </w:pPr>
            <w:r>
              <w:rPr>
                <w:rFonts w:hint="eastAsia" w:ascii="宋体" w:hAnsi="宋体" w:eastAsia="宋体"/>
                <w:b/>
                <w:bCs/>
                <w:kern w:val="0"/>
                <w:sz w:val="21"/>
                <w:szCs w:val="21"/>
                <w:lang w:val="en-US" w:eastAsia="zh-CN"/>
              </w:rPr>
              <w:t>8</w:t>
            </w:r>
            <w:bookmarkStart w:id="4" w:name="_GoBack"/>
            <w:bookmarkEnd w:id="4"/>
          </w:p>
        </w:tc>
      </w:tr>
      <w:tr w14:paraId="0CCB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3" w:type="dxa"/>
            <w:noWrap w:val="0"/>
            <w:tcMar>
              <w:top w:w="0" w:type="dxa"/>
              <w:left w:w="108" w:type="dxa"/>
              <w:bottom w:w="0" w:type="dxa"/>
              <w:right w:w="108" w:type="dxa"/>
            </w:tcMar>
            <w:vAlign w:val="center"/>
          </w:tcPr>
          <w:p w14:paraId="3784F209">
            <w:pPr>
              <w:widowControl/>
              <w:jc w:val="center"/>
              <w:rPr>
                <w:rFonts w:hint="eastAsia" w:ascii="宋体" w:hAnsi="宋体" w:eastAsia="宋体"/>
                <w:b/>
                <w:bCs/>
                <w:kern w:val="0"/>
                <w:sz w:val="24"/>
                <w:szCs w:val="24"/>
              </w:rPr>
            </w:pPr>
            <w:r>
              <w:rPr>
                <w:rFonts w:hint="eastAsia" w:ascii="宋体" w:hAnsi="宋体" w:eastAsia="宋体"/>
                <w:b/>
                <w:bCs/>
                <w:kern w:val="0"/>
                <w:sz w:val="24"/>
                <w:szCs w:val="24"/>
              </w:rPr>
              <w:t>2</w:t>
            </w:r>
          </w:p>
        </w:tc>
        <w:tc>
          <w:tcPr>
            <w:tcW w:w="1138" w:type="dxa"/>
            <w:noWrap w:val="0"/>
            <w:tcMar>
              <w:top w:w="0" w:type="dxa"/>
              <w:left w:w="108" w:type="dxa"/>
              <w:bottom w:w="0" w:type="dxa"/>
              <w:right w:w="108" w:type="dxa"/>
            </w:tcMar>
            <w:vAlign w:val="center"/>
          </w:tcPr>
          <w:p w14:paraId="6EFF220D">
            <w:pPr>
              <w:jc w:val="center"/>
              <w:rPr>
                <w:rFonts w:ascii="宋体" w:hAnsi="宋体" w:eastAsia="宋体"/>
                <w:b/>
                <w:bCs/>
                <w:kern w:val="0"/>
                <w:sz w:val="24"/>
                <w:szCs w:val="24"/>
              </w:rPr>
            </w:pPr>
            <w:r>
              <w:rPr>
                <w:rFonts w:ascii="宋体" w:hAnsi="宋体" w:eastAsia="宋体"/>
                <w:b/>
                <w:bCs/>
                <w:kern w:val="0"/>
                <w:sz w:val="24"/>
                <w:szCs w:val="24"/>
              </w:rPr>
              <w:t>拟投入本项目人员情况</w:t>
            </w:r>
          </w:p>
        </w:tc>
        <w:tc>
          <w:tcPr>
            <w:tcW w:w="6788" w:type="dxa"/>
            <w:noWrap w:val="0"/>
            <w:tcMar>
              <w:top w:w="0" w:type="dxa"/>
              <w:left w:w="108" w:type="dxa"/>
              <w:bottom w:w="0" w:type="dxa"/>
              <w:right w:w="108" w:type="dxa"/>
            </w:tcMar>
            <w:vAlign w:val="center"/>
          </w:tcPr>
          <w:p w14:paraId="00A23BEA">
            <w:pPr>
              <w:widowControl/>
              <w:jc w:val="left"/>
              <w:rPr>
                <w:rFonts w:ascii="宋体" w:hAnsi="宋体" w:eastAsia="宋体"/>
                <w:sz w:val="24"/>
                <w:szCs w:val="24"/>
                <w:lang w:val="zh-CN"/>
              </w:rPr>
            </w:pPr>
            <w:r>
              <w:rPr>
                <w:rFonts w:hint="eastAsia" w:ascii="宋体" w:hAnsi="宋体" w:eastAsia="宋体"/>
                <w:sz w:val="24"/>
                <w:szCs w:val="24"/>
                <w:lang w:val="zh-CN"/>
              </w:rPr>
              <w:t>项目组成员具有高级专业技术及以上职称的，有1人得1分，最高得10分。</w:t>
            </w:r>
          </w:p>
          <w:p w14:paraId="02A7CCF2">
            <w:pPr>
              <w:widowControl/>
              <w:jc w:val="left"/>
              <w:rPr>
                <w:rFonts w:ascii="宋体" w:hAnsi="宋体" w:eastAsia="宋体"/>
                <w:sz w:val="24"/>
                <w:szCs w:val="24"/>
                <w:lang w:val="zh-CN"/>
              </w:rPr>
            </w:pPr>
            <w:r>
              <w:rPr>
                <w:rFonts w:hint="eastAsia" w:ascii="宋体" w:hAnsi="宋体" w:eastAsia="宋体"/>
                <w:sz w:val="24"/>
                <w:szCs w:val="24"/>
                <w:lang w:val="zh-CN"/>
              </w:rPr>
              <w:t>项目组成员具有质量管理行业主管部门的质量审核培训经历并经培训考核合格，有1人得0.5分，最高得5分。</w:t>
            </w:r>
          </w:p>
          <w:p w14:paraId="0A91C145">
            <w:pPr>
              <w:widowControl/>
              <w:jc w:val="left"/>
              <w:rPr>
                <w:rFonts w:ascii="宋体" w:hAnsi="宋体" w:eastAsia="宋体"/>
                <w:sz w:val="24"/>
                <w:szCs w:val="24"/>
                <w:lang w:val="zh-CN"/>
              </w:rPr>
            </w:pPr>
            <w:r>
              <w:rPr>
                <w:rFonts w:hint="eastAsia" w:ascii="宋体" w:hAnsi="宋体" w:eastAsia="宋体"/>
                <w:sz w:val="24"/>
                <w:szCs w:val="24"/>
                <w:lang w:val="zh-CN"/>
              </w:rPr>
              <w:t>此项最高得15分，投标时须提供相关证明文件（职称、培训合格证书等）复印件并加盖投标人公章。</w:t>
            </w:r>
          </w:p>
        </w:tc>
        <w:tc>
          <w:tcPr>
            <w:tcW w:w="926" w:type="dxa"/>
            <w:noWrap w:val="0"/>
            <w:tcMar>
              <w:top w:w="0" w:type="dxa"/>
              <w:left w:w="108" w:type="dxa"/>
              <w:bottom w:w="0" w:type="dxa"/>
              <w:right w:w="108" w:type="dxa"/>
            </w:tcMar>
            <w:vAlign w:val="center"/>
          </w:tcPr>
          <w:p w14:paraId="3A65D6FF">
            <w:pPr>
              <w:widowControl/>
              <w:jc w:val="center"/>
              <w:rPr>
                <w:rFonts w:ascii="宋体" w:hAnsi="宋体" w:eastAsia="宋体"/>
                <w:b/>
                <w:bCs/>
                <w:kern w:val="0"/>
                <w:sz w:val="21"/>
                <w:szCs w:val="21"/>
              </w:rPr>
            </w:pPr>
            <w:r>
              <w:rPr>
                <w:rFonts w:hint="eastAsia" w:ascii="宋体" w:hAnsi="宋体" w:eastAsia="宋体"/>
                <w:b/>
                <w:bCs/>
                <w:kern w:val="0"/>
                <w:sz w:val="21"/>
                <w:szCs w:val="21"/>
              </w:rPr>
              <w:t>15</w:t>
            </w:r>
          </w:p>
        </w:tc>
      </w:tr>
      <w:tr w14:paraId="6079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663" w:type="dxa"/>
            <w:noWrap w:val="0"/>
            <w:tcMar>
              <w:top w:w="0" w:type="dxa"/>
              <w:left w:w="108" w:type="dxa"/>
              <w:bottom w:w="0" w:type="dxa"/>
              <w:right w:w="108" w:type="dxa"/>
            </w:tcMar>
            <w:vAlign w:val="center"/>
          </w:tcPr>
          <w:p w14:paraId="06316E2A">
            <w:pPr>
              <w:widowControl/>
              <w:jc w:val="center"/>
              <w:rPr>
                <w:rFonts w:hint="eastAsia" w:ascii="宋体" w:hAnsi="宋体" w:eastAsia="宋体"/>
                <w:b/>
                <w:bCs/>
                <w:kern w:val="0"/>
                <w:sz w:val="24"/>
                <w:szCs w:val="24"/>
              </w:rPr>
            </w:pPr>
            <w:r>
              <w:rPr>
                <w:rFonts w:hint="eastAsia" w:ascii="宋体" w:hAnsi="宋体" w:eastAsia="宋体"/>
                <w:b/>
                <w:bCs/>
                <w:kern w:val="0"/>
                <w:sz w:val="24"/>
                <w:szCs w:val="24"/>
              </w:rPr>
              <w:t>3</w:t>
            </w:r>
          </w:p>
        </w:tc>
        <w:tc>
          <w:tcPr>
            <w:tcW w:w="1138" w:type="dxa"/>
            <w:noWrap w:val="0"/>
            <w:tcMar>
              <w:top w:w="0" w:type="dxa"/>
              <w:left w:w="108" w:type="dxa"/>
              <w:bottom w:w="0" w:type="dxa"/>
              <w:right w:w="108" w:type="dxa"/>
            </w:tcMar>
            <w:vAlign w:val="center"/>
          </w:tcPr>
          <w:p w14:paraId="3F42D49C">
            <w:pPr>
              <w:jc w:val="center"/>
              <w:rPr>
                <w:rFonts w:ascii="宋体" w:hAnsi="宋体" w:eastAsia="宋体"/>
                <w:b/>
                <w:bCs/>
                <w:kern w:val="0"/>
                <w:sz w:val="24"/>
                <w:szCs w:val="24"/>
              </w:rPr>
            </w:pPr>
            <w:r>
              <w:rPr>
                <w:rFonts w:ascii="宋体" w:hAnsi="宋体" w:eastAsia="宋体"/>
                <w:b/>
                <w:bCs/>
                <w:kern w:val="0"/>
                <w:sz w:val="24"/>
                <w:szCs w:val="24"/>
              </w:rPr>
              <w:t>业绩</w:t>
            </w:r>
          </w:p>
        </w:tc>
        <w:tc>
          <w:tcPr>
            <w:tcW w:w="6788" w:type="dxa"/>
            <w:noWrap w:val="0"/>
            <w:tcMar>
              <w:top w:w="0" w:type="dxa"/>
              <w:left w:w="108" w:type="dxa"/>
              <w:bottom w:w="0" w:type="dxa"/>
              <w:right w:w="108" w:type="dxa"/>
            </w:tcMar>
            <w:vAlign w:val="center"/>
          </w:tcPr>
          <w:p w14:paraId="25CA8F96">
            <w:pPr>
              <w:widowControl/>
              <w:rPr>
                <w:rFonts w:ascii="宋体" w:hAnsi="宋体" w:eastAsia="宋体"/>
                <w:sz w:val="24"/>
                <w:szCs w:val="24"/>
                <w:lang w:val="zh-CN"/>
              </w:rPr>
            </w:pPr>
            <w:r>
              <w:rPr>
                <w:rFonts w:hint="eastAsia" w:ascii="宋体" w:hAnsi="宋体" w:eastAsia="宋体"/>
                <w:sz w:val="24"/>
                <w:szCs w:val="24"/>
                <w:highlight w:val="none"/>
                <w:lang w:val="zh-CN"/>
              </w:rPr>
              <w:t>供应商202</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lang w:val="zh-CN"/>
              </w:rPr>
              <w:t>年1月1日以来（以</w:t>
            </w:r>
            <w:r>
              <w:rPr>
                <w:rFonts w:hint="eastAsia" w:ascii="宋体" w:hAnsi="宋体" w:eastAsia="宋体"/>
                <w:sz w:val="24"/>
                <w:szCs w:val="24"/>
                <w:lang w:val="zh-CN"/>
              </w:rPr>
              <w:t>合同签订日期为准）承担</w:t>
            </w:r>
            <w:r>
              <w:rPr>
                <w:rFonts w:hint="eastAsia" w:ascii="宋体" w:hAnsi="宋体" w:eastAsia="宋体"/>
                <w:sz w:val="24"/>
                <w:szCs w:val="24"/>
              </w:rPr>
              <w:t>类似</w:t>
            </w:r>
            <w:r>
              <w:rPr>
                <w:rFonts w:hint="eastAsia" w:ascii="宋体" w:hAnsi="宋体" w:eastAsia="宋体"/>
                <w:sz w:val="24"/>
                <w:szCs w:val="24"/>
                <w:lang w:val="zh-CN"/>
              </w:rPr>
              <w:t>验收或检查或评估等相关工作业绩，</w:t>
            </w:r>
            <w:r>
              <w:rPr>
                <w:rFonts w:hint="eastAsia" w:ascii="宋体" w:hAnsi="宋体" w:eastAsia="宋体"/>
                <w:sz w:val="24"/>
                <w:szCs w:val="24"/>
              </w:rPr>
              <w:t>有一个得</w:t>
            </w:r>
            <w:r>
              <w:rPr>
                <w:rFonts w:hint="eastAsia" w:ascii="宋体" w:hAnsi="宋体" w:eastAsia="宋体"/>
                <w:sz w:val="24"/>
                <w:szCs w:val="24"/>
                <w:lang w:eastAsia="zh-CN"/>
              </w:rPr>
              <w:t>2</w:t>
            </w:r>
            <w:r>
              <w:rPr>
                <w:rFonts w:hint="eastAsia" w:ascii="宋体" w:hAnsi="宋体" w:eastAsia="宋体"/>
                <w:sz w:val="24"/>
                <w:szCs w:val="24"/>
              </w:rPr>
              <w:t>分</w:t>
            </w:r>
            <w:r>
              <w:rPr>
                <w:rFonts w:hint="eastAsia" w:ascii="宋体" w:hAnsi="宋体" w:eastAsia="宋体"/>
                <w:sz w:val="24"/>
                <w:szCs w:val="24"/>
                <w:lang w:val="zh-CN"/>
              </w:rPr>
              <w:t>，本项最高得</w:t>
            </w:r>
            <w:r>
              <w:rPr>
                <w:rFonts w:hint="eastAsia" w:ascii="宋体" w:hAnsi="宋体" w:eastAsia="宋体"/>
                <w:sz w:val="24"/>
                <w:szCs w:val="24"/>
              </w:rPr>
              <w:t>24</w:t>
            </w:r>
            <w:r>
              <w:rPr>
                <w:rFonts w:hint="eastAsia" w:ascii="宋体" w:hAnsi="宋体" w:eastAsia="宋体"/>
                <w:sz w:val="24"/>
                <w:szCs w:val="24"/>
                <w:lang w:val="zh-CN"/>
              </w:rPr>
              <w:t>分，须提供业绩证明材料复印件并加盖公章，业绩证明材料包括委托合同</w:t>
            </w:r>
            <w:r>
              <w:rPr>
                <w:rFonts w:hint="eastAsia" w:ascii="宋体" w:hAnsi="宋体" w:eastAsia="宋体"/>
                <w:sz w:val="24"/>
                <w:szCs w:val="24"/>
              </w:rPr>
              <w:t>或</w:t>
            </w:r>
            <w:r>
              <w:rPr>
                <w:rFonts w:hint="eastAsia" w:ascii="宋体" w:hAnsi="宋体" w:eastAsia="宋体"/>
                <w:sz w:val="24"/>
                <w:szCs w:val="24"/>
                <w:lang w:val="zh-CN"/>
              </w:rPr>
              <w:t>成交（中标）通知书，业绩证明材料中应能够明确反映供应商名称、合同签订日期、项目内容等。</w:t>
            </w:r>
          </w:p>
        </w:tc>
        <w:tc>
          <w:tcPr>
            <w:tcW w:w="926" w:type="dxa"/>
            <w:noWrap w:val="0"/>
            <w:tcMar>
              <w:top w:w="0" w:type="dxa"/>
              <w:left w:w="108" w:type="dxa"/>
              <w:bottom w:w="0" w:type="dxa"/>
              <w:right w:w="108" w:type="dxa"/>
            </w:tcMar>
            <w:vAlign w:val="center"/>
          </w:tcPr>
          <w:p w14:paraId="30F1C838">
            <w:pPr>
              <w:widowControl/>
              <w:jc w:val="center"/>
              <w:rPr>
                <w:rFonts w:ascii="宋体" w:hAnsi="宋体" w:eastAsia="宋体"/>
                <w:b/>
                <w:bCs/>
                <w:kern w:val="0"/>
                <w:sz w:val="21"/>
                <w:szCs w:val="21"/>
              </w:rPr>
            </w:pPr>
            <w:r>
              <w:rPr>
                <w:rFonts w:hint="eastAsia" w:ascii="宋体" w:hAnsi="宋体" w:eastAsia="宋体"/>
                <w:b/>
                <w:bCs/>
                <w:kern w:val="0"/>
                <w:sz w:val="21"/>
                <w:szCs w:val="21"/>
              </w:rPr>
              <w:t>24</w:t>
            </w:r>
          </w:p>
        </w:tc>
      </w:tr>
    </w:tbl>
    <w:p w14:paraId="0799046E">
      <w:pPr>
        <w:shd w:val="clear" w:color="auto" w:fill="auto"/>
        <w:snapToGrid w:val="0"/>
        <w:spacing w:line="480" w:lineRule="exact"/>
        <w:ind w:firstLine="570"/>
        <w:rPr>
          <w:rFonts w:ascii="Times New Roman"/>
          <w:bCs/>
          <w:color w:val="auto"/>
          <w:szCs w:val="24"/>
          <w:highlight w:val="none"/>
        </w:rPr>
      </w:pPr>
      <w:r>
        <w:rPr>
          <w:rFonts w:ascii="Times New Roman"/>
          <w:color w:val="auto"/>
          <w:szCs w:val="24"/>
          <w:highlight w:val="none"/>
        </w:rPr>
        <w:t xml:space="preserve">  </w:t>
      </w:r>
      <w:r>
        <w:rPr>
          <w:rFonts w:ascii="Times New Roman"/>
          <w:b/>
          <w:color w:val="auto"/>
          <w:szCs w:val="24"/>
          <w:highlight w:val="none"/>
        </w:rPr>
        <w:t xml:space="preserve"> （四）</w:t>
      </w:r>
      <w:r>
        <w:rPr>
          <w:rFonts w:ascii="Times New Roman"/>
          <w:b/>
          <w:color w:val="auto"/>
          <w:szCs w:val="24"/>
          <w:highlight w:val="none"/>
          <w:lang w:val="zh-CN"/>
        </w:rPr>
        <w:t>价格分</w:t>
      </w:r>
      <w:r>
        <w:rPr>
          <w:rFonts w:ascii="Times New Roman"/>
          <w:b/>
          <w:color w:val="auto"/>
          <w:szCs w:val="24"/>
          <w:highlight w:val="none"/>
        </w:rPr>
        <w:t>：</w:t>
      </w:r>
      <w:r>
        <w:rPr>
          <w:rFonts w:hint="eastAsia" w:ascii="Times New Roman"/>
          <w:bCs/>
          <w:color w:val="auto"/>
          <w:szCs w:val="24"/>
          <w:highlight w:val="none"/>
          <w:u w:val="single"/>
          <w:lang w:val="en-US" w:eastAsia="zh-CN"/>
        </w:rPr>
        <w:t>2</w:t>
      </w:r>
      <w:r>
        <w:rPr>
          <w:rFonts w:hint="eastAsia" w:ascii="Times New Roman"/>
          <w:bCs/>
          <w:color w:val="auto"/>
          <w:szCs w:val="24"/>
          <w:highlight w:val="none"/>
          <w:u w:val="single"/>
        </w:rPr>
        <w:t>0</w:t>
      </w:r>
      <w:r>
        <w:rPr>
          <w:rFonts w:ascii="Times New Roman"/>
          <w:bCs/>
          <w:color w:val="auto"/>
          <w:szCs w:val="24"/>
          <w:highlight w:val="none"/>
          <w:u w:val="single"/>
        </w:rPr>
        <w:t xml:space="preserve"> </w:t>
      </w:r>
      <w:r>
        <w:rPr>
          <w:rFonts w:ascii="Times New Roman"/>
          <w:bCs/>
          <w:color w:val="auto"/>
          <w:szCs w:val="24"/>
          <w:highlight w:val="none"/>
          <w:lang w:val="zh-CN"/>
        </w:rPr>
        <w:t>分</w:t>
      </w:r>
    </w:p>
    <w:p w14:paraId="3B186C59">
      <w:pPr>
        <w:shd w:val="clear" w:color="auto" w:fill="auto"/>
        <w:adjustRightInd w:val="0"/>
        <w:snapToGrid w:val="0"/>
        <w:spacing w:line="500" w:lineRule="exact"/>
        <w:ind w:firstLine="480" w:firstLineChars="200"/>
        <w:rPr>
          <w:rFonts w:ascii="Times New Roman"/>
          <w:color w:val="auto"/>
          <w:szCs w:val="24"/>
          <w:highlight w:val="none"/>
        </w:rPr>
      </w:pPr>
      <w:r>
        <w:rPr>
          <w:rFonts w:ascii="Times New Roman"/>
          <w:color w:val="auto"/>
          <w:szCs w:val="24"/>
          <w:highlight w:val="none"/>
        </w:rPr>
        <w:t>价格分统一采用低价优先法计算，即满足招标文件要求且投标价格最低的投标报价为评标基准价，其价格分为满分。其他投标人的价格分统一按照下列公式计算：</w:t>
      </w:r>
    </w:p>
    <w:p w14:paraId="376D67DD">
      <w:pPr>
        <w:shd w:val="clear" w:color="auto" w:fill="auto"/>
        <w:adjustRightInd w:val="0"/>
        <w:snapToGrid w:val="0"/>
        <w:spacing w:line="500" w:lineRule="exact"/>
        <w:ind w:firstLine="480" w:firstLineChars="200"/>
        <w:rPr>
          <w:rFonts w:ascii="Times New Roman"/>
          <w:color w:val="auto"/>
          <w:szCs w:val="24"/>
          <w:highlight w:val="none"/>
        </w:rPr>
      </w:pPr>
      <w:r>
        <w:rPr>
          <w:rFonts w:ascii="Times New Roman"/>
          <w:color w:val="auto"/>
          <w:szCs w:val="24"/>
          <w:highlight w:val="none"/>
        </w:rPr>
        <w:t>投标报价得分=（评标基准价/投标报价）×</w:t>
      </w:r>
      <w:r>
        <w:rPr>
          <w:rFonts w:hint="eastAsia" w:ascii="Times New Roman"/>
          <w:color w:val="auto"/>
          <w:szCs w:val="24"/>
          <w:highlight w:val="none"/>
          <w:lang w:val="en-US" w:eastAsia="zh-CN"/>
        </w:rPr>
        <w:t>20%</w:t>
      </w:r>
      <w:r>
        <w:rPr>
          <w:rFonts w:ascii="Times New Roman"/>
          <w:color w:val="auto"/>
          <w:szCs w:val="24"/>
          <w:highlight w:val="none"/>
        </w:rPr>
        <w:t>×100</w:t>
      </w:r>
    </w:p>
    <w:p w14:paraId="00EBB171">
      <w:pPr>
        <w:shd w:val="clear" w:color="auto" w:fill="auto"/>
        <w:snapToGrid w:val="0"/>
        <w:spacing w:line="480" w:lineRule="exact"/>
        <w:ind w:firstLine="570"/>
        <w:rPr>
          <w:rFonts w:ascii="Times New Roman"/>
          <w:bCs/>
          <w:color w:val="auto"/>
          <w:highlight w:val="none"/>
        </w:rPr>
      </w:pPr>
      <w:r>
        <w:rPr>
          <w:rFonts w:ascii="Times New Roman"/>
          <w:bCs/>
          <w:color w:val="auto"/>
          <w:highlight w:val="none"/>
        </w:rPr>
        <w:t>评委会认为投标人的报价明显低于其他通过符合性审查投标人的报价，有可能影响产品质量或者不能诚信履约的，应当要求其在合理的时间内提供书面说明，必要时提交相关证明材料；投标人不能证明其报价合理性的，评委会应当将其作为无效投标处理。</w:t>
      </w:r>
    </w:p>
    <w:p w14:paraId="7BDAAE67">
      <w:pPr>
        <w:shd w:val="clear" w:color="auto" w:fill="auto"/>
        <w:snapToGrid w:val="0"/>
        <w:spacing w:line="480" w:lineRule="exact"/>
        <w:ind w:firstLine="570"/>
        <w:rPr>
          <w:rFonts w:ascii="Times New Roman"/>
          <w:bCs/>
          <w:color w:val="auto"/>
          <w:highlight w:val="none"/>
        </w:rPr>
      </w:pPr>
      <w:r>
        <w:rPr>
          <w:rFonts w:ascii="Times New Roman"/>
          <w:bCs/>
          <w:color w:val="auto"/>
          <w:highlight w:val="none"/>
        </w:rPr>
        <w:t>评委对中标候选人报价总表和明细表进行审核，应审核供应商投标报价是否前后一致、大小写金额是否一致、总价金额与单价汇总金额是否一致。对过高过低报价的并作为中标候选人的，应重点审核报价明细表</w:t>
      </w:r>
      <w:r>
        <w:rPr>
          <w:rFonts w:hint="eastAsia" w:ascii="Times New Roman"/>
          <w:bCs/>
          <w:color w:val="auto"/>
          <w:highlight w:val="none"/>
        </w:rPr>
        <w:t>是</w:t>
      </w:r>
      <w:r>
        <w:rPr>
          <w:rFonts w:ascii="Times New Roman"/>
          <w:bCs/>
          <w:color w:val="auto"/>
          <w:highlight w:val="none"/>
        </w:rPr>
        <w:t>否</w:t>
      </w:r>
      <w:r>
        <w:rPr>
          <w:rFonts w:hint="eastAsia" w:ascii="Times New Roman"/>
          <w:bCs/>
          <w:color w:val="auto"/>
          <w:highlight w:val="none"/>
        </w:rPr>
        <w:t>有</w:t>
      </w:r>
      <w:r>
        <w:rPr>
          <w:rFonts w:ascii="Times New Roman"/>
          <w:bCs/>
          <w:color w:val="auto"/>
          <w:highlight w:val="none"/>
        </w:rPr>
        <w:t>重大重复报价或漏项报价等情况，一经发现，现场请中标候选人予以澄清，明显过错或不能澄清的，经超半数以上评委认定，有权取消供应商中标候选人资格。</w:t>
      </w:r>
    </w:p>
    <w:p w14:paraId="5E4D0D65">
      <w:pPr>
        <w:shd w:val="clear" w:color="auto" w:fill="auto"/>
        <w:adjustRightInd w:val="0"/>
        <w:snapToGrid w:val="0"/>
        <w:spacing w:line="500" w:lineRule="exact"/>
        <w:ind w:firstLine="570"/>
        <w:rPr>
          <w:rFonts w:ascii="Times New Roman"/>
          <w:color w:val="auto"/>
          <w:szCs w:val="24"/>
          <w:highlight w:val="none"/>
        </w:rPr>
      </w:pPr>
      <w:r>
        <w:rPr>
          <w:rFonts w:ascii="Times New Roman"/>
          <w:color w:val="auto"/>
          <w:szCs w:val="24"/>
          <w:highlight w:val="none"/>
        </w:rPr>
        <w:t>评委会汇总各评委评分后，按照得分从高到低的顺序推荐三名中标候选人，并编写评标报告。</w:t>
      </w:r>
    </w:p>
    <w:p w14:paraId="050950BA">
      <w:pPr>
        <w:shd w:val="clear" w:color="auto" w:fill="auto"/>
        <w:adjustRightInd w:val="0"/>
        <w:snapToGrid w:val="0"/>
        <w:spacing w:line="500" w:lineRule="exact"/>
        <w:ind w:firstLine="570"/>
        <w:rPr>
          <w:rFonts w:ascii="Times New Roman"/>
          <w:bCs/>
          <w:color w:val="auto"/>
          <w:szCs w:val="24"/>
          <w:highlight w:val="none"/>
        </w:rPr>
      </w:pPr>
      <w:r>
        <w:rPr>
          <w:rFonts w:ascii="Times New Roman"/>
          <w:b/>
          <w:color w:val="auto"/>
          <w:szCs w:val="24"/>
          <w:highlight w:val="none"/>
        </w:rPr>
        <w:t>采购人委托评委会</w:t>
      </w:r>
      <w:r>
        <w:rPr>
          <w:rFonts w:ascii="Times New Roman"/>
          <w:bCs/>
          <w:color w:val="auto"/>
          <w:szCs w:val="24"/>
          <w:highlight w:val="none"/>
        </w:rPr>
        <w:t>在评标报告确定的中标候选人名单中按顺序确定中标人。中标候选人并列的，由采购人或者采购人委托评标委员会按照现场抽签方式确定中标人。</w:t>
      </w:r>
    </w:p>
    <w:p w14:paraId="1B3005BB">
      <w:pPr>
        <w:shd w:val="clear" w:color="auto" w:fill="auto"/>
        <w:snapToGrid w:val="0"/>
        <w:spacing w:line="480" w:lineRule="exact"/>
        <w:ind w:firstLine="570"/>
        <w:rPr>
          <w:rFonts w:ascii="Times New Roman"/>
          <w:b/>
          <w:color w:val="auto"/>
          <w:szCs w:val="24"/>
          <w:highlight w:val="none"/>
        </w:rPr>
      </w:pPr>
      <w:r>
        <w:rPr>
          <w:rFonts w:ascii="Times New Roman"/>
          <w:b/>
          <w:color w:val="auto"/>
          <w:szCs w:val="24"/>
          <w:highlight w:val="none"/>
        </w:rPr>
        <w:t>（七）采购代理机构宣布评标结果。</w:t>
      </w:r>
    </w:p>
    <w:p w14:paraId="0FE8024E">
      <w:pPr>
        <w:shd w:val="clear" w:color="auto" w:fill="auto"/>
        <w:snapToGrid w:val="0"/>
        <w:spacing w:line="480" w:lineRule="exact"/>
        <w:ind w:firstLine="570"/>
        <w:rPr>
          <w:rFonts w:ascii="Times New Roman"/>
          <w:b/>
          <w:color w:val="auto"/>
          <w:szCs w:val="24"/>
          <w:highlight w:val="none"/>
        </w:rPr>
      </w:pPr>
      <w:r>
        <w:rPr>
          <w:rFonts w:ascii="Times New Roman"/>
          <w:b/>
          <w:color w:val="auto"/>
          <w:szCs w:val="24"/>
          <w:highlight w:val="none"/>
        </w:rPr>
        <w:t>（八）公告中标结果</w:t>
      </w:r>
    </w:p>
    <w:p w14:paraId="0B833747">
      <w:pPr>
        <w:shd w:val="clear" w:color="auto" w:fill="auto"/>
        <w:snapToGrid w:val="0"/>
        <w:spacing w:line="480" w:lineRule="exact"/>
        <w:ind w:firstLine="570"/>
        <w:rPr>
          <w:rFonts w:ascii="Times New Roman"/>
          <w:b/>
          <w:color w:val="auto"/>
          <w:szCs w:val="24"/>
          <w:highlight w:val="none"/>
        </w:rPr>
      </w:pPr>
      <w:r>
        <w:rPr>
          <w:rFonts w:ascii="Times New Roman"/>
          <w:color w:val="auto"/>
          <w:szCs w:val="24"/>
          <w:highlight w:val="none"/>
        </w:rPr>
        <w:t>自确定中标人之日起2个工作日内，在</w:t>
      </w:r>
      <w:r>
        <w:rPr>
          <w:rFonts w:hint="eastAsia" w:ascii="Times New Roman"/>
          <w:color w:val="auto"/>
          <w:szCs w:val="24"/>
          <w:highlight w:val="none"/>
          <w:lang w:eastAsia="zh-CN"/>
        </w:rPr>
        <w:t>“</w:t>
      </w:r>
      <w:r>
        <w:rPr>
          <w:rFonts w:ascii="Times New Roman"/>
          <w:bCs/>
          <w:color w:val="auto"/>
          <w:highlight w:val="none"/>
        </w:rPr>
        <w:t>南通市</w:t>
      </w:r>
      <w:r>
        <w:rPr>
          <w:rFonts w:hint="eastAsia" w:ascii="Times New Roman"/>
          <w:bCs/>
          <w:color w:val="auto"/>
          <w:highlight w:val="none"/>
          <w:lang w:eastAsia="zh-CN"/>
        </w:rPr>
        <w:t>南通市交通运输局</w:t>
      </w:r>
      <w:r>
        <w:rPr>
          <w:rFonts w:hint="eastAsia" w:ascii="Times New Roman"/>
          <w:bCs/>
          <w:color w:val="auto"/>
          <w:highlight w:val="none"/>
          <w:lang w:val="en-US" w:eastAsia="zh-CN"/>
        </w:rPr>
        <w:t>-公告公示栏</w:t>
      </w:r>
      <w:r>
        <w:rPr>
          <w:rFonts w:hint="eastAsia" w:ascii="Times New Roman"/>
          <w:color w:val="auto"/>
          <w:szCs w:val="24"/>
          <w:highlight w:val="none"/>
          <w:lang w:eastAsia="zh-CN"/>
        </w:rPr>
        <w:t>”</w:t>
      </w:r>
      <w:r>
        <w:rPr>
          <w:rFonts w:ascii="Times New Roman"/>
          <w:color w:val="auto"/>
          <w:szCs w:val="24"/>
          <w:highlight w:val="none"/>
        </w:rPr>
        <w:t>中标结果，公告期限为1个工作日。</w:t>
      </w:r>
    </w:p>
    <w:p w14:paraId="711C4A71">
      <w:pPr>
        <w:shd w:val="clear" w:color="auto" w:fill="auto"/>
        <w:snapToGrid w:val="0"/>
        <w:spacing w:line="480" w:lineRule="exact"/>
        <w:ind w:firstLine="570"/>
        <w:rPr>
          <w:rFonts w:ascii="Times New Roman"/>
          <w:b/>
          <w:color w:val="auto"/>
          <w:szCs w:val="24"/>
          <w:highlight w:val="none"/>
        </w:rPr>
      </w:pPr>
      <w:r>
        <w:rPr>
          <w:rFonts w:ascii="Times New Roman"/>
          <w:b/>
          <w:color w:val="auto"/>
          <w:szCs w:val="24"/>
          <w:highlight w:val="none"/>
        </w:rPr>
        <w:t>（九）发放中标通知书</w:t>
      </w:r>
    </w:p>
    <w:p w14:paraId="3977FF19">
      <w:pPr>
        <w:shd w:val="clear" w:color="auto" w:fill="auto"/>
        <w:snapToGrid w:val="0"/>
        <w:spacing w:line="480" w:lineRule="exact"/>
        <w:ind w:firstLine="480" w:firstLineChars="200"/>
        <w:contextualSpacing/>
        <w:rPr>
          <w:rFonts w:ascii="Times New Roman"/>
          <w:color w:val="auto"/>
          <w:szCs w:val="24"/>
          <w:highlight w:val="none"/>
          <w:u w:val="single"/>
        </w:rPr>
      </w:pPr>
      <w:r>
        <w:rPr>
          <w:rFonts w:ascii="Times New Roman"/>
          <w:color w:val="auto"/>
          <w:szCs w:val="24"/>
          <w:highlight w:val="none"/>
        </w:rPr>
        <w:t>中标通知书发放条件和途径：</w:t>
      </w:r>
      <w:r>
        <w:rPr>
          <w:rFonts w:hint="eastAsia" w:ascii="Times New Roman"/>
          <w:color w:val="auto"/>
          <w:szCs w:val="24"/>
          <w:highlight w:val="none"/>
        </w:rPr>
        <w:t>发布</w:t>
      </w:r>
      <w:r>
        <w:rPr>
          <w:rFonts w:ascii="Times New Roman"/>
          <w:color w:val="auto"/>
          <w:szCs w:val="24"/>
          <w:highlight w:val="none"/>
        </w:rPr>
        <w:t>中标结果公告</w:t>
      </w:r>
      <w:r>
        <w:rPr>
          <w:rFonts w:hint="eastAsia" w:ascii="Times New Roman"/>
          <w:color w:val="auto"/>
          <w:szCs w:val="24"/>
          <w:highlight w:val="none"/>
        </w:rPr>
        <w:t>的同时，采购人或者采购代理机构应当向中标人发放中标通知书。</w:t>
      </w:r>
      <w:r>
        <w:rPr>
          <w:rFonts w:ascii="Times New Roman"/>
          <w:color w:val="auto"/>
          <w:szCs w:val="24"/>
          <w:highlight w:val="none"/>
        </w:rPr>
        <w:t>领取地址：</w:t>
      </w:r>
      <w:r>
        <w:rPr>
          <w:rFonts w:hint="eastAsia" w:ascii="Times New Roman"/>
          <w:color w:val="auto"/>
          <w:szCs w:val="24"/>
          <w:highlight w:val="none"/>
          <w:u w:val="single"/>
        </w:rPr>
        <w:t>南通市崇川区崇川路58号产业技术研究院9幢601室</w:t>
      </w:r>
      <w:r>
        <w:rPr>
          <w:rFonts w:ascii="Times New Roman"/>
          <w:color w:val="auto"/>
          <w:szCs w:val="24"/>
          <w:highlight w:val="none"/>
          <w:u w:val="single"/>
        </w:rPr>
        <w:t>，</w:t>
      </w:r>
      <w:r>
        <w:rPr>
          <w:rFonts w:ascii="Times New Roman"/>
          <w:color w:val="auto"/>
          <w:szCs w:val="24"/>
          <w:highlight w:val="none"/>
        </w:rPr>
        <w:t>电话：</w:t>
      </w:r>
      <w:r>
        <w:rPr>
          <w:rFonts w:ascii="Times New Roman"/>
          <w:color w:val="auto"/>
          <w:szCs w:val="24"/>
          <w:highlight w:val="none"/>
          <w:u w:val="single"/>
        </w:rPr>
        <w:t xml:space="preserve"> </w:t>
      </w:r>
      <w:r>
        <w:rPr>
          <w:rFonts w:hint="eastAsia" w:ascii="Times New Roman"/>
          <w:color w:val="auto"/>
          <w:szCs w:val="24"/>
          <w:highlight w:val="none"/>
          <w:u w:val="single"/>
          <w:lang w:val="en-US" w:eastAsia="zh-CN"/>
        </w:rPr>
        <w:t>13862995261</w:t>
      </w:r>
      <w:r>
        <w:rPr>
          <w:rFonts w:ascii="Times New Roman"/>
          <w:color w:val="auto"/>
          <w:szCs w:val="24"/>
          <w:highlight w:val="none"/>
          <w:u w:val="single"/>
        </w:rPr>
        <w:t xml:space="preserve"> 。</w:t>
      </w:r>
    </w:p>
    <w:p w14:paraId="3FD77928">
      <w:pPr>
        <w:shd w:val="clear" w:color="auto" w:fill="auto"/>
        <w:snapToGrid w:val="0"/>
        <w:spacing w:line="480" w:lineRule="exact"/>
        <w:ind w:firstLine="480" w:firstLineChars="200"/>
        <w:rPr>
          <w:rFonts w:ascii="Times New Roman"/>
          <w:color w:val="auto"/>
          <w:szCs w:val="24"/>
          <w:highlight w:val="none"/>
        </w:rPr>
      </w:pPr>
      <w:r>
        <w:rPr>
          <w:rFonts w:ascii="Times New Roman"/>
          <w:color w:val="auto"/>
          <w:szCs w:val="24"/>
          <w:highlight w:val="none"/>
        </w:rPr>
        <w:t>中标通知书对采购人和中标供应商均具有法律效力。中标通知书发出后，采购人改变中标结果的，或者中标供应商放弃中标项目的，应当依法承担法律责任。</w:t>
      </w:r>
    </w:p>
    <w:p w14:paraId="31E597CB">
      <w:pPr>
        <w:shd w:val="clear" w:color="auto" w:fill="auto"/>
        <w:snapToGrid w:val="0"/>
        <w:spacing w:line="480" w:lineRule="exact"/>
        <w:ind w:firstLine="477" w:firstLineChars="198"/>
        <w:rPr>
          <w:rFonts w:ascii="Times New Roman"/>
          <w:b/>
          <w:color w:val="auto"/>
          <w:highlight w:val="none"/>
        </w:rPr>
      </w:pPr>
      <w:r>
        <w:rPr>
          <w:rFonts w:ascii="Times New Roman"/>
          <w:b/>
          <w:color w:val="auto"/>
          <w:highlight w:val="none"/>
        </w:rPr>
        <w:t>八、其他注意事项</w:t>
      </w:r>
    </w:p>
    <w:p w14:paraId="371714D8">
      <w:pPr>
        <w:shd w:val="clear" w:color="auto" w:fill="auto"/>
        <w:snapToGrid w:val="0"/>
        <w:spacing w:line="480" w:lineRule="exact"/>
        <w:ind w:firstLine="570"/>
        <w:rPr>
          <w:rFonts w:ascii="Times New Roman"/>
          <w:color w:val="auto"/>
          <w:highlight w:val="none"/>
        </w:rPr>
      </w:pPr>
      <w:r>
        <w:rPr>
          <w:rFonts w:ascii="Times New Roman"/>
          <w:color w:val="auto"/>
          <w:highlight w:val="none"/>
        </w:rPr>
        <w:t>1、在投标、开标时间，投标人不得向评委询问情况，不得进行旨在影响评标结果的活动。</w:t>
      </w:r>
    </w:p>
    <w:p w14:paraId="6A5D8141">
      <w:pPr>
        <w:shd w:val="clear" w:color="auto" w:fill="auto"/>
        <w:snapToGrid w:val="0"/>
        <w:spacing w:line="480" w:lineRule="exact"/>
        <w:ind w:firstLine="570"/>
        <w:rPr>
          <w:rFonts w:ascii="Times New Roman"/>
          <w:color w:val="auto"/>
          <w:highlight w:val="none"/>
        </w:rPr>
      </w:pPr>
      <w:r>
        <w:rPr>
          <w:rFonts w:ascii="Times New Roman"/>
          <w:color w:val="auto"/>
          <w:highlight w:val="none"/>
        </w:rPr>
        <w:t>2、评委会不得向投标人解释落标原因。</w:t>
      </w:r>
    </w:p>
    <w:p w14:paraId="3EA5B624">
      <w:pPr>
        <w:shd w:val="clear" w:color="auto" w:fill="auto"/>
        <w:snapToGrid w:val="0"/>
        <w:spacing w:line="480" w:lineRule="exact"/>
        <w:ind w:firstLine="570"/>
        <w:rPr>
          <w:rFonts w:ascii="Times New Roman"/>
          <w:color w:val="auto"/>
          <w:highlight w:val="none"/>
        </w:rPr>
      </w:pPr>
      <w:r>
        <w:rPr>
          <w:rFonts w:ascii="Times New Roman"/>
          <w:color w:val="auto"/>
          <w:highlight w:val="none"/>
        </w:rPr>
        <w:t>3、在投标、评标过程中，如果投标人联合故意抬高报价或出现其他不正当行为，采购人有权中止投标或评标。</w:t>
      </w:r>
    </w:p>
    <w:p w14:paraId="483F46F4">
      <w:pPr>
        <w:shd w:val="clear" w:color="auto" w:fill="auto"/>
        <w:snapToGrid w:val="0"/>
        <w:spacing w:line="480" w:lineRule="exact"/>
        <w:ind w:firstLine="570"/>
        <w:rPr>
          <w:rFonts w:ascii="Times New Roman"/>
          <w:color w:val="auto"/>
          <w:highlight w:val="none"/>
        </w:rPr>
      </w:pPr>
      <w:r>
        <w:rPr>
          <w:rFonts w:ascii="Times New Roman"/>
          <w:color w:val="auto"/>
          <w:highlight w:val="none"/>
        </w:rPr>
        <w:t>4、凡在投标、开标过程中，已提示是否异议的事项，投标人当时没有提出异议的，事后不得针对上述事项提出质疑。</w:t>
      </w:r>
    </w:p>
    <w:p w14:paraId="18E33D37">
      <w:pPr>
        <w:shd w:val="clear" w:color="auto" w:fill="auto"/>
        <w:adjustRightInd w:val="0"/>
        <w:snapToGrid w:val="0"/>
        <w:spacing w:line="500" w:lineRule="exact"/>
        <w:ind w:firstLine="477" w:firstLineChars="198"/>
        <w:rPr>
          <w:rFonts w:ascii="Times New Roman"/>
          <w:b/>
          <w:color w:val="auto"/>
          <w:szCs w:val="24"/>
          <w:highlight w:val="none"/>
        </w:rPr>
        <w:sectPr>
          <w:footerReference r:id="rId3" w:type="default"/>
          <w:pgSz w:w="11906" w:h="16838"/>
          <w:pgMar w:top="1418" w:right="1474" w:bottom="1418" w:left="1474" w:header="851" w:footer="907" w:gutter="0"/>
          <w:cols w:space="720" w:num="1"/>
          <w:docGrid w:type="lines" w:linePitch="326" w:charSpace="0"/>
        </w:sectPr>
      </w:pPr>
    </w:p>
    <w:p w14:paraId="53122321">
      <w:pPr>
        <w:shd w:val="clear" w:color="auto" w:fill="auto"/>
        <w:snapToGrid w:val="0"/>
        <w:spacing w:line="300" w:lineRule="auto"/>
        <w:jc w:val="center"/>
        <w:outlineLvl w:val="0"/>
        <w:rPr>
          <w:rFonts w:ascii="Times New Roman"/>
          <w:color w:val="auto"/>
          <w:sz w:val="28"/>
          <w:szCs w:val="28"/>
          <w:highlight w:val="none"/>
        </w:rPr>
      </w:pPr>
      <w:r>
        <w:rPr>
          <w:rFonts w:ascii="Times New Roman"/>
          <w:b/>
          <w:color w:val="auto"/>
          <w:sz w:val="36"/>
          <w:szCs w:val="36"/>
          <w:highlight w:val="none"/>
        </w:rPr>
        <w:t>第五部分  合同签订与验收付款</w:t>
      </w:r>
    </w:p>
    <w:p w14:paraId="38D98169">
      <w:pPr>
        <w:shd w:val="clear" w:color="auto" w:fill="auto"/>
        <w:snapToGrid w:val="0"/>
        <w:spacing w:line="480" w:lineRule="exact"/>
        <w:ind w:firstLine="482" w:firstLineChars="200"/>
        <w:contextualSpacing/>
        <w:rPr>
          <w:rFonts w:ascii="Times New Roman"/>
          <w:color w:val="auto"/>
          <w:highlight w:val="none"/>
        </w:rPr>
      </w:pPr>
      <w:r>
        <w:rPr>
          <w:rFonts w:ascii="Times New Roman"/>
          <w:b/>
          <w:color w:val="auto"/>
          <w:highlight w:val="none"/>
        </w:rPr>
        <w:t>一</w:t>
      </w:r>
      <w:r>
        <w:rPr>
          <w:rFonts w:ascii="Times New Roman"/>
          <w:color w:val="auto"/>
          <w:highlight w:val="none"/>
        </w:rPr>
        <w:t>、</w:t>
      </w:r>
      <w:r>
        <w:rPr>
          <w:rFonts w:ascii="Times New Roman"/>
          <w:b/>
          <w:bCs/>
          <w:color w:val="auto"/>
          <w:highlight w:val="none"/>
        </w:rPr>
        <w:t>中标供应商和采购人需在《中标通知书》发出之日起15日内签订合同。</w:t>
      </w:r>
      <w:r>
        <w:rPr>
          <w:rFonts w:ascii="Times New Roman"/>
          <w:color w:val="auto"/>
          <w:highlight w:val="none"/>
        </w:rPr>
        <w:t>合同签订后中标供应商方可履约，否则引起的一切后果由中标供应商自行承担。</w:t>
      </w:r>
      <w:r>
        <w:rPr>
          <w:rFonts w:ascii="Times New Roman"/>
          <w:bCs/>
          <w:color w:val="auto"/>
          <w:highlight w:val="none"/>
        </w:rPr>
        <w:t>纸质合同一式</w:t>
      </w:r>
      <w:r>
        <w:rPr>
          <w:rFonts w:ascii="Times New Roman"/>
          <w:bCs/>
          <w:color w:val="auto"/>
          <w:highlight w:val="none"/>
          <w:u w:val="single"/>
        </w:rPr>
        <w:t xml:space="preserve"> </w:t>
      </w:r>
      <w:r>
        <w:rPr>
          <w:rFonts w:hint="eastAsia" w:ascii="Times New Roman"/>
          <w:bCs/>
          <w:color w:val="auto"/>
          <w:highlight w:val="none"/>
          <w:u w:val="single"/>
          <w:lang w:val="en-US" w:eastAsia="zh-CN"/>
        </w:rPr>
        <w:t>陆</w:t>
      </w:r>
      <w:r>
        <w:rPr>
          <w:rFonts w:ascii="Times New Roman"/>
          <w:bCs/>
          <w:color w:val="auto"/>
          <w:highlight w:val="none"/>
          <w:u w:val="single"/>
        </w:rPr>
        <w:t xml:space="preserve"> </w:t>
      </w:r>
      <w:r>
        <w:rPr>
          <w:rFonts w:ascii="Times New Roman"/>
          <w:bCs/>
          <w:color w:val="auto"/>
          <w:highlight w:val="none"/>
        </w:rPr>
        <w:t>份，采购人、供应商各</w:t>
      </w:r>
      <w:r>
        <w:rPr>
          <w:rFonts w:ascii="Times New Roman"/>
          <w:bCs/>
          <w:color w:val="auto"/>
          <w:highlight w:val="none"/>
          <w:u w:val="single"/>
        </w:rPr>
        <w:t xml:space="preserve">  </w:t>
      </w:r>
      <w:r>
        <w:rPr>
          <w:rFonts w:hint="eastAsia" w:ascii="Times New Roman"/>
          <w:bCs/>
          <w:color w:val="auto"/>
          <w:highlight w:val="none"/>
          <w:u w:val="single"/>
        </w:rPr>
        <w:t xml:space="preserve">叁 </w:t>
      </w:r>
      <w:r>
        <w:rPr>
          <w:rFonts w:ascii="Times New Roman"/>
          <w:bCs/>
          <w:color w:val="auto"/>
          <w:highlight w:val="none"/>
        </w:rPr>
        <w:t>份；</w:t>
      </w:r>
      <w:r>
        <w:rPr>
          <w:rFonts w:ascii="Times New Roman"/>
          <w:b/>
          <w:bCs/>
          <w:color w:val="auto"/>
          <w:highlight w:val="none"/>
        </w:rPr>
        <w:t>同时，采购合同需在合同签订之日起2个工作日内进行合同公告。</w:t>
      </w:r>
      <w:r>
        <w:rPr>
          <w:rFonts w:ascii="Times New Roman"/>
          <w:color w:val="auto"/>
          <w:highlight w:val="none"/>
          <w:lang w:val="zh-CN"/>
        </w:rPr>
        <w:t>所签合同不得对采购文件作实质性修改</w:t>
      </w:r>
      <w:r>
        <w:rPr>
          <w:rFonts w:ascii="Times New Roman"/>
          <w:color w:val="auto"/>
          <w:highlight w:val="none"/>
        </w:rPr>
        <w:t>。采购人不得向中标供应商提出不合理的要求作为签订合同的条件，不得与中标供应商私下订立背离采购文件实质性内容的协议。</w:t>
      </w:r>
    </w:p>
    <w:p w14:paraId="29C65CA9">
      <w:pPr>
        <w:shd w:val="clear" w:color="auto" w:fill="auto"/>
        <w:snapToGrid w:val="0"/>
        <w:spacing w:line="480" w:lineRule="exact"/>
        <w:ind w:firstLine="472" w:firstLineChars="196"/>
        <w:contextualSpacing/>
        <w:rPr>
          <w:rFonts w:ascii="Times New Roman"/>
          <w:color w:val="auto"/>
          <w:highlight w:val="none"/>
        </w:rPr>
      </w:pPr>
      <w:r>
        <w:rPr>
          <w:rFonts w:ascii="Times New Roman"/>
          <w:b/>
          <w:color w:val="auto"/>
          <w:highlight w:val="none"/>
        </w:rPr>
        <w:t>二</w:t>
      </w:r>
      <w:r>
        <w:rPr>
          <w:rFonts w:ascii="Times New Roman"/>
          <w:color w:val="auto"/>
          <w:highlight w:val="none"/>
        </w:rPr>
        <w:t>、</w:t>
      </w:r>
      <w:bookmarkStart w:id="2" w:name="OLE_LINK2"/>
      <w:bookmarkStart w:id="3" w:name="OLE_LINK1"/>
      <w:r>
        <w:rPr>
          <w:rFonts w:ascii="Times New Roman"/>
          <w:color w:val="auto"/>
          <w:highlight w:val="none"/>
        </w:rPr>
        <w:t>采购人按合同约定积极配合中标供应商履约，中标供应商履约到位后，</w:t>
      </w:r>
      <w:r>
        <w:rPr>
          <w:rFonts w:hint="eastAsia" w:ascii="Times New Roman"/>
          <w:color w:val="auto"/>
          <w:highlight w:val="none"/>
          <w:lang w:val="en-US" w:eastAsia="zh-CN"/>
        </w:rPr>
        <w:t>由</w:t>
      </w:r>
      <w:r>
        <w:rPr>
          <w:rFonts w:ascii="Times New Roman"/>
          <w:color w:val="auto"/>
          <w:highlight w:val="none"/>
        </w:rPr>
        <w:t>采购人组织验收，并出具验收报告，验收合格的支付相应款项。</w:t>
      </w:r>
    </w:p>
    <w:p w14:paraId="3C1D9E45">
      <w:pPr>
        <w:shd w:val="clear" w:color="auto" w:fill="auto"/>
        <w:snapToGrid w:val="0"/>
        <w:spacing w:line="480" w:lineRule="exact"/>
        <w:ind w:firstLine="480" w:firstLineChars="200"/>
        <w:contextualSpacing/>
        <w:rPr>
          <w:rFonts w:ascii="Times New Roman"/>
          <w:color w:val="auto"/>
          <w:highlight w:val="none"/>
        </w:rPr>
      </w:pPr>
      <w:r>
        <w:rPr>
          <w:rFonts w:ascii="Times New Roman"/>
          <w:color w:val="auto"/>
          <w:highlight w:val="none"/>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55E33455">
      <w:pPr>
        <w:shd w:val="clear" w:color="auto" w:fill="auto"/>
        <w:snapToGrid w:val="0"/>
        <w:spacing w:line="480" w:lineRule="exact"/>
        <w:ind w:firstLine="480" w:firstLineChars="200"/>
        <w:contextualSpacing/>
        <w:rPr>
          <w:rFonts w:ascii="Times New Roman"/>
          <w:color w:val="auto"/>
          <w:highlight w:val="none"/>
        </w:rPr>
      </w:pPr>
      <w:r>
        <w:rPr>
          <w:rFonts w:ascii="Times New Roman"/>
          <w:color w:val="auto"/>
          <w:highlight w:val="none"/>
        </w:rPr>
        <w:t>四、中标供应商出现违约情形，应当及时纠正或补偿；造成损失的，按合同约定追究违约责任；发现有假冒、伪劣、走私产品、商业贿赂等违法情形的，应由采购人移交工商、质监、公安等行政执法部门依法查处。</w:t>
      </w:r>
    </w:p>
    <w:p w14:paraId="2FF65A5A">
      <w:pPr>
        <w:pStyle w:val="2"/>
        <w:shd w:val="clear" w:color="auto" w:fill="auto"/>
        <w:kinsoku w:val="0"/>
        <w:topLinePunct/>
        <w:autoSpaceDE w:val="0"/>
        <w:autoSpaceDN w:val="0"/>
        <w:snapToGrid w:val="0"/>
        <w:spacing w:line="480" w:lineRule="exact"/>
        <w:ind w:right="210" w:firstLine="513" w:firstLineChars="214"/>
        <w:contextualSpacing/>
        <w:rPr>
          <w:color w:val="auto"/>
          <w:sz w:val="24"/>
          <w:highlight w:val="none"/>
        </w:rPr>
      </w:pPr>
      <w:r>
        <w:rPr>
          <w:color w:val="auto"/>
          <w:sz w:val="24"/>
          <w:szCs w:val="24"/>
          <w:highlight w:val="none"/>
          <w:lang w:val="zh-CN"/>
        </w:rPr>
        <w:t>五、</w:t>
      </w:r>
      <w:r>
        <w:rPr>
          <w:b/>
          <w:color w:val="auto"/>
          <w:sz w:val="24"/>
          <w:szCs w:val="24"/>
          <w:highlight w:val="none"/>
        </w:rPr>
        <w:t>不响应付款方式的，视同无效投标处理。</w:t>
      </w:r>
      <w:r>
        <w:rPr>
          <w:b/>
          <w:color w:val="auto"/>
          <w:sz w:val="24"/>
          <w:highlight w:val="none"/>
        </w:rPr>
        <w:t>实际付款方式以最终签订采购合同为准。</w:t>
      </w:r>
    </w:p>
    <w:p w14:paraId="6438BC22">
      <w:pPr>
        <w:pStyle w:val="2"/>
        <w:shd w:val="clear" w:color="auto" w:fill="auto"/>
        <w:kinsoku w:val="0"/>
        <w:topLinePunct/>
        <w:autoSpaceDE w:val="0"/>
        <w:autoSpaceDN w:val="0"/>
        <w:snapToGrid w:val="0"/>
        <w:spacing w:line="480" w:lineRule="exact"/>
        <w:ind w:right="210" w:firstLine="480" w:firstLineChars="200"/>
        <w:contextualSpacing/>
        <w:rPr>
          <w:color w:val="auto"/>
          <w:sz w:val="28"/>
          <w:szCs w:val="28"/>
          <w:highlight w:val="none"/>
        </w:rPr>
      </w:pPr>
      <w:r>
        <w:rPr>
          <w:color w:val="auto"/>
          <w:sz w:val="24"/>
          <w:szCs w:val="24"/>
          <w:highlight w:val="none"/>
        </w:rPr>
        <w:t>款项由采购人按相关财务支付规定办理支付手续。不得故意拖延支付时间</w:t>
      </w:r>
      <w:bookmarkEnd w:id="2"/>
      <w:bookmarkEnd w:id="3"/>
      <w:r>
        <w:rPr>
          <w:color w:val="auto"/>
          <w:sz w:val="24"/>
          <w:szCs w:val="24"/>
          <w:highlight w:val="none"/>
        </w:rPr>
        <w:t>。</w:t>
      </w:r>
    </w:p>
    <w:p w14:paraId="1874BC6B">
      <w:pPr>
        <w:numPr>
          <w:ilvl w:val="0"/>
          <w:numId w:val="4"/>
        </w:numPr>
        <w:shd w:val="clear" w:color="auto" w:fill="auto"/>
        <w:kinsoku w:val="0"/>
        <w:topLinePunct/>
        <w:autoSpaceDE w:val="0"/>
        <w:autoSpaceDN w:val="0"/>
        <w:snapToGrid w:val="0"/>
        <w:spacing w:line="480" w:lineRule="exact"/>
        <w:ind w:right="210" w:firstLine="513" w:firstLineChars="214"/>
        <w:contextualSpacing/>
        <w:rPr>
          <w:rFonts w:ascii="Times New Roman"/>
          <w:color w:val="auto"/>
          <w:highlight w:val="none"/>
        </w:rPr>
      </w:pPr>
      <w:r>
        <w:rPr>
          <w:rFonts w:ascii="Times New Roman"/>
          <w:color w:val="auto"/>
          <w:highlight w:val="none"/>
        </w:rPr>
        <w:t>合同主要条款</w:t>
      </w:r>
    </w:p>
    <w:p w14:paraId="583FAF78">
      <w:pPr>
        <w:shd w:val="clear" w:color="auto" w:fill="auto"/>
        <w:kinsoku w:val="0"/>
        <w:topLinePunct/>
        <w:autoSpaceDE w:val="0"/>
        <w:autoSpaceDN w:val="0"/>
        <w:snapToGrid w:val="0"/>
        <w:spacing w:line="480" w:lineRule="exact"/>
        <w:ind w:right="210" w:firstLine="599" w:firstLineChars="214"/>
        <w:contextualSpacing/>
        <w:rPr>
          <w:rFonts w:ascii="Times New Roman" w:eastAsia="仿宋_GB2312"/>
          <w:color w:val="auto"/>
          <w:sz w:val="28"/>
          <w:szCs w:val="28"/>
          <w:highlight w:val="none"/>
          <w:lang w:val="zh-CN"/>
        </w:rPr>
      </w:pPr>
    </w:p>
    <w:p w14:paraId="6A983D16">
      <w:pPr>
        <w:shd w:val="clear" w:color="auto" w:fill="auto"/>
        <w:tabs>
          <w:tab w:val="left" w:pos="1050"/>
          <w:tab w:val="right" w:leader="dot" w:pos="9402"/>
        </w:tabs>
        <w:spacing w:before="312" w:beforeLines="100" w:line="520" w:lineRule="exact"/>
        <w:jc w:val="center"/>
        <w:rPr>
          <w:rFonts w:ascii="Times New Roman"/>
          <w:b/>
          <w:bCs/>
          <w:color w:val="auto"/>
          <w:w w:val="80"/>
          <w:sz w:val="36"/>
          <w:szCs w:val="36"/>
          <w:highlight w:val="none"/>
        </w:rPr>
      </w:pPr>
      <w:r>
        <w:rPr>
          <w:rFonts w:ascii="Times New Roman"/>
          <w:b/>
          <w:bCs/>
          <w:color w:val="auto"/>
          <w:w w:val="80"/>
          <w:sz w:val="36"/>
          <w:szCs w:val="36"/>
          <w:highlight w:val="none"/>
        </w:rPr>
        <w:br w:type="page"/>
      </w:r>
      <w:r>
        <w:rPr>
          <w:rFonts w:ascii="Times New Roman"/>
          <w:b/>
          <w:bCs/>
          <w:color w:val="auto"/>
          <w:w w:val="80"/>
          <w:sz w:val="36"/>
          <w:szCs w:val="36"/>
          <w:highlight w:val="none"/>
        </w:rPr>
        <w:t>采购项目</w:t>
      </w:r>
    </w:p>
    <w:p w14:paraId="09C49B0A">
      <w:pPr>
        <w:shd w:val="clear" w:color="auto" w:fill="auto"/>
        <w:snapToGrid w:val="0"/>
        <w:spacing w:line="300" w:lineRule="auto"/>
        <w:jc w:val="center"/>
        <w:outlineLvl w:val="0"/>
        <w:rPr>
          <w:rFonts w:ascii="Times New Roman"/>
          <w:b/>
          <w:bCs/>
          <w:color w:val="auto"/>
          <w:w w:val="80"/>
          <w:sz w:val="36"/>
          <w:szCs w:val="36"/>
          <w:highlight w:val="none"/>
        </w:rPr>
      </w:pPr>
      <w:r>
        <w:rPr>
          <w:rFonts w:ascii="Times New Roman"/>
          <w:b/>
          <w:bCs/>
          <w:color w:val="auto"/>
          <w:w w:val="80"/>
          <w:sz w:val="36"/>
          <w:szCs w:val="36"/>
          <w:highlight w:val="none"/>
        </w:rPr>
        <w:t>合同书</w:t>
      </w:r>
    </w:p>
    <w:p w14:paraId="36061289">
      <w:pPr>
        <w:autoSpaceDE w:val="0"/>
        <w:autoSpaceDN w:val="0"/>
        <w:adjustRightInd w:val="0"/>
        <w:snapToGrid w:val="0"/>
        <w:spacing w:line="360" w:lineRule="auto"/>
        <w:ind w:firstLine="480" w:firstLineChars="200"/>
        <w:rPr>
          <w:rFonts w:ascii="Garamond" w:hAnsi="Garamond" w:eastAsia="宋体" w:cs="宋体"/>
          <w:sz w:val="24"/>
          <w:szCs w:val="24"/>
          <w:u w:val="single"/>
        </w:rPr>
      </w:pPr>
      <w:r>
        <w:rPr>
          <w:rFonts w:ascii="Garamond" w:hAnsi="Garamond" w:eastAsia="宋体" w:cs="宋体"/>
          <w:sz w:val="24"/>
          <w:szCs w:val="24"/>
        </w:rPr>
        <w:t>委托人：</w:t>
      </w:r>
      <w:r>
        <w:rPr>
          <w:rFonts w:ascii="Garamond" w:hAnsi="Garamond" w:eastAsia="宋体" w:cs="宋体"/>
          <w:sz w:val="24"/>
          <w:szCs w:val="24"/>
          <w:u w:val="single"/>
        </w:rPr>
        <w:t>南通市交通运输局</w:t>
      </w:r>
    </w:p>
    <w:p w14:paraId="51046D65">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受托人：</w:t>
      </w:r>
      <w:r>
        <w:rPr>
          <w:rFonts w:hint="eastAsia" w:ascii="Garamond" w:hAnsi="Garamond" w:eastAsia="宋体" w:cs="宋体"/>
          <w:sz w:val="24"/>
          <w:szCs w:val="24"/>
          <w:u w:val="none"/>
        </w:rPr>
        <w:t xml:space="preserve"> </w:t>
      </w:r>
      <w:r>
        <w:rPr>
          <w:rFonts w:ascii="Garamond" w:hAnsi="Garamond" w:eastAsia="宋体" w:cs="宋体"/>
          <w:sz w:val="24"/>
          <w:szCs w:val="24"/>
          <w:u w:val="none"/>
        </w:rPr>
        <w:t xml:space="preserve">               </w:t>
      </w:r>
    </w:p>
    <w:p w14:paraId="326C2214">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兹由委托人委托受托人，对</w:t>
      </w:r>
      <w:r>
        <w:rPr>
          <w:rFonts w:hint="eastAsia" w:ascii="Garamond" w:hAnsi="Garamond" w:eastAsia="宋体" w:cs="宋体"/>
          <w:sz w:val="24"/>
          <w:szCs w:val="24"/>
          <w:u w:val="single"/>
          <w:lang w:eastAsia="zh-CN"/>
        </w:rPr>
        <w:t xml:space="preserve"> </w:t>
      </w:r>
      <w:r>
        <w:rPr>
          <w:rFonts w:hint="eastAsia" w:ascii="Garamond" w:hAnsi="Garamond" w:eastAsia="宋体" w:cs="宋体"/>
          <w:sz w:val="24"/>
          <w:szCs w:val="24"/>
          <w:u w:val="single"/>
          <w:lang w:val="en-US" w:eastAsia="zh-CN"/>
        </w:rPr>
        <w:t xml:space="preserve">                    </w:t>
      </w:r>
      <w:r>
        <w:rPr>
          <w:rFonts w:ascii="Garamond" w:hAnsi="Garamond" w:eastAsia="宋体" w:cs="宋体"/>
          <w:sz w:val="24"/>
          <w:szCs w:val="24"/>
        </w:rPr>
        <w:t>提供第三方咨询服务。经协商，达成以下约定：</w:t>
      </w:r>
    </w:p>
    <w:p w14:paraId="6D0A0141">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一、咨询范围和内容：</w:t>
      </w:r>
    </w:p>
    <w:p w14:paraId="40C491BC">
      <w:pPr>
        <w:autoSpaceDE w:val="0"/>
        <w:autoSpaceDN w:val="0"/>
        <w:adjustRightInd w:val="0"/>
        <w:snapToGrid w:val="0"/>
        <w:spacing w:line="360" w:lineRule="auto"/>
        <w:ind w:firstLine="480" w:firstLineChars="200"/>
        <w:rPr>
          <w:rFonts w:hint="eastAsia" w:ascii="Garamond" w:hAnsi="Garamond" w:eastAsia="宋体" w:cs="宋体"/>
          <w:sz w:val="24"/>
          <w:szCs w:val="24"/>
          <w:highlight w:val="none"/>
          <w:lang w:val="en-US" w:eastAsia="zh-CN"/>
        </w:rPr>
      </w:pPr>
      <w:r>
        <w:rPr>
          <w:rFonts w:ascii="Garamond" w:hAnsi="Garamond" w:eastAsia="宋体" w:cs="宋体"/>
          <w:sz w:val="24"/>
          <w:szCs w:val="24"/>
          <w:highlight w:val="none"/>
        </w:rPr>
        <w:t>1、服务内容：</w:t>
      </w:r>
      <w:r>
        <w:rPr>
          <w:rFonts w:hint="default" w:ascii="Garamond" w:hAnsi="Garamond" w:eastAsia="宋体" w:cs="宋体"/>
          <w:color w:val="000000"/>
          <w:sz w:val="24"/>
          <w:szCs w:val="24"/>
          <w:highlight w:val="none"/>
        </w:rPr>
        <w:t>根据省新能源汽车充（换）电设施建设运营管理</w:t>
      </w:r>
      <w:r>
        <w:rPr>
          <w:rFonts w:hint="default" w:ascii="Garamond" w:hAnsi="Garamond" w:eastAsia="宋体" w:cs="宋体"/>
          <w:color w:val="000000"/>
          <w:sz w:val="24"/>
          <w:szCs w:val="24"/>
          <w:highlight w:val="none"/>
          <w:lang w:eastAsia="zh-CN"/>
        </w:rPr>
        <w:t>相关要求</w:t>
      </w:r>
      <w:r>
        <w:rPr>
          <w:rFonts w:hint="default" w:ascii="Garamond" w:hAnsi="Garamond" w:eastAsia="宋体" w:cs="宋体"/>
          <w:color w:val="000000"/>
          <w:sz w:val="24"/>
          <w:szCs w:val="24"/>
          <w:highlight w:val="none"/>
        </w:rPr>
        <w:t>，围绕南通市新能源汽车充（换）电设施场站建设及安全</w:t>
      </w:r>
      <w:r>
        <w:rPr>
          <w:rFonts w:hint="default" w:ascii="Garamond" w:hAnsi="Garamond" w:eastAsia="宋体" w:cs="宋体"/>
          <w:color w:val="000000"/>
          <w:sz w:val="24"/>
          <w:szCs w:val="24"/>
          <w:highlight w:val="none"/>
          <w:lang w:eastAsia="zh-CN"/>
        </w:rPr>
        <w:t>高效</w:t>
      </w:r>
      <w:r>
        <w:rPr>
          <w:rFonts w:hint="default" w:ascii="Garamond" w:hAnsi="Garamond" w:eastAsia="宋体" w:cs="宋体"/>
          <w:color w:val="000000"/>
          <w:sz w:val="24"/>
          <w:szCs w:val="24"/>
          <w:highlight w:val="none"/>
        </w:rPr>
        <w:t>运营，对承诺公示的充（换）电设施建设运营企业在</w:t>
      </w:r>
      <w:r>
        <w:rPr>
          <w:rFonts w:hint="default" w:ascii="Garamond" w:hAnsi="Garamond" w:eastAsia="宋体" w:cs="宋体"/>
          <w:color w:val="000000"/>
          <w:sz w:val="24"/>
          <w:szCs w:val="24"/>
          <w:highlight w:val="none"/>
          <w:lang w:val="en-US" w:eastAsia="zh-CN"/>
        </w:rPr>
        <w:t>我</w:t>
      </w:r>
      <w:r>
        <w:rPr>
          <w:rFonts w:hint="default" w:ascii="Garamond" w:hAnsi="Garamond" w:eastAsia="宋体" w:cs="宋体"/>
          <w:color w:val="000000"/>
          <w:sz w:val="24"/>
          <w:szCs w:val="24"/>
          <w:highlight w:val="none"/>
        </w:rPr>
        <w:t>市建设</w:t>
      </w:r>
      <w:r>
        <w:rPr>
          <w:rFonts w:hint="default" w:ascii="Garamond" w:hAnsi="Garamond" w:eastAsia="宋体" w:cs="宋体"/>
          <w:color w:val="000000"/>
          <w:sz w:val="24"/>
          <w:szCs w:val="24"/>
          <w:highlight w:val="none"/>
          <w:lang w:val="en-US" w:eastAsia="zh-CN"/>
        </w:rPr>
        <w:t>运营</w:t>
      </w:r>
      <w:r>
        <w:rPr>
          <w:rFonts w:hint="default" w:ascii="Garamond" w:hAnsi="Garamond" w:eastAsia="宋体" w:cs="宋体"/>
          <w:color w:val="000000"/>
          <w:sz w:val="24"/>
          <w:szCs w:val="24"/>
          <w:highlight w:val="none"/>
          <w:lang w:eastAsia="zh-CN"/>
        </w:rPr>
        <w:t>、</w:t>
      </w:r>
      <w:r>
        <w:rPr>
          <w:rFonts w:hint="default" w:ascii="Garamond" w:hAnsi="Garamond" w:eastAsia="宋体" w:cs="宋体"/>
          <w:color w:val="000000"/>
          <w:sz w:val="24"/>
          <w:szCs w:val="24"/>
          <w:highlight w:val="none"/>
        </w:rPr>
        <w:t>对外提供</w:t>
      </w:r>
      <w:r>
        <w:rPr>
          <w:rFonts w:hint="default" w:ascii="Garamond" w:hAnsi="Garamond" w:eastAsia="宋体" w:cs="宋体"/>
          <w:color w:val="000000"/>
          <w:sz w:val="24"/>
          <w:szCs w:val="24"/>
          <w:highlight w:val="none"/>
          <w:lang w:val="en-US" w:eastAsia="zh-CN"/>
        </w:rPr>
        <w:t>公共</w:t>
      </w:r>
      <w:r>
        <w:rPr>
          <w:rFonts w:hint="default" w:ascii="Garamond" w:hAnsi="Garamond" w:eastAsia="宋体" w:cs="宋体"/>
          <w:color w:val="000000"/>
          <w:sz w:val="24"/>
          <w:szCs w:val="24"/>
          <w:highlight w:val="none"/>
        </w:rPr>
        <w:t>服务的充（换）电设施进行验收</w:t>
      </w:r>
      <w:r>
        <w:rPr>
          <w:rFonts w:hint="default" w:ascii="Garamond" w:hAnsi="Garamond" w:eastAsia="宋体" w:cs="宋体"/>
          <w:color w:val="000000"/>
          <w:sz w:val="24"/>
          <w:szCs w:val="24"/>
          <w:highlight w:val="none"/>
          <w:lang w:eastAsia="zh-CN"/>
        </w:rPr>
        <w:t>，或对企业提交的验收结果进行审核</w:t>
      </w:r>
      <w:r>
        <w:rPr>
          <w:rFonts w:hint="default" w:ascii="Garamond" w:hAnsi="Garamond" w:eastAsia="宋体" w:cs="宋体"/>
          <w:color w:val="000000"/>
          <w:sz w:val="24"/>
          <w:szCs w:val="24"/>
          <w:highlight w:val="none"/>
        </w:rPr>
        <w:t>；</w:t>
      </w:r>
      <w:r>
        <w:rPr>
          <w:rFonts w:hint="default" w:ascii="Garamond" w:hAnsi="Garamond" w:eastAsia="宋体" w:cs="宋体"/>
          <w:color w:val="000000"/>
          <w:sz w:val="24"/>
          <w:szCs w:val="24"/>
          <w:highlight w:val="none"/>
          <w:lang w:val="en-US" w:eastAsia="zh-CN"/>
        </w:rPr>
        <w:t>定期对我市</w:t>
      </w:r>
      <w:r>
        <w:rPr>
          <w:rFonts w:hint="default" w:ascii="Garamond" w:hAnsi="Garamond" w:eastAsia="宋体" w:cs="宋体"/>
          <w:color w:val="000000"/>
          <w:sz w:val="24"/>
          <w:szCs w:val="24"/>
          <w:highlight w:val="none"/>
        </w:rPr>
        <w:t>新能源汽车充（换）电设</w:t>
      </w:r>
      <w:r>
        <w:rPr>
          <w:rFonts w:hint="default" w:ascii="Garamond" w:hAnsi="Garamond" w:eastAsia="宋体" w:cs="宋体"/>
          <w:color w:val="000000"/>
          <w:sz w:val="24"/>
          <w:szCs w:val="24"/>
          <w:highlight w:val="none"/>
          <w:lang w:val="en-US" w:eastAsia="zh-CN"/>
        </w:rPr>
        <w:t>施开展服务保障能力检查；为我市新能源汽车充（换）电设施建设运营管理工作提供技术支撑</w:t>
      </w:r>
      <w:r>
        <w:rPr>
          <w:rFonts w:hint="eastAsia" w:ascii="Garamond" w:hAnsi="Garamond" w:eastAsia="宋体" w:cs="宋体"/>
          <w:sz w:val="24"/>
          <w:szCs w:val="24"/>
          <w:highlight w:val="none"/>
          <w:lang w:val="en-US" w:eastAsia="zh-CN"/>
        </w:rPr>
        <w:t>。</w:t>
      </w:r>
    </w:p>
    <w:p w14:paraId="45024B1A">
      <w:pPr>
        <w:widowControl/>
        <w:shd w:val="clear" w:color="auto" w:fill="auto"/>
        <w:snapToGrid w:val="0"/>
        <w:spacing w:line="360" w:lineRule="auto"/>
        <w:ind w:firstLine="480" w:firstLineChars="200"/>
        <w:rPr>
          <w:rFonts w:hint="eastAsia" w:ascii="Times New Roman" w:hAnsi="Times New Roman" w:eastAsia="宋体" w:cs="Times New Roman"/>
          <w:sz w:val="24"/>
          <w:szCs w:val="24"/>
          <w:highlight w:val="none"/>
          <w:u w:val="none"/>
        </w:rPr>
      </w:pPr>
      <w:r>
        <w:rPr>
          <w:rFonts w:hint="eastAsia" w:cs="Times New Roman"/>
          <w:sz w:val="24"/>
          <w:szCs w:val="24"/>
          <w:highlight w:val="none"/>
          <w:lang w:val="en-US" w:eastAsia="zh-CN"/>
        </w:rPr>
        <w:t>2、</w:t>
      </w:r>
      <w:r>
        <w:rPr>
          <w:rFonts w:hint="eastAsia" w:ascii="Garamond" w:hAnsi="Garamond" w:eastAsia="宋体" w:cs="宋体"/>
          <w:sz w:val="24"/>
          <w:szCs w:val="24"/>
          <w:highlight w:val="none"/>
          <w:lang w:eastAsia="zh-CN"/>
        </w:rPr>
        <w:t>服务</w:t>
      </w:r>
      <w:r>
        <w:rPr>
          <w:rFonts w:hint="eastAsia" w:ascii="Garamond" w:hAnsi="Garamond" w:eastAsia="宋体" w:cs="宋体"/>
          <w:sz w:val="24"/>
          <w:szCs w:val="24"/>
          <w:highlight w:val="none"/>
        </w:rPr>
        <w:t>周期</w:t>
      </w:r>
      <w:r>
        <w:rPr>
          <w:rFonts w:hint="eastAsia" w:ascii="Garamond" w:hAnsi="Garamond" w:eastAsia="宋体" w:cs="宋体"/>
          <w:sz w:val="24"/>
          <w:szCs w:val="24"/>
          <w:highlight w:val="none"/>
          <w:u w:val="none"/>
          <w:lang w:eastAsia="zh-CN"/>
        </w:rPr>
        <w:t>：</w:t>
      </w:r>
      <w:r>
        <w:rPr>
          <w:rFonts w:hint="eastAsia" w:ascii="Times New Roman" w:hAnsi="Times New Roman" w:eastAsia="宋体" w:cs="Times New Roman"/>
          <w:b w:val="0"/>
          <w:bCs w:val="0"/>
          <w:color w:val="auto"/>
          <w:sz w:val="24"/>
          <w:szCs w:val="20"/>
          <w:highlight w:val="none"/>
          <w:u w:val="none"/>
          <w:lang w:val="en-US" w:eastAsia="zh-CN"/>
        </w:rPr>
        <w:t>原则上按季度组织开展充（换）电设施验收，具体安排结合实际建设情况确定。安全检查工作每半年组织一次。服务周期自合同签订之日起至2025年12月31日。</w:t>
      </w:r>
    </w:p>
    <w:p w14:paraId="2F181B77">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二、委托人的义务：</w:t>
      </w:r>
    </w:p>
    <w:p w14:paraId="1C55EA25">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1、工作需要时，委托人及时组织与本标段业务有关的第三人的协调，为受托人工作提供外部条件，为受托人派出的有关工作人员提供必要的工作条件和协助。</w:t>
      </w:r>
    </w:p>
    <w:p w14:paraId="47ED97D6">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2、委托人应当在委托书发出后，及时免费向受托人提供与本标段业务有关的全部资料，并保证资料的真实性、准确性、完整性。委托人应当在3日内就受托人书面提交并要求做出答复的事宜做出书面答复。受托人要求第三人提供有关资料时，委托人应负责转达及资料转送。</w:t>
      </w:r>
    </w:p>
    <w:p w14:paraId="7B80DF1E">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3、委托人应当授权胜任本标段业务的代表，负责与受托人联系，协调受托人与其他受托人之间的相关工作。</w:t>
      </w:r>
    </w:p>
    <w:p w14:paraId="416C4BCD">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4、按照约定条件及时足额支付咨询费用。</w:t>
      </w:r>
    </w:p>
    <w:p w14:paraId="55140476">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5、协调业务开展过程中出现的其他有关问题。</w:t>
      </w:r>
    </w:p>
    <w:p w14:paraId="2CABE5B0">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三</w:t>
      </w:r>
      <w:r>
        <w:rPr>
          <w:rFonts w:hint="eastAsia" w:ascii="Garamond" w:hAnsi="Garamond" w:eastAsia="宋体" w:cs="宋体"/>
          <w:sz w:val="24"/>
          <w:szCs w:val="24"/>
        </w:rPr>
        <w:t>、</w:t>
      </w:r>
      <w:r>
        <w:rPr>
          <w:rFonts w:ascii="Garamond" w:hAnsi="Garamond" w:eastAsia="宋体" w:cs="宋体"/>
          <w:sz w:val="24"/>
          <w:szCs w:val="24"/>
        </w:rPr>
        <w:t>受托人的义务：</w:t>
      </w:r>
    </w:p>
    <w:p w14:paraId="33463D8A">
      <w:pPr>
        <w:autoSpaceDE w:val="0"/>
        <w:autoSpaceDN w:val="0"/>
        <w:adjustRightInd w:val="0"/>
        <w:snapToGrid w:val="0"/>
        <w:spacing w:line="360" w:lineRule="auto"/>
        <w:ind w:firstLine="480" w:firstLineChars="200"/>
        <w:rPr>
          <w:rFonts w:ascii="Garamond" w:hAnsi="Garamond" w:eastAsia="宋体" w:cs="宋体"/>
          <w:sz w:val="24"/>
          <w:szCs w:val="24"/>
        </w:rPr>
      </w:pPr>
      <w:r>
        <w:rPr>
          <w:rFonts w:hint="eastAsia" w:ascii="Garamond" w:hAnsi="Garamond" w:eastAsia="宋体" w:cs="宋体"/>
          <w:sz w:val="24"/>
          <w:szCs w:val="24"/>
        </w:rPr>
        <w:t>1、按照委托人要求，独立完成业务事项，出具咨询意见</w:t>
      </w:r>
      <w:r>
        <w:rPr>
          <w:rFonts w:hint="eastAsia" w:ascii="Garamond" w:hAnsi="Garamond" w:eastAsia="宋体" w:cs="宋体"/>
          <w:sz w:val="24"/>
          <w:szCs w:val="24"/>
          <w:lang w:eastAsia="zh-CN"/>
        </w:rPr>
        <w:t>（</w:t>
      </w:r>
      <w:r>
        <w:rPr>
          <w:rFonts w:hint="eastAsia" w:ascii="Garamond" w:hAnsi="Garamond" w:eastAsia="宋体" w:cs="宋体"/>
          <w:sz w:val="24"/>
          <w:szCs w:val="24"/>
        </w:rPr>
        <w:t>技术服务报告</w:t>
      </w:r>
      <w:r>
        <w:rPr>
          <w:rFonts w:hint="eastAsia" w:ascii="Garamond" w:hAnsi="Garamond" w:eastAsia="宋体" w:cs="宋体"/>
          <w:sz w:val="24"/>
          <w:szCs w:val="24"/>
          <w:lang w:eastAsia="zh-CN"/>
        </w:rPr>
        <w:t>）</w:t>
      </w:r>
      <w:r>
        <w:rPr>
          <w:rFonts w:hint="eastAsia" w:ascii="Garamond" w:hAnsi="Garamond" w:eastAsia="宋体" w:cs="宋体"/>
          <w:sz w:val="24"/>
          <w:szCs w:val="24"/>
        </w:rPr>
        <w:t>，并对报告负责。</w:t>
      </w:r>
    </w:p>
    <w:p w14:paraId="667B6EF6">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2、在服务咨询过程中对被</w:t>
      </w:r>
      <w:r>
        <w:rPr>
          <w:rFonts w:hint="eastAsia" w:ascii="Garamond" w:hAnsi="Garamond" w:eastAsia="宋体" w:cs="宋体"/>
          <w:sz w:val="24"/>
          <w:szCs w:val="24"/>
        </w:rPr>
        <w:t>技术服务</w:t>
      </w:r>
      <w:r>
        <w:rPr>
          <w:rFonts w:ascii="Garamond" w:hAnsi="Garamond" w:eastAsia="宋体" w:cs="宋体"/>
          <w:sz w:val="24"/>
          <w:szCs w:val="24"/>
        </w:rPr>
        <w:t>单位存在的问题，如实向委托人汇报，不得有瞒报、漏报。</w:t>
      </w:r>
    </w:p>
    <w:p w14:paraId="106F5D88">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3、对在执行业务过程中知悉的商业秘密负有保密责任。除法律另有规定外，未经委托人同意，不得将被</w:t>
      </w:r>
      <w:r>
        <w:rPr>
          <w:rFonts w:hint="eastAsia" w:ascii="Garamond" w:hAnsi="Garamond" w:eastAsia="宋体" w:cs="宋体"/>
          <w:sz w:val="24"/>
          <w:szCs w:val="24"/>
        </w:rPr>
        <w:t>技术服务</w:t>
      </w:r>
      <w:r>
        <w:rPr>
          <w:rFonts w:ascii="Garamond" w:hAnsi="Garamond" w:eastAsia="宋体" w:cs="宋体"/>
          <w:sz w:val="24"/>
          <w:szCs w:val="24"/>
        </w:rPr>
        <w:t>单位提供的资料泄露给委托人以外的第三者。</w:t>
      </w:r>
    </w:p>
    <w:p w14:paraId="6419A305">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4、受托人的项目负责人、主要技术人员一般不得更换，如要更换，需报委托人同意。</w:t>
      </w:r>
    </w:p>
    <w:p w14:paraId="15D19C7A">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5、咨询服务期间，受托人的食宿交通等费用自理。</w:t>
      </w:r>
    </w:p>
    <w:p w14:paraId="29AA5606">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6、即便项目已通过委托人组织的验收，款项已结清，受托人还需做好相关后续服务工作（包括与咨询服务内容工作相关的投诉处理等）。</w:t>
      </w:r>
    </w:p>
    <w:p w14:paraId="2E567BA0">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四、咨询意见（</w:t>
      </w:r>
      <w:r>
        <w:rPr>
          <w:rFonts w:hint="eastAsia" w:ascii="Garamond" w:hAnsi="Garamond" w:eastAsia="宋体" w:cs="宋体"/>
          <w:sz w:val="24"/>
          <w:szCs w:val="24"/>
        </w:rPr>
        <w:t>技术服务</w:t>
      </w:r>
      <w:r>
        <w:rPr>
          <w:rFonts w:ascii="Garamond" w:hAnsi="Garamond" w:eastAsia="宋体" w:cs="宋体"/>
          <w:sz w:val="24"/>
          <w:szCs w:val="24"/>
        </w:rPr>
        <w:t>报告）及使用责任</w:t>
      </w:r>
    </w:p>
    <w:p w14:paraId="41D7E32C">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1、本项目要求每次</w:t>
      </w:r>
      <w:r>
        <w:rPr>
          <w:rFonts w:hint="eastAsia" w:ascii="Garamond" w:hAnsi="Garamond" w:eastAsia="宋体" w:cs="宋体"/>
          <w:sz w:val="24"/>
          <w:szCs w:val="24"/>
        </w:rPr>
        <w:t>技术服务</w:t>
      </w:r>
      <w:r>
        <w:rPr>
          <w:rFonts w:ascii="Garamond" w:hAnsi="Garamond" w:eastAsia="宋体" w:cs="宋体"/>
          <w:sz w:val="24"/>
          <w:szCs w:val="24"/>
        </w:rPr>
        <w:t>后均出具总报告和按建设单位分别出具分报告（各3份，如委托人有需要，需按委托人要求数量另行出具），出具前充分征求委托人的意见。</w:t>
      </w:r>
    </w:p>
    <w:p w14:paraId="019D2151">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2、委托人应正确使用咨询意见（</w:t>
      </w:r>
      <w:r>
        <w:rPr>
          <w:rFonts w:hint="eastAsia" w:ascii="Garamond" w:hAnsi="Garamond" w:eastAsia="宋体" w:cs="宋体"/>
          <w:sz w:val="24"/>
          <w:szCs w:val="24"/>
        </w:rPr>
        <w:t>技术服务</w:t>
      </w:r>
      <w:r>
        <w:rPr>
          <w:rFonts w:ascii="Garamond" w:hAnsi="Garamond" w:eastAsia="宋体" w:cs="宋体"/>
          <w:sz w:val="24"/>
          <w:szCs w:val="24"/>
        </w:rPr>
        <w:t>报告），如因使用不当造成的后果，与受托人无关。</w:t>
      </w:r>
    </w:p>
    <w:p w14:paraId="4EC1F30D">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五、服务收费与支付</w:t>
      </w:r>
    </w:p>
    <w:p w14:paraId="0BBBA196">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1、本次服务费用总额为人民币</w:t>
      </w:r>
      <w:r>
        <w:rPr>
          <w:rFonts w:ascii="Garamond" w:hAnsi="Garamond" w:eastAsia="宋体" w:cs="宋体"/>
          <w:sz w:val="24"/>
          <w:szCs w:val="24"/>
          <w:u w:val="single"/>
        </w:rPr>
        <w:t xml:space="preserve">              </w:t>
      </w:r>
      <w:r>
        <w:rPr>
          <w:rFonts w:ascii="Garamond" w:hAnsi="Garamond" w:eastAsia="宋体" w:cs="宋体"/>
          <w:sz w:val="24"/>
          <w:szCs w:val="24"/>
        </w:rPr>
        <w:t>（￥</w:t>
      </w:r>
      <w:r>
        <w:rPr>
          <w:rFonts w:ascii="Garamond" w:hAnsi="Garamond" w:eastAsia="宋体" w:cs="宋体"/>
          <w:sz w:val="24"/>
          <w:szCs w:val="24"/>
          <w:u w:val="single"/>
        </w:rPr>
        <w:t xml:space="preserve">       </w:t>
      </w:r>
      <w:r>
        <w:rPr>
          <w:rFonts w:ascii="Garamond" w:hAnsi="Garamond" w:eastAsia="宋体" w:cs="宋体"/>
          <w:sz w:val="24"/>
          <w:szCs w:val="24"/>
        </w:rPr>
        <w:t>元）</w:t>
      </w:r>
      <w:r>
        <w:rPr>
          <w:rFonts w:hint="eastAsia" w:ascii="Garamond" w:hAnsi="Garamond" w:eastAsia="宋体" w:cs="宋体"/>
          <w:sz w:val="24"/>
          <w:szCs w:val="24"/>
        </w:rPr>
        <w:t>。最终服务费总额按照委托人最终确定的项目数量进行结算，服务单价在合同执行期间保持不变。</w:t>
      </w:r>
    </w:p>
    <w:p w14:paraId="5AB5B197">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2、付款方式</w:t>
      </w:r>
    </w:p>
    <w:p w14:paraId="647ED2C4">
      <w:pPr>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合同签订后30日历天内，支付30%合同预付款，余款待服务项目结束，通过验收后一次性结清。以上付款均不计利息。</w:t>
      </w:r>
    </w:p>
    <w:p w14:paraId="33A7185B">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六、受托人投入本项目的项目负责人：</w:t>
      </w:r>
      <w:r>
        <w:rPr>
          <w:rFonts w:hint="eastAsia" w:ascii="Garamond" w:hAnsi="Garamond" w:eastAsia="宋体" w:cs="宋体"/>
          <w:sz w:val="24"/>
          <w:szCs w:val="24"/>
          <w:u w:val="single"/>
        </w:rPr>
        <w:t xml:space="preserve"> </w:t>
      </w:r>
      <w:r>
        <w:rPr>
          <w:rFonts w:ascii="Garamond" w:hAnsi="Garamond" w:eastAsia="宋体" w:cs="宋体"/>
          <w:sz w:val="24"/>
          <w:szCs w:val="24"/>
          <w:u w:val="single"/>
        </w:rPr>
        <w:t xml:space="preserve">      </w:t>
      </w:r>
      <w:r>
        <w:rPr>
          <w:rFonts w:ascii="Garamond" w:hAnsi="Garamond" w:eastAsia="宋体" w:cs="宋体"/>
          <w:sz w:val="24"/>
          <w:szCs w:val="24"/>
        </w:rPr>
        <w:t>。</w:t>
      </w:r>
    </w:p>
    <w:p w14:paraId="385865D1">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七、违约责任</w:t>
      </w:r>
    </w:p>
    <w:p w14:paraId="391774C5">
      <w:pPr>
        <w:autoSpaceDE w:val="0"/>
        <w:autoSpaceDN w:val="0"/>
        <w:adjustRightInd w:val="0"/>
        <w:snapToGrid w:val="0"/>
        <w:spacing w:line="360" w:lineRule="auto"/>
        <w:ind w:firstLine="480" w:firstLineChars="200"/>
        <w:rPr>
          <w:rFonts w:hint="eastAsia" w:ascii="宋体" w:hAnsi="宋体" w:eastAsia="宋体" w:cs="宋体"/>
          <w:sz w:val="24"/>
          <w:szCs w:val="24"/>
        </w:rPr>
      </w:pPr>
      <w:r>
        <w:rPr>
          <w:rFonts w:ascii="Garamond" w:hAnsi="Garamond" w:eastAsia="宋体" w:cs="宋体"/>
          <w:sz w:val="24"/>
          <w:szCs w:val="24"/>
        </w:rPr>
        <w:t>1、</w:t>
      </w:r>
      <w:r>
        <w:rPr>
          <w:rFonts w:hint="eastAsia" w:ascii="宋体" w:hAnsi="宋体" w:eastAsia="宋体" w:cs="宋体"/>
          <w:sz w:val="24"/>
          <w:szCs w:val="24"/>
        </w:rPr>
        <w:t>受托人除不可抗拒的因素外，未能在规定期限内提交成果报告的，应向委托人支付合同总价款每日0.3%的违约金，但违约金总额不超过合同总额的10%。对于延期违约金达到上限仍未能提交最终成果报告的，委托人有权随时终止合同履行。</w:t>
      </w:r>
    </w:p>
    <w:p w14:paraId="2B3F0000">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2、合同签订后，受托人必须按照投标承诺投入项目组人员开展工作，无正当理由（疾病、死亡、离职）不得更换项目负责人，且更换的项目负责人条件不得低于投标承诺的项目负责人，否则委托人有权按</w:t>
      </w:r>
      <w:r>
        <w:rPr>
          <w:rFonts w:hint="eastAsia" w:ascii="宋体" w:hAnsi="宋体" w:eastAsia="宋体" w:cs="宋体"/>
          <w:sz w:val="24"/>
          <w:szCs w:val="24"/>
        </w:rPr>
        <w:t>2</w:t>
      </w:r>
      <w:r>
        <w:rPr>
          <w:rFonts w:ascii="Garamond" w:hAnsi="Garamond" w:eastAsia="宋体" w:cs="宋体"/>
          <w:sz w:val="24"/>
          <w:szCs w:val="24"/>
        </w:rPr>
        <w:t>万元/人次的标准收取受托人违约金，更换后的项目负责人不能胜任工作的，委托人有权终止合同，已完工作费用也不再支付。</w:t>
      </w:r>
    </w:p>
    <w:p w14:paraId="0A5E5F6D">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3、受托人必须保证咨询成果的正确性以及抽查工作的细致性、完整性，对于受托人抽查到的项目，如果省厅督查发现咨询成果存在遗漏或隐瞒，将按照每处收取受托人合同价1%的违约金，如果项目费用已结算完毕，委托人有权按本条约定追收受托人违约金，情节严重的，委托人有权在未来两年内拒绝受托人参与委托人组织的招投标活动。</w:t>
      </w:r>
    </w:p>
    <w:p w14:paraId="69C2F9A6">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4、协议书签订后，任何一方不得随意变更或解除、违约，若有违约，违约方必须承担由此导致的直接、间接经济损失和相应的法律责任。</w:t>
      </w:r>
    </w:p>
    <w:p w14:paraId="48D43FAC">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5、由于出现不可预见的情况，影响咨询服务工作如期完成或需提前出具报告，应及时通知对方，由双方协商解决，并酌情调整合同收费。</w:t>
      </w:r>
    </w:p>
    <w:p w14:paraId="7EC789D6">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八、廉政建设</w:t>
      </w:r>
    </w:p>
    <w:p w14:paraId="0C0A26D2">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委托人、受托人双方及其工作人员应共同遵守国家和省、市以及行业主管部门党风廉政建设的各项规定。</w:t>
      </w:r>
    </w:p>
    <w:p w14:paraId="2AE686A7">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九、协议书的有效时间</w:t>
      </w:r>
    </w:p>
    <w:p w14:paraId="13E52D6D">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本协议书经双方法定代表人或其授权代表人签章和加盖双方单位印章之日起生效，在约定事项全部完成日之前有效。</w:t>
      </w:r>
    </w:p>
    <w:p w14:paraId="3DFE805E">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本协议书一式肆份，委托人贰份，受托人贰份，具有同等法律效力。</w:t>
      </w:r>
    </w:p>
    <w:p w14:paraId="2309D9BD">
      <w:pPr>
        <w:autoSpaceDE w:val="0"/>
        <w:autoSpaceDN w:val="0"/>
        <w:adjustRightInd w:val="0"/>
        <w:snapToGrid w:val="0"/>
        <w:spacing w:line="360" w:lineRule="auto"/>
        <w:ind w:firstLine="480" w:firstLineChars="200"/>
        <w:rPr>
          <w:rFonts w:hint="eastAsia" w:ascii="Garamond" w:hAnsi="Garamond" w:eastAsia="宋体" w:cs="宋体"/>
          <w:sz w:val="24"/>
          <w:szCs w:val="24"/>
        </w:rPr>
      </w:pPr>
      <w:r>
        <w:rPr>
          <w:rFonts w:ascii="Garamond" w:hAnsi="Garamond" w:eastAsia="宋体" w:cs="宋体"/>
          <w:sz w:val="24"/>
          <w:szCs w:val="24"/>
        </w:rPr>
        <w:t>十、协议书如有未尽事宜由双方协商解决。</w:t>
      </w:r>
    </w:p>
    <w:p w14:paraId="74A18B9D">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 xml:space="preserve">委托人：（盖章）              </w:t>
      </w:r>
      <w:r>
        <w:rPr>
          <w:rFonts w:hint="eastAsia" w:ascii="Garamond" w:hAnsi="Garamond" w:eastAsia="宋体" w:cs="宋体"/>
          <w:sz w:val="24"/>
          <w:szCs w:val="24"/>
        </w:rPr>
        <w:t xml:space="preserve">                      </w:t>
      </w:r>
      <w:r>
        <w:rPr>
          <w:rFonts w:ascii="Garamond" w:hAnsi="Garamond" w:eastAsia="宋体" w:cs="宋体"/>
          <w:sz w:val="24"/>
          <w:szCs w:val="24"/>
        </w:rPr>
        <w:t>受托人：（盖章）</w:t>
      </w:r>
    </w:p>
    <w:p w14:paraId="54D15964">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 xml:space="preserve">法定代表                      </w:t>
      </w:r>
      <w:r>
        <w:rPr>
          <w:rFonts w:hint="eastAsia" w:ascii="Garamond" w:hAnsi="Garamond" w:eastAsia="宋体" w:cs="宋体"/>
          <w:sz w:val="24"/>
          <w:szCs w:val="24"/>
        </w:rPr>
        <w:t xml:space="preserve">                      </w:t>
      </w:r>
      <w:r>
        <w:rPr>
          <w:rFonts w:ascii="Garamond" w:hAnsi="Garamond" w:eastAsia="宋体" w:cs="宋体"/>
          <w:sz w:val="24"/>
          <w:szCs w:val="24"/>
        </w:rPr>
        <w:t>法定代表人或</w:t>
      </w:r>
    </w:p>
    <w:p w14:paraId="7225309B">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 xml:space="preserve">或委托代理人：（签字）         </w:t>
      </w:r>
      <w:r>
        <w:rPr>
          <w:rFonts w:hint="eastAsia" w:ascii="Garamond" w:hAnsi="Garamond" w:eastAsia="宋体" w:cs="宋体"/>
          <w:sz w:val="24"/>
          <w:szCs w:val="24"/>
        </w:rPr>
        <w:t xml:space="preserve">                    </w:t>
      </w:r>
      <w:r>
        <w:rPr>
          <w:rFonts w:ascii="Garamond" w:hAnsi="Garamond" w:eastAsia="宋体" w:cs="宋体"/>
          <w:sz w:val="24"/>
          <w:szCs w:val="24"/>
        </w:rPr>
        <w:t>或委托代理人：（签字）</w:t>
      </w:r>
    </w:p>
    <w:p w14:paraId="33D39C6F">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p>
    <w:p w14:paraId="7B672117">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br w:type="page"/>
      </w:r>
      <w:r>
        <w:rPr>
          <w:rFonts w:hint="default" w:ascii="Times New Roman" w:hAnsi="Times New Roman" w:eastAsia="宋体" w:cs="Times New Roman"/>
          <w:b w:val="0"/>
          <w:bCs w:val="0"/>
          <w:color w:val="auto"/>
          <w:w w:val="100"/>
          <w:sz w:val="24"/>
          <w:szCs w:val="20"/>
          <w:highlight w:val="none"/>
        </w:rPr>
        <w:t>合同附件一：</w:t>
      </w:r>
    </w:p>
    <w:p w14:paraId="6769BF0C">
      <w:pPr>
        <w:shd w:val="clear" w:color="auto" w:fill="auto"/>
        <w:snapToGrid w:val="0"/>
        <w:spacing w:line="480" w:lineRule="exact"/>
        <w:ind w:firstLine="482" w:firstLineChars="200"/>
        <w:contextualSpacing/>
        <w:jc w:val="center"/>
        <w:outlineLvl w:val="9"/>
        <w:rPr>
          <w:rFonts w:hint="default" w:ascii="Times New Roman" w:hAnsi="Times New Roman" w:eastAsia="宋体" w:cs="Times New Roman"/>
          <w:b/>
          <w:bCs/>
          <w:color w:val="auto"/>
          <w:w w:val="100"/>
          <w:sz w:val="24"/>
          <w:szCs w:val="20"/>
          <w:highlight w:val="none"/>
        </w:rPr>
      </w:pPr>
      <w:r>
        <w:rPr>
          <w:rFonts w:hint="default" w:ascii="Times New Roman" w:hAnsi="Times New Roman" w:eastAsia="宋体" w:cs="Times New Roman"/>
          <w:b/>
          <w:bCs/>
          <w:color w:val="auto"/>
          <w:w w:val="100"/>
          <w:sz w:val="24"/>
          <w:szCs w:val="20"/>
          <w:highlight w:val="none"/>
        </w:rPr>
        <w:t>廉政合同协议书</w:t>
      </w:r>
    </w:p>
    <w:p w14:paraId="4E882480">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以下称委托人）与（以下称受托人），特订立如下合同。</w:t>
      </w:r>
    </w:p>
    <w:p w14:paraId="3E4B2E90">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第一条委托人、受托人双方的权利和义务</w:t>
      </w:r>
    </w:p>
    <w:p w14:paraId="1552C553">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（一）严格遵守党和国家有关法律法规及交通部的有关规定。</w:t>
      </w:r>
    </w:p>
    <w:p w14:paraId="2E238A19">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（二）严格遵守</w:t>
      </w:r>
      <w:r>
        <w:rPr>
          <w:rFonts w:hint="eastAsia" w:ascii="Times New Roman" w:hAnsi="Times New Roman" w:eastAsia="宋体" w:cs="Times New Roman"/>
          <w:b w:val="0"/>
          <w:bCs w:val="0"/>
          <w:color w:val="auto"/>
          <w:w w:val="100"/>
          <w:sz w:val="24"/>
          <w:szCs w:val="20"/>
          <w:highlight w:val="none"/>
          <w:lang w:eastAsia="zh-CN"/>
        </w:rPr>
        <w:t>南通市交通运输局2025年度新能源汽车充（换）电设施验收服务项目</w:t>
      </w:r>
      <w:r>
        <w:rPr>
          <w:rFonts w:hint="default" w:ascii="Times New Roman" w:hAnsi="Times New Roman" w:eastAsia="宋体" w:cs="Times New Roman"/>
          <w:b w:val="0"/>
          <w:bCs w:val="0"/>
          <w:color w:val="auto"/>
          <w:w w:val="100"/>
          <w:sz w:val="24"/>
          <w:szCs w:val="20"/>
          <w:highlight w:val="none"/>
        </w:rPr>
        <w:t>的合同文件，自觉按合同办事。</w:t>
      </w:r>
    </w:p>
    <w:p w14:paraId="2B902CA4">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（三）双方的业务活动坚持公开、公正、诚信、透明的原则（除法律认定的商业秘密和合同文件另有规定之外），不得损害国家和集体利益，违反工程建设管理规章制度。</w:t>
      </w:r>
    </w:p>
    <w:p w14:paraId="16F1BD02">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（四）建立健全廉政制度，开展廉政教育，设立廉政告示牌，公布举报电话，监督并认真查处违法违纪行为。</w:t>
      </w:r>
    </w:p>
    <w:p w14:paraId="3B05E910">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（五）发现对方在业务活动中有违反廉政规定的行为，有及时提醒对方纠正的权利和义务。</w:t>
      </w:r>
    </w:p>
    <w:p w14:paraId="1CDE5E16">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（六）发现对方严重违反本合同义务条款的行为，有向其上级有关部门举报、建议给予处理并要求告之处理结果的权利。</w:t>
      </w:r>
    </w:p>
    <w:p w14:paraId="409CA15D">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第二条委托人的义务</w:t>
      </w:r>
    </w:p>
    <w:p w14:paraId="2086A06B">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（一）委托人及其工作人员不得索要或接受受托人的礼金、有价证券和贵重物品，不得由受托人报销任何应由委托人或个人支付的费用等。</w:t>
      </w:r>
    </w:p>
    <w:p w14:paraId="20DC489B">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（二）委托人工作人员不得参加受托人安排的超标准宴请和娱乐活动；不得接受受托人提供的通讯工具、交通工具和高档办公用品等。</w:t>
      </w:r>
    </w:p>
    <w:p w14:paraId="29CBC070">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三）委托人及其工作人员不得要求或者接受受托人为其住房装修、婚丧嫁娶活动、配偶子女的工作安排和子女读书上学以及出国出境、旅游等提供方便等；不得要求或者接受受托人为其子女读书上学提供其所承担的费用等。</w:t>
      </w:r>
    </w:p>
    <w:p w14:paraId="26517E38">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（四）委托人工作人员的配偶、子女不得从事与委托人工程有关的材料设备供应、工程分包、劳务等经济活动等。</w:t>
      </w:r>
    </w:p>
    <w:p w14:paraId="4331F5CE">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（五）委托人及其工作人员不得以任何理由向受托人推荐分包单位，不得要求受托人购买合同规定外的材料和设备。</w:t>
      </w:r>
    </w:p>
    <w:p w14:paraId="528A8322">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第三条受托人义务</w:t>
      </w:r>
    </w:p>
    <w:p w14:paraId="07BEED0C">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（一）受托人不得以任何理由向委托人及其工作人员行贿或馈赠礼金、有价证券、贵重礼品。</w:t>
      </w:r>
    </w:p>
    <w:p w14:paraId="5BB631C8">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（二）受托人不得以任何名义为委托人及其工作人员报销应由委托人单位或个人支付的任何费用。</w:t>
      </w:r>
    </w:p>
    <w:p w14:paraId="392A488E">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（三）受托人不得以任何理由安排委托人工作人员参加超标准宴请及娱乐活动。</w:t>
      </w:r>
    </w:p>
    <w:p w14:paraId="246A7CE6">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（四）受托人不得为委托人单位和个人购置或提供通讯工具、交通工具和高档办公用品等。</w:t>
      </w:r>
    </w:p>
    <w:p w14:paraId="39152A60">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第四条违约责任</w:t>
      </w:r>
    </w:p>
    <w:p w14:paraId="383BF49D">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（一）委托人及其工作人员违反本合同第一、二条，按管理权限，依据有关规定给予党纪、政纪或组织处理；涉嫌犯罪的，移交司法机关追究刑事责任；给受托人单位造成经济损失的，应予以赔偿。</w:t>
      </w:r>
    </w:p>
    <w:p w14:paraId="3C35EE5E">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二）受托人及其工作人员违反本合同第一、三条，按管理权限，依据有关规定，给予党纪、政纪或组织处理；给委托人单位造成经济损失的，应予以赔偿；情节严重的，委托人建议交通工程建设主管部门给予受托人一至三年内不得进入其主管的交通工程建设市场的处罚。</w:t>
      </w:r>
    </w:p>
    <w:p w14:paraId="10287E31">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第五条双方约定：本合同由双方或双方上级单位的纪检监察机关负责监督。由委托人或委托人上级单位的纪检监察机关约请受托人或受托人上级单位纪检监察机关对本合同履行情况进行检查，提出在本合同规定范围内的裁定意见。</w:t>
      </w:r>
    </w:p>
    <w:p w14:paraId="2A86679D">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第六条本合同有效期为委托人、受托人双方签署的项目合同期限。</w:t>
      </w:r>
    </w:p>
    <w:p w14:paraId="024C5C95">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第七条本合同作为</w:t>
      </w:r>
      <w:r>
        <w:rPr>
          <w:rFonts w:hint="eastAsia" w:ascii="Times New Roman" w:hAnsi="Times New Roman" w:eastAsia="宋体" w:cs="Times New Roman"/>
          <w:b w:val="0"/>
          <w:bCs w:val="0"/>
          <w:color w:val="auto"/>
          <w:w w:val="100"/>
          <w:sz w:val="24"/>
          <w:szCs w:val="20"/>
          <w:highlight w:val="none"/>
          <w:lang w:eastAsia="zh-CN"/>
        </w:rPr>
        <w:t>南通市交通运输局2025年度新能源汽车充（换）电设施验收服务项目</w:t>
      </w:r>
      <w:r>
        <w:rPr>
          <w:rFonts w:hint="default" w:ascii="Times New Roman" w:hAnsi="Times New Roman" w:eastAsia="宋体" w:cs="Times New Roman"/>
          <w:b w:val="0"/>
          <w:bCs w:val="0"/>
          <w:color w:val="auto"/>
          <w:w w:val="100"/>
          <w:sz w:val="24"/>
          <w:szCs w:val="20"/>
          <w:highlight w:val="none"/>
        </w:rPr>
        <w:t>合同的附件，经合同双方签署立即生效。</w:t>
      </w:r>
    </w:p>
    <w:p w14:paraId="0E160253">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第八条本合同共肆份，双各执贰份。</w:t>
      </w:r>
    </w:p>
    <w:p w14:paraId="724A3C93">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p>
    <w:p w14:paraId="73FE9C6D">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委托人：（单位全称）（盖章）                受托人：（单位全称）（盖章）</w:t>
      </w:r>
    </w:p>
    <w:p w14:paraId="190FEF92">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p>
    <w:p w14:paraId="0A9CD20F">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法定代表人               法定代表人</w:t>
      </w:r>
    </w:p>
    <w:p w14:paraId="34D9781D">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或                                           或</w:t>
      </w:r>
    </w:p>
    <w:p w14:paraId="45491FA1">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其授权的代理人:                              其授权的代理人:</w:t>
      </w:r>
    </w:p>
    <w:p w14:paraId="5A00CF60">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p>
    <w:p w14:paraId="330274B2">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日期：                                      日期：</w:t>
      </w:r>
    </w:p>
    <w:p w14:paraId="5DCE70DA">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p>
    <w:p w14:paraId="59B79D14">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p>
    <w:p w14:paraId="6A9C3496">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br w:type="page"/>
      </w:r>
      <w:r>
        <w:rPr>
          <w:rFonts w:hint="default" w:ascii="Times New Roman" w:hAnsi="Times New Roman" w:eastAsia="宋体" w:cs="Times New Roman"/>
          <w:b w:val="0"/>
          <w:bCs w:val="0"/>
          <w:color w:val="auto"/>
          <w:w w:val="100"/>
          <w:sz w:val="24"/>
          <w:szCs w:val="20"/>
          <w:highlight w:val="none"/>
        </w:rPr>
        <w:t>合同附件二：</w:t>
      </w:r>
    </w:p>
    <w:p w14:paraId="2C67B22B">
      <w:pPr>
        <w:shd w:val="clear" w:color="auto" w:fill="auto"/>
        <w:snapToGrid w:val="0"/>
        <w:spacing w:line="480" w:lineRule="exact"/>
        <w:ind w:firstLine="482" w:firstLineChars="200"/>
        <w:contextualSpacing/>
        <w:jc w:val="center"/>
        <w:outlineLvl w:val="9"/>
        <w:rPr>
          <w:rFonts w:hint="default" w:ascii="Times New Roman" w:hAnsi="Times New Roman" w:eastAsia="宋体" w:cs="Times New Roman"/>
          <w:b/>
          <w:bCs/>
          <w:color w:val="auto"/>
          <w:w w:val="100"/>
          <w:sz w:val="24"/>
          <w:szCs w:val="20"/>
          <w:highlight w:val="none"/>
        </w:rPr>
      </w:pPr>
      <w:r>
        <w:rPr>
          <w:rFonts w:hint="default" w:ascii="Times New Roman" w:hAnsi="Times New Roman" w:eastAsia="宋体" w:cs="Times New Roman"/>
          <w:b/>
          <w:bCs/>
          <w:color w:val="auto"/>
          <w:w w:val="100"/>
          <w:sz w:val="24"/>
          <w:szCs w:val="20"/>
          <w:highlight w:val="none"/>
        </w:rPr>
        <w:t>安全生产合同协议书</w:t>
      </w:r>
    </w:p>
    <w:p w14:paraId="18704A47">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为在</w:t>
      </w:r>
      <w:r>
        <w:rPr>
          <w:rFonts w:hint="eastAsia" w:ascii="Times New Roman" w:hAnsi="Times New Roman" w:eastAsia="宋体" w:cs="Times New Roman"/>
          <w:b w:val="0"/>
          <w:bCs w:val="0"/>
          <w:color w:val="auto"/>
          <w:w w:val="100"/>
          <w:sz w:val="24"/>
          <w:szCs w:val="20"/>
          <w:highlight w:val="none"/>
          <w:u w:val="single"/>
          <w:lang w:eastAsia="zh-CN"/>
        </w:rPr>
        <w:t xml:space="preserve"> </w:t>
      </w:r>
      <w:r>
        <w:rPr>
          <w:rFonts w:hint="eastAsia" w:ascii="Times New Roman" w:hAnsi="Times New Roman" w:eastAsia="宋体" w:cs="Times New Roman"/>
          <w:b w:val="0"/>
          <w:bCs w:val="0"/>
          <w:color w:val="auto"/>
          <w:w w:val="100"/>
          <w:sz w:val="24"/>
          <w:szCs w:val="20"/>
          <w:highlight w:val="none"/>
          <w:u w:val="single"/>
          <w:lang w:val="en-US" w:eastAsia="zh-CN"/>
        </w:rPr>
        <w:t xml:space="preserve">                  </w:t>
      </w:r>
      <w:r>
        <w:rPr>
          <w:rFonts w:hint="default" w:ascii="Times New Roman" w:hAnsi="Times New Roman" w:eastAsia="宋体" w:cs="Times New Roman"/>
          <w:b w:val="0"/>
          <w:bCs w:val="0"/>
          <w:color w:val="auto"/>
          <w:w w:val="100"/>
          <w:sz w:val="24"/>
          <w:szCs w:val="20"/>
          <w:highlight w:val="none"/>
        </w:rPr>
        <w:t>合同的实施过程中切实搞好本项目的安全管理工作，本项目委托人</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（委托人名称，以下简称“委托人”）与受托人</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（受托人名称，以下简称“受托人”）特此签订安全生产合同。</w:t>
      </w:r>
    </w:p>
    <w:p w14:paraId="6D65AEA8">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1.委托人职责</w:t>
      </w:r>
    </w:p>
    <w:p w14:paraId="56C80C9F">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（1）严格遵守国家有关安全生产的法律法规，认真执行工程承包合同中的有关安全要求。</w:t>
      </w:r>
    </w:p>
    <w:p w14:paraId="3D2FB74B">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（2）按照“安全第一、预防为主、综合治理”和坚持“管生产必须管安全”的原则进行安全生产管理，做到生产与安全工作同时计划、布置、检查、总结和评比。</w:t>
      </w:r>
    </w:p>
    <w:p w14:paraId="27D61846">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（3）重要的安全设施必须坚持与主体工程“三同时”的原则，即：同时设计、审批，同时施工，同时验收，投入使用。</w:t>
      </w:r>
    </w:p>
    <w:p w14:paraId="72E04FDB">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（4）定期召开安全生产调度会，及时传达中央及地方有关安全生产的精神。</w:t>
      </w:r>
    </w:p>
    <w:p w14:paraId="0D679709">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（5）组织对受托人进行安全生产检查，监督受托人及时处理发现的各种安全隐患。</w:t>
      </w:r>
    </w:p>
    <w:p w14:paraId="13C99E1A">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2.受托人职责</w:t>
      </w:r>
    </w:p>
    <w:p w14:paraId="65B3DB95">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合同中的有关安全要求。</w:t>
      </w:r>
    </w:p>
    <w:p w14:paraId="0D547510">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所有项目组人员必须熟悉和遵守本合同的各项规定，做到生产与安全工作同时计划、布置、检查、总结和评比。</w:t>
      </w:r>
    </w:p>
    <w:p w14:paraId="45650116">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（3）建立健全安全生产责任制。</w:t>
      </w:r>
    </w:p>
    <w:p w14:paraId="01241D02">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（4）受托人在任何时候都应采取各种合理的预防措施，防止其员工发生任何违法、违禁、暴力或妨碍治安的行为。</w:t>
      </w:r>
    </w:p>
    <w:p w14:paraId="054C2155">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5）受托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8A042B9">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（6）安全生产费用按照《公路水运工程安全生产监督管理办法》的相关规定使用和管理。</w:t>
      </w:r>
    </w:p>
    <w:p w14:paraId="0E3172DC">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3.违约责任</w:t>
      </w:r>
    </w:p>
    <w:p w14:paraId="5DC80953">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如因委托人或受托人违约造成安全事故，将依法追究责任。</w:t>
      </w:r>
    </w:p>
    <w:p w14:paraId="2B85F0F4">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4.本合同由双方法定代表人或其授权的代理人签署并加盖单位章后生效，项目验收结束后失效。</w:t>
      </w:r>
    </w:p>
    <w:p w14:paraId="1CD1D172">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5.本合同正本二份、副本</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份，合同双方各执正本一份，副本</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份，当正本与副本的内容不一致时，以正本为准。</w:t>
      </w:r>
    </w:p>
    <w:p w14:paraId="0F8A2A83">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p>
    <w:p w14:paraId="5065EF78">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p>
    <w:p w14:paraId="1E2A1A59">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委托人：</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（盖单位章）</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受托人：</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（盖单位章）</w:t>
      </w:r>
    </w:p>
    <w:p w14:paraId="2512B426">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法定代表人或其委托代理人：（签字）</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法定代表人或其委托代理人：（签字）</w:t>
      </w:r>
    </w:p>
    <w:p w14:paraId="38F1914A">
      <w:pPr>
        <w:shd w:val="clear" w:color="auto" w:fill="auto"/>
        <w:snapToGrid w:val="0"/>
        <w:spacing w:line="480" w:lineRule="exact"/>
        <w:ind w:firstLine="480" w:firstLineChars="200"/>
        <w:contextualSpacing/>
        <w:outlineLvl w:val="9"/>
        <w:rPr>
          <w:rFonts w:hint="eastAsia"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年</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月</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日</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年</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月</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日</w:t>
      </w:r>
    </w:p>
    <w:p w14:paraId="1179357B">
      <w:pPr>
        <w:shd w:val="clear" w:color="auto" w:fill="auto"/>
        <w:snapToGrid w:val="0"/>
        <w:spacing w:line="480" w:lineRule="exact"/>
        <w:ind w:firstLine="480" w:firstLineChars="200"/>
        <w:contextualSpacing/>
        <w:jc w:val="left"/>
        <w:outlineLvl w:val="9"/>
        <w:rPr>
          <w:rFonts w:ascii="Times New Roman" w:hAnsi="Times New Roman" w:eastAsia="宋体" w:cs="Times New Roman"/>
          <w:b w:val="0"/>
          <w:color w:val="auto"/>
          <w:sz w:val="24"/>
          <w:szCs w:val="20"/>
          <w:highlight w:val="none"/>
        </w:rPr>
        <w:sectPr>
          <w:footerReference r:id="rId4" w:type="default"/>
          <w:pgSz w:w="11906" w:h="16838"/>
          <w:pgMar w:top="1418" w:right="1474" w:bottom="1418" w:left="1474" w:header="851" w:footer="907" w:gutter="0"/>
          <w:cols w:space="720" w:num="1"/>
          <w:docGrid w:type="lines" w:linePitch="312" w:charSpace="0"/>
        </w:sectPr>
      </w:pPr>
    </w:p>
    <w:p w14:paraId="537E54AF">
      <w:pPr>
        <w:shd w:val="clear" w:color="auto" w:fill="auto"/>
        <w:snapToGrid w:val="0"/>
        <w:spacing w:line="400" w:lineRule="atLeast"/>
        <w:ind w:firstLine="723" w:firstLineChars="200"/>
        <w:jc w:val="center"/>
        <w:outlineLvl w:val="0"/>
        <w:rPr>
          <w:rFonts w:ascii="Times New Roman" w:eastAsia="仿宋_GB2312"/>
          <w:b/>
          <w:color w:val="auto"/>
          <w:sz w:val="36"/>
          <w:szCs w:val="36"/>
          <w:highlight w:val="none"/>
        </w:rPr>
      </w:pPr>
      <w:r>
        <w:rPr>
          <w:rFonts w:ascii="Times New Roman" w:eastAsia="仿宋_GB2312"/>
          <w:b/>
          <w:color w:val="auto"/>
          <w:sz w:val="36"/>
          <w:szCs w:val="36"/>
          <w:highlight w:val="none"/>
        </w:rPr>
        <w:t>第六部分  质疑提出和处理</w:t>
      </w:r>
    </w:p>
    <w:p w14:paraId="2460AC0C">
      <w:pPr>
        <w:pStyle w:val="4"/>
        <w:shd w:val="clear" w:color="auto" w:fill="auto"/>
        <w:snapToGrid w:val="0"/>
        <w:spacing w:line="400" w:lineRule="atLeast"/>
        <w:ind w:left="0" w:firstLine="640" w:firstLineChars="200"/>
        <w:contextualSpacing/>
        <w:rPr>
          <w:rFonts w:ascii="Times New Roman"/>
          <w:color w:val="auto"/>
          <w:sz w:val="32"/>
          <w:szCs w:val="32"/>
          <w:highlight w:val="none"/>
        </w:rPr>
      </w:pPr>
    </w:p>
    <w:p w14:paraId="214AF4D8">
      <w:pPr>
        <w:shd w:val="clear" w:color="auto" w:fill="auto"/>
        <w:snapToGrid w:val="0"/>
        <w:spacing w:after="120" w:line="400" w:lineRule="atLeast"/>
        <w:ind w:firstLine="482" w:firstLineChars="200"/>
        <w:contextualSpacing/>
        <w:rPr>
          <w:rFonts w:ascii="Times New Roman" w:eastAsia="仿宋_GB2312"/>
          <w:color w:val="auto"/>
          <w:sz w:val="32"/>
          <w:szCs w:val="32"/>
          <w:highlight w:val="none"/>
        </w:rPr>
      </w:pPr>
      <w:r>
        <w:rPr>
          <w:rFonts w:ascii="Times New Roman"/>
          <w:b/>
          <w:bCs/>
          <w:color w:val="auto"/>
          <w:highlight w:val="none"/>
          <w:u w:val="thick" w:color="FF0000"/>
        </w:rPr>
        <w:t>质疑函格式参见附件</w:t>
      </w:r>
      <w:r>
        <w:rPr>
          <w:rFonts w:ascii="Times New Roman"/>
          <w:b/>
          <w:bCs/>
          <w:color w:val="auto"/>
          <w:highlight w:val="none"/>
        </w:rPr>
        <w:t>。</w:t>
      </w:r>
    </w:p>
    <w:p w14:paraId="7531862C">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一、质疑的提出</w:t>
      </w:r>
    </w:p>
    <w:p w14:paraId="4AE529CF">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(一)质疑人的身份要求      </w:t>
      </w:r>
    </w:p>
    <w:p w14:paraId="7C20C4E0">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1.提出质疑的供应商应当是参与所质疑项目采购活动的供应商。</w:t>
      </w:r>
    </w:p>
    <w:p w14:paraId="186FD138">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2.潜在供应商已依法获取其可质疑的采购文件的，可以对该文件提出质疑。对采购文件提出质疑的，应当在获取采购文件或者采购文件公告期限届满之日起7个工作日内提出。</w:t>
      </w:r>
    </w:p>
    <w:p w14:paraId="188F85F6">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(二)质疑提出的格式要求   </w:t>
      </w:r>
    </w:p>
    <w:p w14:paraId="56E6BEDA">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14:paraId="0DF88DDE">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2.质疑函应包括：    </w:t>
      </w:r>
    </w:p>
    <w:p w14:paraId="14D60603">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（1）质疑投标人的名称、地址、邮编、联系人及联系电话；</w:t>
      </w:r>
    </w:p>
    <w:p w14:paraId="124C238E">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（2）质疑项目的名称、编号；</w:t>
      </w:r>
    </w:p>
    <w:p w14:paraId="571172EC">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（3）具体、明确的质疑事项和与质疑事项相关的请求；</w:t>
      </w:r>
    </w:p>
    <w:p w14:paraId="05CC8421">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（4）事实依据；</w:t>
      </w:r>
    </w:p>
    <w:p w14:paraId="78D38A7B">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（5）必要的法律依据； </w:t>
      </w:r>
    </w:p>
    <w:p w14:paraId="4405F7F7">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（6）提出质疑的日期。</w:t>
      </w:r>
    </w:p>
    <w:p w14:paraId="2DABB487">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14:paraId="5DD5D20A">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3.质疑函需遵循的原则：</w:t>
      </w:r>
    </w:p>
    <w:p w14:paraId="4F895022">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091BCC7B">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（三）质疑提出的时效要求</w:t>
      </w:r>
    </w:p>
    <w:p w14:paraId="7C7BE2D6">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1.投标人认为采购文件、采购过程和采购结果使自己的权益受到损害的，可以在知道或应知其权益受到损害之日起七个工作日内，以书面形式向采购人、采购代理机构提出质疑。上述应知其权益受到损害之日，是指： </w:t>
      </w:r>
    </w:p>
    <w:p w14:paraId="177EBAA2">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（1）对可以质疑的采购文件提出质疑的，为收到采购文件之日或者采购文件公告期限届满之日；</w:t>
      </w:r>
    </w:p>
    <w:p w14:paraId="2BE44898">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（2）对采购过程提出质疑的，为各采购程序环节结束之日；</w:t>
      </w:r>
    </w:p>
    <w:p w14:paraId="1EC9D7AF">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（3）对中标或者成交结果提出质疑的，为中标或者成交结果公告期限届满之日。</w:t>
      </w:r>
    </w:p>
    <w:p w14:paraId="609386C8">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投标人认为采购文件使自己的权益受到损害的，可以向采购人、采购代理机构提出质疑；投标人认为采购过程和采购结果使自己的权益受到损害的，可以以书面形式向采购人、采购代理机构提出质疑。</w:t>
      </w:r>
    </w:p>
    <w:p w14:paraId="0A319CD7">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2.投标人应在法定质疑期一次性提出针对同一采购程序环节的质疑。 </w:t>
      </w:r>
    </w:p>
    <w:p w14:paraId="4ED05E8F">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二、《质疑函》的受理和答复</w:t>
      </w:r>
    </w:p>
    <w:p w14:paraId="1E8ECB72">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1.采购人、采购代理机构收到质疑函后，将对质疑的形式和内容进行审查，如质疑函内容、格式不符合规定，需告知质疑人进行补正。</w:t>
      </w:r>
    </w:p>
    <w:p w14:paraId="594C0FDB">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 质疑人应当在法定质疑期限内进行补正并重新提交质疑函，拒不补正或者在法定期限内未重新提交质疑函的，为无效质疑，不予受理。</w:t>
      </w:r>
    </w:p>
    <w:p w14:paraId="279BF623">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3.采购人、采购代理机构答复供应商质疑应当采用书面方式并依法送达，质疑供应商或其委托代理人拒绝签收的视为已经送达。</w:t>
      </w:r>
    </w:p>
    <w:p w14:paraId="2DB92983">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4.采购人负责供应商质疑答复。采购人委托采购代理机构采购的，采购代理机构在委托授权范围内作出答复。</w:t>
      </w:r>
    </w:p>
    <w:p w14:paraId="6AF81068">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三、质疑处理</w:t>
      </w:r>
    </w:p>
    <w:p w14:paraId="39473FBB">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 质疑成立的处理</w:t>
      </w:r>
    </w:p>
    <w:p w14:paraId="333C6853">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（1）对于内容、格式符合规定的质疑函，采购人、采购代理机构在收到投标供应商的书面质疑后七个工作日内作出书面答复，但答复的内容不得涉及商业秘密。</w:t>
      </w:r>
    </w:p>
    <w:p w14:paraId="2329F241">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（2）对采购文件提出的质疑，依法通过澄清或者修改可以继续开展采购活动的，澄清或者修改采购文件后继续开展采购活动；否则应当修改采购文件后重新开展采购活动。</w:t>
      </w:r>
    </w:p>
    <w:p w14:paraId="6B3C318C">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（3）对采购过程、中标或者成交结果提出的质疑，合格供应商符合法定数量时，可以从合格的候选人中另行确定中标、成交供应商的，应当依法另行确定中标供应商；否则应当重新开展采购活动。</w:t>
      </w:r>
    </w:p>
    <w:p w14:paraId="296EC0C6">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质疑答复导致中标、成交结果改变的，采购人或者采购代理机构应当将有关情况书面报告本级财政部门。</w:t>
      </w:r>
    </w:p>
    <w:p w14:paraId="073C285F">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2.质疑不成立的处理</w:t>
      </w:r>
    </w:p>
    <w:p w14:paraId="7B57A623">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若质疑不成立，或者成立未对中标、成交结果构成影响的，继续开展采购活动。3.虚假质疑的处理</w:t>
      </w:r>
    </w:p>
    <w:p w14:paraId="61CAF986">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（1）投标人提出书面质疑必须有理、有据，不得恶意质疑或提交虚假质疑。否则，一经查实，采购人有权依据采购的有关规定，报请监管部门对该投标人进行相应的行政处罚。</w:t>
      </w:r>
    </w:p>
    <w:p w14:paraId="29DCFD53">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（2）在江苏省范围内一年累计三次以上质疑，均查无实据的供应商将按失信行为记入该注册供应商诚信档案中。</w:t>
      </w:r>
    </w:p>
    <w:p w14:paraId="27517C67">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（3）采购人、采购代理机构受理质疑和答复相关咨询，联系电话详见招标公告。</w:t>
      </w:r>
    </w:p>
    <w:p w14:paraId="6CE73187">
      <w:pPr>
        <w:shd w:val="clear" w:color="auto" w:fill="auto"/>
        <w:snapToGrid w:val="0"/>
        <w:spacing w:line="440" w:lineRule="exact"/>
        <w:jc w:val="center"/>
        <w:outlineLvl w:val="0"/>
        <w:rPr>
          <w:rFonts w:ascii="Times New Roman"/>
          <w:b/>
          <w:color w:val="auto"/>
          <w:sz w:val="36"/>
          <w:szCs w:val="36"/>
          <w:highlight w:val="none"/>
        </w:rPr>
      </w:pPr>
      <w:r>
        <w:rPr>
          <w:rFonts w:ascii="Times New Roman"/>
          <w:b/>
          <w:color w:val="auto"/>
          <w:sz w:val="36"/>
          <w:szCs w:val="36"/>
          <w:highlight w:val="none"/>
        </w:rPr>
        <w:br w:type="page"/>
      </w:r>
      <w:r>
        <w:rPr>
          <w:rFonts w:ascii="Times New Roman"/>
          <w:b/>
          <w:color w:val="auto"/>
          <w:sz w:val="36"/>
          <w:szCs w:val="36"/>
          <w:highlight w:val="none"/>
        </w:rPr>
        <w:t>第七部分  投标文件组成</w:t>
      </w:r>
    </w:p>
    <w:p w14:paraId="53DA3EA2">
      <w:pPr>
        <w:shd w:val="clear" w:color="auto" w:fill="auto"/>
        <w:snapToGrid w:val="0"/>
        <w:spacing w:line="440" w:lineRule="exact"/>
        <w:ind w:firstLine="555"/>
        <w:jc w:val="left"/>
        <w:rPr>
          <w:rFonts w:ascii="Times New Roman"/>
          <w:b/>
          <w:color w:val="auto"/>
          <w:highlight w:val="none"/>
        </w:rPr>
      </w:pPr>
      <w:r>
        <w:rPr>
          <w:rFonts w:ascii="Times New Roman"/>
          <w:b/>
          <w:color w:val="auto"/>
          <w:highlight w:val="none"/>
        </w:rPr>
        <w:t>投标文件由资格审查文件、商务技术文件、报价文件三部分组成，相关</w:t>
      </w:r>
      <w:r>
        <w:rPr>
          <w:rFonts w:ascii="Times New Roman"/>
          <w:b/>
          <w:color w:val="auto"/>
          <w:highlight w:val="none"/>
          <w:lang w:val="zh-CN"/>
        </w:rPr>
        <w:t>格式参见附件</w:t>
      </w:r>
      <w:r>
        <w:rPr>
          <w:rFonts w:ascii="Times New Roman"/>
          <w:b/>
          <w:color w:val="auto"/>
          <w:highlight w:val="none"/>
        </w:rPr>
        <w:t>。</w:t>
      </w:r>
    </w:p>
    <w:p w14:paraId="4A73DEDB">
      <w:pPr>
        <w:numPr>
          <w:ilvl w:val="0"/>
          <w:numId w:val="5"/>
        </w:numPr>
        <w:shd w:val="clear" w:color="auto" w:fill="auto"/>
        <w:snapToGrid w:val="0"/>
        <w:spacing w:line="440" w:lineRule="exact"/>
        <w:ind w:firstLine="482" w:firstLineChars="200"/>
        <w:contextualSpacing/>
        <w:rPr>
          <w:rFonts w:ascii="Times New Roman"/>
          <w:color w:val="auto"/>
          <w:highlight w:val="none"/>
          <w:lang w:val="zh-CN"/>
        </w:rPr>
      </w:pPr>
      <w:r>
        <w:rPr>
          <w:rFonts w:ascii="Times New Roman"/>
          <w:b/>
          <w:bCs/>
          <w:color w:val="auto"/>
          <w:highlight w:val="none"/>
          <w:lang w:val="zh-CN"/>
        </w:rPr>
        <w:t>资格审查</w:t>
      </w:r>
      <w:r>
        <w:rPr>
          <w:rFonts w:ascii="Times New Roman"/>
          <w:b/>
          <w:bCs/>
          <w:color w:val="auto"/>
          <w:highlight w:val="none"/>
        </w:rPr>
        <w:t>文件</w:t>
      </w:r>
      <w:r>
        <w:rPr>
          <w:rFonts w:ascii="Times New Roman"/>
          <w:b/>
          <w:bCs/>
          <w:color w:val="auto"/>
          <w:highlight w:val="none"/>
          <w:lang w:val="zh-CN"/>
        </w:rPr>
        <w:t>（不能出现报价、商务技术</w:t>
      </w:r>
      <w:r>
        <w:rPr>
          <w:rFonts w:ascii="Times New Roman"/>
          <w:b/>
          <w:bCs/>
          <w:color w:val="auto"/>
          <w:highlight w:val="none"/>
        </w:rPr>
        <w:t>文件</w:t>
      </w:r>
      <w:r>
        <w:rPr>
          <w:rFonts w:ascii="Times New Roman"/>
          <w:b/>
          <w:bCs/>
          <w:color w:val="auto"/>
          <w:highlight w:val="none"/>
          <w:lang w:val="zh-CN"/>
        </w:rPr>
        <w:t>）</w:t>
      </w:r>
    </w:p>
    <w:p w14:paraId="5139E92F">
      <w:pPr>
        <w:numPr>
          <w:ilvl w:val="0"/>
          <w:numId w:val="6"/>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投标人符合《政府采购法》第二十二条规定条件的</w:t>
      </w:r>
      <w:r>
        <w:rPr>
          <w:rFonts w:hint="eastAsia" w:ascii="Times New Roman"/>
          <w:color w:val="auto"/>
          <w:highlight w:val="none"/>
          <w:lang w:val="zh-CN"/>
        </w:rPr>
        <w:t>声明</w:t>
      </w:r>
      <w:r>
        <w:rPr>
          <w:rFonts w:ascii="Times New Roman"/>
          <w:color w:val="auto"/>
          <w:highlight w:val="none"/>
          <w:lang w:val="zh-CN"/>
        </w:rPr>
        <w:t>函；</w:t>
      </w:r>
    </w:p>
    <w:p w14:paraId="0E21A66F">
      <w:pPr>
        <w:numPr>
          <w:ilvl w:val="0"/>
          <w:numId w:val="6"/>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法定代表人身份证明书；</w:t>
      </w:r>
    </w:p>
    <w:p w14:paraId="2EFBF72C">
      <w:pPr>
        <w:numPr>
          <w:ilvl w:val="0"/>
          <w:numId w:val="6"/>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法定代表人授权委托书原件，投标代表本人身份证复印件；</w:t>
      </w:r>
    </w:p>
    <w:p w14:paraId="7F7F5D84">
      <w:pPr>
        <w:numPr>
          <w:ilvl w:val="0"/>
          <w:numId w:val="6"/>
        </w:numPr>
        <w:shd w:val="clear" w:color="auto" w:fill="auto"/>
        <w:snapToGrid w:val="0"/>
        <w:spacing w:line="440" w:lineRule="exact"/>
        <w:ind w:firstLine="480" w:firstLineChars="200"/>
        <w:contextualSpacing/>
        <w:rPr>
          <w:rFonts w:ascii="Times New Roman" w:hAnsi="Times New Roman" w:eastAsia="宋体" w:cs="Times New Roman"/>
          <w:color w:val="auto"/>
          <w:highlight w:val="none"/>
          <w:lang w:val="zh-CN"/>
        </w:rPr>
      </w:pPr>
      <w:r>
        <w:rPr>
          <w:rFonts w:hint="default" w:ascii="Times New Roman" w:hAnsi="Times New Roman" w:eastAsia="宋体" w:cs="Times New Roman"/>
          <w:color w:val="auto"/>
          <w:sz w:val="24"/>
          <w:szCs w:val="20"/>
          <w:highlight w:val="none"/>
          <w:lang w:val="zh-CN" w:eastAsia="zh-CN"/>
        </w:rPr>
        <w:t>招标</w:t>
      </w:r>
      <w:r>
        <w:rPr>
          <w:rFonts w:ascii="Times New Roman" w:hAnsi="Times New Roman" w:eastAsia="宋体" w:cs="Times New Roman"/>
          <w:color w:val="auto"/>
          <w:sz w:val="24"/>
          <w:szCs w:val="20"/>
          <w:highlight w:val="none"/>
          <w:lang w:val="zh-CN"/>
        </w:rPr>
        <w:t>公告</w:t>
      </w:r>
      <w:r>
        <w:rPr>
          <w:rFonts w:hint="default" w:ascii="Times New Roman" w:hAnsi="Times New Roman" w:eastAsia="宋体" w:cs="Times New Roman"/>
          <w:color w:val="auto"/>
          <w:sz w:val="24"/>
          <w:szCs w:val="20"/>
          <w:highlight w:val="none"/>
          <w:lang w:val="zh-CN" w:eastAsia="zh-CN"/>
        </w:rPr>
        <w:t>中供应商</w:t>
      </w:r>
      <w:r>
        <w:rPr>
          <w:rFonts w:ascii="Times New Roman" w:hAnsi="Times New Roman" w:eastAsia="宋体" w:cs="Times New Roman"/>
          <w:color w:val="auto"/>
          <w:sz w:val="24"/>
          <w:szCs w:val="20"/>
          <w:highlight w:val="none"/>
          <w:lang w:val="zh-CN"/>
        </w:rPr>
        <w:t>资格要求中相</w:t>
      </w:r>
      <w:r>
        <w:rPr>
          <w:rFonts w:hint="default" w:ascii="Times New Roman" w:hAnsi="Times New Roman" w:eastAsia="宋体" w:cs="Times New Roman"/>
          <w:color w:val="auto"/>
          <w:sz w:val="24"/>
          <w:szCs w:val="20"/>
          <w:highlight w:val="none"/>
          <w:lang w:val="zh-CN" w:eastAsia="zh-CN"/>
        </w:rPr>
        <w:t>对</w:t>
      </w:r>
      <w:r>
        <w:rPr>
          <w:rFonts w:ascii="Times New Roman" w:hAnsi="Times New Roman" w:eastAsia="宋体" w:cs="Times New Roman"/>
          <w:color w:val="auto"/>
          <w:sz w:val="24"/>
          <w:szCs w:val="20"/>
          <w:highlight w:val="none"/>
          <w:lang w:val="zh-CN"/>
        </w:rPr>
        <w:t>应的</w:t>
      </w:r>
      <w:r>
        <w:rPr>
          <w:rFonts w:hint="default" w:ascii="Times New Roman" w:hAnsi="Times New Roman" w:eastAsia="宋体" w:cs="Times New Roman"/>
          <w:color w:val="auto"/>
          <w:sz w:val="24"/>
          <w:szCs w:val="20"/>
          <w:highlight w:val="none"/>
          <w:lang w:val="zh-CN"/>
        </w:rPr>
        <w:t>资格条件证明材料</w:t>
      </w:r>
      <w:r>
        <w:rPr>
          <w:rFonts w:ascii="Times New Roman" w:hAnsi="Times New Roman" w:eastAsia="宋体" w:cs="Times New Roman"/>
          <w:color w:val="auto"/>
          <w:sz w:val="24"/>
          <w:szCs w:val="20"/>
          <w:highlight w:val="none"/>
          <w:lang w:val="zh-CN"/>
        </w:rPr>
        <w:t>（提供复印件并加盖公章</w:t>
      </w:r>
      <w:r>
        <w:rPr>
          <w:rFonts w:hint="eastAsia" w:ascii="Times New Roman" w:hAnsi="Times New Roman" w:eastAsia="宋体" w:cs="Times New Roman"/>
          <w:color w:val="auto"/>
          <w:sz w:val="24"/>
          <w:szCs w:val="20"/>
          <w:highlight w:val="none"/>
          <w:lang w:val="zh-CN"/>
        </w:rPr>
        <w:t>）</w:t>
      </w:r>
      <w:r>
        <w:rPr>
          <w:rFonts w:ascii="Times New Roman" w:hAnsi="Times New Roman" w:eastAsia="宋体" w:cs="Times New Roman"/>
          <w:color w:val="auto"/>
          <w:highlight w:val="none"/>
          <w:lang w:val="zh-CN"/>
        </w:rPr>
        <w:t>；</w:t>
      </w:r>
    </w:p>
    <w:p w14:paraId="728B181C">
      <w:pPr>
        <w:numPr>
          <w:ilvl w:val="0"/>
          <w:numId w:val="6"/>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供应商信用承诺书；</w:t>
      </w:r>
    </w:p>
    <w:p w14:paraId="074410A2">
      <w:pPr>
        <w:numPr>
          <w:ilvl w:val="0"/>
          <w:numId w:val="6"/>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招标公告资格要求提供相应的佐证材料；</w:t>
      </w:r>
    </w:p>
    <w:p w14:paraId="493D1574">
      <w:pPr>
        <w:numPr>
          <w:ilvl w:val="0"/>
          <w:numId w:val="6"/>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其它需要提交的资格审查证明材料。</w:t>
      </w:r>
    </w:p>
    <w:p w14:paraId="254897B7">
      <w:pPr>
        <w:shd w:val="clear" w:color="auto" w:fill="auto"/>
        <w:snapToGrid w:val="0"/>
        <w:spacing w:line="440" w:lineRule="exact"/>
        <w:ind w:firstLine="482" w:firstLineChars="200"/>
        <w:contextualSpacing/>
        <w:rPr>
          <w:rFonts w:ascii="Times New Roman"/>
          <w:b/>
          <w:bCs/>
          <w:color w:val="auto"/>
          <w:highlight w:val="none"/>
          <w:lang w:val="zh-CN"/>
        </w:rPr>
      </w:pPr>
      <w:r>
        <w:rPr>
          <w:rFonts w:ascii="Times New Roman"/>
          <w:b/>
          <w:bCs/>
          <w:color w:val="auto"/>
          <w:highlight w:val="none"/>
          <w:lang w:val="zh-CN"/>
        </w:rPr>
        <w:t>二、商务技术</w:t>
      </w:r>
      <w:r>
        <w:rPr>
          <w:rFonts w:ascii="Times New Roman"/>
          <w:b/>
          <w:bCs/>
          <w:color w:val="auto"/>
          <w:highlight w:val="none"/>
        </w:rPr>
        <w:t>文件</w:t>
      </w:r>
      <w:r>
        <w:rPr>
          <w:rFonts w:ascii="Times New Roman"/>
          <w:b/>
          <w:bCs/>
          <w:color w:val="auto"/>
          <w:highlight w:val="none"/>
          <w:lang w:val="zh-CN"/>
        </w:rPr>
        <w:t>（不能出现报价）</w:t>
      </w:r>
    </w:p>
    <w:p w14:paraId="162137FE">
      <w:pPr>
        <w:numPr>
          <w:ilvl w:val="0"/>
          <w:numId w:val="7"/>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投标人情况一览表；</w:t>
      </w:r>
    </w:p>
    <w:p w14:paraId="3D3F7B73">
      <w:pPr>
        <w:numPr>
          <w:ilvl w:val="0"/>
          <w:numId w:val="7"/>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商务部分正负偏离表；</w:t>
      </w:r>
    </w:p>
    <w:p w14:paraId="5D02ADA2">
      <w:pPr>
        <w:numPr>
          <w:ilvl w:val="0"/>
          <w:numId w:val="7"/>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技术部分正负偏离表；</w:t>
      </w:r>
    </w:p>
    <w:p w14:paraId="433C6E64">
      <w:pPr>
        <w:numPr>
          <w:ilvl w:val="0"/>
          <w:numId w:val="7"/>
        </w:numPr>
        <w:shd w:val="clear" w:color="auto" w:fill="auto"/>
        <w:snapToGrid w:val="0"/>
        <w:spacing w:line="440" w:lineRule="exact"/>
        <w:ind w:firstLine="480" w:firstLineChars="200"/>
        <w:contextualSpacing/>
        <w:rPr>
          <w:rFonts w:ascii="Times New Roman"/>
          <w:color w:val="auto"/>
          <w:highlight w:val="none"/>
          <w:lang w:val="zh-CN"/>
        </w:rPr>
      </w:pPr>
      <w:r>
        <w:rPr>
          <w:rFonts w:hint="eastAsia" w:ascii="Times New Roman"/>
          <w:color w:val="auto"/>
          <w:highlight w:val="none"/>
          <w:lang w:val="zh-CN"/>
        </w:rPr>
        <w:t>响应方案、货物（服务）清单。具有项目、数量、品牌、型号、配置性能等</w:t>
      </w:r>
      <w:r>
        <w:rPr>
          <w:rFonts w:ascii="Times New Roman"/>
          <w:color w:val="auto"/>
          <w:highlight w:val="none"/>
          <w:lang w:val="zh-CN"/>
        </w:rPr>
        <w:t>；</w:t>
      </w:r>
    </w:p>
    <w:p w14:paraId="7CEDD9BE">
      <w:pPr>
        <w:numPr>
          <w:ilvl w:val="0"/>
          <w:numId w:val="7"/>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商务技术评分标准中须提供的相关得分佐证材料；</w:t>
      </w:r>
    </w:p>
    <w:p w14:paraId="75B9D11F">
      <w:pPr>
        <w:numPr>
          <w:ilvl w:val="0"/>
          <w:numId w:val="7"/>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投标人认为需要提交的其他商务技术材料。</w:t>
      </w:r>
    </w:p>
    <w:p w14:paraId="1E8DDFFB">
      <w:pPr>
        <w:shd w:val="clear" w:color="auto" w:fill="auto"/>
        <w:snapToGrid w:val="0"/>
        <w:spacing w:line="440" w:lineRule="exact"/>
        <w:ind w:firstLine="463" w:firstLineChars="192"/>
        <w:contextualSpacing/>
        <w:rPr>
          <w:rFonts w:ascii="Times New Roman"/>
          <w:b/>
          <w:bCs/>
          <w:color w:val="auto"/>
          <w:highlight w:val="none"/>
          <w:lang w:val="zh-CN"/>
        </w:rPr>
      </w:pPr>
      <w:r>
        <w:rPr>
          <w:rFonts w:ascii="Times New Roman"/>
          <w:b/>
          <w:bCs/>
          <w:color w:val="auto"/>
          <w:highlight w:val="none"/>
          <w:lang w:val="zh-CN"/>
        </w:rPr>
        <w:t>三、</w:t>
      </w:r>
      <w:r>
        <w:rPr>
          <w:rFonts w:ascii="Times New Roman"/>
          <w:b/>
          <w:bCs/>
          <w:color w:val="auto"/>
          <w:highlight w:val="none"/>
        </w:rPr>
        <w:t>报价文件</w:t>
      </w:r>
    </w:p>
    <w:p w14:paraId="489D239E">
      <w:pPr>
        <w:numPr>
          <w:ilvl w:val="0"/>
          <w:numId w:val="8"/>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开标一览表；</w:t>
      </w:r>
    </w:p>
    <w:p w14:paraId="293618E8">
      <w:pPr>
        <w:shd w:val="clear" w:color="auto" w:fill="auto"/>
        <w:snapToGrid w:val="0"/>
        <w:spacing w:line="440" w:lineRule="exact"/>
        <w:ind w:firstLine="480" w:firstLineChars="200"/>
        <w:contextualSpacing/>
        <w:rPr>
          <w:rFonts w:ascii="Times New Roman"/>
          <w:color w:val="auto"/>
          <w:highlight w:val="none"/>
          <w:lang w:val="zh-CN"/>
        </w:rPr>
      </w:pPr>
    </w:p>
    <w:p w14:paraId="5B558E94">
      <w:pPr>
        <w:shd w:val="clear" w:color="auto" w:fill="auto"/>
        <w:snapToGrid w:val="0"/>
        <w:spacing w:line="440" w:lineRule="exact"/>
        <w:contextualSpacing/>
        <w:rPr>
          <w:rFonts w:hint="eastAsia" w:ascii="宋体" w:hAnsi="宋体" w:eastAsia="宋体" w:cs="宋体"/>
          <w:color w:val="auto"/>
          <w:sz w:val="24"/>
          <w:szCs w:val="24"/>
          <w:highlight w:val="none"/>
          <w:lang w:val="zh-CN"/>
        </w:rPr>
      </w:pPr>
      <w:r>
        <w:rPr>
          <w:rFonts w:ascii="Times New Roman" w:eastAsia="方正黑体_GBK"/>
          <w:color w:val="auto"/>
          <w:sz w:val="32"/>
          <w:szCs w:val="32"/>
          <w:highlight w:val="none"/>
          <w:lang w:val="zh-CN"/>
        </w:rPr>
        <w:br w:type="page"/>
      </w:r>
      <w:r>
        <w:rPr>
          <w:rFonts w:hint="eastAsia" w:ascii="宋体" w:hAnsi="宋体" w:eastAsia="宋体" w:cs="宋体"/>
          <w:color w:val="auto"/>
          <w:sz w:val="24"/>
          <w:szCs w:val="24"/>
          <w:highlight w:val="none"/>
          <w:lang w:val="zh-CN"/>
        </w:rPr>
        <w:t>附件1</w:t>
      </w:r>
    </w:p>
    <w:p w14:paraId="6D6B6FAB">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投标人符合《政府采购法》第二十二条规定条件的声明函</w:t>
      </w:r>
    </w:p>
    <w:p w14:paraId="1B18F3A3">
      <w:pPr>
        <w:shd w:val="clear" w:color="auto" w:fill="auto"/>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Cs w:val="24"/>
          <w:highlight w:val="none"/>
        </w:rPr>
        <w:t xml:space="preserve">                       </w:t>
      </w:r>
      <w:r>
        <w:rPr>
          <w:rFonts w:hint="eastAsia" w:ascii="宋体" w:hAnsi="宋体" w:eastAsia="宋体" w:cs="宋体"/>
          <w:b/>
          <w:bCs/>
          <w:color w:val="auto"/>
          <w:sz w:val="24"/>
          <w:szCs w:val="24"/>
          <w:highlight w:val="none"/>
        </w:rPr>
        <w:t xml:space="preserve">   </w:t>
      </w:r>
    </w:p>
    <w:p w14:paraId="51D077C5">
      <w:pPr>
        <w:shd w:val="clear" w:color="auto" w:fill="auto"/>
        <w:spacing w:line="520" w:lineRule="exact"/>
        <w:ind w:firstLine="480" w:firstLineChars="200"/>
        <w:rPr>
          <w:rFonts w:hint="eastAsia" w:ascii="宋体" w:hAnsi="宋体" w:eastAsia="宋体" w:cs="宋体"/>
          <w:b/>
          <w:bCs/>
          <w:color w:val="auto"/>
          <w:szCs w:val="24"/>
          <w:highlight w:val="none"/>
        </w:rPr>
      </w:pPr>
      <w:r>
        <w:rPr>
          <w:rFonts w:hint="eastAsia" w:ascii="宋体" w:hAnsi="宋体" w:eastAsia="宋体" w:cs="宋体"/>
          <w:bCs/>
          <w:color w:val="auto"/>
          <w:szCs w:val="24"/>
          <w:highlight w:val="none"/>
        </w:rPr>
        <w:t>我单位参加</w:t>
      </w:r>
      <w:r>
        <w:rPr>
          <w:rFonts w:hint="eastAsia" w:ascii="宋体" w:hAnsi="宋体" w:eastAsia="宋体" w:cs="宋体"/>
          <w:bCs/>
          <w:color w:val="auto"/>
          <w:szCs w:val="24"/>
          <w:highlight w:val="none"/>
          <w:u w:val="single"/>
        </w:rPr>
        <w:t>________________ _</w:t>
      </w:r>
      <w:r>
        <w:rPr>
          <w:rFonts w:hint="eastAsia" w:ascii="宋体" w:hAnsi="宋体" w:eastAsia="宋体" w:cs="宋体"/>
          <w:bCs/>
          <w:color w:val="auto"/>
          <w:szCs w:val="24"/>
          <w:highlight w:val="none"/>
        </w:rPr>
        <w:t>（项目名称），</w:t>
      </w:r>
      <w:r>
        <w:rPr>
          <w:rFonts w:hint="eastAsia" w:ascii="宋体" w:hAnsi="宋体" w:eastAsia="宋体" w:cs="宋体"/>
          <w:bCs/>
          <w:color w:val="auto"/>
          <w:szCs w:val="24"/>
          <w:highlight w:val="none"/>
          <w:u w:val="single"/>
        </w:rPr>
        <w:t>_______ __________</w:t>
      </w:r>
      <w:r>
        <w:rPr>
          <w:rFonts w:hint="eastAsia" w:ascii="宋体" w:hAnsi="宋体" w:eastAsia="宋体" w:cs="宋体"/>
          <w:bCs/>
          <w:color w:val="auto"/>
          <w:szCs w:val="24"/>
          <w:highlight w:val="none"/>
        </w:rPr>
        <w:t>（项目编号）投标活动。针对《中华人民共和国政府采购法》第二十二条规定做出如下声明：</w:t>
      </w:r>
    </w:p>
    <w:p w14:paraId="54BEED28">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1.我单位具有独立承担民事责任的能力；</w:t>
      </w:r>
    </w:p>
    <w:p w14:paraId="5120978E">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2.我单位具有良好的商业信誉和健全的财务会计制度；</w:t>
      </w:r>
    </w:p>
    <w:p w14:paraId="4F1A53EF">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3.我单位具有履行合同所必需的设备和专业技术能力；</w:t>
      </w:r>
    </w:p>
    <w:p w14:paraId="5C070FCF">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4.我单位有依法缴纳税收和社会保障资金的良好记录；</w:t>
      </w:r>
    </w:p>
    <w:p w14:paraId="055B5AB7">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2C4174F">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6.我单位满足法律、行政法规规定的其他条件。</w:t>
      </w:r>
    </w:p>
    <w:p w14:paraId="264989B4">
      <w:pPr>
        <w:shd w:val="clear" w:color="auto" w:fill="auto"/>
        <w:spacing w:line="500" w:lineRule="exact"/>
        <w:ind w:firstLine="482"/>
        <w:rPr>
          <w:rFonts w:hint="eastAsia" w:ascii="宋体" w:hAnsi="宋体" w:eastAsia="宋体" w:cs="宋体"/>
          <w:color w:val="auto"/>
          <w:szCs w:val="24"/>
          <w:highlight w:val="none"/>
        </w:rPr>
      </w:pPr>
    </w:p>
    <w:p w14:paraId="52DEAC50">
      <w:pPr>
        <w:shd w:val="clear" w:color="auto" w:fill="auto"/>
        <w:spacing w:line="500" w:lineRule="exact"/>
        <w:rPr>
          <w:rFonts w:hint="eastAsia" w:ascii="宋体" w:hAnsi="宋体" w:eastAsia="宋体" w:cs="宋体"/>
          <w:color w:val="auto"/>
          <w:szCs w:val="24"/>
          <w:highlight w:val="none"/>
        </w:rPr>
      </w:pPr>
    </w:p>
    <w:p w14:paraId="647B9F07">
      <w:pPr>
        <w:shd w:val="clear" w:color="auto" w:fill="auto"/>
        <w:spacing w:line="500" w:lineRule="exact"/>
        <w:rPr>
          <w:rFonts w:hint="eastAsia" w:ascii="宋体" w:hAnsi="宋体" w:eastAsia="宋体" w:cs="宋体"/>
          <w:bCs/>
          <w:color w:val="auto"/>
          <w:szCs w:val="24"/>
          <w:highlight w:val="none"/>
        </w:rPr>
      </w:pPr>
    </w:p>
    <w:p w14:paraId="3FC3033C">
      <w:pPr>
        <w:shd w:val="clear" w:color="auto" w:fill="auto"/>
        <w:spacing w:line="500" w:lineRule="exact"/>
        <w:rPr>
          <w:rFonts w:hint="eastAsia" w:ascii="宋体" w:hAnsi="宋体" w:eastAsia="宋体" w:cs="宋体"/>
          <w:bCs/>
          <w:color w:val="auto"/>
          <w:szCs w:val="24"/>
          <w:highlight w:val="none"/>
        </w:rPr>
      </w:pPr>
    </w:p>
    <w:p w14:paraId="27BF21AC">
      <w:pPr>
        <w:shd w:val="clear" w:color="auto" w:fill="auto"/>
        <w:spacing w:line="500" w:lineRule="exact"/>
        <w:rPr>
          <w:rFonts w:hint="eastAsia" w:ascii="宋体" w:hAnsi="宋体" w:eastAsia="宋体" w:cs="宋体"/>
          <w:bCs/>
          <w:color w:val="auto"/>
          <w:szCs w:val="24"/>
          <w:highlight w:val="none"/>
        </w:rPr>
      </w:pPr>
    </w:p>
    <w:p w14:paraId="4915A0D9">
      <w:pPr>
        <w:shd w:val="clear" w:color="auto" w:fill="auto"/>
        <w:spacing w:line="460" w:lineRule="exact"/>
        <w:jc w:val="center"/>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承诺人名称（公章）：</w:t>
      </w:r>
    </w:p>
    <w:p w14:paraId="7ABD331B">
      <w:pPr>
        <w:shd w:val="clear" w:color="auto" w:fill="auto"/>
        <w:spacing w:line="460" w:lineRule="exact"/>
        <w:jc w:val="righ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w:t>
      </w:r>
    </w:p>
    <w:p w14:paraId="528A1287">
      <w:pPr>
        <w:shd w:val="clear" w:color="auto" w:fill="auto"/>
        <w:spacing w:line="460" w:lineRule="exact"/>
        <w:jc w:val="righ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日期：</w:t>
      </w:r>
      <w:r>
        <w:rPr>
          <w:rFonts w:hint="eastAsia" w:ascii="宋体" w:hAnsi="宋体" w:eastAsia="宋体" w:cs="宋体"/>
          <w:bCs/>
          <w:color w:val="auto"/>
          <w:szCs w:val="24"/>
          <w:highlight w:val="none"/>
          <w:u w:val="single"/>
        </w:rPr>
        <w:t>______</w:t>
      </w:r>
      <w:r>
        <w:rPr>
          <w:rFonts w:hint="eastAsia" w:ascii="宋体" w:hAnsi="宋体" w:eastAsia="宋体" w:cs="宋体"/>
          <w:bCs/>
          <w:color w:val="auto"/>
          <w:szCs w:val="24"/>
          <w:highlight w:val="none"/>
        </w:rPr>
        <w:t>年</w:t>
      </w:r>
      <w:r>
        <w:rPr>
          <w:rFonts w:hint="eastAsia" w:ascii="宋体" w:hAnsi="宋体" w:eastAsia="宋体" w:cs="宋体"/>
          <w:bCs/>
          <w:color w:val="auto"/>
          <w:szCs w:val="24"/>
          <w:highlight w:val="none"/>
          <w:u w:val="single"/>
        </w:rPr>
        <w:t xml:space="preserve">    </w:t>
      </w:r>
      <w:r>
        <w:rPr>
          <w:rFonts w:hint="eastAsia" w:ascii="宋体" w:hAnsi="宋体" w:eastAsia="宋体" w:cs="宋体"/>
          <w:bCs/>
          <w:color w:val="auto"/>
          <w:szCs w:val="24"/>
          <w:highlight w:val="none"/>
        </w:rPr>
        <w:t>月</w:t>
      </w:r>
      <w:r>
        <w:rPr>
          <w:rFonts w:hint="eastAsia" w:ascii="宋体" w:hAnsi="宋体" w:eastAsia="宋体" w:cs="宋体"/>
          <w:bCs/>
          <w:color w:val="auto"/>
          <w:szCs w:val="24"/>
          <w:highlight w:val="none"/>
          <w:u w:val="single"/>
        </w:rPr>
        <w:t xml:space="preserve">    </w:t>
      </w:r>
      <w:r>
        <w:rPr>
          <w:rFonts w:hint="eastAsia" w:ascii="宋体" w:hAnsi="宋体" w:eastAsia="宋体" w:cs="宋体"/>
          <w:bCs/>
          <w:color w:val="auto"/>
          <w:szCs w:val="24"/>
          <w:highlight w:val="none"/>
        </w:rPr>
        <w:t>日</w:t>
      </w:r>
    </w:p>
    <w:p w14:paraId="46E50A9A">
      <w:pPr>
        <w:shd w:val="clear" w:color="auto" w:fill="auto"/>
        <w:snapToGrid w:val="0"/>
        <w:spacing w:line="400" w:lineRule="exact"/>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r>
        <w:rPr>
          <w:rFonts w:hint="eastAsia" w:ascii="宋体" w:hAnsi="宋体" w:eastAsia="宋体" w:cs="宋体"/>
          <w:color w:val="auto"/>
          <w:sz w:val="24"/>
          <w:szCs w:val="24"/>
          <w:highlight w:val="none"/>
          <w:lang w:val="zh-CN"/>
        </w:rPr>
        <w:t>附件2</w:t>
      </w:r>
    </w:p>
    <w:p w14:paraId="0AD09432">
      <w:pPr>
        <w:pStyle w:val="12"/>
        <w:shd w:val="clear" w:color="auto" w:fill="auto"/>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法定代表人身份证明</w:t>
      </w:r>
    </w:p>
    <w:p w14:paraId="5AA0AD6E">
      <w:pPr>
        <w:shd w:val="clear" w:color="auto" w:fill="auto"/>
        <w:spacing w:line="480" w:lineRule="exact"/>
        <w:rPr>
          <w:rFonts w:hint="eastAsia" w:ascii="宋体" w:hAnsi="宋体" w:eastAsia="宋体" w:cs="宋体"/>
          <w:color w:val="auto"/>
          <w:szCs w:val="24"/>
          <w:highlight w:val="none"/>
        </w:rPr>
      </w:pPr>
    </w:p>
    <w:p w14:paraId="3546B1DD">
      <w:pPr>
        <w:shd w:val="clear" w:color="auto" w:fill="auto"/>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 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2538371D">
      <w:pPr>
        <w:shd w:val="clear" w:color="auto" w:fill="auto"/>
        <w:spacing w:line="480" w:lineRule="exact"/>
        <w:ind w:firstLine="48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28F67CF5">
      <w:pPr>
        <w:shd w:val="clear" w:color="auto" w:fill="auto"/>
        <w:spacing w:line="480" w:lineRule="exact"/>
        <w:ind w:firstLine="480"/>
        <w:rPr>
          <w:rFonts w:hint="eastAsia" w:ascii="宋体" w:hAnsi="宋体" w:eastAsia="宋体" w:cs="宋体"/>
          <w:color w:val="auto"/>
          <w:szCs w:val="24"/>
          <w:highlight w:val="none"/>
        </w:rPr>
      </w:pPr>
    </w:p>
    <w:p w14:paraId="19FB443A">
      <w:pPr>
        <w:pStyle w:val="13"/>
        <w:shd w:val="clear" w:color="auto" w:fill="auto"/>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注：提供法定代表人的身份证复印件盖公章</w:t>
      </w:r>
    </w:p>
    <w:p w14:paraId="31425AB0">
      <w:pPr>
        <w:shd w:val="clear" w:color="auto" w:fill="auto"/>
        <w:snapToGrid w:val="0"/>
        <w:spacing w:line="400" w:lineRule="exact"/>
        <w:contextualSpacing/>
        <w:rPr>
          <w:rFonts w:hint="eastAsia" w:ascii="宋体" w:hAnsi="宋体" w:eastAsia="宋体" w:cs="宋体"/>
          <w:color w:val="auto"/>
          <w:sz w:val="24"/>
          <w:szCs w:val="24"/>
          <w:highlight w:val="none"/>
          <w:lang w:val="zh-CN"/>
        </w:rPr>
      </w:pPr>
    </w:p>
    <w:p w14:paraId="28618E0A">
      <w:pPr>
        <w:shd w:val="clear" w:color="auto" w:fill="auto"/>
        <w:snapToGrid w:val="0"/>
        <w:spacing w:line="400" w:lineRule="exact"/>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r>
        <w:rPr>
          <w:rFonts w:hint="eastAsia" w:ascii="宋体" w:hAnsi="宋体" w:eastAsia="宋体" w:cs="宋体"/>
          <w:color w:val="auto"/>
          <w:sz w:val="24"/>
          <w:szCs w:val="24"/>
          <w:highlight w:val="none"/>
          <w:lang w:val="zh-CN"/>
        </w:rPr>
        <w:t>附件3</w:t>
      </w:r>
    </w:p>
    <w:p w14:paraId="4978B2F9">
      <w:pPr>
        <w:shd w:val="clear" w:color="auto" w:fill="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法定代表人授权委托书</w:t>
      </w:r>
    </w:p>
    <w:p w14:paraId="1CE9B4C1">
      <w:pPr>
        <w:shd w:val="clear" w:color="auto" w:fill="auto"/>
        <w:rPr>
          <w:rFonts w:hint="eastAsia" w:ascii="宋体" w:hAnsi="宋体" w:eastAsia="宋体" w:cs="宋体"/>
          <w:color w:val="auto"/>
          <w:sz w:val="24"/>
          <w:szCs w:val="24"/>
          <w:highlight w:val="none"/>
        </w:rPr>
      </w:pPr>
    </w:p>
    <w:p w14:paraId="1AA976AE">
      <w:pPr>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姓名）系————（授权单位名称）的法定代表人，现委托-------（姓名）（身份证号——————）为我方代理人，以我方名义全权处理与本次采购项目（编号：----------）有关的一切事务，其法律后果由我方承担。</w:t>
      </w:r>
    </w:p>
    <w:p w14:paraId="66F52045">
      <w:pPr>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本授权书于---年---月---日起生效。代理人无转委托权。</w:t>
      </w:r>
    </w:p>
    <w:p w14:paraId="42ABB486">
      <w:pPr>
        <w:shd w:val="clear" w:color="auto" w:fill="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代理人(被授权人):------</w:t>
      </w:r>
    </w:p>
    <w:p w14:paraId="06258169">
      <w:pPr>
        <w:shd w:val="clear" w:color="auto" w:fill="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授权单位名称（盖章）：-----</w:t>
      </w:r>
    </w:p>
    <w:p w14:paraId="0C962FD2">
      <w:pPr>
        <w:shd w:val="clear" w:color="auto" w:fill="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授权单位法定代表人（签字或盖章）：-----</w:t>
      </w:r>
    </w:p>
    <w:p w14:paraId="50BF63D3">
      <w:pPr>
        <w:shd w:val="clear" w:color="auto" w:fill="auto"/>
        <w:jc w:val="right"/>
        <w:rPr>
          <w:rFonts w:hint="eastAsia" w:ascii="宋体" w:hAnsi="宋体" w:eastAsia="宋体" w:cs="宋体"/>
          <w:color w:val="auto"/>
          <w:sz w:val="24"/>
          <w:szCs w:val="24"/>
          <w:highlight w:val="none"/>
        </w:rPr>
      </w:pPr>
    </w:p>
    <w:p w14:paraId="4C430B04">
      <w:pPr>
        <w:shd w:val="clear" w:color="auto" w:fill="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XXXX年XX月XX日</w:t>
      </w:r>
    </w:p>
    <w:p w14:paraId="56560199">
      <w:pPr>
        <w:shd w:val="clear" w:color="auto" w:fill="auto"/>
        <w:snapToGrid w:val="0"/>
        <w:spacing w:line="400" w:lineRule="exact"/>
        <w:ind w:firstLine="463" w:firstLineChars="192"/>
        <w:contextualSpacing/>
        <w:rPr>
          <w:rFonts w:hint="eastAsia" w:ascii="宋体" w:hAnsi="宋体" w:eastAsia="宋体" w:cs="宋体"/>
          <w:b/>
          <w:color w:val="auto"/>
          <w:sz w:val="24"/>
          <w:szCs w:val="24"/>
          <w:highlight w:val="none"/>
        </w:rPr>
      </w:pPr>
    </w:p>
    <w:p w14:paraId="72A236A0">
      <w:pPr>
        <w:shd w:val="clear" w:color="auto" w:fill="auto"/>
        <w:snapToGrid w:val="0"/>
        <w:spacing w:line="400" w:lineRule="exact"/>
        <w:ind w:firstLine="463" w:firstLineChars="192"/>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注：提供投标代表本人身份证复印件盖公章</w:t>
      </w:r>
    </w:p>
    <w:p w14:paraId="2C207467">
      <w:pPr>
        <w:pStyle w:val="12"/>
        <w:shd w:val="clear" w:color="auto" w:fill="auto"/>
        <w:spacing w:line="5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 xml:space="preserve">附件4 </w:t>
      </w:r>
    </w:p>
    <w:p w14:paraId="2237010A">
      <w:pPr>
        <w:shd w:val="clear" w:color="auto" w:fill="auto"/>
        <w:spacing w:before="240" w:line="312" w:lineRule="auto"/>
        <w:jc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供应商信用承诺书</w:t>
      </w:r>
    </w:p>
    <w:p w14:paraId="3F2EF458">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为营造公开、公平、公正的交易环境，树立诚信守法的投标人形象，本人代表本单位作出以下承诺：</w:t>
      </w:r>
    </w:p>
    <w:p w14:paraId="41BE3817">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3C0FA953">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二、严格依照国家和省、市、县关于采购等方面的法律、法规、规章、规范性文件，参加招标投标活动；积极履行社会责任，促进廉政建设；</w:t>
      </w:r>
    </w:p>
    <w:p w14:paraId="727A5D15">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hAnsi="宋体" w:eastAsia="宋体" w:cs="宋体"/>
          <w:color w:val="auto"/>
          <w:szCs w:val="24"/>
          <w:highlight w:val="none"/>
          <w:lang w:val="en-US" w:eastAsia="zh-CN" w:bidi="ar"/>
        </w:rPr>
        <w:t>三</w:t>
      </w:r>
      <w:r>
        <w:rPr>
          <w:rFonts w:hint="eastAsia" w:ascii="宋体" w:hAnsi="宋体" w:eastAsia="宋体" w:cs="宋体"/>
          <w:color w:val="auto"/>
          <w:szCs w:val="24"/>
          <w:highlight w:val="none"/>
          <w:lang w:val="zh-CN" w:bidi="ar"/>
        </w:rPr>
        <w:t>、自我约束、自我管理，守合同、重信用，不参与围标串标、弄虚作假、骗取中标、干扰评标、违约毁约、恶意投诉等行为，主动维护招标投标的良好秩序；</w:t>
      </w:r>
    </w:p>
    <w:p w14:paraId="54B48064">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五、本单位自愿接受采购有关行政监督部门的依法检查。如发生违法违规或不良行为或存在其他法律法规对招标投标行为予以限制的情形，自愿接受采购有关行政监督部门依法给予的行政处罚（处理），并依法承担相应的法律责任；</w:t>
      </w:r>
    </w:p>
    <w:p w14:paraId="3EE616C4">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六、自觉接受政府部门、行业组织、社会公众、新闻舆论等监督；</w:t>
      </w:r>
    </w:p>
    <w:p w14:paraId="44F91172">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七、上述承诺已向本单位员工作了宣传教育；</w:t>
      </w:r>
    </w:p>
    <w:p w14:paraId="094AACB2">
      <w:pPr>
        <w:shd w:val="clear" w:color="auto" w:fill="auto"/>
        <w:spacing w:line="360" w:lineRule="auto"/>
        <w:ind w:firstLine="48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bidi="ar"/>
        </w:rPr>
        <w:t>如有违反上述承诺的不良行为，本单位同意将其予以上网公示。</w:t>
      </w:r>
    </w:p>
    <w:p w14:paraId="64EB7E3F">
      <w:pPr>
        <w:shd w:val="clear" w:color="auto" w:fill="auto"/>
        <w:spacing w:line="360" w:lineRule="auto"/>
        <w:rPr>
          <w:rFonts w:hint="eastAsia" w:ascii="宋体" w:hAnsi="宋体" w:eastAsia="宋体" w:cs="宋体"/>
          <w:color w:val="auto"/>
          <w:szCs w:val="24"/>
          <w:highlight w:val="none"/>
          <w:lang w:val="zh-CN"/>
        </w:rPr>
      </w:pPr>
    </w:p>
    <w:p w14:paraId="7F3088CB">
      <w:pPr>
        <w:shd w:val="clear" w:color="auto" w:fill="auto"/>
        <w:spacing w:line="360" w:lineRule="auto"/>
        <w:ind w:firstLine="4560" w:firstLineChars="1900"/>
        <w:rPr>
          <w:rFonts w:hint="eastAsia" w:ascii="宋体" w:hAnsi="宋体" w:eastAsia="宋体" w:cs="宋体"/>
          <w:color w:val="auto"/>
          <w:szCs w:val="24"/>
          <w:highlight w:val="none"/>
          <w:lang w:val="zh-CN"/>
        </w:rPr>
      </w:pPr>
    </w:p>
    <w:p w14:paraId="0D2F13C0">
      <w:pPr>
        <w:shd w:val="clear" w:color="auto" w:fill="auto"/>
        <w:spacing w:line="360" w:lineRule="auto"/>
        <w:ind w:firstLine="2640" w:firstLineChars="1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bidi="ar"/>
        </w:rPr>
        <w:t>投标供应商全称(盖公章)：</w:t>
      </w:r>
    </w:p>
    <w:p w14:paraId="6FCBE9D2">
      <w:pPr>
        <w:shd w:val="clear" w:color="auto" w:fill="auto"/>
        <w:spacing w:line="360" w:lineRule="auto"/>
        <w:ind w:firstLine="2640" w:firstLineChars="1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bidi="ar"/>
        </w:rPr>
        <w:t>法定代表人（签字或盖章）：</w:t>
      </w:r>
    </w:p>
    <w:p w14:paraId="15DE4BF9">
      <w:pPr>
        <w:shd w:val="clear" w:color="auto" w:fill="auto"/>
        <w:spacing w:line="360" w:lineRule="auto"/>
        <w:ind w:firstLine="2640" w:firstLineChars="1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bidi="ar"/>
        </w:rPr>
        <w:t>时间：  年  月   日</w:t>
      </w:r>
    </w:p>
    <w:p w14:paraId="7FA6C74A">
      <w:pPr>
        <w:shd w:val="clear" w:color="auto" w:fill="auto"/>
        <w:rPr>
          <w:rFonts w:hint="eastAsia" w:ascii="宋体" w:hAnsi="宋体" w:eastAsia="宋体" w:cs="宋体"/>
          <w:bCs/>
          <w:color w:val="auto"/>
          <w:sz w:val="24"/>
          <w:szCs w:val="24"/>
          <w:highlight w:val="none"/>
          <w:lang w:bidi="ar"/>
        </w:rPr>
        <w:sectPr>
          <w:pgSz w:w="11906" w:h="16838"/>
          <w:pgMar w:top="1418" w:right="1474" w:bottom="1418" w:left="1474" w:header="851" w:footer="907" w:gutter="0"/>
          <w:cols w:space="720" w:num="1"/>
          <w:docGrid w:type="lines" w:linePitch="312" w:charSpace="0"/>
        </w:sectPr>
      </w:pPr>
    </w:p>
    <w:p w14:paraId="195D3BE6">
      <w:pPr>
        <w:spacing w:after="120" w:afterLines="50" w:line="360" w:lineRule="auto"/>
        <w:jc w:val="both"/>
        <w:rPr>
          <w:rFonts w:hint="eastAsia" w:ascii="宋体" w:hAnsi="宋体" w:eastAsia="宋体"/>
          <w:b/>
          <w:sz w:val="32"/>
          <w:szCs w:val="32"/>
          <w:lang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5</w:t>
      </w:r>
    </w:p>
    <w:p w14:paraId="030CD2D5">
      <w:pPr>
        <w:spacing w:after="120" w:afterLines="50" w:line="360" w:lineRule="auto"/>
        <w:jc w:val="center"/>
        <w:rPr>
          <w:rFonts w:hint="eastAsia" w:ascii="宋体" w:hAnsi="宋体"/>
          <w:b/>
          <w:sz w:val="32"/>
          <w:szCs w:val="32"/>
        </w:rPr>
      </w:pPr>
      <w:r>
        <w:rPr>
          <w:rFonts w:hint="eastAsia" w:ascii="宋体" w:hAnsi="宋体"/>
          <w:b/>
          <w:sz w:val="32"/>
          <w:szCs w:val="32"/>
        </w:rPr>
        <w:t>中小企业声明函</w:t>
      </w:r>
    </w:p>
    <w:p w14:paraId="6DE2F722">
      <w:pPr>
        <w:spacing w:line="360" w:lineRule="auto"/>
        <w:ind w:firstLine="480" w:firstLineChars="200"/>
        <w:jc w:val="left"/>
        <w:rPr>
          <w:rFonts w:hint="eastAsia" w:ascii="宋体" w:hAnsi="宋体"/>
          <w:sz w:val="24"/>
          <w:szCs w:val="24"/>
        </w:rPr>
      </w:pPr>
      <w:r>
        <w:rPr>
          <w:rFonts w:hint="eastAsia" w:ascii="宋体" w:hAnsi="宋体"/>
          <w:sz w:val="24"/>
          <w:szCs w:val="24"/>
        </w:rPr>
        <w:t>本公司（联合体）郑重声明，根据《政府采购促进中小企业发展管理办法》（财库﹝2020﹞46 号）的规定，本公司（联合体）参加</w:t>
      </w:r>
      <w:r>
        <w:rPr>
          <w:rFonts w:hint="eastAsia" w:ascii="宋体" w:hAnsi="宋体"/>
          <w:sz w:val="24"/>
          <w:szCs w:val="24"/>
          <w:u w:val="single"/>
        </w:rPr>
        <w:t xml:space="preserve">   （单位名称）    </w:t>
      </w:r>
      <w:r>
        <w:rPr>
          <w:rFonts w:hint="eastAsia" w:ascii="宋体" w:hAnsi="宋体"/>
          <w:sz w:val="24"/>
          <w:szCs w:val="24"/>
        </w:rPr>
        <w:t>的</w:t>
      </w:r>
      <w:r>
        <w:rPr>
          <w:rFonts w:hint="eastAsia" w:ascii="宋体" w:hAnsi="宋体"/>
          <w:sz w:val="24"/>
          <w:szCs w:val="24"/>
          <w:u w:val="single"/>
        </w:rPr>
        <w:t>（项目名称）</w:t>
      </w:r>
      <w:r>
        <w:rPr>
          <w:rFonts w:hint="eastAsia" w:ascii="宋体" w:hAnsi="宋体"/>
          <w:sz w:val="24"/>
          <w:szCs w:val="24"/>
        </w:rPr>
        <w:t>采购活动，服务全部由符合政策要求的中小企业承接。相关企业</w:t>
      </w:r>
      <w:r>
        <w:rPr>
          <w:rFonts w:ascii="宋体" w:hAnsi="宋体"/>
          <w:sz w:val="24"/>
          <w:szCs w:val="24"/>
          <w:lang w:bidi="zh-CN"/>
        </w:rPr>
        <w:t>（含联合体中的中小企业、签订分包意向协议的中小企业）</w:t>
      </w:r>
      <w:r>
        <w:rPr>
          <w:rFonts w:hint="eastAsia" w:ascii="宋体" w:hAnsi="宋体"/>
          <w:sz w:val="24"/>
          <w:szCs w:val="24"/>
        </w:rPr>
        <w:t>的具体情况如下：</w:t>
      </w:r>
    </w:p>
    <w:p w14:paraId="304E7FA4">
      <w:pPr>
        <w:spacing w:line="360" w:lineRule="auto"/>
        <w:ind w:firstLine="480" w:firstLineChars="200"/>
        <w:jc w:val="left"/>
        <w:rPr>
          <w:rFonts w:hint="eastAsia" w:ascii="宋体" w:hAnsi="宋体"/>
          <w:sz w:val="24"/>
          <w:szCs w:val="24"/>
        </w:rPr>
      </w:pPr>
      <w:r>
        <w:rPr>
          <w:rFonts w:hint="eastAsia" w:ascii="宋体" w:hAnsi="宋体"/>
          <w:sz w:val="24"/>
          <w:szCs w:val="24"/>
        </w:rPr>
        <w:t>1.</w:t>
      </w:r>
      <w:r>
        <w:rPr>
          <w:rFonts w:hint="eastAsia" w:ascii="宋体" w:hAnsi="宋体"/>
          <w:sz w:val="24"/>
          <w:szCs w:val="24"/>
          <w:u w:val="single"/>
        </w:rPr>
        <w:t xml:space="preserve">（标的名称） </w:t>
      </w:r>
      <w:r>
        <w:rPr>
          <w:rFonts w:hint="eastAsia" w:ascii="宋体" w:hAnsi="宋体"/>
          <w:sz w:val="24"/>
          <w:szCs w:val="24"/>
        </w:rPr>
        <w:t>，属于</w:t>
      </w:r>
      <w:r>
        <w:rPr>
          <w:rFonts w:ascii="宋体" w:hAnsi="宋体"/>
          <w:sz w:val="24"/>
          <w:szCs w:val="24"/>
          <w:lang w:bidi="zh-CN"/>
        </w:rPr>
        <w:t>（</w:t>
      </w:r>
      <w:r>
        <w:rPr>
          <w:rFonts w:ascii="宋体" w:hAnsi="宋体"/>
          <w:sz w:val="24"/>
          <w:szCs w:val="24"/>
          <w:u w:val="single"/>
          <w:lang w:bidi="zh-CN"/>
        </w:rPr>
        <w:t>采购文件中明确的所属行业）</w:t>
      </w:r>
      <w:r>
        <w:rPr>
          <w:rFonts w:hint="eastAsia" w:ascii="宋体" w:hAnsi="宋体"/>
          <w:sz w:val="24"/>
          <w:szCs w:val="24"/>
        </w:rPr>
        <w:t>；承接企业为</w:t>
      </w:r>
      <w:r>
        <w:rPr>
          <w:rFonts w:hint="eastAsia" w:ascii="宋体" w:hAnsi="宋体" w:cs="宋体"/>
          <w:spacing w:val="7"/>
          <w:kern w:val="0"/>
          <w:sz w:val="24"/>
          <w:szCs w:val="24"/>
          <w:u w:val="single"/>
        </w:rPr>
        <w:t xml:space="preserve">   </w:t>
      </w:r>
      <w:r>
        <w:rPr>
          <w:rFonts w:hint="eastAsia" w:ascii="宋体" w:hAnsi="宋体"/>
          <w:sz w:val="24"/>
          <w:szCs w:val="24"/>
          <w:u w:val="single"/>
        </w:rPr>
        <w:t xml:space="preserve">（企业名称） </w:t>
      </w:r>
      <w:r>
        <w:rPr>
          <w:rFonts w:hint="eastAsia" w:ascii="宋体" w:hAnsi="宋体" w:cs="宋体"/>
          <w:spacing w:val="7"/>
          <w:kern w:val="0"/>
          <w:sz w:val="24"/>
          <w:szCs w:val="24"/>
          <w:u w:val="single"/>
        </w:rPr>
        <w:t xml:space="preserve">  </w:t>
      </w:r>
      <w:r>
        <w:rPr>
          <w:rFonts w:hint="eastAsia" w:ascii="宋体" w:hAnsi="宋体"/>
          <w:sz w:val="24"/>
          <w:szCs w:val="24"/>
        </w:rPr>
        <w:t>，从业人员</w:t>
      </w:r>
      <w:r>
        <w:rPr>
          <w:rFonts w:hint="eastAsia" w:ascii="宋体" w:hAnsi="宋体" w:cs="宋体"/>
          <w:spacing w:val="7"/>
          <w:kern w:val="0"/>
          <w:sz w:val="24"/>
          <w:szCs w:val="24"/>
          <w:u w:val="single"/>
        </w:rPr>
        <w:t xml:space="preserve">      </w:t>
      </w:r>
      <w:r>
        <w:rPr>
          <w:rFonts w:hint="eastAsia" w:ascii="宋体" w:hAnsi="宋体"/>
          <w:sz w:val="24"/>
          <w:szCs w:val="24"/>
        </w:rPr>
        <w:t>人，营业收入为</w:t>
      </w:r>
      <w:r>
        <w:rPr>
          <w:rFonts w:hint="eastAsia" w:ascii="宋体" w:hAnsi="宋体" w:cs="宋体"/>
          <w:spacing w:val="7"/>
          <w:kern w:val="0"/>
          <w:sz w:val="24"/>
          <w:szCs w:val="24"/>
          <w:u w:val="single"/>
        </w:rPr>
        <w:t xml:space="preserve">        </w:t>
      </w:r>
      <w:r>
        <w:rPr>
          <w:rFonts w:hint="eastAsia" w:ascii="宋体" w:hAnsi="宋体"/>
          <w:sz w:val="24"/>
          <w:szCs w:val="24"/>
        </w:rPr>
        <w:t>万元，资产总额为</w:t>
      </w:r>
      <w:r>
        <w:rPr>
          <w:rFonts w:hint="eastAsia" w:ascii="宋体" w:hAnsi="宋体" w:cs="宋体"/>
          <w:spacing w:val="7"/>
          <w:kern w:val="0"/>
          <w:sz w:val="24"/>
          <w:szCs w:val="24"/>
          <w:u w:val="single"/>
        </w:rPr>
        <w:t xml:space="preserve">        </w:t>
      </w:r>
      <w:r>
        <w:rPr>
          <w:rFonts w:hint="eastAsia" w:ascii="宋体" w:hAnsi="宋体"/>
          <w:sz w:val="24"/>
          <w:szCs w:val="24"/>
        </w:rPr>
        <w:t>万元，属于</w:t>
      </w:r>
      <w:r>
        <w:rPr>
          <w:rFonts w:hint="eastAsia" w:ascii="宋体" w:hAnsi="宋体" w:cs="宋体"/>
          <w:spacing w:val="7"/>
          <w:kern w:val="0"/>
          <w:sz w:val="24"/>
          <w:szCs w:val="24"/>
          <w:u w:val="single"/>
        </w:rPr>
        <w:t xml:space="preserve">   </w:t>
      </w:r>
      <w:r>
        <w:rPr>
          <w:rFonts w:ascii="宋体" w:hAnsi="宋体"/>
          <w:sz w:val="24"/>
          <w:szCs w:val="24"/>
          <w:u w:val="single"/>
          <w:lang w:bidi="zh-CN"/>
        </w:rPr>
        <w:t>（中型企业、小型企业、微型企业）</w:t>
      </w:r>
      <w:r>
        <w:rPr>
          <w:rFonts w:ascii="宋体" w:hAnsi="宋体"/>
          <w:sz w:val="24"/>
          <w:szCs w:val="24"/>
          <w:lang w:bidi="zh-CN"/>
        </w:rPr>
        <w:t>；</w:t>
      </w:r>
    </w:p>
    <w:p w14:paraId="005422A6">
      <w:pPr>
        <w:spacing w:line="360" w:lineRule="auto"/>
        <w:ind w:firstLine="480" w:firstLineChars="200"/>
        <w:jc w:val="left"/>
        <w:rPr>
          <w:rFonts w:hint="eastAsia" w:ascii="宋体" w:hAnsi="宋体"/>
          <w:sz w:val="24"/>
          <w:szCs w:val="24"/>
        </w:rPr>
      </w:pPr>
      <w:r>
        <w:rPr>
          <w:rFonts w:hint="eastAsia" w:ascii="宋体" w:hAnsi="宋体"/>
          <w:sz w:val="24"/>
          <w:szCs w:val="24"/>
        </w:rPr>
        <w:t>1.</w:t>
      </w:r>
      <w:r>
        <w:rPr>
          <w:rFonts w:hint="eastAsia" w:ascii="宋体" w:hAnsi="宋体"/>
          <w:sz w:val="24"/>
          <w:szCs w:val="24"/>
          <w:u w:val="single"/>
        </w:rPr>
        <w:t xml:space="preserve">（标的名称） </w:t>
      </w:r>
      <w:r>
        <w:rPr>
          <w:rFonts w:hint="eastAsia" w:ascii="宋体" w:hAnsi="宋体"/>
          <w:sz w:val="24"/>
          <w:szCs w:val="24"/>
        </w:rPr>
        <w:t>，属于</w:t>
      </w:r>
      <w:r>
        <w:rPr>
          <w:rFonts w:ascii="宋体" w:hAnsi="宋体"/>
          <w:sz w:val="24"/>
          <w:szCs w:val="24"/>
          <w:lang w:bidi="zh-CN"/>
        </w:rPr>
        <w:t>（</w:t>
      </w:r>
      <w:r>
        <w:rPr>
          <w:rFonts w:ascii="宋体" w:hAnsi="宋体"/>
          <w:sz w:val="24"/>
          <w:szCs w:val="24"/>
          <w:u w:val="single"/>
          <w:lang w:bidi="zh-CN"/>
        </w:rPr>
        <w:t>采购文件中明确的所属行业）</w:t>
      </w:r>
      <w:r>
        <w:rPr>
          <w:rFonts w:hint="eastAsia" w:ascii="宋体" w:hAnsi="宋体"/>
          <w:sz w:val="24"/>
          <w:szCs w:val="24"/>
        </w:rPr>
        <w:t>；承接企业为</w:t>
      </w:r>
      <w:r>
        <w:rPr>
          <w:rFonts w:hint="eastAsia" w:ascii="宋体" w:hAnsi="宋体" w:cs="宋体"/>
          <w:spacing w:val="7"/>
          <w:kern w:val="0"/>
          <w:sz w:val="24"/>
          <w:szCs w:val="24"/>
          <w:u w:val="single"/>
        </w:rPr>
        <w:t xml:space="preserve">   </w:t>
      </w:r>
      <w:r>
        <w:rPr>
          <w:rFonts w:hint="eastAsia" w:ascii="宋体" w:hAnsi="宋体"/>
          <w:sz w:val="24"/>
          <w:szCs w:val="24"/>
          <w:u w:val="single"/>
        </w:rPr>
        <w:t xml:space="preserve">（企业名称） </w:t>
      </w:r>
      <w:r>
        <w:rPr>
          <w:rFonts w:hint="eastAsia" w:ascii="宋体" w:hAnsi="宋体" w:cs="宋体"/>
          <w:spacing w:val="7"/>
          <w:kern w:val="0"/>
          <w:sz w:val="24"/>
          <w:szCs w:val="24"/>
          <w:u w:val="single"/>
        </w:rPr>
        <w:t xml:space="preserve">  </w:t>
      </w:r>
      <w:r>
        <w:rPr>
          <w:rFonts w:hint="eastAsia" w:ascii="宋体" w:hAnsi="宋体"/>
          <w:sz w:val="24"/>
          <w:szCs w:val="24"/>
        </w:rPr>
        <w:t>，从业人员</w:t>
      </w:r>
      <w:r>
        <w:rPr>
          <w:rFonts w:hint="eastAsia" w:ascii="宋体" w:hAnsi="宋体" w:cs="宋体"/>
          <w:spacing w:val="7"/>
          <w:kern w:val="0"/>
          <w:sz w:val="24"/>
          <w:szCs w:val="24"/>
          <w:u w:val="single"/>
        </w:rPr>
        <w:t xml:space="preserve">      </w:t>
      </w:r>
      <w:r>
        <w:rPr>
          <w:rFonts w:hint="eastAsia" w:ascii="宋体" w:hAnsi="宋体"/>
          <w:sz w:val="24"/>
          <w:szCs w:val="24"/>
        </w:rPr>
        <w:t>人，营业收入为</w:t>
      </w:r>
      <w:r>
        <w:rPr>
          <w:rFonts w:hint="eastAsia" w:ascii="宋体" w:hAnsi="宋体" w:cs="宋体"/>
          <w:spacing w:val="7"/>
          <w:kern w:val="0"/>
          <w:sz w:val="24"/>
          <w:szCs w:val="24"/>
          <w:u w:val="single"/>
        </w:rPr>
        <w:t xml:space="preserve">        </w:t>
      </w:r>
      <w:r>
        <w:rPr>
          <w:rFonts w:hint="eastAsia" w:ascii="宋体" w:hAnsi="宋体"/>
          <w:sz w:val="24"/>
          <w:szCs w:val="24"/>
        </w:rPr>
        <w:t>万元，资产总额为</w:t>
      </w:r>
      <w:r>
        <w:rPr>
          <w:rFonts w:hint="eastAsia" w:ascii="宋体" w:hAnsi="宋体" w:cs="宋体"/>
          <w:spacing w:val="7"/>
          <w:kern w:val="0"/>
          <w:sz w:val="24"/>
          <w:szCs w:val="24"/>
          <w:u w:val="single"/>
        </w:rPr>
        <w:t xml:space="preserve">        </w:t>
      </w:r>
      <w:r>
        <w:rPr>
          <w:rFonts w:hint="eastAsia" w:ascii="宋体" w:hAnsi="宋体"/>
          <w:sz w:val="24"/>
          <w:szCs w:val="24"/>
        </w:rPr>
        <w:t>万元，属于</w:t>
      </w:r>
      <w:r>
        <w:rPr>
          <w:rFonts w:hint="eastAsia" w:ascii="宋体" w:hAnsi="宋体" w:cs="宋体"/>
          <w:spacing w:val="7"/>
          <w:kern w:val="0"/>
          <w:sz w:val="24"/>
          <w:szCs w:val="24"/>
          <w:u w:val="single"/>
        </w:rPr>
        <w:t xml:space="preserve">   </w:t>
      </w:r>
      <w:r>
        <w:rPr>
          <w:rFonts w:ascii="宋体" w:hAnsi="宋体"/>
          <w:sz w:val="24"/>
          <w:szCs w:val="24"/>
          <w:u w:val="single"/>
          <w:lang w:bidi="zh-CN"/>
        </w:rPr>
        <w:t>（中型企业、小型企业、微型企业）</w:t>
      </w:r>
      <w:r>
        <w:rPr>
          <w:rFonts w:ascii="宋体" w:hAnsi="宋体"/>
          <w:sz w:val="24"/>
          <w:szCs w:val="24"/>
          <w:lang w:bidi="zh-CN"/>
        </w:rPr>
        <w:t>；</w:t>
      </w:r>
    </w:p>
    <w:p w14:paraId="0DB2E669">
      <w:pPr>
        <w:spacing w:line="360" w:lineRule="auto"/>
        <w:ind w:firstLine="480" w:firstLineChars="200"/>
        <w:jc w:val="left"/>
        <w:rPr>
          <w:rFonts w:ascii="宋体" w:hAnsi="宋体"/>
          <w:sz w:val="24"/>
          <w:szCs w:val="24"/>
        </w:rPr>
      </w:pPr>
      <w:r>
        <w:rPr>
          <w:rFonts w:hint="eastAsia" w:ascii="宋体" w:hAnsi="宋体"/>
          <w:sz w:val="24"/>
          <w:szCs w:val="24"/>
        </w:rPr>
        <w:t>....</w:t>
      </w:r>
    </w:p>
    <w:p w14:paraId="4D091776">
      <w:pPr>
        <w:spacing w:line="360" w:lineRule="auto"/>
        <w:ind w:firstLine="480" w:firstLineChars="200"/>
        <w:jc w:val="left"/>
        <w:rPr>
          <w:rFonts w:ascii="宋体" w:hAnsi="宋体"/>
          <w:sz w:val="24"/>
          <w:szCs w:val="24"/>
        </w:rPr>
      </w:pPr>
      <w:r>
        <w:rPr>
          <w:rFonts w:ascii="宋体" w:hAnsi="宋体"/>
          <w:sz w:val="24"/>
          <w:szCs w:val="24"/>
        </w:rPr>
        <w:t>以上企业，不属于大企业的分支机构，不存在控股股东为大企业的情形，也不存在与大企业的负责人为同一人的情形。</w:t>
      </w:r>
    </w:p>
    <w:p w14:paraId="2091405B">
      <w:pPr>
        <w:spacing w:line="360" w:lineRule="auto"/>
        <w:ind w:firstLine="480" w:firstLineChars="200"/>
        <w:jc w:val="left"/>
        <w:rPr>
          <w:rFonts w:ascii="宋体" w:hAnsi="宋体"/>
          <w:sz w:val="24"/>
          <w:szCs w:val="24"/>
        </w:rPr>
      </w:pPr>
      <w:r>
        <w:rPr>
          <w:rFonts w:ascii="宋体" w:hAnsi="宋体"/>
          <w:sz w:val="24"/>
          <w:szCs w:val="24"/>
        </w:rPr>
        <w:t>本企业对上述声明内容的真实性负责。如有虚假，将依法承担相应责任。</w:t>
      </w:r>
    </w:p>
    <w:p w14:paraId="1A090A4E">
      <w:pPr>
        <w:spacing w:line="360" w:lineRule="auto"/>
        <w:ind w:firstLine="480" w:firstLineChars="200"/>
        <w:jc w:val="right"/>
        <w:rPr>
          <w:rFonts w:ascii="宋体" w:hAnsi="宋体"/>
          <w:sz w:val="24"/>
          <w:szCs w:val="24"/>
        </w:rPr>
      </w:pPr>
    </w:p>
    <w:p w14:paraId="7D83049B">
      <w:pPr>
        <w:spacing w:line="360" w:lineRule="auto"/>
        <w:ind w:firstLine="480" w:firstLineChars="200"/>
        <w:jc w:val="right"/>
        <w:rPr>
          <w:rFonts w:ascii="宋体" w:hAnsi="宋体"/>
          <w:sz w:val="24"/>
          <w:szCs w:val="24"/>
        </w:rPr>
      </w:pPr>
    </w:p>
    <w:p w14:paraId="1EA6F707">
      <w:pPr>
        <w:spacing w:line="360" w:lineRule="auto"/>
        <w:ind w:firstLine="480" w:firstLineChars="200"/>
        <w:jc w:val="right"/>
        <w:rPr>
          <w:rFonts w:hint="eastAsia" w:ascii="宋体" w:hAnsi="宋体"/>
          <w:sz w:val="24"/>
          <w:szCs w:val="24"/>
        </w:rPr>
      </w:pPr>
      <w:r>
        <w:rPr>
          <w:rFonts w:ascii="宋体" w:hAnsi="宋体"/>
          <w:sz w:val="24"/>
          <w:szCs w:val="24"/>
        </w:rPr>
        <w:t>企业名称（盖章）：</w:t>
      </w:r>
    </w:p>
    <w:p w14:paraId="1285E059">
      <w:pPr>
        <w:spacing w:line="360" w:lineRule="auto"/>
        <w:ind w:firstLine="480" w:firstLineChars="200"/>
        <w:jc w:val="right"/>
        <w:rPr>
          <w:rFonts w:ascii="宋体" w:hAnsi="宋体"/>
          <w:sz w:val="24"/>
          <w:szCs w:val="24"/>
        </w:rPr>
      </w:pPr>
      <w:r>
        <w:rPr>
          <w:rFonts w:ascii="宋体" w:hAnsi="宋体"/>
          <w:sz w:val="24"/>
          <w:szCs w:val="24"/>
        </w:rPr>
        <w:t>日期：</w:t>
      </w:r>
    </w:p>
    <w:p w14:paraId="4AA34172">
      <w:pPr>
        <w:snapToGrid/>
        <w:spacing w:after="120" w:afterLines="50" w:line="360" w:lineRule="auto"/>
        <w:contextualSpacing/>
        <w:rPr>
          <w:rFonts w:hint="eastAsia" w:ascii="宋体" w:hAnsi="宋体"/>
          <w:sz w:val="28"/>
          <w:szCs w:val="28"/>
        </w:rPr>
      </w:pPr>
      <w:r>
        <w:rPr>
          <w:rFonts w:hint="eastAsia" w:ascii="宋体" w:hAnsi="宋体"/>
          <w:sz w:val="28"/>
          <w:szCs w:val="28"/>
        </w:rPr>
        <w:br w:type="page"/>
      </w: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p>
    <w:p w14:paraId="50BB3704">
      <w:pPr>
        <w:spacing w:after="120" w:afterLines="50" w:line="360" w:lineRule="auto"/>
        <w:jc w:val="center"/>
        <w:rPr>
          <w:rFonts w:hint="eastAsia" w:ascii="宋体" w:hAnsi="宋体"/>
          <w:b/>
          <w:sz w:val="32"/>
          <w:szCs w:val="32"/>
        </w:rPr>
      </w:pPr>
      <w:r>
        <w:rPr>
          <w:rFonts w:hint="eastAsia" w:ascii="宋体" w:hAnsi="宋体"/>
          <w:b/>
          <w:sz w:val="32"/>
          <w:szCs w:val="32"/>
        </w:rPr>
        <w:t>残疾人福利性单位声明函</w:t>
      </w:r>
    </w:p>
    <w:p w14:paraId="7B24B170">
      <w:pPr>
        <w:spacing w:line="588" w:lineRule="exact"/>
        <w:ind w:firstLine="480" w:firstLineChars="200"/>
        <w:rPr>
          <w:rFonts w:hint="eastAsia"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单位的项目编号为</w:t>
      </w:r>
      <w:r>
        <w:rPr>
          <w:rFonts w:hint="eastAsia" w:ascii="宋体" w:hAnsi="宋体"/>
          <w:sz w:val="24"/>
          <w:szCs w:val="24"/>
          <w:u w:val="single"/>
        </w:rPr>
        <w:t xml:space="preserve">  /  </w:t>
      </w:r>
      <w:r>
        <w:rPr>
          <w:rFonts w:hint="eastAsia" w:ascii="宋体" w:hAnsi="宋体"/>
          <w:sz w:val="24"/>
          <w:szCs w:val="24"/>
        </w:rPr>
        <w:t>的</w:t>
      </w:r>
      <w:r>
        <w:rPr>
          <w:rFonts w:hint="eastAsia" w:ascii="宋体" w:hAnsi="宋体"/>
          <w:sz w:val="24"/>
          <w:szCs w:val="24"/>
          <w:u w:val="single"/>
        </w:rPr>
        <w:t xml:space="preserve">                      </w:t>
      </w:r>
      <w:r>
        <w:rPr>
          <w:rFonts w:hint="eastAsia" w:ascii="宋体" w:hAnsi="宋体"/>
          <w:sz w:val="24"/>
          <w:szCs w:val="24"/>
        </w:rPr>
        <w:t>项目采购活动由本单位提供服务。</w:t>
      </w:r>
    </w:p>
    <w:p w14:paraId="0111BB2E">
      <w:pPr>
        <w:spacing w:line="588" w:lineRule="exact"/>
        <w:ind w:firstLine="480" w:firstLineChars="200"/>
        <w:rPr>
          <w:rFonts w:hint="eastAsia" w:ascii="宋体" w:hAnsi="宋体"/>
          <w:sz w:val="24"/>
          <w:szCs w:val="24"/>
        </w:rPr>
      </w:pPr>
      <w:r>
        <w:rPr>
          <w:rFonts w:hint="eastAsia" w:ascii="宋体" w:hAnsi="宋体"/>
          <w:sz w:val="24"/>
          <w:szCs w:val="24"/>
        </w:rPr>
        <w:t>本单位对上述声明的真实性负责。如有虚假，将依法承担相应责任。</w:t>
      </w:r>
    </w:p>
    <w:p w14:paraId="253870B3">
      <w:pPr>
        <w:spacing w:line="588" w:lineRule="exact"/>
        <w:ind w:firstLine="480" w:firstLineChars="200"/>
        <w:rPr>
          <w:rFonts w:ascii="宋体" w:hAnsi="宋体"/>
          <w:sz w:val="24"/>
          <w:szCs w:val="24"/>
        </w:rPr>
      </w:pPr>
      <w:r>
        <w:rPr>
          <w:rFonts w:hint="eastAsia" w:ascii="宋体" w:hAnsi="宋体"/>
          <w:sz w:val="24"/>
          <w:szCs w:val="24"/>
        </w:rPr>
        <w:t>（备注：1、供应商如不提供此声明函，价格将不做相应扣除。2、成交供应商为残疾人福利单位的，此声明函将随成交结果同时公告，接受社会监督）</w:t>
      </w:r>
    </w:p>
    <w:p w14:paraId="308FA33B">
      <w:pPr>
        <w:spacing w:line="588" w:lineRule="exact"/>
        <w:ind w:firstLine="504" w:firstLineChars="200"/>
        <w:rPr>
          <w:rFonts w:hint="eastAsia" w:ascii="宋体" w:hAnsi="宋体"/>
          <w:spacing w:val="6"/>
          <w:sz w:val="24"/>
          <w:szCs w:val="24"/>
        </w:rPr>
      </w:pPr>
    </w:p>
    <w:p w14:paraId="2BFE327B">
      <w:pPr>
        <w:tabs>
          <w:tab w:val="left" w:pos="4860"/>
        </w:tabs>
        <w:spacing w:line="588" w:lineRule="exact"/>
        <w:ind w:right="1560" w:firstLine="480" w:firstLineChars="200"/>
        <w:jc w:val="center"/>
        <w:rPr>
          <w:rFonts w:ascii="宋体" w:hAnsi="宋体"/>
          <w:sz w:val="24"/>
          <w:szCs w:val="24"/>
        </w:rPr>
      </w:pPr>
      <w:r>
        <w:rPr>
          <w:rFonts w:hint="eastAsia" w:ascii="宋体" w:hAnsi="宋体"/>
          <w:sz w:val="24"/>
          <w:szCs w:val="24"/>
        </w:rPr>
        <w:t xml:space="preserve">                         供应商全称（盖章）：</w:t>
      </w:r>
    </w:p>
    <w:p w14:paraId="16D0FCA4">
      <w:pPr>
        <w:tabs>
          <w:tab w:val="left" w:pos="4860"/>
        </w:tabs>
        <w:spacing w:line="588" w:lineRule="exact"/>
        <w:ind w:right="1560" w:firstLine="480" w:firstLineChars="200"/>
        <w:jc w:val="center"/>
        <w:rPr>
          <w:rFonts w:ascii="宋体" w:hAnsi="宋体"/>
          <w:sz w:val="24"/>
          <w:szCs w:val="24"/>
        </w:rPr>
      </w:pPr>
      <w:r>
        <w:rPr>
          <w:rFonts w:hint="eastAsia" w:ascii="宋体" w:hAnsi="宋体"/>
          <w:sz w:val="24"/>
          <w:szCs w:val="24"/>
        </w:rPr>
        <w:t xml:space="preserve">              日  期：</w:t>
      </w:r>
    </w:p>
    <w:p w14:paraId="02B2D25E">
      <w:pPr>
        <w:ind w:firstLine="420"/>
        <w:rPr>
          <w:rFonts w:hint="eastAsia" w:ascii="宋体" w:hAnsi="宋体"/>
          <w:sz w:val="28"/>
          <w:szCs w:val="28"/>
        </w:rPr>
      </w:pPr>
    </w:p>
    <w:p w14:paraId="64850CA8">
      <w:pPr>
        <w:spacing w:after="120" w:afterLines="50" w:line="560" w:lineRule="exact"/>
        <w:ind w:firstLine="240" w:firstLineChars="100"/>
        <w:jc w:val="center"/>
        <w:rPr>
          <w:rFonts w:hint="eastAsia" w:ascii="宋体" w:hAnsi="宋体"/>
        </w:rPr>
      </w:pPr>
    </w:p>
    <w:p w14:paraId="4167BC54">
      <w:pPr>
        <w:rPr>
          <w:rFonts w:hint="eastAsia" w:ascii="宋体" w:hAnsi="宋体"/>
        </w:rPr>
      </w:pPr>
    </w:p>
    <w:p w14:paraId="3E50765F">
      <w:pPr>
        <w:pStyle w:val="3"/>
        <w:rPr>
          <w:rFonts w:hint="eastAsia" w:ascii="宋体" w:hAnsi="宋体" w:eastAsia="宋体"/>
          <w:lang w:val="en-US" w:bidi="ar-SA"/>
        </w:rPr>
      </w:pPr>
    </w:p>
    <w:p w14:paraId="6F2E6DC6">
      <w:pPr>
        <w:rPr>
          <w:rFonts w:hint="eastAsia" w:ascii="宋体" w:hAnsi="宋体"/>
        </w:rPr>
      </w:pPr>
    </w:p>
    <w:p w14:paraId="6B9BC0A8">
      <w:pPr>
        <w:pStyle w:val="3"/>
        <w:rPr>
          <w:rFonts w:hint="eastAsia" w:ascii="宋体" w:hAnsi="宋体" w:eastAsia="宋体"/>
          <w:lang w:val="en-US" w:bidi="ar-SA"/>
        </w:rPr>
      </w:pPr>
    </w:p>
    <w:p w14:paraId="5EE3F452">
      <w:pPr>
        <w:rPr>
          <w:rFonts w:hint="eastAsia" w:ascii="宋体" w:hAnsi="宋体"/>
        </w:rPr>
      </w:pPr>
    </w:p>
    <w:p w14:paraId="129CB17F">
      <w:pPr>
        <w:pStyle w:val="3"/>
        <w:rPr>
          <w:rFonts w:hint="eastAsia" w:ascii="宋体" w:hAnsi="宋体" w:eastAsia="宋体"/>
          <w:lang w:val="en-US" w:bidi="ar-SA"/>
        </w:rPr>
      </w:pPr>
    </w:p>
    <w:p w14:paraId="3714586E">
      <w:pPr>
        <w:rPr>
          <w:rFonts w:hint="eastAsia" w:ascii="宋体" w:hAnsi="宋体"/>
        </w:rPr>
      </w:pPr>
    </w:p>
    <w:p w14:paraId="3F67B603">
      <w:pPr>
        <w:snapToGrid/>
        <w:spacing w:after="120" w:afterLines="50" w:line="360" w:lineRule="auto"/>
        <w:contextualSpacing/>
        <w:rPr>
          <w:rFonts w:hint="eastAsia" w:ascii="宋体" w:hAnsi="宋体" w:eastAsia="宋体"/>
          <w:sz w:val="28"/>
          <w:szCs w:val="28"/>
          <w:lang w:eastAsia="zh-CN"/>
        </w:rPr>
      </w:pPr>
      <w:r>
        <w:rPr>
          <w:rFonts w:ascii="宋体" w:hAnsi="宋体"/>
          <w:sz w:val="28"/>
          <w:szCs w:val="28"/>
        </w:rPr>
        <w:br w:type="page"/>
      </w: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7</w:t>
      </w:r>
    </w:p>
    <w:p w14:paraId="2803D496">
      <w:pPr>
        <w:snapToGrid w:val="0"/>
        <w:spacing w:line="420" w:lineRule="exact"/>
        <w:ind w:firstLine="569" w:firstLineChars="177"/>
        <w:jc w:val="center"/>
        <w:rPr>
          <w:rFonts w:ascii="宋体" w:hAnsi="宋体" w:cs="宋体"/>
          <w:b/>
          <w:sz w:val="32"/>
          <w:szCs w:val="28"/>
        </w:rPr>
      </w:pPr>
      <w:r>
        <w:rPr>
          <w:rFonts w:hint="eastAsia" w:ascii="宋体" w:hAnsi="宋体" w:cs="宋体"/>
          <w:b/>
          <w:sz w:val="32"/>
          <w:szCs w:val="28"/>
        </w:rPr>
        <w:t>监狱和戒毒企业证明材料</w:t>
      </w:r>
    </w:p>
    <w:p w14:paraId="52307E6D">
      <w:pPr>
        <w:snapToGrid w:val="0"/>
        <w:spacing w:line="420" w:lineRule="exact"/>
        <w:ind w:firstLine="495" w:firstLineChars="177"/>
        <w:rPr>
          <w:rFonts w:hint="eastAsia" w:ascii="宋体" w:hAnsi="宋体" w:cs="宋体"/>
          <w:sz w:val="28"/>
          <w:szCs w:val="28"/>
        </w:rPr>
      </w:pPr>
    </w:p>
    <w:p w14:paraId="41487381">
      <w:pPr>
        <w:snapToGrid w:val="0"/>
        <w:spacing w:line="420" w:lineRule="exact"/>
        <w:ind w:firstLine="498" w:firstLineChars="177"/>
        <w:jc w:val="center"/>
        <w:rPr>
          <w:rFonts w:hint="eastAsia" w:ascii="宋体" w:hAnsi="宋体" w:cs="宋体"/>
          <w:b/>
          <w:sz w:val="28"/>
          <w:szCs w:val="28"/>
        </w:rPr>
      </w:pPr>
      <w:r>
        <w:rPr>
          <w:rFonts w:hint="eastAsia" w:ascii="宋体" w:hAnsi="宋体" w:cs="宋体"/>
          <w:b/>
          <w:sz w:val="28"/>
          <w:szCs w:val="28"/>
        </w:rPr>
        <w:t>（格式自拟）</w:t>
      </w:r>
    </w:p>
    <w:p w14:paraId="5A7AE171">
      <w:pPr>
        <w:snapToGrid w:val="0"/>
        <w:spacing w:line="420" w:lineRule="exact"/>
        <w:ind w:firstLine="424" w:firstLineChars="177"/>
        <w:rPr>
          <w:rFonts w:ascii="宋体" w:hAnsi="宋体" w:cs="宋体"/>
          <w:sz w:val="24"/>
          <w:szCs w:val="24"/>
        </w:rPr>
      </w:pPr>
    </w:p>
    <w:p w14:paraId="0AE46269">
      <w:pPr>
        <w:shd w:val="clear" w:color="auto" w:fill="auto"/>
        <w:rPr>
          <w:rFonts w:hint="eastAsia" w:ascii="宋体" w:hAnsi="宋体" w:eastAsia="宋体" w:cs="宋体"/>
          <w:bCs/>
          <w:color w:val="auto"/>
          <w:sz w:val="24"/>
          <w:szCs w:val="24"/>
          <w:highlight w:val="none"/>
          <w:lang w:bidi="ar"/>
        </w:rPr>
      </w:pPr>
      <w:r>
        <w:rPr>
          <w:rFonts w:hint="eastAsia" w:ascii="宋体" w:hAnsi="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5CE6531">
      <w:pPr>
        <w:shd w:val="clear" w:color="auto" w:fill="auto"/>
        <w:rPr>
          <w:rFonts w:hint="eastAsia" w:ascii="宋体" w:hAnsi="宋体" w:eastAsia="宋体" w:cs="宋体"/>
          <w:bCs/>
          <w:color w:val="auto"/>
          <w:sz w:val="24"/>
          <w:szCs w:val="24"/>
          <w:highlight w:val="none"/>
          <w:lang w:bidi="ar"/>
        </w:rPr>
      </w:pPr>
    </w:p>
    <w:p w14:paraId="4F32BAEC">
      <w:pPr>
        <w:shd w:val="clear" w:color="auto" w:fill="auto"/>
        <w:rPr>
          <w:rFonts w:hint="eastAsia" w:ascii="宋体" w:hAnsi="宋体" w:eastAsia="宋体" w:cs="宋体"/>
          <w:bCs/>
          <w:color w:val="auto"/>
          <w:sz w:val="24"/>
          <w:szCs w:val="24"/>
          <w:highlight w:val="none"/>
          <w:lang w:bidi="ar"/>
        </w:rPr>
      </w:pPr>
    </w:p>
    <w:p w14:paraId="74E9C13F">
      <w:pPr>
        <w:shd w:val="clear" w:color="auto" w:fill="auto"/>
        <w:rPr>
          <w:rFonts w:hint="eastAsia" w:ascii="宋体" w:hAnsi="宋体" w:eastAsia="宋体" w:cs="宋体"/>
          <w:bCs/>
          <w:color w:val="auto"/>
          <w:sz w:val="24"/>
          <w:szCs w:val="24"/>
          <w:highlight w:val="none"/>
          <w:lang w:bidi="ar"/>
        </w:rPr>
      </w:pPr>
    </w:p>
    <w:p w14:paraId="3155D700">
      <w:pPr>
        <w:shd w:val="clear" w:color="auto" w:fill="auto"/>
        <w:rPr>
          <w:rFonts w:hint="eastAsia" w:ascii="宋体" w:hAnsi="宋体" w:eastAsia="宋体" w:cs="宋体"/>
          <w:bCs/>
          <w:color w:val="auto"/>
          <w:sz w:val="24"/>
          <w:szCs w:val="24"/>
          <w:highlight w:val="none"/>
          <w:lang w:bidi="ar"/>
        </w:rPr>
      </w:pPr>
    </w:p>
    <w:p w14:paraId="47E7643B">
      <w:pPr>
        <w:shd w:val="clear" w:color="auto" w:fill="auto"/>
        <w:rPr>
          <w:rFonts w:hint="eastAsia" w:ascii="宋体" w:hAnsi="宋体" w:eastAsia="宋体" w:cs="宋体"/>
          <w:bCs/>
          <w:color w:val="auto"/>
          <w:sz w:val="24"/>
          <w:szCs w:val="24"/>
          <w:highlight w:val="none"/>
          <w:lang w:bidi="ar"/>
        </w:rPr>
      </w:pPr>
    </w:p>
    <w:p w14:paraId="12197C2C">
      <w:pPr>
        <w:shd w:val="clear" w:color="auto" w:fill="auto"/>
        <w:rPr>
          <w:rFonts w:hint="eastAsia" w:ascii="宋体" w:hAnsi="宋体" w:eastAsia="宋体" w:cs="宋体"/>
          <w:bCs/>
          <w:color w:val="auto"/>
          <w:sz w:val="24"/>
          <w:szCs w:val="24"/>
          <w:highlight w:val="none"/>
          <w:lang w:bidi="ar"/>
        </w:rPr>
      </w:pPr>
    </w:p>
    <w:p w14:paraId="173BA17E">
      <w:pPr>
        <w:shd w:val="clear" w:color="auto" w:fill="auto"/>
        <w:rPr>
          <w:rFonts w:hint="eastAsia" w:ascii="宋体" w:hAnsi="宋体" w:eastAsia="宋体" w:cs="宋体"/>
          <w:bCs/>
          <w:color w:val="auto"/>
          <w:sz w:val="24"/>
          <w:szCs w:val="24"/>
          <w:highlight w:val="none"/>
          <w:lang w:bidi="ar"/>
        </w:rPr>
      </w:pPr>
    </w:p>
    <w:p w14:paraId="27FE79CA">
      <w:pPr>
        <w:shd w:val="clear" w:color="auto" w:fill="auto"/>
        <w:rPr>
          <w:rFonts w:hint="eastAsia" w:ascii="宋体" w:hAnsi="宋体" w:eastAsia="宋体" w:cs="宋体"/>
          <w:bCs/>
          <w:color w:val="auto"/>
          <w:sz w:val="24"/>
          <w:szCs w:val="24"/>
          <w:highlight w:val="none"/>
          <w:lang w:bidi="ar"/>
        </w:rPr>
      </w:pPr>
    </w:p>
    <w:p w14:paraId="229B2C4C">
      <w:pPr>
        <w:shd w:val="clear" w:color="auto" w:fill="auto"/>
        <w:rPr>
          <w:rFonts w:hint="eastAsia" w:ascii="宋体" w:hAnsi="宋体" w:eastAsia="宋体" w:cs="宋体"/>
          <w:bCs/>
          <w:color w:val="auto"/>
          <w:sz w:val="24"/>
          <w:szCs w:val="24"/>
          <w:highlight w:val="none"/>
          <w:lang w:bidi="ar"/>
        </w:rPr>
      </w:pPr>
    </w:p>
    <w:p w14:paraId="1ACBACDF">
      <w:pPr>
        <w:shd w:val="clear" w:color="auto" w:fill="auto"/>
        <w:rPr>
          <w:rFonts w:hint="eastAsia" w:ascii="宋体" w:hAnsi="宋体" w:eastAsia="宋体" w:cs="宋体"/>
          <w:bCs/>
          <w:color w:val="auto"/>
          <w:sz w:val="24"/>
          <w:szCs w:val="24"/>
          <w:highlight w:val="none"/>
          <w:lang w:bidi="ar"/>
        </w:rPr>
      </w:pPr>
    </w:p>
    <w:p w14:paraId="56C9D056">
      <w:pPr>
        <w:shd w:val="clear" w:color="auto" w:fill="auto"/>
        <w:rPr>
          <w:rFonts w:hint="eastAsia" w:ascii="宋体" w:hAnsi="宋体" w:eastAsia="宋体" w:cs="宋体"/>
          <w:bCs/>
          <w:color w:val="auto"/>
          <w:sz w:val="24"/>
          <w:szCs w:val="24"/>
          <w:highlight w:val="none"/>
          <w:lang w:bidi="ar"/>
        </w:rPr>
      </w:pPr>
    </w:p>
    <w:p w14:paraId="5581F60C">
      <w:pPr>
        <w:shd w:val="clear" w:color="auto" w:fill="auto"/>
        <w:rPr>
          <w:rFonts w:hint="eastAsia" w:ascii="宋体" w:hAnsi="宋体" w:eastAsia="宋体" w:cs="宋体"/>
          <w:bCs/>
          <w:color w:val="auto"/>
          <w:sz w:val="24"/>
          <w:szCs w:val="24"/>
          <w:highlight w:val="none"/>
          <w:lang w:bidi="ar"/>
        </w:rPr>
      </w:pPr>
    </w:p>
    <w:p w14:paraId="659B6F67">
      <w:pPr>
        <w:shd w:val="clear" w:color="auto" w:fill="auto"/>
        <w:rPr>
          <w:rFonts w:hint="eastAsia" w:ascii="宋体" w:hAnsi="宋体" w:eastAsia="宋体" w:cs="宋体"/>
          <w:bCs/>
          <w:color w:val="auto"/>
          <w:sz w:val="24"/>
          <w:szCs w:val="24"/>
          <w:highlight w:val="none"/>
          <w:lang w:bidi="ar"/>
        </w:rPr>
      </w:pPr>
    </w:p>
    <w:p w14:paraId="0F800849">
      <w:pPr>
        <w:shd w:val="clear" w:color="auto" w:fill="auto"/>
        <w:rPr>
          <w:rFonts w:hint="eastAsia" w:ascii="宋体" w:hAnsi="宋体" w:eastAsia="宋体" w:cs="宋体"/>
          <w:bCs/>
          <w:color w:val="auto"/>
          <w:sz w:val="24"/>
          <w:szCs w:val="24"/>
          <w:highlight w:val="none"/>
          <w:lang w:bidi="ar"/>
        </w:rPr>
      </w:pPr>
    </w:p>
    <w:p w14:paraId="6ADC65E3">
      <w:pPr>
        <w:shd w:val="clear" w:color="auto" w:fill="auto"/>
        <w:rPr>
          <w:rFonts w:hint="eastAsia" w:ascii="宋体" w:hAnsi="宋体" w:eastAsia="宋体" w:cs="宋体"/>
          <w:bCs/>
          <w:color w:val="auto"/>
          <w:sz w:val="24"/>
          <w:szCs w:val="24"/>
          <w:highlight w:val="none"/>
          <w:lang w:bidi="ar"/>
        </w:rPr>
      </w:pPr>
    </w:p>
    <w:p w14:paraId="7ABB9E46">
      <w:pPr>
        <w:shd w:val="clear" w:color="auto" w:fill="auto"/>
        <w:rPr>
          <w:rFonts w:hint="eastAsia" w:ascii="宋体" w:hAnsi="宋体" w:eastAsia="宋体" w:cs="宋体"/>
          <w:bCs/>
          <w:color w:val="auto"/>
          <w:sz w:val="24"/>
          <w:szCs w:val="24"/>
          <w:highlight w:val="none"/>
          <w:lang w:bidi="ar"/>
        </w:rPr>
      </w:pPr>
    </w:p>
    <w:p w14:paraId="2EDE4198">
      <w:pPr>
        <w:shd w:val="clear" w:color="auto" w:fill="auto"/>
        <w:rPr>
          <w:rFonts w:hint="eastAsia" w:ascii="宋体" w:hAnsi="宋体" w:eastAsia="宋体" w:cs="宋体"/>
          <w:bCs/>
          <w:color w:val="auto"/>
          <w:sz w:val="24"/>
          <w:szCs w:val="24"/>
          <w:highlight w:val="none"/>
          <w:lang w:bidi="ar"/>
        </w:rPr>
      </w:pPr>
    </w:p>
    <w:p w14:paraId="1774512B">
      <w:pPr>
        <w:shd w:val="clear" w:color="auto" w:fill="auto"/>
        <w:rPr>
          <w:rFonts w:hint="eastAsia" w:ascii="宋体" w:hAnsi="宋体" w:eastAsia="宋体" w:cs="宋体"/>
          <w:bCs/>
          <w:color w:val="auto"/>
          <w:sz w:val="24"/>
          <w:szCs w:val="24"/>
          <w:highlight w:val="none"/>
          <w:lang w:bidi="ar"/>
        </w:rPr>
      </w:pPr>
    </w:p>
    <w:p w14:paraId="5E4CFB32">
      <w:pPr>
        <w:shd w:val="clear" w:color="auto" w:fill="auto"/>
        <w:rPr>
          <w:rFonts w:hint="eastAsia" w:ascii="宋体" w:hAnsi="宋体" w:eastAsia="宋体" w:cs="宋体"/>
          <w:bCs/>
          <w:color w:val="auto"/>
          <w:sz w:val="24"/>
          <w:szCs w:val="24"/>
          <w:highlight w:val="none"/>
          <w:lang w:bidi="ar"/>
        </w:rPr>
      </w:pPr>
    </w:p>
    <w:p w14:paraId="53051A05">
      <w:pPr>
        <w:shd w:val="clear" w:color="auto" w:fill="auto"/>
        <w:rPr>
          <w:rFonts w:hint="eastAsia" w:ascii="宋体" w:hAnsi="宋体" w:eastAsia="宋体" w:cs="宋体"/>
          <w:bCs/>
          <w:color w:val="auto"/>
          <w:sz w:val="24"/>
          <w:szCs w:val="24"/>
          <w:highlight w:val="none"/>
          <w:lang w:bidi="ar"/>
        </w:rPr>
      </w:pPr>
    </w:p>
    <w:p w14:paraId="654EF218">
      <w:pPr>
        <w:shd w:val="clear" w:color="auto" w:fill="auto"/>
        <w:rPr>
          <w:rFonts w:hint="eastAsia" w:ascii="宋体" w:hAnsi="宋体" w:eastAsia="宋体" w:cs="宋体"/>
          <w:bCs/>
          <w:color w:val="auto"/>
          <w:sz w:val="24"/>
          <w:szCs w:val="24"/>
          <w:highlight w:val="none"/>
          <w:lang w:bidi="ar"/>
        </w:rPr>
      </w:pPr>
    </w:p>
    <w:p w14:paraId="2FEB0588">
      <w:pPr>
        <w:shd w:val="clear" w:color="auto" w:fill="auto"/>
        <w:rPr>
          <w:rFonts w:hint="eastAsia" w:ascii="宋体" w:hAnsi="宋体" w:eastAsia="宋体" w:cs="宋体"/>
          <w:bCs/>
          <w:color w:val="auto"/>
          <w:sz w:val="24"/>
          <w:szCs w:val="24"/>
          <w:highlight w:val="none"/>
          <w:lang w:bidi="ar"/>
        </w:rPr>
      </w:pPr>
    </w:p>
    <w:p w14:paraId="462AA130">
      <w:pPr>
        <w:shd w:val="clear" w:color="auto" w:fill="auto"/>
        <w:rPr>
          <w:rFonts w:hint="eastAsia" w:ascii="宋体" w:hAnsi="宋体" w:eastAsia="宋体" w:cs="宋体"/>
          <w:bCs/>
          <w:color w:val="auto"/>
          <w:sz w:val="24"/>
          <w:szCs w:val="24"/>
          <w:highlight w:val="none"/>
          <w:lang w:bidi="ar"/>
        </w:rPr>
      </w:pPr>
    </w:p>
    <w:p w14:paraId="7C93587F">
      <w:pPr>
        <w:shd w:val="clear" w:color="auto" w:fill="auto"/>
        <w:rPr>
          <w:rFonts w:hint="eastAsia" w:ascii="宋体" w:hAnsi="宋体" w:eastAsia="宋体" w:cs="宋体"/>
          <w:bCs/>
          <w:color w:val="auto"/>
          <w:sz w:val="24"/>
          <w:szCs w:val="24"/>
          <w:highlight w:val="none"/>
          <w:lang w:bidi="ar"/>
        </w:rPr>
      </w:pPr>
    </w:p>
    <w:p w14:paraId="54B499BD">
      <w:pPr>
        <w:shd w:val="clear" w:color="auto" w:fill="auto"/>
        <w:rPr>
          <w:rFonts w:hint="eastAsia" w:ascii="宋体" w:hAnsi="宋体" w:eastAsia="宋体" w:cs="宋体"/>
          <w:bCs/>
          <w:color w:val="auto"/>
          <w:sz w:val="24"/>
          <w:szCs w:val="24"/>
          <w:highlight w:val="none"/>
          <w:lang w:bidi="ar"/>
        </w:rPr>
      </w:pPr>
    </w:p>
    <w:p w14:paraId="701551AD">
      <w:pPr>
        <w:shd w:val="clear" w:color="auto" w:fill="auto"/>
        <w:rPr>
          <w:rFonts w:hint="eastAsia" w:ascii="宋体" w:hAnsi="宋体" w:eastAsia="宋体" w:cs="宋体"/>
          <w:bCs/>
          <w:color w:val="auto"/>
          <w:sz w:val="24"/>
          <w:szCs w:val="24"/>
          <w:highlight w:val="none"/>
          <w:lang w:bidi="ar"/>
        </w:rPr>
      </w:pPr>
    </w:p>
    <w:p w14:paraId="23BFBF28">
      <w:pPr>
        <w:shd w:val="clear" w:color="auto" w:fill="auto"/>
        <w:rPr>
          <w:rFonts w:hint="eastAsia" w:ascii="宋体" w:hAnsi="宋体" w:eastAsia="宋体" w:cs="宋体"/>
          <w:bCs/>
          <w:color w:val="auto"/>
          <w:sz w:val="24"/>
          <w:szCs w:val="24"/>
          <w:highlight w:val="none"/>
          <w:lang w:bidi="ar"/>
        </w:rPr>
      </w:pPr>
    </w:p>
    <w:p w14:paraId="03C16DBA">
      <w:pPr>
        <w:shd w:val="clear" w:color="auto" w:fill="auto"/>
        <w:rPr>
          <w:rFonts w:hint="eastAsia" w:ascii="宋体" w:hAnsi="宋体" w:eastAsia="宋体" w:cs="宋体"/>
          <w:bCs/>
          <w:color w:val="auto"/>
          <w:sz w:val="24"/>
          <w:szCs w:val="24"/>
          <w:highlight w:val="none"/>
          <w:lang w:bidi="ar"/>
        </w:rPr>
      </w:pPr>
    </w:p>
    <w:p w14:paraId="367799F7">
      <w:pPr>
        <w:shd w:val="clear" w:color="auto" w:fill="auto"/>
        <w:rPr>
          <w:rFonts w:hint="eastAsia" w:ascii="宋体" w:hAnsi="宋体" w:eastAsia="宋体" w:cs="宋体"/>
          <w:bCs/>
          <w:color w:val="auto"/>
          <w:sz w:val="24"/>
          <w:szCs w:val="24"/>
          <w:highlight w:val="none"/>
          <w:lang w:bidi="ar"/>
        </w:rPr>
      </w:pPr>
    </w:p>
    <w:p w14:paraId="5856322E">
      <w:pPr>
        <w:shd w:val="clear" w:color="auto" w:fill="auto"/>
        <w:rPr>
          <w:rFonts w:hint="eastAsia" w:ascii="宋体" w:hAnsi="宋体" w:eastAsia="宋体" w:cs="宋体"/>
          <w:bCs/>
          <w:color w:val="auto"/>
          <w:sz w:val="24"/>
          <w:szCs w:val="24"/>
          <w:highlight w:val="none"/>
          <w:lang w:bidi="ar"/>
        </w:rPr>
      </w:pPr>
    </w:p>
    <w:p w14:paraId="255BDE04">
      <w:pPr>
        <w:shd w:val="clear" w:color="auto" w:fill="auto"/>
        <w:rPr>
          <w:rFonts w:hint="eastAsia" w:ascii="宋体" w:hAnsi="宋体" w:eastAsia="宋体" w:cs="宋体"/>
          <w:bCs/>
          <w:color w:val="auto"/>
          <w:sz w:val="24"/>
          <w:szCs w:val="24"/>
          <w:highlight w:val="none"/>
          <w:lang w:bidi="ar"/>
        </w:rPr>
      </w:pPr>
    </w:p>
    <w:p w14:paraId="597DE1BC">
      <w:pPr>
        <w:shd w:val="clear" w:color="auto" w:fill="auto"/>
        <w:rPr>
          <w:rFonts w:hint="eastAsia" w:ascii="宋体" w:hAnsi="宋体" w:eastAsia="宋体" w:cs="宋体"/>
          <w:bCs/>
          <w:color w:val="auto"/>
          <w:sz w:val="24"/>
          <w:szCs w:val="24"/>
          <w:highlight w:val="none"/>
          <w:lang w:bidi="ar"/>
        </w:rPr>
      </w:pPr>
    </w:p>
    <w:p w14:paraId="27477CCE">
      <w:pPr>
        <w:shd w:val="clear" w:color="auto" w:fill="auto"/>
        <w:rPr>
          <w:rFonts w:hint="eastAsia" w:ascii="宋体" w:hAnsi="宋体" w:eastAsia="宋体" w:cs="宋体"/>
          <w:bCs/>
          <w:color w:val="auto"/>
          <w:sz w:val="24"/>
          <w:szCs w:val="24"/>
          <w:highlight w:val="none"/>
          <w:lang w:bidi="ar"/>
        </w:rPr>
      </w:pPr>
    </w:p>
    <w:p w14:paraId="602B095A">
      <w:pPr>
        <w:shd w:val="clear" w:color="auto" w:fill="auto"/>
        <w:rPr>
          <w:rFonts w:hint="eastAsia" w:ascii="宋体" w:hAnsi="宋体" w:eastAsia="宋体" w:cs="宋体"/>
          <w:bCs/>
          <w:color w:val="auto"/>
          <w:sz w:val="24"/>
          <w:szCs w:val="24"/>
          <w:highlight w:val="none"/>
          <w:lang w:bidi="ar"/>
        </w:rPr>
      </w:pPr>
    </w:p>
    <w:p w14:paraId="38522B53">
      <w:pPr>
        <w:shd w:val="clear" w:color="auto" w:fil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附件</w:t>
      </w:r>
      <w:r>
        <w:rPr>
          <w:rFonts w:hint="eastAsia" w:hAnsi="宋体" w:eastAsia="宋体" w:cs="宋体"/>
          <w:bCs/>
          <w:color w:val="auto"/>
          <w:sz w:val="24"/>
          <w:szCs w:val="24"/>
          <w:highlight w:val="none"/>
          <w:lang w:val="en-US" w:eastAsia="zh-CN" w:bidi="ar"/>
        </w:rPr>
        <w:t>8</w:t>
      </w:r>
    </w:p>
    <w:p w14:paraId="777AD85F">
      <w:pPr>
        <w:shd w:val="clear" w:color="auto" w:fill="auto"/>
        <w:tabs>
          <w:tab w:val="left" w:pos="1260"/>
        </w:tabs>
        <w:snapToGrid w:val="0"/>
        <w:spacing w:line="30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投标人情况一览表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6EDC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67CA566A">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tc>
        <w:tc>
          <w:tcPr>
            <w:tcW w:w="7923" w:type="dxa"/>
            <w:gridSpan w:val="10"/>
            <w:tcBorders>
              <w:top w:val="double" w:color="auto" w:sz="4" w:space="0"/>
              <w:right w:val="double" w:color="auto" w:sz="4" w:space="0"/>
            </w:tcBorders>
            <w:noWrap w:val="0"/>
            <w:vAlign w:val="center"/>
          </w:tcPr>
          <w:p w14:paraId="279D8F4A">
            <w:pPr>
              <w:shd w:val="clear" w:color="auto" w:fill="auto"/>
              <w:tabs>
                <w:tab w:val="left" w:pos="4320"/>
              </w:tabs>
              <w:rPr>
                <w:rFonts w:hint="eastAsia" w:ascii="宋体" w:hAnsi="宋体" w:eastAsia="宋体" w:cs="宋体"/>
                <w:color w:val="auto"/>
                <w:szCs w:val="24"/>
                <w:highlight w:val="none"/>
              </w:rPr>
            </w:pPr>
          </w:p>
        </w:tc>
      </w:tr>
      <w:tr w14:paraId="3D11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54883B19">
            <w:pPr>
              <w:shd w:val="clear" w:color="auto" w:fill="auto"/>
              <w:tabs>
                <w:tab w:val="left" w:pos="4320"/>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单位优势及特长</w:t>
            </w:r>
          </w:p>
        </w:tc>
        <w:tc>
          <w:tcPr>
            <w:tcW w:w="7072" w:type="dxa"/>
            <w:gridSpan w:val="9"/>
            <w:tcBorders>
              <w:left w:val="single" w:color="auto" w:sz="4" w:space="0"/>
              <w:right w:val="double" w:color="auto" w:sz="4" w:space="0"/>
            </w:tcBorders>
            <w:noWrap w:val="0"/>
            <w:vAlign w:val="center"/>
          </w:tcPr>
          <w:p w14:paraId="78A647F9">
            <w:pPr>
              <w:shd w:val="clear" w:color="auto" w:fill="auto"/>
              <w:tabs>
                <w:tab w:val="left" w:pos="4320"/>
              </w:tabs>
              <w:rPr>
                <w:rFonts w:hint="eastAsia" w:ascii="宋体" w:hAnsi="宋体" w:eastAsia="宋体" w:cs="宋体"/>
                <w:color w:val="auto"/>
                <w:szCs w:val="24"/>
                <w:highlight w:val="none"/>
              </w:rPr>
            </w:pPr>
          </w:p>
        </w:tc>
      </w:tr>
      <w:tr w14:paraId="05D6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481887F6">
            <w:pPr>
              <w:shd w:val="clear" w:color="auto" w:fill="auto"/>
              <w:tabs>
                <w:tab w:val="left" w:pos="4320"/>
              </w:tabs>
              <w:ind w:left="266" w:hanging="266" w:hangingChars="111"/>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w:t>
            </w:r>
          </w:p>
          <w:p w14:paraId="7FCC73EC">
            <w:pPr>
              <w:shd w:val="clear" w:color="auto" w:fill="auto"/>
              <w:tabs>
                <w:tab w:val="left" w:pos="4320"/>
              </w:tabs>
              <w:ind w:left="266" w:hanging="266" w:hangingChars="111"/>
              <w:rPr>
                <w:rFonts w:hint="eastAsia" w:ascii="宋体" w:hAnsi="宋体" w:eastAsia="宋体" w:cs="宋体"/>
                <w:color w:val="auto"/>
                <w:szCs w:val="24"/>
                <w:highlight w:val="none"/>
              </w:rPr>
            </w:pPr>
            <w:r>
              <w:rPr>
                <w:rFonts w:hint="eastAsia" w:ascii="宋体" w:hAnsi="宋体" w:eastAsia="宋体" w:cs="宋体"/>
                <w:color w:val="auto"/>
                <w:szCs w:val="24"/>
                <w:highlight w:val="none"/>
              </w:rPr>
              <w:t>概况</w:t>
            </w:r>
          </w:p>
        </w:tc>
        <w:tc>
          <w:tcPr>
            <w:tcW w:w="1276" w:type="dxa"/>
            <w:gridSpan w:val="2"/>
            <w:noWrap w:val="0"/>
            <w:vAlign w:val="center"/>
          </w:tcPr>
          <w:p w14:paraId="7E7CF72C">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职工总数</w:t>
            </w:r>
          </w:p>
        </w:tc>
        <w:tc>
          <w:tcPr>
            <w:tcW w:w="1417" w:type="dxa"/>
            <w:gridSpan w:val="2"/>
            <w:noWrap w:val="0"/>
            <w:vAlign w:val="center"/>
          </w:tcPr>
          <w:p w14:paraId="099B7F88">
            <w:pPr>
              <w:shd w:val="clear" w:color="auto" w:fill="auto"/>
              <w:tabs>
                <w:tab w:val="left" w:pos="4320"/>
              </w:tabs>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人</w:t>
            </w:r>
          </w:p>
        </w:tc>
        <w:tc>
          <w:tcPr>
            <w:tcW w:w="567" w:type="dxa"/>
            <w:vMerge w:val="restart"/>
            <w:noWrap w:val="0"/>
            <w:vAlign w:val="center"/>
          </w:tcPr>
          <w:p w14:paraId="6BF28241">
            <w:pPr>
              <w:shd w:val="clear" w:color="auto" w:fill="auto"/>
              <w:tabs>
                <w:tab w:val="left" w:pos="4320"/>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t>上一年主要经济指标</w:t>
            </w:r>
          </w:p>
        </w:tc>
        <w:tc>
          <w:tcPr>
            <w:tcW w:w="946" w:type="dxa"/>
            <w:noWrap w:val="0"/>
            <w:vAlign w:val="center"/>
          </w:tcPr>
          <w:p w14:paraId="16B7EB23">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营业额</w:t>
            </w:r>
          </w:p>
        </w:tc>
        <w:tc>
          <w:tcPr>
            <w:tcW w:w="1414" w:type="dxa"/>
            <w:gridSpan w:val="2"/>
            <w:noWrap w:val="0"/>
            <w:vAlign w:val="center"/>
          </w:tcPr>
          <w:p w14:paraId="4D5F57F6">
            <w:pPr>
              <w:shd w:val="clear" w:color="auto" w:fill="auto"/>
              <w:tabs>
                <w:tab w:val="left" w:pos="4320"/>
              </w:tabs>
              <w:rPr>
                <w:rFonts w:hint="eastAsia" w:ascii="宋体" w:hAnsi="宋体" w:eastAsia="宋体" w:cs="宋体"/>
                <w:color w:val="auto"/>
                <w:szCs w:val="24"/>
                <w:highlight w:val="none"/>
              </w:rPr>
            </w:pPr>
          </w:p>
        </w:tc>
        <w:tc>
          <w:tcPr>
            <w:tcW w:w="1184" w:type="dxa"/>
            <w:gridSpan w:val="2"/>
            <w:noWrap w:val="0"/>
            <w:vAlign w:val="center"/>
          </w:tcPr>
          <w:p w14:paraId="06D0FDED">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实现利润</w:t>
            </w:r>
          </w:p>
        </w:tc>
        <w:tc>
          <w:tcPr>
            <w:tcW w:w="1544" w:type="dxa"/>
            <w:tcBorders>
              <w:right w:val="double" w:color="auto" w:sz="4" w:space="0"/>
            </w:tcBorders>
            <w:noWrap w:val="0"/>
            <w:vAlign w:val="center"/>
          </w:tcPr>
          <w:p w14:paraId="49B286EB">
            <w:pPr>
              <w:shd w:val="clear" w:color="auto" w:fill="auto"/>
              <w:tabs>
                <w:tab w:val="left" w:pos="4320"/>
              </w:tabs>
              <w:rPr>
                <w:rFonts w:hint="eastAsia" w:ascii="宋体" w:hAnsi="宋体" w:eastAsia="宋体" w:cs="宋体"/>
                <w:color w:val="auto"/>
                <w:szCs w:val="24"/>
                <w:highlight w:val="none"/>
              </w:rPr>
            </w:pPr>
          </w:p>
        </w:tc>
      </w:tr>
      <w:tr w14:paraId="6A87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16C81DD1">
            <w:pPr>
              <w:shd w:val="clear" w:color="auto" w:fill="auto"/>
              <w:tabs>
                <w:tab w:val="left" w:pos="4320"/>
              </w:tabs>
              <w:ind w:left="266" w:hanging="266" w:hangingChars="111"/>
              <w:rPr>
                <w:rFonts w:hint="eastAsia" w:ascii="宋体" w:hAnsi="宋体" w:eastAsia="宋体" w:cs="宋体"/>
                <w:color w:val="auto"/>
                <w:szCs w:val="24"/>
                <w:highlight w:val="none"/>
              </w:rPr>
            </w:pPr>
          </w:p>
        </w:tc>
        <w:tc>
          <w:tcPr>
            <w:tcW w:w="1276" w:type="dxa"/>
            <w:gridSpan w:val="2"/>
            <w:noWrap w:val="0"/>
            <w:vAlign w:val="center"/>
          </w:tcPr>
          <w:p w14:paraId="76D5F4F3">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流动资金</w:t>
            </w:r>
          </w:p>
        </w:tc>
        <w:tc>
          <w:tcPr>
            <w:tcW w:w="1417" w:type="dxa"/>
            <w:gridSpan w:val="2"/>
            <w:noWrap w:val="0"/>
            <w:vAlign w:val="center"/>
          </w:tcPr>
          <w:p w14:paraId="30836F0A">
            <w:pPr>
              <w:shd w:val="clear" w:color="auto" w:fill="auto"/>
              <w:tabs>
                <w:tab w:val="left" w:pos="4320"/>
              </w:tabs>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万元</w:t>
            </w:r>
          </w:p>
        </w:tc>
        <w:tc>
          <w:tcPr>
            <w:tcW w:w="567" w:type="dxa"/>
            <w:vMerge w:val="continue"/>
            <w:noWrap w:val="0"/>
            <w:vAlign w:val="center"/>
          </w:tcPr>
          <w:p w14:paraId="7FDC052D">
            <w:pPr>
              <w:shd w:val="clear" w:color="auto" w:fill="auto"/>
              <w:tabs>
                <w:tab w:val="left" w:pos="4320"/>
              </w:tabs>
              <w:rPr>
                <w:rFonts w:hint="eastAsia" w:ascii="宋体" w:hAnsi="宋体" w:eastAsia="宋体" w:cs="宋体"/>
                <w:color w:val="auto"/>
                <w:szCs w:val="24"/>
                <w:highlight w:val="none"/>
              </w:rPr>
            </w:pPr>
          </w:p>
        </w:tc>
        <w:tc>
          <w:tcPr>
            <w:tcW w:w="946" w:type="dxa"/>
            <w:vMerge w:val="restart"/>
            <w:noWrap w:val="0"/>
            <w:vAlign w:val="center"/>
          </w:tcPr>
          <w:p w14:paraId="482DB27C">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主要</w:t>
            </w:r>
          </w:p>
          <w:p w14:paraId="42942624">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w:t>
            </w:r>
          </w:p>
        </w:tc>
        <w:tc>
          <w:tcPr>
            <w:tcW w:w="4142" w:type="dxa"/>
            <w:gridSpan w:val="5"/>
            <w:tcBorders>
              <w:right w:val="double" w:color="auto" w:sz="4" w:space="0"/>
            </w:tcBorders>
            <w:noWrap w:val="0"/>
            <w:vAlign w:val="center"/>
          </w:tcPr>
          <w:p w14:paraId="196F3C13">
            <w:pPr>
              <w:shd w:val="clear" w:color="auto" w:fill="auto"/>
              <w:tabs>
                <w:tab w:val="left" w:pos="4320"/>
              </w:tabs>
              <w:spacing w:before="120" w:after="12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r>
      <w:tr w14:paraId="59A1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0"/>
            <w:vAlign w:val="center"/>
          </w:tcPr>
          <w:p w14:paraId="1A17A970">
            <w:pPr>
              <w:shd w:val="clear" w:color="auto" w:fill="auto"/>
              <w:tabs>
                <w:tab w:val="left" w:pos="4320"/>
              </w:tabs>
              <w:ind w:left="266" w:hanging="266" w:hangingChars="111"/>
              <w:rPr>
                <w:rFonts w:hint="eastAsia" w:ascii="宋体" w:hAnsi="宋体" w:eastAsia="宋体" w:cs="宋体"/>
                <w:color w:val="auto"/>
                <w:szCs w:val="24"/>
                <w:highlight w:val="none"/>
              </w:rPr>
            </w:pPr>
          </w:p>
        </w:tc>
        <w:tc>
          <w:tcPr>
            <w:tcW w:w="1276" w:type="dxa"/>
            <w:gridSpan w:val="2"/>
            <w:noWrap w:val="0"/>
            <w:vAlign w:val="center"/>
          </w:tcPr>
          <w:p w14:paraId="270FB022">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固定资产</w:t>
            </w:r>
          </w:p>
          <w:p w14:paraId="35364D6B">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（万元）</w:t>
            </w:r>
          </w:p>
        </w:tc>
        <w:tc>
          <w:tcPr>
            <w:tcW w:w="1417" w:type="dxa"/>
            <w:gridSpan w:val="2"/>
            <w:noWrap w:val="0"/>
            <w:vAlign w:val="center"/>
          </w:tcPr>
          <w:p w14:paraId="7F88100F">
            <w:pPr>
              <w:shd w:val="clear" w:color="auto" w:fill="auto"/>
              <w:tabs>
                <w:tab w:val="left" w:pos="-48"/>
                <w:tab w:val="left" w:pos="4320"/>
              </w:tabs>
              <w:ind w:right="-133" w:hanging="48"/>
              <w:rPr>
                <w:rFonts w:hint="eastAsia" w:ascii="宋体" w:hAnsi="宋体" w:eastAsia="宋体" w:cs="宋体"/>
                <w:color w:val="auto"/>
                <w:szCs w:val="24"/>
                <w:highlight w:val="none"/>
              </w:rPr>
            </w:pPr>
            <w:r>
              <w:rPr>
                <w:rFonts w:hint="eastAsia" w:ascii="宋体" w:hAnsi="宋体" w:eastAsia="宋体" w:cs="宋体"/>
                <w:color w:val="auto"/>
                <w:szCs w:val="24"/>
                <w:highlight w:val="none"/>
              </w:rPr>
              <w:t>原值：</w:t>
            </w:r>
          </w:p>
          <w:p w14:paraId="57D1F09D">
            <w:pPr>
              <w:shd w:val="clear" w:color="auto" w:fill="auto"/>
              <w:tabs>
                <w:tab w:val="left" w:pos="-48"/>
                <w:tab w:val="left" w:pos="4320"/>
              </w:tabs>
              <w:ind w:hanging="48"/>
              <w:jc w:val="right"/>
              <w:rPr>
                <w:rFonts w:hint="eastAsia" w:ascii="宋体" w:hAnsi="宋体" w:eastAsia="宋体" w:cs="宋体"/>
                <w:color w:val="auto"/>
                <w:szCs w:val="24"/>
                <w:highlight w:val="none"/>
              </w:rPr>
            </w:pPr>
          </w:p>
          <w:p w14:paraId="4029F9FA">
            <w:pPr>
              <w:shd w:val="clear" w:color="auto" w:fill="auto"/>
              <w:tabs>
                <w:tab w:val="left" w:pos="-48"/>
                <w:tab w:val="left" w:pos="4320"/>
              </w:tabs>
              <w:ind w:right="-133" w:hanging="48"/>
              <w:rPr>
                <w:rFonts w:hint="eastAsia" w:ascii="宋体" w:hAnsi="宋体" w:eastAsia="宋体" w:cs="宋体"/>
                <w:color w:val="auto"/>
                <w:szCs w:val="24"/>
                <w:highlight w:val="none"/>
              </w:rPr>
            </w:pPr>
            <w:r>
              <w:rPr>
                <w:rFonts w:hint="eastAsia" w:ascii="宋体" w:hAnsi="宋体" w:eastAsia="宋体" w:cs="宋体"/>
                <w:color w:val="auto"/>
                <w:szCs w:val="24"/>
                <w:highlight w:val="none"/>
              </w:rPr>
              <w:t>净值：</w:t>
            </w:r>
          </w:p>
          <w:p w14:paraId="690CEBE6">
            <w:pPr>
              <w:shd w:val="clear" w:color="auto" w:fill="auto"/>
              <w:tabs>
                <w:tab w:val="left" w:pos="-48"/>
                <w:tab w:val="left" w:pos="4320"/>
              </w:tabs>
              <w:ind w:hanging="48"/>
              <w:jc w:val="right"/>
              <w:rPr>
                <w:rFonts w:hint="eastAsia" w:ascii="宋体" w:hAnsi="宋体" w:eastAsia="宋体" w:cs="宋体"/>
                <w:color w:val="auto"/>
                <w:szCs w:val="24"/>
                <w:highlight w:val="none"/>
              </w:rPr>
            </w:pPr>
          </w:p>
        </w:tc>
        <w:tc>
          <w:tcPr>
            <w:tcW w:w="567" w:type="dxa"/>
            <w:vMerge w:val="continue"/>
            <w:noWrap w:val="0"/>
            <w:vAlign w:val="center"/>
          </w:tcPr>
          <w:p w14:paraId="21697B5F">
            <w:pPr>
              <w:shd w:val="clear" w:color="auto" w:fill="auto"/>
              <w:tabs>
                <w:tab w:val="left" w:pos="4320"/>
              </w:tabs>
              <w:rPr>
                <w:rFonts w:hint="eastAsia" w:ascii="宋体" w:hAnsi="宋体" w:eastAsia="宋体" w:cs="宋体"/>
                <w:color w:val="auto"/>
                <w:szCs w:val="24"/>
                <w:highlight w:val="none"/>
              </w:rPr>
            </w:pPr>
          </w:p>
        </w:tc>
        <w:tc>
          <w:tcPr>
            <w:tcW w:w="946" w:type="dxa"/>
            <w:vMerge w:val="continue"/>
            <w:noWrap w:val="0"/>
            <w:vAlign w:val="center"/>
          </w:tcPr>
          <w:p w14:paraId="4E1E5F37">
            <w:pPr>
              <w:shd w:val="clear" w:color="auto" w:fill="auto"/>
              <w:tabs>
                <w:tab w:val="left" w:pos="4320"/>
              </w:tabs>
              <w:jc w:val="center"/>
              <w:rPr>
                <w:rFonts w:hint="eastAsia" w:ascii="宋体" w:hAnsi="宋体" w:eastAsia="宋体" w:cs="宋体"/>
                <w:color w:val="auto"/>
                <w:szCs w:val="24"/>
                <w:highlight w:val="none"/>
              </w:rPr>
            </w:pPr>
          </w:p>
        </w:tc>
        <w:tc>
          <w:tcPr>
            <w:tcW w:w="4142" w:type="dxa"/>
            <w:gridSpan w:val="5"/>
            <w:tcBorders>
              <w:right w:val="double" w:color="auto" w:sz="4" w:space="0"/>
            </w:tcBorders>
            <w:noWrap w:val="0"/>
            <w:vAlign w:val="center"/>
          </w:tcPr>
          <w:p w14:paraId="154646AA">
            <w:pPr>
              <w:shd w:val="clear" w:color="auto" w:fill="auto"/>
              <w:tabs>
                <w:tab w:val="left" w:pos="4320"/>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r>
      <w:tr w14:paraId="7070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E61B452">
            <w:pPr>
              <w:shd w:val="clear" w:color="auto" w:fill="auto"/>
              <w:tabs>
                <w:tab w:val="left" w:pos="4320"/>
              </w:tabs>
              <w:ind w:left="266" w:hanging="266" w:hangingChars="111"/>
              <w:rPr>
                <w:rFonts w:hint="eastAsia" w:ascii="宋体" w:hAnsi="宋体" w:eastAsia="宋体" w:cs="宋体"/>
                <w:color w:val="auto"/>
                <w:szCs w:val="24"/>
                <w:highlight w:val="none"/>
              </w:rPr>
            </w:pPr>
          </w:p>
        </w:tc>
        <w:tc>
          <w:tcPr>
            <w:tcW w:w="1276" w:type="dxa"/>
            <w:gridSpan w:val="2"/>
            <w:noWrap w:val="0"/>
            <w:vAlign w:val="center"/>
          </w:tcPr>
          <w:p w14:paraId="30FDF990">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占地面积</w:t>
            </w:r>
          </w:p>
        </w:tc>
        <w:tc>
          <w:tcPr>
            <w:tcW w:w="1417" w:type="dxa"/>
            <w:gridSpan w:val="2"/>
            <w:noWrap w:val="0"/>
            <w:vAlign w:val="center"/>
          </w:tcPr>
          <w:p w14:paraId="58F6EF7A">
            <w:pPr>
              <w:shd w:val="clear" w:color="auto" w:fill="auto"/>
              <w:tabs>
                <w:tab w:val="left" w:pos="4320"/>
              </w:tabs>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M</w:t>
            </w:r>
            <w:r>
              <w:rPr>
                <w:rFonts w:hint="eastAsia" w:ascii="宋体" w:hAnsi="宋体" w:eastAsia="宋体" w:cs="宋体"/>
                <w:color w:val="auto"/>
                <w:szCs w:val="24"/>
                <w:highlight w:val="none"/>
                <w:vertAlign w:val="superscript"/>
              </w:rPr>
              <w:t>2</w:t>
            </w:r>
          </w:p>
        </w:tc>
        <w:tc>
          <w:tcPr>
            <w:tcW w:w="567" w:type="dxa"/>
            <w:vMerge w:val="continue"/>
            <w:noWrap w:val="0"/>
            <w:vAlign w:val="center"/>
          </w:tcPr>
          <w:p w14:paraId="3C7F96FB">
            <w:pPr>
              <w:shd w:val="clear" w:color="auto" w:fill="auto"/>
              <w:tabs>
                <w:tab w:val="left" w:pos="4320"/>
              </w:tabs>
              <w:rPr>
                <w:rFonts w:hint="eastAsia" w:ascii="宋体" w:hAnsi="宋体" w:eastAsia="宋体" w:cs="宋体"/>
                <w:color w:val="auto"/>
                <w:szCs w:val="24"/>
                <w:highlight w:val="none"/>
              </w:rPr>
            </w:pPr>
          </w:p>
        </w:tc>
        <w:tc>
          <w:tcPr>
            <w:tcW w:w="946" w:type="dxa"/>
            <w:vMerge w:val="continue"/>
            <w:noWrap w:val="0"/>
            <w:vAlign w:val="center"/>
          </w:tcPr>
          <w:p w14:paraId="4081B73C">
            <w:pPr>
              <w:shd w:val="clear" w:color="auto" w:fill="auto"/>
              <w:tabs>
                <w:tab w:val="left" w:pos="4320"/>
              </w:tabs>
              <w:jc w:val="center"/>
              <w:rPr>
                <w:rFonts w:hint="eastAsia" w:ascii="宋体" w:hAnsi="宋体" w:eastAsia="宋体" w:cs="宋体"/>
                <w:color w:val="auto"/>
                <w:szCs w:val="24"/>
                <w:highlight w:val="none"/>
              </w:rPr>
            </w:pPr>
          </w:p>
        </w:tc>
        <w:tc>
          <w:tcPr>
            <w:tcW w:w="4142" w:type="dxa"/>
            <w:gridSpan w:val="5"/>
            <w:tcBorders>
              <w:right w:val="double" w:color="auto" w:sz="4" w:space="0"/>
            </w:tcBorders>
            <w:noWrap w:val="0"/>
            <w:vAlign w:val="center"/>
          </w:tcPr>
          <w:p w14:paraId="4090949F">
            <w:pPr>
              <w:shd w:val="clear" w:color="auto" w:fill="auto"/>
              <w:tabs>
                <w:tab w:val="left" w:pos="4320"/>
              </w:tabs>
              <w:spacing w:before="120" w:after="12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r>
      <w:tr w14:paraId="2709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3AF0A001">
            <w:pPr>
              <w:shd w:val="clear" w:color="auto" w:fill="auto"/>
              <w:tabs>
                <w:tab w:val="left" w:pos="4320"/>
              </w:tabs>
              <w:ind w:left="266" w:hanging="266" w:hangingChars="111"/>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本次</w:t>
            </w:r>
          </w:p>
          <w:p w14:paraId="5AA7A142">
            <w:pPr>
              <w:shd w:val="clear" w:color="auto" w:fill="auto"/>
              <w:tabs>
                <w:tab w:val="left" w:pos="4320"/>
              </w:tabs>
              <w:ind w:left="266" w:hanging="266" w:hangingChars="111"/>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w:t>
            </w:r>
          </w:p>
          <w:p w14:paraId="2FFAB5F4">
            <w:pPr>
              <w:shd w:val="clear" w:color="auto" w:fill="auto"/>
              <w:tabs>
                <w:tab w:val="left" w:pos="4320"/>
              </w:tabs>
              <w:ind w:left="266" w:hanging="266" w:hangingChars="111"/>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w:t>
            </w:r>
          </w:p>
          <w:p w14:paraId="4B98B0B1">
            <w:pPr>
              <w:shd w:val="clear" w:color="auto" w:fill="auto"/>
              <w:tabs>
                <w:tab w:val="left" w:pos="4320"/>
              </w:tabs>
              <w:ind w:left="266" w:hanging="266" w:hangingChars="111"/>
              <w:rPr>
                <w:rFonts w:hint="eastAsia" w:ascii="宋体" w:hAnsi="宋体" w:eastAsia="宋体" w:cs="宋体"/>
                <w:color w:val="auto"/>
                <w:szCs w:val="24"/>
                <w:highlight w:val="none"/>
              </w:rPr>
            </w:pPr>
            <w:r>
              <w:rPr>
                <w:rFonts w:hint="eastAsia" w:ascii="宋体" w:hAnsi="宋体" w:eastAsia="宋体" w:cs="宋体"/>
                <w:color w:val="auto"/>
                <w:szCs w:val="24"/>
                <w:highlight w:val="none"/>
              </w:rPr>
              <w:t>情况</w:t>
            </w:r>
          </w:p>
        </w:tc>
        <w:tc>
          <w:tcPr>
            <w:tcW w:w="1643" w:type="dxa"/>
            <w:gridSpan w:val="3"/>
            <w:noWrap w:val="0"/>
            <w:vAlign w:val="center"/>
          </w:tcPr>
          <w:p w14:paraId="452EEF00">
            <w:pPr>
              <w:shd w:val="clear" w:color="auto" w:fill="auto"/>
              <w:tabs>
                <w:tab w:val="left" w:pos="4320"/>
              </w:tabs>
              <w:spacing w:before="60" w:after="6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本次投标</w:t>
            </w:r>
          </w:p>
          <w:p w14:paraId="06A0F63C">
            <w:pPr>
              <w:shd w:val="clear" w:color="auto" w:fill="auto"/>
              <w:tabs>
                <w:tab w:val="left" w:pos="4320"/>
              </w:tabs>
              <w:spacing w:before="60" w:after="6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产品名称</w:t>
            </w:r>
          </w:p>
        </w:tc>
        <w:tc>
          <w:tcPr>
            <w:tcW w:w="1617" w:type="dxa"/>
            <w:gridSpan w:val="2"/>
            <w:noWrap w:val="0"/>
            <w:vAlign w:val="center"/>
          </w:tcPr>
          <w:p w14:paraId="7DED428E">
            <w:pPr>
              <w:shd w:val="clear" w:color="auto" w:fill="auto"/>
              <w:tabs>
                <w:tab w:val="left" w:pos="4320"/>
              </w:tabs>
              <w:spacing w:before="60" w:after="6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型    号</w:t>
            </w:r>
          </w:p>
        </w:tc>
        <w:tc>
          <w:tcPr>
            <w:tcW w:w="946" w:type="dxa"/>
            <w:noWrap w:val="0"/>
            <w:vAlign w:val="center"/>
          </w:tcPr>
          <w:p w14:paraId="4F7699CD">
            <w:pPr>
              <w:shd w:val="clear" w:color="auto" w:fill="auto"/>
              <w:tabs>
                <w:tab w:val="left" w:pos="4320"/>
              </w:tabs>
              <w:spacing w:before="60" w:after="6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上年</w:t>
            </w:r>
          </w:p>
          <w:p w14:paraId="64FC7E92">
            <w:pPr>
              <w:shd w:val="clear" w:color="auto" w:fill="auto"/>
              <w:tabs>
                <w:tab w:val="left" w:pos="4320"/>
              </w:tabs>
              <w:spacing w:before="60" w:after="6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产销量</w:t>
            </w:r>
          </w:p>
        </w:tc>
        <w:tc>
          <w:tcPr>
            <w:tcW w:w="1263" w:type="dxa"/>
            <w:noWrap w:val="0"/>
            <w:vAlign w:val="center"/>
          </w:tcPr>
          <w:p w14:paraId="613319E5">
            <w:pPr>
              <w:shd w:val="clear" w:color="auto" w:fill="auto"/>
              <w:tabs>
                <w:tab w:val="left" w:pos="4320"/>
              </w:tabs>
              <w:spacing w:before="60" w:after="6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产品技术</w:t>
            </w:r>
          </w:p>
          <w:p w14:paraId="532CF975">
            <w:pPr>
              <w:shd w:val="clear" w:color="auto" w:fill="auto"/>
              <w:tabs>
                <w:tab w:val="left" w:pos="4320"/>
              </w:tabs>
              <w:spacing w:before="60" w:after="6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先进水平</w:t>
            </w:r>
          </w:p>
        </w:tc>
        <w:tc>
          <w:tcPr>
            <w:tcW w:w="1273" w:type="dxa"/>
            <w:gridSpan w:val="2"/>
            <w:noWrap w:val="0"/>
            <w:vAlign w:val="center"/>
          </w:tcPr>
          <w:p w14:paraId="4E38DA9E">
            <w:pPr>
              <w:shd w:val="clear" w:color="auto" w:fill="auto"/>
              <w:tabs>
                <w:tab w:val="left" w:pos="4320"/>
              </w:tabs>
              <w:spacing w:before="60" w:after="6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曾获何级</w:t>
            </w:r>
          </w:p>
          <w:p w14:paraId="793CA5A1">
            <w:pPr>
              <w:shd w:val="clear" w:color="auto" w:fill="auto"/>
              <w:tabs>
                <w:tab w:val="left" w:pos="4320"/>
              </w:tabs>
              <w:spacing w:before="60" w:after="6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何种奖励</w:t>
            </w:r>
          </w:p>
        </w:tc>
        <w:tc>
          <w:tcPr>
            <w:tcW w:w="1606" w:type="dxa"/>
            <w:gridSpan w:val="2"/>
            <w:tcBorders>
              <w:right w:val="double" w:color="auto" w:sz="4" w:space="0"/>
            </w:tcBorders>
            <w:noWrap w:val="0"/>
            <w:vAlign w:val="center"/>
          </w:tcPr>
          <w:p w14:paraId="7C2D47BB">
            <w:pPr>
              <w:shd w:val="clear" w:color="auto" w:fill="auto"/>
              <w:tabs>
                <w:tab w:val="left" w:pos="4320"/>
              </w:tabs>
              <w:spacing w:before="60" w:after="6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主要用户</w:t>
            </w:r>
          </w:p>
          <w:p w14:paraId="3D4441CB">
            <w:pPr>
              <w:shd w:val="clear" w:color="auto" w:fill="auto"/>
              <w:tabs>
                <w:tab w:val="left" w:pos="4320"/>
              </w:tabs>
              <w:spacing w:before="60" w:after="6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名称</w:t>
            </w:r>
          </w:p>
        </w:tc>
      </w:tr>
      <w:tr w14:paraId="6826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4CAEBAC1">
            <w:pPr>
              <w:shd w:val="clear" w:color="auto" w:fill="auto"/>
              <w:tabs>
                <w:tab w:val="left" w:pos="4320"/>
              </w:tabs>
              <w:rPr>
                <w:rFonts w:hint="eastAsia" w:ascii="宋体" w:hAnsi="宋体" w:eastAsia="宋体" w:cs="宋体"/>
                <w:color w:val="auto"/>
                <w:szCs w:val="24"/>
                <w:highlight w:val="none"/>
              </w:rPr>
            </w:pPr>
          </w:p>
        </w:tc>
        <w:tc>
          <w:tcPr>
            <w:tcW w:w="1643" w:type="dxa"/>
            <w:gridSpan w:val="3"/>
            <w:noWrap w:val="0"/>
            <w:vAlign w:val="center"/>
          </w:tcPr>
          <w:p w14:paraId="1DF915E2">
            <w:pPr>
              <w:shd w:val="clear" w:color="auto" w:fill="auto"/>
              <w:tabs>
                <w:tab w:val="left" w:pos="4320"/>
              </w:tabs>
              <w:rPr>
                <w:rFonts w:hint="eastAsia" w:ascii="宋体" w:hAnsi="宋体" w:eastAsia="宋体" w:cs="宋体"/>
                <w:color w:val="auto"/>
                <w:szCs w:val="24"/>
                <w:highlight w:val="none"/>
              </w:rPr>
            </w:pPr>
          </w:p>
        </w:tc>
        <w:tc>
          <w:tcPr>
            <w:tcW w:w="1617" w:type="dxa"/>
            <w:gridSpan w:val="2"/>
            <w:noWrap w:val="0"/>
            <w:vAlign w:val="center"/>
          </w:tcPr>
          <w:p w14:paraId="22E077F9">
            <w:pPr>
              <w:shd w:val="clear" w:color="auto" w:fill="auto"/>
              <w:tabs>
                <w:tab w:val="left" w:pos="4320"/>
              </w:tabs>
              <w:rPr>
                <w:rFonts w:hint="eastAsia" w:ascii="宋体" w:hAnsi="宋体" w:eastAsia="宋体" w:cs="宋体"/>
                <w:color w:val="auto"/>
                <w:szCs w:val="24"/>
                <w:highlight w:val="none"/>
              </w:rPr>
            </w:pPr>
          </w:p>
        </w:tc>
        <w:tc>
          <w:tcPr>
            <w:tcW w:w="946" w:type="dxa"/>
            <w:noWrap w:val="0"/>
            <w:vAlign w:val="center"/>
          </w:tcPr>
          <w:p w14:paraId="54C0D1D6">
            <w:pPr>
              <w:shd w:val="clear" w:color="auto" w:fill="auto"/>
              <w:tabs>
                <w:tab w:val="left" w:pos="4320"/>
              </w:tabs>
              <w:rPr>
                <w:rFonts w:hint="eastAsia" w:ascii="宋体" w:hAnsi="宋体" w:eastAsia="宋体" w:cs="宋体"/>
                <w:color w:val="auto"/>
                <w:szCs w:val="24"/>
                <w:highlight w:val="none"/>
              </w:rPr>
            </w:pPr>
          </w:p>
        </w:tc>
        <w:tc>
          <w:tcPr>
            <w:tcW w:w="1263" w:type="dxa"/>
            <w:noWrap w:val="0"/>
            <w:vAlign w:val="center"/>
          </w:tcPr>
          <w:p w14:paraId="179BA326">
            <w:pPr>
              <w:shd w:val="clear" w:color="auto" w:fill="auto"/>
              <w:tabs>
                <w:tab w:val="left" w:pos="4320"/>
              </w:tabs>
              <w:rPr>
                <w:rFonts w:hint="eastAsia" w:ascii="宋体" w:hAnsi="宋体" w:eastAsia="宋体" w:cs="宋体"/>
                <w:color w:val="auto"/>
                <w:szCs w:val="24"/>
                <w:highlight w:val="none"/>
              </w:rPr>
            </w:pPr>
          </w:p>
        </w:tc>
        <w:tc>
          <w:tcPr>
            <w:tcW w:w="1273" w:type="dxa"/>
            <w:gridSpan w:val="2"/>
            <w:noWrap w:val="0"/>
            <w:vAlign w:val="center"/>
          </w:tcPr>
          <w:p w14:paraId="5DC1D471">
            <w:pPr>
              <w:shd w:val="clear" w:color="auto" w:fill="auto"/>
              <w:tabs>
                <w:tab w:val="left" w:pos="4320"/>
              </w:tabs>
              <w:rPr>
                <w:rFonts w:hint="eastAsia" w:ascii="宋体" w:hAnsi="宋体" w:eastAsia="宋体" w:cs="宋体"/>
                <w:color w:val="auto"/>
                <w:szCs w:val="24"/>
                <w:highlight w:val="none"/>
              </w:rPr>
            </w:pPr>
          </w:p>
        </w:tc>
        <w:tc>
          <w:tcPr>
            <w:tcW w:w="1606" w:type="dxa"/>
            <w:gridSpan w:val="2"/>
            <w:tcBorders>
              <w:right w:val="double" w:color="auto" w:sz="4" w:space="0"/>
            </w:tcBorders>
            <w:noWrap w:val="0"/>
            <w:vAlign w:val="center"/>
          </w:tcPr>
          <w:p w14:paraId="6E4B514B">
            <w:pPr>
              <w:shd w:val="clear" w:color="auto" w:fill="auto"/>
              <w:tabs>
                <w:tab w:val="left" w:pos="4320"/>
              </w:tabs>
              <w:rPr>
                <w:rFonts w:hint="eastAsia" w:ascii="宋体" w:hAnsi="宋体" w:eastAsia="宋体" w:cs="宋体"/>
                <w:color w:val="auto"/>
                <w:szCs w:val="24"/>
                <w:highlight w:val="none"/>
              </w:rPr>
            </w:pPr>
          </w:p>
        </w:tc>
      </w:tr>
      <w:tr w14:paraId="37EA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77932E8">
            <w:pPr>
              <w:shd w:val="clear" w:color="auto" w:fill="auto"/>
              <w:tabs>
                <w:tab w:val="left" w:pos="4320"/>
              </w:tabs>
              <w:rPr>
                <w:rFonts w:hint="eastAsia" w:ascii="宋体" w:hAnsi="宋体" w:eastAsia="宋体" w:cs="宋体"/>
                <w:color w:val="auto"/>
                <w:szCs w:val="24"/>
                <w:highlight w:val="none"/>
              </w:rPr>
            </w:pPr>
          </w:p>
        </w:tc>
        <w:tc>
          <w:tcPr>
            <w:tcW w:w="1643" w:type="dxa"/>
            <w:gridSpan w:val="3"/>
            <w:noWrap w:val="0"/>
            <w:vAlign w:val="center"/>
          </w:tcPr>
          <w:p w14:paraId="0EBACDCF">
            <w:pPr>
              <w:shd w:val="clear" w:color="auto" w:fill="auto"/>
              <w:tabs>
                <w:tab w:val="left" w:pos="4320"/>
              </w:tabs>
              <w:rPr>
                <w:rFonts w:hint="eastAsia" w:ascii="宋体" w:hAnsi="宋体" w:eastAsia="宋体" w:cs="宋体"/>
                <w:color w:val="auto"/>
                <w:szCs w:val="24"/>
                <w:highlight w:val="none"/>
              </w:rPr>
            </w:pPr>
          </w:p>
        </w:tc>
        <w:tc>
          <w:tcPr>
            <w:tcW w:w="1617" w:type="dxa"/>
            <w:gridSpan w:val="2"/>
            <w:noWrap w:val="0"/>
            <w:vAlign w:val="center"/>
          </w:tcPr>
          <w:p w14:paraId="2AB6709E">
            <w:pPr>
              <w:shd w:val="clear" w:color="auto" w:fill="auto"/>
              <w:tabs>
                <w:tab w:val="left" w:pos="4320"/>
              </w:tabs>
              <w:rPr>
                <w:rFonts w:hint="eastAsia" w:ascii="宋体" w:hAnsi="宋体" w:eastAsia="宋体" w:cs="宋体"/>
                <w:color w:val="auto"/>
                <w:szCs w:val="24"/>
                <w:highlight w:val="none"/>
              </w:rPr>
            </w:pPr>
          </w:p>
        </w:tc>
        <w:tc>
          <w:tcPr>
            <w:tcW w:w="946" w:type="dxa"/>
            <w:noWrap w:val="0"/>
            <w:vAlign w:val="center"/>
          </w:tcPr>
          <w:p w14:paraId="6D0ECAE5">
            <w:pPr>
              <w:shd w:val="clear" w:color="auto" w:fill="auto"/>
              <w:tabs>
                <w:tab w:val="left" w:pos="4320"/>
              </w:tabs>
              <w:rPr>
                <w:rFonts w:hint="eastAsia" w:ascii="宋体" w:hAnsi="宋体" w:eastAsia="宋体" w:cs="宋体"/>
                <w:color w:val="auto"/>
                <w:szCs w:val="24"/>
                <w:highlight w:val="none"/>
              </w:rPr>
            </w:pPr>
          </w:p>
        </w:tc>
        <w:tc>
          <w:tcPr>
            <w:tcW w:w="1263" w:type="dxa"/>
            <w:noWrap w:val="0"/>
            <w:vAlign w:val="center"/>
          </w:tcPr>
          <w:p w14:paraId="160B6A8C">
            <w:pPr>
              <w:shd w:val="clear" w:color="auto" w:fill="auto"/>
              <w:tabs>
                <w:tab w:val="left" w:pos="4320"/>
              </w:tabs>
              <w:rPr>
                <w:rFonts w:hint="eastAsia" w:ascii="宋体" w:hAnsi="宋体" w:eastAsia="宋体" w:cs="宋体"/>
                <w:color w:val="auto"/>
                <w:szCs w:val="24"/>
                <w:highlight w:val="none"/>
              </w:rPr>
            </w:pPr>
          </w:p>
        </w:tc>
        <w:tc>
          <w:tcPr>
            <w:tcW w:w="1273" w:type="dxa"/>
            <w:gridSpan w:val="2"/>
            <w:noWrap w:val="0"/>
            <w:vAlign w:val="center"/>
          </w:tcPr>
          <w:p w14:paraId="2A2DD03E">
            <w:pPr>
              <w:shd w:val="clear" w:color="auto" w:fill="auto"/>
              <w:tabs>
                <w:tab w:val="left" w:pos="4320"/>
              </w:tabs>
              <w:rPr>
                <w:rFonts w:hint="eastAsia" w:ascii="宋体" w:hAnsi="宋体" w:eastAsia="宋体" w:cs="宋体"/>
                <w:color w:val="auto"/>
                <w:szCs w:val="24"/>
                <w:highlight w:val="none"/>
              </w:rPr>
            </w:pPr>
          </w:p>
        </w:tc>
        <w:tc>
          <w:tcPr>
            <w:tcW w:w="1606" w:type="dxa"/>
            <w:gridSpan w:val="2"/>
            <w:tcBorders>
              <w:right w:val="double" w:color="auto" w:sz="4" w:space="0"/>
            </w:tcBorders>
            <w:noWrap w:val="0"/>
            <w:vAlign w:val="center"/>
          </w:tcPr>
          <w:p w14:paraId="615D3402">
            <w:pPr>
              <w:shd w:val="clear" w:color="auto" w:fill="auto"/>
              <w:tabs>
                <w:tab w:val="left" w:pos="4320"/>
              </w:tabs>
              <w:rPr>
                <w:rFonts w:hint="eastAsia" w:ascii="宋体" w:hAnsi="宋体" w:eastAsia="宋体" w:cs="宋体"/>
                <w:color w:val="auto"/>
                <w:szCs w:val="24"/>
                <w:highlight w:val="none"/>
              </w:rPr>
            </w:pPr>
          </w:p>
        </w:tc>
      </w:tr>
      <w:tr w14:paraId="1FC5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4999D817">
            <w:pPr>
              <w:shd w:val="clear" w:color="auto" w:fill="auto"/>
              <w:tabs>
                <w:tab w:val="left" w:pos="4320"/>
              </w:tabs>
              <w:rPr>
                <w:rFonts w:hint="eastAsia" w:ascii="宋体" w:hAnsi="宋体" w:eastAsia="宋体" w:cs="宋体"/>
                <w:color w:val="auto"/>
                <w:szCs w:val="24"/>
                <w:highlight w:val="none"/>
              </w:rPr>
            </w:pPr>
          </w:p>
        </w:tc>
        <w:tc>
          <w:tcPr>
            <w:tcW w:w="1643" w:type="dxa"/>
            <w:gridSpan w:val="3"/>
            <w:noWrap w:val="0"/>
            <w:vAlign w:val="center"/>
          </w:tcPr>
          <w:p w14:paraId="71A11E81">
            <w:pPr>
              <w:shd w:val="clear" w:color="auto" w:fill="auto"/>
              <w:tabs>
                <w:tab w:val="left" w:pos="4320"/>
              </w:tabs>
              <w:rPr>
                <w:rFonts w:hint="eastAsia" w:ascii="宋体" w:hAnsi="宋体" w:eastAsia="宋体" w:cs="宋体"/>
                <w:color w:val="auto"/>
                <w:szCs w:val="24"/>
                <w:highlight w:val="none"/>
              </w:rPr>
            </w:pPr>
          </w:p>
        </w:tc>
        <w:tc>
          <w:tcPr>
            <w:tcW w:w="1617" w:type="dxa"/>
            <w:gridSpan w:val="2"/>
            <w:noWrap w:val="0"/>
            <w:vAlign w:val="center"/>
          </w:tcPr>
          <w:p w14:paraId="7FEFB379">
            <w:pPr>
              <w:shd w:val="clear" w:color="auto" w:fill="auto"/>
              <w:tabs>
                <w:tab w:val="left" w:pos="4320"/>
              </w:tabs>
              <w:rPr>
                <w:rFonts w:hint="eastAsia" w:ascii="宋体" w:hAnsi="宋体" w:eastAsia="宋体" w:cs="宋体"/>
                <w:color w:val="auto"/>
                <w:szCs w:val="24"/>
                <w:highlight w:val="none"/>
              </w:rPr>
            </w:pPr>
          </w:p>
        </w:tc>
        <w:tc>
          <w:tcPr>
            <w:tcW w:w="946" w:type="dxa"/>
            <w:noWrap w:val="0"/>
            <w:vAlign w:val="center"/>
          </w:tcPr>
          <w:p w14:paraId="59F58B8F">
            <w:pPr>
              <w:shd w:val="clear" w:color="auto" w:fill="auto"/>
              <w:tabs>
                <w:tab w:val="left" w:pos="4320"/>
              </w:tabs>
              <w:rPr>
                <w:rFonts w:hint="eastAsia" w:ascii="宋体" w:hAnsi="宋体" w:eastAsia="宋体" w:cs="宋体"/>
                <w:color w:val="auto"/>
                <w:szCs w:val="24"/>
                <w:highlight w:val="none"/>
              </w:rPr>
            </w:pPr>
          </w:p>
        </w:tc>
        <w:tc>
          <w:tcPr>
            <w:tcW w:w="1263" w:type="dxa"/>
            <w:noWrap w:val="0"/>
            <w:vAlign w:val="center"/>
          </w:tcPr>
          <w:p w14:paraId="1F6924CB">
            <w:pPr>
              <w:shd w:val="clear" w:color="auto" w:fill="auto"/>
              <w:tabs>
                <w:tab w:val="left" w:pos="4320"/>
              </w:tabs>
              <w:rPr>
                <w:rFonts w:hint="eastAsia" w:ascii="宋体" w:hAnsi="宋体" w:eastAsia="宋体" w:cs="宋体"/>
                <w:color w:val="auto"/>
                <w:szCs w:val="24"/>
                <w:highlight w:val="none"/>
              </w:rPr>
            </w:pPr>
          </w:p>
        </w:tc>
        <w:tc>
          <w:tcPr>
            <w:tcW w:w="1273" w:type="dxa"/>
            <w:gridSpan w:val="2"/>
            <w:noWrap w:val="0"/>
            <w:vAlign w:val="center"/>
          </w:tcPr>
          <w:p w14:paraId="20B59B8C">
            <w:pPr>
              <w:shd w:val="clear" w:color="auto" w:fill="auto"/>
              <w:tabs>
                <w:tab w:val="left" w:pos="4320"/>
              </w:tabs>
              <w:rPr>
                <w:rFonts w:hint="eastAsia" w:ascii="宋体" w:hAnsi="宋体" w:eastAsia="宋体" w:cs="宋体"/>
                <w:color w:val="auto"/>
                <w:szCs w:val="24"/>
                <w:highlight w:val="none"/>
              </w:rPr>
            </w:pPr>
          </w:p>
        </w:tc>
        <w:tc>
          <w:tcPr>
            <w:tcW w:w="1606" w:type="dxa"/>
            <w:gridSpan w:val="2"/>
            <w:tcBorders>
              <w:right w:val="double" w:color="auto" w:sz="4" w:space="0"/>
            </w:tcBorders>
            <w:noWrap w:val="0"/>
            <w:vAlign w:val="center"/>
          </w:tcPr>
          <w:p w14:paraId="7A2A999F">
            <w:pPr>
              <w:shd w:val="clear" w:color="auto" w:fill="auto"/>
              <w:tabs>
                <w:tab w:val="left" w:pos="4320"/>
              </w:tabs>
              <w:rPr>
                <w:rFonts w:hint="eastAsia" w:ascii="宋体" w:hAnsi="宋体" w:eastAsia="宋体" w:cs="宋体"/>
                <w:color w:val="auto"/>
                <w:szCs w:val="24"/>
                <w:highlight w:val="none"/>
              </w:rPr>
            </w:pPr>
          </w:p>
        </w:tc>
      </w:tr>
      <w:tr w14:paraId="0675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41ACE2BE">
            <w:pPr>
              <w:shd w:val="clear" w:color="auto" w:fill="auto"/>
              <w:tabs>
                <w:tab w:val="left" w:pos="4320"/>
              </w:tabs>
              <w:rPr>
                <w:rFonts w:hint="eastAsia" w:ascii="宋体" w:hAnsi="宋体" w:eastAsia="宋体" w:cs="宋体"/>
                <w:color w:val="auto"/>
                <w:szCs w:val="24"/>
                <w:highlight w:val="none"/>
              </w:rPr>
            </w:pPr>
          </w:p>
        </w:tc>
        <w:tc>
          <w:tcPr>
            <w:tcW w:w="1643" w:type="dxa"/>
            <w:gridSpan w:val="3"/>
            <w:noWrap w:val="0"/>
            <w:vAlign w:val="center"/>
          </w:tcPr>
          <w:p w14:paraId="43D00A05">
            <w:pPr>
              <w:shd w:val="clear" w:color="auto" w:fill="auto"/>
              <w:tabs>
                <w:tab w:val="left" w:pos="4320"/>
              </w:tabs>
              <w:rPr>
                <w:rFonts w:hint="eastAsia" w:ascii="宋体" w:hAnsi="宋体" w:eastAsia="宋体" w:cs="宋体"/>
                <w:color w:val="auto"/>
                <w:szCs w:val="24"/>
                <w:highlight w:val="none"/>
              </w:rPr>
            </w:pPr>
          </w:p>
        </w:tc>
        <w:tc>
          <w:tcPr>
            <w:tcW w:w="1617" w:type="dxa"/>
            <w:gridSpan w:val="2"/>
            <w:noWrap w:val="0"/>
            <w:vAlign w:val="center"/>
          </w:tcPr>
          <w:p w14:paraId="05D21101">
            <w:pPr>
              <w:shd w:val="clear" w:color="auto" w:fill="auto"/>
              <w:tabs>
                <w:tab w:val="left" w:pos="4320"/>
              </w:tabs>
              <w:rPr>
                <w:rFonts w:hint="eastAsia" w:ascii="宋体" w:hAnsi="宋体" w:eastAsia="宋体" w:cs="宋体"/>
                <w:color w:val="auto"/>
                <w:szCs w:val="24"/>
                <w:highlight w:val="none"/>
              </w:rPr>
            </w:pPr>
          </w:p>
        </w:tc>
        <w:tc>
          <w:tcPr>
            <w:tcW w:w="946" w:type="dxa"/>
            <w:noWrap w:val="0"/>
            <w:vAlign w:val="center"/>
          </w:tcPr>
          <w:p w14:paraId="35DC527A">
            <w:pPr>
              <w:shd w:val="clear" w:color="auto" w:fill="auto"/>
              <w:tabs>
                <w:tab w:val="left" w:pos="4320"/>
              </w:tabs>
              <w:rPr>
                <w:rFonts w:hint="eastAsia" w:ascii="宋体" w:hAnsi="宋体" w:eastAsia="宋体" w:cs="宋体"/>
                <w:color w:val="auto"/>
                <w:szCs w:val="24"/>
                <w:highlight w:val="none"/>
              </w:rPr>
            </w:pPr>
          </w:p>
        </w:tc>
        <w:tc>
          <w:tcPr>
            <w:tcW w:w="1263" w:type="dxa"/>
            <w:noWrap w:val="0"/>
            <w:vAlign w:val="center"/>
          </w:tcPr>
          <w:p w14:paraId="3AFD3890">
            <w:pPr>
              <w:shd w:val="clear" w:color="auto" w:fill="auto"/>
              <w:tabs>
                <w:tab w:val="left" w:pos="4320"/>
              </w:tabs>
              <w:rPr>
                <w:rFonts w:hint="eastAsia" w:ascii="宋体" w:hAnsi="宋体" w:eastAsia="宋体" w:cs="宋体"/>
                <w:color w:val="auto"/>
                <w:szCs w:val="24"/>
                <w:highlight w:val="none"/>
              </w:rPr>
            </w:pPr>
          </w:p>
        </w:tc>
        <w:tc>
          <w:tcPr>
            <w:tcW w:w="1273" w:type="dxa"/>
            <w:gridSpan w:val="2"/>
            <w:noWrap w:val="0"/>
            <w:vAlign w:val="center"/>
          </w:tcPr>
          <w:p w14:paraId="47384912">
            <w:pPr>
              <w:shd w:val="clear" w:color="auto" w:fill="auto"/>
              <w:tabs>
                <w:tab w:val="left" w:pos="4320"/>
              </w:tabs>
              <w:rPr>
                <w:rFonts w:hint="eastAsia" w:ascii="宋体" w:hAnsi="宋体" w:eastAsia="宋体" w:cs="宋体"/>
                <w:color w:val="auto"/>
                <w:szCs w:val="24"/>
                <w:highlight w:val="none"/>
              </w:rPr>
            </w:pPr>
          </w:p>
        </w:tc>
        <w:tc>
          <w:tcPr>
            <w:tcW w:w="1606" w:type="dxa"/>
            <w:gridSpan w:val="2"/>
            <w:tcBorders>
              <w:right w:val="double" w:color="auto" w:sz="4" w:space="0"/>
            </w:tcBorders>
            <w:noWrap w:val="0"/>
            <w:vAlign w:val="center"/>
          </w:tcPr>
          <w:p w14:paraId="0E120535">
            <w:pPr>
              <w:shd w:val="clear" w:color="auto" w:fill="auto"/>
              <w:tabs>
                <w:tab w:val="left" w:pos="4320"/>
              </w:tabs>
              <w:rPr>
                <w:rFonts w:hint="eastAsia" w:ascii="宋体" w:hAnsi="宋体" w:eastAsia="宋体" w:cs="宋体"/>
                <w:color w:val="auto"/>
                <w:szCs w:val="24"/>
                <w:highlight w:val="none"/>
              </w:rPr>
            </w:pPr>
          </w:p>
        </w:tc>
      </w:tr>
      <w:tr w14:paraId="16F3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71C3207D">
            <w:pPr>
              <w:shd w:val="clear" w:color="auto" w:fill="auto"/>
              <w:tabs>
                <w:tab w:val="left" w:pos="4320"/>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t>其它</w:t>
            </w:r>
          </w:p>
        </w:tc>
        <w:tc>
          <w:tcPr>
            <w:tcW w:w="4206" w:type="dxa"/>
            <w:gridSpan w:val="6"/>
            <w:noWrap w:val="0"/>
            <w:vAlign w:val="center"/>
          </w:tcPr>
          <w:p w14:paraId="1BD4D2A0">
            <w:pPr>
              <w:shd w:val="clear" w:color="auto" w:fill="auto"/>
              <w:tabs>
                <w:tab w:val="left" w:pos="4320"/>
              </w:tabs>
              <w:spacing w:before="60" w:after="6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近3年完成及正在执行的合同中发生的由于投标人违约或部分违约而引起诉讼和受到索赔的案件具体情况及结果（须如实填写，若对此进行隐瞒，尔后又被采购人或采购代理机构发现，或被它人举证成立，其投标资格将被取消）。</w:t>
            </w:r>
          </w:p>
        </w:tc>
        <w:tc>
          <w:tcPr>
            <w:tcW w:w="4142" w:type="dxa"/>
            <w:gridSpan w:val="5"/>
            <w:tcBorders>
              <w:right w:val="double" w:color="auto" w:sz="4" w:space="0"/>
            </w:tcBorders>
            <w:noWrap w:val="0"/>
            <w:vAlign w:val="center"/>
          </w:tcPr>
          <w:p w14:paraId="23F40129">
            <w:pPr>
              <w:shd w:val="clear" w:color="auto" w:fill="auto"/>
              <w:tabs>
                <w:tab w:val="left" w:pos="4320"/>
              </w:tabs>
              <w:spacing w:before="60" w:after="60"/>
              <w:rPr>
                <w:rFonts w:hint="eastAsia" w:ascii="宋体" w:hAnsi="宋体" w:eastAsia="宋体" w:cs="宋体"/>
                <w:color w:val="auto"/>
                <w:szCs w:val="24"/>
                <w:highlight w:val="none"/>
              </w:rPr>
            </w:pPr>
            <w:r>
              <w:rPr>
                <w:rFonts w:hint="eastAsia" w:ascii="宋体" w:hAnsi="宋体" w:eastAsia="宋体" w:cs="宋体"/>
                <w:color w:val="auto"/>
                <w:szCs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150C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59FBA3A7">
            <w:pPr>
              <w:shd w:val="clear" w:color="auto" w:fill="auto"/>
              <w:tabs>
                <w:tab w:val="left" w:pos="4320"/>
              </w:tabs>
              <w:rPr>
                <w:rFonts w:hint="eastAsia" w:ascii="宋体" w:hAnsi="宋体" w:eastAsia="宋体" w:cs="宋体"/>
                <w:color w:val="auto"/>
                <w:szCs w:val="24"/>
                <w:highlight w:val="none"/>
              </w:rPr>
            </w:pPr>
          </w:p>
        </w:tc>
        <w:tc>
          <w:tcPr>
            <w:tcW w:w="4206" w:type="dxa"/>
            <w:gridSpan w:val="6"/>
            <w:tcBorders>
              <w:bottom w:val="double" w:color="auto" w:sz="4" w:space="0"/>
            </w:tcBorders>
            <w:noWrap w:val="0"/>
            <w:vAlign w:val="center"/>
          </w:tcPr>
          <w:p w14:paraId="484679F5">
            <w:pPr>
              <w:shd w:val="clear" w:color="auto" w:fill="auto"/>
              <w:tabs>
                <w:tab w:val="left" w:pos="4320"/>
              </w:tabs>
              <w:rPr>
                <w:rFonts w:hint="eastAsia" w:ascii="宋体" w:hAnsi="宋体" w:eastAsia="宋体" w:cs="宋体"/>
                <w:color w:val="auto"/>
                <w:szCs w:val="24"/>
                <w:highlight w:val="none"/>
              </w:rPr>
            </w:pPr>
          </w:p>
        </w:tc>
        <w:tc>
          <w:tcPr>
            <w:tcW w:w="4142" w:type="dxa"/>
            <w:gridSpan w:val="5"/>
            <w:tcBorders>
              <w:bottom w:val="double" w:color="auto" w:sz="4" w:space="0"/>
              <w:right w:val="double" w:color="auto" w:sz="4" w:space="0"/>
            </w:tcBorders>
            <w:noWrap w:val="0"/>
            <w:vAlign w:val="center"/>
          </w:tcPr>
          <w:p w14:paraId="061D8F56">
            <w:pPr>
              <w:shd w:val="clear" w:color="auto" w:fill="auto"/>
              <w:tabs>
                <w:tab w:val="left" w:pos="4320"/>
              </w:tabs>
              <w:rPr>
                <w:rFonts w:hint="eastAsia" w:ascii="宋体" w:hAnsi="宋体" w:eastAsia="宋体" w:cs="宋体"/>
                <w:color w:val="auto"/>
                <w:szCs w:val="24"/>
                <w:highlight w:val="none"/>
              </w:rPr>
            </w:pPr>
          </w:p>
        </w:tc>
      </w:tr>
    </w:tbl>
    <w:p w14:paraId="75C0DFA9">
      <w:pPr>
        <w:shd w:val="clear" w:color="auto" w:fill="auto"/>
        <w:snapToGrid w:val="0"/>
        <w:spacing w:line="300" w:lineRule="auto"/>
        <w:contextualSpacing/>
        <w:rPr>
          <w:rFonts w:hint="eastAsia" w:ascii="宋体" w:hAnsi="宋体" w:eastAsia="宋体" w:cs="宋体"/>
          <w:color w:val="auto"/>
          <w:sz w:val="24"/>
          <w:szCs w:val="24"/>
          <w:highlight w:val="none"/>
        </w:rPr>
      </w:pPr>
    </w:p>
    <w:p w14:paraId="3ADEB6AA">
      <w:pPr>
        <w:shd w:val="clear" w:color="auto" w:fill="auto"/>
        <w:snapToGrid w:val="0"/>
        <w:spacing w:line="400" w:lineRule="exact"/>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w:t>
      </w:r>
      <w:r>
        <w:rPr>
          <w:rFonts w:hint="eastAsia" w:hAnsi="宋体" w:eastAsia="宋体" w:cs="宋体"/>
          <w:color w:val="auto"/>
          <w:sz w:val="24"/>
          <w:szCs w:val="24"/>
          <w:highlight w:val="none"/>
          <w:lang w:val="en-US" w:eastAsia="zh-CN"/>
        </w:rPr>
        <w:t>9</w:t>
      </w:r>
    </w:p>
    <w:p w14:paraId="04252654">
      <w:pPr>
        <w:shd w:val="clear" w:color="auto" w:fill="auto"/>
        <w:snapToGrid w:val="0"/>
        <w:spacing w:line="30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商务部分正负偏离表</w:t>
      </w:r>
    </w:p>
    <w:p w14:paraId="515BA17D">
      <w:pPr>
        <w:shd w:val="clear" w:color="auto" w:fill="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（由投标人据实填写，表格不够自行添加）</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4"/>
        <w:gridCol w:w="2301"/>
        <w:gridCol w:w="2009"/>
        <w:gridCol w:w="2593"/>
        <w:gridCol w:w="1427"/>
      </w:tblGrid>
      <w:tr w14:paraId="03F64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1D39C418">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1BA75D0D">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545692BA">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35B60C8A">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16DF2AC5">
            <w:pPr>
              <w:shd w:val="clear" w:color="auto" w:fill="auto"/>
              <w:spacing w:line="340" w:lineRule="exact"/>
              <w:jc w:val="center"/>
              <w:rPr>
                <w:rFonts w:hint="eastAsia" w:ascii="宋体" w:hAnsi="宋体" w:eastAsia="宋体" w:cs="宋体"/>
                <w:color w:val="auto"/>
                <w:szCs w:val="24"/>
                <w:highlight w:val="none"/>
              </w:rPr>
            </w:pPr>
          </w:p>
          <w:p w14:paraId="6073471D">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偏离说明</w:t>
            </w:r>
          </w:p>
        </w:tc>
      </w:tr>
      <w:tr w14:paraId="3060C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4752C44">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1D1082F">
            <w:pPr>
              <w:shd w:val="clear" w:color="auto" w:fill="auto"/>
              <w:spacing w:line="340" w:lineRule="exact"/>
              <w:jc w:val="left"/>
              <w:rPr>
                <w:rFonts w:hint="eastAsia" w:ascii="宋体" w:hAnsi="宋体" w:eastAsia="宋体" w:cs="宋体"/>
                <w:color w:val="auto"/>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29D64AB">
            <w:pPr>
              <w:shd w:val="clear" w:color="auto" w:fill="auto"/>
              <w:spacing w:line="340" w:lineRule="exact"/>
              <w:jc w:val="left"/>
              <w:rPr>
                <w:rFonts w:hint="eastAsia" w:ascii="宋体" w:hAnsi="宋体" w:eastAsia="宋体" w:cs="宋体"/>
                <w:color w:val="auto"/>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E0C75E1">
            <w:pPr>
              <w:shd w:val="clear" w:color="auto" w:fill="auto"/>
              <w:spacing w:line="340" w:lineRule="exact"/>
              <w:jc w:val="left"/>
              <w:rPr>
                <w:rFonts w:hint="eastAsia" w:ascii="宋体" w:hAnsi="宋体" w:eastAsia="宋体" w:cs="宋体"/>
                <w:color w:val="auto"/>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2B5E542">
            <w:pPr>
              <w:shd w:val="clear" w:color="auto" w:fill="auto"/>
              <w:spacing w:line="340" w:lineRule="exact"/>
              <w:jc w:val="left"/>
              <w:rPr>
                <w:rFonts w:hint="eastAsia" w:ascii="宋体" w:hAnsi="宋体" w:eastAsia="宋体" w:cs="宋体"/>
                <w:color w:val="auto"/>
                <w:szCs w:val="24"/>
                <w:highlight w:val="none"/>
              </w:rPr>
            </w:pPr>
          </w:p>
        </w:tc>
      </w:tr>
      <w:tr w14:paraId="76DDB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976B7C0">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FD8B090">
            <w:pPr>
              <w:shd w:val="clear" w:color="auto" w:fill="auto"/>
              <w:spacing w:line="340" w:lineRule="exact"/>
              <w:jc w:val="left"/>
              <w:rPr>
                <w:rFonts w:hint="eastAsia" w:ascii="宋体" w:hAnsi="宋体" w:eastAsia="宋体" w:cs="宋体"/>
                <w:color w:val="auto"/>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DB6DC1B">
            <w:pPr>
              <w:shd w:val="clear" w:color="auto" w:fill="auto"/>
              <w:spacing w:line="340" w:lineRule="exact"/>
              <w:jc w:val="left"/>
              <w:rPr>
                <w:rFonts w:hint="eastAsia" w:ascii="宋体" w:hAnsi="宋体" w:eastAsia="宋体" w:cs="宋体"/>
                <w:color w:val="auto"/>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5F246AC">
            <w:pPr>
              <w:shd w:val="clear" w:color="auto" w:fill="auto"/>
              <w:spacing w:line="340" w:lineRule="exact"/>
              <w:jc w:val="left"/>
              <w:rPr>
                <w:rFonts w:hint="eastAsia" w:ascii="宋体" w:hAnsi="宋体" w:eastAsia="宋体" w:cs="宋体"/>
                <w:color w:val="auto"/>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B3DE096">
            <w:pPr>
              <w:shd w:val="clear" w:color="auto" w:fill="auto"/>
              <w:spacing w:line="340" w:lineRule="exact"/>
              <w:jc w:val="left"/>
              <w:rPr>
                <w:rFonts w:hint="eastAsia" w:ascii="宋体" w:hAnsi="宋体" w:eastAsia="宋体" w:cs="宋体"/>
                <w:color w:val="auto"/>
                <w:szCs w:val="24"/>
                <w:highlight w:val="none"/>
              </w:rPr>
            </w:pPr>
          </w:p>
        </w:tc>
      </w:tr>
      <w:tr w14:paraId="73646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59DD9D8">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3BD9297">
            <w:pPr>
              <w:shd w:val="clear" w:color="auto" w:fill="auto"/>
              <w:spacing w:line="340" w:lineRule="exact"/>
              <w:jc w:val="left"/>
              <w:rPr>
                <w:rFonts w:hint="eastAsia" w:ascii="宋体" w:hAnsi="宋体" w:eastAsia="宋体" w:cs="宋体"/>
                <w:color w:val="auto"/>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C254177">
            <w:pPr>
              <w:shd w:val="clear" w:color="auto" w:fill="auto"/>
              <w:spacing w:line="340" w:lineRule="exact"/>
              <w:jc w:val="left"/>
              <w:rPr>
                <w:rFonts w:hint="eastAsia" w:ascii="宋体" w:hAnsi="宋体" w:eastAsia="宋体" w:cs="宋体"/>
                <w:color w:val="auto"/>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C23F1D5">
            <w:pPr>
              <w:shd w:val="clear" w:color="auto" w:fill="auto"/>
              <w:spacing w:line="340" w:lineRule="exact"/>
              <w:jc w:val="left"/>
              <w:rPr>
                <w:rFonts w:hint="eastAsia" w:ascii="宋体" w:hAnsi="宋体" w:eastAsia="宋体" w:cs="宋体"/>
                <w:color w:val="auto"/>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979E11E">
            <w:pPr>
              <w:shd w:val="clear" w:color="auto" w:fill="auto"/>
              <w:spacing w:line="340" w:lineRule="exact"/>
              <w:jc w:val="left"/>
              <w:rPr>
                <w:rFonts w:hint="eastAsia" w:ascii="宋体" w:hAnsi="宋体" w:eastAsia="宋体" w:cs="宋体"/>
                <w:color w:val="auto"/>
                <w:szCs w:val="24"/>
                <w:highlight w:val="none"/>
              </w:rPr>
            </w:pPr>
          </w:p>
        </w:tc>
      </w:tr>
      <w:tr w14:paraId="6FEC5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D9CB9E2">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E9795AE">
            <w:pPr>
              <w:shd w:val="clear" w:color="auto" w:fill="auto"/>
              <w:spacing w:line="340" w:lineRule="exact"/>
              <w:jc w:val="left"/>
              <w:rPr>
                <w:rFonts w:hint="eastAsia" w:ascii="宋体" w:hAnsi="宋体" w:eastAsia="宋体" w:cs="宋体"/>
                <w:color w:val="auto"/>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D6B663F">
            <w:pPr>
              <w:shd w:val="clear" w:color="auto" w:fill="auto"/>
              <w:spacing w:line="340" w:lineRule="exact"/>
              <w:jc w:val="left"/>
              <w:rPr>
                <w:rFonts w:hint="eastAsia" w:ascii="宋体" w:hAnsi="宋体" w:eastAsia="宋体" w:cs="宋体"/>
                <w:color w:val="auto"/>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916E2B4">
            <w:pPr>
              <w:shd w:val="clear" w:color="auto" w:fill="auto"/>
              <w:spacing w:line="340" w:lineRule="exact"/>
              <w:jc w:val="left"/>
              <w:rPr>
                <w:rFonts w:hint="eastAsia" w:ascii="宋体" w:hAnsi="宋体" w:eastAsia="宋体" w:cs="宋体"/>
                <w:color w:val="auto"/>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7FBFCFD">
            <w:pPr>
              <w:shd w:val="clear" w:color="auto" w:fill="auto"/>
              <w:spacing w:line="340" w:lineRule="exact"/>
              <w:jc w:val="left"/>
              <w:rPr>
                <w:rFonts w:hint="eastAsia" w:ascii="宋体" w:hAnsi="宋体" w:eastAsia="宋体" w:cs="宋体"/>
                <w:color w:val="auto"/>
                <w:szCs w:val="24"/>
                <w:highlight w:val="none"/>
              </w:rPr>
            </w:pPr>
          </w:p>
        </w:tc>
      </w:tr>
    </w:tbl>
    <w:p w14:paraId="21D83B3B">
      <w:pPr>
        <w:shd w:val="clear" w:color="auto" w:fill="auto"/>
        <w:snapToGrid w:val="0"/>
        <w:spacing w:line="300" w:lineRule="auto"/>
        <w:contextualSpacing/>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w:t>
      </w:r>
    </w:p>
    <w:p w14:paraId="1EC566F9">
      <w:pPr>
        <w:shd w:val="clear" w:color="auto" w:fill="auto"/>
        <w:snapToGrid w:val="0"/>
        <w:spacing w:line="30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1.投标人提交的投标文件中与招标文件第三部分“项目需求”中的商务部分的要求，应逐条填列在偏离表中。</w:t>
      </w:r>
    </w:p>
    <w:p w14:paraId="7C3C1C2D">
      <w:pPr>
        <w:shd w:val="clear" w:color="auto" w:fill="auto"/>
        <w:snapToGrid w:val="0"/>
        <w:spacing w:line="30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2.“偏离说明”一栏选择“正偏离”、“无偏离”、“负偏离”进行填写。正偏离、无偏离的确认和负偏离的是否响应招标文件，由评委认定。</w:t>
      </w:r>
    </w:p>
    <w:p w14:paraId="48A4981D">
      <w:pPr>
        <w:shd w:val="clear" w:color="auto" w:fill="auto"/>
        <w:snapToGrid w:val="0"/>
        <w:spacing w:line="300" w:lineRule="auto"/>
        <w:ind w:firstLine="480" w:firstLineChars="200"/>
        <w:contextualSpacing/>
        <w:rPr>
          <w:rFonts w:hint="eastAsia" w:ascii="宋体" w:hAnsi="宋体" w:eastAsia="宋体" w:cs="宋体"/>
          <w:bCs/>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bCs/>
          <w:color w:val="auto"/>
          <w:szCs w:val="24"/>
          <w:highlight w:val="none"/>
        </w:rPr>
        <w:t>供应商若提供其他增值服务，可以在表中自行据实填写。</w:t>
      </w:r>
    </w:p>
    <w:p w14:paraId="3E8EA1E7">
      <w:pPr>
        <w:shd w:val="clear" w:color="auto" w:fill="auto"/>
        <w:snapToGrid w:val="0"/>
        <w:spacing w:line="400" w:lineRule="exact"/>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w:t>
      </w:r>
      <w:r>
        <w:rPr>
          <w:rFonts w:hint="eastAsia" w:hAnsi="宋体" w:eastAsia="宋体" w:cs="宋体"/>
          <w:color w:val="auto"/>
          <w:sz w:val="24"/>
          <w:szCs w:val="24"/>
          <w:highlight w:val="none"/>
          <w:lang w:val="en-US" w:eastAsia="zh-CN"/>
        </w:rPr>
        <w:t>10</w:t>
      </w:r>
    </w:p>
    <w:p w14:paraId="2268ADF2">
      <w:pPr>
        <w:shd w:val="clear" w:color="auto" w:fill="auto"/>
        <w:snapToGrid w:val="0"/>
        <w:spacing w:line="30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技术部分正负偏离表</w:t>
      </w:r>
    </w:p>
    <w:p w14:paraId="2A047173">
      <w:pPr>
        <w:shd w:val="clear" w:color="auto" w:fill="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（由投标人据实填写，表格不够自行添加）</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4"/>
        <w:gridCol w:w="2301"/>
        <w:gridCol w:w="2009"/>
        <w:gridCol w:w="2593"/>
        <w:gridCol w:w="1427"/>
      </w:tblGrid>
      <w:tr w14:paraId="7B445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59E36890">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51829FE1">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0815A480">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3E829CAF">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7266F463">
            <w:pPr>
              <w:shd w:val="clear" w:color="auto" w:fill="auto"/>
              <w:spacing w:line="340" w:lineRule="exact"/>
              <w:jc w:val="center"/>
              <w:rPr>
                <w:rFonts w:hint="eastAsia" w:ascii="宋体" w:hAnsi="宋体" w:eastAsia="宋体" w:cs="宋体"/>
                <w:color w:val="auto"/>
                <w:szCs w:val="24"/>
                <w:highlight w:val="none"/>
              </w:rPr>
            </w:pPr>
          </w:p>
          <w:p w14:paraId="121E7D50">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偏离说明</w:t>
            </w:r>
          </w:p>
        </w:tc>
      </w:tr>
      <w:tr w14:paraId="32126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5B725F05">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995D637">
            <w:pPr>
              <w:shd w:val="clear" w:color="auto" w:fill="auto"/>
              <w:spacing w:line="340" w:lineRule="exact"/>
              <w:jc w:val="left"/>
              <w:rPr>
                <w:rFonts w:hint="eastAsia" w:ascii="宋体" w:hAnsi="宋体" w:eastAsia="宋体" w:cs="宋体"/>
                <w:color w:val="auto"/>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18463B1">
            <w:pPr>
              <w:shd w:val="clear" w:color="auto" w:fill="auto"/>
              <w:spacing w:line="340" w:lineRule="exact"/>
              <w:jc w:val="left"/>
              <w:rPr>
                <w:rFonts w:hint="eastAsia" w:ascii="宋体" w:hAnsi="宋体" w:eastAsia="宋体" w:cs="宋体"/>
                <w:color w:val="auto"/>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B741C20">
            <w:pPr>
              <w:shd w:val="clear" w:color="auto" w:fill="auto"/>
              <w:spacing w:line="340" w:lineRule="exact"/>
              <w:jc w:val="left"/>
              <w:rPr>
                <w:rFonts w:hint="eastAsia" w:ascii="宋体" w:hAnsi="宋体" w:eastAsia="宋体" w:cs="宋体"/>
                <w:color w:val="auto"/>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76EA587B">
            <w:pPr>
              <w:shd w:val="clear" w:color="auto" w:fill="auto"/>
              <w:spacing w:line="340" w:lineRule="exact"/>
              <w:jc w:val="left"/>
              <w:rPr>
                <w:rFonts w:hint="eastAsia" w:ascii="宋体" w:hAnsi="宋体" w:eastAsia="宋体" w:cs="宋体"/>
                <w:color w:val="auto"/>
                <w:szCs w:val="24"/>
                <w:highlight w:val="none"/>
              </w:rPr>
            </w:pPr>
          </w:p>
        </w:tc>
      </w:tr>
      <w:tr w14:paraId="28A36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1CB57EC">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EE11340">
            <w:pPr>
              <w:shd w:val="clear" w:color="auto" w:fill="auto"/>
              <w:spacing w:line="340" w:lineRule="exact"/>
              <w:jc w:val="left"/>
              <w:rPr>
                <w:rFonts w:hint="eastAsia" w:ascii="宋体" w:hAnsi="宋体" w:eastAsia="宋体" w:cs="宋体"/>
                <w:color w:val="auto"/>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330235D">
            <w:pPr>
              <w:shd w:val="clear" w:color="auto" w:fill="auto"/>
              <w:spacing w:line="340" w:lineRule="exact"/>
              <w:jc w:val="left"/>
              <w:rPr>
                <w:rFonts w:hint="eastAsia" w:ascii="宋体" w:hAnsi="宋体" w:eastAsia="宋体" w:cs="宋体"/>
                <w:color w:val="auto"/>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A712507">
            <w:pPr>
              <w:shd w:val="clear" w:color="auto" w:fill="auto"/>
              <w:spacing w:line="340" w:lineRule="exact"/>
              <w:jc w:val="left"/>
              <w:rPr>
                <w:rFonts w:hint="eastAsia" w:ascii="宋体" w:hAnsi="宋体" w:eastAsia="宋体" w:cs="宋体"/>
                <w:color w:val="auto"/>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FB7BF59">
            <w:pPr>
              <w:shd w:val="clear" w:color="auto" w:fill="auto"/>
              <w:spacing w:line="340" w:lineRule="exact"/>
              <w:jc w:val="left"/>
              <w:rPr>
                <w:rFonts w:hint="eastAsia" w:ascii="宋体" w:hAnsi="宋体" w:eastAsia="宋体" w:cs="宋体"/>
                <w:color w:val="auto"/>
                <w:szCs w:val="24"/>
                <w:highlight w:val="none"/>
              </w:rPr>
            </w:pPr>
          </w:p>
        </w:tc>
      </w:tr>
      <w:tr w14:paraId="17037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BB5C3E9">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6DC0D8B">
            <w:pPr>
              <w:shd w:val="clear" w:color="auto" w:fill="auto"/>
              <w:spacing w:line="340" w:lineRule="exact"/>
              <w:jc w:val="left"/>
              <w:rPr>
                <w:rFonts w:hint="eastAsia" w:ascii="宋体" w:hAnsi="宋体" w:eastAsia="宋体" w:cs="宋体"/>
                <w:color w:val="auto"/>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125BFF4">
            <w:pPr>
              <w:shd w:val="clear" w:color="auto" w:fill="auto"/>
              <w:spacing w:line="340" w:lineRule="exact"/>
              <w:jc w:val="left"/>
              <w:rPr>
                <w:rFonts w:hint="eastAsia" w:ascii="宋体" w:hAnsi="宋体" w:eastAsia="宋体" w:cs="宋体"/>
                <w:color w:val="auto"/>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935DFCC">
            <w:pPr>
              <w:shd w:val="clear" w:color="auto" w:fill="auto"/>
              <w:spacing w:line="340" w:lineRule="exact"/>
              <w:jc w:val="left"/>
              <w:rPr>
                <w:rFonts w:hint="eastAsia" w:ascii="宋体" w:hAnsi="宋体" w:eastAsia="宋体" w:cs="宋体"/>
                <w:color w:val="auto"/>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A685F85">
            <w:pPr>
              <w:shd w:val="clear" w:color="auto" w:fill="auto"/>
              <w:spacing w:line="340" w:lineRule="exact"/>
              <w:jc w:val="left"/>
              <w:rPr>
                <w:rFonts w:hint="eastAsia" w:ascii="宋体" w:hAnsi="宋体" w:eastAsia="宋体" w:cs="宋体"/>
                <w:color w:val="auto"/>
                <w:szCs w:val="24"/>
                <w:highlight w:val="none"/>
              </w:rPr>
            </w:pPr>
          </w:p>
        </w:tc>
      </w:tr>
      <w:tr w14:paraId="76EA0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9C63FE4">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6749AFA">
            <w:pPr>
              <w:shd w:val="clear" w:color="auto" w:fill="auto"/>
              <w:spacing w:line="340" w:lineRule="exact"/>
              <w:jc w:val="left"/>
              <w:rPr>
                <w:rFonts w:hint="eastAsia" w:ascii="宋体" w:hAnsi="宋体" w:eastAsia="宋体" w:cs="宋体"/>
                <w:color w:val="auto"/>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B346EAC">
            <w:pPr>
              <w:shd w:val="clear" w:color="auto" w:fill="auto"/>
              <w:spacing w:line="340" w:lineRule="exact"/>
              <w:jc w:val="left"/>
              <w:rPr>
                <w:rFonts w:hint="eastAsia" w:ascii="宋体" w:hAnsi="宋体" w:eastAsia="宋体" w:cs="宋体"/>
                <w:color w:val="auto"/>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FD9B108">
            <w:pPr>
              <w:shd w:val="clear" w:color="auto" w:fill="auto"/>
              <w:spacing w:line="340" w:lineRule="exact"/>
              <w:jc w:val="left"/>
              <w:rPr>
                <w:rFonts w:hint="eastAsia" w:ascii="宋体" w:hAnsi="宋体" w:eastAsia="宋体" w:cs="宋体"/>
                <w:color w:val="auto"/>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A72E205">
            <w:pPr>
              <w:shd w:val="clear" w:color="auto" w:fill="auto"/>
              <w:spacing w:line="340" w:lineRule="exact"/>
              <w:jc w:val="left"/>
              <w:rPr>
                <w:rFonts w:hint="eastAsia" w:ascii="宋体" w:hAnsi="宋体" w:eastAsia="宋体" w:cs="宋体"/>
                <w:color w:val="auto"/>
                <w:szCs w:val="24"/>
                <w:highlight w:val="none"/>
              </w:rPr>
            </w:pPr>
          </w:p>
        </w:tc>
      </w:tr>
    </w:tbl>
    <w:p w14:paraId="0CF894F6">
      <w:pPr>
        <w:shd w:val="clear" w:color="auto" w:fill="auto"/>
        <w:snapToGrid w:val="0"/>
        <w:spacing w:line="300" w:lineRule="auto"/>
        <w:contextualSpacing/>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w:t>
      </w:r>
    </w:p>
    <w:p w14:paraId="44EEB8B0">
      <w:pPr>
        <w:shd w:val="clear" w:color="auto" w:fill="auto"/>
        <w:snapToGrid w:val="0"/>
        <w:spacing w:line="30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1.投标人提交的投标文件中与招标文件第三部分“项目需求”中的技术部分的要求，应逐条填列在偏离表中。</w:t>
      </w:r>
    </w:p>
    <w:p w14:paraId="604AF5D7">
      <w:pPr>
        <w:shd w:val="clear" w:color="auto" w:fill="auto"/>
        <w:snapToGrid w:val="0"/>
        <w:spacing w:line="30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2. “偏离说明”一栏选择“正偏离”、“无偏离”、“负偏离”进行填写。正偏离、无偏离的确认和负偏离的是否响应招标文件，由评委认定。</w:t>
      </w:r>
    </w:p>
    <w:p w14:paraId="30CB8A16">
      <w:pPr>
        <w:shd w:val="clear" w:color="auto" w:fill="auto"/>
        <w:snapToGrid w:val="0"/>
        <w:spacing w:line="30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3.所投品牌型号，必须确定、唯一。</w:t>
      </w:r>
    </w:p>
    <w:p w14:paraId="39F78434">
      <w:pPr>
        <w:shd w:val="clear" w:color="auto" w:fill="auto"/>
        <w:snapToGrid w:val="0"/>
        <w:spacing w:line="30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4.供应商若提供其他增值服务，可以在表中自行据实填写。</w:t>
      </w:r>
    </w:p>
    <w:p w14:paraId="1CED2EA9">
      <w:pPr>
        <w:shd w:val="clear" w:color="auto" w:fill="auto"/>
        <w:spacing w:line="48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4006BCF9">
      <w:pPr>
        <w:shd w:val="clear" w:color="auto" w:fill="auto"/>
        <w:snapToGrid w:val="0"/>
        <w:spacing w:line="400" w:lineRule="exact"/>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w:t>
      </w:r>
      <w:r>
        <w:rPr>
          <w:rFonts w:hint="eastAsia" w:hAnsi="宋体" w:eastAsia="宋体" w:cs="宋体"/>
          <w:color w:val="auto"/>
          <w:sz w:val="24"/>
          <w:szCs w:val="24"/>
          <w:highlight w:val="none"/>
          <w:lang w:val="en-US" w:eastAsia="zh-CN"/>
        </w:rPr>
        <w:t>11</w:t>
      </w:r>
    </w:p>
    <w:p w14:paraId="3E2C151D">
      <w:pPr>
        <w:widowControl/>
        <w:shd w:val="clear" w:color="auto" w:fill="auto"/>
        <w:spacing w:before="100" w:beforeAutospacing="1" w:after="100" w:afterAutospacing="1" w:line="500" w:lineRule="atLeas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开  标 一 览  表</w:t>
      </w:r>
    </w:p>
    <w:p w14:paraId="13437191">
      <w:pPr>
        <w:shd w:val="clear" w:color="auto" w:fil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投标人全称（加盖公章）：</w:t>
      </w:r>
    </w:p>
    <w:p w14:paraId="25616B39">
      <w:pPr>
        <w:shd w:val="clear" w:color="auto" w:fil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p w14:paraId="6A145BFD">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4FD3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571D87DC">
            <w:pPr>
              <w:shd w:val="clear" w:color="auto" w:fill="auto"/>
              <w:jc w:val="center"/>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投标服务名称</w:t>
            </w:r>
          </w:p>
        </w:tc>
        <w:tc>
          <w:tcPr>
            <w:tcW w:w="4607" w:type="dxa"/>
            <w:noWrap w:val="0"/>
            <w:vAlign w:val="top"/>
          </w:tcPr>
          <w:p w14:paraId="3EDCEDD0">
            <w:pPr>
              <w:shd w:val="clear" w:color="auto" w:fill="auto"/>
              <w:jc w:val="center"/>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投标总报价</w:t>
            </w:r>
          </w:p>
        </w:tc>
      </w:tr>
      <w:tr w14:paraId="0158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top"/>
          </w:tcPr>
          <w:p w14:paraId="55DB8278">
            <w:pPr>
              <w:shd w:val="clear" w:color="auto" w:fill="auto"/>
              <w:rPr>
                <w:rFonts w:hint="eastAsia" w:ascii="宋体" w:hAnsi="宋体" w:eastAsia="宋体" w:cs="宋体"/>
                <w:color w:val="auto"/>
                <w:szCs w:val="24"/>
                <w:highlight w:val="none"/>
              </w:rPr>
            </w:pPr>
          </w:p>
        </w:tc>
        <w:tc>
          <w:tcPr>
            <w:tcW w:w="4607" w:type="dxa"/>
            <w:noWrap w:val="0"/>
            <w:vAlign w:val="top"/>
          </w:tcPr>
          <w:p w14:paraId="6F4BEB06">
            <w:pPr>
              <w:shd w:val="clear" w:color="auto" w:fil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大写：</w:t>
            </w:r>
          </w:p>
          <w:p w14:paraId="5F60133B">
            <w:pPr>
              <w:shd w:val="clear" w:color="auto" w:fill="auto"/>
              <w:rPr>
                <w:rFonts w:hint="eastAsia" w:ascii="宋体" w:hAnsi="宋体" w:eastAsia="宋体" w:cs="宋体"/>
                <w:color w:val="auto"/>
                <w:szCs w:val="24"/>
                <w:highlight w:val="none"/>
                <w:u w:val="single"/>
              </w:rPr>
            </w:pPr>
            <w:r>
              <w:rPr>
                <w:rFonts w:hint="eastAsia" w:ascii="宋体" w:hAnsi="宋体" w:eastAsia="宋体" w:cs="宋体"/>
                <w:color w:val="auto"/>
                <w:sz w:val="24"/>
                <w:szCs w:val="24"/>
                <w:highlight w:val="none"/>
              </w:rPr>
              <w:t>小写：元（人民币）</w:t>
            </w:r>
          </w:p>
        </w:tc>
      </w:tr>
      <w:tr w14:paraId="4F60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4148" w:type="dxa"/>
            <w:noWrap w:val="0"/>
            <w:vAlign w:val="top"/>
          </w:tcPr>
          <w:p w14:paraId="0FDCEAEC">
            <w:pPr>
              <w:shd w:val="clear" w:color="auto" w:fill="auto"/>
              <w:jc w:val="center"/>
              <w:rPr>
                <w:rFonts w:hint="eastAsia" w:ascii="宋体" w:hAnsi="宋体" w:eastAsia="宋体" w:cs="宋体"/>
                <w:color w:val="auto"/>
                <w:szCs w:val="24"/>
                <w:highlight w:val="none"/>
                <w:lang w:eastAsia="zh-CN"/>
              </w:rPr>
            </w:pPr>
            <w:r>
              <w:rPr>
                <w:rFonts w:hint="eastAsia" w:ascii="宋体" w:hAnsi="宋体" w:eastAsia="宋体" w:cs="宋体"/>
                <w:color w:val="auto"/>
                <w:sz w:val="24"/>
                <w:szCs w:val="24"/>
                <w:highlight w:val="none"/>
                <w:lang w:val="en-US" w:eastAsia="zh-CN"/>
              </w:rPr>
              <w:t>合计：</w:t>
            </w:r>
          </w:p>
        </w:tc>
        <w:tc>
          <w:tcPr>
            <w:tcW w:w="4607" w:type="dxa"/>
            <w:noWrap w:val="0"/>
            <w:vAlign w:val="top"/>
          </w:tcPr>
          <w:p w14:paraId="28D823CA">
            <w:pPr>
              <w:shd w:val="clear" w:color="auto" w:fill="auto"/>
              <w:rPr>
                <w:rFonts w:hint="eastAsia" w:ascii="宋体" w:hAnsi="宋体" w:eastAsia="宋体" w:cs="宋体"/>
                <w:color w:val="auto"/>
                <w:szCs w:val="24"/>
                <w:highlight w:val="none"/>
              </w:rPr>
            </w:pPr>
          </w:p>
        </w:tc>
      </w:tr>
    </w:tbl>
    <w:p w14:paraId="11C8C7F3">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0637A61">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填写说明：</w:t>
      </w:r>
    </w:p>
    <w:p w14:paraId="2D075E64">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1、开标一览表必须加盖投标单位公章（复印件无效）。</w:t>
      </w:r>
    </w:p>
    <w:p w14:paraId="461D8E10">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2、如有分包，投标人投任何一个包的标的，都需单独填写开标一览表。</w:t>
      </w:r>
    </w:p>
    <w:p w14:paraId="6DADA058">
      <w:pPr>
        <w:shd w:val="clear" w:color="auto" w:fill="auto"/>
        <w:snapToGrid w:val="0"/>
        <w:spacing w:line="400" w:lineRule="exact"/>
        <w:ind w:firstLine="463" w:firstLineChars="192"/>
        <w:contextualSpacing/>
        <w:rPr>
          <w:rFonts w:hint="eastAsia" w:ascii="宋体" w:hAnsi="宋体" w:eastAsia="宋体" w:cs="宋体"/>
          <w:b/>
          <w:color w:val="auto"/>
          <w:sz w:val="24"/>
          <w:szCs w:val="24"/>
          <w:highlight w:val="none"/>
        </w:rPr>
      </w:pPr>
    </w:p>
    <w:p w14:paraId="16B81C65">
      <w:pPr>
        <w:shd w:val="clear" w:color="auto" w:fill="auto"/>
        <w:snapToGrid w:val="0"/>
        <w:spacing w:line="4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w:t>
      </w:r>
      <w:r>
        <w:rPr>
          <w:rFonts w:hint="eastAsia" w:hAnsi="宋体" w:eastAsia="宋体" w:cs="宋体"/>
          <w:color w:val="auto"/>
          <w:sz w:val="24"/>
          <w:szCs w:val="24"/>
          <w:highlight w:val="none"/>
          <w:lang w:val="en-US" w:eastAsia="zh-CN"/>
        </w:rPr>
        <w:t>12</w:t>
      </w:r>
    </w:p>
    <w:p w14:paraId="4CBF46CA">
      <w:pPr>
        <w:shd w:val="clear" w:color="auto" w:fill="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质疑函范本</w:t>
      </w:r>
    </w:p>
    <w:p w14:paraId="17690D9D">
      <w:pPr>
        <w:shd w:val="clear" w:color="auto" w:fill="auto"/>
        <w:adjustRightInd w:val="0"/>
        <w:snapToGrid w:val="0"/>
        <w:spacing w:before="312"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422FEB5D">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p>
    <w:p w14:paraId="3A87ABC2">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邮编：</w:t>
      </w:r>
    </w:p>
    <w:p w14:paraId="1B4E293D">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联系电话：</w:t>
      </w:r>
    </w:p>
    <w:p w14:paraId="6A8321E0">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p>
    <w:p w14:paraId="59A7ECDC">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0A881C3A">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邮编：        邮箱：</w:t>
      </w:r>
    </w:p>
    <w:p w14:paraId="0418C686">
      <w:pPr>
        <w:shd w:val="clear" w:color="auto" w:fill="auto"/>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14C062D5">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p>
    <w:p w14:paraId="415A1350">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质疑项目的编号：包号：</w:t>
      </w:r>
    </w:p>
    <w:p w14:paraId="2D7C6543">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p>
    <w:p w14:paraId="1846536C">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p>
    <w:p w14:paraId="5A3A60EB">
      <w:pPr>
        <w:shd w:val="clear" w:color="auto" w:fill="auto"/>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07331143">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p>
    <w:p w14:paraId="3F109BF2">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p>
    <w:p w14:paraId="6AE4C7BE">
      <w:pPr>
        <w:shd w:val="clear" w:color="auto" w:fill="auto"/>
        <w:adjustRightInd w:val="0"/>
        <w:snapToGrid w:val="0"/>
        <w:spacing w:line="360" w:lineRule="auto"/>
        <w:rPr>
          <w:rFonts w:hint="eastAsia" w:ascii="宋体" w:hAnsi="宋体" w:eastAsia="宋体" w:cs="宋体"/>
          <w:color w:val="auto"/>
          <w:sz w:val="24"/>
          <w:szCs w:val="24"/>
          <w:highlight w:val="none"/>
        </w:rPr>
      </w:pPr>
    </w:p>
    <w:p w14:paraId="29BC2EAB">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p>
    <w:p w14:paraId="5A1CB62F">
      <w:pPr>
        <w:shd w:val="clear" w:color="auto" w:fill="auto"/>
        <w:adjustRightInd w:val="0"/>
        <w:snapToGrid w:val="0"/>
        <w:spacing w:line="360" w:lineRule="auto"/>
        <w:rPr>
          <w:rFonts w:hint="eastAsia" w:ascii="宋体" w:hAnsi="宋体" w:eastAsia="宋体" w:cs="宋体"/>
          <w:color w:val="auto"/>
          <w:sz w:val="24"/>
          <w:szCs w:val="24"/>
          <w:highlight w:val="none"/>
          <w:u w:val="dotted"/>
        </w:rPr>
      </w:pPr>
    </w:p>
    <w:p w14:paraId="2B435CEA">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35B9A549">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B39219F">
      <w:pPr>
        <w:shd w:val="clear" w:color="auto" w:fill="auto"/>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0098535">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p>
    <w:p w14:paraId="050ABC2D">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31C57E00">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4ED01B04">
      <w:pPr>
        <w:shd w:val="clear" w:color="auto" w:fill="auto"/>
        <w:adjustRightInd w:val="0"/>
        <w:snapToGrid w:val="0"/>
        <w:spacing w:line="360" w:lineRule="auto"/>
        <w:rPr>
          <w:rFonts w:hint="eastAsia" w:ascii="宋体" w:hAnsi="宋体" w:eastAsia="宋体" w:cs="宋体"/>
          <w:color w:val="auto"/>
          <w:sz w:val="24"/>
          <w:szCs w:val="24"/>
          <w:highlight w:val="none"/>
        </w:rPr>
      </w:pPr>
    </w:p>
    <w:p w14:paraId="20C24BFD">
      <w:pPr>
        <w:shd w:val="clear" w:color="auto" w:fill="auto"/>
        <w:rPr>
          <w:rFonts w:hint="eastAsia" w:ascii="宋体" w:hAnsi="宋体" w:eastAsia="宋体" w:cs="宋体"/>
          <w:b/>
          <w:color w:val="auto"/>
          <w:sz w:val="24"/>
          <w:szCs w:val="24"/>
          <w:highlight w:val="none"/>
        </w:rPr>
      </w:pPr>
    </w:p>
    <w:p w14:paraId="4B006BFB">
      <w:pPr>
        <w:shd w:val="clear" w:color="auto" w:fil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042D43D3">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47B3AEB7">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089C51">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86CAB1D">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7E96886E">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6EFA1F69">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2FB08664"/>
    <w:sectPr>
      <w:pgSz w:w="11906" w:h="16838"/>
      <w:pgMar w:top="1418" w:right="1474" w:bottom="1418" w:left="1474"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314CE">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32DF46">
                          <w:pPr>
                            <w:pStyle w:val="6"/>
                            <w:jc w:val="center"/>
                          </w:pPr>
                          <w:r>
                            <w:fldChar w:fldCharType="begin"/>
                          </w:r>
                          <w:r>
                            <w:instrText xml:space="preserve"> PAGE   \* MERGEFORMAT </w:instrText>
                          </w:r>
                          <w:r>
                            <w:fldChar w:fldCharType="separate"/>
                          </w:r>
                          <w:r>
                            <w:rPr>
                              <w:lang w:val="zh-CN"/>
                            </w:rP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C32DF46">
                    <w:pPr>
                      <w:pStyle w:val="6"/>
                      <w:jc w:val="center"/>
                    </w:pPr>
                    <w:r>
                      <w:fldChar w:fldCharType="begin"/>
                    </w:r>
                    <w:r>
                      <w:instrText xml:space="preserve"> PAGE   \* MERGEFORMAT </w:instrText>
                    </w:r>
                    <w:r>
                      <w:fldChar w:fldCharType="separate"/>
                    </w:r>
                    <w:r>
                      <w:rPr>
                        <w:lang w:val="zh-CN"/>
                      </w:rP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0A1A">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D5D094">
                          <w:pPr>
                            <w:pStyle w:val="6"/>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7D5D094">
                    <w:pPr>
                      <w:pStyle w:val="6"/>
                    </w:pPr>
                    <w:r>
                      <w:fldChar w:fldCharType="begin"/>
                    </w:r>
                    <w:r>
                      <w:instrText xml:space="preserve"> PAGE  \* MERGEFORMAT </w:instrText>
                    </w:r>
                    <w:r>
                      <w:fldChar w:fldCharType="separate"/>
                    </w:r>
                    <w:r>
                      <w:t>14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242B29"/>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5E242B29"/>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3A6ED"/>
    <w:multiLevelType w:val="singleLevel"/>
    <w:tmpl w:val="8C63A6ED"/>
    <w:lvl w:ilvl="0" w:tentative="0">
      <w:start w:val="6"/>
      <w:numFmt w:val="chineseCounting"/>
      <w:suff w:val="nothing"/>
      <w:lvlText w:val="%1、"/>
      <w:lvlJc w:val="left"/>
      <w:rPr>
        <w:rFonts w:hint="eastAsia"/>
      </w:rPr>
    </w:lvl>
  </w:abstractNum>
  <w:abstractNum w:abstractNumId="1">
    <w:nsid w:val="EC57CC19"/>
    <w:multiLevelType w:val="singleLevel"/>
    <w:tmpl w:val="EC57CC19"/>
    <w:lvl w:ilvl="0" w:tentative="0">
      <w:start w:val="2"/>
      <w:numFmt w:val="chineseCounting"/>
      <w:suff w:val="nothing"/>
      <w:lvlText w:val="%1、"/>
      <w:lvlJc w:val="left"/>
      <w:rPr>
        <w:rFonts w:hint="eastAsia"/>
      </w:rPr>
    </w:lvl>
  </w:abstractNum>
  <w:abstractNum w:abstractNumId="2">
    <w:nsid w:val="101856BF"/>
    <w:multiLevelType w:val="singleLevel"/>
    <w:tmpl w:val="101856BF"/>
    <w:lvl w:ilvl="0" w:tentative="0">
      <w:start w:val="1"/>
      <w:numFmt w:val="decimal"/>
      <w:suff w:val="nothing"/>
      <w:lvlText w:val="%1、"/>
      <w:lvlJc w:val="left"/>
    </w:lvl>
  </w:abstractNum>
  <w:abstractNum w:abstractNumId="3">
    <w:nsid w:val="43657FEE"/>
    <w:multiLevelType w:val="singleLevel"/>
    <w:tmpl w:val="43657FEE"/>
    <w:lvl w:ilvl="0" w:tentative="0">
      <w:start w:val="1"/>
      <w:numFmt w:val="decimal"/>
      <w:suff w:val="nothing"/>
      <w:lvlText w:val="%1、"/>
      <w:lvlJc w:val="left"/>
    </w:lvl>
  </w:abstractNum>
  <w:abstractNum w:abstractNumId="4">
    <w:nsid w:val="4405C25D"/>
    <w:multiLevelType w:val="singleLevel"/>
    <w:tmpl w:val="4405C25D"/>
    <w:lvl w:ilvl="0" w:tentative="0">
      <w:start w:val="1"/>
      <w:numFmt w:val="chineseCounting"/>
      <w:suff w:val="nothing"/>
      <w:lvlText w:val="%1、"/>
      <w:lvlJc w:val="left"/>
      <w:rPr>
        <w:rFonts w:hint="eastAsia"/>
      </w:rPr>
    </w:lvl>
  </w:abstractNum>
  <w:abstractNum w:abstractNumId="5">
    <w:nsid w:val="4C2E8DB6"/>
    <w:multiLevelType w:val="singleLevel"/>
    <w:tmpl w:val="4C2E8DB6"/>
    <w:lvl w:ilvl="0" w:tentative="0">
      <w:start w:val="1"/>
      <w:numFmt w:val="decimal"/>
      <w:suff w:val="nothing"/>
      <w:lvlText w:val="%1、"/>
      <w:lvlJc w:val="left"/>
    </w:lvl>
  </w:abstractNum>
  <w:abstractNum w:abstractNumId="6">
    <w:nsid w:val="4E31E413"/>
    <w:multiLevelType w:val="singleLevel"/>
    <w:tmpl w:val="4E31E413"/>
    <w:lvl w:ilvl="0" w:tentative="0">
      <w:start w:val="3"/>
      <w:numFmt w:val="decimal"/>
      <w:suff w:val="space"/>
      <w:lvlText w:val="%1."/>
      <w:lvlJc w:val="left"/>
    </w:lvl>
  </w:abstractNum>
  <w:abstractNum w:abstractNumId="7">
    <w:nsid w:val="53C2DCFD"/>
    <w:multiLevelType w:val="singleLevel"/>
    <w:tmpl w:val="53C2DCFD"/>
    <w:lvl w:ilvl="0" w:tentative="0">
      <w:start w:val="1"/>
      <w:numFmt w:val="decimal"/>
      <w:suff w:val="nothing"/>
      <w:lvlText w:val="%1、"/>
      <w:lvlJc w:val="left"/>
      <w:rPr>
        <w:rFonts w:hint="default"/>
        <w:color w:val="auto"/>
      </w:rPr>
    </w:lvl>
  </w:abstractNum>
  <w:num w:numId="1">
    <w:abstractNumId w:val="6"/>
  </w:num>
  <w:num w:numId="2">
    <w:abstractNumId w:val="1"/>
  </w:num>
  <w:num w:numId="3">
    <w:abstractNumId w:val="7"/>
  </w:num>
  <w:num w:numId="4">
    <w:abstractNumId w:val="0"/>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A5ABA"/>
    <w:rsid w:val="20FA5ABA"/>
    <w:rsid w:val="571F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sz w:val="20"/>
    </w:rPr>
  </w:style>
  <w:style w:type="paragraph" w:styleId="3">
    <w:name w:val="Body Text"/>
    <w:basedOn w:val="1"/>
    <w:next w:val="1"/>
    <w:qFormat/>
    <w:uiPriority w:val="0"/>
    <w:rPr>
      <w:rFonts w:ascii="仿宋_GB2312" w:eastAsia="仿宋_GB2312"/>
    </w:rPr>
  </w:style>
  <w:style w:type="paragraph" w:styleId="4">
    <w:name w:val="Body Text Indent"/>
    <w:basedOn w:val="1"/>
    <w:next w:val="5"/>
    <w:qFormat/>
    <w:uiPriority w:val="0"/>
    <w:pPr>
      <w:ind w:left="765"/>
    </w:pPr>
    <w:rPr>
      <w:rFonts w:ascii="仿宋_GB2312" w:eastAsia="仿宋_GB2312"/>
      <w:sz w:val="28"/>
    </w:rPr>
  </w:style>
  <w:style w:type="paragraph" w:styleId="5">
    <w:name w:val="envelope return"/>
    <w:basedOn w:val="1"/>
    <w:unhideWhenUsed/>
    <w:qFormat/>
    <w:uiPriority w:val="99"/>
    <w:pPr>
      <w:snapToGrid w:val="0"/>
    </w:pPr>
    <w:rPr>
      <w:rFonts w:ascii="Arial" w:hAnsi="Arial"/>
    </w:rPr>
  </w:style>
  <w:style w:type="paragraph" w:styleId="6">
    <w:name w:val="footer"/>
    <w:basedOn w:val="1"/>
    <w:qFormat/>
    <w:uiPriority w:val="99"/>
    <w:pPr>
      <w:tabs>
        <w:tab w:val="center" w:pos="4153"/>
        <w:tab w:val="right" w:pos="8306"/>
      </w:tabs>
      <w:snapToGrid w:val="0"/>
      <w:jc w:val="left"/>
    </w:pPr>
    <w:rPr>
      <w:rFonts w:ascii="Times New Roman"/>
      <w:sz w:val="18"/>
    </w:rPr>
  </w:style>
  <w:style w:type="paragraph" w:customStyle="1" w:styleId="9">
    <w:name w:val="正文缩进1"/>
    <w:qFormat/>
    <w:uiPriority w:val="99"/>
    <w:pPr>
      <w:widowControl w:val="0"/>
      <w:ind w:firstLine="624"/>
      <w:jc w:val="both"/>
      <w:textAlignment w:val="center"/>
    </w:pPr>
    <w:rPr>
      <w:rFonts w:ascii="Calibri" w:hAnsi="Calibri" w:eastAsia="宋体" w:cs="Calibri"/>
      <w:kern w:val="2"/>
      <w:sz w:val="21"/>
      <w:szCs w:val="21"/>
      <w:lang w:val="en-US" w:eastAsia="zh-CN" w:bidi="ar-SA"/>
    </w:rPr>
  </w:style>
  <w:style w:type="paragraph" w:customStyle="1" w:styleId="10">
    <w:name w:val="普通正文"/>
    <w:basedOn w:val="1"/>
    <w:qFormat/>
    <w:uiPriority w:val="0"/>
    <w:pPr>
      <w:adjustRightInd w:val="0"/>
      <w:spacing w:before="120" w:after="120" w:line="360" w:lineRule="auto"/>
      <w:ind w:left="-2" w:right="120" w:firstLine="480"/>
      <w:jc w:val="center"/>
      <w:textAlignment w:val="baseline"/>
    </w:pPr>
    <w:rPr>
      <w:rFonts w:ascii="Arial" w:hAnsi="Arial"/>
      <w:szCs w:val="24"/>
    </w:rPr>
  </w:style>
  <w:style w:type="paragraph" w:customStyle="1" w:styleId="1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8023</Words>
  <Characters>8286</Characters>
  <Lines>0</Lines>
  <Paragraphs>0</Paragraphs>
  <TotalTime>0</TotalTime>
  <ScaleCrop>false</ScaleCrop>
  <LinksUpToDate>false</LinksUpToDate>
  <CharactersWithSpaces>8484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2025-05-26T03:30:00Z</dcterms:created>
  <dc:creator>妍妍夏日</dc:creator>
  <cp:lastModifiedBy>妍妍夏日</cp:lastModifiedBy>
  <dcterms:modified xsi:type="dcterms:W3CDTF">2025-05-26T06:07:09Z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F24917B5935246F18624819E6297C479_11</vt:lpwstr>
  </property>
  <property fmtid="{D5CDD505-2E9C-101B-9397-08002B2CF9AE}" pid="4" name="KSOTemplateDocerSaveRecord">
    <vt:lpwstr>eyJoZGlkIjoiODI0MjYxOGU1NzI1ODA3ODZkM2NhY2UxMzZiMDdlYzAiLCJ1c2VySWQiOiI5Mjk5NTYwMTcifQ==</vt:lpwstr>
  </property>
</Properties>
</file>