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5C1B3">
      <w:pPr>
        <w:spacing w:line="320" w:lineRule="exact"/>
        <w:jc w:val="center"/>
        <w:rPr>
          <w:rFonts w:ascii="Times New Roman" w:hAnsi="Times New Roman" w:cs="Times New Roman"/>
          <w:b/>
          <w:bCs/>
          <w:sz w:val="28"/>
          <w:szCs w:val="28"/>
        </w:rPr>
      </w:pPr>
      <w:r>
        <w:rPr>
          <w:rFonts w:hint="eastAsia" w:ascii="Times New Roman" w:hAnsi="Times New Roman" w:cs="Times New Roman"/>
          <w:b/>
          <w:bCs/>
          <w:sz w:val="28"/>
          <w:szCs w:val="28"/>
        </w:rPr>
        <w:t>参数1</w:t>
      </w:r>
      <w:r>
        <w:rPr>
          <w:rFonts w:hint="eastAsia" w:ascii="Times New Roman" w:hAnsi="Times New Roman" w:cs="Times New Roman"/>
          <w:b/>
          <w:bCs/>
          <w:sz w:val="28"/>
          <w:szCs w:val="28"/>
          <w:lang w:val="en-US" w:eastAsia="zh-CN"/>
        </w:rPr>
        <w:t>2</w:t>
      </w:r>
      <w:r>
        <w:rPr>
          <w:rFonts w:hint="eastAsia" w:ascii="Times New Roman" w:hAnsi="Times New Roman" w:cs="Times New Roman"/>
          <w:b/>
          <w:bCs/>
          <w:sz w:val="28"/>
          <w:szCs w:val="28"/>
        </w:rPr>
        <w:t>:沥青混合料</w:t>
      </w:r>
    </w:p>
    <w:p w14:paraId="2AC1A650">
      <w:pPr>
        <w:spacing w:line="320" w:lineRule="exact"/>
        <w:jc w:val="center"/>
        <w:rPr>
          <w:rFonts w:asciiTheme="minorEastAsia" w:hAnsiTheme="minorEastAsia" w:cstheme="minorEastAsia"/>
          <w:b/>
          <w:bCs/>
          <w:sz w:val="28"/>
          <w:szCs w:val="28"/>
        </w:rPr>
      </w:pPr>
    </w:p>
    <w:p w14:paraId="62160E92">
      <w:pPr>
        <w:pStyle w:val="9"/>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0339EA2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1、油石比是指（     ）比值。</w:t>
      </w:r>
    </w:p>
    <w:p w14:paraId="5FD7CDD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A、沥青与矿料的质量</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B、沥青与矿料的体积 </w:t>
      </w:r>
    </w:p>
    <w:p w14:paraId="75000FB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C、沥青与混合料总质量</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D、沥青与混合料总体积</w:t>
      </w:r>
    </w:p>
    <w:p w14:paraId="1E66C355">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t>【答案】：</w:t>
      </w:r>
      <w:r>
        <w:rPr>
          <w:rFonts w:hint="eastAsia" w:ascii="Times New Roman" w:hAnsi="Times New Roman" w:cs="Times New Roman"/>
          <w:sz w:val="24"/>
          <w:szCs w:val="24"/>
          <w:lang w:val="en-US" w:eastAsia="zh-CN" w:bidi="ar-SA"/>
        </w:rPr>
        <w:t>A</w:t>
      </w:r>
    </w:p>
    <w:p w14:paraId="567F0552">
      <w:pPr>
        <w:spacing w:line="320" w:lineRule="exact"/>
        <w:rPr>
          <w:rFonts w:ascii="宋体" w:hAnsi="宋体" w:eastAsia="宋体" w:cs="宋体"/>
          <w:sz w:val="24"/>
        </w:rPr>
      </w:pPr>
    </w:p>
    <w:p w14:paraId="61FBEDA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2、沥青混合料空隙率偏小，对沥青路面可能带来的问题是（     ）。</w:t>
      </w:r>
    </w:p>
    <w:p w14:paraId="18D9423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A、耐久性变差</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B、高温抗车辙能力较低   </w:t>
      </w:r>
    </w:p>
    <w:p w14:paraId="61CD047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C、水稳性不好                     D、低温环境易于开裂</w:t>
      </w:r>
    </w:p>
    <w:p w14:paraId="1130A7E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12A58FD3">
      <w:pPr>
        <w:pStyle w:val="9"/>
        <w:tabs>
          <w:tab w:val="left" w:pos="337"/>
        </w:tabs>
        <w:spacing w:after="60" w:line="320" w:lineRule="exact"/>
        <w:rPr>
          <w:rFonts w:ascii="Times New Roman" w:hAnsi="Times New Roman" w:cs="Times New Roman"/>
          <w:sz w:val="24"/>
          <w:szCs w:val="24"/>
          <w:lang w:val="en-US" w:eastAsia="zh-CN" w:bidi="ar-SA"/>
        </w:rPr>
      </w:pPr>
    </w:p>
    <w:p w14:paraId="748B5BC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3、现行沥青路面施工技术规范规定，以下不属于密级配沥青混合料马歇尔技术指标主要有（     ）。</w:t>
      </w:r>
    </w:p>
    <w:p w14:paraId="57B8CEB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A、空隙率                          B、VCA    </w:t>
      </w:r>
    </w:p>
    <w:p w14:paraId="214BED9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C、稳定度和流值                    D、沥青饱和度</w:t>
      </w:r>
    </w:p>
    <w:p w14:paraId="78E71BC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5520FA7B">
      <w:pPr>
        <w:pStyle w:val="9"/>
        <w:tabs>
          <w:tab w:val="left" w:pos="337"/>
        </w:tabs>
        <w:spacing w:after="60" w:line="320" w:lineRule="exact"/>
        <w:rPr>
          <w:rFonts w:ascii="Times New Roman" w:hAnsi="Times New Roman" w:cs="Times New Roman"/>
          <w:sz w:val="24"/>
          <w:szCs w:val="24"/>
          <w:lang w:val="en-US" w:eastAsia="zh-CN" w:bidi="ar-SA"/>
        </w:rPr>
      </w:pPr>
    </w:p>
    <w:p w14:paraId="6D36173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4、—个马歇尔试件的质量为1200g，高度为65.5mm，制作标准高度的马歇尔试件所需的质量应为（     ）</w:t>
      </w:r>
    </w:p>
    <w:p w14:paraId="190937C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A、1153g                           B、1182g   </w:t>
      </w:r>
    </w:p>
    <w:p w14:paraId="4F25DE0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C、1171g                           D、1163g</w:t>
      </w:r>
    </w:p>
    <w:p w14:paraId="7AC41B0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504E6709">
      <w:pPr>
        <w:pStyle w:val="9"/>
        <w:tabs>
          <w:tab w:val="left" w:pos="337"/>
        </w:tabs>
        <w:spacing w:after="60" w:line="320" w:lineRule="exact"/>
        <w:rPr>
          <w:rFonts w:ascii="Times New Roman" w:hAnsi="Times New Roman" w:cs="Times New Roman"/>
          <w:sz w:val="24"/>
          <w:szCs w:val="24"/>
          <w:lang w:val="en-US" w:eastAsia="zh-CN" w:bidi="ar-SA"/>
        </w:rPr>
      </w:pPr>
    </w:p>
    <w:p w14:paraId="6AD3AFC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5、车辙试验主要是用来评价沥青混合料的（     ）。</w:t>
      </w:r>
    </w:p>
    <w:p w14:paraId="16E0B08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A、高温稳定性</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B、低温抗裂性 </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w:t>
      </w:r>
    </w:p>
    <w:p w14:paraId="560BCB5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C、耐久性</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D、抗滑性</w:t>
      </w:r>
    </w:p>
    <w:p w14:paraId="1D83FB3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6B48E1BD">
      <w:pPr>
        <w:pStyle w:val="9"/>
        <w:tabs>
          <w:tab w:val="left" w:pos="337"/>
        </w:tabs>
        <w:spacing w:after="60" w:line="320" w:lineRule="exact"/>
        <w:rPr>
          <w:rFonts w:ascii="Times New Roman" w:hAnsi="Times New Roman" w:cs="Times New Roman"/>
          <w:sz w:val="24"/>
          <w:szCs w:val="24"/>
          <w:lang w:val="en-US" w:eastAsia="zh-CN" w:bidi="ar-SA"/>
        </w:rPr>
      </w:pPr>
    </w:p>
    <w:p w14:paraId="755E93D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6、沥青混合料配合比设计的合成级配不得有太多的锯齿形交错，且在（     ）范围内不出现“驼峰”。 当反复调整不能满意时，宜更换材料设计。</w:t>
      </w:r>
    </w:p>
    <w:p w14:paraId="5DEB76E1">
      <w:pPr>
        <w:pStyle w:val="9"/>
        <w:tabs>
          <w:tab w:val="left" w:pos="337"/>
        </w:tabs>
        <w:spacing w:after="60" w:line="320" w:lineRule="exact"/>
        <w:rPr>
          <w:rFonts w:ascii="Times New Roman" w:hAnsi="Times New Roman" w:cs="Times New Roman"/>
          <w:sz w:val="24"/>
          <w:szCs w:val="24"/>
          <w:lang w:val="en-US" w:eastAsia="zh-CN" w:bidi="ar-SA"/>
        </w:rPr>
      </w:pPr>
      <w:bookmarkStart w:id="0" w:name="bookmark5"/>
      <w:bookmarkEnd w:id="0"/>
      <w:r>
        <w:rPr>
          <w:rFonts w:hint="eastAsia" w:ascii="Times New Roman" w:hAnsi="Times New Roman" w:cs="Times New Roman"/>
          <w:sz w:val="24"/>
          <w:szCs w:val="24"/>
          <w:lang w:val="en-US" w:eastAsia="zh-CN" w:bidi="ar-SA"/>
        </w:rPr>
        <w:t>A、0.075mm~0.15mm                  B、0.075mm~0.3mm</w:t>
      </w:r>
      <w:bookmarkStart w:id="1" w:name="bookmark6"/>
      <w:bookmarkEnd w:id="1"/>
      <w:r>
        <w:rPr>
          <w:rFonts w:hint="eastAsia" w:ascii="Times New Roman" w:hAnsi="Times New Roman" w:cs="Times New Roman"/>
          <w:sz w:val="24"/>
          <w:szCs w:val="24"/>
          <w:lang w:val="en-US" w:eastAsia="zh-CN" w:bidi="ar-SA"/>
        </w:rPr>
        <w:t xml:space="preserve">    </w:t>
      </w:r>
    </w:p>
    <w:p w14:paraId="4859F61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C、0.15mm~0.6mm                    D、0.3mm~0.6mm</w:t>
      </w:r>
    </w:p>
    <w:p w14:paraId="3E425F9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135912A6">
      <w:pPr>
        <w:pStyle w:val="9"/>
        <w:tabs>
          <w:tab w:val="left" w:pos="337"/>
        </w:tabs>
        <w:spacing w:after="60" w:line="320" w:lineRule="exact"/>
        <w:rPr>
          <w:rFonts w:ascii="Times New Roman" w:hAnsi="Times New Roman" w:cs="Times New Roman"/>
          <w:sz w:val="24"/>
          <w:szCs w:val="24"/>
          <w:lang w:val="en-US" w:eastAsia="zh-CN" w:bidi="ar-SA"/>
        </w:rPr>
      </w:pPr>
    </w:p>
    <w:p w14:paraId="5B2D1D0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7、沥青混合料配合比设计需根据当地的实践经验选择适宜的沥青用量，分别制作几组级配的马歇尔试件，测定（     ），初选一组满足或接近设计要求的级配作为设计级配。</w:t>
      </w:r>
    </w:p>
    <w:p w14:paraId="300651B2">
      <w:pPr>
        <w:pStyle w:val="9"/>
        <w:tabs>
          <w:tab w:val="left" w:pos="337"/>
        </w:tabs>
        <w:spacing w:after="60" w:line="320" w:lineRule="exact"/>
        <w:rPr>
          <w:rFonts w:ascii="Times New Roman" w:hAnsi="Times New Roman" w:cs="Times New Roman"/>
          <w:sz w:val="24"/>
          <w:szCs w:val="24"/>
          <w:lang w:val="en-US" w:eastAsia="zh-CN" w:bidi="ar-SA"/>
        </w:rPr>
      </w:pPr>
      <w:bookmarkStart w:id="2" w:name="bookmark19"/>
      <w:bookmarkEnd w:id="2"/>
      <w:r>
        <w:rPr>
          <w:rFonts w:hint="eastAsia" w:ascii="Times New Roman" w:hAnsi="Times New Roman" w:cs="Times New Roman"/>
          <w:sz w:val="24"/>
          <w:szCs w:val="24"/>
          <w:lang w:val="en-US" w:eastAsia="zh-CN" w:bidi="ar-SA"/>
        </w:rPr>
        <w:t>A、VV</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B、VMA     </w:t>
      </w:r>
    </w:p>
    <w:p w14:paraId="6CBF949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C、VFA</w:t>
      </w:r>
      <w:r>
        <w:rPr>
          <w:rFonts w:hint="eastAsia" w:ascii="Times New Roman" w:hAnsi="Times New Roman" w:cs="Times New Roman"/>
          <w:sz w:val="24"/>
          <w:szCs w:val="24"/>
          <w:lang w:val="en-US" w:eastAsia="zh-CN" w:bidi="ar-SA"/>
        </w:rPr>
        <w:tab/>
      </w:r>
      <w:r>
        <w:rPr>
          <w:rFonts w:hint="eastAsia" w:ascii="Times New Roman" w:hAnsi="Times New Roman" w:cs="Times New Roman"/>
          <w:sz w:val="24"/>
          <w:szCs w:val="24"/>
          <w:lang w:val="en-US" w:eastAsia="zh-CN" w:bidi="ar-SA"/>
        </w:rPr>
        <w:t xml:space="preserve">                           D、MS</w:t>
      </w:r>
    </w:p>
    <w:p w14:paraId="0CB5740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7F378CBA">
      <w:pPr>
        <w:pStyle w:val="9"/>
        <w:tabs>
          <w:tab w:val="left" w:pos="337"/>
        </w:tabs>
        <w:spacing w:after="60" w:line="320" w:lineRule="exact"/>
        <w:rPr>
          <w:rFonts w:ascii="Times New Roman" w:hAnsi="Times New Roman" w:cs="Times New Roman"/>
          <w:sz w:val="24"/>
          <w:szCs w:val="24"/>
          <w:lang w:val="en-US" w:eastAsia="zh-CN" w:bidi="ar-SA"/>
        </w:rPr>
      </w:pPr>
    </w:p>
    <w:p w14:paraId="111EB1E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8、浸水马歇尔试件在已达到规定温度恒温水槽的保温时间为（     ）。</w:t>
      </w:r>
    </w:p>
    <w:p w14:paraId="0BD133F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A、24h                              B、36h       </w:t>
      </w:r>
    </w:p>
    <w:p w14:paraId="619AFDB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C、12h                              D、48h</w:t>
      </w:r>
    </w:p>
    <w:p w14:paraId="12056FA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7598A597">
      <w:pPr>
        <w:pStyle w:val="9"/>
        <w:tabs>
          <w:tab w:val="left" w:pos="337"/>
        </w:tabs>
        <w:spacing w:after="60" w:line="320" w:lineRule="exact"/>
        <w:rPr>
          <w:rFonts w:ascii="Times New Roman" w:hAnsi="Times New Roman" w:cs="Times New Roman"/>
          <w:sz w:val="24"/>
          <w:szCs w:val="24"/>
          <w:lang w:val="en-US" w:eastAsia="zh-CN" w:bidi="ar-SA"/>
        </w:rPr>
      </w:pPr>
    </w:p>
    <w:p w14:paraId="7C1588D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9、下列哪个选项是骨架密实结构型的沥青混合料（     ）。</w:t>
      </w:r>
    </w:p>
    <w:p w14:paraId="00CB4E6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A、SMA                             B、OGFC      </w:t>
      </w:r>
    </w:p>
    <w:p w14:paraId="612F8B0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C、AC                               D、ATPB </w:t>
      </w:r>
    </w:p>
    <w:p w14:paraId="77F56D2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CBE9768">
      <w:pPr>
        <w:pStyle w:val="9"/>
        <w:tabs>
          <w:tab w:val="left" w:pos="337"/>
        </w:tabs>
        <w:spacing w:after="60" w:line="320" w:lineRule="exact"/>
        <w:rPr>
          <w:rFonts w:ascii="Times New Roman" w:hAnsi="Times New Roman" w:cs="Times New Roman"/>
          <w:sz w:val="24"/>
          <w:szCs w:val="24"/>
          <w:lang w:val="en-US" w:eastAsia="zh-CN" w:bidi="ar-SA"/>
        </w:rPr>
      </w:pPr>
    </w:p>
    <w:p w14:paraId="16C34D9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10、通常沥青用量超过最佳用量的（     ），就会使沥青路面的抗滑性明显降低。</w:t>
      </w:r>
    </w:p>
    <w:p w14:paraId="5D4EF12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A、0.30%                             B、0.50%       </w:t>
      </w:r>
    </w:p>
    <w:p w14:paraId="5D85824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C、0.80%                             D、1.00%</w:t>
      </w:r>
    </w:p>
    <w:p w14:paraId="65E3125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534370D1">
      <w:pPr>
        <w:pStyle w:val="9"/>
        <w:tabs>
          <w:tab w:val="left" w:pos="337"/>
        </w:tabs>
        <w:spacing w:after="60" w:line="320" w:lineRule="exact"/>
        <w:rPr>
          <w:rFonts w:ascii="Times New Roman" w:hAnsi="Times New Roman" w:cs="Times New Roman"/>
          <w:sz w:val="24"/>
          <w:szCs w:val="24"/>
          <w:lang w:val="en-US" w:eastAsia="zh-CN" w:bidi="ar-SA"/>
        </w:rPr>
      </w:pPr>
    </w:p>
    <w:p w14:paraId="0C403F5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11、沥青与集料的粘附性等级高，说明沥青混合料（   </w:t>
      </w:r>
      <w:r>
        <w:rPr>
          <w:rFonts w:ascii="Times New Roman" w:hAnsi="Times New Roman" w:cs="Times New Roman"/>
          <w:sz w:val="24"/>
          <w:szCs w:val="24"/>
          <w:lang w:val="en-US" w:eastAsia="zh-CN" w:bidi="ar-SA"/>
        </w:rPr>
        <w:t>​</w:t>
      </w:r>
      <w:r>
        <w:rPr>
          <w:rFonts w:hint="eastAsia" w:ascii="Times New Roman" w:hAnsi="Times New Roman" w:cs="Times New Roman"/>
          <w:sz w:val="24"/>
          <w:szCs w:val="24"/>
          <w:lang w:val="en-US" w:eastAsia="zh-CN" w:bidi="ar-SA"/>
        </w:rPr>
        <w:t>）。</w:t>
      </w:r>
    </w:p>
    <w:p w14:paraId="45A8575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A、粘附性好                          B、粘附性差    </w:t>
      </w:r>
    </w:p>
    <w:p w14:paraId="17C9D8B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C、使用的是碱性矿料                  D、使用的是酸性矿料</w:t>
      </w:r>
    </w:p>
    <w:p w14:paraId="358B0F7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28E55F4A">
      <w:pPr>
        <w:pStyle w:val="9"/>
        <w:tabs>
          <w:tab w:val="left" w:pos="337"/>
        </w:tabs>
        <w:spacing w:after="60" w:line="320" w:lineRule="exact"/>
        <w:rPr>
          <w:rFonts w:ascii="Times New Roman" w:hAnsi="Times New Roman" w:cs="Times New Roman"/>
          <w:sz w:val="24"/>
          <w:szCs w:val="24"/>
          <w:lang w:val="en-US" w:eastAsia="zh-CN" w:bidi="ar-SA"/>
        </w:rPr>
      </w:pPr>
    </w:p>
    <w:p w14:paraId="028555C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12、离心分离法检测沥青混合料中沥青含量时，用压力过滤器回收沥青抽提液中的矿粉以测定其含量。当无压力过滤器时，可用（     ）测定沥青中矿粉含量。</w:t>
      </w:r>
    </w:p>
    <w:p w14:paraId="41B97BF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A、脂肪抽提法                        B、射线法    </w:t>
      </w:r>
    </w:p>
    <w:p w14:paraId="5037859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C、抽滤法                            D、燃烧法</w:t>
      </w:r>
    </w:p>
    <w:p w14:paraId="7D0D89D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0B6ECC1D">
      <w:pPr>
        <w:pStyle w:val="9"/>
        <w:tabs>
          <w:tab w:val="left" w:pos="337"/>
        </w:tabs>
        <w:spacing w:after="60" w:line="320" w:lineRule="exact"/>
        <w:rPr>
          <w:rFonts w:ascii="Times New Roman" w:hAnsi="Times New Roman" w:cs="Times New Roman"/>
          <w:sz w:val="24"/>
          <w:szCs w:val="24"/>
          <w:lang w:val="en-US" w:eastAsia="zh-CN" w:bidi="ar-SA"/>
        </w:rPr>
      </w:pPr>
    </w:p>
    <w:p w14:paraId="34992C8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13、沥青混合料车辙试验，试件连同试模一起置于达到试验温度60℃±1℃的恒温室中，保温不少于（     ），也不得多于12h。</w:t>
      </w:r>
    </w:p>
    <w:p w14:paraId="1DB8542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A、lh                                B、3h        </w:t>
      </w:r>
    </w:p>
    <w:p w14:paraId="734D450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C、5h                                D、8h</w:t>
      </w:r>
    </w:p>
    <w:p w14:paraId="765CFFA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5BB7AD13">
      <w:pPr>
        <w:pStyle w:val="9"/>
        <w:tabs>
          <w:tab w:val="left" w:pos="337"/>
        </w:tabs>
        <w:spacing w:after="60" w:line="320" w:lineRule="exact"/>
        <w:rPr>
          <w:rFonts w:ascii="Times New Roman" w:hAnsi="Times New Roman" w:cs="Times New Roman"/>
          <w:sz w:val="24"/>
          <w:szCs w:val="24"/>
          <w:lang w:val="en-US" w:eastAsia="zh-CN" w:bidi="ar-SA"/>
        </w:rPr>
      </w:pPr>
    </w:p>
    <w:p w14:paraId="3077A47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14、残留稳定度是评价沥青混合料（     ）的指标。</w:t>
      </w:r>
    </w:p>
    <w:p w14:paraId="45DED25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A、耐久性                            B、高温稳定性     </w:t>
      </w:r>
    </w:p>
    <w:p w14:paraId="78ED5F0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C、抗滑性                            D、低温抗裂性</w:t>
      </w:r>
    </w:p>
    <w:p w14:paraId="45630AF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4DB6E5DB">
      <w:pPr>
        <w:pStyle w:val="9"/>
        <w:tabs>
          <w:tab w:val="left" w:pos="337"/>
        </w:tabs>
        <w:spacing w:after="60" w:line="320" w:lineRule="exact"/>
        <w:rPr>
          <w:rFonts w:ascii="Times New Roman" w:hAnsi="Times New Roman" w:cs="Times New Roman"/>
          <w:sz w:val="24"/>
          <w:szCs w:val="24"/>
          <w:lang w:val="en-US" w:eastAsia="zh-CN" w:bidi="ar-SA"/>
        </w:rPr>
      </w:pPr>
    </w:p>
    <w:p w14:paraId="5EBB605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15、某试验人员对沥青混合料的马歌尔稳定度和流值测定时未进行修正，测得的流值可能会（     ）。</w:t>
      </w:r>
    </w:p>
    <w:p w14:paraId="691BC59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A、偏大                               B、偏小       </w:t>
      </w:r>
    </w:p>
    <w:p w14:paraId="556BF66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C、不能确定                           D、不变</w:t>
      </w:r>
    </w:p>
    <w:p w14:paraId="29D8662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A72F6A4">
      <w:pPr>
        <w:pStyle w:val="9"/>
        <w:tabs>
          <w:tab w:val="left" w:pos="337"/>
        </w:tabs>
        <w:spacing w:after="60" w:line="320" w:lineRule="exact"/>
        <w:rPr>
          <w:rFonts w:ascii="Times New Roman" w:hAnsi="Times New Roman" w:cs="Times New Roman"/>
          <w:sz w:val="24"/>
          <w:szCs w:val="24"/>
          <w:lang w:val="en-US" w:eastAsia="zh-CN" w:bidi="ar-SA"/>
        </w:rPr>
      </w:pPr>
    </w:p>
    <w:p w14:paraId="076CD29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16、不同类型沥青混合料采用的级配应该不同，ATB-25宜采用（     ）级配</w:t>
      </w:r>
    </w:p>
    <w:p w14:paraId="7C905EA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A、连续级配                           B、间断级配    </w:t>
      </w:r>
    </w:p>
    <w:p w14:paraId="74D88D2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C、开级配                             D、半开级配</w:t>
      </w:r>
    </w:p>
    <w:p w14:paraId="32AAF86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6407E03B">
      <w:pPr>
        <w:pStyle w:val="9"/>
        <w:tabs>
          <w:tab w:val="left" w:pos="337"/>
        </w:tabs>
        <w:spacing w:after="60" w:line="320" w:lineRule="exact"/>
        <w:rPr>
          <w:rFonts w:ascii="Times New Roman" w:hAnsi="Times New Roman" w:cs="Times New Roman"/>
          <w:sz w:val="24"/>
          <w:szCs w:val="24"/>
          <w:lang w:val="en-US" w:eastAsia="zh-CN" w:bidi="ar-SA"/>
        </w:rPr>
      </w:pPr>
    </w:p>
    <w:p w14:paraId="1D32115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17、以下因素：①粗集料强度低②细集料用量过大③填料含量过多④沥青针入度偏大⑤矿料级配采用了间断级配⑥级配偏细，其中导致沥青混合料配合比设计的马歇尔稳定度偏低的原因有（     ）项。</w:t>
      </w:r>
    </w:p>
    <w:p w14:paraId="15A06EE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A、3                                  B、4      </w:t>
      </w:r>
    </w:p>
    <w:p w14:paraId="24D05BF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C、5                                  D、6</w:t>
      </w:r>
    </w:p>
    <w:p w14:paraId="686534B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0DA4922C">
      <w:pPr>
        <w:pStyle w:val="9"/>
        <w:tabs>
          <w:tab w:val="left" w:pos="337"/>
        </w:tabs>
        <w:spacing w:after="60" w:line="320" w:lineRule="exact"/>
        <w:rPr>
          <w:rFonts w:ascii="Times New Roman" w:hAnsi="Times New Roman" w:cs="Times New Roman"/>
          <w:sz w:val="24"/>
          <w:szCs w:val="24"/>
          <w:lang w:val="en-US" w:eastAsia="zh-CN" w:bidi="ar-SA"/>
        </w:rPr>
      </w:pPr>
    </w:p>
    <w:p w14:paraId="58E0331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18、SMA非改性沥青玛蹄脂碎石混合料动稳定度的技术标准要求不小于（     ）。</w:t>
      </w:r>
    </w:p>
    <w:p w14:paraId="3220007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A、600次                             B、800次   </w:t>
      </w:r>
    </w:p>
    <w:p w14:paraId="2C1563A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C、1500次                            D、3000次</w:t>
      </w:r>
    </w:p>
    <w:p w14:paraId="4B9CFD7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60B5C654">
      <w:pPr>
        <w:pStyle w:val="9"/>
        <w:tabs>
          <w:tab w:val="left" w:pos="337"/>
        </w:tabs>
        <w:spacing w:after="60" w:line="320" w:lineRule="exact"/>
        <w:rPr>
          <w:rFonts w:ascii="Times New Roman" w:hAnsi="Times New Roman" w:cs="Times New Roman"/>
          <w:sz w:val="24"/>
          <w:szCs w:val="24"/>
          <w:lang w:val="en-US" w:eastAsia="zh-CN" w:bidi="ar-SA"/>
        </w:rPr>
      </w:pPr>
    </w:p>
    <w:p w14:paraId="284FBD8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19、饱和度是用来评价沥青混合料（     ）的指标。</w:t>
      </w:r>
    </w:p>
    <w:p w14:paraId="65C2504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A、高温稳定性                         B、低温抗冻性    </w:t>
      </w:r>
    </w:p>
    <w:p w14:paraId="1627F06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C、耐久性                             D、抗滑性</w:t>
      </w:r>
    </w:p>
    <w:p w14:paraId="153EE7B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294BAC06">
      <w:pPr>
        <w:pStyle w:val="9"/>
        <w:tabs>
          <w:tab w:val="left" w:pos="337"/>
        </w:tabs>
        <w:spacing w:after="60" w:line="320" w:lineRule="exact"/>
        <w:rPr>
          <w:rFonts w:ascii="Times New Roman" w:hAnsi="Times New Roman" w:cs="Times New Roman"/>
          <w:sz w:val="24"/>
          <w:szCs w:val="24"/>
          <w:lang w:val="en-US" w:eastAsia="zh-CN" w:bidi="ar-SA"/>
        </w:rPr>
      </w:pPr>
    </w:p>
    <w:p w14:paraId="57132E8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20、在沥青混合料碾压过程中测定压实温度时，压实温度一次检测不得少于（     ）个测点，取平均值作为测试温度。 </w:t>
      </w:r>
    </w:p>
    <w:p w14:paraId="508F217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                                   B、3           </w:t>
      </w:r>
    </w:p>
    <w:p w14:paraId="15ECF4C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C、4                                   D、5</w:t>
      </w:r>
    </w:p>
    <w:p w14:paraId="3E76E97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5214AC29">
      <w:pPr>
        <w:pStyle w:val="9"/>
        <w:tabs>
          <w:tab w:val="left" w:pos="337"/>
        </w:tabs>
        <w:spacing w:after="60" w:line="320" w:lineRule="exact"/>
        <w:rPr>
          <w:rFonts w:ascii="Times New Roman" w:hAnsi="Times New Roman" w:cs="Times New Roman"/>
          <w:sz w:val="24"/>
          <w:szCs w:val="24"/>
          <w:lang w:val="en-US" w:eastAsia="zh-CN" w:bidi="ar-SA"/>
        </w:rPr>
      </w:pPr>
    </w:p>
    <w:p w14:paraId="7E1D8DB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21、以下关于木质素纤维灰分含量试验的表述正确的是（     ）。</w:t>
      </w:r>
    </w:p>
    <w:p w14:paraId="4ED18F4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A、灰分含量越高，说明纤维杂质越多，因此灰分含量越低越好</w:t>
      </w:r>
    </w:p>
    <w:p w14:paraId="58715CE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B、如果燃烧温度过高，灰分含量的试验结果会偏大</w:t>
      </w:r>
    </w:p>
    <w:p w14:paraId="1005A47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C、相同试样质量，燃烧后残留物含量越高，则灰分含量越高</w:t>
      </w:r>
    </w:p>
    <w:p w14:paraId="4382686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D、某一样品的灰分含量为11%，则该样品的灰分含量指标可评定为合格</w:t>
      </w:r>
    </w:p>
    <w:p w14:paraId="7CED149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5E07E38D">
      <w:pPr>
        <w:pStyle w:val="9"/>
        <w:tabs>
          <w:tab w:val="left" w:pos="337"/>
        </w:tabs>
        <w:spacing w:after="60" w:line="320" w:lineRule="exact"/>
        <w:rPr>
          <w:rFonts w:ascii="Times New Roman" w:hAnsi="Times New Roman" w:cs="Times New Roman"/>
          <w:sz w:val="24"/>
          <w:szCs w:val="24"/>
          <w:lang w:val="en-US" w:eastAsia="zh-CN" w:bidi="ar-SA"/>
        </w:rPr>
      </w:pPr>
    </w:p>
    <w:p w14:paraId="6FB18A0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22、沥青混合料冻融劈裂试验冷冻条件是（       ）</w:t>
      </w:r>
    </w:p>
    <w:p w14:paraId="0909781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A、-20℃±2℃，保持16h±1h         B、-18℃±2℃，保持16h±1h</w:t>
      </w:r>
    </w:p>
    <w:p w14:paraId="4B51489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C、-20℃±1℃，保持20h±1h         D、-18℃±1℃，保持20h±1h</w:t>
      </w:r>
    </w:p>
    <w:p w14:paraId="085AF68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24B0E79F">
      <w:pPr>
        <w:pStyle w:val="9"/>
        <w:tabs>
          <w:tab w:val="left" w:pos="337"/>
        </w:tabs>
        <w:spacing w:after="60" w:line="320" w:lineRule="exact"/>
        <w:rPr>
          <w:rFonts w:ascii="Times New Roman" w:hAnsi="Times New Roman" w:cs="Times New Roman"/>
          <w:sz w:val="24"/>
          <w:szCs w:val="24"/>
          <w:lang w:val="en-US" w:eastAsia="zh-CN" w:bidi="ar-SA"/>
        </w:rPr>
      </w:pPr>
    </w:p>
    <w:p w14:paraId="31B2904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23、下面属于沥青混合料肯塔堡飞散试验条件的是（        ）</w:t>
      </w:r>
    </w:p>
    <w:p w14:paraId="2A560BF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A、20℃±0.5℃水浴中养生20h         B、60℃±0.5℃水浴中养生20h</w:t>
      </w:r>
    </w:p>
    <w:p w14:paraId="421625E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C、20℃±0.5℃水浴中养生24h         D、60℃±0.5℃水浴中养生24h</w:t>
      </w:r>
    </w:p>
    <w:p w14:paraId="66B9C01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0860F32A">
      <w:pPr>
        <w:spacing w:line="320" w:lineRule="exact"/>
        <w:rPr>
          <w:rFonts w:ascii="宋体" w:hAnsi="宋体" w:eastAsia="宋体" w:cs="宋体"/>
          <w:sz w:val="24"/>
        </w:rPr>
      </w:pPr>
    </w:p>
    <w:p w14:paraId="11179080">
      <w:pPr>
        <w:widowControl/>
        <w:jc w:val="left"/>
        <w:rPr>
          <w:rFonts w:ascii="宋体" w:hAnsi="宋体" w:eastAsia="宋体" w:cs="宋体"/>
          <w:b/>
          <w:bCs/>
          <w:sz w:val="24"/>
        </w:rPr>
      </w:pPr>
      <w:r>
        <w:rPr>
          <w:rFonts w:ascii="宋体" w:hAnsi="宋体" w:eastAsia="宋体" w:cs="宋体"/>
          <w:b/>
          <w:bCs/>
          <w:sz w:val="24"/>
        </w:rPr>
        <w:br w:type="page"/>
      </w:r>
    </w:p>
    <w:p w14:paraId="0A5D498F">
      <w:pPr>
        <w:spacing w:line="320" w:lineRule="exact"/>
        <w:rPr>
          <w:rFonts w:ascii="宋体" w:hAnsi="宋体" w:eastAsia="宋体" w:cs="宋体"/>
          <w:b/>
          <w:bCs/>
          <w:sz w:val="24"/>
        </w:rPr>
      </w:pPr>
      <w:r>
        <w:rPr>
          <w:rFonts w:hint="eastAsia" w:ascii="宋体" w:hAnsi="宋体" w:eastAsia="宋体" w:cs="宋体"/>
          <w:b/>
          <w:bCs/>
          <w:sz w:val="24"/>
        </w:rPr>
        <w:t>二、多选题</w:t>
      </w:r>
    </w:p>
    <w:p w14:paraId="37DBA86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1、下面关于沥青混合料测试密度的四种方法中，计算用的试件体积为混合料体积+试件内部的闭口孔隙+连通表面的开口孔隙的方法为（     ）</w:t>
      </w:r>
    </w:p>
    <w:p w14:paraId="5B5A6D9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A、水中重法                         B、表干法            </w:t>
      </w:r>
    </w:p>
    <w:p w14:paraId="00D731E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C、蜡封法                           D、体积法</w:t>
      </w:r>
    </w:p>
    <w:p w14:paraId="5AA2729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 BC</w:t>
      </w:r>
    </w:p>
    <w:p w14:paraId="2513C901">
      <w:pPr>
        <w:pStyle w:val="9"/>
        <w:tabs>
          <w:tab w:val="left" w:pos="337"/>
        </w:tabs>
        <w:spacing w:after="60" w:line="320" w:lineRule="exact"/>
        <w:rPr>
          <w:rFonts w:ascii="Times New Roman" w:hAnsi="Times New Roman" w:cs="Times New Roman"/>
          <w:sz w:val="24"/>
          <w:szCs w:val="24"/>
          <w:lang w:val="en-US" w:eastAsia="zh-CN" w:bidi="ar-SA"/>
        </w:rPr>
      </w:pPr>
    </w:p>
    <w:p w14:paraId="0312F3C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2、下列哪些类型的沥青混合料可以进行谢伦堡析漏试验？（     ）</w:t>
      </w:r>
    </w:p>
    <w:p w14:paraId="58DD238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A、SMA                             B、OGFC            </w:t>
      </w:r>
    </w:p>
    <w:p w14:paraId="091DABB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C、AC                               D、SUP</w:t>
      </w:r>
    </w:p>
    <w:p w14:paraId="5250A62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272DAB5D">
      <w:pPr>
        <w:pStyle w:val="9"/>
        <w:tabs>
          <w:tab w:val="left" w:pos="337"/>
        </w:tabs>
        <w:spacing w:after="60" w:line="320" w:lineRule="exact"/>
        <w:rPr>
          <w:rFonts w:ascii="Times New Roman" w:hAnsi="Times New Roman" w:cs="Times New Roman"/>
          <w:sz w:val="24"/>
          <w:szCs w:val="24"/>
          <w:lang w:val="en-US" w:eastAsia="zh-CN" w:bidi="ar-SA"/>
        </w:rPr>
      </w:pPr>
    </w:p>
    <w:p w14:paraId="1E13C37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3、沥青混合料设计中发现流值偏高，应采取的措施有（      ）</w:t>
      </w:r>
    </w:p>
    <w:p w14:paraId="561AFF0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A、增加沥青用量                     B、减少沥青用量    </w:t>
      </w:r>
    </w:p>
    <w:p w14:paraId="773E53F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C、增加矿料用量                     D、减少矿料用量</w:t>
      </w:r>
    </w:p>
    <w:p w14:paraId="2D2728B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w:t>
      </w:r>
    </w:p>
    <w:p w14:paraId="5252623A">
      <w:pPr>
        <w:pStyle w:val="9"/>
        <w:tabs>
          <w:tab w:val="left" w:pos="337"/>
        </w:tabs>
        <w:spacing w:after="60" w:line="320" w:lineRule="exact"/>
        <w:rPr>
          <w:rFonts w:ascii="Times New Roman" w:hAnsi="Times New Roman" w:cs="Times New Roman"/>
          <w:sz w:val="24"/>
          <w:szCs w:val="24"/>
          <w:lang w:val="en-US" w:eastAsia="zh-CN" w:bidi="ar-SA"/>
        </w:rPr>
      </w:pPr>
    </w:p>
    <w:p w14:paraId="3D8F322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4、不能评价沥青混合料耐久性的指标是（     ）</w:t>
      </w:r>
    </w:p>
    <w:p w14:paraId="5F8BF59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A、饱和度                            B、动稳定度       </w:t>
      </w:r>
    </w:p>
    <w:p w14:paraId="3984996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C、马氏模数                          D、稳定度</w:t>
      </w:r>
    </w:p>
    <w:p w14:paraId="2EFEC37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【答案】：BCD</w:t>
      </w:r>
    </w:p>
    <w:p w14:paraId="7E9D7009">
      <w:pPr>
        <w:pStyle w:val="9"/>
        <w:tabs>
          <w:tab w:val="left" w:pos="337"/>
        </w:tabs>
        <w:spacing w:after="60" w:line="320" w:lineRule="exact"/>
        <w:rPr>
          <w:rFonts w:ascii="Times New Roman" w:hAnsi="Times New Roman" w:cs="Times New Roman"/>
          <w:sz w:val="24"/>
          <w:szCs w:val="24"/>
          <w:lang w:val="en-US" w:eastAsia="zh-CN" w:bidi="ar-SA"/>
        </w:rPr>
      </w:pPr>
    </w:p>
    <w:p w14:paraId="78E0183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5、下面关于湿轮磨耗试验说法正确的是（     ）</w:t>
      </w:r>
    </w:p>
    <w:p w14:paraId="480E7F2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A、浸水1h是将试件放入25℃±1℃的水浴中保温60min。</w:t>
      </w:r>
    </w:p>
    <w:p w14:paraId="6F30CE6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B、将试件固定在磨耗仪上后，开动试验机，磨耗头转动300s±2s后停止。</w:t>
      </w:r>
    </w:p>
    <w:p w14:paraId="3E6B8AC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C、湿轮磨耗试验各组分的配比中，矿料部分为4.75mm筛余部分。</w:t>
      </w:r>
    </w:p>
    <w:p w14:paraId="3EB7DF3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D、每次试验结束后，都需要换上新的橡胶管。</w:t>
      </w:r>
    </w:p>
    <w:p w14:paraId="2EFB228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7368CEA3">
      <w:pPr>
        <w:pStyle w:val="9"/>
        <w:tabs>
          <w:tab w:val="left" w:pos="337"/>
        </w:tabs>
        <w:spacing w:after="60" w:line="320" w:lineRule="exact"/>
        <w:rPr>
          <w:rFonts w:ascii="Times New Roman" w:hAnsi="Times New Roman" w:cs="Times New Roman"/>
          <w:sz w:val="24"/>
          <w:szCs w:val="24"/>
          <w:lang w:val="en-US" w:eastAsia="zh-CN" w:bidi="ar-SA"/>
        </w:rPr>
      </w:pPr>
    </w:p>
    <w:p w14:paraId="16CC407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6、稀浆混合料配伍性选用（     ）进行配伍性分级。</w:t>
      </w:r>
      <w:r>
        <w:rPr>
          <w:rFonts w:ascii="Times New Roman" w:hAnsi="Times New Roman" w:cs="Times New Roman"/>
          <w:sz w:val="24"/>
          <w:szCs w:val="24"/>
          <w:lang w:val="en-US" w:eastAsia="zh-CN" w:bidi="ar-SA"/>
        </w:rPr>
        <w:t xml:space="preserve"> </w:t>
      </w:r>
    </w:p>
    <w:p w14:paraId="1B03BCF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A、磨耗损失                          B、裹覆率          </w:t>
      </w:r>
    </w:p>
    <w:p w14:paraId="34D3169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C、完整率                            D、破碎率</w:t>
      </w:r>
    </w:p>
    <w:p w14:paraId="2116592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7166ECC8">
      <w:pPr>
        <w:pStyle w:val="9"/>
        <w:tabs>
          <w:tab w:val="left" w:pos="337"/>
        </w:tabs>
        <w:spacing w:after="60" w:line="320" w:lineRule="exact"/>
        <w:rPr>
          <w:rFonts w:ascii="Times New Roman" w:hAnsi="Times New Roman" w:cs="Times New Roman"/>
          <w:sz w:val="24"/>
          <w:szCs w:val="24"/>
          <w:lang w:val="en-US" w:eastAsia="zh-CN" w:bidi="ar-SA"/>
        </w:rPr>
      </w:pPr>
    </w:p>
    <w:p w14:paraId="149696A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7、下面关于纤维吸油率试验，正确的是（     ）</w:t>
      </w:r>
    </w:p>
    <w:p w14:paraId="701EC1B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A、取样质量为5g±0.1g               B、煤油浸没纤维顶面2cm，静置5min </w:t>
      </w:r>
    </w:p>
    <w:p w14:paraId="66FA47A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C、振筛时间为10min                  D、不可对粒状木质纤维进行试验   </w:t>
      </w:r>
    </w:p>
    <w:p w14:paraId="2A9C625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4C753058">
      <w:pPr>
        <w:pStyle w:val="9"/>
        <w:tabs>
          <w:tab w:val="left" w:pos="337"/>
        </w:tabs>
        <w:spacing w:after="60" w:line="320" w:lineRule="exact"/>
        <w:rPr>
          <w:rFonts w:ascii="Times New Roman" w:hAnsi="Times New Roman" w:cs="Times New Roman"/>
          <w:sz w:val="24"/>
          <w:szCs w:val="24"/>
          <w:lang w:val="en-US" w:eastAsia="zh-CN" w:bidi="ar-SA"/>
        </w:rPr>
      </w:pPr>
    </w:p>
    <w:p w14:paraId="46CC752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8、热拌沥青混合料马歇尔试验的力学指标是（     ）</w:t>
      </w:r>
    </w:p>
    <w:p w14:paraId="15B181B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A、稳定度                           B、流值            </w:t>
      </w:r>
    </w:p>
    <w:p w14:paraId="2CB793E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C、空隙率                           D、饱和度</w:t>
      </w:r>
    </w:p>
    <w:p w14:paraId="19B15E2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4EBAA999">
      <w:pPr>
        <w:pStyle w:val="9"/>
        <w:tabs>
          <w:tab w:val="left" w:pos="337"/>
        </w:tabs>
        <w:spacing w:after="60" w:line="320" w:lineRule="exact"/>
        <w:rPr>
          <w:rFonts w:ascii="Times New Roman" w:hAnsi="Times New Roman" w:cs="Times New Roman"/>
          <w:sz w:val="24"/>
          <w:szCs w:val="24"/>
          <w:lang w:val="en-US" w:eastAsia="zh-CN" w:bidi="ar-SA"/>
        </w:rPr>
      </w:pPr>
    </w:p>
    <w:p w14:paraId="6A092FD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9、我国现行密级配沥青混凝土马歇尔试验技术标准中要求控制（     ）指标。</w:t>
      </w:r>
    </w:p>
    <w:p w14:paraId="442CC89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A、高温稳定性                       B、低温抗裂性    </w:t>
      </w:r>
    </w:p>
    <w:p w14:paraId="7D7E36F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C、抗滑性                           D、耐久性</w:t>
      </w:r>
    </w:p>
    <w:p w14:paraId="6E0F30A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【答案】：AD</w:t>
      </w:r>
    </w:p>
    <w:p w14:paraId="0251213C">
      <w:pPr>
        <w:pStyle w:val="9"/>
        <w:tabs>
          <w:tab w:val="left" w:pos="337"/>
        </w:tabs>
        <w:spacing w:after="60" w:line="320" w:lineRule="exact"/>
        <w:rPr>
          <w:rFonts w:ascii="Times New Roman" w:hAnsi="Times New Roman" w:cs="Times New Roman"/>
          <w:sz w:val="24"/>
          <w:szCs w:val="24"/>
          <w:lang w:val="en-US" w:eastAsia="zh-CN" w:bidi="ar-SA"/>
        </w:rPr>
      </w:pPr>
    </w:p>
    <w:p w14:paraId="7D74B81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10、随着沥青含量的增加，以下指标不会出现峰值的是（     ）。</w:t>
      </w:r>
    </w:p>
    <w:p w14:paraId="7639F64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A、稳定度                           B、空隙率       </w:t>
      </w:r>
    </w:p>
    <w:p w14:paraId="01C7142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C、饱和度                           D、流值</w:t>
      </w:r>
    </w:p>
    <w:p w14:paraId="4D5D568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【答案】：BCD</w:t>
      </w:r>
    </w:p>
    <w:p w14:paraId="10CCD5D5">
      <w:pPr>
        <w:pStyle w:val="9"/>
        <w:tabs>
          <w:tab w:val="left" w:pos="337"/>
        </w:tabs>
        <w:spacing w:after="60" w:line="320" w:lineRule="exact"/>
        <w:rPr>
          <w:rFonts w:ascii="Times New Roman" w:hAnsi="Times New Roman" w:cs="Times New Roman"/>
          <w:sz w:val="24"/>
          <w:szCs w:val="24"/>
          <w:lang w:val="en-US" w:eastAsia="zh-CN" w:bidi="ar-SA"/>
        </w:rPr>
      </w:pPr>
    </w:p>
    <w:p w14:paraId="1D3408A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11、在沥青混合料配合比设计过程中，当空隙率与稳定度均较低时，可采用（     ）方法改进。</w:t>
      </w:r>
    </w:p>
    <w:p w14:paraId="0976F7D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A、降低沥青含量                      B、增加粗集料    </w:t>
      </w:r>
    </w:p>
    <w:p w14:paraId="703B971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C、增加细集料                        D、增加矿粉</w:t>
      </w:r>
    </w:p>
    <w:p w14:paraId="3920840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2A140CA9">
      <w:pPr>
        <w:pStyle w:val="9"/>
        <w:tabs>
          <w:tab w:val="left" w:pos="337"/>
        </w:tabs>
        <w:spacing w:after="60" w:line="320" w:lineRule="exact"/>
        <w:rPr>
          <w:rFonts w:ascii="Times New Roman" w:hAnsi="Times New Roman" w:cs="Times New Roman"/>
          <w:sz w:val="24"/>
          <w:szCs w:val="24"/>
          <w:lang w:val="en-US" w:eastAsia="zh-CN" w:bidi="ar-SA"/>
        </w:rPr>
      </w:pPr>
    </w:p>
    <w:p w14:paraId="5E36893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12、关于沥青混合料水稳定性说法正确的是（     ）。</w:t>
      </w:r>
    </w:p>
    <w:p w14:paraId="6D3B947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A、我国对改性沥青混合料要求要严于普通沥青混合料</w:t>
      </w:r>
    </w:p>
    <w:p w14:paraId="21BB98F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B、浸水马歇尔试验和冻融劈裂试验都能检验混合料的水稳定性</w:t>
      </w:r>
    </w:p>
    <w:p w14:paraId="34E8C9D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C、集料采用石灰岩的沥青混合科水稳定性要优于花岗岩性的沥青混合料</w:t>
      </w:r>
    </w:p>
    <w:p w14:paraId="61945C8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D、从混合科组成结构来看，产生水稳定性差的主要原因是混合科矿料间隙率太大</w:t>
      </w:r>
    </w:p>
    <w:p w14:paraId="13AF7B7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 </w:t>
      </w:r>
    </w:p>
    <w:p w14:paraId="4E1F7F4F">
      <w:pPr>
        <w:pStyle w:val="9"/>
        <w:tabs>
          <w:tab w:val="left" w:pos="337"/>
        </w:tabs>
        <w:spacing w:after="60" w:line="320" w:lineRule="exact"/>
        <w:rPr>
          <w:rFonts w:ascii="Times New Roman" w:hAnsi="Times New Roman" w:cs="Times New Roman"/>
          <w:sz w:val="24"/>
          <w:szCs w:val="24"/>
          <w:lang w:val="en-US" w:eastAsia="zh-CN" w:bidi="ar-SA"/>
        </w:rPr>
      </w:pPr>
    </w:p>
    <w:p w14:paraId="2963CAB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13、沥青混合料的高温稳定性，在实际工作中通过（     ）方法进行评价。</w:t>
      </w:r>
    </w:p>
    <w:p w14:paraId="6B8B330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A、马歇尔试验                         B、浸水马歇尔试验    </w:t>
      </w:r>
    </w:p>
    <w:p w14:paraId="7463F61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C、车辙试验                           D、劈裂试验</w:t>
      </w:r>
    </w:p>
    <w:p w14:paraId="39E3B72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 </w:t>
      </w:r>
    </w:p>
    <w:p w14:paraId="6FF53571">
      <w:pPr>
        <w:pStyle w:val="9"/>
        <w:tabs>
          <w:tab w:val="left" w:pos="337"/>
        </w:tabs>
        <w:spacing w:after="60" w:line="320" w:lineRule="exact"/>
        <w:rPr>
          <w:rFonts w:ascii="Times New Roman" w:hAnsi="Times New Roman" w:cs="Times New Roman"/>
          <w:sz w:val="24"/>
          <w:szCs w:val="24"/>
          <w:lang w:val="en-US" w:eastAsia="zh-CN" w:bidi="ar-SA"/>
        </w:rPr>
      </w:pPr>
    </w:p>
    <w:p w14:paraId="05AC7A0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14、以下属于沥青混合料面层检查项目中的关键项目的有（     ）。</w:t>
      </w:r>
    </w:p>
    <w:p w14:paraId="15435BF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A、压实度                             B、弯沉值      </w:t>
      </w:r>
    </w:p>
    <w:p w14:paraId="44D1CC7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C、矿料集配                           D、沥青含量</w:t>
      </w:r>
    </w:p>
    <w:p w14:paraId="3F9E938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【答案】：ACD </w:t>
      </w:r>
    </w:p>
    <w:p w14:paraId="424B5A47">
      <w:pPr>
        <w:pStyle w:val="9"/>
        <w:tabs>
          <w:tab w:val="left" w:pos="337"/>
        </w:tabs>
        <w:spacing w:after="60" w:line="320" w:lineRule="exact"/>
        <w:rPr>
          <w:rFonts w:ascii="Times New Roman" w:hAnsi="Times New Roman" w:cs="Times New Roman"/>
          <w:sz w:val="24"/>
          <w:szCs w:val="24"/>
          <w:lang w:val="en-US" w:eastAsia="zh-CN" w:bidi="ar-SA"/>
        </w:rPr>
      </w:pPr>
    </w:p>
    <w:p w14:paraId="5FD3374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15、下述沥青混合料试验指标中，能反映沥青混凝土路面耐久性的是（     ）。 </w:t>
      </w:r>
    </w:p>
    <w:p w14:paraId="62E2A66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A、VV                                 B、VFA    </w:t>
      </w:r>
    </w:p>
    <w:p w14:paraId="44FC5E5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C、MS                                 D、FL</w:t>
      </w:r>
    </w:p>
    <w:p w14:paraId="20BBBDE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0D34F9DB">
      <w:pPr>
        <w:pStyle w:val="9"/>
        <w:tabs>
          <w:tab w:val="left" w:pos="337"/>
        </w:tabs>
        <w:spacing w:after="60" w:line="320" w:lineRule="exact"/>
        <w:rPr>
          <w:rFonts w:ascii="Times New Roman" w:hAnsi="Times New Roman" w:cs="Times New Roman"/>
          <w:sz w:val="24"/>
          <w:szCs w:val="24"/>
          <w:lang w:val="en-US" w:eastAsia="zh-CN" w:bidi="ar-SA"/>
        </w:rPr>
      </w:pPr>
    </w:p>
    <w:p w14:paraId="13ED1364">
      <w:pPr>
        <w:pStyle w:val="9"/>
        <w:tabs>
          <w:tab w:val="left" w:pos="337"/>
        </w:tabs>
        <w:spacing w:after="60" w:line="320" w:lineRule="exact"/>
        <w:rPr>
          <w:b/>
          <w:bCs/>
          <w:sz w:val="24"/>
        </w:rPr>
      </w:pPr>
      <w:r>
        <w:rPr>
          <w:rFonts w:ascii="Times New Roman" w:hAnsi="Times New Roman" w:cs="Times New Roman"/>
          <w:sz w:val="24"/>
          <w:szCs w:val="24"/>
          <w:lang w:val="en-US" w:eastAsia="zh-CN" w:bidi="ar-SA"/>
        </w:rPr>
        <w:br w:type="page"/>
      </w:r>
    </w:p>
    <w:p w14:paraId="4461F8D6">
      <w:pPr>
        <w:spacing w:line="320" w:lineRule="exact"/>
        <w:rPr>
          <w:rFonts w:ascii="宋体" w:hAnsi="宋体" w:eastAsia="宋体" w:cs="宋体"/>
          <w:b/>
          <w:bCs/>
          <w:sz w:val="24"/>
        </w:rPr>
      </w:pPr>
      <w:r>
        <w:rPr>
          <w:rFonts w:hint="eastAsia" w:ascii="宋体" w:hAnsi="宋体" w:eastAsia="宋体" w:cs="宋体"/>
          <w:b/>
          <w:bCs/>
          <w:sz w:val="24"/>
        </w:rPr>
        <w:t>三、判断题</w:t>
      </w:r>
    </w:p>
    <w:p w14:paraId="41E5BB9E">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1、沥青混合料中使用碱性填料的原因是可以与沥青形成较为发达的结构沥青。（     ）</w:t>
      </w:r>
    </w:p>
    <w:p w14:paraId="255B805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0E67DA8">
      <w:pPr>
        <w:pStyle w:val="9"/>
        <w:tabs>
          <w:tab w:val="left" w:pos="337"/>
        </w:tabs>
        <w:spacing w:after="60" w:line="320" w:lineRule="exact"/>
        <w:rPr>
          <w:rFonts w:ascii="Times New Roman" w:hAnsi="Times New Roman" w:cs="Times New Roman"/>
          <w:sz w:val="24"/>
          <w:szCs w:val="24"/>
          <w:lang w:val="en-US" w:eastAsia="zh-CN" w:bidi="ar-SA"/>
        </w:rPr>
      </w:pPr>
    </w:p>
    <w:p w14:paraId="171D772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2、稀浆封层黏聚力试验中，初级成型：试样表面有一条裂纹出现，与黏聚力值1.2N·m等效。（     ）</w:t>
      </w:r>
    </w:p>
    <w:p w14:paraId="44BF91F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B1FB6B9">
      <w:pPr>
        <w:pStyle w:val="9"/>
        <w:tabs>
          <w:tab w:val="left" w:pos="337"/>
        </w:tabs>
        <w:spacing w:after="60" w:line="320" w:lineRule="exact"/>
        <w:rPr>
          <w:rFonts w:hint="eastAsia" w:ascii="Times New Roman" w:hAnsi="Times New Roman" w:cs="Times New Roman"/>
          <w:sz w:val="24"/>
          <w:szCs w:val="24"/>
          <w:lang w:val="en-US" w:eastAsia="zh-CN" w:bidi="ar-SA"/>
        </w:rPr>
      </w:pPr>
    </w:p>
    <w:p w14:paraId="12DB7E2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3、沥青混合料基层的动态模量采用周期加载单轴压缩试验测定。（     ）</w:t>
      </w:r>
    </w:p>
    <w:p w14:paraId="0983F45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53EC11A">
      <w:pPr>
        <w:pStyle w:val="9"/>
        <w:tabs>
          <w:tab w:val="left" w:pos="337"/>
        </w:tabs>
        <w:spacing w:after="60" w:line="320" w:lineRule="exact"/>
        <w:rPr>
          <w:rFonts w:ascii="Times New Roman" w:hAnsi="Times New Roman" w:cs="Times New Roman"/>
          <w:sz w:val="24"/>
          <w:szCs w:val="24"/>
          <w:lang w:val="en-US" w:eastAsia="zh-CN" w:bidi="ar-SA"/>
        </w:rPr>
      </w:pPr>
    </w:p>
    <w:p w14:paraId="0383016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4、负荷轮车辙变形试验测量宽度和车辙深度都准确到0.1mm。（     ）</w:t>
      </w:r>
    </w:p>
    <w:p w14:paraId="53D88E5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7A7C328">
      <w:pPr>
        <w:pStyle w:val="9"/>
        <w:tabs>
          <w:tab w:val="left" w:pos="337"/>
        </w:tabs>
        <w:spacing w:after="60" w:line="320" w:lineRule="exact"/>
        <w:rPr>
          <w:rFonts w:ascii="Times New Roman" w:hAnsi="Times New Roman" w:cs="Times New Roman"/>
          <w:sz w:val="24"/>
          <w:szCs w:val="24"/>
          <w:lang w:val="en-US" w:eastAsia="zh-CN" w:bidi="ar-SA"/>
        </w:rPr>
      </w:pPr>
    </w:p>
    <w:p w14:paraId="3F36D51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5、离心分离法测定沥青混合料中的沥青含量中，应考虑泄漏入抽提液中矿粉的含量，如果忽略该部分质量，则测的结果较真实值大。（     ）</w:t>
      </w:r>
    </w:p>
    <w:p w14:paraId="359930E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37789C4">
      <w:pPr>
        <w:pStyle w:val="9"/>
        <w:tabs>
          <w:tab w:val="left" w:pos="337"/>
        </w:tabs>
        <w:spacing w:after="60" w:line="320" w:lineRule="exact"/>
        <w:rPr>
          <w:rFonts w:ascii="Times New Roman" w:hAnsi="Times New Roman" w:cs="Times New Roman"/>
          <w:sz w:val="24"/>
          <w:szCs w:val="24"/>
          <w:lang w:val="en-US" w:eastAsia="zh-CN" w:bidi="ar-SA"/>
        </w:rPr>
      </w:pPr>
    </w:p>
    <w:p w14:paraId="78A3C04A">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6、在沥青混合料中，细集料是指粒径小于2.36mm的天然砂、人工砂及石屑。（     ）</w:t>
      </w:r>
    </w:p>
    <w:p w14:paraId="3D14BD4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FAF653A">
      <w:pPr>
        <w:pStyle w:val="9"/>
        <w:tabs>
          <w:tab w:val="left" w:pos="337"/>
        </w:tabs>
        <w:spacing w:after="60" w:line="320" w:lineRule="exact"/>
        <w:rPr>
          <w:rFonts w:ascii="Times New Roman" w:hAnsi="Times New Roman" w:cs="Times New Roman"/>
          <w:sz w:val="24"/>
          <w:szCs w:val="24"/>
          <w:lang w:val="en-US" w:eastAsia="zh-CN" w:bidi="ar-SA"/>
        </w:rPr>
      </w:pPr>
    </w:p>
    <w:p w14:paraId="5AC7E59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7、沥青饱和度是指压实沥青混合料试件中沥青实体体积占矿料骨架实体以外的空间体积的百分率，又称为沥青填隙率。（     ）</w:t>
      </w:r>
    </w:p>
    <w:p w14:paraId="41C0DCF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F04A46D">
      <w:pPr>
        <w:pStyle w:val="9"/>
        <w:tabs>
          <w:tab w:val="left" w:pos="337"/>
        </w:tabs>
        <w:spacing w:after="60" w:line="320" w:lineRule="exact"/>
        <w:rPr>
          <w:rFonts w:ascii="Times New Roman" w:hAnsi="Times New Roman" w:cs="Times New Roman"/>
          <w:sz w:val="24"/>
          <w:szCs w:val="24"/>
          <w:lang w:val="en-US" w:eastAsia="zh-CN" w:bidi="ar-SA"/>
        </w:rPr>
      </w:pPr>
    </w:p>
    <w:p w14:paraId="3539002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8、拌和沥青混合料时，一般矿料本身的温度应与拌和温度相同。（     ）</w:t>
      </w:r>
    </w:p>
    <w:p w14:paraId="66C77E7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C595DA6">
      <w:pPr>
        <w:pStyle w:val="9"/>
        <w:tabs>
          <w:tab w:val="left" w:pos="337"/>
        </w:tabs>
        <w:spacing w:after="60" w:line="320" w:lineRule="exact"/>
        <w:rPr>
          <w:rFonts w:ascii="Times New Roman" w:hAnsi="Times New Roman" w:cs="Times New Roman"/>
          <w:sz w:val="24"/>
          <w:szCs w:val="24"/>
          <w:lang w:val="en-US" w:eastAsia="zh-CN" w:bidi="ar-SA"/>
        </w:rPr>
      </w:pPr>
    </w:p>
    <w:p w14:paraId="391DA179">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9、轮碾成型车辙的碾压轮总荷载为9kN，温度为100℃左右。碾压次数应经试压，测定密度后确定。（     ）</w:t>
      </w:r>
    </w:p>
    <w:p w14:paraId="40C86A5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BE7BA97">
      <w:pPr>
        <w:pStyle w:val="9"/>
        <w:tabs>
          <w:tab w:val="left" w:pos="337"/>
        </w:tabs>
        <w:spacing w:after="60" w:line="320" w:lineRule="exact"/>
        <w:rPr>
          <w:rFonts w:ascii="Times New Roman" w:hAnsi="Times New Roman" w:cs="Times New Roman"/>
          <w:sz w:val="24"/>
          <w:szCs w:val="24"/>
          <w:lang w:val="en-US" w:eastAsia="zh-CN" w:bidi="ar-SA"/>
        </w:rPr>
      </w:pPr>
    </w:p>
    <w:p w14:paraId="68A2E50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10、聚合物改性沥青混合料不得采用真空法测定理论最大相对密度。（     ）</w:t>
      </w:r>
    </w:p>
    <w:p w14:paraId="4C38392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B92D7EA">
      <w:pPr>
        <w:pStyle w:val="9"/>
        <w:tabs>
          <w:tab w:val="left" w:pos="337"/>
        </w:tabs>
        <w:spacing w:after="60" w:line="320" w:lineRule="exact"/>
        <w:rPr>
          <w:rFonts w:ascii="Times New Roman" w:hAnsi="Times New Roman" w:cs="Times New Roman"/>
          <w:sz w:val="24"/>
          <w:szCs w:val="24"/>
          <w:lang w:val="en-US" w:eastAsia="zh-CN" w:bidi="ar-SA"/>
        </w:rPr>
      </w:pPr>
    </w:p>
    <w:p w14:paraId="152C071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11、乳化沥青稀浆混合料的配合比设计过程中，进行拌和试验和粘聚力试验时，可拌和时间的试验温度应考虑最高施工温度，黏聚力试验的温度应考虑施工中可能遇到的最低温度。（     ）</w:t>
      </w:r>
    </w:p>
    <w:p w14:paraId="5519934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bookmarkStart w:id="3" w:name="_GoBack"/>
      <w:bookmarkEnd w:id="3"/>
    </w:p>
    <w:p w14:paraId="4AF4FCD5">
      <w:pPr>
        <w:pStyle w:val="9"/>
        <w:tabs>
          <w:tab w:val="left" w:pos="337"/>
        </w:tabs>
        <w:spacing w:after="60" w:line="320" w:lineRule="exact"/>
        <w:rPr>
          <w:rFonts w:ascii="Times New Roman" w:hAnsi="Times New Roman" w:cs="Times New Roman"/>
          <w:sz w:val="24"/>
          <w:szCs w:val="24"/>
          <w:lang w:val="en-US" w:eastAsia="zh-CN" w:bidi="ar-SA"/>
        </w:rPr>
      </w:pPr>
    </w:p>
    <w:p w14:paraId="7438DC8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12、测定沥青混合料马歇尔试件密度时，当开口空隙中的水分全部被擦去，测得的毛体积密度结果与表观密度很接近。（     ）</w:t>
      </w:r>
    </w:p>
    <w:p w14:paraId="4470BCB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EEB7EDA">
      <w:pPr>
        <w:pStyle w:val="9"/>
        <w:tabs>
          <w:tab w:val="left" w:pos="337"/>
        </w:tabs>
        <w:spacing w:after="60" w:line="320" w:lineRule="exact"/>
        <w:rPr>
          <w:rFonts w:ascii="Times New Roman" w:hAnsi="Times New Roman" w:cs="Times New Roman"/>
          <w:sz w:val="24"/>
          <w:szCs w:val="24"/>
          <w:lang w:val="en-US" w:eastAsia="zh-CN" w:bidi="ar-SA"/>
        </w:rPr>
      </w:pPr>
    </w:p>
    <w:p w14:paraId="7C5A216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13、稀浆混合料破乳时间小于或等于60min，重复性试验的允许误差为5min；当试样破乳时间大于60min。重复性允许误差为15min。（     ）</w:t>
      </w:r>
    </w:p>
    <w:p w14:paraId="28BFB3A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6052465">
      <w:pPr>
        <w:pStyle w:val="9"/>
        <w:tabs>
          <w:tab w:val="left" w:pos="337"/>
        </w:tabs>
        <w:spacing w:after="60" w:line="320" w:lineRule="exact"/>
        <w:rPr>
          <w:rFonts w:ascii="Times New Roman" w:hAnsi="Times New Roman" w:cs="Times New Roman"/>
          <w:sz w:val="24"/>
          <w:szCs w:val="24"/>
          <w:lang w:val="en-US" w:eastAsia="zh-CN" w:bidi="ar-SA"/>
        </w:rPr>
      </w:pPr>
    </w:p>
    <w:p w14:paraId="0D5F7127">
      <w:pPr>
        <w:pStyle w:val="9"/>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068C9A66">
      <w:pPr>
        <w:spacing w:line="320" w:lineRule="exact"/>
        <w:rPr>
          <w:rFonts w:ascii="宋体" w:hAnsi="宋体" w:eastAsia="宋体" w:cs="宋体"/>
          <w:b/>
          <w:bCs/>
          <w:sz w:val="24"/>
        </w:rPr>
      </w:pPr>
      <w:r>
        <w:rPr>
          <w:rFonts w:hint="eastAsia" w:ascii="宋体" w:hAnsi="宋体" w:eastAsia="宋体" w:cs="宋体"/>
          <w:b/>
          <w:bCs/>
          <w:sz w:val="24"/>
        </w:rPr>
        <w:t>四、综合题</w:t>
      </w:r>
    </w:p>
    <w:p w14:paraId="44F333A3">
      <w:pPr>
        <w:spacing w:line="320" w:lineRule="exact"/>
        <w:rPr>
          <w:rFonts w:ascii="宋体" w:hAnsi="宋体" w:eastAsia="宋体" w:cs="宋体"/>
          <w:b/>
          <w:bCs/>
          <w:sz w:val="24"/>
        </w:rPr>
      </w:pPr>
      <w:r>
        <w:rPr>
          <w:rFonts w:hint="eastAsia" w:ascii="宋体" w:hAnsi="宋体" w:eastAsia="宋体" w:cs="宋体"/>
          <w:b/>
          <w:bCs/>
          <w:sz w:val="24"/>
        </w:rPr>
        <w:t>1、某试验室根据《公路工程沥青及沥青混合料试验规程》（JTG E20-2011）进行沥青混合料相关试验，回答以下问题。</w:t>
      </w:r>
    </w:p>
    <w:p w14:paraId="12E76EB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（1）下面关于沥青混合料试件击实法的说法错误的是（     ）</w:t>
      </w:r>
    </w:p>
    <w:p w14:paraId="538E16AD">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A、沥青混合料拌和和压实的温度是由黏温曲线确定的。</w:t>
      </w:r>
    </w:p>
    <w:p w14:paraId="0D08C24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B、混合料装入试模中后，需要用插刀或者大螺丝刀沿周边插捣15次，中间捣10次。对大型击实法的试件，每次插捣次数一致。</w:t>
      </w:r>
    </w:p>
    <w:p w14:paraId="241269C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C、马歇尔试件高度不符合要求时，试件应作废，立即调整试件的混合料质量，以保证高度符合63.5mm±1.3mm（标准试件）的要求。</w:t>
      </w:r>
    </w:p>
    <w:p w14:paraId="716FAE8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D、当集料公称最大粒径大于31.5mm时，考虑试件的均匀性，要求宜采用大型击实法。</w:t>
      </w:r>
    </w:p>
    <w:p w14:paraId="64888C8C">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【答案】：D </w:t>
      </w:r>
    </w:p>
    <w:p w14:paraId="6AEF825B">
      <w:pPr>
        <w:pStyle w:val="9"/>
        <w:tabs>
          <w:tab w:val="left" w:pos="337"/>
        </w:tabs>
        <w:spacing w:after="60" w:line="320" w:lineRule="exact"/>
        <w:rPr>
          <w:rFonts w:ascii="Times New Roman" w:hAnsi="Times New Roman" w:cs="Times New Roman"/>
          <w:sz w:val="24"/>
          <w:szCs w:val="24"/>
          <w:lang w:val="en-US" w:eastAsia="zh-CN" w:bidi="ar-SA"/>
        </w:rPr>
      </w:pPr>
    </w:p>
    <w:p w14:paraId="0168CE2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（2）下面关于沥青混合料理论最大相对密度试验（真空法）的说法正确的是（     ）</w:t>
      </w:r>
    </w:p>
    <w:p w14:paraId="2CB87F3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A、真空泵产生的负压为3.7kPa±0.3kPa。</w:t>
      </w:r>
    </w:p>
    <w:p w14:paraId="3CF50F7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B、公称最大粒径为13.2mm的混合料试样，其试样数量最少为1000g。</w:t>
      </w:r>
    </w:p>
    <w:p w14:paraId="205E125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C、负压容器除了A类，B、C类容器试验前都需要标定。</w:t>
      </w:r>
    </w:p>
    <w:p w14:paraId="53F2833F">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D、该试验的重复性允许误差为0.11g/cm3，再现性试验的允许误差为0.19g/cm3。</w:t>
      </w:r>
    </w:p>
    <w:p w14:paraId="19A1FA74">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7612039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 </w:t>
      </w:r>
    </w:p>
    <w:p w14:paraId="2C1F99D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（3）关于沥青混合料车辙试验的说法正确的是（       ）</w:t>
      </w:r>
    </w:p>
    <w:p w14:paraId="535D573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A、在夏天的时候，路面中面层虽然温度会略低于表面层，但剪应力比表面层更大，所以对用于路面中面层的沥青混合料，其动稳定度的要求不能降低。</w:t>
      </w:r>
    </w:p>
    <w:p w14:paraId="3EE7ED3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B、计算车辙时，需要读取45min和60min两个时间点时的车辙变形，准确至1mm。</w:t>
      </w:r>
    </w:p>
    <w:p w14:paraId="62832F3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C、车辙试验中，对于聚合物改性沥青混合料，冷却放置的时间以48h为宜，如果有必要，可延长至一周以上，保证混合料的彻底成型。</w:t>
      </w:r>
    </w:p>
    <w:p w14:paraId="5DB73695">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D、无论是何种交通量的交通，车辙试验的轮压统一为0.7MPa。</w:t>
      </w:r>
    </w:p>
    <w:p w14:paraId="58B5D7A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1F962ABB">
      <w:pPr>
        <w:pStyle w:val="9"/>
        <w:tabs>
          <w:tab w:val="left" w:pos="337"/>
        </w:tabs>
        <w:spacing w:after="60" w:line="320" w:lineRule="exact"/>
        <w:rPr>
          <w:rFonts w:ascii="Times New Roman" w:hAnsi="Times New Roman" w:cs="Times New Roman"/>
          <w:sz w:val="24"/>
          <w:szCs w:val="24"/>
          <w:lang w:val="en-US" w:eastAsia="zh-CN" w:bidi="ar-SA"/>
        </w:rPr>
      </w:pPr>
    </w:p>
    <w:p w14:paraId="5EF20FA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（4）下列关于马歇尔试验说法正确的是（     ）</w:t>
      </w:r>
    </w:p>
    <w:p w14:paraId="074ED9E7">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A、马歇尔试验中空隙率的变异性与试件的成型高度关系很大，严格控制试件高度，可以有效减少试验误差。</w:t>
      </w:r>
    </w:p>
    <w:p w14:paraId="770A25C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B、浸水马歇尔的试验方法与标准马歇尔的试验方法相同。</w:t>
      </w:r>
    </w:p>
    <w:p w14:paraId="5B58C366">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C、真空饱水马歇尔比浸水马歇尔更能反映混合料抗水浸蚀的稳定性。</w:t>
      </w:r>
    </w:p>
    <w:p w14:paraId="774CF432">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D、马歇尔试验高度不符合63.5mm±1.3mm或两侧高度差大于2mm的试件都应作废。</w:t>
      </w:r>
    </w:p>
    <w:p w14:paraId="5E4121B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【答案】：ACD</w:t>
      </w:r>
    </w:p>
    <w:p w14:paraId="1F6FD800">
      <w:pPr>
        <w:pStyle w:val="9"/>
        <w:tabs>
          <w:tab w:val="left" w:pos="337"/>
        </w:tabs>
        <w:spacing w:after="60" w:line="320" w:lineRule="exact"/>
        <w:rPr>
          <w:rFonts w:ascii="Times New Roman" w:hAnsi="Times New Roman" w:cs="Times New Roman"/>
          <w:sz w:val="24"/>
          <w:szCs w:val="24"/>
          <w:lang w:val="en-US" w:eastAsia="zh-CN" w:bidi="ar-SA"/>
        </w:rPr>
      </w:pPr>
    </w:p>
    <w:p w14:paraId="20BE4208">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（5）有关真空法测定沥青混合料理论最大相对密度试验，以下叙述正确的有（     ）。</w:t>
      </w:r>
    </w:p>
    <w:p w14:paraId="3DF7F21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A、真空法不适用吸水率大于 3%的多孔性集料的沥青混合料。</w:t>
      </w:r>
    </w:p>
    <w:p w14:paraId="6C0E42C0">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B、测定前需将沥青混合料团块仔细分散，粗集料不破损，细集料团块分散到小于6.4mm。</w:t>
      </w:r>
    </w:p>
    <w:p w14:paraId="7A23B203">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C、测定时，开动真空泵，使负压容器内负压在 2min内达到。</w:t>
      </w:r>
    </w:p>
    <w:p w14:paraId="46711D71">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D、负压达到后，开动振动装置持续10min±2min后结束。</w:t>
      </w:r>
    </w:p>
    <w:p w14:paraId="7C8357BB">
      <w:pPr>
        <w:pStyle w:val="9"/>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5279A305">
      <w:pPr>
        <w:spacing w:line="320" w:lineRule="exact"/>
        <w:rPr>
          <w:rFonts w:ascii="宋体" w:hAnsi="宋体" w:eastAsia="宋体" w:cs="宋体"/>
          <w:color w:val="000000"/>
          <w:sz w:val="24"/>
        </w:rPr>
      </w:pPr>
    </w:p>
    <w:sectPr>
      <w:pgSz w:w="11906" w:h="16838"/>
      <w:pgMar w:top="1270" w:right="1179"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mZjJjZTNkMDQwMjI4NGJmOTIyMDU1YTIwMzc4ZDYifQ=="/>
  </w:docVars>
  <w:rsids>
    <w:rsidRoot w:val="338F01E1"/>
    <w:rsid w:val="000207B4"/>
    <w:rsid w:val="00064F18"/>
    <w:rsid w:val="000F241C"/>
    <w:rsid w:val="001303DA"/>
    <w:rsid w:val="001627B7"/>
    <w:rsid w:val="00193E1C"/>
    <w:rsid w:val="001A56E4"/>
    <w:rsid w:val="001D3C6B"/>
    <w:rsid w:val="00233ED3"/>
    <w:rsid w:val="003100C9"/>
    <w:rsid w:val="0031739A"/>
    <w:rsid w:val="00336B8E"/>
    <w:rsid w:val="00386F23"/>
    <w:rsid w:val="003A626D"/>
    <w:rsid w:val="0050109A"/>
    <w:rsid w:val="00537C76"/>
    <w:rsid w:val="005B7FE4"/>
    <w:rsid w:val="005C1957"/>
    <w:rsid w:val="005D6440"/>
    <w:rsid w:val="00634D17"/>
    <w:rsid w:val="0075779C"/>
    <w:rsid w:val="00762CB5"/>
    <w:rsid w:val="008134D4"/>
    <w:rsid w:val="0086214F"/>
    <w:rsid w:val="00894E26"/>
    <w:rsid w:val="008E63FD"/>
    <w:rsid w:val="0090769E"/>
    <w:rsid w:val="00950F79"/>
    <w:rsid w:val="009776E8"/>
    <w:rsid w:val="009F3364"/>
    <w:rsid w:val="00A669E2"/>
    <w:rsid w:val="00AD72CB"/>
    <w:rsid w:val="00AE047B"/>
    <w:rsid w:val="00B57B3E"/>
    <w:rsid w:val="00B6119B"/>
    <w:rsid w:val="00BA4E69"/>
    <w:rsid w:val="00BF4CB2"/>
    <w:rsid w:val="00D7384D"/>
    <w:rsid w:val="00DC7C45"/>
    <w:rsid w:val="00E47137"/>
    <w:rsid w:val="00EB5C2F"/>
    <w:rsid w:val="00EC27A7"/>
    <w:rsid w:val="00EE0669"/>
    <w:rsid w:val="00EF334C"/>
    <w:rsid w:val="00F24C0B"/>
    <w:rsid w:val="00F33A11"/>
    <w:rsid w:val="00FC6ED1"/>
    <w:rsid w:val="03082909"/>
    <w:rsid w:val="047D570E"/>
    <w:rsid w:val="116A520F"/>
    <w:rsid w:val="12610A6F"/>
    <w:rsid w:val="147870A3"/>
    <w:rsid w:val="170E778F"/>
    <w:rsid w:val="1B4A3CA9"/>
    <w:rsid w:val="1B5B256A"/>
    <w:rsid w:val="1D6B2AB2"/>
    <w:rsid w:val="32F24425"/>
    <w:rsid w:val="338F01E1"/>
    <w:rsid w:val="33D52499"/>
    <w:rsid w:val="34106280"/>
    <w:rsid w:val="3654058E"/>
    <w:rsid w:val="3E0E4BB3"/>
    <w:rsid w:val="48C12D55"/>
    <w:rsid w:val="511E13FF"/>
    <w:rsid w:val="514B5E4A"/>
    <w:rsid w:val="5DA705B7"/>
    <w:rsid w:val="6E35523D"/>
    <w:rsid w:val="70D33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annotation reference"/>
    <w:basedOn w:val="7"/>
    <w:qFormat/>
    <w:uiPriority w:val="0"/>
    <w:rPr>
      <w:sz w:val="21"/>
      <w:szCs w:val="21"/>
    </w:rPr>
  </w:style>
  <w:style w:type="paragraph" w:customStyle="1" w:styleId="9">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styleId="10">
    <w:name w:val="List Paragraph"/>
    <w:basedOn w:val="1"/>
    <w:autoRedefine/>
    <w:unhideWhenUsed/>
    <w:qFormat/>
    <w:uiPriority w:val="99"/>
    <w:pPr>
      <w:ind w:firstLine="420" w:firstLineChars="200"/>
    </w:pPr>
  </w:style>
  <w:style w:type="character" w:customStyle="1" w:styleId="11">
    <w:name w:val="页眉 字符"/>
    <w:basedOn w:val="7"/>
    <w:link w:val="4"/>
    <w:qFormat/>
    <w:uiPriority w:val="0"/>
    <w:rPr>
      <w:kern w:val="2"/>
      <w:sz w:val="18"/>
      <w:szCs w:val="18"/>
    </w:rPr>
  </w:style>
  <w:style w:type="character" w:customStyle="1" w:styleId="12">
    <w:name w:val="页脚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11</Pages>
  <Words>4544</Words>
  <Characters>5026</Characters>
  <Lines>257</Lines>
  <Paragraphs>294</Paragraphs>
  <TotalTime>1</TotalTime>
  <ScaleCrop>false</ScaleCrop>
  <LinksUpToDate>false</LinksUpToDate>
  <CharactersWithSpaces>7370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2024-05-11T08:43:00Z</dcterms:created>
  <dc:creator>mimosa</dc:creator>
  <cp:lastModifiedBy>Administrator</cp:lastModifiedBy>
  <dcterms:modified xsi:type="dcterms:W3CDTF">2025-05-20T10:05:20Z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C525381A7CE347349F8576BC924E4529_13</vt:lpwstr>
  </property>
  <property fmtid="{D5CDD505-2E9C-101B-9397-08002B2CF9AE}" pid="4" name="KSOTemplateDocerSaveRecord">
    <vt:lpwstr>eyJoZGlkIjoiNTVkNTgyNzEwNTMwMmNmZTk1NTVlNjgyMjNlYjEyYWYifQ==</vt:lpwstr>
  </property>
</Properties>
</file>