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ascii="Garamond" w:hAnsi="Garamond" w:eastAsia="黑体"/>
          <w:b/>
          <w:spacing w:val="6"/>
          <w:kern w:val="0"/>
          <w:szCs w:val="21"/>
          <w:highlight w:val="none"/>
        </w:rPr>
      </w:pPr>
      <w:bookmarkStart w:id="0" w:name="_Hlk36455775"/>
      <w:r>
        <w:rPr>
          <w:rFonts w:hint="eastAsia" w:ascii="Garamond" w:hAnsi="Garamond" w:eastAsia="黑体"/>
          <w:b/>
          <w:spacing w:val="6"/>
          <w:kern w:val="0"/>
          <w:sz w:val="44"/>
          <w:szCs w:val="44"/>
          <w:highlight w:val="none"/>
        </w:rPr>
        <w:t>2024年南通市农村公路路面技术状况自动化检评数据市级抽核项目</w:t>
      </w:r>
    </w:p>
    <w:p>
      <w:pPr>
        <w:adjustRightInd w:val="0"/>
        <w:snapToGrid w:val="0"/>
        <w:spacing w:line="360" w:lineRule="auto"/>
        <w:jc w:val="center"/>
        <w:rPr>
          <w:rFonts w:ascii="黑体" w:hAnsi="黑体" w:eastAsia="黑体" w:cs="黑体"/>
          <w:b/>
          <w:spacing w:val="6"/>
          <w:kern w:val="0"/>
          <w:sz w:val="32"/>
          <w:szCs w:val="32"/>
          <w:highlight w:val="none"/>
        </w:rPr>
      </w:pPr>
      <w:r>
        <w:rPr>
          <w:rFonts w:hint="eastAsia" w:ascii="黑体" w:hAnsi="黑体" w:eastAsia="黑体" w:cs="黑体"/>
          <w:b/>
          <w:spacing w:val="6"/>
          <w:kern w:val="0"/>
          <w:sz w:val="32"/>
          <w:szCs w:val="32"/>
          <w:highlight w:val="none"/>
        </w:rPr>
        <w:t>（</w:t>
      </w:r>
      <w:bookmarkEnd w:id="0"/>
      <w:bookmarkStart w:id="1" w:name="_Toc196474969"/>
      <w:bookmarkStart w:id="2" w:name="_Toc144974478"/>
      <w:bookmarkStart w:id="3" w:name="_Toc152042286"/>
      <w:r>
        <w:rPr>
          <w:rFonts w:hint="eastAsia" w:ascii="黑体" w:hAnsi="黑体" w:eastAsia="黑体" w:cs="黑体"/>
          <w:b/>
          <w:spacing w:val="6"/>
          <w:kern w:val="0"/>
          <w:sz w:val="32"/>
          <w:szCs w:val="32"/>
          <w:highlight w:val="none"/>
        </w:rPr>
        <w:t>2024NLJCFH合同段）</w:t>
      </w:r>
    </w:p>
    <w:p>
      <w:pPr>
        <w:kinsoku w:val="0"/>
        <w:overflowPunct w:val="0"/>
        <w:autoSpaceDE w:val="0"/>
        <w:autoSpaceDN w:val="0"/>
        <w:adjustRightInd w:val="0"/>
        <w:snapToGrid w:val="0"/>
        <w:ind w:right="-27" w:rightChars="-13"/>
        <w:jc w:val="center"/>
        <w:rPr>
          <w:rFonts w:ascii="Garamond" w:hAnsi="Garamond"/>
          <w:sz w:val="36"/>
          <w:highlight w:val="none"/>
        </w:rPr>
      </w:pPr>
    </w:p>
    <w:p>
      <w:pPr>
        <w:kinsoku w:val="0"/>
        <w:overflowPunct w:val="0"/>
        <w:autoSpaceDE w:val="0"/>
        <w:autoSpaceDN w:val="0"/>
        <w:adjustRightInd w:val="0"/>
        <w:snapToGrid w:val="0"/>
        <w:ind w:right="-27" w:rightChars="-13"/>
        <w:jc w:val="center"/>
        <w:rPr>
          <w:rFonts w:ascii="Garamond" w:hAnsi="Garamond"/>
          <w:sz w:val="36"/>
          <w:highlight w:val="none"/>
        </w:rPr>
      </w:pPr>
    </w:p>
    <w:p>
      <w:pPr>
        <w:kinsoku w:val="0"/>
        <w:overflowPunct w:val="0"/>
        <w:autoSpaceDE w:val="0"/>
        <w:autoSpaceDN w:val="0"/>
        <w:adjustRightInd w:val="0"/>
        <w:snapToGrid w:val="0"/>
        <w:ind w:right="-27" w:rightChars="-13"/>
        <w:jc w:val="center"/>
        <w:rPr>
          <w:rFonts w:ascii="Garamond" w:hAnsi="Garamond"/>
          <w:sz w:val="36"/>
          <w:highlight w:val="none"/>
        </w:rPr>
      </w:pPr>
    </w:p>
    <w:p>
      <w:pPr>
        <w:kinsoku w:val="0"/>
        <w:overflowPunct w:val="0"/>
        <w:autoSpaceDE w:val="0"/>
        <w:autoSpaceDN w:val="0"/>
        <w:adjustRightInd w:val="0"/>
        <w:snapToGrid w:val="0"/>
        <w:ind w:right="-27" w:rightChars="-13"/>
        <w:jc w:val="center"/>
        <w:rPr>
          <w:rFonts w:ascii="Garamond" w:hAnsi="Garamond"/>
          <w:sz w:val="36"/>
          <w:highlight w:val="none"/>
        </w:rPr>
      </w:pPr>
    </w:p>
    <w:p>
      <w:pPr>
        <w:kinsoku w:val="0"/>
        <w:overflowPunct w:val="0"/>
        <w:autoSpaceDE w:val="0"/>
        <w:autoSpaceDN w:val="0"/>
        <w:adjustRightInd w:val="0"/>
        <w:snapToGrid w:val="0"/>
        <w:ind w:right="-27" w:rightChars="-13"/>
        <w:jc w:val="center"/>
        <w:rPr>
          <w:rFonts w:ascii="Garamond" w:hAnsi="Garamond"/>
          <w:sz w:val="36"/>
          <w:highlight w:val="none"/>
        </w:rPr>
      </w:pPr>
    </w:p>
    <w:p>
      <w:pPr>
        <w:kinsoku w:val="0"/>
        <w:overflowPunct w:val="0"/>
        <w:autoSpaceDE w:val="0"/>
        <w:autoSpaceDN w:val="0"/>
        <w:adjustRightInd w:val="0"/>
        <w:snapToGrid w:val="0"/>
        <w:ind w:right="-27" w:rightChars="-13"/>
        <w:jc w:val="center"/>
        <w:rPr>
          <w:rFonts w:ascii="Garamond" w:hAnsi="Garamond"/>
          <w:sz w:val="36"/>
          <w:highlight w:val="none"/>
        </w:rPr>
      </w:pPr>
    </w:p>
    <w:p>
      <w:pPr>
        <w:kinsoku w:val="0"/>
        <w:overflowPunct w:val="0"/>
        <w:autoSpaceDE w:val="0"/>
        <w:autoSpaceDN w:val="0"/>
        <w:adjustRightInd w:val="0"/>
        <w:snapToGrid w:val="0"/>
        <w:ind w:right="-27" w:rightChars="-13"/>
        <w:jc w:val="center"/>
        <w:rPr>
          <w:rFonts w:ascii="Garamond" w:hAnsi="Garamond"/>
          <w:sz w:val="36"/>
          <w:highlight w:val="none"/>
        </w:rPr>
      </w:pPr>
    </w:p>
    <w:p>
      <w:pPr>
        <w:kinsoku w:val="0"/>
        <w:overflowPunct w:val="0"/>
        <w:autoSpaceDE w:val="0"/>
        <w:autoSpaceDN w:val="0"/>
        <w:adjustRightInd w:val="0"/>
        <w:snapToGrid w:val="0"/>
        <w:ind w:right="-27" w:rightChars="-13"/>
        <w:jc w:val="center"/>
        <w:rPr>
          <w:rFonts w:ascii="Garamond" w:hAnsi="Garamond"/>
          <w:sz w:val="36"/>
          <w:highlight w:val="none"/>
        </w:rPr>
      </w:pPr>
    </w:p>
    <w:p>
      <w:pPr>
        <w:spacing w:after="240" w:line="360" w:lineRule="auto"/>
        <w:ind w:right="-27" w:rightChars="-13"/>
        <w:jc w:val="center"/>
        <w:rPr>
          <w:rFonts w:ascii="Garamond" w:hAnsi="Garamond" w:eastAsia="黑体"/>
          <w:kern w:val="72"/>
          <w:sz w:val="24"/>
          <w:szCs w:val="72"/>
          <w:highlight w:val="none"/>
          <w:u w:val="single"/>
        </w:rPr>
      </w:pPr>
      <w:r>
        <w:rPr>
          <w:rFonts w:ascii="Garamond" w:hAnsi="Garamond" w:eastAsia="黑体"/>
          <w:b/>
          <w:kern w:val="72"/>
          <w:sz w:val="72"/>
          <w:szCs w:val="72"/>
          <w:highlight w:val="none"/>
        </w:rPr>
        <w:t>招 标 文 件</w:t>
      </w:r>
    </w:p>
    <w:p>
      <w:pPr>
        <w:spacing w:after="240" w:line="360" w:lineRule="auto"/>
        <w:ind w:right="-27" w:rightChars="-13"/>
        <w:jc w:val="center"/>
        <w:rPr>
          <w:rFonts w:ascii="Garamond" w:hAnsi="Garamond" w:eastAsia="黑体"/>
          <w:b/>
          <w:bCs/>
          <w:sz w:val="36"/>
          <w:szCs w:val="36"/>
          <w:highlight w:val="none"/>
        </w:rPr>
      </w:pPr>
      <w:r>
        <w:rPr>
          <w:rFonts w:ascii="Garamond" w:hAnsi="Garamond" w:eastAsia="黑体"/>
          <w:b/>
          <w:bCs/>
          <w:sz w:val="36"/>
          <w:szCs w:val="36"/>
          <w:highlight w:val="none"/>
        </w:rPr>
        <w:t>（项目专用本）</w:t>
      </w:r>
    </w:p>
    <w:p>
      <w:pPr>
        <w:spacing w:after="240" w:line="360" w:lineRule="auto"/>
        <w:ind w:right="-27" w:rightChars="-13"/>
        <w:jc w:val="center"/>
        <w:rPr>
          <w:rFonts w:ascii="Garamond" w:hAnsi="Garamond" w:eastAsia="黑体"/>
          <w:b/>
          <w:bCs/>
          <w:sz w:val="36"/>
          <w:szCs w:val="36"/>
          <w:highlight w:val="none"/>
        </w:rPr>
      </w:pPr>
    </w:p>
    <w:tbl>
      <w:tblPr>
        <w:tblStyle w:val="45"/>
        <w:tblpPr w:leftFromText="180" w:rightFromText="180" w:vertAnchor="text" w:horzAnchor="page" w:tblpX="1914" w:tblpY="844"/>
        <w:tblOverlap w:val="neve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010"/>
        <w:gridCol w:w="593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94" w:hRule="atLeast"/>
        </w:trPr>
        <w:tc>
          <w:tcPr>
            <w:tcW w:w="2010" w:type="dxa"/>
            <w:vAlign w:val="center"/>
          </w:tcPr>
          <w:p>
            <w:pPr>
              <w:adjustRightInd w:val="0"/>
              <w:snapToGrid w:val="0"/>
              <w:jc w:val="distribute"/>
              <w:rPr>
                <w:rFonts w:ascii="Garamond" w:hAnsi="Garamond" w:eastAsia="黑体"/>
                <w:b/>
                <w:bCs/>
                <w:sz w:val="36"/>
                <w:szCs w:val="36"/>
                <w:highlight w:val="none"/>
              </w:rPr>
            </w:pPr>
            <w:r>
              <w:rPr>
                <w:rFonts w:hint="eastAsia" w:ascii="黑体" w:hAnsi="黑体" w:eastAsia="黑体" w:cs="黑体"/>
                <w:b/>
                <w:bCs/>
                <w:sz w:val="32"/>
                <w:szCs w:val="32"/>
                <w:highlight w:val="none"/>
              </w:rPr>
              <w:t>招标人：</w:t>
            </w:r>
          </w:p>
        </w:tc>
        <w:tc>
          <w:tcPr>
            <w:tcW w:w="5931" w:type="dxa"/>
            <w:vAlign w:val="center"/>
          </w:tcPr>
          <w:p>
            <w:pPr>
              <w:adjustRightInd w:val="0"/>
              <w:snapToGrid w:val="0"/>
              <w:jc w:val="distribute"/>
              <w:rPr>
                <w:rFonts w:ascii="Garamond" w:hAnsi="Garamond" w:eastAsia="黑体"/>
                <w:b/>
                <w:bCs/>
                <w:sz w:val="36"/>
                <w:szCs w:val="36"/>
                <w:highlight w:val="none"/>
              </w:rPr>
            </w:pPr>
            <w:r>
              <w:rPr>
                <w:rFonts w:hint="eastAsia" w:ascii="黑体" w:hAnsi="黑体" w:eastAsia="黑体" w:cs="黑体"/>
                <w:b/>
                <w:bCs/>
                <w:sz w:val="32"/>
                <w:szCs w:val="32"/>
                <w:highlight w:val="none"/>
              </w:rPr>
              <w:t>南通市公路事业发展中心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010" w:type="dxa"/>
            <w:vAlign w:val="center"/>
          </w:tcPr>
          <w:p>
            <w:pPr>
              <w:adjustRightInd w:val="0"/>
              <w:snapToGrid w:val="0"/>
              <w:jc w:val="distribute"/>
              <w:rPr>
                <w:rFonts w:ascii="Garamond" w:hAnsi="Garamond" w:eastAsia="黑体"/>
                <w:b/>
                <w:bCs/>
                <w:sz w:val="36"/>
                <w:szCs w:val="36"/>
                <w:highlight w:val="none"/>
              </w:rPr>
            </w:pPr>
            <w:r>
              <w:rPr>
                <w:rFonts w:hint="eastAsia" w:ascii="黑体" w:hAnsi="黑体" w:eastAsia="黑体" w:cs="黑体"/>
                <w:b/>
                <w:bCs/>
                <w:sz w:val="32"/>
                <w:szCs w:val="32"/>
                <w:highlight w:val="none"/>
              </w:rPr>
              <w:t>招标代理：</w:t>
            </w:r>
          </w:p>
        </w:tc>
        <w:tc>
          <w:tcPr>
            <w:tcW w:w="5931" w:type="dxa"/>
            <w:vAlign w:val="center"/>
          </w:tcPr>
          <w:p>
            <w:pPr>
              <w:adjustRightInd w:val="0"/>
              <w:snapToGrid w:val="0"/>
              <w:jc w:val="distribute"/>
              <w:rPr>
                <w:rFonts w:ascii="Garamond" w:hAnsi="Garamond" w:eastAsia="黑体"/>
                <w:b/>
                <w:bCs/>
                <w:sz w:val="36"/>
                <w:szCs w:val="36"/>
                <w:highlight w:val="none"/>
              </w:rPr>
            </w:pPr>
            <w:r>
              <w:rPr>
                <w:rFonts w:hint="eastAsia" w:ascii="黑体" w:hAnsi="黑体" w:eastAsia="黑体" w:cs="黑体"/>
                <w:b/>
                <w:bCs/>
                <w:sz w:val="32"/>
                <w:szCs w:val="32"/>
                <w:highlight w:val="none"/>
              </w:rPr>
              <w:t>江苏睿致诚工程咨询有限公司</w:t>
            </w:r>
          </w:p>
        </w:tc>
      </w:tr>
    </w:tbl>
    <w:p>
      <w:pPr>
        <w:spacing w:after="240" w:line="360" w:lineRule="auto"/>
        <w:ind w:right="-27" w:rightChars="-13"/>
        <w:rPr>
          <w:rFonts w:ascii="Garamond" w:hAnsi="Garamond" w:eastAsia="黑体"/>
          <w:b/>
          <w:bCs/>
          <w:sz w:val="36"/>
          <w:szCs w:val="36"/>
          <w:highlight w:val="none"/>
        </w:rPr>
      </w:pPr>
    </w:p>
    <w:p>
      <w:pPr>
        <w:spacing w:line="360" w:lineRule="auto"/>
        <w:ind w:right="-27" w:rightChars="-13"/>
        <w:jc w:val="center"/>
        <w:rPr>
          <w:rFonts w:ascii="Garamond" w:hAnsi="Garamond" w:eastAsia="黑体"/>
          <w:b/>
          <w:sz w:val="32"/>
          <w:szCs w:val="32"/>
          <w:highlight w:val="none"/>
        </w:rPr>
      </w:pPr>
    </w:p>
    <w:p>
      <w:pPr>
        <w:spacing w:line="360" w:lineRule="auto"/>
        <w:ind w:right="-27" w:rightChars="-13"/>
        <w:jc w:val="center"/>
        <w:rPr>
          <w:rFonts w:ascii="Garamond" w:hAnsi="Garamond" w:eastAsia="黑体"/>
          <w:b/>
          <w:sz w:val="32"/>
          <w:szCs w:val="32"/>
          <w:highlight w:val="none"/>
        </w:rPr>
      </w:pPr>
    </w:p>
    <w:p>
      <w:pPr>
        <w:spacing w:line="360" w:lineRule="auto"/>
        <w:ind w:right="-27" w:rightChars="-13"/>
        <w:jc w:val="center"/>
        <w:rPr>
          <w:rFonts w:ascii="Garamond" w:hAnsi="Garamond" w:eastAsia="黑体"/>
          <w:b/>
          <w:sz w:val="32"/>
          <w:szCs w:val="32"/>
          <w:highlight w:val="none"/>
        </w:rPr>
      </w:pPr>
      <w:r>
        <w:rPr>
          <w:rFonts w:ascii="Garamond" w:hAnsi="Garamond" w:eastAsia="黑体"/>
          <w:b/>
          <w:sz w:val="32"/>
          <w:szCs w:val="32"/>
          <w:highlight w:val="none"/>
        </w:rPr>
        <w:t>二</w:t>
      </w:r>
      <w:r>
        <w:rPr>
          <w:rFonts w:ascii="黑体" w:hAnsi="黑体" w:eastAsia="黑体"/>
          <w:b/>
          <w:sz w:val="32"/>
          <w:highlight w:val="none"/>
        </w:rPr>
        <w:t>○</w:t>
      </w:r>
      <w:r>
        <w:rPr>
          <w:rFonts w:ascii="Garamond" w:hAnsi="Garamond" w:eastAsia="黑体"/>
          <w:b/>
          <w:sz w:val="32"/>
          <w:szCs w:val="32"/>
          <w:highlight w:val="none"/>
        </w:rPr>
        <w:t>二</w:t>
      </w:r>
      <w:r>
        <w:rPr>
          <w:rFonts w:hint="eastAsia" w:ascii="Garamond" w:hAnsi="Garamond" w:eastAsia="黑体"/>
          <w:b/>
          <w:sz w:val="32"/>
          <w:szCs w:val="32"/>
          <w:highlight w:val="none"/>
        </w:rPr>
        <w:t>四</w:t>
      </w:r>
      <w:r>
        <w:rPr>
          <w:rFonts w:ascii="Garamond" w:hAnsi="Garamond" w:eastAsia="黑体"/>
          <w:b/>
          <w:sz w:val="32"/>
          <w:szCs w:val="32"/>
          <w:highlight w:val="none"/>
        </w:rPr>
        <w:t>年</w:t>
      </w:r>
      <w:r>
        <w:rPr>
          <w:rFonts w:hint="eastAsia" w:ascii="Garamond" w:hAnsi="Garamond" w:eastAsia="黑体"/>
          <w:b/>
          <w:sz w:val="32"/>
          <w:szCs w:val="32"/>
          <w:highlight w:val="none"/>
        </w:rPr>
        <w:t>九</w:t>
      </w:r>
      <w:r>
        <w:rPr>
          <w:rFonts w:ascii="Garamond" w:hAnsi="Garamond" w:eastAsia="黑体"/>
          <w:b/>
          <w:sz w:val="32"/>
          <w:szCs w:val="32"/>
          <w:highlight w:val="none"/>
        </w:rPr>
        <w:t>月</w:t>
      </w:r>
      <w:bookmarkStart w:id="4" w:name="_Toc234675048"/>
      <w:bookmarkStart w:id="5" w:name="_Toc218933019"/>
      <w:bookmarkStart w:id="6" w:name="_Toc234744417"/>
      <w:bookmarkStart w:id="7" w:name="_Toc155855594"/>
      <w:bookmarkStart w:id="8" w:name="_Toc170618587"/>
      <w:bookmarkStart w:id="9" w:name="_Toc238559171"/>
    </w:p>
    <w:p>
      <w:pPr>
        <w:spacing w:line="360" w:lineRule="auto"/>
        <w:ind w:right="-27" w:rightChars="-13"/>
        <w:jc w:val="center"/>
        <w:rPr>
          <w:rFonts w:ascii="Garamond" w:hAnsi="Garamond" w:eastAsia="黑体"/>
          <w:b/>
          <w:sz w:val="32"/>
          <w:szCs w:val="32"/>
          <w:highlight w:val="none"/>
        </w:rPr>
      </w:pPr>
    </w:p>
    <w:p>
      <w:pPr>
        <w:pStyle w:val="2"/>
        <w:spacing w:before="0" w:after="0" w:line="360" w:lineRule="auto"/>
        <w:jc w:val="center"/>
        <w:rPr>
          <w:rFonts w:ascii="Garamond" w:hAnsi="Garamond"/>
          <w:highlight w:val="none"/>
        </w:rPr>
        <w:sectPr>
          <w:footerReference r:id="rId5" w:type="first"/>
          <w:headerReference r:id="rId3" w:type="default"/>
          <w:footerReference r:id="rId4" w:type="default"/>
          <w:pgSz w:w="11906" w:h="16838"/>
          <w:pgMar w:top="1418" w:right="1247" w:bottom="1418" w:left="1418" w:header="851" w:footer="680" w:gutter="0"/>
          <w:pgNumType w:start="1"/>
          <w:cols w:space="720" w:num="1"/>
          <w:titlePg/>
          <w:docGrid w:linePitch="312" w:charSpace="0"/>
        </w:sectPr>
      </w:pPr>
    </w:p>
    <w:p>
      <w:pPr>
        <w:pStyle w:val="2"/>
        <w:spacing w:before="0" w:after="0" w:line="360" w:lineRule="auto"/>
        <w:jc w:val="center"/>
        <w:rPr>
          <w:rFonts w:ascii="Garamond" w:hAnsi="Garamond"/>
          <w:highlight w:val="none"/>
        </w:rPr>
      </w:pPr>
      <w:r>
        <w:rPr>
          <w:rFonts w:ascii="Garamond" w:hAnsi="Garamond"/>
          <w:highlight w:val="none"/>
        </w:rPr>
        <w:t>说  明</w:t>
      </w:r>
      <w:bookmarkEnd w:id="4"/>
      <w:bookmarkEnd w:id="5"/>
      <w:bookmarkEnd w:id="6"/>
      <w:bookmarkEnd w:id="7"/>
      <w:bookmarkEnd w:id="8"/>
      <w:bookmarkEnd w:id="9"/>
    </w:p>
    <w:p>
      <w:pPr>
        <w:wordWrap w:val="0"/>
        <w:adjustRightInd w:val="0"/>
        <w:snapToGrid w:val="0"/>
        <w:spacing w:line="360" w:lineRule="auto"/>
        <w:ind w:firstLine="482"/>
        <w:rPr>
          <w:rFonts w:ascii="Garamond" w:hAnsi="Garamond"/>
          <w:sz w:val="24"/>
          <w:highlight w:val="none"/>
        </w:rPr>
      </w:pPr>
      <w:r>
        <w:rPr>
          <w:rFonts w:ascii="Garamond" w:hAnsi="Garamond"/>
          <w:sz w:val="24"/>
          <w:highlight w:val="none"/>
        </w:rPr>
        <w:t>一、</w:t>
      </w:r>
      <w:r>
        <w:rPr>
          <w:rFonts w:hint="eastAsia" w:ascii="Garamond" w:hAnsi="Garamond"/>
          <w:sz w:val="24"/>
          <w:highlight w:val="none"/>
        </w:rPr>
        <w:t>2024年南通市农村公路路面技术状况自动化检评数据市级抽核项目</w:t>
      </w:r>
      <w:r>
        <w:rPr>
          <w:rFonts w:ascii="Garamond" w:hAnsi="Garamond"/>
          <w:sz w:val="24"/>
          <w:highlight w:val="none"/>
        </w:rPr>
        <w:t>（</w:t>
      </w:r>
      <w:r>
        <w:rPr>
          <w:rFonts w:hint="eastAsia" w:ascii="Garamond" w:hAnsi="Garamond"/>
          <w:sz w:val="24"/>
          <w:highlight w:val="none"/>
        </w:rPr>
        <w:t>2024NLJCFH合同段</w:t>
      </w:r>
      <w:r>
        <w:rPr>
          <w:rFonts w:ascii="Garamond" w:hAnsi="Garamond"/>
          <w:sz w:val="24"/>
          <w:highlight w:val="none"/>
        </w:rPr>
        <w:t>）招标文件，以江苏省交通运输厅《江苏省公路水运工程试验检测标准招标文件》（2014年版）（以下简称《江苏省试验检测标准文件》）为依据，结合本项目的具体特点和实际需要编制而成。</w:t>
      </w:r>
    </w:p>
    <w:p>
      <w:pPr>
        <w:wordWrap w:val="0"/>
        <w:adjustRightInd w:val="0"/>
        <w:snapToGrid w:val="0"/>
        <w:spacing w:line="360" w:lineRule="auto"/>
        <w:ind w:firstLine="482"/>
        <w:rPr>
          <w:rFonts w:ascii="Garamond" w:hAnsi="Garamond"/>
          <w:sz w:val="24"/>
          <w:highlight w:val="none"/>
        </w:rPr>
      </w:pPr>
      <w:r>
        <w:rPr>
          <w:rFonts w:ascii="Garamond" w:hAnsi="Garamond"/>
          <w:sz w:val="24"/>
          <w:highlight w:val="none"/>
        </w:rPr>
        <w:t>二、本招标文件由范本和项目专用本两部分组成。范本为《江苏省试验检测标准文件》，本册为项目专用本。项目专用本是根据实际情况和需要而对《江苏省试验检测标准文件》进行的补充、完善和修改，投标人应将《江苏省试验检测标准文件》和项目专用本结合阅读，凡《江苏省试验检测标准文件》与项目专用本不一致处以项目专用本为准。专用本未对《江苏省试验检测标准文件》进行补充、完善、修改和说明的，以《江苏省试验检测标准文件》为准。</w:t>
      </w:r>
    </w:p>
    <w:p>
      <w:pPr>
        <w:wordWrap w:val="0"/>
        <w:adjustRightInd w:val="0"/>
        <w:snapToGrid w:val="0"/>
        <w:spacing w:line="360" w:lineRule="auto"/>
        <w:ind w:firstLine="482"/>
        <w:rPr>
          <w:rFonts w:ascii="Garamond" w:hAnsi="Garamond"/>
          <w:sz w:val="24"/>
          <w:highlight w:val="none"/>
        </w:rPr>
      </w:pPr>
      <w:r>
        <w:rPr>
          <w:rFonts w:ascii="Garamond" w:hAnsi="Garamond"/>
          <w:sz w:val="24"/>
          <w:highlight w:val="none"/>
        </w:rPr>
        <w:t xml:space="preserve">三、项目专用本对《江苏省试验检测标准文件》各章的引用情况详见下表： </w:t>
      </w:r>
    </w:p>
    <w:tbl>
      <w:tblPr>
        <w:tblStyle w:val="44"/>
        <w:tblW w:w="4999" w:type="pct"/>
        <w:jc w:val="righ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2"/>
        <w:gridCol w:w="2835"/>
        <w:gridCol w:w="54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right"/>
        </w:trPr>
        <w:tc>
          <w:tcPr>
            <w:tcW w:w="2124" w:type="pct"/>
            <w:gridSpan w:val="2"/>
            <w:vAlign w:val="center"/>
          </w:tcPr>
          <w:p>
            <w:pPr>
              <w:widowControl/>
              <w:adjustRightInd w:val="0"/>
              <w:snapToGrid w:val="0"/>
              <w:jc w:val="center"/>
              <w:rPr>
                <w:rFonts w:ascii="宋体" w:hAnsi="宋体" w:cs="宋体"/>
                <w:kern w:val="0"/>
                <w:szCs w:val="21"/>
                <w:highlight w:val="none"/>
              </w:rPr>
            </w:pPr>
            <w:r>
              <w:rPr>
                <w:rFonts w:hint="eastAsia" w:ascii="宋体" w:hAnsi="宋体" w:cs="宋体"/>
                <w:kern w:val="0"/>
                <w:szCs w:val="21"/>
                <w:highlight w:val="none"/>
              </w:rPr>
              <w:t>章节</w:t>
            </w:r>
          </w:p>
        </w:tc>
        <w:tc>
          <w:tcPr>
            <w:tcW w:w="2875" w:type="pct"/>
            <w:vAlign w:val="center"/>
          </w:tcPr>
          <w:p>
            <w:pPr>
              <w:adjustRightInd w:val="0"/>
              <w:snapToGrid w:val="0"/>
              <w:jc w:val="center"/>
              <w:rPr>
                <w:rFonts w:ascii="宋体" w:hAnsi="宋体" w:cs="宋体"/>
                <w:kern w:val="0"/>
                <w:szCs w:val="21"/>
                <w:highlight w:val="none"/>
              </w:rPr>
            </w:pPr>
            <w:r>
              <w:rPr>
                <w:rFonts w:hint="eastAsia" w:ascii="宋体" w:hAnsi="宋体" w:cs="宋体"/>
                <w:kern w:val="0"/>
                <w:szCs w:val="21"/>
                <w:highlight w:val="none"/>
              </w:rPr>
              <w:t>编制说明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right"/>
        </w:trPr>
        <w:tc>
          <w:tcPr>
            <w:tcW w:w="625" w:type="pct"/>
            <w:vAlign w:val="center"/>
          </w:tcPr>
          <w:p>
            <w:pPr>
              <w:widowControl/>
              <w:adjustRightInd w:val="0"/>
              <w:snapToGrid w:val="0"/>
              <w:jc w:val="center"/>
              <w:rPr>
                <w:rFonts w:ascii="宋体" w:hAnsi="宋体" w:cs="宋体"/>
                <w:kern w:val="0"/>
                <w:szCs w:val="21"/>
                <w:highlight w:val="none"/>
              </w:rPr>
            </w:pPr>
            <w:r>
              <w:rPr>
                <w:rFonts w:hint="eastAsia" w:ascii="宋体" w:hAnsi="宋体" w:cs="宋体"/>
                <w:kern w:val="0"/>
                <w:szCs w:val="21"/>
                <w:highlight w:val="none"/>
              </w:rPr>
              <w:t>第一章</w:t>
            </w:r>
          </w:p>
        </w:tc>
        <w:tc>
          <w:tcPr>
            <w:tcW w:w="1498" w:type="pct"/>
            <w:vAlign w:val="center"/>
          </w:tcPr>
          <w:p>
            <w:pPr>
              <w:widowControl/>
              <w:adjustRightInd w:val="0"/>
              <w:snapToGrid w:val="0"/>
              <w:jc w:val="center"/>
              <w:rPr>
                <w:rFonts w:ascii="宋体" w:hAnsi="宋体" w:cs="宋体"/>
                <w:kern w:val="0"/>
                <w:szCs w:val="21"/>
                <w:highlight w:val="none"/>
              </w:rPr>
            </w:pPr>
            <w:r>
              <w:rPr>
                <w:rFonts w:hint="eastAsia" w:ascii="宋体" w:hAnsi="宋体" w:cs="宋体"/>
                <w:kern w:val="0"/>
                <w:szCs w:val="21"/>
                <w:highlight w:val="none"/>
              </w:rPr>
              <w:t>招标公告</w:t>
            </w:r>
          </w:p>
        </w:tc>
        <w:tc>
          <w:tcPr>
            <w:tcW w:w="2875" w:type="pct"/>
            <w:vAlign w:val="center"/>
          </w:tcPr>
          <w:p>
            <w:pPr>
              <w:adjustRightInd w:val="0"/>
              <w:snapToGrid w:val="0"/>
              <w:jc w:val="center"/>
              <w:rPr>
                <w:rFonts w:ascii="宋体" w:hAnsi="宋体" w:cs="宋体"/>
                <w:kern w:val="0"/>
                <w:szCs w:val="21"/>
                <w:highlight w:val="none"/>
              </w:rPr>
            </w:pPr>
            <w:r>
              <w:rPr>
                <w:rFonts w:hint="eastAsia" w:ascii="宋体" w:hAnsi="宋体" w:cs="宋体"/>
                <w:kern w:val="0"/>
                <w:szCs w:val="21"/>
                <w:highlight w:val="none"/>
              </w:rPr>
              <w:t>内容见本项目专用本。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right"/>
        </w:trPr>
        <w:tc>
          <w:tcPr>
            <w:tcW w:w="625" w:type="pct"/>
            <w:vAlign w:val="center"/>
          </w:tcPr>
          <w:p>
            <w:pPr>
              <w:widowControl/>
              <w:adjustRightInd w:val="0"/>
              <w:snapToGrid w:val="0"/>
              <w:jc w:val="center"/>
              <w:rPr>
                <w:rFonts w:ascii="宋体" w:hAnsi="宋体" w:cs="宋体"/>
                <w:kern w:val="0"/>
                <w:szCs w:val="21"/>
                <w:highlight w:val="none"/>
              </w:rPr>
            </w:pPr>
            <w:r>
              <w:rPr>
                <w:rFonts w:hint="eastAsia" w:ascii="宋体" w:hAnsi="宋体" w:cs="宋体"/>
                <w:kern w:val="0"/>
                <w:szCs w:val="21"/>
                <w:highlight w:val="none"/>
              </w:rPr>
              <w:t>第二章</w:t>
            </w:r>
          </w:p>
        </w:tc>
        <w:tc>
          <w:tcPr>
            <w:tcW w:w="1498" w:type="pct"/>
            <w:vAlign w:val="center"/>
          </w:tcPr>
          <w:p>
            <w:pPr>
              <w:widowControl/>
              <w:adjustRightInd w:val="0"/>
              <w:snapToGrid w:val="0"/>
              <w:jc w:val="center"/>
              <w:rPr>
                <w:rFonts w:ascii="宋体" w:hAnsi="宋体" w:cs="宋体"/>
                <w:kern w:val="0"/>
                <w:szCs w:val="21"/>
                <w:highlight w:val="none"/>
              </w:rPr>
            </w:pPr>
            <w:r>
              <w:rPr>
                <w:rFonts w:hint="eastAsia" w:ascii="宋体" w:hAnsi="宋体" w:cs="宋体"/>
                <w:kern w:val="0"/>
                <w:szCs w:val="21"/>
                <w:highlight w:val="none"/>
              </w:rPr>
              <w:t>投标人须知</w:t>
            </w:r>
          </w:p>
        </w:tc>
        <w:tc>
          <w:tcPr>
            <w:tcW w:w="2875" w:type="pct"/>
            <w:vAlign w:val="center"/>
          </w:tcPr>
          <w:p>
            <w:pPr>
              <w:adjustRightInd w:val="0"/>
              <w:snapToGrid w:val="0"/>
              <w:jc w:val="center"/>
              <w:rPr>
                <w:rFonts w:ascii="宋体" w:hAnsi="宋体" w:cs="宋体"/>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right"/>
        </w:trPr>
        <w:tc>
          <w:tcPr>
            <w:tcW w:w="625" w:type="pct"/>
            <w:vAlign w:val="center"/>
          </w:tcPr>
          <w:p>
            <w:pPr>
              <w:widowControl/>
              <w:adjustRightInd w:val="0"/>
              <w:snapToGrid w:val="0"/>
              <w:jc w:val="center"/>
              <w:rPr>
                <w:rFonts w:ascii="宋体" w:hAnsi="宋体" w:cs="宋体"/>
                <w:kern w:val="0"/>
                <w:szCs w:val="21"/>
                <w:highlight w:val="none"/>
              </w:rPr>
            </w:pPr>
          </w:p>
        </w:tc>
        <w:tc>
          <w:tcPr>
            <w:tcW w:w="1498" w:type="pct"/>
            <w:vAlign w:val="center"/>
          </w:tcPr>
          <w:p>
            <w:pPr>
              <w:widowControl/>
              <w:adjustRightInd w:val="0"/>
              <w:snapToGrid w:val="0"/>
              <w:jc w:val="center"/>
              <w:rPr>
                <w:rFonts w:ascii="宋体" w:hAnsi="宋体" w:cs="宋体"/>
                <w:kern w:val="0"/>
                <w:szCs w:val="21"/>
                <w:highlight w:val="none"/>
              </w:rPr>
            </w:pPr>
            <w:r>
              <w:rPr>
                <w:rFonts w:hint="eastAsia" w:ascii="宋体" w:hAnsi="宋体" w:cs="宋体"/>
                <w:kern w:val="0"/>
                <w:szCs w:val="21"/>
                <w:highlight w:val="none"/>
              </w:rPr>
              <w:t>投标人须知前附表</w:t>
            </w:r>
          </w:p>
        </w:tc>
        <w:tc>
          <w:tcPr>
            <w:tcW w:w="2875" w:type="pct"/>
            <w:vAlign w:val="center"/>
          </w:tcPr>
          <w:p>
            <w:pPr>
              <w:adjustRightInd w:val="0"/>
              <w:snapToGrid w:val="0"/>
              <w:jc w:val="center"/>
              <w:rPr>
                <w:rFonts w:ascii="宋体" w:hAnsi="宋体" w:cs="宋体"/>
                <w:kern w:val="0"/>
                <w:szCs w:val="21"/>
                <w:highlight w:val="none"/>
              </w:rPr>
            </w:pPr>
            <w:r>
              <w:rPr>
                <w:rFonts w:hint="eastAsia" w:ascii="宋体" w:hAnsi="宋体" w:cs="宋体"/>
                <w:kern w:val="0"/>
                <w:szCs w:val="21"/>
                <w:highlight w:val="none"/>
              </w:rPr>
              <w:t>内容见本项目专用本。“投标人须知前附表”是对“投标人须知”正文的补充、细化，是对正文中的未尽事宜的明确。“投标人须知前附表”与“投标人须知”正文有不一致处，以“投标人须知前附表”规定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right"/>
        </w:trPr>
        <w:tc>
          <w:tcPr>
            <w:tcW w:w="625" w:type="pct"/>
            <w:vAlign w:val="center"/>
          </w:tcPr>
          <w:p>
            <w:pPr>
              <w:widowControl/>
              <w:adjustRightInd w:val="0"/>
              <w:snapToGrid w:val="0"/>
              <w:jc w:val="center"/>
              <w:rPr>
                <w:rFonts w:ascii="宋体" w:hAnsi="宋体" w:cs="宋体"/>
                <w:kern w:val="0"/>
                <w:szCs w:val="21"/>
                <w:highlight w:val="none"/>
              </w:rPr>
            </w:pPr>
          </w:p>
        </w:tc>
        <w:tc>
          <w:tcPr>
            <w:tcW w:w="1498" w:type="pct"/>
            <w:vAlign w:val="center"/>
          </w:tcPr>
          <w:p>
            <w:pPr>
              <w:widowControl/>
              <w:adjustRightInd w:val="0"/>
              <w:snapToGrid w:val="0"/>
              <w:jc w:val="center"/>
              <w:rPr>
                <w:rFonts w:ascii="宋体" w:hAnsi="宋体" w:cs="宋体"/>
                <w:kern w:val="0"/>
                <w:szCs w:val="21"/>
                <w:highlight w:val="none"/>
              </w:rPr>
            </w:pPr>
            <w:r>
              <w:rPr>
                <w:rFonts w:hint="eastAsia" w:ascii="宋体" w:hAnsi="宋体" w:cs="宋体"/>
                <w:kern w:val="0"/>
                <w:szCs w:val="21"/>
                <w:highlight w:val="none"/>
              </w:rPr>
              <w:t>“投标人须知”正文</w:t>
            </w:r>
          </w:p>
        </w:tc>
        <w:tc>
          <w:tcPr>
            <w:tcW w:w="2875" w:type="pct"/>
            <w:vAlign w:val="center"/>
          </w:tcPr>
          <w:p>
            <w:pPr>
              <w:adjustRightInd w:val="0"/>
              <w:snapToGrid w:val="0"/>
              <w:jc w:val="center"/>
              <w:rPr>
                <w:rFonts w:ascii="宋体" w:hAnsi="宋体" w:cs="宋体"/>
                <w:kern w:val="0"/>
                <w:szCs w:val="21"/>
                <w:highlight w:val="none"/>
              </w:rPr>
            </w:pPr>
            <w:r>
              <w:rPr>
                <w:rFonts w:hint="eastAsia" w:ascii="宋体" w:hAnsi="宋体" w:cs="宋体"/>
                <w:kern w:val="0"/>
                <w:szCs w:val="21"/>
                <w:highlight w:val="none"/>
              </w:rPr>
              <w:t>不加修改的引用《江苏省试验检测标准文件》。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right"/>
        </w:trPr>
        <w:tc>
          <w:tcPr>
            <w:tcW w:w="625" w:type="pct"/>
            <w:vAlign w:val="center"/>
          </w:tcPr>
          <w:p>
            <w:pPr>
              <w:widowControl/>
              <w:adjustRightInd w:val="0"/>
              <w:snapToGrid w:val="0"/>
              <w:jc w:val="center"/>
              <w:rPr>
                <w:rFonts w:ascii="宋体" w:hAnsi="宋体" w:cs="宋体"/>
                <w:kern w:val="0"/>
                <w:szCs w:val="21"/>
                <w:highlight w:val="none"/>
              </w:rPr>
            </w:pPr>
            <w:r>
              <w:rPr>
                <w:rFonts w:hint="eastAsia" w:ascii="宋体" w:hAnsi="宋体" w:cs="宋体"/>
                <w:kern w:val="0"/>
                <w:szCs w:val="21"/>
                <w:highlight w:val="none"/>
              </w:rPr>
              <w:t>第三章</w:t>
            </w:r>
          </w:p>
        </w:tc>
        <w:tc>
          <w:tcPr>
            <w:tcW w:w="1498" w:type="pct"/>
            <w:vAlign w:val="center"/>
          </w:tcPr>
          <w:p>
            <w:pPr>
              <w:widowControl/>
              <w:adjustRightInd w:val="0"/>
              <w:snapToGrid w:val="0"/>
              <w:jc w:val="center"/>
              <w:rPr>
                <w:rFonts w:ascii="宋体" w:hAnsi="宋体" w:cs="宋体"/>
                <w:kern w:val="0"/>
                <w:szCs w:val="21"/>
                <w:highlight w:val="none"/>
              </w:rPr>
            </w:pPr>
            <w:r>
              <w:rPr>
                <w:rFonts w:hint="eastAsia" w:ascii="宋体" w:hAnsi="宋体" w:cs="宋体"/>
                <w:kern w:val="0"/>
                <w:szCs w:val="21"/>
                <w:highlight w:val="none"/>
              </w:rPr>
              <w:t>评标办法（综合评估法）</w:t>
            </w:r>
          </w:p>
        </w:tc>
        <w:tc>
          <w:tcPr>
            <w:tcW w:w="2875" w:type="pct"/>
            <w:vAlign w:val="center"/>
          </w:tcPr>
          <w:p>
            <w:pPr>
              <w:adjustRightInd w:val="0"/>
              <w:snapToGrid w:val="0"/>
              <w:jc w:val="center"/>
              <w:rPr>
                <w:rFonts w:ascii="宋体" w:hAnsi="宋体" w:cs="宋体"/>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right"/>
        </w:trPr>
        <w:tc>
          <w:tcPr>
            <w:tcW w:w="625" w:type="pct"/>
            <w:vAlign w:val="center"/>
          </w:tcPr>
          <w:p>
            <w:pPr>
              <w:adjustRightInd w:val="0"/>
              <w:snapToGrid w:val="0"/>
              <w:jc w:val="center"/>
              <w:rPr>
                <w:rFonts w:ascii="宋体" w:hAnsi="宋体" w:cs="宋体"/>
                <w:kern w:val="0"/>
                <w:szCs w:val="21"/>
              </w:rPr>
            </w:pPr>
          </w:p>
        </w:tc>
        <w:tc>
          <w:tcPr>
            <w:tcW w:w="1498" w:type="pct"/>
            <w:vAlign w:val="center"/>
          </w:tcPr>
          <w:p>
            <w:pPr>
              <w:adjustRightInd w:val="0"/>
              <w:snapToGrid w:val="0"/>
              <w:jc w:val="center"/>
              <w:rPr>
                <w:rFonts w:ascii="宋体" w:hAnsi="宋体" w:cs="宋体"/>
                <w:kern w:val="0"/>
                <w:szCs w:val="21"/>
              </w:rPr>
            </w:pPr>
            <w:r>
              <w:rPr>
                <w:rFonts w:hint="eastAsia" w:ascii="宋体" w:hAnsi="宋体" w:cs="宋体"/>
                <w:kern w:val="0"/>
                <w:szCs w:val="21"/>
              </w:rPr>
              <w:t>评标办法前附表</w:t>
            </w:r>
          </w:p>
        </w:tc>
        <w:tc>
          <w:tcPr>
            <w:tcW w:w="2875" w:type="pct"/>
            <w:vAlign w:val="center"/>
          </w:tcPr>
          <w:p>
            <w:pPr>
              <w:adjustRightInd w:val="0"/>
              <w:snapToGrid w:val="0"/>
              <w:jc w:val="center"/>
              <w:rPr>
                <w:rFonts w:ascii="宋体" w:hAnsi="宋体" w:cs="宋体"/>
                <w:kern w:val="0"/>
                <w:szCs w:val="21"/>
              </w:rPr>
            </w:pPr>
            <w:r>
              <w:rPr>
                <w:rFonts w:hint="eastAsia" w:ascii="宋体" w:hAnsi="宋体" w:cs="宋体"/>
                <w:kern w:val="0"/>
                <w:szCs w:val="21"/>
              </w:rPr>
              <w:t>内容见项目专用本。“评标办法前附表”是对“评标办法(综合评估法)”正文的补充、细化。“评标办法前附表”与“评标办法”正文有不一致处，以“评标办法前附表”规定为准。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right"/>
        </w:trPr>
        <w:tc>
          <w:tcPr>
            <w:tcW w:w="625" w:type="pct"/>
            <w:vAlign w:val="center"/>
          </w:tcPr>
          <w:p>
            <w:pPr>
              <w:adjustRightInd w:val="0"/>
              <w:snapToGrid w:val="0"/>
              <w:jc w:val="center"/>
              <w:rPr>
                <w:rFonts w:ascii="宋体" w:hAnsi="宋体" w:cs="宋体"/>
                <w:kern w:val="0"/>
                <w:szCs w:val="21"/>
                <w:highlight w:val="none"/>
              </w:rPr>
            </w:pPr>
          </w:p>
        </w:tc>
        <w:tc>
          <w:tcPr>
            <w:tcW w:w="1498" w:type="pct"/>
            <w:vAlign w:val="center"/>
          </w:tcPr>
          <w:p>
            <w:pPr>
              <w:adjustRightInd w:val="0"/>
              <w:snapToGrid w:val="0"/>
              <w:jc w:val="center"/>
              <w:rPr>
                <w:rFonts w:ascii="宋体" w:hAnsi="宋体" w:cs="宋体"/>
                <w:kern w:val="0"/>
                <w:szCs w:val="21"/>
                <w:highlight w:val="none"/>
              </w:rPr>
            </w:pPr>
            <w:r>
              <w:rPr>
                <w:rFonts w:hint="eastAsia" w:ascii="宋体" w:hAnsi="宋体" w:cs="宋体"/>
                <w:kern w:val="0"/>
                <w:szCs w:val="21"/>
                <w:highlight w:val="none"/>
              </w:rPr>
              <w:t>“评标办法”正文</w:t>
            </w:r>
          </w:p>
        </w:tc>
        <w:tc>
          <w:tcPr>
            <w:tcW w:w="2875" w:type="pct"/>
            <w:vAlign w:val="center"/>
          </w:tcPr>
          <w:p>
            <w:pPr>
              <w:adjustRightInd w:val="0"/>
              <w:snapToGrid w:val="0"/>
              <w:jc w:val="center"/>
              <w:rPr>
                <w:rFonts w:ascii="宋体" w:hAnsi="宋体" w:cs="宋体"/>
                <w:kern w:val="0"/>
                <w:szCs w:val="21"/>
                <w:highlight w:val="none"/>
              </w:rPr>
            </w:pPr>
            <w:r>
              <w:rPr>
                <w:rFonts w:hint="eastAsia" w:ascii="宋体" w:hAnsi="宋体" w:cs="宋体"/>
                <w:kern w:val="0"/>
                <w:szCs w:val="21"/>
                <w:highlight w:val="none"/>
              </w:rPr>
              <w:t>不加修改的引用《江苏省试验检测标准文件》。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right"/>
        </w:trPr>
        <w:tc>
          <w:tcPr>
            <w:tcW w:w="625" w:type="pct"/>
            <w:vAlign w:val="center"/>
          </w:tcPr>
          <w:p>
            <w:pPr>
              <w:widowControl/>
              <w:adjustRightInd w:val="0"/>
              <w:snapToGrid w:val="0"/>
              <w:jc w:val="center"/>
              <w:rPr>
                <w:rFonts w:ascii="宋体" w:hAnsi="宋体" w:cs="宋体"/>
                <w:kern w:val="0"/>
                <w:szCs w:val="21"/>
                <w:highlight w:val="none"/>
              </w:rPr>
            </w:pPr>
            <w:r>
              <w:rPr>
                <w:rFonts w:hint="eastAsia" w:ascii="宋体" w:hAnsi="宋体" w:cs="宋体"/>
                <w:kern w:val="0"/>
                <w:szCs w:val="21"/>
                <w:highlight w:val="none"/>
              </w:rPr>
              <w:t>第四章</w:t>
            </w:r>
          </w:p>
        </w:tc>
        <w:tc>
          <w:tcPr>
            <w:tcW w:w="1498" w:type="pct"/>
            <w:vAlign w:val="center"/>
          </w:tcPr>
          <w:p>
            <w:pPr>
              <w:widowControl/>
              <w:adjustRightInd w:val="0"/>
              <w:snapToGrid w:val="0"/>
              <w:jc w:val="center"/>
              <w:rPr>
                <w:rFonts w:ascii="宋体" w:hAnsi="宋体" w:cs="宋体"/>
                <w:kern w:val="0"/>
                <w:szCs w:val="21"/>
                <w:highlight w:val="none"/>
              </w:rPr>
            </w:pPr>
            <w:r>
              <w:rPr>
                <w:rFonts w:hint="eastAsia" w:ascii="宋体" w:hAnsi="宋体" w:cs="宋体"/>
                <w:kern w:val="0"/>
                <w:szCs w:val="21"/>
                <w:highlight w:val="none"/>
              </w:rPr>
              <w:t>合同条款及格式</w:t>
            </w:r>
          </w:p>
        </w:tc>
        <w:tc>
          <w:tcPr>
            <w:tcW w:w="2875" w:type="pct"/>
            <w:vAlign w:val="center"/>
          </w:tcPr>
          <w:p>
            <w:pPr>
              <w:adjustRightInd w:val="0"/>
              <w:snapToGrid w:val="0"/>
              <w:jc w:val="center"/>
              <w:rPr>
                <w:rFonts w:ascii="宋体" w:hAnsi="宋体" w:cs="宋体"/>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right"/>
        </w:trPr>
        <w:tc>
          <w:tcPr>
            <w:tcW w:w="625" w:type="pct"/>
            <w:vAlign w:val="center"/>
          </w:tcPr>
          <w:p>
            <w:pPr>
              <w:widowControl/>
              <w:adjustRightInd w:val="0"/>
              <w:snapToGrid w:val="0"/>
              <w:jc w:val="center"/>
              <w:rPr>
                <w:rFonts w:ascii="宋体" w:hAnsi="宋体" w:cs="宋体"/>
                <w:kern w:val="0"/>
                <w:szCs w:val="21"/>
                <w:highlight w:val="none"/>
              </w:rPr>
            </w:pPr>
          </w:p>
        </w:tc>
        <w:tc>
          <w:tcPr>
            <w:tcW w:w="1498" w:type="pct"/>
            <w:vAlign w:val="center"/>
          </w:tcPr>
          <w:p>
            <w:pPr>
              <w:widowControl/>
              <w:adjustRightInd w:val="0"/>
              <w:snapToGrid w:val="0"/>
              <w:jc w:val="center"/>
              <w:rPr>
                <w:rFonts w:ascii="宋体" w:hAnsi="宋体" w:cs="宋体"/>
                <w:kern w:val="0"/>
                <w:szCs w:val="21"/>
                <w:highlight w:val="none"/>
              </w:rPr>
            </w:pPr>
            <w:r>
              <w:rPr>
                <w:rFonts w:hint="eastAsia" w:ascii="宋体" w:hAnsi="宋体" w:cs="宋体"/>
                <w:kern w:val="0"/>
                <w:szCs w:val="21"/>
                <w:highlight w:val="none"/>
              </w:rPr>
              <w:t>通用合同条款</w:t>
            </w:r>
          </w:p>
        </w:tc>
        <w:tc>
          <w:tcPr>
            <w:tcW w:w="2875" w:type="pct"/>
            <w:vAlign w:val="center"/>
          </w:tcPr>
          <w:p>
            <w:pPr>
              <w:adjustRightInd w:val="0"/>
              <w:snapToGrid w:val="0"/>
              <w:jc w:val="center"/>
              <w:rPr>
                <w:rFonts w:ascii="宋体" w:hAnsi="宋体" w:cs="宋体"/>
                <w:kern w:val="0"/>
                <w:szCs w:val="21"/>
                <w:highlight w:val="none"/>
              </w:rPr>
            </w:pPr>
            <w:r>
              <w:rPr>
                <w:rFonts w:hint="eastAsia" w:ascii="宋体" w:hAnsi="宋体" w:cs="宋体"/>
                <w:kern w:val="0"/>
                <w:szCs w:val="21"/>
                <w:highlight w:val="none"/>
              </w:rPr>
              <w:t>内容见本项目专用本。不加修改的引用《江苏省试验检测标准文件》。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right"/>
        </w:trPr>
        <w:tc>
          <w:tcPr>
            <w:tcW w:w="625" w:type="pct"/>
            <w:vAlign w:val="center"/>
          </w:tcPr>
          <w:p>
            <w:pPr>
              <w:widowControl/>
              <w:adjustRightInd w:val="0"/>
              <w:snapToGrid w:val="0"/>
              <w:jc w:val="center"/>
              <w:rPr>
                <w:rFonts w:ascii="宋体" w:hAnsi="宋体" w:cs="宋体"/>
                <w:kern w:val="0"/>
                <w:szCs w:val="21"/>
                <w:highlight w:val="none"/>
              </w:rPr>
            </w:pPr>
          </w:p>
        </w:tc>
        <w:tc>
          <w:tcPr>
            <w:tcW w:w="1498" w:type="pct"/>
            <w:vAlign w:val="center"/>
          </w:tcPr>
          <w:p>
            <w:pPr>
              <w:widowControl/>
              <w:adjustRightInd w:val="0"/>
              <w:snapToGrid w:val="0"/>
              <w:jc w:val="center"/>
              <w:rPr>
                <w:rFonts w:ascii="宋体" w:hAnsi="宋体" w:cs="宋体"/>
                <w:kern w:val="0"/>
                <w:szCs w:val="21"/>
                <w:highlight w:val="none"/>
              </w:rPr>
            </w:pPr>
            <w:r>
              <w:rPr>
                <w:rFonts w:hint="eastAsia" w:ascii="宋体" w:hAnsi="宋体" w:cs="宋体"/>
                <w:kern w:val="0"/>
                <w:szCs w:val="21"/>
                <w:highlight w:val="none"/>
              </w:rPr>
              <w:t>专用合同条款</w:t>
            </w:r>
          </w:p>
        </w:tc>
        <w:tc>
          <w:tcPr>
            <w:tcW w:w="2875" w:type="pct"/>
            <w:vAlign w:val="center"/>
          </w:tcPr>
          <w:p>
            <w:pPr>
              <w:adjustRightInd w:val="0"/>
              <w:snapToGrid w:val="0"/>
              <w:jc w:val="center"/>
              <w:rPr>
                <w:rFonts w:ascii="宋体" w:hAnsi="宋体" w:cs="宋体"/>
                <w:kern w:val="0"/>
                <w:szCs w:val="21"/>
                <w:highlight w:val="none"/>
              </w:rPr>
            </w:pPr>
            <w:r>
              <w:rPr>
                <w:rFonts w:hint="eastAsia" w:ascii="宋体" w:hAnsi="宋体" w:cs="宋体"/>
                <w:kern w:val="0"/>
                <w:szCs w:val="21"/>
                <w:highlight w:val="none"/>
              </w:rPr>
              <w:t>“专用合同条款”是对《江苏省试验检测标准文件》“合同条款及格式”的补充和细化。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right"/>
        </w:trPr>
        <w:tc>
          <w:tcPr>
            <w:tcW w:w="625" w:type="pct"/>
            <w:vAlign w:val="center"/>
          </w:tcPr>
          <w:p>
            <w:pPr>
              <w:adjustRightInd w:val="0"/>
              <w:snapToGrid w:val="0"/>
              <w:jc w:val="center"/>
              <w:rPr>
                <w:rFonts w:ascii="宋体" w:hAnsi="宋体" w:cs="宋体"/>
                <w:kern w:val="0"/>
                <w:szCs w:val="21"/>
                <w:highlight w:val="none"/>
              </w:rPr>
            </w:pPr>
          </w:p>
        </w:tc>
        <w:tc>
          <w:tcPr>
            <w:tcW w:w="1498" w:type="pct"/>
            <w:vAlign w:val="center"/>
          </w:tcPr>
          <w:p>
            <w:pPr>
              <w:adjustRightInd w:val="0"/>
              <w:snapToGrid w:val="0"/>
              <w:jc w:val="center"/>
              <w:rPr>
                <w:rFonts w:ascii="宋体" w:hAnsi="宋体" w:cs="宋体"/>
                <w:szCs w:val="21"/>
                <w:highlight w:val="none"/>
              </w:rPr>
            </w:pPr>
            <w:r>
              <w:rPr>
                <w:rFonts w:hint="eastAsia" w:ascii="宋体" w:hAnsi="宋体" w:cs="宋体"/>
                <w:kern w:val="0"/>
                <w:szCs w:val="21"/>
                <w:highlight w:val="none"/>
              </w:rPr>
              <w:t>合同附件格式</w:t>
            </w:r>
          </w:p>
        </w:tc>
        <w:tc>
          <w:tcPr>
            <w:tcW w:w="2875" w:type="pct"/>
            <w:vAlign w:val="center"/>
          </w:tcPr>
          <w:p>
            <w:pPr>
              <w:adjustRightInd w:val="0"/>
              <w:snapToGrid w:val="0"/>
              <w:jc w:val="center"/>
              <w:rPr>
                <w:rFonts w:ascii="宋体" w:hAnsi="宋体" w:cs="宋体"/>
                <w:kern w:val="0"/>
                <w:szCs w:val="21"/>
                <w:highlight w:val="none"/>
              </w:rPr>
            </w:pPr>
            <w:r>
              <w:rPr>
                <w:rFonts w:hint="eastAsia" w:ascii="宋体" w:hAnsi="宋体" w:cs="宋体"/>
                <w:kern w:val="0"/>
                <w:szCs w:val="21"/>
                <w:highlight w:val="none"/>
              </w:rPr>
              <w:t>内容见本项目专用本。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right"/>
        </w:trPr>
        <w:tc>
          <w:tcPr>
            <w:tcW w:w="625" w:type="pct"/>
            <w:vAlign w:val="center"/>
          </w:tcPr>
          <w:p>
            <w:pPr>
              <w:widowControl/>
              <w:adjustRightInd w:val="0"/>
              <w:snapToGrid w:val="0"/>
              <w:jc w:val="center"/>
              <w:rPr>
                <w:rFonts w:ascii="宋体" w:hAnsi="宋体" w:cs="宋体"/>
                <w:kern w:val="0"/>
                <w:szCs w:val="21"/>
                <w:highlight w:val="none"/>
              </w:rPr>
            </w:pPr>
            <w:r>
              <w:rPr>
                <w:rFonts w:hint="eastAsia" w:ascii="宋体" w:hAnsi="宋体" w:cs="宋体"/>
                <w:kern w:val="0"/>
                <w:szCs w:val="21"/>
                <w:highlight w:val="none"/>
              </w:rPr>
              <w:t>第五章</w:t>
            </w:r>
          </w:p>
        </w:tc>
        <w:tc>
          <w:tcPr>
            <w:tcW w:w="1498" w:type="pct"/>
            <w:vAlign w:val="center"/>
          </w:tcPr>
          <w:p>
            <w:pPr>
              <w:widowControl/>
              <w:adjustRightInd w:val="0"/>
              <w:snapToGrid w:val="0"/>
              <w:jc w:val="center"/>
              <w:rPr>
                <w:rFonts w:ascii="宋体" w:hAnsi="宋体" w:cs="宋体"/>
                <w:kern w:val="0"/>
                <w:szCs w:val="21"/>
                <w:highlight w:val="none"/>
              </w:rPr>
            </w:pPr>
            <w:r>
              <w:rPr>
                <w:rFonts w:hint="eastAsia" w:ascii="宋体" w:hAnsi="宋体" w:cs="宋体"/>
                <w:kern w:val="0"/>
                <w:szCs w:val="21"/>
                <w:highlight w:val="none"/>
              </w:rPr>
              <w:t>工程量清单</w:t>
            </w:r>
          </w:p>
        </w:tc>
        <w:tc>
          <w:tcPr>
            <w:tcW w:w="2875" w:type="pct"/>
            <w:vAlign w:val="center"/>
          </w:tcPr>
          <w:p>
            <w:pPr>
              <w:adjustRightInd w:val="0"/>
              <w:snapToGrid w:val="0"/>
              <w:jc w:val="center"/>
              <w:rPr>
                <w:rFonts w:ascii="宋体" w:hAnsi="宋体" w:cs="宋体"/>
                <w:kern w:val="0"/>
                <w:szCs w:val="21"/>
                <w:highlight w:val="none"/>
              </w:rPr>
            </w:pPr>
            <w:r>
              <w:rPr>
                <w:rFonts w:hint="eastAsia" w:ascii="宋体" w:hAnsi="宋体" w:cs="宋体"/>
                <w:kern w:val="0"/>
                <w:szCs w:val="21"/>
                <w:highlight w:val="none"/>
              </w:rPr>
              <w:t>内容见本项目专用本。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right"/>
        </w:trPr>
        <w:tc>
          <w:tcPr>
            <w:tcW w:w="625" w:type="pct"/>
            <w:vAlign w:val="center"/>
          </w:tcPr>
          <w:p>
            <w:pPr>
              <w:widowControl/>
              <w:adjustRightInd w:val="0"/>
              <w:snapToGrid w:val="0"/>
              <w:jc w:val="center"/>
              <w:rPr>
                <w:rFonts w:ascii="宋体" w:hAnsi="宋体" w:cs="宋体"/>
                <w:kern w:val="0"/>
                <w:szCs w:val="21"/>
                <w:highlight w:val="none"/>
              </w:rPr>
            </w:pPr>
            <w:r>
              <w:rPr>
                <w:rFonts w:hint="eastAsia" w:ascii="宋体" w:hAnsi="宋体" w:cs="宋体"/>
                <w:kern w:val="0"/>
                <w:szCs w:val="21"/>
                <w:highlight w:val="none"/>
              </w:rPr>
              <w:t>第六章</w:t>
            </w:r>
          </w:p>
        </w:tc>
        <w:tc>
          <w:tcPr>
            <w:tcW w:w="1498" w:type="pct"/>
            <w:vAlign w:val="center"/>
          </w:tcPr>
          <w:p>
            <w:pPr>
              <w:widowControl/>
              <w:adjustRightInd w:val="0"/>
              <w:snapToGrid w:val="0"/>
              <w:jc w:val="center"/>
              <w:rPr>
                <w:rFonts w:ascii="宋体" w:hAnsi="宋体" w:cs="宋体"/>
                <w:kern w:val="0"/>
                <w:szCs w:val="21"/>
                <w:highlight w:val="none"/>
              </w:rPr>
            </w:pPr>
            <w:r>
              <w:rPr>
                <w:rFonts w:hint="eastAsia" w:ascii="宋体" w:hAnsi="宋体" w:cs="宋体"/>
                <w:kern w:val="0"/>
                <w:szCs w:val="21"/>
                <w:highlight w:val="none"/>
              </w:rPr>
              <w:t>技术标准和要求</w:t>
            </w:r>
          </w:p>
        </w:tc>
        <w:tc>
          <w:tcPr>
            <w:tcW w:w="2875" w:type="pct"/>
            <w:vAlign w:val="center"/>
          </w:tcPr>
          <w:p>
            <w:pPr>
              <w:adjustRightInd w:val="0"/>
              <w:snapToGrid w:val="0"/>
              <w:jc w:val="center"/>
              <w:rPr>
                <w:rFonts w:ascii="宋体" w:hAnsi="宋体" w:cs="宋体"/>
                <w:kern w:val="0"/>
                <w:szCs w:val="21"/>
                <w:highlight w:val="none"/>
              </w:rPr>
            </w:pPr>
            <w:r>
              <w:rPr>
                <w:rFonts w:hint="eastAsia" w:ascii="宋体" w:hAnsi="宋体" w:cs="宋体"/>
                <w:kern w:val="0"/>
                <w:szCs w:val="21"/>
                <w:highlight w:val="none"/>
              </w:rPr>
              <w:t>内容见本项目专用本。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right"/>
        </w:trPr>
        <w:tc>
          <w:tcPr>
            <w:tcW w:w="625" w:type="pct"/>
            <w:vAlign w:val="center"/>
          </w:tcPr>
          <w:p>
            <w:pPr>
              <w:widowControl/>
              <w:adjustRightInd w:val="0"/>
              <w:snapToGrid w:val="0"/>
              <w:jc w:val="center"/>
              <w:rPr>
                <w:rFonts w:ascii="宋体" w:hAnsi="宋体" w:cs="宋体"/>
                <w:kern w:val="0"/>
                <w:szCs w:val="21"/>
                <w:highlight w:val="none"/>
              </w:rPr>
            </w:pPr>
            <w:r>
              <w:rPr>
                <w:rFonts w:hint="eastAsia" w:ascii="宋体" w:hAnsi="宋体" w:cs="宋体"/>
                <w:kern w:val="0"/>
                <w:szCs w:val="21"/>
                <w:highlight w:val="none"/>
              </w:rPr>
              <w:t>第七章</w:t>
            </w:r>
          </w:p>
        </w:tc>
        <w:tc>
          <w:tcPr>
            <w:tcW w:w="1498" w:type="pct"/>
            <w:vAlign w:val="center"/>
          </w:tcPr>
          <w:p>
            <w:pPr>
              <w:widowControl/>
              <w:adjustRightInd w:val="0"/>
              <w:snapToGrid w:val="0"/>
              <w:jc w:val="center"/>
              <w:rPr>
                <w:rFonts w:ascii="宋体" w:hAnsi="宋体" w:cs="宋体"/>
                <w:kern w:val="0"/>
                <w:szCs w:val="21"/>
                <w:highlight w:val="none"/>
              </w:rPr>
            </w:pPr>
            <w:r>
              <w:rPr>
                <w:rFonts w:hint="eastAsia" w:ascii="宋体" w:hAnsi="宋体" w:cs="宋体"/>
                <w:kern w:val="0"/>
                <w:szCs w:val="21"/>
                <w:highlight w:val="none"/>
              </w:rPr>
              <w:t>投标文件格式</w:t>
            </w:r>
          </w:p>
        </w:tc>
        <w:tc>
          <w:tcPr>
            <w:tcW w:w="2875" w:type="pct"/>
            <w:vAlign w:val="center"/>
          </w:tcPr>
          <w:p>
            <w:pPr>
              <w:adjustRightInd w:val="0"/>
              <w:snapToGrid w:val="0"/>
              <w:jc w:val="center"/>
              <w:rPr>
                <w:rFonts w:ascii="宋体" w:hAnsi="宋体" w:cs="宋体"/>
                <w:kern w:val="0"/>
                <w:szCs w:val="21"/>
                <w:highlight w:val="none"/>
              </w:rPr>
            </w:pPr>
            <w:r>
              <w:rPr>
                <w:rFonts w:hint="eastAsia" w:ascii="宋体" w:hAnsi="宋体" w:cs="宋体"/>
                <w:kern w:val="0"/>
                <w:szCs w:val="21"/>
                <w:highlight w:val="none"/>
              </w:rPr>
              <w:t>内容见本项目专用本。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right"/>
        </w:trPr>
        <w:tc>
          <w:tcPr>
            <w:tcW w:w="625" w:type="pct"/>
            <w:vAlign w:val="center"/>
          </w:tcPr>
          <w:p>
            <w:pPr>
              <w:widowControl/>
              <w:adjustRightInd w:val="0"/>
              <w:snapToGrid w:val="0"/>
              <w:rPr>
                <w:rFonts w:ascii="宋体" w:hAnsi="宋体" w:cs="宋体"/>
                <w:kern w:val="0"/>
                <w:szCs w:val="21"/>
                <w:highlight w:val="none"/>
              </w:rPr>
            </w:pPr>
          </w:p>
        </w:tc>
        <w:tc>
          <w:tcPr>
            <w:tcW w:w="1498" w:type="pct"/>
            <w:vAlign w:val="center"/>
          </w:tcPr>
          <w:p>
            <w:pPr>
              <w:widowControl/>
              <w:adjustRightInd w:val="0"/>
              <w:snapToGrid w:val="0"/>
              <w:jc w:val="center"/>
              <w:rPr>
                <w:rFonts w:ascii="宋体" w:hAnsi="宋体" w:cs="宋体"/>
                <w:kern w:val="0"/>
                <w:szCs w:val="21"/>
                <w:highlight w:val="none"/>
              </w:rPr>
            </w:pPr>
            <w:r>
              <w:rPr>
                <w:rFonts w:hint="eastAsia" w:ascii="宋体" w:hAnsi="宋体" w:cs="宋体"/>
                <w:kern w:val="0"/>
                <w:szCs w:val="21"/>
                <w:highlight w:val="none"/>
              </w:rPr>
              <w:t>招标文件附件</w:t>
            </w:r>
          </w:p>
        </w:tc>
        <w:tc>
          <w:tcPr>
            <w:tcW w:w="2875" w:type="pct"/>
            <w:vAlign w:val="center"/>
          </w:tcPr>
          <w:p>
            <w:pPr>
              <w:adjustRightInd w:val="0"/>
              <w:snapToGrid w:val="0"/>
              <w:jc w:val="center"/>
              <w:rPr>
                <w:rFonts w:ascii="宋体" w:hAnsi="宋体" w:cs="宋体"/>
                <w:kern w:val="0"/>
                <w:szCs w:val="21"/>
                <w:highlight w:val="none"/>
              </w:rPr>
            </w:pPr>
            <w:r>
              <w:rPr>
                <w:rFonts w:hint="eastAsia" w:ascii="宋体" w:hAnsi="宋体" w:cs="宋体"/>
                <w:kern w:val="0"/>
                <w:szCs w:val="21"/>
                <w:highlight w:val="none"/>
              </w:rPr>
              <w:t>内容见本项目专用本。</w:t>
            </w:r>
          </w:p>
        </w:tc>
      </w:tr>
    </w:tbl>
    <w:p>
      <w:pPr>
        <w:wordWrap w:val="0"/>
        <w:adjustRightInd w:val="0"/>
        <w:snapToGrid w:val="0"/>
        <w:spacing w:line="360" w:lineRule="auto"/>
        <w:ind w:firstLine="482"/>
        <w:rPr>
          <w:rFonts w:ascii="Garamond" w:hAnsi="Garamond"/>
          <w:sz w:val="24"/>
          <w:highlight w:val="none"/>
        </w:rPr>
      </w:pPr>
      <w:r>
        <w:rPr>
          <w:rFonts w:ascii="Garamond" w:hAnsi="Garamond"/>
          <w:sz w:val="24"/>
          <w:highlight w:val="none"/>
        </w:rPr>
        <w:t>四、本项目不接受联合体投标。《江苏省试验检测标准文件》中关于联合体的相关内容对本项目不适用。本项目专用本不再对《江苏省试验检测标准文件》中关于联合体的相关内容进行修改或删减。</w:t>
      </w:r>
    </w:p>
    <w:p>
      <w:pPr>
        <w:wordWrap w:val="0"/>
        <w:adjustRightInd w:val="0"/>
        <w:snapToGrid w:val="0"/>
        <w:spacing w:line="360" w:lineRule="auto"/>
        <w:ind w:firstLine="482"/>
        <w:rPr>
          <w:rFonts w:ascii="Garamond" w:hAnsi="Garamond"/>
          <w:sz w:val="24"/>
          <w:highlight w:val="none"/>
        </w:rPr>
      </w:pPr>
      <w:r>
        <w:rPr>
          <w:rFonts w:ascii="Garamond" w:hAnsi="Garamond"/>
          <w:sz w:val="24"/>
          <w:highlight w:val="none"/>
        </w:rPr>
        <w:t>五、本项目采用资格后审形式，评标办法采用双信封形式的综合评估法。《江苏省试验检测标准文件》中关于</w:t>
      </w:r>
      <w:r>
        <w:rPr>
          <w:rFonts w:ascii="Garamond" w:hAnsi="Garamond"/>
          <w:b/>
          <w:sz w:val="24"/>
          <w:highlight w:val="none"/>
          <w:u w:val="single"/>
        </w:rPr>
        <w:t>已进行资格预审的</w:t>
      </w:r>
      <w:r>
        <w:rPr>
          <w:rFonts w:hint="eastAsia" w:ascii="Garamond" w:hAnsi="Garamond"/>
          <w:b/>
          <w:sz w:val="24"/>
          <w:highlight w:val="none"/>
          <w:u w:val="single"/>
        </w:rPr>
        <w:t>、联合体</w:t>
      </w:r>
      <w:r>
        <w:rPr>
          <w:rFonts w:ascii="Garamond" w:hAnsi="Garamond"/>
          <w:b/>
          <w:sz w:val="24"/>
          <w:highlight w:val="none"/>
          <w:u w:val="single"/>
        </w:rPr>
        <w:t>、单信封的相关内容对本项目不适用</w:t>
      </w:r>
      <w:r>
        <w:rPr>
          <w:rFonts w:ascii="Garamond" w:hAnsi="Garamond"/>
          <w:sz w:val="24"/>
          <w:highlight w:val="none"/>
        </w:rPr>
        <w:t>。</w:t>
      </w:r>
    </w:p>
    <w:p>
      <w:pPr>
        <w:wordWrap w:val="0"/>
        <w:adjustRightInd w:val="0"/>
        <w:snapToGrid w:val="0"/>
        <w:spacing w:line="360" w:lineRule="auto"/>
        <w:ind w:firstLine="482"/>
        <w:rPr>
          <w:rFonts w:ascii="Garamond" w:hAnsi="Garamond"/>
          <w:sz w:val="24"/>
          <w:highlight w:val="none"/>
        </w:rPr>
        <w:sectPr>
          <w:footerReference r:id="rId7" w:type="first"/>
          <w:footerReference r:id="rId6" w:type="default"/>
          <w:pgSz w:w="11906" w:h="16838"/>
          <w:pgMar w:top="1418" w:right="1247" w:bottom="1418" w:left="1418" w:header="851" w:footer="680" w:gutter="0"/>
          <w:pgNumType w:start="1"/>
          <w:cols w:space="720" w:num="1"/>
          <w:titlePg/>
          <w:docGrid w:linePitch="312" w:charSpace="0"/>
        </w:sectPr>
      </w:pPr>
      <w:r>
        <w:rPr>
          <w:rFonts w:ascii="Garamond" w:hAnsi="Garamond"/>
          <w:sz w:val="24"/>
          <w:highlight w:val="none"/>
        </w:rPr>
        <w:t>六、《江苏省试验检测标准文件》由投标人自备。</w:t>
      </w:r>
    </w:p>
    <w:p>
      <w:pPr>
        <w:adjustRightInd w:val="0"/>
        <w:snapToGrid w:val="0"/>
        <w:spacing w:line="360" w:lineRule="auto"/>
        <w:ind w:firstLine="482"/>
        <w:jc w:val="center"/>
        <w:rPr>
          <w:rFonts w:ascii="Garamond" w:hAnsi="Garamond"/>
          <w:b/>
          <w:sz w:val="44"/>
          <w:szCs w:val="44"/>
          <w:highlight w:val="none"/>
        </w:rPr>
      </w:pPr>
      <w:r>
        <w:rPr>
          <w:rFonts w:ascii="Garamond" w:hAnsi="Garamond"/>
          <w:b/>
          <w:sz w:val="44"/>
          <w:szCs w:val="44"/>
          <w:highlight w:val="none"/>
        </w:rPr>
        <w:t>目  录</w:t>
      </w:r>
      <w:bookmarkEnd w:id="1"/>
    </w:p>
    <w:p>
      <w:pPr>
        <w:pStyle w:val="28"/>
        <w:tabs>
          <w:tab w:val="right" w:leader="dot" w:pos="9214"/>
        </w:tabs>
        <w:spacing w:line="700" w:lineRule="exact"/>
        <w:rPr>
          <w:rFonts w:hint="eastAsia" w:ascii="宋体" w:hAnsi="宋体" w:eastAsia="宋体" w:cs="宋体"/>
          <w:sz w:val="30"/>
          <w:szCs w:val="30"/>
          <w:highlight w:val="none"/>
          <w:lang w:eastAsia="zh-CN"/>
        </w:rPr>
      </w:pPr>
      <w:r>
        <w:rPr>
          <w:rFonts w:ascii="Garamond" w:hAnsi="Garamond"/>
          <w:sz w:val="28"/>
          <w:szCs w:val="28"/>
          <w:highlight w:val="none"/>
        </w:rPr>
        <w:fldChar w:fldCharType="begin"/>
      </w:r>
      <w:r>
        <w:rPr>
          <w:rFonts w:ascii="Garamond" w:hAnsi="Garamond"/>
          <w:sz w:val="28"/>
          <w:szCs w:val="28"/>
          <w:highlight w:val="none"/>
        </w:rPr>
        <w:instrText xml:space="preserve"> TOC \o "1-2" \h \z \u </w:instrText>
      </w:r>
      <w:r>
        <w:rPr>
          <w:rFonts w:ascii="Garamond" w:hAnsi="Garamond"/>
          <w:sz w:val="28"/>
          <w:szCs w:val="28"/>
          <w:highlight w:val="none"/>
        </w:rPr>
        <w:fldChar w:fldCharType="separate"/>
      </w:r>
      <w:r>
        <w:rPr>
          <w:rFonts w:hint="eastAsia" w:ascii="宋体" w:hAnsi="宋体" w:cs="宋体"/>
          <w:sz w:val="30"/>
          <w:szCs w:val="30"/>
          <w:highlight w:val="none"/>
        </w:rPr>
        <w:fldChar w:fldCharType="begin"/>
      </w:r>
      <w:r>
        <w:rPr>
          <w:rFonts w:hint="eastAsia" w:ascii="宋体" w:hAnsi="宋体" w:cs="宋体"/>
          <w:sz w:val="30"/>
          <w:szCs w:val="30"/>
          <w:highlight w:val="none"/>
        </w:rPr>
        <w:instrText xml:space="preserve"> HYPERLINK \l "_Toc353197071" </w:instrText>
      </w:r>
      <w:r>
        <w:rPr>
          <w:rFonts w:hint="eastAsia" w:ascii="宋体" w:hAnsi="宋体" w:cs="宋体"/>
          <w:sz w:val="30"/>
          <w:szCs w:val="30"/>
          <w:highlight w:val="none"/>
        </w:rPr>
        <w:fldChar w:fldCharType="separate"/>
      </w:r>
      <w:r>
        <w:rPr>
          <w:rStyle w:val="54"/>
          <w:rFonts w:hint="eastAsia" w:ascii="宋体" w:hAnsi="宋体" w:cs="宋体"/>
          <w:snapToGrid w:val="0"/>
          <w:color w:val="auto"/>
          <w:spacing w:val="20"/>
          <w:w w:val="135"/>
          <w:kern w:val="0"/>
          <w:sz w:val="30"/>
          <w:szCs w:val="30"/>
          <w:highlight w:val="none"/>
        </w:rPr>
        <w:t>第 一 卷</w:t>
      </w:r>
      <w:r>
        <w:rPr>
          <w:rFonts w:hint="eastAsia" w:ascii="宋体" w:hAnsi="宋体" w:cs="宋体"/>
          <w:sz w:val="30"/>
          <w:szCs w:val="30"/>
          <w:highlight w:val="none"/>
        </w:rPr>
        <w:tab/>
      </w:r>
      <w:r>
        <w:rPr>
          <w:rFonts w:hint="eastAsia" w:ascii="宋体" w:hAnsi="宋体" w:cs="宋体"/>
          <w:sz w:val="30"/>
          <w:szCs w:val="30"/>
          <w:highlight w:val="none"/>
        </w:rPr>
        <w:fldChar w:fldCharType="end"/>
      </w:r>
      <w:r>
        <w:rPr>
          <w:rFonts w:hint="eastAsia" w:ascii="宋体" w:hAnsi="宋体" w:cs="宋体"/>
          <w:sz w:val="30"/>
          <w:szCs w:val="30"/>
          <w:highlight w:val="none"/>
          <w:lang w:val="en-US" w:eastAsia="zh-CN"/>
        </w:rPr>
        <w:t>4</w:t>
      </w:r>
    </w:p>
    <w:p>
      <w:pPr>
        <w:pStyle w:val="34"/>
        <w:tabs>
          <w:tab w:val="right" w:leader="dot" w:pos="9214"/>
        </w:tabs>
        <w:spacing w:line="700" w:lineRule="exact"/>
        <w:rPr>
          <w:rFonts w:hint="eastAsia" w:ascii="宋体" w:hAnsi="宋体" w:eastAsia="宋体" w:cs="宋体"/>
          <w:sz w:val="30"/>
          <w:szCs w:val="30"/>
          <w:highlight w:val="none"/>
          <w:lang w:eastAsia="zh-CN"/>
        </w:rPr>
      </w:pPr>
      <w:r>
        <w:rPr>
          <w:rFonts w:hint="eastAsia" w:ascii="宋体" w:hAnsi="宋体" w:cs="宋体"/>
          <w:sz w:val="30"/>
          <w:szCs w:val="30"/>
          <w:highlight w:val="none"/>
        </w:rPr>
        <w:fldChar w:fldCharType="begin"/>
      </w:r>
      <w:r>
        <w:rPr>
          <w:rFonts w:hint="eastAsia" w:ascii="宋体" w:hAnsi="宋体" w:cs="宋体"/>
          <w:sz w:val="30"/>
          <w:szCs w:val="30"/>
          <w:highlight w:val="none"/>
        </w:rPr>
        <w:instrText xml:space="preserve"> HYPERLINK \l "_Toc353197072" </w:instrText>
      </w:r>
      <w:r>
        <w:rPr>
          <w:rFonts w:hint="eastAsia" w:ascii="宋体" w:hAnsi="宋体" w:cs="宋体"/>
          <w:sz w:val="30"/>
          <w:szCs w:val="30"/>
          <w:highlight w:val="none"/>
        </w:rPr>
        <w:fldChar w:fldCharType="separate"/>
      </w:r>
      <w:r>
        <w:rPr>
          <w:rStyle w:val="54"/>
          <w:rFonts w:hint="eastAsia" w:ascii="宋体" w:hAnsi="宋体" w:cs="宋体"/>
          <w:color w:val="auto"/>
          <w:sz w:val="30"/>
          <w:szCs w:val="30"/>
          <w:highlight w:val="none"/>
        </w:rPr>
        <w:t>第一章  招标公告</w:t>
      </w:r>
      <w:r>
        <w:rPr>
          <w:rFonts w:hint="eastAsia" w:ascii="宋体" w:hAnsi="宋体" w:cs="宋体"/>
          <w:sz w:val="30"/>
          <w:szCs w:val="30"/>
          <w:highlight w:val="none"/>
        </w:rPr>
        <w:tab/>
      </w:r>
      <w:r>
        <w:rPr>
          <w:rFonts w:hint="eastAsia" w:ascii="宋体" w:hAnsi="宋体" w:cs="宋体"/>
          <w:sz w:val="30"/>
          <w:szCs w:val="30"/>
          <w:highlight w:val="none"/>
        </w:rPr>
        <w:fldChar w:fldCharType="end"/>
      </w:r>
      <w:r>
        <w:rPr>
          <w:rFonts w:hint="eastAsia" w:ascii="宋体" w:hAnsi="宋体" w:cs="宋体"/>
          <w:sz w:val="30"/>
          <w:szCs w:val="30"/>
          <w:highlight w:val="none"/>
          <w:lang w:val="en-US" w:eastAsia="zh-CN"/>
        </w:rPr>
        <w:t>5</w:t>
      </w:r>
    </w:p>
    <w:p>
      <w:pPr>
        <w:pStyle w:val="34"/>
        <w:tabs>
          <w:tab w:val="right" w:leader="dot" w:pos="9214"/>
        </w:tabs>
        <w:spacing w:line="700" w:lineRule="exact"/>
        <w:rPr>
          <w:rFonts w:hint="eastAsia" w:ascii="宋体" w:hAnsi="宋体" w:eastAsia="宋体" w:cs="宋体"/>
          <w:sz w:val="30"/>
          <w:szCs w:val="30"/>
          <w:highlight w:val="none"/>
          <w:lang w:val="en-US" w:eastAsia="zh-CN"/>
        </w:rPr>
      </w:pPr>
      <w:r>
        <w:rPr>
          <w:rFonts w:hint="eastAsia" w:ascii="宋体" w:hAnsi="宋体" w:cs="宋体"/>
          <w:sz w:val="30"/>
          <w:szCs w:val="30"/>
          <w:highlight w:val="none"/>
        </w:rPr>
        <w:fldChar w:fldCharType="begin"/>
      </w:r>
      <w:r>
        <w:rPr>
          <w:rFonts w:hint="eastAsia" w:ascii="宋体" w:hAnsi="宋体" w:cs="宋体"/>
          <w:sz w:val="30"/>
          <w:szCs w:val="30"/>
          <w:highlight w:val="none"/>
        </w:rPr>
        <w:instrText xml:space="preserve"> HYPERLINK \l "_Toc353197073" </w:instrText>
      </w:r>
      <w:r>
        <w:rPr>
          <w:rFonts w:hint="eastAsia" w:ascii="宋体" w:hAnsi="宋体" w:cs="宋体"/>
          <w:sz w:val="30"/>
          <w:szCs w:val="30"/>
          <w:highlight w:val="none"/>
        </w:rPr>
        <w:fldChar w:fldCharType="separate"/>
      </w:r>
      <w:r>
        <w:rPr>
          <w:rStyle w:val="54"/>
          <w:rFonts w:hint="eastAsia" w:ascii="宋体" w:hAnsi="宋体" w:cs="宋体"/>
          <w:color w:val="auto"/>
          <w:sz w:val="30"/>
          <w:szCs w:val="30"/>
          <w:highlight w:val="none"/>
        </w:rPr>
        <w:t>第二章  投标人须知</w:t>
      </w:r>
      <w:r>
        <w:rPr>
          <w:rFonts w:hint="eastAsia" w:ascii="宋体" w:hAnsi="宋体" w:cs="宋体"/>
          <w:sz w:val="30"/>
          <w:szCs w:val="30"/>
          <w:highlight w:val="none"/>
        </w:rPr>
        <w:tab/>
      </w:r>
      <w:r>
        <w:rPr>
          <w:rFonts w:hint="eastAsia" w:ascii="宋体" w:hAnsi="宋体" w:cs="宋体"/>
          <w:sz w:val="30"/>
          <w:szCs w:val="30"/>
          <w:highlight w:val="none"/>
        </w:rPr>
        <w:fldChar w:fldCharType="end"/>
      </w:r>
      <w:r>
        <w:rPr>
          <w:rFonts w:hint="eastAsia" w:ascii="宋体" w:hAnsi="宋体" w:cs="宋体"/>
          <w:sz w:val="30"/>
          <w:szCs w:val="30"/>
          <w:highlight w:val="none"/>
          <w:lang w:val="en-US" w:eastAsia="zh-CN"/>
        </w:rPr>
        <w:t>10</w:t>
      </w:r>
    </w:p>
    <w:p>
      <w:pPr>
        <w:pStyle w:val="34"/>
        <w:tabs>
          <w:tab w:val="right" w:leader="dot" w:pos="9214"/>
        </w:tabs>
        <w:spacing w:line="700" w:lineRule="exact"/>
        <w:rPr>
          <w:rFonts w:hint="default" w:ascii="宋体" w:hAnsi="宋体" w:eastAsia="宋体" w:cs="宋体"/>
          <w:sz w:val="30"/>
          <w:szCs w:val="30"/>
          <w:highlight w:val="none"/>
          <w:lang w:val="en-US" w:eastAsia="zh-CN"/>
        </w:rPr>
      </w:pPr>
      <w:r>
        <w:rPr>
          <w:rFonts w:hint="eastAsia" w:ascii="宋体" w:hAnsi="宋体" w:cs="宋体"/>
          <w:sz w:val="30"/>
          <w:szCs w:val="30"/>
          <w:highlight w:val="none"/>
        </w:rPr>
        <w:fldChar w:fldCharType="begin"/>
      </w:r>
      <w:r>
        <w:rPr>
          <w:rFonts w:hint="eastAsia" w:ascii="宋体" w:hAnsi="宋体" w:cs="宋体"/>
          <w:sz w:val="30"/>
          <w:szCs w:val="30"/>
          <w:highlight w:val="none"/>
        </w:rPr>
        <w:instrText xml:space="preserve"> HYPERLINK \l "_Toc353197095" </w:instrText>
      </w:r>
      <w:r>
        <w:rPr>
          <w:rFonts w:hint="eastAsia" w:ascii="宋体" w:hAnsi="宋体" w:cs="宋体"/>
          <w:sz w:val="30"/>
          <w:szCs w:val="30"/>
          <w:highlight w:val="none"/>
        </w:rPr>
        <w:fldChar w:fldCharType="separate"/>
      </w:r>
      <w:r>
        <w:rPr>
          <w:rStyle w:val="54"/>
          <w:rFonts w:hint="eastAsia" w:ascii="宋体" w:hAnsi="宋体" w:cs="宋体"/>
          <w:color w:val="auto"/>
          <w:sz w:val="30"/>
          <w:szCs w:val="30"/>
          <w:highlight w:val="none"/>
        </w:rPr>
        <w:t>第三章  评标办法</w:t>
      </w:r>
      <w:r>
        <w:rPr>
          <w:rFonts w:hint="eastAsia" w:ascii="宋体" w:hAnsi="宋体" w:cs="宋体"/>
          <w:sz w:val="30"/>
          <w:szCs w:val="30"/>
          <w:highlight w:val="none"/>
        </w:rPr>
        <w:tab/>
      </w:r>
      <w:r>
        <w:rPr>
          <w:rFonts w:hint="eastAsia" w:ascii="宋体" w:hAnsi="宋体" w:cs="宋体"/>
          <w:sz w:val="30"/>
          <w:szCs w:val="30"/>
          <w:highlight w:val="none"/>
        </w:rPr>
        <w:fldChar w:fldCharType="end"/>
      </w:r>
      <w:r>
        <w:rPr>
          <w:rFonts w:hint="eastAsia" w:ascii="宋体" w:hAnsi="宋体" w:cs="宋体"/>
          <w:sz w:val="30"/>
          <w:szCs w:val="30"/>
          <w:highlight w:val="none"/>
          <w:lang w:val="en-US" w:eastAsia="zh-CN"/>
        </w:rPr>
        <w:t>17</w:t>
      </w:r>
    </w:p>
    <w:p>
      <w:pPr>
        <w:pStyle w:val="34"/>
        <w:tabs>
          <w:tab w:val="right" w:leader="dot" w:pos="9214"/>
        </w:tabs>
        <w:spacing w:line="700" w:lineRule="exact"/>
        <w:rPr>
          <w:rFonts w:hint="default" w:ascii="宋体" w:hAnsi="宋体" w:eastAsia="宋体" w:cs="宋体"/>
          <w:sz w:val="30"/>
          <w:szCs w:val="30"/>
          <w:highlight w:val="none"/>
          <w:lang w:val="en-US" w:eastAsia="zh-CN"/>
        </w:rPr>
      </w:pPr>
      <w:r>
        <w:rPr>
          <w:rFonts w:hint="eastAsia" w:ascii="宋体" w:hAnsi="宋体" w:cs="宋体"/>
          <w:sz w:val="30"/>
          <w:szCs w:val="30"/>
          <w:highlight w:val="none"/>
        </w:rPr>
        <w:fldChar w:fldCharType="begin"/>
      </w:r>
      <w:r>
        <w:rPr>
          <w:rFonts w:hint="eastAsia" w:ascii="宋体" w:hAnsi="宋体" w:cs="宋体"/>
          <w:sz w:val="30"/>
          <w:szCs w:val="30"/>
          <w:highlight w:val="none"/>
        </w:rPr>
        <w:instrText xml:space="preserve"> HYPERLINK \l "_Toc353197096" </w:instrText>
      </w:r>
      <w:r>
        <w:rPr>
          <w:rFonts w:hint="eastAsia" w:ascii="宋体" w:hAnsi="宋体" w:cs="宋体"/>
          <w:sz w:val="30"/>
          <w:szCs w:val="30"/>
          <w:highlight w:val="none"/>
        </w:rPr>
        <w:fldChar w:fldCharType="separate"/>
      </w:r>
      <w:r>
        <w:rPr>
          <w:rStyle w:val="54"/>
          <w:rFonts w:hint="eastAsia" w:ascii="宋体" w:hAnsi="宋体" w:cs="宋体"/>
          <w:color w:val="auto"/>
          <w:sz w:val="30"/>
          <w:szCs w:val="30"/>
          <w:highlight w:val="none"/>
        </w:rPr>
        <w:t>第四章  合同条款及格式</w:t>
      </w:r>
      <w:r>
        <w:rPr>
          <w:rFonts w:hint="eastAsia" w:ascii="宋体" w:hAnsi="宋体" w:cs="宋体"/>
          <w:sz w:val="30"/>
          <w:szCs w:val="30"/>
          <w:highlight w:val="none"/>
        </w:rPr>
        <w:tab/>
      </w:r>
      <w:r>
        <w:rPr>
          <w:rFonts w:hint="eastAsia" w:ascii="宋体" w:hAnsi="宋体" w:cs="宋体"/>
          <w:sz w:val="30"/>
          <w:szCs w:val="30"/>
          <w:highlight w:val="none"/>
        </w:rPr>
        <w:fldChar w:fldCharType="end"/>
      </w:r>
      <w:r>
        <w:rPr>
          <w:rFonts w:hint="eastAsia" w:ascii="宋体" w:hAnsi="宋体" w:cs="宋体"/>
          <w:sz w:val="30"/>
          <w:szCs w:val="30"/>
          <w:highlight w:val="none"/>
          <w:lang w:val="en-US" w:eastAsia="zh-CN"/>
        </w:rPr>
        <w:t>26</w:t>
      </w:r>
    </w:p>
    <w:p>
      <w:pPr>
        <w:pStyle w:val="28"/>
        <w:tabs>
          <w:tab w:val="right" w:leader="dot" w:pos="9214"/>
        </w:tabs>
        <w:spacing w:line="700" w:lineRule="exact"/>
        <w:rPr>
          <w:rFonts w:hint="default" w:ascii="宋体" w:hAnsi="宋体" w:eastAsia="宋体" w:cs="宋体"/>
          <w:sz w:val="30"/>
          <w:szCs w:val="30"/>
          <w:highlight w:val="none"/>
          <w:lang w:val="en-US" w:eastAsia="zh-CN"/>
        </w:rPr>
      </w:pPr>
      <w:r>
        <w:rPr>
          <w:rFonts w:hint="eastAsia" w:ascii="宋体" w:hAnsi="宋体" w:cs="宋体"/>
          <w:sz w:val="30"/>
          <w:szCs w:val="30"/>
          <w:highlight w:val="none"/>
        </w:rPr>
        <w:fldChar w:fldCharType="begin"/>
      </w:r>
      <w:r>
        <w:rPr>
          <w:rFonts w:hint="eastAsia" w:ascii="宋体" w:hAnsi="宋体" w:cs="宋体"/>
          <w:sz w:val="30"/>
          <w:szCs w:val="30"/>
          <w:highlight w:val="none"/>
        </w:rPr>
        <w:instrText xml:space="preserve"> HYPERLINK \l "_Toc353197102" </w:instrText>
      </w:r>
      <w:r>
        <w:rPr>
          <w:rFonts w:hint="eastAsia" w:ascii="宋体" w:hAnsi="宋体" w:cs="宋体"/>
          <w:sz w:val="30"/>
          <w:szCs w:val="30"/>
          <w:highlight w:val="none"/>
        </w:rPr>
        <w:fldChar w:fldCharType="separate"/>
      </w:r>
      <w:r>
        <w:rPr>
          <w:rStyle w:val="54"/>
          <w:rFonts w:hint="eastAsia" w:ascii="宋体" w:hAnsi="宋体" w:cs="宋体"/>
          <w:snapToGrid w:val="0"/>
          <w:color w:val="auto"/>
          <w:spacing w:val="20"/>
          <w:w w:val="135"/>
          <w:kern w:val="0"/>
          <w:sz w:val="30"/>
          <w:szCs w:val="30"/>
          <w:highlight w:val="none"/>
        </w:rPr>
        <w:t>第 二 卷</w:t>
      </w:r>
      <w:bookmarkStart w:id="10" w:name="_Hlt404869483"/>
      <w:bookmarkStart w:id="11" w:name="_Hlt404869482"/>
      <w:r>
        <w:rPr>
          <w:rFonts w:hint="eastAsia" w:ascii="宋体" w:hAnsi="宋体" w:cs="宋体"/>
          <w:sz w:val="30"/>
          <w:szCs w:val="30"/>
          <w:highlight w:val="none"/>
        </w:rPr>
        <w:tab/>
      </w:r>
      <w:bookmarkEnd w:id="10"/>
      <w:bookmarkEnd w:id="11"/>
      <w:r>
        <w:rPr>
          <w:rFonts w:hint="eastAsia" w:ascii="宋体" w:hAnsi="宋体" w:cs="宋体"/>
          <w:sz w:val="30"/>
          <w:szCs w:val="30"/>
          <w:highlight w:val="none"/>
        </w:rPr>
        <w:fldChar w:fldCharType="end"/>
      </w:r>
      <w:r>
        <w:rPr>
          <w:rFonts w:hint="eastAsia" w:ascii="宋体" w:hAnsi="宋体" w:cs="宋体"/>
          <w:sz w:val="30"/>
          <w:szCs w:val="30"/>
          <w:highlight w:val="none"/>
          <w:lang w:val="en-US" w:eastAsia="zh-CN"/>
        </w:rPr>
        <w:t>43</w:t>
      </w:r>
    </w:p>
    <w:p>
      <w:pPr>
        <w:pStyle w:val="34"/>
        <w:tabs>
          <w:tab w:val="right" w:leader="dot" w:pos="9214"/>
        </w:tabs>
        <w:spacing w:line="700" w:lineRule="exact"/>
        <w:rPr>
          <w:rFonts w:hint="default" w:ascii="宋体" w:hAnsi="宋体" w:eastAsia="宋体" w:cs="宋体"/>
          <w:sz w:val="30"/>
          <w:szCs w:val="30"/>
          <w:highlight w:val="none"/>
          <w:lang w:val="en-US" w:eastAsia="zh-CN"/>
        </w:rPr>
      </w:pPr>
      <w:r>
        <w:rPr>
          <w:rFonts w:hint="eastAsia" w:ascii="宋体" w:hAnsi="宋体" w:cs="宋体"/>
          <w:sz w:val="30"/>
          <w:szCs w:val="30"/>
          <w:highlight w:val="none"/>
        </w:rPr>
        <w:fldChar w:fldCharType="begin"/>
      </w:r>
      <w:r>
        <w:rPr>
          <w:rFonts w:hint="eastAsia" w:ascii="宋体" w:hAnsi="宋体" w:cs="宋体"/>
          <w:sz w:val="30"/>
          <w:szCs w:val="30"/>
          <w:highlight w:val="none"/>
        </w:rPr>
        <w:instrText xml:space="preserve"> HYPERLINK \l "_Toc353197103" </w:instrText>
      </w:r>
      <w:r>
        <w:rPr>
          <w:rFonts w:hint="eastAsia" w:ascii="宋体" w:hAnsi="宋体" w:cs="宋体"/>
          <w:sz w:val="30"/>
          <w:szCs w:val="30"/>
          <w:highlight w:val="none"/>
        </w:rPr>
        <w:fldChar w:fldCharType="separate"/>
      </w:r>
      <w:r>
        <w:rPr>
          <w:rStyle w:val="54"/>
          <w:rFonts w:hint="eastAsia" w:ascii="宋体" w:hAnsi="宋体" w:cs="宋体"/>
          <w:color w:val="auto"/>
          <w:sz w:val="30"/>
          <w:szCs w:val="30"/>
          <w:highlight w:val="none"/>
        </w:rPr>
        <w:t>第五章 工程量清单</w:t>
      </w:r>
      <w:r>
        <w:rPr>
          <w:rFonts w:hint="eastAsia" w:ascii="宋体" w:hAnsi="宋体" w:cs="宋体"/>
          <w:sz w:val="30"/>
          <w:szCs w:val="30"/>
          <w:highlight w:val="none"/>
        </w:rPr>
        <w:tab/>
      </w:r>
      <w:r>
        <w:rPr>
          <w:rFonts w:hint="eastAsia" w:ascii="宋体" w:hAnsi="宋体" w:cs="宋体"/>
          <w:sz w:val="30"/>
          <w:szCs w:val="30"/>
          <w:highlight w:val="none"/>
        </w:rPr>
        <w:fldChar w:fldCharType="end"/>
      </w:r>
      <w:r>
        <w:rPr>
          <w:rFonts w:hint="eastAsia" w:ascii="宋体" w:hAnsi="宋体" w:cs="宋体"/>
          <w:sz w:val="30"/>
          <w:szCs w:val="30"/>
          <w:highlight w:val="none"/>
          <w:lang w:val="en-US" w:eastAsia="zh-CN"/>
        </w:rPr>
        <w:t>44</w:t>
      </w:r>
    </w:p>
    <w:p>
      <w:pPr>
        <w:pStyle w:val="34"/>
        <w:tabs>
          <w:tab w:val="right" w:leader="dot" w:pos="9214"/>
        </w:tabs>
        <w:spacing w:line="700" w:lineRule="exact"/>
        <w:rPr>
          <w:rFonts w:hint="eastAsia" w:ascii="宋体" w:hAnsi="宋体" w:eastAsia="宋体" w:cs="宋体"/>
          <w:sz w:val="30"/>
          <w:szCs w:val="30"/>
          <w:highlight w:val="none"/>
          <w:lang w:val="en-US" w:eastAsia="zh-CN"/>
        </w:rPr>
      </w:pPr>
      <w:r>
        <w:rPr>
          <w:rFonts w:hint="eastAsia" w:ascii="宋体" w:hAnsi="宋体" w:cs="宋体"/>
          <w:sz w:val="30"/>
          <w:szCs w:val="30"/>
          <w:highlight w:val="none"/>
        </w:rPr>
        <w:fldChar w:fldCharType="begin"/>
      </w:r>
      <w:r>
        <w:rPr>
          <w:rFonts w:hint="eastAsia" w:ascii="宋体" w:hAnsi="宋体" w:cs="宋体"/>
          <w:sz w:val="30"/>
          <w:szCs w:val="30"/>
          <w:highlight w:val="none"/>
        </w:rPr>
        <w:instrText xml:space="preserve"> HYPERLINK \l "_Toc353197103" </w:instrText>
      </w:r>
      <w:r>
        <w:rPr>
          <w:rFonts w:hint="eastAsia" w:ascii="宋体" w:hAnsi="宋体" w:cs="宋体"/>
          <w:sz w:val="30"/>
          <w:szCs w:val="30"/>
          <w:highlight w:val="none"/>
        </w:rPr>
        <w:fldChar w:fldCharType="separate"/>
      </w:r>
      <w:r>
        <w:rPr>
          <w:rStyle w:val="54"/>
          <w:rFonts w:hint="eastAsia" w:ascii="宋体" w:hAnsi="宋体" w:cs="宋体"/>
          <w:color w:val="auto"/>
          <w:sz w:val="30"/>
          <w:szCs w:val="30"/>
          <w:highlight w:val="none"/>
        </w:rPr>
        <w:t>第六章 技术标准和要求</w:t>
      </w:r>
      <w:r>
        <w:rPr>
          <w:rFonts w:hint="eastAsia" w:ascii="宋体" w:hAnsi="宋体" w:cs="宋体"/>
          <w:sz w:val="30"/>
          <w:szCs w:val="30"/>
          <w:highlight w:val="none"/>
        </w:rPr>
        <w:tab/>
      </w:r>
      <w:r>
        <w:rPr>
          <w:rFonts w:hint="eastAsia" w:ascii="宋体" w:hAnsi="宋体" w:cs="宋体"/>
          <w:sz w:val="30"/>
          <w:szCs w:val="30"/>
          <w:highlight w:val="none"/>
        </w:rPr>
        <w:fldChar w:fldCharType="end"/>
      </w:r>
      <w:r>
        <w:rPr>
          <w:rFonts w:hint="eastAsia" w:ascii="宋体" w:hAnsi="宋体" w:cs="宋体"/>
          <w:sz w:val="30"/>
          <w:szCs w:val="30"/>
          <w:highlight w:val="none"/>
          <w:lang w:val="en-US" w:eastAsia="zh-CN"/>
        </w:rPr>
        <w:t>45</w:t>
      </w:r>
    </w:p>
    <w:p>
      <w:pPr>
        <w:pStyle w:val="28"/>
        <w:tabs>
          <w:tab w:val="right" w:leader="dot" w:pos="9214"/>
        </w:tabs>
        <w:spacing w:line="700" w:lineRule="exact"/>
        <w:rPr>
          <w:rFonts w:hint="default" w:ascii="宋体" w:hAnsi="宋体" w:eastAsia="宋体" w:cs="宋体"/>
          <w:sz w:val="30"/>
          <w:szCs w:val="30"/>
          <w:highlight w:val="none"/>
          <w:lang w:val="en-US" w:eastAsia="zh-CN"/>
        </w:rPr>
      </w:pPr>
      <w:r>
        <w:rPr>
          <w:rFonts w:hint="eastAsia" w:ascii="宋体" w:hAnsi="宋体" w:cs="宋体"/>
          <w:sz w:val="30"/>
          <w:szCs w:val="30"/>
          <w:highlight w:val="none"/>
        </w:rPr>
        <w:fldChar w:fldCharType="begin"/>
      </w:r>
      <w:r>
        <w:rPr>
          <w:rFonts w:hint="eastAsia" w:ascii="宋体" w:hAnsi="宋体" w:cs="宋体"/>
          <w:sz w:val="30"/>
          <w:szCs w:val="30"/>
          <w:highlight w:val="none"/>
        </w:rPr>
        <w:instrText xml:space="preserve"> HYPERLINK \l "_Toc353197104" </w:instrText>
      </w:r>
      <w:r>
        <w:rPr>
          <w:rFonts w:hint="eastAsia" w:ascii="宋体" w:hAnsi="宋体" w:cs="宋体"/>
          <w:sz w:val="30"/>
          <w:szCs w:val="30"/>
          <w:highlight w:val="none"/>
        </w:rPr>
        <w:fldChar w:fldCharType="separate"/>
      </w:r>
      <w:r>
        <w:rPr>
          <w:rStyle w:val="54"/>
          <w:rFonts w:hint="eastAsia" w:ascii="宋体" w:hAnsi="宋体" w:cs="宋体"/>
          <w:snapToGrid w:val="0"/>
          <w:color w:val="auto"/>
          <w:spacing w:val="20"/>
          <w:w w:val="135"/>
          <w:kern w:val="0"/>
          <w:sz w:val="30"/>
          <w:szCs w:val="30"/>
          <w:highlight w:val="none"/>
        </w:rPr>
        <w:t>第 三 卷</w:t>
      </w:r>
      <w:r>
        <w:rPr>
          <w:rFonts w:hint="eastAsia" w:ascii="宋体" w:hAnsi="宋体" w:cs="宋体"/>
          <w:sz w:val="30"/>
          <w:szCs w:val="30"/>
          <w:highlight w:val="none"/>
        </w:rPr>
        <w:tab/>
      </w:r>
      <w:r>
        <w:rPr>
          <w:rFonts w:hint="eastAsia" w:ascii="宋体" w:hAnsi="宋体" w:cs="宋体"/>
          <w:sz w:val="30"/>
          <w:szCs w:val="30"/>
          <w:highlight w:val="none"/>
        </w:rPr>
        <w:fldChar w:fldCharType="end"/>
      </w:r>
      <w:r>
        <w:rPr>
          <w:rFonts w:hint="eastAsia" w:ascii="宋体" w:hAnsi="宋体" w:cs="宋体"/>
          <w:sz w:val="30"/>
          <w:szCs w:val="30"/>
          <w:highlight w:val="none"/>
          <w:lang w:val="en-US" w:eastAsia="zh-CN"/>
        </w:rPr>
        <w:t>46</w:t>
      </w:r>
    </w:p>
    <w:p>
      <w:pPr>
        <w:pStyle w:val="34"/>
        <w:tabs>
          <w:tab w:val="right" w:leader="dot" w:pos="9214"/>
        </w:tabs>
        <w:spacing w:line="700" w:lineRule="exact"/>
        <w:rPr>
          <w:rFonts w:hint="default" w:ascii="Garamond" w:hAnsi="Garamond" w:eastAsia="宋体"/>
          <w:szCs w:val="22"/>
          <w:highlight w:val="none"/>
          <w:lang w:val="en-US" w:eastAsia="zh-CN"/>
        </w:rPr>
      </w:pPr>
      <w:r>
        <w:rPr>
          <w:rFonts w:hint="eastAsia" w:ascii="宋体" w:hAnsi="宋体" w:cs="宋体"/>
          <w:sz w:val="30"/>
          <w:szCs w:val="30"/>
          <w:highlight w:val="none"/>
        </w:rPr>
        <w:fldChar w:fldCharType="begin"/>
      </w:r>
      <w:r>
        <w:rPr>
          <w:rFonts w:hint="eastAsia" w:ascii="宋体" w:hAnsi="宋体" w:cs="宋体"/>
          <w:sz w:val="30"/>
          <w:szCs w:val="30"/>
          <w:highlight w:val="none"/>
        </w:rPr>
        <w:instrText xml:space="preserve"> HYPERLINK \l "_Toc353197105" </w:instrText>
      </w:r>
      <w:r>
        <w:rPr>
          <w:rFonts w:hint="eastAsia" w:ascii="宋体" w:hAnsi="宋体" w:cs="宋体"/>
          <w:sz w:val="30"/>
          <w:szCs w:val="30"/>
          <w:highlight w:val="none"/>
        </w:rPr>
        <w:fldChar w:fldCharType="separate"/>
      </w:r>
      <w:r>
        <w:rPr>
          <w:rStyle w:val="54"/>
          <w:rFonts w:hint="eastAsia" w:ascii="宋体" w:hAnsi="宋体" w:cs="宋体"/>
          <w:color w:val="auto"/>
          <w:sz w:val="30"/>
          <w:szCs w:val="30"/>
          <w:highlight w:val="none"/>
        </w:rPr>
        <w:t>第七章 投标文件格式</w:t>
      </w:r>
      <w:r>
        <w:rPr>
          <w:rFonts w:hint="eastAsia" w:ascii="宋体" w:hAnsi="宋体" w:cs="宋体"/>
          <w:sz w:val="30"/>
          <w:szCs w:val="30"/>
          <w:highlight w:val="none"/>
        </w:rPr>
        <w:tab/>
      </w:r>
      <w:r>
        <w:rPr>
          <w:rFonts w:hint="eastAsia" w:ascii="宋体" w:hAnsi="宋体" w:cs="宋体"/>
          <w:sz w:val="30"/>
          <w:szCs w:val="30"/>
          <w:highlight w:val="none"/>
        </w:rPr>
        <w:fldChar w:fldCharType="end"/>
      </w:r>
      <w:r>
        <w:rPr>
          <w:rFonts w:hint="eastAsia" w:ascii="宋体" w:hAnsi="宋体" w:cs="宋体"/>
          <w:sz w:val="30"/>
          <w:szCs w:val="30"/>
          <w:highlight w:val="none"/>
          <w:lang w:val="en-US" w:eastAsia="zh-CN"/>
        </w:rPr>
        <w:t>47</w:t>
      </w:r>
    </w:p>
    <w:p>
      <w:pPr>
        <w:pStyle w:val="34"/>
        <w:tabs>
          <w:tab w:val="right" w:leader="dot" w:pos="8810"/>
        </w:tabs>
        <w:rPr>
          <w:rFonts w:ascii="Garamond" w:hAnsi="Garamond"/>
          <w:szCs w:val="22"/>
          <w:highlight w:val="none"/>
        </w:rPr>
      </w:pPr>
    </w:p>
    <w:p>
      <w:pPr>
        <w:spacing w:line="400" w:lineRule="exact"/>
        <w:jc w:val="center"/>
        <w:rPr>
          <w:rFonts w:ascii="Garamond" w:hAnsi="Garamond"/>
          <w:sz w:val="24"/>
          <w:highlight w:val="none"/>
        </w:rPr>
      </w:pPr>
      <w:r>
        <w:rPr>
          <w:rFonts w:ascii="Garamond" w:hAnsi="Garamond"/>
          <w:sz w:val="28"/>
          <w:szCs w:val="28"/>
          <w:highlight w:val="none"/>
        </w:rPr>
        <w:fldChar w:fldCharType="end"/>
      </w:r>
    </w:p>
    <w:p>
      <w:pPr>
        <w:spacing w:line="400" w:lineRule="exact"/>
        <w:rPr>
          <w:rFonts w:ascii="Garamond" w:hAnsi="Garamond"/>
          <w:sz w:val="24"/>
          <w:highlight w:val="none"/>
        </w:rPr>
      </w:pPr>
    </w:p>
    <w:p>
      <w:pPr>
        <w:spacing w:line="400" w:lineRule="exact"/>
        <w:rPr>
          <w:rFonts w:ascii="Garamond" w:hAnsi="Garamond"/>
          <w:sz w:val="24"/>
          <w:highlight w:val="none"/>
        </w:rPr>
      </w:pPr>
    </w:p>
    <w:p>
      <w:pPr>
        <w:spacing w:line="400" w:lineRule="exact"/>
        <w:rPr>
          <w:rFonts w:ascii="Garamond" w:hAnsi="Garamond"/>
          <w:sz w:val="24"/>
          <w:highlight w:val="none"/>
        </w:rPr>
      </w:pPr>
    </w:p>
    <w:p>
      <w:pPr>
        <w:spacing w:line="400" w:lineRule="exact"/>
        <w:rPr>
          <w:rFonts w:ascii="Garamond" w:hAnsi="Garamond"/>
          <w:sz w:val="24"/>
          <w:highlight w:val="none"/>
        </w:rPr>
      </w:pPr>
    </w:p>
    <w:p>
      <w:pPr>
        <w:spacing w:line="400" w:lineRule="exact"/>
        <w:rPr>
          <w:rFonts w:ascii="Garamond" w:hAnsi="Garamond"/>
          <w:sz w:val="24"/>
          <w:highlight w:val="none"/>
        </w:rPr>
      </w:pPr>
    </w:p>
    <w:p>
      <w:pPr>
        <w:spacing w:line="400" w:lineRule="exact"/>
        <w:rPr>
          <w:rFonts w:ascii="Garamond" w:hAnsi="Garamond"/>
          <w:sz w:val="24"/>
          <w:highlight w:val="none"/>
        </w:rPr>
      </w:pPr>
    </w:p>
    <w:p>
      <w:pPr>
        <w:spacing w:line="400" w:lineRule="exact"/>
        <w:rPr>
          <w:rFonts w:ascii="Garamond" w:hAnsi="Garamond"/>
          <w:sz w:val="24"/>
          <w:highlight w:val="none"/>
        </w:rPr>
      </w:pPr>
    </w:p>
    <w:p>
      <w:pPr>
        <w:spacing w:line="400" w:lineRule="exact"/>
        <w:rPr>
          <w:rFonts w:ascii="Garamond" w:hAnsi="Garamond"/>
          <w:sz w:val="24"/>
          <w:highlight w:val="none"/>
        </w:rPr>
      </w:pPr>
    </w:p>
    <w:p>
      <w:pPr>
        <w:spacing w:line="400" w:lineRule="exact"/>
        <w:rPr>
          <w:rFonts w:ascii="Garamond" w:hAnsi="Garamond"/>
          <w:sz w:val="24"/>
          <w:highlight w:val="none"/>
        </w:rPr>
        <w:sectPr>
          <w:pgSz w:w="11906" w:h="16838"/>
          <w:pgMar w:top="1418" w:right="1247" w:bottom="1418" w:left="1418" w:header="851" w:footer="680" w:gutter="0"/>
          <w:cols w:space="720" w:num="1"/>
          <w:docGrid w:linePitch="312" w:charSpace="0"/>
        </w:sectPr>
      </w:pPr>
    </w:p>
    <w:p>
      <w:pPr>
        <w:spacing w:line="400" w:lineRule="exact"/>
        <w:rPr>
          <w:rFonts w:ascii="Garamond" w:hAnsi="Garamond"/>
          <w:sz w:val="24"/>
          <w:highlight w:val="none"/>
        </w:rPr>
      </w:pPr>
    </w:p>
    <w:p>
      <w:pPr>
        <w:spacing w:line="340" w:lineRule="exact"/>
        <w:jc w:val="right"/>
        <w:rPr>
          <w:rFonts w:ascii="Garamond" w:hAnsi="Garamond"/>
          <w:sz w:val="24"/>
          <w:highlight w:val="none"/>
        </w:rPr>
      </w:pPr>
    </w:p>
    <w:p>
      <w:pPr>
        <w:spacing w:line="340" w:lineRule="exact"/>
        <w:jc w:val="right"/>
        <w:rPr>
          <w:rFonts w:ascii="Garamond" w:hAnsi="Garamond"/>
          <w:sz w:val="24"/>
          <w:highlight w:val="none"/>
        </w:rPr>
      </w:pPr>
    </w:p>
    <w:p>
      <w:pPr>
        <w:spacing w:line="340" w:lineRule="exact"/>
        <w:jc w:val="right"/>
        <w:rPr>
          <w:rFonts w:ascii="Garamond" w:hAnsi="Garamond"/>
          <w:sz w:val="24"/>
          <w:highlight w:val="none"/>
        </w:rPr>
      </w:pPr>
    </w:p>
    <w:p>
      <w:pPr>
        <w:spacing w:line="340" w:lineRule="exact"/>
        <w:jc w:val="right"/>
        <w:rPr>
          <w:rFonts w:ascii="Garamond" w:hAnsi="Garamond"/>
          <w:sz w:val="24"/>
          <w:highlight w:val="none"/>
        </w:rPr>
      </w:pPr>
    </w:p>
    <w:p>
      <w:pPr>
        <w:spacing w:line="340" w:lineRule="exact"/>
        <w:jc w:val="right"/>
        <w:rPr>
          <w:rFonts w:ascii="Garamond" w:hAnsi="Garamond"/>
          <w:sz w:val="24"/>
          <w:highlight w:val="none"/>
        </w:rPr>
      </w:pPr>
    </w:p>
    <w:p>
      <w:pPr>
        <w:spacing w:line="340" w:lineRule="exact"/>
        <w:jc w:val="right"/>
        <w:rPr>
          <w:rFonts w:ascii="Garamond" w:hAnsi="Garamond"/>
          <w:sz w:val="24"/>
          <w:highlight w:val="none"/>
        </w:rPr>
      </w:pPr>
    </w:p>
    <w:p>
      <w:pPr>
        <w:spacing w:line="340" w:lineRule="exact"/>
        <w:jc w:val="right"/>
        <w:rPr>
          <w:rFonts w:ascii="Garamond" w:hAnsi="Garamond"/>
          <w:sz w:val="24"/>
          <w:highlight w:val="none"/>
        </w:rPr>
      </w:pPr>
    </w:p>
    <w:p>
      <w:pPr>
        <w:spacing w:line="340" w:lineRule="exact"/>
        <w:jc w:val="right"/>
        <w:rPr>
          <w:rFonts w:ascii="Garamond" w:hAnsi="Garamond"/>
          <w:sz w:val="24"/>
          <w:highlight w:val="none"/>
        </w:rPr>
      </w:pPr>
    </w:p>
    <w:p>
      <w:pPr>
        <w:pStyle w:val="16"/>
        <w:rPr>
          <w:rFonts w:ascii="Garamond" w:hAnsi="Garamond"/>
          <w:sz w:val="24"/>
          <w:highlight w:val="none"/>
        </w:rPr>
      </w:pPr>
    </w:p>
    <w:p>
      <w:pPr>
        <w:rPr>
          <w:rFonts w:ascii="Garamond" w:hAnsi="Garamond"/>
          <w:sz w:val="24"/>
          <w:highlight w:val="none"/>
        </w:rPr>
      </w:pPr>
    </w:p>
    <w:p>
      <w:pPr>
        <w:pStyle w:val="16"/>
        <w:rPr>
          <w:rFonts w:ascii="Garamond" w:hAnsi="Garamond"/>
          <w:sz w:val="24"/>
          <w:highlight w:val="none"/>
        </w:rPr>
      </w:pPr>
    </w:p>
    <w:p>
      <w:pPr>
        <w:rPr>
          <w:rFonts w:ascii="Garamond" w:hAnsi="Garamond"/>
          <w:sz w:val="24"/>
          <w:highlight w:val="none"/>
        </w:rPr>
      </w:pPr>
    </w:p>
    <w:p>
      <w:pPr>
        <w:pStyle w:val="16"/>
        <w:rPr>
          <w:rFonts w:ascii="Garamond" w:hAnsi="Garamond"/>
          <w:sz w:val="24"/>
          <w:highlight w:val="none"/>
        </w:rPr>
      </w:pPr>
    </w:p>
    <w:p>
      <w:pPr>
        <w:rPr>
          <w:highlight w:val="none"/>
        </w:rPr>
      </w:pPr>
    </w:p>
    <w:p>
      <w:pPr>
        <w:spacing w:line="340" w:lineRule="exact"/>
        <w:jc w:val="right"/>
        <w:rPr>
          <w:rFonts w:ascii="Garamond" w:hAnsi="Garamond"/>
          <w:sz w:val="24"/>
          <w:highlight w:val="none"/>
        </w:rPr>
      </w:pPr>
    </w:p>
    <w:p>
      <w:pPr>
        <w:spacing w:line="740" w:lineRule="exact"/>
        <w:jc w:val="center"/>
        <w:outlineLvl w:val="0"/>
        <w:rPr>
          <w:rFonts w:ascii="Garamond" w:hAnsi="Garamond"/>
          <w:b/>
          <w:sz w:val="72"/>
          <w:szCs w:val="72"/>
          <w:highlight w:val="none"/>
        </w:rPr>
      </w:pPr>
      <w:r>
        <w:rPr>
          <w:rFonts w:ascii="Garamond" w:hAnsi="Garamond"/>
          <w:b/>
          <w:sz w:val="72"/>
          <w:szCs w:val="72"/>
          <w:highlight w:val="none"/>
        </w:rPr>
        <w:tab/>
      </w:r>
      <w:bookmarkStart w:id="12" w:name="_Toc353197071"/>
      <w:r>
        <w:rPr>
          <w:rFonts w:ascii="Garamond" w:hAnsi="Garamond"/>
          <w:b/>
          <w:snapToGrid w:val="0"/>
          <w:kern w:val="0"/>
          <w:sz w:val="72"/>
          <w:szCs w:val="72"/>
          <w:highlight w:val="none"/>
        </w:rPr>
        <w:t>第 一 卷</w:t>
      </w:r>
      <w:bookmarkEnd w:id="12"/>
      <w:r>
        <w:rPr>
          <w:rFonts w:ascii="Garamond" w:hAnsi="Garamond"/>
          <w:b/>
          <w:sz w:val="72"/>
          <w:szCs w:val="72"/>
          <w:highlight w:val="none"/>
        </w:rPr>
        <w:tab/>
      </w:r>
    </w:p>
    <w:p>
      <w:pPr>
        <w:spacing w:line="340" w:lineRule="exact"/>
        <w:jc w:val="right"/>
        <w:rPr>
          <w:rFonts w:ascii="Garamond" w:hAnsi="Garamond"/>
          <w:sz w:val="24"/>
          <w:highlight w:val="none"/>
        </w:rPr>
      </w:pPr>
    </w:p>
    <w:p>
      <w:pPr>
        <w:spacing w:line="340" w:lineRule="exact"/>
        <w:jc w:val="right"/>
        <w:rPr>
          <w:rFonts w:ascii="Garamond" w:hAnsi="Garamond"/>
          <w:sz w:val="24"/>
          <w:highlight w:val="none"/>
        </w:rPr>
      </w:pPr>
    </w:p>
    <w:p>
      <w:pPr>
        <w:spacing w:line="340" w:lineRule="exact"/>
        <w:jc w:val="right"/>
        <w:rPr>
          <w:rFonts w:ascii="Garamond" w:hAnsi="Garamond"/>
          <w:sz w:val="24"/>
          <w:highlight w:val="none"/>
        </w:rPr>
      </w:pPr>
    </w:p>
    <w:p>
      <w:pPr>
        <w:spacing w:line="340" w:lineRule="exact"/>
        <w:jc w:val="right"/>
        <w:rPr>
          <w:rFonts w:ascii="Garamond" w:hAnsi="Garamond"/>
          <w:sz w:val="24"/>
          <w:highlight w:val="none"/>
        </w:rPr>
      </w:pPr>
    </w:p>
    <w:p>
      <w:pPr>
        <w:spacing w:line="340" w:lineRule="exact"/>
        <w:jc w:val="right"/>
        <w:rPr>
          <w:rFonts w:ascii="Garamond" w:hAnsi="Garamond"/>
          <w:sz w:val="24"/>
          <w:highlight w:val="none"/>
        </w:rPr>
      </w:pPr>
    </w:p>
    <w:p>
      <w:pPr>
        <w:spacing w:line="340" w:lineRule="exact"/>
        <w:jc w:val="right"/>
        <w:rPr>
          <w:rFonts w:ascii="Garamond" w:hAnsi="Garamond"/>
          <w:sz w:val="24"/>
          <w:highlight w:val="none"/>
        </w:rPr>
      </w:pPr>
    </w:p>
    <w:p>
      <w:pPr>
        <w:spacing w:line="340" w:lineRule="exact"/>
        <w:jc w:val="right"/>
        <w:rPr>
          <w:rFonts w:ascii="Garamond" w:hAnsi="Garamond"/>
          <w:sz w:val="24"/>
          <w:highlight w:val="none"/>
        </w:rPr>
      </w:pPr>
    </w:p>
    <w:p>
      <w:pPr>
        <w:spacing w:line="340" w:lineRule="exact"/>
        <w:jc w:val="right"/>
        <w:rPr>
          <w:rFonts w:ascii="Garamond" w:hAnsi="Garamond"/>
          <w:sz w:val="24"/>
          <w:highlight w:val="none"/>
        </w:rPr>
      </w:pPr>
    </w:p>
    <w:p>
      <w:pPr>
        <w:spacing w:line="340" w:lineRule="exact"/>
        <w:jc w:val="right"/>
        <w:rPr>
          <w:rFonts w:ascii="Garamond" w:hAnsi="Garamond"/>
          <w:sz w:val="24"/>
          <w:highlight w:val="none"/>
        </w:rPr>
      </w:pPr>
    </w:p>
    <w:p>
      <w:pPr>
        <w:spacing w:line="340" w:lineRule="exact"/>
        <w:jc w:val="right"/>
        <w:rPr>
          <w:rFonts w:ascii="Garamond" w:hAnsi="Garamond"/>
          <w:sz w:val="24"/>
          <w:highlight w:val="none"/>
        </w:rPr>
      </w:pPr>
    </w:p>
    <w:p>
      <w:pPr>
        <w:spacing w:line="340" w:lineRule="exact"/>
        <w:jc w:val="right"/>
        <w:rPr>
          <w:rFonts w:ascii="Garamond" w:hAnsi="Garamond"/>
          <w:sz w:val="24"/>
          <w:highlight w:val="none"/>
        </w:rPr>
      </w:pPr>
    </w:p>
    <w:p>
      <w:pPr>
        <w:spacing w:line="340" w:lineRule="exact"/>
        <w:jc w:val="right"/>
        <w:rPr>
          <w:rFonts w:ascii="Garamond" w:hAnsi="Garamond"/>
          <w:sz w:val="24"/>
          <w:highlight w:val="none"/>
        </w:rPr>
      </w:pPr>
    </w:p>
    <w:p>
      <w:pPr>
        <w:spacing w:line="340" w:lineRule="exact"/>
        <w:jc w:val="right"/>
        <w:rPr>
          <w:rFonts w:ascii="Garamond" w:hAnsi="Garamond"/>
          <w:sz w:val="24"/>
          <w:highlight w:val="none"/>
        </w:rPr>
      </w:pPr>
    </w:p>
    <w:p>
      <w:pPr>
        <w:spacing w:after="120" w:line="338" w:lineRule="auto"/>
        <w:ind w:firstLine="2371" w:firstLineChars="494"/>
        <w:rPr>
          <w:rFonts w:ascii="Garamond" w:hAnsi="Garamond"/>
          <w:sz w:val="48"/>
          <w:szCs w:val="48"/>
          <w:highlight w:val="none"/>
        </w:rPr>
      </w:pPr>
      <w:bookmarkStart w:id="13" w:name="_Toc353197072"/>
      <w:r>
        <w:rPr>
          <w:rFonts w:ascii="Garamond" w:hAnsi="Garamond"/>
          <w:sz w:val="48"/>
          <w:szCs w:val="48"/>
          <w:highlight w:val="none"/>
        </w:rPr>
        <w:br w:type="page"/>
      </w:r>
    </w:p>
    <w:p>
      <w:pPr>
        <w:pStyle w:val="2"/>
        <w:spacing w:after="120" w:line="338" w:lineRule="auto"/>
        <w:ind w:firstLine="2380" w:firstLineChars="494"/>
        <w:rPr>
          <w:rFonts w:ascii="Garamond" w:hAnsi="Garamond"/>
          <w:sz w:val="48"/>
          <w:szCs w:val="48"/>
          <w:highlight w:val="none"/>
        </w:rPr>
      </w:pPr>
      <w:r>
        <w:rPr>
          <w:rFonts w:ascii="Garamond" w:hAnsi="Garamond"/>
          <w:sz w:val="48"/>
          <w:szCs w:val="48"/>
          <w:highlight w:val="none"/>
        </w:rPr>
        <w:t>第一章  招标公告</w:t>
      </w:r>
      <w:bookmarkEnd w:id="13"/>
    </w:p>
    <w:bookmarkEnd w:id="2"/>
    <w:bookmarkEnd w:id="3"/>
    <w:p>
      <w:pPr>
        <w:spacing w:line="360" w:lineRule="auto"/>
        <w:jc w:val="center"/>
        <w:rPr>
          <w:rFonts w:ascii="Garamond" w:hAnsi="Garamond"/>
          <w:b/>
          <w:snapToGrid w:val="0"/>
          <w:spacing w:val="-2"/>
          <w:kern w:val="0"/>
          <w:sz w:val="28"/>
          <w:szCs w:val="28"/>
          <w:highlight w:val="none"/>
        </w:rPr>
      </w:pPr>
      <w:r>
        <w:rPr>
          <w:rFonts w:hint="eastAsia" w:ascii="Garamond" w:hAnsi="Garamond"/>
          <w:b/>
          <w:snapToGrid w:val="0"/>
          <w:spacing w:val="-2"/>
          <w:kern w:val="0"/>
          <w:sz w:val="28"/>
          <w:szCs w:val="28"/>
          <w:highlight w:val="none"/>
        </w:rPr>
        <w:t>2024年南通市农村公路路面技术状况自动化检评数据市级抽核项目</w:t>
      </w:r>
    </w:p>
    <w:p>
      <w:pPr>
        <w:spacing w:line="360" w:lineRule="auto"/>
        <w:jc w:val="center"/>
        <w:rPr>
          <w:rFonts w:ascii="Garamond" w:hAnsi="Garamond"/>
          <w:b/>
          <w:sz w:val="28"/>
          <w:szCs w:val="28"/>
          <w:highlight w:val="none"/>
        </w:rPr>
      </w:pPr>
      <w:r>
        <w:rPr>
          <w:rFonts w:ascii="Garamond" w:hAnsi="Garamond"/>
          <w:b/>
          <w:sz w:val="28"/>
          <w:szCs w:val="28"/>
          <w:highlight w:val="none"/>
        </w:rPr>
        <w:t>招标公告</w:t>
      </w:r>
    </w:p>
    <w:p>
      <w:pPr>
        <w:tabs>
          <w:tab w:val="left" w:pos="3240"/>
        </w:tabs>
        <w:adjustRightInd w:val="0"/>
        <w:snapToGrid w:val="0"/>
        <w:spacing w:line="360" w:lineRule="auto"/>
        <w:rPr>
          <w:rFonts w:ascii="Garamond" w:hAnsi="Garamond"/>
          <w:b/>
          <w:sz w:val="24"/>
          <w:highlight w:val="none"/>
        </w:rPr>
      </w:pPr>
      <w:r>
        <w:rPr>
          <w:rFonts w:hint="eastAsia" w:ascii="Garamond" w:hAnsi="Garamond"/>
          <w:b/>
          <w:sz w:val="24"/>
          <w:highlight w:val="none"/>
        </w:rPr>
        <w:t>一、</w:t>
      </w:r>
      <w:r>
        <w:rPr>
          <w:rFonts w:ascii="Garamond" w:hAnsi="Garamond"/>
          <w:b/>
          <w:sz w:val="24"/>
          <w:highlight w:val="none"/>
        </w:rPr>
        <w:t>招标条件</w:t>
      </w:r>
    </w:p>
    <w:p>
      <w:pPr>
        <w:widowControl/>
        <w:topLinePunct/>
        <w:adjustRightInd w:val="0"/>
        <w:snapToGrid w:val="0"/>
        <w:spacing w:line="360" w:lineRule="auto"/>
        <w:ind w:firstLine="420" w:firstLineChars="200"/>
        <w:rPr>
          <w:rFonts w:ascii="Garamond" w:hAnsi="Garamond"/>
          <w:highlight w:val="none"/>
        </w:rPr>
      </w:pPr>
      <w:r>
        <w:rPr>
          <w:rFonts w:hint="eastAsia" w:ascii="Garamond" w:hAnsi="Garamond"/>
          <w:highlight w:val="none"/>
          <w:u w:val="single"/>
        </w:rPr>
        <w:t>2024年南通市农村公路路面技术状况自动化检评数据市级抽核项目</w:t>
      </w:r>
      <w:r>
        <w:rPr>
          <w:rFonts w:ascii="Garamond" w:hAnsi="Garamond"/>
          <w:highlight w:val="none"/>
        </w:rPr>
        <w:t>已由</w:t>
      </w:r>
      <w:r>
        <w:rPr>
          <w:rFonts w:ascii="Garamond" w:hAnsi="Garamond"/>
          <w:highlight w:val="none"/>
          <w:u w:val="single"/>
        </w:rPr>
        <w:t>江苏省交通运输厅</w:t>
      </w:r>
      <w:r>
        <w:rPr>
          <w:rFonts w:hint="eastAsia" w:ascii="宋体" w:hAnsi="宋体" w:cs="宋体"/>
          <w:highlight w:val="none"/>
        </w:rPr>
        <w:t>以</w:t>
      </w:r>
      <w:r>
        <w:rPr>
          <w:rFonts w:hint="eastAsia" w:ascii="Garamond" w:hAnsi="Garamond" w:eastAsia="宋体"/>
          <w:color w:val="auto"/>
          <w:kern w:val="2"/>
          <w:sz w:val="21"/>
          <w:szCs w:val="21"/>
          <w:highlight w:val="none"/>
          <w:u w:val="single"/>
        </w:rPr>
        <w:t>苏交公路函〔</w:t>
      </w:r>
      <w:r>
        <w:rPr>
          <w:rFonts w:ascii="Garamond" w:hAnsi="Garamond" w:eastAsia="宋体"/>
          <w:color w:val="auto"/>
          <w:kern w:val="2"/>
          <w:sz w:val="21"/>
          <w:szCs w:val="21"/>
          <w:highlight w:val="none"/>
          <w:u w:val="single"/>
        </w:rPr>
        <w:t>2024</w:t>
      </w:r>
      <w:r>
        <w:rPr>
          <w:rFonts w:hint="eastAsia" w:ascii="Garamond" w:hAnsi="Garamond" w:eastAsia="宋体"/>
          <w:color w:val="auto"/>
          <w:kern w:val="2"/>
          <w:sz w:val="21"/>
          <w:szCs w:val="21"/>
          <w:highlight w:val="none"/>
          <w:u w:val="single"/>
        </w:rPr>
        <w:t>〕</w:t>
      </w:r>
      <w:r>
        <w:rPr>
          <w:rFonts w:ascii="Garamond" w:hAnsi="Garamond" w:eastAsia="宋体"/>
          <w:color w:val="auto"/>
          <w:kern w:val="2"/>
          <w:sz w:val="21"/>
          <w:szCs w:val="21"/>
          <w:highlight w:val="none"/>
          <w:u w:val="single"/>
        </w:rPr>
        <w:t>10</w:t>
      </w:r>
      <w:r>
        <w:rPr>
          <w:rFonts w:hint="eastAsia" w:ascii="Garamond" w:hAnsi="Garamond" w:eastAsia="宋体"/>
          <w:color w:val="auto"/>
          <w:kern w:val="2"/>
          <w:sz w:val="21"/>
          <w:szCs w:val="21"/>
          <w:highlight w:val="none"/>
          <w:u w:val="single"/>
        </w:rPr>
        <w:t>号</w:t>
      </w:r>
      <w:r>
        <w:rPr>
          <w:rFonts w:hint="eastAsia" w:ascii="Garamond" w:hAnsi="Garamond"/>
          <w:szCs w:val="21"/>
          <w:highlight w:val="none"/>
          <w:u w:val="single"/>
        </w:rPr>
        <w:t>批</w:t>
      </w:r>
      <w:r>
        <w:rPr>
          <w:rFonts w:ascii="Garamond" w:hAnsi="Garamond"/>
          <w:highlight w:val="none"/>
        </w:rPr>
        <w:t>准实施，项目资金已落实</w:t>
      </w:r>
      <w:r>
        <w:rPr>
          <w:rFonts w:ascii="Garamond" w:hAnsi="Garamond"/>
          <w:szCs w:val="21"/>
          <w:highlight w:val="none"/>
        </w:rPr>
        <w:t>，项目委托人为</w:t>
      </w:r>
      <w:r>
        <w:rPr>
          <w:rFonts w:ascii="Garamond" w:hAnsi="Garamond"/>
          <w:highlight w:val="none"/>
          <w:u w:val="single"/>
        </w:rPr>
        <w:t>南通市公路事业发展中心</w:t>
      </w:r>
      <w:r>
        <w:rPr>
          <w:rFonts w:ascii="Garamond" w:hAnsi="Garamond"/>
          <w:highlight w:val="none"/>
        </w:rPr>
        <w:t>，建设资金来自</w:t>
      </w:r>
      <w:r>
        <w:rPr>
          <w:rFonts w:ascii="Garamond" w:hAnsi="Garamond"/>
          <w:highlight w:val="none"/>
          <w:u w:val="single"/>
        </w:rPr>
        <w:t>江苏省交通养护专项资金</w:t>
      </w:r>
      <w:r>
        <w:rPr>
          <w:rFonts w:ascii="Garamond" w:hAnsi="Garamond"/>
          <w:highlight w:val="none"/>
        </w:rPr>
        <w:t>，</w:t>
      </w:r>
      <w:r>
        <w:rPr>
          <w:rFonts w:ascii="Garamond" w:hAnsi="Garamond"/>
          <w:szCs w:val="21"/>
          <w:highlight w:val="none"/>
        </w:rPr>
        <w:t>招标人为</w:t>
      </w:r>
      <w:r>
        <w:rPr>
          <w:rFonts w:ascii="Garamond" w:hAnsi="Garamond"/>
          <w:szCs w:val="21"/>
          <w:highlight w:val="none"/>
          <w:u w:val="single"/>
        </w:rPr>
        <w:t>南通市公路事业发展中心</w:t>
      </w:r>
      <w:r>
        <w:rPr>
          <w:rFonts w:ascii="Garamond" w:hAnsi="Garamond"/>
          <w:szCs w:val="21"/>
          <w:highlight w:val="none"/>
        </w:rPr>
        <w:t>，招标代理为</w:t>
      </w:r>
      <w:r>
        <w:rPr>
          <w:rFonts w:hint="eastAsia" w:ascii="Garamond" w:hAnsi="Garamond"/>
          <w:szCs w:val="21"/>
          <w:highlight w:val="none"/>
          <w:u w:val="single"/>
        </w:rPr>
        <w:t>江苏睿致诚工程咨询有限公司</w:t>
      </w:r>
      <w:r>
        <w:rPr>
          <w:rFonts w:ascii="Garamond" w:hAnsi="Garamond"/>
          <w:szCs w:val="21"/>
          <w:highlight w:val="none"/>
        </w:rPr>
        <w:t>。</w:t>
      </w:r>
      <w:r>
        <w:rPr>
          <w:rFonts w:ascii="Garamond" w:hAnsi="Garamond"/>
          <w:highlight w:val="none"/>
        </w:rPr>
        <w:t>项目已具备招标条件，现对该项目进行招标。</w:t>
      </w:r>
      <w:r>
        <w:rPr>
          <w:rFonts w:ascii="Garamond" w:hAnsi="Garamond"/>
          <w:szCs w:val="21"/>
          <w:highlight w:val="none"/>
        </w:rPr>
        <w:t>本项目采用资格后审方式。</w:t>
      </w:r>
    </w:p>
    <w:p>
      <w:pPr>
        <w:tabs>
          <w:tab w:val="left" w:pos="3240"/>
        </w:tabs>
        <w:adjustRightInd w:val="0"/>
        <w:snapToGrid w:val="0"/>
        <w:spacing w:line="360" w:lineRule="auto"/>
        <w:rPr>
          <w:rFonts w:ascii="Garamond" w:hAnsi="Garamond"/>
          <w:b/>
          <w:sz w:val="24"/>
          <w:highlight w:val="none"/>
        </w:rPr>
      </w:pPr>
      <w:r>
        <w:rPr>
          <w:rFonts w:hint="eastAsia" w:ascii="Garamond" w:hAnsi="Garamond"/>
          <w:b/>
          <w:sz w:val="24"/>
          <w:highlight w:val="none"/>
        </w:rPr>
        <w:t>二、</w:t>
      </w:r>
      <w:r>
        <w:rPr>
          <w:rFonts w:ascii="Garamond" w:hAnsi="Garamond"/>
          <w:b/>
          <w:sz w:val="24"/>
          <w:highlight w:val="none"/>
        </w:rPr>
        <w:t>项目概况与招标范围</w:t>
      </w:r>
    </w:p>
    <w:p>
      <w:pPr>
        <w:adjustRightInd w:val="0"/>
        <w:snapToGrid w:val="0"/>
        <w:spacing w:line="360" w:lineRule="auto"/>
        <w:ind w:firstLine="420" w:firstLineChars="200"/>
        <w:rPr>
          <w:rFonts w:ascii="Garamond" w:hAnsi="Garamond"/>
          <w:szCs w:val="21"/>
          <w:highlight w:val="none"/>
        </w:rPr>
      </w:pPr>
      <w:r>
        <w:rPr>
          <w:rFonts w:hint="eastAsia" w:ascii="Garamond" w:hAnsi="Garamond"/>
          <w:szCs w:val="21"/>
          <w:highlight w:val="none"/>
        </w:rPr>
        <w:t>1</w:t>
      </w:r>
      <w:r>
        <w:rPr>
          <w:rFonts w:ascii="Garamond" w:hAnsi="Garamond"/>
          <w:szCs w:val="21"/>
          <w:highlight w:val="none"/>
        </w:rPr>
        <w:t>、项目概况</w:t>
      </w:r>
    </w:p>
    <w:p>
      <w:pPr>
        <w:adjustRightInd w:val="0"/>
        <w:snapToGrid w:val="0"/>
        <w:spacing w:line="360" w:lineRule="auto"/>
        <w:ind w:firstLine="420" w:firstLineChars="200"/>
        <w:rPr>
          <w:rFonts w:ascii="宋体" w:hAnsi="宋体" w:cs="宋体"/>
          <w:szCs w:val="21"/>
          <w:highlight w:val="none"/>
        </w:rPr>
      </w:pPr>
      <w:r>
        <w:rPr>
          <w:rFonts w:hint="eastAsia" w:ascii="宋体" w:hAnsi="宋体" w:cs="宋体"/>
          <w:szCs w:val="21"/>
          <w:highlight w:val="none"/>
        </w:rPr>
        <w:t>本项目设一个合同段2024NLJCFH，本项目主要工作内容为：</w:t>
      </w:r>
    </w:p>
    <w:p>
      <w:pPr>
        <w:adjustRightInd w:val="0"/>
        <w:snapToGrid w:val="0"/>
        <w:spacing w:line="360" w:lineRule="auto"/>
        <w:ind w:firstLine="420" w:firstLineChars="200"/>
        <w:rPr>
          <w:rFonts w:ascii="宋体" w:hAnsi="宋体" w:cs="宋体"/>
          <w:szCs w:val="21"/>
          <w:highlight w:val="none"/>
        </w:rPr>
      </w:pPr>
      <w:r>
        <w:rPr>
          <w:rFonts w:hint="eastAsia" w:ascii="宋体" w:hAnsi="宋体" w:cs="宋体"/>
          <w:szCs w:val="21"/>
          <w:highlight w:val="none"/>
        </w:rPr>
        <w:t>①复核南通市域范围内的15763.333公里的县乡村道的自动化检测评定数据；</w:t>
      </w:r>
    </w:p>
    <w:p>
      <w:pPr>
        <w:adjustRightInd w:val="0"/>
        <w:snapToGrid w:val="0"/>
        <w:spacing w:line="360" w:lineRule="auto"/>
        <w:ind w:firstLine="420" w:firstLineChars="200"/>
        <w:rPr>
          <w:rFonts w:ascii="宋体" w:hAnsi="宋体" w:cs="宋体"/>
          <w:szCs w:val="21"/>
          <w:highlight w:val="none"/>
        </w:rPr>
      </w:pPr>
      <w:r>
        <w:rPr>
          <w:rFonts w:hint="eastAsia" w:ascii="宋体" w:hAnsi="宋体" w:cs="宋体"/>
          <w:szCs w:val="21"/>
          <w:highlight w:val="none"/>
        </w:rPr>
        <w:t>②对①中数据按比例进行抽核，其中县道抽核比例不少于10%（县道629.438公里一级公路按上行和下行两个方向分别实施，其余1908.895公里按单方向实施），乡村道抽核比例不少于6%（乡村道13225公里按单方向实施）。</w:t>
      </w:r>
    </w:p>
    <w:p>
      <w:pPr>
        <w:adjustRightInd w:val="0"/>
        <w:snapToGrid w:val="0"/>
        <w:spacing w:line="360" w:lineRule="auto"/>
        <w:ind w:firstLine="420" w:firstLineChars="200"/>
        <w:rPr>
          <w:rFonts w:ascii="宋体" w:hAnsi="宋体" w:cs="宋体"/>
          <w:szCs w:val="21"/>
          <w:highlight w:val="none"/>
        </w:rPr>
      </w:pPr>
      <w:r>
        <w:rPr>
          <w:rFonts w:hint="eastAsia" w:ascii="宋体" w:hAnsi="宋体" w:cs="宋体"/>
          <w:szCs w:val="21"/>
          <w:highlight w:val="none"/>
        </w:rPr>
        <w:t>2、服务内容：抽核内容包括道路景观图像、空间定位信息、路面损坏图像（人工加自动化识别）、路面损坏识别结果DR、PCI、计算IRI所需原始信息、RQI、PQI、检测报告等在内的检评原始数据；复核2024年所有实施农村公路路面技术状况自动化检测路段的检评数据。中标人如同时承担了南通市下辖县（市、区）2024年农村公路路面技术状况自动化检测项目，则该地区数据不再抽核与复核，结算费用时扣除该地区对应里程计算的费用。</w:t>
      </w:r>
    </w:p>
    <w:p>
      <w:pPr>
        <w:adjustRightInd w:val="0"/>
        <w:snapToGrid w:val="0"/>
        <w:spacing w:line="360" w:lineRule="auto"/>
        <w:ind w:firstLine="420" w:firstLineChars="200"/>
        <w:rPr>
          <w:rFonts w:ascii="宋体" w:hAnsi="宋体" w:cs="宋体"/>
          <w:szCs w:val="21"/>
          <w:highlight w:val="none"/>
        </w:rPr>
      </w:pPr>
      <w:r>
        <w:rPr>
          <w:rFonts w:hint="eastAsia" w:ascii="宋体" w:hAnsi="宋体" w:cs="宋体"/>
          <w:szCs w:val="21"/>
          <w:highlight w:val="none"/>
        </w:rPr>
        <w:t>3、抽核方式：人工及自动化识别。复核方式：数据复核。</w:t>
      </w:r>
    </w:p>
    <w:p>
      <w:pPr>
        <w:adjustRightInd w:val="0"/>
        <w:snapToGrid w:val="0"/>
        <w:spacing w:line="360" w:lineRule="auto"/>
        <w:ind w:firstLine="420" w:firstLineChars="200"/>
        <w:rPr>
          <w:rFonts w:ascii="宋体" w:hAnsi="宋体" w:cs="宋体"/>
          <w:szCs w:val="21"/>
          <w:highlight w:val="none"/>
        </w:rPr>
      </w:pPr>
      <w:r>
        <w:rPr>
          <w:rFonts w:hint="eastAsia" w:ascii="宋体" w:hAnsi="宋体" w:cs="宋体"/>
          <w:szCs w:val="21"/>
          <w:highlight w:val="none"/>
        </w:rPr>
        <w:t>4、工作要求：核查数据完整性、准确性，评估检测报告规范性，并于2024年11月</w:t>
      </w:r>
      <w:r>
        <w:rPr>
          <w:rFonts w:hint="eastAsia" w:ascii="宋体" w:hAnsi="宋体" w:cs="宋体"/>
          <w:szCs w:val="21"/>
          <w:highlight w:val="none"/>
          <w:lang w:val="en-US" w:eastAsia="zh-CN"/>
        </w:rPr>
        <w:t>2</w:t>
      </w:r>
      <w:r>
        <w:rPr>
          <w:rFonts w:hint="eastAsia" w:ascii="宋体" w:hAnsi="宋体" w:cs="宋体"/>
          <w:szCs w:val="21"/>
          <w:highlight w:val="none"/>
        </w:rPr>
        <w:t>5日前完成抽核和复核工作报告。技术等级三级及以下农村公路技术状况评定按《农村公路技术状况评定标准》（JTG 5211—2024）、技术等级二级及以上农村公路技术状况评定按《公路技术状况评定标准》（JTG 5210—2018）有关规定执行。</w:t>
      </w:r>
    </w:p>
    <w:p>
      <w:pPr>
        <w:adjustRightInd w:val="0"/>
        <w:snapToGrid w:val="0"/>
        <w:spacing w:line="360" w:lineRule="auto"/>
        <w:ind w:firstLine="420" w:firstLineChars="200"/>
        <w:rPr>
          <w:rFonts w:ascii="宋体" w:hAnsi="宋体" w:cs="宋体"/>
          <w:szCs w:val="21"/>
          <w:highlight w:val="none"/>
        </w:rPr>
      </w:pPr>
      <w:r>
        <w:rPr>
          <w:rFonts w:hint="eastAsia" w:ascii="宋体" w:hAnsi="宋体" w:cs="宋体"/>
          <w:szCs w:val="21"/>
          <w:highlight w:val="none"/>
        </w:rPr>
        <w:t>5、服务期限：计划2024年10月开工，2024年11月25日前完工。</w:t>
      </w:r>
    </w:p>
    <w:p>
      <w:pPr>
        <w:tabs>
          <w:tab w:val="left" w:pos="3240"/>
        </w:tabs>
        <w:adjustRightInd w:val="0"/>
        <w:snapToGrid w:val="0"/>
        <w:spacing w:line="360" w:lineRule="auto"/>
        <w:rPr>
          <w:rFonts w:ascii="Garamond" w:hAnsi="Garamond"/>
          <w:b/>
          <w:sz w:val="24"/>
          <w:highlight w:val="none"/>
        </w:rPr>
      </w:pPr>
      <w:r>
        <w:rPr>
          <w:rFonts w:hint="eastAsia" w:ascii="Garamond" w:hAnsi="Garamond"/>
          <w:b/>
          <w:sz w:val="24"/>
          <w:highlight w:val="none"/>
        </w:rPr>
        <w:t>三、</w:t>
      </w:r>
      <w:r>
        <w:rPr>
          <w:rFonts w:ascii="Garamond" w:hAnsi="Garamond"/>
          <w:b/>
          <w:sz w:val="24"/>
          <w:highlight w:val="none"/>
        </w:rPr>
        <w:t>投标人资格要求</w:t>
      </w:r>
    </w:p>
    <w:p>
      <w:pPr>
        <w:adjustRightInd w:val="0"/>
        <w:snapToGrid w:val="0"/>
        <w:spacing w:line="360" w:lineRule="auto"/>
        <w:ind w:firstLine="420" w:firstLineChars="200"/>
        <w:rPr>
          <w:rFonts w:ascii="Garamond" w:hAnsi="Garamond"/>
          <w:szCs w:val="21"/>
          <w:highlight w:val="none"/>
        </w:rPr>
      </w:pPr>
      <w:r>
        <w:rPr>
          <w:rFonts w:hint="eastAsia" w:ascii="Garamond" w:hAnsi="Garamond"/>
          <w:szCs w:val="21"/>
          <w:highlight w:val="none"/>
        </w:rPr>
        <w:t>1、</w:t>
      </w:r>
      <w:r>
        <w:rPr>
          <w:rFonts w:ascii="Garamond" w:hAnsi="Garamond"/>
          <w:szCs w:val="21"/>
          <w:highlight w:val="none"/>
        </w:rPr>
        <w:t>投标人应具备的承担本次招标项目的资质条件、能力和信誉</w:t>
      </w:r>
      <w:r>
        <w:rPr>
          <w:rFonts w:hint="eastAsia" w:ascii="Garamond" w:hAnsi="Garamond"/>
          <w:szCs w:val="21"/>
          <w:highlight w:val="none"/>
        </w:rPr>
        <w:t>，具体</w:t>
      </w:r>
      <w:r>
        <w:rPr>
          <w:rFonts w:ascii="Garamond" w:hAnsi="Garamond"/>
          <w:szCs w:val="21"/>
          <w:highlight w:val="none"/>
        </w:rPr>
        <w:t>要求为：</w:t>
      </w:r>
    </w:p>
    <w:p>
      <w:pPr>
        <w:adjustRightInd w:val="0"/>
        <w:snapToGrid w:val="0"/>
        <w:spacing w:line="360" w:lineRule="auto"/>
        <w:ind w:firstLine="420" w:firstLineChars="200"/>
        <w:rPr>
          <w:rFonts w:ascii="Garamond" w:hAnsi="Garamond"/>
          <w:szCs w:val="21"/>
          <w:highlight w:val="none"/>
        </w:rPr>
      </w:pPr>
      <w:r>
        <w:rPr>
          <w:rFonts w:hint="eastAsia" w:ascii="Garamond" w:hAnsi="Garamond"/>
          <w:szCs w:val="21"/>
          <w:highlight w:val="none"/>
        </w:rPr>
        <w:t>（1）</w:t>
      </w:r>
      <w:r>
        <w:rPr>
          <w:rFonts w:ascii="Garamond" w:hAnsi="Garamond"/>
          <w:szCs w:val="21"/>
          <w:highlight w:val="none"/>
        </w:rPr>
        <w:t>资质条件：</w:t>
      </w:r>
    </w:p>
    <w:p>
      <w:pPr>
        <w:adjustRightInd w:val="0"/>
        <w:snapToGrid w:val="0"/>
        <w:spacing w:line="360" w:lineRule="auto"/>
        <w:ind w:firstLine="420" w:firstLineChars="200"/>
        <w:rPr>
          <w:rFonts w:ascii="Garamond" w:hAnsi="Garamond"/>
          <w:szCs w:val="21"/>
          <w:highlight w:val="none"/>
        </w:rPr>
      </w:pPr>
      <w:r>
        <w:rPr>
          <w:rFonts w:hint="eastAsia" w:ascii="Garamond" w:hAnsi="Garamond"/>
          <w:szCs w:val="21"/>
          <w:highlight w:val="none"/>
        </w:rPr>
        <w:t>①投标人应具有独立法人资格，</w:t>
      </w:r>
      <w:r>
        <w:rPr>
          <w:rFonts w:hint="eastAsia" w:ascii="宋体" w:hAnsi="宋体" w:cs="宋体"/>
          <w:kern w:val="21"/>
          <w:highlight w:val="none"/>
        </w:rPr>
        <w:t>具有统一社会信用代码，</w:t>
      </w:r>
      <w:r>
        <w:rPr>
          <w:rFonts w:hint="eastAsia" w:ascii="Garamond" w:hAnsi="Garamond"/>
          <w:szCs w:val="21"/>
          <w:highlight w:val="none"/>
        </w:rPr>
        <w:t>具备有效的基本账户开户许可证或基本存款账户信息；</w:t>
      </w:r>
    </w:p>
    <w:p>
      <w:pPr>
        <w:adjustRightInd w:val="0"/>
        <w:snapToGrid w:val="0"/>
        <w:spacing w:line="360" w:lineRule="auto"/>
        <w:ind w:firstLine="420" w:firstLineChars="200"/>
        <w:rPr>
          <w:rFonts w:ascii="Garamond" w:hAnsi="Garamond"/>
          <w:szCs w:val="21"/>
          <w:highlight w:val="none"/>
        </w:rPr>
      </w:pPr>
      <w:r>
        <w:rPr>
          <w:rFonts w:hint="eastAsia" w:ascii="Garamond" w:hAnsi="Garamond"/>
          <w:szCs w:val="21"/>
          <w:highlight w:val="none"/>
        </w:rPr>
        <w:t>②投标人应具有交通运输主管部门核发的公路工程试验检测乙级（或以上）资质，具有省级或以上计量行政部门颁发的有效的计量认证合格证书（或资质认定证书。）。</w:t>
      </w:r>
    </w:p>
    <w:p>
      <w:pPr>
        <w:adjustRightInd w:val="0"/>
        <w:snapToGrid w:val="0"/>
        <w:spacing w:line="360" w:lineRule="auto"/>
        <w:ind w:firstLine="420" w:firstLineChars="200"/>
        <w:rPr>
          <w:rFonts w:ascii="Garamond" w:hAnsi="Garamond"/>
          <w:szCs w:val="21"/>
          <w:highlight w:val="none"/>
        </w:rPr>
      </w:pPr>
      <w:r>
        <w:rPr>
          <w:rFonts w:hint="eastAsia" w:ascii="Garamond" w:hAnsi="Garamond"/>
          <w:szCs w:val="21"/>
          <w:highlight w:val="none"/>
        </w:rPr>
        <w:t>（2）</w:t>
      </w:r>
      <w:r>
        <w:rPr>
          <w:rFonts w:ascii="Garamond" w:hAnsi="Garamond"/>
          <w:szCs w:val="21"/>
          <w:highlight w:val="none"/>
        </w:rPr>
        <w:t>业绩要求：</w:t>
      </w:r>
      <w:r>
        <w:rPr>
          <w:rFonts w:hint="eastAsia" w:ascii="Garamond" w:hAnsi="Garamond"/>
          <w:szCs w:val="21"/>
          <w:highlight w:val="none"/>
        </w:rPr>
        <w:t>自2021年1月1日以来（以合同签订时间为准），投标人完成过普通公路（或高速公路）自动化检测项目。</w:t>
      </w:r>
    </w:p>
    <w:p>
      <w:pPr>
        <w:adjustRightInd w:val="0"/>
        <w:snapToGrid w:val="0"/>
        <w:spacing w:line="360" w:lineRule="auto"/>
        <w:ind w:firstLine="420" w:firstLineChars="200"/>
        <w:rPr>
          <w:rFonts w:ascii="Garamond" w:hAnsi="Garamond"/>
          <w:szCs w:val="21"/>
          <w:highlight w:val="none"/>
        </w:rPr>
      </w:pPr>
      <w:r>
        <w:rPr>
          <w:rFonts w:hint="eastAsia" w:ascii="Garamond" w:hAnsi="Garamond"/>
          <w:szCs w:val="21"/>
          <w:highlight w:val="none"/>
        </w:rPr>
        <w:t>（3）</w:t>
      </w:r>
      <w:r>
        <w:rPr>
          <w:rFonts w:ascii="Garamond" w:hAnsi="Garamond"/>
          <w:szCs w:val="21"/>
          <w:highlight w:val="none"/>
        </w:rPr>
        <w:t>信誉要求：</w:t>
      </w:r>
    </w:p>
    <w:p>
      <w:pPr>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①投标文件递交截止日当天，投标人在最近一次江苏省公路水路建设市场从业单位信用评定结果中的信用等级被评为C级或以上级别（从业单位在本省无信用评价记录的，信用等级按省交通运输厅关于印发《江苏省公路水运建设市场信用信息管理办法》的通知 苏交规〔2024〕6号文件执行。信用类别：试验检测）；</w:t>
      </w:r>
    </w:p>
    <w:p>
      <w:pPr>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②截止投标文件递交时间当日，投标人在“信用中国”网站（http://www.creditchina.gov.cn/）中未被列入失信被执行人名单；</w:t>
      </w:r>
    </w:p>
    <w:p>
      <w:pPr>
        <w:adjustRightInd w:val="0"/>
        <w:snapToGrid w:val="0"/>
        <w:spacing w:line="360" w:lineRule="auto"/>
        <w:ind w:firstLine="420" w:firstLineChars="200"/>
        <w:jc w:val="left"/>
        <w:rPr>
          <w:rFonts w:ascii="宋体" w:hAnsi="宋体"/>
          <w:szCs w:val="21"/>
          <w:highlight w:val="none"/>
        </w:rPr>
      </w:pPr>
      <w:r>
        <w:rPr>
          <w:rFonts w:hint="eastAsia" w:ascii="宋体" w:hAnsi="宋体"/>
          <w:szCs w:val="21"/>
          <w:highlight w:val="none"/>
        </w:rPr>
        <w:t>③截止投标文件递交时间当日，投标人未在国家企业信用信息公示系统（http：//www.gsxt.gov.cn/）中被列入严重违法失信企业名单；</w:t>
      </w:r>
    </w:p>
    <w:p>
      <w:pPr>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④截止投标文件递交时间当日，投标人未被列入“信用交通江苏”网站公布的“江苏省交通运输失信联合惩戒对象名单”（黑名单）。</w:t>
      </w:r>
    </w:p>
    <w:p>
      <w:pPr>
        <w:adjustRightInd w:val="0"/>
        <w:snapToGrid w:val="0"/>
        <w:spacing w:line="360" w:lineRule="auto"/>
        <w:ind w:firstLine="420" w:firstLineChars="200"/>
        <w:rPr>
          <w:highlight w:val="none"/>
        </w:rPr>
      </w:pPr>
      <w:r>
        <w:rPr>
          <w:rFonts w:hint="eastAsia"/>
          <w:highlight w:val="none"/>
        </w:rPr>
        <w:t>（4）项目负责人要求：</w:t>
      </w:r>
    </w:p>
    <w:p>
      <w:pPr>
        <w:spacing w:line="360" w:lineRule="auto"/>
        <w:ind w:firstLine="420" w:firstLineChars="200"/>
        <w:rPr>
          <w:highlight w:val="none"/>
        </w:rPr>
      </w:pPr>
      <w:r>
        <w:rPr>
          <w:rFonts w:hint="eastAsia"/>
          <w:highlight w:val="none"/>
        </w:rPr>
        <w:t>①投标人拟投入的项目负责人具有公路工程相关专业高级或以上技术职称，同时具有交通运输主管部门核发的公路工程试验检测师证书（道路工程专业，或同时涵盖公路和材料专业）</w:t>
      </w:r>
      <w:r>
        <w:rPr>
          <w:rFonts w:hint="eastAsia" w:ascii="宋体" w:hAnsi="宋体"/>
          <w:b/>
          <w:bCs/>
          <w:sz w:val="22"/>
          <w:szCs w:val="22"/>
          <w:highlight w:val="none"/>
        </w:rPr>
        <w:t>或公路工程试验检测师证书（道路工程专业）</w:t>
      </w:r>
      <w:r>
        <w:rPr>
          <w:rFonts w:hint="eastAsia"/>
          <w:highlight w:val="none"/>
        </w:rPr>
        <w:t>；自2021年1月1日以来（以合同签订时间为准），项目负责人</w:t>
      </w:r>
      <w:r>
        <w:rPr>
          <w:rFonts w:hint="eastAsia" w:ascii="Garamond" w:hAnsi="Garamond"/>
          <w:szCs w:val="21"/>
          <w:highlight w:val="none"/>
        </w:rPr>
        <w:t>完成过</w:t>
      </w:r>
      <w:r>
        <w:rPr>
          <w:rFonts w:hint="eastAsia"/>
          <w:highlight w:val="none"/>
        </w:rPr>
        <w:t>普通公路（或高速公路）自动化检测项目并担任项目负责人（或技术负责人）。</w:t>
      </w:r>
    </w:p>
    <w:p>
      <w:pPr>
        <w:spacing w:line="360" w:lineRule="auto"/>
        <w:ind w:firstLine="420" w:firstLineChars="200"/>
        <w:rPr>
          <w:highlight w:val="none"/>
        </w:rPr>
      </w:pPr>
      <w:r>
        <w:rPr>
          <w:rFonts w:hint="eastAsia"/>
          <w:highlight w:val="none"/>
        </w:rPr>
        <w:t>②拟投入本项目的项目负责人须为投标人自有人员，出具投标人为其缴纳的社保缴费证明，具体要求如下：</w:t>
      </w:r>
    </w:p>
    <w:p>
      <w:pPr>
        <w:spacing w:line="360" w:lineRule="auto"/>
        <w:ind w:firstLine="420" w:firstLineChars="200"/>
        <w:rPr>
          <w:highlight w:val="none"/>
        </w:rPr>
      </w:pPr>
      <w:r>
        <w:rPr>
          <w:rFonts w:hint="eastAsia"/>
          <w:highlight w:val="none"/>
        </w:rPr>
        <w:t>a、社保缴纳证明材料需含缴费起止时间、缴费单位、缴费人员姓名并由社保机构加盖缴费证明专用章，社保机构官网上打印件与线下的盖章件具有同等效力，缴费单位须与投标人名称一致（投标人下属不具备独立法人资格的分支机构缴纳的社保视为本单位）。若社保缴费证明材料中体现缴费类别的，则至少包含养老保险。</w:t>
      </w:r>
    </w:p>
    <w:p>
      <w:pPr>
        <w:spacing w:line="360" w:lineRule="auto"/>
        <w:ind w:firstLine="420" w:firstLineChars="200"/>
        <w:rPr>
          <w:rFonts w:ascii="Garamond" w:hAnsi="Garamond"/>
          <w:bCs/>
          <w:szCs w:val="21"/>
          <w:highlight w:val="none"/>
        </w:rPr>
      </w:pPr>
      <w:r>
        <w:rPr>
          <w:rFonts w:hint="eastAsia"/>
          <w:highlight w:val="none"/>
        </w:rPr>
        <w:t>b、</w:t>
      </w:r>
      <w:r>
        <w:rPr>
          <w:rFonts w:hint="eastAsia" w:ascii="宋体" w:hAnsi="宋体" w:cs="宋体"/>
          <w:highlight w:val="none"/>
        </w:rPr>
        <w:t>投标人出具的社保缴费证明时间段为投标当月至投标当月开始往前5个月中，任意连续3个月。</w:t>
      </w:r>
      <w:r>
        <w:rPr>
          <w:rFonts w:hint="eastAsia" w:ascii="宋体" w:hAnsi="宋体" w:cs="宋体"/>
          <w:bCs/>
          <w:szCs w:val="21"/>
          <w:highlight w:val="none"/>
        </w:rPr>
        <w:t>（例如：若开标时间为2024年10月，则投标当月至投标当月开始往前5个月指2024年5月至2024年10月，出具的社保缴费证明时间段应为2024年5月~7月或2024年6月~8月或2024年7月~9月或2024年8月~10月）。</w:t>
      </w:r>
    </w:p>
    <w:p>
      <w:pPr>
        <w:adjustRightInd w:val="0"/>
        <w:snapToGrid w:val="0"/>
        <w:spacing w:line="360" w:lineRule="auto"/>
        <w:ind w:firstLine="420" w:firstLineChars="200"/>
        <w:rPr>
          <w:highlight w:val="none"/>
        </w:rPr>
      </w:pPr>
      <w:r>
        <w:rPr>
          <w:rFonts w:hint="eastAsia"/>
          <w:highlight w:val="none"/>
        </w:rPr>
        <w:t>（5）其他要求</w:t>
      </w:r>
      <w:r>
        <w:rPr>
          <w:highlight w:val="none"/>
        </w:rPr>
        <w:t>：</w:t>
      </w:r>
    </w:p>
    <w:p>
      <w:pPr>
        <w:adjustRightInd w:val="0"/>
        <w:snapToGrid w:val="0"/>
        <w:spacing w:line="360" w:lineRule="auto"/>
        <w:ind w:firstLine="420" w:firstLineChars="200"/>
        <w:rPr>
          <w:highlight w:val="none"/>
        </w:rPr>
      </w:pPr>
      <w:r>
        <w:rPr>
          <w:rFonts w:hint="eastAsia"/>
          <w:highlight w:val="none"/>
        </w:rPr>
        <w:t>①为本项目配备除项目负责人外的技术服务人员不少于3人。技术服务人员应具有交通运输主管部门核发的公路工程试验检测师证书（道路工程专业，或同时涵盖公路和材料专业）</w:t>
      </w:r>
      <w:r>
        <w:rPr>
          <w:rFonts w:hint="eastAsia" w:ascii="宋体" w:hAnsi="宋体"/>
          <w:b/>
          <w:bCs/>
          <w:sz w:val="22"/>
          <w:szCs w:val="22"/>
          <w:highlight w:val="none"/>
        </w:rPr>
        <w:t>或公路工程试验检测师证书（道路工程专业）</w:t>
      </w:r>
      <w:r>
        <w:rPr>
          <w:rFonts w:hint="eastAsia"/>
          <w:highlight w:val="none"/>
        </w:rPr>
        <w:t>。</w:t>
      </w:r>
    </w:p>
    <w:p>
      <w:pPr>
        <w:adjustRightInd w:val="0"/>
        <w:snapToGrid w:val="0"/>
        <w:spacing w:line="360" w:lineRule="auto"/>
        <w:ind w:firstLine="420" w:firstLineChars="200"/>
        <w:rPr>
          <w:highlight w:val="none"/>
        </w:rPr>
      </w:pPr>
      <w:r>
        <w:rPr>
          <w:rFonts w:hint="eastAsia"/>
          <w:highlight w:val="none"/>
        </w:rPr>
        <w:t>注：其他人员要求仅作为最低要求，投标人可不填报，但无论投标人是否填报，投标人均须按投标文件格式中的“承诺函”格式提供承诺函。特别提醒：投标人应仔细阅读评标办法，本项目评标办法中有除项目负责人外的其他人员的评分点。</w:t>
      </w:r>
    </w:p>
    <w:p>
      <w:pPr>
        <w:adjustRightInd w:val="0"/>
        <w:snapToGrid w:val="0"/>
        <w:spacing w:line="360" w:lineRule="auto"/>
        <w:ind w:firstLine="420" w:firstLineChars="200"/>
        <w:rPr>
          <w:highlight w:val="none"/>
        </w:rPr>
      </w:pPr>
      <w:r>
        <w:rPr>
          <w:rFonts w:hint="eastAsia"/>
          <w:highlight w:val="none"/>
        </w:rPr>
        <w:t>②检测设备：提供一辆租赁或自有的多功能自动化综合检测车（非轻量化检测设备，非搭载轻便摄像头车型）。且按投标文件格式提供承诺函。</w:t>
      </w:r>
    </w:p>
    <w:p>
      <w:pPr>
        <w:adjustRightInd w:val="0"/>
        <w:snapToGrid w:val="0"/>
        <w:spacing w:line="360" w:lineRule="auto"/>
        <w:ind w:firstLine="420" w:firstLineChars="200"/>
        <w:rPr>
          <w:highlight w:val="none"/>
        </w:rPr>
      </w:pPr>
      <w:r>
        <w:rPr>
          <w:highlight w:val="none"/>
        </w:rPr>
        <w:t>2、本次招标不接受联合体投标。</w:t>
      </w:r>
    </w:p>
    <w:p>
      <w:pPr>
        <w:adjustRightInd w:val="0"/>
        <w:snapToGrid w:val="0"/>
        <w:spacing w:line="360" w:lineRule="auto"/>
        <w:ind w:firstLine="420" w:firstLineChars="200"/>
        <w:rPr>
          <w:highlight w:val="none"/>
        </w:rPr>
      </w:pPr>
      <w:r>
        <w:rPr>
          <w:rFonts w:hint="eastAsia"/>
          <w:highlight w:val="none"/>
        </w:rPr>
        <w:t>3</w:t>
      </w:r>
      <w:r>
        <w:rPr>
          <w:highlight w:val="none"/>
        </w:rPr>
        <w:t>、与招标人存在利害关系可能影响招标公正性的单位，不得参加投标。单位负责人为同一人或存在控股、管理关系的不同单位，不得参加同一标段投标，否则，相关投标均无效。</w:t>
      </w:r>
    </w:p>
    <w:p>
      <w:pPr>
        <w:adjustRightInd w:val="0"/>
        <w:snapToGrid w:val="0"/>
        <w:spacing w:line="360" w:lineRule="auto"/>
        <w:rPr>
          <w:rFonts w:ascii="Garamond" w:hAnsi="Garamond"/>
          <w:b/>
          <w:sz w:val="24"/>
          <w:highlight w:val="none"/>
        </w:rPr>
      </w:pPr>
      <w:r>
        <w:rPr>
          <w:rFonts w:hint="eastAsia" w:ascii="Garamond" w:hAnsi="Garamond"/>
          <w:b/>
          <w:sz w:val="24"/>
          <w:highlight w:val="none"/>
        </w:rPr>
        <w:t>四、</w:t>
      </w:r>
      <w:r>
        <w:rPr>
          <w:rFonts w:ascii="Garamond" w:hAnsi="Garamond"/>
          <w:b/>
          <w:sz w:val="24"/>
          <w:highlight w:val="none"/>
        </w:rPr>
        <w:t>评标办法</w:t>
      </w:r>
    </w:p>
    <w:p>
      <w:pPr>
        <w:adjustRightInd w:val="0"/>
        <w:snapToGrid w:val="0"/>
        <w:spacing w:line="360" w:lineRule="auto"/>
        <w:ind w:firstLine="420" w:firstLineChars="200"/>
        <w:rPr>
          <w:rFonts w:ascii="Garamond" w:hAnsi="Garamond"/>
          <w:szCs w:val="21"/>
          <w:highlight w:val="none"/>
        </w:rPr>
      </w:pPr>
      <w:r>
        <w:rPr>
          <w:rFonts w:ascii="Garamond" w:hAnsi="Garamond"/>
          <w:szCs w:val="21"/>
          <w:highlight w:val="none"/>
        </w:rPr>
        <w:t>本次招标项目采用综合评分法。详见招标文件。</w:t>
      </w:r>
    </w:p>
    <w:p>
      <w:pPr>
        <w:tabs>
          <w:tab w:val="left" w:pos="3240"/>
        </w:tabs>
        <w:adjustRightInd w:val="0"/>
        <w:snapToGrid w:val="0"/>
        <w:spacing w:line="360" w:lineRule="auto"/>
        <w:rPr>
          <w:rFonts w:ascii="Garamond" w:hAnsi="Garamond"/>
          <w:b/>
          <w:sz w:val="24"/>
          <w:highlight w:val="none"/>
        </w:rPr>
      </w:pPr>
      <w:bookmarkStart w:id="14" w:name="_Toc90105825"/>
      <w:bookmarkStart w:id="15" w:name="_Toc90106006"/>
      <w:bookmarkStart w:id="16" w:name="_Toc90105639"/>
      <w:bookmarkStart w:id="17" w:name="_Toc90104557"/>
      <w:bookmarkStart w:id="18" w:name="_Toc89848285"/>
      <w:bookmarkStart w:id="19" w:name="_Toc92015767"/>
      <w:bookmarkStart w:id="20" w:name="_Toc90106825"/>
      <w:bookmarkStart w:id="21" w:name="_Toc90105264"/>
      <w:bookmarkStart w:id="22" w:name="_Toc90106644"/>
      <w:bookmarkStart w:id="23" w:name="_Toc90105452"/>
      <w:bookmarkStart w:id="24" w:name="_Toc90105075"/>
      <w:bookmarkStart w:id="25" w:name="_Toc90106187"/>
      <w:r>
        <w:rPr>
          <w:rFonts w:hint="eastAsia" w:ascii="Garamond" w:hAnsi="Garamond"/>
          <w:b/>
          <w:sz w:val="24"/>
          <w:highlight w:val="none"/>
        </w:rPr>
        <w:t>五、</w:t>
      </w:r>
      <w:r>
        <w:rPr>
          <w:rFonts w:ascii="Garamond" w:hAnsi="Garamond"/>
          <w:b/>
          <w:sz w:val="24"/>
          <w:highlight w:val="none"/>
        </w:rPr>
        <w:t>招标文件的获取</w:t>
      </w:r>
    </w:p>
    <w:bookmarkEnd w:id="14"/>
    <w:bookmarkEnd w:id="15"/>
    <w:bookmarkEnd w:id="16"/>
    <w:bookmarkEnd w:id="17"/>
    <w:bookmarkEnd w:id="18"/>
    <w:bookmarkEnd w:id="19"/>
    <w:bookmarkEnd w:id="20"/>
    <w:bookmarkEnd w:id="21"/>
    <w:bookmarkEnd w:id="22"/>
    <w:bookmarkEnd w:id="23"/>
    <w:bookmarkEnd w:id="24"/>
    <w:bookmarkEnd w:id="25"/>
    <w:p>
      <w:pPr>
        <w:pStyle w:val="15"/>
        <w:topLinePunct/>
        <w:adjustRightInd w:val="0"/>
        <w:snapToGrid w:val="0"/>
        <w:spacing w:line="360" w:lineRule="auto"/>
        <w:ind w:firstLine="420" w:firstLineChars="200"/>
        <w:rPr>
          <w:rFonts w:ascii="Garamond" w:hAnsi="Garamond"/>
          <w:color w:val="000000" w:themeColor="text1"/>
          <w:sz w:val="21"/>
          <w:szCs w:val="24"/>
          <w:highlight w:val="none"/>
          <w14:textFill>
            <w14:solidFill>
              <w14:schemeClr w14:val="tx1"/>
            </w14:solidFill>
          </w14:textFill>
        </w:rPr>
      </w:pPr>
      <w:bookmarkStart w:id="26" w:name="_Toc90106188"/>
      <w:bookmarkStart w:id="27" w:name="_Toc90104558"/>
      <w:bookmarkStart w:id="28" w:name="_Toc90105826"/>
      <w:bookmarkStart w:id="29" w:name="_Toc90105640"/>
      <w:bookmarkStart w:id="30" w:name="_Toc92015768"/>
      <w:bookmarkStart w:id="31" w:name="_Toc90106826"/>
      <w:bookmarkStart w:id="32" w:name="_Toc90106645"/>
      <w:bookmarkStart w:id="33" w:name="_Toc90105076"/>
      <w:bookmarkStart w:id="34" w:name="_Toc90105265"/>
      <w:bookmarkStart w:id="35" w:name="_Toc89848286"/>
      <w:bookmarkStart w:id="36" w:name="_Toc90105453"/>
      <w:bookmarkStart w:id="37" w:name="_Toc90106007"/>
      <w:r>
        <w:rPr>
          <w:rFonts w:hint="eastAsia" w:ascii="Garamond" w:hAnsi="Garamond"/>
          <w:color w:val="000000" w:themeColor="text1"/>
          <w:sz w:val="21"/>
          <w:szCs w:val="24"/>
          <w:highlight w:val="none"/>
          <w14:textFill>
            <w14:solidFill>
              <w14:schemeClr w14:val="tx1"/>
            </w14:solidFill>
          </w14:textFill>
        </w:rPr>
        <w:t>1、申请</w:t>
      </w:r>
    </w:p>
    <w:p>
      <w:pPr>
        <w:pStyle w:val="15"/>
        <w:topLinePunct/>
        <w:adjustRightInd w:val="0"/>
        <w:snapToGrid w:val="0"/>
        <w:spacing w:line="360" w:lineRule="auto"/>
        <w:ind w:firstLine="420" w:firstLineChars="200"/>
        <w:rPr>
          <w:rFonts w:ascii="Garamond" w:hAnsi="Garamond"/>
          <w:color w:val="000000" w:themeColor="text1"/>
          <w:sz w:val="21"/>
          <w:szCs w:val="24"/>
          <w:highlight w:val="none"/>
          <w14:textFill>
            <w14:solidFill>
              <w14:schemeClr w14:val="tx1"/>
            </w14:solidFill>
          </w14:textFill>
        </w:rPr>
      </w:pPr>
      <w:r>
        <w:rPr>
          <w:rFonts w:hint="eastAsia" w:ascii="Garamond" w:hAnsi="Garamond"/>
          <w:color w:val="000000" w:themeColor="text1"/>
          <w:sz w:val="21"/>
          <w:szCs w:val="24"/>
          <w:highlight w:val="none"/>
          <w14:textFill>
            <w14:solidFill>
              <w14:schemeClr w14:val="tx1"/>
            </w14:solidFill>
          </w14:textFill>
        </w:rPr>
        <w:t>申请时间：自招标公告上网发布之日起至2024年</w:t>
      </w:r>
      <w:r>
        <w:rPr>
          <w:rFonts w:hint="eastAsia" w:ascii="Garamond" w:hAnsi="Garamond"/>
          <w:color w:val="000000" w:themeColor="text1"/>
          <w:sz w:val="21"/>
          <w:szCs w:val="24"/>
          <w:highlight w:val="none"/>
          <w:lang w:val="en-US" w:eastAsia="zh-CN"/>
          <w14:textFill>
            <w14:solidFill>
              <w14:schemeClr w14:val="tx1"/>
            </w14:solidFill>
          </w14:textFill>
        </w:rPr>
        <w:t>10</w:t>
      </w:r>
      <w:r>
        <w:rPr>
          <w:rFonts w:hint="eastAsia" w:ascii="Garamond" w:hAnsi="Garamond"/>
          <w:color w:val="000000" w:themeColor="text1"/>
          <w:sz w:val="21"/>
          <w:szCs w:val="24"/>
          <w:highlight w:val="none"/>
          <w14:textFill>
            <w14:solidFill>
              <w14:schemeClr w14:val="tx1"/>
            </w14:solidFill>
          </w14:textFill>
        </w:rPr>
        <w:t>月</w:t>
      </w:r>
      <w:r>
        <w:rPr>
          <w:rFonts w:hint="eastAsia" w:ascii="Garamond" w:hAnsi="Garamond"/>
          <w:color w:val="000000" w:themeColor="text1"/>
          <w:sz w:val="21"/>
          <w:szCs w:val="24"/>
          <w:highlight w:val="none"/>
          <w:lang w:val="en-US" w:eastAsia="zh-CN"/>
          <w14:textFill>
            <w14:solidFill>
              <w14:schemeClr w14:val="tx1"/>
            </w14:solidFill>
          </w14:textFill>
        </w:rPr>
        <w:t>10</w:t>
      </w:r>
      <w:r>
        <w:rPr>
          <w:rFonts w:hint="eastAsia" w:ascii="Garamond" w:hAnsi="Garamond"/>
          <w:color w:val="000000" w:themeColor="text1"/>
          <w:sz w:val="21"/>
          <w:szCs w:val="24"/>
          <w:highlight w:val="none"/>
          <w14:textFill>
            <w14:solidFill>
              <w14:schemeClr w14:val="tx1"/>
            </w14:solidFill>
          </w14:textFill>
        </w:rPr>
        <w:t>日下午17：30，每日工作时间：上午9:00—11:00整，下午13:30—17:30整。</w:t>
      </w:r>
    </w:p>
    <w:p>
      <w:pPr>
        <w:pStyle w:val="15"/>
        <w:topLinePunct/>
        <w:adjustRightInd w:val="0"/>
        <w:snapToGrid w:val="0"/>
        <w:spacing w:line="360" w:lineRule="auto"/>
        <w:ind w:firstLine="420" w:firstLineChars="200"/>
        <w:rPr>
          <w:rFonts w:ascii="Garamond" w:hAnsi="Garamond"/>
          <w:color w:val="000000" w:themeColor="text1"/>
          <w:sz w:val="21"/>
          <w:szCs w:val="24"/>
          <w:highlight w:val="none"/>
          <w14:textFill>
            <w14:solidFill>
              <w14:schemeClr w14:val="tx1"/>
            </w14:solidFill>
          </w14:textFill>
        </w:rPr>
      </w:pPr>
      <w:r>
        <w:rPr>
          <w:rFonts w:hint="eastAsia" w:ascii="Garamond" w:hAnsi="Garamond"/>
          <w:color w:val="000000" w:themeColor="text1"/>
          <w:sz w:val="21"/>
          <w:szCs w:val="24"/>
          <w:highlight w:val="none"/>
          <w14:textFill>
            <w14:solidFill>
              <w14:schemeClr w14:val="tx1"/>
            </w14:solidFill>
          </w14:textFill>
        </w:rPr>
        <w:t>申请方式：凡符合资格要求并有意愿参加本项目的投标人，请如实填写《申请函》（格式见本项目公告附件）并加盖公章，发彩色扫描件至邮箱（jsrzcnt@126.com）中，并致电招标代理确认邮件送达，确认申请是否成功，并在开标现场将申请函原件同响应文件一并递交。</w:t>
      </w:r>
    </w:p>
    <w:p>
      <w:pPr>
        <w:pStyle w:val="15"/>
        <w:topLinePunct/>
        <w:adjustRightInd w:val="0"/>
        <w:snapToGrid w:val="0"/>
        <w:spacing w:line="360" w:lineRule="auto"/>
        <w:ind w:firstLine="420" w:firstLineChars="200"/>
        <w:rPr>
          <w:rFonts w:ascii="Garamond" w:hAnsi="Garamond"/>
          <w:color w:val="000000" w:themeColor="text1"/>
          <w:sz w:val="21"/>
          <w:szCs w:val="24"/>
          <w:highlight w:val="none"/>
          <w14:textFill>
            <w14:solidFill>
              <w14:schemeClr w14:val="tx1"/>
            </w14:solidFill>
          </w14:textFill>
        </w:rPr>
      </w:pPr>
      <w:r>
        <w:rPr>
          <w:rFonts w:hint="eastAsia" w:ascii="Garamond" w:hAnsi="Garamond"/>
          <w:color w:val="000000" w:themeColor="text1"/>
          <w:sz w:val="21"/>
          <w:szCs w:val="24"/>
          <w:highlight w:val="none"/>
          <w14:textFill>
            <w14:solidFill>
              <w14:schemeClr w14:val="tx1"/>
            </w14:solidFill>
          </w14:textFill>
        </w:rPr>
        <w:t>招标代理联系人：</w:t>
      </w:r>
      <w:r>
        <w:rPr>
          <w:rFonts w:hint="eastAsia" w:hAnsi="宋体"/>
          <w:color w:val="000000" w:themeColor="text1"/>
          <w:sz w:val="21"/>
          <w:szCs w:val="24"/>
          <w:highlight w:val="none"/>
          <w14:textFill>
            <w14:solidFill>
              <w14:schemeClr w14:val="tx1"/>
            </w14:solidFill>
          </w14:textFill>
        </w:rPr>
        <w:t>赵工，联系电话：</w:t>
      </w:r>
      <w:r>
        <w:rPr>
          <w:rFonts w:hAnsi="宋体"/>
          <w:color w:val="000000" w:themeColor="text1"/>
          <w:sz w:val="21"/>
          <w:szCs w:val="24"/>
          <w:highlight w:val="none"/>
          <w14:textFill>
            <w14:solidFill>
              <w14:schemeClr w14:val="tx1"/>
            </w14:solidFill>
          </w14:textFill>
        </w:rPr>
        <w:t>15851317775</w:t>
      </w:r>
      <w:r>
        <w:rPr>
          <w:rFonts w:hint="eastAsia" w:hAnsi="宋体"/>
          <w:color w:val="000000" w:themeColor="text1"/>
          <w:sz w:val="21"/>
          <w:szCs w:val="24"/>
          <w:highlight w:val="none"/>
          <w14:textFill>
            <w14:solidFill>
              <w14:schemeClr w14:val="tx1"/>
            </w14:solidFill>
          </w14:textFill>
        </w:rPr>
        <w:t>。</w:t>
      </w:r>
    </w:p>
    <w:p>
      <w:pPr>
        <w:pStyle w:val="15"/>
        <w:topLinePunct/>
        <w:adjustRightInd w:val="0"/>
        <w:snapToGrid w:val="0"/>
        <w:spacing w:line="360" w:lineRule="auto"/>
        <w:ind w:firstLine="420" w:firstLineChars="200"/>
        <w:rPr>
          <w:rFonts w:ascii="Garamond" w:hAnsi="Garamond"/>
          <w:color w:val="000000" w:themeColor="text1"/>
          <w:sz w:val="21"/>
          <w:szCs w:val="24"/>
          <w:highlight w:val="none"/>
          <w14:textFill>
            <w14:solidFill>
              <w14:schemeClr w14:val="tx1"/>
            </w14:solidFill>
          </w14:textFill>
        </w:rPr>
      </w:pPr>
      <w:r>
        <w:rPr>
          <w:rFonts w:ascii="Garamond" w:hAnsi="Garamond"/>
          <w:color w:val="000000" w:themeColor="text1"/>
          <w:sz w:val="21"/>
          <w:szCs w:val="24"/>
          <w:highlight w:val="none"/>
          <w14:textFill>
            <w14:solidFill>
              <w14:schemeClr w14:val="tx1"/>
            </w14:solidFill>
          </w14:textFill>
        </w:rPr>
        <w:t>2</w:t>
      </w:r>
      <w:r>
        <w:rPr>
          <w:rFonts w:hint="eastAsia" w:ascii="Garamond" w:hAnsi="Garamond"/>
          <w:color w:val="000000" w:themeColor="text1"/>
          <w:sz w:val="21"/>
          <w:szCs w:val="24"/>
          <w:highlight w:val="none"/>
          <w14:textFill>
            <w14:solidFill>
              <w14:schemeClr w14:val="tx1"/>
            </w14:solidFill>
          </w14:textFill>
        </w:rPr>
        <w:t>、获取招标文件</w:t>
      </w:r>
    </w:p>
    <w:p>
      <w:pPr>
        <w:pStyle w:val="15"/>
        <w:topLinePunct/>
        <w:adjustRightInd w:val="0"/>
        <w:snapToGrid w:val="0"/>
        <w:spacing w:line="360" w:lineRule="auto"/>
        <w:ind w:firstLine="420" w:firstLineChars="200"/>
        <w:rPr>
          <w:rFonts w:ascii="Garamond" w:hAnsi="Garamond"/>
          <w:color w:val="000000" w:themeColor="text1"/>
          <w:sz w:val="21"/>
          <w:szCs w:val="24"/>
          <w:highlight w:val="none"/>
          <w14:textFill>
            <w14:solidFill>
              <w14:schemeClr w14:val="tx1"/>
            </w14:solidFill>
          </w14:textFill>
        </w:rPr>
      </w:pPr>
      <w:r>
        <w:rPr>
          <w:rFonts w:hint="eastAsia" w:ascii="Garamond" w:hAnsi="Garamond"/>
          <w:color w:val="000000" w:themeColor="text1"/>
          <w:sz w:val="21"/>
          <w:szCs w:val="24"/>
          <w:highlight w:val="none"/>
          <w14:textFill>
            <w14:solidFill>
              <w14:schemeClr w14:val="tx1"/>
            </w14:solidFill>
          </w14:textFill>
        </w:rPr>
        <w:t>各申请人到招标代理单位自行领取纸质招标文件或由招标代理单位邮寄纸质文件给各申请人。</w:t>
      </w:r>
    </w:p>
    <w:p>
      <w:pPr>
        <w:pStyle w:val="15"/>
        <w:topLinePunct/>
        <w:adjustRightInd w:val="0"/>
        <w:snapToGrid w:val="0"/>
        <w:spacing w:line="360" w:lineRule="auto"/>
        <w:ind w:firstLine="420" w:firstLineChars="200"/>
        <w:rPr>
          <w:rFonts w:ascii="Garamond" w:hAnsi="Garamond"/>
          <w:color w:val="000000" w:themeColor="text1"/>
          <w:sz w:val="21"/>
          <w:szCs w:val="24"/>
          <w:highlight w:val="none"/>
          <w14:textFill>
            <w14:solidFill>
              <w14:schemeClr w14:val="tx1"/>
            </w14:solidFill>
          </w14:textFill>
        </w:rPr>
      </w:pPr>
      <w:r>
        <w:rPr>
          <w:rFonts w:hint="eastAsia" w:ascii="Garamond" w:hAnsi="Garamond"/>
          <w:color w:val="000000" w:themeColor="text1"/>
          <w:sz w:val="21"/>
          <w:szCs w:val="24"/>
          <w:highlight w:val="none"/>
          <w14:textFill>
            <w14:solidFill>
              <w14:schemeClr w14:val="tx1"/>
            </w14:solidFill>
          </w14:textFill>
        </w:rPr>
        <w:t>招标文件售价300元/投标人，请在提交《申请函》的同时缴纳给招标代理，无论何种情况不予退还。</w:t>
      </w:r>
    </w:p>
    <w:p>
      <w:pPr>
        <w:pStyle w:val="15"/>
        <w:numPr>
          <w:ilvl w:val="255"/>
          <w:numId w:val="0"/>
        </w:numPr>
        <w:topLinePunct/>
        <w:adjustRightInd w:val="0"/>
        <w:snapToGrid w:val="0"/>
        <w:spacing w:line="360" w:lineRule="auto"/>
        <w:ind w:firstLine="420" w:firstLineChars="200"/>
        <w:rPr>
          <w:rFonts w:ascii="Garamond" w:hAnsi="Garamond"/>
          <w:sz w:val="21"/>
          <w:szCs w:val="24"/>
          <w:highlight w:val="none"/>
        </w:rPr>
      </w:pPr>
      <w:r>
        <w:rPr>
          <w:rFonts w:hint="eastAsia" w:ascii="Garamond" w:hAnsi="Garamond"/>
          <w:color w:val="000000" w:themeColor="text1"/>
          <w:sz w:val="21"/>
          <w:szCs w:val="24"/>
          <w:highlight w:val="none"/>
          <w14:textFill>
            <w14:solidFill>
              <w14:schemeClr w14:val="tx1"/>
            </w14:solidFill>
          </w14:textFill>
        </w:rPr>
        <w:t>3、已获取招标文件的投标人，不得擅自放弃，若因故确需放弃，则须在递交投标文件截止之日3天前书面告知招标人或招标代理，如无故不参加投标而造成参加投标的投标人不足3家而重新招标的，若重新招标的招标范围、规模和资格要求等未发生改变，招标人可以拒绝其参加重新招标的投标。</w:t>
      </w:r>
    </w:p>
    <w:p>
      <w:pPr>
        <w:pStyle w:val="15"/>
        <w:topLinePunct/>
        <w:adjustRightInd w:val="0"/>
        <w:snapToGrid w:val="0"/>
        <w:spacing w:line="360" w:lineRule="auto"/>
        <w:rPr>
          <w:rFonts w:ascii="Garamond" w:hAnsi="Garamond"/>
          <w:b/>
          <w:bCs/>
          <w:highlight w:val="none"/>
        </w:rPr>
      </w:pPr>
      <w:r>
        <w:rPr>
          <w:rFonts w:hint="eastAsia" w:ascii="Garamond" w:hAnsi="Garamond"/>
          <w:b/>
          <w:bCs/>
          <w:highlight w:val="none"/>
        </w:rPr>
        <w:t>六、</w:t>
      </w:r>
      <w:r>
        <w:rPr>
          <w:rFonts w:ascii="Garamond" w:hAnsi="Garamond"/>
          <w:b/>
          <w:bCs/>
          <w:highlight w:val="none"/>
        </w:rPr>
        <w:t>投标文件的递交</w:t>
      </w:r>
      <w:bookmarkEnd w:id="26"/>
      <w:bookmarkEnd w:id="27"/>
      <w:bookmarkEnd w:id="28"/>
      <w:bookmarkEnd w:id="29"/>
      <w:bookmarkEnd w:id="30"/>
      <w:bookmarkEnd w:id="31"/>
      <w:bookmarkEnd w:id="32"/>
      <w:bookmarkEnd w:id="33"/>
      <w:bookmarkEnd w:id="34"/>
      <w:bookmarkEnd w:id="35"/>
      <w:bookmarkEnd w:id="36"/>
      <w:bookmarkEnd w:id="37"/>
      <w:r>
        <w:rPr>
          <w:rFonts w:hint="eastAsia" w:ascii="Garamond" w:hAnsi="Garamond"/>
          <w:b/>
          <w:bCs/>
          <w:highlight w:val="none"/>
        </w:rPr>
        <w:t>及相关事宜</w:t>
      </w:r>
    </w:p>
    <w:p>
      <w:pPr>
        <w:adjustRightInd w:val="0"/>
        <w:snapToGrid w:val="0"/>
        <w:spacing w:line="360" w:lineRule="auto"/>
        <w:ind w:firstLine="420" w:firstLineChars="200"/>
        <w:rPr>
          <w:rFonts w:ascii="宋体" w:hAnsi="宋体" w:cs="宋体"/>
          <w:b/>
          <w:bCs/>
          <w:szCs w:val="21"/>
          <w:highlight w:val="none"/>
          <w:u w:val="single"/>
        </w:rPr>
      </w:pPr>
      <w:r>
        <w:rPr>
          <w:rFonts w:hint="eastAsia" w:ascii="宋体" w:hAnsi="宋体" w:cs="宋体"/>
          <w:highlight w:val="none"/>
        </w:rPr>
        <w:t>1、</w:t>
      </w:r>
      <w:r>
        <w:rPr>
          <w:rFonts w:hint="eastAsia" w:ascii="宋体" w:hAnsi="宋体" w:cs="宋体"/>
          <w:color w:val="000000" w:themeColor="text1"/>
          <w:highlight w:val="none"/>
          <w14:textFill>
            <w14:solidFill>
              <w14:schemeClr w14:val="tx1"/>
            </w14:solidFill>
          </w14:textFill>
        </w:rPr>
        <w:t>递交投标文件的截止时间（投标截止时间，下同）为2024年</w:t>
      </w:r>
      <w:r>
        <w:rPr>
          <w:rFonts w:hint="eastAsia" w:ascii="宋体" w:hAnsi="宋体" w:cs="宋体"/>
          <w:color w:val="000000" w:themeColor="text1"/>
          <w:highlight w:val="none"/>
          <w:lang w:val="en-US" w:eastAsia="zh-CN"/>
          <w14:textFill>
            <w14:solidFill>
              <w14:schemeClr w14:val="tx1"/>
            </w14:solidFill>
          </w14:textFill>
        </w:rPr>
        <w:t>10</w:t>
      </w:r>
      <w:r>
        <w:rPr>
          <w:rFonts w:hint="eastAsia" w:ascii="宋体" w:hAnsi="宋体" w:cs="宋体"/>
          <w:color w:val="000000" w:themeColor="text1"/>
          <w:highlight w:val="none"/>
          <w14:textFill>
            <w14:solidFill>
              <w14:schemeClr w14:val="tx1"/>
            </w14:solidFill>
          </w14:textFill>
        </w:rPr>
        <w:t>月</w:t>
      </w:r>
      <w:r>
        <w:rPr>
          <w:rFonts w:hint="eastAsia" w:ascii="宋体" w:hAnsi="宋体" w:cs="宋体"/>
          <w:color w:val="000000" w:themeColor="text1"/>
          <w:highlight w:val="none"/>
          <w:lang w:val="en-US" w:eastAsia="zh-CN"/>
          <w14:textFill>
            <w14:solidFill>
              <w14:schemeClr w14:val="tx1"/>
            </w14:solidFill>
          </w14:textFill>
        </w:rPr>
        <w:t>11</w:t>
      </w:r>
      <w:r>
        <w:rPr>
          <w:rFonts w:hint="eastAsia" w:ascii="宋体" w:hAnsi="宋体" w:cs="宋体"/>
          <w:color w:val="000000" w:themeColor="text1"/>
          <w:highlight w:val="none"/>
          <w14:textFill>
            <w14:solidFill>
              <w14:schemeClr w14:val="tx1"/>
            </w14:solidFill>
          </w14:textFill>
        </w:rPr>
        <w:t>日9时</w:t>
      </w:r>
      <w:r>
        <w:rPr>
          <w:rFonts w:hint="eastAsia" w:ascii="宋体" w:hAnsi="宋体" w:cs="宋体"/>
          <w:color w:val="000000" w:themeColor="text1"/>
          <w:highlight w:val="none"/>
          <w:lang w:val="en-US" w:eastAsia="zh-CN"/>
          <w14:textFill>
            <w14:solidFill>
              <w14:schemeClr w14:val="tx1"/>
            </w14:solidFill>
          </w14:textFill>
        </w:rPr>
        <w:t>30</w:t>
      </w:r>
      <w:r>
        <w:rPr>
          <w:rFonts w:hint="eastAsia" w:ascii="宋体" w:hAnsi="宋体" w:cs="宋体"/>
          <w:color w:val="000000" w:themeColor="text1"/>
          <w:highlight w:val="none"/>
          <w14:textFill>
            <w14:solidFill>
              <w14:schemeClr w14:val="tx1"/>
            </w14:solidFill>
          </w14:textFill>
        </w:rPr>
        <w:t>分，投标人应于当日9时</w:t>
      </w:r>
      <w:r>
        <w:rPr>
          <w:rFonts w:hint="eastAsia" w:ascii="宋体" w:hAnsi="宋体" w:cs="宋体"/>
          <w:color w:val="000000" w:themeColor="text1"/>
          <w:highlight w:val="none"/>
          <w:lang w:val="en-US" w:eastAsia="zh-CN"/>
          <w14:textFill>
            <w14:solidFill>
              <w14:schemeClr w14:val="tx1"/>
            </w14:solidFill>
          </w14:textFill>
        </w:rPr>
        <w:t>30</w:t>
      </w:r>
      <w:r>
        <w:rPr>
          <w:rFonts w:hint="eastAsia" w:ascii="宋体" w:hAnsi="宋体" w:cs="宋体"/>
          <w:color w:val="000000" w:themeColor="text1"/>
          <w:highlight w:val="none"/>
          <w14:textFill>
            <w14:solidFill>
              <w14:schemeClr w14:val="tx1"/>
            </w14:solidFill>
          </w14:textFill>
        </w:rPr>
        <w:t>分前将投标文件递交至南通市公路事业发展中心1楼信访接待室</w:t>
      </w:r>
      <w:r>
        <w:rPr>
          <w:rFonts w:hint="eastAsia" w:ascii="宋体" w:hAnsi="宋体" w:cs="宋体"/>
          <w:b/>
          <w:bCs/>
          <w:color w:val="000000" w:themeColor="text1"/>
          <w:szCs w:val="21"/>
          <w:highlight w:val="none"/>
          <w:u w:val="single"/>
          <w14:textFill>
            <w14:solidFill>
              <w14:schemeClr w14:val="tx1"/>
            </w14:solidFill>
          </w14:textFill>
        </w:rPr>
        <w:t>（地址：南通市跃龙路4号），如有变动另行通知。逾期送达的或者未送达指定地点的投标文件，招标人不予受理。</w:t>
      </w:r>
      <w:r>
        <w:rPr>
          <w:rFonts w:hint="eastAsia" w:ascii="宋体" w:hAnsi="宋体" w:cs="宋体"/>
          <w:b/>
          <w:bCs/>
          <w:color w:val="000000" w:themeColor="text1"/>
          <w:highlight w:val="none"/>
          <w:u w:val="single"/>
          <w14:textFill>
            <w14:solidFill>
              <w14:schemeClr w14:val="tx1"/>
            </w14:solidFill>
          </w14:textFill>
        </w:rPr>
        <w:t>请投标人注意提前熟悉会场，避免迟到。</w:t>
      </w:r>
    </w:p>
    <w:p>
      <w:pPr>
        <w:adjustRightInd w:val="0"/>
        <w:snapToGrid w:val="0"/>
        <w:spacing w:line="360" w:lineRule="auto"/>
        <w:ind w:firstLine="420" w:firstLineChars="200"/>
        <w:rPr>
          <w:rFonts w:ascii="宋体" w:hAnsi="宋体" w:cs="宋体"/>
          <w:highlight w:val="none"/>
        </w:rPr>
      </w:pPr>
      <w:r>
        <w:rPr>
          <w:rFonts w:hint="eastAsia" w:ascii="宋体" w:hAnsi="宋体" w:cs="宋体"/>
          <w:highlight w:val="none"/>
        </w:rPr>
        <w:t>2、定于本项目投标截止同一时间在上述投标地点公开开标，</w:t>
      </w:r>
      <w:r>
        <w:rPr>
          <w:rFonts w:hint="eastAsia" w:ascii="宋体" w:hAnsi="宋体" w:cs="宋体"/>
          <w:b/>
          <w:highlight w:val="none"/>
          <w:u w:val="single"/>
        </w:rPr>
        <w:t>投标人应派法人代表或其委托代理人携带有效身份证明出席</w:t>
      </w:r>
      <w:r>
        <w:rPr>
          <w:rFonts w:hint="eastAsia" w:ascii="宋体" w:hAnsi="宋体" w:cs="宋体"/>
          <w:highlight w:val="none"/>
        </w:rPr>
        <w:t>。若未前来出席开标会，则视为默认开标结果。</w:t>
      </w:r>
    </w:p>
    <w:p>
      <w:pPr>
        <w:pStyle w:val="15"/>
        <w:topLinePunct/>
        <w:adjustRightInd w:val="0"/>
        <w:snapToGrid w:val="0"/>
        <w:spacing w:line="360" w:lineRule="auto"/>
        <w:rPr>
          <w:rFonts w:ascii="Garamond" w:hAnsi="Garamond"/>
          <w:b/>
          <w:bCs/>
          <w:highlight w:val="none"/>
        </w:rPr>
      </w:pPr>
      <w:r>
        <w:rPr>
          <w:rFonts w:hint="eastAsia" w:ascii="Garamond" w:hAnsi="Garamond"/>
          <w:b/>
          <w:bCs/>
          <w:highlight w:val="none"/>
        </w:rPr>
        <w:t>七、</w:t>
      </w:r>
      <w:r>
        <w:rPr>
          <w:rFonts w:ascii="Garamond" w:hAnsi="Garamond"/>
          <w:b/>
          <w:bCs/>
          <w:highlight w:val="none"/>
        </w:rPr>
        <w:t>发布公告的媒介</w:t>
      </w:r>
    </w:p>
    <w:p>
      <w:pPr>
        <w:pStyle w:val="15"/>
        <w:topLinePunct/>
        <w:adjustRightInd w:val="0"/>
        <w:snapToGrid w:val="0"/>
        <w:spacing w:line="360" w:lineRule="auto"/>
        <w:ind w:firstLine="420" w:firstLineChars="200"/>
        <w:rPr>
          <w:rFonts w:ascii="Garamond" w:hAnsi="Garamond"/>
          <w:sz w:val="21"/>
          <w:szCs w:val="24"/>
          <w:highlight w:val="none"/>
        </w:rPr>
      </w:pPr>
      <w:r>
        <w:rPr>
          <w:rFonts w:ascii="Garamond" w:hAnsi="Garamond"/>
          <w:sz w:val="21"/>
          <w:szCs w:val="24"/>
          <w:highlight w:val="none"/>
        </w:rPr>
        <w:t>本次招标公告在南通市交通运输局网站（http://jtysj.nantong.gov.cn）上</w:t>
      </w:r>
      <w:r>
        <w:rPr>
          <w:rFonts w:hint="eastAsia" w:ascii="Garamond" w:hAnsi="Garamond"/>
          <w:sz w:val="21"/>
          <w:szCs w:val="24"/>
          <w:highlight w:val="none"/>
        </w:rPr>
        <w:t>发布</w:t>
      </w:r>
      <w:r>
        <w:rPr>
          <w:rFonts w:ascii="Garamond" w:hAnsi="Garamond"/>
          <w:sz w:val="21"/>
          <w:szCs w:val="24"/>
          <w:highlight w:val="none"/>
        </w:rPr>
        <w:t>。南通市交通运输局网站是本项目招标公告、招标文件澄清、</w:t>
      </w:r>
      <w:r>
        <w:rPr>
          <w:rFonts w:hint="eastAsia" w:ascii="Garamond" w:hAnsi="Garamond"/>
          <w:sz w:val="21"/>
          <w:szCs w:val="24"/>
          <w:highlight w:val="none"/>
        </w:rPr>
        <w:t>补遗书、</w:t>
      </w:r>
      <w:r>
        <w:rPr>
          <w:rFonts w:hint="eastAsia" w:ascii="Garamond" w:hAnsi="Garamond"/>
          <w:sz w:val="21"/>
          <w:szCs w:val="24"/>
          <w:highlight w:val="none"/>
          <w:lang w:val="en-US" w:eastAsia="zh-CN"/>
        </w:rPr>
        <w:t>评标结果</w:t>
      </w:r>
      <w:r>
        <w:rPr>
          <w:rFonts w:hint="eastAsia" w:ascii="Garamond" w:hAnsi="Garamond"/>
          <w:sz w:val="21"/>
          <w:szCs w:val="24"/>
          <w:highlight w:val="none"/>
        </w:rPr>
        <w:t>公示、</w:t>
      </w:r>
      <w:r>
        <w:rPr>
          <w:rFonts w:ascii="Garamond" w:hAnsi="Garamond"/>
          <w:sz w:val="21"/>
          <w:szCs w:val="24"/>
          <w:highlight w:val="none"/>
        </w:rPr>
        <w:t>中标公</w:t>
      </w:r>
      <w:r>
        <w:rPr>
          <w:rFonts w:hint="eastAsia" w:ascii="Garamond" w:hAnsi="Garamond"/>
          <w:sz w:val="21"/>
          <w:szCs w:val="24"/>
          <w:highlight w:val="none"/>
        </w:rPr>
        <w:t>告</w:t>
      </w:r>
      <w:r>
        <w:rPr>
          <w:rFonts w:ascii="Garamond" w:hAnsi="Garamond"/>
          <w:sz w:val="21"/>
          <w:szCs w:val="24"/>
          <w:highlight w:val="none"/>
        </w:rPr>
        <w:t>等招标信息约定的唯一公开发布媒介。</w:t>
      </w:r>
    </w:p>
    <w:p>
      <w:pPr>
        <w:topLinePunct/>
        <w:adjustRightInd w:val="0"/>
        <w:snapToGrid w:val="0"/>
        <w:spacing w:line="360" w:lineRule="auto"/>
        <w:rPr>
          <w:rFonts w:ascii="Garamond" w:hAnsi="Garamond"/>
          <w:b/>
          <w:bCs/>
          <w:sz w:val="24"/>
          <w:highlight w:val="none"/>
        </w:rPr>
      </w:pPr>
      <w:bookmarkStart w:id="38" w:name="_Toc90106646"/>
      <w:bookmarkStart w:id="39" w:name="_Toc90105077"/>
      <w:bookmarkStart w:id="40" w:name="_Toc90106008"/>
      <w:bookmarkStart w:id="41" w:name="_Toc90105827"/>
      <w:bookmarkStart w:id="42" w:name="_Toc90104559"/>
      <w:bookmarkStart w:id="43" w:name="_Toc89848287"/>
      <w:bookmarkStart w:id="44" w:name="_Toc90106827"/>
      <w:bookmarkStart w:id="45" w:name="_Toc90105454"/>
      <w:bookmarkStart w:id="46" w:name="_Toc90106189"/>
      <w:bookmarkStart w:id="47" w:name="_Toc90105266"/>
      <w:bookmarkStart w:id="48" w:name="_Toc90105641"/>
      <w:bookmarkStart w:id="49" w:name="_Toc92015769"/>
      <w:r>
        <w:rPr>
          <w:rFonts w:hint="eastAsia" w:ascii="Garamond" w:hAnsi="Garamond" w:cs="宋体"/>
          <w:b/>
          <w:bCs/>
          <w:sz w:val="24"/>
          <w:highlight w:val="none"/>
        </w:rPr>
        <w:t>八、</w:t>
      </w:r>
      <w:r>
        <w:rPr>
          <w:rFonts w:ascii="Garamond" w:hAnsi="Garamond" w:cs="宋体"/>
          <w:b/>
          <w:bCs/>
          <w:sz w:val="24"/>
          <w:highlight w:val="none"/>
        </w:rPr>
        <w:t>联系方式</w:t>
      </w:r>
      <w:bookmarkEnd w:id="38"/>
      <w:bookmarkEnd w:id="39"/>
      <w:bookmarkEnd w:id="40"/>
      <w:bookmarkEnd w:id="41"/>
      <w:bookmarkEnd w:id="42"/>
      <w:bookmarkEnd w:id="43"/>
      <w:bookmarkEnd w:id="44"/>
      <w:bookmarkEnd w:id="45"/>
      <w:bookmarkEnd w:id="46"/>
      <w:bookmarkEnd w:id="47"/>
      <w:bookmarkEnd w:id="48"/>
      <w:bookmarkEnd w:id="49"/>
    </w:p>
    <w:p>
      <w:pPr>
        <w:adjustRightInd w:val="0"/>
        <w:snapToGrid w:val="0"/>
        <w:spacing w:line="360" w:lineRule="auto"/>
        <w:ind w:firstLine="420" w:firstLineChars="200"/>
        <w:rPr>
          <w:rFonts w:ascii="Garamond" w:hAnsi="Garamond"/>
          <w:highlight w:val="none"/>
        </w:rPr>
      </w:pPr>
      <w:r>
        <w:rPr>
          <w:rFonts w:ascii="Garamond" w:hAnsi="Garamond"/>
          <w:highlight w:val="none"/>
        </w:rPr>
        <w:t>招 标 人：南通市公路事业发展中心</w:t>
      </w:r>
    </w:p>
    <w:p>
      <w:pPr>
        <w:adjustRightInd w:val="0"/>
        <w:snapToGrid w:val="0"/>
        <w:spacing w:line="360" w:lineRule="auto"/>
        <w:ind w:firstLine="420" w:firstLineChars="200"/>
        <w:rPr>
          <w:rFonts w:ascii="Garamond" w:hAnsi="Garamond"/>
          <w:highlight w:val="none"/>
        </w:rPr>
      </w:pPr>
      <w:r>
        <w:rPr>
          <w:rFonts w:ascii="Garamond" w:hAnsi="Garamond"/>
          <w:highlight w:val="none"/>
        </w:rPr>
        <w:t>地    址：江苏省南通市跃龙路4号</w:t>
      </w:r>
    </w:p>
    <w:p>
      <w:pPr>
        <w:adjustRightInd w:val="0"/>
        <w:snapToGrid w:val="0"/>
        <w:spacing w:line="360" w:lineRule="auto"/>
        <w:ind w:firstLine="420" w:firstLineChars="200"/>
        <w:rPr>
          <w:rFonts w:ascii="Garamond" w:hAnsi="Garamond"/>
          <w:highlight w:val="none"/>
        </w:rPr>
      </w:pPr>
      <w:r>
        <w:rPr>
          <w:rFonts w:ascii="Garamond" w:hAnsi="Garamond"/>
          <w:highlight w:val="none"/>
        </w:rPr>
        <w:t>邮    编：226001</w:t>
      </w:r>
    </w:p>
    <w:p>
      <w:pPr>
        <w:adjustRightInd w:val="0"/>
        <w:snapToGrid w:val="0"/>
        <w:spacing w:line="360" w:lineRule="auto"/>
        <w:ind w:firstLine="420" w:firstLineChars="200"/>
        <w:rPr>
          <w:rFonts w:ascii="Garamond" w:hAnsi="Garamond"/>
          <w:highlight w:val="none"/>
        </w:rPr>
      </w:pPr>
      <w:r>
        <w:rPr>
          <w:rFonts w:ascii="Garamond" w:hAnsi="Garamond"/>
          <w:highlight w:val="none"/>
        </w:rPr>
        <w:t>联 系 人：荣慧</w:t>
      </w:r>
    </w:p>
    <w:p>
      <w:pPr>
        <w:adjustRightInd w:val="0"/>
        <w:snapToGrid w:val="0"/>
        <w:spacing w:line="360" w:lineRule="auto"/>
        <w:ind w:firstLine="420" w:firstLineChars="200"/>
        <w:rPr>
          <w:rFonts w:ascii="Garamond" w:hAnsi="Garamond"/>
          <w:highlight w:val="none"/>
        </w:rPr>
      </w:pPr>
      <w:r>
        <w:rPr>
          <w:rFonts w:ascii="Garamond" w:hAnsi="Garamond"/>
          <w:highlight w:val="none"/>
        </w:rPr>
        <w:t>电    话：0513-85524439</w:t>
      </w:r>
    </w:p>
    <w:p>
      <w:pPr>
        <w:adjustRightInd w:val="0"/>
        <w:snapToGrid w:val="0"/>
        <w:spacing w:line="360" w:lineRule="auto"/>
        <w:ind w:firstLine="420" w:firstLineChars="200"/>
        <w:rPr>
          <w:rFonts w:ascii="Garamond" w:hAnsi="Garamond"/>
          <w:color w:val="000000" w:themeColor="text1"/>
          <w:highlight w:val="none"/>
          <w14:textFill>
            <w14:solidFill>
              <w14:schemeClr w14:val="tx1"/>
            </w14:solidFill>
          </w14:textFill>
        </w:rPr>
      </w:pPr>
      <w:r>
        <w:rPr>
          <w:rFonts w:hint="eastAsia" w:ascii="Garamond" w:hAnsi="Garamond"/>
          <w:color w:val="000000" w:themeColor="text1"/>
          <w:highlight w:val="none"/>
          <w14:textFill>
            <w14:solidFill>
              <w14:schemeClr w14:val="tx1"/>
            </w14:solidFill>
          </w14:textFill>
        </w:rPr>
        <w:t>招标代理：江苏睿致诚工程咨询有限公司</w:t>
      </w:r>
    </w:p>
    <w:p>
      <w:pPr>
        <w:adjustRightInd w:val="0"/>
        <w:snapToGrid w:val="0"/>
        <w:spacing w:line="360" w:lineRule="auto"/>
        <w:ind w:firstLine="420" w:firstLineChars="200"/>
        <w:rPr>
          <w:rFonts w:ascii="Garamond" w:hAnsi="Garamond"/>
          <w:color w:val="000000" w:themeColor="text1"/>
          <w:highlight w:val="none"/>
          <w14:textFill>
            <w14:solidFill>
              <w14:schemeClr w14:val="tx1"/>
            </w14:solidFill>
          </w14:textFill>
        </w:rPr>
      </w:pPr>
      <w:r>
        <w:rPr>
          <w:rFonts w:hint="eastAsia" w:ascii="Garamond" w:hAnsi="Garamond"/>
          <w:color w:val="000000" w:themeColor="text1"/>
          <w:highlight w:val="none"/>
          <w14:textFill>
            <w14:solidFill>
              <w14:schemeClr w14:val="tx1"/>
            </w14:solidFill>
          </w14:textFill>
        </w:rPr>
        <w:t>地址：南京市江宁区江南路697号金轮星际中心A1栋7楼</w:t>
      </w:r>
    </w:p>
    <w:p>
      <w:pPr>
        <w:adjustRightInd w:val="0"/>
        <w:snapToGrid w:val="0"/>
        <w:spacing w:line="360" w:lineRule="auto"/>
        <w:ind w:firstLine="420" w:firstLineChars="200"/>
        <w:rPr>
          <w:rFonts w:ascii="Garamond" w:hAnsi="Garamond"/>
          <w:color w:val="000000" w:themeColor="text1"/>
          <w:highlight w:val="none"/>
          <w14:textFill>
            <w14:solidFill>
              <w14:schemeClr w14:val="tx1"/>
            </w14:solidFill>
          </w14:textFill>
        </w:rPr>
      </w:pPr>
      <w:r>
        <w:rPr>
          <w:rFonts w:hint="eastAsia" w:ascii="Garamond" w:hAnsi="Garamond"/>
          <w:color w:val="000000" w:themeColor="text1"/>
          <w:highlight w:val="none"/>
          <w14:textFill>
            <w14:solidFill>
              <w14:schemeClr w14:val="tx1"/>
            </w14:solidFill>
          </w14:textFill>
        </w:rPr>
        <w:t>电话：18932207883（陈小龙）、13814662273（周天豪）</w:t>
      </w:r>
    </w:p>
    <w:p>
      <w:pPr>
        <w:adjustRightInd w:val="0"/>
        <w:snapToGrid w:val="0"/>
        <w:spacing w:line="360" w:lineRule="auto"/>
        <w:ind w:firstLine="420" w:firstLineChars="200"/>
        <w:rPr>
          <w:rFonts w:ascii="Garamond" w:hAnsi="Garamond"/>
          <w:color w:val="000000" w:themeColor="text1"/>
          <w:highlight w:val="none"/>
          <w14:textFill>
            <w14:solidFill>
              <w14:schemeClr w14:val="tx1"/>
            </w14:solidFill>
          </w14:textFill>
        </w:rPr>
      </w:pPr>
      <w:r>
        <w:rPr>
          <w:rFonts w:hint="eastAsia" w:ascii="Garamond" w:hAnsi="Garamond"/>
          <w:color w:val="000000" w:themeColor="text1"/>
          <w:highlight w:val="none"/>
          <w14:textFill>
            <w14:solidFill>
              <w14:schemeClr w14:val="tx1"/>
            </w14:solidFill>
          </w14:textFill>
        </w:rPr>
        <w:t>联系人：陈小龙、周天豪</w:t>
      </w:r>
    </w:p>
    <w:p>
      <w:pPr>
        <w:adjustRightInd w:val="0"/>
        <w:snapToGrid w:val="0"/>
        <w:spacing w:line="360" w:lineRule="auto"/>
        <w:ind w:firstLine="420" w:firstLineChars="200"/>
        <w:rPr>
          <w:rFonts w:ascii="Garamond" w:hAnsi="Garamond"/>
          <w:color w:val="000000" w:themeColor="text1"/>
          <w:highlight w:val="none"/>
          <w14:textFill>
            <w14:solidFill>
              <w14:schemeClr w14:val="tx1"/>
            </w14:solidFill>
          </w14:textFill>
        </w:rPr>
      </w:pPr>
      <w:r>
        <w:rPr>
          <w:rFonts w:hint="eastAsia" w:ascii="Garamond" w:hAnsi="Garamond"/>
          <w:color w:val="000000" w:themeColor="text1"/>
          <w:highlight w:val="none"/>
          <w14:textFill>
            <w14:solidFill>
              <w14:schemeClr w14:val="tx1"/>
            </w14:solidFill>
          </w14:textFill>
        </w:rPr>
        <w:t>Email：</w:t>
      </w:r>
      <w:r>
        <w:rPr>
          <w:highlight w:val="none"/>
        </w:rPr>
        <w:t>jsrzcnt@126.com</w:t>
      </w:r>
    </w:p>
    <w:p>
      <w:pPr>
        <w:pStyle w:val="15"/>
        <w:wordWrap w:val="0"/>
        <w:spacing w:line="360" w:lineRule="auto"/>
        <w:jc w:val="right"/>
        <w:rPr>
          <w:rFonts w:ascii="Garamond" w:hAnsi="Garamond"/>
          <w:sz w:val="21"/>
          <w:szCs w:val="24"/>
          <w:highlight w:val="none"/>
        </w:rPr>
      </w:pPr>
      <w:r>
        <w:rPr>
          <w:rFonts w:hint="eastAsia" w:ascii="Garamond" w:hAnsi="Garamond"/>
          <w:sz w:val="21"/>
          <w:szCs w:val="24"/>
          <w:highlight w:val="none"/>
        </w:rPr>
        <w:t>2024年</w:t>
      </w:r>
      <w:r>
        <w:rPr>
          <w:rFonts w:hint="eastAsia" w:ascii="Garamond" w:hAnsi="Garamond"/>
          <w:sz w:val="21"/>
          <w:szCs w:val="24"/>
          <w:highlight w:val="none"/>
          <w:lang w:val="en-US" w:eastAsia="zh-CN"/>
        </w:rPr>
        <w:t>9</w:t>
      </w:r>
      <w:r>
        <w:rPr>
          <w:rFonts w:hint="eastAsia" w:ascii="Garamond" w:hAnsi="Garamond"/>
          <w:sz w:val="21"/>
          <w:szCs w:val="24"/>
          <w:highlight w:val="none"/>
        </w:rPr>
        <w:t>月</w:t>
      </w:r>
      <w:r>
        <w:rPr>
          <w:rFonts w:hint="eastAsia" w:ascii="Garamond" w:hAnsi="Garamond"/>
          <w:sz w:val="21"/>
          <w:szCs w:val="24"/>
          <w:highlight w:val="none"/>
          <w:lang w:val="en-US" w:eastAsia="zh-CN"/>
        </w:rPr>
        <w:t>20</w:t>
      </w:r>
      <w:r>
        <w:rPr>
          <w:rFonts w:hint="eastAsia" w:ascii="Garamond" w:hAnsi="Garamond"/>
          <w:sz w:val="21"/>
          <w:szCs w:val="24"/>
          <w:highlight w:val="none"/>
        </w:rPr>
        <w:t>日</w:t>
      </w:r>
    </w:p>
    <w:p>
      <w:pPr>
        <w:pStyle w:val="15"/>
        <w:spacing w:line="360" w:lineRule="auto"/>
        <w:ind w:firstLine="420" w:firstLineChars="200"/>
        <w:rPr>
          <w:rFonts w:ascii="Garamond" w:hAnsi="Garamond"/>
          <w:kern w:val="0"/>
          <w:sz w:val="21"/>
          <w:szCs w:val="21"/>
          <w:highlight w:val="none"/>
        </w:rPr>
      </w:pPr>
      <w:r>
        <w:rPr>
          <w:rFonts w:ascii="Garamond" w:hAnsi="Garamond"/>
          <w:kern w:val="0"/>
          <w:sz w:val="21"/>
          <w:szCs w:val="21"/>
          <w:highlight w:val="none"/>
        </w:rPr>
        <w:t>注：上述时间均为北京时间。具体事宜请与招标代理联系。</w:t>
      </w:r>
    </w:p>
    <w:p>
      <w:pPr>
        <w:pStyle w:val="15"/>
        <w:spacing w:line="360" w:lineRule="auto"/>
        <w:jc w:val="left"/>
        <w:rPr>
          <w:rFonts w:ascii="Garamond" w:hAnsi="Garamond"/>
          <w:kern w:val="0"/>
          <w:highlight w:val="none"/>
        </w:rPr>
      </w:pPr>
    </w:p>
    <w:p>
      <w:pPr>
        <w:jc w:val="left"/>
        <w:rPr>
          <w:rFonts w:ascii="宋体" w:hAnsi="宋体"/>
          <w:kern w:val="0"/>
          <w:sz w:val="28"/>
          <w:szCs w:val="28"/>
          <w:highlight w:val="none"/>
        </w:rPr>
      </w:pPr>
      <w:r>
        <w:rPr>
          <w:rFonts w:hint="eastAsia" w:ascii="宋体" w:hAnsi="宋体"/>
          <w:kern w:val="0"/>
          <w:sz w:val="28"/>
          <w:szCs w:val="28"/>
          <w:highlight w:val="none"/>
        </w:rPr>
        <w:br w:type="page"/>
      </w:r>
    </w:p>
    <w:p>
      <w:pPr>
        <w:jc w:val="left"/>
        <w:rPr>
          <w:rFonts w:ascii="宋体" w:hAnsi="宋体"/>
          <w:kern w:val="0"/>
          <w:sz w:val="28"/>
          <w:szCs w:val="28"/>
          <w:highlight w:val="none"/>
        </w:rPr>
      </w:pPr>
      <w:r>
        <w:rPr>
          <w:rFonts w:hint="eastAsia" w:ascii="宋体" w:hAnsi="宋体"/>
          <w:kern w:val="0"/>
          <w:sz w:val="28"/>
          <w:szCs w:val="28"/>
          <w:highlight w:val="none"/>
        </w:rPr>
        <w:t>附件1</w:t>
      </w:r>
    </w:p>
    <w:p>
      <w:pPr>
        <w:spacing w:line="420" w:lineRule="exact"/>
        <w:jc w:val="center"/>
        <w:rPr>
          <w:b/>
          <w:kern w:val="0"/>
          <w:sz w:val="32"/>
          <w:szCs w:val="20"/>
          <w:highlight w:val="none"/>
        </w:rPr>
      </w:pPr>
      <w:bookmarkStart w:id="86" w:name="_GoBack"/>
      <w:r>
        <w:rPr>
          <w:rFonts w:hint="eastAsia"/>
          <w:b/>
          <w:kern w:val="0"/>
          <w:sz w:val="32"/>
          <w:szCs w:val="20"/>
          <w:highlight w:val="none"/>
        </w:rPr>
        <w:t>申请函</w:t>
      </w:r>
    </w:p>
    <w:p>
      <w:pPr>
        <w:spacing w:line="420" w:lineRule="exact"/>
        <w:jc w:val="left"/>
        <w:rPr>
          <w:b/>
          <w:kern w:val="0"/>
          <w:sz w:val="32"/>
          <w:szCs w:val="20"/>
          <w:highlight w:val="none"/>
        </w:rPr>
      </w:pPr>
    </w:p>
    <w:p>
      <w:pPr>
        <w:spacing w:line="360" w:lineRule="auto"/>
        <w:jc w:val="left"/>
        <w:rPr>
          <w:rFonts w:ascii="宋体" w:hAnsi="宋体" w:cs="宋体"/>
          <w:b/>
          <w:kern w:val="0"/>
          <w:szCs w:val="21"/>
          <w:highlight w:val="none"/>
          <w:u w:val="single"/>
        </w:rPr>
      </w:pPr>
      <w:r>
        <w:rPr>
          <w:rFonts w:hint="eastAsia" w:ascii="宋体" w:hAnsi="宋体" w:cs="宋体"/>
          <w:b/>
          <w:kern w:val="0"/>
          <w:szCs w:val="21"/>
          <w:highlight w:val="none"/>
        </w:rPr>
        <w:t>致：</w:t>
      </w:r>
      <w:r>
        <w:rPr>
          <w:rFonts w:hint="eastAsia" w:ascii="宋体" w:hAnsi="宋体" w:cs="宋体"/>
          <w:b/>
          <w:kern w:val="0"/>
          <w:szCs w:val="21"/>
          <w:highlight w:val="none"/>
          <w:u w:val="single"/>
        </w:rPr>
        <w:t>南通市公路事业发展中心</w:t>
      </w:r>
    </w:p>
    <w:p>
      <w:pPr>
        <w:spacing w:line="360" w:lineRule="auto"/>
        <w:ind w:firstLine="420" w:firstLineChars="200"/>
        <w:jc w:val="left"/>
        <w:rPr>
          <w:rFonts w:ascii="宋体" w:hAnsi="宋体" w:cs="宋体"/>
          <w:kern w:val="0"/>
          <w:szCs w:val="21"/>
          <w:highlight w:val="none"/>
        </w:rPr>
      </w:pPr>
      <w:r>
        <w:rPr>
          <w:rFonts w:hint="eastAsia" w:ascii="宋体" w:hAnsi="宋体" w:cs="宋体"/>
          <w:kern w:val="0"/>
          <w:szCs w:val="21"/>
          <w:highlight w:val="none"/>
        </w:rPr>
        <w:t>我公司已获悉贵单位发出的</w:t>
      </w:r>
      <w:r>
        <w:rPr>
          <w:rFonts w:hint="eastAsia" w:ascii="宋体" w:hAnsi="宋体" w:cs="宋体"/>
          <w:spacing w:val="7"/>
          <w:kern w:val="0"/>
          <w:szCs w:val="21"/>
          <w:highlight w:val="none"/>
          <w:u w:val="single"/>
        </w:rPr>
        <w:t xml:space="preserve"> </w:t>
      </w:r>
      <w:r>
        <w:rPr>
          <w:rFonts w:ascii="宋体" w:hAnsi="宋体" w:cs="宋体"/>
          <w:spacing w:val="7"/>
          <w:kern w:val="0"/>
          <w:szCs w:val="21"/>
          <w:highlight w:val="none"/>
          <w:u w:val="single"/>
        </w:rPr>
        <w:t xml:space="preserve">                           </w:t>
      </w:r>
      <w:r>
        <w:rPr>
          <w:rFonts w:hint="eastAsia" w:ascii="宋体" w:hAnsi="宋体" w:cs="宋体"/>
          <w:spacing w:val="7"/>
          <w:kern w:val="0"/>
          <w:szCs w:val="21"/>
          <w:highlight w:val="none"/>
        </w:rPr>
        <w:t>招标公告</w:t>
      </w:r>
      <w:r>
        <w:rPr>
          <w:rFonts w:hint="eastAsia" w:ascii="宋体" w:hAnsi="宋体" w:cs="宋体"/>
          <w:kern w:val="0"/>
          <w:szCs w:val="21"/>
          <w:highlight w:val="none"/>
        </w:rPr>
        <w:t>，经研究，我单位报名拟参加本项目投标，现申请获取招标文件。</w:t>
      </w:r>
    </w:p>
    <w:p>
      <w:pPr>
        <w:spacing w:line="360" w:lineRule="auto"/>
        <w:ind w:firstLine="420" w:firstLineChars="200"/>
        <w:jc w:val="left"/>
        <w:rPr>
          <w:rFonts w:ascii="宋体" w:hAnsi="宋体" w:cs="宋体"/>
          <w:kern w:val="0"/>
          <w:szCs w:val="21"/>
          <w:highlight w:val="none"/>
        </w:rPr>
      </w:pPr>
    </w:p>
    <w:p>
      <w:pPr>
        <w:spacing w:line="360" w:lineRule="auto"/>
        <w:ind w:firstLine="420" w:firstLineChars="200"/>
        <w:jc w:val="left"/>
        <w:rPr>
          <w:rFonts w:ascii="宋体" w:hAnsi="宋体" w:cs="宋体"/>
          <w:kern w:val="0"/>
          <w:szCs w:val="21"/>
          <w:highlight w:val="none"/>
        </w:rPr>
      </w:pPr>
      <w:r>
        <w:rPr>
          <w:rFonts w:hint="eastAsia" w:ascii="宋体" w:hAnsi="宋体" w:cs="宋体"/>
          <w:kern w:val="0"/>
          <w:szCs w:val="21"/>
          <w:highlight w:val="none"/>
        </w:rPr>
        <w:t>联系人：</w:t>
      </w:r>
    </w:p>
    <w:p>
      <w:pPr>
        <w:spacing w:line="360" w:lineRule="auto"/>
        <w:ind w:firstLine="420" w:firstLineChars="200"/>
        <w:jc w:val="left"/>
        <w:rPr>
          <w:rFonts w:ascii="宋体" w:hAnsi="宋体" w:cs="宋体"/>
          <w:kern w:val="0"/>
          <w:szCs w:val="21"/>
          <w:highlight w:val="none"/>
        </w:rPr>
      </w:pPr>
      <w:r>
        <w:rPr>
          <w:rFonts w:hint="eastAsia" w:ascii="宋体" w:hAnsi="宋体" w:cs="宋体"/>
          <w:kern w:val="0"/>
          <w:szCs w:val="21"/>
          <w:highlight w:val="none"/>
        </w:rPr>
        <w:t>联系电话：</w:t>
      </w:r>
    </w:p>
    <w:p>
      <w:pPr>
        <w:spacing w:line="360" w:lineRule="auto"/>
        <w:ind w:firstLine="420" w:firstLineChars="200"/>
        <w:jc w:val="left"/>
        <w:rPr>
          <w:rFonts w:ascii="宋体" w:hAnsi="宋体" w:cs="宋体"/>
          <w:kern w:val="0"/>
          <w:szCs w:val="21"/>
          <w:highlight w:val="none"/>
          <w:lang w:val="zh-CN"/>
        </w:rPr>
      </w:pPr>
      <w:r>
        <w:rPr>
          <w:rFonts w:hint="eastAsia" w:ascii="宋体" w:hAnsi="宋体" w:cs="宋体"/>
          <w:kern w:val="0"/>
          <w:szCs w:val="21"/>
          <w:highlight w:val="none"/>
          <w:lang w:val="zh-CN"/>
        </w:rPr>
        <w:t>E-MAIL地址：</w:t>
      </w:r>
    </w:p>
    <w:p>
      <w:pPr>
        <w:spacing w:line="360" w:lineRule="auto"/>
        <w:jc w:val="left"/>
        <w:rPr>
          <w:rFonts w:cs="宋体"/>
          <w:kern w:val="0"/>
          <w:szCs w:val="21"/>
          <w:highlight w:val="none"/>
          <w:lang w:val="zh-CN"/>
        </w:rPr>
      </w:pPr>
    </w:p>
    <w:p>
      <w:pPr>
        <w:spacing w:line="360" w:lineRule="auto"/>
        <w:jc w:val="left"/>
        <w:rPr>
          <w:rFonts w:cs="宋体"/>
          <w:b/>
          <w:kern w:val="0"/>
          <w:szCs w:val="21"/>
          <w:highlight w:val="none"/>
          <w:lang w:val="zh-CN"/>
        </w:rPr>
      </w:pPr>
    </w:p>
    <w:p>
      <w:pPr>
        <w:spacing w:line="360" w:lineRule="auto"/>
        <w:jc w:val="left"/>
        <w:rPr>
          <w:rFonts w:cs="宋体"/>
          <w:b/>
          <w:kern w:val="0"/>
          <w:szCs w:val="21"/>
          <w:highlight w:val="none"/>
          <w:lang w:val="zh-CN"/>
        </w:rPr>
      </w:pPr>
    </w:p>
    <w:p>
      <w:pPr>
        <w:spacing w:line="360" w:lineRule="auto"/>
        <w:jc w:val="left"/>
        <w:rPr>
          <w:rFonts w:cs="宋体"/>
          <w:b/>
          <w:kern w:val="0"/>
          <w:szCs w:val="21"/>
          <w:highlight w:val="none"/>
          <w:lang w:val="zh-CN"/>
        </w:rPr>
      </w:pPr>
    </w:p>
    <w:p>
      <w:pPr>
        <w:spacing w:line="360" w:lineRule="auto"/>
        <w:ind w:firstLine="4620" w:firstLineChars="2200"/>
        <w:jc w:val="left"/>
        <w:rPr>
          <w:rFonts w:cs="宋体"/>
          <w:kern w:val="0"/>
          <w:szCs w:val="21"/>
          <w:highlight w:val="none"/>
          <w:u w:val="single"/>
          <w:lang w:val="zh-CN"/>
        </w:rPr>
      </w:pPr>
      <w:r>
        <w:rPr>
          <w:rFonts w:hint="eastAsia" w:cs="宋体"/>
          <w:kern w:val="0"/>
          <w:szCs w:val="21"/>
          <w:highlight w:val="none"/>
          <w:lang w:val="zh-CN"/>
        </w:rPr>
        <w:t>单位：</w:t>
      </w:r>
      <w:r>
        <w:rPr>
          <w:rFonts w:hint="eastAsia" w:cs="宋体"/>
          <w:kern w:val="0"/>
          <w:szCs w:val="21"/>
          <w:highlight w:val="none"/>
          <w:u w:val="single"/>
          <w:lang w:val="zh-CN"/>
        </w:rPr>
        <w:t xml:space="preserve"> （盖章）                 </w:t>
      </w:r>
    </w:p>
    <w:p>
      <w:pPr>
        <w:spacing w:line="360" w:lineRule="auto"/>
        <w:ind w:firstLine="5661" w:firstLineChars="2696"/>
        <w:jc w:val="left"/>
        <w:rPr>
          <w:kern w:val="0"/>
          <w:szCs w:val="21"/>
          <w:highlight w:val="none"/>
        </w:rPr>
      </w:pPr>
      <w:r>
        <w:rPr>
          <w:rFonts w:hint="eastAsia" w:cs="宋体"/>
          <w:kern w:val="0"/>
          <w:szCs w:val="21"/>
          <w:highlight w:val="none"/>
          <w:lang w:val="zh-CN"/>
        </w:rPr>
        <w:t>年   月   日</w:t>
      </w:r>
    </w:p>
    <w:p>
      <w:pPr>
        <w:spacing w:line="480" w:lineRule="auto"/>
        <w:ind w:firstLine="480" w:firstLineChars="200"/>
        <w:jc w:val="left"/>
        <w:rPr>
          <w:bCs/>
          <w:sz w:val="24"/>
          <w:highlight w:val="none"/>
          <w:u w:val="single"/>
        </w:rPr>
      </w:pPr>
    </w:p>
    <w:bookmarkEnd w:id="86"/>
    <w:p>
      <w:pPr>
        <w:pStyle w:val="15"/>
        <w:spacing w:line="360" w:lineRule="auto"/>
        <w:jc w:val="left"/>
        <w:rPr>
          <w:rFonts w:ascii="Garamond" w:hAnsi="Garamond"/>
          <w:b/>
          <w:szCs w:val="24"/>
          <w:highlight w:val="none"/>
        </w:rPr>
      </w:pPr>
    </w:p>
    <w:p>
      <w:pPr>
        <w:spacing w:line="360" w:lineRule="auto"/>
        <w:ind w:firstLine="4410" w:firstLineChars="2100"/>
        <w:jc w:val="left"/>
        <w:rPr>
          <w:rFonts w:ascii="Garamond" w:hAnsi="Garamond"/>
          <w:szCs w:val="21"/>
          <w:highlight w:val="none"/>
        </w:rPr>
        <w:sectPr>
          <w:footerReference r:id="rId8" w:type="even"/>
          <w:pgSz w:w="11906" w:h="16838"/>
          <w:pgMar w:top="1418" w:right="1247" w:bottom="1418" w:left="1418" w:header="851" w:footer="680" w:gutter="0"/>
          <w:cols w:space="720" w:num="1"/>
          <w:docGrid w:linePitch="312" w:charSpace="0"/>
        </w:sectPr>
      </w:pPr>
    </w:p>
    <w:p>
      <w:pPr>
        <w:pStyle w:val="2"/>
        <w:spacing w:after="120" w:line="338" w:lineRule="auto"/>
        <w:ind w:firstLine="2380" w:firstLineChars="494"/>
        <w:rPr>
          <w:rFonts w:ascii="Garamond" w:hAnsi="Garamond"/>
          <w:sz w:val="48"/>
          <w:szCs w:val="48"/>
          <w:highlight w:val="none"/>
        </w:rPr>
      </w:pPr>
      <w:bookmarkStart w:id="50" w:name="_Toc353197073"/>
      <w:r>
        <w:rPr>
          <w:rFonts w:ascii="Garamond" w:hAnsi="Garamond"/>
          <w:sz w:val="48"/>
          <w:szCs w:val="48"/>
          <w:highlight w:val="none"/>
        </w:rPr>
        <w:t>第二章  投标人须知</w:t>
      </w:r>
      <w:bookmarkEnd w:id="50"/>
    </w:p>
    <w:p>
      <w:pPr>
        <w:pStyle w:val="117"/>
        <w:spacing w:before="120" w:after="120" w:afterLines="50"/>
        <w:jc w:val="center"/>
        <w:rPr>
          <w:rFonts w:ascii="Garamond" w:hAnsi="Garamond" w:eastAsia="宋体" w:cs="Times New Roman"/>
          <w:b/>
          <w:highlight w:val="none"/>
        </w:rPr>
      </w:pPr>
      <w:bookmarkStart w:id="51" w:name="_Toc234744443"/>
      <w:bookmarkStart w:id="52" w:name="_Toc152042304"/>
      <w:bookmarkStart w:id="53" w:name="_Toc152045528"/>
      <w:bookmarkStart w:id="54" w:name="_Toc144974496"/>
      <w:bookmarkStart w:id="55" w:name="_Toc234675075"/>
      <w:bookmarkStart w:id="56" w:name="_Toc238559184"/>
      <w:bookmarkStart w:id="57" w:name="_Toc179632545"/>
      <w:r>
        <w:rPr>
          <w:rFonts w:ascii="Garamond" w:hAnsi="Garamond" w:eastAsia="宋体" w:cs="Times New Roman"/>
          <w:b/>
          <w:highlight w:val="none"/>
        </w:rPr>
        <w:t>投标人须知前附表</w:t>
      </w:r>
      <w:bookmarkEnd w:id="51"/>
      <w:bookmarkEnd w:id="52"/>
      <w:bookmarkEnd w:id="53"/>
      <w:bookmarkEnd w:id="54"/>
      <w:bookmarkEnd w:id="55"/>
      <w:bookmarkEnd w:id="56"/>
      <w:bookmarkEnd w:id="57"/>
    </w:p>
    <w:tbl>
      <w:tblPr>
        <w:tblStyle w:val="4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31"/>
        <w:gridCol w:w="1869"/>
        <w:gridCol w:w="63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651" w:type="pct"/>
            <w:vAlign w:val="center"/>
          </w:tcPr>
          <w:p>
            <w:pPr>
              <w:jc w:val="center"/>
              <w:rPr>
                <w:highlight w:val="none"/>
              </w:rPr>
            </w:pPr>
            <w:r>
              <w:rPr>
                <w:highlight w:val="none"/>
              </w:rPr>
              <w:t>条款号</w:t>
            </w:r>
          </w:p>
        </w:tc>
        <w:tc>
          <w:tcPr>
            <w:tcW w:w="988" w:type="pct"/>
            <w:vAlign w:val="center"/>
          </w:tcPr>
          <w:p>
            <w:pPr>
              <w:jc w:val="center"/>
              <w:rPr>
                <w:highlight w:val="none"/>
              </w:rPr>
            </w:pPr>
            <w:r>
              <w:rPr>
                <w:highlight w:val="none"/>
              </w:rPr>
              <w:t>条款名称</w:t>
            </w:r>
          </w:p>
        </w:tc>
        <w:tc>
          <w:tcPr>
            <w:tcW w:w="3360" w:type="pct"/>
            <w:vAlign w:val="center"/>
          </w:tcPr>
          <w:p>
            <w:pPr>
              <w:jc w:val="center"/>
              <w:rPr>
                <w:highlight w:val="none"/>
              </w:rPr>
            </w:pPr>
            <w:r>
              <w:rPr>
                <w:highlight w:val="none"/>
              </w:rPr>
              <w:t>编列内容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379" w:hRule="atLeast"/>
          <w:jc w:val="center"/>
        </w:trPr>
        <w:tc>
          <w:tcPr>
            <w:tcW w:w="651" w:type="pct"/>
            <w:vAlign w:val="center"/>
          </w:tcPr>
          <w:p>
            <w:pPr>
              <w:jc w:val="center"/>
              <w:rPr>
                <w:highlight w:val="none"/>
              </w:rPr>
            </w:pPr>
            <w:r>
              <w:rPr>
                <w:highlight w:val="none"/>
              </w:rPr>
              <w:t>1.1.2</w:t>
            </w:r>
          </w:p>
        </w:tc>
        <w:tc>
          <w:tcPr>
            <w:tcW w:w="988" w:type="pct"/>
            <w:vAlign w:val="center"/>
          </w:tcPr>
          <w:p>
            <w:pPr>
              <w:jc w:val="center"/>
              <w:rPr>
                <w:highlight w:val="none"/>
              </w:rPr>
            </w:pPr>
            <w:r>
              <w:rPr>
                <w:highlight w:val="none"/>
              </w:rPr>
              <w:t>招标人</w:t>
            </w:r>
          </w:p>
        </w:tc>
        <w:tc>
          <w:tcPr>
            <w:tcW w:w="3360" w:type="pct"/>
            <w:vAlign w:val="center"/>
          </w:tcPr>
          <w:p>
            <w:pPr>
              <w:rPr>
                <w:highlight w:val="none"/>
              </w:rPr>
            </w:pPr>
            <w:r>
              <w:rPr>
                <w:rFonts w:hint="eastAsia"/>
                <w:highlight w:val="none"/>
              </w:rPr>
              <w:t>招标人：南通市公路事业发展中心</w:t>
            </w:r>
          </w:p>
          <w:p>
            <w:pPr>
              <w:rPr>
                <w:highlight w:val="none"/>
              </w:rPr>
            </w:pPr>
            <w:r>
              <w:rPr>
                <w:rFonts w:hint="eastAsia"/>
                <w:highlight w:val="none"/>
              </w:rPr>
              <w:t>地址：南通市跃龙路4号</w:t>
            </w:r>
          </w:p>
          <w:p>
            <w:pPr>
              <w:rPr>
                <w:highlight w:val="none"/>
              </w:rPr>
            </w:pPr>
            <w:r>
              <w:rPr>
                <w:rFonts w:hint="eastAsia"/>
                <w:highlight w:val="none"/>
              </w:rPr>
              <w:t>邮编：226100</w:t>
            </w:r>
          </w:p>
          <w:p>
            <w:pPr>
              <w:rPr>
                <w:highlight w:val="none"/>
              </w:rPr>
            </w:pPr>
            <w:r>
              <w:rPr>
                <w:rFonts w:hint="eastAsia"/>
                <w:highlight w:val="none"/>
              </w:rPr>
              <w:t>电话：0513-85524439</w:t>
            </w:r>
          </w:p>
          <w:p>
            <w:pPr>
              <w:rPr>
                <w:highlight w:val="none"/>
              </w:rPr>
            </w:pPr>
            <w:r>
              <w:rPr>
                <w:rFonts w:hint="eastAsia"/>
                <w:highlight w:val="none"/>
              </w:rPr>
              <w:t>联系人：荣慧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3" w:hRule="atLeast"/>
          <w:jc w:val="center"/>
        </w:trPr>
        <w:tc>
          <w:tcPr>
            <w:tcW w:w="651" w:type="pct"/>
            <w:vAlign w:val="center"/>
          </w:tcPr>
          <w:p>
            <w:pPr>
              <w:jc w:val="center"/>
              <w:rPr>
                <w:highlight w:val="none"/>
              </w:rPr>
            </w:pPr>
            <w:r>
              <w:rPr>
                <w:highlight w:val="none"/>
              </w:rPr>
              <w:t>1.1.3</w:t>
            </w:r>
          </w:p>
        </w:tc>
        <w:tc>
          <w:tcPr>
            <w:tcW w:w="988" w:type="pct"/>
            <w:vAlign w:val="center"/>
          </w:tcPr>
          <w:p>
            <w:pPr>
              <w:jc w:val="center"/>
              <w:rPr>
                <w:highlight w:val="none"/>
              </w:rPr>
            </w:pPr>
            <w:r>
              <w:rPr>
                <w:highlight w:val="none"/>
              </w:rPr>
              <w:t>招标代理</w:t>
            </w:r>
          </w:p>
        </w:tc>
        <w:tc>
          <w:tcPr>
            <w:tcW w:w="3360" w:type="pct"/>
            <w:vAlign w:val="center"/>
          </w:tcPr>
          <w:p>
            <w:pP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招标代理：江苏睿致诚工程咨询有限公司</w:t>
            </w:r>
          </w:p>
          <w:p>
            <w:pP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地址：南京市江宁区江南路697号金轮星际中心A1栋7楼</w:t>
            </w:r>
          </w:p>
          <w:p>
            <w:pP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电话：18932207883（陈小龙）、13814662273（周天豪）</w:t>
            </w:r>
          </w:p>
          <w:p>
            <w:pP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联系人：陈小龙、周天豪</w:t>
            </w:r>
          </w:p>
          <w:p>
            <w:pPr>
              <w:rPr>
                <w:highlight w:val="none"/>
              </w:rPr>
            </w:pPr>
            <w:r>
              <w:rPr>
                <w:rFonts w:hint="eastAsia"/>
                <w:color w:val="000000" w:themeColor="text1"/>
                <w:highlight w:val="none"/>
                <w14:textFill>
                  <w14:solidFill>
                    <w14:schemeClr w14:val="tx1"/>
                  </w14:solidFill>
                </w14:textFill>
              </w:rPr>
              <w:t>Email：jsrzcnt@126.com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651" w:type="pct"/>
            <w:vAlign w:val="center"/>
          </w:tcPr>
          <w:p>
            <w:pPr>
              <w:jc w:val="center"/>
              <w:rPr>
                <w:highlight w:val="none"/>
              </w:rPr>
            </w:pPr>
            <w:r>
              <w:rPr>
                <w:highlight w:val="none"/>
              </w:rPr>
              <w:t>1.1.4</w:t>
            </w:r>
          </w:p>
        </w:tc>
        <w:tc>
          <w:tcPr>
            <w:tcW w:w="988" w:type="pct"/>
            <w:vAlign w:val="center"/>
          </w:tcPr>
          <w:p>
            <w:pPr>
              <w:jc w:val="center"/>
              <w:rPr>
                <w:highlight w:val="none"/>
              </w:rPr>
            </w:pPr>
            <w:r>
              <w:rPr>
                <w:highlight w:val="none"/>
              </w:rPr>
              <w:t>项目名称</w:t>
            </w:r>
          </w:p>
        </w:tc>
        <w:tc>
          <w:tcPr>
            <w:tcW w:w="3360" w:type="pct"/>
            <w:vAlign w:val="center"/>
          </w:tcPr>
          <w:p>
            <w:pPr>
              <w:rPr>
                <w:highlight w:val="none"/>
              </w:rPr>
            </w:pPr>
            <w:r>
              <w:rPr>
                <w:rFonts w:hint="eastAsia"/>
                <w:highlight w:val="none"/>
              </w:rPr>
              <w:t>2024年南通市农村公路路面技术状况自动化检评数据市级抽核项目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12" w:hRule="atLeast"/>
          <w:jc w:val="center"/>
        </w:trPr>
        <w:tc>
          <w:tcPr>
            <w:tcW w:w="651" w:type="pct"/>
            <w:vAlign w:val="center"/>
          </w:tcPr>
          <w:p>
            <w:pPr>
              <w:jc w:val="center"/>
              <w:rPr>
                <w:highlight w:val="none"/>
              </w:rPr>
            </w:pPr>
            <w:r>
              <w:rPr>
                <w:highlight w:val="none"/>
              </w:rPr>
              <w:t>1.1.5</w:t>
            </w:r>
          </w:p>
        </w:tc>
        <w:tc>
          <w:tcPr>
            <w:tcW w:w="988" w:type="pct"/>
            <w:vAlign w:val="center"/>
          </w:tcPr>
          <w:p>
            <w:pPr>
              <w:jc w:val="center"/>
              <w:rPr>
                <w:highlight w:val="none"/>
              </w:rPr>
            </w:pPr>
            <w:r>
              <w:rPr>
                <w:highlight w:val="none"/>
              </w:rPr>
              <w:t>建设地点</w:t>
            </w:r>
          </w:p>
        </w:tc>
        <w:tc>
          <w:tcPr>
            <w:tcW w:w="3360" w:type="pct"/>
            <w:vAlign w:val="center"/>
          </w:tcPr>
          <w:p>
            <w:pPr>
              <w:rPr>
                <w:highlight w:val="none"/>
              </w:rPr>
            </w:pPr>
            <w:r>
              <w:rPr>
                <w:highlight w:val="none"/>
              </w:rPr>
              <w:t>江苏省南通市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651" w:type="pct"/>
            <w:vAlign w:val="center"/>
          </w:tcPr>
          <w:p>
            <w:pPr>
              <w:jc w:val="center"/>
              <w:rPr>
                <w:highlight w:val="none"/>
              </w:rPr>
            </w:pPr>
            <w:r>
              <w:rPr>
                <w:highlight w:val="none"/>
              </w:rPr>
              <w:t>1.2.1</w:t>
            </w:r>
          </w:p>
        </w:tc>
        <w:tc>
          <w:tcPr>
            <w:tcW w:w="988" w:type="pct"/>
            <w:vAlign w:val="center"/>
          </w:tcPr>
          <w:p>
            <w:pPr>
              <w:jc w:val="center"/>
              <w:rPr>
                <w:highlight w:val="none"/>
              </w:rPr>
            </w:pPr>
            <w:r>
              <w:rPr>
                <w:highlight w:val="none"/>
              </w:rPr>
              <w:t>资金来源</w:t>
            </w:r>
          </w:p>
        </w:tc>
        <w:tc>
          <w:tcPr>
            <w:tcW w:w="3360" w:type="pct"/>
            <w:vAlign w:val="center"/>
          </w:tcPr>
          <w:p>
            <w:pPr>
              <w:rPr>
                <w:highlight w:val="none"/>
              </w:rPr>
            </w:pPr>
            <w:r>
              <w:rPr>
                <w:rFonts w:hint="eastAsia"/>
                <w:highlight w:val="none"/>
              </w:rPr>
              <w:t>江苏省交通养护专项资金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651" w:type="pct"/>
            <w:vAlign w:val="center"/>
          </w:tcPr>
          <w:p>
            <w:pPr>
              <w:jc w:val="center"/>
              <w:rPr>
                <w:highlight w:val="none"/>
              </w:rPr>
            </w:pPr>
            <w:r>
              <w:rPr>
                <w:highlight w:val="none"/>
              </w:rPr>
              <w:t>1.2.2</w:t>
            </w:r>
          </w:p>
        </w:tc>
        <w:tc>
          <w:tcPr>
            <w:tcW w:w="988" w:type="pct"/>
            <w:vAlign w:val="center"/>
          </w:tcPr>
          <w:p>
            <w:pPr>
              <w:jc w:val="center"/>
              <w:rPr>
                <w:highlight w:val="none"/>
              </w:rPr>
            </w:pPr>
            <w:r>
              <w:rPr>
                <w:highlight w:val="none"/>
              </w:rPr>
              <w:t>出资比例</w:t>
            </w:r>
          </w:p>
        </w:tc>
        <w:tc>
          <w:tcPr>
            <w:tcW w:w="3360" w:type="pct"/>
            <w:vAlign w:val="center"/>
          </w:tcPr>
          <w:p>
            <w:pPr>
              <w:rPr>
                <w:highlight w:val="none"/>
              </w:rPr>
            </w:pPr>
            <w:r>
              <w:rPr>
                <w:highlight w:val="none"/>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651" w:type="pct"/>
            <w:vAlign w:val="center"/>
          </w:tcPr>
          <w:p>
            <w:pPr>
              <w:jc w:val="center"/>
              <w:rPr>
                <w:highlight w:val="none"/>
              </w:rPr>
            </w:pPr>
            <w:r>
              <w:rPr>
                <w:highlight w:val="none"/>
              </w:rPr>
              <w:t>1.2.3</w:t>
            </w:r>
          </w:p>
        </w:tc>
        <w:tc>
          <w:tcPr>
            <w:tcW w:w="988" w:type="pct"/>
            <w:vAlign w:val="center"/>
          </w:tcPr>
          <w:p>
            <w:pPr>
              <w:jc w:val="center"/>
              <w:rPr>
                <w:highlight w:val="none"/>
              </w:rPr>
            </w:pPr>
            <w:r>
              <w:rPr>
                <w:highlight w:val="none"/>
              </w:rPr>
              <w:t>资金落实情况</w:t>
            </w:r>
          </w:p>
        </w:tc>
        <w:tc>
          <w:tcPr>
            <w:tcW w:w="3360" w:type="pct"/>
            <w:vAlign w:val="center"/>
          </w:tcPr>
          <w:p>
            <w:pPr>
              <w:rPr>
                <w:highlight w:val="none"/>
              </w:rPr>
            </w:pPr>
            <w:r>
              <w:rPr>
                <w:highlight w:val="none"/>
              </w:rPr>
              <w:t>已落实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12" w:hRule="atLeast"/>
          <w:jc w:val="center"/>
        </w:trPr>
        <w:tc>
          <w:tcPr>
            <w:tcW w:w="651" w:type="pct"/>
            <w:vAlign w:val="center"/>
          </w:tcPr>
          <w:p>
            <w:pPr>
              <w:jc w:val="center"/>
              <w:rPr>
                <w:highlight w:val="none"/>
              </w:rPr>
            </w:pPr>
            <w:r>
              <w:rPr>
                <w:highlight w:val="none"/>
              </w:rPr>
              <w:t>1.3.1</w:t>
            </w:r>
          </w:p>
        </w:tc>
        <w:tc>
          <w:tcPr>
            <w:tcW w:w="988" w:type="pct"/>
            <w:vAlign w:val="center"/>
          </w:tcPr>
          <w:p>
            <w:pPr>
              <w:jc w:val="center"/>
              <w:rPr>
                <w:highlight w:val="none"/>
              </w:rPr>
            </w:pPr>
            <w:r>
              <w:rPr>
                <w:highlight w:val="none"/>
              </w:rPr>
              <w:t>招标范围</w:t>
            </w:r>
          </w:p>
        </w:tc>
        <w:tc>
          <w:tcPr>
            <w:tcW w:w="3360" w:type="pct"/>
            <w:vAlign w:val="center"/>
          </w:tcPr>
          <w:p>
            <w:pPr>
              <w:rPr>
                <w:highlight w:val="none"/>
              </w:rPr>
            </w:pPr>
            <w:r>
              <w:rPr>
                <w:highlight w:val="none"/>
              </w:rPr>
              <w:t>见招标公告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12" w:hRule="atLeast"/>
          <w:jc w:val="center"/>
        </w:trPr>
        <w:tc>
          <w:tcPr>
            <w:tcW w:w="651" w:type="pct"/>
            <w:vAlign w:val="center"/>
          </w:tcPr>
          <w:p>
            <w:pPr>
              <w:jc w:val="center"/>
              <w:rPr>
                <w:highlight w:val="none"/>
              </w:rPr>
            </w:pPr>
            <w:r>
              <w:rPr>
                <w:highlight w:val="none"/>
              </w:rPr>
              <w:t>1.3.2</w:t>
            </w:r>
          </w:p>
        </w:tc>
        <w:tc>
          <w:tcPr>
            <w:tcW w:w="988" w:type="pct"/>
            <w:vAlign w:val="center"/>
          </w:tcPr>
          <w:p>
            <w:pPr>
              <w:jc w:val="center"/>
              <w:rPr>
                <w:highlight w:val="none"/>
              </w:rPr>
            </w:pPr>
            <w:r>
              <w:rPr>
                <w:highlight w:val="none"/>
              </w:rPr>
              <w:t>计划检测服务期</w:t>
            </w:r>
          </w:p>
        </w:tc>
        <w:tc>
          <w:tcPr>
            <w:tcW w:w="3360" w:type="pct"/>
            <w:vAlign w:val="center"/>
          </w:tcPr>
          <w:p>
            <w:pPr>
              <w:rPr>
                <w:highlight w:val="none"/>
              </w:rPr>
            </w:pPr>
            <w:r>
              <w:rPr>
                <w:highlight w:val="none"/>
              </w:rPr>
              <w:t>见招标公告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jc w:val="center"/>
        </w:trPr>
        <w:tc>
          <w:tcPr>
            <w:tcW w:w="651" w:type="pct"/>
            <w:vAlign w:val="center"/>
          </w:tcPr>
          <w:p>
            <w:pPr>
              <w:jc w:val="center"/>
              <w:rPr>
                <w:highlight w:val="none"/>
              </w:rPr>
            </w:pPr>
            <w:r>
              <w:rPr>
                <w:highlight w:val="none"/>
              </w:rPr>
              <w:t>1.4.1</w:t>
            </w:r>
          </w:p>
        </w:tc>
        <w:tc>
          <w:tcPr>
            <w:tcW w:w="988" w:type="pct"/>
            <w:vAlign w:val="center"/>
          </w:tcPr>
          <w:p>
            <w:pPr>
              <w:jc w:val="center"/>
              <w:rPr>
                <w:highlight w:val="none"/>
              </w:rPr>
            </w:pPr>
            <w:r>
              <w:rPr>
                <w:highlight w:val="none"/>
              </w:rPr>
              <w:t>投标人资质条件、能力和信誉</w:t>
            </w:r>
          </w:p>
        </w:tc>
        <w:tc>
          <w:tcPr>
            <w:tcW w:w="3360" w:type="pct"/>
            <w:vAlign w:val="center"/>
          </w:tcPr>
          <w:p>
            <w:pPr>
              <w:rPr>
                <w:highlight w:val="none"/>
              </w:rPr>
            </w:pPr>
            <w:r>
              <w:rPr>
                <w:highlight w:val="none"/>
              </w:rPr>
              <w:t>见招标公告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jc w:val="center"/>
        </w:trPr>
        <w:tc>
          <w:tcPr>
            <w:tcW w:w="651" w:type="pct"/>
            <w:vAlign w:val="center"/>
          </w:tcPr>
          <w:p>
            <w:pPr>
              <w:jc w:val="center"/>
              <w:rPr>
                <w:highlight w:val="none"/>
              </w:rPr>
            </w:pPr>
            <w:r>
              <w:rPr>
                <w:highlight w:val="none"/>
              </w:rPr>
              <w:t>1.4.2</w:t>
            </w:r>
          </w:p>
        </w:tc>
        <w:tc>
          <w:tcPr>
            <w:tcW w:w="988" w:type="pct"/>
            <w:vAlign w:val="center"/>
          </w:tcPr>
          <w:p>
            <w:pPr>
              <w:jc w:val="center"/>
              <w:rPr>
                <w:highlight w:val="none"/>
              </w:rPr>
            </w:pPr>
            <w:r>
              <w:rPr>
                <w:highlight w:val="none"/>
              </w:rPr>
              <w:t>是否接受联合体投标</w:t>
            </w:r>
          </w:p>
        </w:tc>
        <w:tc>
          <w:tcPr>
            <w:tcW w:w="3360" w:type="pct"/>
            <w:vAlign w:val="center"/>
          </w:tcPr>
          <w:p>
            <w:pPr>
              <w:rPr>
                <w:highlight w:val="none"/>
              </w:rPr>
            </w:pPr>
            <w:r>
              <w:rPr>
                <w:highlight w:val="none"/>
              </w:rPr>
              <w:t>不接受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27" w:hRule="atLeast"/>
          <w:jc w:val="center"/>
        </w:trPr>
        <w:tc>
          <w:tcPr>
            <w:tcW w:w="651" w:type="pct"/>
            <w:vAlign w:val="center"/>
          </w:tcPr>
          <w:p>
            <w:pPr>
              <w:jc w:val="center"/>
              <w:rPr>
                <w:highlight w:val="none"/>
              </w:rPr>
            </w:pPr>
            <w:r>
              <w:rPr>
                <w:highlight w:val="none"/>
              </w:rPr>
              <w:t>1.9.1</w:t>
            </w:r>
          </w:p>
        </w:tc>
        <w:tc>
          <w:tcPr>
            <w:tcW w:w="988" w:type="pct"/>
            <w:vAlign w:val="center"/>
          </w:tcPr>
          <w:p>
            <w:pPr>
              <w:jc w:val="center"/>
              <w:rPr>
                <w:highlight w:val="none"/>
              </w:rPr>
            </w:pPr>
            <w:r>
              <w:rPr>
                <w:highlight w:val="none"/>
              </w:rPr>
              <w:t>踏勘现场</w:t>
            </w:r>
          </w:p>
        </w:tc>
        <w:tc>
          <w:tcPr>
            <w:tcW w:w="3360" w:type="pct"/>
            <w:vAlign w:val="center"/>
          </w:tcPr>
          <w:p>
            <w:pPr>
              <w:rPr>
                <w:highlight w:val="none"/>
              </w:rPr>
            </w:pPr>
            <w:r>
              <w:rPr>
                <w:highlight w:val="none"/>
              </w:rPr>
              <w:t>不组织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651" w:type="pct"/>
            <w:vAlign w:val="center"/>
          </w:tcPr>
          <w:p>
            <w:pPr>
              <w:jc w:val="center"/>
              <w:rPr>
                <w:highlight w:val="none"/>
              </w:rPr>
            </w:pPr>
            <w:r>
              <w:rPr>
                <w:highlight w:val="none"/>
              </w:rPr>
              <w:t>1.10.1</w:t>
            </w:r>
          </w:p>
        </w:tc>
        <w:tc>
          <w:tcPr>
            <w:tcW w:w="988" w:type="pct"/>
            <w:vAlign w:val="center"/>
          </w:tcPr>
          <w:p>
            <w:pPr>
              <w:jc w:val="center"/>
              <w:rPr>
                <w:highlight w:val="none"/>
              </w:rPr>
            </w:pPr>
            <w:r>
              <w:rPr>
                <w:highlight w:val="none"/>
              </w:rPr>
              <w:t>投标预备会</w:t>
            </w:r>
          </w:p>
        </w:tc>
        <w:tc>
          <w:tcPr>
            <w:tcW w:w="3360" w:type="pct"/>
            <w:vAlign w:val="center"/>
          </w:tcPr>
          <w:p>
            <w:pPr>
              <w:rPr>
                <w:highlight w:val="none"/>
              </w:rPr>
            </w:pPr>
            <w:r>
              <w:rPr>
                <w:highlight w:val="none"/>
              </w:rPr>
              <w:t>不召开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651" w:type="pct"/>
            <w:vAlign w:val="center"/>
          </w:tcPr>
          <w:p>
            <w:pPr>
              <w:jc w:val="center"/>
              <w:rPr>
                <w:highlight w:val="none"/>
              </w:rPr>
            </w:pPr>
            <w:r>
              <w:rPr>
                <w:highlight w:val="none"/>
              </w:rPr>
              <w:t>1.10.2</w:t>
            </w:r>
          </w:p>
        </w:tc>
        <w:tc>
          <w:tcPr>
            <w:tcW w:w="988" w:type="pct"/>
            <w:vAlign w:val="center"/>
          </w:tcPr>
          <w:p>
            <w:pPr>
              <w:jc w:val="center"/>
              <w:rPr>
                <w:highlight w:val="none"/>
              </w:rPr>
            </w:pPr>
            <w:r>
              <w:rPr>
                <w:highlight w:val="none"/>
              </w:rPr>
              <w:t>投标人提出问题的截止时间</w:t>
            </w:r>
          </w:p>
        </w:tc>
        <w:tc>
          <w:tcPr>
            <w:tcW w:w="3360" w:type="pct"/>
            <w:vAlign w:val="center"/>
          </w:tcPr>
          <w:p>
            <w:pPr>
              <w:rPr>
                <w:highlight w:val="none"/>
              </w:rPr>
            </w:pPr>
            <w:r>
              <w:rPr>
                <w:highlight w:val="none"/>
              </w:rPr>
              <w:t>递交投标文件截止之日10</w:t>
            </w:r>
            <w:r>
              <w:rPr>
                <w:rFonts w:hint="eastAsia"/>
                <w:highlight w:val="none"/>
              </w:rPr>
              <w:t>日</w:t>
            </w:r>
            <w:r>
              <w:rPr>
                <w:highlight w:val="none"/>
              </w:rPr>
              <w:t xml:space="preserve">前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81" w:hRule="atLeast"/>
          <w:jc w:val="center"/>
        </w:trPr>
        <w:tc>
          <w:tcPr>
            <w:tcW w:w="651" w:type="pct"/>
            <w:vAlign w:val="center"/>
          </w:tcPr>
          <w:p>
            <w:pPr>
              <w:jc w:val="center"/>
              <w:rPr>
                <w:highlight w:val="none"/>
              </w:rPr>
            </w:pPr>
            <w:r>
              <w:rPr>
                <w:highlight w:val="none"/>
              </w:rPr>
              <w:t>1.10.3</w:t>
            </w:r>
          </w:p>
        </w:tc>
        <w:tc>
          <w:tcPr>
            <w:tcW w:w="988" w:type="pct"/>
            <w:vAlign w:val="center"/>
          </w:tcPr>
          <w:p>
            <w:pPr>
              <w:jc w:val="center"/>
              <w:rPr>
                <w:highlight w:val="none"/>
              </w:rPr>
            </w:pPr>
            <w:r>
              <w:rPr>
                <w:highlight w:val="none"/>
              </w:rPr>
              <w:t>招标人书面澄清的时间</w:t>
            </w:r>
          </w:p>
        </w:tc>
        <w:tc>
          <w:tcPr>
            <w:tcW w:w="3360" w:type="pct"/>
            <w:vAlign w:val="center"/>
          </w:tcPr>
          <w:p>
            <w:pPr>
              <w:rPr>
                <w:rFonts w:hint="eastAsia"/>
                <w:highlight w:val="none"/>
              </w:rPr>
            </w:pPr>
            <w:r>
              <w:rPr>
                <w:highlight w:val="none"/>
              </w:rPr>
              <w:t>递交投标文件截止之日15</w:t>
            </w:r>
            <w:r>
              <w:rPr>
                <w:rFonts w:hint="eastAsia"/>
                <w:highlight w:val="none"/>
              </w:rPr>
              <w:t>日前</w:t>
            </w:r>
          </w:p>
          <w:p>
            <w:pPr>
              <w:rPr>
                <w:highlight w:val="none"/>
              </w:rPr>
            </w:pPr>
            <w:r>
              <w:rPr>
                <w:rFonts w:hint="eastAsia"/>
                <w:highlight w:val="none"/>
                <w:lang w:eastAsia="zh-CN"/>
              </w:rPr>
              <w:t>澄清招标文件的时间距投标截止时间不足</w:t>
            </w:r>
            <w:r>
              <w:rPr>
                <w:rFonts w:hint="eastAsia"/>
                <w:highlight w:val="none"/>
                <w:lang w:val="en-US" w:eastAsia="zh-CN"/>
              </w:rPr>
              <w:t>15</w:t>
            </w:r>
            <w:r>
              <w:rPr>
                <w:rFonts w:hint="eastAsia"/>
                <w:highlight w:val="none"/>
                <w:lang w:eastAsia="zh-CN"/>
              </w:rPr>
              <w:t>日，且澄清内容可能影响投标文件编制的，将相应延长投标截止时间。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651" w:type="pct"/>
            <w:vAlign w:val="center"/>
          </w:tcPr>
          <w:p>
            <w:pPr>
              <w:jc w:val="center"/>
              <w:rPr>
                <w:highlight w:val="none"/>
              </w:rPr>
            </w:pPr>
            <w:r>
              <w:rPr>
                <w:highlight w:val="none"/>
              </w:rPr>
              <w:t>1.11</w:t>
            </w:r>
          </w:p>
        </w:tc>
        <w:tc>
          <w:tcPr>
            <w:tcW w:w="988" w:type="pct"/>
            <w:vAlign w:val="center"/>
          </w:tcPr>
          <w:p>
            <w:pPr>
              <w:jc w:val="center"/>
              <w:rPr>
                <w:highlight w:val="none"/>
              </w:rPr>
            </w:pPr>
            <w:r>
              <w:rPr>
                <w:highlight w:val="none"/>
              </w:rPr>
              <w:t>分包</w:t>
            </w:r>
          </w:p>
        </w:tc>
        <w:tc>
          <w:tcPr>
            <w:tcW w:w="3360" w:type="pct"/>
            <w:vAlign w:val="center"/>
          </w:tcPr>
          <w:p>
            <w:pPr>
              <w:rPr>
                <w:highlight w:val="none"/>
              </w:rPr>
            </w:pPr>
            <w:r>
              <w:rPr>
                <w:highlight w:val="none"/>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52" w:hRule="atLeast"/>
          <w:jc w:val="center"/>
        </w:trPr>
        <w:tc>
          <w:tcPr>
            <w:tcW w:w="651" w:type="pct"/>
            <w:vAlign w:val="center"/>
          </w:tcPr>
          <w:p>
            <w:pPr>
              <w:jc w:val="center"/>
              <w:rPr>
                <w:highlight w:val="none"/>
              </w:rPr>
            </w:pPr>
            <w:r>
              <w:rPr>
                <w:highlight w:val="none"/>
              </w:rPr>
              <w:t>1.12</w:t>
            </w:r>
          </w:p>
        </w:tc>
        <w:tc>
          <w:tcPr>
            <w:tcW w:w="988" w:type="pct"/>
            <w:vAlign w:val="center"/>
          </w:tcPr>
          <w:p>
            <w:pPr>
              <w:jc w:val="center"/>
              <w:rPr>
                <w:highlight w:val="none"/>
              </w:rPr>
            </w:pPr>
            <w:r>
              <w:rPr>
                <w:highlight w:val="none"/>
              </w:rPr>
              <w:t>偏离</w:t>
            </w:r>
          </w:p>
        </w:tc>
        <w:tc>
          <w:tcPr>
            <w:tcW w:w="3360" w:type="pct"/>
            <w:vAlign w:val="center"/>
          </w:tcPr>
          <w:p>
            <w:pPr>
              <w:rPr>
                <w:highlight w:val="none"/>
              </w:rPr>
            </w:pPr>
            <w:r>
              <w:rPr>
                <w:highlight w:val="none"/>
              </w:rPr>
              <w:t>允许细微偏差。属于重大偏差的，视为对招标文件未作出实质性响应，按否决投标处理。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6" w:hRule="atLeast"/>
          <w:jc w:val="center"/>
        </w:trPr>
        <w:tc>
          <w:tcPr>
            <w:tcW w:w="651" w:type="pct"/>
            <w:vAlign w:val="center"/>
          </w:tcPr>
          <w:p>
            <w:pPr>
              <w:jc w:val="center"/>
              <w:rPr>
                <w:highlight w:val="none"/>
              </w:rPr>
            </w:pPr>
            <w:r>
              <w:rPr>
                <w:highlight w:val="none"/>
              </w:rPr>
              <w:t>2.1</w:t>
            </w:r>
          </w:p>
        </w:tc>
        <w:tc>
          <w:tcPr>
            <w:tcW w:w="988" w:type="pct"/>
            <w:vAlign w:val="center"/>
          </w:tcPr>
          <w:p>
            <w:pPr>
              <w:jc w:val="center"/>
              <w:rPr>
                <w:highlight w:val="none"/>
              </w:rPr>
            </w:pPr>
            <w:r>
              <w:rPr>
                <w:highlight w:val="none"/>
              </w:rPr>
              <w:t>构成招标文件的其他材料</w:t>
            </w:r>
          </w:p>
        </w:tc>
        <w:tc>
          <w:tcPr>
            <w:tcW w:w="3360" w:type="pct"/>
            <w:vAlign w:val="center"/>
          </w:tcPr>
          <w:p>
            <w:pPr>
              <w:rPr>
                <w:highlight w:val="none"/>
              </w:rPr>
            </w:pPr>
            <w:r>
              <w:rPr>
                <w:highlight w:val="none"/>
              </w:rPr>
              <w:t>1、江苏省交通运输厅《江苏省公路水运工程试验检测标准招标文件》（2014年版）、补遗书（如有）</w:t>
            </w:r>
          </w:p>
          <w:p>
            <w:pPr>
              <w:rPr>
                <w:highlight w:val="none"/>
              </w:rPr>
            </w:pPr>
            <w:r>
              <w:rPr>
                <w:highlight w:val="none"/>
              </w:rPr>
              <w:t>2、招标文件附件：</w:t>
            </w:r>
          </w:p>
          <w:p>
            <w:pPr>
              <w:rPr>
                <w:highlight w:val="none"/>
              </w:rPr>
            </w:pPr>
            <w:r>
              <w:rPr>
                <w:rFonts w:hint="eastAsia"/>
                <w:highlight w:val="none"/>
              </w:rPr>
              <w:t>附件一：省交通运输厅关于江苏省公路水路建设市场信用信息服务系统有关功能使用要求和从业单位信息备案规则的公告 苏交建〔2015〕25号</w:t>
            </w:r>
          </w:p>
          <w:p>
            <w:pPr>
              <w:rPr>
                <w:highlight w:val="none"/>
              </w:rPr>
            </w:pPr>
            <w:r>
              <w:rPr>
                <w:rFonts w:hint="eastAsia"/>
                <w:highlight w:val="none"/>
              </w:rPr>
              <w:t>附件二：江苏省公路水运建设市场信用信息管理办法（苏交规〔2024〕6号）</w:t>
            </w:r>
          </w:p>
          <w:p>
            <w:pPr>
              <w:rPr>
                <w:highlight w:val="none"/>
              </w:rPr>
            </w:pPr>
            <w:r>
              <w:rPr>
                <w:rFonts w:hint="eastAsia"/>
                <w:highlight w:val="none"/>
              </w:rPr>
              <w:t>附件三：省交通运输厅关于明确公路水运项目招投标和信用管理有关要求的通知（苏交建〔2020〕5号）</w:t>
            </w:r>
          </w:p>
          <w:p>
            <w:pPr>
              <w:rPr>
                <w:highlight w:val="none"/>
              </w:rPr>
            </w:pPr>
            <w:r>
              <w:rPr>
                <w:rFonts w:hint="eastAsia"/>
                <w:highlight w:val="none"/>
              </w:rPr>
              <w:t>附件四：省交通运输厅关于印发《江苏省公路水运建设单位信用评价实施细则》《江苏省公路水运服务类单位信用评价实施细则》的通知（苏交规〔2020〕3号）</w:t>
            </w:r>
          </w:p>
          <w:p>
            <w:pPr>
              <w:rPr>
                <w:highlight w:val="none"/>
              </w:rPr>
            </w:pPr>
            <w:r>
              <w:rPr>
                <w:rFonts w:hint="eastAsia"/>
                <w:highlight w:val="none"/>
              </w:rPr>
              <w:t>附件五：《公路工程建设项目招标投标管理办法》（中华人民共和国交通运输部令2015年第24号）</w:t>
            </w:r>
          </w:p>
          <w:p>
            <w:pPr>
              <w:rPr>
                <w:highlight w:val="none"/>
              </w:rPr>
            </w:pPr>
            <w:r>
              <w:rPr>
                <w:rFonts w:hint="eastAsia"/>
                <w:highlight w:val="none"/>
              </w:rPr>
              <w:t>附件六：《关于进一步加强全市公路水运工程建设领域信用管理工作的通知》（通交建〔2021〕12号）</w:t>
            </w:r>
          </w:p>
          <w:p>
            <w:pPr>
              <w:rPr>
                <w:highlight w:val="none"/>
              </w:rPr>
            </w:pPr>
            <w:r>
              <w:rPr>
                <w:rFonts w:hint="eastAsia"/>
                <w:highlight w:val="none"/>
              </w:rPr>
              <w:t>附件七：关于印发《从业单位弄虚作假违法行为分类及信用评定标准（补充指南）》《招投标有关问题界定工作指南》的通知（苏交建便函〔2020〕82号）</w:t>
            </w:r>
          </w:p>
          <w:p>
            <w:pPr>
              <w:rPr>
                <w:highlight w:val="none"/>
              </w:rPr>
            </w:pPr>
            <w:r>
              <w:rPr>
                <w:rFonts w:hint="eastAsia"/>
                <w:highlight w:val="none"/>
              </w:rPr>
              <w:t>投标人自行从网站下载。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jc w:val="center"/>
        </w:trPr>
        <w:tc>
          <w:tcPr>
            <w:tcW w:w="651" w:type="pct"/>
            <w:vAlign w:val="center"/>
          </w:tcPr>
          <w:p>
            <w:pPr>
              <w:jc w:val="center"/>
              <w:rPr>
                <w:highlight w:val="none"/>
              </w:rPr>
            </w:pPr>
            <w:r>
              <w:rPr>
                <w:highlight w:val="none"/>
              </w:rPr>
              <w:t>2.2.1</w:t>
            </w:r>
          </w:p>
        </w:tc>
        <w:tc>
          <w:tcPr>
            <w:tcW w:w="988" w:type="pct"/>
            <w:vAlign w:val="center"/>
          </w:tcPr>
          <w:p>
            <w:pPr>
              <w:jc w:val="center"/>
              <w:rPr>
                <w:highlight w:val="none"/>
              </w:rPr>
            </w:pPr>
            <w:r>
              <w:rPr>
                <w:highlight w:val="none"/>
              </w:rPr>
              <w:t>投标人要求澄清招标文件的截止时间</w:t>
            </w:r>
          </w:p>
        </w:tc>
        <w:tc>
          <w:tcPr>
            <w:tcW w:w="3360" w:type="pct"/>
            <w:vAlign w:val="center"/>
          </w:tcPr>
          <w:p>
            <w:pPr>
              <w:rPr>
                <w:highlight w:val="none"/>
              </w:rPr>
            </w:pPr>
            <w:r>
              <w:rPr>
                <w:rFonts w:hint="eastAsia"/>
                <w:color w:val="000000" w:themeColor="text1"/>
                <w:highlight w:val="none"/>
                <w14:textFill>
                  <w14:solidFill>
                    <w14:schemeClr w14:val="tx1"/>
                  </w14:solidFill>
                </w14:textFill>
              </w:rPr>
              <w:t>时间：</w:t>
            </w:r>
            <w:r>
              <w:rPr>
                <w:highlight w:val="none"/>
              </w:rPr>
              <w:t>递交投标文件截止之日10</w:t>
            </w:r>
            <w:r>
              <w:rPr>
                <w:rFonts w:hint="eastAsia"/>
                <w:highlight w:val="none"/>
              </w:rPr>
              <w:t>日前</w:t>
            </w:r>
          </w:p>
          <w:p>
            <w:pPr>
              <w:rPr>
                <w:highlight w:val="none"/>
              </w:rPr>
            </w:pPr>
            <w:r>
              <w:rPr>
                <w:rFonts w:hint="eastAsia"/>
                <w:color w:val="000000" w:themeColor="text1"/>
                <w:highlight w:val="none"/>
                <w14:textFill>
                  <w14:solidFill>
                    <w14:schemeClr w14:val="tx1"/>
                  </w14:solidFill>
                </w14:textFill>
              </w:rPr>
              <w:t>形式：投标人应在规定的截止时间前，将其需招标人澄清的问题的文件（加盖投标单位章）的彩色复印件或电子扫描件以及word电子文件发送至招标代理的电子邮箱，文件中应留有联系人的姓名和电话。投标人的要求澄清文件发送至招标代理的电子邮箱后，应电话联系招标代理以确认该文件是否已被接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37" w:hRule="atLeast"/>
          <w:jc w:val="center"/>
        </w:trPr>
        <w:tc>
          <w:tcPr>
            <w:tcW w:w="651" w:type="pct"/>
            <w:vAlign w:val="center"/>
          </w:tcPr>
          <w:p>
            <w:pPr>
              <w:jc w:val="center"/>
              <w:rPr>
                <w:highlight w:val="none"/>
              </w:rPr>
            </w:pPr>
            <w:r>
              <w:rPr>
                <w:highlight w:val="none"/>
              </w:rPr>
              <w:t>2.2.2</w:t>
            </w:r>
          </w:p>
        </w:tc>
        <w:tc>
          <w:tcPr>
            <w:tcW w:w="988" w:type="pct"/>
            <w:vAlign w:val="center"/>
          </w:tcPr>
          <w:p>
            <w:pPr>
              <w:jc w:val="center"/>
              <w:rPr>
                <w:highlight w:val="none"/>
              </w:rPr>
            </w:pPr>
            <w:r>
              <w:rPr>
                <w:highlight w:val="none"/>
              </w:rPr>
              <w:t>投标截止时间</w:t>
            </w:r>
          </w:p>
        </w:tc>
        <w:tc>
          <w:tcPr>
            <w:tcW w:w="3360" w:type="pct"/>
            <w:vAlign w:val="center"/>
          </w:tcPr>
          <w:p>
            <w:pPr>
              <w:rPr>
                <w:highlight w:val="none"/>
              </w:rPr>
            </w:pPr>
            <w:r>
              <w:rPr>
                <w:highlight w:val="none"/>
              </w:rPr>
              <w:t>见招标公告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9" w:hRule="atLeast"/>
          <w:jc w:val="center"/>
        </w:trPr>
        <w:tc>
          <w:tcPr>
            <w:tcW w:w="651" w:type="pct"/>
            <w:vAlign w:val="center"/>
          </w:tcPr>
          <w:p>
            <w:pPr>
              <w:jc w:val="center"/>
              <w:rPr>
                <w:highlight w:val="none"/>
              </w:rPr>
            </w:pPr>
            <w:r>
              <w:rPr>
                <w:highlight w:val="none"/>
              </w:rPr>
              <w:t>2.2.3</w:t>
            </w:r>
          </w:p>
        </w:tc>
        <w:tc>
          <w:tcPr>
            <w:tcW w:w="988" w:type="pct"/>
            <w:vAlign w:val="center"/>
          </w:tcPr>
          <w:p>
            <w:pPr>
              <w:jc w:val="center"/>
              <w:rPr>
                <w:highlight w:val="none"/>
              </w:rPr>
            </w:pPr>
            <w:r>
              <w:rPr>
                <w:highlight w:val="none"/>
              </w:rPr>
              <w:t>投标人确认收到招标文件澄清的时间</w:t>
            </w:r>
          </w:p>
        </w:tc>
        <w:tc>
          <w:tcPr>
            <w:tcW w:w="3360" w:type="pct"/>
            <w:vAlign w:val="center"/>
          </w:tcPr>
          <w:p>
            <w:pPr>
              <w:rPr>
                <w:highlight w:val="none"/>
              </w:rPr>
            </w:pPr>
            <w:r>
              <w:rPr>
                <w:rFonts w:hint="eastAsia"/>
                <w:color w:val="000000" w:themeColor="text1"/>
                <w:highlight w:val="none"/>
                <w14:textFill>
                  <w14:solidFill>
                    <w14:schemeClr w14:val="tx1"/>
                  </w14:solidFill>
                </w14:textFill>
              </w:rPr>
              <w:t>在南通市交通运输局网站（http://jtysj.nantong.gov.cn）上发布招标文件澄清，请投标人自行查看下载。在网站上一经公布，视为投标人已知悉并自行进行下载，无需确认。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9" w:hRule="atLeast"/>
          <w:jc w:val="center"/>
        </w:trPr>
        <w:tc>
          <w:tcPr>
            <w:tcW w:w="651" w:type="pct"/>
            <w:vAlign w:val="center"/>
          </w:tcPr>
          <w:p>
            <w:pPr>
              <w:jc w:val="center"/>
              <w:rPr>
                <w:highlight w:val="none"/>
              </w:rPr>
            </w:pPr>
            <w:r>
              <w:rPr>
                <w:highlight w:val="none"/>
              </w:rPr>
              <w:t>2.3.2</w:t>
            </w:r>
          </w:p>
        </w:tc>
        <w:tc>
          <w:tcPr>
            <w:tcW w:w="988" w:type="pct"/>
            <w:vAlign w:val="center"/>
          </w:tcPr>
          <w:p>
            <w:pPr>
              <w:jc w:val="center"/>
              <w:rPr>
                <w:highlight w:val="none"/>
              </w:rPr>
            </w:pPr>
            <w:r>
              <w:rPr>
                <w:highlight w:val="none"/>
              </w:rPr>
              <w:t>投标人确认收到招标文件修改的时间</w:t>
            </w:r>
          </w:p>
        </w:tc>
        <w:tc>
          <w:tcPr>
            <w:tcW w:w="3360" w:type="pct"/>
            <w:vAlign w:val="center"/>
          </w:tcPr>
          <w:p>
            <w:pPr>
              <w:rPr>
                <w:highlight w:val="none"/>
              </w:rPr>
            </w:pPr>
            <w:r>
              <w:rPr>
                <w:rFonts w:hint="eastAsia"/>
                <w:color w:val="000000" w:themeColor="text1"/>
                <w:highlight w:val="none"/>
                <w14:textFill>
                  <w14:solidFill>
                    <w14:schemeClr w14:val="tx1"/>
                  </w14:solidFill>
                </w14:textFill>
              </w:rPr>
              <w:t>在南通市交通运输局网站（http://jtysj.nantong.gov.cn）上发布招标文件澄清，请投标人自行查看下载。在网站上一经公布，视为投标人已知悉并自行进行下载，无需确认。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4" w:hRule="atLeast"/>
          <w:jc w:val="center"/>
        </w:trPr>
        <w:tc>
          <w:tcPr>
            <w:tcW w:w="651" w:type="pct"/>
            <w:vAlign w:val="center"/>
          </w:tcPr>
          <w:p>
            <w:pPr>
              <w:jc w:val="center"/>
              <w:rPr>
                <w:highlight w:val="none"/>
              </w:rPr>
            </w:pPr>
            <w:r>
              <w:rPr>
                <w:highlight w:val="none"/>
              </w:rPr>
              <w:t>3.1.1</w:t>
            </w:r>
          </w:p>
        </w:tc>
        <w:tc>
          <w:tcPr>
            <w:tcW w:w="988" w:type="pct"/>
            <w:vAlign w:val="center"/>
          </w:tcPr>
          <w:p>
            <w:pPr>
              <w:jc w:val="center"/>
              <w:rPr>
                <w:highlight w:val="none"/>
              </w:rPr>
            </w:pPr>
            <w:r>
              <w:rPr>
                <w:highlight w:val="none"/>
              </w:rPr>
              <w:t>投标文件应包括下列内容</w:t>
            </w:r>
          </w:p>
        </w:tc>
        <w:tc>
          <w:tcPr>
            <w:tcW w:w="3360" w:type="pct"/>
            <w:vAlign w:val="center"/>
          </w:tcPr>
          <w:p>
            <w:pPr>
              <w:rPr>
                <w:highlight w:val="none"/>
              </w:rPr>
            </w:pPr>
            <w:r>
              <w:rPr>
                <w:highlight w:val="none"/>
              </w:rPr>
              <w:t>第一个信封（商务及技术文件）：</w:t>
            </w:r>
          </w:p>
          <w:p>
            <w:pPr>
              <w:rPr>
                <w:highlight w:val="none"/>
              </w:rPr>
            </w:pPr>
            <w:r>
              <w:rPr>
                <w:highlight w:val="none"/>
              </w:rPr>
              <w:t>（1）投标函；</w:t>
            </w:r>
          </w:p>
          <w:p>
            <w:pPr>
              <w:rPr>
                <w:highlight w:val="none"/>
              </w:rPr>
            </w:pPr>
            <w:r>
              <w:rPr>
                <w:highlight w:val="none"/>
              </w:rPr>
              <w:t>（2）法定代表人身份证明及授权委托书；</w:t>
            </w:r>
          </w:p>
          <w:p>
            <w:pPr>
              <w:rPr>
                <w:highlight w:val="none"/>
              </w:rPr>
            </w:pPr>
            <w:r>
              <w:rPr>
                <w:highlight w:val="none"/>
              </w:rPr>
              <w:t>（3）投标保证金；</w:t>
            </w:r>
          </w:p>
          <w:p>
            <w:pPr>
              <w:rPr>
                <w:highlight w:val="none"/>
              </w:rPr>
            </w:pPr>
            <w:r>
              <w:rPr>
                <w:highlight w:val="none"/>
              </w:rPr>
              <w:t>（4）</w:t>
            </w:r>
            <w:r>
              <w:rPr>
                <w:rFonts w:hint="eastAsia"/>
                <w:highlight w:val="none"/>
              </w:rPr>
              <w:t>资料真实性承诺书；</w:t>
            </w:r>
          </w:p>
          <w:p>
            <w:pPr>
              <w:rPr>
                <w:highlight w:val="none"/>
              </w:rPr>
            </w:pPr>
            <w:r>
              <w:rPr>
                <w:rFonts w:hint="eastAsia"/>
                <w:highlight w:val="none"/>
              </w:rPr>
              <w:t>（5）</w:t>
            </w:r>
            <w:r>
              <w:rPr>
                <w:highlight w:val="none"/>
              </w:rPr>
              <w:t xml:space="preserve">检测工作大纲； </w:t>
            </w:r>
          </w:p>
          <w:p>
            <w:pPr>
              <w:rPr>
                <w:highlight w:val="none"/>
              </w:rPr>
            </w:pPr>
            <w:r>
              <w:rPr>
                <w:highlight w:val="none"/>
              </w:rPr>
              <w:t>（</w:t>
            </w:r>
            <w:r>
              <w:rPr>
                <w:rFonts w:hint="eastAsia"/>
                <w:highlight w:val="none"/>
              </w:rPr>
              <w:t>6</w:t>
            </w:r>
            <w:r>
              <w:rPr>
                <w:highlight w:val="none"/>
              </w:rPr>
              <w:t>）资格审查资料；</w:t>
            </w:r>
          </w:p>
          <w:p>
            <w:pPr>
              <w:rPr>
                <w:highlight w:val="none"/>
              </w:rPr>
            </w:pPr>
            <w:r>
              <w:rPr>
                <w:highlight w:val="none"/>
              </w:rPr>
              <w:t>（</w:t>
            </w:r>
            <w:r>
              <w:rPr>
                <w:rFonts w:hint="eastAsia"/>
                <w:highlight w:val="none"/>
              </w:rPr>
              <w:t>7</w:t>
            </w:r>
            <w:r>
              <w:rPr>
                <w:highlight w:val="none"/>
              </w:rPr>
              <w:t>）江苏省公路水运建设项目投标人信用承诺书</w:t>
            </w:r>
            <w:r>
              <w:rPr>
                <w:rFonts w:hint="eastAsia"/>
                <w:highlight w:val="none"/>
              </w:rPr>
              <w:t>；</w:t>
            </w:r>
          </w:p>
          <w:p>
            <w:pPr>
              <w:rPr>
                <w:highlight w:val="none"/>
              </w:rPr>
            </w:pPr>
            <w:r>
              <w:rPr>
                <w:rFonts w:hint="eastAsia"/>
                <w:highlight w:val="none"/>
              </w:rPr>
              <w:t>（8）江苏公路水运建设市场主要从业人员信用承诺书；</w:t>
            </w:r>
          </w:p>
          <w:p>
            <w:pPr>
              <w:rPr>
                <w:highlight w:val="none"/>
              </w:rPr>
            </w:pPr>
            <w:r>
              <w:rPr>
                <w:rFonts w:hint="eastAsia"/>
                <w:highlight w:val="none"/>
              </w:rPr>
              <w:t>（9）承诺函；</w:t>
            </w:r>
          </w:p>
          <w:p>
            <w:pPr>
              <w:rPr>
                <w:highlight w:val="none"/>
              </w:rPr>
            </w:pPr>
            <w:r>
              <w:rPr>
                <w:highlight w:val="none"/>
              </w:rPr>
              <w:t>（</w:t>
            </w:r>
            <w:r>
              <w:rPr>
                <w:rFonts w:hint="eastAsia"/>
                <w:highlight w:val="none"/>
              </w:rPr>
              <w:t>10</w:t>
            </w:r>
            <w:r>
              <w:rPr>
                <w:highlight w:val="none"/>
              </w:rPr>
              <w:t>）其他材料。</w:t>
            </w:r>
          </w:p>
          <w:p>
            <w:pPr>
              <w:rPr>
                <w:highlight w:val="none"/>
              </w:rPr>
            </w:pPr>
            <w:r>
              <w:rPr>
                <w:highlight w:val="none"/>
              </w:rPr>
              <w:t>第二个信封（投标报价和工程量清单）</w:t>
            </w:r>
          </w:p>
          <w:p>
            <w:pPr>
              <w:numPr>
                <w:ilvl w:val="0"/>
                <w:numId w:val="1"/>
              </w:numPr>
              <w:rPr>
                <w:highlight w:val="none"/>
              </w:rPr>
            </w:pPr>
            <w:r>
              <w:rPr>
                <w:highlight w:val="none"/>
              </w:rPr>
              <w:t>投标函</w:t>
            </w:r>
            <w:r>
              <w:rPr>
                <w:rFonts w:hint="eastAsia"/>
                <w:highlight w:val="none"/>
              </w:rPr>
              <w:t>；</w:t>
            </w:r>
          </w:p>
          <w:p>
            <w:pPr>
              <w:numPr>
                <w:ilvl w:val="0"/>
                <w:numId w:val="1"/>
              </w:numPr>
              <w:rPr>
                <w:highlight w:val="none"/>
              </w:rPr>
            </w:pPr>
            <w:r>
              <w:rPr>
                <w:rFonts w:hint="eastAsia" w:ascii="Garamond" w:hAnsi="Garamond"/>
                <w:highlight w:val="none"/>
                <w:lang w:val="en-US" w:eastAsia="zh-CN"/>
              </w:rPr>
              <w:t>工程量</w:t>
            </w:r>
            <w:r>
              <w:rPr>
                <w:rFonts w:hint="eastAsia" w:ascii="Garamond" w:hAnsi="Garamond"/>
                <w:highlight w:val="none"/>
              </w:rPr>
              <w:t>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51" w:type="pct"/>
            <w:vAlign w:val="center"/>
          </w:tcPr>
          <w:p>
            <w:pPr>
              <w:jc w:val="center"/>
              <w:rPr>
                <w:highlight w:val="none"/>
              </w:rPr>
            </w:pPr>
            <w:r>
              <w:rPr>
                <w:highlight w:val="none"/>
              </w:rPr>
              <w:t>3.1.1</w:t>
            </w:r>
          </w:p>
        </w:tc>
        <w:tc>
          <w:tcPr>
            <w:tcW w:w="988" w:type="pct"/>
            <w:vAlign w:val="center"/>
          </w:tcPr>
          <w:p>
            <w:pPr>
              <w:jc w:val="center"/>
              <w:rPr>
                <w:highlight w:val="none"/>
              </w:rPr>
            </w:pPr>
            <w:r>
              <w:rPr>
                <w:highlight w:val="none"/>
              </w:rPr>
              <w:t>构成投标文件的其他材料</w:t>
            </w:r>
          </w:p>
        </w:tc>
        <w:tc>
          <w:tcPr>
            <w:tcW w:w="3360" w:type="pct"/>
            <w:vAlign w:val="center"/>
          </w:tcPr>
          <w:p>
            <w:pPr>
              <w:rPr>
                <w:highlight w:val="none"/>
              </w:rPr>
            </w:pPr>
            <w:r>
              <w:rPr>
                <w:highlight w:val="none"/>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651" w:type="pct"/>
            <w:vAlign w:val="center"/>
          </w:tcPr>
          <w:p>
            <w:pPr>
              <w:jc w:val="center"/>
              <w:rPr>
                <w:highlight w:val="none"/>
              </w:rPr>
            </w:pPr>
            <w:r>
              <w:rPr>
                <w:highlight w:val="none"/>
              </w:rPr>
              <w:t>3.2</w:t>
            </w:r>
          </w:p>
        </w:tc>
        <w:tc>
          <w:tcPr>
            <w:tcW w:w="988" w:type="pct"/>
            <w:vAlign w:val="center"/>
          </w:tcPr>
          <w:p>
            <w:pPr>
              <w:jc w:val="center"/>
              <w:rPr>
                <w:highlight w:val="none"/>
              </w:rPr>
            </w:pPr>
            <w:r>
              <w:rPr>
                <w:highlight w:val="none"/>
              </w:rPr>
              <w:t>投标报价</w:t>
            </w:r>
          </w:p>
        </w:tc>
        <w:tc>
          <w:tcPr>
            <w:tcW w:w="3360" w:type="pct"/>
            <w:vAlign w:val="center"/>
          </w:tcPr>
          <w:p>
            <w:pPr>
              <w:rPr>
                <w:highlight w:val="none"/>
              </w:rPr>
            </w:pPr>
            <w:r>
              <w:rPr>
                <w:highlight w:val="none"/>
              </w:rPr>
              <w:t>投标人须知正文第3.2款修改为：</w:t>
            </w:r>
          </w:p>
          <w:p>
            <w:pPr>
              <w:rPr>
                <w:highlight w:val="none"/>
              </w:rPr>
            </w:pPr>
            <w:r>
              <w:rPr>
                <w:highlight w:val="none"/>
              </w:rPr>
              <w:t>3.2 投标报价</w:t>
            </w:r>
          </w:p>
          <w:p>
            <w:pPr>
              <w:rPr>
                <w:highlight w:val="none"/>
              </w:rPr>
            </w:pPr>
            <w:r>
              <w:rPr>
                <w:highlight w:val="none"/>
              </w:rPr>
              <w:t>3.2.1投标人的投标价，应是完成所投标段的全部工作的投标价，包括</w:t>
            </w:r>
            <w:r>
              <w:rPr>
                <w:rFonts w:hint="eastAsia"/>
                <w:highlight w:val="none"/>
              </w:rPr>
              <w:t>检测费用、人员费用、检测设备、检测设备维护、办公设备用品以及为实施相关试验检测工作相关的人员费用（含差旅费）、现场费用、交通工具及使用费、安全生产费、公司取费、法定税金、利润等与履行本合同有关的一切费用以及招标文件明示或暗示的一切风险。</w:t>
            </w:r>
          </w:p>
          <w:p>
            <w:pPr>
              <w:rPr>
                <w:highlight w:val="none"/>
              </w:rPr>
            </w:pPr>
            <w:r>
              <w:rPr>
                <w:highlight w:val="none"/>
              </w:rPr>
              <w:t>3.2.2本项目采用总价合同。在本合同实施期间，除另有规定外，服务费不予调整。因此，投标人应充分考虑本项目实施期间的各种风险。</w:t>
            </w:r>
          </w:p>
          <w:p>
            <w:pPr>
              <w:rPr>
                <w:highlight w:val="none"/>
                <w:u w:val="double"/>
              </w:rPr>
            </w:pPr>
            <w:r>
              <w:rPr>
                <w:highlight w:val="none"/>
                <w:u w:val="double"/>
              </w:rPr>
              <w:t>3.2.3本项目最高限价为人民币</w:t>
            </w:r>
            <w:r>
              <w:rPr>
                <w:rFonts w:hint="eastAsia"/>
                <w:highlight w:val="none"/>
                <w:u w:val="double"/>
              </w:rPr>
              <w:t>（</w:t>
            </w:r>
            <w:r>
              <w:rPr>
                <w:highlight w:val="none"/>
                <w:u w:val="double"/>
              </w:rPr>
              <w:t>大写</w:t>
            </w:r>
            <w:r>
              <w:rPr>
                <w:rFonts w:hint="eastAsia"/>
                <w:highlight w:val="none"/>
                <w:u w:val="double"/>
              </w:rPr>
              <w:t>）贰拾玖万元整（¥29</w:t>
            </w:r>
            <w:r>
              <w:rPr>
                <w:highlight w:val="none"/>
                <w:u w:val="double"/>
              </w:rPr>
              <w:t>0</w:t>
            </w:r>
            <w:r>
              <w:rPr>
                <w:rFonts w:hint="eastAsia"/>
                <w:highlight w:val="none"/>
                <w:u w:val="double"/>
              </w:rPr>
              <w:t>0</w:t>
            </w:r>
            <w:r>
              <w:rPr>
                <w:highlight w:val="none"/>
                <w:u w:val="double"/>
              </w:rPr>
              <w:t>00），投标报价不得高于最高限价，否则按否决投标处理。</w:t>
            </w:r>
          </w:p>
          <w:p>
            <w:pPr>
              <w:rPr>
                <w:highlight w:val="none"/>
              </w:rPr>
            </w:pPr>
            <w:r>
              <w:rPr>
                <w:highlight w:val="none"/>
              </w:rPr>
              <w:t>3.2.4投标人在编制投标报价时应考虑以下因素：</w:t>
            </w:r>
          </w:p>
          <w:p>
            <w:pPr>
              <w:rPr>
                <w:highlight w:val="none"/>
              </w:rPr>
            </w:pPr>
            <w:r>
              <w:rPr>
                <w:highlight w:val="none"/>
              </w:rPr>
              <w:t>3.2.4.1投标人的住房办公、生活设施、设备以及交通工具等由试验检测人自备、自购或租用，其设施费用及维修服务费用由投标人在报价费率中考虑，不单独计量与支付，投标人在投标报价时就作充分考虑。试验检测工作结束后，其产权仍归试验检测人所有。</w:t>
            </w:r>
          </w:p>
          <w:p>
            <w:pPr>
              <w:rPr>
                <w:highlight w:val="none"/>
              </w:rPr>
            </w:pPr>
            <w:r>
              <w:rPr>
                <w:highlight w:val="none"/>
              </w:rPr>
              <w:t>3.2.4.2投标人的雇员及装备的保险由试验检测人自行投保，包含在报价费率中，不单独计量与支付。</w:t>
            </w:r>
          </w:p>
          <w:p>
            <w:pPr>
              <w:rPr>
                <w:highlight w:val="none"/>
              </w:rPr>
            </w:pPr>
            <w:r>
              <w:rPr>
                <w:highlight w:val="none"/>
              </w:rPr>
              <w:t>3.2.4.3为实施本合同工程采取的安全保通措施，其中应配备必要的安全负责人，需配置临时交通安全设施，以及到交警等部门完善相关手续费用等，此费用包含在报价费率中，不单独计量与支付。</w:t>
            </w:r>
          </w:p>
          <w:p>
            <w:pPr>
              <w:rPr>
                <w:highlight w:val="none"/>
              </w:rPr>
            </w:pPr>
            <w:r>
              <w:rPr>
                <w:highlight w:val="none"/>
              </w:rPr>
              <w:t>3.2.4.4投标人为实施本合同须遵守国家和地方有关环境保护和水土保持及内河通航的有关法律法规并将其措施实施到位。所需费用包含在报价费率中，不单独计量与支付。</w:t>
            </w:r>
          </w:p>
          <w:p>
            <w:pPr>
              <w:rPr>
                <w:highlight w:val="none"/>
              </w:rPr>
            </w:pPr>
            <w:r>
              <w:rPr>
                <w:highlight w:val="none"/>
              </w:rPr>
              <w:t>3.2.4.5投标人在实施作业过程中应做到文明检查，由此发生的费用包含在报价费率中，不单独计量与支付。</w:t>
            </w:r>
          </w:p>
          <w:p>
            <w:pPr>
              <w:rPr>
                <w:highlight w:val="none"/>
              </w:rPr>
            </w:pPr>
            <w:r>
              <w:rPr>
                <w:highlight w:val="none"/>
              </w:rPr>
              <w:t>3.2.5安全生产费及各项措施费包含在报价费率中，不单独计量与支付。</w:t>
            </w:r>
          </w:p>
          <w:p>
            <w:pPr>
              <w:rPr>
                <w:highlight w:val="none"/>
              </w:rPr>
            </w:pPr>
            <w:r>
              <w:rPr>
                <w:highlight w:val="none"/>
              </w:rPr>
              <w:t>3.2.6投标人应承担其投标文件编制与递交所涉及的一切费用，不管结果如何，委托人对上述费用不负任何责任。</w:t>
            </w:r>
          </w:p>
          <w:p>
            <w:pPr>
              <w:rPr>
                <w:highlight w:val="none"/>
              </w:rPr>
            </w:pPr>
            <w:r>
              <w:rPr>
                <w:highlight w:val="none"/>
              </w:rPr>
              <w:t>3.2.7投标文件中只允许有一个报价，委托人不接受选择性报价。</w:t>
            </w:r>
          </w:p>
          <w:p>
            <w:pPr>
              <w:rPr>
                <w:highlight w:val="none"/>
              </w:rPr>
            </w:pPr>
            <w:r>
              <w:rPr>
                <w:highlight w:val="none"/>
              </w:rPr>
              <w:t>3.2.8本项目不接受调价函。如投标人中标，在本合同实施期间，除另有规定外，受托人提供的费率不予调整，因此，投标人应充分考虑本检测项目实施期间的各种风险。</w:t>
            </w:r>
          </w:p>
          <w:p>
            <w:pPr>
              <w:rPr>
                <w:highlight w:val="none"/>
              </w:rPr>
            </w:pPr>
            <w:r>
              <w:rPr>
                <w:highlight w:val="none"/>
              </w:rPr>
              <w:t>3.2.9投标人的投标价中应含的保险费按如下规定办理：</w:t>
            </w:r>
          </w:p>
          <w:p>
            <w:pPr>
              <w:rPr>
                <w:highlight w:val="none"/>
              </w:rPr>
            </w:pPr>
            <w:r>
              <w:rPr>
                <w:highlight w:val="none"/>
              </w:rPr>
              <w:t>受托人装备险和受托人职工的(人身)事故险（现场检测人员人身意外险赔付额不低于100万）由受托人自行投保，保险费由受托人承担并支付，并包含在报价费率中，不单独报价。</w:t>
            </w:r>
          </w:p>
          <w:p>
            <w:pPr>
              <w:rPr>
                <w:highlight w:val="none"/>
              </w:rPr>
            </w:pPr>
            <w:r>
              <w:rPr>
                <w:highlight w:val="none"/>
              </w:rPr>
              <w:t>3.2.10履行合同过程中，如有超过中标人资质范围的试验检测项目，中标人应委托给有相应资质的单位承担，且须经发包人批准。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51" w:type="pct"/>
            <w:vAlign w:val="center"/>
          </w:tcPr>
          <w:p>
            <w:pPr>
              <w:jc w:val="center"/>
              <w:rPr>
                <w:highlight w:val="none"/>
              </w:rPr>
            </w:pPr>
            <w:r>
              <w:rPr>
                <w:highlight w:val="none"/>
              </w:rPr>
              <w:t>3.2.3</w:t>
            </w:r>
          </w:p>
        </w:tc>
        <w:tc>
          <w:tcPr>
            <w:tcW w:w="988" w:type="pct"/>
            <w:vAlign w:val="center"/>
          </w:tcPr>
          <w:p>
            <w:pPr>
              <w:jc w:val="center"/>
              <w:rPr>
                <w:highlight w:val="none"/>
              </w:rPr>
            </w:pPr>
            <w:r>
              <w:rPr>
                <w:highlight w:val="none"/>
              </w:rPr>
              <w:t>工程量清单的填写方式</w:t>
            </w:r>
          </w:p>
        </w:tc>
        <w:tc>
          <w:tcPr>
            <w:tcW w:w="3360" w:type="pct"/>
            <w:vAlign w:val="center"/>
          </w:tcPr>
          <w:p>
            <w:pPr>
              <w:rPr>
                <w:rFonts w:hint="default" w:eastAsia="宋体"/>
                <w:highlight w:val="none"/>
                <w:lang w:val="en-US" w:eastAsia="zh-CN"/>
              </w:rPr>
            </w:pPr>
            <w:r>
              <w:rPr>
                <w:rFonts w:hint="eastAsia"/>
                <w:highlight w:val="none"/>
                <w:lang w:val="en-US" w:eastAsia="zh-CN"/>
              </w:rPr>
              <w:t>按招标人给定的清单格式进行填写（工程量由各投标人自行填写）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51" w:type="pct"/>
            <w:vAlign w:val="center"/>
          </w:tcPr>
          <w:p>
            <w:pPr>
              <w:jc w:val="center"/>
              <w:rPr>
                <w:highlight w:val="none"/>
              </w:rPr>
            </w:pPr>
            <w:r>
              <w:rPr>
                <w:highlight w:val="none"/>
              </w:rPr>
              <w:t>3.3.1</w:t>
            </w:r>
          </w:p>
        </w:tc>
        <w:tc>
          <w:tcPr>
            <w:tcW w:w="988" w:type="pct"/>
            <w:vAlign w:val="center"/>
          </w:tcPr>
          <w:p>
            <w:pPr>
              <w:jc w:val="center"/>
              <w:rPr>
                <w:highlight w:val="none"/>
              </w:rPr>
            </w:pPr>
            <w:r>
              <w:rPr>
                <w:highlight w:val="none"/>
              </w:rPr>
              <w:t>投标有效期</w:t>
            </w:r>
          </w:p>
        </w:tc>
        <w:tc>
          <w:tcPr>
            <w:tcW w:w="3360" w:type="pct"/>
            <w:vAlign w:val="center"/>
          </w:tcPr>
          <w:p>
            <w:pPr>
              <w:rPr>
                <w:highlight w:val="none"/>
              </w:rPr>
            </w:pPr>
            <w:r>
              <w:rPr>
                <w:highlight w:val="none"/>
              </w:rPr>
              <w:t>自招标文件规定的投标截止之日起计算90天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6" w:hRule="atLeast"/>
          <w:jc w:val="center"/>
        </w:trPr>
        <w:tc>
          <w:tcPr>
            <w:tcW w:w="651" w:type="pct"/>
            <w:vAlign w:val="center"/>
          </w:tcPr>
          <w:p>
            <w:pPr>
              <w:jc w:val="center"/>
              <w:rPr>
                <w:highlight w:val="none"/>
              </w:rPr>
            </w:pPr>
            <w:r>
              <w:rPr>
                <w:highlight w:val="none"/>
              </w:rPr>
              <w:t>3.4.1</w:t>
            </w:r>
          </w:p>
        </w:tc>
        <w:tc>
          <w:tcPr>
            <w:tcW w:w="988" w:type="pct"/>
            <w:vAlign w:val="center"/>
          </w:tcPr>
          <w:p>
            <w:pPr>
              <w:jc w:val="center"/>
              <w:rPr>
                <w:highlight w:val="none"/>
              </w:rPr>
            </w:pPr>
            <w:r>
              <w:rPr>
                <w:highlight w:val="none"/>
              </w:rPr>
              <w:t>投标保证金</w:t>
            </w:r>
          </w:p>
        </w:tc>
        <w:tc>
          <w:tcPr>
            <w:tcW w:w="3360" w:type="pct"/>
            <w:vAlign w:val="center"/>
          </w:tcPr>
          <w:p>
            <w:pPr>
              <w:widowControl/>
              <w:autoSpaceDE w:val="0"/>
              <w:autoSpaceDN w:val="0"/>
              <w:adjustRightInd w:val="0"/>
              <w:jc w:val="left"/>
              <w:rPr>
                <w:rFonts w:ascii="宋体" w:hAnsi="宋体" w:cs="宋体"/>
                <w:b/>
                <w:bCs/>
                <w:color w:val="000000"/>
                <w:sz w:val="24"/>
                <w:highlight w:val="none"/>
              </w:rPr>
            </w:pPr>
            <w:r>
              <w:rPr>
                <w:rFonts w:hint="eastAsia" w:ascii="宋体" w:hAnsi="宋体" w:cs="宋体"/>
                <w:b/>
                <w:bCs/>
                <w:color w:val="000000"/>
                <w:sz w:val="24"/>
                <w:highlight w:val="none"/>
              </w:rPr>
              <w:t>是否要求投标人递交投标保证金：</w:t>
            </w:r>
          </w:p>
          <w:p>
            <w:pPr>
              <w:widowControl/>
              <w:autoSpaceDE w:val="0"/>
              <w:autoSpaceDN w:val="0"/>
              <w:adjustRightInd w:val="0"/>
              <w:jc w:val="left"/>
              <w:rPr>
                <w:rFonts w:ascii="宋体" w:hAnsi="宋体" w:cs="宋体"/>
                <w:b/>
                <w:bCs/>
                <w:color w:val="000000"/>
                <w:sz w:val="24"/>
                <w:highlight w:val="none"/>
              </w:rPr>
            </w:pPr>
            <w:r>
              <w:rPr>
                <w:rFonts w:hint="eastAsia" w:ascii="宋体" w:hAnsi="宋体" w:cs="宋体"/>
                <w:b/>
                <w:bCs/>
                <w:color w:val="000000"/>
                <w:sz w:val="24"/>
                <w:highlight w:val="none"/>
              </w:rPr>
              <w:sym w:font="Wingdings 2" w:char="0052"/>
            </w:r>
            <w:r>
              <w:rPr>
                <w:rFonts w:hint="eastAsia" w:ascii="宋体" w:hAnsi="宋体" w:cs="宋体"/>
                <w:b/>
                <w:bCs/>
                <w:color w:val="000000"/>
                <w:sz w:val="24"/>
                <w:highlight w:val="none"/>
              </w:rPr>
              <w:t>有要求，</w:t>
            </w:r>
          </w:p>
          <w:p>
            <w:pPr>
              <w:widowControl/>
              <w:autoSpaceDE w:val="0"/>
              <w:autoSpaceDN w:val="0"/>
              <w:adjustRightInd w:val="0"/>
              <w:jc w:val="left"/>
              <w:rPr>
                <w:rFonts w:ascii="宋体" w:hAnsi="宋体" w:cs="宋体"/>
                <w:b/>
                <w:bCs/>
                <w:color w:val="000000"/>
                <w:sz w:val="24"/>
                <w:highlight w:val="none"/>
              </w:rPr>
            </w:pPr>
            <w:r>
              <w:rPr>
                <w:rFonts w:hint="eastAsia" w:ascii="宋体" w:hAnsi="宋体" w:cs="宋体"/>
                <w:b/>
                <w:bCs/>
                <w:color w:val="000000"/>
                <w:sz w:val="24"/>
                <w:highlight w:val="none"/>
              </w:rPr>
              <w:t>一、投标保证金的金额：伍仟元。投标人最近一次在江苏省公路水路建设市场从业单位信用评定结果中的信用等级为AA级的投标保证金减少50％，被列入最近一次江苏省公路水运建设市场守信激励主体对象名单（红名单）的从业单位免缴投标保证金。</w:t>
            </w:r>
          </w:p>
          <w:p>
            <w:pPr>
              <w:widowControl/>
              <w:autoSpaceDE w:val="0"/>
              <w:autoSpaceDN w:val="0"/>
              <w:adjustRightInd w:val="0"/>
              <w:jc w:val="left"/>
              <w:rPr>
                <w:rFonts w:ascii="宋体" w:hAnsi="宋体" w:cs="宋体"/>
                <w:b/>
                <w:bCs/>
                <w:color w:val="000000"/>
                <w:sz w:val="24"/>
                <w:highlight w:val="none"/>
              </w:rPr>
            </w:pPr>
            <w:r>
              <w:rPr>
                <w:rFonts w:hint="eastAsia" w:ascii="宋体" w:hAnsi="宋体" w:cs="宋体"/>
                <w:b/>
                <w:bCs/>
                <w:color w:val="000000"/>
                <w:sz w:val="24"/>
                <w:highlight w:val="none"/>
              </w:rPr>
              <w:t>二、投标保证金递交形式：</w:t>
            </w:r>
          </w:p>
          <w:p>
            <w:pPr>
              <w:widowControl/>
              <w:autoSpaceDE w:val="0"/>
              <w:autoSpaceDN w:val="0"/>
              <w:adjustRightInd w:val="0"/>
              <w:jc w:val="left"/>
              <w:rPr>
                <w:rFonts w:ascii="宋体" w:hAnsi="宋体" w:cs="宋体"/>
                <w:b/>
                <w:bCs/>
                <w:color w:val="000000"/>
                <w:sz w:val="24"/>
                <w:highlight w:val="none"/>
              </w:rPr>
            </w:pPr>
            <w:r>
              <w:rPr>
                <w:rFonts w:hint="eastAsia" w:ascii="宋体" w:hAnsi="宋体" w:cs="宋体"/>
                <w:b/>
                <w:bCs/>
                <w:color w:val="000000"/>
                <w:sz w:val="24"/>
                <w:highlight w:val="none"/>
              </w:rPr>
              <w:t>1、红名单单位免缴投标保证金，提供列入红名单的公告截图即可。</w:t>
            </w:r>
          </w:p>
          <w:p>
            <w:pPr>
              <w:rPr>
                <w:highlight w:val="none"/>
              </w:rPr>
            </w:pPr>
            <w:r>
              <w:rPr>
                <w:rFonts w:hint="eastAsia" w:ascii="宋体" w:hAnsi="宋体" w:cs="宋体"/>
                <w:b/>
                <w:bCs/>
                <w:color w:val="000000"/>
                <w:sz w:val="24"/>
                <w:highlight w:val="none"/>
              </w:rPr>
              <w:t>2、非红名单请在投标文件中提交《投标保证金信用承诺书》代替投标保证金缴纳，承诺书中保证金金额请根据投标人自身情况填报。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jc w:val="center"/>
        </w:trPr>
        <w:tc>
          <w:tcPr>
            <w:tcW w:w="651" w:type="pct"/>
            <w:vAlign w:val="center"/>
          </w:tcPr>
          <w:p>
            <w:pPr>
              <w:jc w:val="center"/>
              <w:rPr>
                <w:highlight w:val="none"/>
              </w:rPr>
            </w:pPr>
            <w:r>
              <w:rPr>
                <w:highlight w:val="none"/>
              </w:rPr>
              <w:t>3.5.3</w:t>
            </w:r>
          </w:p>
        </w:tc>
        <w:tc>
          <w:tcPr>
            <w:tcW w:w="988" w:type="pct"/>
            <w:vAlign w:val="center"/>
          </w:tcPr>
          <w:p>
            <w:pPr>
              <w:jc w:val="center"/>
              <w:rPr>
                <w:highlight w:val="none"/>
              </w:rPr>
            </w:pPr>
            <w:r>
              <w:rPr>
                <w:highlight w:val="none"/>
              </w:rPr>
              <w:t>近年完成的类似项目的年份要求</w:t>
            </w:r>
          </w:p>
        </w:tc>
        <w:tc>
          <w:tcPr>
            <w:tcW w:w="3360" w:type="pct"/>
            <w:vAlign w:val="center"/>
          </w:tcPr>
          <w:p>
            <w:pPr>
              <w:rPr>
                <w:highlight w:val="none"/>
              </w:rPr>
            </w:pPr>
            <w:r>
              <w:rPr>
                <w:rFonts w:hint="eastAsia"/>
                <w:highlight w:val="none"/>
              </w:rPr>
              <w:t>见招标公告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7" w:hRule="atLeast"/>
          <w:jc w:val="center"/>
        </w:trPr>
        <w:tc>
          <w:tcPr>
            <w:tcW w:w="651" w:type="pct"/>
            <w:vAlign w:val="center"/>
          </w:tcPr>
          <w:p>
            <w:pPr>
              <w:jc w:val="center"/>
              <w:rPr>
                <w:highlight w:val="none"/>
              </w:rPr>
            </w:pPr>
            <w:r>
              <w:rPr>
                <w:highlight w:val="none"/>
              </w:rPr>
              <w:t>3.5.4</w:t>
            </w:r>
          </w:p>
        </w:tc>
        <w:tc>
          <w:tcPr>
            <w:tcW w:w="988" w:type="pct"/>
            <w:vAlign w:val="center"/>
          </w:tcPr>
          <w:p>
            <w:pPr>
              <w:jc w:val="center"/>
              <w:rPr>
                <w:highlight w:val="none"/>
              </w:rPr>
            </w:pPr>
            <w:r>
              <w:rPr>
                <w:highlight w:val="none"/>
              </w:rPr>
              <w:t>近年发生的诉讼及仲裁情况的年份要求</w:t>
            </w:r>
          </w:p>
        </w:tc>
        <w:tc>
          <w:tcPr>
            <w:tcW w:w="3360" w:type="pct"/>
            <w:vAlign w:val="center"/>
          </w:tcPr>
          <w:p>
            <w:pPr>
              <w:rPr>
                <w:highlight w:val="none"/>
              </w:rPr>
            </w:pPr>
            <w:r>
              <w:rPr>
                <w:highlight w:val="none"/>
              </w:rPr>
              <w:t>20</w:t>
            </w:r>
            <w:r>
              <w:rPr>
                <w:rFonts w:hint="eastAsia"/>
                <w:highlight w:val="none"/>
              </w:rPr>
              <w:t>21</w:t>
            </w:r>
            <w:r>
              <w:rPr>
                <w:highlight w:val="none"/>
              </w:rPr>
              <w:t>年1月1日以来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52" w:hRule="atLeast"/>
          <w:jc w:val="center"/>
        </w:trPr>
        <w:tc>
          <w:tcPr>
            <w:tcW w:w="651" w:type="pct"/>
            <w:vAlign w:val="center"/>
          </w:tcPr>
          <w:p>
            <w:pPr>
              <w:jc w:val="center"/>
              <w:rPr>
                <w:highlight w:val="none"/>
              </w:rPr>
            </w:pPr>
            <w:r>
              <w:rPr>
                <w:highlight w:val="none"/>
              </w:rPr>
              <w:t>3.6</w:t>
            </w:r>
          </w:p>
        </w:tc>
        <w:tc>
          <w:tcPr>
            <w:tcW w:w="988" w:type="pct"/>
            <w:vAlign w:val="center"/>
          </w:tcPr>
          <w:p>
            <w:pPr>
              <w:jc w:val="center"/>
              <w:rPr>
                <w:highlight w:val="none"/>
              </w:rPr>
            </w:pPr>
            <w:r>
              <w:rPr>
                <w:highlight w:val="none"/>
              </w:rPr>
              <w:t>是否允许递交备选投标方案</w:t>
            </w:r>
          </w:p>
        </w:tc>
        <w:tc>
          <w:tcPr>
            <w:tcW w:w="3360" w:type="pct"/>
            <w:vAlign w:val="center"/>
          </w:tcPr>
          <w:p>
            <w:pPr>
              <w:rPr>
                <w:highlight w:val="none"/>
              </w:rPr>
            </w:pPr>
            <w:r>
              <w:rPr>
                <w:highlight w:val="none"/>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651" w:type="pct"/>
            <w:vAlign w:val="center"/>
          </w:tcPr>
          <w:p>
            <w:pPr>
              <w:jc w:val="center"/>
              <w:rPr>
                <w:highlight w:val="none"/>
              </w:rPr>
            </w:pPr>
            <w:r>
              <w:rPr>
                <w:highlight w:val="none"/>
              </w:rPr>
              <w:t>3.7.3</w:t>
            </w:r>
          </w:p>
        </w:tc>
        <w:tc>
          <w:tcPr>
            <w:tcW w:w="988" w:type="pct"/>
            <w:vAlign w:val="center"/>
          </w:tcPr>
          <w:p>
            <w:pPr>
              <w:jc w:val="center"/>
              <w:rPr>
                <w:highlight w:val="none"/>
              </w:rPr>
            </w:pPr>
            <w:r>
              <w:rPr>
                <w:highlight w:val="none"/>
              </w:rPr>
              <w:t>签字或盖章的其他要求</w:t>
            </w:r>
          </w:p>
        </w:tc>
        <w:tc>
          <w:tcPr>
            <w:tcW w:w="3360" w:type="pct"/>
            <w:vAlign w:val="center"/>
          </w:tcPr>
          <w:p>
            <w:pPr>
              <w:rPr>
                <w:highlight w:val="none"/>
              </w:rPr>
            </w:pPr>
            <w:r>
              <w:rPr>
                <w:rFonts w:hint="eastAsia"/>
                <w:highlight w:val="none"/>
              </w:rPr>
              <w:t>投标文件上法定代表人或其授权代理人的签名</w:t>
            </w:r>
            <w:r>
              <w:rPr>
                <w:rFonts w:hint="eastAsia"/>
                <w:highlight w:val="none"/>
                <w:lang w:val="en-US" w:eastAsia="zh-CN"/>
              </w:rPr>
              <w:t>或签章</w:t>
            </w:r>
            <w:r>
              <w:rPr>
                <w:rFonts w:hint="eastAsia"/>
                <w:highlight w:val="none"/>
              </w:rPr>
              <w:t>、盖单位公章齐全，符合招标文件第七章“投标文件格式”中的相应要求。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651" w:type="pct"/>
            <w:vAlign w:val="center"/>
          </w:tcPr>
          <w:p>
            <w:pPr>
              <w:jc w:val="center"/>
              <w:rPr>
                <w:highlight w:val="none"/>
              </w:rPr>
            </w:pPr>
            <w:r>
              <w:rPr>
                <w:highlight w:val="none"/>
              </w:rPr>
              <w:t>3.7.4</w:t>
            </w:r>
          </w:p>
        </w:tc>
        <w:tc>
          <w:tcPr>
            <w:tcW w:w="988" w:type="pct"/>
            <w:vAlign w:val="center"/>
          </w:tcPr>
          <w:p>
            <w:pPr>
              <w:jc w:val="center"/>
              <w:rPr>
                <w:highlight w:val="none"/>
              </w:rPr>
            </w:pPr>
            <w:r>
              <w:rPr>
                <w:highlight w:val="none"/>
              </w:rPr>
              <w:t>投标文件副本份数</w:t>
            </w:r>
          </w:p>
        </w:tc>
        <w:tc>
          <w:tcPr>
            <w:tcW w:w="3360" w:type="pct"/>
            <w:vAlign w:val="center"/>
          </w:tcPr>
          <w:p>
            <w:pPr>
              <w:rPr>
                <w:highlight w:val="none"/>
              </w:rPr>
            </w:pPr>
            <w:r>
              <w:rPr>
                <w:rFonts w:hint="eastAsia"/>
                <w:highlight w:val="none"/>
              </w:rPr>
              <w:t>投标文件副本份数：投标文件第一个信封正本1份、副本4份；投标文件第二个信封正本1份、副本4份。中标人在办理合同签订手续时再提交副本若干份，具体份数由发包人确定，副本为正本的复制件（投标人编制投标文件时，务必自留一份投标文件以便中标后复制）。</w:t>
            </w:r>
          </w:p>
          <w:p>
            <w:pPr>
              <w:rPr>
                <w:highlight w:val="none"/>
              </w:rPr>
            </w:pPr>
            <w:r>
              <w:rPr>
                <w:rFonts w:hint="eastAsia"/>
                <w:highlight w:val="none"/>
              </w:rPr>
              <w:t>是否要求提交电子版文件：是（电子版文件应分第一信封、第二信封分别拷入不同U盘中，并与对应的投标文件一同密封包装，第一信封电子文件不得出现第二信封的任何内容），</w:t>
            </w:r>
            <w:r>
              <w:rPr>
                <w:rFonts w:hint="eastAsia"/>
                <w:b/>
                <w:bCs/>
                <w:highlight w:val="none"/>
                <w:u w:val="double"/>
              </w:rPr>
              <w:t>电子文档应为已签字盖章后的纸质文档的电子扫描件，电子文件不得设置密码并保证无病毒。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1" w:hRule="atLeast"/>
          <w:jc w:val="center"/>
        </w:trPr>
        <w:tc>
          <w:tcPr>
            <w:tcW w:w="651" w:type="pct"/>
            <w:vAlign w:val="center"/>
          </w:tcPr>
          <w:p>
            <w:pPr>
              <w:jc w:val="center"/>
              <w:rPr>
                <w:highlight w:val="none"/>
              </w:rPr>
            </w:pPr>
            <w:r>
              <w:rPr>
                <w:highlight w:val="none"/>
              </w:rPr>
              <w:t>3.7.5</w:t>
            </w:r>
          </w:p>
        </w:tc>
        <w:tc>
          <w:tcPr>
            <w:tcW w:w="988" w:type="pct"/>
            <w:vAlign w:val="center"/>
          </w:tcPr>
          <w:p>
            <w:pPr>
              <w:jc w:val="center"/>
              <w:rPr>
                <w:highlight w:val="none"/>
              </w:rPr>
            </w:pPr>
            <w:r>
              <w:rPr>
                <w:highlight w:val="none"/>
              </w:rPr>
              <w:t>装订要求</w:t>
            </w:r>
          </w:p>
        </w:tc>
        <w:tc>
          <w:tcPr>
            <w:tcW w:w="3360" w:type="pct"/>
            <w:vAlign w:val="center"/>
          </w:tcPr>
          <w:p>
            <w:pPr>
              <w:rPr>
                <w:highlight w:val="none"/>
              </w:rPr>
            </w:pPr>
            <w:r>
              <w:rPr>
                <w:rFonts w:hint="eastAsia"/>
                <w:b/>
                <w:bCs/>
                <w:highlight w:val="none"/>
              </w:rPr>
              <w:t>投标文件第一个信封、第二个信封应分别、分正副本装订成册</w:t>
            </w:r>
            <w:r>
              <w:rPr>
                <w:rFonts w:hint="eastAsia"/>
                <w:highlight w:val="none"/>
              </w:rPr>
              <w:t>，应编制目录，且逐页标注连续页码。投标文件不得采用活页夹装订。投标文件应编制目录，并标注页码，否则，招标人对由于投标文件装订松散而造成的丢失或其它后果不承担任何责任。每个篇章用彩色纸张隔离，以便查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4" w:hRule="atLeast"/>
          <w:jc w:val="center"/>
        </w:trPr>
        <w:tc>
          <w:tcPr>
            <w:tcW w:w="651" w:type="pct"/>
            <w:vAlign w:val="center"/>
          </w:tcPr>
          <w:p>
            <w:pPr>
              <w:jc w:val="center"/>
              <w:rPr>
                <w:highlight w:val="none"/>
              </w:rPr>
            </w:pPr>
            <w:r>
              <w:rPr>
                <w:highlight w:val="none"/>
              </w:rPr>
              <w:t>4.1.2</w:t>
            </w:r>
          </w:p>
        </w:tc>
        <w:tc>
          <w:tcPr>
            <w:tcW w:w="988" w:type="pct"/>
            <w:vAlign w:val="center"/>
          </w:tcPr>
          <w:p>
            <w:pPr>
              <w:jc w:val="center"/>
              <w:rPr>
                <w:highlight w:val="none"/>
              </w:rPr>
            </w:pPr>
            <w:r>
              <w:rPr>
                <w:highlight w:val="none"/>
              </w:rPr>
              <w:t>封套上写明</w:t>
            </w:r>
          </w:p>
        </w:tc>
        <w:tc>
          <w:tcPr>
            <w:tcW w:w="3360" w:type="pct"/>
            <w:vAlign w:val="center"/>
          </w:tcPr>
          <w:p>
            <w:pPr>
              <w:rPr>
                <w:highlight w:val="none"/>
              </w:rPr>
            </w:pPr>
            <w:r>
              <w:rPr>
                <w:rFonts w:hint="eastAsia"/>
                <w:highlight w:val="none"/>
              </w:rPr>
              <w:t>投标文件第一个信封（商务及技术文件）</w:t>
            </w:r>
          </w:p>
          <w:p>
            <w:pPr>
              <w:rPr>
                <w:highlight w:val="none"/>
              </w:rPr>
            </w:pPr>
            <w:r>
              <w:rPr>
                <w:rFonts w:hint="eastAsia"/>
                <w:highlight w:val="none"/>
              </w:rPr>
              <w:t>_________（项目名称）______标段第一个信封（商务及技术文件）投标文件</w:t>
            </w:r>
          </w:p>
          <w:p>
            <w:pPr>
              <w:rPr>
                <w:highlight w:val="none"/>
              </w:rPr>
            </w:pPr>
            <w:r>
              <w:rPr>
                <w:rFonts w:hint="eastAsia"/>
                <w:highlight w:val="none"/>
              </w:rPr>
              <w:t>投标人名称：_______________</w:t>
            </w:r>
          </w:p>
          <w:p>
            <w:pPr>
              <w:rPr>
                <w:highlight w:val="none"/>
              </w:rPr>
            </w:pPr>
            <w:r>
              <w:rPr>
                <w:rFonts w:hint="eastAsia"/>
                <w:highlight w:val="none"/>
              </w:rPr>
              <w:t>投标人联系人：_____________</w:t>
            </w:r>
          </w:p>
          <w:p>
            <w:pPr>
              <w:rPr>
                <w:highlight w:val="none"/>
              </w:rPr>
            </w:pPr>
            <w:r>
              <w:rPr>
                <w:rFonts w:hint="eastAsia"/>
                <w:highlight w:val="none"/>
              </w:rPr>
              <w:t>投标人联系电话：___________</w:t>
            </w:r>
          </w:p>
          <w:p>
            <w:pPr>
              <w:rPr>
                <w:highlight w:val="none"/>
              </w:rPr>
            </w:pPr>
            <w:r>
              <w:rPr>
                <w:rFonts w:hint="eastAsia"/>
                <w:highlight w:val="none"/>
              </w:rPr>
              <w:t>在____年___月____日____时___分前不得开启</w:t>
            </w:r>
          </w:p>
          <w:p>
            <w:pPr>
              <w:rPr>
                <w:highlight w:val="none"/>
              </w:rPr>
            </w:pPr>
            <w:r>
              <w:rPr>
                <w:rFonts w:hint="eastAsia"/>
                <w:highlight w:val="none"/>
              </w:rPr>
              <w:t>投标文件第二个信封（投标报价和工程量清单）</w:t>
            </w:r>
          </w:p>
          <w:p>
            <w:pPr>
              <w:rPr>
                <w:highlight w:val="none"/>
              </w:rPr>
            </w:pPr>
            <w:r>
              <w:rPr>
                <w:rFonts w:hint="eastAsia"/>
                <w:highlight w:val="none"/>
              </w:rPr>
              <w:t>__________（项目名称）________标段第二个信封（投标报价和工程量清单）投标文件</w:t>
            </w:r>
          </w:p>
          <w:p>
            <w:pPr>
              <w:rPr>
                <w:highlight w:val="none"/>
              </w:rPr>
            </w:pPr>
            <w:r>
              <w:rPr>
                <w:rFonts w:hint="eastAsia"/>
                <w:highlight w:val="none"/>
              </w:rPr>
              <w:t>投标人名称：_______________</w:t>
            </w:r>
          </w:p>
          <w:p>
            <w:pPr>
              <w:rPr>
                <w:highlight w:val="none"/>
              </w:rPr>
            </w:pPr>
            <w:r>
              <w:rPr>
                <w:rFonts w:hint="eastAsia"/>
                <w:highlight w:val="none"/>
              </w:rPr>
              <w:t>投标人联系人：_____________</w:t>
            </w:r>
          </w:p>
          <w:p>
            <w:pPr>
              <w:rPr>
                <w:highlight w:val="none"/>
              </w:rPr>
            </w:pPr>
            <w:r>
              <w:rPr>
                <w:rFonts w:hint="eastAsia"/>
                <w:highlight w:val="none"/>
              </w:rPr>
              <w:t>投标人联系电话：___________</w:t>
            </w:r>
          </w:p>
          <w:p>
            <w:pPr>
              <w:rPr>
                <w:highlight w:val="none"/>
              </w:rPr>
            </w:pPr>
            <w:r>
              <w:rPr>
                <w:rFonts w:hint="eastAsia"/>
                <w:highlight w:val="none"/>
              </w:rPr>
              <w:t xml:space="preserve">在____年___月____日____时___分前不得开启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51" w:type="pct"/>
            <w:vAlign w:val="center"/>
          </w:tcPr>
          <w:p>
            <w:pPr>
              <w:jc w:val="center"/>
              <w:rPr>
                <w:highlight w:val="none"/>
              </w:rPr>
            </w:pPr>
            <w:r>
              <w:rPr>
                <w:highlight w:val="none"/>
              </w:rPr>
              <w:t>4.2.2</w:t>
            </w:r>
          </w:p>
        </w:tc>
        <w:tc>
          <w:tcPr>
            <w:tcW w:w="988" w:type="pct"/>
            <w:vAlign w:val="center"/>
          </w:tcPr>
          <w:p>
            <w:pPr>
              <w:jc w:val="center"/>
              <w:rPr>
                <w:highlight w:val="none"/>
              </w:rPr>
            </w:pPr>
            <w:r>
              <w:rPr>
                <w:highlight w:val="none"/>
              </w:rPr>
              <w:t>递交投标文件地点</w:t>
            </w:r>
          </w:p>
        </w:tc>
        <w:tc>
          <w:tcPr>
            <w:tcW w:w="3360" w:type="pct"/>
            <w:vAlign w:val="center"/>
          </w:tcPr>
          <w:p>
            <w:pPr>
              <w:rPr>
                <w:highlight w:val="none"/>
              </w:rPr>
            </w:pPr>
            <w:r>
              <w:rPr>
                <w:highlight w:val="none"/>
              </w:rPr>
              <w:t>见招标公告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4" w:hRule="atLeast"/>
          <w:jc w:val="center"/>
        </w:trPr>
        <w:tc>
          <w:tcPr>
            <w:tcW w:w="651" w:type="pct"/>
            <w:vAlign w:val="center"/>
          </w:tcPr>
          <w:p>
            <w:pPr>
              <w:jc w:val="center"/>
              <w:rPr>
                <w:highlight w:val="none"/>
              </w:rPr>
            </w:pPr>
            <w:r>
              <w:rPr>
                <w:highlight w:val="none"/>
              </w:rPr>
              <w:t>4.2.3</w:t>
            </w:r>
          </w:p>
        </w:tc>
        <w:tc>
          <w:tcPr>
            <w:tcW w:w="988" w:type="pct"/>
            <w:vAlign w:val="center"/>
          </w:tcPr>
          <w:p>
            <w:pPr>
              <w:jc w:val="center"/>
              <w:rPr>
                <w:highlight w:val="none"/>
              </w:rPr>
            </w:pPr>
            <w:r>
              <w:rPr>
                <w:highlight w:val="none"/>
              </w:rPr>
              <w:t>是否退还投标文件</w:t>
            </w:r>
          </w:p>
        </w:tc>
        <w:tc>
          <w:tcPr>
            <w:tcW w:w="3360" w:type="pct"/>
            <w:vAlign w:val="center"/>
          </w:tcPr>
          <w:p>
            <w:pPr>
              <w:spacing w:line="320" w:lineRule="exact"/>
              <w:rPr>
                <w:szCs w:val="21"/>
                <w:highlight w:val="none"/>
              </w:rPr>
            </w:pPr>
            <w:r>
              <w:rPr>
                <w:rFonts w:hint="eastAsia"/>
                <w:szCs w:val="21"/>
                <w:highlight w:val="none"/>
              </w:rPr>
              <w:t>不退还，除以下情况外：</w:t>
            </w:r>
          </w:p>
          <w:p>
            <w:pPr>
              <w:spacing w:line="320" w:lineRule="exact"/>
              <w:rPr>
                <w:highlight w:val="none"/>
              </w:rPr>
            </w:pPr>
            <w:r>
              <w:rPr>
                <w:highlight w:val="none"/>
              </w:rPr>
              <w:t>1</w:t>
            </w:r>
            <w:r>
              <w:rPr>
                <w:rFonts w:hint="eastAsia"/>
                <w:highlight w:val="none"/>
              </w:rPr>
              <w:t>、若</w:t>
            </w:r>
            <w:r>
              <w:rPr>
                <w:rFonts w:hint="eastAsia"/>
                <w:szCs w:val="21"/>
                <w:highlight w:val="none"/>
              </w:rPr>
              <w:t>投标人少于</w:t>
            </w:r>
            <w:r>
              <w:rPr>
                <w:szCs w:val="21"/>
                <w:highlight w:val="none"/>
              </w:rPr>
              <w:t>3</w:t>
            </w:r>
            <w:r>
              <w:rPr>
                <w:rFonts w:hint="eastAsia"/>
                <w:szCs w:val="21"/>
                <w:highlight w:val="none"/>
              </w:rPr>
              <w:t>个，则投标文件当场退还给投标人；</w:t>
            </w:r>
          </w:p>
          <w:p>
            <w:pPr>
              <w:spacing w:line="320" w:lineRule="exact"/>
              <w:rPr>
                <w:szCs w:val="21"/>
                <w:highlight w:val="none"/>
              </w:rPr>
            </w:pPr>
            <w:r>
              <w:rPr>
                <w:szCs w:val="21"/>
                <w:highlight w:val="none"/>
              </w:rPr>
              <w:t>2</w:t>
            </w:r>
            <w:r>
              <w:rPr>
                <w:rFonts w:hint="eastAsia"/>
                <w:szCs w:val="21"/>
                <w:highlight w:val="none"/>
              </w:rPr>
              <w:t>、招标人将在开标现场退还未通过开标完备性检查的投标人文件；</w:t>
            </w:r>
          </w:p>
          <w:p>
            <w:pPr>
              <w:spacing w:line="320" w:lineRule="exact"/>
              <w:rPr>
                <w:szCs w:val="21"/>
                <w:highlight w:val="none"/>
              </w:rPr>
            </w:pPr>
            <w:r>
              <w:rPr>
                <w:szCs w:val="21"/>
                <w:highlight w:val="none"/>
              </w:rPr>
              <w:t>3</w:t>
            </w:r>
            <w:r>
              <w:rPr>
                <w:rFonts w:hint="eastAsia"/>
                <w:szCs w:val="21"/>
                <w:highlight w:val="none"/>
              </w:rPr>
              <w:t>、招标人将在评标结果公示结束后退还未通过投标文件第一信封审查的投标人的投标文件第二信封，请于评标结果公示结束后三天内至招标代理处办理投标文件退还。</w:t>
            </w:r>
          </w:p>
          <w:p>
            <w:pPr>
              <w:rPr>
                <w:highlight w:val="none"/>
              </w:rPr>
            </w:pPr>
            <w:r>
              <w:rPr>
                <w:rFonts w:hint="eastAsia"/>
                <w:szCs w:val="21"/>
                <w:highlight w:val="none"/>
              </w:rPr>
              <w:t>投标人逾期未来办理投标文件退还手续，视为自动默认招标人对投标文件的处理结果。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2" w:hRule="atLeast"/>
          <w:jc w:val="center"/>
        </w:trPr>
        <w:tc>
          <w:tcPr>
            <w:tcW w:w="651" w:type="pct"/>
            <w:vAlign w:val="center"/>
          </w:tcPr>
          <w:p>
            <w:pPr>
              <w:jc w:val="center"/>
              <w:rPr>
                <w:highlight w:val="none"/>
              </w:rPr>
            </w:pPr>
            <w:r>
              <w:rPr>
                <w:highlight w:val="none"/>
              </w:rPr>
              <w:t>4.2.6</w:t>
            </w:r>
          </w:p>
        </w:tc>
        <w:tc>
          <w:tcPr>
            <w:tcW w:w="988" w:type="pct"/>
            <w:vAlign w:val="center"/>
          </w:tcPr>
          <w:p>
            <w:pPr>
              <w:jc w:val="center"/>
              <w:rPr>
                <w:highlight w:val="none"/>
              </w:rPr>
            </w:pPr>
            <w:r>
              <w:rPr>
                <w:highlight w:val="none"/>
              </w:rPr>
              <w:t>招标人通知延后投标截止时间的时间</w:t>
            </w:r>
          </w:p>
        </w:tc>
        <w:tc>
          <w:tcPr>
            <w:tcW w:w="3360" w:type="pct"/>
            <w:vAlign w:val="center"/>
          </w:tcPr>
          <w:p>
            <w:pPr>
              <w:rPr>
                <w:highlight w:val="none"/>
              </w:rPr>
            </w:pPr>
            <w:r>
              <w:rPr>
                <w:highlight w:val="none"/>
              </w:rPr>
              <w:t>原定投标截止时间3天前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1" w:hRule="atLeast"/>
          <w:jc w:val="center"/>
        </w:trPr>
        <w:tc>
          <w:tcPr>
            <w:tcW w:w="651" w:type="pct"/>
            <w:vAlign w:val="center"/>
          </w:tcPr>
          <w:p>
            <w:pPr>
              <w:jc w:val="center"/>
              <w:rPr>
                <w:highlight w:val="none"/>
              </w:rPr>
            </w:pPr>
            <w:r>
              <w:rPr>
                <w:highlight w:val="none"/>
              </w:rPr>
              <w:t>5.1</w:t>
            </w:r>
          </w:p>
        </w:tc>
        <w:tc>
          <w:tcPr>
            <w:tcW w:w="988" w:type="pct"/>
            <w:vAlign w:val="center"/>
          </w:tcPr>
          <w:p>
            <w:pPr>
              <w:jc w:val="center"/>
              <w:rPr>
                <w:highlight w:val="none"/>
              </w:rPr>
            </w:pPr>
            <w:r>
              <w:rPr>
                <w:highlight w:val="none"/>
              </w:rPr>
              <w:t>开标时间和地点</w:t>
            </w:r>
          </w:p>
        </w:tc>
        <w:tc>
          <w:tcPr>
            <w:tcW w:w="3360" w:type="pct"/>
            <w:vAlign w:val="center"/>
          </w:tcPr>
          <w:p>
            <w:pPr>
              <w:rPr>
                <w:rFonts w:ascii="宋体"/>
                <w:highlight w:val="none"/>
              </w:rPr>
            </w:pPr>
            <w:r>
              <w:rPr>
                <w:rFonts w:hint="eastAsia" w:ascii="宋体" w:hAnsi="宋体" w:cs="宋体"/>
                <w:highlight w:val="none"/>
              </w:rPr>
              <w:t>投标文件第一个信封</w:t>
            </w:r>
            <w:r>
              <w:rPr>
                <w:rFonts w:ascii="宋体" w:hAnsi="宋体" w:cs="宋体"/>
                <w:highlight w:val="none"/>
              </w:rPr>
              <w:t>(</w:t>
            </w:r>
            <w:r>
              <w:rPr>
                <w:rFonts w:hint="eastAsia" w:ascii="宋体" w:hAnsi="宋体" w:cs="宋体"/>
                <w:highlight w:val="none"/>
              </w:rPr>
              <w:t>商务及技术文件</w:t>
            </w:r>
            <w:r>
              <w:rPr>
                <w:rFonts w:ascii="宋体" w:hAnsi="宋体" w:cs="宋体"/>
                <w:highlight w:val="none"/>
              </w:rPr>
              <w:t>)</w:t>
            </w:r>
            <w:r>
              <w:rPr>
                <w:rFonts w:hint="eastAsia" w:ascii="宋体" w:hAnsi="宋体" w:cs="宋体"/>
                <w:highlight w:val="none"/>
              </w:rPr>
              <w:t>开标时间：</w:t>
            </w:r>
            <w:r>
              <w:rPr>
                <w:rFonts w:hint="eastAsia" w:ascii="宋体" w:hAnsi="宋体" w:cs="宋体"/>
                <w:highlight w:val="none"/>
                <w:u w:val="single"/>
              </w:rPr>
              <w:t>同投标截止时间</w:t>
            </w:r>
            <w:r>
              <w:rPr>
                <w:rFonts w:hint="eastAsia" w:ascii="宋体" w:hAnsi="宋体" w:cs="宋体"/>
                <w:highlight w:val="none"/>
              </w:rPr>
              <w:t>；</w:t>
            </w:r>
          </w:p>
          <w:p>
            <w:pPr>
              <w:rPr>
                <w:rFonts w:ascii="宋体"/>
                <w:highlight w:val="none"/>
              </w:rPr>
            </w:pPr>
            <w:r>
              <w:rPr>
                <w:rFonts w:hint="eastAsia" w:ascii="宋体" w:hAnsi="宋体" w:cs="宋体"/>
                <w:highlight w:val="none"/>
              </w:rPr>
              <w:t>投标文件第一个信封</w:t>
            </w:r>
            <w:r>
              <w:rPr>
                <w:rFonts w:ascii="宋体" w:hAnsi="宋体" w:cs="宋体"/>
                <w:highlight w:val="none"/>
              </w:rPr>
              <w:t>(</w:t>
            </w:r>
            <w:r>
              <w:rPr>
                <w:rFonts w:hint="eastAsia" w:ascii="宋体" w:hAnsi="宋体" w:cs="宋体"/>
                <w:highlight w:val="none"/>
              </w:rPr>
              <w:t>商务及技术文件</w:t>
            </w:r>
            <w:r>
              <w:rPr>
                <w:rFonts w:ascii="宋体" w:hAnsi="宋体" w:cs="宋体"/>
                <w:highlight w:val="none"/>
              </w:rPr>
              <w:t>)</w:t>
            </w:r>
            <w:r>
              <w:rPr>
                <w:rFonts w:hint="eastAsia" w:ascii="宋体" w:hAnsi="宋体" w:cs="宋体"/>
                <w:highlight w:val="none"/>
              </w:rPr>
              <w:t>开标地点：</w:t>
            </w:r>
            <w:r>
              <w:rPr>
                <w:rFonts w:hint="eastAsia" w:ascii="宋体" w:hAnsi="宋体" w:cs="宋体"/>
                <w:highlight w:val="none"/>
                <w:u w:val="single"/>
              </w:rPr>
              <w:t>同投标文件递交地点</w:t>
            </w:r>
            <w:r>
              <w:rPr>
                <w:rFonts w:hint="eastAsia" w:ascii="宋体" w:hAnsi="宋体" w:cs="宋体"/>
                <w:highlight w:val="none"/>
              </w:rPr>
              <w:t>；</w:t>
            </w:r>
          </w:p>
          <w:p>
            <w:pPr>
              <w:rPr>
                <w:rFonts w:ascii="宋体"/>
                <w:highlight w:val="none"/>
              </w:rPr>
            </w:pPr>
            <w:r>
              <w:rPr>
                <w:rFonts w:hint="eastAsia" w:ascii="宋体" w:hAnsi="宋体" w:cs="宋体"/>
                <w:highlight w:val="none"/>
              </w:rPr>
              <w:t>投标文件第二个信封</w:t>
            </w:r>
            <w:r>
              <w:rPr>
                <w:rFonts w:ascii="宋体" w:hAnsi="宋体" w:cs="宋体"/>
                <w:highlight w:val="none"/>
              </w:rPr>
              <w:t>(</w:t>
            </w:r>
            <w:r>
              <w:rPr>
                <w:rFonts w:hint="eastAsia" w:ascii="宋体" w:hAnsi="宋体" w:cs="宋体"/>
                <w:highlight w:val="none"/>
              </w:rPr>
              <w:t>报价文件</w:t>
            </w:r>
            <w:r>
              <w:rPr>
                <w:rFonts w:ascii="宋体" w:hAnsi="宋体" w:cs="宋体"/>
                <w:highlight w:val="none"/>
              </w:rPr>
              <w:t>)</w:t>
            </w:r>
            <w:r>
              <w:rPr>
                <w:rFonts w:hint="eastAsia" w:ascii="宋体" w:hAnsi="宋体" w:cs="宋体"/>
                <w:highlight w:val="none"/>
              </w:rPr>
              <w:t>开标时间：</w:t>
            </w:r>
            <w:r>
              <w:rPr>
                <w:rFonts w:hint="eastAsia" w:ascii="宋体" w:hAnsi="宋体" w:cs="宋体"/>
                <w:highlight w:val="none"/>
                <w:u w:val="single"/>
              </w:rPr>
              <w:t>另行通知</w:t>
            </w:r>
            <w:r>
              <w:rPr>
                <w:rFonts w:hint="eastAsia" w:ascii="宋体" w:hAnsi="宋体" w:cs="宋体"/>
                <w:highlight w:val="none"/>
              </w:rPr>
              <w:t>；</w:t>
            </w:r>
          </w:p>
          <w:p>
            <w:pPr>
              <w:rPr>
                <w:highlight w:val="none"/>
              </w:rPr>
            </w:pPr>
            <w:r>
              <w:rPr>
                <w:rFonts w:hint="eastAsia" w:ascii="宋体" w:hAnsi="宋体" w:cs="宋体"/>
                <w:highlight w:val="none"/>
              </w:rPr>
              <w:t>投标文件第二个信封</w:t>
            </w:r>
            <w:r>
              <w:rPr>
                <w:rFonts w:ascii="宋体" w:hAnsi="宋体" w:cs="宋体"/>
                <w:highlight w:val="none"/>
              </w:rPr>
              <w:t>(</w:t>
            </w:r>
            <w:r>
              <w:rPr>
                <w:rFonts w:hint="eastAsia" w:ascii="宋体" w:hAnsi="宋体" w:cs="宋体"/>
                <w:highlight w:val="none"/>
              </w:rPr>
              <w:t>报价文件</w:t>
            </w:r>
            <w:r>
              <w:rPr>
                <w:rFonts w:ascii="宋体" w:hAnsi="宋体" w:cs="宋体"/>
                <w:highlight w:val="none"/>
              </w:rPr>
              <w:t>)</w:t>
            </w:r>
            <w:r>
              <w:rPr>
                <w:rFonts w:hint="eastAsia" w:ascii="宋体" w:hAnsi="宋体" w:cs="宋体"/>
                <w:highlight w:val="none"/>
              </w:rPr>
              <w:t>开标地点：</w:t>
            </w:r>
            <w:r>
              <w:rPr>
                <w:rFonts w:hint="eastAsia" w:ascii="宋体" w:hAnsi="宋体" w:cs="宋体"/>
                <w:highlight w:val="none"/>
                <w:u w:val="single"/>
              </w:rPr>
              <w:t>另行通知</w:t>
            </w:r>
            <w:r>
              <w:rPr>
                <w:rFonts w:hint="eastAsia" w:ascii="宋体" w:hAnsi="宋体" w:cs="宋体"/>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51" w:type="pct"/>
            <w:vAlign w:val="center"/>
          </w:tcPr>
          <w:p>
            <w:pPr>
              <w:jc w:val="center"/>
              <w:rPr>
                <w:highlight w:val="none"/>
              </w:rPr>
            </w:pPr>
            <w:r>
              <w:rPr>
                <w:highlight w:val="none"/>
              </w:rPr>
              <w:t>5.2.1</w:t>
            </w:r>
          </w:p>
        </w:tc>
        <w:tc>
          <w:tcPr>
            <w:tcW w:w="988" w:type="pct"/>
            <w:vAlign w:val="center"/>
          </w:tcPr>
          <w:p>
            <w:pPr>
              <w:jc w:val="center"/>
              <w:rPr>
                <w:highlight w:val="none"/>
              </w:rPr>
            </w:pPr>
            <w:r>
              <w:rPr>
                <w:highlight w:val="none"/>
              </w:rPr>
              <w:t>开标程序</w:t>
            </w:r>
          </w:p>
        </w:tc>
        <w:tc>
          <w:tcPr>
            <w:tcW w:w="3360" w:type="pct"/>
            <w:vAlign w:val="center"/>
          </w:tcPr>
          <w:p>
            <w:pPr>
              <w:rPr>
                <w:highlight w:val="none"/>
              </w:rPr>
            </w:pPr>
            <w:r>
              <w:rPr>
                <w:highlight w:val="none"/>
              </w:rPr>
              <w:t>（4）密封情况检查：由投标人代表共同检查并宣布检查结果；</w:t>
            </w:r>
          </w:p>
          <w:p>
            <w:pPr>
              <w:rPr>
                <w:highlight w:val="none"/>
              </w:rPr>
            </w:pPr>
            <w:r>
              <w:rPr>
                <w:highlight w:val="none"/>
              </w:rPr>
              <w:t>（5）开标顺序：</w:t>
            </w:r>
            <w:r>
              <w:rPr>
                <w:rFonts w:hint="eastAsia"/>
                <w:highlight w:val="none"/>
              </w:rPr>
              <w:t>开标现场随机确定</w:t>
            </w:r>
            <w:r>
              <w:rPr>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651" w:type="pct"/>
            <w:vAlign w:val="center"/>
          </w:tcPr>
          <w:p>
            <w:pPr>
              <w:jc w:val="center"/>
              <w:rPr>
                <w:highlight w:val="none"/>
              </w:rPr>
            </w:pPr>
            <w:r>
              <w:rPr>
                <w:highlight w:val="none"/>
              </w:rPr>
              <w:t>6.1.1</w:t>
            </w:r>
          </w:p>
        </w:tc>
        <w:tc>
          <w:tcPr>
            <w:tcW w:w="988" w:type="pct"/>
            <w:vAlign w:val="center"/>
          </w:tcPr>
          <w:p>
            <w:pPr>
              <w:jc w:val="center"/>
              <w:rPr>
                <w:highlight w:val="none"/>
              </w:rPr>
            </w:pPr>
            <w:r>
              <w:rPr>
                <w:highlight w:val="none"/>
              </w:rPr>
              <w:t>评标委员会的组建</w:t>
            </w:r>
          </w:p>
        </w:tc>
        <w:tc>
          <w:tcPr>
            <w:tcW w:w="3360" w:type="pct"/>
            <w:vAlign w:val="center"/>
          </w:tcPr>
          <w:p>
            <w:pPr>
              <w:rPr>
                <w:highlight w:val="none"/>
              </w:rPr>
            </w:pPr>
            <w:r>
              <w:rPr>
                <w:highlight w:val="none"/>
              </w:rPr>
              <w:t>评标委员会构成：5人或5人以上单数；其中招标人代表不超过1/3，专家不少于2/3。</w:t>
            </w:r>
          </w:p>
          <w:p>
            <w:pPr>
              <w:pStyle w:val="16"/>
              <w:rPr>
                <w:highlight w:val="none"/>
              </w:rPr>
            </w:pPr>
            <w:r>
              <w:rPr>
                <w:rFonts w:ascii="宋体" w:hAnsi="宋体" w:cs="宋体"/>
                <w:highlight w:val="none"/>
              </w:rPr>
              <w:t>评标专家确定方式</w:t>
            </w:r>
            <w:r>
              <w:rPr>
                <w:rFonts w:hint="eastAsia" w:ascii="宋体" w:hAnsi="宋体" w:cs="宋体"/>
                <w:highlight w:val="none"/>
              </w:rPr>
              <w:t>：由招标人</w:t>
            </w:r>
            <w:r>
              <w:rPr>
                <w:rFonts w:hint="eastAsia"/>
                <w:highlight w:val="none"/>
              </w:rPr>
              <w:t>依法组建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651" w:type="pct"/>
            <w:vAlign w:val="center"/>
          </w:tcPr>
          <w:p>
            <w:pPr>
              <w:jc w:val="center"/>
              <w:rPr>
                <w:highlight w:val="none"/>
              </w:rPr>
            </w:pPr>
            <w:r>
              <w:rPr>
                <w:highlight w:val="none"/>
              </w:rPr>
              <w:t>7.1</w:t>
            </w:r>
          </w:p>
        </w:tc>
        <w:tc>
          <w:tcPr>
            <w:tcW w:w="988" w:type="pct"/>
            <w:vAlign w:val="center"/>
          </w:tcPr>
          <w:p>
            <w:pPr>
              <w:jc w:val="center"/>
              <w:rPr>
                <w:highlight w:val="none"/>
              </w:rPr>
            </w:pPr>
            <w:r>
              <w:rPr>
                <w:highlight w:val="none"/>
              </w:rPr>
              <w:t>是否授权评标委员会确定中标人</w:t>
            </w:r>
          </w:p>
        </w:tc>
        <w:tc>
          <w:tcPr>
            <w:tcW w:w="3360" w:type="pct"/>
            <w:vAlign w:val="center"/>
          </w:tcPr>
          <w:p>
            <w:pPr>
              <w:rPr>
                <w:highlight w:val="none"/>
              </w:rPr>
            </w:pPr>
            <w:r>
              <w:rPr>
                <w:highlight w:val="none"/>
              </w:rPr>
              <w:t>否，</w:t>
            </w:r>
            <w:r>
              <w:rPr>
                <w:rFonts w:hint="eastAsia"/>
                <w:highlight w:val="none"/>
              </w:rPr>
              <w:t>评标委员会推荐的中标候选人的数量为3家，若有效投标人不足3家的，则推荐的中标候选人的数量为有效投标人的数量</w:t>
            </w:r>
            <w:r>
              <w:rPr>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jc w:val="center"/>
        </w:trPr>
        <w:tc>
          <w:tcPr>
            <w:tcW w:w="651" w:type="pct"/>
            <w:vAlign w:val="center"/>
          </w:tcPr>
          <w:p>
            <w:pPr>
              <w:jc w:val="center"/>
              <w:rPr>
                <w:highlight w:val="none"/>
              </w:rPr>
            </w:pPr>
            <w:r>
              <w:rPr>
                <w:highlight w:val="none"/>
              </w:rPr>
              <w:t>7.3.1</w:t>
            </w:r>
          </w:p>
        </w:tc>
        <w:tc>
          <w:tcPr>
            <w:tcW w:w="988" w:type="pct"/>
            <w:vAlign w:val="center"/>
          </w:tcPr>
          <w:p>
            <w:pPr>
              <w:jc w:val="center"/>
              <w:rPr>
                <w:highlight w:val="none"/>
              </w:rPr>
            </w:pPr>
            <w:r>
              <w:rPr>
                <w:highlight w:val="none"/>
              </w:rPr>
              <w:t>履约保证金</w:t>
            </w:r>
          </w:p>
        </w:tc>
        <w:tc>
          <w:tcPr>
            <w:tcW w:w="3360" w:type="pct"/>
            <w:vAlign w:val="center"/>
          </w:tcPr>
          <w:p>
            <w:pPr>
              <w:rPr>
                <w:highlight w:val="none"/>
              </w:rPr>
            </w:pPr>
            <w:r>
              <w:rPr>
                <w:highlight w:val="none"/>
              </w:rPr>
              <w:t>履约保证金</w:t>
            </w:r>
            <w:r>
              <w:rPr>
                <w:rFonts w:hint="eastAsia"/>
                <w:highlight w:val="none"/>
              </w:rPr>
              <w:t>：本项目不设履约保证金。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594" w:hRule="atLeast"/>
          <w:jc w:val="center"/>
        </w:trPr>
        <w:tc>
          <w:tcPr>
            <w:tcW w:w="651" w:type="pct"/>
            <w:vAlign w:val="center"/>
          </w:tcPr>
          <w:p>
            <w:pPr>
              <w:jc w:val="center"/>
              <w:rPr>
                <w:highlight w:val="none"/>
              </w:rPr>
            </w:pPr>
            <w:r>
              <w:rPr>
                <w:rFonts w:hint="eastAsia" w:ascii="宋体" w:hAnsi="宋体" w:cs="宋体"/>
                <w:szCs w:val="21"/>
                <w:highlight w:val="none"/>
                <w:lang w:val="zh-CN"/>
              </w:rPr>
              <w:t>9.5</w:t>
            </w:r>
          </w:p>
        </w:tc>
        <w:tc>
          <w:tcPr>
            <w:tcW w:w="988" w:type="pct"/>
            <w:vAlign w:val="center"/>
          </w:tcPr>
          <w:p>
            <w:pPr>
              <w:jc w:val="center"/>
              <w:rPr>
                <w:highlight w:val="none"/>
              </w:rPr>
            </w:pPr>
            <w:r>
              <w:rPr>
                <w:rFonts w:hint="eastAsia" w:ascii="宋体" w:hAnsi="宋体" w:cs="宋体"/>
                <w:szCs w:val="21"/>
                <w:highlight w:val="none"/>
              </w:rPr>
              <w:t>监督部门</w:t>
            </w:r>
          </w:p>
        </w:tc>
        <w:tc>
          <w:tcPr>
            <w:tcW w:w="3360" w:type="pct"/>
            <w:vAlign w:val="center"/>
          </w:tcPr>
          <w:p>
            <w:pPr>
              <w:widowControl/>
              <w:adjustRightInd w:val="0"/>
              <w:snapToGrid w:val="0"/>
              <w:jc w:val="left"/>
              <w:rPr>
                <w:rFonts w:ascii="宋体" w:hAnsi="宋体" w:cs="宋体"/>
                <w:szCs w:val="21"/>
                <w:highlight w:val="none"/>
                <w:lang w:val="zh-CN"/>
              </w:rPr>
            </w:pPr>
            <w:r>
              <w:rPr>
                <w:rFonts w:hint="eastAsia" w:ascii="宋体" w:hAnsi="宋体" w:cs="宋体"/>
                <w:szCs w:val="21"/>
                <w:highlight w:val="none"/>
                <w:lang w:val="zh-CN"/>
              </w:rPr>
              <w:t>纪检监督：南通市公路事业发展中心纪检监察室</w:t>
            </w:r>
          </w:p>
          <w:p>
            <w:pPr>
              <w:widowControl/>
              <w:adjustRightInd w:val="0"/>
              <w:snapToGrid w:val="0"/>
              <w:jc w:val="left"/>
              <w:rPr>
                <w:rFonts w:ascii="宋体" w:hAnsi="宋体" w:cs="宋体"/>
                <w:szCs w:val="21"/>
                <w:highlight w:val="none"/>
                <w:lang w:val="zh-CN"/>
              </w:rPr>
            </w:pPr>
            <w:r>
              <w:rPr>
                <w:rFonts w:hint="eastAsia" w:ascii="宋体" w:hAnsi="宋体" w:cs="宋体"/>
                <w:szCs w:val="21"/>
                <w:highlight w:val="none"/>
                <w:lang w:val="zh-CN"/>
              </w:rPr>
              <w:t>地    址：南通市跃龙路4号</w:t>
            </w:r>
          </w:p>
          <w:p>
            <w:pPr>
              <w:widowControl/>
              <w:adjustRightInd w:val="0"/>
              <w:snapToGrid w:val="0"/>
              <w:jc w:val="left"/>
              <w:rPr>
                <w:rFonts w:ascii="宋体" w:hAnsi="宋体" w:cs="宋体"/>
                <w:szCs w:val="21"/>
                <w:highlight w:val="none"/>
                <w:lang w:val="zh-CN"/>
              </w:rPr>
            </w:pPr>
            <w:r>
              <w:rPr>
                <w:rFonts w:hint="eastAsia" w:ascii="宋体" w:hAnsi="宋体" w:cs="宋体"/>
                <w:szCs w:val="21"/>
                <w:highlight w:val="none"/>
                <w:lang w:val="zh-CN"/>
              </w:rPr>
              <w:t>电    话：0513-81128014</w:t>
            </w:r>
          </w:p>
          <w:p>
            <w:pPr>
              <w:widowControl/>
              <w:adjustRightInd w:val="0"/>
              <w:snapToGrid w:val="0"/>
              <w:jc w:val="left"/>
              <w:rPr>
                <w:rFonts w:ascii="宋体" w:hAnsi="宋体" w:cs="宋体"/>
                <w:szCs w:val="21"/>
                <w:highlight w:val="none"/>
                <w:lang w:val="zh-CN"/>
              </w:rPr>
            </w:pPr>
            <w:r>
              <w:rPr>
                <w:rFonts w:hint="eastAsia" w:ascii="宋体" w:hAnsi="宋体" w:cs="宋体"/>
                <w:szCs w:val="21"/>
                <w:highlight w:val="none"/>
                <w:lang w:val="zh-CN"/>
              </w:rPr>
              <w:t>传    真：0513-85529250</w:t>
            </w:r>
          </w:p>
          <w:p>
            <w:pPr>
              <w:rPr>
                <w:highlight w:val="none"/>
              </w:rPr>
            </w:pPr>
            <w:r>
              <w:rPr>
                <w:rFonts w:hint="eastAsia" w:ascii="宋体" w:hAnsi="宋体" w:cs="宋体"/>
                <w:szCs w:val="21"/>
                <w:highlight w:val="none"/>
                <w:lang w:val="zh-CN"/>
              </w:rPr>
              <w:t>邮政编码：226001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000" w:type="pct"/>
            <w:gridSpan w:val="3"/>
            <w:vAlign w:val="center"/>
          </w:tcPr>
          <w:p>
            <w:pPr>
              <w:jc w:val="center"/>
              <w:rPr>
                <w:highlight w:val="none"/>
              </w:rPr>
            </w:pPr>
            <w:r>
              <w:rPr>
                <w:highlight w:val="none"/>
              </w:rPr>
              <w:t>需要补充的其他内容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9" w:hRule="atLeast"/>
          <w:jc w:val="center"/>
        </w:trPr>
        <w:tc>
          <w:tcPr>
            <w:tcW w:w="651" w:type="pct"/>
            <w:vAlign w:val="center"/>
          </w:tcPr>
          <w:p>
            <w:pPr>
              <w:jc w:val="center"/>
              <w:rPr>
                <w:highlight w:val="none"/>
              </w:rPr>
            </w:pPr>
            <w:r>
              <w:rPr>
                <w:highlight w:val="none"/>
              </w:rPr>
              <w:t>4.1.1</w:t>
            </w:r>
          </w:p>
        </w:tc>
        <w:tc>
          <w:tcPr>
            <w:tcW w:w="4348" w:type="pct"/>
            <w:gridSpan w:val="2"/>
            <w:vAlign w:val="center"/>
          </w:tcPr>
          <w:p>
            <w:pPr>
              <w:jc w:val="left"/>
              <w:rPr>
                <w:highlight w:val="none"/>
              </w:rPr>
            </w:pPr>
            <w:r>
              <w:rPr>
                <w:highlight w:val="none"/>
              </w:rPr>
              <w:t>原4.1.1款内容细化为：</w:t>
            </w:r>
          </w:p>
          <w:p>
            <w:pPr>
              <w:jc w:val="left"/>
              <w:rPr>
                <w:highlight w:val="none"/>
              </w:rPr>
            </w:pPr>
            <w:r>
              <w:rPr>
                <w:highlight w:val="none"/>
              </w:rPr>
              <w:t>4.1.1 投标文件应采用双信封形式密封。投标文件第一个信封（商务及技术文件）以及第二个信封（投标报价和工程量清单）应单独密封包装。商务及技术文件的正本与副本以及商务及技术文件电子版文件应统一密封在一个封套中。投标报价和工程量清单的正本与副本以及投标报价和工程量清单电子版文件应统一密封在另一个封套中。</w:t>
            </w:r>
          </w:p>
          <w:p>
            <w:pPr>
              <w:jc w:val="left"/>
              <w:rPr>
                <w:highlight w:val="none"/>
              </w:rPr>
            </w:pPr>
            <w:r>
              <w:rPr>
                <w:highlight w:val="none"/>
              </w:rPr>
              <w:t>投标人应将电子文件内容存放于相应文件夹内，文件夹名为投标人全称及所投项目名称、标段号。电子版文件的载体为U盘，电子版文件的载体上或包装上注明投标人全称及所投项目、标段名称。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7" w:hRule="atLeast"/>
          <w:jc w:val="center"/>
        </w:trPr>
        <w:tc>
          <w:tcPr>
            <w:tcW w:w="651" w:type="pct"/>
            <w:vAlign w:val="center"/>
          </w:tcPr>
          <w:p>
            <w:pPr>
              <w:jc w:val="center"/>
              <w:rPr>
                <w:highlight w:val="none"/>
              </w:rPr>
            </w:pPr>
            <w:r>
              <w:rPr>
                <w:rFonts w:hint="eastAsia"/>
                <w:highlight w:val="none"/>
              </w:rPr>
              <w:t>7.1.1</w:t>
            </w:r>
          </w:p>
        </w:tc>
        <w:tc>
          <w:tcPr>
            <w:tcW w:w="4348" w:type="pct"/>
            <w:gridSpan w:val="2"/>
            <w:vAlign w:val="center"/>
          </w:tcPr>
          <w:p>
            <w:pPr>
              <w:jc w:val="left"/>
              <w:rPr>
                <w:rFonts w:ascii="宋体" w:hAnsi="宋体" w:cs="宋体"/>
                <w:szCs w:val="21"/>
                <w:highlight w:val="none"/>
              </w:rPr>
            </w:pPr>
            <w:r>
              <w:rPr>
                <w:rFonts w:hint="eastAsia" w:ascii="宋体" w:hAnsi="宋体" w:cs="宋体"/>
                <w:szCs w:val="21"/>
                <w:highlight w:val="none"/>
                <w:lang w:val="en-US" w:eastAsia="zh-CN"/>
              </w:rPr>
              <w:t>评标结果</w:t>
            </w:r>
            <w:r>
              <w:rPr>
                <w:rFonts w:hint="eastAsia" w:ascii="宋体" w:hAnsi="宋体" w:cs="宋体"/>
                <w:szCs w:val="21"/>
                <w:highlight w:val="none"/>
              </w:rPr>
              <w:t>公示媒介及期限：</w:t>
            </w:r>
          </w:p>
          <w:p>
            <w:pPr>
              <w:spacing w:line="340" w:lineRule="exact"/>
              <w:rPr>
                <w:rFonts w:ascii="宋体" w:hAnsi="宋体" w:cs="宋体"/>
                <w:szCs w:val="21"/>
                <w:highlight w:val="none"/>
              </w:rPr>
            </w:pPr>
            <w:r>
              <w:rPr>
                <w:rFonts w:hint="eastAsia" w:ascii="宋体" w:hAnsi="宋体" w:cs="宋体"/>
                <w:szCs w:val="21"/>
                <w:highlight w:val="none"/>
              </w:rPr>
              <w:t>公示媒介：</w:t>
            </w:r>
            <w:r>
              <w:rPr>
                <w:rFonts w:hint="eastAsia" w:ascii="宋体" w:hAnsi="宋体" w:cs="宋体"/>
                <w:highlight w:val="none"/>
              </w:rPr>
              <w:t>南通市交通运输局官网</w:t>
            </w:r>
          </w:p>
          <w:p>
            <w:pPr>
              <w:spacing w:line="340" w:lineRule="exact"/>
              <w:rPr>
                <w:rFonts w:ascii="宋体" w:hAnsi="宋体" w:cs="宋体"/>
                <w:szCs w:val="21"/>
                <w:highlight w:val="none"/>
              </w:rPr>
            </w:pPr>
            <w:r>
              <w:rPr>
                <w:rFonts w:hint="eastAsia" w:ascii="宋体" w:hAnsi="宋体" w:cs="宋体"/>
                <w:szCs w:val="21"/>
                <w:highlight w:val="none"/>
              </w:rPr>
              <w:t>公示期限：3日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401" w:hRule="atLeast"/>
          <w:jc w:val="center"/>
        </w:trPr>
        <w:tc>
          <w:tcPr>
            <w:tcW w:w="651" w:type="pct"/>
            <w:vAlign w:val="center"/>
          </w:tcPr>
          <w:p>
            <w:pPr>
              <w:jc w:val="center"/>
              <w:rPr>
                <w:highlight w:val="none"/>
              </w:rPr>
            </w:pPr>
            <w:r>
              <w:rPr>
                <w:rFonts w:hint="eastAsia"/>
                <w:highlight w:val="none"/>
              </w:rPr>
              <w:t>7.1.2</w:t>
            </w:r>
          </w:p>
        </w:tc>
        <w:tc>
          <w:tcPr>
            <w:tcW w:w="4348" w:type="pct"/>
            <w:gridSpan w:val="2"/>
            <w:vAlign w:val="center"/>
          </w:tcPr>
          <w:p>
            <w:pPr>
              <w:jc w:val="left"/>
              <w:rPr>
                <w:rFonts w:ascii="宋体" w:hAnsi="宋体" w:cs="宋体"/>
                <w:szCs w:val="21"/>
                <w:highlight w:val="none"/>
              </w:rPr>
            </w:pPr>
            <w:r>
              <w:rPr>
                <w:rFonts w:hint="eastAsia" w:ascii="宋体" w:hAnsi="宋体" w:cs="宋体"/>
                <w:szCs w:val="21"/>
                <w:highlight w:val="none"/>
              </w:rPr>
              <w:t>中标通知书和中标结果通知发出的形式：</w:t>
            </w:r>
          </w:p>
          <w:p>
            <w:pPr>
              <w:pStyle w:val="15"/>
              <w:topLinePunct/>
              <w:spacing w:line="340" w:lineRule="exact"/>
              <w:rPr>
                <w:rFonts w:hAnsi="宋体" w:cs="宋体"/>
                <w:sz w:val="21"/>
                <w:szCs w:val="21"/>
                <w:highlight w:val="none"/>
              </w:rPr>
            </w:pPr>
            <w:r>
              <w:rPr>
                <w:rFonts w:hint="eastAsia" w:hAnsi="宋体" w:cs="宋体"/>
                <w:sz w:val="21"/>
                <w:szCs w:val="21"/>
                <w:highlight w:val="none"/>
              </w:rPr>
              <w:t>中标通知书发出的形式：由中标人自行至招标人处领取。</w:t>
            </w:r>
          </w:p>
          <w:p>
            <w:pPr>
              <w:pStyle w:val="16"/>
              <w:jc w:val="left"/>
              <w:rPr>
                <w:highlight w:val="none"/>
              </w:rPr>
            </w:pPr>
            <w:r>
              <w:rPr>
                <w:rFonts w:hint="eastAsia" w:hAnsi="宋体" w:cs="宋体"/>
                <w:szCs w:val="21"/>
                <w:highlight w:val="none"/>
              </w:rPr>
              <w:t>中标结果通知发出的形式：中标结果在南通市交通运输局官网予以公告，投标人自行查阅，招标人不再另行发出通知。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2" w:hRule="atLeast"/>
          <w:jc w:val="center"/>
        </w:trPr>
        <w:tc>
          <w:tcPr>
            <w:tcW w:w="651" w:type="pct"/>
            <w:vAlign w:val="center"/>
          </w:tcPr>
          <w:p>
            <w:pPr>
              <w:jc w:val="center"/>
              <w:rPr>
                <w:highlight w:val="none"/>
              </w:rPr>
            </w:pPr>
            <w:r>
              <w:rPr>
                <w:rFonts w:hint="eastAsia"/>
                <w:highlight w:val="none"/>
              </w:rPr>
              <w:t>7.1.3</w:t>
            </w:r>
          </w:p>
        </w:tc>
        <w:tc>
          <w:tcPr>
            <w:tcW w:w="4348" w:type="pct"/>
            <w:gridSpan w:val="2"/>
            <w:vAlign w:val="center"/>
          </w:tcPr>
          <w:p>
            <w:pPr>
              <w:jc w:val="left"/>
              <w:rPr>
                <w:rFonts w:ascii="宋体" w:hAnsi="宋体" w:cs="宋体"/>
                <w:szCs w:val="21"/>
                <w:highlight w:val="none"/>
              </w:rPr>
            </w:pPr>
            <w:r>
              <w:rPr>
                <w:rFonts w:hint="eastAsia" w:ascii="宋体" w:hAnsi="宋体" w:cs="宋体"/>
                <w:szCs w:val="21"/>
                <w:highlight w:val="none"/>
              </w:rPr>
              <w:t>中标结果公告媒介及期限：</w:t>
            </w:r>
          </w:p>
          <w:p>
            <w:pPr>
              <w:pStyle w:val="15"/>
              <w:topLinePunct/>
              <w:spacing w:line="340" w:lineRule="exact"/>
              <w:rPr>
                <w:rFonts w:hAnsi="宋体" w:cs="宋体"/>
                <w:sz w:val="21"/>
                <w:szCs w:val="21"/>
                <w:highlight w:val="none"/>
              </w:rPr>
            </w:pPr>
            <w:r>
              <w:rPr>
                <w:rFonts w:hint="eastAsia" w:hAnsi="宋体" w:cs="宋体"/>
                <w:sz w:val="21"/>
                <w:szCs w:val="21"/>
                <w:highlight w:val="none"/>
              </w:rPr>
              <w:t xml:space="preserve">公告媒介：南通市交通运输局官网  </w:t>
            </w:r>
          </w:p>
          <w:p>
            <w:pPr>
              <w:pStyle w:val="16"/>
              <w:jc w:val="left"/>
              <w:rPr>
                <w:rFonts w:ascii="宋体" w:hAnsi="宋体" w:cs="宋体"/>
                <w:szCs w:val="21"/>
                <w:highlight w:val="none"/>
              </w:rPr>
            </w:pPr>
            <w:r>
              <w:rPr>
                <w:rFonts w:hint="eastAsia" w:hAnsi="宋体" w:cs="宋体"/>
                <w:szCs w:val="21"/>
                <w:highlight w:val="none"/>
              </w:rPr>
              <w:t>公告期限：</w:t>
            </w:r>
            <w:r>
              <w:rPr>
                <w:rFonts w:hAnsi="宋体" w:cs="宋体"/>
                <w:szCs w:val="21"/>
                <w:highlight w:val="none"/>
              </w:rPr>
              <w:t>3</w:t>
            </w:r>
            <w:r>
              <w:rPr>
                <w:rFonts w:hint="eastAsia" w:hAnsi="宋体" w:cs="宋体"/>
                <w:szCs w:val="21"/>
                <w:highlight w:val="none"/>
              </w:rPr>
              <w:t>日</w:t>
            </w:r>
            <w:r>
              <w:rPr>
                <w:rFonts w:ascii="宋体" w:hAnsi="宋体" w:cs="宋体"/>
                <w:szCs w:val="21"/>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1" w:hRule="atLeast"/>
          <w:jc w:val="center"/>
        </w:trPr>
        <w:tc>
          <w:tcPr>
            <w:tcW w:w="651" w:type="pct"/>
            <w:vAlign w:val="center"/>
          </w:tcPr>
          <w:p>
            <w:pPr>
              <w:jc w:val="center"/>
              <w:rPr>
                <w:highlight w:val="none"/>
              </w:rPr>
            </w:pPr>
            <w:r>
              <w:rPr>
                <w:highlight w:val="none"/>
              </w:rPr>
              <w:t>10.2</w:t>
            </w:r>
          </w:p>
        </w:tc>
        <w:tc>
          <w:tcPr>
            <w:tcW w:w="4348" w:type="pct"/>
            <w:gridSpan w:val="2"/>
            <w:vAlign w:val="center"/>
          </w:tcPr>
          <w:p>
            <w:pPr>
              <w:jc w:val="left"/>
              <w:rPr>
                <w:highlight w:val="none"/>
              </w:rPr>
            </w:pPr>
            <w:r>
              <w:rPr>
                <w:highlight w:val="none"/>
              </w:rPr>
              <w:t>承包人应根据《关于进一步做好建筑业工伤保险工作的意见》（人社部发[2014]103号）、《人力资源社会保障部办公厅关于进一步做好建筑业工伤保险工作的通知》（人社厅函〔2017〕53号）、《关于深入推进建筑交通运输水利建设项目参加工伤保险工作的通知》（苏人社发[2017]126号）及省厅相关文件要求参加工伤保险，为其履行合同所雇佣的全部人员，缴纳工伤保险费，并要求其分包人</w:t>
            </w:r>
            <w:r>
              <w:rPr>
                <w:rFonts w:hint="eastAsia"/>
                <w:highlight w:val="none"/>
              </w:rPr>
              <w:t>（如有）</w:t>
            </w:r>
            <w:r>
              <w:rPr>
                <w:highlight w:val="none"/>
              </w:rPr>
              <w:t>也进行此项保险。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651" w:type="pct"/>
            <w:vAlign w:val="center"/>
          </w:tcPr>
          <w:p>
            <w:pPr>
              <w:jc w:val="center"/>
              <w:rPr>
                <w:highlight w:val="none"/>
              </w:rPr>
            </w:pPr>
            <w:r>
              <w:rPr>
                <w:highlight w:val="none"/>
              </w:rPr>
              <w:t>10.</w:t>
            </w:r>
            <w:r>
              <w:rPr>
                <w:rFonts w:hint="eastAsia"/>
                <w:highlight w:val="none"/>
              </w:rPr>
              <w:t>3</w:t>
            </w:r>
          </w:p>
        </w:tc>
        <w:tc>
          <w:tcPr>
            <w:tcW w:w="4348" w:type="pct"/>
            <w:gridSpan w:val="2"/>
            <w:vAlign w:val="center"/>
          </w:tcPr>
          <w:p>
            <w:pPr>
              <w:jc w:val="left"/>
              <w:rPr>
                <w:highlight w:val="none"/>
              </w:rPr>
            </w:pPr>
            <w:r>
              <w:rPr>
                <w:highlight w:val="none"/>
              </w:rPr>
              <w:t>第一信封投标文件（包括其电子文件）中不得出现投标报价有关内容。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27" w:hRule="atLeast"/>
          <w:jc w:val="center"/>
        </w:trPr>
        <w:tc>
          <w:tcPr>
            <w:tcW w:w="651" w:type="pct"/>
            <w:vAlign w:val="center"/>
          </w:tcPr>
          <w:p>
            <w:pPr>
              <w:jc w:val="center"/>
              <w:rPr>
                <w:highlight w:val="none"/>
              </w:rPr>
            </w:pPr>
            <w:r>
              <w:rPr>
                <w:rFonts w:hint="eastAsia"/>
                <w:highlight w:val="none"/>
              </w:rPr>
              <w:t>10.4</w:t>
            </w:r>
          </w:p>
        </w:tc>
        <w:tc>
          <w:tcPr>
            <w:tcW w:w="4348" w:type="pct"/>
            <w:gridSpan w:val="2"/>
            <w:vAlign w:val="center"/>
          </w:tcPr>
          <w:p>
            <w:pPr>
              <w:jc w:val="left"/>
              <w:rPr>
                <w:highlight w:val="none"/>
              </w:rPr>
            </w:pPr>
            <w:r>
              <w:rPr>
                <w:rFonts w:hint="eastAsia"/>
                <w:highlight w:val="none"/>
              </w:rPr>
              <w:t>根据国家和交通部有关廉政建设的规定，预防和遏制腐败现象的滋生，发包人和中标人在签订咨询服务合同协议书的同时需按照本招标文件规定的格式和要求签订廉政合同，明确双方在廉政建设方面的权利和义务以及应承担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72" w:hRule="atLeast"/>
          <w:jc w:val="center"/>
        </w:trPr>
        <w:tc>
          <w:tcPr>
            <w:tcW w:w="651" w:type="pct"/>
            <w:vAlign w:val="center"/>
          </w:tcPr>
          <w:p>
            <w:pPr>
              <w:jc w:val="center"/>
              <w:rPr>
                <w:highlight w:val="none"/>
              </w:rPr>
            </w:pPr>
            <w:r>
              <w:rPr>
                <w:rFonts w:hint="eastAsia"/>
                <w:highlight w:val="none"/>
              </w:rPr>
              <w:t>10.5</w:t>
            </w:r>
          </w:p>
        </w:tc>
        <w:tc>
          <w:tcPr>
            <w:tcW w:w="4348" w:type="pct"/>
            <w:gridSpan w:val="2"/>
            <w:vAlign w:val="center"/>
          </w:tcPr>
          <w:p>
            <w:pPr>
              <w:jc w:val="left"/>
              <w:rPr>
                <w:highlight w:val="none"/>
              </w:rPr>
            </w:pPr>
            <w:r>
              <w:rPr>
                <w:rFonts w:hint="eastAsia"/>
                <w:highlight w:val="none"/>
              </w:rPr>
              <w:t>在工程实施期间，结合《江苏省公路水运建设市场信用信息管理办法》，发包人有权对中标人的履约情况进行考核，并将结果上报上级交通运输行政主管部门。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atLeast"/>
          <w:jc w:val="center"/>
        </w:trPr>
        <w:tc>
          <w:tcPr>
            <w:tcW w:w="651" w:type="pct"/>
            <w:vAlign w:val="center"/>
          </w:tcPr>
          <w:p>
            <w:pPr>
              <w:jc w:val="center"/>
              <w:rPr>
                <w:highlight w:val="none"/>
              </w:rPr>
            </w:pPr>
            <w:r>
              <w:rPr>
                <w:rFonts w:hint="eastAsia"/>
                <w:highlight w:val="none"/>
              </w:rPr>
              <w:t>10.6</w:t>
            </w:r>
          </w:p>
        </w:tc>
        <w:tc>
          <w:tcPr>
            <w:tcW w:w="4348" w:type="pct"/>
            <w:gridSpan w:val="2"/>
            <w:vAlign w:val="center"/>
          </w:tcPr>
          <w:p>
            <w:pPr>
              <w:widowControl/>
              <w:autoSpaceDE w:val="0"/>
              <w:autoSpaceDN w:val="0"/>
              <w:adjustRightInd w:val="0"/>
              <w:jc w:val="left"/>
              <w:rPr>
                <w:szCs w:val="20"/>
                <w:highlight w:val="none"/>
              </w:rPr>
            </w:pPr>
            <w:r>
              <w:rPr>
                <w:rFonts w:hint="eastAsia"/>
                <w:szCs w:val="20"/>
                <w:highlight w:val="none"/>
              </w:rPr>
              <w:t>特别说明：</w:t>
            </w:r>
          </w:p>
          <w:p>
            <w:pPr>
              <w:jc w:val="left"/>
              <w:rPr>
                <w:highlight w:val="none"/>
              </w:rPr>
            </w:pPr>
            <w:r>
              <w:rPr>
                <w:rFonts w:hint="eastAsia"/>
                <w:szCs w:val="20"/>
                <w:highlight w:val="none"/>
              </w:rPr>
              <w:t>投标人在本项目招标投标过程中的守信激励主体对象名单（红名单）、信用评价等级、信用评价分值，均以投标文件递交截止当天，投标人最近一次在江苏省公路水路建设市场从业单位信用评定结果为准，信用类别为试验检测，适用于本项目招标投标过程各阶段（环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18" w:hRule="atLeast"/>
          <w:jc w:val="center"/>
        </w:trPr>
        <w:tc>
          <w:tcPr>
            <w:tcW w:w="651" w:type="pct"/>
            <w:vAlign w:val="center"/>
          </w:tcPr>
          <w:p>
            <w:pPr>
              <w:jc w:val="center"/>
              <w:rPr>
                <w:highlight w:val="none"/>
              </w:rPr>
            </w:pPr>
            <w:r>
              <w:rPr>
                <w:rFonts w:hint="eastAsia"/>
                <w:highlight w:val="none"/>
              </w:rPr>
              <w:t>10.7</w:t>
            </w:r>
          </w:p>
        </w:tc>
        <w:tc>
          <w:tcPr>
            <w:tcW w:w="4348" w:type="pct"/>
            <w:gridSpan w:val="2"/>
            <w:vAlign w:val="center"/>
          </w:tcPr>
          <w:p>
            <w:pPr>
              <w:jc w:val="left"/>
              <w:rPr>
                <w:szCs w:val="20"/>
                <w:highlight w:val="none"/>
              </w:rPr>
            </w:pPr>
            <w:r>
              <w:rPr>
                <w:rFonts w:hint="eastAsia"/>
                <w:szCs w:val="20"/>
                <w:highlight w:val="none"/>
              </w:rPr>
              <w:t>对投标人红名单的认定条件为：投标人在本项目招标投标过程中的守信激励主体对象名单（红名单）以投标人最近一次江苏省公路水路建设市场守信激励主体对象名单（红名单）为准（类型：试验检测）。适用于本项目招标投标过程各阶段（环节）。</w:t>
            </w:r>
          </w:p>
          <w:p>
            <w:pPr>
              <w:jc w:val="left"/>
              <w:rPr>
                <w:szCs w:val="20"/>
                <w:highlight w:val="none"/>
              </w:rPr>
            </w:pPr>
            <w:r>
              <w:rPr>
                <w:rFonts w:hint="eastAsia"/>
                <w:szCs w:val="20"/>
                <w:highlight w:val="none"/>
              </w:rPr>
              <w:t>对投标人信用评价等级、信用评价分值的认定条件为：投标人在本项目招标投标过程中的信用评价等级、信用评价分值，均以投标文件递交截止当天，投标人在最近一次江苏省公路水运工程试验检测信用评定结果为准，若江苏省交通运输厅网站、江苏省公路水路建设市场信用信息服务系统中查询的信用信息不一致或系统无相关信息时，以江苏省交通运输厅网站公布的信用信息为准（含信用调整结果信息）。适用于本项目招标投标过程各阶段（环节）。</w:t>
            </w:r>
          </w:p>
          <w:p>
            <w:pPr>
              <w:jc w:val="left"/>
              <w:rPr>
                <w:szCs w:val="20"/>
                <w:highlight w:val="none"/>
              </w:rPr>
            </w:pPr>
            <w:r>
              <w:rPr>
                <w:rFonts w:hint="eastAsia"/>
                <w:szCs w:val="20"/>
                <w:highlight w:val="none"/>
              </w:rPr>
              <w:t>从业单位在本省无信用评价记录的，信用等级分数按省交通运输厅关于印发《江苏省公路水运建设市场信用信息管理办法》的通知 苏交规〔2024〕6号文件执行。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atLeast"/>
          <w:jc w:val="center"/>
        </w:trPr>
        <w:tc>
          <w:tcPr>
            <w:tcW w:w="651" w:type="pct"/>
            <w:vAlign w:val="center"/>
          </w:tcPr>
          <w:p>
            <w:pPr>
              <w:jc w:val="center"/>
              <w:rPr>
                <w:highlight w:val="none"/>
              </w:rPr>
            </w:pPr>
            <w:r>
              <w:rPr>
                <w:rFonts w:hint="eastAsia"/>
                <w:highlight w:val="none"/>
              </w:rPr>
              <w:t>10.8</w:t>
            </w:r>
          </w:p>
        </w:tc>
        <w:tc>
          <w:tcPr>
            <w:tcW w:w="4348" w:type="pct"/>
            <w:gridSpan w:val="2"/>
            <w:vAlign w:val="center"/>
          </w:tcPr>
          <w:p>
            <w:pPr>
              <w:adjustRightInd w:val="0"/>
              <w:snapToGrid w:val="0"/>
              <w:jc w:val="left"/>
              <w:rPr>
                <w:rFonts w:ascii="宋体" w:hAnsi="宋体" w:cs="宋体"/>
                <w:szCs w:val="20"/>
                <w:highlight w:val="none"/>
              </w:rPr>
            </w:pPr>
            <w:r>
              <w:rPr>
                <w:rFonts w:hint="eastAsia" w:ascii="宋体" w:hAnsi="宋体" w:cs="宋体"/>
                <w:szCs w:val="20"/>
                <w:highlight w:val="none"/>
              </w:rPr>
              <w:t>根据《公路水运工程试验检测等级管理要求》（JT/T 1181-2018）规定，原交通运输部门公路工程试验检测工程师（试验检测员）证书效用等同于交通运输部门公路工程试验检测师（助理试验检测师）证书。证书专业以下表为准：</w:t>
            </w:r>
          </w:p>
          <w:p>
            <w:pPr>
              <w:adjustRightInd w:val="0"/>
              <w:snapToGrid w:val="0"/>
              <w:jc w:val="center"/>
              <w:rPr>
                <w:rFonts w:eastAsia="黑体"/>
                <w:color w:val="000000"/>
                <w:kern w:val="0"/>
                <w:sz w:val="28"/>
                <w:szCs w:val="32"/>
                <w:highlight w:val="none"/>
              </w:rPr>
            </w:pPr>
            <w:r>
              <w:rPr>
                <w:rFonts w:hint="eastAsia" w:eastAsia="黑体"/>
                <w:color w:val="000000"/>
                <w:kern w:val="0"/>
                <w:sz w:val="28"/>
                <w:szCs w:val="32"/>
                <w:highlight w:val="none"/>
              </w:rPr>
              <w:t>表3 证书专业标准</w:t>
            </w:r>
          </w:p>
          <w:tbl>
            <w:tblPr>
              <w:tblStyle w:val="4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3"/>
              <w:gridCol w:w="1628"/>
              <w:gridCol w:w="2736"/>
              <w:gridCol w:w="1103"/>
              <w:gridCol w:w="14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02" w:type="dxa"/>
                  <w:gridSpan w:val="5"/>
                  <w:vAlign w:val="center"/>
                </w:tcPr>
                <w:p>
                  <w:pPr>
                    <w:adjustRightInd w:val="0"/>
                    <w:snapToGrid w:val="0"/>
                    <w:jc w:val="center"/>
                    <w:rPr>
                      <w:rFonts w:ascii="宋体" w:hAnsi="宋体" w:cs="宋体"/>
                      <w:sz w:val="24"/>
                      <w:highlight w:val="none"/>
                    </w:rPr>
                  </w:pPr>
                  <w:r>
                    <w:rPr>
                      <w:rFonts w:hint="eastAsia" w:ascii="宋体" w:hAnsi="宋体" w:cs="宋体"/>
                      <w:sz w:val="24"/>
                      <w:highlight w:val="none"/>
                    </w:rPr>
                    <w:t>（一）公路工程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2" w:type="dxa"/>
                  <w:vAlign w:val="center"/>
                </w:tcPr>
                <w:p>
                  <w:pPr>
                    <w:adjustRightInd w:val="0"/>
                    <w:snapToGrid w:val="0"/>
                    <w:jc w:val="center"/>
                    <w:rPr>
                      <w:rFonts w:ascii="宋体" w:hAnsi="宋体" w:cs="宋体"/>
                      <w:sz w:val="24"/>
                      <w:highlight w:val="none"/>
                    </w:rPr>
                  </w:pPr>
                </w:p>
              </w:tc>
              <w:tc>
                <w:tcPr>
                  <w:tcW w:w="1718" w:type="dxa"/>
                  <w:vAlign w:val="center"/>
                </w:tcPr>
                <w:p>
                  <w:pPr>
                    <w:adjustRightInd w:val="0"/>
                    <w:snapToGrid w:val="0"/>
                    <w:jc w:val="center"/>
                    <w:rPr>
                      <w:rFonts w:ascii="宋体" w:hAnsi="宋体" w:cs="宋体"/>
                      <w:sz w:val="24"/>
                      <w:highlight w:val="none"/>
                    </w:rPr>
                  </w:pPr>
                  <w:r>
                    <w:rPr>
                      <w:rFonts w:hint="eastAsia" w:ascii="宋体" w:hAnsi="宋体" w:cs="宋体"/>
                      <w:sz w:val="24"/>
                      <w:highlight w:val="none"/>
                    </w:rPr>
                    <w:t>2006年</w:t>
                  </w:r>
                </w:p>
                <w:p>
                  <w:pPr>
                    <w:adjustRightInd w:val="0"/>
                    <w:snapToGrid w:val="0"/>
                    <w:jc w:val="center"/>
                    <w:rPr>
                      <w:rFonts w:ascii="宋体" w:hAnsi="宋体" w:cs="宋体"/>
                      <w:sz w:val="24"/>
                      <w:highlight w:val="none"/>
                    </w:rPr>
                  </w:pPr>
                  <w:r>
                    <w:rPr>
                      <w:rFonts w:hint="eastAsia" w:ascii="宋体" w:hAnsi="宋体" w:cs="宋体"/>
                      <w:sz w:val="24"/>
                      <w:highlight w:val="none"/>
                    </w:rPr>
                    <w:t>证书专业</w:t>
                  </w:r>
                </w:p>
              </w:tc>
              <w:tc>
                <w:tcPr>
                  <w:tcW w:w="2828" w:type="dxa"/>
                  <w:vAlign w:val="center"/>
                </w:tcPr>
                <w:p>
                  <w:pPr>
                    <w:adjustRightInd w:val="0"/>
                    <w:snapToGrid w:val="0"/>
                    <w:jc w:val="center"/>
                    <w:rPr>
                      <w:rFonts w:ascii="宋体" w:hAnsi="宋体" w:cs="宋体"/>
                      <w:sz w:val="24"/>
                      <w:highlight w:val="none"/>
                    </w:rPr>
                  </w:pPr>
                  <w:r>
                    <w:rPr>
                      <w:rFonts w:hint="eastAsia" w:ascii="宋体" w:hAnsi="宋体" w:cs="宋体"/>
                      <w:sz w:val="24"/>
                      <w:highlight w:val="none"/>
                    </w:rPr>
                    <w:t>2007年,2009—2014年</w:t>
                  </w:r>
                </w:p>
                <w:p>
                  <w:pPr>
                    <w:adjustRightInd w:val="0"/>
                    <w:snapToGrid w:val="0"/>
                    <w:jc w:val="center"/>
                    <w:rPr>
                      <w:rFonts w:ascii="宋体" w:hAnsi="宋体" w:cs="宋体"/>
                      <w:sz w:val="24"/>
                      <w:highlight w:val="none"/>
                    </w:rPr>
                  </w:pPr>
                  <w:r>
                    <w:rPr>
                      <w:rFonts w:hint="eastAsia" w:ascii="宋体" w:hAnsi="宋体" w:cs="宋体"/>
                      <w:sz w:val="24"/>
                      <w:highlight w:val="none"/>
                    </w:rPr>
                    <w:t>证书专业</w:t>
                  </w:r>
                </w:p>
              </w:tc>
              <w:tc>
                <w:tcPr>
                  <w:tcW w:w="2734" w:type="dxa"/>
                  <w:gridSpan w:val="2"/>
                  <w:vAlign w:val="center"/>
                </w:tcPr>
                <w:p>
                  <w:pPr>
                    <w:adjustRightInd w:val="0"/>
                    <w:snapToGrid w:val="0"/>
                    <w:jc w:val="center"/>
                    <w:rPr>
                      <w:rFonts w:ascii="宋体" w:hAnsi="宋体" w:cs="宋体"/>
                      <w:sz w:val="24"/>
                      <w:highlight w:val="none"/>
                    </w:rPr>
                  </w:pPr>
                  <w:r>
                    <w:rPr>
                      <w:rFonts w:hint="eastAsia" w:ascii="宋体" w:hAnsi="宋体" w:cs="宋体"/>
                      <w:sz w:val="24"/>
                      <w:highlight w:val="none"/>
                    </w:rPr>
                    <w:t>国家职业资格</w:t>
                  </w:r>
                </w:p>
                <w:p>
                  <w:pPr>
                    <w:adjustRightInd w:val="0"/>
                    <w:snapToGrid w:val="0"/>
                    <w:jc w:val="center"/>
                    <w:rPr>
                      <w:rFonts w:ascii="宋体" w:hAnsi="宋体" w:cs="宋体"/>
                      <w:sz w:val="24"/>
                      <w:highlight w:val="none"/>
                    </w:rPr>
                  </w:pPr>
                  <w:r>
                    <w:rPr>
                      <w:rFonts w:hint="eastAsia" w:ascii="宋体" w:hAnsi="宋体" w:cs="宋体"/>
                      <w:sz w:val="24"/>
                      <w:highlight w:val="none"/>
                    </w:rPr>
                    <w:t>证书专业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2" w:type="dxa"/>
                  <w:vMerge w:val="restart"/>
                  <w:vAlign w:val="center"/>
                </w:tcPr>
                <w:p>
                  <w:pPr>
                    <w:adjustRightInd w:val="0"/>
                    <w:snapToGrid w:val="0"/>
                    <w:jc w:val="center"/>
                    <w:rPr>
                      <w:rFonts w:ascii="宋体" w:hAnsi="宋体" w:cs="宋体"/>
                      <w:sz w:val="24"/>
                      <w:highlight w:val="none"/>
                    </w:rPr>
                  </w:pPr>
                  <w:r>
                    <w:rPr>
                      <w:rFonts w:hint="eastAsia" w:ascii="宋体" w:hAnsi="宋体" w:cs="宋体"/>
                      <w:sz w:val="24"/>
                      <w:highlight w:val="none"/>
                    </w:rPr>
                    <w:t>试验检测工程师</w:t>
                  </w:r>
                </w:p>
              </w:tc>
              <w:tc>
                <w:tcPr>
                  <w:tcW w:w="1718" w:type="dxa"/>
                  <w:vMerge w:val="restart"/>
                  <w:vAlign w:val="center"/>
                </w:tcPr>
                <w:p>
                  <w:pPr>
                    <w:adjustRightInd w:val="0"/>
                    <w:snapToGrid w:val="0"/>
                    <w:jc w:val="center"/>
                    <w:rPr>
                      <w:rFonts w:ascii="宋体" w:hAnsi="宋体" w:cs="宋体"/>
                      <w:sz w:val="24"/>
                      <w:highlight w:val="none"/>
                    </w:rPr>
                  </w:pPr>
                  <w:r>
                    <w:rPr>
                      <w:rFonts w:hint="eastAsia" w:ascii="宋体" w:hAnsi="宋体" w:cs="宋体"/>
                      <w:sz w:val="24"/>
                      <w:highlight w:val="none"/>
                    </w:rPr>
                    <w:t>路基路面</w:t>
                  </w:r>
                </w:p>
                <w:p>
                  <w:pPr>
                    <w:adjustRightInd w:val="0"/>
                    <w:snapToGrid w:val="0"/>
                    <w:jc w:val="center"/>
                    <w:rPr>
                      <w:rFonts w:ascii="宋体" w:hAnsi="宋体" w:cs="宋体"/>
                      <w:sz w:val="24"/>
                      <w:highlight w:val="none"/>
                    </w:rPr>
                  </w:pPr>
                  <w:r>
                    <w:rPr>
                      <w:rFonts w:hint="eastAsia" w:ascii="宋体" w:hAnsi="宋体" w:cs="宋体"/>
                      <w:sz w:val="24"/>
                      <w:highlight w:val="none"/>
                    </w:rPr>
                    <w:t>（道路）</w:t>
                  </w:r>
                </w:p>
              </w:tc>
              <w:tc>
                <w:tcPr>
                  <w:tcW w:w="2828" w:type="dxa"/>
                  <w:vAlign w:val="center"/>
                </w:tcPr>
                <w:p>
                  <w:pPr>
                    <w:adjustRightInd w:val="0"/>
                    <w:snapToGrid w:val="0"/>
                    <w:jc w:val="center"/>
                    <w:rPr>
                      <w:rFonts w:ascii="宋体" w:hAnsi="宋体" w:cs="宋体"/>
                      <w:sz w:val="24"/>
                      <w:highlight w:val="none"/>
                    </w:rPr>
                  </w:pPr>
                  <w:r>
                    <w:rPr>
                      <w:rFonts w:hint="eastAsia" w:ascii="宋体" w:hAnsi="宋体" w:cs="宋体"/>
                      <w:sz w:val="24"/>
                      <w:highlight w:val="none"/>
                    </w:rPr>
                    <w:t>公路</w:t>
                  </w:r>
                </w:p>
              </w:tc>
              <w:tc>
                <w:tcPr>
                  <w:tcW w:w="1165" w:type="dxa"/>
                  <w:vMerge w:val="restart"/>
                  <w:vAlign w:val="center"/>
                </w:tcPr>
                <w:p>
                  <w:pPr>
                    <w:adjustRightInd w:val="0"/>
                    <w:snapToGrid w:val="0"/>
                    <w:jc w:val="center"/>
                    <w:rPr>
                      <w:rFonts w:ascii="宋体" w:hAnsi="宋体" w:cs="宋体"/>
                      <w:sz w:val="24"/>
                      <w:highlight w:val="none"/>
                    </w:rPr>
                  </w:pPr>
                  <w:r>
                    <w:rPr>
                      <w:rFonts w:hint="eastAsia" w:ascii="宋体" w:hAnsi="宋体" w:cs="宋体"/>
                      <w:sz w:val="24"/>
                      <w:highlight w:val="none"/>
                    </w:rPr>
                    <w:t>试验</w:t>
                  </w:r>
                </w:p>
                <w:p>
                  <w:pPr>
                    <w:adjustRightInd w:val="0"/>
                    <w:snapToGrid w:val="0"/>
                    <w:jc w:val="center"/>
                    <w:rPr>
                      <w:rFonts w:ascii="宋体" w:hAnsi="宋体" w:cs="宋体"/>
                      <w:sz w:val="24"/>
                      <w:highlight w:val="none"/>
                    </w:rPr>
                  </w:pPr>
                  <w:r>
                    <w:rPr>
                      <w:rFonts w:hint="eastAsia" w:ascii="宋体" w:hAnsi="宋体" w:cs="宋体"/>
                      <w:sz w:val="24"/>
                      <w:highlight w:val="none"/>
                    </w:rPr>
                    <w:t>检测师</w:t>
                  </w:r>
                </w:p>
              </w:tc>
              <w:tc>
                <w:tcPr>
                  <w:tcW w:w="1569" w:type="dxa"/>
                  <w:vMerge w:val="restart"/>
                  <w:vAlign w:val="center"/>
                </w:tcPr>
                <w:p>
                  <w:pPr>
                    <w:adjustRightInd w:val="0"/>
                    <w:snapToGrid w:val="0"/>
                    <w:jc w:val="center"/>
                    <w:rPr>
                      <w:rFonts w:ascii="宋体" w:hAnsi="宋体" w:cs="宋体"/>
                      <w:sz w:val="24"/>
                      <w:highlight w:val="none"/>
                    </w:rPr>
                  </w:pPr>
                  <w:r>
                    <w:rPr>
                      <w:rFonts w:hint="eastAsia" w:ascii="宋体" w:hAnsi="宋体" w:cs="宋体"/>
                      <w:sz w:val="24"/>
                      <w:highlight w:val="none"/>
                    </w:rPr>
                    <w:t>道路工程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2" w:type="dxa"/>
                  <w:vMerge w:val="continue"/>
                  <w:vAlign w:val="center"/>
                </w:tcPr>
                <w:p>
                  <w:pPr>
                    <w:adjustRightInd w:val="0"/>
                    <w:snapToGrid w:val="0"/>
                    <w:jc w:val="center"/>
                    <w:rPr>
                      <w:rFonts w:ascii="宋体" w:hAnsi="宋体" w:cs="宋体"/>
                      <w:sz w:val="24"/>
                      <w:highlight w:val="none"/>
                    </w:rPr>
                  </w:pPr>
                </w:p>
              </w:tc>
              <w:tc>
                <w:tcPr>
                  <w:tcW w:w="1718" w:type="dxa"/>
                  <w:vMerge w:val="continue"/>
                  <w:vAlign w:val="center"/>
                </w:tcPr>
                <w:p>
                  <w:pPr>
                    <w:adjustRightInd w:val="0"/>
                    <w:snapToGrid w:val="0"/>
                    <w:jc w:val="center"/>
                    <w:rPr>
                      <w:rFonts w:ascii="宋体" w:hAnsi="宋体" w:cs="宋体"/>
                      <w:sz w:val="24"/>
                      <w:highlight w:val="none"/>
                    </w:rPr>
                  </w:pPr>
                </w:p>
              </w:tc>
              <w:tc>
                <w:tcPr>
                  <w:tcW w:w="2828" w:type="dxa"/>
                  <w:vAlign w:val="center"/>
                </w:tcPr>
                <w:p>
                  <w:pPr>
                    <w:adjustRightInd w:val="0"/>
                    <w:snapToGrid w:val="0"/>
                    <w:jc w:val="center"/>
                    <w:rPr>
                      <w:rFonts w:ascii="宋体" w:hAnsi="宋体" w:cs="宋体"/>
                      <w:sz w:val="24"/>
                      <w:highlight w:val="none"/>
                    </w:rPr>
                  </w:pPr>
                  <w:r>
                    <w:rPr>
                      <w:rFonts w:hint="eastAsia" w:ascii="宋体" w:hAnsi="宋体" w:cs="宋体"/>
                      <w:sz w:val="24"/>
                      <w:highlight w:val="none"/>
                    </w:rPr>
                    <w:t>材料</w:t>
                  </w:r>
                </w:p>
              </w:tc>
              <w:tc>
                <w:tcPr>
                  <w:tcW w:w="1165" w:type="dxa"/>
                  <w:vMerge w:val="continue"/>
                  <w:vAlign w:val="center"/>
                </w:tcPr>
                <w:p>
                  <w:pPr>
                    <w:adjustRightInd w:val="0"/>
                    <w:snapToGrid w:val="0"/>
                    <w:jc w:val="center"/>
                    <w:rPr>
                      <w:rFonts w:ascii="宋体" w:hAnsi="宋体" w:cs="宋体"/>
                      <w:sz w:val="24"/>
                      <w:highlight w:val="none"/>
                    </w:rPr>
                  </w:pPr>
                </w:p>
              </w:tc>
              <w:tc>
                <w:tcPr>
                  <w:tcW w:w="1569" w:type="dxa"/>
                  <w:vMerge w:val="continue"/>
                  <w:vAlign w:val="center"/>
                </w:tcPr>
                <w:p>
                  <w:pPr>
                    <w:adjustRightInd w:val="0"/>
                    <w:snapToGrid w:val="0"/>
                    <w:jc w:val="center"/>
                    <w:rPr>
                      <w:rFonts w:ascii="宋体" w:hAnsi="宋体" w:cs="宋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2" w:type="dxa"/>
                  <w:vMerge w:val="continue"/>
                  <w:vAlign w:val="center"/>
                </w:tcPr>
                <w:p>
                  <w:pPr>
                    <w:adjustRightInd w:val="0"/>
                    <w:snapToGrid w:val="0"/>
                    <w:jc w:val="center"/>
                    <w:rPr>
                      <w:rFonts w:ascii="宋体" w:hAnsi="宋体" w:cs="宋体"/>
                      <w:sz w:val="24"/>
                      <w:highlight w:val="none"/>
                    </w:rPr>
                  </w:pPr>
                </w:p>
              </w:tc>
              <w:tc>
                <w:tcPr>
                  <w:tcW w:w="1718" w:type="dxa"/>
                  <w:vMerge w:val="restart"/>
                  <w:vAlign w:val="center"/>
                </w:tcPr>
                <w:p>
                  <w:pPr>
                    <w:adjustRightInd w:val="0"/>
                    <w:snapToGrid w:val="0"/>
                    <w:jc w:val="center"/>
                    <w:rPr>
                      <w:rFonts w:ascii="宋体" w:hAnsi="宋体" w:cs="宋体"/>
                      <w:sz w:val="24"/>
                      <w:highlight w:val="none"/>
                    </w:rPr>
                  </w:pPr>
                  <w:r>
                    <w:rPr>
                      <w:rFonts w:hint="eastAsia" w:ascii="宋体" w:hAnsi="宋体" w:cs="宋体"/>
                      <w:sz w:val="24"/>
                      <w:highlight w:val="none"/>
                    </w:rPr>
                    <w:t>桥梁隧道</w:t>
                  </w:r>
                </w:p>
              </w:tc>
              <w:tc>
                <w:tcPr>
                  <w:tcW w:w="2828" w:type="dxa"/>
                  <w:vAlign w:val="center"/>
                </w:tcPr>
                <w:p>
                  <w:pPr>
                    <w:adjustRightInd w:val="0"/>
                    <w:snapToGrid w:val="0"/>
                    <w:jc w:val="center"/>
                    <w:rPr>
                      <w:rFonts w:ascii="宋体" w:hAnsi="宋体" w:cs="宋体"/>
                      <w:sz w:val="24"/>
                      <w:highlight w:val="none"/>
                    </w:rPr>
                  </w:pPr>
                  <w:r>
                    <w:rPr>
                      <w:rFonts w:hint="eastAsia" w:ascii="宋体" w:hAnsi="宋体" w:cs="宋体"/>
                      <w:sz w:val="24"/>
                      <w:highlight w:val="none"/>
                    </w:rPr>
                    <w:t>桥梁</w:t>
                  </w:r>
                </w:p>
              </w:tc>
              <w:tc>
                <w:tcPr>
                  <w:tcW w:w="1165" w:type="dxa"/>
                  <w:vMerge w:val="continue"/>
                  <w:vAlign w:val="center"/>
                </w:tcPr>
                <w:p>
                  <w:pPr>
                    <w:adjustRightInd w:val="0"/>
                    <w:snapToGrid w:val="0"/>
                    <w:jc w:val="center"/>
                    <w:rPr>
                      <w:rFonts w:ascii="宋体" w:hAnsi="宋体" w:cs="宋体"/>
                      <w:sz w:val="24"/>
                      <w:highlight w:val="none"/>
                    </w:rPr>
                  </w:pPr>
                </w:p>
              </w:tc>
              <w:tc>
                <w:tcPr>
                  <w:tcW w:w="1569" w:type="dxa"/>
                  <w:vMerge w:val="restart"/>
                  <w:vAlign w:val="center"/>
                </w:tcPr>
                <w:p>
                  <w:pPr>
                    <w:adjustRightInd w:val="0"/>
                    <w:snapToGrid w:val="0"/>
                    <w:jc w:val="center"/>
                    <w:rPr>
                      <w:rFonts w:ascii="宋体" w:hAnsi="宋体" w:cs="宋体"/>
                      <w:sz w:val="24"/>
                      <w:highlight w:val="none"/>
                    </w:rPr>
                  </w:pPr>
                  <w:r>
                    <w:rPr>
                      <w:rFonts w:hint="eastAsia" w:ascii="宋体" w:hAnsi="宋体" w:cs="宋体"/>
                      <w:sz w:val="24"/>
                      <w:highlight w:val="none"/>
                    </w:rPr>
                    <w:t>桥梁隧道工程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2" w:type="dxa"/>
                  <w:vMerge w:val="continue"/>
                  <w:vAlign w:val="center"/>
                </w:tcPr>
                <w:p>
                  <w:pPr>
                    <w:adjustRightInd w:val="0"/>
                    <w:snapToGrid w:val="0"/>
                    <w:jc w:val="center"/>
                    <w:rPr>
                      <w:rFonts w:ascii="宋体" w:hAnsi="宋体" w:cs="宋体"/>
                      <w:sz w:val="24"/>
                      <w:highlight w:val="none"/>
                    </w:rPr>
                  </w:pPr>
                </w:p>
              </w:tc>
              <w:tc>
                <w:tcPr>
                  <w:tcW w:w="1718" w:type="dxa"/>
                  <w:vMerge w:val="continue"/>
                  <w:vAlign w:val="center"/>
                </w:tcPr>
                <w:p>
                  <w:pPr>
                    <w:adjustRightInd w:val="0"/>
                    <w:snapToGrid w:val="0"/>
                    <w:jc w:val="center"/>
                    <w:rPr>
                      <w:rFonts w:ascii="宋体" w:hAnsi="宋体" w:cs="宋体"/>
                      <w:sz w:val="24"/>
                      <w:highlight w:val="none"/>
                    </w:rPr>
                  </w:pPr>
                </w:p>
              </w:tc>
              <w:tc>
                <w:tcPr>
                  <w:tcW w:w="2828" w:type="dxa"/>
                  <w:vAlign w:val="center"/>
                </w:tcPr>
                <w:p>
                  <w:pPr>
                    <w:adjustRightInd w:val="0"/>
                    <w:snapToGrid w:val="0"/>
                    <w:jc w:val="center"/>
                    <w:rPr>
                      <w:rFonts w:ascii="宋体" w:hAnsi="宋体" w:cs="宋体"/>
                      <w:sz w:val="24"/>
                      <w:highlight w:val="none"/>
                    </w:rPr>
                  </w:pPr>
                  <w:r>
                    <w:rPr>
                      <w:rFonts w:hint="eastAsia" w:ascii="宋体" w:hAnsi="宋体" w:cs="宋体"/>
                      <w:sz w:val="24"/>
                      <w:highlight w:val="none"/>
                    </w:rPr>
                    <w:t>隧道</w:t>
                  </w:r>
                </w:p>
              </w:tc>
              <w:tc>
                <w:tcPr>
                  <w:tcW w:w="1165" w:type="dxa"/>
                  <w:vMerge w:val="continue"/>
                  <w:vAlign w:val="center"/>
                </w:tcPr>
                <w:p>
                  <w:pPr>
                    <w:adjustRightInd w:val="0"/>
                    <w:snapToGrid w:val="0"/>
                    <w:jc w:val="center"/>
                    <w:rPr>
                      <w:rFonts w:ascii="宋体" w:hAnsi="宋体" w:cs="宋体"/>
                      <w:sz w:val="24"/>
                      <w:highlight w:val="none"/>
                    </w:rPr>
                  </w:pPr>
                </w:p>
              </w:tc>
              <w:tc>
                <w:tcPr>
                  <w:tcW w:w="1569" w:type="dxa"/>
                  <w:vMerge w:val="continue"/>
                  <w:vAlign w:val="center"/>
                </w:tcPr>
                <w:p>
                  <w:pPr>
                    <w:adjustRightInd w:val="0"/>
                    <w:snapToGrid w:val="0"/>
                    <w:jc w:val="center"/>
                    <w:rPr>
                      <w:rFonts w:ascii="宋体" w:hAnsi="宋体" w:cs="宋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2" w:type="dxa"/>
                  <w:vMerge w:val="continue"/>
                  <w:vAlign w:val="center"/>
                </w:tcPr>
                <w:p>
                  <w:pPr>
                    <w:adjustRightInd w:val="0"/>
                    <w:snapToGrid w:val="0"/>
                    <w:jc w:val="center"/>
                    <w:rPr>
                      <w:rFonts w:ascii="宋体" w:hAnsi="宋体" w:cs="宋体"/>
                      <w:sz w:val="24"/>
                      <w:highlight w:val="none"/>
                    </w:rPr>
                  </w:pPr>
                </w:p>
              </w:tc>
              <w:tc>
                <w:tcPr>
                  <w:tcW w:w="1718" w:type="dxa"/>
                  <w:vMerge w:val="restart"/>
                  <w:vAlign w:val="center"/>
                </w:tcPr>
                <w:p>
                  <w:pPr>
                    <w:adjustRightInd w:val="0"/>
                    <w:snapToGrid w:val="0"/>
                    <w:jc w:val="center"/>
                    <w:rPr>
                      <w:rFonts w:ascii="宋体" w:hAnsi="宋体" w:cs="宋体"/>
                      <w:sz w:val="24"/>
                      <w:highlight w:val="none"/>
                    </w:rPr>
                  </w:pPr>
                  <w:r>
                    <w:rPr>
                      <w:rFonts w:hint="eastAsia" w:ascii="宋体" w:hAnsi="宋体" w:cs="宋体"/>
                      <w:sz w:val="24"/>
                      <w:highlight w:val="none"/>
                    </w:rPr>
                    <w:t>交通工程</w:t>
                  </w:r>
                </w:p>
              </w:tc>
              <w:tc>
                <w:tcPr>
                  <w:tcW w:w="2828" w:type="dxa"/>
                  <w:vAlign w:val="center"/>
                </w:tcPr>
                <w:p>
                  <w:pPr>
                    <w:adjustRightInd w:val="0"/>
                    <w:snapToGrid w:val="0"/>
                    <w:jc w:val="center"/>
                    <w:rPr>
                      <w:rFonts w:ascii="宋体" w:hAnsi="宋体" w:cs="宋体"/>
                      <w:sz w:val="24"/>
                      <w:highlight w:val="none"/>
                    </w:rPr>
                  </w:pPr>
                  <w:r>
                    <w:rPr>
                      <w:rFonts w:hint="eastAsia" w:ascii="宋体" w:hAnsi="宋体" w:cs="宋体"/>
                      <w:sz w:val="24"/>
                      <w:highlight w:val="none"/>
                    </w:rPr>
                    <w:t>交通安全设施</w:t>
                  </w:r>
                </w:p>
              </w:tc>
              <w:tc>
                <w:tcPr>
                  <w:tcW w:w="1165" w:type="dxa"/>
                  <w:vMerge w:val="continue"/>
                  <w:vAlign w:val="center"/>
                </w:tcPr>
                <w:p>
                  <w:pPr>
                    <w:adjustRightInd w:val="0"/>
                    <w:snapToGrid w:val="0"/>
                    <w:jc w:val="center"/>
                    <w:rPr>
                      <w:rFonts w:ascii="宋体" w:hAnsi="宋体" w:cs="宋体"/>
                      <w:sz w:val="24"/>
                      <w:highlight w:val="none"/>
                    </w:rPr>
                  </w:pPr>
                </w:p>
              </w:tc>
              <w:tc>
                <w:tcPr>
                  <w:tcW w:w="1569" w:type="dxa"/>
                  <w:vMerge w:val="restart"/>
                  <w:vAlign w:val="center"/>
                </w:tcPr>
                <w:p>
                  <w:pPr>
                    <w:adjustRightInd w:val="0"/>
                    <w:snapToGrid w:val="0"/>
                    <w:jc w:val="center"/>
                    <w:rPr>
                      <w:rFonts w:ascii="宋体" w:hAnsi="宋体" w:cs="宋体"/>
                      <w:sz w:val="24"/>
                      <w:highlight w:val="none"/>
                    </w:rPr>
                  </w:pPr>
                  <w:r>
                    <w:rPr>
                      <w:rFonts w:hint="eastAsia" w:ascii="宋体" w:hAnsi="宋体" w:cs="宋体"/>
                      <w:sz w:val="24"/>
                      <w:highlight w:val="none"/>
                    </w:rPr>
                    <w:t>交通工程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2" w:type="dxa"/>
                  <w:vMerge w:val="continue"/>
                  <w:vAlign w:val="center"/>
                </w:tcPr>
                <w:p>
                  <w:pPr>
                    <w:adjustRightInd w:val="0"/>
                    <w:snapToGrid w:val="0"/>
                    <w:jc w:val="center"/>
                    <w:rPr>
                      <w:rFonts w:ascii="宋体" w:hAnsi="宋体" w:cs="宋体"/>
                      <w:sz w:val="24"/>
                      <w:highlight w:val="none"/>
                    </w:rPr>
                  </w:pPr>
                </w:p>
              </w:tc>
              <w:tc>
                <w:tcPr>
                  <w:tcW w:w="1718" w:type="dxa"/>
                  <w:vMerge w:val="continue"/>
                  <w:vAlign w:val="center"/>
                </w:tcPr>
                <w:p>
                  <w:pPr>
                    <w:adjustRightInd w:val="0"/>
                    <w:snapToGrid w:val="0"/>
                    <w:jc w:val="center"/>
                    <w:rPr>
                      <w:rFonts w:ascii="宋体" w:hAnsi="宋体" w:cs="宋体"/>
                      <w:sz w:val="24"/>
                      <w:highlight w:val="none"/>
                    </w:rPr>
                  </w:pPr>
                </w:p>
              </w:tc>
              <w:tc>
                <w:tcPr>
                  <w:tcW w:w="2828" w:type="dxa"/>
                  <w:vAlign w:val="center"/>
                </w:tcPr>
                <w:p>
                  <w:pPr>
                    <w:adjustRightInd w:val="0"/>
                    <w:snapToGrid w:val="0"/>
                    <w:jc w:val="center"/>
                    <w:rPr>
                      <w:rFonts w:ascii="宋体" w:hAnsi="宋体" w:cs="宋体"/>
                      <w:sz w:val="24"/>
                      <w:highlight w:val="none"/>
                    </w:rPr>
                  </w:pPr>
                  <w:r>
                    <w:rPr>
                      <w:rFonts w:hint="eastAsia" w:ascii="宋体" w:hAnsi="宋体" w:cs="宋体"/>
                      <w:sz w:val="24"/>
                      <w:highlight w:val="none"/>
                    </w:rPr>
                    <w:t>机电工程</w:t>
                  </w:r>
                </w:p>
              </w:tc>
              <w:tc>
                <w:tcPr>
                  <w:tcW w:w="1165" w:type="dxa"/>
                  <w:vMerge w:val="continue"/>
                  <w:vAlign w:val="center"/>
                </w:tcPr>
                <w:p>
                  <w:pPr>
                    <w:adjustRightInd w:val="0"/>
                    <w:snapToGrid w:val="0"/>
                    <w:jc w:val="center"/>
                    <w:rPr>
                      <w:rFonts w:ascii="宋体" w:hAnsi="宋体" w:cs="宋体"/>
                      <w:sz w:val="24"/>
                      <w:highlight w:val="none"/>
                    </w:rPr>
                  </w:pPr>
                </w:p>
              </w:tc>
              <w:tc>
                <w:tcPr>
                  <w:tcW w:w="1569" w:type="dxa"/>
                  <w:vMerge w:val="continue"/>
                  <w:vAlign w:val="center"/>
                </w:tcPr>
                <w:p>
                  <w:pPr>
                    <w:adjustRightInd w:val="0"/>
                    <w:snapToGrid w:val="0"/>
                    <w:jc w:val="center"/>
                    <w:rPr>
                      <w:rFonts w:ascii="宋体" w:hAnsi="宋体" w:cs="宋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2" w:type="dxa"/>
                  <w:vMerge w:val="restart"/>
                  <w:vAlign w:val="center"/>
                </w:tcPr>
                <w:p>
                  <w:pPr>
                    <w:adjustRightInd w:val="0"/>
                    <w:snapToGrid w:val="0"/>
                    <w:jc w:val="center"/>
                    <w:rPr>
                      <w:rFonts w:ascii="宋体" w:hAnsi="宋体" w:cs="宋体"/>
                      <w:sz w:val="24"/>
                      <w:highlight w:val="none"/>
                    </w:rPr>
                  </w:pPr>
                  <w:r>
                    <w:rPr>
                      <w:rFonts w:hint="eastAsia" w:ascii="宋体" w:hAnsi="宋体" w:cs="宋体"/>
                      <w:sz w:val="24"/>
                      <w:highlight w:val="none"/>
                    </w:rPr>
                    <w:t>试验</w:t>
                  </w:r>
                </w:p>
                <w:p>
                  <w:pPr>
                    <w:adjustRightInd w:val="0"/>
                    <w:snapToGrid w:val="0"/>
                    <w:jc w:val="center"/>
                    <w:rPr>
                      <w:rFonts w:ascii="宋体" w:hAnsi="宋体" w:cs="宋体"/>
                      <w:sz w:val="24"/>
                      <w:highlight w:val="none"/>
                    </w:rPr>
                  </w:pPr>
                  <w:r>
                    <w:rPr>
                      <w:rFonts w:hint="eastAsia" w:ascii="宋体" w:hAnsi="宋体" w:cs="宋体"/>
                      <w:sz w:val="24"/>
                      <w:highlight w:val="none"/>
                    </w:rPr>
                    <w:t>检测员</w:t>
                  </w:r>
                </w:p>
              </w:tc>
              <w:tc>
                <w:tcPr>
                  <w:tcW w:w="1718" w:type="dxa"/>
                  <w:vAlign w:val="center"/>
                </w:tcPr>
                <w:p>
                  <w:pPr>
                    <w:adjustRightInd w:val="0"/>
                    <w:snapToGrid w:val="0"/>
                    <w:jc w:val="center"/>
                    <w:rPr>
                      <w:rFonts w:ascii="宋体" w:hAnsi="宋体" w:cs="宋体"/>
                      <w:sz w:val="24"/>
                      <w:highlight w:val="none"/>
                    </w:rPr>
                  </w:pPr>
                  <w:r>
                    <w:rPr>
                      <w:rFonts w:hint="eastAsia" w:ascii="宋体" w:hAnsi="宋体" w:cs="宋体"/>
                      <w:sz w:val="24"/>
                      <w:highlight w:val="none"/>
                    </w:rPr>
                    <w:t>材料试验</w:t>
                  </w:r>
                </w:p>
              </w:tc>
              <w:tc>
                <w:tcPr>
                  <w:tcW w:w="2828" w:type="dxa"/>
                  <w:vAlign w:val="center"/>
                </w:tcPr>
                <w:p>
                  <w:pPr>
                    <w:adjustRightInd w:val="0"/>
                    <w:snapToGrid w:val="0"/>
                    <w:jc w:val="center"/>
                    <w:rPr>
                      <w:rFonts w:ascii="宋体" w:hAnsi="宋体" w:cs="宋体"/>
                      <w:sz w:val="24"/>
                      <w:highlight w:val="none"/>
                    </w:rPr>
                  </w:pPr>
                  <w:r>
                    <w:rPr>
                      <w:rFonts w:hint="eastAsia" w:ascii="宋体" w:hAnsi="宋体" w:cs="宋体"/>
                      <w:sz w:val="24"/>
                      <w:highlight w:val="none"/>
                    </w:rPr>
                    <w:t>材料</w:t>
                  </w:r>
                </w:p>
              </w:tc>
              <w:tc>
                <w:tcPr>
                  <w:tcW w:w="1165" w:type="dxa"/>
                  <w:vMerge w:val="restart"/>
                  <w:vAlign w:val="center"/>
                </w:tcPr>
                <w:p>
                  <w:pPr>
                    <w:adjustRightInd w:val="0"/>
                    <w:snapToGrid w:val="0"/>
                    <w:jc w:val="center"/>
                    <w:rPr>
                      <w:rFonts w:ascii="宋体" w:hAnsi="宋体" w:cs="宋体"/>
                      <w:sz w:val="24"/>
                      <w:highlight w:val="none"/>
                    </w:rPr>
                  </w:pPr>
                  <w:r>
                    <w:rPr>
                      <w:rFonts w:hint="eastAsia" w:ascii="宋体" w:hAnsi="宋体" w:cs="宋体"/>
                      <w:sz w:val="24"/>
                      <w:highlight w:val="none"/>
                    </w:rPr>
                    <w:t>助理试验</w:t>
                  </w:r>
                </w:p>
                <w:p>
                  <w:pPr>
                    <w:adjustRightInd w:val="0"/>
                    <w:snapToGrid w:val="0"/>
                    <w:jc w:val="center"/>
                    <w:rPr>
                      <w:rFonts w:ascii="宋体" w:hAnsi="宋体" w:cs="宋体"/>
                      <w:sz w:val="24"/>
                      <w:highlight w:val="none"/>
                    </w:rPr>
                  </w:pPr>
                  <w:r>
                    <w:rPr>
                      <w:rFonts w:hint="eastAsia" w:ascii="宋体" w:hAnsi="宋体" w:cs="宋体"/>
                      <w:sz w:val="24"/>
                      <w:highlight w:val="none"/>
                    </w:rPr>
                    <w:t>检测师</w:t>
                  </w:r>
                </w:p>
              </w:tc>
              <w:tc>
                <w:tcPr>
                  <w:tcW w:w="1569" w:type="dxa"/>
                  <w:vMerge w:val="restart"/>
                  <w:vAlign w:val="center"/>
                </w:tcPr>
                <w:p>
                  <w:pPr>
                    <w:adjustRightInd w:val="0"/>
                    <w:snapToGrid w:val="0"/>
                    <w:jc w:val="center"/>
                    <w:rPr>
                      <w:rFonts w:ascii="宋体" w:hAnsi="宋体" w:cs="宋体"/>
                      <w:sz w:val="24"/>
                      <w:highlight w:val="none"/>
                    </w:rPr>
                  </w:pPr>
                  <w:r>
                    <w:rPr>
                      <w:rFonts w:hint="eastAsia" w:ascii="宋体" w:hAnsi="宋体" w:cs="宋体"/>
                      <w:sz w:val="24"/>
                      <w:highlight w:val="none"/>
                    </w:rPr>
                    <w:t>道路工程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2" w:type="dxa"/>
                  <w:vMerge w:val="continue"/>
                  <w:vAlign w:val="center"/>
                </w:tcPr>
                <w:p>
                  <w:pPr>
                    <w:adjustRightInd w:val="0"/>
                    <w:snapToGrid w:val="0"/>
                    <w:jc w:val="center"/>
                    <w:rPr>
                      <w:rFonts w:ascii="宋体" w:hAnsi="宋体" w:cs="宋体"/>
                      <w:sz w:val="24"/>
                      <w:highlight w:val="none"/>
                    </w:rPr>
                  </w:pPr>
                </w:p>
              </w:tc>
              <w:tc>
                <w:tcPr>
                  <w:tcW w:w="1718" w:type="dxa"/>
                  <w:vMerge w:val="restart"/>
                  <w:vAlign w:val="center"/>
                </w:tcPr>
                <w:p>
                  <w:pPr>
                    <w:adjustRightInd w:val="0"/>
                    <w:snapToGrid w:val="0"/>
                    <w:jc w:val="center"/>
                    <w:rPr>
                      <w:rFonts w:ascii="宋体" w:hAnsi="宋体" w:cs="宋体"/>
                      <w:sz w:val="24"/>
                      <w:highlight w:val="none"/>
                    </w:rPr>
                  </w:pPr>
                  <w:r>
                    <w:rPr>
                      <w:rFonts w:hint="eastAsia" w:ascii="宋体" w:hAnsi="宋体" w:cs="宋体"/>
                      <w:sz w:val="24"/>
                      <w:highlight w:val="none"/>
                    </w:rPr>
                    <w:t>工程检测</w:t>
                  </w:r>
                </w:p>
              </w:tc>
              <w:tc>
                <w:tcPr>
                  <w:tcW w:w="2828" w:type="dxa"/>
                  <w:vAlign w:val="center"/>
                </w:tcPr>
                <w:p>
                  <w:pPr>
                    <w:adjustRightInd w:val="0"/>
                    <w:snapToGrid w:val="0"/>
                    <w:jc w:val="center"/>
                    <w:rPr>
                      <w:rFonts w:ascii="宋体" w:hAnsi="宋体" w:cs="宋体"/>
                      <w:sz w:val="24"/>
                      <w:highlight w:val="none"/>
                    </w:rPr>
                  </w:pPr>
                  <w:r>
                    <w:rPr>
                      <w:rFonts w:hint="eastAsia" w:ascii="宋体" w:hAnsi="宋体" w:cs="宋体"/>
                      <w:sz w:val="24"/>
                      <w:highlight w:val="none"/>
                    </w:rPr>
                    <w:t>公路</w:t>
                  </w:r>
                </w:p>
              </w:tc>
              <w:tc>
                <w:tcPr>
                  <w:tcW w:w="1165" w:type="dxa"/>
                  <w:vMerge w:val="continue"/>
                  <w:vAlign w:val="center"/>
                </w:tcPr>
                <w:p>
                  <w:pPr>
                    <w:adjustRightInd w:val="0"/>
                    <w:snapToGrid w:val="0"/>
                    <w:jc w:val="center"/>
                    <w:rPr>
                      <w:rFonts w:ascii="宋体" w:hAnsi="宋体" w:cs="宋体"/>
                      <w:sz w:val="24"/>
                      <w:highlight w:val="none"/>
                    </w:rPr>
                  </w:pPr>
                </w:p>
              </w:tc>
              <w:tc>
                <w:tcPr>
                  <w:tcW w:w="1569" w:type="dxa"/>
                  <w:vMerge w:val="continue"/>
                  <w:vAlign w:val="center"/>
                </w:tcPr>
                <w:p>
                  <w:pPr>
                    <w:adjustRightInd w:val="0"/>
                    <w:snapToGrid w:val="0"/>
                    <w:jc w:val="center"/>
                    <w:rPr>
                      <w:rFonts w:ascii="宋体" w:hAnsi="宋体" w:cs="宋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2" w:type="dxa"/>
                  <w:vMerge w:val="continue"/>
                  <w:vAlign w:val="center"/>
                </w:tcPr>
                <w:p>
                  <w:pPr>
                    <w:adjustRightInd w:val="0"/>
                    <w:snapToGrid w:val="0"/>
                    <w:jc w:val="center"/>
                    <w:rPr>
                      <w:rFonts w:ascii="宋体" w:hAnsi="宋体" w:cs="宋体"/>
                      <w:sz w:val="24"/>
                      <w:highlight w:val="none"/>
                    </w:rPr>
                  </w:pPr>
                </w:p>
              </w:tc>
              <w:tc>
                <w:tcPr>
                  <w:tcW w:w="1718" w:type="dxa"/>
                  <w:vMerge w:val="continue"/>
                  <w:vAlign w:val="center"/>
                </w:tcPr>
                <w:p>
                  <w:pPr>
                    <w:adjustRightInd w:val="0"/>
                    <w:snapToGrid w:val="0"/>
                    <w:jc w:val="center"/>
                    <w:rPr>
                      <w:rFonts w:ascii="宋体" w:hAnsi="宋体" w:cs="宋体"/>
                      <w:sz w:val="24"/>
                      <w:highlight w:val="none"/>
                    </w:rPr>
                  </w:pPr>
                </w:p>
              </w:tc>
              <w:tc>
                <w:tcPr>
                  <w:tcW w:w="2828" w:type="dxa"/>
                  <w:vAlign w:val="center"/>
                </w:tcPr>
                <w:p>
                  <w:pPr>
                    <w:adjustRightInd w:val="0"/>
                    <w:snapToGrid w:val="0"/>
                    <w:jc w:val="center"/>
                    <w:rPr>
                      <w:rFonts w:ascii="宋体" w:hAnsi="宋体" w:cs="宋体"/>
                      <w:sz w:val="24"/>
                      <w:highlight w:val="none"/>
                    </w:rPr>
                  </w:pPr>
                  <w:r>
                    <w:rPr>
                      <w:rFonts w:hint="eastAsia" w:ascii="宋体" w:hAnsi="宋体" w:cs="宋体"/>
                      <w:sz w:val="24"/>
                      <w:highlight w:val="none"/>
                    </w:rPr>
                    <w:t>桥梁</w:t>
                  </w:r>
                </w:p>
              </w:tc>
              <w:tc>
                <w:tcPr>
                  <w:tcW w:w="1165" w:type="dxa"/>
                  <w:vMerge w:val="continue"/>
                  <w:vAlign w:val="center"/>
                </w:tcPr>
                <w:p>
                  <w:pPr>
                    <w:adjustRightInd w:val="0"/>
                    <w:snapToGrid w:val="0"/>
                    <w:jc w:val="center"/>
                    <w:rPr>
                      <w:rFonts w:ascii="宋体" w:hAnsi="宋体" w:cs="宋体"/>
                      <w:sz w:val="24"/>
                      <w:highlight w:val="none"/>
                    </w:rPr>
                  </w:pPr>
                </w:p>
              </w:tc>
              <w:tc>
                <w:tcPr>
                  <w:tcW w:w="1569" w:type="dxa"/>
                  <w:vMerge w:val="restart"/>
                  <w:vAlign w:val="center"/>
                </w:tcPr>
                <w:p>
                  <w:pPr>
                    <w:adjustRightInd w:val="0"/>
                    <w:snapToGrid w:val="0"/>
                    <w:jc w:val="center"/>
                    <w:rPr>
                      <w:rFonts w:ascii="宋体" w:hAnsi="宋体" w:cs="宋体"/>
                      <w:sz w:val="24"/>
                      <w:highlight w:val="none"/>
                    </w:rPr>
                  </w:pPr>
                  <w:r>
                    <w:rPr>
                      <w:rFonts w:hint="eastAsia" w:ascii="宋体" w:hAnsi="宋体" w:cs="宋体"/>
                      <w:sz w:val="24"/>
                      <w:highlight w:val="none"/>
                    </w:rPr>
                    <w:t>桥梁隧道工程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2" w:type="dxa"/>
                  <w:vMerge w:val="continue"/>
                  <w:vAlign w:val="center"/>
                </w:tcPr>
                <w:p>
                  <w:pPr>
                    <w:adjustRightInd w:val="0"/>
                    <w:snapToGrid w:val="0"/>
                    <w:jc w:val="center"/>
                    <w:rPr>
                      <w:rFonts w:ascii="宋体" w:hAnsi="宋体" w:cs="宋体"/>
                      <w:sz w:val="24"/>
                      <w:highlight w:val="none"/>
                    </w:rPr>
                  </w:pPr>
                </w:p>
              </w:tc>
              <w:tc>
                <w:tcPr>
                  <w:tcW w:w="1718" w:type="dxa"/>
                  <w:vMerge w:val="continue"/>
                  <w:vAlign w:val="center"/>
                </w:tcPr>
                <w:p>
                  <w:pPr>
                    <w:adjustRightInd w:val="0"/>
                    <w:snapToGrid w:val="0"/>
                    <w:jc w:val="center"/>
                    <w:rPr>
                      <w:rFonts w:ascii="宋体" w:hAnsi="宋体" w:cs="宋体"/>
                      <w:sz w:val="24"/>
                      <w:highlight w:val="none"/>
                    </w:rPr>
                  </w:pPr>
                </w:p>
              </w:tc>
              <w:tc>
                <w:tcPr>
                  <w:tcW w:w="2828" w:type="dxa"/>
                  <w:vAlign w:val="center"/>
                </w:tcPr>
                <w:p>
                  <w:pPr>
                    <w:adjustRightInd w:val="0"/>
                    <w:snapToGrid w:val="0"/>
                    <w:jc w:val="center"/>
                    <w:rPr>
                      <w:rFonts w:ascii="宋体" w:hAnsi="宋体" w:cs="宋体"/>
                      <w:sz w:val="24"/>
                      <w:highlight w:val="none"/>
                    </w:rPr>
                  </w:pPr>
                  <w:r>
                    <w:rPr>
                      <w:rFonts w:hint="eastAsia" w:ascii="宋体" w:hAnsi="宋体" w:cs="宋体"/>
                      <w:sz w:val="24"/>
                      <w:highlight w:val="none"/>
                    </w:rPr>
                    <w:t>隧道</w:t>
                  </w:r>
                </w:p>
              </w:tc>
              <w:tc>
                <w:tcPr>
                  <w:tcW w:w="1165" w:type="dxa"/>
                  <w:vMerge w:val="continue"/>
                  <w:vAlign w:val="center"/>
                </w:tcPr>
                <w:p>
                  <w:pPr>
                    <w:adjustRightInd w:val="0"/>
                    <w:snapToGrid w:val="0"/>
                    <w:jc w:val="center"/>
                    <w:rPr>
                      <w:rFonts w:ascii="宋体" w:hAnsi="宋体" w:cs="宋体"/>
                      <w:sz w:val="24"/>
                      <w:highlight w:val="none"/>
                    </w:rPr>
                  </w:pPr>
                </w:p>
              </w:tc>
              <w:tc>
                <w:tcPr>
                  <w:tcW w:w="1569" w:type="dxa"/>
                  <w:vMerge w:val="continue"/>
                  <w:vAlign w:val="center"/>
                </w:tcPr>
                <w:p>
                  <w:pPr>
                    <w:adjustRightInd w:val="0"/>
                    <w:snapToGrid w:val="0"/>
                    <w:jc w:val="center"/>
                    <w:rPr>
                      <w:rFonts w:ascii="宋体" w:hAnsi="宋体" w:cs="宋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2" w:type="dxa"/>
                  <w:vMerge w:val="continue"/>
                  <w:vAlign w:val="center"/>
                </w:tcPr>
                <w:p>
                  <w:pPr>
                    <w:adjustRightInd w:val="0"/>
                    <w:snapToGrid w:val="0"/>
                    <w:jc w:val="center"/>
                    <w:rPr>
                      <w:rFonts w:ascii="宋体" w:hAnsi="宋体" w:cs="宋体"/>
                      <w:sz w:val="24"/>
                      <w:highlight w:val="none"/>
                    </w:rPr>
                  </w:pPr>
                </w:p>
              </w:tc>
              <w:tc>
                <w:tcPr>
                  <w:tcW w:w="1718" w:type="dxa"/>
                  <w:vMerge w:val="restart"/>
                  <w:vAlign w:val="center"/>
                </w:tcPr>
                <w:p>
                  <w:pPr>
                    <w:adjustRightInd w:val="0"/>
                    <w:snapToGrid w:val="0"/>
                    <w:jc w:val="center"/>
                    <w:rPr>
                      <w:rFonts w:ascii="宋体" w:hAnsi="宋体" w:cs="宋体"/>
                      <w:sz w:val="24"/>
                      <w:highlight w:val="none"/>
                    </w:rPr>
                  </w:pPr>
                  <w:r>
                    <w:rPr>
                      <w:rFonts w:hint="eastAsia" w:ascii="宋体" w:hAnsi="宋体" w:cs="宋体"/>
                      <w:sz w:val="24"/>
                      <w:highlight w:val="none"/>
                    </w:rPr>
                    <w:t>交通工程</w:t>
                  </w:r>
                </w:p>
              </w:tc>
              <w:tc>
                <w:tcPr>
                  <w:tcW w:w="2828" w:type="dxa"/>
                  <w:vAlign w:val="center"/>
                </w:tcPr>
                <w:p>
                  <w:pPr>
                    <w:adjustRightInd w:val="0"/>
                    <w:snapToGrid w:val="0"/>
                    <w:jc w:val="center"/>
                    <w:rPr>
                      <w:rFonts w:ascii="宋体" w:hAnsi="宋体" w:cs="宋体"/>
                      <w:sz w:val="24"/>
                      <w:highlight w:val="none"/>
                    </w:rPr>
                  </w:pPr>
                  <w:r>
                    <w:rPr>
                      <w:rFonts w:hint="eastAsia" w:ascii="宋体" w:hAnsi="宋体" w:cs="宋体"/>
                      <w:sz w:val="24"/>
                      <w:highlight w:val="none"/>
                    </w:rPr>
                    <w:t>交通安全设施</w:t>
                  </w:r>
                </w:p>
              </w:tc>
              <w:tc>
                <w:tcPr>
                  <w:tcW w:w="1165" w:type="dxa"/>
                  <w:vMerge w:val="continue"/>
                  <w:vAlign w:val="center"/>
                </w:tcPr>
                <w:p>
                  <w:pPr>
                    <w:adjustRightInd w:val="0"/>
                    <w:snapToGrid w:val="0"/>
                    <w:jc w:val="center"/>
                    <w:rPr>
                      <w:rFonts w:ascii="宋体" w:hAnsi="宋体" w:cs="宋体"/>
                      <w:sz w:val="24"/>
                      <w:highlight w:val="none"/>
                    </w:rPr>
                  </w:pPr>
                </w:p>
              </w:tc>
              <w:tc>
                <w:tcPr>
                  <w:tcW w:w="1569" w:type="dxa"/>
                  <w:vMerge w:val="restart"/>
                  <w:vAlign w:val="center"/>
                </w:tcPr>
                <w:p>
                  <w:pPr>
                    <w:adjustRightInd w:val="0"/>
                    <w:snapToGrid w:val="0"/>
                    <w:jc w:val="center"/>
                    <w:rPr>
                      <w:rFonts w:ascii="宋体" w:hAnsi="宋体" w:cs="宋体"/>
                      <w:sz w:val="24"/>
                      <w:highlight w:val="none"/>
                    </w:rPr>
                  </w:pPr>
                  <w:r>
                    <w:rPr>
                      <w:rFonts w:hint="eastAsia" w:ascii="宋体" w:hAnsi="宋体" w:cs="宋体"/>
                      <w:sz w:val="24"/>
                      <w:highlight w:val="none"/>
                    </w:rPr>
                    <w:t>交通工程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2" w:type="dxa"/>
                  <w:vMerge w:val="continue"/>
                  <w:vAlign w:val="center"/>
                </w:tcPr>
                <w:p>
                  <w:pPr>
                    <w:adjustRightInd w:val="0"/>
                    <w:snapToGrid w:val="0"/>
                    <w:jc w:val="center"/>
                    <w:rPr>
                      <w:rFonts w:ascii="宋体" w:hAnsi="宋体" w:cs="宋体"/>
                      <w:sz w:val="24"/>
                      <w:highlight w:val="none"/>
                    </w:rPr>
                  </w:pPr>
                </w:p>
              </w:tc>
              <w:tc>
                <w:tcPr>
                  <w:tcW w:w="1718" w:type="dxa"/>
                  <w:vMerge w:val="continue"/>
                  <w:vAlign w:val="center"/>
                </w:tcPr>
                <w:p>
                  <w:pPr>
                    <w:adjustRightInd w:val="0"/>
                    <w:snapToGrid w:val="0"/>
                    <w:jc w:val="center"/>
                    <w:rPr>
                      <w:rFonts w:ascii="宋体" w:hAnsi="宋体" w:cs="宋体"/>
                      <w:sz w:val="24"/>
                      <w:highlight w:val="none"/>
                    </w:rPr>
                  </w:pPr>
                </w:p>
              </w:tc>
              <w:tc>
                <w:tcPr>
                  <w:tcW w:w="2828" w:type="dxa"/>
                  <w:vAlign w:val="center"/>
                </w:tcPr>
                <w:p>
                  <w:pPr>
                    <w:adjustRightInd w:val="0"/>
                    <w:snapToGrid w:val="0"/>
                    <w:jc w:val="center"/>
                    <w:rPr>
                      <w:rFonts w:ascii="宋体" w:hAnsi="宋体" w:cs="宋体"/>
                      <w:sz w:val="24"/>
                      <w:highlight w:val="none"/>
                    </w:rPr>
                  </w:pPr>
                  <w:r>
                    <w:rPr>
                      <w:rFonts w:hint="eastAsia" w:ascii="宋体" w:hAnsi="宋体" w:cs="宋体"/>
                      <w:sz w:val="24"/>
                      <w:highlight w:val="none"/>
                    </w:rPr>
                    <w:t>机电工程</w:t>
                  </w:r>
                </w:p>
              </w:tc>
              <w:tc>
                <w:tcPr>
                  <w:tcW w:w="1165" w:type="dxa"/>
                  <w:vMerge w:val="continue"/>
                  <w:vAlign w:val="center"/>
                </w:tcPr>
                <w:p>
                  <w:pPr>
                    <w:adjustRightInd w:val="0"/>
                    <w:snapToGrid w:val="0"/>
                    <w:jc w:val="center"/>
                    <w:rPr>
                      <w:rFonts w:ascii="宋体" w:hAnsi="宋体" w:cs="宋体"/>
                      <w:sz w:val="24"/>
                      <w:highlight w:val="none"/>
                    </w:rPr>
                  </w:pPr>
                </w:p>
              </w:tc>
              <w:tc>
                <w:tcPr>
                  <w:tcW w:w="1569" w:type="dxa"/>
                  <w:vMerge w:val="continue"/>
                  <w:vAlign w:val="center"/>
                </w:tcPr>
                <w:p>
                  <w:pPr>
                    <w:adjustRightInd w:val="0"/>
                    <w:snapToGrid w:val="0"/>
                    <w:jc w:val="center"/>
                    <w:rPr>
                      <w:rFonts w:ascii="宋体" w:hAnsi="宋体" w:cs="宋体"/>
                      <w:sz w:val="24"/>
                      <w:highlight w:val="none"/>
                    </w:rPr>
                  </w:pPr>
                </w:p>
              </w:tc>
            </w:tr>
          </w:tbl>
          <w:p>
            <w:pPr>
              <w:jc w:val="left"/>
              <w:rPr>
                <w:rFonts w:ascii="宋体" w:hAnsi="宋体" w:cs="宋体"/>
                <w:szCs w:val="20"/>
                <w:highlight w:val="none"/>
              </w:rPr>
            </w:pPr>
          </w:p>
        </w:tc>
      </w:tr>
    </w:tbl>
    <w:p>
      <w:pPr>
        <w:pStyle w:val="117"/>
        <w:spacing w:before="120" w:after="120" w:afterLines="50"/>
        <w:jc w:val="center"/>
        <w:rPr>
          <w:rFonts w:ascii="Garamond" w:hAnsi="Garamond" w:eastAsia="宋体" w:cs="Times New Roman"/>
          <w:b/>
          <w:highlight w:val="none"/>
        </w:rPr>
      </w:pPr>
    </w:p>
    <w:p>
      <w:pPr>
        <w:widowControl/>
        <w:jc w:val="left"/>
        <w:rPr>
          <w:rFonts w:ascii="Garamond" w:hAnsi="Garamond"/>
          <w:b/>
          <w:bCs/>
          <w:sz w:val="32"/>
          <w:szCs w:val="32"/>
          <w:highlight w:val="none"/>
        </w:rPr>
      </w:pPr>
      <w:bookmarkStart w:id="58" w:name="_Toc451945793"/>
      <w:bookmarkStart w:id="59" w:name="_Toc196474983"/>
      <w:bookmarkStart w:id="60" w:name="_Toc446323654"/>
      <w:bookmarkStart w:id="61" w:name="_Toc451945959"/>
      <w:bookmarkStart w:id="62" w:name="_Toc35766213"/>
      <w:bookmarkStart w:id="63" w:name="_Toc445813319"/>
      <w:bookmarkStart w:id="64" w:name="_Toc387133631"/>
      <w:r>
        <w:rPr>
          <w:rFonts w:ascii="Garamond" w:hAnsi="Garamond"/>
          <w:highlight w:val="none"/>
        </w:rPr>
        <w:br w:type="page"/>
      </w:r>
    </w:p>
    <w:bookmarkEnd w:id="58"/>
    <w:bookmarkEnd w:id="59"/>
    <w:bookmarkEnd w:id="60"/>
    <w:bookmarkEnd w:id="61"/>
    <w:bookmarkEnd w:id="62"/>
    <w:bookmarkEnd w:id="63"/>
    <w:bookmarkEnd w:id="64"/>
    <w:p>
      <w:pPr>
        <w:rPr>
          <w:rFonts w:ascii="Garamond" w:hAnsi="Garamond"/>
          <w:highlight w:val="none"/>
        </w:rPr>
      </w:pPr>
      <w:bookmarkStart w:id="65" w:name="_Toc353197095"/>
    </w:p>
    <w:p>
      <w:pPr>
        <w:pStyle w:val="16"/>
        <w:rPr>
          <w:highlight w:val="none"/>
        </w:rPr>
      </w:pPr>
    </w:p>
    <w:p>
      <w:pPr>
        <w:rPr>
          <w:highlight w:val="none"/>
        </w:rPr>
      </w:pPr>
    </w:p>
    <w:p>
      <w:pPr>
        <w:pStyle w:val="16"/>
        <w:rPr>
          <w:highlight w:val="none"/>
        </w:rPr>
      </w:pPr>
    </w:p>
    <w:p>
      <w:pPr>
        <w:rPr>
          <w:rFonts w:ascii="Garamond" w:hAnsi="Garamond"/>
          <w:highlight w:val="none"/>
        </w:rPr>
      </w:pPr>
    </w:p>
    <w:p>
      <w:pPr>
        <w:rPr>
          <w:rFonts w:ascii="Garamond" w:hAnsi="Garamond"/>
          <w:highlight w:val="none"/>
        </w:rPr>
      </w:pPr>
    </w:p>
    <w:p>
      <w:pPr>
        <w:rPr>
          <w:rFonts w:ascii="Garamond" w:hAnsi="Garamond"/>
          <w:highlight w:val="none"/>
        </w:rPr>
      </w:pPr>
    </w:p>
    <w:p>
      <w:pPr>
        <w:rPr>
          <w:rFonts w:ascii="Garamond" w:hAnsi="Garamond"/>
          <w:highlight w:val="none"/>
        </w:rPr>
      </w:pPr>
    </w:p>
    <w:p>
      <w:pPr>
        <w:rPr>
          <w:rFonts w:ascii="Garamond" w:hAnsi="Garamond"/>
          <w:highlight w:val="none"/>
        </w:rPr>
      </w:pPr>
    </w:p>
    <w:p>
      <w:pPr>
        <w:rPr>
          <w:rFonts w:ascii="Garamond" w:hAnsi="Garamond"/>
          <w:highlight w:val="none"/>
        </w:rPr>
      </w:pPr>
    </w:p>
    <w:p>
      <w:pPr>
        <w:rPr>
          <w:rFonts w:ascii="Garamond" w:hAnsi="Garamond"/>
          <w:highlight w:val="none"/>
        </w:rPr>
      </w:pPr>
    </w:p>
    <w:p>
      <w:pPr>
        <w:rPr>
          <w:rFonts w:ascii="Garamond" w:hAnsi="Garamond"/>
          <w:highlight w:val="none"/>
        </w:rPr>
      </w:pPr>
    </w:p>
    <w:p>
      <w:pPr>
        <w:rPr>
          <w:rFonts w:ascii="Garamond" w:hAnsi="Garamond"/>
          <w:highlight w:val="none"/>
        </w:rPr>
      </w:pPr>
    </w:p>
    <w:p>
      <w:pPr>
        <w:rPr>
          <w:rFonts w:ascii="Garamond" w:hAnsi="Garamond"/>
          <w:highlight w:val="none"/>
        </w:rPr>
      </w:pPr>
    </w:p>
    <w:p>
      <w:pPr>
        <w:rPr>
          <w:rFonts w:ascii="Garamond" w:hAnsi="Garamond"/>
          <w:highlight w:val="none"/>
        </w:rPr>
      </w:pPr>
    </w:p>
    <w:p>
      <w:pPr>
        <w:pStyle w:val="2"/>
        <w:spacing w:before="120" w:beforeLines="50" w:after="120" w:afterLines="50" w:line="240" w:lineRule="auto"/>
        <w:jc w:val="center"/>
        <w:rPr>
          <w:rFonts w:ascii="Garamond" w:hAnsi="Garamond"/>
          <w:bCs w:val="0"/>
          <w:sz w:val="48"/>
          <w:szCs w:val="48"/>
          <w:highlight w:val="none"/>
        </w:rPr>
      </w:pPr>
      <w:r>
        <w:rPr>
          <w:rFonts w:ascii="Garamond" w:hAnsi="Garamond"/>
          <w:bCs w:val="0"/>
          <w:sz w:val="48"/>
          <w:szCs w:val="48"/>
          <w:highlight w:val="none"/>
        </w:rPr>
        <w:t>第三章  评标办法</w:t>
      </w:r>
      <w:bookmarkEnd w:id="65"/>
    </w:p>
    <w:p>
      <w:pPr>
        <w:ind w:firstLine="480"/>
        <w:jc w:val="right"/>
        <w:rPr>
          <w:rFonts w:ascii="Garamond" w:hAnsi="Garamond"/>
          <w:sz w:val="24"/>
          <w:highlight w:val="none"/>
        </w:rPr>
      </w:pPr>
    </w:p>
    <w:p>
      <w:pPr>
        <w:ind w:firstLine="480"/>
        <w:jc w:val="right"/>
        <w:rPr>
          <w:rFonts w:ascii="Garamond" w:hAnsi="Garamond"/>
          <w:sz w:val="24"/>
          <w:highlight w:val="none"/>
        </w:rPr>
      </w:pPr>
    </w:p>
    <w:p>
      <w:pPr>
        <w:ind w:firstLine="480"/>
        <w:jc w:val="right"/>
        <w:rPr>
          <w:rFonts w:ascii="Garamond" w:hAnsi="Garamond"/>
          <w:sz w:val="24"/>
          <w:highlight w:val="none"/>
        </w:rPr>
      </w:pPr>
    </w:p>
    <w:p>
      <w:pPr>
        <w:ind w:firstLine="480"/>
        <w:jc w:val="right"/>
        <w:rPr>
          <w:rFonts w:ascii="Garamond" w:hAnsi="Garamond"/>
          <w:sz w:val="24"/>
          <w:highlight w:val="none"/>
        </w:rPr>
      </w:pPr>
    </w:p>
    <w:p>
      <w:pPr>
        <w:ind w:firstLine="480"/>
        <w:jc w:val="right"/>
        <w:rPr>
          <w:rFonts w:ascii="Garamond" w:hAnsi="Garamond"/>
          <w:sz w:val="24"/>
          <w:highlight w:val="none"/>
        </w:rPr>
      </w:pPr>
    </w:p>
    <w:p>
      <w:pPr>
        <w:ind w:firstLine="480"/>
        <w:jc w:val="right"/>
        <w:rPr>
          <w:rFonts w:ascii="Garamond" w:hAnsi="Garamond"/>
          <w:sz w:val="24"/>
          <w:highlight w:val="none"/>
        </w:rPr>
      </w:pPr>
    </w:p>
    <w:p>
      <w:pPr>
        <w:ind w:firstLine="480"/>
        <w:jc w:val="right"/>
        <w:rPr>
          <w:rFonts w:ascii="Garamond" w:hAnsi="Garamond"/>
          <w:sz w:val="24"/>
          <w:highlight w:val="none"/>
        </w:rPr>
      </w:pPr>
    </w:p>
    <w:p>
      <w:pPr>
        <w:ind w:firstLine="480"/>
        <w:jc w:val="right"/>
        <w:rPr>
          <w:rFonts w:ascii="Garamond" w:hAnsi="Garamond"/>
          <w:sz w:val="24"/>
          <w:highlight w:val="none"/>
        </w:rPr>
      </w:pPr>
    </w:p>
    <w:p>
      <w:pPr>
        <w:ind w:firstLine="480"/>
        <w:jc w:val="right"/>
        <w:rPr>
          <w:rFonts w:ascii="Garamond" w:hAnsi="Garamond"/>
          <w:sz w:val="24"/>
          <w:highlight w:val="none"/>
        </w:rPr>
      </w:pPr>
    </w:p>
    <w:p>
      <w:pPr>
        <w:ind w:firstLine="480"/>
        <w:jc w:val="right"/>
        <w:rPr>
          <w:rFonts w:ascii="Garamond" w:hAnsi="Garamond"/>
          <w:sz w:val="24"/>
          <w:highlight w:val="none"/>
        </w:rPr>
      </w:pPr>
    </w:p>
    <w:p>
      <w:pPr>
        <w:ind w:firstLine="480"/>
        <w:jc w:val="right"/>
        <w:rPr>
          <w:rFonts w:ascii="Garamond" w:hAnsi="Garamond"/>
          <w:sz w:val="24"/>
          <w:highlight w:val="none"/>
        </w:rPr>
      </w:pPr>
    </w:p>
    <w:p>
      <w:pPr>
        <w:ind w:firstLine="480"/>
        <w:jc w:val="right"/>
        <w:rPr>
          <w:rFonts w:ascii="Garamond" w:hAnsi="Garamond"/>
          <w:sz w:val="24"/>
          <w:highlight w:val="none"/>
        </w:rPr>
      </w:pPr>
    </w:p>
    <w:p>
      <w:pPr>
        <w:ind w:firstLine="480"/>
        <w:jc w:val="right"/>
        <w:rPr>
          <w:rFonts w:ascii="Garamond" w:hAnsi="Garamond"/>
          <w:sz w:val="24"/>
          <w:highlight w:val="none"/>
        </w:rPr>
      </w:pPr>
    </w:p>
    <w:p>
      <w:pPr>
        <w:ind w:firstLine="480"/>
        <w:jc w:val="right"/>
        <w:rPr>
          <w:rFonts w:ascii="Garamond" w:hAnsi="Garamond"/>
          <w:sz w:val="24"/>
          <w:highlight w:val="none"/>
        </w:rPr>
      </w:pPr>
    </w:p>
    <w:p>
      <w:pPr>
        <w:ind w:firstLine="480"/>
        <w:jc w:val="right"/>
        <w:rPr>
          <w:rFonts w:ascii="Garamond" w:hAnsi="Garamond"/>
          <w:sz w:val="24"/>
          <w:highlight w:val="none"/>
        </w:rPr>
      </w:pPr>
    </w:p>
    <w:p>
      <w:pPr>
        <w:ind w:firstLine="480"/>
        <w:jc w:val="right"/>
        <w:rPr>
          <w:rFonts w:ascii="Garamond" w:hAnsi="Garamond"/>
          <w:sz w:val="24"/>
          <w:highlight w:val="none"/>
        </w:rPr>
      </w:pPr>
    </w:p>
    <w:p>
      <w:pPr>
        <w:ind w:firstLine="480"/>
        <w:jc w:val="right"/>
        <w:rPr>
          <w:rFonts w:ascii="Garamond" w:hAnsi="Garamond"/>
          <w:sz w:val="24"/>
          <w:highlight w:val="none"/>
        </w:rPr>
      </w:pPr>
    </w:p>
    <w:p>
      <w:pPr>
        <w:ind w:firstLine="480"/>
        <w:jc w:val="right"/>
        <w:rPr>
          <w:rFonts w:ascii="Garamond" w:hAnsi="Garamond"/>
          <w:sz w:val="24"/>
          <w:highlight w:val="none"/>
        </w:rPr>
      </w:pPr>
    </w:p>
    <w:p>
      <w:pPr>
        <w:ind w:firstLine="480"/>
        <w:jc w:val="right"/>
        <w:rPr>
          <w:rFonts w:ascii="Garamond" w:hAnsi="Garamond"/>
          <w:sz w:val="24"/>
          <w:highlight w:val="none"/>
        </w:rPr>
      </w:pPr>
    </w:p>
    <w:p>
      <w:pPr>
        <w:ind w:firstLine="480"/>
        <w:jc w:val="right"/>
        <w:rPr>
          <w:rFonts w:ascii="Garamond" w:hAnsi="Garamond"/>
          <w:sz w:val="24"/>
          <w:highlight w:val="none"/>
        </w:rPr>
      </w:pPr>
    </w:p>
    <w:p>
      <w:pPr>
        <w:ind w:firstLine="480"/>
        <w:jc w:val="right"/>
        <w:rPr>
          <w:rFonts w:ascii="Garamond" w:hAnsi="Garamond"/>
          <w:sz w:val="24"/>
          <w:highlight w:val="none"/>
        </w:rPr>
      </w:pPr>
    </w:p>
    <w:p>
      <w:pPr>
        <w:jc w:val="center"/>
        <w:rPr>
          <w:rFonts w:ascii="Garamond" w:hAnsi="Garamond"/>
          <w:b/>
          <w:sz w:val="32"/>
          <w:szCs w:val="32"/>
          <w:highlight w:val="none"/>
        </w:rPr>
        <w:sectPr>
          <w:pgSz w:w="11906" w:h="16838"/>
          <w:pgMar w:top="1417" w:right="1247" w:bottom="1417" w:left="1417" w:header="851" w:footer="680" w:gutter="0"/>
          <w:cols w:space="0" w:num="1"/>
          <w:docGrid w:linePitch="312" w:charSpace="0"/>
        </w:sectPr>
      </w:pPr>
    </w:p>
    <w:p>
      <w:pPr>
        <w:jc w:val="center"/>
        <w:rPr>
          <w:rFonts w:ascii="Garamond" w:hAnsi="Garamond"/>
          <w:b/>
          <w:sz w:val="32"/>
          <w:szCs w:val="32"/>
          <w:highlight w:val="none"/>
        </w:rPr>
      </w:pPr>
      <w:r>
        <w:rPr>
          <w:rFonts w:ascii="Garamond" w:hAnsi="Garamond"/>
          <w:b/>
          <w:sz w:val="32"/>
          <w:szCs w:val="32"/>
          <w:highlight w:val="none"/>
        </w:rPr>
        <w:t>第三章  评标办法（综合评估法）</w:t>
      </w:r>
    </w:p>
    <w:p>
      <w:pPr>
        <w:pStyle w:val="117"/>
        <w:spacing w:before="120" w:after="120" w:afterLines="50"/>
        <w:jc w:val="center"/>
        <w:rPr>
          <w:rFonts w:ascii="Garamond" w:hAnsi="Garamond" w:eastAsia="宋体" w:cs="Times New Roman"/>
          <w:b/>
          <w:highlight w:val="none"/>
        </w:rPr>
      </w:pPr>
      <w:r>
        <w:rPr>
          <w:rFonts w:ascii="Garamond" w:hAnsi="Garamond" w:eastAsia="宋体" w:cs="Times New Roman"/>
          <w:b/>
          <w:highlight w:val="none"/>
        </w:rPr>
        <w:t>评标办法前附表</w:t>
      </w:r>
    </w:p>
    <w:tbl>
      <w:tblPr>
        <w:tblStyle w:val="4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4"/>
        <w:gridCol w:w="1311"/>
        <w:gridCol w:w="71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trPr>
        <w:tc>
          <w:tcPr>
            <w:tcW w:w="1955" w:type="dxa"/>
            <w:gridSpan w:val="2"/>
            <w:vAlign w:val="center"/>
          </w:tcPr>
          <w:p>
            <w:pPr>
              <w:adjustRightInd w:val="0"/>
              <w:jc w:val="center"/>
              <w:textAlignment w:val="baseline"/>
              <w:rPr>
                <w:rFonts w:ascii="宋体" w:hAnsi="宋体" w:cs="宋体"/>
                <w:b/>
                <w:sz w:val="24"/>
                <w:highlight w:val="none"/>
              </w:rPr>
            </w:pPr>
            <w:r>
              <w:rPr>
                <w:rFonts w:hint="eastAsia" w:ascii="宋体" w:hAnsi="宋体" w:cs="宋体"/>
                <w:b/>
                <w:sz w:val="24"/>
                <w:highlight w:val="none"/>
              </w:rPr>
              <w:t>条款号</w:t>
            </w:r>
          </w:p>
        </w:tc>
        <w:tc>
          <w:tcPr>
            <w:tcW w:w="7157" w:type="dxa"/>
            <w:vAlign w:val="center"/>
          </w:tcPr>
          <w:p>
            <w:pPr>
              <w:adjustRightInd w:val="0"/>
              <w:jc w:val="center"/>
              <w:textAlignment w:val="baseline"/>
              <w:rPr>
                <w:rFonts w:ascii="宋体" w:hAnsi="宋体" w:cs="宋体"/>
                <w:b/>
                <w:sz w:val="24"/>
                <w:highlight w:val="none"/>
              </w:rPr>
            </w:pPr>
            <w:r>
              <w:rPr>
                <w:rFonts w:hint="eastAsia" w:ascii="宋体" w:hAnsi="宋体" w:cs="宋体"/>
                <w:b/>
                <w:sz w:val="24"/>
                <w:highlight w:val="none"/>
              </w:rPr>
              <w:t>评审因素与评审标准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44" w:type="dxa"/>
            <w:vAlign w:val="center"/>
          </w:tcPr>
          <w:p>
            <w:pPr>
              <w:jc w:val="center"/>
              <w:textAlignment w:val="baseline"/>
              <w:rPr>
                <w:rFonts w:ascii="宋体" w:hAnsi="宋体" w:cs="宋体"/>
                <w:b/>
                <w:szCs w:val="21"/>
                <w:highlight w:val="none"/>
              </w:rPr>
            </w:pPr>
            <w:r>
              <w:rPr>
                <w:rFonts w:hint="eastAsia" w:ascii="宋体" w:hAnsi="宋体" w:cs="宋体"/>
                <w:b/>
                <w:szCs w:val="21"/>
                <w:highlight w:val="none"/>
              </w:rPr>
              <w:t>1</w:t>
            </w:r>
          </w:p>
        </w:tc>
        <w:tc>
          <w:tcPr>
            <w:tcW w:w="1311" w:type="dxa"/>
            <w:vAlign w:val="center"/>
          </w:tcPr>
          <w:p>
            <w:pPr>
              <w:jc w:val="center"/>
              <w:textAlignment w:val="baseline"/>
              <w:rPr>
                <w:rFonts w:ascii="宋体" w:hAnsi="宋体" w:cs="宋体"/>
                <w:b/>
                <w:szCs w:val="21"/>
                <w:highlight w:val="none"/>
              </w:rPr>
            </w:pPr>
            <w:r>
              <w:rPr>
                <w:rFonts w:hint="eastAsia" w:ascii="宋体" w:hAnsi="宋体" w:cs="宋体"/>
                <w:b/>
                <w:szCs w:val="21"/>
                <w:highlight w:val="none"/>
              </w:rPr>
              <w:t>评标办法</w:t>
            </w:r>
          </w:p>
        </w:tc>
        <w:tc>
          <w:tcPr>
            <w:tcW w:w="7157" w:type="dxa"/>
          </w:tcPr>
          <w:p>
            <w:pPr>
              <w:adjustRightInd w:val="0"/>
              <w:ind w:left="105" w:leftChars="50"/>
              <w:textAlignment w:val="baseline"/>
              <w:rPr>
                <w:rFonts w:ascii="宋体" w:hAnsi="宋体" w:cs="宋体"/>
                <w:b/>
                <w:bCs/>
                <w:szCs w:val="21"/>
                <w:highlight w:val="none"/>
              </w:rPr>
            </w:pPr>
            <w:r>
              <w:rPr>
                <w:rFonts w:hint="eastAsia" w:ascii="宋体" w:hAnsi="宋体" w:cs="宋体"/>
                <w:b/>
                <w:bCs/>
                <w:szCs w:val="21"/>
                <w:highlight w:val="none"/>
              </w:rPr>
              <w:t>本次评标采用综合评估法。根据本章“1.评标方法”的规定明确综合得分相等时，评标委员会依次按照以下优先顺序推荐中标候选人：</w:t>
            </w:r>
          </w:p>
          <w:p>
            <w:pPr>
              <w:adjustRightInd w:val="0"/>
              <w:textAlignment w:val="baseline"/>
              <w:rPr>
                <w:rFonts w:ascii="宋体" w:hAnsi="宋体" w:cs="宋体"/>
                <w:b/>
                <w:bCs/>
                <w:szCs w:val="21"/>
                <w:highlight w:val="none"/>
              </w:rPr>
            </w:pPr>
            <w:r>
              <w:rPr>
                <w:rFonts w:hint="eastAsia" w:ascii="宋体" w:hAnsi="宋体" w:cs="宋体"/>
                <w:b/>
                <w:bCs/>
                <w:szCs w:val="21"/>
                <w:highlight w:val="none"/>
              </w:rPr>
              <w:t>（1）评标价低的投标人优先；</w:t>
            </w:r>
          </w:p>
          <w:p>
            <w:pPr>
              <w:adjustRightInd w:val="0"/>
              <w:textAlignment w:val="baseline"/>
              <w:rPr>
                <w:rFonts w:ascii="宋体" w:hAnsi="宋体" w:cs="宋体"/>
                <w:b/>
                <w:bCs/>
                <w:szCs w:val="21"/>
                <w:highlight w:val="none"/>
              </w:rPr>
            </w:pPr>
            <w:r>
              <w:rPr>
                <w:rFonts w:hint="eastAsia" w:ascii="宋体" w:hAnsi="宋体" w:cs="宋体"/>
                <w:b/>
                <w:bCs/>
                <w:szCs w:val="21"/>
                <w:highlight w:val="none"/>
              </w:rPr>
              <w:t>（2）被招标项目所在地省级交通运输主管部门列入守信激励主体对象名单（红名单）的投标人优先；</w:t>
            </w:r>
          </w:p>
          <w:p>
            <w:pPr>
              <w:adjustRightInd w:val="0"/>
              <w:textAlignment w:val="baseline"/>
              <w:rPr>
                <w:rFonts w:ascii="宋体" w:hAnsi="宋体" w:cs="宋体"/>
                <w:b/>
                <w:bCs/>
                <w:szCs w:val="21"/>
                <w:highlight w:val="none"/>
              </w:rPr>
            </w:pPr>
            <w:r>
              <w:rPr>
                <w:rFonts w:hint="eastAsia" w:ascii="宋体" w:hAnsi="宋体" w:cs="宋体"/>
                <w:b/>
                <w:bCs/>
                <w:szCs w:val="21"/>
                <w:highlight w:val="none"/>
              </w:rPr>
              <w:t>（3）</w:t>
            </w:r>
            <w:r>
              <w:rPr>
                <w:rFonts w:hint="eastAsia" w:ascii="宋体" w:hAnsi="宋体" w:cs="宋体"/>
                <w:b/>
                <w:szCs w:val="21"/>
                <w:highlight w:val="none"/>
              </w:rPr>
              <w:t>被招标项目所在地省级交通运输主管部门信用评价等级较高的投标人优先</w:t>
            </w:r>
            <w:r>
              <w:rPr>
                <w:rFonts w:hint="eastAsia" w:ascii="宋体" w:hAnsi="宋体" w:cs="宋体"/>
                <w:b/>
                <w:bCs/>
                <w:szCs w:val="21"/>
                <w:highlight w:val="none"/>
              </w:rPr>
              <w:t>；</w:t>
            </w:r>
          </w:p>
          <w:p>
            <w:pPr>
              <w:adjustRightInd w:val="0"/>
              <w:textAlignment w:val="baseline"/>
              <w:rPr>
                <w:rFonts w:ascii="宋体" w:hAnsi="宋体" w:cs="宋体"/>
                <w:b/>
                <w:bCs/>
                <w:szCs w:val="21"/>
                <w:highlight w:val="none"/>
              </w:rPr>
            </w:pPr>
            <w:r>
              <w:rPr>
                <w:rFonts w:hint="eastAsia" w:ascii="宋体" w:hAnsi="宋体" w:cs="宋体"/>
                <w:b/>
                <w:bCs/>
                <w:szCs w:val="21"/>
                <w:highlight w:val="none"/>
              </w:rPr>
              <w:t>（4）第一信封（商务及技术文件）得分较高的投标人优先；</w:t>
            </w:r>
          </w:p>
          <w:p>
            <w:pPr>
              <w:adjustRightInd w:val="0"/>
              <w:textAlignment w:val="baseline"/>
              <w:rPr>
                <w:rFonts w:ascii="宋体" w:hAnsi="宋体" w:cs="宋体"/>
                <w:b/>
                <w:bCs/>
                <w:szCs w:val="21"/>
                <w:highlight w:val="none"/>
              </w:rPr>
            </w:pPr>
            <w:r>
              <w:rPr>
                <w:rFonts w:hint="eastAsia" w:ascii="宋体" w:hAnsi="宋体" w:cs="宋体"/>
                <w:b/>
                <w:bCs/>
                <w:szCs w:val="21"/>
                <w:highlight w:val="none"/>
              </w:rPr>
              <w:t>（5）</w:t>
            </w:r>
            <w:r>
              <w:rPr>
                <w:rFonts w:hint="eastAsia" w:ascii="宋体" w:hAnsi="宋体" w:cs="宋体"/>
                <w:b/>
                <w:szCs w:val="21"/>
                <w:highlight w:val="none"/>
              </w:rPr>
              <w:t>第一信封“检测实施方案”得分较高的投标人优先；</w:t>
            </w:r>
          </w:p>
          <w:p>
            <w:pPr>
              <w:adjustRightInd w:val="0"/>
              <w:textAlignment w:val="baseline"/>
              <w:rPr>
                <w:rFonts w:ascii="宋体" w:hAnsi="宋体" w:cs="宋体"/>
                <w:b/>
                <w:bCs/>
                <w:szCs w:val="21"/>
                <w:highlight w:val="none"/>
              </w:rPr>
            </w:pPr>
            <w:r>
              <w:rPr>
                <w:rFonts w:hint="eastAsia" w:ascii="宋体" w:hAnsi="宋体" w:cs="宋体"/>
                <w:b/>
                <w:bCs/>
                <w:szCs w:val="21"/>
                <w:highlight w:val="none"/>
              </w:rPr>
              <w:t>（6）评标委员会全体成员记名票决确定中标候选人。</w:t>
            </w:r>
          </w:p>
          <w:p>
            <w:pPr>
              <w:adjustRightInd w:val="0"/>
              <w:textAlignment w:val="baseline"/>
              <w:rPr>
                <w:rFonts w:ascii="宋体" w:hAnsi="宋体" w:cs="宋体"/>
                <w:b/>
                <w:bCs/>
                <w:szCs w:val="21"/>
                <w:highlight w:val="none"/>
              </w:rPr>
            </w:pPr>
            <w:r>
              <w:rPr>
                <w:rFonts w:hint="eastAsia" w:ascii="宋体" w:hAnsi="宋体" w:cs="宋体"/>
                <w:b/>
                <w:bCs/>
                <w:szCs w:val="21"/>
                <w:highlight w:val="none"/>
              </w:rPr>
              <w:t>红名单、江苏省交通运输主管部门信用评价分值均以投标文件递交截止日当天的查询结果为准。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44" w:type="dxa"/>
            <w:vMerge w:val="restart"/>
            <w:vAlign w:val="center"/>
          </w:tcPr>
          <w:p>
            <w:pPr>
              <w:jc w:val="center"/>
              <w:textAlignment w:val="baseline"/>
              <w:rPr>
                <w:rFonts w:ascii="宋体" w:hAnsi="宋体" w:cs="宋体"/>
                <w:b/>
                <w:szCs w:val="21"/>
                <w:highlight w:val="none"/>
              </w:rPr>
            </w:pPr>
            <w:r>
              <w:rPr>
                <w:rFonts w:hint="eastAsia" w:ascii="宋体" w:hAnsi="宋体" w:cs="宋体"/>
                <w:b/>
                <w:szCs w:val="21"/>
                <w:highlight w:val="none"/>
              </w:rPr>
              <w:t>2.1.1</w:t>
            </w:r>
          </w:p>
          <w:p>
            <w:pPr>
              <w:jc w:val="center"/>
              <w:textAlignment w:val="baseline"/>
              <w:rPr>
                <w:rFonts w:ascii="宋体" w:hAnsi="宋体" w:cs="宋体"/>
                <w:b/>
                <w:szCs w:val="21"/>
                <w:highlight w:val="none"/>
              </w:rPr>
            </w:pPr>
            <w:r>
              <w:rPr>
                <w:rFonts w:hint="eastAsia" w:ascii="宋体" w:hAnsi="宋体" w:cs="宋体"/>
                <w:b/>
                <w:szCs w:val="21"/>
                <w:highlight w:val="none"/>
              </w:rPr>
              <w:t>2.1.3</w:t>
            </w:r>
          </w:p>
        </w:tc>
        <w:tc>
          <w:tcPr>
            <w:tcW w:w="1311" w:type="dxa"/>
            <w:vAlign w:val="center"/>
          </w:tcPr>
          <w:p>
            <w:pPr>
              <w:jc w:val="center"/>
              <w:textAlignment w:val="baseline"/>
              <w:rPr>
                <w:rFonts w:ascii="宋体" w:hAnsi="宋体" w:cs="宋体"/>
                <w:b/>
                <w:szCs w:val="21"/>
                <w:highlight w:val="none"/>
              </w:rPr>
            </w:pPr>
            <w:r>
              <w:rPr>
                <w:rFonts w:hint="eastAsia" w:ascii="宋体" w:hAnsi="宋体" w:cs="宋体"/>
                <w:b/>
                <w:szCs w:val="21"/>
                <w:highlight w:val="none"/>
              </w:rPr>
              <w:t>形式与响应性评审标准（第一个信封）</w:t>
            </w:r>
          </w:p>
        </w:tc>
        <w:tc>
          <w:tcPr>
            <w:tcW w:w="7157" w:type="dxa"/>
          </w:tcPr>
          <w:p>
            <w:pPr>
              <w:adjustRightInd w:val="0"/>
              <w:ind w:left="105" w:leftChars="50"/>
              <w:textAlignment w:val="baseline"/>
              <w:rPr>
                <w:rFonts w:ascii="宋体" w:hAnsi="宋体" w:cs="宋体"/>
                <w:b/>
                <w:bCs/>
                <w:szCs w:val="21"/>
                <w:highlight w:val="none"/>
              </w:rPr>
            </w:pPr>
            <w:r>
              <w:rPr>
                <w:rFonts w:hint="eastAsia" w:ascii="宋体" w:hAnsi="宋体" w:cs="宋体"/>
                <w:b/>
                <w:bCs/>
                <w:szCs w:val="21"/>
                <w:highlight w:val="none"/>
              </w:rPr>
              <w:t>（1）投标文件按照招标文件规定的格式、内容填写，字迹清晰可辨：</w:t>
            </w:r>
          </w:p>
          <w:p>
            <w:pPr>
              <w:adjustRightInd w:val="0"/>
              <w:ind w:left="105" w:leftChars="50"/>
              <w:textAlignment w:val="baseline"/>
              <w:rPr>
                <w:rFonts w:ascii="宋体" w:hAnsi="宋体" w:cs="宋体"/>
                <w:b/>
                <w:bCs/>
                <w:szCs w:val="21"/>
                <w:highlight w:val="none"/>
              </w:rPr>
            </w:pPr>
            <w:r>
              <w:rPr>
                <w:rFonts w:hint="eastAsia" w:ascii="宋体" w:hAnsi="宋体" w:cs="宋体"/>
                <w:b/>
                <w:bCs/>
                <w:szCs w:val="21"/>
                <w:highlight w:val="none"/>
              </w:rPr>
              <w:t>a、投标函按招标文件规定填报了项目名称、标段号、补遗书编号（如有）；</w:t>
            </w:r>
          </w:p>
          <w:p>
            <w:pPr>
              <w:adjustRightInd w:val="0"/>
              <w:ind w:left="105" w:leftChars="50"/>
              <w:textAlignment w:val="baseline"/>
              <w:rPr>
                <w:rFonts w:ascii="宋体" w:hAnsi="宋体" w:cs="宋体"/>
                <w:b/>
                <w:bCs/>
                <w:szCs w:val="21"/>
                <w:highlight w:val="none"/>
              </w:rPr>
            </w:pPr>
            <w:r>
              <w:rPr>
                <w:rFonts w:hint="eastAsia" w:ascii="宋体" w:hAnsi="宋体" w:cs="宋体"/>
                <w:b/>
                <w:bCs/>
                <w:szCs w:val="21"/>
                <w:highlight w:val="none"/>
              </w:rPr>
              <w:t>b、投标函附录的所有数据均符合招标文件规定；</w:t>
            </w:r>
          </w:p>
          <w:p>
            <w:pPr>
              <w:adjustRightInd w:val="0"/>
              <w:ind w:left="105" w:leftChars="50"/>
              <w:textAlignment w:val="baseline"/>
              <w:rPr>
                <w:rFonts w:ascii="宋体" w:hAnsi="宋体" w:cs="宋体"/>
                <w:b/>
                <w:bCs/>
                <w:szCs w:val="21"/>
                <w:highlight w:val="none"/>
              </w:rPr>
            </w:pPr>
            <w:r>
              <w:rPr>
                <w:rFonts w:hint="eastAsia" w:ascii="宋体" w:hAnsi="宋体" w:cs="宋体"/>
                <w:b/>
                <w:bCs/>
                <w:szCs w:val="21"/>
                <w:highlight w:val="none"/>
              </w:rPr>
              <w:t>c、投标文件组成齐全完整，内容均按规定填写。</w:t>
            </w:r>
          </w:p>
          <w:p>
            <w:pPr>
              <w:adjustRightInd w:val="0"/>
              <w:ind w:left="105" w:leftChars="50"/>
              <w:textAlignment w:val="baseline"/>
              <w:rPr>
                <w:rFonts w:ascii="宋体" w:hAnsi="宋体" w:cs="宋体"/>
                <w:b/>
                <w:bCs/>
                <w:szCs w:val="21"/>
                <w:highlight w:val="none"/>
              </w:rPr>
            </w:pPr>
            <w:r>
              <w:rPr>
                <w:rFonts w:hint="eastAsia" w:ascii="宋体" w:hAnsi="宋体" w:cs="宋体"/>
                <w:b/>
                <w:bCs/>
                <w:szCs w:val="21"/>
                <w:highlight w:val="none"/>
              </w:rPr>
              <w:t>（2）投标文件上法定代表人或其委托代理人的签字</w:t>
            </w:r>
            <w:r>
              <w:rPr>
                <w:rFonts w:hint="eastAsia" w:ascii="宋体" w:hAnsi="宋体" w:cs="宋体"/>
                <w:b/>
                <w:bCs/>
                <w:szCs w:val="21"/>
                <w:highlight w:val="none"/>
                <w:lang w:val="en-US" w:eastAsia="zh-CN"/>
              </w:rPr>
              <w:t>或签章</w:t>
            </w:r>
            <w:r>
              <w:rPr>
                <w:rFonts w:hint="eastAsia" w:ascii="宋体" w:hAnsi="宋体" w:cs="宋体"/>
                <w:b/>
                <w:bCs/>
                <w:szCs w:val="21"/>
                <w:highlight w:val="none"/>
              </w:rPr>
              <w:t>、投标人的单位章盖章齐全，符合招标文件规定：</w:t>
            </w:r>
          </w:p>
          <w:p>
            <w:pPr>
              <w:adjustRightInd w:val="0"/>
              <w:ind w:left="105" w:leftChars="50"/>
              <w:textAlignment w:val="baseline"/>
              <w:rPr>
                <w:rFonts w:ascii="宋体" w:hAnsi="宋体" w:cs="宋体"/>
                <w:b/>
                <w:bCs/>
                <w:szCs w:val="21"/>
                <w:highlight w:val="none"/>
              </w:rPr>
            </w:pPr>
            <w:r>
              <w:rPr>
                <w:rFonts w:hint="eastAsia" w:ascii="宋体" w:hAnsi="宋体" w:cs="宋体"/>
                <w:b/>
                <w:bCs/>
                <w:szCs w:val="21"/>
                <w:highlight w:val="none"/>
              </w:rPr>
              <w:t>投标函及投标函附录、承诺函的内容，应由投标人的法定代表人或其委托代理人逐页签署姓名（本页正文内容已由投标人的法定代表人或其委托代理人签署姓名的可不签署）并逐页加盖投标人单位章（本页正文内容已加盖单位章的除外）。</w:t>
            </w:r>
          </w:p>
          <w:p>
            <w:pPr>
              <w:adjustRightInd w:val="0"/>
              <w:ind w:left="105" w:leftChars="50"/>
              <w:textAlignment w:val="baseline"/>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（3）投标人法定代表人授权委托代理人签署投标文件的，须提交授权委托书，且授权人和被授权人均在授权委托书上签名（或签章），并符合招标文件要求。</w:t>
            </w:r>
          </w:p>
          <w:p>
            <w:pPr>
              <w:adjustRightInd w:val="0"/>
              <w:ind w:left="105" w:leftChars="50"/>
              <w:textAlignment w:val="baseline"/>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（4）投标人法定代表人亲自签署投标文件的，提供了法定代表人身份证明，且法定代表人在法定代表人身份证明上签名（或签章），并符合招标文件要求。</w:t>
            </w:r>
          </w:p>
          <w:p>
            <w:pPr>
              <w:adjustRightInd w:val="0"/>
              <w:ind w:left="105" w:leftChars="50"/>
              <w:textAlignment w:val="baseline"/>
              <w:rPr>
                <w:rFonts w:ascii="宋体" w:hAnsi="宋体" w:cs="宋体"/>
                <w:b/>
                <w:bCs/>
                <w:szCs w:val="21"/>
                <w:highlight w:val="none"/>
              </w:rPr>
            </w:pPr>
            <w:r>
              <w:rPr>
                <w:rFonts w:hint="eastAsia" w:ascii="宋体" w:hAnsi="宋体" w:cs="宋体"/>
                <w:b/>
                <w:bCs/>
                <w:szCs w:val="21"/>
                <w:highlight w:val="none"/>
              </w:rPr>
              <w:t>（5）投标人未以联合体形式投标，</w:t>
            </w:r>
            <w:r>
              <w:rPr>
                <w:rFonts w:hint="eastAsia" w:ascii="宋体" w:hAnsi="宋体" w:cs="宋体"/>
                <w:b/>
                <w:bCs/>
                <w:color w:val="000000" w:themeColor="text1"/>
                <w:szCs w:val="21"/>
                <w:highlight w:val="none"/>
                <w14:textFill>
                  <w14:solidFill>
                    <w14:schemeClr w14:val="tx1"/>
                  </w14:solidFill>
                </w14:textFill>
              </w:rPr>
              <w:t>无分包计划。</w:t>
            </w:r>
          </w:p>
          <w:p>
            <w:pPr>
              <w:adjustRightInd w:val="0"/>
              <w:ind w:left="105" w:leftChars="50"/>
              <w:textAlignment w:val="baseline"/>
              <w:rPr>
                <w:rFonts w:ascii="宋体" w:hAnsi="宋体" w:cs="宋体"/>
                <w:b/>
                <w:bCs/>
                <w:szCs w:val="21"/>
                <w:highlight w:val="none"/>
              </w:rPr>
            </w:pPr>
            <w:r>
              <w:rPr>
                <w:rFonts w:hint="eastAsia" w:ascii="宋体" w:hAnsi="宋体" w:cs="宋体"/>
                <w:b/>
                <w:bCs/>
                <w:szCs w:val="21"/>
                <w:highlight w:val="none"/>
              </w:rPr>
              <w:t>（6）投标文件未附有招标文件规定范围内的招标人不能接受的条件。</w:t>
            </w:r>
          </w:p>
          <w:p>
            <w:pPr>
              <w:adjustRightInd w:val="0"/>
              <w:ind w:left="105" w:leftChars="50"/>
              <w:textAlignment w:val="baseline"/>
              <w:rPr>
                <w:rFonts w:ascii="宋体" w:hAnsi="宋体" w:cs="宋体"/>
                <w:b/>
                <w:bCs/>
                <w:szCs w:val="21"/>
                <w:highlight w:val="none"/>
              </w:rPr>
            </w:pPr>
            <w:r>
              <w:rPr>
                <w:rFonts w:hint="eastAsia" w:ascii="宋体" w:hAnsi="宋体" w:cs="宋体"/>
                <w:b/>
                <w:bCs/>
                <w:szCs w:val="21"/>
                <w:highlight w:val="none"/>
              </w:rPr>
              <w:t>（7）投标人按照招标文件规定的金额、形式、时效和内容提供了投标保证金。</w:t>
            </w:r>
          </w:p>
          <w:p>
            <w:pPr>
              <w:adjustRightInd w:val="0"/>
              <w:ind w:left="105" w:leftChars="50"/>
              <w:textAlignment w:val="baseline"/>
              <w:rPr>
                <w:rFonts w:ascii="宋体" w:hAnsi="宋体" w:cs="宋体"/>
                <w:b/>
                <w:bCs/>
                <w:szCs w:val="21"/>
                <w:highlight w:val="none"/>
              </w:rPr>
            </w:pPr>
            <w:r>
              <w:rPr>
                <w:rFonts w:hint="eastAsia" w:ascii="宋体" w:hAnsi="宋体" w:cs="宋体"/>
                <w:b/>
                <w:bCs/>
                <w:szCs w:val="21"/>
                <w:highlight w:val="none"/>
              </w:rPr>
              <w:t>（8）投标文件第一个信封未出现有关投标报价的内容。</w:t>
            </w:r>
          </w:p>
          <w:p>
            <w:pPr>
              <w:adjustRightInd w:val="0"/>
              <w:ind w:left="105" w:leftChars="50"/>
              <w:textAlignment w:val="baseline"/>
              <w:rPr>
                <w:rFonts w:ascii="宋体" w:hAnsi="宋体" w:cs="宋体"/>
                <w:b/>
                <w:bCs/>
                <w:szCs w:val="21"/>
                <w:highlight w:val="none"/>
              </w:rPr>
            </w:pPr>
            <w:r>
              <w:rPr>
                <w:rFonts w:hint="eastAsia" w:ascii="宋体" w:hAnsi="宋体" w:cs="宋体"/>
                <w:b/>
                <w:bCs/>
                <w:szCs w:val="21"/>
                <w:highlight w:val="none"/>
              </w:rPr>
              <w:t>（9）投标文件载明的招标项目完成期限未超过招标文件规定的时限。</w:t>
            </w:r>
          </w:p>
          <w:p>
            <w:pPr>
              <w:adjustRightInd w:val="0"/>
              <w:ind w:left="105" w:leftChars="50"/>
              <w:textAlignment w:val="baseline"/>
              <w:rPr>
                <w:rFonts w:ascii="宋体" w:hAnsi="宋体" w:cs="宋体"/>
                <w:b/>
                <w:bCs/>
                <w:szCs w:val="21"/>
                <w:highlight w:val="none"/>
              </w:rPr>
            </w:pPr>
            <w:r>
              <w:rPr>
                <w:rFonts w:hint="eastAsia" w:ascii="宋体" w:hAnsi="宋体" w:cs="宋体"/>
                <w:b/>
                <w:bCs/>
                <w:szCs w:val="21"/>
                <w:highlight w:val="none"/>
              </w:rPr>
              <w:t>（10）权利义务符合招标文件规定：</w:t>
            </w:r>
          </w:p>
          <w:p>
            <w:pPr>
              <w:adjustRightInd w:val="0"/>
              <w:ind w:left="105" w:leftChars="50"/>
              <w:textAlignment w:val="baseline"/>
              <w:rPr>
                <w:rFonts w:ascii="宋体" w:hAnsi="宋体" w:cs="宋体"/>
                <w:b/>
                <w:bCs/>
                <w:szCs w:val="21"/>
                <w:highlight w:val="none"/>
              </w:rPr>
            </w:pPr>
            <w:r>
              <w:rPr>
                <w:rFonts w:hint="eastAsia" w:ascii="宋体" w:hAnsi="宋体" w:cs="宋体"/>
                <w:b/>
                <w:bCs/>
                <w:szCs w:val="21"/>
                <w:highlight w:val="none"/>
              </w:rPr>
              <w:t>a.投标人应接受招标文件规定的风险划分原则，未提出新的风险划分办法；</w:t>
            </w:r>
          </w:p>
          <w:p>
            <w:pPr>
              <w:adjustRightInd w:val="0"/>
              <w:ind w:left="105" w:leftChars="50"/>
              <w:textAlignment w:val="baseline"/>
              <w:rPr>
                <w:rFonts w:ascii="宋体" w:hAnsi="宋体" w:cs="宋体"/>
                <w:b/>
                <w:bCs/>
                <w:szCs w:val="21"/>
                <w:highlight w:val="none"/>
              </w:rPr>
            </w:pPr>
            <w:r>
              <w:rPr>
                <w:rFonts w:hint="eastAsia" w:ascii="宋体" w:hAnsi="宋体" w:cs="宋体"/>
                <w:b/>
                <w:bCs/>
                <w:szCs w:val="21"/>
                <w:highlight w:val="none"/>
              </w:rPr>
              <w:t>b.投标人未增加发包人的责任范围，或减少投标人义务；</w:t>
            </w:r>
          </w:p>
          <w:p>
            <w:pPr>
              <w:adjustRightInd w:val="0"/>
              <w:ind w:left="105" w:leftChars="50"/>
              <w:textAlignment w:val="baseline"/>
              <w:rPr>
                <w:rFonts w:ascii="宋体" w:hAnsi="宋体" w:cs="宋体"/>
                <w:b/>
                <w:bCs/>
                <w:szCs w:val="21"/>
                <w:highlight w:val="none"/>
              </w:rPr>
            </w:pPr>
            <w:r>
              <w:rPr>
                <w:rFonts w:hint="eastAsia" w:ascii="宋体" w:hAnsi="宋体" w:cs="宋体"/>
                <w:b/>
                <w:bCs/>
                <w:szCs w:val="21"/>
                <w:highlight w:val="none"/>
              </w:rPr>
              <w:t>c.投标人未提出不同的工程验收、计量、支付办法；</w:t>
            </w:r>
          </w:p>
          <w:p>
            <w:pPr>
              <w:adjustRightInd w:val="0"/>
              <w:ind w:left="105" w:leftChars="50"/>
              <w:textAlignment w:val="baseline"/>
              <w:rPr>
                <w:rFonts w:ascii="宋体" w:hAnsi="宋体" w:cs="宋体"/>
                <w:b/>
                <w:bCs/>
                <w:szCs w:val="21"/>
                <w:highlight w:val="none"/>
              </w:rPr>
            </w:pPr>
            <w:r>
              <w:rPr>
                <w:rFonts w:hint="eastAsia" w:ascii="宋体" w:hAnsi="宋体" w:cs="宋体"/>
                <w:b/>
                <w:bCs/>
                <w:szCs w:val="21"/>
                <w:highlight w:val="none"/>
              </w:rPr>
              <w:t>d.投标人对合同纠纷、事故处理办法未提出异议；</w:t>
            </w:r>
          </w:p>
          <w:p>
            <w:pPr>
              <w:adjustRightInd w:val="0"/>
              <w:ind w:left="105" w:leftChars="50"/>
              <w:textAlignment w:val="baseline"/>
              <w:rPr>
                <w:rFonts w:ascii="宋体" w:hAnsi="宋体" w:cs="宋体"/>
                <w:b/>
                <w:bCs/>
                <w:szCs w:val="21"/>
                <w:highlight w:val="none"/>
              </w:rPr>
            </w:pPr>
            <w:r>
              <w:rPr>
                <w:rFonts w:hint="eastAsia" w:ascii="宋体" w:hAnsi="宋体" w:cs="宋体"/>
                <w:b/>
                <w:bCs/>
                <w:szCs w:val="21"/>
                <w:highlight w:val="none"/>
              </w:rPr>
              <w:t>e.投标人在投标活动中无欺诈行为；</w:t>
            </w:r>
          </w:p>
          <w:p>
            <w:pPr>
              <w:adjustRightInd w:val="0"/>
              <w:ind w:left="105" w:leftChars="50"/>
              <w:textAlignment w:val="baseline"/>
              <w:rPr>
                <w:rFonts w:ascii="宋体" w:hAnsi="宋体" w:cs="宋体"/>
                <w:b/>
                <w:bCs/>
                <w:szCs w:val="21"/>
                <w:highlight w:val="none"/>
              </w:rPr>
            </w:pPr>
            <w:r>
              <w:rPr>
                <w:rFonts w:hint="eastAsia" w:ascii="宋体" w:hAnsi="宋体" w:cs="宋体"/>
                <w:b/>
                <w:bCs/>
                <w:szCs w:val="21"/>
                <w:highlight w:val="none"/>
              </w:rPr>
              <w:t>f.投标人未对合同条款有重要保留。</w:t>
            </w:r>
          </w:p>
          <w:p>
            <w:pPr>
              <w:adjustRightInd w:val="0"/>
              <w:ind w:left="105" w:leftChars="50"/>
              <w:textAlignment w:val="baseline"/>
              <w:rPr>
                <w:rFonts w:ascii="宋体" w:hAnsi="宋体" w:cs="宋体"/>
                <w:b/>
                <w:bCs/>
                <w:szCs w:val="21"/>
                <w:highlight w:val="none"/>
              </w:rPr>
            </w:pPr>
            <w:r>
              <w:rPr>
                <w:rFonts w:hint="eastAsia" w:ascii="宋体" w:hAnsi="宋体" w:cs="宋体"/>
                <w:b/>
                <w:bCs/>
                <w:szCs w:val="21"/>
                <w:highlight w:val="none"/>
              </w:rPr>
              <w:t>（11）投标文件正、副本份数符合招标文件第二章“投标人须知”第3.7.4项规定。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44" w:type="dxa"/>
            <w:vMerge w:val="continue"/>
            <w:vAlign w:val="center"/>
          </w:tcPr>
          <w:p>
            <w:pPr>
              <w:jc w:val="center"/>
              <w:textAlignment w:val="baseline"/>
              <w:rPr>
                <w:rFonts w:ascii="宋体" w:hAnsi="宋体" w:cs="宋体"/>
                <w:b/>
                <w:szCs w:val="21"/>
                <w:highlight w:val="none"/>
              </w:rPr>
            </w:pPr>
          </w:p>
        </w:tc>
        <w:tc>
          <w:tcPr>
            <w:tcW w:w="1311" w:type="dxa"/>
            <w:vAlign w:val="center"/>
          </w:tcPr>
          <w:p>
            <w:pPr>
              <w:jc w:val="center"/>
              <w:textAlignment w:val="baseline"/>
              <w:rPr>
                <w:rFonts w:ascii="宋体" w:hAnsi="宋体" w:cs="宋体"/>
                <w:b/>
                <w:szCs w:val="21"/>
                <w:highlight w:val="none"/>
              </w:rPr>
            </w:pPr>
            <w:r>
              <w:rPr>
                <w:rFonts w:hint="eastAsia" w:ascii="宋体" w:hAnsi="宋体" w:cs="宋体"/>
                <w:b/>
                <w:szCs w:val="21"/>
                <w:highlight w:val="none"/>
              </w:rPr>
              <w:t>形式与响应性评审标准（第二个信封）</w:t>
            </w:r>
          </w:p>
        </w:tc>
        <w:tc>
          <w:tcPr>
            <w:tcW w:w="7157" w:type="dxa"/>
          </w:tcPr>
          <w:p>
            <w:pPr>
              <w:ind w:left="105" w:leftChars="50"/>
              <w:rPr>
                <w:rFonts w:ascii="宋体" w:hAnsi="宋体" w:cs="宋体"/>
                <w:b/>
                <w:szCs w:val="21"/>
                <w:highlight w:val="none"/>
              </w:rPr>
            </w:pPr>
            <w:r>
              <w:rPr>
                <w:rFonts w:hint="eastAsia" w:ascii="宋体" w:hAnsi="宋体" w:cs="宋体"/>
                <w:b/>
                <w:szCs w:val="21"/>
                <w:highlight w:val="none"/>
              </w:rPr>
              <w:t>（1）投标文件按照招标文件规定的格式、内容填写，字迹清晰可辨，内容齐全完整：</w:t>
            </w:r>
          </w:p>
          <w:p>
            <w:pPr>
              <w:ind w:left="105" w:leftChars="50"/>
              <w:rPr>
                <w:rFonts w:ascii="宋体" w:hAnsi="宋体" w:cs="宋体"/>
                <w:b/>
                <w:szCs w:val="21"/>
                <w:highlight w:val="none"/>
              </w:rPr>
            </w:pPr>
            <w:r>
              <w:rPr>
                <w:rFonts w:hint="eastAsia" w:ascii="宋体" w:hAnsi="宋体" w:cs="宋体"/>
                <w:b/>
                <w:szCs w:val="21"/>
                <w:highlight w:val="none"/>
              </w:rPr>
              <w:t>a.投标函按招标文件规定填报了项目名称、标段号、补遗书编号（如有）、投标价（包括大写金额和小写金额）；</w:t>
            </w:r>
          </w:p>
          <w:p>
            <w:pPr>
              <w:ind w:left="105" w:leftChars="50"/>
              <w:rPr>
                <w:rFonts w:ascii="宋体" w:hAnsi="宋体" w:cs="宋体"/>
                <w:b/>
                <w:szCs w:val="21"/>
                <w:highlight w:val="none"/>
              </w:rPr>
            </w:pPr>
            <w:r>
              <w:rPr>
                <w:rFonts w:hint="eastAsia" w:ascii="宋体" w:hAnsi="宋体" w:cs="宋体"/>
                <w:b/>
                <w:szCs w:val="21"/>
                <w:highlight w:val="none"/>
              </w:rPr>
              <w:t>b.已标价</w:t>
            </w:r>
            <w:r>
              <w:rPr>
                <w:rFonts w:hint="eastAsia" w:ascii="宋体" w:hAnsi="宋体" w:cs="宋体"/>
                <w:b/>
                <w:szCs w:val="21"/>
                <w:highlight w:val="none"/>
                <w:lang w:val="en-US" w:eastAsia="zh-CN"/>
              </w:rPr>
              <w:t>工程量</w:t>
            </w:r>
            <w:r>
              <w:rPr>
                <w:rFonts w:hint="eastAsia" w:ascii="宋体" w:hAnsi="宋体" w:cs="宋体"/>
                <w:b/>
                <w:szCs w:val="21"/>
                <w:highlight w:val="none"/>
              </w:rPr>
              <w:t>清单说明文字</w:t>
            </w:r>
            <w:r>
              <w:rPr>
                <w:rFonts w:hint="eastAsia" w:ascii="宋体" w:hAnsi="宋体" w:cs="宋体"/>
                <w:b/>
                <w:szCs w:val="21"/>
                <w:highlight w:val="none"/>
                <w:lang w:eastAsia="zh-CN"/>
              </w:rPr>
              <w:t>（</w:t>
            </w:r>
            <w:r>
              <w:rPr>
                <w:rFonts w:hint="eastAsia" w:ascii="宋体" w:hAnsi="宋体" w:cs="宋体"/>
                <w:b/>
                <w:szCs w:val="21"/>
                <w:highlight w:val="none"/>
                <w:lang w:val="en-US" w:eastAsia="zh-CN"/>
              </w:rPr>
              <w:t>如有</w:t>
            </w:r>
            <w:r>
              <w:rPr>
                <w:rFonts w:hint="eastAsia" w:ascii="宋体" w:hAnsi="宋体" w:cs="宋体"/>
                <w:b/>
                <w:szCs w:val="21"/>
                <w:highlight w:val="none"/>
                <w:lang w:eastAsia="zh-CN"/>
              </w:rPr>
              <w:t>）</w:t>
            </w:r>
            <w:r>
              <w:rPr>
                <w:rFonts w:hint="eastAsia" w:ascii="宋体" w:hAnsi="宋体" w:cs="宋体"/>
                <w:b/>
                <w:szCs w:val="21"/>
                <w:highlight w:val="none"/>
              </w:rPr>
              <w:t>与招标文件规定一致，未进行实质性修改和删减；</w:t>
            </w:r>
          </w:p>
          <w:p>
            <w:pPr>
              <w:ind w:left="105" w:leftChars="50"/>
              <w:rPr>
                <w:rFonts w:ascii="宋体" w:hAnsi="宋体" w:cs="宋体"/>
                <w:b/>
                <w:szCs w:val="21"/>
                <w:highlight w:val="none"/>
              </w:rPr>
            </w:pPr>
            <w:r>
              <w:rPr>
                <w:rFonts w:hint="eastAsia" w:ascii="宋体" w:hAnsi="宋体" w:cs="宋体"/>
                <w:b/>
                <w:szCs w:val="21"/>
                <w:highlight w:val="none"/>
              </w:rPr>
              <w:t>c.投标文件组成齐全完整，内容均按规定填写。</w:t>
            </w:r>
          </w:p>
          <w:p>
            <w:pPr>
              <w:ind w:left="105" w:leftChars="50"/>
              <w:jc w:val="left"/>
              <w:rPr>
                <w:rFonts w:ascii="宋体" w:hAnsi="宋体" w:cs="宋体"/>
                <w:b/>
                <w:szCs w:val="21"/>
                <w:highlight w:val="none"/>
              </w:rPr>
            </w:pPr>
            <w:r>
              <w:rPr>
                <w:rFonts w:hint="eastAsia" w:ascii="宋体" w:hAnsi="宋体" w:cs="宋体"/>
                <w:b/>
                <w:szCs w:val="21"/>
                <w:highlight w:val="none"/>
              </w:rPr>
              <w:t>（2）投标文件上法定代表人或其委托代理人的签字、投标人的单位章盖章齐全，符合招标文件规定。</w:t>
            </w:r>
          </w:p>
          <w:p>
            <w:pPr>
              <w:ind w:left="105" w:leftChars="50"/>
              <w:rPr>
                <w:rFonts w:ascii="宋体" w:hAnsi="宋体" w:cs="宋体"/>
                <w:b/>
                <w:szCs w:val="21"/>
                <w:highlight w:val="none"/>
              </w:rPr>
            </w:pPr>
            <w:r>
              <w:rPr>
                <w:rFonts w:hint="eastAsia" w:ascii="宋体" w:hAnsi="宋体" w:cs="宋体"/>
                <w:b/>
                <w:szCs w:val="21"/>
                <w:highlight w:val="none"/>
              </w:rPr>
              <w:t>（3）投标报价未超过招标文件设定的最高投标限价（如有）。</w:t>
            </w:r>
          </w:p>
          <w:p>
            <w:pPr>
              <w:ind w:left="105" w:leftChars="50"/>
              <w:rPr>
                <w:rFonts w:ascii="宋体" w:hAnsi="宋体" w:cs="宋体"/>
                <w:b/>
                <w:szCs w:val="21"/>
                <w:highlight w:val="none"/>
              </w:rPr>
            </w:pPr>
            <w:r>
              <w:rPr>
                <w:rFonts w:hint="eastAsia" w:ascii="宋体" w:hAnsi="宋体" w:cs="宋体"/>
                <w:b/>
                <w:szCs w:val="21"/>
                <w:highlight w:val="none"/>
              </w:rPr>
              <w:t>（4）投标报价的大写金额能够确定具体数值。</w:t>
            </w:r>
          </w:p>
          <w:p>
            <w:pPr>
              <w:ind w:left="105" w:leftChars="50"/>
              <w:jc w:val="left"/>
              <w:rPr>
                <w:rFonts w:ascii="宋体" w:hAnsi="宋体" w:cs="宋体"/>
                <w:b/>
                <w:szCs w:val="21"/>
                <w:highlight w:val="none"/>
              </w:rPr>
            </w:pPr>
            <w:r>
              <w:rPr>
                <w:rFonts w:hint="eastAsia" w:ascii="宋体" w:hAnsi="宋体" w:cs="宋体"/>
                <w:b/>
                <w:szCs w:val="21"/>
                <w:highlight w:val="none"/>
              </w:rPr>
              <w:t>（5）同一投标人未提交两个以上不同的投标报价，但招标文件要求提交备选投标的除外。</w:t>
            </w:r>
          </w:p>
          <w:p>
            <w:pPr>
              <w:ind w:left="105" w:leftChars="50"/>
              <w:jc w:val="left"/>
              <w:rPr>
                <w:rFonts w:ascii="宋体" w:hAnsi="宋体" w:cs="宋体"/>
                <w:b/>
                <w:szCs w:val="21"/>
                <w:highlight w:val="none"/>
              </w:rPr>
            </w:pPr>
            <w:r>
              <w:rPr>
                <w:rFonts w:hint="eastAsia" w:ascii="宋体" w:hAnsi="宋体" w:cs="宋体"/>
                <w:b/>
                <w:szCs w:val="21"/>
                <w:highlight w:val="none"/>
              </w:rPr>
              <w:t>（6）投标文件正、副本份数符合招标文件第二章“投标人须知”第3.7.4项规定。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44" w:type="dxa"/>
            <w:vAlign w:val="center"/>
          </w:tcPr>
          <w:p>
            <w:pPr>
              <w:jc w:val="center"/>
              <w:textAlignment w:val="baseline"/>
              <w:rPr>
                <w:rFonts w:ascii="宋体" w:hAnsi="宋体" w:cs="宋体"/>
                <w:b/>
                <w:szCs w:val="21"/>
                <w:highlight w:val="none"/>
              </w:rPr>
            </w:pPr>
            <w:r>
              <w:rPr>
                <w:rFonts w:hint="eastAsia" w:ascii="宋体" w:hAnsi="宋体" w:cs="宋体"/>
                <w:b/>
                <w:szCs w:val="21"/>
                <w:highlight w:val="none"/>
              </w:rPr>
              <w:t>2.1.2</w:t>
            </w:r>
          </w:p>
        </w:tc>
        <w:tc>
          <w:tcPr>
            <w:tcW w:w="1311" w:type="dxa"/>
            <w:vAlign w:val="center"/>
          </w:tcPr>
          <w:p>
            <w:pPr>
              <w:jc w:val="center"/>
              <w:textAlignment w:val="baseline"/>
              <w:rPr>
                <w:rFonts w:ascii="宋体" w:hAnsi="宋体" w:cs="宋体"/>
                <w:b/>
                <w:highlight w:val="none"/>
              </w:rPr>
            </w:pPr>
            <w:r>
              <w:rPr>
                <w:rFonts w:hint="eastAsia" w:ascii="宋体" w:hAnsi="宋体" w:cs="宋体"/>
                <w:b/>
                <w:highlight w:val="none"/>
              </w:rPr>
              <w:t>资格评</w:t>
            </w:r>
          </w:p>
          <w:p>
            <w:pPr>
              <w:jc w:val="center"/>
              <w:textAlignment w:val="baseline"/>
              <w:rPr>
                <w:rFonts w:ascii="宋体" w:hAnsi="宋体" w:cs="宋体"/>
                <w:b/>
                <w:highlight w:val="none"/>
              </w:rPr>
            </w:pPr>
            <w:r>
              <w:rPr>
                <w:rFonts w:hint="eastAsia" w:ascii="宋体" w:hAnsi="宋体" w:cs="宋体"/>
                <w:b/>
                <w:highlight w:val="none"/>
              </w:rPr>
              <w:t>审标准</w:t>
            </w:r>
          </w:p>
        </w:tc>
        <w:tc>
          <w:tcPr>
            <w:tcW w:w="7157" w:type="dxa"/>
          </w:tcPr>
          <w:p>
            <w:pPr>
              <w:ind w:left="211" w:hanging="211" w:hangingChars="100"/>
              <w:jc w:val="left"/>
              <w:rPr>
                <w:rFonts w:ascii="宋体" w:hAnsi="宋体" w:cs="宋体"/>
                <w:b/>
                <w:szCs w:val="21"/>
                <w:highlight w:val="none"/>
              </w:rPr>
            </w:pPr>
            <w:r>
              <w:rPr>
                <w:rFonts w:hint="eastAsia" w:ascii="宋体" w:hAnsi="宋体" w:cs="宋体"/>
                <w:b/>
                <w:szCs w:val="21"/>
                <w:highlight w:val="none"/>
              </w:rPr>
              <w:t xml:space="preserve">（1）投标人应具有独立法人资格，具有统一社会信用代码，具备有效的基本账户开户许可证或基本存款账户信息。 </w:t>
            </w:r>
          </w:p>
          <w:p>
            <w:pPr>
              <w:ind w:left="211" w:hanging="211" w:hangingChars="100"/>
              <w:jc w:val="left"/>
              <w:rPr>
                <w:rFonts w:ascii="宋体" w:hAnsi="宋体" w:cs="宋体"/>
                <w:b/>
                <w:szCs w:val="21"/>
                <w:highlight w:val="none"/>
              </w:rPr>
            </w:pPr>
            <w:r>
              <w:rPr>
                <w:rFonts w:hint="eastAsia" w:ascii="宋体" w:hAnsi="宋体" w:cs="宋体"/>
                <w:b/>
                <w:szCs w:val="21"/>
                <w:highlight w:val="none"/>
              </w:rPr>
              <w:t>（2）投标人的资质符合招标文件规定。</w:t>
            </w:r>
          </w:p>
          <w:p>
            <w:pPr>
              <w:ind w:left="211" w:hanging="211" w:hangingChars="100"/>
              <w:jc w:val="left"/>
              <w:rPr>
                <w:rFonts w:ascii="宋体" w:hAnsi="宋体" w:cs="宋体"/>
                <w:b/>
                <w:szCs w:val="21"/>
                <w:highlight w:val="none"/>
              </w:rPr>
            </w:pPr>
            <w:r>
              <w:rPr>
                <w:rFonts w:hint="eastAsia" w:ascii="宋体" w:hAnsi="宋体" w:cs="宋体"/>
                <w:b/>
                <w:szCs w:val="21"/>
                <w:highlight w:val="none"/>
              </w:rPr>
              <w:t>（3）投标人的类似项目业绩符合招标文件规定。</w:t>
            </w:r>
          </w:p>
          <w:p>
            <w:pPr>
              <w:ind w:left="211" w:hanging="211" w:hangingChars="100"/>
              <w:jc w:val="left"/>
              <w:rPr>
                <w:rFonts w:ascii="宋体" w:hAnsi="宋体" w:cs="宋体"/>
                <w:b/>
                <w:szCs w:val="21"/>
                <w:highlight w:val="none"/>
              </w:rPr>
            </w:pPr>
            <w:r>
              <w:rPr>
                <w:rFonts w:hint="eastAsia" w:ascii="宋体" w:hAnsi="宋体" w:cs="宋体"/>
                <w:b/>
                <w:szCs w:val="21"/>
                <w:highlight w:val="none"/>
              </w:rPr>
              <w:t>（4）投标人的信誉符合招标文件规定。</w:t>
            </w:r>
          </w:p>
          <w:p>
            <w:pPr>
              <w:ind w:left="211" w:hanging="211" w:hangingChars="100"/>
              <w:jc w:val="left"/>
              <w:rPr>
                <w:rFonts w:ascii="宋体" w:hAnsi="宋体" w:cs="宋体"/>
                <w:b/>
                <w:szCs w:val="21"/>
                <w:highlight w:val="none"/>
              </w:rPr>
            </w:pPr>
            <w:r>
              <w:rPr>
                <w:rFonts w:hint="eastAsia" w:ascii="宋体" w:hAnsi="宋体" w:cs="宋体"/>
                <w:b/>
                <w:szCs w:val="21"/>
                <w:highlight w:val="none"/>
              </w:rPr>
              <w:t>（5）投标人的项目负责人资格、业绩符合招标文件规定。</w:t>
            </w:r>
          </w:p>
          <w:p>
            <w:pPr>
              <w:ind w:left="211" w:hanging="211" w:hangingChars="100"/>
              <w:jc w:val="left"/>
              <w:rPr>
                <w:rFonts w:ascii="宋体" w:hAnsi="宋体" w:cs="宋体"/>
                <w:b/>
                <w:szCs w:val="21"/>
                <w:highlight w:val="none"/>
              </w:rPr>
            </w:pPr>
            <w:r>
              <w:rPr>
                <w:rFonts w:hint="eastAsia" w:ascii="宋体" w:hAnsi="宋体" w:cs="宋体"/>
                <w:b/>
                <w:szCs w:val="21"/>
                <w:highlight w:val="none"/>
              </w:rPr>
              <w:t>（6）投标人的其他要求符合招标文件规定。</w:t>
            </w:r>
          </w:p>
          <w:p>
            <w:pPr>
              <w:ind w:left="211" w:hanging="211" w:hangingChars="100"/>
              <w:jc w:val="left"/>
              <w:rPr>
                <w:rFonts w:ascii="宋体" w:hAnsi="宋体" w:cs="宋体"/>
                <w:b/>
                <w:szCs w:val="21"/>
                <w:highlight w:val="none"/>
              </w:rPr>
            </w:pPr>
            <w:r>
              <w:rPr>
                <w:rFonts w:hint="eastAsia" w:ascii="宋体" w:hAnsi="宋体" w:cs="宋体"/>
                <w:b/>
                <w:szCs w:val="21"/>
                <w:highlight w:val="none"/>
              </w:rPr>
              <w:t>（7）投标人不存在第二章“投标人须知”第 1.4.3 项或第 1.4.4 项规定的任何一种情形。</w:t>
            </w:r>
          </w:p>
        </w:tc>
      </w:tr>
    </w:tbl>
    <w:p>
      <w:pPr>
        <w:rPr>
          <w:rFonts w:ascii="Garamond" w:hAnsi="Garamond"/>
          <w:sz w:val="18"/>
          <w:szCs w:val="18"/>
          <w:highlight w:val="none"/>
        </w:rPr>
      </w:pPr>
    </w:p>
    <w:p>
      <w:pPr>
        <w:rPr>
          <w:rFonts w:ascii="Garamond" w:hAnsi="Garamond"/>
          <w:sz w:val="18"/>
          <w:szCs w:val="18"/>
          <w:highlight w:val="none"/>
        </w:rPr>
      </w:pPr>
    </w:p>
    <w:p>
      <w:pPr>
        <w:rPr>
          <w:rFonts w:ascii="Garamond" w:hAnsi="Garamond"/>
          <w:sz w:val="18"/>
          <w:szCs w:val="18"/>
          <w:highlight w:val="none"/>
        </w:rPr>
      </w:pPr>
    </w:p>
    <w:p>
      <w:pPr>
        <w:rPr>
          <w:rFonts w:ascii="Garamond" w:hAnsi="Garamond"/>
          <w:sz w:val="18"/>
          <w:szCs w:val="18"/>
          <w:highlight w:val="none"/>
        </w:rPr>
      </w:pPr>
    </w:p>
    <w:p>
      <w:pPr>
        <w:rPr>
          <w:rFonts w:ascii="Garamond" w:hAnsi="Garamond"/>
          <w:sz w:val="18"/>
          <w:szCs w:val="18"/>
          <w:highlight w:val="none"/>
        </w:rPr>
      </w:pPr>
    </w:p>
    <w:p>
      <w:pPr>
        <w:rPr>
          <w:rFonts w:ascii="Garamond" w:hAnsi="Garamond"/>
          <w:sz w:val="18"/>
          <w:szCs w:val="18"/>
          <w:highlight w:val="none"/>
        </w:rPr>
      </w:pPr>
    </w:p>
    <w:p>
      <w:pPr>
        <w:rPr>
          <w:rFonts w:ascii="Garamond" w:hAnsi="Garamond"/>
          <w:sz w:val="18"/>
          <w:szCs w:val="18"/>
          <w:highlight w:val="none"/>
        </w:rPr>
      </w:pPr>
    </w:p>
    <w:p>
      <w:pPr>
        <w:rPr>
          <w:rFonts w:ascii="Garamond" w:hAnsi="Garamond"/>
          <w:sz w:val="18"/>
          <w:szCs w:val="18"/>
          <w:highlight w:val="none"/>
        </w:rPr>
      </w:pPr>
    </w:p>
    <w:p>
      <w:pPr>
        <w:rPr>
          <w:rFonts w:ascii="Garamond" w:hAnsi="Garamond"/>
          <w:sz w:val="18"/>
          <w:szCs w:val="18"/>
          <w:highlight w:val="none"/>
        </w:rPr>
      </w:pPr>
    </w:p>
    <w:p>
      <w:pPr>
        <w:rPr>
          <w:rFonts w:ascii="Garamond" w:hAnsi="Garamond"/>
          <w:sz w:val="18"/>
          <w:szCs w:val="18"/>
          <w:highlight w:val="none"/>
        </w:rPr>
      </w:pPr>
    </w:p>
    <w:p>
      <w:pPr>
        <w:rPr>
          <w:rFonts w:ascii="Garamond" w:hAnsi="Garamond"/>
          <w:sz w:val="18"/>
          <w:szCs w:val="18"/>
          <w:highlight w:val="none"/>
        </w:rPr>
      </w:pPr>
    </w:p>
    <w:p>
      <w:pPr>
        <w:rPr>
          <w:rFonts w:ascii="Garamond" w:hAnsi="Garamond"/>
          <w:sz w:val="18"/>
          <w:szCs w:val="18"/>
          <w:highlight w:val="none"/>
        </w:rPr>
      </w:pPr>
    </w:p>
    <w:p>
      <w:pPr>
        <w:rPr>
          <w:rFonts w:ascii="Garamond" w:hAnsi="Garamond"/>
          <w:sz w:val="18"/>
          <w:szCs w:val="18"/>
          <w:highlight w:val="none"/>
        </w:rPr>
      </w:pPr>
    </w:p>
    <w:p>
      <w:pPr>
        <w:rPr>
          <w:rFonts w:ascii="Garamond" w:hAnsi="Garamond"/>
          <w:sz w:val="18"/>
          <w:szCs w:val="18"/>
          <w:highlight w:val="none"/>
        </w:rPr>
      </w:pPr>
    </w:p>
    <w:p>
      <w:pPr>
        <w:rPr>
          <w:rFonts w:ascii="Garamond" w:hAnsi="Garamond"/>
          <w:sz w:val="18"/>
          <w:szCs w:val="18"/>
          <w:highlight w:val="none"/>
        </w:rPr>
      </w:pPr>
      <w:r>
        <w:rPr>
          <w:rFonts w:ascii="Garamond" w:hAnsi="Garamond"/>
          <w:sz w:val="18"/>
          <w:szCs w:val="18"/>
          <w:highlight w:val="none"/>
        </w:rPr>
        <w:br w:type="page"/>
      </w:r>
    </w:p>
    <w:p>
      <w:pPr>
        <w:rPr>
          <w:rFonts w:ascii="Garamond" w:hAnsi="Garamond"/>
          <w:sz w:val="18"/>
          <w:szCs w:val="18"/>
          <w:highlight w:val="none"/>
        </w:rPr>
      </w:pPr>
    </w:p>
    <w:p>
      <w:pPr>
        <w:rPr>
          <w:rFonts w:ascii="Garamond" w:hAnsi="Garamond"/>
          <w:sz w:val="18"/>
          <w:szCs w:val="18"/>
          <w:highlight w:val="none"/>
        </w:rPr>
      </w:pPr>
    </w:p>
    <w:tbl>
      <w:tblPr>
        <w:tblStyle w:val="44"/>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6"/>
        <w:gridCol w:w="1075"/>
        <w:gridCol w:w="75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blHeader/>
        </w:trPr>
        <w:tc>
          <w:tcPr>
            <w:tcW w:w="876" w:type="dxa"/>
            <w:vAlign w:val="center"/>
          </w:tcPr>
          <w:p>
            <w:pPr>
              <w:jc w:val="center"/>
              <w:textAlignment w:val="baseline"/>
              <w:rPr>
                <w:rFonts w:ascii="宋体" w:hAnsi="宋体" w:cs="宋体"/>
                <w:b/>
                <w:szCs w:val="21"/>
                <w:highlight w:val="none"/>
              </w:rPr>
            </w:pPr>
            <w:r>
              <w:rPr>
                <w:rFonts w:hint="eastAsia" w:ascii="宋体" w:hAnsi="宋体" w:cs="宋体"/>
                <w:b/>
                <w:szCs w:val="21"/>
                <w:highlight w:val="none"/>
              </w:rPr>
              <w:t>条款号</w:t>
            </w:r>
          </w:p>
        </w:tc>
        <w:tc>
          <w:tcPr>
            <w:tcW w:w="1075" w:type="dxa"/>
            <w:vAlign w:val="center"/>
          </w:tcPr>
          <w:p>
            <w:pPr>
              <w:jc w:val="center"/>
              <w:textAlignment w:val="baseline"/>
              <w:rPr>
                <w:rFonts w:ascii="宋体" w:hAnsi="宋体" w:cs="宋体"/>
                <w:b/>
                <w:szCs w:val="21"/>
                <w:highlight w:val="none"/>
              </w:rPr>
            </w:pPr>
            <w:r>
              <w:rPr>
                <w:rFonts w:hint="eastAsia" w:ascii="宋体" w:hAnsi="宋体" w:cs="宋体"/>
                <w:b/>
                <w:szCs w:val="21"/>
                <w:highlight w:val="none"/>
              </w:rPr>
              <w:t>条款内容</w:t>
            </w:r>
          </w:p>
        </w:tc>
        <w:tc>
          <w:tcPr>
            <w:tcW w:w="7513" w:type="dxa"/>
            <w:vAlign w:val="center"/>
          </w:tcPr>
          <w:p>
            <w:pPr>
              <w:jc w:val="center"/>
              <w:textAlignment w:val="baseline"/>
              <w:rPr>
                <w:rFonts w:ascii="宋体" w:hAnsi="宋体" w:cs="宋体"/>
                <w:b/>
                <w:szCs w:val="21"/>
                <w:highlight w:val="none"/>
              </w:rPr>
            </w:pPr>
            <w:r>
              <w:rPr>
                <w:rFonts w:hint="eastAsia" w:ascii="宋体" w:hAnsi="宋体" w:cs="宋体"/>
                <w:b/>
                <w:szCs w:val="21"/>
                <w:highlight w:val="none"/>
              </w:rPr>
              <w:t>编列内容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6" w:hRule="atLeast"/>
        </w:trPr>
        <w:tc>
          <w:tcPr>
            <w:tcW w:w="876" w:type="dxa"/>
            <w:vAlign w:val="center"/>
          </w:tcPr>
          <w:p>
            <w:pPr>
              <w:jc w:val="center"/>
              <w:textAlignment w:val="baseline"/>
              <w:rPr>
                <w:rFonts w:ascii="宋体" w:hAnsi="宋体" w:cs="宋体"/>
                <w:szCs w:val="21"/>
                <w:highlight w:val="none"/>
              </w:rPr>
            </w:pPr>
            <w:r>
              <w:rPr>
                <w:rFonts w:hint="eastAsia" w:ascii="宋体" w:hAnsi="宋体" w:cs="宋体"/>
                <w:szCs w:val="21"/>
                <w:highlight w:val="none"/>
              </w:rPr>
              <w:t>2.2.1</w:t>
            </w:r>
          </w:p>
        </w:tc>
        <w:tc>
          <w:tcPr>
            <w:tcW w:w="1075" w:type="dxa"/>
            <w:vAlign w:val="center"/>
          </w:tcPr>
          <w:p>
            <w:pPr>
              <w:jc w:val="center"/>
              <w:textAlignment w:val="baseline"/>
              <w:rPr>
                <w:rFonts w:ascii="宋体" w:hAnsi="宋体" w:cs="宋体"/>
                <w:szCs w:val="21"/>
                <w:highlight w:val="none"/>
              </w:rPr>
            </w:pPr>
            <w:r>
              <w:rPr>
                <w:rFonts w:hint="eastAsia" w:ascii="宋体" w:hAnsi="宋体" w:cs="宋体"/>
                <w:szCs w:val="21"/>
                <w:highlight w:val="none"/>
              </w:rPr>
              <w:t>分值构成</w:t>
            </w:r>
          </w:p>
          <w:p>
            <w:pPr>
              <w:jc w:val="center"/>
              <w:textAlignment w:val="baseline"/>
              <w:rPr>
                <w:rFonts w:ascii="宋体" w:hAnsi="宋体" w:cs="宋体"/>
                <w:szCs w:val="21"/>
                <w:highlight w:val="none"/>
              </w:rPr>
            </w:pPr>
            <w:r>
              <w:rPr>
                <w:rFonts w:hint="eastAsia" w:ascii="宋体" w:hAnsi="宋体" w:cs="宋体"/>
                <w:szCs w:val="21"/>
                <w:highlight w:val="none"/>
              </w:rPr>
              <w:t>（总分100分）</w:t>
            </w:r>
          </w:p>
        </w:tc>
        <w:tc>
          <w:tcPr>
            <w:tcW w:w="7513" w:type="dxa"/>
            <w:vAlign w:val="center"/>
          </w:tcPr>
          <w:p>
            <w:pPr>
              <w:spacing w:line="280" w:lineRule="exact"/>
              <w:rPr>
                <w:rFonts w:ascii="宋体" w:hAnsi="宋体" w:cs="宋体"/>
                <w:szCs w:val="21"/>
                <w:highlight w:val="none"/>
              </w:rPr>
            </w:pPr>
            <w:r>
              <w:rPr>
                <w:rFonts w:hint="eastAsia" w:ascii="宋体" w:hAnsi="宋体" w:cs="宋体"/>
                <w:szCs w:val="21"/>
                <w:highlight w:val="none"/>
              </w:rPr>
              <w:t>第一信封</w:t>
            </w:r>
            <w:r>
              <w:rPr>
                <w:rFonts w:hint="eastAsia" w:ascii="宋体" w:hAnsi="宋体" w:cs="宋体"/>
                <w:bCs/>
                <w:szCs w:val="21"/>
                <w:highlight w:val="none"/>
              </w:rPr>
              <w:t>（商务及技术文件）</w:t>
            </w:r>
            <w:r>
              <w:rPr>
                <w:rFonts w:hint="eastAsia" w:ascii="宋体" w:hAnsi="宋体" w:cs="宋体"/>
                <w:szCs w:val="21"/>
                <w:highlight w:val="none"/>
              </w:rPr>
              <w:t>评分分值构成：</w:t>
            </w:r>
          </w:p>
          <w:p>
            <w:pPr>
              <w:jc w:val="left"/>
              <w:textAlignment w:val="baseline"/>
              <w:rPr>
                <w:rFonts w:ascii="宋体" w:hAnsi="宋体" w:cs="宋体"/>
                <w:szCs w:val="21"/>
                <w:highlight w:val="none"/>
              </w:rPr>
            </w:pPr>
            <w:r>
              <w:rPr>
                <w:rFonts w:hint="eastAsia" w:ascii="宋体" w:hAnsi="宋体" w:cs="宋体"/>
                <w:szCs w:val="21"/>
                <w:highlight w:val="none"/>
              </w:rPr>
              <w:t>检测人员：项目负责人资格和业绩</w:t>
            </w:r>
            <w:r>
              <w:rPr>
                <w:rFonts w:hint="eastAsia" w:ascii="宋体" w:hAnsi="宋体" w:cs="宋体"/>
                <w:szCs w:val="21"/>
                <w:highlight w:val="none"/>
              </w:rPr>
              <w:tab/>
            </w:r>
            <w:r>
              <w:rPr>
                <w:rFonts w:hint="eastAsia" w:ascii="宋体" w:hAnsi="宋体" w:cs="宋体"/>
                <w:szCs w:val="21"/>
                <w:highlight w:val="none"/>
              </w:rPr>
              <w:t>：15分；其他人员资格和业绩：</w:t>
            </w:r>
            <w:r>
              <w:rPr>
                <w:rFonts w:hint="eastAsia" w:ascii="宋体" w:hAnsi="宋体" w:cs="宋体"/>
                <w:szCs w:val="21"/>
                <w:highlight w:val="none"/>
              </w:rPr>
              <w:tab/>
            </w:r>
            <w:r>
              <w:rPr>
                <w:rFonts w:hint="eastAsia" w:ascii="宋体" w:hAnsi="宋体" w:cs="宋体"/>
                <w:szCs w:val="21"/>
                <w:highlight w:val="none"/>
              </w:rPr>
              <w:t>15分</w:t>
            </w:r>
            <w:r>
              <w:rPr>
                <w:rFonts w:hint="eastAsia" w:ascii="宋体" w:hAnsi="宋体" w:cs="宋体"/>
                <w:szCs w:val="21"/>
                <w:highlight w:val="none"/>
              </w:rPr>
              <w:tab/>
            </w:r>
            <w:r>
              <w:rPr>
                <w:rFonts w:hint="eastAsia" w:ascii="宋体" w:hAnsi="宋体" w:cs="宋体"/>
                <w:szCs w:val="21"/>
                <w:highlight w:val="none"/>
              </w:rPr>
              <w:t>；</w:t>
            </w:r>
          </w:p>
          <w:p>
            <w:pPr>
              <w:spacing w:line="280" w:lineRule="exact"/>
              <w:rPr>
                <w:rFonts w:ascii="宋体" w:hAnsi="宋体" w:cs="宋体"/>
                <w:bCs/>
                <w:szCs w:val="21"/>
                <w:highlight w:val="none"/>
              </w:rPr>
            </w:pPr>
            <w:r>
              <w:rPr>
                <w:rFonts w:hint="eastAsia" w:ascii="宋体" w:hAnsi="宋体" w:cs="宋体"/>
                <w:bCs/>
                <w:szCs w:val="21"/>
                <w:highlight w:val="none"/>
              </w:rPr>
              <w:t>检测实施方案</w:t>
            </w:r>
            <w:r>
              <w:rPr>
                <w:rFonts w:hint="eastAsia" w:ascii="宋体" w:hAnsi="宋体" w:cs="宋体"/>
                <w:bCs/>
                <w:szCs w:val="21"/>
                <w:highlight w:val="none"/>
              </w:rPr>
              <w:tab/>
            </w:r>
            <w:r>
              <w:rPr>
                <w:rFonts w:hint="eastAsia" w:ascii="宋体" w:hAnsi="宋体" w:cs="宋体"/>
                <w:bCs/>
                <w:szCs w:val="21"/>
                <w:highlight w:val="none"/>
              </w:rPr>
              <w:t>：25分；</w:t>
            </w:r>
          </w:p>
          <w:p>
            <w:pPr>
              <w:spacing w:line="280" w:lineRule="exact"/>
              <w:rPr>
                <w:rFonts w:ascii="宋体" w:hAnsi="宋体" w:cs="宋体"/>
                <w:bCs/>
                <w:szCs w:val="21"/>
                <w:highlight w:val="none"/>
              </w:rPr>
            </w:pPr>
            <w:r>
              <w:rPr>
                <w:rFonts w:hint="eastAsia" w:ascii="宋体" w:hAnsi="宋体" w:cs="宋体"/>
                <w:bCs/>
                <w:szCs w:val="21"/>
                <w:highlight w:val="none"/>
              </w:rPr>
              <w:t>业绩：</w:t>
            </w:r>
            <w:r>
              <w:rPr>
                <w:rFonts w:hint="eastAsia" w:ascii="宋体" w:hAnsi="宋体" w:cs="宋体"/>
                <w:bCs/>
                <w:szCs w:val="21"/>
                <w:highlight w:val="none"/>
              </w:rPr>
              <w:tab/>
            </w:r>
            <w:r>
              <w:rPr>
                <w:rFonts w:hint="eastAsia" w:ascii="宋体" w:hAnsi="宋体" w:cs="宋体"/>
                <w:bCs/>
                <w:szCs w:val="21"/>
                <w:highlight w:val="none"/>
              </w:rPr>
              <w:t>20分；</w:t>
            </w:r>
          </w:p>
          <w:p>
            <w:pPr>
              <w:spacing w:line="280" w:lineRule="exact"/>
              <w:rPr>
                <w:rFonts w:ascii="宋体" w:hAnsi="宋体" w:cs="宋体"/>
                <w:bCs/>
                <w:szCs w:val="21"/>
                <w:highlight w:val="none"/>
              </w:rPr>
            </w:pPr>
            <w:r>
              <w:rPr>
                <w:rFonts w:hint="eastAsia" w:ascii="宋体" w:hAnsi="宋体" w:cs="宋体"/>
                <w:bCs/>
                <w:szCs w:val="21"/>
                <w:highlight w:val="none"/>
              </w:rPr>
              <w:t>检测设备设置：</w:t>
            </w:r>
            <w:r>
              <w:rPr>
                <w:rFonts w:hint="eastAsia" w:ascii="宋体" w:hAnsi="宋体" w:cs="宋体"/>
                <w:bCs/>
                <w:szCs w:val="21"/>
                <w:highlight w:val="none"/>
              </w:rPr>
              <w:tab/>
            </w:r>
            <w:r>
              <w:rPr>
                <w:rFonts w:hint="eastAsia" w:ascii="宋体" w:hAnsi="宋体" w:cs="宋体"/>
                <w:bCs/>
                <w:szCs w:val="21"/>
                <w:highlight w:val="none"/>
              </w:rPr>
              <w:t>10分；</w:t>
            </w:r>
          </w:p>
          <w:p>
            <w:pPr>
              <w:spacing w:line="280" w:lineRule="exact"/>
              <w:rPr>
                <w:rFonts w:ascii="宋体" w:hAnsi="宋体" w:cs="宋体"/>
                <w:bCs/>
                <w:szCs w:val="21"/>
                <w:highlight w:val="none"/>
              </w:rPr>
            </w:pPr>
            <w:r>
              <w:rPr>
                <w:rFonts w:hint="eastAsia" w:ascii="宋体" w:hAnsi="宋体" w:cs="宋体"/>
                <w:bCs/>
                <w:szCs w:val="21"/>
                <w:highlight w:val="none"/>
              </w:rPr>
              <w:t>履约信誉：</w:t>
            </w:r>
            <w:r>
              <w:rPr>
                <w:rFonts w:hint="eastAsia" w:ascii="宋体" w:hAnsi="宋体" w:cs="宋体"/>
                <w:bCs/>
                <w:szCs w:val="21"/>
                <w:highlight w:val="none"/>
              </w:rPr>
              <w:tab/>
            </w:r>
            <w:r>
              <w:rPr>
                <w:rFonts w:hint="eastAsia" w:ascii="宋体" w:hAnsi="宋体" w:cs="宋体"/>
                <w:bCs/>
                <w:szCs w:val="21"/>
                <w:highlight w:val="none"/>
              </w:rPr>
              <w:t>5分。</w:t>
            </w:r>
          </w:p>
          <w:p>
            <w:pPr>
              <w:spacing w:line="280" w:lineRule="exact"/>
              <w:rPr>
                <w:rFonts w:ascii="宋体" w:hAnsi="宋体" w:cs="宋体"/>
                <w:bCs/>
                <w:szCs w:val="21"/>
                <w:highlight w:val="none"/>
              </w:rPr>
            </w:pPr>
            <w:r>
              <w:rPr>
                <w:rFonts w:hint="eastAsia" w:ascii="宋体" w:hAnsi="宋体" w:cs="宋体"/>
                <w:bCs/>
                <w:szCs w:val="21"/>
                <w:highlight w:val="none"/>
              </w:rPr>
              <w:t>第二信封（报价文件）评分分值构成：</w:t>
            </w:r>
          </w:p>
          <w:p>
            <w:pPr>
              <w:spacing w:line="280" w:lineRule="exact"/>
              <w:rPr>
                <w:rFonts w:ascii="宋体" w:hAnsi="宋体" w:cs="宋体"/>
                <w:szCs w:val="21"/>
                <w:highlight w:val="none"/>
              </w:rPr>
            </w:pPr>
            <w:r>
              <w:rPr>
                <w:rFonts w:hint="eastAsia" w:ascii="宋体" w:hAnsi="宋体" w:cs="宋体"/>
                <w:bCs/>
                <w:szCs w:val="21"/>
                <w:highlight w:val="none"/>
              </w:rPr>
              <w:t>投标报价：10分。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8" w:hRule="atLeast"/>
        </w:trPr>
        <w:tc>
          <w:tcPr>
            <w:tcW w:w="876" w:type="dxa"/>
            <w:vAlign w:val="center"/>
          </w:tcPr>
          <w:p>
            <w:pPr>
              <w:jc w:val="center"/>
              <w:textAlignment w:val="baseline"/>
              <w:rPr>
                <w:rFonts w:ascii="宋体" w:hAnsi="宋体" w:cs="宋体"/>
                <w:szCs w:val="21"/>
                <w:highlight w:val="none"/>
              </w:rPr>
            </w:pPr>
            <w:r>
              <w:rPr>
                <w:rFonts w:hint="eastAsia" w:ascii="宋体" w:hAnsi="宋体" w:cs="宋体"/>
                <w:szCs w:val="21"/>
                <w:highlight w:val="none"/>
              </w:rPr>
              <w:t>2.2.2</w:t>
            </w:r>
          </w:p>
        </w:tc>
        <w:tc>
          <w:tcPr>
            <w:tcW w:w="1075" w:type="dxa"/>
            <w:vAlign w:val="center"/>
          </w:tcPr>
          <w:p>
            <w:pPr>
              <w:jc w:val="center"/>
              <w:textAlignment w:val="baseline"/>
              <w:rPr>
                <w:rFonts w:ascii="宋体" w:hAnsi="宋体" w:cs="宋体"/>
                <w:szCs w:val="21"/>
                <w:highlight w:val="none"/>
              </w:rPr>
            </w:pPr>
            <w:r>
              <w:rPr>
                <w:rFonts w:hint="eastAsia" w:ascii="宋体" w:hAnsi="宋体" w:cs="宋体"/>
                <w:szCs w:val="21"/>
                <w:highlight w:val="none"/>
              </w:rPr>
              <w:t>评标基准价计算方法</w:t>
            </w:r>
          </w:p>
        </w:tc>
        <w:tc>
          <w:tcPr>
            <w:tcW w:w="7513" w:type="dxa"/>
          </w:tcPr>
          <w:p>
            <w:pPr>
              <w:spacing w:line="288" w:lineRule="auto"/>
              <w:ind w:left="105" w:leftChars="50"/>
              <w:rPr>
                <w:rFonts w:ascii="宋体" w:hAnsi="宋体" w:cs="宋体"/>
                <w:szCs w:val="21"/>
                <w:highlight w:val="none"/>
              </w:rPr>
            </w:pPr>
            <w:r>
              <w:rPr>
                <w:rFonts w:hint="eastAsia" w:ascii="宋体" w:hAnsi="宋体" w:cs="宋体"/>
                <w:szCs w:val="21"/>
                <w:highlight w:val="none"/>
              </w:rPr>
              <w:t>a.确定评标价</w:t>
            </w:r>
          </w:p>
          <w:p>
            <w:pPr>
              <w:spacing w:line="288" w:lineRule="auto"/>
              <w:ind w:left="105" w:leftChars="50"/>
              <w:rPr>
                <w:rFonts w:ascii="宋体" w:hAnsi="宋体" w:cs="宋体"/>
                <w:szCs w:val="21"/>
                <w:highlight w:val="none"/>
              </w:rPr>
            </w:pPr>
            <w:r>
              <w:rPr>
                <w:rFonts w:hint="eastAsia" w:ascii="宋体" w:hAnsi="宋体" w:cs="宋体"/>
                <w:szCs w:val="21"/>
                <w:highlight w:val="none"/>
              </w:rPr>
              <w:t>评标价=投标函文字报价</w:t>
            </w:r>
          </w:p>
          <w:p>
            <w:pPr>
              <w:spacing w:line="288" w:lineRule="auto"/>
              <w:ind w:left="105" w:leftChars="50"/>
              <w:rPr>
                <w:rFonts w:ascii="宋体" w:hAnsi="宋体" w:cs="宋体"/>
                <w:szCs w:val="21"/>
                <w:highlight w:val="none"/>
              </w:rPr>
            </w:pPr>
            <w:r>
              <w:rPr>
                <w:rFonts w:hint="eastAsia" w:ascii="宋体" w:hAnsi="宋体" w:cs="宋体"/>
                <w:szCs w:val="21"/>
                <w:highlight w:val="none"/>
              </w:rPr>
              <w:t>b.评标价平均值的计算：</w:t>
            </w:r>
          </w:p>
          <w:p>
            <w:pPr>
              <w:spacing w:line="288" w:lineRule="auto"/>
              <w:ind w:left="105" w:leftChars="50"/>
              <w:rPr>
                <w:rFonts w:ascii="宋体" w:hAnsi="宋体" w:cs="宋体"/>
                <w:szCs w:val="21"/>
                <w:highlight w:val="none"/>
              </w:rPr>
            </w:pPr>
            <w:r>
              <w:rPr>
                <w:rFonts w:hint="eastAsia" w:ascii="宋体" w:hAnsi="宋体" w:cs="宋体"/>
                <w:szCs w:val="21"/>
                <w:highlight w:val="none"/>
              </w:rPr>
              <w:t>除按第二章“投标人须知”第5．2．2项规定开标现场被宣布被否决其投标或不参与基准价计算的投标报价之外，所有投标人的评标价去掉一个最高值和一个最低值后的算术平均值即为评标价平均值（如果参与评标价平均值计算的有效投标人少于5家时，则计算评标价平均值时不去掉最高值和最低值）。</w:t>
            </w:r>
          </w:p>
          <w:p>
            <w:pPr>
              <w:spacing w:line="288" w:lineRule="auto"/>
              <w:ind w:left="105" w:leftChars="50"/>
              <w:rPr>
                <w:rFonts w:ascii="宋体" w:hAnsi="宋体" w:cs="宋体"/>
                <w:szCs w:val="21"/>
                <w:highlight w:val="none"/>
              </w:rPr>
            </w:pPr>
            <w:r>
              <w:rPr>
                <w:rFonts w:hint="eastAsia" w:ascii="宋体" w:hAnsi="宋体" w:cs="宋体"/>
                <w:szCs w:val="21"/>
                <w:highlight w:val="none"/>
              </w:rPr>
              <w:t>c.评标基准价的确定：</w:t>
            </w:r>
          </w:p>
          <w:p>
            <w:pPr>
              <w:spacing w:line="288" w:lineRule="auto"/>
              <w:ind w:left="105" w:leftChars="50"/>
              <w:rPr>
                <w:rFonts w:ascii="宋体" w:hAnsi="宋体" w:cs="宋体"/>
                <w:szCs w:val="21"/>
                <w:highlight w:val="none"/>
              </w:rPr>
            </w:pPr>
            <w:r>
              <w:rPr>
                <w:rFonts w:hint="eastAsia" w:ascii="宋体" w:hAnsi="宋体" w:cs="宋体"/>
                <w:szCs w:val="21"/>
                <w:highlight w:val="none"/>
              </w:rPr>
              <w:t>将评标价平均值直接作为评标基准价。</w:t>
            </w:r>
          </w:p>
          <w:p>
            <w:pPr>
              <w:spacing w:line="288" w:lineRule="auto"/>
              <w:ind w:left="105" w:leftChars="50"/>
              <w:rPr>
                <w:rFonts w:ascii="宋体" w:hAnsi="宋体" w:cs="宋体"/>
                <w:szCs w:val="21"/>
                <w:highlight w:val="none"/>
              </w:rPr>
            </w:pPr>
            <w:r>
              <w:rPr>
                <w:rFonts w:hint="eastAsia" w:ascii="宋体" w:hAnsi="宋体" w:cs="宋体"/>
                <w:szCs w:val="21"/>
                <w:highlight w:val="none"/>
              </w:rPr>
              <w:t>如果投标人认为某一标段的评标基准价计算有误，有权在开标现场提出，经监标人当场核实确认之后，可重新宣布评标基准价。确认后的评标基准价在整个评标期间保持不变，不随通过初步评审和详细评审的投标人的数量发生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2" w:hRule="atLeast"/>
        </w:trPr>
        <w:tc>
          <w:tcPr>
            <w:tcW w:w="876" w:type="dxa"/>
            <w:vAlign w:val="center"/>
          </w:tcPr>
          <w:p>
            <w:pPr>
              <w:jc w:val="center"/>
              <w:rPr>
                <w:rFonts w:ascii="宋体" w:hAnsi="宋体" w:cs="宋体"/>
                <w:szCs w:val="21"/>
                <w:highlight w:val="none"/>
              </w:rPr>
            </w:pPr>
            <w:r>
              <w:rPr>
                <w:rFonts w:hint="eastAsia" w:ascii="宋体" w:hAnsi="宋体" w:cs="宋体"/>
                <w:szCs w:val="21"/>
                <w:highlight w:val="none"/>
              </w:rPr>
              <w:t>2.2.3</w:t>
            </w:r>
          </w:p>
        </w:tc>
        <w:tc>
          <w:tcPr>
            <w:tcW w:w="1075" w:type="dxa"/>
            <w:vAlign w:val="center"/>
          </w:tcPr>
          <w:p>
            <w:pPr>
              <w:jc w:val="center"/>
              <w:rPr>
                <w:rFonts w:ascii="宋体" w:hAnsi="宋体" w:cs="宋体"/>
                <w:szCs w:val="21"/>
                <w:highlight w:val="none"/>
              </w:rPr>
            </w:pPr>
            <w:r>
              <w:rPr>
                <w:rFonts w:hint="eastAsia" w:ascii="宋体" w:hAnsi="宋体" w:cs="宋体"/>
                <w:szCs w:val="21"/>
                <w:highlight w:val="none"/>
              </w:rPr>
              <w:t>评标价的偏差率</w:t>
            </w:r>
          </w:p>
          <w:p>
            <w:pPr>
              <w:jc w:val="center"/>
              <w:rPr>
                <w:rFonts w:ascii="宋体" w:hAnsi="宋体" w:cs="宋体"/>
                <w:szCs w:val="21"/>
                <w:highlight w:val="none"/>
              </w:rPr>
            </w:pPr>
            <w:r>
              <w:rPr>
                <w:rFonts w:hint="eastAsia" w:ascii="宋体" w:hAnsi="宋体" w:cs="宋体"/>
                <w:szCs w:val="21"/>
                <w:highlight w:val="none"/>
              </w:rPr>
              <w:t>计算公式</w:t>
            </w:r>
          </w:p>
        </w:tc>
        <w:tc>
          <w:tcPr>
            <w:tcW w:w="7513" w:type="dxa"/>
            <w:vAlign w:val="center"/>
          </w:tcPr>
          <w:p>
            <w:pPr>
              <w:ind w:left="210" w:hanging="210" w:hangingChars="100"/>
              <w:rPr>
                <w:rFonts w:ascii="宋体" w:hAnsi="宋体" w:cs="宋体"/>
                <w:szCs w:val="21"/>
                <w:highlight w:val="none"/>
              </w:rPr>
            </w:pPr>
            <w:r>
              <w:rPr>
                <w:rFonts w:hint="eastAsia" w:ascii="宋体" w:hAnsi="宋体" w:cs="宋体"/>
                <w:szCs w:val="21"/>
                <w:highlight w:val="none"/>
              </w:rPr>
              <w:t>偏差率=100%×(投标人评标价－评标基准价)/评标基准价</w:t>
            </w:r>
          </w:p>
        </w:tc>
      </w:tr>
    </w:tbl>
    <w:p>
      <w:pPr>
        <w:rPr>
          <w:rFonts w:ascii="宋体" w:hAnsi="宋体" w:cs="宋体"/>
          <w:szCs w:val="21"/>
          <w:highlight w:val="none"/>
        </w:rPr>
      </w:pPr>
    </w:p>
    <w:tbl>
      <w:tblPr>
        <w:tblStyle w:val="44"/>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1"/>
        <w:gridCol w:w="11"/>
        <w:gridCol w:w="1115"/>
        <w:gridCol w:w="1129"/>
        <w:gridCol w:w="1129"/>
        <w:gridCol w:w="696"/>
        <w:gridCol w:w="45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03" w:type="pct"/>
            <w:gridSpan w:val="6"/>
            <w:tcBorders>
              <w:top w:val="single" w:color="auto" w:sz="4" w:space="0"/>
              <w:left w:val="single" w:color="auto" w:sz="4" w:space="0"/>
              <w:bottom w:val="single" w:color="auto" w:sz="4" w:space="0"/>
              <w:right w:val="single" w:color="auto" w:sz="4" w:space="0"/>
            </w:tcBorders>
            <w:vAlign w:val="center"/>
          </w:tcPr>
          <w:p>
            <w:pPr>
              <w:spacing w:line="520" w:lineRule="exact"/>
              <w:jc w:val="center"/>
              <w:rPr>
                <w:rFonts w:ascii="宋体" w:hAnsi="宋体" w:cs="宋体"/>
                <w:kern w:val="0"/>
                <w:szCs w:val="21"/>
                <w:highlight w:val="none"/>
              </w:rPr>
            </w:pPr>
            <w:r>
              <w:rPr>
                <w:rFonts w:hint="eastAsia" w:ascii="宋体" w:hAnsi="宋体" w:cs="宋体"/>
                <w:b/>
                <w:bCs/>
                <w:kern w:val="0"/>
                <w:szCs w:val="21"/>
                <w:highlight w:val="none"/>
              </w:rPr>
              <w:t>2.2.4评审因素与权重分值</w:t>
            </w:r>
          </w:p>
        </w:tc>
        <w:tc>
          <w:tcPr>
            <w:tcW w:w="2396" w:type="pct"/>
            <w:vMerge w:val="restart"/>
            <w:tcBorders>
              <w:top w:val="single" w:color="auto" w:sz="4" w:space="0"/>
              <w:left w:val="single" w:color="auto" w:sz="4" w:space="0"/>
              <w:bottom w:val="single" w:color="auto" w:sz="4" w:space="0"/>
              <w:right w:val="single" w:color="auto" w:sz="4" w:space="0"/>
            </w:tcBorders>
            <w:vAlign w:val="center"/>
          </w:tcPr>
          <w:p>
            <w:pPr>
              <w:spacing w:line="520" w:lineRule="exact"/>
              <w:jc w:val="center"/>
              <w:rPr>
                <w:rFonts w:ascii="宋体" w:hAnsi="宋体" w:cs="宋体"/>
                <w:kern w:val="0"/>
                <w:szCs w:val="21"/>
                <w:highlight w:val="none"/>
              </w:rPr>
            </w:pPr>
            <w:r>
              <w:rPr>
                <w:rFonts w:hint="eastAsia" w:ascii="宋体" w:hAnsi="宋体" w:cs="宋体"/>
                <w:b/>
                <w:bCs/>
                <w:kern w:val="0"/>
                <w:szCs w:val="21"/>
                <w:highlight w:val="none"/>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5"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rPr>
                <w:rFonts w:ascii="宋体" w:hAnsi="宋体" w:cs="宋体"/>
                <w:b/>
                <w:bCs/>
                <w:kern w:val="0"/>
                <w:szCs w:val="21"/>
                <w:highlight w:val="none"/>
              </w:rPr>
            </w:pPr>
            <w:r>
              <w:rPr>
                <w:rFonts w:hint="eastAsia" w:ascii="宋体" w:hAnsi="宋体" w:cs="宋体"/>
                <w:b/>
                <w:bCs/>
                <w:kern w:val="0"/>
                <w:szCs w:val="21"/>
                <w:highlight w:val="none"/>
              </w:rPr>
              <w:t>条款号</w:t>
            </w:r>
          </w:p>
        </w:tc>
        <w:tc>
          <w:tcPr>
            <w:tcW w:w="596" w:type="pct"/>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before="32"/>
              <w:rPr>
                <w:rFonts w:ascii="宋体" w:hAnsi="宋体" w:cs="宋体"/>
                <w:b/>
                <w:bCs/>
                <w:kern w:val="0"/>
                <w:szCs w:val="21"/>
                <w:highlight w:val="none"/>
              </w:rPr>
            </w:pPr>
            <w:r>
              <w:rPr>
                <w:rFonts w:hint="eastAsia" w:ascii="宋体" w:hAnsi="宋体" w:cs="宋体"/>
                <w:b/>
                <w:bCs/>
                <w:kern w:val="0"/>
                <w:szCs w:val="21"/>
                <w:highlight w:val="none"/>
              </w:rPr>
              <w:t>评审因素</w:t>
            </w:r>
          </w:p>
        </w:tc>
        <w:tc>
          <w:tcPr>
            <w:tcW w:w="597"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before="36"/>
              <w:rPr>
                <w:rFonts w:ascii="宋体" w:hAnsi="宋体" w:cs="宋体"/>
                <w:b/>
                <w:bCs/>
                <w:kern w:val="0"/>
                <w:szCs w:val="21"/>
                <w:highlight w:val="none"/>
              </w:rPr>
            </w:pPr>
            <w:r>
              <w:rPr>
                <w:rFonts w:hint="eastAsia" w:ascii="宋体" w:hAnsi="宋体" w:cs="宋体"/>
                <w:b/>
                <w:bCs/>
                <w:kern w:val="0"/>
                <w:szCs w:val="21"/>
                <w:highlight w:val="none"/>
              </w:rPr>
              <w:t>评审因素权重分值</w:t>
            </w:r>
          </w:p>
        </w:tc>
        <w:tc>
          <w:tcPr>
            <w:tcW w:w="597"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before="36"/>
              <w:rPr>
                <w:rFonts w:ascii="宋体" w:hAnsi="宋体" w:cs="宋体"/>
                <w:b/>
                <w:bCs/>
                <w:kern w:val="0"/>
                <w:szCs w:val="21"/>
                <w:highlight w:val="none"/>
              </w:rPr>
            </w:pPr>
            <w:r>
              <w:rPr>
                <w:rFonts w:hint="eastAsia" w:ascii="宋体" w:hAnsi="宋体" w:cs="宋体"/>
                <w:b/>
                <w:bCs/>
                <w:kern w:val="0"/>
                <w:szCs w:val="21"/>
                <w:highlight w:val="none"/>
              </w:rPr>
              <w:t>各评审因</w:t>
            </w:r>
          </w:p>
          <w:p>
            <w:pPr>
              <w:autoSpaceDE w:val="0"/>
              <w:autoSpaceDN w:val="0"/>
              <w:adjustRightInd w:val="0"/>
              <w:spacing w:before="36"/>
              <w:rPr>
                <w:rFonts w:ascii="宋体" w:hAnsi="宋体" w:cs="宋体"/>
                <w:b/>
                <w:bCs/>
                <w:kern w:val="0"/>
                <w:szCs w:val="21"/>
                <w:highlight w:val="none"/>
              </w:rPr>
            </w:pPr>
            <w:r>
              <w:rPr>
                <w:rFonts w:hint="eastAsia" w:ascii="宋体" w:hAnsi="宋体" w:cs="宋体"/>
                <w:b/>
                <w:bCs/>
                <w:kern w:val="0"/>
                <w:szCs w:val="21"/>
                <w:highlight w:val="none"/>
              </w:rPr>
              <w:t>素细分项</w:t>
            </w:r>
          </w:p>
        </w:tc>
        <w:tc>
          <w:tcPr>
            <w:tcW w:w="367"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before="36"/>
              <w:jc w:val="center"/>
              <w:rPr>
                <w:rFonts w:ascii="宋体" w:hAnsi="宋体" w:cs="宋体"/>
                <w:b/>
                <w:bCs/>
                <w:kern w:val="0"/>
                <w:szCs w:val="21"/>
                <w:highlight w:val="none"/>
              </w:rPr>
            </w:pPr>
            <w:r>
              <w:rPr>
                <w:rFonts w:hint="eastAsia" w:ascii="宋体" w:hAnsi="宋体" w:cs="宋体"/>
                <w:b/>
                <w:bCs/>
                <w:kern w:val="0"/>
                <w:szCs w:val="21"/>
                <w:highlight w:val="none"/>
              </w:rPr>
              <w:t>分值</w:t>
            </w:r>
          </w:p>
        </w:tc>
        <w:tc>
          <w:tcPr>
            <w:tcW w:w="2396" w:type="pct"/>
            <w:vMerge w:val="continue"/>
            <w:tcBorders>
              <w:top w:val="single" w:color="auto" w:sz="4" w:space="0"/>
              <w:left w:val="single" w:color="auto" w:sz="4" w:space="0"/>
              <w:bottom w:val="single" w:color="auto" w:sz="4" w:space="0"/>
              <w:right w:val="single" w:color="auto" w:sz="4" w:space="0"/>
            </w:tcBorders>
          </w:tcPr>
          <w:p>
            <w:pPr>
              <w:spacing w:line="520" w:lineRule="exact"/>
              <w:rPr>
                <w:rFonts w:ascii="宋体" w:hAnsi="宋体" w:cs="宋体"/>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5" w:type="pct"/>
            <w:vMerge w:val="restart"/>
            <w:tcBorders>
              <w:top w:val="single" w:color="auto" w:sz="4" w:space="0"/>
              <w:left w:val="single" w:color="auto" w:sz="4" w:space="0"/>
              <w:bottom w:val="single" w:color="auto" w:sz="4" w:space="0"/>
              <w:right w:val="single" w:color="auto" w:sz="4" w:space="0"/>
            </w:tcBorders>
            <w:vAlign w:val="center"/>
          </w:tcPr>
          <w:p>
            <w:pPr>
              <w:spacing w:line="520" w:lineRule="exact"/>
              <w:jc w:val="center"/>
              <w:rPr>
                <w:rFonts w:ascii="宋体" w:hAnsi="宋体" w:cs="宋体"/>
                <w:kern w:val="0"/>
                <w:position w:val="-2"/>
                <w:szCs w:val="21"/>
                <w:highlight w:val="none"/>
              </w:rPr>
            </w:pPr>
            <w:r>
              <w:rPr>
                <w:rFonts w:hint="eastAsia" w:ascii="宋体" w:hAnsi="宋体" w:cs="宋体"/>
                <w:kern w:val="0"/>
                <w:position w:val="-2"/>
                <w:szCs w:val="21"/>
                <w:highlight w:val="none"/>
              </w:rPr>
              <w:t>1</w:t>
            </w:r>
          </w:p>
        </w:tc>
        <w:tc>
          <w:tcPr>
            <w:tcW w:w="596" w:type="pct"/>
            <w:gridSpan w:val="2"/>
            <w:vMerge w:val="restart"/>
            <w:tcBorders>
              <w:top w:val="single" w:color="auto" w:sz="4" w:space="0"/>
              <w:left w:val="single" w:color="auto" w:sz="4" w:space="0"/>
              <w:bottom w:val="single" w:color="auto" w:sz="4" w:space="0"/>
              <w:right w:val="single" w:color="auto" w:sz="4" w:space="0"/>
            </w:tcBorders>
            <w:vAlign w:val="center"/>
          </w:tcPr>
          <w:p>
            <w:pPr>
              <w:spacing w:line="520" w:lineRule="exact"/>
              <w:jc w:val="center"/>
              <w:rPr>
                <w:rFonts w:ascii="宋体" w:hAnsi="宋体" w:cs="宋体"/>
                <w:kern w:val="0"/>
                <w:position w:val="-2"/>
                <w:szCs w:val="21"/>
                <w:highlight w:val="none"/>
              </w:rPr>
            </w:pPr>
            <w:r>
              <w:rPr>
                <w:rFonts w:hint="eastAsia" w:ascii="宋体" w:hAnsi="宋体" w:cs="宋体"/>
                <w:kern w:val="0"/>
                <w:position w:val="-2"/>
                <w:szCs w:val="21"/>
                <w:highlight w:val="none"/>
              </w:rPr>
              <w:t>检测人员</w:t>
            </w:r>
          </w:p>
        </w:tc>
        <w:tc>
          <w:tcPr>
            <w:tcW w:w="597" w:type="pct"/>
            <w:vMerge w:val="restart"/>
            <w:tcBorders>
              <w:top w:val="single" w:color="auto" w:sz="4" w:space="0"/>
              <w:left w:val="single" w:color="auto" w:sz="4" w:space="0"/>
              <w:bottom w:val="single" w:color="auto" w:sz="4" w:space="0"/>
              <w:right w:val="single" w:color="auto" w:sz="4" w:space="0"/>
            </w:tcBorders>
            <w:vAlign w:val="center"/>
          </w:tcPr>
          <w:p>
            <w:pPr>
              <w:spacing w:line="520" w:lineRule="exact"/>
              <w:jc w:val="center"/>
              <w:rPr>
                <w:rFonts w:ascii="宋体" w:hAnsi="宋体" w:cs="宋体"/>
                <w:kern w:val="0"/>
                <w:position w:val="-2"/>
                <w:szCs w:val="21"/>
                <w:highlight w:val="none"/>
              </w:rPr>
            </w:pPr>
            <w:r>
              <w:rPr>
                <w:rFonts w:hint="eastAsia" w:ascii="宋体" w:hAnsi="宋体" w:cs="宋体"/>
                <w:kern w:val="0"/>
                <w:position w:val="-2"/>
                <w:szCs w:val="21"/>
                <w:highlight w:val="none"/>
              </w:rPr>
              <w:t>30分</w:t>
            </w:r>
          </w:p>
        </w:tc>
        <w:tc>
          <w:tcPr>
            <w:tcW w:w="597"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jc w:val="center"/>
              <w:rPr>
                <w:rFonts w:ascii="宋体" w:hAnsi="宋体" w:cs="宋体"/>
                <w:kern w:val="0"/>
                <w:position w:val="-2"/>
                <w:szCs w:val="21"/>
                <w:highlight w:val="none"/>
              </w:rPr>
            </w:pPr>
            <w:r>
              <w:rPr>
                <w:rFonts w:hint="eastAsia" w:ascii="宋体" w:hAnsi="宋体" w:cs="宋体"/>
                <w:kern w:val="0"/>
                <w:position w:val="-2"/>
                <w:szCs w:val="21"/>
                <w:highlight w:val="none"/>
              </w:rPr>
              <w:t>项目负责人资格和业绩</w:t>
            </w:r>
          </w:p>
        </w:tc>
        <w:tc>
          <w:tcPr>
            <w:tcW w:w="367"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jc w:val="center"/>
              <w:rPr>
                <w:rFonts w:ascii="宋体" w:hAnsi="宋体" w:cs="宋体"/>
                <w:snapToGrid w:val="0"/>
                <w:kern w:val="0"/>
                <w:szCs w:val="21"/>
                <w:highlight w:val="none"/>
              </w:rPr>
            </w:pPr>
            <w:r>
              <w:rPr>
                <w:rFonts w:hint="eastAsia" w:ascii="宋体" w:hAnsi="宋体" w:cs="宋体"/>
                <w:kern w:val="0"/>
                <w:position w:val="-2"/>
                <w:szCs w:val="21"/>
                <w:highlight w:val="none"/>
              </w:rPr>
              <w:t>15分</w:t>
            </w:r>
          </w:p>
        </w:tc>
        <w:tc>
          <w:tcPr>
            <w:tcW w:w="2396"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ind w:hanging="2"/>
              <w:rPr>
                <w:rFonts w:ascii="宋体" w:hAnsi="宋体" w:cs="宋体"/>
                <w:kern w:val="0"/>
                <w:position w:val="-2"/>
                <w:szCs w:val="21"/>
                <w:highlight w:val="none"/>
              </w:rPr>
            </w:pPr>
            <w:r>
              <w:rPr>
                <w:rFonts w:hint="eastAsia" w:ascii="宋体" w:hAnsi="宋体" w:cs="宋体"/>
                <w:kern w:val="0"/>
                <w:position w:val="-2"/>
                <w:szCs w:val="21"/>
                <w:highlight w:val="none"/>
              </w:rPr>
              <w:t>投标人拟投入的项目负责人满足资格条件的得基本分10分，在此基础上：</w:t>
            </w:r>
          </w:p>
          <w:p>
            <w:pPr>
              <w:autoSpaceDE w:val="0"/>
              <w:autoSpaceDN w:val="0"/>
              <w:adjustRightInd w:val="0"/>
              <w:spacing w:line="320" w:lineRule="exact"/>
              <w:ind w:hanging="2"/>
              <w:rPr>
                <w:rFonts w:ascii="宋体" w:hAnsi="宋体"/>
                <w:b/>
                <w:bCs/>
                <w:sz w:val="22"/>
                <w:szCs w:val="22"/>
                <w:highlight w:val="none"/>
              </w:rPr>
            </w:pPr>
            <w:r>
              <w:rPr>
                <w:rFonts w:hint="eastAsia" w:ascii="宋体" w:hAnsi="宋体" w:cs="宋体"/>
                <w:kern w:val="0"/>
                <w:position w:val="-2"/>
                <w:szCs w:val="21"/>
                <w:highlight w:val="none"/>
              </w:rPr>
              <w:t>（1）项目负责人同时具备交通运输主管部门核发的公路工程试验检测工程师[桥梁(或桥梁隧道)，和交通工程（或交通安全设施专业）]</w:t>
            </w:r>
            <w:r>
              <w:rPr>
                <w:rFonts w:hint="eastAsia" w:ascii="宋体" w:hAnsi="宋体"/>
                <w:b/>
                <w:bCs/>
                <w:sz w:val="22"/>
                <w:szCs w:val="22"/>
                <w:highlight w:val="none"/>
              </w:rPr>
              <w:t>或公路工程试验检测师证书（桥梁隧道工程和交通工程）证书的加2分，最多加2分。</w:t>
            </w:r>
          </w:p>
          <w:p>
            <w:pPr>
              <w:autoSpaceDE w:val="0"/>
              <w:autoSpaceDN w:val="0"/>
              <w:adjustRightInd w:val="0"/>
              <w:spacing w:line="320" w:lineRule="exact"/>
              <w:ind w:hanging="2"/>
              <w:rPr>
                <w:rFonts w:ascii="宋体" w:hAnsi="宋体" w:cs="宋体"/>
                <w:kern w:val="0"/>
                <w:position w:val="-2"/>
                <w:szCs w:val="21"/>
                <w:highlight w:val="none"/>
              </w:rPr>
            </w:pPr>
            <w:r>
              <w:rPr>
                <w:rFonts w:hint="eastAsia" w:ascii="宋体" w:hAnsi="宋体" w:cs="宋体"/>
                <w:kern w:val="0"/>
                <w:position w:val="-2"/>
                <w:szCs w:val="21"/>
                <w:highlight w:val="none"/>
              </w:rPr>
              <w:t>（2）每增加一个满足资格条件要求的业绩加1.5分，最多加3分。</w:t>
            </w:r>
          </w:p>
          <w:p>
            <w:pPr>
              <w:autoSpaceDE w:val="0"/>
              <w:autoSpaceDN w:val="0"/>
              <w:adjustRightInd w:val="0"/>
              <w:spacing w:line="320" w:lineRule="exact"/>
              <w:ind w:hanging="2"/>
              <w:rPr>
                <w:rFonts w:ascii="宋体" w:hAnsi="宋体" w:cs="宋体"/>
                <w:kern w:val="0"/>
                <w:position w:val="-2"/>
                <w:szCs w:val="21"/>
                <w:highlight w:val="none"/>
              </w:rPr>
            </w:pPr>
            <w:r>
              <w:rPr>
                <w:rFonts w:hint="eastAsia" w:ascii="宋体" w:hAnsi="宋体" w:cs="宋体"/>
                <w:kern w:val="0"/>
                <w:position w:val="-2"/>
                <w:szCs w:val="21"/>
                <w:highlight w:val="none"/>
              </w:rPr>
              <w:t>注：本项满分15分。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5" w:type="pct"/>
            <w:vMerge w:val="continue"/>
            <w:tcBorders>
              <w:top w:val="single" w:color="auto" w:sz="4" w:space="0"/>
              <w:left w:val="single" w:color="auto" w:sz="4" w:space="0"/>
              <w:bottom w:val="single" w:color="auto" w:sz="4" w:space="0"/>
              <w:right w:val="single" w:color="auto" w:sz="4" w:space="0"/>
            </w:tcBorders>
          </w:tcPr>
          <w:p>
            <w:pPr>
              <w:spacing w:line="520" w:lineRule="exact"/>
              <w:rPr>
                <w:rFonts w:ascii="宋体" w:hAnsi="宋体" w:cs="宋体"/>
                <w:kern w:val="0"/>
                <w:szCs w:val="21"/>
                <w:highlight w:val="none"/>
              </w:rPr>
            </w:pPr>
          </w:p>
        </w:tc>
        <w:tc>
          <w:tcPr>
            <w:tcW w:w="596" w:type="pct"/>
            <w:gridSpan w:val="2"/>
            <w:vMerge w:val="continue"/>
            <w:tcBorders>
              <w:top w:val="single" w:color="auto" w:sz="4" w:space="0"/>
              <w:left w:val="single" w:color="auto" w:sz="4" w:space="0"/>
              <w:bottom w:val="single" w:color="auto" w:sz="4" w:space="0"/>
              <w:right w:val="single" w:color="auto" w:sz="4" w:space="0"/>
            </w:tcBorders>
          </w:tcPr>
          <w:p>
            <w:pPr>
              <w:spacing w:line="520" w:lineRule="exact"/>
              <w:rPr>
                <w:rFonts w:ascii="宋体" w:hAnsi="宋体" w:cs="宋体"/>
                <w:kern w:val="0"/>
                <w:szCs w:val="21"/>
                <w:highlight w:val="none"/>
              </w:rPr>
            </w:pPr>
          </w:p>
        </w:tc>
        <w:tc>
          <w:tcPr>
            <w:tcW w:w="597" w:type="pct"/>
            <w:vMerge w:val="continue"/>
            <w:tcBorders>
              <w:top w:val="single" w:color="auto" w:sz="4" w:space="0"/>
              <w:left w:val="single" w:color="auto" w:sz="4" w:space="0"/>
              <w:bottom w:val="single" w:color="auto" w:sz="4" w:space="0"/>
              <w:right w:val="single" w:color="auto" w:sz="4" w:space="0"/>
            </w:tcBorders>
          </w:tcPr>
          <w:p>
            <w:pPr>
              <w:spacing w:line="520" w:lineRule="exact"/>
              <w:rPr>
                <w:rFonts w:ascii="宋体" w:hAnsi="宋体" w:cs="宋体"/>
                <w:kern w:val="0"/>
                <w:szCs w:val="21"/>
                <w:highlight w:val="none"/>
              </w:rPr>
            </w:pPr>
          </w:p>
        </w:tc>
        <w:tc>
          <w:tcPr>
            <w:tcW w:w="597" w:type="pct"/>
            <w:tcBorders>
              <w:top w:val="single" w:color="auto" w:sz="4" w:space="0"/>
              <w:left w:val="single" w:color="auto" w:sz="4" w:space="0"/>
              <w:bottom w:val="single" w:color="auto" w:sz="4" w:space="0"/>
              <w:right w:val="single" w:color="auto" w:sz="4" w:space="0"/>
            </w:tcBorders>
          </w:tcPr>
          <w:p>
            <w:pPr>
              <w:autoSpaceDE w:val="0"/>
              <w:autoSpaceDN w:val="0"/>
              <w:adjustRightInd w:val="0"/>
              <w:spacing w:line="320" w:lineRule="exact"/>
              <w:jc w:val="center"/>
              <w:rPr>
                <w:rFonts w:ascii="宋体" w:hAnsi="宋体" w:cs="宋体"/>
                <w:kern w:val="0"/>
                <w:position w:val="-2"/>
                <w:szCs w:val="21"/>
                <w:highlight w:val="none"/>
              </w:rPr>
            </w:pPr>
            <w:r>
              <w:rPr>
                <w:rFonts w:hint="eastAsia" w:ascii="宋体" w:hAnsi="宋体" w:cs="宋体"/>
                <w:kern w:val="0"/>
                <w:position w:val="-2"/>
                <w:szCs w:val="21"/>
                <w:highlight w:val="none"/>
              </w:rPr>
              <w:t>其他人员（除项目负责人以外）资格</w:t>
            </w:r>
          </w:p>
        </w:tc>
        <w:tc>
          <w:tcPr>
            <w:tcW w:w="367"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jc w:val="center"/>
              <w:rPr>
                <w:rFonts w:ascii="宋体" w:hAnsi="宋体" w:cs="宋体"/>
                <w:snapToGrid w:val="0"/>
                <w:kern w:val="0"/>
                <w:szCs w:val="21"/>
                <w:highlight w:val="none"/>
              </w:rPr>
            </w:pPr>
            <w:r>
              <w:rPr>
                <w:rFonts w:hint="eastAsia" w:ascii="宋体" w:hAnsi="宋体" w:cs="宋体"/>
                <w:kern w:val="0"/>
                <w:position w:val="-2"/>
                <w:szCs w:val="21"/>
                <w:highlight w:val="none"/>
              </w:rPr>
              <w:t>15分</w:t>
            </w:r>
          </w:p>
        </w:tc>
        <w:tc>
          <w:tcPr>
            <w:tcW w:w="2396"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rPr>
                <w:rFonts w:ascii="宋体" w:hAnsi="宋体" w:cs="宋体"/>
                <w:kern w:val="0"/>
                <w:szCs w:val="21"/>
                <w:highlight w:val="none"/>
              </w:rPr>
            </w:pPr>
            <w:r>
              <w:rPr>
                <w:rFonts w:hint="eastAsia" w:ascii="宋体" w:hAnsi="宋体" w:cs="宋体"/>
                <w:kern w:val="0"/>
                <w:position w:val="-2"/>
                <w:szCs w:val="21"/>
                <w:highlight w:val="none"/>
              </w:rPr>
              <w:t>（1）</w:t>
            </w:r>
            <w:r>
              <w:rPr>
                <w:rFonts w:hint="eastAsia" w:ascii="宋体" w:hAnsi="宋体" w:cs="宋体"/>
                <w:kern w:val="0"/>
                <w:szCs w:val="21"/>
                <w:highlight w:val="none"/>
              </w:rPr>
              <w:t>投标人拟投入的其他人员满足资格条件的得10分；</w:t>
            </w:r>
          </w:p>
          <w:p>
            <w:pPr>
              <w:autoSpaceDE w:val="0"/>
              <w:autoSpaceDN w:val="0"/>
              <w:adjustRightInd w:val="0"/>
              <w:spacing w:line="320" w:lineRule="exact"/>
              <w:rPr>
                <w:rFonts w:ascii="宋体" w:hAnsi="宋体" w:cs="宋体"/>
                <w:kern w:val="0"/>
                <w:szCs w:val="21"/>
                <w:highlight w:val="none"/>
              </w:rPr>
            </w:pPr>
            <w:r>
              <w:rPr>
                <w:rFonts w:hint="eastAsia" w:ascii="宋体" w:hAnsi="宋体" w:cs="宋体"/>
                <w:kern w:val="0"/>
                <w:position w:val="-2"/>
                <w:szCs w:val="21"/>
                <w:highlight w:val="none"/>
              </w:rPr>
              <w:t>（2）</w:t>
            </w:r>
            <w:r>
              <w:rPr>
                <w:rFonts w:hint="eastAsia" w:ascii="宋体" w:hAnsi="宋体" w:cs="宋体"/>
                <w:kern w:val="0"/>
                <w:szCs w:val="21"/>
                <w:highlight w:val="none"/>
              </w:rPr>
              <w:t>其中每有一人同时具备交通运输行政主管部门核发的公路工程试验检测工程师[桥梁(或桥梁隧道)，和交通工程（或交通安全设施专业）]或公路工程试验检测师证书（桥梁隧道工程和交通工程）的得1分，最多得5分。</w:t>
            </w:r>
          </w:p>
          <w:p>
            <w:pPr>
              <w:autoSpaceDE w:val="0"/>
              <w:autoSpaceDN w:val="0"/>
              <w:adjustRightInd w:val="0"/>
              <w:spacing w:line="320" w:lineRule="exact"/>
              <w:rPr>
                <w:rFonts w:ascii="宋体" w:hAnsi="宋体" w:cs="宋体"/>
                <w:kern w:val="0"/>
                <w:szCs w:val="21"/>
                <w:highlight w:val="none"/>
              </w:rPr>
            </w:pPr>
            <w:r>
              <w:rPr>
                <w:rFonts w:hint="eastAsia" w:ascii="宋体" w:hAnsi="宋体" w:cs="宋体"/>
                <w:kern w:val="0"/>
                <w:position w:val="-2"/>
                <w:szCs w:val="21"/>
                <w:highlight w:val="none"/>
              </w:rPr>
              <w:t>注：本项满分15分。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3" w:hRule="atLeast"/>
        </w:trPr>
        <w:tc>
          <w:tcPr>
            <w:tcW w:w="445"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position w:val="-2"/>
                <w:szCs w:val="21"/>
                <w:highlight w:val="none"/>
              </w:rPr>
            </w:pPr>
            <w:r>
              <w:rPr>
                <w:rFonts w:hint="eastAsia" w:ascii="宋体" w:hAnsi="宋体" w:cs="宋体"/>
                <w:kern w:val="0"/>
                <w:position w:val="-2"/>
                <w:szCs w:val="21"/>
                <w:highlight w:val="none"/>
              </w:rPr>
              <w:t>2</w:t>
            </w:r>
          </w:p>
        </w:tc>
        <w:tc>
          <w:tcPr>
            <w:tcW w:w="596" w:type="pct"/>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position w:val="-2"/>
                <w:szCs w:val="21"/>
                <w:highlight w:val="none"/>
              </w:rPr>
            </w:pPr>
            <w:r>
              <w:rPr>
                <w:rFonts w:hint="eastAsia" w:ascii="宋体" w:hAnsi="宋体" w:cs="宋体"/>
                <w:kern w:val="0"/>
                <w:position w:val="-2"/>
                <w:szCs w:val="21"/>
                <w:highlight w:val="none"/>
              </w:rPr>
              <w:t>检测实施方案</w:t>
            </w:r>
          </w:p>
        </w:tc>
        <w:tc>
          <w:tcPr>
            <w:tcW w:w="597"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position w:val="-2"/>
                <w:szCs w:val="21"/>
                <w:highlight w:val="none"/>
              </w:rPr>
            </w:pPr>
            <w:r>
              <w:rPr>
                <w:rFonts w:hint="eastAsia" w:ascii="宋体" w:hAnsi="宋体" w:cs="宋体"/>
                <w:kern w:val="0"/>
                <w:position w:val="-2"/>
                <w:szCs w:val="21"/>
                <w:highlight w:val="none"/>
              </w:rPr>
              <w:t>25分</w:t>
            </w:r>
          </w:p>
        </w:tc>
        <w:tc>
          <w:tcPr>
            <w:tcW w:w="3361" w:type="pct"/>
            <w:gridSpan w:val="3"/>
            <w:tcBorders>
              <w:top w:val="single" w:color="auto" w:sz="4" w:space="0"/>
              <w:left w:val="single" w:color="auto" w:sz="4" w:space="0"/>
              <w:bottom w:val="single" w:color="auto" w:sz="4" w:space="0"/>
              <w:right w:val="single" w:color="auto" w:sz="4" w:space="0"/>
            </w:tcBorders>
            <w:vAlign w:val="center"/>
          </w:tcPr>
          <w:p>
            <w:pPr>
              <w:rPr>
                <w:rFonts w:ascii="宋体" w:hAnsi="宋体" w:cs="宋体"/>
                <w:kern w:val="0"/>
                <w:position w:val="-2"/>
                <w:szCs w:val="21"/>
                <w:highlight w:val="none"/>
              </w:rPr>
            </w:pPr>
            <w:r>
              <w:rPr>
                <w:rFonts w:hint="eastAsia" w:ascii="宋体" w:hAnsi="宋体" w:cs="宋体"/>
                <w:kern w:val="0"/>
                <w:position w:val="-2"/>
                <w:szCs w:val="21"/>
                <w:highlight w:val="none"/>
              </w:rPr>
              <w:t>根据工作的程序与方法、工作服务的目标及保证措施、本项目的重点和难点分析及对策措施进行评分。得分低于60%时说明理由。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45" w:type="pct"/>
            <w:tcBorders>
              <w:top w:val="single" w:color="auto" w:sz="4" w:space="0"/>
              <w:left w:val="single" w:color="auto" w:sz="4" w:space="0"/>
              <w:bottom w:val="single" w:color="auto" w:sz="4" w:space="0"/>
              <w:right w:val="single" w:color="auto" w:sz="4" w:space="0"/>
            </w:tcBorders>
            <w:vAlign w:val="center"/>
          </w:tcPr>
          <w:p>
            <w:pPr>
              <w:spacing w:line="520" w:lineRule="exact"/>
              <w:jc w:val="center"/>
              <w:rPr>
                <w:rFonts w:ascii="宋体" w:hAnsi="宋体" w:cs="宋体"/>
                <w:kern w:val="0"/>
                <w:position w:val="-2"/>
                <w:szCs w:val="21"/>
                <w:highlight w:val="none"/>
              </w:rPr>
            </w:pPr>
            <w:r>
              <w:rPr>
                <w:rFonts w:hint="eastAsia" w:ascii="宋体" w:hAnsi="宋体" w:cs="宋体"/>
                <w:kern w:val="0"/>
                <w:position w:val="-2"/>
                <w:szCs w:val="21"/>
                <w:highlight w:val="none"/>
              </w:rPr>
              <w:t>3</w:t>
            </w:r>
          </w:p>
        </w:tc>
        <w:tc>
          <w:tcPr>
            <w:tcW w:w="596" w:type="pct"/>
            <w:gridSpan w:val="2"/>
            <w:tcBorders>
              <w:top w:val="single" w:color="auto" w:sz="4" w:space="0"/>
              <w:left w:val="single" w:color="auto" w:sz="4" w:space="0"/>
              <w:bottom w:val="single" w:color="auto" w:sz="4" w:space="0"/>
              <w:right w:val="single" w:color="auto" w:sz="4" w:space="0"/>
            </w:tcBorders>
            <w:vAlign w:val="center"/>
          </w:tcPr>
          <w:p>
            <w:pPr>
              <w:spacing w:line="520" w:lineRule="exact"/>
              <w:jc w:val="center"/>
              <w:rPr>
                <w:rFonts w:ascii="宋体" w:hAnsi="宋体" w:cs="宋体"/>
                <w:kern w:val="0"/>
                <w:position w:val="-2"/>
                <w:szCs w:val="21"/>
                <w:highlight w:val="none"/>
              </w:rPr>
            </w:pPr>
            <w:r>
              <w:rPr>
                <w:rFonts w:hint="eastAsia" w:ascii="宋体" w:hAnsi="宋体" w:cs="宋体"/>
                <w:kern w:val="0"/>
                <w:position w:val="-2"/>
                <w:szCs w:val="21"/>
                <w:highlight w:val="none"/>
              </w:rPr>
              <w:t>业绩</w:t>
            </w:r>
          </w:p>
        </w:tc>
        <w:tc>
          <w:tcPr>
            <w:tcW w:w="597" w:type="pct"/>
            <w:tcBorders>
              <w:top w:val="single" w:color="auto" w:sz="4" w:space="0"/>
              <w:left w:val="single" w:color="auto" w:sz="4" w:space="0"/>
              <w:bottom w:val="single" w:color="auto" w:sz="4" w:space="0"/>
              <w:right w:val="single" w:color="auto" w:sz="4" w:space="0"/>
            </w:tcBorders>
            <w:vAlign w:val="center"/>
          </w:tcPr>
          <w:p>
            <w:pPr>
              <w:spacing w:line="520" w:lineRule="exact"/>
              <w:jc w:val="center"/>
              <w:rPr>
                <w:rFonts w:ascii="宋体" w:hAnsi="宋体" w:cs="宋体"/>
                <w:kern w:val="0"/>
                <w:position w:val="-2"/>
                <w:szCs w:val="21"/>
                <w:highlight w:val="none"/>
              </w:rPr>
            </w:pPr>
            <w:r>
              <w:rPr>
                <w:rFonts w:hint="eastAsia" w:ascii="宋体" w:hAnsi="宋体" w:cs="宋体"/>
                <w:kern w:val="0"/>
                <w:position w:val="-2"/>
                <w:szCs w:val="21"/>
                <w:highlight w:val="none"/>
              </w:rPr>
              <w:t>20分</w:t>
            </w:r>
          </w:p>
        </w:tc>
        <w:tc>
          <w:tcPr>
            <w:tcW w:w="3361" w:type="pct"/>
            <w:gridSpan w:val="3"/>
            <w:tcBorders>
              <w:top w:val="single" w:color="auto" w:sz="4" w:space="0"/>
              <w:left w:val="single" w:color="auto" w:sz="4" w:space="0"/>
              <w:bottom w:val="single" w:color="auto" w:sz="4" w:space="0"/>
              <w:right w:val="single" w:color="auto" w:sz="4" w:space="0"/>
            </w:tcBorders>
          </w:tcPr>
          <w:p>
            <w:pPr>
              <w:rPr>
                <w:rFonts w:ascii="宋体" w:hAnsi="宋体" w:cs="宋体"/>
                <w:szCs w:val="21"/>
                <w:highlight w:val="none"/>
              </w:rPr>
            </w:pPr>
            <w:r>
              <w:rPr>
                <w:rFonts w:hint="eastAsia" w:ascii="宋体" w:hAnsi="宋体" w:cs="宋体"/>
                <w:szCs w:val="21"/>
                <w:highlight w:val="none"/>
              </w:rPr>
              <w:t>投标人满足资格条件要求的得基本分12分，在此基础上：</w:t>
            </w:r>
          </w:p>
          <w:p>
            <w:pPr>
              <w:rPr>
                <w:rFonts w:ascii="宋体" w:hAnsi="宋体" w:cs="宋体"/>
                <w:szCs w:val="21"/>
                <w:highlight w:val="none"/>
              </w:rPr>
            </w:pPr>
            <w:r>
              <w:rPr>
                <w:rFonts w:hint="eastAsia" w:ascii="宋体" w:hAnsi="宋体" w:cs="宋体"/>
                <w:szCs w:val="21"/>
                <w:highlight w:val="none"/>
              </w:rPr>
              <w:t>（1）自2021年1月1日以来（以合同签订时间为准），投标人每增加一个参与过设区市或以上农村公路路面技术状况自动化检评数据抽核项目加2分，最多加4分；</w:t>
            </w:r>
          </w:p>
          <w:p>
            <w:pPr>
              <w:rPr>
                <w:rFonts w:ascii="宋体" w:hAnsi="宋体" w:cs="宋体"/>
                <w:szCs w:val="21"/>
                <w:highlight w:val="none"/>
              </w:rPr>
            </w:pPr>
            <w:r>
              <w:rPr>
                <w:rFonts w:hint="eastAsia" w:ascii="宋体" w:hAnsi="宋体" w:cs="宋体"/>
                <w:szCs w:val="21"/>
                <w:highlight w:val="none"/>
              </w:rPr>
              <w:t>（2）自2021年1月1日以来（以合同签订时间为准），投标人每增加一个参与过县级农村公路路面技术状况自动化检测项目加2分，最多加4分。</w:t>
            </w:r>
          </w:p>
          <w:p>
            <w:pPr>
              <w:rPr>
                <w:rFonts w:ascii="宋体" w:hAnsi="宋体" w:cs="宋体"/>
                <w:szCs w:val="21"/>
                <w:highlight w:val="none"/>
              </w:rPr>
            </w:pPr>
            <w:r>
              <w:rPr>
                <w:rFonts w:hint="eastAsia" w:ascii="宋体" w:hAnsi="宋体" w:cs="宋体"/>
                <w:b/>
                <w:bCs/>
                <w:szCs w:val="21"/>
                <w:highlight w:val="none"/>
              </w:rPr>
              <w:t>注：须提供合同和经发包人盖章确认的已完工证明材料。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5" w:type="pct"/>
            <w:tcBorders>
              <w:top w:val="single" w:color="auto" w:sz="4" w:space="0"/>
              <w:left w:val="single" w:color="auto" w:sz="4" w:space="0"/>
              <w:bottom w:val="single" w:color="auto" w:sz="4" w:space="0"/>
              <w:right w:val="single" w:color="auto" w:sz="4" w:space="0"/>
            </w:tcBorders>
            <w:vAlign w:val="center"/>
          </w:tcPr>
          <w:p>
            <w:pPr>
              <w:spacing w:line="520" w:lineRule="exact"/>
              <w:jc w:val="center"/>
              <w:rPr>
                <w:rFonts w:ascii="宋体" w:hAnsi="宋体" w:cs="宋体"/>
                <w:kern w:val="0"/>
                <w:position w:val="-2"/>
                <w:szCs w:val="21"/>
                <w:highlight w:val="none"/>
              </w:rPr>
            </w:pPr>
            <w:r>
              <w:rPr>
                <w:rFonts w:hint="eastAsia" w:ascii="宋体" w:hAnsi="宋体" w:cs="宋体"/>
                <w:kern w:val="0"/>
                <w:position w:val="-2"/>
                <w:szCs w:val="21"/>
                <w:highlight w:val="none"/>
              </w:rPr>
              <w:t>4</w:t>
            </w:r>
          </w:p>
        </w:tc>
        <w:tc>
          <w:tcPr>
            <w:tcW w:w="596" w:type="pct"/>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cs="宋体"/>
                <w:kern w:val="0"/>
                <w:position w:val="-2"/>
                <w:szCs w:val="21"/>
                <w:highlight w:val="none"/>
              </w:rPr>
            </w:pPr>
            <w:r>
              <w:rPr>
                <w:rFonts w:hint="eastAsia" w:ascii="宋体" w:hAnsi="宋体" w:cs="宋体"/>
                <w:kern w:val="0"/>
                <w:position w:val="-2"/>
                <w:szCs w:val="21"/>
                <w:highlight w:val="none"/>
              </w:rPr>
              <w:t>检测设备设置</w:t>
            </w:r>
          </w:p>
        </w:tc>
        <w:tc>
          <w:tcPr>
            <w:tcW w:w="597" w:type="pct"/>
            <w:tcBorders>
              <w:top w:val="single" w:color="auto" w:sz="4" w:space="0"/>
              <w:left w:val="single" w:color="auto" w:sz="4" w:space="0"/>
              <w:bottom w:val="single" w:color="auto" w:sz="4" w:space="0"/>
              <w:right w:val="single" w:color="auto" w:sz="4" w:space="0"/>
            </w:tcBorders>
            <w:vAlign w:val="center"/>
          </w:tcPr>
          <w:p>
            <w:pPr>
              <w:spacing w:line="520" w:lineRule="exact"/>
              <w:jc w:val="center"/>
              <w:rPr>
                <w:rFonts w:ascii="宋体" w:hAnsi="宋体" w:cs="宋体"/>
                <w:kern w:val="0"/>
                <w:position w:val="-2"/>
                <w:szCs w:val="21"/>
                <w:highlight w:val="none"/>
              </w:rPr>
            </w:pPr>
            <w:r>
              <w:rPr>
                <w:rFonts w:hint="eastAsia" w:ascii="宋体" w:hAnsi="宋体" w:cs="宋体"/>
                <w:kern w:val="0"/>
                <w:position w:val="-2"/>
                <w:szCs w:val="21"/>
                <w:highlight w:val="none"/>
              </w:rPr>
              <w:t>10分</w:t>
            </w:r>
          </w:p>
        </w:tc>
        <w:tc>
          <w:tcPr>
            <w:tcW w:w="3361" w:type="pct"/>
            <w:gridSpan w:val="3"/>
            <w:tcBorders>
              <w:top w:val="single" w:color="auto" w:sz="4" w:space="0"/>
              <w:left w:val="single" w:color="auto" w:sz="4" w:space="0"/>
              <w:bottom w:val="single" w:color="auto" w:sz="4" w:space="0"/>
              <w:right w:val="single" w:color="auto" w:sz="4" w:space="0"/>
            </w:tcBorders>
          </w:tcPr>
          <w:p>
            <w:pPr>
              <w:rPr>
                <w:rFonts w:ascii="宋体" w:hAnsi="宋体" w:cs="宋体"/>
                <w:szCs w:val="21"/>
                <w:highlight w:val="none"/>
              </w:rPr>
            </w:pPr>
            <w:r>
              <w:rPr>
                <w:rFonts w:hint="eastAsia" w:ascii="宋体" w:hAnsi="宋体" w:cs="宋体"/>
                <w:szCs w:val="21"/>
                <w:highlight w:val="none"/>
              </w:rPr>
              <w:t>投标人满足基本要求得6分，在此基础上：</w:t>
            </w:r>
          </w:p>
          <w:p>
            <w:pPr>
              <w:rPr>
                <w:rFonts w:ascii="宋体" w:hAnsi="宋体" w:cs="宋体"/>
                <w:szCs w:val="21"/>
                <w:highlight w:val="none"/>
              </w:rPr>
            </w:pPr>
            <w:r>
              <w:rPr>
                <w:rFonts w:hint="eastAsia" w:ascii="宋体" w:hAnsi="宋体" w:cs="宋体"/>
                <w:szCs w:val="21"/>
                <w:highlight w:val="none"/>
              </w:rPr>
              <w:t>（1）投入本项目的多功能自动化综合检测车同时具备路面破损检测系统和十三个激光器（探头）或以上的激光测试仪，加2分。</w:t>
            </w:r>
          </w:p>
          <w:p>
            <w:pPr>
              <w:rPr>
                <w:rFonts w:ascii="宋体" w:hAnsi="宋体" w:cs="宋体"/>
                <w:b/>
                <w:bCs/>
                <w:szCs w:val="21"/>
                <w:highlight w:val="none"/>
              </w:rPr>
            </w:pPr>
            <w:r>
              <w:rPr>
                <w:rFonts w:hint="eastAsia" w:ascii="宋体" w:hAnsi="宋体" w:cs="宋体"/>
                <w:b/>
                <w:bCs/>
                <w:szCs w:val="21"/>
                <w:highlight w:val="none"/>
              </w:rPr>
              <w:t>注：本项最多得2分。须提供相关证明材料，不提供不得分。</w:t>
            </w:r>
          </w:p>
          <w:p>
            <w:pPr>
              <w:rPr>
                <w:rFonts w:ascii="宋体" w:hAnsi="宋体" w:cs="宋体"/>
                <w:szCs w:val="21"/>
                <w:highlight w:val="none"/>
              </w:rPr>
            </w:pPr>
            <w:r>
              <w:rPr>
                <w:rFonts w:hint="eastAsia" w:ascii="宋体" w:hAnsi="宋体" w:cs="宋体"/>
                <w:szCs w:val="21"/>
                <w:highlight w:val="none"/>
              </w:rPr>
              <w:t>（2）投入本项目的多功能自动化综合检测车具备AI智能巡检系统（系统服务期限须满足本项目服务期要求）的加2分。</w:t>
            </w:r>
          </w:p>
          <w:p>
            <w:pPr>
              <w:rPr>
                <w:rFonts w:ascii="宋体" w:hAnsi="宋体" w:cs="宋体"/>
                <w:szCs w:val="21"/>
                <w:highlight w:val="none"/>
              </w:rPr>
            </w:pPr>
            <w:r>
              <w:rPr>
                <w:rFonts w:hint="eastAsia" w:ascii="宋体" w:hAnsi="宋体" w:cs="宋体"/>
                <w:b/>
                <w:bCs/>
                <w:szCs w:val="21"/>
                <w:highlight w:val="none"/>
              </w:rPr>
              <w:t>注：本项最多得2分。须提供相关证明材料，不提供不得分。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0" w:hRule="atLeast"/>
        </w:trPr>
        <w:tc>
          <w:tcPr>
            <w:tcW w:w="445" w:type="pct"/>
            <w:tcBorders>
              <w:top w:val="single" w:color="auto" w:sz="4" w:space="0"/>
              <w:left w:val="single" w:color="auto" w:sz="4" w:space="0"/>
              <w:bottom w:val="single" w:color="auto" w:sz="4" w:space="0"/>
              <w:right w:val="single" w:color="auto" w:sz="4" w:space="0"/>
            </w:tcBorders>
            <w:vAlign w:val="center"/>
          </w:tcPr>
          <w:p>
            <w:pPr>
              <w:spacing w:line="520" w:lineRule="exact"/>
              <w:jc w:val="center"/>
              <w:rPr>
                <w:rFonts w:ascii="宋体" w:hAnsi="宋体" w:cs="宋体"/>
                <w:kern w:val="0"/>
                <w:position w:val="-2"/>
                <w:szCs w:val="21"/>
                <w:highlight w:val="none"/>
              </w:rPr>
            </w:pPr>
            <w:r>
              <w:rPr>
                <w:rFonts w:hint="eastAsia" w:ascii="宋体" w:hAnsi="宋体" w:cs="宋体"/>
                <w:kern w:val="0"/>
                <w:position w:val="-2"/>
                <w:szCs w:val="21"/>
                <w:highlight w:val="none"/>
              </w:rPr>
              <w:t>5</w:t>
            </w:r>
          </w:p>
        </w:tc>
        <w:tc>
          <w:tcPr>
            <w:tcW w:w="596" w:type="pct"/>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jc w:val="center"/>
              <w:rPr>
                <w:rFonts w:ascii="宋体" w:hAnsi="宋体" w:cs="宋体"/>
                <w:kern w:val="0"/>
                <w:position w:val="-2"/>
                <w:szCs w:val="21"/>
                <w:highlight w:val="none"/>
              </w:rPr>
            </w:pPr>
            <w:r>
              <w:rPr>
                <w:rFonts w:hint="eastAsia" w:ascii="宋体" w:hAnsi="宋体" w:cs="宋体"/>
                <w:kern w:val="0"/>
                <w:position w:val="-2"/>
                <w:szCs w:val="21"/>
                <w:highlight w:val="none"/>
              </w:rPr>
              <w:t>履约信誉</w:t>
            </w:r>
          </w:p>
        </w:tc>
        <w:tc>
          <w:tcPr>
            <w:tcW w:w="597"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jc w:val="center"/>
              <w:rPr>
                <w:rFonts w:ascii="宋体" w:hAnsi="宋体" w:cs="宋体"/>
                <w:kern w:val="0"/>
                <w:position w:val="-2"/>
                <w:szCs w:val="21"/>
                <w:highlight w:val="none"/>
              </w:rPr>
            </w:pPr>
            <w:r>
              <w:rPr>
                <w:rFonts w:hint="eastAsia" w:ascii="宋体" w:hAnsi="宋体" w:cs="宋体"/>
                <w:kern w:val="0"/>
                <w:position w:val="-2"/>
                <w:szCs w:val="21"/>
                <w:highlight w:val="none"/>
              </w:rPr>
              <w:t>5分</w:t>
            </w:r>
          </w:p>
        </w:tc>
        <w:tc>
          <w:tcPr>
            <w:tcW w:w="3361" w:type="pct"/>
            <w:gridSpan w:val="3"/>
            <w:tcBorders>
              <w:top w:val="single" w:color="auto" w:sz="4" w:space="0"/>
              <w:left w:val="single" w:color="auto" w:sz="4" w:space="0"/>
              <w:bottom w:val="single" w:color="auto" w:sz="4" w:space="0"/>
              <w:right w:val="single" w:color="auto" w:sz="4" w:space="0"/>
            </w:tcBorders>
          </w:tcPr>
          <w:p>
            <w:pPr>
              <w:adjustRightInd w:val="0"/>
              <w:snapToGrid w:val="0"/>
              <w:jc w:val="left"/>
              <w:rPr>
                <w:rFonts w:ascii="宋体" w:hAnsi="宋体" w:cs="宋体"/>
                <w:snapToGrid w:val="0"/>
                <w:kern w:val="0"/>
                <w:szCs w:val="21"/>
                <w:highlight w:val="none"/>
              </w:rPr>
            </w:pPr>
            <w:r>
              <w:rPr>
                <w:rFonts w:hint="eastAsia" w:ascii="宋体" w:hAnsi="宋体" w:cs="宋体"/>
                <w:snapToGrid w:val="0"/>
                <w:kern w:val="0"/>
                <w:szCs w:val="21"/>
                <w:highlight w:val="none"/>
              </w:rPr>
              <w:t>按照《江苏省公路水运建设市场信用信息管理办法》，对在投标截止当天查询的投标人在最近一次江苏省公路水路建设市场从业单位信用评定结果中的信用等级和分数进行评定（从业单位在本省无信用评价记录的，信用等级分数按省交通运输厅关于印发《江苏省公路水运建设市场信用信息管理办法》的通知 苏交规〔2024〕6号文件执行。信用评价类型：试验检测。）</w:t>
            </w:r>
          </w:p>
          <w:p>
            <w:pPr>
              <w:adjustRightInd w:val="0"/>
              <w:snapToGrid w:val="0"/>
              <w:jc w:val="left"/>
              <w:rPr>
                <w:rFonts w:ascii="宋体" w:hAnsi="宋体" w:cs="宋体"/>
                <w:snapToGrid w:val="0"/>
                <w:kern w:val="0"/>
                <w:szCs w:val="21"/>
                <w:highlight w:val="none"/>
              </w:rPr>
            </w:pPr>
            <w:r>
              <w:rPr>
                <w:rFonts w:hint="eastAsia" w:ascii="宋体" w:hAnsi="宋体" w:cs="宋体"/>
                <w:snapToGrid w:val="0"/>
                <w:kern w:val="0"/>
                <w:szCs w:val="21"/>
                <w:highlight w:val="none"/>
              </w:rPr>
              <w:t>（1）信用等级评为AA级或红名单的，信用得分为X。</w:t>
            </w:r>
          </w:p>
          <w:p>
            <w:pPr>
              <w:adjustRightInd w:val="0"/>
              <w:snapToGrid w:val="0"/>
              <w:jc w:val="left"/>
              <w:rPr>
                <w:rFonts w:ascii="宋体" w:hAnsi="宋体" w:cs="宋体"/>
                <w:snapToGrid w:val="0"/>
                <w:kern w:val="0"/>
                <w:szCs w:val="21"/>
                <w:highlight w:val="none"/>
              </w:rPr>
            </w:pPr>
            <w:r>
              <w:rPr>
                <w:rFonts w:hint="eastAsia" w:ascii="宋体" w:hAnsi="宋体" w:cs="宋体"/>
                <w:snapToGrid w:val="0"/>
                <w:kern w:val="0"/>
                <w:szCs w:val="21"/>
                <w:highlight w:val="none"/>
              </w:rPr>
              <w:t>（2）信用等级评为A级（含暂定A级）的，信用得分按下列公式计算：</w:t>
            </w:r>
          </w:p>
          <w:p>
            <w:pPr>
              <w:adjustRightInd w:val="0"/>
              <w:snapToGrid w:val="0"/>
              <w:jc w:val="left"/>
              <w:rPr>
                <w:rFonts w:ascii="宋体" w:hAnsi="宋体" w:cs="宋体"/>
                <w:snapToGrid w:val="0"/>
                <w:kern w:val="0"/>
                <w:szCs w:val="21"/>
                <w:highlight w:val="none"/>
              </w:rPr>
            </w:pPr>
            <w:r>
              <w:rPr>
                <w:rFonts w:hint="eastAsia" w:ascii="宋体" w:hAnsi="宋体" w:cs="宋体"/>
                <w:snapToGrid w:val="0"/>
                <w:kern w:val="0"/>
                <w:szCs w:val="21"/>
                <w:highlight w:val="none"/>
              </w:rPr>
              <w:t xml:space="preserve">Y=0.15×X×(Z-85)÷10+0.8×X </w:t>
            </w:r>
          </w:p>
          <w:p>
            <w:pPr>
              <w:adjustRightInd w:val="0"/>
              <w:snapToGrid w:val="0"/>
              <w:jc w:val="left"/>
              <w:rPr>
                <w:rFonts w:ascii="宋体" w:hAnsi="宋体" w:cs="宋体"/>
                <w:snapToGrid w:val="0"/>
                <w:kern w:val="0"/>
                <w:szCs w:val="21"/>
                <w:highlight w:val="none"/>
              </w:rPr>
            </w:pPr>
            <w:r>
              <w:rPr>
                <w:rFonts w:hint="eastAsia" w:ascii="宋体" w:hAnsi="宋体" w:cs="宋体"/>
                <w:snapToGrid w:val="0"/>
                <w:kern w:val="0"/>
                <w:szCs w:val="21"/>
                <w:highlight w:val="none"/>
              </w:rPr>
              <w:t>（3）信用等级评为B级（含暂定B级）的，信用得分按下列公式计算：</w:t>
            </w:r>
          </w:p>
          <w:p>
            <w:pPr>
              <w:adjustRightInd w:val="0"/>
              <w:snapToGrid w:val="0"/>
              <w:jc w:val="left"/>
              <w:rPr>
                <w:rFonts w:ascii="宋体" w:hAnsi="宋体" w:cs="宋体"/>
                <w:snapToGrid w:val="0"/>
                <w:kern w:val="0"/>
                <w:szCs w:val="21"/>
                <w:highlight w:val="none"/>
              </w:rPr>
            </w:pPr>
            <w:r>
              <w:rPr>
                <w:rFonts w:hint="eastAsia" w:ascii="宋体" w:hAnsi="宋体" w:cs="宋体"/>
                <w:snapToGrid w:val="0"/>
                <w:kern w:val="0"/>
                <w:szCs w:val="21"/>
                <w:highlight w:val="none"/>
              </w:rPr>
              <w:t xml:space="preserve">Y=0.15×X×(Z-75)÷10+0.65×X </w:t>
            </w:r>
          </w:p>
          <w:p>
            <w:pPr>
              <w:adjustRightInd w:val="0"/>
              <w:snapToGrid w:val="0"/>
              <w:jc w:val="left"/>
              <w:rPr>
                <w:rFonts w:ascii="宋体" w:hAnsi="宋体" w:cs="宋体"/>
                <w:snapToGrid w:val="0"/>
                <w:kern w:val="0"/>
                <w:szCs w:val="21"/>
                <w:highlight w:val="none"/>
              </w:rPr>
            </w:pPr>
            <w:r>
              <w:rPr>
                <w:rFonts w:hint="eastAsia" w:ascii="宋体" w:hAnsi="宋体" w:cs="宋体"/>
                <w:snapToGrid w:val="0"/>
                <w:kern w:val="0"/>
                <w:szCs w:val="21"/>
                <w:highlight w:val="none"/>
              </w:rPr>
              <w:t>（4）信用等级评为C级（含暂定C级）的，信用得分按下列公式计算：</w:t>
            </w:r>
          </w:p>
          <w:p>
            <w:pPr>
              <w:adjustRightInd w:val="0"/>
              <w:snapToGrid w:val="0"/>
              <w:jc w:val="left"/>
              <w:rPr>
                <w:rFonts w:ascii="宋体" w:hAnsi="宋体" w:cs="宋体"/>
                <w:snapToGrid w:val="0"/>
                <w:kern w:val="0"/>
                <w:szCs w:val="21"/>
                <w:highlight w:val="none"/>
              </w:rPr>
            </w:pPr>
            <w:r>
              <w:rPr>
                <w:rFonts w:hint="eastAsia" w:ascii="宋体" w:hAnsi="宋体" w:cs="宋体"/>
                <w:snapToGrid w:val="0"/>
                <w:kern w:val="0"/>
                <w:szCs w:val="21"/>
                <w:highlight w:val="none"/>
              </w:rPr>
              <w:t xml:space="preserve">Y=0.15×X×(Z-60)÷15+0.45×X </w:t>
            </w:r>
          </w:p>
          <w:p>
            <w:pPr>
              <w:adjustRightInd w:val="0"/>
              <w:snapToGrid w:val="0"/>
              <w:jc w:val="left"/>
              <w:rPr>
                <w:rFonts w:ascii="宋体" w:hAnsi="宋体" w:cs="宋体"/>
                <w:snapToGrid w:val="0"/>
                <w:kern w:val="0"/>
                <w:szCs w:val="21"/>
                <w:highlight w:val="none"/>
              </w:rPr>
            </w:pPr>
            <w:r>
              <w:rPr>
                <w:rFonts w:hint="eastAsia" w:ascii="宋体" w:hAnsi="宋体" w:cs="宋体"/>
                <w:snapToGrid w:val="0"/>
                <w:kern w:val="0"/>
                <w:szCs w:val="21"/>
                <w:highlight w:val="none"/>
              </w:rPr>
              <w:t>注：X为信用分满分值（5分），Y为从业单位在本次投标活动中的信用分值，Z为从业单位最近一次信用等级评定分值。无评定分值的A级从业单位，Z按85计算；暂定A级从业单位，Z按85计算；无评定分值的B级从业单位，Z按75计算；；无评定分值的C级从业单位，Z按60计算。</w:t>
            </w:r>
          </w:p>
          <w:p>
            <w:pPr>
              <w:adjustRightInd w:val="0"/>
              <w:snapToGrid w:val="0"/>
              <w:jc w:val="left"/>
              <w:rPr>
                <w:rFonts w:ascii="宋体" w:hAnsi="宋体" w:cs="宋体"/>
                <w:snapToGrid w:val="0"/>
                <w:kern w:val="0"/>
                <w:szCs w:val="21"/>
                <w:highlight w:val="none"/>
              </w:rPr>
            </w:pPr>
            <w:r>
              <w:rPr>
                <w:rFonts w:hint="eastAsia" w:ascii="宋体" w:hAnsi="宋体" w:cs="宋体"/>
                <w:snapToGrid w:val="0"/>
                <w:kern w:val="0"/>
                <w:szCs w:val="21"/>
                <w:highlight w:val="none"/>
              </w:rPr>
              <w:t>Y值结果保留2位小数，第3位四舍五入。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5" w:type="pct"/>
            <w:tcBorders>
              <w:top w:val="single" w:color="auto" w:sz="4" w:space="0"/>
              <w:left w:val="single" w:color="auto" w:sz="4" w:space="0"/>
              <w:bottom w:val="single" w:color="auto" w:sz="4" w:space="0"/>
              <w:right w:val="single" w:color="auto" w:sz="4" w:space="0"/>
            </w:tcBorders>
            <w:vAlign w:val="center"/>
          </w:tcPr>
          <w:p>
            <w:pPr>
              <w:spacing w:line="520" w:lineRule="exact"/>
              <w:jc w:val="center"/>
              <w:rPr>
                <w:rFonts w:ascii="宋体" w:hAnsi="宋体" w:cs="宋体"/>
                <w:kern w:val="0"/>
                <w:position w:val="-2"/>
                <w:szCs w:val="21"/>
                <w:highlight w:val="none"/>
              </w:rPr>
            </w:pPr>
            <w:r>
              <w:rPr>
                <w:rFonts w:hint="eastAsia" w:ascii="宋体" w:hAnsi="宋体" w:cs="宋体"/>
                <w:kern w:val="0"/>
                <w:position w:val="-2"/>
                <w:szCs w:val="21"/>
                <w:highlight w:val="none"/>
              </w:rPr>
              <w:t>6</w:t>
            </w:r>
          </w:p>
        </w:tc>
        <w:tc>
          <w:tcPr>
            <w:tcW w:w="596" w:type="pct"/>
            <w:gridSpan w:val="2"/>
            <w:tcBorders>
              <w:top w:val="single" w:color="auto" w:sz="4" w:space="0"/>
              <w:left w:val="single" w:color="auto" w:sz="4" w:space="0"/>
              <w:bottom w:val="single" w:color="auto" w:sz="4" w:space="0"/>
              <w:right w:val="single" w:color="auto" w:sz="4" w:space="0"/>
            </w:tcBorders>
            <w:vAlign w:val="center"/>
          </w:tcPr>
          <w:p>
            <w:pPr>
              <w:spacing w:line="520" w:lineRule="exact"/>
              <w:jc w:val="center"/>
              <w:rPr>
                <w:rFonts w:ascii="宋体" w:hAnsi="宋体" w:cs="宋体"/>
                <w:kern w:val="0"/>
                <w:position w:val="-2"/>
                <w:szCs w:val="21"/>
                <w:highlight w:val="none"/>
              </w:rPr>
            </w:pPr>
            <w:r>
              <w:rPr>
                <w:rFonts w:hint="eastAsia" w:ascii="宋体" w:hAnsi="宋体" w:cs="宋体"/>
                <w:kern w:val="0"/>
                <w:position w:val="-2"/>
                <w:szCs w:val="21"/>
                <w:highlight w:val="none"/>
              </w:rPr>
              <w:t>评标价</w:t>
            </w:r>
          </w:p>
        </w:tc>
        <w:tc>
          <w:tcPr>
            <w:tcW w:w="597" w:type="pct"/>
            <w:tcBorders>
              <w:top w:val="single" w:color="auto" w:sz="4" w:space="0"/>
              <w:left w:val="single" w:color="auto" w:sz="4" w:space="0"/>
              <w:bottom w:val="single" w:color="auto" w:sz="4" w:space="0"/>
              <w:right w:val="single" w:color="auto" w:sz="4" w:space="0"/>
            </w:tcBorders>
            <w:vAlign w:val="center"/>
          </w:tcPr>
          <w:p>
            <w:pPr>
              <w:spacing w:line="520" w:lineRule="exact"/>
              <w:jc w:val="center"/>
              <w:rPr>
                <w:rFonts w:ascii="宋体" w:hAnsi="宋体" w:cs="宋体"/>
                <w:kern w:val="0"/>
                <w:position w:val="-2"/>
                <w:szCs w:val="21"/>
                <w:highlight w:val="none"/>
              </w:rPr>
            </w:pPr>
            <w:r>
              <w:rPr>
                <w:rFonts w:hint="eastAsia" w:ascii="宋体" w:hAnsi="宋体" w:cs="宋体"/>
                <w:kern w:val="0"/>
                <w:position w:val="-2"/>
                <w:szCs w:val="21"/>
                <w:highlight w:val="none"/>
              </w:rPr>
              <w:t>10分</w:t>
            </w:r>
          </w:p>
        </w:tc>
        <w:tc>
          <w:tcPr>
            <w:tcW w:w="3361" w:type="pct"/>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20" w:lineRule="exact"/>
              <w:rPr>
                <w:rFonts w:ascii="宋体" w:hAnsi="宋体" w:cs="宋体"/>
                <w:kern w:val="0"/>
                <w:szCs w:val="21"/>
                <w:highlight w:val="none"/>
              </w:rPr>
            </w:pPr>
            <w:r>
              <w:rPr>
                <w:rFonts w:hint="eastAsia" w:ascii="宋体" w:hAnsi="宋体" w:cs="宋体"/>
                <w:kern w:val="0"/>
                <w:szCs w:val="21"/>
                <w:highlight w:val="none"/>
              </w:rPr>
              <w:t>投标价得分计算公式示例：</w:t>
            </w:r>
          </w:p>
          <w:p>
            <w:pPr>
              <w:autoSpaceDE w:val="0"/>
              <w:autoSpaceDN w:val="0"/>
              <w:adjustRightInd w:val="0"/>
              <w:spacing w:line="320" w:lineRule="exact"/>
              <w:rPr>
                <w:rFonts w:ascii="宋体" w:hAnsi="宋体" w:cs="宋体"/>
                <w:kern w:val="0"/>
                <w:szCs w:val="21"/>
                <w:highlight w:val="none"/>
              </w:rPr>
            </w:pPr>
            <w:r>
              <w:rPr>
                <w:rFonts w:hint="eastAsia" w:ascii="宋体" w:hAnsi="宋体" w:cs="宋体"/>
                <w:kern w:val="0"/>
                <w:szCs w:val="21"/>
                <w:highlight w:val="none"/>
              </w:rPr>
              <w:t>（1）如果投标人的评标价＞评标基准价，则评标价得分=10-偏差率×100×E1；</w:t>
            </w:r>
          </w:p>
          <w:p>
            <w:pPr>
              <w:autoSpaceDE w:val="0"/>
              <w:autoSpaceDN w:val="0"/>
              <w:adjustRightInd w:val="0"/>
              <w:spacing w:line="320" w:lineRule="exact"/>
              <w:rPr>
                <w:rFonts w:ascii="宋体" w:hAnsi="宋体" w:cs="宋体"/>
                <w:kern w:val="0"/>
                <w:szCs w:val="21"/>
                <w:highlight w:val="none"/>
              </w:rPr>
            </w:pPr>
            <w:r>
              <w:rPr>
                <w:rFonts w:hint="eastAsia" w:ascii="宋体" w:hAnsi="宋体" w:cs="宋体"/>
                <w:kern w:val="0"/>
                <w:szCs w:val="21"/>
                <w:highlight w:val="none"/>
              </w:rPr>
              <w:t>（2）如果投标人的评标价≤评标基准价，则评标价得分=10+偏差率×100×E2 。</w:t>
            </w:r>
          </w:p>
          <w:p>
            <w:pPr>
              <w:autoSpaceDE w:val="0"/>
              <w:autoSpaceDN w:val="0"/>
              <w:adjustRightInd w:val="0"/>
              <w:spacing w:line="320" w:lineRule="exact"/>
              <w:rPr>
                <w:rFonts w:ascii="宋体" w:hAnsi="宋体" w:cs="宋体"/>
                <w:kern w:val="0"/>
                <w:szCs w:val="21"/>
                <w:highlight w:val="none"/>
              </w:rPr>
            </w:pPr>
            <w:r>
              <w:rPr>
                <w:rFonts w:hint="eastAsia" w:ascii="宋体" w:hAnsi="宋体" w:cs="宋体"/>
                <w:kern w:val="0"/>
                <w:szCs w:val="21"/>
                <w:highlight w:val="none"/>
              </w:rPr>
              <w:t>其中：E1是评标价每高于评标基准价一个百分点的扣分值，E2是评标价每低于评标基准价一个百分点的扣分值。</w:t>
            </w:r>
          </w:p>
          <w:p>
            <w:pPr>
              <w:autoSpaceDE w:val="0"/>
              <w:autoSpaceDN w:val="0"/>
              <w:adjustRightInd w:val="0"/>
              <w:spacing w:line="320" w:lineRule="exact"/>
              <w:rPr>
                <w:rFonts w:ascii="宋体" w:hAnsi="宋体" w:cs="宋体"/>
                <w:kern w:val="0"/>
                <w:szCs w:val="21"/>
                <w:highlight w:val="none"/>
              </w:rPr>
            </w:pPr>
            <w:r>
              <w:rPr>
                <w:rFonts w:hint="eastAsia" w:ascii="宋体" w:hAnsi="宋体" w:cs="宋体"/>
                <w:kern w:val="0"/>
                <w:szCs w:val="21"/>
                <w:highlight w:val="none"/>
              </w:rPr>
              <w:t>本项目E1=</w:t>
            </w:r>
            <w:r>
              <w:rPr>
                <w:rFonts w:hint="eastAsia" w:ascii="宋体" w:hAnsi="宋体" w:cs="宋体"/>
                <w:kern w:val="0"/>
                <w:szCs w:val="21"/>
                <w:highlight w:val="none"/>
                <w:lang w:val="en-US" w:eastAsia="zh-CN"/>
              </w:rPr>
              <w:t>1</w:t>
            </w:r>
            <w:r>
              <w:rPr>
                <w:rFonts w:hint="eastAsia" w:ascii="宋体" w:hAnsi="宋体" w:cs="宋体"/>
                <w:kern w:val="0"/>
                <w:szCs w:val="21"/>
                <w:highlight w:val="none"/>
              </w:rPr>
              <w:t>，E2=</w:t>
            </w:r>
            <w:r>
              <w:rPr>
                <w:rFonts w:hint="eastAsia" w:ascii="宋体" w:hAnsi="宋体" w:cs="宋体"/>
                <w:kern w:val="0"/>
                <w:szCs w:val="21"/>
                <w:highlight w:val="none"/>
                <w:lang w:val="en-US" w:eastAsia="zh-CN"/>
              </w:rPr>
              <w:t>0.5</w:t>
            </w:r>
            <w:r>
              <w:rPr>
                <w:rFonts w:hint="eastAsia" w:ascii="宋体" w:hAnsi="宋体" w:cs="宋体"/>
                <w:kern w:val="0"/>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0" w:hRule="atLeast"/>
        </w:trPr>
        <w:tc>
          <w:tcPr>
            <w:tcW w:w="5000" w:type="pct"/>
            <w:gridSpan w:val="7"/>
            <w:vAlign w:val="center"/>
          </w:tcPr>
          <w:p>
            <w:pPr>
              <w:rPr>
                <w:rFonts w:ascii="宋体" w:hAnsi="宋体" w:cs="宋体"/>
                <w:snapToGrid w:val="0"/>
                <w:kern w:val="0"/>
                <w:szCs w:val="21"/>
                <w:highlight w:val="none"/>
              </w:rPr>
            </w:pPr>
            <w:r>
              <w:rPr>
                <w:rFonts w:hint="eastAsia" w:ascii="宋体" w:hAnsi="宋体" w:cs="宋体"/>
                <w:szCs w:val="21"/>
                <w:highlight w:val="none"/>
              </w:rPr>
              <w:t>需要补充的其他内容：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574" w:hRule="atLeast"/>
        </w:trPr>
        <w:tc>
          <w:tcPr>
            <w:tcW w:w="451" w:type="pct"/>
            <w:gridSpan w:val="2"/>
            <w:vAlign w:val="center"/>
          </w:tcPr>
          <w:p>
            <w:pPr>
              <w:spacing w:line="320" w:lineRule="exact"/>
              <w:rPr>
                <w:rFonts w:ascii="宋体" w:hAnsi="宋体" w:cs="宋体"/>
                <w:szCs w:val="21"/>
                <w:highlight w:val="none"/>
              </w:rPr>
            </w:pPr>
            <w:r>
              <w:rPr>
                <w:rFonts w:hint="eastAsia" w:ascii="宋体" w:hAnsi="宋体" w:cs="宋体"/>
                <w:szCs w:val="21"/>
                <w:highlight w:val="none"/>
              </w:rPr>
              <w:t>3.2.1</w:t>
            </w:r>
          </w:p>
        </w:tc>
        <w:tc>
          <w:tcPr>
            <w:tcW w:w="4548" w:type="pct"/>
            <w:gridSpan w:val="5"/>
            <w:vAlign w:val="center"/>
          </w:tcPr>
          <w:p>
            <w:pPr>
              <w:autoSpaceDE w:val="0"/>
              <w:autoSpaceDN w:val="0"/>
              <w:adjustRightInd w:val="0"/>
              <w:jc w:val="left"/>
              <w:rPr>
                <w:rFonts w:ascii="宋体" w:hAnsi="宋体" w:cs="宋体"/>
                <w:kern w:val="0"/>
                <w:szCs w:val="21"/>
                <w:highlight w:val="none"/>
              </w:rPr>
            </w:pPr>
            <w:r>
              <w:rPr>
                <w:rFonts w:hint="eastAsia" w:ascii="宋体" w:hAnsi="宋体" w:cs="宋体"/>
                <w:kern w:val="0"/>
                <w:szCs w:val="21"/>
                <w:highlight w:val="none"/>
              </w:rPr>
              <w:t>本项补充：</w:t>
            </w:r>
          </w:p>
          <w:p>
            <w:pPr>
              <w:spacing w:line="320" w:lineRule="exact"/>
              <w:rPr>
                <w:rFonts w:ascii="宋体" w:hAnsi="宋体" w:cs="宋体"/>
                <w:szCs w:val="21"/>
                <w:highlight w:val="none"/>
              </w:rPr>
            </w:pPr>
            <w:r>
              <w:rPr>
                <w:rFonts w:hint="eastAsia" w:ascii="宋体" w:hAnsi="宋体" w:cs="宋体"/>
                <w:kern w:val="0"/>
                <w:szCs w:val="21"/>
                <w:highlight w:val="none"/>
              </w:rPr>
              <w:t>评标委员会</w:t>
            </w:r>
            <w:r>
              <w:rPr>
                <w:rFonts w:hint="eastAsia" w:ascii="宋体" w:hAnsi="宋体" w:cs="宋体"/>
                <w:szCs w:val="21"/>
                <w:highlight w:val="none"/>
              </w:rPr>
              <w:t>依据“评标办法”第2.2.4（1）、（2）、（4）、（5）、（6）款规定的评分因素和分值</w:t>
            </w:r>
            <w:r>
              <w:rPr>
                <w:rFonts w:hint="eastAsia" w:ascii="宋体" w:hAnsi="宋体" w:cs="宋体"/>
                <w:kern w:val="0"/>
                <w:szCs w:val="21"/>
                <w:highlight w:val="none"/>
              </w:rPr>
              <w:t>进行打分，各评分因素、评分因素细分项（履约信誉评分项除外）得分一般不得低于其权重分值的60%。各评分因素得分为评标委员会各成员的打分平均值（若该评分因素含细分项，按评分因素细分项分别计算得分），评标委员会成员总数为7人或7人以上时，该平均值以去掉一个最高分和一个最低分后计算，计算保留小数点后两位，小数点后第三位“四舍五入”。评标委员会成员对某一项评分因素细分值的评分低于权重分值60%的，应在评标报告中作出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02" w:hRule="atLeast"/>
        </w:trPr>
        <w:tc>
          <w:tcPr>
            <w:tcW w:w="451" w:type="pct"/>
            <w:gridSpan w:val="2"/>
            <w:vAlign w:val="center"/>
          </w:tcPr>
          <w:p>
            <w:pPr>
              <w:spacing w:line="320" w:lineRule="exact"/>
              <w:rPr>
                <w:rFonts w:ascii="宋体" w:hAnsi="宋体" w:cs="宋体"/>
                <w:szCs w:val="21"/>
                <w:highlight w:val="none"/>
              </w:rPr>
            </w:pPr>
            <w:r>
              <w:rPr>
                <w:rFonts w:hint="eastAsia" w:ascii="宋体" w:hAnsi="宋体" w:cs="宋体"/>
                <w:szCs w:val="21"/>
                <w:highlight w:val="none"/>
              </w:rPr>
              <w:t>3.2.6</w:t>
            </w:r>
          </w:p>
        </w:tc>
        <w:tc>
          <w:tcPr>
            <w:tcW w:w="4548" w:type="pct"/>
            <w:gridSpan w:val="5"/>
            <w:vAlign w:val="center"/>
          </w:tcPr>
          <w:p>
            <w:pPr>
              <w:spacing w:line="320" w:lineRule="exact"/>
              <w:rPr>
                <w:rFonts w:ascii="宋体" w:hAnsi="宋体" w:cs="宋体"/>
                <w:kern w:val="0"/>
                <w:szCs w:val="21"/>
                <w:highlight w:val="none"/>
              </w:rPr>
            </w:pPr>
            <w:r>
              <w:rPr>
                <w:rFonts w:hint="eastAsia" w:ascii="宋体" w:hAnsi="宋体" w:cs="宋体"/>
                <w:kern w:val="0"/>
                <w:szCs w:val="21"/>
                <w:highlight w:val="none"/>
              </w:rPr>
              <w:t>增加补充本条款：</w:t>
            </w:r>
          </w:p>
          <w:p>
            <w:pPr>
              <w:spacing w:line="320" w:lineRule="exact"/>
              <w:rPr>
                <w:rFonts w:ascii="宋体" w:hAnsi="宋体" w:cs="宋体"/>
                <w:kern w:val="0"/>
                <w:szCs w:val="21"/>
                <w:highlight w:val="none"/>
              </w:rPr>
            </w:pPr>
            <w:r>
              <w:rPr>
                <w:rFonts w:hint="eastAsia" w:ascii="宋体" w:hAnsi="宋体" w:cs="宋体"/>
                <w:kern w:val="0"/>
                <w:szCs w:val="21"/>
                <w:highlight w:val="none"/>
              </w:rPr>
              <w:t>通过投标文件第一信封（商务及技术文件）评审的投标人不足3家的，评标委员会可以否决全部投标；未否决全部投标的，评标委员会应当在评标报告中阐明理由，招标人可按照第二章“投标人须知”第5.1款规定的时间和地点对投标文件第二信封（报价文件）进行开标，但评标委员会在进行报价文件评审时仍有权否决全部投标；评标委员会未在报价文件评审时否决全部投标的，应当在评标报告中阐明理由。</w:t>
            </w:r>
          </w:p>
        </w:tc>
      </w:tr>
    </w:tbl>
    <w:p>
      <w:pPr>
        <w:rPr>
          <w:rFonts w:ascii="Garamond" w:hAnsi="Garamond"/>
          <w:highlight w:val="none"/>
        </w:rPr>
      </w:pPr>
      <w:r>
        <w:rPr>
          <w:rFonts w:ascii="Garamond" w:hAnsi="Garamond"/>
          <w:highlight w:val="none"/>
        </w:rPr>
        <w:br w:type="page"/>
      </w:r>
    </w:p>
    <w:p>
      <w:pPr>
        <w:spacing w:line="400" w:lineRule="exact"/>
        <w:ind w:firstLine="412" w:firstLineChars="200"/>
        <w:rPr>
          <w:rFonts w:ascii="宋体" w:hAnsi="宋体" w:cs="宋体"/>
          <w:szCs w:val="21"/>
          <w:highlight w:val="none"/>
        </w:rPr>
      </w:pPr>
      <w:r>
        <w:rPr>
          <w:rFonts w:ascii="宋体" w:hAnsi="宋体" w:cs="宋体"/>
          <w:spacing w:val="-2"/>
          <w:szCs w:val="21"/>
          <w:highlight w:val="none"/>
        </w:rPr>
        <w:t>1.</w:t>
      </w:r>
      <w:r>
        <w:rPr>
          <w:rFonts w:ascii="宋体" w:hAnsi="宋体" w:cs="宋体"/>
          <w:spacing w:val="-1"/>
          <w:szCs w:val="21"/>
          <w:highlight w:val="none"/>
        </w:rPr>
        <w:t>评标方法</w:t>
      </w:r>
    </w:p>
    <w:p>
      <w:pPr>
        <w:pStyle w:val="166"/>
        <w:spacing w:line="400" w:lineRule="exact"/>
        <w:ind w:firstLine="420"/>
        <w:rPr>
          <w:rFonts w:cs="宋体"/>
          <w:sz w:val="21"/>
          <w:szCs w:val="21"/>
          <w:highlight w:val="none"/>
        </w:rPr>
      </w:pPr>
      <w:r>
        <w:rPr>
          <w:rFonts w:cs="宋体"/>
          <w:sz w:val="21"/>
          <w:szCs w:val="21"/>
          <w:highlight w:val="none"/>
        </w:rPr>
        <w:t>本次评标采用综合评估法。评标委员会对满足招标文件实质性要求的投标文件，按照本章第2.2款规定的评分标准进行打分，并按得分由高到低顺序推荐中标候选人，但投标报价低于其成本的除外。综合评分相等时，评标委员会应按照评标办法前附表规定的优先次序推荐中标候选人。</w:t>
      </w:r>
    </w:p>
    <w:p>
      <w:pPr>
        <w:spacing w:line="400" w:lineRule="exact"/>
        <w:ind w:firstLine="416" w:firstLineChars="200"/>
        <w:rPr>
          <w:rFonts w:ascii="宋体" w:hAnsi="宋体" w:cs="宋体"/>
          <w:szCs w:val="21"/>
          <w:highlight w:val="none"/>
        </w:rPr>
      </w:pPr>
      <w:r>
        <w:rPr>
          <w:rFonts w:ascii="宋体" w:hAnsi="宋体" w:cs="宋体"/>
          <w:spacing w:val="-1"/>
          <w:szCs w:val="21"/>
          <w:highlight w:val="none"/>
        </w:rPr>
        <w:t>2.评审</w:t>
      </w:r>
      <w:r>
        <w:rPr>
          <w:rFonts w:ascii="宋体" w:hAnsi="宋体" w:cs="宋体"/>
          <w:szCs w:val="21"/>
          <w:highlight w:val="none"/>
        </w:rPr>
        <w:t>标准</w:t>
      </w:r>
    </w:p>
    <w:p>
      <w:pPr>
        <w:spacing w:line="400" w:lineRule="exact"/>
        <w:ind w:firstLine="416" w:firstLineChars="200"/>
        <w:rPr>
          <w:rFonts w:ascii="宋体" w:hAnsi="宋体" w:cs="宋体"/>
          <w:szCs w:val="21"/>
          <w:highlight w:val="none"/>
        </w:rPr>
      </w:pPr>
      <w:r>
        <w:rPr>
          <w:rFonts w:ascii="宋体" w:hAnsi="宋体" w:cs="宋体"/>
          <w:spacing w:val="-1"/>
          <w:szCs w:val="21"/>
          <w:highlight w:val="none"/>
        </w:rPr>
        <w:t>2.1</w:t>
      </w:r>
      <w:r>
        <w:rPr>
          <w:rFonts w:hint="eastAsia" w:ascii="宋体" w:hAnsi="宋体" w:cs="宋体"/>
          <w:spacing w:val="-1"/>
          <w:szCs w:val="21"/>
          <w:highlight w:val="none"/>
        </w:rPr>
        <w:t xml:space="preserve"> </w:t>
      </w:r>
      <w:r>
        <w:rPr>
          <w:rFonts w:ascii="宋体" w:hAnsi="宋体" w:cs="宋体"/>
          <w:szCs w:val="21"/>
          <w:highlight w:val="none"/>
        </w:rPr>
        <w:t>初步评审标准</w:t>
      </w:r>
    </w:p>
    <w:p>
      <w:pPr>
        <w:spacing w:line="400" w:lineRule="exact"/>
        <w:ind w:firstLine="420" w:firstLineChars="200"/>
        <w:rPr>
          <w:rFonts w:ascii="宋体" w:hAnsi="宋体" w:cs="宋体"/>
          <w:szCs w:val="21"/>
          <w:highlight w:val="none"/>
        </w:rPr>
      </w:pPr>
      <w:r>
        <w:rPr>
          <w:rFonts w:ascii="宋体" w:hAnsi="宋体" w:cs="宋体"/>
          <w:szCs w:val="21"/>
          <w:highlight w:val="none"/>
        </w:rPr>
        <w:t>2.1.1</w:t>
      </w:r>
      <w:r>
        <w:rPr>
          <w:rFonts w:hint="eastAsia" w:ascii="宋体" w:hAnsi="宋体" w:cs="宋体"/>
          <w:szCs w:val="21"/>
          <w:highlight w:val="none"/>
        </w:rPr>
        <w:t xml:space="preserve"> </w:t>
      </w:r>
      <w:r>
        <w:rPr>
          <w:rFonts w:ascii="宋体" w:hAnsi="宋体" w:cs="宋体"/>
          <w:szCs w:val="21"/>
          <w:highlight w:val="none"/>
        </w:rPr>
        <w:t>形式评审标准</w:t>
      </w:r>
      <w:r>
        <w:rPr>
          <w:rFonts w:ascii="宋体" w:hAnsi="宋体" w:cs="宋体"/>
          <w:spacing w:val="-50"/>
          <w:szCs w:val="21"/>
          <w:highlight w:val="none"/>
        </w:rPr>
        <w:t>：</w:t>
      </w:r>
      <w:r>
        <w:rPr>
          <w:rFonts w:ascii="宋体" w:hAnsi="宋体" w:cs="宋体"/>
          <w:szCs w:val="21"/>
          <w:highlight w:val="none"/>
        </w:rPr>
        <w:t>见评标办法前附表。</w:t>
      </w:r>
    </w:p>
    <w:p>
      <w:pPr>
        <w:spacing w:line="400" w:lineRule="exact"/>
        <w:ind w:firstLine="420" w:firstLineChars="200"/>
        <w:rPr>
          <w:rFonts w:ascii="宋体" w:hAnsi="宋体" w:cs="宋体"/>
          <w:szCs w:val="21"/>
          <w:highlight w:val="none"/>
        </w:rPr>
      </w:pPr>
      <w:r>
        <w:rPr>
          <w:rFonts w:ascii="宋体" w:hAnsi="宋体" w:cs="宋体"/>
          <w:szCs w:val="21"/>
          <w:highlight w:val="none"/>
        </w:rPr>
        <w:t>2.1.2</w:t>
      </w:r>
      <w:r>
        <w:rPr>
          <w:rFonts w:hint="eastAsia" w:ascii="宋体" w:hAnsi="宋体" w:cs="宋体"/>
          <w:szCs w:val="21"/>
          <w:highlight w:val="none"/>
        </w:rPr>
        <w:t xml:space="preserve"> </w:t>
      </w:r>
      <w:r>
        <w:rPr>
          <w:rFonts w:ascii="宋体" w:hAnsi="宋体" w:cs="宋体"/>
          <w:szCs w:val="21"/>
          <w:highlight w:val="none"/>
        </w:rPr>
        <w:t>资格评审标准</w:t>
      </w:r>
      <w:r>
        <w:rPr>
          <w:rFonts w:ascii="宋体" w:hAnsi="宋体" w:cs="宋体"/>
          <w:spacing w:val="-49"/>
          <w:szCs w:val="21"/>
          <w:highlight w:val="none"/>
        </w:rPr>
        <w:t>：</w:t>
      </w:r>
      <w:r>
        <w:rPr>
          <w:rFonts w:ascii="宋体" w:hAnsi="宋体" w:cs="宋体"/>
          <w:szCs w:val="21"/>
          <w:highlight w:val="none"/>
        </w:rPr>
        <w:t>见评标办法前附表。</w:t>
      </w:r>
    </w:p>
    <w:p>
      <w:pPr>
        <w:spacing w:line="400" w:lineRule="exact"/>
        <w:ind w:firstLine="420" w:firstLineChars="200"/>
        <w:rPr>
          <w:rFonts w:ascii="宋体" w:hAnsi="宋体" w:cs="宋体"/>
          <w:szCs w:val="21"/>
          <w:highlight w:val="none"/>
        </w:rPr>
      </w:pPr>
      <w:r>
        <w:rPr>
          <w:rFonts w:ascii="宋体" w:hAnsi="宋体" w:cs="宋体"/>
          <w:szCs w:val="21"/>
          <w:highlight w:val="none"/>
        </w:rPr>
        <w:t>2.1.3</w:t>
      </w:r>
      <w:r>
        <w:rPr>
          <w:rFonts w:hint="eastAsia" w:ascii="宋体" w:hAnsi="宋体" w:cs="宋体"/>
          <w:szCs w:val="21"/>
          <w:highlight w:val="none"/>
        </w:rPr>
        <w:t xml:space="preserve"> </w:t>
      </w:r>
      <w:r>
        <w:rPr>
          <w:rFonts w:ascii="宋体" w:hAnsi="宋体" w:cs="宋体"/>
          <w:szCs w:val="21"/>
          <w:highlight w:val="none"/>
        </w:rPr>
        <w:t>响应性评审标准</w:t>
      </w:r>
      <w:r>
        <w:rPr>
          <w:rFonts w:ascii="宋体" w:hAnsi="宋体" w:cs="宋体"/>
          <w:spacing w:val="-50"/>
          <w:szCs w:val="21"/>
          <w:highlight w:val="none"/>
        </w:rPr>
        <w:t>：</w:t>
      </w:r>
      <w:r>
        <w:rPr>
          <w:rFonts w:ascii="宋体" w:hAnsi="宋体" w:cs="宋体"/>
          <w:szCs w:val="21"/>
          <w:highlight w:val="none"/>
        </w:rPr>
        <w:t>见评标办法前附表。</w:t>
      </w:r>
    </w:p>
    <w:p>
      <w:pPr>
        <w:spacing w:line="400" w:lineRule="exact"/>
        <w:ind w:firstLine="416" w:firstLineChars="200"/>
        <w:rPr>
          <w:rFonts w:ascii="宋体" w:hAnsi="宋体" w:cs="宋体"/>
          <w:szCs w:val="21"/>
          <w:highlight w:val="none"/>
        </w:rPr>
      </w:pPr>
      <w:r>
        <w:rPr>
          <w:rFonts w:ascii="宋体" w:hAnsi="宋体" w:cs="宋体"/>
          <w:spacing w:val="-1"/>
          <w:szCs w:val="21"/>
          <w:highlight w:val="none"/>
        </w:rPr>
        <w:t>2.2</w:t>
      </w:r>
      <w:r>
        <w:rPr>
          <w:rFonts w:hint="eastAsia" w:ascii="宋体" w:hAnsi="宋体" w:cs="宋体"/>
          <w:spacing w:val="-1"/>
          <w:szCs w:val="21"/>
          <w:highlight w:val="none"/>
        </w:rPr>
        <w:t xml:space="preserve"> </w:t>
      </w:r>
      <w:r>
        <w:rPr>
          <w:rFonts w:ascii="宋体" w:hAnsi="宋体" w:cs="宋体"/>
          <w:szCs w:val="21"/>
          <w:highlight w:val="none"/>
        </w:rPr>
        <w:t>分值构成与评分标准</w:t>
      </w:r>
    </w:p>
    <w:p>
      <w:pPr>
        <w:spacing w:line="400" w:lineRule="exact"/>
        <w:ind w:firstLine="416" w:firstLineChars="200"/>
        <w:rPr>
          <w:rFonts w:ascii="宋体" w:hAnsi="宋体" w:cs="宋体"/>
          <w:szCs w:val="21"/>
          <w:highlight w:val="none"/>
        </w:rPr>
      </w:pPr>
      <w:r>
        <w:rPr>
          <w:rFonts w:ascii="宋体" w:hAnsi="宋体" w:cs="宋体"/>
          <w:spacing w:val="-1"/>
          <w:szCs w:val="21"/>
          <w:highlight w:val="none"/>
        </w:rPr>
        <w:t>2.2</w:t>
      </w:r>
      <w:r>
        <w:rPr>
          <w:rFonts w:ascii="宋体" w:hAnsi="宋体" w:cs="宋体"/>
          <w:szCs w:val="21"/>
          <w:highlight w:val="none"/>
        </w:rPr>
        <w:t>.1</w:t>
      </w:r>
      <w:r>
        <w:rPr>
          <w:rFonts w:hint="eastAsia" w:ascii="宋体" w:hAnsi="宋体" w:cs="宋体"/>
          <w:szCs w:val="21"/>
          <w:highlight w:val="none"/>
        </w:rPr>
        <w:t xml:space="preserve"> </w:t>
      </w:r>
      <w:r>
        <w:rPr>
          <w:rFonts w:ascii="宋体" w:hAnsi="宋体" w:cs="宋体"/>
          <w:szCs w:val="21"/>
          <w:highlight w:val="none"/>
        </w:rPr>
        <w:t>分值构成</w:t>
      </w:r>
    </w:p>
    <w:p>
      <w:pPr>
        <w:spacing w:line="400" w:lineRule="exact"/>
        <w:ind w:firstLine="420" w:firstLineChars="200"/>
        <w:rPr>
          <w:rFonts w:ascii="宋体" w:hAnsi="宋体" w:cs="宋体"/>
          <w:szCs w:val="21"/>
          <w:highlight w:val="none"/>
        </w:rPr>
      </w:pPr>
      <w:r>
        <w:rPr>
          <w:rFonts w:ascii="宋体" w:hAnsi="宋体" w:cs="宋体"/>
          <w:szCs w:val="21"/>
          <w:highlight w:val="none"/>
        </w:rPr>
        <w:t>（1</w:t>
      </w:r>
      <w:r>
        <w:rPr>
          <w:rFonts w:ascii="宋体" w:hAnsi="宋体" w:cs="宋体"/>
          <w:spacing w:val="-46"/>
          <w:szCs w:val="21"/>
          <w:highlight w:val="none"/>
        </w:rPr>
        <w:t>）</w:t>
      </w:r>
      <w:r>
        <w:rPr>
          <w:rFonts w:ascii="宋体" w:hAnsi="宋体" w:cs="宋体"/>
          <w:szCs w:val="21"/>
          <w:highlight w:val="none"/>
        </w:rPr>
        <w:t>A</w:t>
      </w:r>
      <w:r>
        <w:rPr>
          <w:rFonts w:hint="eastAsia" w:ascii="宋体" w:hAnsi="宋体" w:cs="宋体"/>
          <w:szCs w:val="21"/>
          <w:highlight w:val="none"/>
        </w:rPr>
        <w:t>主要人员：项目负责人资格和业绩</w:t>
      </w:r>
      <w:r>
        <w:rPr>
          <w:rFonts w:hint="eastAsia" w:ascii="宋体" w:hAnsi="宋体" w:cs="宋体"/>
          <w:szCs w:val="21"/>
          <w:highlight w:val="none"/>
        </w:rPr>
        <w:tab/>
      </w:r>
      <w:r>
        <w:rPr>
          <w:rFonts w:hint="eastAsia" w:ascii="宋体" w:hAnsi="宋体" w:cs="宋体"/>
          <w:szCs w:val="21"/>
          <w:highlight w:val="none"/>
        </w:rPr>
        <w:t>：15分；其他人员资格和业绩：</w:t>
      </w:r>
      <w:r>
        <w:rPr>
          <w:rFonts w:hint="eastAsia" w:ascii="宋体" w:hAnsi="宋体" w:cs="宋体"/>
          <w:szCs w:val="21"/>
          <w:highlight w:val="none"/>
        </w:rPr>
        <w:tab/>
      </w:r>
      <w:r>
        <w:rPr>
          <w:rFonts w:hint="eastAsia" w:ascii="宋体" w:hAnsi="宋体" w:cs="宋体"/>
          <w:szCs w:val="21"/>
          <w:highlight w:val="none"/>
        </w:rPr>
        <w:t>15分</w:t>
      </w:r>
      <w:r>
        <w:rPr>
          <w:rFonts w:hint="eastAsia" w:ascii="宋体" w:hAnsi="宋体" w:cs="宋体"/>
          <w:szCs w:val="21"/>
          <w:highlight w:val="none"/>
        </w:rPr>
        <w:tab/>
      </w:r>
      <w:r>
        <w:rPr>
          <w:rFonts w:hint="eastAsia" w:ascii="宋体" w:hAnsi="宋体" w:cs="宋体"/>
          <w:szCs w:val="21"/>
          <w:highlight w:val="none"/>
        </w:rPr>
        <w:t>；</w:t>
      </w:r>
    </w:p>
    <w:p>
      <w:pPr>
        <w:spacing w:line="400" w:lineRule="exact"/>
        <w:ind w:firstLine="420" w:firstLineChars="200"/>
        <w:rPr>
          <w:rFonts w:ascii="宋体" w:hAnsi="宋体" w:cs="宋体"/>
          <w:szCs w:val="21"/>
          <w:highlight w:val="none"/>
        </w:rPr>
      </w:pPr>
      <w:r>
        <w:rPr>
          <w:rFonts w:ascii="宋体" w:hAnsi="宋体" w:cs="宋体"/>
          <w:szCs w:val="21"/>
          <w:highlight w:val="none"/>
        </w:rPr>
        <w:t>（2</w:t>
      </w:r>
      <w:r>
        <w:rPr>
          <w:rFonts w:ascii="宋体" w:hAnsi="宋体" w:cs="宋体"/>
          <w:spacing w:val="-46"/>
          <w:szCs w:val="21"/>
          <w:highlight w:val="none"/>
        </w:rPr>
        <w:t>）</w:t>
      </w:r>
      <w:r>
        <w:rPr>
          <w:rFonts w:ascii="宋体" w:hAnsi="宋体" w:cs="宋体"/>
          <w:szCs w:val="21"/>
          <w:highlight w:val="none"/>
        </w:rPr>
        <w:t>B</w:t>
      </w:r>
      <w:r>
        <w:rPr>
          <w:rFonts w:hint="eastAsia" w:ascii="宋体" w:hAnsi="宋体" w:cs="宋体"/>
          <w:szCs w:val="21"/>
          <w:highlight w:val="none"/>
        </w:rPr>
        <w:t>检测实施方案</w:t>
      </w:r>
      <w:r>
        <w:rPr>
          <w:rFonts w:hint="eastAsia" w:ascii="宋体" w:hAnsi="宋体" w:cs="宋体"/>
          <w:szCs w:val="21"/>
          <w:highlight w:val="none"/>
        </w:rPr>
        <w:tab/>
      </w:r>
      <w:r>
        <w:rPr>
          <w:rFonts w:hint="eastAsia" w:ascii="宋体" w:hAnsi="宋体" w:cs="宋体"/>
          <w:szCs w:val="21"/>
          <w:highlight w:val="none"/>
        </w:rPr>
        <w:t>：30分；</w:t>
      </w:r>
    </w:p>
    <w:p>
      <w:pPr>
        <w:spacing w:line="400" w:lineRule="exact"/>
        <w:ind w:firstLine="420" w:firstLineChars="200"/>
        <w:rPr>
          <w:rFonts w:ascii="宋体" w:hAnsi="宋体" w:cs="宋体"/>
          <w:szCs w:val="21"/>
          <w:highlight w:val="none"/>
        </w:rPr>
      </w:pPr>
      <w:r>
        <w:rPr>
          <w:rFonts w:ascii="宋体" w:hAnsi="宋体" w:cs="宋体"/>
          <w:szCs w:val="21"/>
          <w:highlight w:val="none"/>
        </w:rPr>
        <w:t>（3</w:t>
      </w:r>
      <w:r>
        <w:rPr>
          <w:rFonts w:ascii="宋体" w:hAnsi="宋体" w:cs="宋体"/>
          <w:spacing w:val="-46"/>
          <w:szCs w:val="21"/>
          <w:highlight w:val="none"/>
        </w:rPr>
        <w:t>）</w:t>
      </w:r>
      <w:r>
        <w:rPr>
          <w:rFonts w:ascii="宋体" w:hAnsi="宋体" w:cs="宋体"/>
          <w:szCs w:val="21"/>
          <w:highlight w:val="none"/>
        </w:rPr>
        <w:t>C</w:t>
      </w:r>
      <w:r>
        <w:rPr>
          <w:rFonts w:hint="eastAsia" w:ascii="宋体" w:hAnsi="宋体" w:cs="宋体"/>
          <w:szCs w:val="21"/>
          <w:highlight w:val="none"/>
        </w:rPr>
        <w:t>业绩：</w:t>
      </w:r>
      <w:r>
        <w:rPr>
          <w:rFonts w:hint="eastAsia" w:ascii="宋体" w:hAnsi="宋体" w:cs="宋体"/>
          <w:szCs w:val="21"/>
          <w:highlight w:val="none"/>
        </w:rPr>
        <w:tab/>
      </w:r>
      <w:r>
        <w:rPr>
          <w:rFonts w:hint="eastAsia" w:ascii="宋体" w:hAnsi="宋体" w:cs="宋体"/>
          <w:szCs w:val="21"/>
          <w:highlight w:val="none"/>
        </w:rPr>
        <w:t>25分；</w:t>
      </w:r>
    </w:p>
    <w:p>
      <w:pPr>
        <w:spacing w:line="400" w:lineRule="exact"/>
        <w:ind w:firstLine="525" w:firstLineChars="250"/>
        <w:rPr>
          <w:rFonts w:ascii="宋体" w:hAnsi="宋体" w:cs="宋体"/>
          <w:szCs w:val="21"/>
          <w:highlight w:val="none"/>
        </w:rPr>
      </w:pPr>
      <w:r>
        <w:rPr>
          <w:rFonts w:hint="eastAsia" w:ascii="宋体" w:hAnsi="宋体" w:cs="宋体"/>
          <w:szCs w:val="21"/>
          <w:highlight w:val="none"/>
        </w:rPr>
        <w:t>(</w:t>
      </w:r>
      <w:r>
        <w:rPr>
          <w:rFonts w:ascii="宋体" w:hAnsi="宋体" w:cs="宋体"/>
          <w:szCs w:val="21"/>
          <w:highlight w:val="none"/>
        </w:rPr>
        <w:t>4)D</w:t>
      </w:r>
      <w:r>
        <w:rPr>
          <w:rFonts w:hint="eastAsia" w:ascii="宋体" w:hAnsi="宋体" w:cs="宋体"/>
          <w:szCs w:val="21"/>
          <w:highlight w:val="none"/>
        </w:rPr>
        <w:t>履约信誉：</w:t>
      </w:r>
      <w:r>
        <w:rPr>
          <w:rFonts w:hint="eastAsia" w:ascii="宋体" w:hAnsi="宋体" w:cs="宋体"/>
          <w:szCs w:val="21"/>
          <w:highlight w:val="none"/>
        </w:rPr>
        <w:tab/>
      </w:r>
      <w:r>
        <w:rPr>
          <w:rFonts w:hint="eastAsia" w:ascii="宋体" w:hAnsi="宋体" w:cs="宋体"/>
          <w:szCs w:val="21"/>
          <w:highlight w:val="none"/>
        </w:rPr>
        <w:t>5分；</w:t>
      </w:r>
    </w:p>
    <w:p>
      <w:pPr>
        <w:spacing w:line="400" w:lineRule="exact"/>
        <w:ind w:firstLine="525" w:firstLineChars="250"/>
        <w:rPr>
          <w:rFonts w:ascii="宋体" w:hAnsi="宋体" w:cs="宋体"/>
          <w:szCs w:val="21"/>
          <w:highlight w:val="none"/>
        </w:rPr>
      </w:pPr>
      <w:r>
        <w:rPr>
          <w:rFonts w:hint="eastAsia" w:ascii="宋体" w:hAnsi="宋体" w:cs="宋体"/>
          <w:szCs w:val="21"/>
          <w:highlight w:val="none"/>
        </w:rPr>
        <w:t>(</w:t>
      </w:r>
      <w:r>
        <w:rPr>
          <w:rFonts w:ascii="宋体" w:hAnsi="宋体" w:cs="宋体"/>
          <w:szCs w:val="21"/>
          <w:highlight w:val="none"/>
        </w:rPr>
        <w:t>5)</w:t>
      </w:r>
      <w:r>
        <w:rPr>
          <w:rFonts w:hint="eastAsia" w:ascii="宋体" w:hAnsi="宋体" w:cs="宋体"/>
          <w:szCs w:val="21"/>
          <w:highlight w:val="none"/>
        </w:rPr>
        <w:t>F投标报价：10分。</w:t>
      </w:r>
    </w:p>
    <w:p>
      <w:pPr>
        <w:spacing w:line="400" w:lineRule="exact"/>
        <w:ind w:firstLine="420" w:firstLineChars="200"/>
        <w:rPr>
          <w:rFonts w:ascii="宋体" w:hAnsi="宋体" w:cs="宋体"/>
          <w:szCs w:val="21"/>
          <w:highlight w:val="none"/>
        </w:rPr>
      </w:pPr>
      <w:r>
        <w:rPr>
          <w:rFonts w:ascii="宋体" w:hAnsi="宋体" w:cs="宋体"/>
          <w:szCs w:val="21"/>
          <w:highlight w:val="none"/>
        </w:rPr>
        <w:t>2.2.2</w:t>
      </w:r>
      <w:r>
        <w:rPr>
          <w:rFonts w:hint="eastAsia" w:ascii="宋体" w:hAnsi="宋体" w:cs="宋体"/>
          <w:szCs w:val="21"/>
          <w:highlight w:val="none"/>
        </w:rPr>
        <w:t xml:space="preserve"> </w:t>
      </w:r>
      <w:r>
        <w:rPr>
          <w:rFonts w:ascii="宋体" w:hAnsi="宋体" w:cs="宋体"/>
          <w:szCs w:val="21"/>
          <w:highlight w:val="none"/>
        </w:rPr>
        <w:t>评标基准价计算</w:t>
      </w:r>
    </w:p>
    <w:p>
      <w:pPr>
        <w:spacing w:line="400" w:lineRule="exact"/>
        <w:ind w:firstLine="420" w:firstLineChars="200"/>
        <w:rPr>
          <w:rFonts w:ascii="宋体" w:hAnsi="宋体" w:cs="宋体"/>
          <w:szCs w:val="21"/>
          <w:highlight w:val="none"/>
        </w:rPr>
      </w:pPr>
      <w:r>
        <w:rPr>
          <w:rFonts w:ascii="宋体" w:hAnsi="宋体" w:cs="宋体"/>
          <w:szCs w:val="21"/>
          <w:highlight w:val="none"/>
        </w:rPr>
        <w:t>评标基准价计算方法：见评标办法前附表。</w:t>
      </w:r>
    </w:p>
    <w:p>
      <w:pPr>
        <w:spacing w:line="400" w:lineRule="exact"/>
        <w:ind w:firstLine="420" w:firstLineChars="200"/>
        <w:rPr>
          <w:rFonts w:ascii="宋体" w:hAnsi="宋体" w:cs="宋体"/>
          <w:szCs w:val="21"/>
          <w:highlight w:val="none"/>
        </w:rPr>
      </w:pPr>
      <w:r>
        <w:rPr>
          <w:rFonts w:ascii="宋体" w:hAnsi="宋体" w:cs="宋体"/>
          <w:szCs w:val="21"/>
          <w:highlight w:val="none"/>
        </w:rPr>
        <w:t>2.2.3</w:t>
      </w:r>
      <w:r>
        <w:rPr>
          <w:rFonts w:hint="eastAsia" w:ascii="宋体" w:hAnsi="宋体" w:cs="宋体"/>
          <w:szCs w:val="21"/>
          <w:highlight w:val="none"/>
        </w:rPr>
        <w:t xml:space="preserve"> </w:t>
      </w:r>
      <w:r>
        <w:rPr>
          <w:rFonts w:ascii="宋体" w:hAnsi="宋体" w:cs="宋体"/>
          <w:szCs w:val="21"/>
          <w:highlight w:val="none"/>
        </w:rPr>
        <w:t>投标报价的偏差率计算</w:t>
      </w:r>
    </w:p>
    <w:p>
      <w:pPr>
        <w:spacing w:line="400" w:lineRule="exact"/>
        <w:ind w:firstLine="420" w:firstLineChars="200"/>
        <w:rPr>
          <w:rFonts w:ascii="宋体" w:hAnsi="宋体" w:cs="宋体"/>
          <w:szCs w:val="21"/>
          <w:highlight w:val="none"/>
        </w:rPr>
      </w:pPr>
      <w:r>
        <w:rPr>
          <w:rFonts w:ascii="宋体" w:hAnsi="宋体" w:cs="宋体"/>
          <w:szCs w:val="21"/>
          <w:highlight w:val="none"/>
        </w:rPr>
        <w:t>投标报价的偏差率计算公式：见评标办法前附表。</w:t>
      </w:r>
    </w:p>
    <w:p>
      <w:pPr>
        <w:spacing w:line="400" w:lineRule="exact"/>
        <w:ind w:firstLine="420" w:firstLineChars="200"/>
        <w:rPr>
          <w:rFonts w:ascii="宋体" w:hAnsi="宋体" w:cs="宋体"/>
          <w:szCs w:val="21"/>
          <w:highlight w:val="none"/>
        </w:rPr>
      </w:pPr>
      <w:r>
        <w:rPr>
          <w:rFonts w:ascii="宋体" w:hAnsi="宋体" w:cs="宋体"/>
          <w:szCs w:val="21"/>
          <w:highlight w:val="none"/>
        </w:rPr>
        <w:t>2.2.4</w:t>
      </w:r>
      <w:r>
        <w:rPr>
          <w:rFonts w:hint="eastAsia" w:ascii="宋体" w:hAnsi="宋体" w:cs="宋体"/>
          <w:szCs w:val="21"/>
          <w:highlight w:val="none"/>
        </w:rPr>
        <w:t xml:space="preserve"> </w:t>
      </w:r>
      <w:r>
        <w:rPr>
          <w:rFonts w:ascii="宋体" w:hAnsi="宋体" w:cs="宋体"/>
          <w:szCs w:val="21"/>
          <w:highlight w:val="none"/>
        </w:rPr>
        <w:t>评分标准</w:t>
      </w:r>
      <w:r>
        <w:rPr>
          <w:rFonts w:hint="eastAsia" w:ascii="宋体" w:hAnsi="宋体" w:cs="宋体"/>
          <w:szCs w:val="21"/>
          <w:highlight w:val="none"/>
        </w:rPr>
        <w:t>；</w:t>
      </w:r>
      <w:r>
        <w:rPr>
          <w:rFonts w:ascii="宋体" w:hAnsi="宋体" w:cs="宋体"/>
          <w:szCs w:val="21"/>
          <w:highlight w:val="none"/>
        </w:rPr>
        <w:t>见评标办法前附表。</w:t>
      </w:r>
    </w:p>
    <w:p>
      <w:pPr>
        <w:spacing w:line="400" w:lineRule="exact"/>
        <w:ind w:firstLine="416" w:firstLineChars="200"/>
        <w:rPr>
          <w:rFonts w:ascii="宋体" w:hAnsi="宋体" w:cs="宋体"/>
          <w:szCs w:val="21"/>
          <w:highlight w:val="none"/>
        </w:rPr>
      </w:pPr>
      <w:r>
        <w:rPr>
          <w:rFonts w:ascii="宋体" w:hAnsi="宋体" w:cs="宋体"/>
          <w:spacing w:val="-1"/>
          <w:szCs w:val="21"/>
          <w:highlight w:val="none"/>
        </w:rPr>
        <w:t>3.</w:t>
      </w:r>
      <w:r>
        <w:rPr>
          <w:rFonts w:hint="eastAsia" w:ascii="宋体" w:hAnsi="宋体" w:cs="宋体"/>
          <w:spacing w:val="-1"/>
          <w:szCs w:val="21"/>
          <w:highlight w:val="none"/>
        </w:rPr>
        <w:t xml:space="preserve"> </w:t>
      </w:r>
      <w:r>
        <w:rPr>
          <w:rFonts w:ascii="宋体" w:hAnsi="宋体" w:cs="宋体"/>
          <w:spacing w:val="-1"/>
          <w:szCs w:val="21"/>
          <w:highlight w:val="none"/>
        </w:rPr>
        <w:t>评标</w:t>
      </w:r>
      <w:r>
        <w:rPr>
          <w:rFonts w:ascii="宋体" w:hAnsi="宋体" w:cs="宋体"/>
          <w:szCs w:val="21"/>
          <w:highlight w:val="none"/>
        </w:rPr>
        <w:t>程序</w:t>
      </w:r>
    </w:p>
    <w:p>
      <w:pPr>
        <w:spacing w:line="400" w:lineRule="exact"/>
        <w:ind w:firstLine="416" w:firstLineChars="200"/>
        <w:rPr>
          <w:rFonts w:ascii="宋体" w:hAnsi="宋体" w:cs="宋体"/>
          <w:szCs w:val="21"/>
          <w:highlight w:val="none"/>
        </w:rPr>
      </w:pPr>
      <w:r>
        <w:rPr>
          <w:rFonts w:ascii="宋体" w:hAnsi="宋体" w:cs="宋体"/>
          <w:spacing w:val="-1"/>
          <w:szCs w:val="21"/>
          <w:highlight w:val="none"/>
        </w:rPr>
        <w:t>3.1</w:t>
      </w:r>
      <w:r>
        <w:rPr>
          <w:rFonts w:hint="eastAsia" w:ascii="宋体" w:hAnsi="宋体" w:cs="宋体"/>
          <w:spacing w:val="-1"/>
          <w:szCs w:val="21"/>
          <w:highlight w:val="none"/>
        </w:rPr>
        <w:t xml:space="preserve"> </w:t>
      </w:r>
      <w:r>
        <w:rPr>
          <w:rFonts w:ascii="宋体" w:hAnsi="宋体" w:cs="宋体"/>
          <w:spacing w:val="-1"/>
          <w:szCs w:val="21"/>
          <w:highlight w:val="none"/>
        </w:rPr>
        <w:t>初</w:t>
      </w:r>
      <w:r>
        <w:rPr>
          <w:rFonts w:ascii="宋体" w:hAnsi="宋体" w:cs="宋体"/>
          <w:szCs w:val="21"/>
          <w:highlight w:val="none"/>
        </w:rPr>
        <w:t>步评审</w:t>
      </w:r>
    </w:p>
    <w:p>
      <w:pPr>
        <w:spacing w:line="400" w:lineRule="exact"/>
        <w:ind w:firstLine="412" w:firstLineChars="200"/>
        <w:rPr>
          <w:rFonts w:ascii="宋体" w:hAnsi="宋体" w:cs="宋体"/>
          <w:szCs w:val="21"/>
          <w:highlight w:val="none"/>
        </w:rPr>
      </w:pPr>
      <w:r>
        <w:rPr>
          <w:rFonts w:ascii="宋体" w:hAnsi="宋体" w:cs="宋体"/>
          <w:spacing w:val="-2"/>
          <w:szCs w:val="21"/>
          <w:highlight w:val="none"/>
        </w:rPr>
        <w:t>3.1.1</w:t>
      </w:r>
      <w:r>
        <w:rPr>
          <w:rFonts w:hint="eastAsia" w:ascii="宋体" w:hAnsi="宋体" w:cs="宋体"/>
          <w:spacing w:val="-2"/>
          <w:szCs w:val="21"/>
          <w:highlight w:val="none"/>
        </w:rPr>
        <w:t xml:space="preserve"> </w:t>
      </w:r>
      <w:r>
        <w:rPr>
          <w:rFonts w:ascii="宋体" w:hAnsi="宋体" w:cs="宋体"/>
          <w:szCs w:val="21"/>
          <w:highlight w:val="none"/>
        </w:rPr>
        <w:t>评标委员会依据本章第2.1款规定的标准对投标文件进行初步评审</w:t>
      </w:r>
      <w:r>
        <w:rPr>
          <w:rFonts w:ascii="宋体" w:hAnsi="宋体" w:cs="宋体"/>
          <w:spacing w:val="-13"/>
          <w:szCs w:val="21"/>
          <w:highlight w:val="none"/>
        </w:rPr>
        <w:t>。</w:t>
      </w:r>
      <w:r>
        <w:rPr>
          <w:rFonts w:ascii="宋体" w:hAnsi="宋体" w:cs="宋体"/>
          <w:szCs w:val="21"/>
          <w:highlight w:val="none"/>
        </w:rPr>
        <w:t>有一项不符合评审标准的</w:t>
      </w:r>
      <w:r>
        <w:rPr>
          <w:rFonts w:ascii="宋体" w:hAnsi="宋体" w:cs="宋体"/>
          <w:spacing w:val="-13"/>
          <w:szCs w:val="21"/>
          <w:highlight w:val="none"/>
        </w:rPr>
        <w:t>，</w:t>
      </w:r>
      <w:r>
        <w:rPr>
          <w:rFonts w:ascii="宋体" w:hAnsi="宋体" w:cs="宋体"/>
          <w:szCs w:val="21"/>
          <w:highlight w:val="none"/>
        </w:rPr>
        <w:t>作否决其投标处理</w:t>
      </w:r>
      <w:r>
        <w:rPr>
          <w:rFonts w:ascii="宋体" w:hAnsi="宋体" w:cs="宋体"/>
          <w:spacing w:val="-13"/>
          <w:szCs w:val="21"/>
          <w:highlight w:val="none"/>
        </w:rPr>
        <w:t>。</w:t>
      </w:r>
    </w:p>
    <w:p>
      <w:pPr>
        <w:spacing w:line="400" w:lineRule="exact"/>
        <w:ind w:firstLine="420" w:firstLineChars="200"/>
        <w:rPr>
          <w:rFonts w:ascii="宋体" w:hAnsi="宋体" w:cs="宋体"/>
          <w:szCs w:val="21"/>
          <w:highlight w:val="none"/>
        </w:rPr>
      </w:pPr>
      <w:r>
        <w:rPr>
          <w:rFonts w:ascii="宋体" w:hAnsi="宋体" w:cs="宋体"/>
          <w:szCs w:val="21"/>
          <w:highlight w:val="none"/>
        </w:rPr>
        <w:t>3.1.2</w:t>
      </w:r>
      <w:r>
        <w:rPr>
          <w:rFonts w:hint="eastAsia" w:ascii="宋体" w:hAnsi="宋体" w:cs="宋体"/>
          <w:szCs w:val="21"/>
          <w:highlight w:val="none"/>
        </w:rPr>
        <w:t xml:space="preserve"> </w:t>
      </w:r>
      <w:r>
        <w:rPr>
          <w:rFonts w:ascii="宋体" w:hAnsi="宋体" w:cs="宋体"/>
          <w:szCs w:val="21"/>
          <w:highlight w:val="none"/>
        </w:rPr>
        <w:t>投标人有以下情形之一的</w:t>
      </w:r>
      <w:r>
        <w:rPr>
          <w:rFonts w:ascii="宋体" w:hAnsi="宋体" w:cs="宋体"/>
          <w:spacing w:val="-29"/>
          <w:szCs w:val="21"/>
          <w:highlight w:val="none"/>
        </w:rPr>
        <w:t>，</w:t>
      </w:r>
      <w:r>
        <w:rPr>
          <w:rFonts w:ascii="宋体" w:hAnsi="宋体" w:cs="宋体"/>
          <w:szCs w:val="21"/>
          <w:highlight w:val="none"/>
        </w:rPr>
        <w:t>其投标作否决其投标处理</w:t>
      </w:r>
      <w:r>
        <w:rPr>
          <w:rFonts w:ascii="宋体" w:hAnsi="宋体" w:cs="宋体"/>
          <w:spacing w:val="-29"/>
          <w:szCs w:val="21"/>
          <w:highlight w:val="none"/>
        </w:rPr>
        <w:t>：</w:t>
      </w:r>
    </w:p>
    <w:p>
      <w:pPr>
        <w:spacing w:line="400" w:lineRule="exact"/>
        <w:ind w:firstLine="420" w:firstLineChars="200"/>
        <w:rPr>
          <w:rFonts w:ascii="宋体" w:hAnsi="宋体" w:cs="宋体"/>
          <w:szCs w:val="21"/>
          <w:highlight w:val="none"/>
        </w:rPr>
      </w:pPr>
      <w:r>
        <w:rPr>
          <w:rFonts w:ascii="宋体" w:hAnsi="宋体" w:cs="宋体"/>
          <w:szCs w:val="21"/>
          <w:highlight w:val="none"/>
        </w:rPr>
        <w:t>（</w:t>
      </w:r>
      <w:r>
        <w:rPr>
          <w:rFonts w:hint="eastAsia" w:ascii="宋体" w:hAnsi="宋体" w:cs="宋体"/>
          <w:szCs w:val="21"/>
          <w:highlight w:val="none"/>
        </w:rPr>
        <w:t>1</w:t>
      </w:r>
      <w:r>
        <w:rPr>
          <w:rFonts w:ascii="宋体" w:hAnsi="宋体" w:cs="宋体"/>
          <w:spacing w:val="-31"/>
          <w:szCs w:val="21"/>
          <w:highlight w:val="none"/>
        </w:rPr>
        <w:t>）</w:t>
      </w:r>
      <w:r>
        <w:rPr>
          <w:rFonts w:ascii="宋体" w:hAnsi="宋体" w:cs="宋体"/>
          <w:szCs w:val="21"/>
          <w:highlight w:val="none"/>
        </w:rPr>
        <w:t>第二章“投标人须知”第1.4.3项规定的任何一种情形的</w:t>
      </w:r>
      <w:r>
        <w:rPr>
          <w:rFonts w:ascii="宋体" w:hAnsi="宋体" w:cs="宋体"/>
          <w:spacing w:val="-81"/>
          <w:szCs w:val="21"/>
          <w:highlight w:val="none"/>
        </w:rPr>
        <w:t>；</w:t>
      </w:r>
    </w:p>
    <w:p>
      <w:pPr>
        <w:spacing w:line="400" w:lineRule="exact"/>
        <w:ind w:firstLine="420" w:firstLineChars="200"/>
        <w:rPr>
          <w:rFonts w:ascii="宋体" w:hAnsi="宋体" w:cs="宋体"/>
          <w:szCs w:val="21"/>
          <w:highlight w:val="none"/>
        </w:rPr>
      </w:pPr>
      <w:r>
        <w:rPr>
          <w:rFonts w:ascii="宋体" w:hAnsi="宋体" w:cs="宋体"/>
          <w:szCs w:val="21"/>
          <w:highlight w:val="none"/>
        </w:rPr>
        <w:t>（2</w:t>
      </w:r>
      <w:r>
        <w:rPr>
          <w:rFonts w:ascii="宋体" w:hAnsi="宋体" w:cs="宋体"/>
          <w:spacing w:val="-31"/>
          <w:szCs w:val="21"/>
          <w:highlight w:val="none"/>
        </w:rPr>
        <w:t>）</w:t>
      </w:r>
      <w:r>
        <w:rPr>
          <w:rFonts w:ascii="宋体" w:hAnsi="宋体" w:cs="宋体"/>
          <w:szCs w:val="21"/>
          <w:highlight w:val="none"/>
        </w:rPr>
        <w:t>串通投标或弄虚作假或有其他违法行为的</w:t>
      </w:r>
      <w:r>
        <w:rPr>
          <w:rFonts w:ascii="宋体" w:hAnsi="宋体" w:cs="宋体"/>
          <w:spacing w:val="-30"/>
          <w:szCs w:val="21"/>
          <w:highlight w:val="none"/>
        </w:rPr>
        <w:t>；</w:t>
      </w:r>
    </w:p>
    <w:p>
      <w:pPr>
        <w:spacing w:line="400" w:lineRule="exact"/>
        <w:ind w:firstLine="420" w:firstLineChars="200"/>
        <w:rPr>
          <w:rFonts w:ascii="宋体" w:hAnsi="宋体" w:cs="宋体"/>
          <w:szCs w:val="21"/>
          <w:highlight w:val="none"/>
        </w:rPr>
      </w:pPr>
      <w:r>
        <w:rPr>
          <w:rFonts w:ascii="宋体" w:hAnsi="宋体" w:cs="宋体"/>
          <w:szCs w:val="21"/>
          <w:highlight w:val="none"/>
        </w:rPr>
        <w:t>（3</w:t>
      </w:r>
      <w:r>
        <w:rPr>
          <w:rFonts w:ascii="宋体" w:hAnsi="宋体" w:cs="宋体"/>
          <w:spacing w:val="-15"/>
          <w:szCs w:val="21"/>
          <w:highlight w:val="none"/>
        </w:rPr>
        <w:t>）</w:t>
      </w:r>
      <w:r>
        <w:rPr>
          <w:rFonts w:ascii="宋体" w:hAnsi="宋体" w:cs="宋体"/>
          <w:szCs w:val="21"/>
          <w:highlight w:val="none"/>
        </w:rPr>
        <w:t>不按评标委员会要求澄清</w:t>
      </w:r>
      <w:r>
        <w:rPr>
          <w:rFonts w:ascii="宋体" w:hAnsi="宋体" w:cs="宋体"/>
          <w:spacing w:val="-14"/>
          <w:szCs w:val="21"/>
          <w:highlight w:val="none"/>
        </w:rPr>
        <w:t>、</w:t>
      </w:r>
      <w:r>
        <w:rPr>
          <w:rFonts w:ascii="宋体" w:hAnsi="宋体" w:cs="宋体"/>
          <w:szCs w:val="21"/>
          <w:highlight w:val="none"/>
        </w:rPr>
        <w:t>说明或补正的</w:t>
      </w:r>
      <w:r>
        <w:rPr>
          <w:rFonts w:ascii="宋体" w:hAnsi="宋体" w:cs="宋体"/>
          <w:spacing w:val="-14"/>
          <w:szCs w:val="21"/>
          <w:highlight w:val="none"/>
        </w:rPr>
        <w:t>。</w:t>
      </w:r>
    </w:p>
    <w:p>
      <w:pPr>
        <w:spacing w:line="400" w:lineRule="exact"/>
        <w:ind w:firstLine="420" w:firstLineChars="200"/>
        <w:rPr>
          <w:rFonts w:ascii="宋体" w:hAnsi="宋体" w:cs="宋体"/>
          <w:szCs w:val="21"/>
          <w:highlight w:val="none"/>
        </w:rPr>
      </w:pPr>
      <w:r>
        <w:rPr>
          <w:rFonts w:ascii="宋体" w:hAnsi="宋体" w:cs="宋体"/>
          <w:szCs w:val="21"/>
          <w:highlight w:val="none"/>
        </w:rPr>
        <w:t>3.1.3投标报价有算术错误的</w:t>
      </w:r>
      <w:r>
        <w:rPr>
          <w:rFonts w:ascii="宋体" w:hAnsi="宋体" w:cs="宋体"/>
          <w:spacing w:val="-7"/>
          <w:szCs w:val="21"/>
          <w:highlight w:val="none"/>
        </w:rPr>
        <w:t>，</w:t>
      </w:r>
      <w:r>
        <w:rPr>
          <w:rFonts w:ascii="宋体" w:hAnsi="宋体" w:cs="宋体"/>
          <w:szCs w:val="21"/>
          <w:highlight w:val="none"/>
        </w:rPr>
        <w:t>评标委员会按以下原则对投标报价进行修正</w:t>
      </w:r>
      <w:r>
        <w:rPr>
          <w:rFonts w:ascii="宋体" w:hAnsi="宋体" w:cs="宋体"/>
          <w:spacing w:val="-6"/>
          <w:szCs w:val="21"/>
          <w:highlight w:val="none"/>
        </w:rPr>
        <w:t>，</w:t>
      </w:r>
      <w:r>
        <w:rPr>
          <w:rFonts w:ascii="宋体" w:hAnsi="宋体" w:cs="宋体"/>
          <w:szCs w:val="21"/>
          <w:highlight w:val="none"/>
        </w:rPr>
        <w:t>修正的价格经投标人书面确认后具有约束力</w:t>
      </w:r>
      <w:r>
        <w:rPr>
          <w:rFonts w:ascii="宋体" w:hAnsi="宋体" w:cs="宋体"/>
          <w:spacing w:val="-5"/>
          <w:szCs w:val="21"/>
          <w:highlight w:val="none"/>
        </w:rPr>
        <w:t>。</w:t>
      </w:r>
      <w:r>
        <w:rPr>
          <w:rFonts w:ascii="宋体" w:hAnsi="宋体" w:cs="宋体"/>
          <w:szCs w:val="21"/>
          <w:highlight w:val="none"/>
        </w:rPr>
        <w:t>投标人不接受修正价格的</w:t>
      </w:r>
      <w:r>
        <w:rPr>
          <w:rFonts w:ascii="宋体" w:hAnsi="宋体" w:cs="宋体"/>
          <w:spacing w:val="-5"/>
          <w:szCs w:val="21"/>
          <w:highlight w:val="none"/>
        </w:rPr>
        <w:t>，</w:t>
      </w:r>
      <w:r>
        <w:rPr>
          <w:rFonts w:ascii="宋体" w:hAnsi="宋体" w:cs="宋体"/>
          <w:szCs w:val="21"/>
          <w:highlight w:val="none"/>
        </w:rPr>
        <w:t>其投标作否决其投标处理</w:t>
      </w:r>
      <w:r>
        <w:rPr>
          <w:rFonts w:ascii="宋体" w:hAnsi="宋体" w:cs="宋体"/>
          <w:spacing w:val="-20"/>
          <w:szCs w:val="21"/>
          <w:highlight w:val="none"/>
        </w:rPr>
        <w:t>。</w:t>
      </w:r>
    </w:p>
    <w:p>
      <w:pPr>
        <w:spacing w:line="400" w:lineRule="exact"/>
        <w:ind w:firstLine="420" w:firstLineChars="200"/>
        <w:rPr>
          <w:rFonts w:ascii="宋体" w:hAnsi="宋体" w:cs="宋体"/>
          <w:szCs w:val="21"/>
          <w:highlight w:val="none"/>
        </w:rPr>
      </w:pPr>
      <w:r>
        <w:rPr>
          <w:rFonts w:ascii="宋体" w:hAnsi="宋体" w:cs="宋体"/>
          <w:szCs w:val="21"/>
          <w:highlight w:val="none"/>
        </w:rPr>
        <w:t>①如本项目招标采用第二章“投标人须知”第3.2.1项（2）目规定的由投标人按照招标人提供的工程量清单填写本合同各工程子目的单价、合价和总额价方式，则评标委员会按照本章第3.1.3 项和第 3.1.4 项的规定对投标人的投标报价进行修正。如本项目招标采用第二章“投标人须知”第3.2.1 项（1）目规定的投标人按照 招标人提供的工程量固化清单电子文件填写工程量清单的，无须按照本章第 3.1.3 项和 第3.1.4项的规定对投标报价进行修正，第3.1.3项～第3.1.6项内容不适用。</w:t>
      </w:r>
    </w:p>
    <w:p>
      <w:pPr>
        <w:ind w:firstLine="420" w:firstLineChars="200"/>
        <w:rPr>
          <w:rFonts w:ascii="宋体" w:hAnsi="宋体" w:cs="宋体"/>
          <w:szCs w:val="21"/>
          <w:highlight w:val="none"/>
        </w:rPr>
      </w:pPr>
    </w:p>
    <w:p>
      <w:pPr>
        <w:spacing w:line="400" w:lineRule="exact"/>
        <w:ind w:firstLine="420" w:firstLineChars="200"/>
        <w:rPr>
          <w:rFonts w:ascii="宋体" w:hAnsi="宋体" w:cs="宋体"/>
          <w:szCs w:val="21"/>
          <w:highlight w:val="none"/>
        </w:rPr>
      </w:pPr>
      <w:r>
        <w:rPr>
          <w:rFonts w:ascii="宋体" w:hAnsi="宋体" w:cs="宋体"/>
          <w:szCs w:val="21"/>
          <w:highlight w:val="none"/>
        </w:rPr>
        <w:t>（1）投标文件中的大写金额与小写金额不一致的，以大写金额为准；</w:t>
      </w:r>
    </w:p>
    <w:p>
      <w:pPr>
        <w:spacing w:line="400" w:lineRule="exact"/>
        <w:ind w:firstLine="420" w:firstLineChars="200"/>
        <w:rPr>
          <w:rFonts w:ascii="宋体" w:hAnsi="宋体" w:cs="宋体"/>
          <w:szCs w:val="21"/>
          <w:highlight w:val="none"/>
        </w:rPr>
      </w:pPr>
      <w:r>
        <w:rPr>
          <w:rFonts w:ascii="宋体" w:hAnsi="宋体" w:cs="宋体"/>
          <w:szCs w:val="21"/>
          <w:highlight w:val="none"/>
        </w:rPr>
        <w:t>（2）总价金额与依据单价计算出的结果不一致的，以单价金额为准修正总价，但单价金额小数点有明显错误的除外；</w:t>
      </w:r>
    </w:p>
    <w:p>
      <w:pPr>
        <w:spacing w:line="400" w:lineRule="exact"/>
        <w:ind w:firstLine="420" w:firstLineChars="200"/>
        <w:rPr>
          <w:rFonts w:ascii="宋体" w:hAnsi="宋体" w:cs="宋体"/>
          <w:szCs w:val="21"/>
          <w:highlight w:val="none"/>
        </w:rPr>
      </w:pPr>
      <w:r>
        <w:rPr>
          <w:rFonts w:ascii="宋体" w:hAnsi="宋体" w:cs="宋体"/>
          <w:szCs w:val="21"/>
          <w:highlight w:val="none"/>
        </w:rPr>
        <w:t>（3）当单价与数量相乘不等于合价时，以单价计算为准，如果单价有明显的小数点位置差错，应以标出的合价为准，同时对单价予以修正；</w:t>
      </w:r>
    </w:p>
    <w:p>
      <w:pPr>
        <w:spacing w:line="400" w:lineRule="exact"/>
        <w:ind w:firstLine="420" w:firstLineChars="200"/>
        <w:rPr>
          <w:rFonts w:ascii="宋体" w:hAnsi="宋体" w:cs="宋体"/>
          <w:szCs w:val="21"/>
          <w:highlight w:val="none"/>
        </w:rPr>
      </w:pPr>
      <w:r>
        <w:rPr>
          <w:rFonts w:ascii="宋体" w:hAnsi="宋体" w:cs="宋体"/>
          <w:szCs w:val="21"/>
          <w:highlight w:val="none"/>
        </w:rPr>
        <w:t>（4）当各子目的合价累计不等于总价时，应以各子目合价累计数为准，修正总价。</w:t>
      </w:r>
    </w:p>
    <w:p>
      <w:pPr>
        <w:spacing w:line="400" w:lineRule="exact"/>
        <w:ind w:firstLine="420" w:firstLineChars="200"/>
        <w:rPr>
          <w:rFonts w:ascii="宋体" w:hAnsi="宋体" w:cs="宋体"/>
          <w:szCs w:val="21"/>
          <w:highlight w:val="none"/>
        </w:rPr>
      </w:pPr>
      <w:r>
        <w:rPr>
          <w:rFonts w:ascii="宋体" w:hAnsi="宋体" w:cs="宋体"/>
          <w:szCs w:val="21"/>
          <w:highlight w:val="none"/>
        </w:rPr>
        <w:t>3.1.4 工程量清单中的投标报价有其他错误的，评标委员会按以下原则对投标报价进行修正，修正的价格经投标人书面确认后具有约束力。投标人不接受修正价格的，其投标将被否决。</w:t>
      </w:r>
    </w:p>
    <w:p>
      <w:pPr>
        <w:spacing w:line="400" w:lineRule="exact"/>
        <w:ind w:firstLine="420" w:firstLineChars="200"/>
        <w:rPr>
          <w:rFonts w:ascii="宋体" w:hAnsi="宋体" w:cs="宋体"/>
          <w:szCs w:val="21"/>
          <w:highlight w:val="none"/>
        </w:rPr>
      </w:pPr>
      <w:r>
        <w:rPr>
          <w:rFonts w:ascii="宋体" w:hAnsi="宋体" w:cs="宋体"/>
          <w:szCs w:val="21"/>
          <w:highlight w:val="none"/>
        </w:rPr>
        <w:t>（1）在招标人给定的工程量清单中漏报了某个工程子目的单价、合价或总额价，或所报单价、合价或总额价减少了报价范围，则漏报的工程子目单价、合价和总额价或单价、 合价和总额价中减少的报价内容视为已含入其他工程子目的单价、合价和总额价之中。</w:t>
      </w:r>
    </w:p>
    <w:p>
      <w:pPr>
        <w:spacing w:line="400" w:lineRule="exact"/>
        <w:ind w:firstLine="420" w:firstLineChars="200"/>
        <w:rPr>
          <w:rFonts w:ascii="宋体" w:hAnsi="宋体" w:cs="宋体"/>
          <w:szCs w:val="21"/>
          <w:highlight w:val="none"/>
        </w:rPr>
      </w:pPr>
      <w:r>
        <w:rPr>
          <w:rFonts w:ascii="宋体" w:hAnsi="宋体" w:cs="宋体"/>
          <w:szCs w:val="21"/>
          <w:highlight w:val="none"/>
        </w:rPr>
        <w:t>（2）在招标人给定的工程量清单中多报了某个工程子目的单价、合价或总额价，或所报单价、合价或总额价增加了报价范围，则从投标报价中扣除多报的工程子目报价或工程子目报价中增加了报价范围的部分报价。</w:t>
      </w:r>
    </w:p>
    <w:p>
      <w:pPr>
        <w:spacing w:line="400" w:lineRule="exact"/>
        <w:ind w:firstLine="420" w:firstLineChars="200"/>
        <w:rPr>
          <w:rFonts w:ascii="宋体" w:hAnsi="宋体" w:cs="宋体"/>
          <w:szCs w:val="21"/>
          <w:highlight w:val="none"/>
        </w:rPr>
      </w:pPr>
      <w:r>
        <w:rPr>
          <w:rFonts w:ascii="宋体" w:hAnsi="宋体" w:cs="宋体"/>
          <w:szCs w:val="21"/>
          <w:highlight w:val="none"/>
        </w:rPr>
        <w:t>（3）当单价与数量的乘积与合价（金额）虽然一致，但投标人修改了该子目的工程数量，则其合价按招标人给定的工程数量乘以投标人所报单价予以修正。</w:t>
      </w:r>
    </w:p>
    <w:p>
      <w:pPr>
        <w:spacing w:line="400" w:lineRule="exact"/>
        <w:ind w:firstLine="420" w:firstLineChars="200"/>
        <w:rPr>
          <w:rFonts w:ascii="宋体" w:hAnsi="宋体" w:cs="宋体"/>
          <w:szCs w:val="21"/>
          <w:highlight w:val="none"/>
        </w:rPr>
      </w:pPr>
      <w:r>
        <w:rPr>
          <w:rFonts w:ascii="宋体" w:hAnsi="宋体" w:cs="宋体"/>
          <w:szCs w:val="21"/>
          <w:highlight w:val="none"/>
        </w:rPr>
        <w:t>3.1.5</w:t>
      </w:r>
      <w:r>
        <w:rPr>
          <w:rFonts w:hint="eastAsia" w:ascii="宋体" w:hAnsi="宋体" w:cs="宋体"/>
          <w:szCs w:val="21"/>
          <w:highlight w:val="none"/>
        </w:rPr>
        <w:t xml:space="preserve"> </w:t>
      </w:r>
      <w:r>
        <w:rPr>
          <w:rFonts w:ascii="宋体" w:hAnsi="宋体" w:cs="宋体"/>
          <w:szCs w:val="21"/>
          <w:highlight w:val="none"/>
        </w:rPr>
        <w:t>修正后的最终投标报价若超过最高投标限价（如有），投标人的投标文件作否决其投标处理。</w:t>
      </w:r>
    </w:p>
    <w:p>
      <w:pPr>
        <w:spacing w:line="400" w:lineRule="exact"/>
        <w:ind w:firstLine="420" w:firstLineChars="200"/>
        <w:rPr>
          <w:rFonts w:ascii="宋体" w:hAnsi="宋体" w:cs="宋体"/>
          <w:szCs w:val="21"/>
          <w:highlight w:val="none"/>
        </w:rPr>
      </w:pPr>
      <w:r>
        <w:rPr>
          <w:rFonts w:ascii="宋体" w:hAnsi="宋体" w:cs="宋体"/>
          <w:szCs w:val="21"/>
          <w:highlight w:val="none"/>
        </w:rPr>
        <w:t>3.1.6</w:t>
      </w:r>
      <w:r>
        <w:rPr>
          <w:rFonts w:hint="eastAsia" w:ascii="宋体" w:hAnsi="宋体" w:cs="宋体"/>
          <w:szCs w:val="21"/>
          <w:highlight w:val="none"/>
        </w:rPr>
        <w:t xml:space="preserve"> </w:t>
      </w:r>
      <w:r>
        <w:rPr>
          <w:rFonts w:ascii="宋体" w:hAnsi="宋体" w:cs="宋体"/>
          <w:szCs w:val="21"/>
          <w:highlight w:val="none"/>
        </w:rPr>
        <w:t>修正后的最终投标报价仅作为签订合同的一个依据，不参与评标价得分的计算。</w:t>
      </w:r>
    </w:p>
    <w:p>
      <w:pPr>
        <w:spacing w:line="400" w:lineRule="exact"/>
        <w:ind w:firstLine="420" w:firstLineChars="200"/>
        <w:rPr>
          <w:rFonts w:ascii="宋体" w:hAnsi="宋体" w:cs="宋体"/>
          <w:szCs w:val="21"/>
          <w:highlight w:val="none"/>
        </w:rPr>
      </w:pPr>
      <w:r>
        <w:rPr>
          <w:rFonts w:ascii="宋体" w:hAnsi="宋体" w:cs="宋体"/>
          <w:szCs w:val="21"/>
          <w:highlight w:val="none"/>
        </w:rPr>
        <w:t>3.2</w:t>
      </w:r>
      <w:r>
        <w:rPr>
          <w:rFonts w:hint="eastAsia" w:ascii="宋体" w:hAnsi="宋体" w:cs="宋体"/>
          <w:szCs w:val="21"/>
          <w:highlight w:val="none"/>
        </w:rPr>
        <w:t xml:space="preserve"> </w:t>
      </w:r>
      <w:r>
        <w:rPr>
          <w:rFonts w:ascii="宋体" w:hAnsi="宋体" w:cs="宋体"/>
          <w:szCs w:val="21"/>
          <w:highlight w:val="none"/>
        </w:rPr>
        <w:t>详细评审</w:t>
      </w:r>
    </w:p>
    <w:p>
      <w:pPr>
        <w:spacing w:line="400" w:lineRule="exact"/>
        <w:ind w:firstLine="420" w:firstLineChars="200"/>
        <w:rPr>
          <w:rFonts w:ascii="宋体" w:hAnsi="宋体" w:cs="宋体"/>
          <w:szCs w:val="21"/>
          <w:highlight w:val="none"/>
        </w:rPr>
      </w:pPr>
      <w:r>
        <w:rPr>
          <w:rFonts w:ascii="宋体" w:hAnsi="宋体" w:cs="宋体"/>
          <w:szCs w:val="21"/>
          <w:highlight w:val="none"/>
        </w:rPr>
        <w:t>3.2.1</w:t>
      </w:r>
      <w:r>
        <w:rPr>
          <w:rFonts w:hint="eastAsia" w:ascii="宋体" w:hAnsi="宋体" w:cs="宋体"/>
          <w:szCs w:val="21"/>
          <w:highlight w:val="none"/>
        </w:rPr>
        <w:t xml:space="preserve"> </w:t>
      </w:r>
      <w:r>
        <w:rPr>
          <w:rFonts w:ascii="宋体" w:hAnsi="宋体" w:cs="宋体"/>
          <w:szCs w:val="21"/>
          <w:highlight w:val="none"/>
        </w:rPr>
        <w:t>评标委员会按本章第2.2款规定的量化因素和分值进行打分，并计算出综合评估得分。</w:t>
      </w:r>
    </w:p>
    <w:p>
      <w:pPr>
        <w:spacing w:line="400" w:lineRule="exact"/>
        <w:ind w:firstLine="420" w:firstLineChars="200"/>
        <w:rPr>
          <w:rFonts w:ascii="宋体" w:hAnsi="宋体" w:cs="宋体"/>
          <w:szCs w:val="21"/>
          <w:highlight w:val="none"/>
        </w:rPr>
      </w:pPr>
      <w:r>
        <w:rPr>
          <w:rFonts w:ascii="宋体" w:hAnsi="宋体" w:cs="宋体"/>
          <w:szCs w:val="21"/>
          <w:highlight w:val="none"/>
        </w:rPr>
        <w:t>（1）按本章第2.2.4（1）目规定的评审因素和分值对</w:t>
      </w:r>
      <w:r>
        <w:rPr>
          <w:rFonts w:hint="eastAsia" w:ascii="宋体" w:hAnsi="宋体" w:cs="宋体"/>
          <w:szCs w:val="21"/>
          <w:highlight w:val="none"/>
        </w:rPr>
        <w:t>主要人员</w:t>
      </w:r>
      <w:r>
        <w:rPr>
          <w:rFonts w:ascii="宋体" w:hAnsi="宋体" w:cs="宋体"/>
          <w:szCs w:val="21"/>
          <w:highlight w:val="none"/>
        </w:rPr>
        <w:t>计算出得分A；</w:t>
      </w:r>
    </w:p>
    <w:p>
      <w:pPr>
        <w:spacing w:line="400" w:lineRule="exact"/>
        <w:ind w:firstLine="420" w:firstLineChars="200"/>
        <w:rPr>
          <w:rFonts w:ascii="宋体" w:hAnsi="宋体" w:cs="宋体"/>
          <w:szCs w:val="21"/>
          <w:highlight w:val="none"/>
        </w:rPr>
      </w:pPr>
      <w:r>
        <w:rPr>
          <w:rFonts w:ascii="宋体" w:hAnsi="宋体" w:cs="宋体"/>
          <w:szCs w:val="21"/>
          <w:highlight w:val="none"/>
        </w:rPr>
        <w:t>（2）按本章第2.2.4（2）目规定的评审因素和分值对</w:t>
      </w:r>
      <w:r>
        <w:rPr>
          <w:rFonts w:hint="eastAsia" w:ascii="宋体" w:hAnsi="宋体" w:cs="宋体"/>
          <w:szCs w:val="21"/>
          <w:highlight w:val="none"/>
        </w:rPr>
        <w:t>检测实施方案</w:t>
      </w:r>
      <w:r>
        <w:rPr>
          <w:rFonts w:ascii="宋体" w:hAnsi="宋体" w:cs="宋体"/>
          <w:szCs w:val="21"/>
          <w:highlight w:val="none"/>
        </w:rPr>
        <w:t>计算出得分B；</w:t>
      </w:r>
    </w:p>
    <w:p>
      <w:pPr>
        <w:spacing w:line="400" w:lineRule="exact"/>
        <w:ind w:firstLine="420" w:firstLineChars="200"/>
        <w:rPr>
          <w:rFonts w:ascii="宋体" w:hAnsi="宋体" w:cs="宋体"/>
          <w:szCs w:val="21"/>
          <w:highlight w:val="none"/>
        </w:rPr>
      </w:pPr>
      <w:r>
        <w:rPr>
          <w:rFonts w:ascii="宋体" w:hAnsi="宋体" w:cs="宋体"/>
          <w:szCs w:val="21"/>
          <w:highlight w:val="none"/>
        </w:rPr>
        <w:t>（3）按本章第2.2.4（3）目规定的评审因素和分值对</w:t>
      </w:r>
      <w:r>
        <w:rPr>
          <w:rFonts w:hint="eastAsia" w:ascii="宋体" w:hAnsi="宋体" w:cs="宋体"/>
          <w:szCs w:val="21"/>
          <w:highlight w:val="none"/>
        </w:rPr>
        <w:t>业绩</w:t>
      </w:r>
      <w:r>
        <w:rPr>
          <w:rFonts w:ascii="宋体" w:hAnsi="宋体" w:cs="宋体"/>
          <w:szCs w:val="21"/>
          <w:highlight w:val="none"/>
        </w:rPr>
        <w:t>计算出得分C；</w:t>
      </w:r>
    </w:p>
    <w:p>
      <w:pPr>
        <w:spacing w:line="400" w:lineRule="exact"/>
        <w:ind w:firstLine="420" w:firstLineChars="200"/>
        <w:rPr>
          <w:rFonts w:ascii="宋体" w:hAnsi="宋体" w:cs="宋体"/>
          <w:szCs w:val="21"/>
          <w:highlight w:val="none"/>
        </w:rPr>
      </w:pPr>
      <w:r>
        <w:rPr>
          <w:rFonts w:ascii="宋体" w:hAnsi="宋体" w:cs="宋体"/>
          <w:szCs w:val="21"/>
          <w:highlight w:val="none"/>
        </w:rPr>
        <w:t>（4）按本章第2.2.4（4）目规定的评审因素和分值对</w:t>
      </w:r>
      <w:r>
        <w:rPr>
          <w:rFonts w:hint="eastAsia" w:ascii="宋体" w:hAnsi="宋体" w:cs="宋体"/>
          <w:szCs w:val="21"/>
          <w:highlight w:val="none"/>
        </w:rPr>
        <w:t>履约信誉</w:t>
      </w:r>
      <w:r>
        <w:rPr>
          <w:rFonts w:ascii="宋体" w:hAnsi="宋体" w:cs="宋体"/>
          <w:szCs w:val="21"/>
          <w:highlight w:val="none"/>
        </w:rPr>
        <w:t>计算出得分D</w:t>
      </w:r>
      <w:r>
        <w:rPr>
          <w:rFonts w:hint="eastAsia" w:ascii="宋体" w:hAnsi="宋体" w:cs="宋体"/>
          <w:szCs w:val="21"/>
          <w:highlight w:val="none"/>
        </w:rPr>
        <w:t>；</w:t>
      </w:r>
    </w:p>
    <w:p>
      <w:pPr>
        <w:spacing w:line="400" w:lineRule="exact"/>
        <w:ind w:firstLine="420" w:firstLineChars="200"/>
        <w:rPr>
          <w:rFonts w:ascii="宋体" w:hAnsi="宋体" w:cs="宋体"/>
          <w:szCs w:val="21"/>
          <w:highlight w:val="none"/>
        </w:rPr>
      </w:pPr>
      <w:r>
        <w:rPr>
          <w:rFonts w:hint="eastAsia" w:ascii="宋体" w:hAnsi="宋体" w:cs="宋体"/>
          <w:szCs w:val="21"/>
          <w:highlight w:val="none"/>
        </w:rPr>
        <w:t>（5）</w:t>
      </w:r>
      <w:r>
        <w:rPr>
          <w:rFonts w:ascii="宋体" w:hAnsi="宋体" w:cs="宋体"/>
          <w:szCs w:val="21"/>
          <w:highlight w:val="none"/>
        </w:rPr>
        <w:t>按本章第2.2.4（5）目规定的评审因素和分值对</w:t>
      </w:r>
      <w:r>
        <w:rPr>
          <w:rFonts w:hint="eastAsia" w:ascii="宋体" w:hAnsi="宋体" w:cs="宋体"/>
          <w:szCs w:val="21"/>
          <w:highlight w:val="none"/>
        </w:rPr>
        <w:t>投标报价</w:t>
      </w:r>
      <w:r>
        <w:rPr>
          <w:rFonts w:ascii="宋体" w:hAnsi="宋体" w:cs="宋体"/>
          <w:szCs w:val="21"/>
          <w:highlight w:val="none"/>
        </w:rPr>
        <w:t>计算出得分F</w:t>
      </w:r>
      <w:r>
        <w:rPr>
          <w:rFonts w:hint="eastAsia" w:ascii="宋体" w:hAnsi="宋体" w:cs="宋体"/>
          <w:szCs w:val="21"/>
          <w:highlight w:val="none"/>
        </w:rPr>
        <w:t>。</w:t>
      </w:r>
    </w:p>
    <w:p>
      <w:pPr>
        <w:spacing w:line="400" w:lineRule="exact"/>
        <w:ind w:firstLine="420" w:firstLineChars="200"/>
        <w:rPr>
          <w:rFonts w:ascii="宋体" w:hAnsi="宋体" w:cs="宋体"/>
          <w:szCs w:val="21"/>
          <w:highlight w:val="none"/>
        </w:rPr>
      </w:pPr>
      <w:r>
        <w:rPr>
          <w:rFonts w:ascii="宋体" w:hAnsi="宋体" w:cs="宋体"/>
          <w:szCs w:val="21"/>
          <w:highlight w:val="none"/>
        </w:rPr>
        <w:t>3.2.2</w:t>
      </w:r>
      <w:r>
        <w:rPr>
          <w:rFonts w:hint="eastAsia" w:ascii="宋体" w:hAnsi="宋体" w:cs="宋体"/>
          <w:szCs w:val="21"/>
          <w:highlight w:val="none"/>
        </w:rPr>
        <w:t xml:space="preserve"> </w:t>
      </w:r>
      <w:r>
        <w:rPr>
          <w:rFonts w:ascii="宋体" w:hAnsi="宋体" w:cs="宋体"/>
          <w:szCs w:val="21"/>
          <w:highlight w:val="none"/>
        </w:rPr>
        <w:t>评分分值计算保留小数点后两位，小数点后第三位“四舍五入”。</w:t>
      </w:r>
    </w:p>
    <w:p>
      <w:pPr>
        <w:spacing w:line="400" w:lineRule="exact"/>
        <w:ind w:firstLine="420" w:firstLineChars="200"/>
        <w:rPr>
          <w:rFonts w:ascii="宋体" w:hAnsi="宋体" w:cs="宋体"/>
          <w:szCs w:val="21"/>
          <w:highlight w:val="none"/>
        </w:rPr>
      </w:pPr>
      <w:r>
        <w:rPr>
          <w:rFonts w:ascii="宋体" w:hAnsi="宋体" w:cs="宋体"/>
          <w:szCs w:val="21"/>
          <w:highlight w:val="none"/>
        </w:rPr>
        <w:t>3.2.3</w:t>
      </w:r>
      <w:r>
        <w:rPr>
          <w:rFonts w:hint="eastAsia" w:ascii="宋体" w:hAnsi="宋体" w:cs="宋体"/>
          <w:szCs w:val="21"/>
          <w:highlight w:val="none"/>
        </w:rPr>
        <w:t xml:space="preserve"> </w:t>
      </w:r>
      <w:r>
        <w:rPr>
          <w:rFonts w:ascii="宋体" w:hAnsi="宋体" w:cs="宋体"/>
          <w:szCs w:val="21"/>
          <w:highlight w:val="none"/>
        </w:rPr>
        <w:t>投标人得分=A+B+C+D</w:t>
      </w:r>
      <w:r>
        <w:rPr>
          <w:rFonts w:hint="eastAsia" w:ascii="宋体" w:hAnsi="宋体" w:cs="宋体"/>
          <w:szCs w:val="21"/>
          <w:highlight w:val="none"/>
        </w:rPr>
        <w:t>+F</w:t>
      </w:r>
      <w:r>
        <w:rPr>
          <w:rFonts w:ascii="宋体" w:hAnsi="宋体" w:cs="宋体"/>
          <w:szCs w:val="21"/>
          <w:highlight w:val="none"/>
        </w:rPr>
        <w:t>。</w:t>
      </w:r>
    </w:p>
    <w:p>
      <w:pPr>
        <w:spacing w:line="400" w:lineRule="exact"/>
        <w:ind w:firstLine="420" w:firstLineChars="200"/>
        <w:rPr>
          <w:rFonts w:ascii="宋体" w:hAnsi="宋体" w:cs="宋体"/>
          <w:szCs w:val="21"/>
          <w:highlight w:val="none"/>
        </w:rPr>
      </w:pPr>
      <w:r>
        <w:rPr>
          <w:rFonts w:ascii="宋体" w:hAnsi="宋体" w:cs="宋体"/>
          <w:szCs w:val="21"/>
          <w:highlight w:val="none"/>
        </w:rPr>
        <w:t>3.2.4</w:t>
      </w:r>
      <w:r>
        <w:rPr>
          <w:rFonts w:hint="eastAsia" w:ascii="宋体" w:hAnsi="宋体" w:cs="宋体"/>
          <w:szCs w:val="21"/>
          <w:highlight w:val="none"/>
        </w:rPr>
        <w:t xml:space="preserve"> </w:t>
      </w:r>
      <w:r>
        <w:rPr>
          <w:rFonts w:ascii="宋体" w:hAnsi="宋体" w:cs="宋体"/>
          <w:szCs w:val="21"/>
          <w:highlight w:val="none"/>
        </w:rPr>
        <w:t>评标委员会发现投标人的报价明显低于其他投标报价，或者在设有最高投标限价时明显低于最高投标限价，使得其投标报价可能低于其个别成本的，应当要求该投标人作出书面说明并提供相应的证明材料。投标人不能合理说明或者不能提供相应证明材料的，由评标委员会认定该投标人以低于成本报价竞标，其投标作否决其投标处理。</w:t>
      </w:r>
    </w:p>
    <w:p>
      <w:pPr>
        <w:spacing w:line="400" w:lineRule="exact"/>
        <w:ind w:firstLine="420" w:firstLineChars="200"/>
        <w:rPr>
          <w:rFonts w:ascii="宋体" w:hAnsi="宋体" w:cs="宋体"/>
          <w:szCs w:val="21"/>
          <w:highlight w:val="none"/>
        </w:rPr>
      </w:pPr>
      <w:r>
        <w:rPr>
          <w:rFonts w:ascii="宋体" w:hAnsi="宋体" w:cs="宋体"/>
          <w:szCs w:val="21"/>
          <w:highlight w:val="none"/>
        </w:rPr>
        <w:t>3.2.5 评标委员会在详细评审过程中，如发现投标人的投标文件有以下情况之一的， 评标委员会应对其作否决其投标处理：</w:t>
      </w:r>
    </w:p>
    <w:p>
      <w:pPr>
        <w:spacing w:line="400" w:lineRule="exact"/>
        <w:ind w:firstLine="420" w:firstLineChars="200"/>
        <w:rPr>
          <w:rFonts w:ascii="宋体" w:hAnsi="宋体" w:cs="宋体"/>
          <w:szCs w:val="21"/>
          <w:highlight w:val="none"/>
        </w:rPr>
      </w:pPr>
      <w:r>
        <w:rPr>
          <w:rFonts w:ascii="宋体" w:hAnsi="宋体" w:cs="宋体"/>
          <w:szCs w:val="21"/>
          <w:highlight w:val="none"/>
        </w:rPr>
        <w:t>（1）承诺的质量标准低于招标文件的规定或国家强制性标准要求；</w:t>
      </w:r>
    </w:p>
    <w:p>
      <w:pPr>
        <w:spacing w:line="400" w:lineRule="exact"/>
        <w:ind w:firstLine="420" w:firstLineChars="200"/>
        <w:rPr>
          <w:rFonts w:ascii="宋体" w:hAnsi="宋体" w:cs="宋体"/>
          <w:szCs w:val="21"/>
          <w:highlight w:val="none"/>
        </w:rPr>
      </w:pPr>
      <w:r>
        <w:rPr>
          <w:rFonts w:ascii="宋体" w:hAnsi="宋体" w:cs="宋体"/>
          <w:szCs w:val="21"/>
          <w:highlight w:val="none"/>
        </w:rPr>
        <w:t>（2）经评标委员会认定关键检测技术方案不可行；</w:t>
      </w:r>
    </w:p>
    <w:p>
      <w:pPr>
        <w:spacing w:line="400" w:lineRule="exact"/>
        <w:ind w:firstLine="420" w:firstLineChars="200"/>
        <w:rPr>
          <w:rFonts w:ascii="宋体" w:hAnsi="宋体" w:cs="宋体"/>
          <w:szCs w:val="21"/>
          <w:highlight w:val="none"/>
        </w:rPr>
      </w:pPr>
      <w:r>
        <w:rPr>
          <w:rFonts w:ascii="宋体" w:hAnsi="宋体" w:cs="宋体"/>
          <w:szCs w:val="21"/>
          <w:highlight w:val="none"/>
        </w:rPr>
        <w:t>（3）投标文件提供的业绩及履约信誉证明材料虚假。</w:t>
      </w:r>
    </w:p>
    <w:p>
      <w:pPr>
        <w:spacing w:line="400" w:lineRule="exact"/>
        <w:ind w:firstLine="420" w:firstLineChars="200"/>
        <w:rPr>
          <w:rFonts w:ascii="宋体" w:hAnsi="宋体" w:cs="宋体"/>
          <w:szCs w:val="21"/>
          <w:highlight w:val="none"/>
        </w:rPr>
      </w:pPr>
      <w:r>
        <w:rPr>
          <w:rFonts w:ascii="宋体" w:hAnsi="宋体" w:cs="宋体"/>
          <w:szCs w:val="21"/>
          <w:highlight w:val="none"/>
        </w:rPr>
        <w:t>3.3</w:t>
      </w:r>
      <w:r>
        <w:rPr>
          <w:rFonts w:hint="eastAsia" w:ascii="宋体" w:hAnsi="宋体" w:cs="宋体"/>
          <w:szCs w:val="21"/>
          <w:highlight w:val="none"/>
        </w:rPr>
        <w:t xml:space="preserve"> </w:t>
      </w:r>
      <w:r>
        <w:rPr>
          <w:rFonts w:ascii="宋体" w:hAnsi="宋体" w:cs="宋体"/>
          <w:szCs w:val="21"/>
          <w:highlight w:val="none"/>
        </w:rPr>
        <w:t>投标文件的澄清和补正</w:t>
      </w:r>
    </w:p>
    <w:p>
      <w:pPr>
        <w:spacing w:line="400" w:lineRule="exact"/>
        <w:ind w:firstLine="420" w:firstLineChars="200"/>
        <w:rPr>
          <w:rFonts w:ascii="宋体" w:hAnsi="宋体" w:cs="宋体"/>
          <w:szCs w:val="21"/>
          <w:highlight w:val="none"/>
        </w:rPr>
      </w:pPr>
      <w:r>
        <w:rPr>
          <w:rFonts w:ascii="宋体" w:hAnsi="宋体" w:cs="宋体"/>
          <w:szCs w:val="21"/>
          <w:highlight w:val="none"/>
        </w:rPr>
        <w:t>3.3.1 在评标过程中，评标委员会可以书面形式要求投标人对所提交投标文件中不明确 的内容进行书面澄清或说明，或者对细微偏差进行补正。评标委员会不接受投标人主动提 出的澄清、说明或补正。</w:t>
      </w:r>
    </w:p>
    <w:p>
      <w:pPr>
        <w:spacing w:line="400" w:lineRule="exact"/>
        <w:ind w:firstLine="420" w:firstLineChars="200"/>
        <w:rPr>
          <w:rFonts w:ascii="宋体" w:hAnsi="宋体" w:cs="宋体"/>
          <w:szCs w:val="21"/>
          <w:highlight w:val="none"/>
        </w:rPr>
      </w:pPr>
      <w:r>
        <w:rPr>
          <w:rFonts w:ascii="宋体" w:hAnsi="宋体" w:cs="宋体"/>
          <w:szCs w:val="21"/>
          <w:highlight w:val="none"/>
        </w:rPr>
        <w:t>3.3.2</w:t>
      </w:r>
      <w:r>
        <w:rPr>
          <w:rFonts w:hint="eastAsia" w:ascii="宋体" w:hAnsi="宋体" w:cs="宋体"/>
          <w:szCs w:val="21"/>
          <w:highlight w:val="none"/>
        </w:rPr>
        <w:t xml:space="preserve"> </w:t>
      </w:r>
      <w:r>
        <w:rPr>
          <w:rFonts w:ascii="宋体" w:hAnsi="宋体" w:cs="宋体"/>
          <w:szCs w:val="21"/>
          <w:highlight w:val="none"/>
        </w:rPr>
        <w:t>澄清、说明和补正不得改变投标文件的实质性内容（算术性错误修正的除外）。 投标人的书面澄清、说明和补正属于投标文件的组成部分。</w:t>
      </w:r>
    </w:p>
    <w:p>
      <w:pPr>
        <w:spacing w:line="400" w:lineRule="exact"/>
        <w:ind w:firstLine="420" w:firstLineChars="200"/>
        <w:rPr>
          <w:rFonts w:ascii="宋体" w:hAnsi="宋体" w:cs="宋体"/>
          <w:szCs w:val="21"/>
          <w:highlight w:val="none"/>
        </w:rPr>
      </w:pPr>
      <w:r>
        <w:rPr>
          <w:rFonts w:ascii="宋体" w:hAnsi="宋体" w:cs="宋体"/>
          <w:szCs w:val="21"/>
          <w:highlight w:val="none"/>
        </w:rPr>
        <w:t>3.3.3 评标委员会对投标人提交的澄清、说明或补正有疑问的，可以要求投标人进一步澄清、说明或补正，直至满足评标委员会的要求。</w:t>
      </w:r>
    </w:p>
    <w:p>
      <w:pPr>
        <w:spacing w:line="400" w:lineRule="exact"/>
        <w:ind w:firstLine="420" w:firstLineChars="200"/>
        <w:rPr>
          <w:rFonts w:ascii="宋体" w:hAnsi="宋体" w:cs="宋体"/>
          <w:szCs w:val="21"/>
          <w:highlight w:val="none"/>
        </w:rPr>
      </w:pPr>
      <w:r>
        <w:rPr>
          <w:rFonts w:ascii="宋体" w:hAnsi="宋体" w:cs="宋体"/>
          <w:szCs w:val="21"/>
          <w:highlight w:val="none"/>
        </w:rPr>
        <w:t>3.3.4 凡超出招标文件规定的或给委托人带来未曾要求的利益的变化、偏差或其他因素在评标时不予考虑。</w:t>
      </w:r>
    </w:p>
    <w:p>
      <w:pPr>
        <w:spacing w:line="400" w:lineRule="exact"/>
        <w:ind w:firstLine="420" w:firstLineChars="200"/>
        <w:rPr>
          <w:rFonts w:ascii="宋体" w:hAnsi="宋体" w:cs="宋体"/>
          <w:szCs w:val="21"/>
          <w:highlight w:val="none"/>
        </w:rPr>
      </w:pPr>
      <w:r>
        <w:rPr>
          <w:rFonts w:ascii="宋体" w:hAnsi="宋体" w:cs="宋体"/>
          <w:szCs w:val="21"/>
          <w:highlight w:val="none"/>
        </w:rPr>
        <w:t>3.4</w:t>
      </w:r>
      <w:r>
        <w:rPr>
          <w:rFonts w:hint="eastAsia" w:ascii="宋体" w:hAnsi="宋体" w:cs="宋体"/>
          <w:szCs w:val="21"/>
          <w:highlight w:val="none"/>
        </w:rPr>
        <w:t xml:space="preserve"> </w:t>
      </w:r>
      <w:r>
        <w:rPr>
          <w:rFonts w:ascii="宋体" w:hAnsi="宋体" w:cs="宋体"/>
          <w:szCs w:val="21"/>
          <w:highlight w:val="none"/>
        </w:rPr>
        <w:t>评标结果</w:t>
      </w:r>
    </w:p>
    <w:p>
      <w:pPr>
        <w:spacing w:line="400" w:lineRule="exact"/>
        <w:ind w:firstLine="420" w:firstLineChars="200"/>
        <w:rPr>
          <w:rFonts w:ascii="宋体" w:hAnsi="宋体" w:cs="宋体"/>
          <w:szCs w:val="21"/>
          <w:highlight w:val="none"/>
        </w:rPr>
      </w:pPr>
      <w:r>
        <w:rPr>
          <w:rFonts w:ascii="宋体" w:hAnsi="宋体" w:cs="宋体"/>
          <w:szCs w:val="21"/>
          <w:highlight w:val="none"/>
        </w:rPr>
        <w:t>3.4.1 除第二章“投标人须知”前附表授权直接确定中标人外，评标委员会按照得分由高到低的顺序推荐中标候选人。</w:t>
      </w:r>
    </w:p>
    <w:p>
      <w:pPr>
        <w:spacing w:line="400" w:lineRule="exact"/>
        <w:ind w:firstLine="420" w:firstLineChars="200"/>
        <w:rPr>
          <w:rFonts w:ascii="宋体" w:hAnsi="宋体" w:cs="宋体"/>
          <w:szCs w:val="21"/>
          <w:highlight w:val="none"/>
        </w:rPr>
      </w:pPr>
      <w:r>
        <w:rPr>
          <w:rFonts w:ascii="宋体" w:hAnsi="宋体" w:cs="宋体"/>
          <w:szCs w:val="21"/>
          <w:highlight w:val="none"/>
        </w:rPr>
        <w:t>3.4.2</w:t>
      </w:r>
      <w:r>
        <w:rPr>
          <w:rFonts w:hint="eastAsia" w:ascii="宋体" w:hAnsi="宋体" w:cs="宋体"/>
          <w:szCs w:val="21"/>
          <w:highlight w:val="none"/>
        </w:rPr>
        <w:t xml:space="preserve"> </w:t>
      </w:r>
      <w:r>
        <w:rPr>
          <w:rFonts w:ascii="宋体" w:hAnsi="宋体" w:cs="宋体"/>
          <w:szCs w:val="21"/>
          <w:highlight w:val="none"/>
        </w:rPr>
        <w:t>评标委员会完成评标后，应当向招标人提交书面评标报告。</w:t>
      </w:r>
    </w:p>
    <w:p>
      <w:pPr>
        <w:spacing w:line="280" w:lineRule="exact"/>
        <w:ind w:firstLine="598" w:firstLineChars="285"/>
        <w:rPr>
          <w:rFonts w:ascii="Garamond" w:hAnsi="Garamond"/>
          <w:highlight w:val="none"/>
        </w:rPr>
      </w:pPr>
    </w:p>
    <w:p>
      <w:pPr>
        <w:spacing w:line="280" w:lineRule="exact"/>
        <w:ind w:firstLine="598" w:firstLineChars="285"/>
        <w:rPr>
          <w:rFonts w:ascii="Garamond" w:hAnsi="Garamond"/>
          <w:highlight w:val="none"/>
        </w:rPr>
      </w:pPr>
    </w:p>
    <w:p>
      <w:pPr>
        <w:spacing w:line="280" w:lineRule="exact"/>
        <w:ind w:firstLine="598" w:firstLineChars="285"/>
        <w:rPr>
          <w:rFonts w:ascii="Garamond" w:hAnsi="Garamond"/>
          <w:highlight w:val="none"/>
        </w:rPr>
      </w:pPr>
    </w:p>
    <w:p>
      <w:pPr>
        <w:spacing w:line="280" w:lineRule="exact"/>
        <w:ind w:firstLine="598" w:firstLineChars="285"/>
        <w:rPr>
          <w:rFonts w:ascii="Garamond" w:hAnsi="Garamond"/>
          <w:highlight w:val="none"/>
        </w:rPr>
      </w:pPr>
    </w:p>
    <w:p>
      <w:pPr>
        <w:spacing w:line="280" w:lineRule="exact"/>
        <w:ind w:firstLine="598" w:firstLineChars="285"/>
        <w:rPr>
          <w:rFonts w:ascii="Garamond" w:hAnsi="Garamond"/>
          <w:highlight w:val="none"/>
        </w:rPr>
      </w:pPr>
    </w:p>
    <w:p>
      <w:pPr>
        <w:spacing w:line="280" w:lineRule="exact"/>
        <w:ind w:firstLine="598" w:firstLineChars="285"/>
        <w:rPr>
          <w:rFonts w:ascii="Garamond" w:hAnsi="Garamond"/>
          <w:highlight w:val="none"/>
        </w:rPr>
      </w:pPr>
    </w:p>
    <w:p>
      <w:pPr>
        <w:spacing w:line="280" w:lineRule="exact"/>
        <w:ind w:firstLine="598" w:firstLineChars="285"/>
        <w:rPr>
          <w:rFonts w:ascii="Garamond" w:hAnsi="Garamond"/>
          <w:highlight w:val="none"/>
        </w:rPr>
      </w:pPr>
    </w:p>
    <w:p>
      <w:pPr>
        <w:spacing w:line="280" w:lineRule="exact"/>
        <w:ind w:firstLine="598" w:firstLineChars="285"/>
        <w:rPr>
          <w:rFonts w:ascii="Garamond" w:hAnsi="Garamond"/>
          <w:highlight w:val="none"/>
        </w:rPr>
      </w:pPr>
    </w:p>
    <w:p>
      <w:pPr>
        <w:spacing w:line="280" w:lineRule="exact"/>
        <w:ind w:firstLine="598" w:firstLineChars="285"/>
        <w:rPr>
          <w:rFonts w:ascii="Garamond" w:hAnsi="Garamond"/>
          <w:highlight w:val="none"/>
        </w:rPr>
      </w:pPr>
    </w:p>
    <w:p>
      <w:pPr>
        <w:spacing w:line="280" w:lineRule="exact"/>
        <w:ind w:firstLine="598" w:firstLineChars="285"/>
        <w:rPr>
          <w:rFonts w:ascii="Garamond" w:hAnsi="Garamond"/>
          <w:highlight w:val="none"/>
        </w:rPr>
      </w:pPr>
    </w:p>
    <w:p>
      <w:pPr>
        <w:spacing w:line="280" w:lineRule="exact"/>
        <w:ind w:firstLine="598" w:firstLineChars="285"/>
        <w:rPr>
          <w:rFonts w:ascii="Garamond" w:hAnsi="Garamond"/>
          <w:highlight w:val="none"/>
        </w:rPr>
      </w:pPr>
    </w:p>
    <w:p>
      <w:pPr>
        <w:spacing w:line="280" w:lineRule="exact"/>
        <w:ind w:firstLine="598" w:firstLineChars="285"/>
        <w:rPr>
          <w:rFonts w:ascii="Garamond" w:hAnsi="Garamond"/>
          <w:highlight w:val="none"/>
        </w:rPr>
      </w:pPr>
    </w:p>
    <w:p>
      <w:pPr>
        <w:spacing w:line="280" w:lineRule="exact"/>
        <w:ind w:firstLine="916" w:firstLineChars="285"/>
        <w:rPr>
          <w:rFonts w:ascii="Garamond" w:hAnsi="Garamond"/>
          <w:b/>
          <w:sz w:val="32"/>
          <w:szCs w:val="32"/>
          <w:highlight w:val="none"/>
        </w:rPr>
      </w:pPr>
    </w:p>
    <w:p>
      <w:pPr>
        <w:spacing w:line="280" w:lineRule="exact"/>
        <w:ind w:firstLine="916" w:firstLineChars="285"/>
        <w:rPr>
          <w:rFonts w:ascii="Garamond" w:hAnsi="Garamond"/>
          <w:b/>
          <w:sz w:val="32"/>
          <w:szCs w:val="32"/>
          <w:highlight w:val="none"/>
        </w:rPr>
      </w:pPr>
    </w:p>
    <w:p>
      <w:pPr>
        <w:spacing w:line="280" w:lineRule="exact"/>
        <w:ind w:firstLine="916" w:firstLineChars="285"/>
        <w:rPr>
          <w:rFonts w:ascii="Garamond" w:hAnsi="Garamond"/>
          <w:b/>
          <w:sz w:val="32"/>
          <w:szCs w:val="32"/>
          <w:highlight w:val="none"/>
        </w:rPr>
      </w:pPr>
      <w:r>
        <w:rPr>
          <w:rFonts w:ascii="Garamond" w:hAnsi="Garamond"/>
          <w:b/>
          <w:sz w:val="32"/>
          <w:szCs w:val="32"/>
          <w:highlight w:val="none"/>
        </w:rPr>
        <w:br w:type="page"/>
      </w:r>
    </w:p>
    <w:p>
      <w:pPr>
        <w:spacing w:line="280" w:lineRule="exact"/>
        <w:ind w:firstLine="916" w:firstLineChars="285"/>
        <w:rPr>
          <w:rFonts w:ascii="Garamond" w:hAnsi="Garamond"/>
          <w:b/>
          <w:sz w:val="32"/>
          <w:szCs w:val="32"/>
          <w:highlight w:val="none"/>
        </w:rPr>
      </w:pPr>
    </w:p>
    <w:p>
      <w:pPr>
        <w:spacing w:line="280" w:lineRule="exact"/>
        <w:ind w:firstLine="916" w:firstLineChars="285"/>
        <w:rPr>
          <w:rFonts w:ascii="Garamond" w:hAnsi="Garamond"/>
          <w:b/>
          <w:sz w:val="32"/>
          <w:szCs w:val="32"/>
          <w:highlight w:val="none"/>
        </w:rPr>
      </w:pPr>
    </w:p>
    <w:p>
      <w:pPr>
        <w:spacing w:line="280" w:lineRule="exact"/>
        <w:ind w:firstLine="916" w:firstLineChars="285"/>
        <w:rPr>
          <w:rFonts w:ascii="Garamond" w:hAnsi="Garamond"/>
          <w:b/>
          <w:sz w:val="32"/>
          <w:szCs w:val="32"/>
          <w:highlight w:val="none"/>
        </w:rPr>
      </w:pPr>
    </w:p>
    <w:p>
      <w:pPr>
        <w:spacing w:line="280" w:lineRule="exact"/>
        <w:ind w:firstLine="916" w:firstLineChars="285"/>
        <w:rPr>
          <w:rFonts w:ascii="Garamond" w:hAnsi="Garamond"/>
          <w:b/>
          <w:sz w:val="32"/>
          <w:szCs w:val="32"/>
          <w:highlight w:val="none"/>
        </w:rPr>
      </w:pPr>
    </w:p>
    <w:p>
      <w:pPr>
        <w:spacing w:line="280" w:lineRule="exact"/>
        <w:ind w:firstLine="916" w:firstLineChars="285"/>
        <w:rPr>
          <w:rFonts w:ascii="Garamond" w:hAnsi="Garamond"/>
          <w:b/>
          <w:sz w:val="32"/>
          <w:szCs w:val="32"/>
          <w:highlight w:val="none"/>
        </w:rPr>
      </w:pPr>
    </w:p>
    <w:p>
      <w:pPr>
        <w:spacing w:line="280" w:lineRule="exact"/>
        <w:ind w:firstLine="916" w:firstLineChars="285"/>
        <w:rPr>
          <w:rFonts w:ascii="Garamond" w:hAnsi="Garamond"/>
          <w:b/>
          <w:sz w:val="32"/>
          <w:szCs w:val="32"/>
          <w:highlight w:val="none"/>
        </w:rPr>
      </w:pPr>
    </w:p>
    <w:p>
      <w:pPr>
        <w:spacing w:line="280" w:lineRule="exact"/>
        <w:ind w:firstLine="916" w:firstLineChars="285"/>
        <w:rPr>
          <w:rFonts w:ascii="Garamond" w:hAnsi="Garamond"/>
          <w:b/>
          <w:sz w:val="32"/>
          <w:szCs w:val="32"/>
          <w:highlight w:val="none"/>
        </w:rPr>
      </w:pPr>
    </w:p>
    <w:p>
      <w:pPr>
        <w:spacing w:line="280" w:lineRule="exact"/>
        <w:ind w:firstLine="916" w:firstLineChars="285"/>
        <w:rPr>
          <w:rFonts w:ascii="Garamond" w:hAnsi="Garamond"/>
          <w:b/>
          <w:sz w:val="32"/>
          <w:szCs w:val="32"/>
          <w:highlight w:val="none"/>
        </w:rPr>
      </w:pPr>
    </w:p>
    <w:p>
      <w:pPr>
        <w:spacing w:line="280" w:lineRule="exact"/>
        <w:ind w:firstLine="916" w:firstLineChars="285"/>
        <w:rPr>
          <w:rFonts w:ascii="Garamond" w:hAnsi="Garamond"/>
          <w:b/>
          <w:sz w:val="32"/>
          <w:szCs w:val="32"/>
          <w:highlight w:val="none"/>
        </w:rPr>
      </w:pPr>
    </w:p>
    <w:p>
      <w:pPr>
        <w:spacing w:line="280" w:lineRule="exact"/>
        <w:ind w:firstLine="916" w:firstLineChars="285"/>
        <w:rPr>
          <w:rFonts w:ascii="Garamond" w:hAnsi="Garamond"/>
          <w:b/>
          <w:sz w:val="32"/>
          <w:szCs w:val="32"/>
          <w:highlight w:val="none"/>
        </w:rPr>
      </w:pPr>
    </w:p>
    <w:p>
      <w:pPr>
        <w:pStyle w:val="2"/>
        <w:spacing w:after="120" w:line="338" w:lineRule="auto"/>
        <w:jc w:val="center"/>
        <w:rPr>
          <w:rFonts w:ascii="Garamond" w:hAnsi="Garamond"/>
          <w:sz w:val="48"/>
          <w:szCs w:val="48"/>
          <w:highlight w:val="none"/>
        </w:rPr>
      </w:pPr>
      <w:bookmarkStart w:id="66" w:name="_Toc353197096"/>
      <w:r>
        <w:rPr>
          <w:rFonts w:ascii="Garamond" w:hAnsi="Garamond"/>
          <w:sz w:val="48"/>
          <w:szCs w:val="48"/>
          <w:highlight w:val="none"/>
        </w:rPr>
        <w:t>第四章  合同条款及格式</w:t>
      </w:r>
      <w:bookmarkEnd w:id="66"/>
    </w:p>
    <w:p>
      <w:pPr>
        <w:spacing w:line="360" w:lineRule="exact"/>
        <w:ind w:firstLine="912" w:firstLineChars="285"/>
        <w:jc w:val="center"/>
        <w:rPr>
          <w:rFonts w:ascii="Garamond" w:hAnsi="Garamond"/>
          <w:sz w:val="32"/>
          <w:szCs w:val="32"/>
          <w:highlight w:val="none"/>
        </w:rPr>
      </w:pPr>
    </w:p>
    <w:p>
      <w:pPr>
        <w:spacing w:line="280" w:lineRule="exact"/>
        <w:ind w:firstLine="912" w:firstLineChars="285"/>
        <w:jc w:val="center"/>
        <w:rPr>
          <w:rFonts w:ascii="Garamond" w:hAnsi="Garamond"/>
          <w:sz w:val="32"/>
          <w:szCs w:val="32"/>
          <w:highlight w:val="none"/>
        </w:rPr>
      </w:pPr>
    </w:p>
    <w:p>
      <w:pPr>
        <w:spacing w:line="280" w:lineRule="exact"/>
        <w:ind w:firstLine="912" w:firstLineChars="285"/>
        <w:jc w:val="center"/>
        <w:rPr>
          <w:rFonts w:ascii="Garamond" w:hAnsi="Garamond"/>
          <w:sz w:val="32"/>
          <w:szCs w:val="32"/>
          <w:highlight w:val="none"/>
        </w:rPr>
      </w:pPr>
    </w:p>
    <w:p>
      <w:pPr>
        <w:spacing w:line="280" w:lineRule="exact"/>
        <w:ind w:firstLine="912" w:firstLineChars="285"/>
        <w:jc w:val="center"/>
        <w:rPr>
          <w:rFonts w:ascii="Garamond" w:hAnsi="Garamond"/>
          <w:sz w:val="32"/>
          <w:szCs w:val="32"/>
          <w:highlight w:val="none"/>
        </w:rPr>
      </w:pPr>
    </w:p>
    <w:p>
      <w:pPr>
        <w:spacing w:line="280" w:lineRule="exact"/>
        <w:ind w:firstLine="912" w:firstLineChars="285"/>
        <w:jc w:val="center"/>
        <w:rPr>
          <w:rFonts w:ascii="Garamond" w:hAnsi="Garamond"/>
          <w:sz w:val="32"/>
          <w:szCs w:val="32"/>
          <w:highlight w:val="none"/>
        </w:rPr>
      </w:pPr>
    </w:p>
    <w:p>
      <w:pPr>
        <w:spacing w:line="280" w:lineRule="exact"/>
        <w:ind w:firstLine="912" w:firstLineChars="285"/>
        <w:jc w:val="center"/>
        <w:rPr>
          <w:rFonts w:ascii="Garamond" w:hAnsi="Garamond"/>
          <w:sz w:val="32"/>
          <w:szCs w:val="32"/>
          <w:highlight w:val="none"/>
        </w:rPr>
      </w:pPr>
    </w:p>
    <w:p>
      <w:pPr>
        <w:spacing w:line="280" w:lineRule="exact"/>
        <w:ind w:firstLine="912" w:firstLineChars="285"/>
        <w:jc w:val="center"/>
        <w:rPr>
          <w:rFonts w:ascii="Garamond" w:hAnsi="Garamond"/>
          <w:sz w:val="32"/>
          <w:szCs w:val="32"/>
          <w:highlight w:val="none"/>
        </w:rPr>
      </w:pPr>
    </w:p>
    <w:p>
      <w:pPr>
        <w:spacing w:line="280" w:lineRule="exact"/>
        <w:ind w:firstLine="912" w:firstLineChars="285"/>
        <w:jc w:val="center"/>
        <w:rPr>
          <w:rFonts w:ascii="Garamond" w:hAnsi="Garamond"/>
          <w:sz w:val="32"/>
          <w:szCs w:val="32"/>
          <w:highlight w:val="none"/>
        </w:rPr>
      </w:pPr>
    </w:p>
    <w:p>
      <w:pPr>
        <w:spacing w:line="280" w:lineRule="exact"/>
        <w:ind w:firstLine="912" w:firstLineChars="285"/>
        <w:jc w:val="center"/>
        <w:rPr>
          <w:rFonts w:ascii="Garamond" w:hAnsi="Garamond"/>
          <w:sz w:val="32"/>
          <w:szCs w:val="32"/>
          <w:highlight w:val="none"/>
        </w:rPr>
      </w:pPr>
    </w:p>
    <w:p>
      <w:pPr>
        <w:spacing w:line="280" w:lineRule="exact"/>
        <w:ind w:firstLine="912" w:firstLineChars="285"/>
        <w:jc w:val="center"/>
        <w:rPr>
          <w:rFonts w:ascii="Garamond" w:hAnsi="Garamond"/>
          <w:sz w:val="32"/>
          <w:szCs w:val="32"/>
          <w:highlight w:val="none"/>
        </w:rPr>
      </w:pPr>
    </w:p>
    <w:p>
      <w:pPr>
        <w:spacing w:line="280" w:lineRule="exact"/>
        <w:ind w:firstLine="912" w:firstLineChars="285"/>
        <w:jc w:val="center"/>
        <w:rPr>
          <w:rFonts w:ascii="Garamond" w:hAnsi="Garamond"/>
          <w:sz w:val="32"/>
          <w:szCs w:val="32"/>
          <w:highlight w:val="none"/>
        </w:rPr>
      </w:pPr>
    </w:p>
    <w:p>
      <w:pPr>
        <w:spacing w:line="280" w:lineRule="exact"/>
        <w:ind w:firstLine="912" w:firstLineChars="285"/>
        <w:jc w:val="center"/>
        <w:rPr>
          <w:rFonts w:ascii="Garamond" w:hAnsi="Garamond"/>
          <w:sz w:val="32"/>
          <w:szCs w:val="32"/>
          <w:highlight w:val="none"/>
        </w:rPr>
      </w:pPr>
    </w:p>
    <w:p>
      <w:pPr>
        <w:spacing w:line="280" w:lineRule="exact"/>
        <w:ind w:firstLine="912" w:firstLineChars="285"/>
        <w:jc w:val="center"/>
        <w:rPr>
          <w:rFonts w:ascii="Garamond" w:hAnsi="Garamond"/>
          <w:sz w:val="32"/>
          <w:szCs w:val="32"/>
          <w:highlight w:val="none"/>
        </w:rPr>
      </w:pPr>
    </w:p>
    <w:p>
      <w:pPr>
        <w:spacing w:line="280" w:lineRule="exact"/>
        <w:ind w:firstLine="912" w:firstLineChars="285"/>
        <w:jc w:val="center"/>
        <w:rPr>
          <w:rFonts w:ascii="Garamond" w:hAnsi="Garamond"/>
          <w:sz w:val="32"/>
          <w:szCs w:val="32"/>
          <w:highlight w:val="none"/>
        </w:rPr>
      </w:pPr>
    </w:p>
    <w:p>
      <w:pPr>
        <w:spacing w:line="280" w:lineRule="exact"/>
        <w:ind w:firstLine="912" w:firstLineChars="285"/>
        <w:jc w:val="center"/>
        <w:rPr>
          <w:rFonts w:ascii="Garamond" w:hAnsi="Garamond"/>
          <w:sz w:val="32"/>
          <w:szCs w:val="32"/>
          <w:highlight w:val="none"/>
        </w:rPr>
      </w:pPr>
    </w:p>
    <w:p>
      <w:pPr>
        <w:spacing w:line="280" w:lineRule="exact"/>
        <w:ind w:firstLine="912" w:firstLineChars="285"/>
        <w:jc w:val="center"/>
        <w:rPr>
          <w:rFonts w:ascii="Garamond" w:hAnsi="Garamond"/>
          <w:sz w:val="32"/>
          <w:szCs w:val="32"/>
          <w:highlight w:val="none"/>
        </w:rPr>
      </w:pPr>
    </w:p>
    <w:p>
      <w:pPr>
        <w:spacing w:line="280" w:lineRule="exact"/>
        <w:ind w:firstLine="912" w:firstLineChars="285"/>
        <w:jc w:val="center"/>
        <w:rPr>
          <w:rFonts w:ascii="Garamond" w:hAnsi="Garamond"/>
          <w:sz w:val="32"/>
          <w:szCs w:val="32"/>
          <w:highlight w:val="none"/>
        </w:rPr>
      </w:pPr>
    </w:p>
    <w:p>
      <w:pPr>
        <w:spacing w:line="280" w:lineRule="exact"/>
        <w:ind w:firstLine="912" w:firstLineChars="285"/>
        <w:jc w:val="center"/>
        <w:rPr>
          <w:rFonts w:ascii="Garamond" w:hAnsi="Garamond"/>
          <w:sz w:val="32"/>
          <w:szCs w:val="32"/>
          <w:highlight w:val="none"/>
        </w:rPr>
      </w:pPr>
    </w:p>
    <w:p>
      <w:pPr>
        <w:spacing w:line="280" w:lineRule="exact"/>
        <w:ind w:firstLine="912" w:firstLineChars="285"/>
        <w:jc w:val="center"/>
        <w:rPr>
          <w:rFonts w:ascii="Garamond" w:hAnsi="Garamond"/>
          <w:sz w:val="32"/>
          <w:szCs w:val="32"/>
          <w:highlight w:val="none"/>
        </w:rPr>
      </w:pPr>
    </w:p>
    <w:p>
      <w:pPr>
        <w:spacing w:line="280" w:lineRule="exact"/>
        <w:ind w:firstLine="912" w:firstLineChars="285"/>
        <w:jc w:val="center"/>
        <w:rPr>
          <w:rFonts w:ascii="Garamond" w:hAnsi="Garamond"/>
          <w:sz w:val="32"/>
          <w:szCs w:val="32"/>
          <w:highlight w:val="none"/>
        </w:rPr>
      </w:pPr>
    </w:p>
    <w:p>
      <w:pPr>
        <w:spacing w:line="280" w:lineRule="exact"/>
        <w:ind w:firstLine="912" w:firstLineChars="285"/>
        <w:jc w:val="center"/>
        <w:rPr>
          <w:rFonts w:ascii="Garamond" w:hAnsi="Garamond"/>
          <w:sz w:val="32"/>
          <w:szCs w:val="32"/>
          <w:highlight w:val="none"/>
        </w:rPr>
      </w:pPr>
    </w:p>
    <w:p>
      <w:pPr>
        <w:spacing w:line="280" w:lineRule="exact"/>
        <w:ind w:firstLine="912" w:firstLineChars="285"/>
        <w:jc w:val="center"/>
        <w:rPr>
          <w:rFonts w:ascii="Garamond" w:hAnsi="Garamond"/>
          <w:sz w:val="32"/>
          <w:szCs w:val="32"/>
          <w:highlight w:val="none"/>
        </w:rPr>
      </w:pPr>
    </w:p>
    <w:p>
      <w:pPr>
        <w:spacing w:line="280" w:lineRule="exact"/>
        <w:ind w:firstLine="912" w:firstLineChars="285"/>
        <w:jc w:val="center"/>
        <w:rPr>
          <w:rFonts w:ascii="Garamond" w:hAnsi="Garamond"/>
          <w:sz w:val="32"/>
          <w:szCs w:val="32"/>
          <w:highlight w:val="none"/>
        </w:rPr>
      </w:pPr>
    </w:p>
    <w:p>
      <w:pPr>
        <w:spacing w:line="280" w:lineRule="exact"/>
        <w:ind w:firstLine="912" w:firstLineChars="285"/>
        <w:jc w:val="center"/>
        <w:rPr>
          <w:rFonts w:ascii="Garamond" w:hAnsi="Garamond"/>
          <w:sz w:val="32"/>
          <w:szCs w:val="32"/>
          <w:highlight w:val="none"/>
        </w:rPr>
      </w:pPr>
    </w:p>
    <w:p>
      <w:pPr>
        <w:spacing w:line="280" w:lineRule="exact"/>
        <w:ind w:firstLine="912" w:firstLineChars="285"/>
        <w:jc w:val="center"/>
        <w:rPr>
          <w:rFonts w:ascii="Garamond" w:hAnsi="Garamond"/>
          <w:sz w:val="32"/>
          <w:szCs w:val="32"/>
          <w:highlight w:val="none"/>
        </w:rPr>
      </w:pPr>
    </w:p>
    <w:p>
      <w:pPr>
        <w:spacing w:line="280" w:lineRule="exact"/>
        <w:ind w:firstLine="912" w:firstLineChars="285"/>
        <w:jc w:val="center"/>
        <w:rPr>
          <w:rFonts w:ascii="Garamond" w:hAnsi="Garamond"/>
          <w:sz w:val="32"/>
          <w:szCs w:val="32"/>
          <w:highlight w:val="none"/>
        </w:rPr>
      </w:pPr>
    </w:p>
    <w:p>
      <w:pPr>
        <w:spacing w:line="280" w:lineRule="exact"/>
        <w:ind w:firstLine="912" w:firstLineChars="285"/>
        <w:jc w:val="center"/>
        <w:rPr>
          <w:rFonts w:ascii="Garamond" w:hAnsi="Garamond"/>
          <w:sz w:val="32"/>
          <w:szCs w:val="32"/>
          <w:highlight w:val="none"/>
        </w:rPr>
      </w:pPr>
    </w:p>
    <w:p>
      <w:pPr>
        <w:spacing w:line="280" w:lineRule="exact"/>
        <w:ind w:firstLine="912" w:firstLineChars="285"/>
        <w:jc w:val="center"/>
        <w:rPr>
          <w:rFonts w:ascii="Garamond" w:hAnsi="Garamond"/>
          <w:sz w:val="32"/>
          <w:szCs w:val="32"/>
          <w:highlight w:val="none"/>
        </w:rPr>
      </w:pPr>
    </w:p>
    <w:p>
      <w:pPr>
        <w:spacing w:line="280" w:lineRule="exact"/>
        <w:ind w:firstLine="912" w:firstLineChars="285"/>
        <w:jc w:val="center"/>
        <w:rPr>
          <w:rFonts w:ascii="Garamond" w:hAnsi="Garamond"/>
          <w:sz w:val="32"/>
          <w:szCs w:val="32"/>
          <w:highlight w:val="none"/>
        </w:rPr>
      </w:pPr>
    </w:p>
    <w:p>
      <w:pPr>
        <w:spacing w:line="280" w:lineRule="exact"/>
        <w:ind w:firstLine="912" w:firstLineChars="285"/>
        <w:jc w:val="center"/>
        <w:rPr>
          <w:rFonts w:ascii="Garamond" w:hAnsi="Garamond"/>
          <w:sz w:val="32"/>
          <w:szCs w:val="32"/>
          <w:highlight w:val="none"/>
        </w:rPr>
      </w:pPr>
    </w:p>
    <w:p>
      <w:pPr>
        <w:spacing w:line="280" w:lineRule="exact"/>
        <w:ind w:firstLine="912" w:firstLineChars="285"/>
        <w:jc w:val="center"/>
        <w:rPr>
          <w:rFonts w:ascii="Garamond" w:hAnsi="Garamond"/>
          <w:sz w:val="32"/>
          <w:szCs w:val="32"/>
          <w:highlight w:val="none"/>
        </w:rPr>
      </w:pPr>
    </w:p>
    <w:p>
      <w:pPr>
        <w:spacing w:line="280" w:lineRule="exact"/>
        <w:ind w:firstLine="912" w:firstLineChars="285"/>
        <w:jc w:val="center"/>
        <w:rPr>
          <w:rFonts w:ascii="Garamond" w:hAnsi="Garamond"/>
          <w:sz w:val="32"/>
          <w:szCs w:val="32"/>
          <w:highlight w:val="none"/>
        </w:rPr>
      </w:pPr>
    </w:p>
    <w:p>
      <w:pPr>
        <w:spacing w:line="280" w:lineRule="exact"/>
        <w:ind w:firstLine="912" w:firstLineChars="285"/>
        <w:jc w:val="center"/>
        <w:rPr>
          <w:rFonts w:ascii="Garamond" w:hAnsi="Garamond"/>
          <w:sz w:val="32"/>
          <w:szCs w:val="32"/>
          <w:highlight w:val="none"/>
        </w:rPr>
      </w:pPr>
    </w:p>
    <w:p>
      <w:pPr>
        <w:pStyle w:val="3"/>
        <w:jc w:val="center"/>
        <w:rPr>
          <w:rFonts w:ascii="Garamond" w:hAnsi="Garamond"/>
          <w:highlight w:val="none"/>
        </w:rPr>
      </w:pPr>
      <w:r>
        <w:rPr>
          <w:rFonts w:ascii="Garamond" w:hAnsi="Garamond"/>
          <w:highlight w:val="none"/>
        </w:rPr>
        <w:t>第一节  通用合同条款</w:t>
      </w:r>
    </w:p>
    <w:p>
      <w:pPr>
        <w:spacing w:line="360" w:lineRule="auto"/>
        <w:ind w:firstLine="420" w:firstLineChars="200"/>
        <w:rPr>
          <w:szCs w:val="21"/>
          <w:highlight w:val="none"/>
        </w:rPr>
      </w:pPr>
      <w:r>
        <w:rPr>
          <w:rFonts w:hint="eastAsia"/>
          <w:szCs w:val="21"/>
          <w:highlight w:val="none"/>
        </w:rPr>
        <w:t>采用江苏省交通运输厅颁发的《江苏省公路水运工程试验检测标准招标文件》2014年版中的“通用合同条款”。</w:t>
      </w:r>
    </w:p>
    <w:p>
      <w:pPr>
        <w:spacing w:line="360" w:lineRule="auto"/>
        <w:ind w:firstLine="420" w:firstLineChars="200"/>
        <w:rPr>
          <w:szCs w:val="21"/>
          <w:highlight w:val="none"/>
        </w:rPr>
      </w:pPr>
    </w:p>
    <w:p>
      <w:pPr>
        <w:spacing w:line="360" w:lineRule="auto"/>
        <w:ind w:firstLine="420" w:firstLineChars="200"/>
        <w:rPr>
          <w:szCs w:val="21"/>
          <w:highlight w:val="none"/>
        </w:rPr>
      </w:pPr>
    </w:p>
    <w:p>
      <w:pPr>
        <w:spacing w:line="360" w:lineRule="auto"/>
        <w:ind w:firstLine="420" w:firstLineChars="200"/>
        <w:rPr>
          <w:szCs w:val="21"/>
          <w:highlight w:val="none"/>
        </w:rPr>
      </w:pPr>
    </w:p>
    <w:p>
      <w:pPr>
        <w:spacing w:line="360" w:lineRule="auto"/>
        <w:ind w:firstLine="420" w:firstLineChars="200"/>
        <w:rPr>
          <w:szCs w:val="21"/>
          <w:highlight w:val="none"/>
        </w:rPr>
      </w:pPr>
    </w:p>
    <w:p>
      <w:pPr>
        <w:spacing w:line="360" w:lineRule="auto"/>
        <w:ind w:firstLine="420" w:firstLineChars="200"/>
        <w:rPr>
          <w:szCs w:val="21"/>
          <w:highlight w:val="none"/>
        </w:rPr>
      </w:pPr>
    </w:p>
    <w:p>
      <w:pPr>
        <w:spacing w:line="360" w:lineRule="auto"/>
        <w:ind w:firstLine="420" w:firstLineChars="200"/>
        <w:rPr>
          <w:szCs w:val="21"/>
          <w:highlight w:val="none"/>
        </w:rPr>
      </w:pPr>
    </w:p>
    <w:p>
      <w:pPr>
        <w:spacing w:line="360" w:lineRule="auto"/>
        <w:ind w:firstLine="420" w:firstLineChars="200"/>
        <w:rPr>
          <w:szCs w:val="21"/>
          <w:highlight w:val="none"/>
        </w:rPr>
      </w:pPr>
    </w:p>
    <w:p>
      <w:pPr>
        <w:spacing w:line="360" w:lineRule="auto"/>
        <w:ind w:firstLine="420" w:firstLineChars="200"/>
        <w:rPr>
          <w:szCs w:val="21"/>
          <w:highlight w:val="none"/>
        </w:rPr>
      </w:pPr>
    </w:p>
    <w:p>
      <w:pPr>
        <w:spacing w:line="360" w:lineRule="auto"/>
        <w:ind w:firstLine="420" w:firstLineChars="200"/>
        <w:rPr>
          <w:szCs w:val="21"/>
          <w:highlight w:val="none"/>
        </w:rPr>
      </w:pPr>
    </w:p>
    <w:p>
      <w:pPr>
        <w:spacing w:line="360" w:lineRule="auto"/>
        <w:ind w:firstLine="420" w:firstLineChars="200"/>
        <w:rPr>
          <w:szCs w:val="21"/>
          <w:highlight w:val="none"/>
        </w:rPr>
      </w:pPr>
    </w:p>
    <w:p>
      <w:pPr>
        <w:spacing w:line="360" w:lineRule="auto"/>
        <w:ind w:firstLine="420" w:firstLineChars="200"/>
        <w:rPr>
          <w:szCs w:val="21"/>
          <w:highlight w:val="none"/>
        </w:rPr>
      </w:pPr>
    </w:p>
    <w:p>
      <w:pPr>
        <w:spacing w:line="360" w:lineRule="auto"/>
        <w:ind w:firstLine="420" w:firstLineChars="200"/>
        <w:rPr>
          <w:szCs w:val="21"/>
          <w:highlight w:val="none"/>
        </w:rPr>
      </w:pPr>
    </w:p>
    <w:p>
      <w:pPr>
        <w:spacing w:line="360" w:lineRule="auto"/>
        <w:ind w:firstLine="420" w:firstLineChars="200"/>
        <w:rPr>
          <w:szCs w:val="21"/>
          <w:highlight w:val="none"/>
        </w:rPr>
      </w:pPr>
    </w:p>
    <w:p>
      <w:pPr>
        <w:spacing w:line="360" w:lineRule="auto"/>
        <w:ind w:firstLine="420" w:firstLineChars="200"/>
        <w:rPr>
          <w:szCs w:val="21"/>
          <w:highlight w:val="none"/>
        </w:rPr>
      </w:pPr>
    </w:p>
    <w:p>
      <w:pPr>
        <w:spacing w:line="360" w:lineRule="auto"/>
        <w:ind w:firstLine="420" w:firstLineChars="200"/>
        <w:rPr>
          <w:szCs w:val="21"/>
          <w:highlight w:val="none"/>
        </w:rPr>
      </w:pPr>
    </w:p>
    <w:p>
      <w:pPr>
        <w:spacing w:line="360" w:lineRule="auto"/>
        <w:ind w:firstLine="420" w:firstLineChars="200"/>
        <w:rPr>
          <w:szCs w:val="21"/>
          <w:highlight w:val="none"/>
        </w:rPr>
      </w:pPr>
    </w:p>
    <w:p>
      <w:pPr>
        <w:spacing w:line="360" w:lineRule="auto"/>
        <w:ind w:firstLine="420" w:firstLineChars="200"/>
        <w:rPr>
          <w:szCs w:val="21"/>
          <w:highlight w:val="none"/>
        </w:rPr>
      </w:pPr>
    </w:p>
    <w:p>
      <w:pPr>
        <w:spacing w:line="360" w:lineRule="auto"/>
        <w:ind w:firstLine="420" w:firstLineChars="200"/>
        <w:rPr>
          <w:szCs w:val="21"/>
          <w:highlight w:val="none"/>
        </w:rPr>
      </w:pPr>
    </w:p>
    <w:p>
      <w:pPr>
        <w:spacing w:line="360" w:lineRule="auto"/>
        <w:ind w:firstLine="420" w:firstLineChars="200"/>
        <w:rPr>
          <w:szCs w:val="21"/>
          <w:highlight w:val="none"/>
        </w:rPr>
      </w:pPr>
    </w:p>
    <w:p>
      <w:pPr>
        <w:spacing w:line="360" w:lineRule="auto"/>
        <w:ind w:firstLine="420" w:firstLineChars="200"/>
        <w:rPr>
          <w:szCs w:val="21"/>
          <w:highlight w:val="none"/>
        </w:rPr>
      </w:pPr>
    </w:p>
    <w:p>
      <w:pPr>
        <w:spacing w:line="360" w:lineRule="auto"/>
        <w:ind w:firstLine="420" w:firstLineChars="200"/>
        <w:rPr>
          <w:szCs w:val="21"/>
          <w:highlight w:val="none"/>
        </w:rPr>
      </w:pPr>
    </w:p>
    <w:p>
      <w:pPr>
        <w:spacing w:line="360" w:lineRule="auto"/>
        <w:ind w:firstLine="420" w:firstLineChars="200"/>
        <w:rPr>
          <w:szCs w:val="21"/>
          <w:highlight w:val="none"/>
        </w:rPr>
      </w:pPr>
    </w:p>
    <w:p>
      <w:pPr>
        <w:spacing w:line="360" w:lineRule="auto"/>
        <w:ind w:firstLine="420" w:firstLineChars="200"/>
        <w:rPr>
          <w:szCs w:val="21"/>
          <w:highlight w:val="none"/>
        </w:rPr>
      </w:pPr>
    </w:p>
    <w:p>
      <w:pPr>
        <w:spacing w:line="360" w:lineRule="auto"/>
        <w:ind w:firstLine="420" w:firstLineChars="200"/>
        <w:rPr>
          <w:szCs w:val="21"/>
          <w:highlight w:val="none"/>
        </w:rPr>
      </w:pPr>
    </w:p>
    <w:p>
      <w:pPr>
        <w:spacing w:line="360" w:lineRule="auto"/>
        <w:ind w:firstLine="420" w:firstLineChars="200"/>
        <w:rPr>
          <w:szCs w:val="21"/>
          <w:highlight w:val="none"/>
        </w:rPr>
      </w:pPr>
    </w:p>
    <w:p>
      <w:pPr>
        <w:spacing w:line="360" w:lineRule="auto"/>
        <w:ind w:firstLine="420" w:firstLineChars="200"/>
        <w:rPr>
          <w:szCs w:val="21"/>
          <w:highlight w:val="none"/>
        </w:rPr>
      </w:pPr>
    </w:p>
    <w:p>
      <w:pPr>
        <w:spacing w:line="360" w:lineRule="auto"/>
        <w:ind w:firstLine="420" w:firstLineChars="200"/>
        <w:rPr>
          <w:szCs w:val="21"/>
          <w:highlight w:val="none"/>
        </w:rPr>
      </w:pPr>
    </w:p>
    <w:p>
      <w:pPr>
        <w:spacing w:line="360" w:lineRule="auto"/>
        <w:ind w:firstLine="420" w:firstLineChars="200"/>
        <w:rPr>
          <w:szCs w:val="21"/>
          <w:highlight w:val="none"/>
        </w:rPr>
      </w:pPr>
    </w:p>
    <w:p>
      <w:pPr>
        <w:spacing w:line="360" w:lineRule="auto"/>
        <w:ind w:firstLine="420" w:firstLineChars="200"/>
        <w:rPr>
          <w:szCs w:val="21"/>
          <w:highlight w:val="none"/>
        </w:rPr>
      </w:pPr>
    </w:p>
    <w:p>
      <w:pPr>
        <w:widowControl/>
        <w:jc w:val="left"/>
        <w:rPr>
          <w:rFonts w:ascii="Garamond" w:hAnsi="Garamond" w:eastAsia="黑体"/>
          <w:b/>
          <w:bCs/>
          <w:sz w:val="32"/>
          <w:szCs w:val="32"/>
          <w:highlight w:val="none"/>
        </w:rPr>
      </w:pPr>
      <w:r>
        <w:rPr>
          <w:rFonts w:ascii="Garamond" w:hAnsi="Garamond"/>
          <w:highlight w:val="none"/>
        </w:rPr>
        <w:br w:type="page"/>
      </w:r>
    </w:p>
    <w:p>
      <w:pPr>
        <w:pStyle w:val="3"/>
        <w:jc w:val="center"/>
        <w:rPr>
          <w:rFonts w:ascii="Garamond" w:hAnsi="Garamond"/>
          <w:highlight w:val="none"/>
        </w:rPr>
      </w:pPr>
      <w:r>
        <w:rPr>
          <w:rFonts w:ascii="Garamond" w:hAnsi="Garamond"/>
          <w:highlight w:val="none"/>
        </w:rPr>
        <w:t>第二节  专用合同条款</w:t>
      </w:r>
    </w:p>
    <w:p>
      <w:pPr>
        <w:spacing w:line="360" w:lineRule="auto"/>
        <w:ind w:left="435" w:firstLine="435"/>
        <w:rPr>
          <w:rFonts w:ascii="Garamond" w:hAnsi="Garamond"/>
          <w:highlight w:val="none"/>
        </w:rPr>
      </w:pPr>
      <w:r>
        <w:rPr>
          <w:rFonts w:ascii="Garamond" w:hAnsi="Garamond"/>
          <w:highlight w:val="none"/>
        </w:rPr>
        <w:t>说明：</w:t>
      </w:r>
    </w:p>
    <w:p>
      <w:pPr>
        <w:spacing w:line="360" w:lineRule="auto"/>
        <w:ind w:left="435" w:firstLine="435"/>
        <w:rPr>
          <w:rFonts w:ascii="Garamond" w:hAnsi="Garamond"/>
          <w:highlight w:val="none"/>
        </w:rPr>
      </w:pPr>
      <w:r>
        <w:rPr>
          <w:rFonts w:ascii="Garamond" w:hAnsi="Garamond"/>
          <w:highlight w:val="none"/>
        </w:rPr>
        <w:t>1.专用合同条款是对通用合同条款有关条款的补充、修改或具体化，应对照通用合同条款中同一编号的条款一起阅读和理解。如果专用合同条款与通用合同条款之间有不符之处，以专用合同条款为准。</w:t>
      </w:r>
    </w:p>
    <w:p>
      <w:pPr>
        <w:spacing w:line="360" w:lineRule="auto"/>
        <w:ind w:left="435" w:firstLine="435"/>
        <w:rPr>
          <w:rFonts w:ascii="Garamond" w:hAnsi="Garamond"/>
          <w:highlight w:val="none"/>
        </w:rPr>
      </w:pPr>
      <w:r>
        <w:rPr>
          <w:rFonts w:ascii="Garamond" w:hAnsi="Garamond"/>
          <w:highlight w:val="none"/>
        </w:rPr>
        <w:t>2.招标人认为需要进一步具体化的条款，或根据本地区特点或惯例需增列或删除的条款，也在本篇列出。</w:t>
      </w:r>
    </w:p>
    <w:p>
      <w:pPr>
        <w:spacing w:line="360" w:lineRule="auto"/>
        <w:ind w:left="435" w:firstLine="435"/>
        <w:rPr>
          <w:rFonts w:ascii="Garamond" w:hAnsi="Garamond"/>
          <w:highlight w:val="none"/>
        </w:rPr>
      </w:pPr>
      <w:r>
        <w:rPr>
          <w:rFonts w:ascii="Garamond" w:hAnsi="Garamond"/>
          <w:highlight w:val="none"/>
        </w:rPr>
        <w:t>3.专用合同条款的编号应与通用条款一致。</w:t>
      </w:r>
    </w:p>
    <w:p>
      <w:pPr>
        <w:spacing w:line="360" w:lineRule="auto"/>
        <w:jc w:val="center"/>
        <w:rPr>
          <w:rFonts w:ascii="Garamond" w:hAnsi="Garamond"/>
          <w:b/>
          <w:sz w:val="32"/>
          <w:szCs w:val="32"/>
          <w:highlight w:val="none"/>
        </w:rPr>
      </w:pPr>
    </w:p>
    <w:p>
      <w:pPr>
        <w:spacing w:line="360" w:lineRule="auto"/>
        <w:jc w:val="center"/>
        <w:rPr>
          <w:rFonts w:ascii="Garamond" w:hAnsi="Garamond"/>
          <w:b/>
          <w:sz w:val="32"/>
          <w:szCs w:val="32"/>
          <w:highlight w:val="none"/>
        </w:rPr>
      </w:pPr>
    </w:p>
    <w:p>
      <w:pPr>
        <w:spacing w:line="360" w:lineRule="auto"/>
        <w:jc w:val="center"/>
        <w:rPr>
          <w:rFonts w:ascii="Garamond" w:hAnsi="Garamond"/>
          <w:b/>
          <w:sz w:val="32"/>
          <w:szCs w:val="32"/>
          <w:highlight w:val="none"/>
        </w:rPr>
      </w:pPr>
    </w:p>
    <w:p>
      <w:pPr>
        <w:spacing w:line="360" w:lineRule="auto"/>
        <w:jc w:val="center"/>
        <w:rPr>
          <w:rFonts w:ascii="Garamond" w:hAnsi="Garamond"/>
          <w:b/>
          <w:sz w:val="32"/>
          <w:szCs w:val="32"/>
          <w:highlight w:val="none"/>
        </w:rPr>
      </w:pPr>
    </w:p>
    <w:p>
      <w:pPr>
        <w:spacing w:line="360" w:lineRule="auto"/>
        <w:jc w:val="center"/>
        <w:rPr>
          <w:rFonts w:ascii="Garamond" w:hAnsi="Garamond"/>
          <w:b/>
          <w:sz w:val="32"/>
          <w:szCs w:val="32"/>
          <w:highlight w:val="none"/>
        </w:rPr>
      </w:pPr>
    </w:p>
    <w:p>
      <w:pPr>
        <w:spacing w:line="360" w:lineRule="auto"/>
        <w:jc w:val="center"/>
        <w:rPr>
          <w:rFonts w:ascii="Garamond" w:hAnsi="Garamond"/>
          <w:b/>
          <w:sz w:val="32"/>
          <w:szCs w:val="32"/>
          <w:highlight w:val="none"/>
        </w:rPr>
      </w:pPr>
    </w:p>
    <w:p>
      <w:pPr>
        <w:spacing w:line="360" w:lineRule="auto"/>
        <w:jc w:val="center"/>
        <w:rPr>
          <w:rFonts w:ascii="Garamond" w:hAnsi="Garamond"/>
          <w:b/>
          <w:sz w:val="32"/>
          <w:szCs w:val="32"/>
          <w:highlight w:val="none"/>
        </w:rPr>
      </w:pPr>
    </w:p>
    <w:p>
      <w:pPr>
        <w:spacing w:line="360" w:lineRule="auto"/>
        <w:jc w:val="center"/>
        <w:rPr>
          <w:rFonts w:ascii="Garamond" w:hAnsi="Garamond"/>
          <w:b/>
          <w:sz w:val="32"/>
          <w:szCs w:val="32"/>
          <w:highlight w:val="none"/>
        </w:rPr>
      </w:pPr>
    </w:p>
    <w:p>
      <w:pPr>
        <w:spacing w:line="360" w:lineRule="auto"/>
        <w:jc w:val="center"/>
        <w:rPr>
          <w:rFonts w:ascii="Garamond" w:hAnsi="Garamond"/>
          <w:b/>
          <w:sz w:val="32"/>
          <w:szCs w:val="32"/>
          <w:highlight w:val="none"/>
        </w:rPr>
      </w:pPr>
    </w:p>
    <w:p>
      <w:pPr>
        <w:spacing w:line="360" w:lineRule="auto"/>
        <w:jc w:val="center"/>
        <w:rPr>
          <w:rFonts w:ascii="Garamond" w:hAnsi="Garamond"/>
          <w:b/>
          <w:sz w:val="32"/>
          <w:szCs w:val="32"/>
          <w:highlight w:val="none"/>
        </w:rPr>
      </w:pPr>
    </w:p>
    <w:p>
      <w:pPr>
        <w:spacing w:line="360" w:lineRule="auto"/>
        <w:jc w:val="center"/>
        <w:rPr>
          <w:rFonts w:ascii="Garamond" w:hAnsi="Garamond"/>
          <w:b/>
          <w:sz w:val="32"/>
          <w:szCs w:val="32"/>
          <w:highlight w:val="none"/>
        </w:rPr>
      </w:pPr>
    </w:p>
    <w:p>
      <w:pPr>
        <w:spacing w:line="360" w:lineRule="auto"/>
        <w:jc w:val="center"/>
        <w:rPr>
          <w:rFonts w:ascii="Garamond" w:hAnsi="Garamond"/>
          <w:b/>
          <w:sz w:val="32"/>
          <w:szCs w:val="32"/>
          <w:highlight w:val="none"/>
        </w:rPr>
      </w:pPr>
    </w:p>
    <w:p>
      <w:pPr>
        <w:spacing w:line="360" w:lineRule="auto"/>
        <w:jc w:val="center"/>
        <w:rPr>
          <w:rFonts w:ascii="Garamond" w:hAnsi="Garamond"/>
          <w:b/>
          <w:sz w:val="32"/>
          <w:szCs w:val="32"/>
          <w:highlight w:val="none"/>
        </w:rPr>
      </w:pPr>
    </w:p>
    <w:p>
      <w:pPr>
        <w:spacing w:line="360" w:lineRule="auto"/>
        <w:jc w:val="center"/>
        <w:rPr>
          <w:rFonts w:ascii="Garamond" w:hAnsi="Garamond"/>
          <w:b/>
          <w:sz w:val="32"/>
          <w:szCs w:val="32"/>
          <w:highlight w:val="none"/>
        </w:rPr>
      </w:pPr>
    </w:p>
    <w:p>
      <w:pPr>
        <w:spacing w:line="360" w:lineRule="auto"/>
        <w:jc w:val="center"/>
        <w:rPr>
          <w:rFonts w:ascii="Garamond" w:hAnsi="Garamond"/>
          <w:b/>
          <w:sz w:val="32"/>
          <w:szCs w:val="32"/>
          <w:highlight w:val="none"/>
        </w:rPr>
      </w:pPr>
    </w:p>
    <w:p>
      <w:pPr>
        <w:spacing w:line="360" w:lineRule="auto"/>
        <w:jc w:val="center"/>
        <w:rPr>
          <w:rFonts w:ascii="Garamond" w:hAnsi="Garamond"/>
          <w:b/>
          <w:sz w:val="32"/>
          <w:szCs w:val="32"/>
          <w:highlight w:val="none"/>
        </w:rPr>
      </w:pPr>
    </w:p>
    <w:p>
      <w:pPr>
        <w:widowControl/>
        <w:jc w:val="left"/>
        <w:rPr>
          <w:rFonts w:ascii="Garamond" w:hAnsi="Garamond"/>
          <w:b/>
          <w:sz w:val="32"/>
          <w:szCs w:val="32"/>
          <w:highlight w:val="none"/>
        </w:rPr>
      </w:pPr>
      <w:r>
        <w:rPr>
          <w:rFonts w:ascii="Garamond" w:hAnsi="Garamond"/>
          <w:b/>
          <w:sz w:val="32"/>
          <w:szCs w:val="32"/>
          <w:highlight w:val="none"/>
        </w:rPr>
        <w:br w:type="page"/>
      </w:r>
    </w:p>
    <w:p>
      <w:pPr>
        <w:spacing w:line="360" w:lineRule="auto"/>
        <w:jc w:val="center"/>
        <w:rPr>
          <w:rFonts w:ascii="Garamond" w:hAnsi="Garamond"/>
          <w:b/>
          <w:sz w:val="32"/>
          <w:szCs w:val="32"/>
          <w:highlight w:val="none"/>
        </w:rPr>
      </w:pPr>
      <w:r>
        <w:rPr>
          <w:rFonts w:ascii="Garamond" w:hAnsi="Garamond"/>
          <w:b/>
          <w:sz w:val="32"/>
          <w:szCs w:val="32"/>
          <w:highlight w:val="none"/>
        </w:rPr>
        <w:t>专用合同条款数据表</w:t>
      </w:r>
    </w:p>
    <w:p>
      <w:pPr>
        <w:spacing w:line="360" w:lineRule="auto"/>
        <w:ind w:left="435" w:leftChars="207" w:firstLine="210" w:firstLineChars="100"/>
        <w:rPr>
          <w:rFonts w:ascii="Garamond" w:hAnsi="Garamond"/>
          <w:highlight w:val="none"/>
        </w:rPr>
      </w:pPr>
      <w:r>
        <w:rPr>
          <w:rFonts w:ascii="Garamond" w:hAnsi="Garamond"/>
          <w:highlight w:val="none"/>
        </w:rPr>
        <w:t xml:space="preserve"> 说明：本数据表是合同条款中适用于本项目的信息和数据的归纳与提示，是专用合同条款的组成部分。</w:t>
      </w:r>
    </w:p>
    <w:tbl>
      <w:tblPr>
        <w:tblStyle w:val="44"/>
        <w:tblpPr w:leftFromText="180" w:rightFromText="180" w:vertAnchor="text" w:horzAnchor="page" w:tblpX="1805" w:tblpY="15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851"/>
        <w:gridCol w:w="73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675" w:type="dxa"/>
            <w:vAlign w:val="center"/>
          </w:tcPr>
          <w:p>
            <w:pPr>
              <w:spacing w:line="276" w:lineRule="auto"/>
              <w:jc w:val="center"/>
              <w:rPr>
                <w:rFonts w:ascii="宋体" w:hAnsi="宋体" w:cs="宋体"/>
                <w:b/>
                <w:szCs w:val="21"/>
                <w:highlight w:val="none"/>
              </w:rPr>
            </w:pPr>
            <w:r>
              <w:rPr>
                <w:rFonts w:hint="eastAsia" w:ascii="宋体" w:hAnsi="宋体" w:cs="宋体"/>
                <w:b/>
                <w:szCs w:val="21"/>
                <w:highlight w:val="none"/>
              </w:rPr>
              <w:t>序号</w:t>
            </w:r>
          </w:p>
        </w:tc>
        <w:tc>
          <w:tcPr>
            <w:tcW w:w="851" w:type="dxa"/>
            <w:vAlign w:val="center"/>
          </w:tcPr>
          <w:p>
            <w:pPr>
              <w:spacing w:line="276" w:lineRule="auto"/>
              <w:jc w:val="center"/>
              <w:rPr>
                <w:rFonts w:ascii="宋体" w:hAnsi="宋体" w:cs="宋体"/>
                <w:b/>
                <w:szCs w:val="21"/>
                <w:highlight w:val="none"/>
              </w:rPr>
            </w:pPr>
            <w:r>
              <w:rPr>
                <w:rFonts w:hint="eastAsia" w:ascii="宋体" w:hAnsi="宋体" w:cs="宋体"/>
                <w:b/>
                <w:szCs w:val="21"/>
                <w:highlight w:val="none"/>
              </w:rPr>
              <w:t>条款号</w:t>
            </w:r>
          </w:p>
        </w:tc>
        <w:tc>
          <w:tcPr>
            <w:tcW w:w="7398" w:type="dxa"/>
            <w:vAlign w:val="center"/>
          </w:tcPr>
          <w:p>
            <w:pPr>
              <w:spacing w:line="276" w:lineRule="auto"/>
              <w:jc w:val="center"/>
              <w:rPr>
                <w:rFonts w:ascii="宋体" w:hAnsi="宋体" w:cs="宋体"/>
                <w:b/>
                <w:szCs w:val="21"/>
                <w:highlight w:val="none"/>
              </w:rPr>
            </w:pPr>
            <w:r>
              <w:rPr>
                <w:rFonts w:hint="eastAsia" w:ascii="宋体" w:hAnsi="宋体" w:cs="宋体"/>
                <w:b/>
                <w:szCs w:val="21"/>
                <w:highlight w:val="none"/>
              </w:rPr>
              <w:t>信息或数据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6" w:hRule="atLeast"/>
        </w:trPr>
        <w:tc>
          <w:tcPr>
            <w:tcW w:w="675" w:type="dxa"/>
            <w:vAlign w:val="center"/>
          </w:tcPr>
          <w:p>
            <w:pPr>
              <w:spacing w:line="276" w:lineRule="auto"/>
              <w:jc w:val="center"/>
              <w:rPr>
                <w:rFonts w:ascii="宋体" w:hAnsi="宋体" w:cs="宋体"/>
                <w:bCs/>
                <w:szCs w:val="21"/>
                <w:highlight w:val="none"/>
              </w:rPr>
            </w:pPr>
            <w:r>
              <w:rPr>
                <w:rFonts w:hint="eastAsia" w:ascii="宋体" w:hAnsi="宋体" w:cs="宋体"/>
                <w:bCs/>
                <w:szCs w:val="21"/>
                <w:highlight w:val="none"/>
              </w:rPr>
              <w:t>1</w:t>
            </w:r>
          </w:p>
        </w:tc>
        <w:tc>
          <w:tcPr>
            <w:tcW w:w="851" w:type="dxa"/>
            <w:vAlign w:val="center"/>
          </w:tcPr>
          <w:p>
            <w:pPr>
              <w:spacing w:line="276" w:lineRule="auto"/>
              <w:jc w:val="center"/>
              <w:rPr>
                <w:rFonts w:ascii="宋体" w:hAnsi="宋体" w:cs="宋体"/>
                <w:bCs/>
                <w:szCs w:val="21"/>
                <w:highlight w:val="none"/>
              </w:rPr>
            </w:pPr>
            <w:r>
              <w:rPr>
                <w:rFonts w:hint="eastAsia" w:ascii="宋体" w:hAnsi="宋体" w:cs="宋体"/>
                <w:bCs/>
                <w:szCs w:val="21"/>
                <w:highlight w:val="none"/>
              </w:rPr>
              <w:t>1.1.1</w:t>
            </w:r>
          </w:p>
        </w:tc>
        <w:tc>
          <w:tcPr>
            <w:tcW w:w="7398" w:type="dxa"/>
            <w:vAlign w:val="center"/>
          </w:tcPr>
          <w:p>
            <w:pPr>
              <w:spacing w:line="276" w:lineRule="auto"/>
              <w:rPr>
                <w:rFonts w:ascii="宋体" w:hAnsi="宋体" w:cs="宋体"/>
                <w:szCs w:val="21"/>
                <w:highlight w:val="none"/>
                <w:u w:val="single"/>
              </w:rPr>
            </w:pPr>
            <w:r>
              <w:rPr>
                <w:rFonts w:hint="eastAsia" w:ascii="宋体" w:hAnsi="宋体" w:cs="宋体"/>
                <w:szCs w:val="21"/>
                <w:highlight w:val="none"/>
              </w:rPr>
              <w:t>项目名称：</w:t>
            </w:r>
            <w:r>
              <w:rPr>
                <w:rFonts w:hint="eastAsia" w:ascii="宋体" w:hAnsi="宋体" w:cs="宋体"/>
                <w:szCs w:val="21"/>
                <w:highlight w:val="none"/>
                <w:u w:val="single"/>
              </w:rPr>
              <w:t>2024年南通市农村公路路面技术状况自动化检评数据市级抽核项目</w:t>
            </w:r>
          </w:p>
          <w:p>
            <w:pPr>
              <w:spacing w:line="276" w:lineRule="auto"/>
              <w:rPr>
                <w:rFonts w:ascii="宋体" w:hAnsi="宋体" w:cs="宋体"/>
                <w:szCs w:val="21"/>
                <w:highlight w:val="none"/>
              </w:rPr>
            </w:pPr>
            <w:r>
              <w:rPr>
                <w:rFonts w:hint="eastAsia" w:ascii="宋体" w:hAnsi="宋体" w:cs="宋体"/>
                <w:szCs w:val="21"/>
                <w:highlight w:val="none"/>
              </w:rPr>
              <w:t>标段名称：2024NLJCFH合同段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675" w:type="dxa"/>
            <w:vAlign w:val="center"/>
          </w:tcPr>
          <w:p>
            <w:pPr>
              <w:spacing w:line="276" w:lineRule="auto"/>
              <w:jc w:val="center"/>
              <w:rPr>
                <w:rFonts w:ascii="宋体" w:hAnsi="宋体" w:cs="宋体"/>
                <w:bCs/>
                <w:szCs w:val="21"/>
                <w:highlight w:val="none"/>
              </w:rPr>
            </w:pPr>
            <w:r>
              <w:rPr>
                <w:rFonts w:hint="eastAsia" w:ascii="宋体" w:hAnsi="宋体" w:cs="宋体"/>
                <w:bCs/>
                <w:szCs w:val="21"/>
                <w:highlight w:val="none"/>
              </w:rPr>
              <w:t>2</w:t>
            </w:r>
          </w:p>
        </w:tc>
        <w:tc>
          <w:tcPr>
            <w:tcW w:w="851" w:type="dxa"/>
            <w:vAlign w:val="center"/>
          </w:tcPr>
          <w:p>
            <w:pPr>
              <w:spacing w:line="276" w:lineRule="auto"/>
              <w:jc w:val="center"/>
              <w:rPr>
                <w:rFonts w:ascii="宋体" w:hAnsi="宋体" w:cs="宋体"/>
                <w:bCs/>
                <w:szCs w:val="21"/>
                <w:highlight w:val="none"/>
              </w:rPr>
            </w:pPr>
            <w:r>
              <w:rPr>
                <w:rFonts w:hint="eastAsia" w:ascii="宋体" w:hAnsi="宋体" w:cs="宋体"/>
                <w:bCs/>
                <w:szCs w:val="21"/>
                <w:highlight w:val="none"/>
              </w:rPr>
              <w:t>1.1.4</w:t>
            </w:r>
          </w:p>
        </w:tc>
        <w:tc>
          <w:tcPr>
            <w:tcW w:w="7398" w:type="dxa"/>
            <w:vAlign w:val="center"/>
          </w:tcPr>
          <w:p>
            <w:pPr>
              <w:spacing w:line="276" w:lineRule="auto"/>
              <w:rPr>
                <w:rFonts w:ascii="宋体" w:hAnsi="宋体" w:cs="宋体"/>
                <w:szCs w:val="21"/>
                <w:highlight w:val="none"/>
              </w:rPr>
            </w:pPr>
            <w:r>
              <w:rPr>
                <w:rFonts w:hint="eastAsia" w:ascii="宋体" w:hAnsi="宋体" w:cs="宋体"/>
                <w:szCs w:val="21"/>
                <w:highlight w:val="none"/>
              </w:rPr>
              <w:t>委托人：</w:t>
            </w:r>
            <w:r>
              <w:rPr>
                <w:rFonts w:hint="eastAsia" w:ascii="宋体" w:hAnsi="宋体" w:cs="宋体"/>
                <w:highlight w:val="none"/>
                <w:u w:val="single"/>
              </w:rPr>
              <w:t>南通市公路事业发展中心</w:t>
            </w:r>
          </w:p>
          <w:p>
            <w:pPr>
              <w:spacing w:line="276" w:lineRule="auto"/>
              <w:rPr>
                <w:rFonts w:ascii="宋体" w:hAnsi="宋体" w:cs="宋体"/>
                <w:szCs w:val="21"/>
                <w:highlight w:val="none"/>
                <w:u w:val="single"/>
              </w:rPr>
            </w:pPr>
            <w:r>
              <w:rPr>
                <w:rFonts w:hint="eastAsia" w:ascii="宋体" w:hAnsi="宋体" w:cs="宋体"/>
                <w:szCs w:val="21"/>
                <w:highlight w:val="none"/>
              </w:rPr>
              <w:t>地址：</w:t>
            </w:r>
            <w:r>
              <w:rPr>
                <w:rFonts w:hint="eastAsia" w:ascii="宋体" w:hAnsi="宋体" w:cs="宋体"/>
                <w:szCs w:val="21"/>
                <w:highlight w:val="none"/>
                <w:u w:val="single"/>
              </w:rPr>
              <w:t>南通市跃龙路4号</w:t>
            </w:r>
            <w:r>
              <w:rPr>
                <w:rFonts w:hint="eastAsia" w:ascii="宋体" w:hAnsi="宋体" w:cs="宋体"/>
                <w:szCs w:val="21"/>
                <w:highlight w:val="none"/>
              </w:rPr>
              <w:t xml:space="preserve">  邮编：</w:t>
            </w:r>
            <w:r>
              <w:rPr>
                <w:rFonts w:hint="eastAsia" w:ascii="宋体" w:hAnsi="宋体" w:cs="宋体"/>
                <w:szCs w:val="21"/>
                <w:highlight w:val="none"/>
                <w:u w:val="single"/>
              </w:rPr>
              <w:t>226001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75" w:hRule="atLeast"/>
        </w:trPr>
        <w:tc>
          <w:tcPr>
            <w:tcW w:w="675" w:type="dxa"/>
            <w:vAlign w:val="center"/>
          </w:tcPr>
          <w:p>
            <w:pPr>
              <w:spacing w:line="276" w:lineRule="auto"/>
              <w:jc w:val="center"/>
              <w:rPr>
                <w:rFonts w:ascii="宋体" w:hAnsi="宋体" w:cs="宋体"/>
                <w:bCs/>
                <w:szCs w:val="21"/>
                <w:highlight w:val="none"/>
              </w:rPr>
            </w:pPr>
            <w:r>
              <w:rPr>
                <w:rFonts w:hint="eastAsia" w:ascii="宋体" w:hAnsi="宋体" w:cs="宋体"/>
                <w:bCs/>
                <w:szCs w:val="21"/>
                <w:highlight w:val="none"/>
              </w:rPr>
              <w:t>3</w:t>
            </w:r>
          </w:p>
        </w:tc>
        <w:tc>
          <w:tcPr>
            <w:tcW w:w="851" w:type="dxa"/>
            <w:vAlign w:val="center"/>
          </w:tcPr>
          <w:p>
            <w:pPr>
              <w:spacing w:line="276" w:lineRule="auto"/>
              <w:jc w:val="center"/>
              <w:rPr>
                <w:rFonts w:ascii="宋体" w:hAnsi="宋体" w:cs="宋体"/>
                <w:bCs/>
                <w:szCs w:val="21"/>
                <w:highlight w:val="none"/>
              </w:rPr>
            </w:pPr>
            <w:r>
              <w:rPr>
                <w:rFonts w:hint="eastAsia" w:ascii="宋体" w:hAnsi="宋体" w:cs="宋体"/>
                <w:bCs/>
                <w:szCs w:val="21"/>
                <w:highlight w:val="none"/>
              </w:rPr>
              <w:t>2.1.2</w:t>
            </w:r>
          </w:p>
        </w:tc>
        <w:tc>
          <w:tcPr>
            <w:tcW w:w="7398" w:type="dxa"/>
            <w:vAlign w:val="center"/>
          </w:tcPr>
          <w:p>
            <w:pPr>
              <w:spacing w:line="276" w:lineRule="auto"/>
              <w:rPr>
                <w:rFonts w:ascii="宋体" w:hAnsi="宋体" w:cs="宋体"/>
                <w:szCs w:val="21"/>
                <w:highlight w:val="none"/>
              </w:rPr>
            </w:pPr>
            <w:r>
              <w:rPr>
                <w:rFonts w:hint="eastAsia" w:ascii="宋体" w:hAnsi="宋体" w:cs="宋体"/>
                <w:highlight w:val="none"/>
              </w:rPr>
              <w:t>服务范围：</w:t>
            </w:r>
            <w:r>
              <w:rPr>
                <w:rFonts w:hint="eastAsia" w:ascii="宋体" w:hAnsi="宋体" w:cs="宋体"/>
                <w:szCs w:val="21"/>
                <w:highlight w:val="none"/>
              </w:rPr>
              <w:t xml:space="preserve">具体详见招标公告及“投标人须知”附件。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675" w:type="dxa"/>
            <w:vAlign w:val="center"/>
          </w:tcPr>
          <w:p>
            <w:pPr>
              <w:spacing w:line="276" w:lineRule="auto"/>
              <w:jc w:val="center"/>
              <w:rPr>
                <w:rFonts w:ascii="宋体" w:hAnsi="宋体" w:cs="宋体"/>
                <w:bCs/>
                <w:szCs w:val="21"/>
                <w:highlight w:val="none"/>
              </w:rPr>
            </w:pPr>
            <w:r>
              <w:rPr>
                <w:rFonts w:hint="eastAsia" w:ascii="宋体" w:hAnsi="宋体" w:cs="宋体"/>
                <w:bCs/>
                <w:szCs w:val="21"/>
                <w:highlight w:val="none"/>
              </w:rPr>
              <w:t>4</w:t>
            </w:r>
          </w:p>
        </w:tc>
        <w:tc>
          <w:tcPr>
            <w:tcW w:w="851" w:type="dxa"/>
            <w:vAlign w:val="center"/>
          </w:tcPr>
          <w:p>
            <w:pPr>
              <w:spacing w:line="276" w:lineRule="auto"/>
              <w:jc w:val="center"/>
              <w:rPr>
                <w:rFonts w:ascii="宋体" w:hAnsi="宋体" w:cs="宋体"/>
                <w:bCs/>
                <w:szCs w:val="21"/>
                <w:highlight w:val="none"/>
              </w:rPr>
            </w:pPr>
            <w:r>
              <w:rPr>
                <w:rFonts w:hint="eastAsia" w:ascii="宋体" w:hAnsi="宋体" w:cs="宋体"/>
                <w:bCs/>
                <w:szCs w:val="21"/>
                <w:highlight w:val="none"/>
              </w:rPr>
              <w:t>4.4</w:t>
            </w:r>
          </w:p>
        </w:tc>
        <w:tc>
          <w:tcPr>
            <w:tcW w:w="7398" w:type="dxa"/>
            <w:vAlign w:val="center"/>
          </w:tcPr>
          <w:p>
            <w:pPr>
              <w:spacing w:line="276" w:lineRule="auto"/>
              <w:rPr>
                <w:rFonts w:ascii="宋体" w:hAnsi="宋体" w:cs="宋体"/>
                <w:highlight w:val="none"/>
              </w:rPr>
            </w:pPr>
            <w:r>
              <w:rPr>
                <w:rFonts w:hint="eastAsia" w:ascii="宋体" w:hAnsi="宋体" w:cs="宋体"/>
                <w:highlight w:val="none"/>
              </w:rPr>
              <w:t>赔偿的限额</w:t>
            </w:r>
          </w:p>
          <w:p>
            <w:pPr>
              <w:spacing w:line="276" w:lineRule="auto"/>
              <w:rPr>
                <w:rFonts w:ascii="宋体" w:hAnsi="宋体" w:cs="宋体"/>
                <w:szCs w:val="21"/>
                <w:highlight w:val="none"/>
              </w:rPr>
            </w:pPr>
            <w:r>
              <w:rPr>
                <w:rFonts w:hint="eastAsia" w:ascii="宋体" w:hAnsi="宋体" w:cs="宋体"/>
                <w:highlight w:val="none"/>
              </w:rPr>
              <w:t>试验检测人的累计赔偿限额为检测服务费总价的</w:t>
            </w:r>
            <w:r>
              <w:rPr>
                <w:rFonts w:hint="eastAsia" w:ascii="宋体" w:hAnsi="宋体" w:cs="宋体"/>
                <w:highlight w:val="none"/>
                <w:u w:val="single"/>
              </w:rPr>
              <w:t>100</w:t>
            </w:r>
            <w:r>
              <w:rPr>
                <w:rFonts w:hint="eastAsia" w:ascii="宋体" w:hAnsi="宋体" w:cs="宋体"/>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4" w:hRule="atLeast"/>
        </w:trPr>
        <w:tc>
          <w:tcPr>
            <w:tcW w:w="675" w:type="dxa"/>
            <w:vAlign w:val="center"/>
          </w:tcPr>
          <w:p>
            <w:pPr>
              <w:spacing w:line="276" w:lineRule="auto"/>
              <w:jc w:val="center"/>
              <w:rPr>
                <w:rFonts w:ascii="宋体" w:hAnsi="宋体" w:cs="宋体"/>
                <w:bCs/>
                <w:szCs w:val="21"/>
                <w:highlight w:val="none"/>
              </w:rPr>
            </w:pPr>
            <w:r>
              <w:rPr>
                <w:rFonts w:hint="eastAsia" w:ascii="宋体" w:hAnsi="宋体" w:cs="宋体"/>
                <w:bCs/>
                <w:szCs w:val="21"/>
                <w:highlight w:val="none"/>
              </w:rPr>
              <w:t>5</w:t>
            </w:r>
          </w:p>
        </w:tc>
        <w:tc>
          <w:tcPr>
            <w:tcW w:w="851" w:type="dxa"/>
            <w:vAlign w:val="center"/>
          </w:tcPr>
          <w:p>
            <w:pPr>
              <w:spacing w:line="276" w:lineRule="auto"/>
              <w:jc w:val="center"/>
              <w:rPr>
                <w:rFonts w:ascii="宋体" w:hAnsi="宋体" w:cs="宋体"/>
                <w:bCs/>
                <w:szCs w:val="21"/>
                <w:highlight w:val="none"/>
              </w:rPr>
            </w:pPr>
            <w:r>
              <w:rPr>
                <w:rFonts w:hint="eastAsia" w:ascii="宋体" w:hAnsi="宋体" w:cs="宋体"/>
                <w:bCs/>
                <w:szCs w:val="21"/>
                <w:highlight w:val="none"/>
              </w:rPr>
              <w:t>5.2</w:t>
            </w:r>
          </w:p>
        </w:tc>
        <w:tc>
          <w:tcPr>
            <w:tcW w:w="7398" w:type="dxa"/>
            <w:vAlign w:val="center"/>
          </w:tcPr>
          <w:p>
            <w:pPr>
              <w:spacing w:line="276" w:lineRule="auto"/>
              <w:rPr>
                <w:rFonts w:ascii="宋体" w:hAnsi="宋体" w:cs="宋体"/>
                <w:highlight w:val="none"/>
              </w:rPr>
            </w:pPr>
            <w:r>
              <w:rPr>
                <w:rFonts w:hint="eastAsia" w:ascii="宋体" w:hAnsi="宋体" w:cs="宋体"/>
                <w:highlight w:val="none"/>
              </w:rPr>
              <w:t>检测服务的时间和期限</w:t>
            </w:r>
          </w:p>
          <w:p>
            <w:pPr>
              <w:spacing w:line="276" w:lineRule="auto"/>
              <w:rPr>
                <w:rFonts w:ascii="宋体" w:hAnsi="宋体" w:cs="宋体"/>
                <w:highlight w:val="none"/>
              </w:rPr>
            </w:pPr>
            <w:r>
              <w:rPr>
                <w:rFonts w:hint="eastAsia" w:ascii="宋体" w:hAnsi="宋体" w:cs="宋体"/>
                <w:highlight w:val="none"/>
              </w:rPr>
              <w:t>进场时间：</w:t>
            </w:r>
            <w:r>
              <w:rPr>
                <w:rFonts w:hint="eastAsia" w:ascii="宋体" w:hAnsi="宋体" w:cs="宋体"/>
                <w:highlight w:val="none"/>
                <w:u w:val="single"/>
              </w:rPr>
              <w:t>收到委托人通知后7天内</w:t>
            </w:r>
            <w:r>
              <w:rPr>
                <w:rFonts w:hint="eastAsia" w:ascii="宋体" w:hAnsi="宋体" w:cs="宋体"/>
                <w:highlight w:val="none"/>
              </w:rPr>
              <w:t>。</w:t>
            </w:r>
          </w:p>
          <w:p>
            <w:pPr>
              <w:spacing w:line="276" w:lineRule="auto"/>
              <w:rPr>
                <w:rFonts w:ascii="宋体" w:hAnsi="宋体" w:cs="宋体"/>
                <w:szCs w:val="21"/>
                <w:highlight w:val="none"/>
              </w:rPr>
            </w:pPr>
            <w:r>
              <w:rPr>
                <w:rFonts w:hint="eastAsia" w:ascii="宋体" w:hAnsi="宋体" w:cs="宋体"/>
                <w:highlight w:val="none"/>
              </w:rPr>
              <w:t>检测服务结束时间：</w:t>
            </w:r>
            <w:r>
              <w:rPr>
                <w:rFonts w:hint="eastAsia" w:ascii="宋体" w:hAnsi="宋体" w:cs="宋体"/>
                <w:highlight w:val="none"/>
                <w:u w:val="single"/>
              </w:rPr>
              <w:t>2024年11月25日前完工</w:t>
            </w:r>
            <w:r>
              <w:rPr>
                <w:rFonts w:hint="eastAsia" w:ascii="宋体" w:hAnsi="宋体" w:cs="宋体"/>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9" w:hRule="atLeast"/>
        </w:trPr>
        <w:tc>
          <w:tcPr>
            <w:tcW w:w="675" w:type="dxa"/>
            <w:vAlign w:val="center"/>
          </w:tcPr>
          <w:p>
            <w:pPr>
              <w:spacing w:line="276" w:lineRule="auto"/>
              <w:jc w:val="center"/>
              <w:rPr>
                <w:rFonts w:ascii="宋体" w:hAnsi="宋体" w:cs="宋体"/>
                <w:bCs/>
                <w:szCs w:val="21"/>
                <w:highlight w:val="none"/>
              </w:rPr>
            </w:pPr>
            <w:r>
              <w:rPr>
                <w:rFonts w:hint="eastAsia" w:ascii="宋体" w:hAnsi="宋体" w:cs="宋体"/>
                <w:bCs/>
                <w:szCs w:val="21"/>
                <w:highlight w:val="none"/>
              </w:rPr>
              <w:t>6</w:t>
            </w:r>
          </w:p>
        </w:tc>
        <w:tc>
          <w:tcPr>
            <w:tcW w:w="851" w:type="dxa"/>
            <w:vAlign w:val="center"/>
          </w:tcPr>
          <w:p>
            <w:pPr>
              <w:spacing w:line="276" w:lineRule="auto"/>
              <w:jc w:val="center"/>
              <w:rPr>
                <w:rFonts w:ascii="宋体" w:hAnsi="宋体" w:cs="宋体"/>
                <w:bCs/>
                <w:szCs w:val="21"/>
                <w:highlight w:val="none"/>
              </w:rPr>
            </w:pPr>
            <w:r>
              <w:rPr>
                <w:rFonts w:hint="eastAsia" w:ascii="宋体" w:hAnsi="宋体" w:cs="宋体"/>
                <w:bCs/>
                <w:szCs w:val="21"/>
                <w:highlight w:val="none"/>
              </w:rPr>
              <w:t>6.2.1</w:t>
            </w:r>
          </w:p>
        </w:tc>
        <w:tc>
          <w:tcPr>
            <w:tcW w:w="7398" w:type="dxa"/>
            <w:vAlign w:val="center"/>
          </w:tcPr>
          <w:p>
            <w:pPr>
              <w:spacing w:line="276" w:lineRule="auto"/>
              <w:rPr>
                <w:rFonts w:ascii="宋体" w:hAnsi="宋体" w:cs="宋体"/>
                <w:highlight w:val="none"/>
              </w:rPr>
            </w:pPr>
            <w:r>
              <w:rPr>
                <w:rFonts w:hint="eastAsia" w:ascii="宋体" w:hAnsi="宋体" w:cs="宋体"/>
                <w:highlight w:val="none"/>
              </w:rPr>
              <w:t>动员预付费</w:t>
            </w:r>
          </w:p>
          <w:p>
            <w:pPr>
              <w:spacing w:line="276" w:lineRule="auto"/>
              <w:rPr>
                <w:rFonts w:ascii="宋体" w:hAnsi="宋体" w:cs="宋体"/>
                <w:szCs w:val="21"/>
                <w:highlight w:val="none"/>
              </w:rPr>
            </w:pPr>
            <w:r>
              <w:rPr>
                <w:rFonts w:hint="eastAsia" w:ascii="宋体" w:hAnsi="宋体" w:cs="宋体"/>
                <w:highlight w:val="none"/>
              </w:rPr>
              <w:t>委托人在与试验检测人签订协议书之后</w:t>
            </w:r>
            <w:r>
              <w:rPr>
                <w:rFonts w:hint="eastAsia" w:ascii="宋体" w:hAnsi="宋体" w:cs="宋体"/>
                <w:highlight w:val="none"/>
                <w:u w:val="single"/>
              </w:rPr>
              <w:t>/</w:t>
            </w:r>
            <w:r>
              <w:rPr>
                <w:rFonts w:hint="eastAsia" w:ascii="宋体" w:hAnsi="宋体" w:cs="宋体"/>
                <w:highlight w:val="none"/>
              </w:rPr>
              <w:t>日之内，向试验检测人支付</w:t>
            </w:r>
            <w:r>
              <w:rPr>
                <w:rFonts w:hint="eastAsia" w:ascii="宋体" w:hAnsi="宋体" w:cs="宋体"/>
                <w:highlight w:val="none"/>
                <w:u w:val="single"/>
              </w:rPr>
              <w:t>/</w:t>
            </w:r>
            <w:r>
              <w:rPr>
                <w:rFonts w:hint="eastAsia" w:ascii="宋体" w:hAnsi="宋体" w:cs="宋体"/>
                <w:highlight w:val="none"/>
              </w:rPr>
              <w:t>元（检测服务费的</w:t>
            </w:r>
            <w:r>
              <w:rPr>
                <w:rFonts w:hint="eastAsia" w:ascii="宋体" w:hAnsi="宋体" w:cs="宋体"/>
                <w:highlight w:val="none"/>
                <w:u w:val="single"/>
              </w:rPr>
              <w:t>/</w:t>
            </w:r>
            <w:r>
              <w:rPr>
                <w:rFonts w:hint="eastAsia" w:ascii="宋体" w:hAnsi="宋体" w:cs="宋体"/>
                <w:highlight w:val="none"/>
              </w:rPr>
              <w:t>%）的动员预付费。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75" w:type="dxa"/>
            <w:vAlign w:val="center"/>
          </w:tcPr>
          <w:p>
            <w:pPr>
              <w:spacing w:line="276" w:lineRule="auto"/>
              <w:jc w:val="center"/>
              <w:rPr>
                <w:rFonts w:ascii="宋体" w:hAnsi="宋体" w:cs="宋体"/>
                <w:bCs/>
                <w:szCs w:val="21"/>
                <w:highlight w:val="none"/>
              </w:rPr>
            </w:pPr>
            <w:r>
              <w:rPr>
                <w:rFonts w:hint="eastAsia" w:ascii="宋体" w:hAnsi="宋体" w:cs="宋体"/>
                <w:bCs/>
                <w:szCs w:val="21"/>
                <w:highlight w:val="none"/>
              </w:rPr>
              <w:t>7</w:t>
            </w:r>
          </w:p>
        </w:tc>
        <w:tc>
          <w:tcPr>
            <w:tcW w:w="851" w:type="dxa"/>
            <w:vAlign w:val="center"/>
          </w:tcPr>
          <w:p>
            <w:pPr>
              <w:spacing w:line="276" w:lineRule="auto"/>
              <w:jc w:val="center"/>
              <w:rPr>
                <w:rFonts w:ascii="宋体" w:hAnsi="宋体" w:cs="宋体"/>
                <w:bCs/>
                <w:szCs w:val="21"/>
                <w:highlight w:val="none"/>
              </w:rPr>
            </w:pPr>
            <w:r>
              <w:rPr>
                <w:rFonts w:hint="eastAsia" w:ascii="宋体" w:hAnsi="宋体" w:cs="宋体"/>
                <w:bCs/>
                <w:szCs w:val="21"/>
                <w:highlight w:val="none"/>
              </w:rPr>
              <w:t>6.2.6</w:t>
            </w:r>
          </w:p>
        </w:tc>
        <w:tc>
          <w:tcPr>
            <w:tcW w:w="7398" w:type="dxa"/>
            <w:vAlign w:val="center"/>
          </w:tcPr>
          <w:p>
            <w:pPr>
              <w:spacing w:line="276" w:lineRule="auto"/>
              <w:rPr>
                <w:rFonts w:ascii="宋体" w:hAnsi="宋体" w:cs="宋体"/>
                <w:highlight w:val="none"/>
              </w:rPr>
            </w:pPr>
            <w:r>
              <w:rPr>
                <w:rFonts w:hint="eastAsia" w:ascii="宋体" w:hAnsi="宋体" w:cs="宋体"/>
                <w:highlight w:val="none"/>
              </w:rPr>
              <w:t>最低支付限额：</w:t>
            </w:r>
            <w:r>
              <w:rPr>
                <w:rFonts w:hint="eastAsia" w:ascii="宋体" w:hAnsi="宋体" w:cs="宋体"/>
                <w:szCs w:val="21"/>
                <w:highlight w:val="none"/>
              </w:rPr>
              <w:t>人民币</w:t>
            </w:r>
            <w:r>
              <w:rPr>
                <w:rFonts w:hint="eastAsia" w:ascii="宋体" w:hAnsi="宋体" w:cs="宋体"/>
                <w:szCs w:val="21"/>
                <w:highlight w:val="none"/>
                <w:u w:val="single"/>
              </w:rPr>
              <w:t>/</w:t>
            </w:r>
            <w:r>
              <w:rPr>
                <w:rFonts w:hint="eastAsia" w:ascii="宋体" w:hAnsi="宋体" w:cs="宋体"/>
                <w:szCs w:val="21"/>
                <w:highlight w:val="none"/>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9" w:hRule="atLeast"/>
        </w:trPr>
        <w:tc>
          <w:tcPr>
            <w:tcW w:w="675" w:type="dxa"/>
            <w:vAlign w:val="center"/>
          </w:tcPr>
          <w:p>
            <w:pPr>
              <w:spacing w:line="276" w:lineRule="auto"/>
              <w:jc w:val="center"/>
              <w:rPr>
                <w:rFonts w:ascii="宋体" w:hAnsi="宋体" w:cs="宋体"/>
                <w:bCs/>
                <w:szCs w:val="21"/>
                <w:highlight w:val="none"/>
              </w:rPr>
            </w:pPr>
            <w:r>
              <w:rPr>
                <w:rFonts w:hint="eastAsia" w:ascii="宋体" w:hAnsi="宋体" w:cs="宋体"/>
                <w:bCs/>
                <w:szCs w:val="21"/>
                <w:highlight w:val="none"/>
              </w:rPr>
              <w:t>8</w:t>
            </w:r>
          </w:p>
        </w:tc>
        <w:tc>
          <w:tcPr>
            <w:tcW w:w="851" w:type="dxa"/>
            <w:vAlign w:val="center"/>
          </w:tcPr>
          <w:p>
            <w:pPr>
              <w:spacing w:line="276" w:lineRule="auto"/>
              <w:jc w:val="center"/>
              <w:rPr>
                <w:rFonts w:ascii="宋体" w:hAnsi="宋体" w:cs="宋体"/>
                <w:bCs/>
                <w:szCs w:val="21"/>
                <w:highlight w:val="none"/>
              </w:rPr>
            </w:pPr>
            <w:r>
              <w:rPr>
                <w:rFonts w:hint="eastAsia" w:ascii="宋体" w:hAnsi="宋体" w:cs="宋体"/>
                <w:bCs/>
                <w:szCs w:val="21"/>
                <w:highlight w:val="none"/>
              </w:rPr>
              <w:t>6.2.8</w:t>
            </w:r>
          </w:p>
        </w:tc>
        <w:tc>
          <w:tcPr>
            <w:tcW w:w="7398" w:type="dxa"/>
            <w:vAlign w:val="center"/>
          </w:tcPr>
          <w:p>
            <w:pPr>
              <w:spacing w:line="276" w:lineRule="auto"/>
              <w:rPr>
                <w:rFonts w:ascii="宋体" w:hAnsi="宋体" w:cs="宋体"/>
                <w:highlight w:val="none"/>
              </w:rPr>
            </w:pPr>
            <w:r>
              <w:rPr>
                <w:rFonts w:hint="eastAsia" w:ascii="宋体" w:hAnsi="宋体" w:cs="宋体"/>
                <w:highlight w:val="none"/>
              </w:rPr>
              <w:t>检测服务费用的支付期限</w:t>
            </w:r>
          </w:p>
          <w:p>
            <w:pPr>
              <w:spacing w:line="276" w:lineRule="auto"/>
              <w:rPr>
                <w:rFonts w:ascii="宋体" w:hAnsi="宋体" w:cs="宋体"/>
                <w:szCs w:val="21"/>
                <w:highlight w:val="none"/>
              </w:rPr>
            </w:pPr>
            <w:r>
              <w:rPr>
                <w:rFonts w:hint="eastAsia" w:ascii="宋体" w:hAnsi="宋体" w:cs="宋体"/>
                <w:highlight w:val="none"/>
              </w:rPr>
              <w:t>全部工作完成后，提供符合要求的成果并通过委托人审核后一个月内结清。以上均不计利息。本项目为总价合同。完成全部服务内容且按期提交抽核工作报告，通过发包人审核后30日内一次性结清。付款前承包人须按发包人要求提供等额发票及相关付款申请资料，否则发包人可以拒绝付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675" w:type="dxa"/>
            <w:vAlign w:val="center"/>
          </w:tcPr>
          <w:p>
            <w:pPr>
              <w:spacing w:line="276" w:lineRule="auto"/>
              <w:jc w:val="center"/>
              <w:rPr>
                <w:rFonts w:ascii="宋体" w:hAnsi="宋体" w:cs="宋体"/>
                <w:bCs/>
                <w:szCs w:val="21"/>
                <w:highlight w:val="none"/>
              </w:rPr>
            </w:pPr>
            <w:r>
              <w:rPr>
                <w:rFonts w:hint="eastAsia" w:ascii="宋体" w:hAnsi="宋体" w:cs="宋体"/>
                <w:bCs/>
                <w:szCs w:val="21"/>
                <w:highlight w:val="none"/>
              </w:rPr>
              <w:t>9</w:t>
            </w:r>
          </w:p>
        </w:tc>
        <w:tc>
          <w:tcPr>
            <w:tcW w:w="851" w:type="dxa"/>
            <w:vAlign w:val="center"/>
          </w:tcPr>
          <w:p>
            <w:pPr>
              <w:spacing w:line="276" w:lineRule="auto"/>
              <w:jc w:val="center"/>
              <w:rPr>
                <w:rFonts w:ascii="宋体" w:hAnsi="宋体" w:cs="宋体"/>
                <w:bCs/>
                <w:szCs w:val="21"/>
                <w:highlight w:val="none"/>
              </w:rPr>
            </w:pPr>
            <w:r>
              <w:rPr>
                <w:rFonts w:hint="eastAsia" w:ascii="宋体" w:hAnsi="宋体" w:cs="宋体"/>
                <w:bCs/>
                <w:szCs w:val="21"/>
                <w:highlight w:val="none"/>
              </w:rPr>
              <w:t>8</w:t>
            </w:r>
          </w:p>
        </w:tc>
        <w:tc>
          <w:tcPr>
            <w:tcW w:w="7398" w:type="dxa"/>
            <w:vAlign w:val="center"/>
          </w:tcPr>
          <w:p>
            <w:pPr>
              <w:spacing w:line="276" w:lineRule="auto"/>
              <w:rPr>
                <w:rFonts w:ascii="宋体" w:hAnsi="宋体" w:cs="宋体"/>
                <w:szCs w:val="21"/>
                <w:highlight w:val="none"/>
                <w:u w:val="single"/>
              </w:rPr>
            </w:pPr>
            <w:r>
              <w:rPr>
                <w:rFonts w:hint="eastAsia" w:ascii="宋体" w:hAnsi="宋体" w:cs="宋体"/>
                <w:szCs w:val="21"/>
                <w:highlight w:val="none"/>
              </w:rPr>
              <w:t>争议的最终解决方式：</w:t>
            </w:r>
            <w:r>
              <w:rPr>
                <w:rFonts w:hint="eastAsia" w:ascii="宋体" w:hAnsi="宋体" w:cs="宋体"/>
                <w:szCs w:val="21"/>
                <w:highlight w:val="none"/>
                <w:u w:val="single"/>
              </w:rPr>
              <w:t>仲裁</w:t>
            </w:r>
          </w:p>
          <w:p>
            <w:pPr>
              <w:spacing w:line="276" w:lineRule="auto"/>
              <w:rPr>
                <w:rFonts w:ascii="宋体" w:hAnsi="宋体" w:cs="宋体"/>
                <w:szCs w:val="21"/>
                <w:highlight w:val="none"/>
              </w:rPr>
            </w:pPr>
            <w:r>
              <w:rPr>
                <w:rFonts w:hint="eastAsia" w:ascii="宋体" w:hAnsi="宋体" w:cs="宋体"/>
                <w:szCs w:val="21"/>
                <w:highlight w:val="none"/>
              </w:rPr>
              <w:t>仲裁委员会名称：南通仲裁委员会</w:t>
            </w:r>
          </w:p>
        </w:tc>
      </w:tr>
    </w:tbl>
    <w:p>
      <w:pPr>
        <w:spacing w:line="360" w:lineRule="auto"/>
        <w:ind w:firstLine="420" w:firstLineChars="200"/>
        <w:rPr>
          <w:rFonts w:ascii="宋体" w:hAnsi="宋体" w:cs="宋体"/>
          <w:highlight w:val="none"/>
        </w:rPr>
      </w:pPr>
      <w:r>
        <w:rPr>
          <w:rFonts w:ascii="Garamond" w:hAnsi="Garamond"/>
          <w:highlight w:val="none"/>
        </w:rPr>
        <w:br w:type="page"/>
      </w:r>
      <w:r>
        <w:rPr>
          <w:rFonts w:hint="eastAsia" w:ascii="宋体" w:hAnsi="宋体" w:cs="宋体"/>
          <w:highlight w:val="none"/>
        </w:rPr>
        <w:t>1.定义与解释</w:t>
      </w:r>
    </w:p>
    <w:p>
      <w:pPr>
        <w:spacing w:line="360" w:lineRule="auto"/>
        <w:ind w:firstLine="420" w:firstLineChars="200"/>
        <w:rPr>
          <w:rFonts w:ascii="宋体" w:hAnsi="宋体" w:cs="宋体"/>
          <w:highlight w:val="none"/>
        </w:rPr>
      </w:pPr>
      <w:r>
        <w:rPr>
          <w:rFonts w:hint="eastAsia" w:ascii="宋体" w:hAnsi="宋体" w:cs="宋体"/>
          <w:highlight w:val="none"/>
        </w:rPr>
        <w:t>1.1.1项目</w:t>
      </w:r>
    </w:p>
    <w:p>
      <w:pPr>
        <w:spacing w:line="360" w:lineRule="auto"/>
        <w:ind w:firstLine="420" w:firstLineChars="200"/>
        <w:rPr>
          <w:rFonts w:ascii="宋体" w:hAnsi="宋体" w:cs="宋体"/>
          <w:highlight w:val="none"/>
          <w:u w:val="single"/>
        </w:rPr>
      </w:pPr>
      <w:r>
        <w:rPr>
          <w:rFonts w:hint="eastAsia" w:ascii="宋体" w:hAnsi="宋体" w:cs="宋体"/>
          <w:highlight w:val="none"/>
        </w:rPr>
        <w:t>项目名称：</w:t>
      </w:r>
      <w:r>
        <w:rPr>
          <w:rFonts w:hint="eastAsia" w:ascii="宋体" w:hAnsi="宋体" w:cs="宋体"/>
          <w:highlight w:val="none"/>
          <w:u w:val="single"/>
        </w:rPr>
        <w:t xml:space="preserve">2024年南通市农村公路路面技术状况自动化检评数据市级抽核项目 </w:t>
      </w:r>
    </w:p>
    <w:p>
      <w:pPr>
        <w:spacing w:line="360" w:lineRule="auto"/>
        <w:ind w:firstLine="420" w:firstLineChars="200"/>
        <w:rPr>
          <w:rFonts w:ascii="宋体" w:hAnsi="宋体" w:cs="宋体"/>
          <w:highlight w:val="none"/>
          <w:u w:val="single"/>
        </w:rPr>
      </w:pPr>
      <w:r>
        <w:rPr>
          <w:rFonts w:hint="eastAsia" w:ascii="宋体" w:hAnsi="宋体" w:cs="宋体"/>
          <w:highlight w:val="none"/>
        </w:rPr>
        <w:t>委托人名称：</w:t>
      </w:r>
      <w:r>
        <w:rPr>
          <w:rFonts w:hint="eastAsia" w:ascii="宋体" w:hAnsi="宋体" w:cs="宋体"/>
          <w:highlight w:val="none"/>
          <w:u w:val="single"/>
        </w:rPr>
        <w:t>南通市公路事业发展中心</w:t>
      </w:r>
    </w:p>
    <w:p>
      <w:pPr>
        <w:spacing w:line="360" w:lineRule="auto"/>
        <w:ind w:firstLine="420" w:firstLineChars="200"/>
        <w:rPr>
          <w:rFonts w:ascii="宋体" w:hAnsi="宋体" w:cs="宋体"/>
          <w:highlight w:val="none"/>
        </w:rPr>
      </w:pPr>
      <w:bookmarkStart w:id="67" w:name="_Toc493408519"/>
      <w:r>
        <w:rPr>
          <w:rFonts w:hint="eastAsia" w:ascii="宋体" w:hAnsi="宋体" w:cs="宋体"/>
          <w:highlight w:val="none"/>
        </w:rPr>
        <w:t>1.1.2工程</w:t>
      </w:r>
      <w:bookmarkEnd w:id="67"/>
    </w:p>
    <w:p>
      <w:pPr>
        <w:spacing w:line="360" w:lineRule="auto"/>
        <w:ind w:firstLine="420" w:firstLineChars="200"/>
        <w:rPr>
          <w:rFonts w:ascii="宋体" w:hAnsi="宋体" w:cs="宋体"/>
          <w:highlight w:val="none"/>
          <w:u w:val="single"/>
        </w:rPr>
      </w:pPr>
      <w:r>
        <w:rPr>
          <w:rFonts w:hint="eastAsia" w:ascii="宋体" w:hAnsi="宋体" w:cs="宋体"/>
          <w:highlight w:val="none"/>
        </w:rPr>
        <w:t>工程地点：</w:t>
      </w:r>
      <w:r>
        <w:rPr>
          <w:rFonts w:hint="eastAsia" w:ascii="宋体" w:hAnsi="宋体" w:cs="宋体"/>
          <w:highlight w:val="none"/>
          <w:u w:val="single"/>
        </w:rPr>
        <w:t>南通市</w:t>
      </w:r>
    </w:p>
    <w:p>
      <w:pPr>
        <w:spacing w:line="360" w:lineRule="auto"/>
        <w:ind w:firstLine="420" w:firstLineChars="200"/>
        <w:rPr>
          <w:rFonts w:ascii="宋体" w:hAnsi="宋体" w:cs="宋体"/>
          <w:highlight w:val="none"/>
        </w:rPr>
      </w:pPr>
      <w:r>
        <w:rPr>
          <w:rFonts w:hint="eastAsia" w:ascii="宋体" w:hAnsi="宋体" w:cs="宋体"/>
          <w:highlight w:val="none"/>
        </w:rPr>
        <w:t>检测合同标段名称：</w:t>
      </w:r>
      <w:r>
        <w:rPr>
          <w:rFonts w:hint="eastAsia" w:ascii="宋体" w:hAnsi="宋体" w:cs="宋体"/>
          <w:szCs w:val="21"/>
          <w:highlight w:val="none"/>
          <w:u w:val="single"/>
        </w:rPr>
        <w:t>2024NLJCFH合同段</w:t>
      </w:r>
    </w:p>
    <w:p>
      <w:pPr>
        <w:spacing w:line="360" w:lineRule="auto"/>
        <w:ind w:firstLine="422" w:firstLineChars="200"/>
        <w:rPr>
          <w:rFonts w:ascii="宋体" w:hAnsi="宋体" w:cs="宋体"/>
          <w:highlight w:val="none"/>
        </w:rPr>
      </w:pPr>
      <w:r>
        <w:rPr>
          <w:rFonts w:hint="eastAsia" w:ascii="宋体" w:hAnsi="宋体" w:cs="宋体"/>
          <w:b/>
          <w:szCs w:val="21"/>
          <w:highlight w:val="none"/>
        </w:rPr>
        <w:t>2.试验检测人的义务</w:t>
      </w:r>
    </w:p>
    <w:p>
      <w:pPr>
        <w:spacing w:line="360" w:lineRule="auto"/>
        <w:ind w:firstLine="420" w:firstLineChars="200"/>
        <w:rPr>
          <w:rFonts w:ascii="宋体" w:hAnsi="宋体" w:cs="宋体"/>
          <w:highlight w:val="none"/>
        </w:rPr>
      </w:pPr>
      <w:r>
        <w:rPr>
          <w:rFonts w:hint="eastAsia" w:ascii="宋体" w:hAnsi="宋体" w:cs="宋体"/>
          <w:highlight w:val="none"/>
        </w:rPr>
        <w:t>2.1.1服务形式</w:t>
      </w:r>
    </w:p>
    <w:p>
      <w:pPr>
        <w:spacing w:line="360" w:lineRule="auto"/>
        <w:ind w:firstLine="420" w:firstLineChars="200"/>
        <w:rPr>
          <w:rFonts w:ascii="宋体" w:hAnsi="宋体" w:cs="宋体"/>
          <w:highlight w:val="none"/>
        </w:rPr>
      </w:pPr>
      <w:r>
        <w:rPr>
          <w:rFonts w:hint="eastAsia" w:ascii="宋体" w:hAnsi="宋体" w:cs="宋体"/>
          <w:highlight w:val="none"/>
        </w:rPr>
        <w:t>试验检测人应为本项目专门成立试验检测项目组，并在合同期间保证所有承诺的人员接到委托人及其授权人通知后进场服务。</w:t>
      </w:r>
    </w:p>
    <w:p>
      <w:pPr>
        <w:spacing w:line="360" w:lineRule="auto"/>
        <w:ind w:firstLine="420" w:firstLineChars="200"/>
        <w:rPr>
          <w:rFonts w:ascii="宋体" w:hAnsi="宋体" w:cs="宋体"/>
          <w:highlight w:val="none"/>
        </w:rPr>
      </w:pPr>
      <w:r>
        <w:rPr>
          <w:rFonts w:hint="eastAsia" w:ascii="宋体" w:hAnsi="宋体" w:cs="宋体"/>
          <w:highlight w:val="none"/>
        </w:rPr>
        <w:t>2.1.2服务范围</w:t>
      </w:r>
    </w:p>
    <w:p>
      <w:pPr>
        <w:adjustRightInd w:val="0"/>
        <w:snapToGrid w:val="0"/>
        <w:spacing w:line="360" w:lineRule="auto"/>
        <w:ind w:firstLine="420" w:firstLineChars="200"/>
        <w:rPr>
          <w:rFonts w:ascii="宋体" w:hAnsi="宋体" w:cs="宋体"/>
          <w:highlight w:val="none"/>
        </w:rPr>
      </w:pPr>
      <w:r>
        <w:rPr>
          <w:rFonts w:hint="eastAsia" w:ascii="宋体" w:hAnsi="宋体" w:cs="宋体"/>
          <w:highlight w:val="none"/>
        </w:rPr>
        <w:t>2.1.2.1检测服务的工作范围：</w:t>
      </w:r>
    </w:p>
    <w:p>
      <w:pPr>
        <w:adjustRightInd w:val="0"/>
        <w:snapToGrid w:val="0"/>
        <w:spacing w:line="360" w:lineRule="auto"/>
        <w:ind w:firstLine="420" w:firstLineChars="200"/>
        <w:rPr>
          <w:rFonts w:ascii="宋体" w:hAnsi="宋体" w:cs="宋体"/>
          <w:highlight w:val="none"/>
        </w:rPr>
      </w:pPr>
      <w:r>
        <w:rPr>
          <w:rFonts w:hint="eastAsia" w:ascii="宋体" w:hAnsi="宋体" w:cs="宋体"/>
          <w:highlight w:val="none"/>
        </w:rPr>
        <w:t>①、复核南通市域范围内的15763.333公里的县乡村道的自动化检测评定数据；</w:t>
      </w:r>
    </w:p>
    <w:p>
      <w:pPr>
        <w:adjustRightInd w:val="0"/>
        <w:snapToGrid w:val="0"/>
        <w:spacing w:line="360" w:lineRule="auto"/>
        <w:ind w:firstLine="420" w:firstLineChars="200"/>
        <w:rPr>
          <w:rFonts w:ascii="宋体" w:hAnsi="宋体" w:cs="宋体"/>
          <w:highlight w:val="none"/>
        </w:rPr>
      </w:pPr>
      <w:r>
        <w:rPr>
          <w:rFonts w:hint="eastAsia" w:ascii="宋体" w:hAnsi="宋体" w:cs="宋体"/>
          <w:highlight w:val="none"/>
        </w:rPr>
        <w:t>②、对①中数据按比例进行抽核，其中县道抽核比例不少于10%（县道629.438公里一级公路按上行和下行两个方向分别实施，其余1908.895公里按单方向实施），乡村道抽核比例不少于6%（乡村道13225公里按单方向实施）。</w:t>
      </w:r>
    </w:p>
    <w:p>
      <w:pPr>
        <w:adjustRightInd w:val="0"/>
        <w:snapToGrid w:val="0"/>
        <w:spacing w:line="360" w:lineRule="auto"/>
        <w:ind w:firstLine="420" w:firstLineChars="200"/>
        <w:rPr>
          <w:rFonts w:ascii="宋体" w:hAnsi="宋体" w:cs="宋体"/>
          <w:highlight w:val="none"/>
        </w:rPr>
      </w:pPr>
      <w:r>
        <w:rPr>
          <w:rFonts w:hint="eastAsia" w:ascii="宋体" w:hAnsi="宋体" w:cs="宋体"/>
          <w:highlight w:val="none"/>
        </w:rPr>
        <w:t>2.1.2.2服务内容：</w:t>
      </w:r>
    </w:p>
    <w:p>
      <w:pPr>
        <w:adjustRightInd w:val="0"/>
        <w:snapToGrid w:val="0"/>
        <w:spacing w:line="360" w:lineRule="auto"/>
        <w:ind w:firstLine="420" w:firstLineChars="200"/>
        <w:rPr>
          <w:rFonts w:ascii="Garamond" w:hAnsi="Garamond"/>
          <w:szCs w:val="21"/>
          <w:highlight w:val="none"/>
        </w:rPr>
      </w:pPr>
      <w:r>
        <w:rPr>
          <w:rFonts w:hint="eastAsia" w:ascii="宋体" w:hAnsi="宋体" w:cs="宋体"/>
          <w:highlight w:val="none"/>
        </w:rPr>
        <w:t>抽核内容包括道路景观图像、空间定位信息、路面损坏图像（人工加自动化识别）、路面损坏识别结果DR、PCI、计算IRI所需原始信息、RQI、PQI、检测报告等在内的检评原始数据；复核2024年所有实施农村公路路面技术状况自动化检测路段的检评数据。承包人如承担南通市下辖县（市、区）2024年农村公路路面技术状况自动化检测项目，该地区数据不再抽核与复核，结算费用扣除该地区对应里程计算。</w:t>
      </w:r>
    </w:p>
    <w:p>
      <w:pPr>
        <w:adjustRightInd w:val="0"/>
        <w:snapToGrid w:val="0"/>
        <w:spacing w:line="360" w:lineRule="auto"/>
        <w:ind w:firstLine="420" w:firstLineChars="200"/>
        <w:rPr>
          <w:rFonts w:ascii="Garamond" w:hAnsi="Garamond"/>
          <w:szCs w:val="21"/>
          <w:highlight w:val="none"/>
        </w:rPr>
      </w:pPr>
      <w:r>
        <w:rPr>
          <w:rFonts w:hint="eastAsia" w:ascii="宋体" w:hAnsi="宋体" w:cs="宋体"/>
          <w:highlight w:val="none"/>
        </w:rPr>
        <w:t>2.1.2.</w:t>
      </w:r>
      <w:r>
        <w:rPr>
          <w:rFonts w:ascii="宋体" w:hAnsi="宋体" w:cs="宋体"/>
          <w:highlight w:val="none"/>
        </w:rPr>
        <w:t>3</w:t>
      </w:r>
      <w:r>
        <w:rPr>
          <w:rFonts w:hint="eastAsia" w:ascii="Garamond" w:hAnsi="Garamond"/>
          <w:szCs w:val="21"/>
          <w:highlight w:val="none"/>
        </w:rPr>
        <w:t>抽核方式：人工及自动化识别。复核方式：数据复核。</w:t>
      </w:r>
    </w:p>
    <w:p>
      <w:pPr>
        <w:adjustRightInd w:val="0"/>
        <w:snapToGrid w:val="0"/>
        <w:spacing w:line="360" w:lineRule="auto"/>
        <w:ind w:firstLine="420" w:firstLineChars="200"/>
        <w:rPr>
          <w:rFonts w:ascii="宋体" w:hAnsi="宋体" w:cs="宋体"/>
          <w:highlight w:val="none"/>
        </w:rPr>
      </w:pPr>
      <w:r>
        <w:rPr>
          <w:rFonts w:hint="eastAsia" w:ascii="宋体" w:hAnsi="宋体" w:cs="宋体"/>
          <w:highlight w:val="none"/>
        </w:rPr>
        <w:t>2.1.2.</w:t>
      </w:r>
      <w:r>
        <w:rPr>
          <w:rFonts w:ascii="宋体" w:hAnsi="宋体" w:cs="宋体"/>
          <w:highlight w:val="none"/>
        </w:rPr>
        <w:t>4</w:t>
      </w:r>
      <w:r>
        <w:rPr>
          <w:rFonts w:hint="eastAsia" w:ascii="宋体" w:hAnsi="宋体" w:cs="宋体"/>
          <w:highlight w:val="none"/>
        </w:rPr>
        <w:t>核查数据完整性、准确性，评估检测报告规范性，并于2024年11月</w:t>
      </w:r>
      <w:r>
        <w:rPr>
          <w:rFonts w:hint="eastAsia" w:ascii="宋体" w:hAnsi="宋体" w:cs="宋体"/>
          <w:highlight w:val="none"/>
          <w:lang w:val="en-US" w:eastAsia="zh-CN"/>
        </w:rPr>
        <w:t>2</w:t>
      </w:r>
      <w:r>
        <w:rPr>
          <w:rFonts w:hint="eastAsia" w:ascii="宋体" w:hAnsi="宋体" w:cs="宋体"/>
          <w:highlight w:val="none"/>
        </w:rPr>
        <w:t>5日前完成抽核和复核工作报告。技术等级三级及以下农村公路技术状况评定按《农村公路技术状况评定标准》（JTG 5211—2024）、技术等级二级及以上农村公路技术状况评定按《公路技术状况评定标准》（JTG 5210—2018）有关规定执行。</w:t>
      </w:r>
    </w:p>
    <w:p>
      <w:pPr>
        <w:adjustRightInd w:val="0"/>
        <w:snapToGrid w:val="0"/>
        <w:spacing w:line="360" w:lineRule="auto"/>
        <w:ind w:firstLine="420" w:firstLineChars="200"/>
        <w:rPr>
          <w:rFonts w:ascii="宋体" w:hAnsi="宋体" w:cs="宋体"/>
          <w:highlight w:val="none"/>
        </w:rPr>
      </w:pPr>
      <w:r>
        <w:rPr>
          <w:rFonts w:hint="eastAsia" w:ascii="宋体" w:hAnsi="宋体" w:cs="宋体"/>
          <w:highlight w:val="none"/>
        </w:rPr>
        <w:t>2.1.3检测服务的内容</w:t>
      </w:r>
    </w:p>
    <w:p>
      <w:pPr>
        <w:adjustRightInd w:val="0"/>
        <w:snapToGrid w:val="0"/>
        <w:spacing w:line="360" w:lineRule="auto"/>
        <w:ind w:firstLine="420" w:firstLineChars="200"/>
        <w:rPr>
          <w:rFonts w:ascii="宋体" w:hAnsi="宋体" w:cs="宋体"/>
          <w:highlight w:val="none"/>
        </w:rPr>
      </w:pPr>
      <w:r>
        <w:rPr>
          <w:rFonts w:hint="eastAsia" w:ascii="宋体" w:hAnsi="宋体" w:cs="宋体"/>
          <w:highlight w:val="none"/>
        </w:rPr>
        <w:t>按照《省交通运输厅公路事业发展中心关于印发2024年农村公路路面技术状况自动化检评数据省级抽核情况的通知》（苏交公便农管〔2024〕168号）要求，</w:t>
      </w:r>
      <w:r>
        <w:rPr>
          <w:rFonts w:hint="eastAsia" w:ascii="宋体" w:hAnsi="宋体" w:cs="宋体"/>
          <w:szCs w:val="21"/>
          <w:highlight w:val="none"/>
        </w:rPr>
        <w:t>复核南通市域范围内的15763.333公里的县乡村道的自动化检测评定数据；对数据按比例进行抽核，其中县道抽核比例不少于10%（县道629.438公里一级公路按上行和下行两个方向分别实施，其余1908.895公里按单方向实施），乡村道抽核比例不少于6%（乡村道13225公里按单方向实施）。</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2.3检测职责</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本款末增加：</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2.3.1试验检测人应本着“严格检测、优质服务、公正科学、廉洁自律”的原则，按照检测合同及相关法律、法规的要求，严格、严密、科学、公正地进行检测服务。试验检测人在检测服务过程中行使的权力或所需的授权，在专用合同条款中详细规定并加以说明。</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2.3.2如果试验检测人在检测服务过程中行使的权力或所需的授权，来自于委托人和第三方签订的工程合同文件，该合同文件必须成为本检测合同的组成部分，两者之间如出现矛盾，则应编制补充说明文件一并列入检测合同。此时试验检测人应：</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2.3.2.1根据检测合同文件和工程合同文件进行检测服务；</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2.3.2.2根据职责范围，在委托人和第三方之间独立公正地行使上述合同文件赋予的权力；</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2.3.2.3根据上述合同文件的授权，可对相应的工程和合同事宜进行变更，但未经委托人的书面批准，不得变更工程合同文件中规定的工程标准和第三方的责任与义务。</w:t>
      </w:r>
    </w:p>
    <w:p>
      <w:pPr>
        <w:spacing w:line="360" w:lineRule="auto"/>
        <w:ind w:firstLine="420" w:firstLineChars="200"/>
        <w:rPr>
          <w:rFonts w:ascii="宋体" w:hAnsi="宋体" w:cs="宋体"/>
          <w:highlight w:val="none"/>
        </w:rPr>
      </w:pPr>
      <w:r>
        <w:rPr>
          <w:rFonts w:hint="eastAsia" w:ascii="宋体" w:hAnsi="宋体" w:cs="宋体"/>
          <w:highlight w:val="none"/>
        </w:rPr>
        <w:t>2.4检测人员</w:t>
      </w:r>
    </w:p>
    <w:p>
      <w:pPr>
        <w:spacing w:line="360" w:lineRule="auto"/>
        <w:ind w:firstLine="420" w:firstLineChars="200"/>
        <w:rPr>
          <w:rFonts w:ascii="宋体" w:hAnsi="宋体" w:cs="宋体"/>
          <w:highlight w:val="none"/>
        </w:rPr>
      </w:pPr>
      <w:r>
        <w:rPr>
          <w:rFonts w:hint="eastAsia" w:ascii="宋体" w:hAnsi="宋体" w:cs="宋体"/>
          <w:highlight w:val="none"/>
        </w:rPr>
        <w:t>2.4.1委托人对重要岗位检测人员的要求</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（1）项目负责人要求</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①投标人拟投入的项目负责人具有公路工程相关专业高级或以上技术职称，同时具有交通运输部公路工程试验检测师证书（道路工程专业）；自2021年1月1日以来（以合同签订时间为准）担任过一项普通公路或高速公路自动化检测项目的项目负责人或技术负责人。</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②拟投入本项目的项目负责人须为投标人自有人员，出具投标人为其缴纳的社保缴费证明，具体要求如下：</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a、社保缴纳证明材料需含缴费起止时间、缴费单位、缴费人员姓名并由社保机构加盖缴费证明专用章，社保机构官网上打印件与线下的盖章件具有同等效力，缴费单位须与投标人名称一致（投标人下属不具备独立法人资格的分支机构缴纳的社保视为本单位）。若社保缴费证明材料中体现缴费类别的，则至少包含养老保险。</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b、投标人出具的社保缴费证明时间段为投标当月至投标当月开始往前5个月中，任意连续3个月。</w:t>
      </w:r>
      <w:r>
        <w:rPr>
          <w:rFonts w:ascii="宋体" w:hAnsi="宋体" w:cs="宋体"/>
          <w:szCs w:val="21"/>
          <w:highlight w:val="none"/>
        </w:rPr>
        <w:t>（例如：若开标时间为202</w:t>
      </w:r>
      <w:r>
        <w:rPr>
          <w:rFonts w:hint="eastAsia" w:ascii="宋体" w:hAnsi="宋体" w:cs="宋体"/>
          <w:szCs w:val="21"/>
          <w:highlight w:val="none"/>
        </w:rPr>
        <w:t>4</w:t>
      </w:r>
      <w:r>
        <w:rPr>
          <w:rFonts w:ascii="宋体" w:hAnsi="宋体" w:cs="宋体"/>
          <w:szCs w:val="21"/>
          <w:highlight w:val="none"/>
        </w:rPr>
        <w:t>年</w:t>
      </w:r>
      <w:r>
        <w:rPr>
          <w:rFonts w:hint="eastAsia" w:ascii="宋体" w:hAnsi="宋体" w:cs="宋体"/>
          <w:szCs w:val="21"/>
          <w:highlight w:val="none"/>
        </w:rPr>
        <w:t>10</w:t>
      </w:r>
      <w:r>
        <w:rPr>
          <w:rFonts w:ascii="宋体" w:hAnsi="宋体" w:cs="宋体"/>
          <w:szCs w:val="21"/>
          <w:highlight w:val="none"/>
        </w:rPr>
        <w:t>月，则投标当月至投标当月开始往前5个月指202</w:t>
      </w:r>
      <w:r>
        <w:rPr>
          <w:rFonts w:hint="eastAsia" w:ascii="宋体" w:hAnsi="宋体" w:cs="宋体"/>
          <w:szCs w:val="21"/>
          <w:highlight w:val="none"/>
        </w:rPr>
        <w:t>4</w:t>
      </w:r>
      <w:r>
        <w:rPr>
          <w:rFonts w:ascii="宋体" w:hAnsi="宋体" w:cs="宋体"/>
          <w:szCs w:val="21"/>
          <w:highlight w:val="none"/>
        </w:rPr>
        <w:t>年</w:t>
      </w:r>
      <w:r>
        <w:rPr>
          <w:rFonts w:hint="eastAsia" w:ascii="宋体" w:hAnsi="宋体" w:cs="宋体"/>
          <w:szCs w:val="21"/>
          <w:highlight w:val="none"/>
        </w:rPr>
        <w:t>6</w:t>
      </w:r>
      <w:r>
        <w:rPr>
          <w:rFonts w:ascii="宋体" w:hAnsi="宋体" w:cs="宋体"/>
          <w:szCs w:val="21"/>
          <w:highlight w:val="none"/>
        </w:rPr>
        <w:t>月至202</w:t>
      </w:r>
      <w:r>
        <w:rPr>
          <w:rFonts w:hint="eastAsia" w:ascii="宋体" w:hAnsi="宋体" w:cs="宋体"/>
          <w:szCs w:val="21"/>
          <w:highlight w:val="none"/>
        </w:rPr>
        <w:t>4</w:t>
      </w:r>
      <w:r>
        <w:rPr>
          <w:rFonts w:ascii="宋体" w:hAnsi="宋体" w:cs="宋体"/>
          <w:szCs w:val="21"/>
          <w:highlight w:val="none"/>
        </w:rPr>
        <w:t>年</w:t>
      </w:r>
      <w:r>
        <w:rPr>
          <w:rFonts w:hint="eastAsia" w:ascii="宋体" w:hAnsi="宋体" w:cs="宋体"/>
          <w:szCs w:val="21"/>
          <w:highlight w:val="none"/>
        </w:rPr>
        <w:t>10</w:t>
      </w:r>
      <w:r>
        <w:rPr>
          <w:rFonts w:ascii="宋体" w:hAnsi="宋体" w:cs="宋体"/>
          <w:szCs w:val="21"/>
          <w:highlight w:val="none"/>
        </w:rPr>
        <w:t>月，出具的社保缴费证明时间段应为202</w:t>
      </w:r>
      <w:r>
        <w:rPr>
          <w:rFonts w:hint="eastAsia" w:ascii="宋体" w:hAnsi="宋体" w:cs="宋体"/>
          <w:szCs w:val="21"/>
          <w:highlight w:val="none"/>
        </w:rPr>
        <w:t>4</w:t>
      </w:r>
      <w:r>
        <w:rPr>
          <w:rFonts w:ascii="宋体" w:hAnsi="宋体" w:cs="宋体"/>
          <w:szCs w:val="21"/>
          <w:highlight w:val="none"/>
        </w:rPr>
        <w:t>年</w:t>
      </w:r>
      <w:r>
        <w:rPr>
          <w:rFonts w:hint="eastAsia" w:ascii="宋体" w:hAnsi="宋体" w:cs="宋体"/>
          <w:szCs w:val="21"/>
          <w:highlight w:val="none"/>
        </w:rPr>
        <w:t>6</w:t>
      </w:r>
      <w:r>
        <w:rPr>
          <w:rFonts w:ascii="宋体" w:hAnsi="宋体" w:cs="宋体"/>
          <w:szCs w:val="21"/>
          <w:highlight w:val="none"/>
        </w:rPr>
        <w:t>月~</w:t>
      </w:r>
      <w:r>
        <w:rPr>
          <w:rFonts w:hint="eastAsia" w:ascii="宋体" w:hAnsi="宋体" w:cs="宋体"/>
          <w:szCs w:val="21"/>
          <w:highlight w:val="none"/>
        </w:rPr>
        <w:t>8</w:t>
      </w:r>
      <w:r>
        <w:rPr>
          <w:rFonts w:ascii="宋体" w:hAnsi="宋体" w:cs="宋体"/>
          <w:szCs w:val="21"/>
          <w:highlight w:val="none"/>
        </w:rPr>
        <w:t>月或202</w:t>
      </w:r>
      <w:r>
        <w:rPr>
          <w:rFonts w:hint="eastAsia" w:ascii="宋体" w:hAnsi="宋体" w:cs="宋体"/>
          <w:szCs w:val="21"/>
          <w:highlight w:val="none"/>
        </w:rPr>
        <w:t>4</w:t>
      </w:r>
      <w:r>
        <w:rPr>
          <w:rFonts w:ascii="宋体" w:hAnsi="宋体" w:cs="宋体"/>
          <w:szCs w:val="21"/>
          <w:highlight w:val="none"/>
        </w:rPr>
        <w:t>年</w:t>
      </w:r>
      <w:r>
        <w:rPr>
          <w:rFonts w:hint="eastAsia" w:ascii="宋体" w:hAnsi="宋体" w:cs="宋体"/>
          <w:szCs w:val="21"/>
          <w:highlight w:val="none"/>
        </w:rPr>
        <w:t>7</w:t>
      </w:r>
      <w:r>
        <w:rPr>
          <w:rFonts w:ascii="宋体" w:hAnsi="宋体" w:cs="宋体"/>
          <w:szCs w:val="21"/>
          <w:highlight w:val="none"/>
        </w:rPr>
        <w:t>月~</w:t>
      </w:r>
      <w:r>
        <w:rPr>
          <w:rFonts w:hint="eastAsia" w:ascii="宋体" w:hAnsi="宋体" w:cs="宋体"/>
          <w:szCs w:val="21"/>
          <w:highlight w:val="none"/>
        </w:rPr>
        <w:t>9</w:t>
      </w:r>
      <w:r>
        <w:rPr>
          <w:rFonts w:ascii="宋体" w:hAnsi="宋体" w:cs="宋体"/>
          <w:szCs w:val="21"/>
          <w:highlight w:val="none"/>
        </w:rPr>
        <w:t>月或202</w:t>
      </w:r>
      <w:r>
        <w:rPr>
          <w:rFonts w:hint="eastAsia" w:ascii="宋体" w:hAnsi="宋体" w:cs="宋体"/>
          <w:szCs w:val="21"/>
          <w:highlight w:val="none"/>
        </w:rPr>
        <w:t>4</w:t>
      </w:r>
      <w:r>
        <w:rPr>
          <w:rFonts w:ascii="宋体" w:hAnsi="宋体" w:cs="宋体"/>
          <w:szCs w:val="21"/>
          <w:highlight w:val="none"/>
        </w:rPr>
        <w:t>年</w:t>
      </w:r>
      <w:r>
        <w:rPr>
          <w:rFonts w:hint="eastAsia" w:ascii="宋体" w:hAnsi="宋体" w:cs="宋体"/>
          <w:szCs w:val="21"/>
          <w:highlight w:val="none"/>
        </w:rPr>
        <w:t>8</w:t>
      </w:r>
      <w:r>
        <w:rPr>
          <w:rFonts w:ascii="宋体" w:hAnsi="宋体" w:cs="宋体"/>
          <w:szCs w:val="21"/>
          <w:highlight w:val="none"/>
        </w:rPr>
        <w:t>月~</w:t>
      </w:r>
      <w:r>
        <w:rPr>
          <w:rFonts w:hint="eastAsia" w:ascii="宋体" w:hAnsi="宋体" w:cs="宋体"/>
          <w:szCs w:val="21"/>
          <w:highlight w:val="none"/>
        </w:rPr>
        <w:t>10</w:t>
      </w:r>
      <w:r>
        <w:rPr>
          <w:rFonts w:ascii="宋体" w:hAnsi="宋体" w:cs="宋体"/>
          <w:szCs w:val="21"/>
          <w:highlight w:val="none"/>
        </w:rPr>
        <w:t>月）。</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（2）其他要求</w:t>
      </w:r>
      <w:r>
        <w:rPr>
          <w:rFonts w:ascii="宋体" w:hAnsi="宋体" w:cs="宋体"/>
          <w:szCs w:val="21"/>
          <w:highlight w:val="none"/>
        </w:rPr>
        <w:t>：</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①为本项目配备除项目负责人外的技术服务人员不少于3人。技术服务人员应具有交通运输部公路工程试验检测师证书（道路工程专业）。</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注：其他人员要求仅作为最低要求，投标人可不填报，但无论投标人是否填报，投标人均须按投标文件格式中的“承诺函”格式提供承诺函。特别提醒：投标人应仔细阅读评标办法，本项目评标办法中有除项目负责人外的其他人员的评分点。</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②检测设备：提供一辆租赁或自有的多功能自动化综合检测车（非轻量化检测设备，非搭载轻便摄像头车型）。</w:t>
      </w:r>
    </w:p>
    <w:p>
      <w:pPr>
        <w:spacing w:line="360" w:lineRule="auto"/>
        <w:ind w:firstLine="420" w:firstLineChars="200"/>
        <w:rPr>
          <w:rFonts w:ascii="宋体" w:hAnsi="宋体" w:cs="宋体"/>
          <w:highlight w:val="none"/>
        </w:rPr>
      </w:pPr>
      <w:r>
        <w:rPr>
          <w:rFonts w:hint="eastAsia" w:ascii="宋体" w:hAnsi="宋体" w:cs="宋体"/>
          <w:highlight w:val="none"/>
        </w:rPr>
        <w:t>2.4.2为了履行试验检测服务，试验检测人应在项目建议书中指定一名授权代表与委托人建立工作联系。</w:t>
      </w:r>
    </w:p>
    <w:p>
      <w:pPr>
        <w:spacing w:line="360" w:lineRule="auto"/>
        <w:ind w:firstLine="420" w:firstLineChars="200"/>
        <w:rPr>
          <w:rFonts w:ascii="宋体" w:hAnsi="宋体" w:cs="宋体"/>
          <w:highlight w:val="none"/>
        </w:rPr>
      </w:pPr>
      <w:r>
        <w:rPr>
          <w:rFonts w:hint="eastAsia" w:ascii="宋体" w:hAnsi="宋体" w:cs="宋体"/>
          <w:highlight w:val="none"/>
        </w:rPr>
        <w:t>2.4.3细化修改为：</w:t>
      </w:r>
    </w:p>
    <w:p>
      <w:pPr>
        <w:spacing w:line="360" w:lineRule="auto"/>
        <w:ind w:firstLine="420" w:firstLineChars="200"/>
        <w:rPr>
          <w:rFonts w:ascii="宋体" w:hAnsi="宋体" w:cs="宋体"/>
          <w:highlight w:val="none"/>
        </w:rPr>
      </w:pPr>
      <w:r>
        <w:rPr>
          <w:rFonts w:hint="eastAsia" w:ascii="宋体" w:hAnsi="宋体" w:cs="宋体"/>
          <w:highlight w:val="none"/>
        </w:rPr>
        <w:t>在合同期内，未经委托人同意不得随意更换人员。若确因特殊原因需要更换人员时，须提前7天提交与拟更换人员具备同等或更高资质的人员报委托人批准，经委托人批准后，试验检测人必须支付委托人违约金</w:t>
      </w:r>
      <w:r>
        <w:rPr>
          <w:rFonts w:hint="eastAsia" w:ascii="宋体" w:hAnsi="宋体" w:cs="宋体"/>
          <w:b/>
          <w:highlight w:val="none"/>
        </w:rPr>
        <w:t>（更换项目负责人</w:t>
      </w:r>
      <w:r>
        <w:rPr>
          <w:rFonts w:ascii="宋体" w:hAnsi="宋体" w:cs="宋体"/>
          <w:b/>
          <w:highlight w:val="none"/>
        </w:rPr>
        <w:t>1</w:t>
      </w:r>
      <w:r>
        <w:rPr>
          <w:rFonts w:hint="eastAsia" w:ascii="宋体" w:hAnsi="宋体" w:cs="宋体"/>
          <w:b/>
          <w:highlight w:val="none"/>
        </w:rPr>
        <w:t>万元/人，更换其他人员</w:t>
      </w:r>
      <w:r>
        <w:rPr>
          <w:rFonts w:ascii="宋体" w:hAnsi="宋体" w:cs="宋体"/>
          <w:b/>
          <w:highlight w:val="none"/>
        </w:rPr>
        <w:t>0.5</w:t>
      </w:r>
      <w:r>
        <w:rPr>
          <w:rFonts w:hint="eastAsia" w:ascii="宋体" w:hAnsi="宋体" w:cs="宋体"/>
          <w:b/>
          <w:highlight w:val="none"/>
        </w:rPr>
        <w:t>万元/人）</w:t>
      </w:r>
      <w:r>
        <w:rPr>
          <w:rFonts w:hint="eastAsia" w:ascii="宋体" w:hAnsi="宋体" w:cs="宋体"/>
          <w:highlight w:val="none"/>
        </w:rPr>
        <w:t>。若委托人提出人员更换要求，试验检测人应在接到通知的7天内选派资格和经验为委托人接受的人员进行更换。由于更换人员引起的费用由试验检测人承担，其更换人员的资质仍应得到委托人的认可。</w:t>
      </w:r>
    </w:p>
    <w:p>
      <w:pPr>
        <w:adjustRightInd w:val="0"/>
        <w:snapToGrid w:val="0"/>
        <w:spacing w:line="360" w:lineRule="auto"/>
        <w:ind w:firstLine="420" w:firstLineChars="200"/>
        <w:rPr>
          <w:highlight w:val="none"/>
        </w:rPr>
      </w:pPr>
      <w:bookmarkStart w:id="68" w:name="_Toc493408521"/>
      <w:r>
        <w:rPr>
          <w:rFonts w:hint="eastAsia"/>
          <w:highlight w:val="none"/>
        </w:rPr>
        <w:t>2.5设备要求：</w:t>
      </w:r>
      <w:r>
        <w:rPr>
          <w:rFonts w:hint="eastAsia" w:ascii="宋体" w:hAnsi="宋体" w:cs="宋体"/>
          <w:szCs w:val="21"/>
          <w:highlight w:val="none"/>
        </w:rPr>
        <w:t>提供一辆租赁或自有的多功能自动化综合检测车（非轻量化检测设备，非搭载轻便摄像头车型）。</w:t>
      </w:r>
    </w:p>
    <w:p>
      <w:pPr>
        <w:spacing w:line="360" w:lineRule="auto"/>
        <w:ind w:firstLine="420" w:firstLineChars="200"/>
        <w:rPr>
          <w:rFonts w:ascii="宋体" w:hAnsi="宋体" w:cs="宋体"/>
          <w:highlight w:val="none"/>
        </w:rPr>
      </w:pPr>
      <w:r>
        <w:rPr>
          <w:rFonts w:hint="eastAsia" w:ascii="宋体" w:hAnsi="宋体" w:cs="宋体"/>
          <w:highlight w:val="none"/>
        </w:rPr>
        <w:t>2.6保密</w:t>
      </w:r>
      <w:bookmarkEnd w:id="68"/>
    </w:p>
    <w:p>
      <w:pPr>
        <w:spacing w:line="360" w:lineRule="auto"/>
        <w:ind w:firstLine="420" w:firstLineChars="200"/>
        <w:rPr>
          <w:rFonts w:ascii="宋体" w:hAnsi="宋体" w:cs="宋体"/>
          <w:highlight w:val="none"/>
        </w:rPr>
      </w:pPr>
      <w:r>
        <w:rPr>
          <w:rFonts w:hint="eastAsia" w:ascii="宋体" w:hAnsi="宋体" w:cs="宋体"/>
          <w:highlight w:val="none"/>
        </w:rPr>
        <w:t>在检测合同有效期内及以后的3年内，未经发包人同意，试验检测人不得泄露发包人与本项目、本工程、本检测合同有关的保密资料。</w:t>
      </w:r>
    </w:p>
    <w:p>
      <w:pPr>
        <w:spacing w:line="360" w:lineRule="auto"/>
        <w:ind w:firstLine="422" w:firstLineChars="200"/>
        <w:rPr>
          <w:rFonts w:ascii="宋体" w:hAnsi="宋体" w:cs="宋体"/>
          <w:highlight w:val="none"/>
        </w:rPr>
      </w:pPr>
      <w:r>
        <w:rPr>
          <w:rFonts w:hint="eastAsia" w:ascii="宋体" w:hAnsi="宋体" w:cs="宋体"/>
          <w:b/>
          <w:szCs w:val="21"/>
          <w:highlight w:val="none"/>
        </w:rPr>
        <w:t>3.委托人的义务</w:t>
      </w:r>
    </w:p>
    <w:p>
      <w:pPr>
        <w:spacing w:line="360" w:lineRule="auto"/>
        <w:ind w:firstLine="420" w:firstLineChars="200"/>
        <w:rPr>
          <w:rFonts w:ascii="宋体" w:hAnsi="宋体" w:cs="宋体"/>
          <w:highlight w:val="none"/>
        </w:rPr>
      </w:pPr>
      <w:r>
        <w:rPr>
          <w:rFonts w:hint="eastAsia" w:ascii="宋体" w:hAnsi="宋体" w:cs="宋体"/>
          <w:highlight w:val="none"/>
        </w:rPr>
        <w:t>3.1.1文件和资料</w:t>
      </w:r>
    </w:p>
    <w:p>
      <w:pPr>
        <w:spacing w:line="360" w:lineRule="auto"/>
        <w:ind w:firstLine="420" w:firstLineChars="200"/>
        <w:rPr>
          <w:rFonts w:ascii="宋体" w:hAnsi="宋体" w:cs="宋体"/>
          <w:highlight w:val="none"/>
        </w:rPr>
      </w:pPr>
      <w:r>
        <w:rPr>
          <w:rFonts w:hint="eastAsia" w:ascii="宋体" w:hAnsi="宋体" w:cs="宋体"/>
          <w:highlight w:val="none"/>
        </w:rPr>
        <w:t>委托人在检测合同生效之日起</w:t>
      </w:r>
      <w:r>
        <w:rPr>
          <w:rFonts w:hint="eastAsia" w:ascii="宋体" w:hAnsi="宋体" w:cs="宋体"/>
          <w:highlight w:val="none"/>
          <w:u w:val="single"/>
        </w:rPr>
        <w:t>7</w:t>
      </w:r>
      <w:r>
        <w:rPr>
          <w:rFonts w:hint="eastAsia" w:ascii="宋体" w:hAnsi="宋体" w:cs="宋体"/>
          <w:highlight w:val="none"/>
        </w:rPr>
        <w:t>日之内，向试验检测人免费提供下述文件、资料:</w:t>
      </w:r>
    </w:p>
    <w:p>
      <w:pPr>
        <w:spacing w:line="360" w:lineRule="auto"/>
        <w:ind w:firstLine="420" w:firstLineChars="200"/>
        <w:rPr>
          <w:rFonts w:ascii="宋体" w:hAnsi="宋体" w:cs="宋体"/>
          <w:highlight w:val="none"/>
        </w:rPr>
      </w:pPr>
      <w:r>
        <w:rPr>
          <w:rFonts w:hint="eastAsia" w:ascii="宋体" w:hAnsi="宋体" w:cs="宋体"/>
          <w:highlight w:val="none"/>
        </w:rPr>
        <w:t>3.1.1.1图纸</w:t>
      </w:r>
      <w:r>
        <w:rPr>
          <w:rFonts w:hint="eastAsia" w:ascii="宋体" w:hAnsi="宋体" w:cs="宋体"/>
          <w:highlight w:val="none"/>
          <w:u w:val="single"/>
        </w:rPr>
        <w:t>/</w:t>
      </w:r>
      <w:r>
        <w:rPr>
          <w:rFonts w:hint="eastAsia" w:ascii="宋体" w:hAnsi="宋体" w:cs="宋体"/>
          <w:highlight w:val="none"/>
        </w:rPr>
        <w:t>套；</w:t>
      </w:r>
    </w:p>
    <w:p>
      <w:pPr>
        <w:spacing w:line="360" w:lineRule="auto"/>
        <w:ind w:firstLine="420" w:firstLineChars="200"/>
        <w:rPr>
          <w:rFonts w:ascii="宋体" w:hAnsi="宋体" w:cs="宋体"/>
          <w:highlight w:val="none"/>
        </w:rPr>
      </w:pPr>
      <w:r>
        <w:rPr>
          <w:rFonts w:hint="eastAsia" w:ascii="宋体" w:hAnsi="宋体" w:cs="宋体"/>
          <w:highlight w:val="none"/>
        </w:rPr>
        <w:t>3.1.1.2其它</w:t>
      </w:r>
      <w:r>
        <w:rPr>
          <w:rFonts w:hint="eastAsia" w:ascii="宋体" w:hAnsi="宋体" w:cs="宋体"/>
          <w:highlight w:val="none"/>
          <w:u w:val="single"/>
        </w:rPr>
        <w:t>/</w:t>
      </w:r>
      <w:r>
        <w:rPr>
          <w:rFonts w:hint="eastAsia" w:ascii="宋体" w:hAnsi="宋体" w:cs="宋体"/>
          <w:highlight w:val="none"/>
        </w:rPr>
        <w:t>。</w:t>
      </w:r>
    </w:p>
    <w:p>
      <w:pPr>
        <w:spacing w:line="360" w:lineRule="auto"/>
        <w:ind w:firstLine="420" w:firstLineChars="200"/>
        <w:rPr>
          <w:rFonts w:ascii="宋体" w:hAnsi="宋体" w:cs="宋体"/>
          <w:highlight w:val="none"/>
        </w:rPr>
      </w:pPr>
      <w:r>
        <w:rPr>
          <w:rFonts w:hint="eastAsia" w:ascii="宋体" w:hAnsi="宋体" w:cs="宋体"/>
          <w:highlight w:val="none"/>
        </w:rPr>
        <w:t>3.2决定</w:t>
      </w:r>
    </w:p>
    <w:p>
      <w:pPr>
        <w:spacing w:line="360" w:lineRule="auto"/>
        <w:ind w:firstLine="420" w:firstLineChars="200"/>
        <w:rPr>
          <w:rFonts w:ascii="宋体" w:hAnsi="宋体" w:cs="宋体"/>
          <w:highlight w:val="none"/>
        </w:rPr>
      </w:pPr>
      <w:r>
        <w:rPr>
          <w:rFonts w:hint="eastAsia" w:ascii="宋体" w:hAnsi="宋体" w:cs="宋体"/>
          <w:highlight w:val="none"/>
        </w:rPr>
        <w:t>委托人根据试验检测人有关针对本项目的质量和安全等重大问题的请示及时予以决定。委托人对上述请示给予书面答复的期限，自收到书面请示之日起最长不超过</w:t>
      </w:r>
      <w:r>
        <w:rPr>
          <w:rFonts w:hint="eastAsia" w:ascii="宋体" w:hAnsi="宋体" w:cs="宋体"/>
          <w:highlight w:val="none"/>
          <w:u w:val="single"/>
        </w:rPr>
        <w:t>15</w:t>
      </w:r>
      <w:r>
        <w:rPr>
          <w:rFonts w:hint="eastAsia" w:ascii="宋体" w:hAnsi="宋体" w:cs="宋体"/>
          <w:highlight w:val="none"/>
        </w:rPr>
        <w:t>日。</w:t>
      </w:r>
    </w:p>
    <w:p>
      <w:pPr>
        <w:spacing w:line="360" w:lineRule="auto"/>
        <w:ind w:firstLine="420" w:firstLineChars="200"/>
        <w:rPr>
          <w:rFonts w:ascii="宋体" w:hAnsi="宋体" w:cs="宋体"/>
          <w:highlight w:val="none"/>
        </w:rPr>
      </w:pPr>
      <w:bookmarkStart w:id="69" w:name="_Toc493408522"/>
      <w:r>
        <w:rPr>
          <w:rFonts w:hint="eastAsia" w:ascii="宋体" w:hAnsi="宋体" w:cs="宋体"/>
          <w:highlight w:val="none"/>
        </w:rPr>
        <w:t>3.3代表</w:t>
      </w:r>
    </w:p>
    <w:p>
      <w:pPr>
        <w:spacing w:line="360" w:lineRule="auto"/>
        <w:ind w:firstLine="420" w:firstLineChars="200"/>
        <w:rPr>
          <w:rFonts w:ascii="宋体" w:hAnsi="宋体" w:cs="宋体"/>
          <w:highlight w:val="none"/>
        </w:rPr>
      </w:pPr>
      <w:r>
        <w:rPr>
          <w:rFonts w:hint="eastAsia" w:ascii="宋体" w:hAnsi="宋体" w:cs="宋体"/>
          <w:highlight w:val="none"/>
        </w:rPr>
        <w:t>委托人授权代表：。</w:t>
      </w:r>
    </w:p>
    <w:p>
      <w:pPr>
        <w:spacing w:line="360" w:lineRule="auto"/>
        <w:ind w:firstLine="422" w:firstLineChars="200"/>
        <w:rPr>
          <w:rFonts w:ascii="宋体" w:hAnsi="宋体" w:cs="宋体"/>
          <w:highlight w:val="none"/>
        </w:rPr>
      </w:pPr>
      <w:r>
        <w:rPr>
          <w:rFonts w:hint="eastAsia" w:ascii="宋体" w:hAnsi="宋体" w:cs="宋体"/>
          <w:b/>
          <w:szCs w:val="21"/>
          <w:highlight w:val="none"/>
        </w:rPr>
        <w:t>4.责任和保障</w:t>
      </w:r>
    </w:p>
    <w:p>
      <w:pPr>
        <w:spacing w:line="360" w:lineRule="auto"/>
        <w:ind w:firstLine="420" w:firstLineChars="200"/>
        <w:rPr>
          <w:rFonts w:ascii="宋体" w:hAnsi="宋体" w:cs="宋体"/>
          <w:highlight w:val="none"/>
        </w:rPr>
      </w:pPr>
      <w:r>
        <w:rPr>
          <w:rFonts w:hint="eastAsia" w:ascii="宋体" w:hAnsi="宋体" w:cs="宋体"/>
          <w:highlight w:val="none"/>
        </w:rPr>
        <w:t>4.1试验检测人的违约及赔偿责任</w:t>
      </w:r>
    </w:p>
    <w:p>
      <w:pPr>
        <w:spacing w:line="360" w:lineRule="auto"/>
        <w:ind w:firstLine="420" w:firstLineChars="200"/>
        <w:rPr>
          <w:rFonts w:ascii="宋体" w:hAnsi="宋体" w:cs="宋体"/>
          <w:highlight w:val="none"/>
          <w:u w:val="single"/>
        </w:rPr>
      </w:pPr>
      <w:r>
        <w:rPr>
          <w:rFonts w:hint="eastAsia" w:ascii="宋体" w:hAnsi="宋体" w:cs="宋体"/>
          <w:highlight w:val="none"/>
        </w:rPr>
        <w:t>4.1.1.5试验检测人的其他违约责任：</w:t>
      </w:r>
    </w:p>
    <w:p>
      <w:pPr>
        <w:pStyle w:val="22"/>
        <w:spacing w:line="360" w:lineRule="auto"/>
        <w:ind w:firstLine="420" w:firstLineChars="200"/>
        <w:rPr>
          <w:rFonts w:hAnsi="宋体" w:cs="宋体"/>
          <w:highlight w:val="none"/>
        </w:rPr>
      </w:pPr>
      <w:r>
        <w:rPr>
          <w:rFonts w:hint="eastAsia" w:hAnsi="宋体" w:cs="宋体"/>
          <w:highlight w:val="none"/>
        </w:rPr>
        <w:t>(1)试验检测人将任务转包或者分包，除整改外委托人将视情况扣除试验检测人</w:t>
      </w:r>
      <w:r>
        <w:rPr>
          <w:rFonts w:hAnsi="宋体" w:cs="宋体"/>
          <w:highlight w:val="none"/>
        </w:rPr>
        <w:t>2</w:t>
      </w:r>
      <w:r>
        <w:rPr>
          <w:rFonts w:hint="eastAsia" w:hAnsi="宋体" w:cs="宋体"/>
          <w:highlight w:val="none"/>
        </w:rPr>
        <w:t>万元至</w:t>
      </w:r>
      <w:r>
        <w:rPr>
          <w:rFonts w:hAnsi="宋体" w:cs="宋体"/>
          <w:highlight w:val="none"/>
        </w:rPr>
        <w:t>5</w:t>
      </w:r>
      <w:r>
        <w:rPr>
          <w:rFonts w:hint="eastAsia" w:hAnsi="宋体" w:cs="宋体"/>
          <w:highlight w:val="none"/>
        </w:rPr>
        <w:t>万元的违约金。</w:t>
      </w:r>
    </w:p>
    <w:p>
      <w:pPr>
        <w:pStyle w:val="22"/>
        <w:spacing w:line="360" w:lineRule="auto"/>
        <w:ind w:firstLine="420" w:firstLineChars="200"/>
        <w:rPr>
          <w:rFonts w:hAnsi="宋体" w:cs="宋体"/>
          <w:highlight w:val="none"/>
        </w:rPr>
      </w:pPr>
      <w:r>
        <w:rPr>
          <w:rFonts w:hint="eastAsia" w:hAnsi="宋体" w:cs="宋体"/>
          <w:highlight w:val="none"/>
        </w:rPr>
        <w:t>(2)合同生效后，如试验检测人擅自中途停止或解除合同，委托人扣除试验检测人</w:t>
      </w:r>
      <w:r>
        <w:rPr>
          <w:rFonts w:hint="eastAsia" w:hAnsi="宋体" w:cs="宋体"/>
          <w:highlight w:val="none"/>
          <w:lang w:eastAsia="zh-CN"/>
        </w:rPr>
        <w:t>5</w:t>
      </w:r>
      <w:r>
        <w:rPr>
          <w:rFonts w:hint="eastAsia" w:hAnsi="宋体" w:cs="宋体"/>
          <w:highlight w:val="none"/>
        </w:rPr>
        <w:t>万元至</w:t>
      </w:r>
      <w:r>
        <w:rPr>
          <w:rFonts w:hint="eastAsia" w:hAnsi="宋体" w:cs="宋体"/>
          <w:highlight w:val="none"/>
          <w:lang w:eastAsia="zh-CN"/>
        </w:rPr>
        <w:t>1</w:t>
      </w:r>
      <w:r>
        <w:rPr>
          <w:rFonts w:hint="eastAsia" w:hAnsi="宋体" w:cs="宋体"/>
          <w:highlight w:val="none"/>
          <w:lang w:val="en-US" w:eastAsia="zh-CN"/>
        </w:rPr>
        <w:t>0</w:t>
      </w:r>
      <w:r>
        <w:rPr>
          <w:rFonts w:hint="eastAsia" w:hAnsi="宋体" w:cs="宋体"/>
          <w:highlight w:val="none"/>
        </w:rPr>
        <w:t>万元的违约金，同时试验检测人应向委托人双倍返还已支付的费用。</w:t>
      </w:r>
    </w:p>
    <w:p>
      <w:pPr>
        <w:pStyle w:val="22"/>
        <w:spacing w:line="360" w:lineRule="auto"/>
        <w:ind w:firstLine="420" w:firstLineChars="200"/>
        <w:rPr>
          <w:rFonts w:hAnsi="宋体" w:cs="宋体"/>
          <w:highlight w:val="none"/>
        </w:rPr>
      </w:pPr>
      <w:r>
        <w:rPr>
          <w:rFonts w:hint="eastAsia" w:hAnsi="宋体" w:cs="宋体"/>
          <w:highlight w:val="none"/>
        </w:rPr>
        <w:t>(3)试验检测人因自身原因未按期向委托人提交检测成果，视为试验检测人违约，则委托人按0.5万元/天的标准扣除试验检测人违约金，同时试验检测人应向委托人偿付由此而导致的委托人的损失费。</w:t>
      </w:r>
    </w:p>
    <w:p>
      <w:pPr>
        <w:pStyle w:val="22"/>
        <w:spacing w:line="360" w:lineRule="auto"/>
        <w:ind w:firstLine="420" w:firstLineChars="200"/>
        <w:rPr>
          <w:rFonts w:hAnsi="宋体" w:cs="宋体"/>
          <w:highlight w:val="none"/>
        </w:rPr>
      </w:pPr>
      <w:r>
        <w:rPr>
          <w:rFonts w:hint="eastAsia" w:hAnsi="宋体" w:cs="宋体"/>
          <w:highlight w:val="none"/>
        </w:rPr>
        <w:t>(4)未经委托人批准而擅自更换人员的，视为试验检测人违约，委托人按照本专用条款2.4.3款规定的违约金标准的双倍扣取违约金，并视情况可单方面终止合同。</w:t>
      </w:r>
    </w:p>
    <w:p>
      <w:pPr>
        <w:pStyle w:val="22"/>
        <w:spacing w:line="360" w:lineRule="auto"/>
        <w:ind w:firstLine="420" w:firstLineChars="200"/>
        <w:rPr>
          <w:rFonts w:hAnsi="宋体" w:cs="宋体"/>
          <w:highlight w:val="none"/>
        </w:rPr>
      </w:pPr>
      <w:r>
        <w:rPr>
          <w:rFonts w:hint="eastAsia" w:hAnsi="宋体" w:cs="宋体"/>
          <w:highlight w:val="none"/>
        </w:rPr>
        <w:t>(5)检测人员责任心不强、检测工作不到位，伪造检测数据出具错误检测数据或错误鉴定结论，导致发生质量事故，造成经济损失或不良影响。试验检测人发现有危及工程结构安全和重要使用功能安全的问题时，未及时向委托人报告。</w:t>
      </w:r>
    </w:p>
    <w:p>
      <w:pPr>
        <w:pStyle w:val="22"/>
        <w:spacing w:line="360" w:lineRule="auto"/>
        <w:ind w:firstLine="420" w:firstLineChars="200"/>
        <w:rPr>
          <w:rFonts w:hAnsi="宋体" w:cs="宋体"/>
          <w:highlight w:val="none"/>
        </w:rPr>
      </w:pPr>
      <w:r>
        <w:rPr>
          <w:rFonts w:hint="eastAsia" w:hAnsi="宋体" w:cs="宋体"/>
          <w:highlight w:val="none"/>
        </w:rPr>
        <w:t>(6)试验检测人检测制度不全，检测仪器设备不全，档案资料不按规定存档。</w:t>
      </w:r>
    </w:p>
    <w:p>
      <w:pPr>
        <w:pStyle w:val="22"/>
        <w:spacing w:line="360" w:lineRule="auto"/>
        <w:ind w:firstLine="420" w:firstLineChars="200"/>
        <w:rPr>
          <w:rFonts w:hAnsi="宋体" w:cs="宋体"/>
          <w:highlight w:val="none"/>
        </w:rPr>
      </w:pPr>
      <w:r>
        <w:rPr>
          <w:rFonts w:hint="eastAsia" w:hAnsi="宋体" w:cs="宋体"/>
          <w:highlight w:val="none"/>
        </w:rPr>
        <w:t>(7)违反廉政合同条款的规定。</w:t>
      </w:r>
    </w:p>
    <w:p>
      <w:pPr>
        <w:spacing w:line="360" w:lineRule="auto"/>
        <w:ind w:firstLine="420" w:firstLineChars="200"/>
        <w:rPr>
          <w:rFonts w:ascii="宋体" w:hAnsi="宋体" w:cs="宋体"/>
          <w:highlight w:val="none"/>
        </w:rPr>
      </w:pPr>
      <w:r>
        <w:rPr>
          <w:rFonts w:hint="eastAsia" w:ascii="宋体" w:hAnsi="宋体" w:cs="宋体"/>
          <w:highlight w:val="none"/>
        </w:rPr>
        <w:t>试验检测人发生以上第(4)～(7)条情况，委托人将视情节轻重对有关人员提出警告、责令更正、通报批评至逐出现场，同时委托人将视情况扣除试验检测人1万元至</w:t>
      </w:r>
      <w:r>
        <w:rPr>
          <w:rFonts w:ascii="宋体" w:hAnsi="宋体" w:cs="宋体"/>
          <w:highlight w:val="none"/>
        </w:rPr>
        <w:t>5</w:t>
      </w:r>
      <w:r>
        <w:rPr>
          <w:rFonts w:hint="eastAsia" w:ascii="宋体" w:hAnsi="宋体" w:cs="宋体"/>
          <w:highlight w:val="none"/>
        </w:rPr>
        <w:t>万元的违约金。</w:t>
      </w:r>
    </w:p>
    <w:p>
      <w:pPr>
        <w:tabs>
          <w:tab w:val="left" w:pos="3193"/>
        </w:tabs>
        <w:spacing w:line="360" w:lineRule="auto"/>
        <w:ind w:firstLine="422" w:firstLineChars="200"/>
        <w:rPr>
          <w:rFonts w:ascii="宋体" w:hAnsi="宋体" w:cs="宋体"/>
          <w:b/>
          <w:highlight w:val="none"/>
        </w:rPr>
      </w:pPr>
      <w:r>
        <w:rPr>
          <w:rFonts w:hint="eastAsia" w:ascii="宋体" w:hAnsi="宋体" w:cs="宋体"/>
          <w:b/>
          <w:highlight w:val="none"/>
        </w:rPr>
        <w:t>上述违约金由委托人直接从当期检测服务费用中扣除。</w:t>
      </w:r>
    </w:p>
    <w:p>
      <w:pPr>
        <w:spacing w:line="360" w:lineRule="auto"/>
        <w:ind w:firstLine="420" w:firstLineChars="200"/>
        <w:rPr>
          <w:rFonts w:ascii="宋体" w:hAnsi="宋体" w:cs="宋体"/>
          <w:highlight w:val="none"/>
        </w:rPr>
      </w:pPr>
      <w:r>
        <w:rPr>
          <w:rFonts w:hint="eastAsia" w:ascii="宋体" w:hAnsi="宋体" w:cs="宋体"/>
          <w:highlight w:val="none"/>
        </w:rPr>
        <w:t>4.1.2试验检测人的违约赔偿责任</w:t>
      </w:r>
      <w:bookmarkEnd w:id="69"/>
    </w:p>
    <w:p>
      <w:pPr>
        <w:spacing w:line="360" w:lineRule="auto"/>
        <w:ind w:firstLine="420" w:firstLineChars="200"/>
        <w:rPr>
          <w:rFonts w:ascii="宋体" w:hAnsi="宋体" w:cs="宋体"/>
          <w:highlight w:val="none"/>
        </w:rPr>
      </w:pPr>
      <w:r>
        <w:rPr>
          <w:rFonts w:hint="eastAsia" w:ascii="宋体" w:hAnsi="宋体" w:cs="宋体"/>
          <w:highlight w:val="none"/>
        </w:rPr>
        <w:t>试验检测人违反检测合同的规定，并因此造成委托人的经济损失，应根据其所承担责任的比例向委托人赔偿：</w:t>
      </w:r>
      <w:r>
        <w:rPr>
          <w:rFonts w:hint="eastAsia" w:ascii="宋体" w:hAnsi="宋体" w:cs="宋体"/>
          <w:highlight w:val="none"/>
          <w:u w:val="single"/>
        </w:rPr>
        <w:t>赔偿金=造成的直接经济损失×试验检测人应承担的责任比重</w:t>
      </w:r>
      <w:r>
        <w:rPr>
          <w:rFonts w:hint="eastAsia" w:ascii="宋体" w:hAnsi="宋体" w:cs="宋体"/>
          <w:highlight w:val="none"/>
        </w:rPr>
        <w:t>。</w:t>
      </w:r>
    </w:p>
    <w:p>
      <w:pPr>
        <w:spacing w:line="360" w:lineRule="auto"/>
        <w:ind w:firstLine="420" w:firstLineChars="200"/>
        <w:rPr>
          <w:rFonts w:ascii="宋体" w:hAnsi="宋体" w:cs="宋体"/>
          <w:highlight w:val="none"/>
        </w:rPr>
      </w:pPr>
      <w:bookmarkStart w:id="70" w:name="_Toc493408523"/>
      <w:r>
        <w:rPr>
          <w:rFonts w:hint="eastAsia" w:ascii="宋体" w:hAnsi="宋体" w:cs="宋体"/>
          <w:highlight w:val="none"/>
        </w:rPr>
        <w:t>4.2委托人的赔偿责任</w:t>
      </w:r>
      <w:bookmarkEnd w:id="70"/>
    </w:p>
    <w:p>
      <w:pPr>
        <w:spacing w:line="360" w:lineRule="auto"/>
        <w:ind w:firstLine="420" w:firstLineChars="200"/>
        <w:rPr>
          <w:rFonts w:ascii="宋体" w:hAnsi="宋体" w:cs="宋体"/>
          <w:highlight w:val="none"/>
        </w:rPr>
      </w:pPr>
      <w:r>
        <w:rPr>
          <w:rFonts w:hint="eastAsia" w:ascii="宋体" w:hAnsi="宋体" w:cs="宋体"/>
          <w:highlight w:val="none"/>
        </w:rPr>
        <w:t>委托人违反检测合同的规定，并因此造成试验检测人的直接经济损失，应</w:t>
      </w:r>
      <w:r>
        <w:rPr>
          <w:rFonts w:hint="eastAsia" w:ascii="宋体" w:hAnsi="宋体" w:cs="宋体"/>
          <w:highlight w:val="none"/>
          <w:u w:val="single"/>
        </w:rPr>
        <w:t>按直接经济损失</w:t>
      </w:r>
      <w:r>
        <w:rPr>
          <w:rFonts w:hint="eastAsia" w:ascii="宋体" w:hAnsi="宋体" w:cs="宋体"/>
          <w:highlight w:val="none"/>
        </w:rPr>
        <w:t>向试验检测人赔偿。</w:t>
      </w:r>
    </w:p>
    <w:p>
      <w:pPr>
        <w:spacing w:line="360" w:lineRule="auto"/>
        <w:ind w:firstLine="420" w:firstLineChars="200"/>
        <w:rPr>
          <w:rFonts w:ascii="宋体" w:hAnsi="宋体" w:cs="宋体"/>
          <w:highlight w:val="none"/>
        </w:rPr>
      </w:pPr>
      <w:bookmarkStart w:id="71" w:name="_Toc493408524"/>
      <w:r>
        <w:rPr>
          <w:rFonts w:hint="eastAsia" w:ascii="宋体" w:hAnsi="宋体" w:cs="宋体"/>
          <w:highlight w:val="none"/>
        </w:rPr>
        <w:t>4.4赔偿的限额</w:t>
      </w:r>
      <w:bookmarkEnd w:id="71"/>
    </w:p>
    <w:p>
      <w:pPr>
        <w:spacing w:line="360" w:lineRule="auto"/>
        <w:ind w:firstLine="420" w:firstLineChars="200"/>
        <w:rPr>
          <w:rFonts w:ascii="宋体" w:hAnsi="宋体" w:cs="宋体"/>
          <w:highlight w:val="none"/>
        </w:rPr>
      </w:pPr>
      <w:r>
        <w:rPr>
          <w:rFonts w:hint="eastAsia" w:ascii="宋体" w:hAnsi="宋体" w:cs="宋体"/>
          <w:highlight w:val="none"/>
        </w:rPr>
        <w:t>删除通用条款本条内容。</w:t>
      </w:r>
    </w:p>
    <w:p>
      <w:pPr>
        <w:spacing w:line="360" w:lineRule="auto"/>
        <w:ind w:firstLine="422" w:firstLineChars="200"/>
        <w:rPr>
          <w:rFonts w:ascii="宋体" w:hAnsi="宋体" w:cs="宋体"/>
          <w:highlight w:val="none"/>
        </w:rPr>
      </w:pPr>
      <w:bookmarkStart w:id="72" w:name="_Toc493408527"/>
      <w:r>
        <w:rPr>
          <w:rFonts w:hint="eastAsia" w:ascii="宋体" w:hAnsi="宋体" w:cs="宋体"/>
          <w:b/>
          <w:szCs w:val="21"/>
          <w:highlight w:val="none"/>
        </w:rPr>
        <w:t>5.检测合同的生效、终止、变更、暂停与解除</w:t>
      </w:r>
    </w:p>
    <w:p>
      <w:pPr>
        <w:spacing w:line="360" w:lineRule="auto"/>
        <w:ind w:firstLine="420" w:firstLineChars="200"/>
        <w:rPr>
          <w:rFonts w:ascii="宋体" w:hAnsi="宋体" w:cs="宋体"/>
          <w:highlight w:val="none"/>
        </w:rPr>
      </w:pPr>
      <w:r>
        <w:rPr>
          <w:rFonts w:hint="eastAsia" w:ascii="宋体" w:hAnsi="宋体" w:cs="宋体"/>
          <w:highlight w:val="none"/>
        </w:rPr>
        <w:t>5.1检测合同协议书生效的条件和期限：</w:t>
      </w:r>
      <w:r>
        <w:rPr>
          <w:rFonts w:hint="eastAsia" w:ascii="宋体" w:hAnsi="宋体" w:cs="宋体"/>
          <w:highlight w:val="none"/>
          <w:u w:val="single"/>
        </w:rPr>
        <w:t xml:space="preserve">双方在合同协议书上签字盖章后生效，合同约定的检测工作完成、费用结清后失效 </w:t>
      </w:r>
      <w:r>
        <w:rPr>
          <w:rFonts w:hint="eastAsia" w:ascii="宋体" w:hAnsi="宋体" w:cs="宋体"/>
          <w:highlight w:val="none"/>
        </w:rPr>
        <w:t>。</w:t>
      </w:r>
    </w:p>
    <w:p>
      <w:pPr>
        <w:spacing w:line="360" w:lineRule="auto"/>
        <w:ind w:firstLine="420" w:firstLineChars="200"/>
        <w:rPr>
          <w:rFonts w:ascii="宋体" w:hAnsi="宋体" w:cs="宋体"/>
          <w:highlight w:val="none"/>
        </w:rPr>
      </w:pPr>
      <w:r>
        <w:rPr>
          <w:rFonts w:hint="eastAsia" w:ascii="宋体" w:hAnsi="宋体" w:cs="宋体"/>
          <w:highlight w:val="none"/>
        </w:rPr>
        <w:t>5.2检测服务的时间和期限</w:t>
      </w:r>
      <w:bookmarkEnd w:id="72"/>
    </w:p>
    <w:p>
      <w:pPr>
        <w:spacing w:line="360" w:lineRule="auto"/>
        <w:ind w:firstLine="420" w:firstLineChars="200"/>
        <w:rPr>
          <w:rFonts w:ascii="宋体" w:hAnsi="宋体" w:cs="宋体"/>
          <w:highlight w:val="none"/>
        </w:rPr>
      </w:pPr>
      <w:r>
        <w:rPr>
          <w:rFonts w:hint="eastAsia" w:ascii="宋体" w:hAnsi="宋体" w:cs="宋体"/>
          <w:highlight w:val="none"/>
        </w:rPr>
        <w:t>进场时间：</w:t>
      </w:r>
      <w:r>
        <w:rPr>
          <w:rFonts w:hint="eastAsia" w:ascii="宋体" w:hAnsi="宋体" w:cs="宋体"/>
          <w:highlight w:val="none"/>
          <w:u w:val="single"/>
        </w:rPr>
        <w:t>收到委托人通知后7天内</w:t>
      </w:r>
      <w:r>
        <w:rPr>
          <w:rFonts w:hint="eastAsia" w:ascii="宋体" w:hAnsi="宋体" w:cs="宋体"/>
          <w:highlight w:val="none"/>
        </w:rPr>
        <w:t>。</w:t>
      </w:r>
    </w:p>
    <w:p>
      <w:pPr>
        <w:spacing w:line="360" w:lineRule="auto"/>
        <w:ind w:firstLine="420" w:firstLineChars="200"/>
        <w:rPr>
          <w:rFonts w:ascii="宋体" w:hAnsi="宋体" w:cs="宋体"/>
          <w:highlight w:val="none"/>
          <w:u w:val="single"/>
        </w:rPr>
      </w:pPr>
      <w:r>
        <w:rPr>
          <w:rFonts w:hint="eastAsia" w:ascii="宋体" w:hAnsi="宋体" w:cs="宋体"/>
          <w:highlight w:val="none"/>
        </w:rPr>
        <w:t>检测服务结束时间：</w:t>
      </w:r>
      <w:r>
        <w:rPr>
          <w:rFonts w:hint="eastAsia" w:ascii="宋体" w:hAnsi="宋体" w:cs="宋体"/>
          <w:highlight w:val="none"/>
          <w:u w:val="single"/>
        </w:rPr>
        <w:t>合同约定的检测工作完成后</w:t>
      </w:r>
      <w:r>
        <w:rPr>
          <w:rFonts w:hint="eastAsia" w:ascii="宋体" w:hAnsi="宋体" w:cs="宋体"/>
          <w:highlight w:val="none"/>
        </w:rPr>
        <w:t>。</w:t>
      </w:r>
    </w:p>
    <w:p>
      <w:pPr>
        <w:spacing w:line="360" w:lineRule="auto"/>
        <w:ind w:firstLine="420" w:firstLineChars="200"/>
        <w:rPr>
          <w:rFonts w:ascii="宋体" w:hAnsi="宋体" w:cs="宋体"/>
          <w:highlight w:val="none"/>
        </w:rPr>
      </w:pPr>
      <w:bookmarkStart w:id="73" w:name="_Toc493408528"/>
      <w:r>
        <w:rPr>
          <w:rFonts w:hint="eastAsia" w:ascii="宋体" w:hAnsi="宋体" w:cs="宋体"/>
          <w:highlight w:val="none"/>
        </w:rPr>
        <w:t>5.4.4物价变动的调整办法</w:t>
      </w:r>
      <w:bookmarkEnd w:id="73"/>
    </w:p>
    <w:p>
      <w:pPr>
        <w:spacing w:line="360" w:lineRule="auto"/>
        <w:ind w:firstLine="420" w:firstLineChars="200"/>
        <w:rPr>
          <w:rFonts w:ascii="宋体" w:hAnsi="宋体" w:cs="宋体"/>
          <w:highlight w:val="none"/>
        </w:rPr>
      </w:pPr>
      <w:r>
        <w:rPr>
          <w:rFonts w:hint="eastAsia" w:ascii="宋体" w:hAnsi="宋体" w:cs="宋体"/>
          <w:highlight w:val="none"/>
          <w:u w:val="single"/>
        </w:rPr>
        <w:t>不调整</w:t>
      </w:r>
      <w:r>
        <w:rPr>
          <w:rFonts w:hint="eastAsia" w:ascii="宋体" w:hAnsi="宋体" w:cs="宋体"/>
          <w:highlight w:val="none"/>
        </w:rPr>
        <w:t>。</w:t>
      </w:r>
    </w:p>
    <w:p>
      <w:pPr>
        <w:spacing w:line="360" w:lineRule="auto"/>
        <w:ind w:firstLine="420" w:firstLineChars="200"/>
        <w:rPr>
          <w:rFonts w:ascii="宋体" w:hAnsi="宋体" w:cs="宋体"/>
          <w:highlight w:val="none"/>
        </w:rPr>
      </w:pPr>
      <w:bookmarkStart w:id="74" w:name="_Toc493408529"/>
      <w:r>
        <w:rPr>
          <w:rFonts w:hint="eastAsia" w:ascii="宋体" w:hAnsi="宋体" w:cs="宋体"/>
          <w:highlight w:val="none"/>
        </w:rPr>
        <w:t>5.5.1.3不可抗力</w:t>
      </w:r>
    </w:p>
    <w:p>
      <w:pPr>
        <w:spacing w:line="360" w:lineRule="auto"/>
        <w:ind w:firstLine="420" w:firstLineChars="200"/>
        <w:rPr>
          <w:rFonts w:ascii="宋体" w:hAnsi="宋体" w:cs="宋体"/>
          <w:highlight w:val="none"/>
        </w:rPr>
      </w:pPr>
      <w:r>
        <w:rPr>
          <w:rFonts w:hint="eastAsia" w:ascii="宋体" w:hAnsi="宋体" w:cs="宋体"/>
          <w:highlight w:val="none"/>
        </w:rPr>
        <w:t>本项目不可抗力：</w:t>
      </w:r>
      <w:r>
        <w:rPr>
          <w:rFonts w:hint="eastAsia" w:ascii="宋体" w:hAnsi="宋体" w:cs="宋体"/>
          <w:highlight w:val="none"/>
          <w:u w:val="single"/>
        </w:rPr>
        <w:t xml:space="preserve">执行通用合同条款 </w:t>
      </w:r>
      <w:r>
        <w:rPr>
          <w:rFonts w:hint="eastAsia" w:ascii="宋体" w:hAnsi="宋体" w:cs="宋体"/>
          <w:highlight w:val="none"/>
        </w:rPr>
        <w:t>。</w:t>
      </w:r>
    </w:p>
    <w:p>
      <w:pPr>
        <w:spacing w:line="360" w:lineRule="auto"/>
        <w:ind w:firstLine="422" w:firstLineChars="200"/>
        <w:rPr>
          <w:rFonts w:ascii="宋体" w:hAnsi="宋体" w:cs="宋体"/>
          <w:b/>
          <w:highlight w:val="none"/>
        </w:rPr>
      </w:pPr>
      <w:r>
        <w:rPr>
          <w:rFonts w:hint="eastAsia" w:ascii="宋体" w:hAnsi="宋体" w:cs="宋体"/>
          <w:b/>
          <w:highlight w:val="none"/>
        </w:rPr>
        <w:t>6.检测服务的费用与支付</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6.2支付</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本款修改为：</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6.2.1支付方式为：</w:t>
      </w:r>
    </w:p>
    <w:p>
      <w:pPr>
        <w:spacing w:line="360" w:lineRule="auto"/>
        <w:ind w:firstLine="420" w:firstLineChars="200"/>
        <w:rPr>
          <w:rFonts w:ascii="宋体" w:hAnsi="宋体" w:cs="宋体"/>
          <w:b/>
          <w:szCs w:val="21"/>
          <w:highlight w:val="none"/>
        </w:rPr>
      </w:pPr>
      <w:r>
        <w:rPr>
          <w:rFonts w:hint="eastAsia"/>
          <w:szCs w:val="21"/>
          <w:highlight w:val="none"/>
        </w:rPr>
        <w:t>项目为总价合同，</w:t>
      </w:r>
      <w:r>
        <w:rPr>
          <w:rFonts w:hint="eastAsia" w:ascii="宋体" w:hAnsi="宋体" w:cs="宋体"/>
          <w:b/>
          <w:bCs/>
          <w:szCs w:val="21"/>
          <w:highlight w:val="none"/>
        </w:rPr>
        <w:t>完成全部服务内容且按期提交抽核工作报告，通过发包人审核后30日内一次性结清。付款前承包人须按发包人要求提供等额发票及相关付款申请资料，否则发包人可以拒绝付款。</w:t>
      </w:r>
    </w:p>
    <w:p>
      <w:pPr>
        <w:spacing w:line="360" w:lineRule="auto"/>
        <w:ind w:firstLine="420" w:firstLineChars="200"/>
        <w:rPr>
          <w:rFonts w:ascii="宋体" w:hAnsi="宋体" w:cs="宋体"/>
          <w:highlight w:val="none"/>
        </w:rPr>
      </w:pPr>
      <w:r>
        <w:rPr>
          <w:rFonts w:hint="eastAsia" w:ascii="宋体" w:hAnsi="宋体" w:cs="宋体"/>
          <w:szCs w:val="21"/>
          <w:highlight w:val="none"/>
        </w:rPr>
        <w:t>6.2.2</w:t>
      </w:r>
      <w:r>
        <w:rPr>
          <w:rFonts w:hint="eastAsia" w:ascii="宋体" w:hAnsi="宋体" w:cs="宋体"/>
          <w:highlight w:val="none"/>
        </w:rPr>
        <w:t>本合同在合同实施过程中采用总额包干，在合同履行期间固定不变。</w:t>
      </w:r>
      <w:r>
        <w:rPr>
          <w:rFonts w:hint="eastAsia" w:ascii="宋体" w:hAnsi="宋体" w:cs="宋体"/>
          <w:b/>
          <w:szCs w:val="21"/>
          <w:highlight w:val="none"/>
        </w:rPr>
        <w:t>本项目合同价包括检测费用、人员费用、检测设备、检测设备维护、办公设备用品以及为</w:t>
      </w:r>
      <w:r>
        <w:rPr>
          <w:rFonts w:hint="eastAsia" w:ascii="宋体" w:hAnsi="宋体" w:cs="宋体"/>
          <w:b/>
          <w:szCs w:val="21"/>
          <w:highlight w:val="none"/>
          <w:lang w:val="en-GB"/>
        </w:rPr>
        <w:t>实施相关试验检测工作相关的</w:t>
      </w:r>
      <w:r>
        <w:rPr>
          <w:rFonts w:hint="eastAsia" w:ascii="宋体" w:hAnsi="宋体" w:cs="宋体"/>
          <w:b/>
          <w:szCs w:val="21"/>
          <w:highlight w:val="none"/>
        </w:rPr>
        <w:t>人员费用（含差旅费）、现场费用、交通工具及使用费、安全生产费、公司取费、法定税金、利润等与履行本合同有关的一切费用以及招标文件明示或暗示的一切风险。</w:t>
      </w:r>
    </w:p>
    <w:p>
      <w:pPr>
        <w:spacing w:line="360" w:lineRule="auto"/>
        <w:ind w:firstLine="420" w:firstLineChars="200"/>
        <w:rPr>
          <w:rFonts w:ascii="宋体" w:hAnsi="宋体" w:cs="宋体"/>
          <w:highlight w:val="none"/>
        </w:rPr>
      </w:pPr>
      <w:r>
        <w:rPr>
          <w:rFonts w:hint="eastAsia" w:ascii="宋体" w:hAnsi="宋体" w:cs="宋体"/>
          <w:szCs w:val="21"/>
          <w:highlight w:val="none"/>
        </w:rPr>
        <w:t>6.2.3</w:t>
      </w:r>
      <w:r>
        <w:rPr>
          <w:rFonts w:hint="eastAsia" w:ascii="宋体" w:hAnsi="宋体" w:cs="宋体"/>
          <w:highlight w:val="none"/>
        </w:rPr>
        <w:t>在合同实施过程中，检测工作如有推迟或延误而超过约定的服务期限，应相应延长服务期，但并不因检测服务期的延长原因调整合同总价。</w:t>
      </w:r>
    </w:p>
    <w:bookmarkEnd w:id="74"/>
    <w:p>
      <w:pPr>
        <w:spacing w:line="360" w:lineRule="auto"/>
        <w:ind w:firstLine="420" w:firstLineChars="200"/>
        <w:rPr>
          <w:rFonts w:ascii="宋体" w:hAnsi="宋体" w:cs="宋体"/>
          <w:highlight w:val="none"/>
        </w:rPr>
      </w:pPr>
      <w:bookmarkStart w:id="75" w:name="_Toc493408530"/>
      <w:r>
        <w:rPr>
          <w:rFonts w:hint="eastAsia" w:ascii="宋体" w:hAnsi="宋体" w:cs="宋体"/>
          <w:highlight w:val="none"/>
        </w:rPr>
        <w:t>6.3货币</w:t>
      </w:r>
      <w:bookmarkEnd w:id="75"/>
    </w:p>
    <w:p>
      <w:pPr>
        <w:spacing w:line="360" w:lineRule="auto"/>
        <w:ind w:firstLine="420" w:firstLineChars="200"/>
        <w:rPr>
          <w:rFonts w:ascii="宋体" w:hAnsi="宋体" w:cs="宋体"/>
          <w:highlight w:val="none"/>
        </w:rPr>
      </w:pPr>
      <w:r>
        <w:rPr>
          <w:rFonts w:hint="eastAsia" w:ascii="宋体" w:hAnsi="宋体" w:cs="宋体"/>
          <w:highlight w:val="none"/>
        </w:rPr>
        <w:t>委托人支付检测服务费用的货币种类：</w:t>
      </w:r>
      <w:r>
        <w:rPr>
          <w:rFonts w:hint="eastAsia" w:ascii="宋体" w:hAnsi="宋体" w:cs="宋体"/>
          <w:highlight w:val="none"/>
          <w:u w:val="single"/>
        </w:rPr>
        <w:t>人民币</w:t>
      </w:r>
      <w:r>
        <w:rPr>
          <w:rFonts w:hint="eastAsia" w:ascii="宋体" w:hAnsi="宋体" w:cs="宋体"/>
          <w:highlight w:val="none"/>
        </w:rPr>
        <w:t>。</w:t>
      </w:r>
    </w:p>
    <w:p>
      <w:pPr>
        <w:spacing w:line="360" w:lineRule="auto"/>
        <w:ind w:firstLine="420" w:firstLineChars="200"/>
        <w:rPr>
          <w:rFonts w:ascii="宋体" w:hAnsi="宋体" w:cs="宋体"/>
          <w:highlight w:val="none"/>
        </w:rPr>
      </w:pPr>
      <w:r>
        <w:rPr>
          <w:rFonts w:hint="eastAsia" w:ascii="宋体" w:hAnsi="宋体" w:cs="宋体"/>
          <w:highlight w:val="none"/>
        </w:rPr>
        <w:t>货币比例：</w:t>
      </w:r>
      <w:r>
        <w:rPr>
          <w:rFonts w:hint="eastAsia" w:ascii="宋体" w:hAnsi="宋体" w:cs="宋体"/>
          <w:highlight w:val="none"/>
          <w:u w:val="single"/>
        </w:rPr>
        <w:t>人民币100%</w:t>
      </w:r>
      <w:r>
        <w:rPr>
          <w:rFonts w:hint="eastAsia" w:ascii="宋体" w:hAnsi="宋体" w:cs="宋体"/>
          <w:highlight w:val="none"/>
        </w:rPr>
        <w:t xml:space="preserve">，外币（币种）% </w:t>
      </w:r>
      <w:r>
        <w:rPr>
          <w:rFonts w:hint="eastAsia" w:ascii="宋体" w:hAnsi="宋体" w:cs="宋体"/>
          <w:highlight w:val="none"/>
          <w:u w:val="single"/>
        </w:rPr>
        <w:t xml:space="preserve">：  /  </w:t>
      </w:r>
      <w:r>
        <w:rPr>
          <w:rFonts w:hint="eastAsia" w:ascii="宋体" w:hAnsi="宋体" w:cs="宋体"/>
          <w:highlight w:val="none"/>
        </w:rPr>
        <w:t>。</w:t>
      </w:r>
    </w:p>
    <w:p>
      <w:pPr>
        <w:spacing w:line="360" w:lineRule="auto"/>
        <w:ind w:firstLine="420" w:firstLineChars="200"/>
        <w:rPr>
          <w:rFonts w:ascii="宋体" w:hAnsi="宋体" w:cs="宋体"/>
          <w:highlight w:val="none"/>
        </w:rPr>
      </w:pPr>
      <w:r>
        <w:rPr>
          <w:rFonts w:hint="eastAsia" w:ascii="宋体" w:hAnsi="宋体" w:cs="宋体"/>
          <w:highlight w:val="none"/>
        </w:rPr>
        <w:t>汇率计算方法：</w:t>
      </w:r>
      <w:r>
        <w:rPr>
          <w:rFonts w:hint="eastAsia" w:ascii="宋体" w:hAnsi="宋体" w:cs="宋体"/>
          <w:highlight w:val="none"/>
          <w:u w:val="single"/>
        </w:rPr>
        <w:t xml:space="preserve">  / </w:t>
      </w:r>
      <w:r>
        <w:rPr>
          <w:rFonts w:hint="eastAsia" w:ascii="宋体" w:hAnsi="宋体" w:cs="宋体"/>
          <w:highlight w:val="none"/>
        </w:rPr>
        <w:t>。</w:t>
      </w:r>
    </w:p>
    <w:p>
      <w:pPr>
        <w:spacing w:line="360" w:lineRule="auto"/>
        <w:ind w:firstLine="422" w:firstLineChars="200"/>
        <w:rPr>
          <w:rFonts w:ascii="宋体" w:hAnsi="宋体" w:cs="宋体"/>
          <w:b/>
          <w:szCs w:val="21"/>
          <w:highlight w:val="none"/>
        </w:rPr>
      </w:pPr>
      <w:bookmarkStart w:id="76" w:name="_Toc493408531"/>
      <w:r>
        <w:rPr>
          <w:rFonts w:hint="eastAsia" w:ascii="宋体" w:hAnsi="宋体" w:cs="宋体"/>
          <w:b/>
          <w:szCs w:val="21"/>
          <w:highlight w:val="none"/>
        </w:rPr>
        <w:t>7.其它</w:t>
      </w:r>
    </w:p>
    <w:p>
      <w:pPr>
        <w:spacing w:line="360" w:lineRule="auto"/>
        <w:ind w:firstLine="420" w:firstLineChars="200"/>
        <w:rPr>
          <w:rFonts w:ascii="宋体" w:hAnsi="宋体" w:cs="宋体"/>
          <w:highlight w:val="none"/>
        </w:rPr>
      </w:pPr>
      <w:r>
        <w:rPr>
          <w:rFonts w:hint="eastAsia" w:ascii="宋体" w:hAnsi="宋体" w:cs="宋体"/>
          <w:highlight w:val="none"/>
        </w:rPr>
        <w:t>7.2语言和法律</w:t>
      </w:r>
      <w:bookmarkEnd w:id="76"/>
    </w:p>
    <w:p>
      <w:pPr>
        <w:spacing w:line="360" w:lineRule="auto"/>
        <w:ind w:firstLine="420" w:firstLineChars="200"/>
        <w:rPr>
          <w:rFonts w:ascii="宋体" w:hAnsi="宋体" w:cs="宋体"/>
          <w:highlight w:val="none"/>
        </w:rPr>
      </w:pPr>
      <w:r>
        <w:rPr>
          <w:rFonts w:hint="eastAsia" w:ascii="宋体" w:hAnsi="宋体" w:cs="宋体"/>
          <w:highlight w:val="none"/>
        </w:rPr>
        <w:t>检测合同的主导语言：</w:t>
      </w:r>
      <w:r>
        <w:rPr>
          <w:rFonts w:hint="eastAsia" w:ascii="宋体" w:hAnsi="宋体" w:cs="宋体"/>
          <w:highlight w:val="none"/>
          <w:u w:val="single"/>
        </w:rPr>
        <w:t xml:space="preserve">中文 </w:t>
      </w:r>
      <w:r>
        <w:rPr>
          <w:rFonts w:hint="eastAsia" w:ascii="宋体" w:hAnsi="宋体" w:cs="宋体"/>
          <w:highlight w:val="none"/>
        </w:rPr>
        <w:t>。</w:t>
      </w:r>
    </w:p>
    <w:p>
      <w:pPr>
        <w:spacing w:line="360" w:lineRule="auto"/>
        <w:ind w:firstLine="420" w:firstLineChars="200"/>
        <w:rPr>
          <w:rFonts w:ascii="宋体" w:hAnsi="宋体" w:cs="宋体"/>
          <w:highlight w:val="none"/>
        </w:rPr>
      </w:pPr>
      <w:r>
        <w:rPr>
          <w:rFonts w:hint="eastAsia" w:ascii="宋体" w:hAnsi="宋体" w:cs="宋体"/>
          <w:highlight w:val="none"/>
        </w:rPr>
        <w:t>检测合同所遵循的法律：</w:t>
      </w:r>
      <w:r>
        <w:rPr>
          <w:rFonts w:hint="eastAsia" w:ascii="宋体" w:hAnsi="宋体" w:cs="宋体"/>
          <w:highlight w:val="none"/>
          <w:u w:val="single"/>
        </w:rPr>
        <w:t>中华人民共和国各级政府和部门颁布的相关法律法规</w:t>
      </w:r>
      <w:r>
        <w:rPr>
          <w:rFonts w:hint="eastAsia" w:ascii="宋体" w:hAnsi="宋体" w:cs="宋体"/>
          <w:highlight w:val="none"/>
        </w:rPr>
        <w:t>。</w:t>
      </w:r>
    </w:p>
    <w:p>
      <w:pPr>
        <w:spacing w:line="360" w:lineRule="auto"/>
        <w:ind w:firstLine="420" w:firstLineChars="200"/>
        <w:rPr>
          <w:rFonts w:ascii="宋体" w:hAnsi="宋体" w:cs="宋体"/>
          <w:highlight w:val="none"/>
        </w:rPr>
      </w:pPr>
      <w:bookmarkStart w:id="77" w:name="_Toc493408533"/>
      <w:r>
        <w:rPr>
          <w:rFonts w:hint="eastAsia" w:ascii="宋体" w:hAnsi="宋体" w:cs="宋体"/>
          <w:highlight w:val="none"/>
        </w:rPr>
        <w:t>7.5.2版权</w:t>
      </w:r>
      <w:bookmarkEnd w:id="77"/>
    </w:p>
    <w:p>
      <w:pPr>
        <w:spacing w:line="360" w:lineRule="auto"/>
        <w:ind w:firstLine="420" w:firstLineChars="200"/>
        <w:rPr>
          <w:rFonts w:ascii="宋体" w:hAnsi="宋体" w:cs="宋体"/>
          <w:highlight w:val="none"/>
        </w:rPr>
      </w:pPr>
      <w:r>
        <w:rPr>
          <w:rFonts w:hint="eastAsia" w:ascii="宋体" w:hAnsi="宋体" w:cs="宋体"/>
          <w:highlight w:val="none"/>
        </w:rPr>
        <w:t>发包人就本项目试验检测而向试验检测人提供的成果为发包人所拥有。试验检测人因受发包人委托进行的本项目试验检测而产生的成果均为双方共同享有，其中任何一方向第三方转让时须经另一方同意，但若发包人因推行本项目的需要向第三方透露检测成果，则无须经过试验检测人的同意。</w:t>
      </w:r>
    </w:p>
    <w:p>
      <w:pPr>
        <w:spacing w:line="360" w:lineRule="auto"/>
        <w:ind w:firstLine="420" w:firstLineChars="200"/>
        <w:rPr>
          <w:rFonts w:ascii="宋体" w:hAnsi="宋体" w:cs="宋体"/>
          <w:highlight w:val="none"/>
        </w:rPr>
      </w:pPr>
      <w:r>
        <w:rPr>
          <w:rFonts w:hint="eastAsia" w:ascii="宋体" w:hAnsi="宋体" w:cs="宋体"/>
          <w:highlight w:val="none"/>
        </w:rPr>
        <w:t>本款末增加：</w:t>
      </w:r>
    </w:p>
    <w:p>
      <w:pPr>
        <w:spacing w:line="360" w:lineRule="auto"/>
        <w:ind w:firstLine="420" w:firstLineChars="200"/>
        <w:rPr>
          <w:rFonts w:ascii="宋体" w:hAnsi="宋体" w:cs="宋体"/>
          <w:highlight w:val="none"/>
        </w:rPr>
      </w:pPr>
      <w:r>
        <w:rPr>
          <w:rFonts w:hint="eastAsia" w:ascii="宋体" w:hAnsi="宋体" w:cs="宋体"/>
          <w:highlight w:val="none"/>
        </w:rPr>
        <w:t>7.8</w:t>
      </w:r>
      <w:r>
        <w:rPr>
          <w:rFonts w:hint="eastAsia" w:ascii="宋体" w:hAnsi="宋体" w:cs="宋体"/>
          <w:kern w:val="0"/>
          <w:szCs w:val="21"/>
          <w:highlight w:val="none"/>
        </w:rPr>
        <w:t>承包人对所有技术方法的完备性、稳定性和安全性承担全部责任，对其所有工作人员工作中的失误、疏忽、玩忽职守承担全部责任。</w:t>
      </w:r>
    </w:p>
    <w:p>
      <w:pPr>
        <w:widowControl/>
        <w:spacing w:line="360" w:lineRule="auto"/>
        <w:ind w:firstLine="420" w:firstLineChars="200"/>
        <w:rPr>
          <w:rFonts w:ascii="宋体" w:hAnsi="宋体" w:cs="宋体"/>
          <w:kern w:val="0"/>
          <w:szCs w:val="21"/>
          <w:highlight w:val="none"/>
        </w:rPr>
      </w:pPr>
      <w:r>
        <w:rPr>
          <w:rFonts w:hint="eastAsia" w:ascii="宋体" w:hAnsi="宋体" w:cs="宋体"/>
          <w:kern w:val="0"/>
          <w:szCs w:val="21"/>
          <w:highlight w:val="none"/>
        </w:rPr>
        <w:t>7.</w:t>
      </w:r>
      <w:r>
        <w:rPr>
          <w:rFonts w:hint="eastAsia" w:ascii="宋体" w:hAnsi="宋体" w:cs="宋体"/>
          <w:kern w:val="0"/>
          <w:szCs w:val="21"/>
          <w:highlight w:val="none"/>
          <w:lang w:val="en-US" w:eastAsia="zh-CN"/>
        </w:rPr>
        <w:t>9</w:t>
      </w:r>
      <w:r>
        <w:rPr>
          <w:rFonts w:hint="eastAsia" w:ascii="宋体" w:hAnsi="宋体" w:cs="宋体"/>
          <w:kern w:val="0"/>
          <w:szCs w:val="21"/>
          <w:highlight w:val="none"/>
        </w:rPr>
        <w:t>承包人如需查阅本工程的有关设计文件、技术经济资料，应征得委托人同意。</w:t>
      </w:r>
    </w:p>
    <w:p>
      <w:pPr>
        <w:spacing w:line="360" w:lineRule="auto"/>
        <w:ind w:firstLine="422" w:firstLineChars="200"/>
        <w:rPr>
          <w:rFonts w:ascii="宋体" w:hAnsi="宋体" w:cs="宋体"/>
          <w:b/>
          <w:highlight w:val="none"/>
        </w:rPr>
      </w:pPr>
      <w:bookmarkStart w:id="78" w:name="_Toc493408534"/>
      <w:r>
        <w:rPr>
          <w:rFonts w:hint="eastAsia" w:ascii="宋体" w:hAnsi="宋体" w:cs="宋体"/>
          <w:b/>
          <w:highlight w:val="none"/>
        </w:rPr>
        <w:t>8争端的解决</w:t>
      </w:r>
      <w:bookmarkEnd w:id="78"/>
    </w:p>
    <w:p>
      <w:pPr>
        <w:spacing w:line="360" w:lineRule="auto"/>
        <w:ind w:firstLine="420" w:firstLineChars="200"/>
        <w:rPr>
          <w:rFonts w:ascii="宋体" w:hAnsi="宋体" w:cs="宋体"/>
          <w:highlight w:val="none"/>
        </w:rPr>
      </w:pPr>
      <w:r>
        <w:rPr>
          <w:rFonts w:hint="eastAsia" w:ascii="宋体" w:hAnsi="宋体" w:cs="宋体"/>
          <w:highlight w:val="none"/>
        </w:rPr>
        <w:t>双方在此约定：对合同执行过程中的争端最终由</w:t>
      </w:r>
      <w:r>
        <w:rPr>
          <w:rFonts w:hint="eastAsia" w:ascii="宋体" w:hAnsi="宋体" w:cs="宋体"/>
          <w:highlight w:val="none"/>
          <w:u w:val="single"/>
        </w:rPr>
        <w:t>南通仲裁委员会</w:t>
      </w:r>
      <w:r>
        <w:rPr>
          <w:rFonts w:hint="eastAsia" w:ascii="宋体" w:hAnsi="宋体" w:cs="宋体"/>
          <w:highlight w:val="none"/>
        </w:rPr>
        <w:t>仲裁解决。</w:t>
      </w:r>
    </w:p>
    <w:p>
      <w:pPr>
        <w:spacing w:line="360" w:lineRule="auto"/>
        <w:ind w:firstLine="422" w:firstLineChars="200"/>
        <w:rPr>
          <w:rFonts w:ascii="宋体" w:hAnsi="宋体" w:cs="宋体"/>
          <w:b/>
          <w:highlight w:val="none"/>
        </w:rPr>
      </w:pPr>
      <w:r>
        <w:rPr>
          <w:rFonts w:hint="eastAsia" w:ascii="宋体" w:hAnsi="宋体" w:cs="宋体"/>
          <w:b/>
          <w:highlight w:val="none"/>
        </w:rPr>
        <w:t>9补充条款：无。</w:t>
      </w:r>
    </w:p>
    <w:p>
      <w:pPr>
        <w:spacing w:line="360" w:lineRule="auto"/>
        <w:ind w:firstLine="420" w:firstLineChars="200"/>
        <w:rPr>
          <w:rFonts w:ascii="Garamond" w:hAnsi="Garamond"/>
          <w:szCs w:val="21"/>
          <w:highlight w:val="none"/>
        </w:rPr>
      </w:pPr>
    </w:p>
    <w:p>
      <w:pPr>
        <w:spacing w:line="300" w:lineRule="auto"/>
        <w:rPr>
          <w:rFonts w:ascii="Garamond" w:hAnsi="Garamond"/>
          <w:szCs w:val="21"/>
          <w:highlight w:val="none"/>
        </w:rPr>
        <w:sectPr>
          <w:footerReference r:id="rId9" w:type="even"/>
          <w:pgSz w:w="11906" w:h="16838"/>
          <w:pgMar w:top="1417" w:right="1247" w:bottom="1417" w:left="1417" w:header="851" w:footer="680" w:gutter="0"/>
          <w:cols w:space="0" w:num="1"/>
          <w:docGrid w:linePitch="312" w:charSpace="0"/>
        </w:sectPr>
      </w:pPr>
    </w:p>
    <w:p>
      <w:pPr>
        <w:pStyle w:val="3"/>
        <w:jc w:val="center"/>
        <w:rPr>
          <w:rFonts w:ascii="Garamond" w:hAnsi="Garamond"/>
          <w:highlight w:val="none"/>
        </w:rPr>
      </w:pPr>
      <w:r>
        <w:rPr>
          <w:rFonts w:ascii="Garamond" w:hAnsi="Garamond"/>
          <w:highlight w:val="none"/>
        </w:rPr>
        <w:t>第三节  合同附件格式</w:t>
      </w:r>
    </w:p>
    <w:p>
      <w:pPr>
        <w:spacing w:line="300" w:lineRule="auto"/>
        <w:rPr>
          <w:rFonts w:eastAsia="黑体"/>
          <w:b/>
          <w:sz w:val="24"/>
          <w:highlight w:val="none"/>
        </w:rPr>
      </w:pPr>
      <w:r>
        <w:rPr>
          <w:rFonts w:eastAsia="黑体"/>
          <w:b/>
          <w:sz w:val="24"/>
          <w:highlight w:val="none"/>
        </w:rPr>
        <w:t>附件一： 合同协议书</w:t>
      </w:r>
    </w:p>
    <w:p>
      <w:pPr>
        <w:spacing w:after="120" w:afterLines="50" w:line="360" w:lineRule="auto"/>
        <w:ind w:firstLine="562" w:firstLineChars="200"/>
        <w:jc w:val="center"/>
        <w:rPr>
          <w:b/>
          <w:sz w:val="28"/>
          <w:szCs w:val="28"/>
          <w:highlight w:val="none"/>
        </w:rPr>
      </w:pPr>
      <w:r>
        <w:rPr>
          <w:b/>
          <w:sz w:val="28"/>
          <w:szCs w:val="28"/>
          <w:highlight w:val="none"/>
        </w:rPr>
        <w:t>合同协议书</w:t>
      </w:r>
    </w:p>
    <w:p>
      <w:pPr>
        <w:spacing w:line="360" w:lineRule="auto"/>
        <w:ind w:firstLine="492" w:firstLineChars="200"/>
        <w:rPr>
          <w:rFonts w:ascii="宋体" w:hAnsi="宋体" w:cs="宋体"/>
          <w:szCs w:val="21"/>
          <w:highlight w:val="none"/>
        </w:rPr>
      </w:pPr>
      <w:r>
        <w:rPr>
          <w:rFonts w:hint="eastAsia" w:ascii="宋体" w:hAnsi="宋体" w:cs="宋体"/>
          <w:spacing w:val="18"/>
          <w:szCs w:val="21"/>
          <w:highlight w:val="none"/>
        </w:rPr>
        <w:t>本协议书由</w:t>
      </w:r>
      <w:r>
        <w:rPr>
          <w:rFonts w:hint="eastAsia" w:ascii="宋体" w:hAnsi="宋体" w:cs="宋体"/>
          <w:spacing w:val="18"/>
          <w:szCs w:val="21"/>
          <w:highlight w:val="none"/>
          <w:u w:val="single"/>
        </w:rPr>
        <w:t>南通市公路事业发展中心（委托人全称）</w:t>
      </w:r>
      <w:r>
        <w:rPr>
          <w:rFonts w:hint="eastAsia" w:ascii="宋体" w:hAnsi="宋体" w:cs="宋体"/>
          <w:spacing w:val="18"/>
          <w:szCs w:val="21"/>
          <w:highlight w:val="none"/>
        </w:rPr>
        <w:t>(以下简称“委托人”)</w:t>
      </w:r>
      <w:r>
        <w:rPr>
          <w:rFonts w:hint="eastAsia" w:ascii="宋体" w:hAnsi="宋体" w:cs="宋体"/>
          <w:szCs w:val="21"/>
          <w:highlight w:val="none"/>
        </w:rPr>
        <w:t>与</w:t>
      </w:r>
      <w:r>
        <w:rPr>
          <w:rFonts w:hint="eastAsia" w:ascii="宋体" w:hAnsi="宋体" w:cs="宋体"/>
          <w:szCs w:val="21"/>
          <w:highlight w:val="none"/>
          <w:u w:val="single"/>
        </w:rPr>
        <w:t>（受托人全称）</w:t>
      </w:r>
      <w:r>
        <w:rPr>
          <w:rFonts w:hint="eastAsia" w:ascii="宋体" w:hAnsi="宋体" w:cs="宋体"/>
          <w:szCs w:val="21"/>
          <w:highlight w:val="none"/>
        </w:rPr>
        <w:t>(以下简称“受托人”)为另一方共同订立。</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鉴于委托人已委托受托人为</w:t>
      </w:r>
      <w:r>
        <w:rPr>
          <w:rFonts w:hint="eastAsia" w:ascii="宋体" w:hAnsi="宋体" w:cs="宋体"/>
          <w:szCs w:val="21"/>
          <w:highlight w:val="none"/>
          <w:u w:val="single"/>
        </w:rPr>
        <w:t>2024年南通市农村公路路面技术状况自动化检评数据市级抽核项目2024NLJCFH合同段</w:t>
      </w:r>
      <w:r>
        <w:rPr>
          <w:rFonts w:hint="eastAsia" w:ascii="宋体" w:hAnsi="宋体" w:cs="宋体"/>
          <w:szCs w:val="21"/>
          <w:highlight w:val="none"/>
        </w:rPr>
        <w:t>提供检测服务，并已接受了受托人就此提出的投标文件，为明确双方在合同期间的义务、责任、权力和利益，兹就以下事项达成协议：</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一、本协议书中的词句和用语与通用合同条款中规定的定义相同。</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二、下列文件是本协议书的组成部分，应作为协议书的有效内容予以遵守和执行。下列文件将互相补充，若有不明确或不一致之处，应按时间顺序以最后编写或双方最后确认的文件为准。</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1、合同协议书及附件；</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2、中标通知书；</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3、</w:t>
      </w:r>
      <w:r>
        <w:rPr>
          <w:rFonts w:hint="eastAsia" w:ascii="宋体" w:hAnsi="宋体" w:cs="宋体"/>
          <w:kern w:val="0"/>
          <w:szCs w:val="21"/>
          <w:highlight w:val="none"/>
        </w:rPr>
        <w:t>投标</w:t>
      </w:r>
      <w:r>
        <w:rPr>
          <w:rFonts w:hint="eastAsia" w:ascii="宋体" w:hAnsi="宋体" w:cs="宋体"/>
          <w:spacing w:val="-1"/>
          <w:kern w:val="0"/>
          <w:szCs w:val="21"/>
          <w:highlight w:val="none"/>
        </w:rPr>
        <w:t>函</w:t>
      </w:r>
      <w:r>
        <w:rPr>
          <w:rFonts w:hint="eastAsia" w:ascii="宋体" w:hAnsi="宋体" w:cs="宋体"/>
          <w:kern w:val="0"/>
          <w:szCs w:val="21"/>
          <w:highlight w:val="none"/>
        </w:rPr>
        <w:t>及投标函附录；</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4、专用合同条款；</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5、通用合同条款；</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6、技术标准和要求；</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7、标价的工程量清单；</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8、在本专用合同条款中可能规定的构成本合同组成部分的其他文件。</w:t>
      </w:r>
    </w:p>
    <w:p>
      <w:pPr>
        <w:spacing w:line="360" w:lineRule="auto"/>
        <w:ind w:firstLine="420" w:firstLineChars="200"/>
        <w:rPr>
          <w:szCs w:val="21"/>
          <w:highlight w:val="none"/>
        </w:rPr>
      </w:pPr>
      <w:r>
        <w:rPr>
          <w:rFonts w:hint="eastAsia"/>
          <w:szCs w:val="21"/>
          <w:highlight w:val="none"/>
        </w:rPr>
        <w:t>三、项目负责人为</w:t>
      </w:r>
      <w:r>
        <w:rPr>
          <w:rFonts w:hint="eastAsia"/>
          <w:szCs w:val="21"/>
          <w:highlight w:val="none"/>
          <w:u w:val="single"/>
        </w:rPr>
        <w:t xml:space="preserve">              ，联系电话：              </w:t>
      </w:r>
      <w:r>
        <w:rPr>
          <w:rFonts w:hint="eastAsia"/>
          <w:szCs w:val="21"/>
          <w:highlight w:val="none"/>
        </w:rPr>
        <w:t>。</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四、本合同计划服务期：计划2024年10月开工，2024年11月25日前完工。</w:t>
      </w:r>
    </w:p>
    <w:p>
      <w:pPr>
        <w:spacing w:line="360" w:lineRule="auto"/>
        <w:ind w:firstLine="420" w:firstLineChars="200"/>
        <w:rPr>
          <w:szCs w:val="21"/>
          <w:highlight w:val="none"/>
        </w:rPr>
      </w:pPr>
      <w:r>
        <w:rPr>
          <w:rFonts w:hint="eastAsia"/>
          <w:szCs w:val="21"/>
          <w:highlight w:val="none"/>
        </w:rPr>
        <w:t>五、本项目为总价合同，合同总价为（大写）</w:t>
      </w:r>
      <w:r>
        <w:rPr>
          <w:rFonts w:hint="eastAsia"/>
          <w:szCs w:val="21"/>
          <w:highlight w:val="none"/>
          <w:u w:val="single"/>
        </w:rPr>
        <w:t xml:space="preserve">  元整(￥   )</w:t>
      </w:r>
      <w:r>
        <w:rPr>
          <w:rFonts w:hint="eastAsia"/>
          <w:szCs w:val="21"/>
          <w:highlight w:val="none"/>
        </w:rPr>
        <w:t>。</w:t>
      </w:r>
    </w:p>
    <w:p>
      <w:pPr>
        <w:spacing w:line="360" w:lineRule="auto"/>
        <w:ind w:firstLine="420" w:firstLineChars="200"/>
        <w:rPr>
          <w:szCs w:val="21"/>
          <w:highlight w:val="none"/>
        </w:rPr>
      </w:pPr>
      <w:r>
        <w:rPr>
          <w:rFonts w:hint="eastAsia"/>
          <w:szCs w:val="21"/>
          <w:highlight w:val="none"/>
        </w:rPr>
        <w:t>六、</w:t>
      </w:r>
      <w:r>
        <w:rPr>
          <w:szCs w:val="21"/>
          <w:highlight w:val="none"/>
        </w:rPr>
        <w:t>委托人在此同意按照本检测合同规定的期限和方式，向</w:t>
      </w:r>
      <w:r>
        <w:rPr>
          <w:rFonts w:hint="eastAsia"/>
          <w:szCs w:val="21"/>
          <w:highlight w:val="none"/>
        </w:rPr>
        <w:t>受托人</w:t>
      </w:r>
      <w:r>
        <w:rPr>
          <w:szCs w:val="21"/>
          <w:highlight w:val="none"/>
        </w:rPr>
        <w:t>支付根据检测合同规定应支付的费用和提供检测工作条件。</w:t>
      </w:r>
    </w:p>
    <w:p>
      <w:pPr>
        <w:spacing w:line="360" w:lineRule="auto"/>
        <w:ind w:firstLine="420" w:firstLineChars="200"/>
        <w:rPr>
          <w:szCs w:val="21"/>
          <w:highlight w:val="none"/>
        </w:rPr>
      </w:pPr>
      <w:r>
        <w:rPr>
          <w:rFonts w:hint="eastAsia"/>
          <w:szCs w:val="21"/>
          <w:highlight w:val="none"/>
        </w:rPr>
        <w:t>支付方式：</w:t>
      </w:r>
      <w:r>
        <w:rPr>
          <w:rFonts w:hint="eastAsia" w:ascii="宋体" w:hAnsi="宋体" w:cs="宋体"/>
          <w:highlight w:val="none"/>
        </w:rPr>
        <w:t>全部工作完成后，提供符合要求的成果并通过委托人审核后一个月内结清。以上均不计利息。本项目为总价合同。完成全部服务内容且按期提交抽核工作报告，通过发包人审核后30日内一次性结清。付款前承包人须按发包人要求提供等额发票及相关付款申请资料，否则发包人可以拒绝付款。</w:t>
      </w:r>
    </w:p>
    <w:p>
      <w:pPr>
        <w:spacing w:line="360" w:lineRule="auto"/>
        <w:ind w:firstLine="420" w:firstLineChars="200"/>
        <w:rPr>
          <w:szCs w:val="21"/>
          <w:highlight w:val="none"/>
        </w:rPr>
      </w:pPr>
      <w:r>
        <w:rPr>
          <w:rFonts w:hint="eastAsia"/>
          <w:szCs w:val="21"/>
          <w:highlight w:val="none"/>
        </w:rPr>
        <w:t>七</w:t>
      </w:r>
      <w:r>
        <w:rPr>
          <w:szCs w:val="21"/>
          <w:highlight w:val="none"/>
        </w:rPr>
        <w:t>、</w:t>
      </w:r>
      <w:r>
        <w:rPr>
          <w:rFonts w:hint="eastAsia"/>
          <w:szCs w:val="21"/>
          <w:highlight w:val="none"/>
        </w:rPr>
        <w:t>受托人</w:t>
      </w:r>
      <w:r>
        <w:rPr>
          <w:szCs w:val="21"/>
          <w:highlight w:val="none"/>
        </w:rPr>
        <w:t>基于委托人的上述保证，在此向委托人承诺按照本检测合同的规定履行检测服务。</w:t>
      </w:r>
    </w:p>
    <w:p>
      <w:pPr>
        <w:spacing w:line="360" w:lineRule="auto"/>
        <w:ind w:firstLine="420" w:firstLineChars="200"/>
        <w:rPr>
          <w:szCs w:val="21"/>
          <w:highlight w:val="none"/>
        </w:rPr>
      </w:pPr>
      <w:r>
        <w:rPr>
          <w:rFonts w:hint="eastAsia"/>
          <w:szCs w:val="21"/>
          <w:highlight w:val="none"/>
        </w:rPr>
        <w:t>八</w:t>
      </w:r>
      <w:r>
        <w:rPr>
          <w:szCs w:val="21"/>
          <w:highlight w:val="none"/>
        </w:rPr>
        <w:t>、本协议书经双方签字盖章</w:t>
      </w:r>
      <w:r>
        <w:rPr>
          <w:rFonts w:hint="eastAsia"/>
          <w:szCs w:val="21"/>
          <w:highlight w:val="none"/>
        </w:rPr>
        <w:t>后立即</w:t>
      </w:r>
      <w:r>
        <w:rPr>
          <w:szCs w:val="21"/>
          <w:highlight w:val="none"/>
        </w:rPr>
        <w:t>生效，至双方按照检测合同的规定履行完各自的义务和责任后自然失效。</w:t>
      </w:r>
    </w:p>
    <w:p>
      <w:pPr>
        <w:spacing w:line="360" w:lineRule="auto"/>
        <w:ind w:firstLine="420" w:firstLineChars="200"/>
        <w:rPr>
          <w:rFonts w:ascii="宋体" w:hAnsi="宋体" w:cs="宋体"/>
          <w:szCs w:val="21"/>
          <w:highlight w:val="none"/>
        </w:rPr>
      </w:pPr>
      <w:r>
        <w:rPr>
          <w:rFonts w:hint="eastAsia"/>
          <w:szCs w:val="21"/>
          <w:highlight w:val="none"/>
        </w:rPr>
        <w:t>九</w:t>
      </w:r>
      <w:r>
        <w:rPr>
          <w:szCs w:val="21"/>
          <w:highlight w:val="none"/>
        </w:rPr>
        <w:t>、</w:t>
      </w:r>
      <w:r>
        <w:rPr>
          <w:rFonts w:hint="eastAsia"/>
          <w:szCs w:val="21"/>
          <w:highlight w:val="none"/>
        </w:rPr>
        <w:t>本合同一式陆份，由发包人和承包人各执叁份</w:t>
      </w:r>
      <w:r>
        <w:rPr>
          <w:szCs w:val="21"/>
          <w:highlight w:val="none"/>
        </w:rPr>
        <w:t>。</w:t>
      </w:r>
    </w:p>
    <w:p>
      <w:pPr>
        <w:spacing w:after="120" w:afterLines="50" w:line="360" w:lineRule="auto"/>
        <w:ind w:firstLine="420" w:firstLineChars="200"/>
        <w:rPr>
          <w:rFonts w:ascii="宋体" w:hAnsi="宋体" w:cs="宋体"/>
          <w:szCs w:val="21"/>
          <w:highlight w:val="none"/>
        </w:rPr>
      </w:pPr>
    </w:p>
    <w:p>
      <w:pPr>
        <w:spacing w:after="120" w:afterLines="50" w:line="360" w:lineRule="auto"/>
        <w:rPr>
          <w:szCs w:val="21"/>
          <w:highlight w:val="none"/>
          <w:u w:val="single"/>
        </w:rPr>
      </w:pPr>
      <w:r>
        <w:rPr>
          <w:szCs w:val="21"/>
          <w:highlight w:val="none"/>
        </w:rPr>
        <w:t>委托人:</w:t>
      </w:r>
      <w:r>
        <w:rPr>
          <w:szCs w:val="21"/>
          <w:highlight w:val="none"/>
          <w:u w:val="single"/>
        </w:rPr>
        <w:t xml:space="preserve"> （全称） （盖章）  </w:t>
      </w:r>
      <w:r>
        <w:rPr>
          <w:szCs w:val="21"/>
          <w:highlight w:val="none"/>
        </w:rPr>
        <w:t xml:space="preserve">　    　 </w:t>
      </w:r>
      <w:r>
        <w:rPr>
          <w:rFonts w:hint="eastAsia"/>
          <w:szCs w:val="21"/>
          <w:highlight w:val="none"/>
        </w:rPr>
        <w:t xml:space="preserve">       受托人</w:t>
      </w:r>
      <w:r>
        <w:rPr>
          <w:szCs w:val="21"/>
          <w:highlight w:val="none"/>
        </w:rPr>
        <w:t>:</w:t>
      </w:r>
      <w:r>
        <w:rPr>
          <w:szCs w:val="21"/>
          <w:highlight w:val="none"/>
          <w:u w:val="single"/>
        </w:rPr>
        <w:t xml:space="preserve"> （全称） （盖章）</w:t>
      </w:r>
    </w:p>
    <w:p>
      <w:pPr>
        <w:spacing w:line="360" w:lineRule="auto"/>
        <w:ind w:right="468"/>
        <w:jc w:val="left"/>
        <w:rPr>
          <w:szCs w:val="21"/>
          <w:highlight w:val="none"/>
          <w:u w:val="single"/>
        </w:rPr>
      </w:pPr>
      <w:r>
        <w:rPr>
          <w:szCs w:val="21"/>
          <w:highlight w:val="none"/>
        </w:rPr>
        <w:t>法定代表人或其委托代理人：</w:t>
      </w:r>
      <w:r>
        <w:rPr>
          <w:szCs w:val="21"/>
          <w:highlight w:val="none"/>
          <w:u w:val="single"/>
        </w:rPr>
        <w:t>（签字）</w:t>
      </w:r>
      <w:r>
        <w:rPr>
          <w:rFonts w:hint="eastAsia"/>
          <w:szCs w:val="21"/>
          <w:highlight w:val="none"/>
          <w:u w:val="single"/>
        </w:rPr>
        <w:t xml:space="preserve">         </w:t>
      </w:r>
      <w:r>
        <w:rPr>
          <w:szCs w:val="21"/>
          <w:highlight w:val="none"/>
        </w:rPr>
        <w:t>法定代表人或其委托代理人：</w:t>
      </w:r>
      <w:r>
        <w:rPr>
          <w:szCs w:val="21"/>
          <w:highlight w:val="none"/>
          <w:u w:val="single"/>
        </w:rPr>
        <w:t>（签字）</w:t>
      </w:r>
    </w:p>
    <w:p>
      <w:pPr>
        <w:tabs>
          <w:tab w:val="left" w:pos="4395"/>
          <w:tab w:val="left" w:pos="4678"/>
          <w:tab w:val="left" w:pos="4820"/>
        </w:tabs>
        <w:spacing w:line="360" w:lineRule="auto"/>
        <w:ind w:firstLine="1199" w:firstLineChars="571"/>
        <w:rPr>
          <w:szCs w:val="21"/>
          <w:highlight w:val="none"/>
        </w:rPr>
      </w:pPr>
      <w:r>
        <w:rPr>
          <w:szCs w:val="21"/>
          <w:highlight w:val="none"/>
        </w:rPr>
        <w:t xml:space="preserve">年月日  </w:t>
      </w:r>
      <w:r>
        <w:rPr>
          <w:rFonts w:hint="eastAsia"/>
          <w:szCs w:val="21"/>
          <w:highlight w:val="none"/>
        </w:rPr>
        <w:t xml:space="preserve">                                          </w:t>
      </w:r>
      <w:r>
        <w:rPr>
          <w:szCs w:val="21"/>
          <w:highlight w:val="none"/>
        </w:rPr>
        <w:t xml:space="preserve"> 年月日</w:t>
      </w:r>
    </w:p>
    <w:p>
      <w:pPr>
        <w:tabs>
          <w:tab w:val="left" w:pos="4395"/>
          <w:tab w:val="left" w:pos="4678"/>
          <w:tab w:val="left" w:pos="4820"/>
        </w:tabs>
        <w:spacing w:line="360" w:lineRule="auto"/>
        <w:rPr>
          <w:rFonts w:ascii="宋体" w:hAnsi="宋体" w:cs="宋体"/>
          <w:szCs w:val="21"/>
          <w:highlight w:val="none"/>
        </w:rPr>
      </w:pPr>
    </w:p>
    <w:p>
      <w:pPr>
        <w:tabs>
          <w:tab w:val="left" w:pos="4395"/>
          <w:tab w:val="left" w:pos="4678"/>
          <w:tab w:val="left" w:pos="4820"/>
        </w:tabs>
        <w:spacing w:line="360" w:lineRule="auto"/>
        <w:rPr>
          <w:rFonts w:ascii="宋体" w:hAnsi="宋体" w:cs="宋体"/>
          <w:szCs w:val="21"/>
          <w:highlight w:val="none"/>
        </w:rPr>
      </w:pPr>
    </w:p>
    <w:p>
      <w:pPr>
        <w:tabs>
          <w:tab w:val="left" w:pos="4395"/>
          <w:tab w:val="left" w:pos="4678"/>
          <w:tab w:val="left" w:pos="4820"/>
        </w:tabs>
        <w:spacing w:line="360" w:lineRule="auto"/>
        <w:rPr>
          <w:rFonts w:ascii="宋体" w:hAnsi="宋体" w:cs="宋体"/>
          <w:szCs w:val="21"/>
          <w:highlight w:val="none"/>
        </w:rPr>
      </w:pPr>
    </w:p>
    <w:p>
      <w:pPr>
        <w:tabs>
          <w:tab w:val="left" w:pos="4395"/>
          <w:tab w:val="left" w:pos="4678"/>
          <w:tab w:val="left" w:pos="4820"/>
        </w:tabs>
        <w:spacing w:line="360" w:lineRule="auto"/>
        <w:rPr>
          <w:rFonts w:ascii="宋体" w:hAnsi="宋体" w:cs="宋体"/>
          <w:szCs w:val="21"/>
          <w:highlight w:val="none"/>
        </w:rPr>
      </w:pPr>
    </w:p>
    <w:p>
      <w:pPr>
        <w:tabs>
          <w:tab w:val="left" w:pos="4395"/>
          <w:tab w:val="left" w:pos="4678"/>
          <w:tab w:val="left" w:pos="4820"/>
        </w:tabs>
        <w:spacing w:line="360" w:lineRule="auto"/>
        <w:rPr>
          <w:rFonts w:ascii="宋体" w:hAnsi="宋体" w:cs="宋体"/>
          <w:szCs w:val="21"/>
          <w:highlight w:val="none"/>
        </w:rPr>
      </w:pPr>
    </w:p>
    <w:p>
      <w:pPr>
        <w:tabs>
          <w:tab w:val="left" w:pos="4395"/>
          <w:tab w:val="left" w:pos="4678"/>
          <w:tab w:val="left" w:pos="4820"/>
        </w:tabs>
        <w:spacing w:line="360" w:lineRule="auto"/>
        <w:rPr>
          <w:rFonts w:ascii="宋体" w:hAnsi="宋体" w:cs="宋体"/>
          <w:szCs w:val="21"/>
          <w:highlight w:val="none"/>
        </w:rPr>
      </w:pPr>
    </w:p>
    <w:p>
      <w:pPr>
        <w:tabs>
          <w:tab w:val="left" w:pos="4395"/>
          <w:tab w:val="left" w:pos="4678"/>
          <w:tab w:val="left" w:pos="4820"/>
        </w:tabs>
        <w:spacing w:line="360" w:lineRule="auto"/>
        <w:rPr>
          <w:rFonts w:ascii="宋体" w:hAnsi="宋体" w:cs="宋体"/>
          <w:szCs w:val="21"/>
          <w:highlight w:val="none"/>
        </w:rPr>
      </w:pPr>
    </w:p>
    <w:p>
      <w:pPr>
        <w:tabs>
          <w:tab w:val="left" w:pos="4395"/>
          <w:tab w:val="left" w:pos="4678"/>
          <w:tab w:val="left" w:pos="4820"/>
        </w:tabs>
        <w:spacing w:line="360" w:lineRule="auto"/>
        <w:rPr>
          <w:rFonts w:ascii="宋体" w:hAnsi="宋体" w:cs="宋体"/>
          <w:szCs w:val="21"/>
          <w:highlight w:val="none"/>
        </w:rPr>
      </w:pPr>
    </w:p>
    <w:p>
      <w:pPr>
        <w:tabs>
          <w:tab w:val="left" w:pos="4395"/>
          <w:tab w:val="left" w:pos="4678"/>
          <w:tab w:val="left" w:pos="4820"/>
        </w:tabs>
        <w:spacing w:line="360" w:lineRule="auto"/>
        <w:rPr>
          <w:rFonts w:ascii="宋体" w:hAnsi="宋体" w:cs="宋体"/>
          <w:szCs w:val="21"/>
          <w:highlight w:val="none"/>
        </w:rPr>
      </w:pPr>
    </w:p>
    <w:p>
      <w:pPr>
        <w:tabs>
          <w:tab w:val="left" w:pos="4395"/>
          <w:tab w:val="left" w:pos="4678"/>
          <w:tab w:val="left" w:pos="4820"/>
        </w:tabs>
        <w:spacing w:line="360" w:lineRule="auto"/>
        <w:rPr>
          <w:rFonts w:ascii="宋体" w:hAnsi="宋体" w:cs="宋体"/>
          <w:szCs w:val="21"/>
          <w:highlight w:val="none"/>
        </w:rPr>
      </w:pPr>
    </w:p>
    <w:p>
      <w:pPr>
        <w:tabs>
          <w:tab w:val="left" w:pos="4395"/>
          <w:tab w:val="left" w:pos="4678"/>
          <w:tab w:val="left" w:pos="4820"/>
        </w:tabs>
        <w:spacing w:line="360" w:lineRule="auto"/>
        <w:rPr>
          <w:rFonts w:ascii="宋体" w:hAnsi="宋体" w:cs="宋体"/>
          <w:szCs w:val="21"/>
          <w:highlight w:val="none"/>
        </w:rPr>
      </w:pPr>
    </w:p>
    <w:p>
      <w:pPr>
        <w:tabs>
          <w:tab w:val="left" w:pos="4395"/>
          <w:tab w:val="left" w:pos="4678"/>
          <w:tab w:val="left" w:pos="4820"/>
        </w:tabs>
        <w:spacing w:line="360" w:lineRule="auto"/>
        <w:rPr>
          <w:rFonts w:ascii="宋体" w:hAnsi="宋体" w:cs="宋体"/>
          <w:szCs w:val="21"/>
          <w:highlight w:val="none"/>
        </w:rPr>
      </w:pPr>
    </w:p>
    <w:p>
      <w:pPr>
        <w:tabs>
          <w:tab w:val="left" w:pos="4395"/>
          <w:tab w:val="left" w:pos="4678"/>
          <w:tab w:val="left" w:pos="4820"/>
        </w:tabs>
        <w:spacing w:line="360" w:lineRule="auto"/>
        <w:rPr>
          <w:rFonts w:ascii="宋体" w:hAnsi="宋体" w:cs="宋体"/>
          <w:szCs w:val="21"/>
          <w:highlight w:val="none"/>
        </w:rPr>
      </w:pPr>
    </w:p>
    <w:p>
      <w:pPr>
        <w:tabs>
          <w:tab w:val="left" w:pos="4395"/>
          <w:tab w:val="left" w:pos="4678"/>
          <w:tab w:val="left" w:pos="4820"/>
        </w:tabs>
        <w:spacing w:line="360" w:lineRule="auto"/>
        <w:rPr>
          <w:rFonts w:ascii="宋体" w:hAnsi="宋体" w:cs="宋体"/>
          <w:szCs w:val="21"/>
          <w:highlight w:val="none"/>
        </w:rPr>
      </w:pPr>
    </w:p>
    <w:p>
      <w:pPr>
        <w:tabs>
          <w:tab w:val="left" w:pos="4395"/>
          <w:tab w:val="left" w:pos="4678"/>
          <w:tab w:val="left" w:pos="4820"/>
        </w:tabs>
        <w:spacing w:line="360" w:lineRule="auto"/>
        <w:rPr>
          <w:rFonts w:ascii="宋体" w:hAnsi="宋体" w:cs="宋体"/>
          <w:szCs w:val="21"/>
          <w:highlight w:val="none"/>
        </w:rPr>
      </w:pPr>
    </w:p>
    <w:p>
      <w:pPr>
        <w:tabs>
          <w:tab w:val="left" w:pos="4395"/>
          <w:tab w:val="left" w:pos="4678"/>
          <w:tab w:val="left" w:pos="4820"/>
        </w:tabs>
        <w:spacing w:line="360" w:lineRule="auto"/>
        <w:rPr>
          <w:rFonts w:ascii="宋体" w:hAnsi="宋体" w:cs="宋体"/>
          <w:szCs w:val="21"/>
          <w:highlight w:val="none"/>
        </w:rPr>
      </w:pPr>
    </w:p>
    <w:p>
      <w:pPr>
        <w:tabs>
          <w:tab w:val="left" w:pos="4395"/>
          <w:tab w:val="left" w:pos="4678"/>
          <w:tab w:val="left" w:pos="4820"/>
        </w:tabs>
        <w:spacing w:line="360" w:lineRule="auto"/>
        <w:rPr>
          <w:rFonts w:ascii="宋体" w:hAnsi="宋体" w:cs="宋体"/>
          <w:szCs w:val="21"/>
          <w:highlight w:val="none"/>
        </w:rPr>
      </w:pPr>
    </w:p>
    <w:p>
      <w:pPr>
        <w:tabs>
          <w:tab w:val="left" w:pos="4395"/>
          <w:tab w:val="left" w:pos="4678"/>
          <w:tab w:val="left" w:pos="4820"/>
        </w:tabs>
        <w:spacing w:line="360" w:lineRule="auto"/>
        <w:rPr>
          <w:sz w:val="23"/>
          <w:szCs w:val="23"/>
          <w:highlight w:val="none"/>
        </w:rPr>
      </w:pPr>
      <w:r>
        <w:rPr>
          <w:rFonts w:hint="eastAsia"/>
          <w:sz w:val="23"/>
          <w:szCs w:val="23"/>
          <w:highlight w:val="none"/>
        </w:rPr>
        <w:br w:type="page"/>
      </w:r>
      <w:r>
        <w:rPr>
          <w:rFonts w:hint="eastAsia"/>
          <w:sz w:val="23"/>
          <w:szCs w:val="23"/>
          <w:highlight w:val="none"/>
        </w:rPr>
        <w:t>附件：</w:t>
      </w:r>
    </w:p>
    <w:p>
      <w:pPr>
        <w:spacing w:line="300" w:lineRule="auto"/>
        <w:jc w:val="center"/>
        <w:rPr>
          <w:rFonts w:ascii="宋体" w:hAnsi="宋体"/>
          <w:bCs/>
          <w:sz w:val="32"/>
          <w:szCs w:val="32"/>
          <w:highlight w:val="none"/>
        </w:rPr>
      </w:pPr>
      <w:r>
        <w:rPr>
          <w:rFonts w:hint="eastAsia" w:ascii="宋体" w:hAnsi="宋体"/>
          <w:bCs/>
          <w:sz w:val="32"/>
          <w:szCs w:val="32"/>
          <w:highlight w:val="none"/>
        </w:rPr>
        <w:t>受托人投入本项目主要人员情况汇总表</w:t>
      </w:r>
    </w:p>
    <w:tbl>
      <w:tblPr>
        <w:tblStyle w:val="44"/>
        <w:tblW w:w="0" w:type="auto"/>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6"/>
        <w:gridCol w:w="1024"/>
        <w:gridCol w:w="900"/>
        <w:gridCol w:w="540"/>
        <w:gridCol w:w="900"/>
        <w:gridCol w:w="720"/>
        <w:gridCol w:w="900"/>
        <w:gridCol w:w="1260"/>
        <w:gridCol w:w="1800"/>
        <w:gridCol w:w="720"/>
        <w:gridCol w:w="7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trPr>
        <w:tc>
          <w:tcPr>
            <w:tcW w:w="416" w:type="dxa"/>
            <w:vMerge w:val="restart"/>
            <w:noWrap/>
            <w:vAlign w:val="center"/>
          </w:tcPr>
          <w:p>
            <w:pPr>
              <w:widowControl/>
              <w:jc w:val="center"/>
              <w:textAlignment w:val="bottom"/>
              <w:rPr>
                <w:rFonts w:ascii="Arial" w:hAnsi="Arial" w:cs="Arial"/>
                <w:sz w:val="20"/>
                <w:highlight w:val="none"/>
              </w:rPr>
            </w:pPr>
            <w:r>
              <w:rPr>
                <w:rFonts w:ascii="Arial" w:hAnsi="Arial" w:cs="Arial"/>
                <w:kern w:val="0"/>
                <w:sz w:val="20"/>
                <w:highlight w:val="none"/>
              </w:rPr>
              <w:t>序号</w:t>
            </w:r>
          </w:p>
        </w:tc>
        <w:tc>
          <w:tcPr>
            <w:tcW w:w="1024" w:type="dxa"/>
            <w:vMerge w:val="restart"/>
            <w:noWrap/>
            <w:vAlign w:val="center"/>
          </w:tcPr>
          <w:p>
            <w:pPr>
              <w:widowControl/>
              <w:jc w:val="center"/>
              <w:textAlignment w:val="bottom"/>
              <w:rPr>
                <w:rFonts w:ascii="Arial" w:hAnsi="Arial" w:cs="Arial"/>
                <w:sz w:val="20"/>
                <w:highlight w:val="none"/>
              </w:rPr>
            </w:pPr>
            <w:r>
              <w:rPr>
                <w:rFonts w:ascii="Arial" w:hAnsi="Arial" w:cs="Arial"/>
                <w:kern w:val="0"/>
                <w:sz w:val="20"/>
                <w:highlight w:val="none"/>
              </w:rPr>
              <w:t>在本</w:t>
            </w:r>
            <w:r>
              <w:rPr>
                <w:rFonts w:hint="eastAsia" w:ascii="Arial" w:hAnsi="Arial" w:cs="Arial"/>
                <w:kern w:val="0"/>
                <w:sz w:val="20"/>
                <w:highlight w:val="none"/>
              </w:rPr>
              <w:t>标段</w:t>
            </w:r>
            <w:r>
              <w:rPr>
                <w:rFonts w:ascii="Arial" w:hAnsi="Arial" w:cs="Arial"/>
                <w:kern w:val="0"/>
                <w:sz w:val="20"/>
                <w:highlight w:val="none"/>
              </w:rPr>
              <w:t>任职</w:t>
            </w:r>
          </w:p>
        </w:tc>
        <w:tc>
          <w:tcPr>
            <w:tcW w:w="900" w:type="dxa"/>
            <w:vMerge w:val="restart"/>
            <w:noWrap/>
            <w:vAlign w:val="center"/>
          </w:tcPr>
          <w:p>
            <w:pPr>
              <w:widowControl/>
              <w:jc w:val="center"/>
              <w:textAlignment w:val="bottom"/>
              <w:rPr>
                <w:rFonts w:ascii="Arial" w:hAnsi="Arial" w:cs="Arial"/>
                <w:sz w:val="20"/>
                <w:highlight w:val="none"/>
              </w:rPr>
            </w:pPr>
            <w:r>
              <w:rPr>
                <w:rFonts w:ascii="Arial" w:hAnsi="Arial" w:cs="Arial"/>
                <w:kern w:val="0"/>
                <w:sz w:val="20"/>
                <w:highlight w:val="none"/>
              </w:rPr>
              <w:t>姓名</w:t>
            </w:r>
          </w:p>
        </w:tc>
        <w:tc>
          <w:tcPr>
            <w:tcW w:w="540" w:type="dxa"/>
            <w:vMerge w:val="restart"/>
            <w:noWrap/>
            <w:vAlign w:val="center"/>
          </w:tcPr>
          <w:p>
            <w:pPr>
              <w:widowControl/>
              <w:jc w:val="center"/>
              <w:textAlignment w:val="bottom"/>
              <w:rPr>
                <w:rFonts w:ascii="Arial" w:hAnsi="Arial" w:cs="Arial"/>
                <w:sz w:val="20"/>
                <w:highlight w:val="none"/>
              </w:rPr>
            </w:pPr>
            <w:r>
              <w:rPr>
                <w:rFonts w:ascii="Arial" w:hAnsi="Arial" w:cs="Arial"/>
                <w:kern w:val="0"/>
                <w:sz w:val="20"/>
                <w:highlight w:val="none"/>
              </w:rPr>
              <w:t>学历</w:t>
            </w:r>
          </w:p>
        </w:tc>
        <w:tc>
          <w:tcPr>
            <w:tcW w:w="900" w:type="dxa"/>
            <w:vMerge w:val="restart"/>
            <w:noWrap/>
            <w:vAlign w:val="center"/>
          </w:tcPr>
          <w:p>
            <w:pPr>
              <w:widowControl/>
              <w:jc w:val="center"/>
              <w:textAlignment w:val="bottom"/>
              <w:rPr>
                <w:rFonts w:ascii="Arial" w:hAnsi="Arial" w:cs="Arial"/>
                <w:kern w:val="0"/>
                <w:sz w:val="20"/>
                <w:highlight w:val="none"/>
              </w:rPr>
            </w:pPr>
            <w:r>
              <w:rPr>
                <w:rFonts w:ascii="Arial" w:hAnsi="Arial" w:cs="Arial"/>
                <w:kern w:val="0"/>
                <w:sz w:val="20"/>
                <w:highlight w:val="none"/>
              </w:rPr>
              <w:t>技术</w:t>
            </w:r>
          </w:p>
          <w:p>
            <w:pPr>
              <w:widowControl/>
              <w:jc w:val="center"/>
              <w:textAlignment w:val="bottom"/>
              <w:rPr>
                <w:rFonts w:ascii="Arial" w:hAnsi="Arial" w:cs="Arial"/>
                <w:sz w:val="20"/>
                <w:highlight w:val="none"/>
              </w:rPr>
            </w:pPr>
            <w:r>
              <w:rPr>
                <w:rFonts w:ascii="Arial" w:hAnsi="Arial" w:cs="Arial"/>
                <w:kern w:val="0"/>
                <w:sz w:val="20"/>
                <w:highlight w:val="none"/>
              </w:rPr>
              <w:t>职称</w:t>
            </w:r>
          </w:p>
        </w:tc>
        <w:tc>
          <w:tcPr>
            <w:tcW w:w="720" w:type="dxa"/>
            <w:vMerge w:val="restart"/>
            <w:noWrap/>
            <w:vAlign w:val="center"/>
          </w:tcPr>
          <w:p>
            <w:pPr>
              <w:widowControl/>
              <w:jc w:val="center"/>
              <w:textAlignment w:val="bottom"/>
              <w:rPr>
                <w:rFonts w:ascii="Arial" w:hAnsi="Arial" w:cs="Arial"/>
                <w:sz w:val="20"/>
                <w:highlight w:val="none"/>
              </w:rPr>
            </w:pPr>
            <w:r>
              <w:rPr>
                <w:rFonts w:ascii="Arial" w:hAnsi="Arial" w:cs="Arial"/>
                <w:kern w:val="0"/>
                <w:sz w:val="20"/>
                <w:highlight w:val="none"/>
              </w:rPr>
              <w:t>专业</w:t>
            </w:r>
          </w:p>
        </w:tc>
        <w:tc>
          <w:tcPr>
            <w:tcW w:w="2160" w:type="dxa"/>
            <w:gridSpan w:val="2"/>
            <w:noWrap/>
            <w:vAlign w:val="center"/>
          </w:tcPr>
          <w:p>
            <w:pPr>
              <w:widowControl/>
              <w:jc w:val="center"/>
              <w:textAlignment w:val="bottom"/>
              <w:rPr>
                <w:rFonts w:ascii="Arial" w:hAnsi="Arial" w:cs="Arial"/>
                <w:kern w:val="0"/>
                <w:sz w:val="20"/>
                <w:highlight w:val="none"/>
              </w:rPr>
            </w:pPr>
            <w:r>
              <w:rPr>
                <w:rFonts w:hint="eastAsia" w:ascii="Arial" w:hAnsi="Arial" w:cs="Arial"/>
                <w:kern w:val="0"/>
                <w:sz w:val="20"/>
                <w:highlight w:val="none"/>
              </w:rPr>
              <w:t>执业或职业资格证明</w:t>
            </w:r>
          </w:p>
        </w:tc>
        <w:tc>
          <w:tcPr>
            <w:tcW w:w="1800" w:type="dxa"/>
            <w:vMerge w:val="restart"/>
            <w:noWrap/>
            <w:vAlign w:val="center"/>
          </w:tcPr>
          <w:p>
            <w:pPr>
              <w:widowControl/>
              <w:jc w:val="center"/>
              <w:textAlignment w:val="bottom"/>
              <w:rPr>
                <w:rFonts w:ascii="Arial" w:hAnsi="Arial" w:cs="Arial"/>
                <w:sz w:val="20"/>
                <w:highlight w:val="none"/>
              </w:rPr>
            </w:pPr>
            <w:r>
              <w:rPr>
                <w:rFonts w:hint="eastAsia" w:ascii="Arial" w:hAnsi="Arial" w:cs="Arial"/>
                <w:kern w:val="0"/>
                <w:sz w:val="20"/>
                <w:highlight w:val="none"/>
              </w:rPr>
              <w:t>身份证号</w:t>
            </w:r>
          </w:p>
        </w:tc>
        <w:tc>
          <w:tcPr>
            <w:tcW w:w="720" w:type="dxa"/>
            <w:vMerge w:val="restart"/>
            <w:noWrap/>
            <w:vAlign w:val="center"/>
          </w:tcPr>
          <w:p>
            <w:pPr>
              <w:widowControl/>
              <w:jc w:val="center"/>
              <w:textAlignment w:val="bottom"/>
              <w:rPr>
                <w:rFonts w:ascii="Arial" w:hAnsi="Arial" w:cs="Arial"/>
                <w:sz w:val="20"/>
                <w:highlight w:val="none"/>
              </w:rPr>
            </w:pPr>
            <w:r>
              <w:rPr>
                <w:rFonts w:hint="eastAsia" w:ascii="Arial" w:hAnsi="Arial" w:cs="Arial"/>
                <w:sz w:val="20"/>
                <w:highlight w:val="none"/>
              </w:rPr>
              <w:t>社保</w:t>
            </w:r>
          </w:p>
          <w:p>
            <w:pPr>
              <w:widowControl/>
              <w:jc w:val="center"/>
              <w:textAlignment w:val="bottom"/>
              <w:rPr>
                <w:rFonts w:ascii="Arial" w:hAnsi="Arial" w:cs="Arial"/>
                <w:sz w:val="20"/>
                <w:highlight w:val="none"/>
              </w:rPr>
            </w:pPr>
            <w:r>
              <w:rPr>
                <w:rFonts w:hint="eastAsia" w:ascii="Arial" w:hAnsi="Arial" w:cs="Arial"/>
                <w:sz w:val="20"/>
                <w:highlight w:val="none"/>
              </w:rPr>
              <w:t>缴费单位</w:t>
            </w:r>
          </w:p>
        </w:tc>
        <w:tc>
          <w:tcPr>
            <w:tcW w:w="720" w:type="dxa"/>
            <w:vMerge w:val="restart"/>
            <w:noWrap/>
            <w:vAlign w:val="center"/>
          </w:tcPr>
          <w:p>
            <w:pPr>
              <w:widowControl/>
              <w:jc w:val="center"/>
              <w:textAlignment w:val="bottom"/>
              <w:rPr>
                <w:rFonts w:ascii="Arial" w:hAnsi="Arial" w:cs="Arial"/>
                <w:sz w:val="20"/>
                <w:highlight w:val="none"/>
              </w:rPr>
            </w:pPr>
            <w:r>
              <w:rPr>
                <w:rFonts w:hint="eastAsia" w:ascii="Arial" w:hAnsi="Arial" w:cs="Arial"/>
                <w:sz w:val="20"/>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5" w:hRule="atLeast"/>
        </w:trPr>
        <w:tc>
          <w:tcPr>
            <w:tcW w:w="416" w:type="dxa"/>
            <w:vMerge w:val="continue"/>
            <w:noWrap/>
            <w:vAlign w:val="center"/>
          </w:tcPr>
          <w:p>
            <w:pPr>
              <w:spacing w:line="300" w:lineRule="auto"/>
              <w:jc w:val="center"/>
              <w:rPr>
                <w:rFonts w:ascii="黑体" w:eastAsia="黑体"/>
                <w:b/>
                <w:sz w:val="24"/>
                <w:highlight w:val="none"/>
              </w:rPr>
            </w:pPr>
          </w:p>
        </w:tc>
        <w:tc>
          <w:tcPr>
            <w:tcW w:w="1024" w:type="dxa"/>
            <w:vMerge w:val="continue"/>
            <w:noWrap/>
            <w:vAlign w:val="center"/>
          </w:tcPr>
          <w:p>
            <w:pPr>
              <w:spacing w:line="300" w:lineRule="auto"/>
              <w:jc w:val="center"/>
              <w:rPr>
                <w:rFonts w:ascii="黑体" w:eastAsia="黑体"/>
                <w:b/>
                <w:sz w:val="24"/>
                <w:highlight w:val="none"/>
              </w:rPr>
            </w:pPr>
          </w:p>
        </w:tc>
        <w:tc>
          <w:tcPr>
            <w:tcW w:w="900" w:type="dxa"/>
            <w:vMerge w:val="continue"/>
            <w:noWrap/>
            <w:vAlign w:val="center"/>
          </w:tcPr>
          <w:p>
            <w:pPr>
              <w:spacing w:line="300" w:lineRule="auto"/>
              <w:jc w:val="center"/>
              <w:rPr>
                <w:rFonts w:ascii="黑体" w:eastAsia="黑体"/>
                <w:b/>
                <w:sz w:val="24"/>
                <w:highlight w:val="none"/>
              </w:rPr>
            </w:pPr>
          </w:p>
        </w:tc>
        <w:tc>
          <w:tcPr>
            <w:tcW w:w="540" w:type="dxa"/>
            <w:vMerge w:val="continue"/>
            <w:noWrap/>
            <w:vAlign w:val="center"/>
          </w:tcPr>
          <w:p>
            <w:pPr>
              <w:spacing w:line="300" w:lineRule="auto"/>
              <w:jc w:val="center"/>
              <w:rPr>
                <w:rFonts w:ascii="黑体" w:eastAsia="黑体"/>
                <w:b/>
                <w:sz w:val="24"/>
                <w:highlight w:val="none"/>
              </w:rPr>
            </w:pPr>
          </w:p>
        </w:tc>
        <w:tc>
          <w:tcPr>
            <w:tcW w:w="900" w:type="dxa"/>
            <w:vMerge w:val="continue"/>
            <w:noWrap/>
            <w:vAlign w:val="center"/>
          </w:tcPr>
          <w:p>
            <w:pPr>
              <w:spacing w:line="300" w:lineRule="auto"/>
              <w:jc w:val="center"/>
              <w:rPr>
                <w:rFonts w:ascii="黑体" w:eastAsia="黑体"/>
                <w:b/>
                <w:sz w:val="24"/>
                <w:highlight w:val="none"/>
              </w:rPr>
            </w:pPr>
          </w:p>
        </w:tc>
        <w:tc>
          <w:tcPr>
            <w:tcW w:w="720" w:type="dxa"/>
            <w:vMerge w:val="continue"/>
            <w:noWrap/>
            <w:vAlign w:val="center"/>
          </w:tcPr>
          <w:p>
            <w:pPr>
              <w:spacing w:line="300" w:lineRule="auto"/>
              <w:jc w:val="center"/>
              <w:rPr>
                <w:rFonts w:ascii="黑体" w:eastAsia="黑体"/>
                <w:b/>
                <w:sz w:val="24"/>
                <w:highlight w:val="none"/>
              </w:rPr>
            </w:pPr>
          </w:p>
        </w:tc>
        <w:tc>
          <w:tcPr>
            <w:tcW w:w="900" w:type="dxa"/>
            <w:noWrap/>
            <w:vAlign w:val="center"/>
          </w:tcPr>
          <w:p>
            <w:pPr>
              <w:jc w:val="center"/>
              <w:rPr>
                <w:rFonts w:ascii="Arial" w:hAnsi="Arial" w:cs="Arial"/>
                <w:kern w:val="0"/>
                <w:sz w:val="20"/>
                <w:highlight w:val="none"/>
              </w:rPr>
            </w:pPr>
            <w:r>
              <w:rPr>
                <w:rFonts w:hint="eastAsia" w:ascii="Arial" w:hAnsi="Arial" w:cs="Arial"/>
                <w:kern w:val="0"/>
                <w:sz w:val="20"/>
                <w:highlight w:val="none"/>
              </w:rPr>
              <w:t>证书</w:t>
            </w:r>
          </w:p>
          <w:p>
            <w:pPr>
              <w:jc w:val="center"/>
              <w:rPr>
                <w:rFonts w:ascii="Arial" w:hAnsi="Arial" w:cs="Arial"/>
                <w:kern w:val="0"/>
                <w:sz w:val="20"/>
                <w:highlight w:val="none"/>
              </w:rPr>
            </w:pPr>
            <w:r>
              <w:rPr>
                <w:rFonts w:hint="eastAsia" w:ascii="Arial" w:hAnsi="Arial" w:cs="Arial"/>
                <w:kern w:val="0"/>
                <w:sz w:val="20"/>
                <w:highlight w:val="none"/>
              </w:rPr>
              <w:t>名称</w:t>
            </w:r>
          </w:p>
        </w:tc>
        <w:tc>
          <w:tcPr>
            <w:tcW w:w="1260" w:type="dxa"/>
            <w:noWrap/>
            <w:vAlign w:val="center"/>
          </w:tcPr>
          <w:p>
            <w:pPr>
              <w:spacing w:line="300" w:lineRule="auto"/>
              <w:jc w:val="center"/>
              <w:rPr>
                <w:rFonts w:ascii="Arial" w:hAnsi="Arial" w:cs="Arial"/>
                <w:kern w:val="0"/>
                <w:sz w:val="20"/>
                <w:highlight w:val="none"/>
              </w:rPr>
            </w:pPr>
            <w:r>
              <w:rPr>
                <w:rFonts w:hint="eastAsia" w:ascii="Arial" w:hAnsi="Arial" w:cs="Arial"/>
                <w:kern w:val="0"/>
                <w:sz w:val="20"/>
                <w:highlight w:val="none"/>
              </w:rPr>
              <w:t>证 号</w:t>
            </w:r>
          </w:p>
        </w:tc>
        <w:tc>
          <w:tcPr>
            <w:tcW w:w="1800" w:type="dxa"/>
            <w:vMerge w:val="continue"/>
            <w:noWrap/>
            <w:vAlign w:val="center"/>
          </w:tcPr>
          <w:p>
            <w:pPr>
              <w:spacing w:line="300" w:lineRule="auto"/>
              <w:jc w:val="center"/>
              <w:rPr>
                <w:rFonts w:ascii="黑体" w:eastAsia="黑体"/>
                <w:b/>
                <w:sz w:val="24"/>
                <w:highlight w:val="none"/>
              </w:rPr>
            </w:pPr>
          </w:p>
        </w:tc>
        <w:tc>
          <w:tcPr>
            <w:tcW w:w="720" w:type="dxa"/>
            <w:vMerge w:val="continue"/>
            <w:noWrap/>
            <w:vAlign w:val="center"/>
          </w:tcPr>
          <w:p>
            <w:pPr>
              <w:widowControl/>
              <w:jc w:val="center"/>
              <w:textAlignment w:val="bottom"/>
              <w:rPr>
                <w:rFonts w:ascii="黑体" w:eastAsia="黑体"/>
                <w:b/>
                <w:sz w:val="24"/>
                <w:highlight w:val="none"/>
              </w:rPr>
            </w:pPr>
          </w:p>
        </w:tc>
        <w:tc>
          <w:tcPr>
            <w:tcW w:w="720" w:type="dxa"/>
            <w:vMerge w:val="continue"/>
            <w:noWrap/>
            <w:vAlign w:val="center"/>
          </w:tcPr>
          <w:p>
            <w:pPr>
              <w:spacing w:line="300" w:lineRule="auto"/>
              <w:jc w:val="center"/>
              <w:rPr>
                <w:rFonts w:ascii="黑体" w:eastAsia="黑体"/>
                <w:b/>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6" w:type="dxa"/>
            <w:noWrap/>
            <w:vAlign w:val="center"/>
          </w:tcPr>
          <w:p>
            <w:pPr>
              <w:spacing w:line="300" w:lineRule="auto"/>
              <w:jc w:val="center"/>
              <w:rPr>
                <w:rFonts w:ascii="黑体" w:eastAsia="黑体"/>
                <w:b/>
                <w:sz w:val="24"/>
                <w:highlight w:val="none"/>
              </w:rPr>
            </w:pPr>
          </w:p>
        </w:tc>
        <w:tc>
          <w:tcPr>
            <w:tcW w:w="1024" w:type="dxa"/>
            <w:noWrap/>
            <w:vAlign w:val="center"/>
          </w:tcPr>
          <w:p>
            <w:pPr>
              <w:spacing w:line="300" w:lineRule="auto"/>
              <w:jc w:val="center"/>
              <w:rPr>
                <w:rFonts w:ascii="黑体" w:eastAsia="黑体"/>
                <w:b/>
                <w:sz w:val="24"/>
                <w:highlight w:val="none"/>
              </w:rPr>
            </w:pPr>
          </w:p>
        </w:tc>
        <w:tc>
          <w:tcPr>
            <w:tcW w:w="900" w:type="dxa"/>
            <w:noWrap/>
            <w:vAlign w:val="center"/>
          </w:tcPr>
          <w:p>
            <w:pPr>
              <w:spacing w:line="300" w:lineRule="auto"/>
              <w:jc w:val="center"/>
              <w:rPr>
                <w:rFonts w:ascii="黑体" w:eastAsia="黑体"/>
                <w:b/>
                <w:sz w:val="24"/>
                <w:highlight w:val="none"/>
              </w:rPr>
            </w:pPr>
          </w:p>
        </w:tc>
        <w:tc>
          <w:tcPr>
            <w:tcW w:w="540" w:type="dxa"/>
            <w:noWrap/>
            <w:vAlign w:val="center"/>
          </w:tcPr>
          <w:p>
            <w:pPr>
              <w:spacing w:line="300" w:lineRule="auto"/>
              <w:jc w:val="center"/>
              <w:rPr>
                <w:rFonts w:ascii="黑体" w:eastAsia="黑体"/>
                <w:b/>
                <w:sz w:val="24"/>
                <w:highlight w:val="none"/>
              </w:rPr>
            </w:pPr>
          </w:p>
        </w:tc>
        <w:tc>
          <w:tcPr>
            <w:tcW w:w="900" w:type="dxa"/>
            <w:noWrap/>
            <w:vAlign w:val="center"/>
          </w:tcPr>
          <w:p>
            <w:pPr>
              <w:spacing w:line="300" w:lineRule="auto"/>
              <w:jc w:val="center"/>
              <w:rPr>
                <w:rFonts w:ascii="黑体" w:eastAsia="黑体"/>
                <w:b/>
                <w:sz w:val="24"/>
                <w:highlight w:val="none"/>
              </w:rPr>
            </w:pPr>
          </w:p>
        </w:tc>
        <w:tc>
          <w:tcPr>
            <w:tcW w:w="720" w:type="dxa"/>
            <w:noWrap/>
            <w:vAlign w:val="center"/>
          </w:tcPr>
          <w:p>
            <w:pPr>
              <w:spacing w:line="300" w:lineRule="auto"/>
              <w:jc w:val="center"/>
              <w:rPr>
                <w:rFonts w:ascii="黑体" w:eastAsia="黑体"/>
                <w:b/>
                <w:sz w:val="24"/>
                <w:highlight w:val="none"/>
              </w:rPr>
            </w:pPr>
          </w:p>
        </w:tc>
        <w:tc>
          <w:tcPr>
            <w:tcW w:w="900" w:type="dxa"/>
            <w:noWrap/>
            <w:vAlign w:val="center"/>
          </w:tcPr>
          <w:p>
            <w:pPr>
              <w:spacing w:line="300" w:lineRule="auto"/>
              <w:jc w:val="center"/>
              <w:rPr>
                <w:rFonts w:ascii="黑体" w:eastAsia="黑体"/>
                <w:b/>
                <w:sz w:val="24"/>
                <w:highlight w:val="none"/>
              </w:rPr>
            </w:pPr>
          </w:p>
        </w:tc>
        <w:tc>
          <w:tcPr>
            <w:tcW w:w="1260" w:type="dxa"/>
            <w:noWrap/>
            <w:vAlign w:val="center"/>
          </w:tcPr>
          <w:p>
            <w:pPr>
              <w:spacing w:line="300" w:lineRule="auto"/>
              <w:jc w:val="center"/>
              <w:rPr>
                <w:rFonts w:ascii="黑体" w:eastAsia="黑体"/>
                <w:b/>
                <w:sz w:val="24"/>
                <w:highlight w:val="none"/>
              </w:rPr>
            </w:pPr>
          </w:p>
        </w:tc>
        <w:tc>
          <w:tcPr>
            <w:tcW w:w="1800" w:type="dxa"/>
            <w:noWrap/>
            <w:vAlign w:val="center"/>
          </w:tcPr>
          <w:p>
            <w:pPr>
              <w:spacing w:line="300" w:lineRule="auto"/>
              <w:jc w:val="center"/>
              <w:rPr>
                <w:rFonts w:ascii="黑体" w:eastAsia="黑体"/>
                <w:b/>
                <w:sz w:val="24"/>
                <w:highlight w:val="none"/>
              </w:rPr>
            </w:pPr>
          </w:p>
        </w:tc>
        <w:tc>
          <w:tcPr>
            <w:tcW w:w="720" w:type="dxa"/>
            <w:noWrap/>
            <w:vAlign w:val="center"/>
          </w:tcPr>
          <w:p>
            <w:pPr>
              <w:spacing w:line="300" w:lineRule="auto"/>
              <w:jc w:val="center"/>
              <w:rPr>
                <w:rFonts w:ascii="黑体" w:eastAsia="黑体"/>
                <w:b/>
                <w:sz w:val="24"/>
                <w:highlight w:val="none"/>
              </w:rPr>
            </w:pPr>
          </w:p>
        </w:tc>
        <w:tc>
          <w:tcPr>
            <w:tcW w:w="720" w:type="dxa"/>
            <w:noWrap/>
            <w:vAlign w:val="center"/>
          </w:tcPr>
          <w:p>
            <w:pPr>
              <w:spacing w:line="300" w:lineRule="auto"/>
              <w:jc w:val="center"/>
              <w:rPr>
                <w:rFonts w:ascii="黑体" w:eastAsia="黑体"/>
                <w:b/>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6" w:type="dxa"/>
            <w:noWrap/>
            <w:vAlign w:val="center"/>
          </w:tcPr>
          <w:p>
            <w:pPr>
              <w:spacing w:line="300" w:lineRule="auto"/>
              <w:jc w:val="center"/>
              <w:rPr>
                <w:rFonts w:ascii="黑体" w:eastAsia="黑体"/>
                <w:b/>
                <w:sz w:val="24"/>
                <w:highlight w:val="none"/>
              </w:rPr>
            </w:pPr>
          </w:p>
        </w:tc>
        <w:tc>
          <w:tcPr>
            <w:tcW w:w="1024" w:type="dxa"/>
            <w:noWrap/>
            <w:vAlign w:val="center"/>
          </w:tcPr>
          <w:p>
            <w:pPr>
              <w:spacing w:line="300" w:lineRule="auto"/>
              <w:jc w:val="center"/>
              <w:rPr>
                <w:rFonts w:ascii="黑体" w:eastAsia="黑体"/>
                <w:b/>
                <w:sz w:val="24"/>
                <w:highlight w:val="none"/>
              </w:rPr>
            </w:pPr>
          </w:p>
        </w:tc>
        <w:tc>
          <w:tcPr>
            <w:tcW w:w="900" w:type="dxa"/>
            <w:noWrap/>
            <w:vAlign w:val="center"/>
          </w:tcPr>
          <w:p>
            <w:pPr>
              <w:spacing w:line="300" w:lineRule="auto"/>
              <w:jc w:val="center"/>
              <w:rPr>
                <w:rFonts w:ascii="黑体" w:eastAsia="黑体"/>
                <w:b/>
                <w:sz w:val="24"/>
                <w:highlight w:val="none"/>
              </w:rPr>
            </w:pPr>
          </w:p>
        </w:tc>
        <w:tc>
          <w:tcPr>
            <w:tcW w:w="540" w:type="dxa"/>
            <w:noWrap/>
            <w:vAlign w:val="center"/>
          </w:tcPr>
          <w:p>
            <w:pPr>
              <w:spacing w:line="300" w:lineRule="auto"/>
              <w:jc w:val="center"/>
              <w:rPr>
                <w:rFonts w:ascii="黑体" w:eastAsia="黑体"/>
                <w:b/>
                <w:sz w:val="24"/>
                <w:highlight w:val="none"/>
              </w:rPr>
            </w:pPr>
          </w:p>
        </w:tc>
        <w:tc>
          <w:tcPr>
            <w:tcW w:w="900" w:type="dxa"/>
            <w:noWrap/>
            <w:vAlign w:val="center"/>
          </w:tcPr>
          <w:p>
            <w:pPr>
              <w:spacing w:line="300" w:lineRule="auto"/>
              <w:jc w:val="center"/>
              <w:rPr>
                <w:rFonts w:ascii="黑体" w:eastAsia="黑体"/>
                <w:b/>
                <w:sz w:val="24"/>
                <w:highlight w:val="none"/>
              </w:rPr>
            </w:pPr>
          </w:p>
        </w:tc>
        <w:tc>
          <w:tcPr>
            <w:tcW w:w="720" w:type="dxa"/>
            <w:noWrap/>
            <w:vAlign w:val="center"/>
          </w:tcPr>
          <w:p>
            <w:pPr>
              <w:spacing w:line="300" w:lineRule="auto"/>
              <w:jc w:val="center"/>
              <w:rPr>
                <w:rFonts w:ascii="黑体" w:eastAsia="黑体"/>
                <w:b/>
                <w:sz w:val="24"/>
                <w:highlight w:val="none"/>
              </w:rPr>
            </w:pPr>
          </w:p>
        </w:tc>
        <w:tc>
          <w:tcPr>
            <w:tcW w:w="900" w:type="dxa"/>
            <w:noWrap/>
            <w:vAlign w:val="center"/>
          </w:tcPr>
          <w:p>
            <w:pPr>
              <w:spacing w:line="300" w:lineRule="auto"/>
              <w:jc w:val="center"/>
              <w:rPr>
                <w:rFonts w:ascii="黑体" w:eastAsia="黑体"/>
                <w:b/>
                <w:sz w:val="24"/>
                <w:highlight w:val="none"/>
              </w:rPr>
            </w:pPr>
          </w:p>
        </w:tc>
        <w:tc>
          <w:tcPr>
            <w:tcW w:w="1260" w:type="dxa"/>
            <w:noWrap/>
            <w:vAlign w:val="center"/>
          </w:tcPr>
          <w:p>
            <w:pPr>
              <w:spacing w:line="300" w:lineRule="auto"/>
              <w:jc w:val="center"/>
              <w:rPr>
                <w:rFonts w:ascii="黑体" w:eastAsia="黑体"/>
                <w:b/>
                <w:sz w:val="24"/>
                <w:highlight w:val="none"/>
              </w:rPr>
            </w:pPr>
          </w:p>
        </w:tc>
        <w:tc>
          <w:tcPr>
            <w:tcW w:w="1800" w:type="dxa"/>
            <w:noWrap/>
            <w:vAlign w:val="center"/>
          </w:tcPr>
          <w:p>
            <w:pPr>
              <w:spacing w:line="300" w:lineRule="auto"/>
              <w:jc w:val="center"/>
              <w:rPr>
                <w:rFonts w:ascii="黑体" w:eastAsia="黑体"/>
                <w:b/>
                <w:sz w:val="24"/>
                <w:highlight w:val="none"/>
              </w:rPr>
            </w:pPr>
          </w:p>
        </w:tc>
        <w:tc>
          <w:tcPr>
            <w:tcW w:w="720" w:type="dxa"/>
            <w:noWrap/>
            <w:vAlign w:val="center"/>
          </w:tcPr>
          <w:p>
            <w:pPr>
              <w:spacing w:line="300" w:lineRule="auto"/>
              <w:jc w:val="center"/>
              <w:rPr>
                <w:rFonts w:ascii="黑体" w:eastAsia="黑体"/>
                <w:b/>
                <w:sz w:val="24"/>
                <w:highlight w:val="none"/>
              </w:rPr>
            </w:pPr>
          </w:p>
        </w:tc>
        <w:tc>
          <w:tcPr>
            <w:tcW w:w="720" w:type="dxa"/>
            <w:noWrap/>
            <w:vAlign w:val="center"/>
          </w:tcPr>
          <w:p>
            <w:pPr>
              <w:spacing w:line="300" w:lineRule="auto"/>
              <w:jc w:val="center"/>
              <w:rPr>
                <w:rFonts w:ascii="黑体" w:eastAsia="黑体"/>
                <w:b/>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6" w:type="dxa"/>
            <w:noWrap/>
            <w:vAlign w:val="center"/>
          </w:tcPr>
          <w:p>
            <w:pPr>
              <w:spacing w:line="300" w:lineRule="auto"/>
              <w:jc w:val="center"/>
              <w:rPr>
                <w:rFonts w:ascii="黑体" w:eastAsia="黑体"/>
                <w:b/>
                <w:sz w:val="24"/>
                <w:highlight w:val="none"/>
              </w:rPr>
            </w:pPr>
          </w:p>
        </w:tc>
        <w:tc>
          <w:tcPr>
            <w:tcW w:w="1024" w:type="dxa"/>
            <w:noWrap/>
            <w:vAlign w:val="center"/>
          </w:tcPr>
          <w:p>
            <w:pPr>
              <w:spacing w:line="300" w:lineRule="auto"/>
              <w:jc w:val="center"/>
              <w:rPr>
                <w:rFonts w:ascii="黑体" w:eastAsia="黑体"/>
                <w:b/>
                <w:sz w:val="24"/>
                <w:highlight w:val="none"/>
              </w:rPr>
            </w:pPr>
          </w:p>
        </w:tc>
        <w:tc>
          <w:tcPr>
            <w:tcW w:w="900" w:type="dxa"/>
            <w:noWrap/>
            <w:vAlign w:val="center"/>
          </w:tcPr>
          <w:p>
            <w:pPr>
              <w:spacing w:line="300" w:lineRule="auto"/>
              <w:jc w:val="center"/>
              <w:rPr>
                <w:rFonts w:ascii="黑体" w:eastAsia="黑体"/>
                <w:b/>
                <w:sz w:val="24"/>
                <w:highlight w:val="none"/>
              </w:rPr>
            </w:pPr>
          </w:p>
        </w:tc>
        <w:tc>
          <w:tcPr>
            <w:tcW w:w="540" w:type="dxa"/>
            <w:noWrap/>
            <w:vAlign w:val="center"/>
          </w:tcPr>
          <w:p>
            <w:pPr>
              <w:spacing w:line="300" w:lineRule="auto"/>
              <w:jc w:val="center"/>
              <w:rPr>
                <w:rFonts w:ascii="黑体" w:eastAsia="黑体"/>
                <w:b/>
                <w:sz w:val="24"/>
                <w:highlight w:val="none"/>
              </w:rPr>
            </w:pPr>
          </w:p>
        </w:tc>
        <w:tc>
          <w:tcPr>
            <w:tcW w:w="900" w:type="dxa"/>
            <w:noWrap/>
            <w:vAlign w:val="center"/>
          </w:tcPr>
          <w:p>
            <w:pPr>
              <w:spacing w:line="300" w:lineRule="auto"/>
              <w:jc w:val="center"/>
              <w:rPr>
                <w:rFonts w:ascii="黑体" w:eastAsia="黑体"/>
                <w:b/>
                <w:sz w:val="24"/>
                <w:highlight w:val="none"/>
              </w:rPr>
            </w:pPr>
          </w:p>
        </w:tc>
        <w:tc>
          <w:tcPr>
            <w:tcW w:w="720" w:type="dxa"/>
            <w:noWrap/>
            <w:vAlign w:val="center"/>
          </w:tcPr>
          <w:p>
            <w:pPr>
              <w:spacing w:line="300" w:lineRule="auto"/>
              <w:jc w:val="center"/>
              <w:rPr>
                <w:rFonts w:ascii="黑体" w:eastAsia="黑体"/>
                <w:b/>
                <w:sz w:val="24"/>
                <w:highlight w:val="none"/>
              </w:rPr>
            </w:pPr>
          </w:p>
        </w:tc>
        <w:tc>
          <w:tcPr>
            <w:tcW w:w="900" w:type="dxa"/>
            <w:noWrap/>
            <w:vAlign w:val="center"/>
          </w:tcPr>
          <w:p>
            <w:pPr>
              <w:spacing w:line="300" w:lineRule="auto"/>
              <w:jc w:val="center"/>
              <w:rPr>
                <w:rFonts w:ascii="黑体" w:eastAsia="黑体"/>
                <w:b/>
                <w:sz w:val="24"/>
                <w:highlight w:val="none"/>
              </w:rPr>
            </w:pPr>
          </w:p>
        </w:tc>
        <w:tc>
          <w:tcPr>
            <w:tcW w:w="1260" w:type="dxa"/>
            <w:noWrap/>
            <w:vAlign w:val="center"/>
          </w:tcPr>
          <w:p>
            <w:pPr>
              <w:spacing w:line="300" w:lineRule="auto"/>
              <w:jc w:val="center"/>
              <w:rPr>
                <w:rFonts w:ascii="黑体" w:eastAsia="黑体"/>
                <w:b/>
                <w:sz w:val="24"/>
                <w:highlight w:val="none"/>
              </w:rPr>
            </w:pPr>
          </w:p>
        </w:tc>
        <w:tc>
          <w:tcPr>
            <w:tcW w:w="1800" w:type="dxa"/>
            <w:noWrap/>
            <w:vAlign w:val="center"/>
          </w:tcPr>
          <w:p>
            <w:pPr>
              <w:spacing w:line="300" w:lineRule="auto"/>
              <w:jc w:val="center"/>
              <w:rPr>
                <w:rFonts w:ascii="黑体" w:eastAsia="黑体"/>
                <w:b/>
                <w:sz w:val="24"/>
                <w:highlight w:val="none"/>
              </w:rPr>
            </w:pPr>
          </w:p>
        </w:tc>
        <w:tc>
          <w:tcPr>
            <w:tcW w:w="720" w:type="dxa"/>
            <w:noWrap/>
            <w:vAlign w:val="center"/>
          </w:tcPr>
          <w:p>
            <w:pPr>
              <w:spacing w:line="300" w:lineRule="auto"/>
              <w:jc w:val="center"/>
              <w:rPr>
                <w:rFonts w:ascii="黑体" w:eastAsia="黑体"/>
                <w:b/>
                <w:sz w:val="24"/>
                <w:highlight w:val="none"/>
              </w:rPr>
            </w:pPr>
          </w:p>
        </w:tc>
        <w:tc>
          <w:tcPr>
            <w:tcW w:w="720" w:type="dxa"/>
            <w:noWrap/>
            <w:vAlign w:val="center"/>
          </w:tcPr>
          <w:p>
            <w:pPr>
              <w:spacing w:line="300" w:lineRule="auto"/>
              <w:jc w:val="center"/>
              <w:rPr>
                <w:rFonts w:ascii="黑体" w:eastAsia="黑体"/>
                <w:b/>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6" w:type="dxa"/>
            <w:noWrap/>
            <w:vAlign w:val="center"/>
          </w:tcPr>
          <w:p>
            <w:pPr>
              <w:spacing w:line="300" w:lineRule="auto"/>
              <w:jc w:val="center"/>
              <w:rPr>
                <w:rFonts w:ascii="黑体" w:eastAsia="黑体"/>
                <w:b/>
                <w:sz w:val="24"/>
                <w:highlight w:val="none"/>
              </w:rPr>
            </w:pPr>
          </w:p>
        </w:tc>
        <w:tc>
          <w:tcPr>
            <w:tcW w:w="1024" w:type="dxa"/>
            <w:noWrap/>
            <w:vAlign w:val="center"/>
          </w:tcPr>
          <w:p>
            <w:pPr>
              <w:spacing w:line="300" w:lineRule="auto"/>
              <w:jc w:val="center"/>
              <w:rPr>
                <w:rFonts w:ascii="黑体" w:eastAsia="黑体"/>
                <w:b/>
                <w:sz w:val="24"/>
                <w:highlight w:val="none"/>
              </w:rPr>
            </w:pPr>
          </w:p>
        </w:tc>
        <w:tc>
          <w:tcPr>
            <w:tcW w:w="900" w:type="dxa"/>
            <w:noWrap/>
            <w:vAlign w:val="center"/>
          </w:tcPr>
          <w:p>
            <w:pPr>
              <w:spacing w:line="300" w:lineRule="auto"/>
              <w:jc w:val="center"/>
              <w:rPr>
                <w:rFonts w:ascii="黑体" w:eastAsia="黑体"/>
                <w:b/>
                <w:sz w:val="24"/>
                <w:highlight w:val="none"/>
              </w:rPr>
            </w:pPr>
          </w:p>
        </w:tc>
        <w:tc>
          <w:tcPr>
            <w:tcW w:w="540" w:type="dxa"/>
            <w:noWrap/>
            <w:vAlign w:val="center"/>
          </w:tcPr>
          <w:p>
            <w:pPr>
              <w:spacing w:line="300" w:lineRule="auto"/>
              <w:jc w:val="center"/>
              <w:rPr>
                <w:rFonts w:ascii="黑体" w:eastAsia="黑体"/>
                <w:b/>
                <w:sz w:val="24"/>
                <w:highlight w:val="none"/>
              </w:rPr>
            </w:pPr>
          </w:p>
        </w:tc>
        <w:tc>
          <w:tcPr>
            <w:tcW w:w="900" w:type="dxa"/>
            <w:noWrap/>
            <w:vAlign w:val="center"/>
          </w:tcPr>
          <w:p>
            <w:pPr>
              <w:spacing w:line="300" w:lineRule="auto"/>
              <w:jc w:val="center"/>
              <w:rPr>
                <w:rFonts w:ascii="黑体" w:eastAsia="黑体"/>
                <w:b/>
                <w:sz w:val="24"/>
                <w:highlight w:val="none"/>
              </w:rPr>
            </w:pPr>
          </w:p>
        </w:tc>
        <w:tc>
          <w:tcPr>
            <w:tcW w:w="720" w:type="dxa"/>
            <w:noWrap/>
            <w:vAlign w:val="center"/>
          </w:tcPr>
          <w:p>
            <w:pPr>
              <w:spacing w:line="300" w:lineRule="auto"/>
              <w:jc w:val="center"/>
              <w:rPr>
                <w:rFonts w:ascii="黑体" w:eastAsia="黑体"/>
                <w:b/>
                <w:sz w:val="24"/>
                <w:highlight w:val="none"/>
              </w:rPr>
            </w:pPr>
          </w:p>
        </w:tc>
        <w:tc>
          <w:tcPr>
            <w:tcW w:w="900" w:type="dxa"/>
            <w:noWrap/>
            <w:vAlign w:val="center"/>
          </w:tcPr>
          <w:p>
            <w:pPr>
              <w:spacing w:line="300" w:lineRule="auto"/>
              <w:jc w:val="center"/>
              <w:rPr>
                <w:rFonts w:ascii="黑体" w:eastAsia="黑体"/>
                <w:b/>
                <w:sz w:val="24"/>
                <w:highlight w:val="none"/>
              </w:rPr>
            </w:pPr>
          </w:p>
        </w:tc>
        <w:tc>
          <w:tcPr>
            <w:tcW w:w="1260" w:type="dxa"/>
            <w:noWrap/>
            <w:vAlign w:val="center"/>
          </w:tcPr>
          <w:p>
            <w:pPr>
              <w:spacing w:line="300" w:lineRule="auto"/>
              <w:jc w:val="center"/>
              <w:rPr>
                <w:rFonts w:ascii="黑体" w:eastAsia="黑体"/>
                <w:b/>
                <w:sz w:val="24"/>
                <w:highlight w:val="none"/>
              </w:rPr>
            </w:pPr>
          </w:p>
        </w:tc>
        <w:tc>
          <w:tcPr>
            <w:tcW w:w="1800" w:type="dxa"/>
            <w:noWrap/>
            <w:vAlign w:val="center"/>
          </w:tcPr>
          <w:p>
            <w:pPr>
              <w:spacing w:line="300" w:lineRule="auto"/>
              <w:jc w:val="center"/>
              <w:rPr>
                <w:rFonts w:ascii="黑体" w:eastAsia="黑体"/>
                <w:b/>
                <w:sz w:val="24"/>
                <w:highlight w:val="none"/>
              </w:rPr>
            </w:pPr>
          </w:p>
        </w:tc>
        <w:tc>
          <w:tcPr>
            <w:tcW w:w="720" w:type="dxa"/>
            <w:noWrap/>
            <w:vAlign w:val="center"/>
          </w:tcPr>
          <w:p>
            <w:pPr>
              <w:spacing w:line="300" w:lineRule="auto"/>
              <w:jc w:val="center"/>
              <w:rPr>
                <w:rFonts w:ascii="黑体" w:eastAsia="黑体"/>
                <w:b/>
                <w:sz w:val="24"/>
                <w:highlight w:val="none"/>
              </w:rPr>
            </w:pPr>
          </w:p>
        </w:tc>
        <w:tc>
          <w:tcPr>
            <w:tcW w:w="720" w:type="dxa"/>
            <w:noWrap/>
            <w:vAlign w:val="center"/>
          </w:tcPr>
          <w:p>
            <w:pPr>
              <w:spacing w:line="300" w:lineRule="auto"/>
              <w:jc w:val="center"/>
              <w:rPr>
                <w:rFonts w:ascii="黑体" w:eastAsia="黑体"/>
                <w:b/>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6" w:type="dxa"/>
            <w:noWrap/>
            <w:vAlign w:val="center"/>
          </w:tcPr>
          <w:p>
            <w:pPr>
              <w:spacing w:line="300" w:lineRule="auto"/>
              <w:jc w:val="center"/>
              <w:rPr>
                <w:rFonts w:ascii="黑体" w:eastAsia="黑体"/>
                <w:b/>
                <w:sz w:val="24"/>
                <w:highlight w:val="none"/>
              </w:rPr>
            </w:pPr>
          </w:p>
        </w:tc>
        <w:tc>
          <w:tcPr>
            <w:tcW w:w="1024" w:type="dxa"/>
            <w:noWrap/>
            <w:vAlign w:val="center"/>
          </w:tcPr>
          <w:p>
            <w:pPr>
              <w:spacing w:line="300" w:lineRule="auto"/>
              <w:jc w:val="center"/>
              <w:rPr>
                <w:rFonts w:ascii="黑体" w:eastAsia="黑体"/>
                <w:b/>
                <w:sz w:val="24"/>
                <w:highlight w:val="none"/>
              </w:rPr>
            </w:pPr>
          </w:p>
        </w:tc>
        <w:tc>
          <w:tcPr>
            <w:tcW w:w="900" w:type="dxa"/>
            <w:noWrap/>
            <w:vAlign w:val="center"/>
          </w:tcPr>
          <w:p>
            <w:pPr>
              <w:spacing w:line="300" w:lineRule="auto"/>
              <w:jc w:val="center"/>
              <w:rPr>
                <w:rFonts w:ascii="黑体" w:eastAsia="黑体"/>
                <w:b/>
                <w:sz w:val="24"/>
                <w:highlight w:val="none"/>
              </w:rPr>
            </w:pPr>
          </w:p>
        </w:tc>
        <w:tc>
          <w:tcPr>
            <w:tcW w:w="540" w:type="dxa"/>
            <w:noWrap/>
            <w:vAlign w:val="center"/>
          </w:tcPr>
          <w:p>
            <w:pPr>
              <w:spacing w:line="300" w:lineRule="auto"/>
              <w:jc w:val="center"/>
              <w:rPr>
                <w:rFonts w:ascii="黑体" w:eastAsia="黑体"/>
                <w:b/>
                <w:sz w:val="24"/>
                <w:highlight w:val="none"/>
              </w:rPr>
            </w:pPr>
          </w:p>
        </w:tc>
        <w:tc>
          <w:tcPr>
            <w:tcW w:w="900" w:type="dxa"/>
            <w:noWrap/>
            <w:vAlign w:val="center"/>
          </w:tcPr>
          <w:p>
            <w:pPr>
              <w:spacing w:line="300" w:lineRule="auto"/>
              <w:jc w:val="center"/>
              <w:rPr>
                <w:rFonts w:ascii="黑体" w:eastAsia="黑体"/>
                <w:b/>
                <w:sz w:val="24"/>
                <w:highlight w:val="none"/>
              </w:rPr>
            </w:pPr>
          </w:p>
        </w:tc>
        <w:tc>
          <w:tcPr>
            <w:tcW w:w="720" w:type="dxa"/>
            <w:noWrap/>
            <w:vAlign w:val="center"/>
          </w:tcPr>
          <w:p>
            <w:pPr>
              <w:spacing w:line="300" w:lineRule="auto"/>
              <w:jc w:val="center"/>
              <w:rPr>
                <w:rFonts w:ascii="黑体" w:eastAsia="黑体"/>
                <w:b/>
                <w:sz w:val="24"/>
                <w:highlight w:val="none"/>
              </w:rPr>
            </w:pPr>
          </w:p>
        </w:tc>
        <w:tc>
          <w:tcPr>
            <w:tcW w:w="900" w:type="dxa"/>
            <w:noWrap/>
            <w:vAlign w:val="center"/>
          </w:tcPr>
          <w:p>
            <w:pPr>
              <w:spacing w:line="300" w:lineRule="auto"/>
              <w:jc w:val="center"/>
              <w:rPr>
                <w:rFonts w:ascii="黑体" w:eastAsia="黑体"/>
                <w:b/>
                <w:sz w:val="24"/>
                <w:highlight w:val="none"/>
              </w:rPr>
            </w:pPr>
          </w:p>
        </w:tc>
        <w:tc>
          <w:tcPr>
            <w:tcW w:w="1260" w:type="dxa"/>
            <w:noWrap/>
            <w:vAlign w:val="center"/>
          </w:tcPr>
          <w:p>
            <w:pPr>
              <w:spacing w:line="300" w:lineRule="auto"/>
              <w:jc w:val="center"/>
              <w:rPr>
                <w:rFonts w:ascii="黑体" w:eastAsia="黑体"/>
                <w:b/>
                <w:sz w:val="24"/>
                <w:highlight w:val="none"/>
              </w:rPr>
            </w:pPr>
          </w:p>
        </w:tc>
        <w:tc>
          <w:tcPr>
            <w:tcW w:w="1800" w:type="dxa"/>
            <w:noWrap/>
            <w:vAlign w:val="center"/>
          </w:tcPr>
          <w:p>
            <w:pPr>
              <w:spacing w:line="300" w:lineRule="auto"/>
              <w:jc w:val="center"/>
              <w:rPr>
                <w:rFonts w:ascii="黑体" w:eastAsia="黑体"/>
                <w:b/>
                <w:sz w:val="24"/>
                <w:highlight w:val="none"/>
              </w:rPr>
            </w:pPr>
          </w:p>
        </w:tc>
        <w:tc>
          <w:tcPr>
            <w:tcW w:w="720" w:type="dxa"/>
            <w:noWrap/>
            <w:vAlign w:val="center"/>
          </w:tcPr>
          <w:p>
            <w:pPr>
              <w:spacing w:line="300" w:lineRule="auto"/>
              <w:jc w:val="center"/>
              <w:rPr>
                <w:rFonts w:ascii="黑体" w:eastAsia="黑体"/>
                <w:b/>
                <w:sz w:val="24"/>
                <w:highlight w:val="none"/>
              </w:rPr>
            </w:pPr>
          </w:p>
        </w:tc>
        <w:tc>
          <w:tcPr>
            <w:tcW w:w="720" w:type="dxa"/>
            <w:noWrap/>
            <w:vAlign w:val="center"/>
          </w:tcPr>
          <w:p>
            <w:pPr>
              <w:spacing w:line="300" w:lineRule="auto"/>
              <w:jc w:val="center"/>
              <w:rPr>
                <w:rFonts w:ascii="黑体" w:eastAsia="黑体"/>
                <w:b/>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6" w:type="dxa"/>
            <w:noWrap/>
            <w:vAlign w:val="center"/>
          </w:tcPr>
          <w:p>
            <w:pPr>
              <w:spacing w:line="300" w:lineRule="auto"/>
              <w:jc w:val="center"/>
              <w:rPr>
                <w:rFonts w:ascii="黑体" w:eastAsia="黑体"/>
                <w:b/>
                <w:sz w:val="24"/>
                <w:highlight w:val="none"/>
              </w:rPr>
            </w:pPr>
          </w:p>
        </w:tc>
        <w:tc>
          <w:tcPr>
            <w:tcW w:w="1024" w:type="dxa"/>
            <w:noWrap/>
            <w:vAlign w:val="center"/>
          </w:tcPr>
          <w:p>
            <w:pPr>
              <w:spacing w:line="300" w:lineRule="auto"/>
              <w:jc w:val="center"/>
              <w:rPr>
                <w:rFonts w:ascii="黑体" w:eastAsia="黑体"/>
                <w:b/>
                <w:sz w:val="24"/>
                <w:highlight w:val="none"/>
              </w:rPr>
            </w:pPr>
          </w:p>
        </w:tc>
        <w:tc>
          <w:tcPr>
            <w:tcW w:w="900" w:type="dxa"/>
            <w:noWrap/>
            <w:vAlign w:val="center"/>
          </w:tcPr>
          <w:p>
            <w:pPr>
              <w:spacing w:line="300" w:lineRule="auto"/>
              <w:jc w:val="center"/>
              <w:rPr>
                <w:rFonts w:ascii="黑体" w:eastAsia="黑体"/>
                <w:b/>
                <w:sz w:val="24"/>
                <w:highlight w:val="none"/>
              </w:rPr>
            </w:pPr>
          </w:p>
        </w:tc>
        <w:tc>
          <w:tcPr>
            <w:tcW w:w="540" w:type="dxa"/>
            <w:noWrap/>
            <w:vAlign w:val="center"/>
          </w:tcPr>
          <w:p>
            <w:pPr>
              <w:spacing w:line="300" w:lineRule="auto"/>
              <w:jc w:val="center"/>
              <w:rPr>
                <w:rFonts w:ascii="黑体" w:eastAsia="黑体"/>
                <w:b/>
                <w:sz w:val="24"/>
                <w:highlight w:val="none"/>
              </w:rPr>
            </w:pPr>
          </w:p>
        </w:tc>
        <w:tc>
          <w:tcPr>
            <w:tcW w:w="900" w:type="dxa"/>
            <w:noWrap/>
            <w:vAlign w:val="center"/>
          </w:tcPr>
          <w:p>
            <w:pPr>
              <w:spacing w:line="300" w:lineRule="auto"/>
              <w:jc w:val="center"/>
              <w:rPr>
                <w:rFonts w:ascii="黑体" w:eastAsia="黑体"/>
                <w:b/>
                <w:sz w:val="24"/>
                <w:highlight w:val="none"/>
              </w:rPr>
            </w:pPr>
          </w:p>
        </w:tc>
        <w:tc>
          <w:tcPr>
            <w:tcW w:w="720" w:type="dxa"/>
            <w:noWrap/>
            <w:vAlign w:val="center"/>
          </w:tcPr>
          <w:p>
            <w:pPr>
              <w:spacing w:line="300" w:lineRule="auto"/>
              <w:jc w:val="center"/>
              <w:rPr>
                <w:rFonts w:ascii="黑体" w:eastAsia="黑体"/>
                <w:b/>
                <w:sz w:val="24"/>
                <w:highlight w:val="none"/>
              </w:rPr>
            </w:pPr>
          </w:p>
        </w:tc>
        <w:tc>
          <w:tcPr>
            <w:tcW w:w="900" w:type="dxa"/>
            <w:noWrap/>
            <w:vAlign w:val="center"/>
          </w:tcPr>
          <w:p>
            <w:pPr>
              <w:spacing w:line="300" w:lineRule="auto"/>
              <w:jc w:val="center"/>
              <w:rPr>
                <w:rFonts w:ascii="黑体" w:eastAsia="黑体"/>
                <w:b/>
                <w:sz w:val="24"/>
                <w:highlight w:val="none"/>
              </w:rPr>
            </w:pPr>
          </w:p>
        </w:tc>
        <w:tc>
          <w:tcPr>
            <w:tcW w:w="1260" w:type="dxa"/>
            <w:noWrap/>
            <w:vAlign w:val="center"/>
          </w:tcPr>
          <w:p>
            <w:pPr>
              <w:spacing w:line="300" w:lineRule="auto"/>
              <w:jc w:val="center"/>
              <w:rPr>
                <w:rFonts w:ascii="黑体" w:eastAsia="黑体"/>
                <w:b/>
                <w:sz w:val="24"/>
                <w:highlight w:val="none"/>
              </w:rPr>
            </w:pPr>
          </w:p>
        </w:tc>
        <w:tc>
          <w:tcPr>
            <w:tcW w:w="1800" w:type="dxa"/>
            <w:noWrap/>
            <w:vAlign w:val="center"/>
          </w:tcPr>
          <w:p>
            <w:pPr>
              <w:spacing w:line="300" w:lineRule="auto"/>
              <w:jc w:val="center"/>
              <w:rPr>
                <w:rFonts w:ascii="黑体" w:eastAsia="黑体"/>
                <w:b/>
                <w:sz w:val="24"/>
                <w:highlight w:val="none"/>
              </w:rPr>
            </w:pPr>
          </w:p>
        </w:tc>
        <w:tc>
          <w:tcPr>
            <w:tcW w:w="720" w:type="dxa"/>
            <w:noWrap/>
            <w:vAlign w:val="center"/>
          </w:tcPr>
          <w:p>
            <w:pPr>
              <w:spacing w:line="300" w:lineRule="auto"/>
              <w:jc w:val="center"/>
              <w:rPr>
                <w:rFonts w:ascii="黑体" w:eastAsia="黑体"/>
                <w:b/>
                <w:sz w:val="24"/>
                <w:highlight w:val="none"/>
              </w:rPr>
            </w:pPr>
          </w:p>
        </w:tc>
        <w:tc>
          <w:tcPr>
            <w:tcW w:w="720" w:type="dxa"/>
            <w:noWrap/>
            <w:vAlign w:val="center"/>
          </w:tcPr>
          <w:p>
            <w:pPr>
              <w:spacing w:line="300" w:lineRule="auto"/>
              <w:jc w:val="center"/>
              <w:rPr>
                <w:rFonts w:ascii="黑体" w:eastAsia="黑体"/>
                <w:b/>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6" w:type="dxa"/>
            <w:noWrap/>
            <w:vAlign w:val="center"/>
          </w:tcPr>
          <w:p>
            <w:pPr>
              <w:spacing w:line="300" w:lineRule="auto"/>
              <w:jc w:val="center"/>
              <w:rPr>
                <w:rFonts w:ascii="黑体" w:eastAsia="黑体"/>
                <w:b/>
                <w:sz w:val="24"/>
                <w:highlight w:val="none"/>
              </w:rPr>
            </w:pPr>
          </w:p>
        </w:tc>
        <w:tc>
          <w:tcPr>
            <w:tcW w:w="1024" w:type="dxa"/>
            <w:noWrap/>
            <w:vAlign w:val="center"/>
          </w:tcPr>
          <w:p>
            <w:pPr>
              <w:spacing w:line="300" w:lineRule="auto"/>
              <w:jc w:val="center"/>
              <w:rPr>
                <w:rFonts w:ascii="黑体" w:eastAsia="黑体"/>
                <w:b/>
                <w:sz w:val="24"/>
                <w:highlight w:val="none"/>
              </w:rPr>
            </w:pPr>
          </w:p>
        </w:tc>
        <w:tc>
          <w:tcPr>
            <w:tcW w:w="900" w:type="dxa"/>
            <w:noWrap/>
            <w:vAlign w:val="center"/>
          </w:tcPr>
          <w:p>
            <w:pPr>
              <w:spacing w:line="300" w:lineRule="auto"/>
              <w:jc w:val="center"/>
              <w:rPr>
                <w:rFonts w:ascii="黑体" w:eastAsia="黑体"/>
                <w:b/>
                <w:sz w:val="24"/>
                <w:highlight w:val="none"/>
              </w:rPr>
            </w:pPr>
          </w:p>
        </w:tc>
        <w:tc>
          <w:tcPr>
            <w:tcW w:w="540" w:type="dxa"/>
            <w:noWrap/>
            <w:vAlign w:val="center"/>
          </w:tcPr>
          <w:p>
            <w:pPr>
              <w:spacing w:line="300" w:lineRule="auto"/>
              <w:jc w:val="center"/>
              <w:rPr>
                <w:rFonts w:ascii="黑体" w:eastAsia="黑体"/>
                <w:b/>
                <w:sz w:val="24"/>
                <w:highlight w:val="none"/>
              </w:rPr>
            </w:pPr>
          </w:p>
        </w:tc>
        <w:tc>
          <w:tcPr>
            <w:tcW w:w="900" w:type="dxa"/>
            <w:noWrap/>
            <w:vAlign w:val="center"/>
          </w:tcPr>
          <w:p>
            <w:pPr>
              <w:spacing w:line="300" w:lineRule="auto"/>
              <w:jc w:val="center"/>
              <w:rPr>
                <w:rFonts w:ascii="黑体" w:eastAsia="黑体"/>
                <w:b/>
                <w:sz w:val="24"/>
                <w:highlight w:val="none"/>
              </w:rPr>
            </w:pPr>
          </w:p>
        </w:tc>
        <w:tc>
          <w:tcPr>
            <w:tcW w:w="720" w:type="dxa"/>
            <w:noWrap/>
            <w:vAlign w:val="center"/>
          </w:tcPr>
          <w:p>
            <w:pPr>
              <w:spacing w:line="300" w:lineRule="auto"/>
              <w:jc w:val="center"/>
              <w:rPr>
                <w:rFonts w:ascii="黑体" w:eastAsia="黑体"/>
                <w:b/>
                <w:sz w:val="24"/>
                <w:highlight w:val="none"/>
              </w:rPr>
            </w:pPr>
          </w:p>
        </w:tc>
        <w:tc>
          <w:tcPr>
            <w:tcW w:w="900" w:type="dxa"/>
            <w:noWrap/>
            <w:vAlign w:val="center"/>
          </w:tcPr>
          <w:p>
            <w:pPr>
              <w:spacing w:line="300" w:lineRule="auto"/>
              <w:jc w:val="center"/>
              <w:rPr>
                <w:rFonts w:ascii="黑体" w:eastAsia="黑体"/>
                <w:b/>
                <w:sz w:val="24"/>
                <w:highlight w:val="none"/>
              </w:rPr>
            </w:pPr>
          </w:p>
        </w:tc>
        <w:tc>
          <w:tcPr>
            <w:tcW w:w="1260" w:type="dxa"/>
            <w:noWrap/>
            <w:vAlign w:val="center"/>
          </w:tcPr>
          <w:p>
            <w:pPr>
              <w:spacing w:line="300" w:lineRule="auto"/>
              <w:jc w:val="center"/>
              <w:rPr>
                <w:rFonts w:ascii="黑体" w:eastAsia="黑体"/>
                <w:b/>
                <w:sz w:val="24"/>
                <w:highlight w:val="none"/>
              </w:rPr>
            </w:pPr>
          </w:p>
        </w:tc>
        <w:tc>
          <w:tcPr>
            <w:tcW w:w="1800" w:type="dxa"/>
            <w:noWrap/>
            <w:vAlign w:val="center"/>
          </w:tcPr>
          <w:p>
            <w:pPr>
              <w:spacing w:line="300" w:lineRule="auto"/>
              <w:jc w:val="center"/>
              <w:rPr>
                <w:rFonts w:ascii="黑体" w:eastAsia="黑体"/>
                <w:b/>
                <w:sz w:val="24"/>
                <w:highlight w:val="none"/>
              </w:rPr>
            </w:pPr>
          </w:p>
        </w:tc>
        <w:tc>
          <w:tcPr>
            <w:tcW w:w="720" w:type="dxa"/>
            <w:noWrap/>
            <w:vAlign w:val="center"/>
          </w:tcPr>
          <w:p>
            <w:pPr>
              <w:spacing w:line="300" w:lineRule="auto"/>
              <w:jc w:val="center"/>
              <w:rPr>
                <w:rFonts w:ascii="黑体" w:eastAsia="黑体"/>
                <w:b/>
                <w:sz w:val="24"/>
                <w:highlight w:val="none"/>
              </w:rPr>
            </w:pPr>
          </w:p>
        </w:tc>
        <w:tc>
          <w:tcPr>
            <w:tcW w:w="720" w:type="dxa"/>
            <w:noWrap/>
            <w:vAlign w:val="center"/>
          </w:tcPr>
          <w:p>
            <w:pPr>
              <w:spacing w:line="300" w:lineRule="auto"/>
              <w:jc w:val="center"/>
              <w:rPr>
                <w:rFonts w:ascii="黑体" w:eastAsia="黑体"/>
                <w:b/>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16" w:type="dxa"/>
            <w:noWrap/>
            <w:vAlign w:val="center"/>
          </w:tcPr>
          <w:p>
            <w:pPr>
              <w:spacing w:line="300" w:lineRule="auto"/>
              <w:jc w:val="center"/>
              <w:rPr>
                <w:rFonts w:ascii="黑体" w:eastAsia="黑体"/>
                <w:b/>
                <w:sz w:val="24"/>
                <w:highlight w:val="none"/>
              </w:rPr>
            </w:pPr>
          </w:p>
        </w:tc>
        <w:tc>
          <w:tcPr>
            <w:tcW w:w="1024" w:type="dxa"/>
            <w:noWrap/>
            <w:vAlign w:val="center"/>
          </w:tcPr>
          <w:p>
            <w:pPr>
              <w:spacing w:line="300" w:lineRule="auto"/>
              <w:jc w:val="center"/>
              <w:rPr>
                <w:rFonts w:ascii="黑体" w:eastAsia="黑体"/>
                <w:b/>
                <w:sz w:val="24"/>
                <w:highlight w:val="none"/>
              </w:rPr>
            </w:pPr>
          </w:p>
        </w:tc>
        <w:tc>
          <w:tcPr>
            <w:tcW w:w="900" w:type="dxa"/>
            <w:noWrap/>
            <w:vAlign w:val="center"/>
          </w:tcPr>
          <w:p>
            <w:pPr>
              <w:spacing w:line="300" w:lineRule="auto"/>
              <w:jc w:val="center"/>
              <w:rPr>
                <w:rFonts w:ascii="黑体" w:eastAsia="黑体"/>
                <w:b/>
                <w:sz w:val="24"/>
                <w:highlight w:val="none"/>
              </w:rPr>
            </w:pPr>
          </w:p>
        </w:tc>
        <w:tc>
          <w:tcPr>
            <w:tcW w:w="540" w:type="dxa"/>
            <w:noWrap/>
            <w:vAlign w:val="center"/>
          </w:tcPr>
          <w:p>
            <w:pPr>
              <w:spacing w:line="300" w:lineRule="auto"/>
              <w:jc w:val="center"/>
              <w:rPr>
                <w:rFonts w:ascii="黑体" w:eastAsia="黑体"/>
                <w:b/>
                <w:sz w:val="24"/>
                <w:highlight w:val="none"/>
              </w:rPr>
            </w:pPr>
          </w:p>
        </w:tc>
        <w:tc>
          <w:tcPr>
            <w:tcW w:w="900" w:type="dxa"/>
            <w:noWrap/>
            <w:vAlign w:val="center"/>
          </w:tcPr>
          <w:p>
            <w:pPr>
              <w:spacing w:line="300" w:lineRule="auto"/>
              <w:jc w:val="center"/>
              <w:rPr>
                <w:rFonts w:ascii="黑体" w:eastAsia="黑体"/>
                <w:b/>
                <w:sz w:val="24"/>
                <w:highlight w:val="none"/>
              </w:rPr>
            </w:pPr>
          </w:p>
        </w:tc>
        <w:tc>
          <w:tcPr>
            <w:tcW w:w="720" w:type="dxa"/>
            <w:noWrap/>
            <w:vAlign w:val="center"/>
          </w:tcPr>
          <w:p>
            <w:pPr>
              <w:spacing w:line="300" w:lineRule="auto"/>
              <w:jc w:val="center"/>
              <w:rPr>
                <w:rFonts w:ascii="黑体" w:eastAsia="黑体"/>
                <w:b/>
                <w:sz w:val="24"/>
                <w:highlight w:val="none"/>
              </w:rPr>
            </w:pPr>
          </w:p>
        </w:tc>
        <w:tc>
          <w:tcPr>
            <w:tcW w:w="900" w:type="dxa"/>
            <w:noWrap/>
            <w:vAlign w:val="center"/>
          </w:tcPr>
          <w:p>
            <w:pPr>
              <w:spacing w:line="300" w:lineRule="auto"/>
              <w:jc w:val="center"/>
              <w:rPr>
                <w:rFonts w:ascii="黑体" w:eastAsia="黑体"/>
                <w:b/>
                <w:sz w:val="24"/>
                <w:highlight w:val="none"/>
              </w:rPr>
            </w:pPr>
          </w:p>
        </w:tc>
        <w:tc>
          <w:tcPr>
            <w:tcW w:w="1260" w:type="dxa"/>
            <w:noWrap/>
            <w:vAlign w:val="center"/>
          </w:tcPr>
          <w:p>
            <w:pPr>
              <w:spacing w:line="300" w:lineRule="auto"/>
              <w:jc w:val="center"/>
              <w:rPr>
                <w:rFonts w:ascii="黑体" w:eastAsia="黑体"/>
                <w:b/>
                <w:sz w:val="24"/>
                <w:highlight w:val="none"/>
              </w:rPr>
            </w:pPr>
          </w:p>
        </w:tc>
        <w:tc>
          <w:tcPr>
            <w:tcW w:w="1800" w:type="dxa"/>
            <w:noWrap/>
            <w:vAlign w:val="center"/>
          </w:tcPr>
          <w:p>
            <w:pPr>
              <w:spacing w:line="300" w:lineRule="auto"/>
              <w:jc w:val="center"/>
              <w:rPr>
                <w:rFonts w:ascii="黑体" w:eastAsia="黑体"/>
                <w:b/>
                <w:sz w:val="24"/>
                <w:highlight w:val="none"/>
              </w:rPr>
            </w:pPr>
          </w:p>
        </w:tc>
        <w:tc>
          <w:tcPr>
            <w:tcW w:w="720" w:type="dxa"/>
            <w:noWrap/>
            <w:vAlign w:val="center"/>
          </w:tcPr>
          <w:p>
            <w:pPr>
              <w:spacing w:line="300" w:lineRule="auto"/>
              <w:jc w:val="center"/>
              <w:rPr>
                <w:rFonts w:ascii="黑体" w:eastAsia="黑体"/>
                <w:b/>
                <w:sz w:val="24"/>
                <w:highlight w:val="none"/>
              </w:rPr>
            </w:pPr>
          </w:p>
        </w:tc>
        <w:tc>
          <w:tcPr>
            <w:tcW w:w="720" w:type="dxa"/>
            <w:noWrap/>
            <w:vAlign w:val="center"/>
          </w:tcPr>
          <w:p>
            <w:pPr>
              <w:spacing w:line="300" w:lineRule="auto"/>
              <w:jc w:val="center"/>
              <w:rPr>
                <w:rFonts w:ascii="黑体" w:eastAsia="黑体"/>
                <w:b/>
                <w:sz w:val="24"/>
                <w:highlight w:val="none"/>
              </w:rPr>
            </w:pPr>
          </w:p>
        </w:tc>
      </w:tr>
    </w:tbl>
    <w:p>
      <w:pPr>
        <w:spacing w:line="300" w:lineRule="auto"/>
        <w:rPr>
          <w:rFonts w:eastAsia="黑体"/>
          <w:b/>
          <w:sz w:val="24"/>
          <w:highlight w:val="none"/>
        </w:rPr>
      </w:pPr>
    </w:p>
    <w:p>
      <w:pPr>
        <w:spacing w:line="300" w:lineRule="auto"/>
        <w:rPr>
          <w:rFonts w:eastAsia="黑体"/>
          <w:b/>
          <w:sz w:val="24"/>
          <w:highlight w:val="none"/>
        </w:rPr>
      </w:pPr>
      <w:r>
        <w:rPr>
          <w:rFonts w:eastAsia="黑体"/>
          <w:b/>
          <w:sz w:val="24"/>
          <w:highlight w:val="none"/>
        </w:rPr>
        <w:br w:type="page"/>
      </w:r>
      <w:r>
        <w:rPr>
          <w:rFonts w:eastAsia="黑体"/>
          <w:b/>
          <w:sz w:val="24"/>
          <w:highlight w:val="none"/>
        </w:rPr>
        <w:t>附件二： 廉政合同</w:t>
      </w:r>
    </w:p>
    <w:p>
      <w:pPr>
        <w:spacing w:after="120" w:afterLines="50" w:line="360" w:lineRule="auto"/>
        <w:ind w:firstLine="562" w:firstLineChars="200"/>
        <w:jc w:val="center"/>
        <w:rPr>
          <w:b/>
          <w:sz w:val="28"/>
          <w:szCs w:val="28"/>
          <w:highlight w:val="none"/>
        </w:rPr>
      </w:pPr>
      <w:r>
        <w:rPr>
          <w:b/>
          <w:sz w:val="28"/>
          <w:szCs w:val="28"/>
          <w:highlight w:val="none"/>
        </w:rPr>
        <w:t>廉政合同</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根据交通部《关于在交通基础设施建设中加强廉政建设的若干意见》以及有关工程建设、廉政建设的规定，为做好工程建设中的党风廉政建设，保证工程建设高效优质，保证建设资金的安全和有效使用以及投资效益，</w:t>
      </w:r>
      <w:r>
        <w:rPr>
          <w:rFonts w:hint="eastAsia" w:ascii="宋体" w:hAnsi="宋体" w:cs="宋体"/>
          <w:szCs w:val="21"/>
          <w:highlight w:val="none"/>
          <w:u w:val="single"/>
        </w:rPr>
        <w:t>2024年南通市农村公路路面技术状况自动化检评数据市级抽核项目2024NLJCFH合同段</w:t>
      </w:r>
      <w:r>
        <w:rPr>
          <w:rFonts w:hint="eastAsia" w:ascii="宋体" w:hAnsi="宋体" w:cs="宋体"/>
          <w:szCs w:val="21"/>
          <w:highlight w:val="none"/>
        </w:rPr>
        <w:t>的委托人</w:t>
      </w:r>
      <w:r>
        <w:rPr>
          <w:rFonts w:hint="eastAsia" w:ascii="宋体" w:hAnsi="宋体" w:cs="宋体"/>
          <w:szCs w:val="21"/>
          <w:highlight w:val="none"/>
          <w:u w:val="single"/>
        </w:rPr>
        <w:t>南通市公路事业发展中心</w:t>
      </w:r>
      <w:r>
        <w:rPr>
          <w:rFonts w:hint="eastAsia" w:ascii="宋体" w:hAnsi="宋体" w:cs="宋体"/>
          <w:spacing w:val="18"/>
          <w:szCs w:val="21"/>
          <w:highlight w:val="none"/>
          <w:u w:val="single"/>
        </w:rPr>
        <w:t>（委托人全称）</w:t>
      </w:r>
      <w:r>
        <w:rPr>
          <w:rFonts w:hint="eastAsia" w:ascii="宋体" w:hAnsi="宋体" w:cs="宋体"/>
          <w:spacing w:val="18"/>
          <w:szCs w:val="21"/>
          <w:highlight w:val="none"/>
        </w:rPr>
        <w:t>(以下简称“委托人”)</w:t>
      </w:r>
      <w:r>
        <w:rPr>
          <w:rFonts w:hint="eastAsia" w:ascii="宋体" w:hAnsi="宋体" w:cs="宋体"/>
          <w:szCs w:val="21"/>
          <w:highlight w:val="none"/>
        </w:rPr>
        <w:t>与受托人</w:t>
      </w:r>
      <w:r>
        <w:rPr>
          <w:rFonts w:hint="eastAsia" w:ascii="宋体" w:hAnsi="宋体" w:cs="宋体"/>
          <w:szCs w:val="21"/>
          <w:highlight w:val="none"/>
          <w:u w:val="single"/>
        </w:rPr>
        <w:t>（全称）</w:t>
      </w:r>
      <w:r>
        <w:rPr>
          <w:rFonts w:hint="eastAsia" w:ascii="宋体" w:hAnsi="宋体" w:cs="宋体"/>
          <w:szCs w:val="21"/>
          <w:highlight w:val="none"/>
        </w:rPr>
        <w:t>（以下简称“受托人”），特订立如下合同。</w:t>
      </w:r>
    </w:p>
    <w:p>
      <w:pPr>
        <w:spacing w:line="360" w:lineRule="auto"/>
        <w:ind w:firstLine="422" w:firstLineChars="200"/>
        <w:rPr>
          <w:rFonts w:ascii="宋体" w:hAnsi="宋体" w:cs="宋体"/>
          <w:szCs w:val="21"/>
          <w:highlight w:val="none"/>
        </w:rPr>
      </w:pPr>
      <w:r>
        <w:rPr>
          <w:rFonts w:hint="eastAsia" w:ascii="宋体" w:hAnsi="宋体" w:cs="宋体"/>
          <w:b/>
          <w:szCs w:val="21"/>
          <w:highlight w:val="none"/>
        </w:rPr>
        <w:t xml:space="preserve">第一条 </w:t>
      </w:r>
      <w:r>
        <w:rPr>
          <w:rFonts w:hint="eastAsia" w:ascii="宋体" w:hAnsi="宋体" w:cs="宋体"/>
          <w:szCs w:val="21"/>
          <w:highlight w:val="none"/>
        </w:rPr>
        <w:t>甲乙双方的权利和义务</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（一）严格遵守党和国家有关法律法规及交通部的有关规定。</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（二）严格执行</w:t>
      </w:r>
      <w:r>
        <w:rPr>
          <w:rFonts w:hint="eastAsia" w:ascii="宋体" w:hAnsi="宋体" w:cs="宋体"/>
          <w:szCs w:val="21"/>
          <w:highlight w:val="none"/>
          <w:u w:val="single"/>
        </w:rPr>
        <w:t>2024年南通市农村公路路面技术状况自动化检评数据市级抽核项目2024NLJCFH合同段</w:t>
      </w:r>
      <w:r>
        <w:rPr>
          <w:rFonts w:hint="eastAsia" w:ascii="宋体" w:hAnsi="宋体" w:cs="宋体"/>
          <w:szCs w:val="21"/>
          <w:highlight w:val="none"/>
        </w:rPr>
        <w:t>检测的合同文件，自觉按合同办事。</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（三）双方的业务活动坚持公开、公正、诚信、透明的原则（除法律认定的商业秘密和合同文件另有规定之外），不得损害国家和集体利益，违反工程建设管理规章制度。</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（四）建立健全廉政制度，开展廉政教育，设立廉政告示牌，公布举报电话，监督并认真查处违法违纪行为。</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（五）发现对方在业务活动中有违反廉政规定的行为，有及时提醒对方纠正的权利和义务。</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（六）发现对方严重违反本合同义务条款的行为，有向其上级有关部门举报、建议给予处理并要求告知处理结果的权利。</w:t>
      </w:r>
    </w:p>
    <w:p>
      <w:pPr>
        <w:spacing w:line="360" w:lineRule="auto"/>
        <w:ind w:firstLine="422" w:firstLineChars="200"/>
        <w:rPr>
          <w:rFonts w:ascii="宋体" w:hAnsi="宋体" w:cs="宋体"/>
          <w:szCs w:val="21"/>
          <w:highlight w:val="none"/>
        </w:rPr>
      </w:pPr>
      <w:r>
        <w:rPr>
          <w:rFonts w:hint="eastAsia" w:ascii="宋体" w:hAnsi="宋体" w:cs="宋体"/>
          <w:b/>
          <w:szCs w:val="21"/>
          <w:highlight w:val="none"/>
        </w:rPr>
        <w:t xml:space="preserve">第二条 </w:t>
      </w:r>
      <w:r>
        <w:rPr>
          <w:rFonts w:hint="eastAsia" w:ascii="宋体" w:hAnsi="宋体" w:cs="宋体"/>
          <w:szCs w:val="21"/>
          <w:highlight w:val="none"/>
        </w:rPr>
        <w:t>委托人的义务</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（一）委托人及其工作人员不得索要或接受受托人的礼金、有价证券和贵重物品，不得在受托人报销任何应由委托人或个人支付的费用等。</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（二）委托人工作人员不得参加受托人安排的宴请和娱乐活动；不得接受受托人提供的通讯工具、交通工具和办公用品等。</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（三）委托人及其工作人员不得要求或者接受受托人为其住房装修、婚丧嫁娶活动、配偶子女的工作安排以及出国出境、旅游等提供方便等。</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（四）委托人工作人员的配偶、子女不得从事与委托人工程有关的检测分包项目。</w:t>
      </w:r>
    </w:p>
    <w:p>
      <w:pPr>
        <w:spacing w:line="360" w:lineRule="auto"/>
        <w:ind w:firstLine="422" w:firstLineChars="200"/>
        <w:rPr>
          <w:rFonts w:ascii="宋体" w:hAnsi="宋体" w:cs="宋体"/>
          <w:szCs w:val="21"/>
          <w:highlight w:val="none"/>
        </w:rPr>
      </w:pPr>
      <w:r>
        <w:rPr>
          <w:rFonts w:hint="eastAsia" w:ascii="宋体" w:hAnsi="宋体" w:cs="宋体"/>
          <w:b/>
          <w:szCs w:val="21"/>
          <w:highlight w:val="none"/>
        </w:rPr>
        <w:t xml:space="preserve">第三条 </w:t>
      </w:r>
      <w:r>
        <w:rPr>
          <w:rFonts w:hint="eastAsia" w:ascii="宋体" w:hAnsi="宋体" w:cs="宋体"/>
          <w:szCs w:val="21"/>
          <w:highlight w:val="none"/>
        </w:rPr>
        <w:t>受托人义务</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（一）受托人不得以任何理由向委托人及其工作人员行贿或馈赠礼金、有价证券、贵重礼品。</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（二）受托人不得以任何名义为委托人及其工作人员报销应由委托人单位或个人支付的任何费用。</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（三）受托人不得以任何理由安排委托人工作人员参加宴请及娱乐活动。</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（四）受托人不得为委托人单位和个人购置或提供通讯工具、交通工具和办公用品等。</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（五）受托人及其工作人员不得索取或接受工作关系单位的礼金、有价证券和贵重物品，不得在工作关系报销任何应由受托人或个人支付的费用。</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（六）受托人及其工作人员必须严格按照检测规程办事，不得损害委托人利益。</w:t>
      </w:r>
    </w:p>
    <w:p>
      <w:pPr>
        <w:spacing w:line="360" w:lineRule="auto"/>
        <w:ind w:firstLine="422" w:firstLineChars="200"/>
        <w:rPr>
          <w:rFonts w:ascii="宋体" w:hAnsi="宋体" w:cs="宋体"/>
          <w:szCs w:val="21"/>
          <w:highlight w:val="none"/>
        </w:rPr>
      </w:pPr>
      <w:r>
        <w:rPr>
          <w:rFonts w:hint="eastAsia" w:ascii="宋体" w:hAnsi="宋体" w:cs="宋体"/>
          <w:b/>
          <w:szCs w:val="21"/>
          <w:highlight w:val="none"/>
        </w:rPr>
        <w:t xml:space="preserve">第四条 </w:t>
      </w:r>
      <w:r>
        <w:rPr>
          <w:rFonts w:hint="eastAsia" w:ascii="宋体" w:hAnsi="宋体" w:cs="宋体"/>
          <w:szCs w:val="21"/>
          <w:highlight w:val="none"/>
        </w:rPr>
        <w:t>违约责任</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（一）委托人及其工作人员违反本合同第一、二条；按管理权限，依据有关规定给予党纪、政纪或组织处理；涉嫌犯罪的，移交司法机关追究刑事责任；给受托人单位造成经济损失的，应予以赔偿。</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（二）受托人及其工作人员违反本合同第一、三条，按管理权限依据有关规定，给予党纪、政纪或组织处理；给委托人单位造成经济损失的，应予以赔偿；</w:t>
      </w:r>
      <w:r>
        <w:rPr>
          <w:rFonts w:hint="eastAsia" w:ascii="宋体" w:hAnsi="宋体"/>
          <w:highlight w:val="none"/>
        </w:rPr>
        <w:t>并按照违纪违法认定金额的双倍承担违约金。合同款项未完全支付的，违约金在支付时予以扣减；合同款已支付</w:t>
      </w:r>
      <w:r>
        <w:rPr>
          <w:rFonts w:hint="eastAsia" w:ascii="宋体" w:hAnsi="宋体" w:cs="宋体"/>
          <w:szCs w:val="21"/>
          <w:highlight w:val="none"/>
        </w:rPr>
        <w:t>受托人</w:t>
      </w:r>
      <w:r>
        <w:rPr>
          <w:rFonts w:hint="eastAsia" w:ascii="宋体" w:hAnsi="宋体"/>
          <w:highlight w:val="none"/>
        </w:rPr>
        <w:t>或未支付款不足以支付违约金的，</w:t>
      </w:r>
      <w:r>
        <w:rPr>
          <w:rFonts w:hint="eastAsia" w:ascii="宋体" w:hAnsi="宋体" w:cs="宋体"/>
          <w:szCs w:val="21"/>
          <w:highlight w:val="none"/>
        </w:rPr>
        <w:t>受托人</w:t>
      </w:r>
      <w:r>
        <w:rPr>
          <w:rFonts w:hint="eastAsia" w:ascii="宋体" w:hAnsi="宋体"/>
          <w:highlight w:val="none"/>
        </w:rPr>
        <w:t>另行支付违约金。情节严重的，</w:t>
      </w:r>
      <w:r>
        <w:rPr>
          <w:rFonts w:hint="eastAsia" w:ascii="宋体" w:hAnsi="宋体" w:cs="宋体"/>
          <w:szCs w:val="21"/>
          <w:highlight w:val="none"/>
        </w:rPr>
        <w:t>委托人建议交通工程建设主管部门给予受托人一至三年内不得进入其主管的交通工程建设市场的处罚。</w:t>
      </w:r>
    </w:p>
    <w:p>
      <w:pPr>
        <w:spacing w:line="360" w:lineRule="auto"/>
        <w:ind w:firstLine="422" w:firstLineChars="200"/>
        <w:rPr>
          <w:rFonts w:ascii="宋体" w:hAnsi="宋体" w:cs="宋体"/>
          <w:szCs w:val="21"/>
          <w:highlight w:val="none"/>
        </w:rPr>
      </w:pPr>
      <w:r>
        <w:rPr>
          <w:rFonts w:hint="eastAsia" w:ascii="宋体" w:hAnsi="宋体" w:cs="宋体"/>
          <w:b/>
          <w:szCs w:val="21"/>
          <w:highlight w:val="none"/>
        </w:rPr>
        <w:t xml:space="preserve">第五条 </w:t>
      </w:r>
      <w:r>
        <w:rPr>
          <w:rFonts w:hint="eastAsia" w:ascii="宋体" w:hAnsi="宋体" w:cs="宋体"/>
          <w:szCs w:val="21"/>
          <w:highlight w:val="none"/>
        </w:rPr>
        <w:t>本合同有效期为双方签署之日起至该工程项目交工验收后止。</w:t>
      </w:r>
    </w:p>
    <w:p>
      <w:pPr>
        <w:spacing w:line="360" w:lineRule="auto"/>
        <w:ind w:firstLine="422" w:firstLineChars="200"/>
        <w:rPr>
          <w:rFonts w:ascii="宋体" w:hAnsi="宋体" w:cs="宋体"/>
          <w:szCs w:val="21"/>
          <w:highlight w:val="none"/>
        </w:rPr>
      </w:pPr>
      <w:r>
        <w:rPr>
          <w:rFonts w:hint="eastAsia" w:ascii="宋体" w:hAnsi="宋体" w:cs="宋体"/>
          <w:b/>
          <w:szCs w:val="21"/>
          <w:highlight w:val="none"/>
        </w:rPr>
        <w:t xml:space="preserve">第六条 </w:t>
      </w:r>
      <w:r>
        <w:rPr>
          <w:rFonts w:hint="eastAsia" w:ascii="宋体" w:hAnsi="宋体" w:cs="宋体"/>
          <w:szCs w:val="21"/>
          <w:highlight w:val="none"/>
        </w:rPr>
        <w:t>本合同作为工程检测合同的附件，与工程检测合同具有同等的法律效力，经合同双方签署立即生效。</w:t>
      </w:r>
    </w:p>
    <w:p>
      <w:pPr>
        <w:spacing w:line="360" w:lineRule="auto"/>
        <w:ind w:firstLine="422" w:firstLineChars="200"/>
        <w:rPr>
          <w:rFonts w:ascii="宋体" w:hAnsi="宋体" w:cs="宋体"/>
          <w:szCs w:val="21"/>
          <w:highlight w:val="none"/>
        </w:rPr>
      </w:pPr>
      <w:r>
        <w:rPr>
          <w:rFonts w:hint="eastAsia" w:ascii="宋体" w:hAnsi="宋体" w:cs="宋体"/>
          <w:b/>
          <w:szCs w:val="21"/>
          <w:highlight w:val="none"/>
        </w:rPr>
        <w:t xml:space="preserve">第七条 </w:t>
      </w:r>
      <w:r>
        <w:rPr>
          <w:rFonts w:hint="eastAsia"/>
          <w:szCs w:val="21"/>
          <w:highlight w:val="none"/>
        </w:rPr>
        <w:t>本合同一式陆份，由发包人和承包人各执叁份</w:t>
      </w:r>
      <w:r>
        <w:rPr>
          <w:szCs w:val="21"/>
          <w:highlight w:val="none"/>
        </w:rPr>
        <w:t>。</w:t>
      </w:r>
    </w:p>
    <w:p>
      <w:pPr>
        <w:spacing w:after="120" w:afterLines="50" w:line="360" w:lineRule="exact"/>
        <w:ind w:firstLine="422" w:firstLineChars="200"/>
        <w:rPr>
          <w:rFonts w:ascii="宋体" w:hAnsi="宋体" w:cs="宋体"/>
          <w:b/>
          <w:szCs w:val="21"/>
          <w:highlight w:val="none"/>
        </w:rPr>
      </w:pPr>
    </w:p>
    <w:p>
      <w:pPr>
        <w:spacing w:after="120" w:afterLines="50" w:line="360" w:lineRule="exact"/>
        <w:ind w:firstLine="422" w:firstLineChars="200"/>
        <w:rPr>
          <w:rFonts w:ascii="宋体" w:hAnsi="宋体" w:cs="宋体"/>
          <w:b/>
          <w:szCs w:val="21"/>
          <w:highlight w:val="none"/>
        </w:rPr>
      </w:pPr>
    </w:p>
    <w:p>
      <w:pPr>
        <w:spacing w:after="120" w:afterLines="50" w:line="360" w:lineRule="exact"/>
        <w:ind w:firstLine="422" w:firstLineChars="200"/>
        <w:rPr>
          <w:rFonts w:ascii="宋体" w:hAnsi="宋体" w:cs="宋体"/>
          <w:b/>
          <w:szCs w:val="21"/>
          <w:highlight w:val="none"/>
        </w:rPr>
      </w:pPr>
    </w:p>
    <w:p>
      <w:pPr>
        <w:spacing w:after="120" w:afterLines="50" w:line="360" w:lineRule="exact"/>
        <w:ind w:firstLine="422" w:firstLineChars="200"/>
        <w:rPr>
          <w:rFonts w:ascii="宋体" w:hAnsi="宋体" w:cs="宋体"/>
          <w:b/>
          <w:szCs w:val="21"/>
          <w:highlight w:val="none"/>
        </w:rPr>
      </w:pPr>
    </w:p>
    <w:p>
      <w:pPr>
        <w:spacing w:after="120" w:afterLines="50" w:line="460" w:lineRule="exact"/>
        <w:rPr>
          <w:szCs w:val="21"/>
          <w:highlight w:val="none"/>
          <w:u w:val="single"/>
        </w:rPr>
      </w:pPr>
      <w:r>
        <w:rPr>
          <w:szCs w:val="21"/>
          <w:highlight w:val="none"/>
        </w:rPr>
        <w:t>委托人:</w:t>
      </w:r>
      <w:r>
        <w:rPr>
          <w:szCs w:val="21"/>
          <w:highlight w:val="none"/>
          <w:u w:val="single"/>
        </w:rPr>
        <w:t xml:space="preserve"> （全称） （盖章）  </w:t>
      </w:r>
      <w:r>
        <w:rPr>
          <w:szCs w:val="21"/>
          <w:highlight w:val="none"/>
        </w:rPr>
        <w:t xml:space="preserve">　    　 </w:t>
      </w:r>
      <w:r>
        <w:rPr>
          <w:rFonts w:hint="eastAsia"/>
          <w:szCs w:val="21"/>
          <w:highlight w:val="none"/>
        </w:rPr>
        <w:t xml:space="preserve">  受托人</w:t>
      </w:r>
      <w:r>
        <w:rPr>
          <w:szCs w:val="21"/>
          <w:highlight w:val="none"/>
        </w:rPr>
        <w:t>:</w:t>
      </w:r>
      <w:r>
        <w:rPr>
          <w:szCs w:val="21"/>
          <w:highlight w:val="none"/>
          <w:u w:val="single"/>
        </w:rPr>
        <w:t xml:space="preserve"> （全称） （盖章）</w:t>
      </w:r>
    </w:p>
    <w:p>
      <w:pPr>
        <w:spacing w:line="460" w:lineRule="exact"/>
        <w:ind w:right="468"/>
        <w:jc w:val="left"/>
        <w:rPr>
          <w:szCs w:val="21"/>
          <w:highlight w:val="none"/>
        </w:rPr>
      </w:pPr>
      <w:r>
        <w:rPr>
          <w:szCs w:val="21"/>
          <w:highlight w:val="none"/>
        </w:rPr>
        <w:t>法定代表人或其委托代理人：</w:t>
      </w:r>
      <w:r>
        <w:rPr>
          <w:szCs w:val="21"/>
          <w:highlight w:val="none"/>
          <w:u w:val="single"/>
        </w:rPr>
        <w:t>（签字）</w:t>
      </w:r>
      <w:r>
        <w:rPr>
          <w:rFonts w:hint="eastAsia"/>
          <w:szCs w:val="21"/>
          <w:highlight w:val="none"/>
          <w:u w:val="single"/>
        </w:rPr>
        <w:t xml:space="preserve">   </w:t>
      </w:r>
      <w:r>
        <w:rPr>
          <w:szCs w:val="21"/>
          <w:highlight w:val="none"/>
        </w:rPr>
        <w:t>法定代表人或其委托代理人：</w:t>
      </w:r>
      <w:r>
        <w:rPr>
          <w:szCs w:val="21"/>
          <w:highlight w:val="none"/>
          <w:u w:val="single"/>
        </w:rPr>
        <w:t>（签字）</w:t>
      </w:r>
    </w:p>
    <w:p>
      <w:pPr>
        <w:tabs>
          <w:tab w:val="left" w:pos="4395"/>
          <w:tab w:val="left" w:pos="4678"/>
          <w:tab w:val="left" w:pos="4820"/>
        </w:tabs>
        <w:spacing w:line="460" w:lineRule="exact"/>
        <w:ind w:firstLine="360"/>
        <w:rPr>
          <w:szCs w:val="21"/>
          <w:highlight w:val="none"/>
        </w:rPr>
      </w:pPr>
      <w:r>
        <w:rPr>
          <w:szCs w:val="21"/>
          <w:highlight w:val="none"/>
        </w:rPr>
        <w:t xml:space="preserve">年月日  </w:t>
      </w:r>
      <w:r>
        <w:rPr>
          <w:rFonts w:hint="eastAsia"/>
          <w:szCs w:val="21"/>
          <w:highlight w:val="none"/>
        </w:rPr>
        <w:t xml:space="preserve">                                              </w:t>
      </w:r>
      <w:r>
        <w:rPr>
          <w:szCs w:val="21"/>
          <w:highlight w:val="none"/>
        </w:rPr>
        <w:t xml:space="preserve"> 年月日</w:t>
      </w:r>
    </w:p>
    <w:p>
      <w:pPr>
        <w:spacing w:line="280" w:lineRule="exact"/>
        <w:rPr>
          <w:rFonts w:ascii="宋体" w:hAnsi="宋体" w:cs="宋体"/>
          <w:szCs w:val="21"/>
          <w:highlight w:val="none"/>
        </w:rPr>
      </w:pPr>
    </w:p>
    <w:p>
      <w:pPr>
        <w:spacing w:line="280" w:lineRule="exact"/>
        <w:rPr>
          <w:b/>
          <w:sz w:val="24"/>
          <w:highlight w:val="none"/>
        </w:rPr>
      </w:pPr>
    </w:p>
    <w:p>
      <w:pPr>
        <w:spacing w:line="280" w:lineRule="exact"/>
        <w:rPr>
          <w:b/>
          <w:sz w:val="24"/>
          <w:highlight w:val="none"/>
        </w:rPr>
      </w:pPr>
    </w:p>
    <w:p>
      <w:pPr>
        <w:spacing w:line="280" w:lineRule="exact"/>
        <w:rPr>
          <w:b/>
          <w:sz w:val="24"/>
          <w:highlight w:val="none"/>
        </w:rPr>
      </w:pPr>
    </w:p>
    <w:p>
      <w:pPr>
        <w:spacing w:line="280" w:lineRule="exact"/>
        <w:rPr>
          <w:b/>
          <w:sz w:val="24"/>
          <w:highlight w:val="none"/>
        </w:rPr>
      </w:pPr>
    </w:p>
    <w:p>
      <w:pPr>
        <w:spacing w:line="280" w:lineRule="exact"/>
        <w:rPr>
          <w:b/>
          <w:sz w:val="24"/>
          <w:highlight w:val="none"/>
        </w:rPr>
      </w:pPr>
    </w:p>
    <w:p>
      <w:pPr>
        <w:spacing w:line="280" w:lineRule="exact"/>
        <w:rPr>
          <w:b/>
          <w:sz w:val="24"/>
          <w:highlight w:val="none"/>
        </w:rPr>
      </w:pPr>
    </w:p>
    <w:p>
      <w:pPr>
        <w:spacing w:line="280" w:lineRule="exact"/>
        <w:rPr>
          <w:b/>
          <w:sz w:val="24"/>
          <w:highlight w:val="none"/>
        </w:rPr>
      </w:pPr>
    </w:p>
    <w:p>
      <w:pPr>
        <w:spacing w:line="280" w:lineRule="exact"/>
        <w:rPr>
          <w:b/>
          <w:sz w:val="24"/>
          <w:highlight w:val="none"/>
        </w:rPr>
      </w:pPr>
    </w:p>
    <w:p>
      <w:pPr>
        <w:spacing w:line="280" w:lineRule="exact"/>
        <w:rPr>
          <w:b/>
          <w:sz w:val="24"/>
          <w:highlight w:val="none"/>
        </w:rPr>
      </w:pPr>
    </w:p>
    <w:p>
      <w:pPr>
        <w:spacing w:line="280" w:lineRule="exact"/>
        <w:rPr>
          <w:b/>
          <w:sz w:val="24"/>
          <w:highlight w:val="none"/>
        </w:rPr>
      </w:pPr>
    </w:p>
    <w:p>
      <w:pPr>
        <w:spacing w:line="280" w:lineRule="exact"/>
        <w:rPr>
          <w:b/>
          <w:sz w:val="24"/>
          <w:highlight w:val="none"/>
        </w:rPr>
      </w:pPr>
    </w:p>
    <w:p>
      <w:pPr>
        <w:widowControl/>
        <w:jc w:val="left"/>
        <w:rPr>
          <w:rFonts w:eastAsia="黑体"/>
          <w:b/>
          <w:sz w:val="24"/>
          <w:highlight w:val="none"/>
        </w:rPr>
      </w:pPr>
      <w:r>
        <w:rPr>
          <w:rFonts w:eastAsia="黑体"/>
          <w:b/>
          <w:sz w:val="24"/>
          <w:highlight w:val="none"/>
        </w:rPr>
        <w:br w:type="page"/>
      </w:r>
    </w:p>
    <w:p>
      <w:pPr>
        <w:spacing w:line="300" w:lineRule="auto"/>
        <w:rPr>
          <w:rFonts w:eastAsia="黑体"/>
          <w:b/>
          <w:sz w:val="24"/>
          <w:highlight w:val="none"/>
        </w:rPr>
      </w:pPr>
      <w:r>
        <w:rPr>
          <w:rFonts w:eastAsia="黑体"/>
          <w:b/>
          <w:sz w:val="24"/>
          <w:highlight w:val="none"/>
        </w:rPr>
        <w:t>附件三： 安全生产合同</w:t>
      </w:r>
    </w:p>
    <w:p>
      <w:pPr>
        <w:spacing w:after="120" w:afterLines="50" w:line="360" w:lineRule="auto"/>
        <w:ind w:firstLine="562" w:firstLineChars="200"/>
        <w:jc w:val="center"/>
        <w:rPr>
          <w:b/>
          <w:sz w:val="28"/>
          <w:szCs w:val="28"/>
          <w:highlight w:val="none"/>
        </w:rPr>
      </w:pPr>
      <w:r>
        <w:rPr>
          <w:b/>
          <w:sz w:val="28"/>
          <w:szCs w:val="28"/>
          <w:highlight w:val="none"/>
        </w:rPr>
        <w:t>安全生产合同</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为在</w:t>
      </w:r>
      <w:r>
        <w:rPr>
          <w:rFonts w:hint="eastAsia" w:ascii="宋体" w:hAnsi="宋体" w:cs="宋体"/>
          <w:szCs w:val="21"/>
          <w:highlight w:val="none"/>
          <w:u w:val="single"/>
        </w:rPr>
        <w:t>2024年南通市农村公路路面技术状况自动化检评数据市级抽核项目2024NLJCFH合同段</w:t>
      </w:r>
      <w:r>
        <w:rPr>
          <w:rFonts w:hint="eastAsia" w:ascii="宋体" w:hAnsi="宋体" w:cs="宋体"/>
          <w:szCs w:val="21"/>
          <w:highlight w:val="none"/>
        </w:rPr>
        <w:t>合同的实施过程中创造安全、高效的检测环境，切实搞好本项目的安全管理工作，本项目委托人</w:t>
      </w:r>
      <w:r>
        <w:rPr>
          <w:rFonts w:hint="eastAsia" w:ascii="宋体" w:hAnsi="宋体" w:cs="宋体"/>
          <w:szCs w:val="21"/>
          <w:highlight w:val="none"/>
          <w:u w:val="single"/>
        </w:rPr>
        <w:t>南通市公路事业发展中心</w:t>
      </w:r>
      <w:r>
        <w:rPr>
          <w:rFonts w:hint="eastAsia" w:ascii="宋体" w:hAnsi="宋体" w:cs="宋体"/>
          <w:spacing w:val="18"/>
          <w:szCs w:val="21"/>
          <w:highlight w:val="none"/>
          <w:u w:val="single"/>
        </w:rPr>
        <w:t>（委托人全称）</w:t>
      </w:r>
      <w:r>
        <w:rPr>
          <w:rFonts w:hint="eastAsia" w:ascii="宋体" w:hAnsi="宋体" w:cs="宋体"/>
          <w:spacing w:val="18"/>
          <w:szCs w:val="21"/>
          <w:highlight w:val="none"/>
        </w:rPr>
        <w:t>(以下简称“委托人”)</w:t>
      </w:r>
      <w:r>
        <w:rPr>
          <w:rFonts w:hint="eastAsia" w:ascii="宋体" w:hAnsi="宋体" w:cs="宋体"/>
          <w:szCs w:val="21"/>
          <w:highlight w:val="none"/>
        </w:rPr>
        <w:t>与受托人</w:t>
      </w:r>
      <w:r>
        <w:rPr>
          <w:rFonts w:hint="eastAsia" w:ascii="宋体" w:hAnsi="宋体" w:cs="宋体"/>
          <w:szCs w:val="21"/>
          <w:highlight w:val="none"/>
          <w:u w:val="single"/>
        </w:rPr>
        <w:t xml:space="preserve">          （受托人全称）</w:t>
      </w:r>
      <w:r>
        <w:rPr>
          <w:rFonts w:hint="eastAsia" w:ascii="宋体" w:hAnsi="宋体" w:cs="宋体"/>
          <w:szCs w:val="21"/>
          <w:highlight w:val="none"/>
        </w:rPr>
        <w:t>（以下简称“受托人”）特此签订安全生产合同：</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1、委托人职责</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（1）严格遵守国家有关安全生产的法律法规，认真执行工程承包合同中的有关安全要求。</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（2）按照“安全第一、预防为主”和坚持“管生产必须管安全”的原则进行安全生产管理，做到生产与安全工作同时计划、布置、检查、总结和评比。</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（3）重要的安全设施必须坚持与主体工程“三同时”的原则，即：同时设计、审批，同时施工，同时验收，投入使用。</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（4）定期召开安全生产调度会，及时传达中央及地方有关安全生产的精神。</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（5）组织对受托人施工现场进行安全生产检查，监督受托人及时处理发现的各种安全隐患。</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2、受托人职责</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1）严格遵守《中华人民共和国安全生产法》、《建设工程安全生产管理条例》等国家有关安全生产的法律法规、《公路水运工程安全生产监督管理办法》等有关安全生产的规定。认真执行工程承包合同中的有关安全要求。</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2）坚持“安全第一、预防为主”和“管生产必须管安全”的原则，加强安全生产宣传教育，增强全员安全生产意识，建立健全各项安全生产的管理机构和安全生产管理制度，配备专职及兼职安全检查人员，有组织有领导地开展安全生产活动。各级领导、工程技术人员、生产管理人员和具体操作人员，必须熟悉和遵守本合同的各项规定，做到生产与安全工作同时计划、布置、检查、总结和评比。</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3）建立健全安全生产责任制。从派往项目实施的项目经理到生产工人（包括临时雇请的民工）的安全生产管理系统必须做到纵向到底，一环不漏；各职能部门、人员的安全生产责任制做到横向到边，人人有责。项目经理是安全生产的第一责任人。现场设置的安全机构，应按《公路水运工程安全生产监督管理办法》规定的最低数量和资质条件配备专职安全生产管理人员，专职负责所有员工的安全和治安保卫工作及预防事故的发生。安全机构人员有权按有关规定发布指令，并采取保护性措施防止事故发生。</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（4）受托人在任何时候都应采取各种合理的预防措施，防止其员工发生任何违法、违禁、暴力或妨碍治安的行为。</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5）受托人必须具有劳动安全管理部门颁发的安全生产考核合格证书，参加检测的人员，必须接受安全技术教育，熟知和遵守本工种的各项安全技术操作规程，定期进行安全技术考核，合格者方准上岗操作。对于从事电气、起重、建筑登高架设作业、锅炉、压力容器、焊接、机动车船艇驾驶、爆破、潜水、瓦斯检验等特殊工种的人员，经过专业培训，获得《安全操作合格证》后，方准持证上岗。检测现场如出现特种作业无证操作现象时，项目经理必须承担管理责任。</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6）对于易燃易爆的材料除应专门妥善保管之外，还应配备有足够的消防设施，所有检测人员都应熟悉消防设备的性能和使用方法；受托人不得将任何种类的爆炸物给予、易货或以其他方式转让给任何其他人，或允许、容忍上述同样行为。</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（7）操作人员上岗，必须按规定穿戴防护用品。施工负责人和安全检查员应随时检查劳动防护用品的穿戴情况，不按规定穿戴防护用品的人员不得上岗。</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（8）所有检测机具设备和高空作业的设备均应定期检查，并有安全员的签字记录，保证其经常处于完好状态；不合格的机具、设备和劳动保护用品严禁使用。</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（9）检测中采用新技术、新工艺、新设备、新材料时，必须制定相应的安全技术措施，检测现场必须具有相关的安全标志牌。</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10）受托人必须按照本工程项目特点，组织制定本工程实施中的生产安全事故应急救援预案；如果发生安全事故，应按照《国务院关于特大安全事故行政责任追究的规定》以及其他有关规定，及时上报有关部门，并坚持“四不放过”的原则，严肃处理相关责任人。</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（11）安全生产费用按照《公路水运工程安全生产监督管理办法》的相关规定使用和管理。</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3、违约责任</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如因委托人或受托人违约造成安全事故，将依法追究责任。</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4、本合同由双方法定代表人或其授权的代理人签署并加盖单位章后生效，全部工程交工验收后失效。</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5、</w:t>
      </w:r>
      <w:r>
        <w:rPr>
          <w:rFonts w:hint="eastAsia"/>
          <w:szCs w:val="21"/>
          <w:highlight w:val="none"/>
        </w:rPr>
        <w:t>本合同一式陆份，由发包人和承包人各执叁份</w:t>
      </w:r>
      <w:r>
        <w:rPr>
          <w:rFonts w:hint="eastAsia" w:ascii="宋体" w:hAnsi="宋体" w:cs="宋体"/>
          <w:szCs w:val="21"/>
          <w:highlight w:val="none"/>
        </w:rPr>
        <w:t>。</w:t>
      </w:r>
    </w:p>
    <w:p>
      <w:pPr>
        <w:spacing w:line="360" w:lineRule="auto"/>
        <w:ind w:firstLine="630" w:firstLineChars="300"/>
        <w:rPr>
          <w:rFonts w:ascii="宋体" w:hAnsi="宋体" w:cs="宋体"/>
          <w:szCs w:val="21"/>
          <w:highlight w:val="none"/>
        </w:rPr>
      </w:pPr>
    </w:p>
    <w:p>
      <w:pPr>
        <w:spacing w:line="360" w:lineRule="auto"/>
        <w:rPr>
          <w:rFonts w:ascii="宋体" w:hAnsi="宋体" w:cs="宋体"/>
          <w:szCs w:val="21"/>
          <w:highlight w:val="none"/>
        </w:rPr>
      </w:pPr>
      <w:r>
        <w:rPr>
          <w:rFonts w:hint="eastAsia" w:ascii="宋体" w:hAnsi="宋体" w:cs="宋体"/>
          <w:szCs w:val="21"/>
          <w:highlight w:val="none"/>
        </w:rPr>
        <w:t>委托人：（盖单位章）                    受托人：（盖单位章）</w:t>
      </w:r>
    </w:p>
    <w:p>
      <w:pPr>
        <w:spacing w:line="360" w:lineRule="auto"/>
        <w:rPr>
          <w:rFonts w:ascii="宋体" w:hAnsi="宋体" w:cs="宋体"/>
          <w:szCs w:val="21"/>
          <w:highlight w:val="none"/>
        </w:rPr>
      </w:pPr>
      <w:r>
        <w:rPr>
          <w:rFonts w:hint="eastAsia" w:ascii="宋体" w:hAnsi="宋体" w:cs="宋体"/>
          <w:szCs w:val="21"/>
          <w:highlight w:val="none"/>
        </w:rPr>
        <w:t>法定代表人或其委托代理人：（签字）      法定代表人或其委托代理人：（签字）</w:t>
      </w:r>
    </w:p>
    <w:p>
      <w:pPr>
        <w:spacing w:line="360" w:lineRule="auto"/>
        <w:ind w:firstLine="630" w:firstLineChars="300"/>
        <w:rPr>
          <w:rFonts w:ascii="宋体" w:hAnsi="宋体" w:cs="宋体"/>
          <w:szCs w:val="21"/>
          <w:highlight w:val="none"/>
        </w:rPr>
      </w:pPr>
      <w:r>
        <w:rPr>
          <w:rFonts w:hint="eastAsia" w:ascii="宋体" w:hAnsi="宋体" w:cs="宋体"/>
          <w:szCs w:val="21"/>
          <w:highlight w:val="none"/>
        </w:rPr>
        <w:t>年月日                                   年月日</w:t>
      </w:r>
    </w:p>
    <w:p>
      <w:pPr>
        <w:spacing w:line="360" w:lineRule="auto"/>
        <w:ind w:firstLine="630" w:firstLineChars="300"/>
        <w:rPr>
          <w:rFonts w:ascii="Garamond" w:hAnsi="Garamond"/>
          <w:szCs w:val="21"/>
          <w:highlight w:val="none"/>
        </w:rPr>
      </w:pPr>
    </w:p>
    <w:p>
      <w:pPr>
        <w:spacing w:line="280" w:lineRule="exact"/>
        <w:rPr>
          <w:rFonts w:ascii="Garamond" w:hAnsi="Garamond"/>
          <w:sz w:val="24"/>
          <w:highlight w:val="none"/>
        </w:rPr>
      </w:pPr>
    </w:p>
    <w:p>
      <w:pPr>
        <w:spacing w:line="280" w:lineRule="exact"/>
        <w:rPr>
          <w:rFonts w:ascii="Garamond" w:hAnsi="Garamond"/>
          <w:sz w:val="24"/>
          <w:highlight w:val="none"/>
        </w:rPr>
      </w:pPr>
    </w:p>
    <w:p>
      <w:pPr>
        <w:spacing w:line="280" w:lineRule="exact"/>
        <w:rPr>
          <w:rFonts w:ascii="Garamond" w:hAnsi="Garamond"/>
          <w:sz w:val="24"/>
          <w:highlight w:val="none"/>
        </w:rPr>
      </w:pPr>
    </w:p>
    <w:p>
      <w:pPr>
        <w:spacing w:line="280" w:lineRule="exact"/>
        <w:rPr>
          <w:rFonts w:ascii="Garamond" w:hAnsi="Garamond"/>
          <w:sz w:val="24"/>
          <w:highlight w:val="none"/>
        </w:rPr>
      </w:pPr>
    </w:p>
    <w:p>
      <w:pPr>
        <w:spacing w:line="280" w:lineRule="exact"/>
        <w:rPr>
          <w:rFonts w:ascii="Garamond" w:hAnsi="Garamond"/>
          <w:sz w:val="24"/>
          <w:highlight w:val="none"/>
        </w:rPr>
      </w:pPr>
    </w:p>
    <w:p>
      <w:pPr>
        <w:spacing w:line="280" w:lineRule="exact"/>
        <w:rPr>
          <w:rFonts w:ascii="Garamond" w:hAnsi="Garamond"/>
          <w:sz w:val="24"/>
          <w:highlight w:val="none"/>
        </w:rPr>
      </w:pPr>
    </w:p>
    <w:p>
      <w:pPr>
        <w:spacing w:line="280" w:lineRule="exact"/>
        <w:rPr>
          <w:rFonts w:ascii="Garamond" w:hAnsi="Garamond"/>
          <w:sz w:val="24"/>
          <w:highlight w:val="none"/>
        </w:rPr>
      </w:pPr>
    </w:p>
    <w:p>
      <w:pPr>
        <w:rPr>
          <w:rFonts w:ascii="Garamond" w:hAnsi="Garamond" w:eastAsia="黑体"/>
          <w:b/>
          <w:sz w:val="24"/>
          <w:highlight w:val="none"/>
        </w:rPr>
      </w:pPr>
      <w:r>
        <w:rPr>
          <w:rFonts w:ascii="Garamond" w:hAnsi="Garamond" w:eastAsia="黑体"/>
          <w:b/>
          <w:sz w:val="24"/>
          <w:highlight w:val="none"/>
        </w:rPr>
        <w:br w:type="page"/>
      </w:r>
    </w:p>
    <w:p>
      <w:pPr>
        <w:spacing w:line="280" w:lineRule="exact"/>
        <w:ind w:firstLine="6248" w:firstLineChars="1945"/>
        <w:rPr>
          <w:rFonts w:ascii="Garamond" w:hAnsi="Garamond"/>
          <w:b/>
          <w:sz w:val="32"/>
          <w:szCs w:val="32"/>
          <w:highlight w:val="none"/>
        </w:rPr>
      </w:pPr>
    </w:p>
    <w:p>
      <w:pPr>
        <w:spacing w:line="340" w:lineRule="exact"/>
        <w:jc w:val="right"/>
        <w:rPr>
          <w:rFonts w:ascii="Garamond" w:hAnsi="Garamond"/>
          <w:sz w:val="24"/>
          <w:highlight w:val="none"/>
        </w:rPr>
      </w:pPr>
    </w:p>
    <w:p>
      <w:pPr>
        <w:spacing w:line="340" w:lineRule="exact"/>
        <w:jc w:val="right"/>
        <w:rPr>
          <w:rFonts w:ascii="Garamond" w:hAnsi="Garamond"/>
          <w:sz w:val="24"/>
          <w:highlight w:val="none"/>
        </w:rPr>
      </w:pPr>
    </w:p>
    <w:p>
      <w:pPr>
        <w:spacing w:line="340" w:lineRule="exact"/>
        <w:jc w:val="right"/>
        <w:rPr>
          <w:rFonts w:ascii="Garamond" w:hAnsi="Garamond"/>
          <w:sz w:val="24"/>
          <w:highlight w:val="none"/>
        </w:rPr>
      </w:pPr>
    </w:p>
    <w:p>
      <w:pPr>
        <w:spacing w:line="340" w:lineRule="exact"/>
        <w:jc w:val="right"/>
        <w:rPr>
          <w:rFonts w:ascii="Garamond" w:hAnsi="Garamond"/>
          <w:sz w:val="24"/>
          <w:highlight w:val="none"/>
        </w:rPr>
      </w:pPr>
    </w:p>
    <w:p>
      <w:pPr>
        <w:spacing w:line="340" w:lineRule="exact"/>
        <w:jc w:val="right"/>
        <w:rPr>
          <w:rFonts w:ascii="Garamond" w:hAnsi="Garamond"/>
          <w:sz w:val="24"/>
          <w:highlight w:val="none"/>
        </w:rPr>
      </w:pPr>
    </w:p>
    <w:p>
      <w:pPr>
        <w:spacing w:line="340" w:lineRule="exact"/>
        <w:jc w:val="right"/>
        <w:rPr>
          <w:rFonts w:ascii="Garamond" w:hAnsi="Garamond"/>
          <w:sz w:val="24"/>
          <w:highlight w:val="none"/>
        </w:rPr>
      </w:pPr>
    </w:p>
    <w:p>
      <w:pPr>
        <w:spacing w:line="340" w:lineRule="exact"/>
        <w:jc w:val="right"/>
        <w:rPr>
          <w:rFonts w:ascii="Garamond" w:hAnsi="Garamond"/>
          <w:sz w:val="24"/>
          <w:highlight w:val="none"/>
        </w:rPr>
      </w:pPr>
    </w:p>
    <w:p>
      <w:pPr>
        <w:spacing w:line="340" w:lineRule="exact"/>
        <w:jc w:val="right"/>
        <w:rPr>
          <w:rFonts w:ascii="Garamond" w:hAnsi="Garamond"/>
          <w:sz w:val="24"/>
          <w:highlight w:val="none"/>
        </w:rPr>
      </w:pPr>
    </w:p>
    <w:p>
      <w:pPr>
        <w:spacing w:line="340" w:lineRule="exact"/>
        <w:jc w:val="right"/>
        <w:rPr>
          <w:rFonts w:ascii="Garamond" w:hAnsi="Garamond"/>
          <w:sz w:val="24"/>
          <w:highlight w:val="none"/>
        </w:rPr>
      </w:pPr>
    </w:p>
    <w:p>
      <w:pPr>
        <w:spacing w:line="740" w:lineRule="exact"/>
        <w:jc w:val="center"/>
        <w:outlineLvl w:val="0"/>
        <w:rPr>
          <w:rFonts w:ascii="Garamond" w:hAnsi="Garamond"/>
          <w:b/>
          <w:sz w:val="72"/>
          <w:szCs w:val="72"/>
          <w:highlight w:val="none"/>
        </w:rPr>
      </w:pPr>
      <w:bookmarkStart w:id="79" w:name="_Toc353197102"/>
      <w:r>
        <w:rPr>
          <w:rFonts w:ascii="Garamond" w:hAnsi="Garamond"/>
          <w:b/>
          <w:sz w:val="72"/>
          <w:szCs w:val="72"/>
          <w:highlight w:val="none"/>
        </w:rPr>
        <w:t>第 二 卷</w:t>
      </w:r>
      <w:bookmarkEnd w:id="79"/>
    </w:p>
    <w:p>
      <w:pPr>
        <w:spacing w:line="1100" w:lineRule="exact"/>
        <w:jc w:val="center"/>
        <w:rPr>
          <w:rFonts w:ascii="Garamond" w:hAnsi="Garamond"/>
          <w:b/>
          <w:sz w:val="52"/>
          <w:szCs w:val="52"/>
          <w:highlight w:val="none"/>
        </w:rPr>
      </w:pPr>
    </w:p>
    <w:p>
      <w:pPr>
        <w:jc w:val="center"/>
        <w:rPr>
          <w:rFonts w:ascii="Garamond" w:hAnsi="Garamond"/>
          <w:b/>
          <w:sz w:val="32"/>
          <w:szCs w:val="32"/>
          <w:highlight w:val="none"/>
        </w:rPr>
      </w:pPr>
    </w:p>
    <w:p>
      <w:pPr>
        <w:spacing w:line="1100" w:lineRule="exact"/>
        <w:jc w:val="center"/>
        <w:rPr>
          <w:rFonts w:ascii="Garamond" w:hAnsi="Garamond"/>
          <w:b/>
          <w:sz w:val="52"/>
          <w:szCs w:val="52"/>
          <w:highlight w:val="none"/>
        </w:rPr>
      </w:pPr>
    </w:p>
    <w:p>
      <w:pPr>
        <w:spacing w:line="1100" w:lineRule="exact"/>
        <w:jc w:val="center"/>
        <w:rPr>
          <w:rFonts w:ascii="Garamond" w:hAnsi="Garamond"/>
          <w:b/>
          <w:sz w:val="52"/>
          <w:szCs w:val="52"/>
          <w:highlight w:val="none"/>
        </w:rPr>
      </w:pPr>
    </w:p>
    <w:p>
      <w:pPr>
        <w:spacing w:line="1100" w:lineRule="exact"/>
        <w:jc w:val="center"/>
        <w:rPr>
          <w:rFonts w:ascii="Garamond" w:hAnsi="Garamond"/>
          <w:b/>
          <w:sz w:val="52"/>
          <w:szCs w:val="52"/>
          <w:highlight w:val="none"/>
        </w:rPr>
      </w:pPr>
    </w:p>
    <w:p>
      <w:pPr>
        <w:spacing w:line="1100" w:lineRule="exact"/>
        <w:jc w:val="center"/>
        <w:rPr>
          <w:rFonts w:ascii="Garamond" w:hAnsi="Garamond"/>
          <w:b/>
          <w:sz w:val="52"/>
          <w:szCs w:val="52"/>
          <w:highlight w:val="none"/>
        </w:rPr>
      </w:pPr>
    </w:p>
    <w:p>
      <w:pPr>
        <w:spacing w:line="1100" w:lineRule="exact"/>
        <w:jc w:val="center"/>
        <w:rPr>
          <w:rFonts w:ascii="Garamond" w:hAnsi="Garamond"/>
          <w:b/>
          <w:sz w:val="52"/>
          <w:szCs w:val="52"/>
          <w:highlight w:val="none"/>
        </w:rPr>
      </w:pPr>
    </w:p>
    <w:p>
      <w:pPr>
        <w:spacing w:line="1100" w:lineRule="exact"/>
        <w:jc w:val="center"/>
        <w:rPr>
          <w:rFonts w:ascii="Garamond" w:hAnsi="Garamond"/>
          <w:b/>
          <w:sz w:val="52"/>
          <w:szCs w:val="52"/>
          <w:highlight w:val="none"/>
        </w:rPr>
      </w:pPr>
    </w:p>
    <w:p>
      <w:pPr>
        <w:spacing w:line="340" w:lineRule="exact"/>
        <w:jc w:val="right"/>
        <w:rPr>
          <w:rFonts w:ascii="Garamond" w:hAnsi="Garamond"/>
          <w:sz w:val="24"/>
          <w:highlight w:val="none"/>
        </w:rPr>
      </w:pPr>
    </w:p>
    <w:p>
      <w:pPr>
        <w:spacing w:line="340" w:lineRule="exact"/>
        <w:jc w:val="right"/>
        <w:rPr>
          <w:rFonts w:ascii="Garamond" w:hAnsi="Garamond"/>
          <w:sz w:val="24"/>
          <w:highlight w:val="none"/>
        </w:rPr>
      </w:pPr>
    </w:p>
    <w:p>
      <w:pPr>
        <w:spacing w:line="340" w:lineRule="exact"/>
        <w:jc w:val="right"/>
        <w:rPr>
          <w:rFonts w:ascii="Garamond" w:hAnsi="Garamond"/>
          <w:sz w:val="24"/>
          <w:highlight w:val="none"/>
        </w:rPr>
      </w:pPr>
    </w:p>
    <w:p>
      <w:pPr>
        <w:spacing w:line="340" w:lineRule="exact"/>
        <w:jc w:val="right"/>
        <w:rPr>
          <w:rFonts w:ascii="Garamond" w:hAnsi="Garamond"/>
          <w:sz w:val="24"/>
          <w:highlight w:val="none"/>
        </w:rPr>
      </w:pPr>
    </w:p>
    <w:p>
      <w:pPr>
        <w:spacing w:line="340" w:lineRule="exact"/>
        <w:jc w:val="right"/>
        <w:rPr>
          <w:rFonts w:ascii="Garamond" w:hAnsi="Garamond"/>
          <w:sz w:val="24"/>
          <w:highlight w:val="none"/>
        </w:rPr>
      </w:pPr>
    </w:p>
    <w:p>
      <w:pPr>
        <w:pStyle w:val="3"/>
        <w:numPr>
          <w:ilvl w:val="0"/>
          <w:numId w:val="2"/>
        </w:numPr>
        <w:jc w:val="center"/>
        <w:rPr>
          <w:rFonts w:ascii="Garamond" w:hAnsi="Garamond" w:eastAsia="宋体"/>
          <w:sz w:val="48"/>
          <w:szCs w:val="48"/>
          <w:highlight w:val="none"/>
        </w:rPr>
      </w:pPr>
      <w:bookmarkStart w:id="80" w:name="_Toc398192785"/>
      <w:bookmarkStart w:id="81" w:name="_Toc353197103"/>
      <w:r>
        <w:rPr>
          <w:rFonts w:ascii="Garamond" w:hAnsi="Garamond" w:eastAsia="宋体"/>
          <w:sz w:val="48"/>
          <w:szCs w:val="48"/>
          <w:highlight w:val="none"/>
        </w:rPr>
        <w:t xml:space="preserve"> 工程量清单</w:t>
      </w:r>
      <w:bookmarkEnd w:id="80"/>
    </w:p>
    <w:p>
      <w:pPr>
        <w:spacing w:line="360" w:lineRule="auto"/>
        <w:jc w:val="center"/>
        <w:rPr>
          <w:rFonts w:ascii="宋体" w:hAnsi="宋体"/>
          <w:sz w:val="24"/>
          <w:highlight w:val="none"/>
        </w:rPr>
      </w:pPr>
      <w:r>
        <w:rPr>
          <w:rFonts w:hint="eastAsia" w:ascii="宋体" w:hAnsi="宋体"/>
          <w:sz w:val="24"/>
          <w:highlight w:val="none"/>
        </w:rPr>
        <w:t>（本项目为清单报价）</w:t>
      </w:r>
    </w:p>
    <w:p>
      <w:pPr>
        <w:spacing w:line="360" w:lineRule="auto"/>
        <w:rPr>
          <w:highlight w:val="none"/>
        </w:rPr>
      </w:pPr>
    </w:p>
    <w:p>
      <w:pPr>
        <w:rPr>
          <w:rFonts w:ascii="Garamond" w:hAnsi="Garamond"/>
          <w:sz w:val="24"/>
          <w:szCs w:val="20"/>
          <w:highlight w:val="none"/>
        </w:rPr>
      </w:pPr>
    </w:p>
    <w:p>
      <w:pPr>
        <w:pStyle w:val="2"/>
        <w:spacing w:before="120" w:after="120" w:line="600" w:lineRule="exact"/>
        <w:jc w:val="center"/>
        <w:rPr>
          <w:rFonts w:ascii="Garamond" w:hAnsi="Garamond"/>
          <w:highlight w:val="none"/>
        </w:rPr>
        <w:sectPr>
          <w:pgSz w:w="11906" w:h="16838"/>
          <w:pgMar w:top="1417" w:right="1247" w:bottom="1417" w:left="1417" w:header="851" w:footer="680" w:gutter="0"/>
          <w:cols w:space="0" w:num="1"/>
          <w:docGrid w:linePitch="312" w:charSpace="0"/>
        </w:sectPr>
      </w:pPr>
    </w:p>
    <w:p>
      <w:pPr>
        <w:pStyle w:val="2"/>
        <w:spacing w:before="120" w:after="120" w:line="600" w:lineRule="exact"/>
        <w:jc w:val="center"/>
        <w:rPr>
          <w:rFonts w:ascii="Garamond" w:hAnsi="Garamond"/>
          <w:sz w:val="48"/>
          <w:szCs w:val="48"/>
          <w:highlight w:val="none"/>
        </w:rPr>
      </w:pPr>
      <w:r>
        <w:rPr>
          <w:rFonts w:ascii="Garamond" w:hAnsi="Garamond"/>
          <w:sz w:val="48"/>
          <w:szCs w:val="48"/>
          <w:highlight w:val="none"/>
        </w:rPr>
        <w:t>第六章 技术标准和要求</w:t>
      </w:r>
      <w:bookmarkEnd w:id="81"/>
    </w:p>
    <w:p>
      <w:pPr>
        <w:spacing w:line="360" w:lineRule="auto"/>
        <w:rPr>
          <w:rFonts w:ascii="宋体" w:hAnsi="宋体"/>
          <w:szCs w:val="21"/>
          <w:highlight w:val="none"/>
        </w:rPr>
      </w:pPr>
    </w:p>
    <w:p>
      <w:pPr>
        <w:spacing w:line="360" w:lineRule="auto"/>
        <w:rPr>
          <w:rFonts w:ascii="宋体" w:hAnsi="宋体"/>
          <w:szCs w:val="21"/>
          <w:highlight w:val="none"/>
        </w:rPr>
      </w:pPr>
    </w:p>
    <w:p>
      <w:pPr>
        <w:spacing w:line="360" w:lineRule="auto"/>
        <w:rPr>
          <w:rFonts w:ascii="宋体" w:hAnsi="宋体"/>
          <w:szCs w:val="21"/>
          <w:highlight w:val="none"/>
        </w:rPr>
      </w:pPr>
      <w:r>
        <w:rPr>
          <w:rFonts w:hint="eastAsia" w:ascii="宋体" w:hAnsi="宋体"/>
          <w:szCs w:val="21"/>
          <w:highlight w:val="none"/>
        </w:rPr>
        <w:t>一、检测依据及执行标准</w:t>
      </w:r>
    </w:p>
    <w:p>
      <w:pPr>
        <w:spacing w:line="360" w:lineRule="auto"/>
        <w:rPr>
          <w:rFonts w:ascii="宋体" w:hAnsi="宋体"/>
          <w:szCs w:val="21"/>
          <w:highlight w:val="none"/>
        </w:rPr>
      </w:pPr>
      <w:r>
        <w:rPr>
          <w:rFonts w:hint="eastAsia" w:ascii="宋体" w:hAnsi="宋体"/>
          <w:szCs w:val="21"/>
          <w:highlight w:val="none"/>
        </w:rPr>
        <w:t>1、《公路工程质量检验评定标准》（JTGF80/1-2017）；</w:t>
      </w:r>
    </w:p>
    <w:p>
      <w:pPr>
        <w:spacing w:line="360" w:lineRule="auto"/>
        <w:rPr>
          <w:rFonts w:ascii="宋体" w:hAnsi="宋体"/>
          <w:szCs w:val="21"/>
          <w:highlight w:val="none"/>
        </w:rPr>
      </w:pPr>
      <w:r>
        <w:rPr>
          <w:rFonts w:hint="eastAsia" w:ascii="宋体" w:hAnsi="宋体"/>
          <w:szCs w:val="21"/>
          <w:highlight w:val="none"/>
        </w:rPr>
        <w:t>2、《公路工程竣（交）工验收办法》（交通部令 2004 年第 3 号）；</w:t>
      </w:r>
    </w:p>
    <w:p>
      <w:pPr>
        <w:spacing w:line="360" w:lineRule="auto"/>
        <w:rPr>
          <w:rFonts w:ascii="宋体" w:hAnsi="宋体"/>
          <w:szCs w:val="21"/>
          <w:highlight w:val="none"/>
        </w:rPr>
      </w:pPr>
      <w:r>
        <w:rPr>
          <w:rFonts w:hint="eastAsia" w:ascii="宋体" w:hAnsi="宋体"/>
          <w:szCs w:val="21"/>
          <w:highlight w:val="none"/>
        </w:rPr>
        <w:t>3、《公路工程竣（交）工验收办法实施细则》（交公路发〔2010〕65 号）；</w:t>
      </w:r>
    </w:p>
    <w:p>
      <w:pPr>
        <w:spacing w:line="360" w:lineRule="auto"/>
        <w:rPr>
          <w:rFonts w:ascii="宋体" w:hAnsi="宋体"/>
          <w:szCs w:val="21"/>
          <w:highlight w:val="none"/>
        </w:rPr>
      </w:pPr>
      <w:r>
        <w:rPr>
          <w:rFonts w:hint="eastAsia" w:ascii="宋体" w:hAnsi="宋体"/>
          <w:szCs w:val="21"/>
          <w:highlight w:val="none"/>
        </w:rPr>
        <w:t>4、《江苏省公路水运建设工程质量监督工作程序及标准》（苏交规〔2011〕4 号）；</w:t>
      </w:r>
    </w:p>
    <w:p>
      <w:pPr>
        <w:spacing w:line="360" w:lineRule="auto"/>
        <w:rPr>
          <w:rFonts w:ascii="宋体" w:hAnsi="宋体"/>
          <w:szCs w:val="21"/>
          <w:highlight w:val="none"/>
        </w:rPr>
      </w:pPr>
      <w:r>
        <w:rPr>
          <w:rFonts w:hint="eastAsia" w:ascii="宋体" w:hAnsi="宋体"/>
          <w:szCs w:val="21"/>
          <w:highlight w:val="none"/>
        </w:rPr>
        <w:t>5、《江苏省公路工程质量鉴定工作程序及标准》（苏交规〔2012〕6 号）；</w:t>
      </w:r>
    </w:p>
    <w:p>
      <w:pPr>
        <w:spacing w:line="360" w:lineRule="auto"/>
        <w:rPr>
          <w:rFonts w:ascii="宋体" w:hAnsi="宋体"/>
          <w:szCs w:val="21"/>
          <w:highlight w:val="none"/>
        </w:rPr>
      </w:pPr>
      <w:r>
        <w:rPr>
          <w:rFonts w:ascii="宋体" w:hAnsi="宋体"/>
          <w:szCs w:val="21"/>
          <w:highlight w:val="none"/>
        </w:rPr>
        <w:t>6</w:t>
      </w:r>
      <w:r>
        <w:rPr>
          <w:rFonts w:hint="eastAsia" w:ascii="宋体" w:hAnsi="宋体"/>
          <w:szCs w:val="21"/>
          <w:highlight w:val="none"/>
        </w:rPr>
        <w:t>、《省交通运输厅公路事业发展中心关于做好2023年农村公路路面技术状况自动化检评数据抽核工作的通知》（苏交公便农管〔2023〕78号）；</w:t>
      </w:r>
    </w:p>
    <w:p>
      <w:pPr>
        <w:spacing w:line="360" w:lineRule="auto"/>
        <w:rPr>
          <w:rFonts w:ascii="宋体" w:hAnsi="宋体"/>
          <w:szCs w:val="21"/>
          <w:highlight w:val="none"/>
        </w:rPr>
      </w:pPr>
      <w:r>
        <w:rPr>
          <w:rFonts w:ascii="宋体" w:hAnsi="宋体"/>
          <w:szCs w:val="21"/>
          <w:highlight w:val="none"/>
        </w:rPr>
        <w:t>7</w:t>
      </w:r>
      <w:r>
        <w:rPr>
          <w:rFonts w:hint="eastAsia" w:ascii="宋体" w:hAnsi="宋体"/>
          <w:szCs w:val="21"/>
          <w:highlight w:val="none"/>
        </w:rPr>
        <w:t>、国标及部颁试验规程、设计文件、合同文件与其它相关规范、规定。</w:t>
      </w:r>
    </w:p>
    <w:p>
      <w:pPr>
        <w:spacing w:line="360" w:lineRule="auto"/>
        <w:ind w:firstLine="420" w:firstLineChars="200"/>
        <w:rPr>
          <w:rFonts w:ascii="Garamond" w:hAnsi="Garamond"/>
          <w:szCs w:val="21"/>
          <w:highlight w:val="none"/>
        </w:rPr>
      </w:pPr>
    </w:p>
    <w:p>
      <w:pPr>
        <w:spacing w:line="360" w:lineRule="auto"/>
        <w:ind w:firstLine="420" w:firstLineChars="200"/>
        <w:rPr>
          <w:rFonts w:ascii="Garamond" w:hAnsi="Garamond"/>
          <w:szCs w:val="21"/>
          <w:highlight w:val="none"/>
        </w:rPr>
      </w:pPr>
    </w:p>
    <w:p>
      <w:pPr>
        <w:spacing w:line="360" w:lineRule="auto"/>
        <w:ind w:firstLine="420" w:firstLineChars="200"/>
        <w:rPr>
          <w:rFonts w:ascii="Garamond" w:hAnsi="Garamond"/>
          <w:szCs w:val="21"/>
          <w:highlight w:val="none"/>
        </w:rPr>
        <w:sectPr>
          <w:pgSz w:w="11906" w:h="16838"/>
          <w:pgMar w:top="1417" w:right="1247" w:bottom="1417" w:left="1417" w:header="851" w:footer="680" w:gutter="0"/>
          <w:cols w:space="0" w:num="1"/>
          <w:docGrid w:linePitch="312" w:charSpace="0"/>
        </w:sectPr>
      </w:pPr>
    </w:p>
    <w:p>
      <w:pPr>
        <w:spacing w:line="400" w:lineRule="exact"/>
        <w:ind w:firstLine="420" w:firstLineChars="200"/>
        <w:rPr>
          <w:rFonts w:ascii="Garamond" w:hAnsi="Garamond"/>
          <w:highlight w:val="none"/>
        </w:rPr>
      </w:pPr>
    </w:p>
    <w:p>
      <w:pPr>
        <w:spacing w:line="400" w:lineRule="exact"/>
        <w:ind w:firstLine="420" w:firstLineChars="200"/>
        <w:rPr>
          <w:rFonts w:ascii="Garamond" w:hAnsi="Garamond"/>
          <w:highlight w:val="none"/>
        </w:rPr>
      </w:pPr>
    </w:p>
    <w:p>
      <w:pPr>
        <w:spacing w:line="400" w:lineRule="exact"/>
        <w:ind w:firstLine="420" w:firstLineChars="200"/>
        <w:rPr>
          <w:rFonts w:ascii="Garamond" w:hAnsi="Garamond"/>
          <w:highlight w:val="none"/>
        </w:rPr>
      </w:pPr>
    </w:p>
    <w:p>
      <w:pPr>
        <w:spacing w:line="400" w:lineRule="exact"/>
        <w:ind w:firstLine="420" w:firstLineChars="200"/>
        <w:rPr>
          <w:rFonts w:ascii="Garamond" w:hAnsi="Garamond"/>
          <w:highlight w:val="none"/>
        </w:rPr>
      </w:pPr>
    </w:p>
    <w:p>
      <w:pPr>
        <w:spacing w:line="400" w:lineRule="exact"/>
        <w:ind w:firstLine="420" w:firstLineChars="200"/>
        <w:rPr>
          <w:rFonts w:ascii="Garamond" w:hAnsi="Garamond"/>
          <w:highlight w:val="none"/>
        </w:rPr>
      </w:pPr>
    </w:p>
    <w:p>
      <w:pPr>
        <w:spacing w:line="400" w:lineRule="exact"/>
        <w:ind w:firstLine="420" w:firstLineChars="200"/>
        <w:rPr>
          <w:rFonts w:ascii="Garamond" w:hAnsi="Garamond"/>
          <w:highlight w:val="none"/>
        </w:rPr>
      </w:pPr>
    </w:p>
    <w:p>
      <w:pPr>
        <w:spacing w:line="400" w:lineRule="exact"/>
        <w:ind w:firstLine="420" w:firstLineChars="200"/>
        <w:rPr>
          <w:rFonts w:ascii="Garamond" w:hAnsi="Garamond"/>
          <w:highlight w:val="none"/>
        </w:rPr>
      </w:pPr>
    </w:p>
    <w:p>
      <w:pPr>
        <w:spacing w:line="400" w:lineRule="exact"/>
        <w:ind w:firstLine="420" w:firstLineChars="200"/>
        <w:rPr>
          <w:rFonts w:ascii="Garamond" w:hAnsi="Garamond"/>
          <w:highlight w:val="none"/>
        </w:rPr>
      </w:pPr>
    </w:p>
    <w:p>
      <w:pPr>
        <w:spacing w:line="400" w:lineRule="exact"/>
        <w:ind w:firstLine="420" w:firstLineChars="200"/>
        <w:rPr>
          <w:rFonts w:ascii="Garamond" w:hAnsi="Garamond"/>
          <w:highlight w:val="none"/>
        </w:rPr>
      </w:pPr>
    </w:p>
    <w:p>
      <w:pPr>
        <w:spacing w:line="740" w:lineRule="exact"/>
        <w:jc w:val="center"/>
        <w:outlineLvl w:val="0"/>
        <w:rPr>
          <w:rFonts w:ascii="Garamond" w:hAnsi="Garamond"/>
          <w:b/>
          <w:sz w:val="72"/>
          <w:szCs w:val="72"/>
          <w:highlight w:val="none"/>
        </w:rPr>
      </w:pPr>
      <w:bookmarkStart w:id="82" w:name="_Toc353197104"/>
      <w:r>
        <w:rPr>
          <w:rFonts w:ascii="Garamond" w:hAnsi="Garamond"/>
          <w:b/>
          <w:sz w:val="72"/>
          <w:szCs w:val="72"/>
          <w:highlight w:val="none"/>
        </w:rPr>
        <w:t>第 三 卷</w:t>
      </w:r>
      <w:bookmarkEnd w:id="82"/>
    </w:p>
    <w:p>
      <w:pPr>
        <w:spacing w:line="1100" w:lineRule="exact"/>
        <w:jc w:val="center"/>
        <w:rPr>
          <w:rFonts w:ascii="Garamond" w:hAnsi="Garamond"/>
          <w:b/>
          <w:sz w:val="52"/>
          <w:szCs w:val="52"/>
          <w:highlight w:val="none"/>
        </w:rPr>
      </w:pPr>
    </w:p>
    <w:p>
      <w:pPr>
        <w:spacing w:line="1100" w:lineRule="exact"/>
        <w:jc w:val="center"/>
        <w:rPr>
          <w:rFonts w:ascii="Garamond" w:hAnsi="Garamond"/>
          <w:b/>
          <w:sz w:val="52"/>
          <w:szCs w:val="52"/>
          <w:highlight w:val="none"/>
        </w:rPr>
      </w:pPr>
    </w:p>
    <w:p>
      <w:pPr>
        <w:spacing w:line="1100" w:lineRule="exact"/>
        <w:jc w:val="center"/>
        <w:rPr>
          <w:rFonts w:ascii="Garamond" w:hAnsi="Garamond"/>
          <w:b/>
          <w:sz w:val="52"/>
          <w:szCs w:val="52"/>
          <w:highlight w:val="none"/>
        </w:rPr>
      </w:pPr>
    </w:p>
    <w:p>
      <w:pPr>
        <w:spacing w:line="1100" w:lineRule="exact"/>
        <w:jc w:val="center"/>
        <w:rPr>
          <w:rFonts w:ascii="Garamond" w:hAnsi="Garamond"/>
          <w:b/>
          <w:sz w:val="52"/>
          <w:szCs w:val="52"/>
          <w:highlight w:val="none"/>
        </w:rPr>
      </w:pPr>
    </w:p>
    <w:p>
      <w:pPr>
        <w:spacing w:line="1100" w:lineRule="exact"/>
        <w:jc w:val="center"/>
        <w:rPr>
          <w:rFonts w:ascii="Garamond" w:hAnsi="Garamond"/>
          <w:b/>
          <w:sz w:val="52"/>
          <w:szCs w:val="52"/>
          <w:highlight w:val="none"/>
        </w:rPr>
      </w:pPr>
    </w:p>
    <w:p>
      <w:pPr>
        <w:spacing w:line="1100" w:lineRule="exact"/>
        <w:jc w:val="center"/>
        <w:rPr>
          <w:rFonts w:ascii="Garamond" w:hAnsi="Garamond"/>
          <w:b/>
          <w:sz w:val="52"/>
          <w:szCs w:val="52"/>
          <w:highlight w:val="none"/>
        </w:rPr>
      </w:pPr>
    </w:p>
    <w:p>
      <w:pPr>
        <w:spacing w:line="1100" w:lineRule="exact"/>
        <w:jc w:val="center"/>
        <w:rPr>
          <w:rFonts w:ascii="Garamond" w:hAnsi="Garamond"/>
          <w:b/>
          <w:sz w:val="52"/>
          <w:szCs w:val="52"/>
          <w:highlight w:val="none"/>
        </w:rPr>
      </w:pPr>
    </w:p>
    <w:p>
      <w:pPr>
        <w:spacing w:line="1100" w:lineRule="exact"/>
        <w:jc w:val="center"/>
        <w:rPr>
          <w:rFonts w:ascii="Garamond" w:hAnsi="Garamond"/>
          <w:b/>
          <w:sz w:val="52"/>
          <w:szCs w:val="52"/>
          <w:highlight w:val="none"/>
        </w:rPr>
      </w:pPr>
    </w:p>
    <w:p>
      <w:pPr>
        <w:spacing w:line="1100" w:lineRule="exact"/>
        <w:jc w:val="center"/>
        <w:rPr>
          <w:rFonts w:ascii="Garamond" w:hAnsi="Garamond"/>
          <w:b/>
          <w:sz w:val="52"/>
          <w:szCs w:val="52"/>
          <w:highlight w:val="none"/>
        </w:rPr>
      </w:pPr>
    </w:p>
    <w:p>
      <w:pPr>
        <w:spacing w:line="1100" w:lineRule="exact"/>
        <w:jc w:val="center"/>
        <w:rPr>
          <w:rFonts w:ascii="Garamond" w:hAnsi="Garamond"/>
          <w:b/>
          <w:sz w:val="52"/>
          <w:szCs w:val="52"/>
          <w:highlight w:val="none"/>
        </w:rPr>
      </w:pPr>
    </w:p>
    <w:p>
      <w:pPr>
        <w:spacing w:line="1100" w:lineRule="exact"/>
        <w:jc w:val="center"/>
        <w:rPr>
          <w:rFonts w:ascii="Garamond" w:hAnsi="Garamond"/>
          <w:b/>
          <w:sz w:val="52"/>
          <w:szCs w:val="52"/>
          <w:highlight w:val="none"/>
        </w:rPr>
      </w:pPr>
    </w:p>
    <w:p>
      <w:pPr>
        <w:pStyle w:val="2"/>
        <w:spacing w:before="120" w:after="120" w:line="600" w:lineRule="exact"/>
        <w:jc w:val="center"/>
        <w:rPr>
          <w:rFonts w:ascii="Garamond" w:hAnsi="Garamond"/>
          <w:sz w:val="48"/>
          <w:szCs w:val="48"/>
          <w:highlight w:val="none"/>
        </w:rPr>
      </w:pPr>
      <w:bookmarkStart w:id="83" w:name="_Toc353197105"/>
      <w:r>
        <w:rPr>
          <w:rFonts w:ascii="Garamond" w:hAnsi="Garamond"/>
          <w:sz w:val="48"/>
          <w:szCs w:val="48"/>
          <w:highlight w:val="none"/>
        </w:rPr>
        <w:t>第七章 投标文件格式</w:t>
      </w:r>
      <w:bookmarkEnd w:id="83"/>
    </w:p>
    <w:p>
      <w:pPr>
        <w:spacing w:line="360" w:lineRule="auto"/>
        <w:jc w:val="center"/>
        <w:rPr>
          <w:rFonts w:ascii="Garamond" w:hAnsi="Garamond"/>
          <w:b/>
          <w:sz w:val="24"/>
          <w:highlight w:val="none"/>
        </w:rPr>
      </w:pPr>
    </w:p>
    <w:p>
      <w:pPr>
        <w:spacing w:line="360" w:lineRule="auto"/>
        <w:jc w:val="center"/>
        <w:rPr>
          <w:rFonts w:ascii="Garamond" w:hAnsi="Garamond"/>
          <w:b/>
          <w:sz w:val="24"/>
          <w:highlight w:val="none"/>
        </w:rPr>
      </w:pPr>
    </w:p>
    <w:p>
      <w:pPr>
        <w:spacing w:line="360" w:lineRule="auto"/>
        <w:jc w:val="center"/>
        <w:rPr>
          <w:rFonts w:ascii="Garamond" w:hAnsi="Garamond"/>
          <w:b/>
          <w:sz w:val="24"/>
          <w:highlight w:val="none"/>
        </w:rPr>
      </w:pPr>
    </w:p>
    <w:p>
      <w:pPr>
        <w:spacing w:line="360" w:lineRule="auto"/>
        <w:jc w:val="center"/>
        <w:rPr>
          <w:rFonts w:ascii="Garamond" w:hAnsi="Garamond"/>
          <w:b/>
          <w:sz w:val="24"/>
          <w:highlight w:val="none"/>
        </w:rPr>
      </w:pPr>
    </w:p>
    <w:p>
      <w:pPr>
        <w:spacing w:line="360" w:lineRule="auto"/>
        <w:jc w:val="center"/>
        <w:rPr>
          <w:rFonts w:ascii="Garamond" w:hAnsi="Garamond"/>
          <w:b/>
          <w:sz w:val="24"/>
          <w:highlight w:val="none"/>
        </w:rPr>
      </w:pPr>
    </w:p>
    <w:p>
      <w:pPr>
        <w:spacing w:line="360" w:lineRule="auto"/>
        <w:jc w:val="center"/>
        <w:rPr>
          <w:rFonts w:ascii="Garamond" w:hAnsi="Garamond"/>
          <w:b/>
          <w:sz w:val="24"/>
          <w:highlight w:val="none"/>
        </w:rPr>
      </w:pPr>
    </w:p>
    <w:p>
      <w:pPr>
        <w:spacing w:line="360" w:lineRule="auto"/>
        <w:jc w:val="center"/>
        <w:rPr>
          <w:rFonts w:ascii="Garamond" w:hAnsi="Garamond"/>
          <w:b/>
          <w:sz w:val="24"/>
          <w:highlight w:val="none"/>
        </w:rPr>
      </w:pPr>
    </w:p>
    <w:p>
      <w:pPr>
        <w:spacing w:line="360" w:lineRule="auto"/>
        <w:jc w:val="center"/>
        <w:rPr>
          <w:rFonts w:ascii="Garamond" w:hAnsi="Garamond"/>
          <w:b/>
          <w:sz w:val="24"/>
          <w:highlight w:val="none"/>
        </w:rPr>
      </w:pPr>
    </w:p>
    <w:p>
      <w:pPr>
        <w:spacing w:line="360" w:lineRule="auto"/>
        <w:jc w:val="center"/>
        <w:rPr>
          <w:rFonts w:ascii="Garamond" w:hAnsi="Garamond"/>
          <w:b/>
          <w:sz w:val="24"/>
          <w:highlight w:val="none"/>
        </w:rPr>
      </w:pPr>
    </w:p>
    <w:p>
      <w:pPr>
        <w:spacing w:line="360" w:lineRule="auto"/>
        <w:jc w:val="center"/>
        <w:rPr>
          <w:rFonts w:ascii="Garamond" w:hAnsi="Garamond"/>
          <w:b/>
          <w:sz w:val="24"/>
          <w:highlight w:val="none"/>
        </w:rPr>
      </w:pPr>
    </w:p>
    <w:p>
      <w:pPr>
        <w:spacing w:line="360" w:lineRule="auto"/>
        <w:jc w:val="center"/>
        <w:rPr>
          <w:rFonts w:ascii="Garamond" w:hAnsi="Garamond"/>
          <w:b/>
          <w:sz w:val="24"/>
          <w:highlight w:val="none"/>
        </w:rPr>
      </w:pPr>
    </w:p>
    <w:p>
      <w:pPr>
        <w:spacing w:line="360" w:lineRule="auto"/>
        <w:jc w:val="center"/>
        <w:rPr>
          <w:rFonts w:ascii="Garamond" w:hAnsi="Garamond"/>
          <w:b/>
          <w:sz w:val="24"/>
          <w:highlight w:val="none"/>
        </w:rPr>
      </w:pPr>
    </w:p>
    <w:p>
      <w:pPr>
        <w:spacing w:line="360" w:lineRule="auto"/>
        <w:jc w:val="center"/>
        <w:rPr>
          <w:rFonts w:ascii="Garamond" w:hAnsi="Garamond"/>
          <w:b/>
          <w:sz w:val="24"/>
          <w:highlight w:val="none"/>
        </w:rPr>
      </w:pPr>
    </w:p>
    <w:p>
      <w:pPr>
        <w:spacing w:line="360" w:lineRule="auto"/>
        <w:jc w:val="center"/>
        <w:rPr>
          <w:rFonts w:ascii="Garamond" w:hAnsi="Garamond"/>
          <w:b/>
          <w:sz w:val="24"/>
          <w:highlight w:val="none"/>
        </w:rPr>
      </w:pPr>
    </w:p>
    <w:p>
      <w:pPr>
        <w:spacing w:line="360" w:lineRule="auto"/>
        <w:jc w:val="center"/>
        <w:rPr>
          <w:rFonts w:ascii="Garamond" w:hAnsi="Garamond"/>
          <w:b/>
          <w:sz w:val="24"/>
          <w:highlight w:val="none"/>
        </w:rPr>
      </w:pPr>
    </w:p>
    <w:p>
      <w:pPr>
        <w:spacing w:line="360" w:lineRule="auto"/>
        <w:jc w:val="center"/>
        <w:rPr>
          <w:rFonts w:ascii="Garamond" w:hAnsi="Garamond"/>
          <w:b/>
          <w:sz w:val="24"/>
          <w:highlight w:val="none"/>
        </w:rPr>
      </w:pPr>
    </w:p>
    <w:p>
      <w:pPr>
        <w:spacing w:line="360" w:lineRule="auto"/>
        <w:jc w:val="center"/>
        <w:rPr>
          <w:rFonts w:ascii="Garamond" w:hAnsi="Garamond"/>
          <w:b/>
          <w:sz w:val="24"/>
          <w:highlight w:val="none"/>
        </w:rPr>
      </w:pPr>
    </w:p>
    <w:p>
      <w:pPr>
        <w:spacing w:line="360" w:lineRule="auto"/>
        <w:jc w:val="center"/>
        <w:rPr>
          <w:rFonts w:ascii="Garamond" w:hAnsi="Garamond"/>
          <w:b/>
          <w:sz w:val="24"/>
          <w:highlight w:val="none"/>
        </w:rPr>
      </w:pPr>
    </w:p>
    <w:p>
      <w:pPr>
        <w:spacing w:line="360" w:lineRule="auto"/>
        <w:jc w:val="center"/>
        <w:rPr>
          <w:rFonts w:ascii="Garamond" w:hAnsi="Garamond"/>
          <w:b/>
          <w:sz w:val="24"/>
          <w:highlight w:val="none"/>
        </w:rPr>
      </w:pPr>
    </w:p>
    <w:p>
      <w:pPr>
        <w:spacing w:line="360" w:lineRule="auto"/>
        <w:jc w:val="center"/>
        <w:rPr>
          <w:rFonts w:ascii="Garamond" w:hAnsi="Garamond"/>
          <w:b/>
          <w:sz w:val="24"/>
          <w:highlight w:val="none"/>
        </w:rPr>
      </w:pPr>
    </w:p>
    <w:p>
      <w:pPr>
        <w:spacing w:line="360" w:lineRule="auto"/>
        <w:jc w:val="center"/>
        <w:rPr>
          <w:rFonts w:ascii="Garamond" w:hAnsi="Garamond"/>
          <w:b/>
          <w:sz w:val="24"/>
          <w:highlight w:val="none"/>
        </w:rPr>
      </w:pPr>
    </w:p>
    <w:p>
      <w:pPr>
        <w:rPr>
          <w:rFonts w:ascii="Garamond" w:hAnsi="Garamond"/>
          <w:b/>
          <w:sz w:val="36"/>
          <w:szCs w:val="36"/>
          <w:highlight w:val="none"/>
        </w:rPr>
      </w:pPr>
      <w:r>
        <w:rPr>
          <w:rFonts w:ascii="Garamond" w:hAnsi="Garamond"/>
          <w:b/>
          <w:sz w:val="36"/>
          <w:szCs w:val="36"/>
          <w:highlight w:val="none"/>
        </w:rPr>
        <w:br w:type="page"/>
      </w:r>
    </w:p>
    <w:p>
      <w:pPr>
        <w:spacing w:line="360" w:lineRule="auto"/>
        <w:jc w:val="right"/>
        <w:rPr>
          <w:rFonts w:ascii="Garamond" w:hAnsi="Garamond"/>
          <w:b/>
          <w:sz w:val="36"/>
          <w:szCs w:val="36"/>
          <w:highlight w:val="none"/>
        </w:rPr>
      </w:pPr>
      <w:r>
        <w:rPr>
          <w:rFonts w:ascii="Garamond" w:hAnsi="Garamond"/>
          <w:b/>
          <w:sz w:val="36"/>
          <w:szCs w:val="36"/>
          <w:highlight w:val="none"/>
        </w:rPr>
        <w:t>正/副本</w:t>
      </w:r>
    </w:p>
    <w:p>
      <w:pPr>
        <w:spacing w:line="360" w:lineRule="auto"/>
        <w:jc w:val="center"/>
        <w:rPr>
          <w:rFonts w:ascii="Garamond" w:hAnsi="Garamond"/>
          <w:b/>
          <w:sz w:val="36"/>
          <w:szCs w:val="36"/>
          <w:highlight w:val="none"/>
        </w:rPr>
      </w:pPr>
      <w:r>
        <w:rPr>
          <w:rFonts w:hint="eastAsia" w:ascii="Garamond" w:hAnsi="Garamond"/>
          <w:b/>
          <w:sz w:val="36"/>
          <w:szCs w:val="36"/>
          <w:highlight w:val="none"/>
        </w:rPr>
        <w:t>2024年南通市农村公路路面技术状况自动化检评数据市级抽核项目</w:t>
      </w:r>
    </w:p>
    <w:p>
      <w:pPr>
        <w:spacing w:line="360" w:lineRule="auto"/>
        <w:jc w:val="center"/>
        <w:rPr>
          <w:rFonts w:ascii="Garamond" w:hAnsi="Garamond"/>
          <w:b/>
          <w:sz w:val="36"/>
          <w:szCs w:val="36"/>
          <w:highlight w:val="none"/>
        </w:rPr>
      </w:pPr>
      <w:r>
        <w:rPr>
          <w:rFonts w:hint="eastAsia" w:eastAsia="黑体"/>
          <w:b/>
          <w:bCs/>
          <w:sz w:val="36"/>
          <w:szCs w:val="36"/>
          <w:highlight w:val="none"/>
        </w:rPr>
        <w:t>（</w:t>
      </w:r>
      <w:r>
        <w:rPr>
          <w:rFonts w:hint="eastAsia" w:eastAsia="黑体"/>
          <w:b/>
          <w:snapToGrid w:val="0"/>
          <w:kern w:val="0"/>
          <w:sz w:val="36"/>
          <w:szCs w:val="36"/>
          <w:highlight w:val="none"/>
        </w:rPr>
        <w:t>2024NLJCFH合同段</w:t>
      </w:r>
      <w:r>
        <w:rPr>
          <w:rFonts w:hint="eastAsia" w:eastAsia="黑体"/>
          <w:b/>
          <w:bCs/>
          <w:sz w:val="36"/>
          <w:szCs w:val="36"/>
          <w:highlight w:val="none"/>
        </w:rPr>
        <w:t>）</w:t>
      </w:r>
    </w:p>
    <w:p>
      <w:pPr>
        <w:spacing w:line="1100" w:lineRule="exact"/>
        <w:jc w:val="center"/>
        <w:rPr>
          <w:rFonts w:ascii="Garamond" w:hAnsi="Garamond"/>
          <w:b/>
          <w:sz w:val="52"/>
          <w:szCs w:val="52"/>
          <w:highlight w:val="none"/>
        </w:rPr>
      </w:pPr>
    </w:p>
    <w:p>
      <w:pPr>
        <w:spacing w:line="1100" w:lineRule="exact"/>
        <w:jc w:val="center"/>
        <w:rPr>
          <w:rFonts w:ascii="Garamond" w:hAnsi="Garamond"/>
          <w:b/>
          <w:sz w:val="52"/>
          <w:szCs w:val="52"/>
          <w:highlight w:val="none"/>
        </w:rPr>
      </w:pPr>
    </w:p>
    <w:p>
      <w:pPr>
        <w:spacing w:line="1100" w:lineRule="exact"/>
        <w:jc w:val="center"/>
        <w:rPr>
          <w:rFonts w:ascii="Garamond" w:hAnsi="Garamond"/>
          <w:b/>
          <w:sz w:val="84"/>
          <w:szCs w:val="84"/>
          <w:highlight w:val="none"/>
        </w:rPr>
      </w:pPr>
      <w:r>
        <w:rPr>
          <w:rFonts w:ascii="Garamond" w:hAnsi="Garamond"/>
          <w:b/>
          <w:sz w:val="84"/>
          <w:szCs w:val="84"/>
          <w:highlight w:val="none"/>
        </w:rPr>
        <w:t>投 标 文 件</w:t>
      </w:r>
    </w:p>
    <w:p>
      <w:pPr>
        <w:spacing w:line="1100" w:lineRule="exact"/>
        <w:jc w:val="center"/>
        <w:rPr>
          <w:rFonts w:ascii="Garamond" w:hAnsi="Garamond"/>
          <w:b/>
          <w:sz w:val="36"/>
          <w:szCs w:val="36"/>
          <w:highlight w:val="none"/>
        </w:rPr>
      </w:pPr>
      <w:r>
        <w:rPr>
          <w:rFonts w:ascii="Garamond" w:hAnsi="Garamond"/>
          <w:b/>
          <w:sz w:val="36"/>
          <w:szCs w:val="36"/>
          <w:highlight w:val="none"/>
        </w:rPr>
        <w:t>第一个信封（商务及技术文件）</w:t>
      </w:r>
    </w:p>
    <w:p>
      <w:pPr>
        <w:spacing w:line="1100" w:lineRule="exact"/>
        <w:jc w:val="center"/>
        <w:rPr>
          <w:rFonts w:ascii="Garamond" w:hAnsi="Garamond"/>
          <w:b/>
          <w:sz w:val="52"/>
          <w:szCs w:val="52"/>
          <w:highlight w:val="none"/>
        </w:rPr>
      </w:pPr>
    </w:p>
    <w:p>
      <w:pPr>
        <w:spacing w:line="1100" w:lineRule="exact"/>
        <w:jc w:val="center"/>
        <w:rPr>
          <w:rFonts w:ascii="Garamond" w:hAnsi="Garamond"/>
          <w:b/>
          <w:sz w:val="52"/>
          <w:szCs w:val="52"/>
          <w:highlight w:val="none"/>
        </w:rPr>
      </w:pPr>
    </w:p>
    <w:p>
      <w:pPr>
        <w:spacing w:line="1100" w:lineRule="exact"/>
        <w:jc w:val="center"/>
        <w:rPr>
          <w:rFonts w:ascii="Garamond" w:hAnsi="Garamond"/>
          <w:b/>
          <w:sz w:val="36"/>
          <w:szCs w:val="36"/>
          <w:highlight w:val="none"/>
        </w:rPr>
      </w:pPr>
      <w:r>
        <w:rPr>
          <w:rFonts w:ascii="Garamond" w:hAnsi="Garamond"/>
          <w:b/>
          <w:sz w:val="36"/>
          <w:szCs w:val="36"/>
          <w:highlight w:val="none"/>
        </w:rPr>
        <w:t>投标人：__________（盖单位章）</w:t>
      </w:r>
    </w:p>
    <w:p>
      <w:pPr>
        <w:spacing w:line="1100" w:lineRule="exact"/>
        <w:jc w:val="center"/>
        <w:rPr>
          <w:rFonts w:ascii="Garamond" w:hAnsi="Garamond"/>
          <w:b/>
          <w:sz w:val="36"/>
          <w:szCs w:val="36"/>
          <w:highlight w:val="none"/>
        </w:rPr>
      </w:pPr>
      <w:r>
        <w:rPr>
          <w:rFonts w:ascii="Garamond" w:hAnsi="Garamond"/>
          <w:b/>
          <w:sz w:val="36"/>
          <w:szCs w:val="36"/>
          <w:highlight w:val="none"/>
        </w:rPr>
        <w:t>____年____月____日</w:t>
      </w:r>
    </w:p>
    <w:p>
      <w:pPr>
        <w:spacing w:line="500" w:lineRule="exact"/>
        <w:jc w:val="center"/>
        <w:rPr>
          <w:rFonts w:ascii="Garamond" w:hAnsi="Garamond"/>
          <w:b/>
          <w:sz w:val="32"/>
          <w:szCs w:val="32"/>
          <w:highlight w:val="none"/>
        </w:rPr>
      </w:pPr>
      <w:r>
        <w:rPr>
          <w:rFonts w:ascii="Garamond" w:hAnsi="Garamond"/>
          <w:sz w:val="28"/>
          <w:szCs w:val="28"/>
          <w:highlight w:val="none"/>
        </w:rPr>
        <w:br w:type="page"/>
      </w:r>
      <w:r>
        <w:rPr>
          <w:rFonts w:ascii="Garamond" w:hAnsi="Garamond"/>
          <w:b/>
          <w:sz w:val="32"/>
          <w:szCs w:val="32"/>
          <w:highlight w:val="none"/>
        </w:rPr>
        <w:t>目    录</w:t>
      </w:r>
    </w:p>
    <w:p>
      <w:pPr>
        <w:spacing w:line="380" w:lineRule="exact"/>
        <w:ind w:firstLine="359" w:firstLineChars="171"/>
        <w:rPr>
          <w:rFonts w:ascii="Garamond" w:hAnsi="Garamond"/>
          <w:highlight w:val="none"/>
        </w:rPr>
      </w:pPr>
    </w:p>
    <w:p>
      <w:pPr>
        <w:spacing w:line="380" w:lineRule="exact"/>
        <w:ind w:firstLine="420" w:firstLineChars="200"/>
        <w:rPr>
          <w:rFonts w:ascii="Garamond" w:hAnsi="Garamond"/>
          <w:highlight w:val="none"/>
        </w:rPr>
      </w:pPr>
      <w:r>
        <w:rPr>
          <w:rFonts w:ascii="Garamond" w:hAnsi="Garamond"/>
          <w:highlight w:val="none"/>
        </w:rPr>
        <w:t>一、投标函；</w:t>
      </w:r>
    </w:p>
    <w:p>
      <w:pPr>
        <w:spacing w:line="380" w:lineRule="exact"/>
        <w:ind w:firstLine="420" w:firstLineChars="200"/>
        <w:rPr>
          <w:rFonts w:ascii="Garamond" w:hAnsi="Garamond"/>
          <w:highlight w:val="none"/>
        </w:rPr>
      </w:pPr>
      <w:r>
        <w:rPr>
          <w:rFonts w:ascii="Garamond" w:hAnsi="Garamond"/>
          <w:highlight w:val="none"/>
        </w:rPr>
        <w:t>二、法定代表人身份证明及授权委托书；</w:t>
      </w:r>
    </w:p>
    <w:p>
      <w:pPr>
        <w:spacing w:line="380" w:lineRule="exact"/>
        <w:ind w:firstLine="420" w:firstLineChars="200"/>
        <w:rPr>
          <w:rFonts w:ascii="Garamond" w:hAnsi="Garamond"/>
          <w:highlight w:val="none"/>
        </w:rPr>
      </w:pPr>
      <w:r>
        <w:rPr>
          <w:rFonts w:ascii="Garamond" w:hAnsi="Garamond"/>
          <w:highlight w:val="none"/>
        </w:rPr>
        <w:t>三、投标保证金；</w:t>
      </w:r>
    </w:p>
    <w:p>
      <w:pPr>
        <w:spacing w:line="380" w:lineRule="exact"/>
        <w:ind w:firstLine="420" w:firstLineChars="200"/>
        <w:rPr>
          <w:rFonts w:ascii="Garamond" w:hAnsi="Garamond"/>
          <w:highlight w:val="none"/>
        </w:rPr>
      </w:pPr>
      <w:r>
        <w:rPr>
          <w:rFonts w:ascii="Garamond" w:hAnsi="Garamond"/>
          <w:highlight w:val="none"/>
        </w:rPr>
        <w:t>四、</w:t>
      </w:r>
      <w:r>
        <w:rPr>
          <w:rFonts w:hint="eastAsia" w:ascii="Garamond" w:hAnsi="Garamond"/>
          <w:highlight w:val="none"/>
        </w:rPr>
        <w:t>资料真实性承诺书；</w:t>
      </w:r>
    </w:p>
    <w:p>
      <w:pPr>
        <w:spacing w:line="380" w:lineRule="exact"/>
        <w:ind w:firstLine="420" w:firstLineChars="200"/>
        <w:rPr>
          <w:rFonts w:ascii="Garamond" w:hAnsi="Garamond"/>
          <w:highlight w:val="none"/>
        </w:rPr>
      </w:pPr>
      <w:r>
        <w:rPr>
          <w:rFonts w:hint="eastAsia" w:ascii="Garamond" w:hAnsi="Garamond"/>
          <w:highlight w:val="none"/>
        </w:rPr>
        <w:t>五、</w:t>
      </w:r>
      <w:r>
        <w:rPr>
          <w:rFonts w:ascii="Garamond" w:hAnsi="Garamond"/>
          <w:highlight w:val="none"/>
        </w:rPr>
        <w:t>检测工作大纲；</w:t>
      </w:r>
    </w:p>
    <w:p>
      <w:pPr>
        <w:spacing w:line="380" w:lineRule="exact"/>
        <w:ind w:firstLine="420" w:firstLineChars="200"/>
        <w:rPr>
          <w:rFonts w:ascii="Garamond" w:hAnsi="Garamond"/>
          <w:highlight w:val="none"/>
        </w:rPr>
      </w:pPr>
      <w:r>
        <w:rPr>
          <w:rFonts w:hint="eastAsia" w:ascii="Garamond" w:hAnsi="Garamond"/>
          <w:highlight w:val="none"/>
        </w:rPr>
        <w:t>六</w:t>
      </w:r>
      <w:r>
        <w:rPr>
          <w:rFonts w:ascii="Garamond" w:hAnsi="Garamond"/>
          <w:highlight w:val="none"/>
        </w:rPr>
        <w:t>、资格审查资料；</w:t>
      </w:r>
    </w:p>
    <w:p>
      <w:pPr>
        <w:spacing w:line="380" w:lineRule="exact"/>
        <w:ind w:firstLine="420" w:firstLineChars="200"/>
        <w:rPr>
          <w:rFonts w:ascii="Garamond" w:hAnsi="Garamond"/>
          <w:highlight w:val="none"/>
        </w:rPr>
      </w:pPr>
      <w:r>
        <w:rPr>
          <w:rFonts w:hint="eastAsia" w:ascii="Garamond" w:hAnsi="Garamond"/>
          <w:highlight w:val="none"/>
        </w:rPr>
        <w:t>七</w:t>
      </w:r>
      <w:r>
        <w:rPr>
          <w:rFonts w:ascii="Garamond" w:hAnsi="Garamond"/>
          <w:highlight w:val="none"/>
        </w:rPr>
        <w:t>、江苏省公路水运建设项目投标人信用承诺书；</w:t>
      </w:r>
    </w:p>
    <w:p>
      <w:pPr>
        <w:spacing w:line="380" w:lineRule="exact"/>
        <w:ind w:firstLine="420" w:firstLineChars="200"/>
        <w:rPr>
          <w:rFonts w:hAnsi="宋体" w:cs="宋体"/>
          <w:szCs w:val="21"/>
          <w:highlight w:val="none"/>
        </w:rPr>
      </w:pPr>
      <w:r>
        <w:rPr>
          <w:rFonts w:hint="eastAsia" w:ascii="Garamond" w:hAnsi="Garamond"/>
          <w:highlight w:val="none"/>
        </w:rPr>
        <w:t>八、</w:t>
      </w:r>
      <w:r>
        <w:rPr>
          <w:rFonts w:hint="eastAsia" w:hAnsi="宋体" w:cs="宋体"/>
          <w:szCs w:val="21"/>
          <w:highlight w:val="none"/>
        </w:rPr>
        <w:t>江苏公路水运建设市场主要从业人员信用承诺书；</w:t>
      </w:r>
    </w:p>
    <w:p>
      <w:pPr>
        <w:spacing w:line="380" w:lineRule="exact"/>
        <w:ind w:firstLine="420" w:firstLineChars="200"/>
        <w:rPr>
          <w:rFonts w:ascii="Garamond" w:hAnsi="Garamond"/>
          <w:highlight w:val="none"/>
        </w:rPr>
      </w:pPr>
      <w:r>
        <w:rPr>
          <w:rFonts w:hint="eastAsia" w:hAnsi="宋体" w:cs="宋体"/>
          <w:szCs w:val="21"/>
          <w:highlight w:val="none"/>
        </w:rPr>
        <w:t>九、</w:t>
      </w:r>
      <w:r>
        <w:rPr>
          <w:rFonts w:hint="eastAsia" w:ascii="宋体" w:hAnsi="宋体" w:cs="宋体"/>
          <w:szCs w:val="21"/>
          <w:highlight w:val="none"/>
        </w:rPr>
        <w:t>承诺函；</w:t>
      </w:r>
    </w:p>
    <w:p>
      <w:pPr>
        <w:spacing w:line="380" w:lineRule="exact"/>
        <w:ind w:firstLine="420" w:firstLineChars="200"/>
        <w:rPr>
          <w:rFonts w:ascii="Garamond" w:hAnsi="Garamond"/>
          <w:highlight w:val="none"/>
        </w:rPr>
      </w:pPr>
      <w:r>
        <w:rPr>
          <w:rFonts w:hint="eastAsia" w:ascii="Garamond" w:hAnsi="Garamond"/>
          <w:highlight w:val="none"/>
        </w:rPr>
        <w:t>十</w:t>
      </w:r>
      <w:r>
        <w:rPr>
          <w:rFonts w:ascii="Garamond" w:hAnsi="Garamond"/>
          <w:highlight w:val="none"/>
        </w:rPr>
        <w:t>、其他材料。</w:t>
      </w:r>
    </w:p>
    <w:p>
      <w:pPr>
        <w:rPr>
          <w:rFonts w:ascii="Garamond" w:hAnsi="Garamond"/>
          <w:sz w:val="18"/>
          <w:szCs w:val="18"/>
          <w:highlight w:val="none"/>
        </w:rPr>
      </w:pPr>
    </w:p>
    <w:p>
      <w:pPr>
        <w:rPr>
          <w:rFonts w:ascii="Garamond" w:hAnsi="Garamond"/>
          <w:sz w:val="18"/>
          <w:szCs w:val="18"/>
          <w:highlight w:val="none"/>
        </w:rPr>
      </w:pPr>
    </w:p>
    <w:p>
      <w:pPr>
        <w:rPr>
          <w:rFonts w:ascii="Garamond" w:hAnsi="Garamond"/>
          <w:sz w:val="18"/>
          <w:szCs w:val="18"/>
          <w:highlight w:val="none"/>
        </w:rPr>
      </w:pPr>
    </w:p>
    <w:p>
      <w:pPr>
        <w:rPr>
          <w:rFonts w:ascii="Garamond" w:hAnsi="Garamond"/>
          <w:sz w:val="18"/>
          <w:szCs w:val="18"/>
          <w:highlight w:val="none"/>
        </w:rPr>
      </w:pPr>
    </w:p>
    <w:p>
      <w:pPr>
        <w:rPr>
          <w:rFonts w:ascii="Garamond" w:hAnsi="Garamond"/>
          <w:sz w:val="18"/>
          <w:szCs w:val="18"/>
          <w:highlight w:val="none"/>
        </w:rPr>
      </w:pPr>
    </w:p>
    <w:p>
      <w:pPr>
        <w:rPr>
          <w:rFonts w:ascii="Garamond" w:hAnsi="Garamond"/>
          <w:sz w:val="18"/>
          <w:szCs w:val="18"/>
          <w:highlight w:val="none"/>
        </w:rPr>
      </w:pPr>
    </w:p>
    <w:p>
      <w:pPr>
        <w:rPr>
          <w:rFonts w:ascii="Garamond" w:hAnsi="Garamond"/>
          <w:sz w:val="18"/>
          <w:szCs w:val="18"/>
          <w:highlight w:val="none"/>
        </w:rPr>
      </w:pPr>
    </w:p>
    <w:p>
      <w:pPr>
        <w:rPr>
          <w:rFonts w:ascii="Garamond" w:hAnsi="Garamond"/>
          <w:sz w:val="18"/>
          <w:szCs w:val="18"/>
          <w:highlight w:val="none"/>
        </w:rPr>
      </w:pPr>
    </w:p>
    <w:p>
      <w:pPr>
        <w:rPr>
          <w:rFonts w:ascii="Garamond" w:hAnsi="Garamond"/>
          <w:sz w:val="18"/>
          <w:szCs w:val="18"/>
          <w:highlight w:val="none"/>
        </w:rPr>
      </w:pPr>
    </w:p>
    <w:p>
      <w:pPr>
        <w:rPr>
          <w:rFonts w:ascii="Garamond" w:hAnsi="Garamond"/>
          <w:sz w:val="18"/>
          <w:szCs w:val="18"/>
          <w:highlight w:val="none"/>
        </w:rPr>
      </w:pPr>
    </w:p>
    <w:p>
      <w:pPr>
        <w:rPr>
          <w:rFonts w:ascii="Garamond" w:hAnsi="Garamond"/>
          <w:sz w:val="18"/>
          <w:szCs w:val="18"/>
          <w:highlight w:val="none"/>
        </w:rPr>
      </w:pPr>
    </w:p>
    <w:p>
      <w:pPr>
        <w:rPr>
          <w:rFonts w:ascii="Garamond" w:hAnsi="Garamond"/>
          <w:sz w:val="18"/>
          <w:szCs w:val="18"/>
          <w:highlight w:val="none"/>
        </w:rPr>
      </w:pPr>
    </w:p>
    <w:p>
      <w:pPr>
        <w:rPr>
          <w:rFonts w:ascii="Garamond" w:hAnsi="Garamond"/>
          <w:sz w:val="18"/>
          <w:szCs w:val="18"/>
          <w:highlight w:val="none"/>
        </w:rPr>
      </w:pPr>
    </w:p>
    <w:p>
      <w:pPr>
        <w:rPr>
          <w:rFonts w:ascii="Garamond" w:hAnsi="Garamond"/>
          <w:sz w:val="18"/>
          <w:szCs w:val="18"/>
          <w:highlight w:val="none"/>
        </w:rPr>
      </w:pPr>
    </w:p>
    <w:p>
      <w:pPr>
        <w:rPr>
          <w:rFonts w:ascii="Garamond" w:hAnsi="Garamond"/>
          <w:sz w:val="18"/>
          <w:szCs w:val="18"/>
          <w:highlight w:val="none"/>
        </w:rPr>
      </w:pPr>
    </w:p>
    <w:p>
      <w:pPr>
        <w:rPr>
          <w:rFonts w:ascii="Garamond" w:hAnsi="Garamond"/>
          <w:sz w:val="18"/>
          <w:szCs w:val="18"/>
          <w:highlight w:val="none"/>
        </w:rPr>
      </w:pPr>
    </w:p>
    <w:p>
      <w:pPr>
        <w:rPr>
          <w:rFonts w:ascii="Garamond" w:hAnsi="Garamond"/>
          <w:sz w:val="18"/>
          <w:szCs w:val="18"/>
          <w:highlight w:val="none"/>
        </w:rPr>
      </w:pPr>
    </w:p>
    <w:p>
      <w:pPr>
        <w:rPr>
          <w:rFonts w:ascii="Garamond" w:hAnsi="Garamond"/>
          <w:sz w:val="18"/>
          <w:szCs w:val="18"/>
          <w:highlight w:val="none"/>
        </w:rPr>
      </w:pPr>
    </w:p>
    <w:p>
      <w:pPr>
        <w:rPr>
          <w:rFonts w:ascii="Garamond" w:hAnsi="Garamond"/>
          <w:sz w:val="18"/>
          <w:szCs w:val="18"/>
          <w:highlight w:val="none"/>
        </w:rPr>
      </w:pPr>
    </w:p>
    <w:p>
      <w:pPr>
        <w:rPr>
          <w:rFonts w:ascii="Garamond" w:hAnsi="Garamond"/>
          <w:sz w:val="18"/>
          <w:szCs w:val="18"/>
          <w:highlight w:val="none"/>
        </w:rPr>
      </w:pPr>
    </w:p>
    <w:p>
      <w:pPr>
        <w:rPr>
          <w:rFonts w:ascii="Garamond" w:hAnsi="Garamond"/>
          <w:sz w:val="18"/>
          <w:szCs w:val="18"/>
          <w:highlight w:val="none"/>
        </w:rPr>
      </w:pPr>
    </w:p>
    <w:p>
      <w:pPr>
        <w:rPr>
          <w:rFonts w:ascii="Garamond" w:hAnsi="Garamond"/>
          <w:sz w:val="18"/>
          <w:szCs w:val="18"/>
          <w:highlight w:val="none"/>
        </w:rPr>
      </w:pPr>
    </w:p>
    <w:p>
      <w:pPr>
        <w:rPr>
          <w:rFonts w:ascii="Garamond" w:hAnsi="Garamond"/>
          <w:sz w:val="18"/>
          <w:szCs w:val="18"/>
          <w:highlight w:val="none"/>
        </w:rPr>
      </w:pPr>
    </w:p>
    <w:p>
      <w:pPr>
        <w:rPr>
          <w:rFonts w:ascii="Garamond" w:hAnsi="Garamond"/>
          <w:sz w:val="18"/>
          <w:szCs w:val="18"/>
          <w:highlight w:val="none"/>
        </w:rPr>
      </w:pPr>
    </w:p>
    <w:p>
      <w:pPr>
        <w:ind w:firstLine="180" w:firstLineChars="100"/>
        <w:rPr>
          <w:rFonts w:ascii="Garamond" w:hAnsi="Garamond"/>
          <w:sz w:val="18"/>
          <w:szCs w:val="18"/>
          <w:highlight w:val="none"/>
        </w:rPr>
      </w:pPr>
    </w:p>
    <w:p>
      <w:pPr>
        <w:pStyle w:val="4"/>
        <w:jc w:val="center"/>
        <w:rPr>
          <w:rFonts w:ascii="Garamond" w:hAnsi="Garamond"/>
          <w:sz w:val="28"/>
          <w:szCs w:val="28"/>
          <w:highlight w:val="none"/>
        </w:rPr>
      </w:pPr>
      <w:r>
        <w:rPr>
          <w:rFonts w:ascii="Garamond" w:hAnsi="Garamond"/>
          <w:b w:val="0"/>
          <w:sz w:val="24"/>
          <w:highlight w:val="none"/>
        </w:rPr>
        <w:br w:type="page"/>
      </w:r>
      <w:r>
        <w:rPr>
          <w:rFonts w:ascii="Garamond" w:hAnsi="Garamond"/>
          <w:sz w:val="28"/>
          <w:szCs w:val="28"/>
          <w:highlight w:val="none"/>
        </w:rPr>
        <w:t xml:space="preserve"> 一、投标函</w:t>
      </w:r>
    </w:p>
    <w:p>
      <w:pPr>
        <w:spacing w:line="360" w:lineRule="auto"/>
        <w:rPr>
          <w:rFonts w:ascii="Garamond" w:hAnsi="Garamond"/>
          <w:b/>
          <w:szCs w:val="21"/>
          <w:highlight w:val="none"/>
        </w:rPr>
      </w:pPr>
      <w:r>
        <w:rPr>
          <w:rFonts w:ascii="Garamond" w:hAnsi="Garamond"/>
          <w:b/>
          <w:szCs w:val="21"/>
          <w:highlight w:val="none"/>
          <w:u w:val="single"/>
        </w:rPr>
        <w:t>南通市公路事业发展中心</w:t>
      </w:r>
      <w:r>
        <w:rPr>
          <w:rFonts w:ascii="Garamond" w:hAnsi="Garamond"/>
          <w:b/>
          <w:szCs w:val="21"/>
          <w:highlight w:val="none"/>
        </w:rPr>
        <w:t>：</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1.我方已仔细研究</w:t>
      </w:r>
      <w:r>
        <w:rPr>
          <w:rFonts w:hint="eastAsia" w:ascii="宋体" w:hAnsi="宋体" w:cs="宋体"/>
          <w:szCs w:val="21"/>
          <w:highlight w:val="none"/>
          <w:u w:val="single"/>
        </w:rPr>
        <w:t xml:space="preserve">      （项目名称）      </w:t>
      </w:r>
      <w:r>
        <w:rPr>
          <w:rFonts w:hint="eastAsia" w:ascii="宋体" w:hAnsi="宋体" w:cs="宋体"/>
          <w:szCs w:val="21"/>
          <w:highlight w:val="none"/>
        </w:rPr>
        <w:t>标段试验检测招标的全部内容（含补遗书第_____号至第____号），在考察工程现场后，愿意以投标文件第二个信封报价函中的报价和招标文件规定的服务期，按合同约定承担并完成工作。</w:t>
      </w:r>
    </w:p>
    <w:p>
      <w:pPr>
        <w:spacing w:line="360" w:lineRule="auto"/>
        <w:ind w:firstLine="420"/>
        <w:rPr>
          <w:rFonts w:ascii="宋体" w:hAnsi="宋体" w:cs="宋体"/>
          <w:spacing w:val="8"/>
          <w:szCs w:val="21"/>
          <w:highlight w:val="none"/>
        </w:rPr>
      </w:pPr>
      <w:r>
        <w:rPr>
          <w:rFonts w:hint="eastAsia" w:ascii="宋体" w:hAnsi="宋体" w:cs="宋体"/>
          <w:spacing w:val="8"/>
          <w:szCs w:val="21"/>
          <w:highlight w:val="none"/>
        </w:rPr>
        <w:t>2.我方拟投入本项目的项目负责人</w:t>
      </w:r>
      <w:r>
        <w:rPr>
          <w:rFonts w:hint="eastAsia" w:ascii="宋体" w:hAnsi="宋体" w:cs="宋体"/>
          <w:spacing w:val="8"/>
          <w:szCs w:val="21"/>
          <w:highlight w:val="none"/>
          <w:lang w:val="en-GB"/>
        </w:rPr>
        <w:t>为：</w:t>
      </w:r>
      <w:r>
        <w:rPr>
          <w:rFonts w:hint="eastAsia" w:ascii="宋体" w:hAnsi="宋体" w:cs="宋体"/>
          <w:spacing w:val="8"/>
          <w:szCs w:val="21"/>
          <w:highlight w:val="none"/>
          <w:u w:val="single"/>
        </w:rPr>
        <w:t xml:space="preserve">   </w:t>
      </w:r>
      <w:r>
        <w:rPr>
          <w:rFonts w:hint="eastAsia" w:ascii="宋体" w:hAnsi="宋体" w:cs="宋体"/>
          <w:spacing w:val="8"/>
          <w:szCs w:val="21"/>
          <w:highlight w:val="none"/>
          <w:u w:val="single"/>
          <w:lang w:val="en-GB"/>
        </w:rPr>
        <w:t>（姓名）</w:t>
      </w:r>
      <w:r>
        <w:rPr>
          <w:rFonts w:hint="eastAsia" w:ascii="宋体" w:hAnsi="宋体" w:cs="宋体"/>
          <w:spacing w:val="8"/>
          <w:szCs w:val="21"/>
          <w:highlight w:val="none"/>
          <w:u w:val="single"/>
        </w:rPr>
        <w:t xml:space="preserve">   </w:t>
      </w:r>
      <w:r>
        <w:rPr>
          <w:rFonts w:hint="eastAsia" w:ascii="宋体" w:hAnsi="宋体" w:cs="宋体"/>
          <w:spacing w:val="8"/>
          <w:szCs w:val="21"/>
          <w:highlight w:val="none"/>
          <w:lang w:val="en-GB"/>
        </w:rPr>
        <w:t>，</w:t>
      </w:r>
      <w:r>
        <w:rPr>
          <w:rFonts w:hint="eastAsia" w:ascii="宋体" w:hAnsi="宋体" w:cs="宋体"/>
          <w:spacing w:val="8"/>
          <w:szCs w:val="21"/>
          <w:highlight w:val="none"/>
          <w:u w:val="single"/>
          <w:lang w:val="en-GB"/>
        </w:rPr>
        <w:t>（职称）</w:t>
      </w:r>
      <w:r>
        <w:rPr>
          <w:rFonts w:hint="eastAsia" w:ascii="宋体" w:hAnsi="宋体" w:cs="宋体"/>
          <w:spacing w:val="8"/>
          <w:szCs w:val="21"/>
          <w:highlight w:val="none"/>
          <w:lang w:val="en-GB"/>
        </w:rPr>
        <w:t>。</w:t>
      </w:r>
    </w:p>
    <w:p>
      <w:pPr>
        <w:spacing w:line="360" w:lineRule="auto"/>
        <w:ind w:firstLine="420"/>
        <w:rPr>
          <w:rFonts w:ascii="宋体" w:hAnsi="宋体" w:cs="宋体"/>
          <w:szCs w:val="21"/>
          <w:highlight w:val="none"/>
          <w:u w:val="single"/>
          <w:lang w:val="en-GB"/>
        </w:rPr>
      </w:pPr>
      <w:r>
        <w:rPr>
          <w:rFonts w:hint="eastAsia" w:ascii="宋体" w:hAnsi="宋体" w:cs="宋体"/>
          <w:spacing w:val="8"/>
          <w:szCs w:val="21"/>
          <w:highlight w:val="none"/>
        </w:rPr>
        <w:t>3</w:t>
      </w:r>
      <w:r>
        <w:rPr>
          <w:rFonts w:hint="eastAsia" w:ascii="宋体" w:hAnsi="宋体" w:cs="宋体"/>
          <w:szCs w:val="21"/>
          <w:highlight w:val="none"/>
        </w:rPr>
        <w:t>.</w:t>
      </w:r>
      <w:r>
        <w:rPr>
          <w:rFonts w:hint="eastAsia" w:ascii="宋体" w:hAnsi="宋体" w:cs="宋体"/>
          <w:spacing w:val="8"/>
          <w:szCs w:val="21"/>
          <w:highlight w:val="none"/>
        </w:rPr>
        <w:t>如果贵方接受我方投标，我们保证在接到中标通知书后立即做好人员和设备进场的准备。</w:t>
      </w:r>
    </w:p>
    <w:p>
      <w:pPr>
        <w:spacing w:line="360" w:lineRule="auto"/>
        <w:ind w:firstLine="420"/>
        <w:rPr>
          <w:rFonts w:ascii="宋体" w:hAnsi="宋体" w:cs="宋体"/>
          <w:szCs w:val="21"/>
          <w:highlight w:val="none"/>
        </w:rPr>
      </w:pPr>
      <w:r>
        <w:rPr>
          <w:rFonts w:hint="eastAsia" w:ascii="宋体" w:hAnsi="宋体" w:cs="宋体"/>
          <w:szCs w:val="21"/>
          <w:highlight w:val="none"/>
        </w:rPr>
        <w:t>4.我方同意在从规定的递交标书之日起90个日历日内投标文件始终有效。该期限期满之前，本投标对我方将始终有约束力，并可随时被接受。</w:t>
      </w:r>
    </w:p>
    <w:p>
      <w:pPr>
        <w:spacing w:line="360" w:lineRule="auto"/>
        <w:ind w:firstLine="420"/>
        <w:rPr>
          <w:rFonts w:ascii="宋体" w:hAnsi="宋体" w:cs="宋体"/>
          <w:szCs w:val="21"/>
          <w:highlight w:val="none"/>
        </w:rPr>
      </w:pPr>
      <w:r>
        <w:rPr>
          <w:rFonts w:hint="eastAsia" w:ascii="宋体" w:hAnsi="宋体" w:cs="宋体"/>
          <w:szCs w:val="21"/>
          <w:highlight w:val="none"/>
        </w:rPr>
        <w:t>5.在合同协议书正式签署生效之前，本投标书连同你单位的中标通知书将构成我们双方之间共同遵守的文件，对双方具有约束力。</w:t>
      </w:r>
    </w:p>
    <w:p>
      <w:pPr>
        <w:spacing w:line="360" w:lineRule="auto"/>
        <w:ind w:firstLine="420"/>
        <w:rPr>
          <w:rFonts w:ascii="宋体" w:hAnsi="宋体" w:cs="宋体"/>
          <w:szCs w:val="21"/>
          <w:highlight w:val="none"/>
        </w:rPr>
      </w:pPr>
      <w:r>
        <w:rPr>
          <w:rFonts w:hint="eastAsia" w:ascii="宋体" w:hAnsi="宋体" w:cs="宋体"/>
          <w:szCs w:val="21"/>
          <w:highlight w:val="none"/>
        </w:rPr>
        <w:t>6.我方随同本投标书交纳了投标保证金。如果我方在上述投标文件有效期内撤回标书，或在收到上述中标通知后的</w:t>
      </w:r>
      <w:r>
        <w:rPr>
          <w:rFonts w:hint="eastAsia" w:ascii="宋体" w:hAnsi="宋体" w:cs="宋体"/>
          <w:szCs w:val="21"/>
          <w:highlight w:val="none"/>
          <w:u w:val="single"/>
        </w:rPr>
        <w:t xml:space="preserve"> 30 </w:t>
      </w:r>
      <w:r>
        <w:rPr>
          <w:rFonts w:hint="eastAsia" w:ascii="宋体" w:hAnsi="宋体" w:cs="宋体"/>
          <w:szCs w:val="21"/>
          <w:highlight w:val="none"/>
        </w:rPr>
        <w:t>天内未签署正式合同，贵方有权没收这笔保证金。</w:t>
      </w:r>
    </w:p>
    <w:p>
      <w:pPr>
        <w:spacing w:line="360" w:lineRule="auto"/>
        <w:ind w:firstLine="420"/>
        <w:rPr>
          <w:rFonts w:ascii="宋体" w:hAnsi="宋体" w:cs="宋体"/>
          <w:szCs w:val="21"/>
          <w:highlight w:val="none"/>
        </w:rPr>
      </w:pPr>
      <w:r>
        <w:rPr>
          <w:rFonts w:hint="eastAsia" w:ascii="宋体" w:hAnsi="宋体" w:cs="宋体"/>
          <w:szCs w:val="21"/>
          <w:highlight w:val="none"/>
        </w:rPr>
        <w:t>7.我方理解，贵方不一定接受最低标价的投标或其它任何你们可能收到的投标，同时也理解，贵方不负担我方的任何投标费用。</w:t>
      </w:r>
    </w:p>
    <w:p>
      <w:pPr>
        <w:spacing w:line="360" w:lineRule="auto"/>
        <w:ind w:firstLine="420"/>
        <w:rPr>
          <w:rFonts w:ascii="宋体" w:hAnsi="宋体" w:cs="宋体"/>
          <w:szCs w:val="21"/>
          <w:highlight w:val="none"/>
        </w:rPr>
      </w:pPr>
      <w:r>
        <w:rPr>
          <w:rFonts w:hint="eastAsia" w:ascii="宋体" w:hAnsi="宋体" w:cs="宋体"/>
          <w:szCs w:val="21"/>
          <w:highlight w:val="none"/>
        </w:rPr>
        <w:t>8.下述签字人在此声明，本投标书中所提交的声明和资料在各方面都是完整、真实和准确的。</w:t>
      </w:r>
    </w:p>
    <w:p>
      <w:pPr>
        <w:spacing w:line="360" w:lineRule="auto"/>
        <w:rPr>
          <w:rFonts w:ascii="Garamond" w:hAnsi="Garamond"/>
          <w:szCs w:val="21"/>
          <w:highlight w:val="none"/>
        </w:rPr>
      </w:pPr>
    </w:p>
    <w:p>
      <w:pPr>
        <w:spacing w:line="360" w:lineRule="auto"/>
        <w:rPr>
          <w:rFonts w:ascii="Garamond" w:hAnsi="Garamond"/>
          <w:szCs w:val="21"/>
          <w:highlight w:val="none"/>
        </w:rPr>
      </w:pPr>
    </w:p>
    <w:p>
      <w:pPr>
        <w:spacing w:line="360" w:lineRule="auto"/>
        <w:jc w:val="left"/>
        <w:rPr>
          <w:rFonts w:ascii="Garamond" w:hAnsi="Garamond"/>
          <w:szCs w:val="21"/>
          <w:highlight w:val="none"/>
        </w:rPr>
      </w:pPr>
      <w:r>
        <w:rPr>
          <w:rFonts w:ascii="Garamond" w:hAnsi="Garamond"/>
          <w:szCs w:val="21"/>
          <w:highlight w:val="none"/>
        </w:rPr>
        <w:t>投标人：（盖单位章）</w:t>
      </w:r>
    </w:p>
    <w:p>
      <w:pPr>
        <w:spacing w:line="360" w:lineRule="auto"/>
        <w:jc w:val="left"/>
        <w:rPr>
          <w:rFonts w:ascii="Garamond" w:hAnsi="Garamond"/>
          <w:szCs w:val="21"/>
          <w:highlight w:val="none"/>
        </w:rPr>
      </w:pPr>
      <w:r>
        <w:rPr>
          <w:rFonts w:hint="eastAsia" w:ascii="Garamond" w:hAnsi="Garamond"/>
          <w:szCs w:val="21"/>
          <w:highlight w:val="none"/>
        </w:rPr>
        <w:t>法定代表人（亲笔签名或签章）或其委托代理人（亲笔签名）：</w:t>
      </w:r>
    </w:p>
    <w:p>
      <w:pPr>
        <w:spacing w:line="360" w:lineRule="auto"/>
        <w:jc w:val="left"/>
        <w:rPr>
          <w:rFonts w:ascii="Garamond" w:hAnsi="Garamond"/>
          <w:szCs w:val="21"/>
          <w:highlight w:val="none"/>
        </w:rPr>
      </w:pPr>
      <w:r>
        <w:rPr>
          <w:rFonts w:ascii="Garamond" w:hAnsi="Garamond"/>
          <w:szCs w:val="21"/>
          <w:highlight w:val="none"/>
        </w:rPr>
        <w:t>地址：</w:t>
      </w:r>
    </w:p>
    <w:p>
      <w:pPr>
        <w:spacing w:line="360" w:lineRule="auto"/>
        <w:jc w:val="left"/>
        <w:rPr>
          <w:rFonts w:ascii="Garamond" w:hAnsi="Garamond"/>
          <w:szCs w:val="21"/>
          <w:highlight w:val="none"/>
        </w:rPr>
      </w:pPr>
      <w:r>
        <w:rPr>
          <w:rFonts w:ascii="Garamond" w:hAnsi="Garamond"/>
          <w:szCs w:val="21"/>
          <w:highlight w:val="none"/>
        </w:rPr>
        <w:t>电话：</w:t>
      </w:r>
    </w:p>
    <w:p>
      <w:pPr>
        <w:spacing w:line="360" w:lineRule="auto"/>
        <w:jc w:val="left"/>
        <w:rPr>
          <w:rFonts w:ascii="Garamond" w:hAnsi="Garamond"/>
          <w:szCs w:val="21"/>
          <w:highlight w:val="none"/>
        </w:rPr>
      </w:pPr>
      <w:r>
        <w:rPr>
          <w:rFonts w:ascii="Garamond" w:hAnsi="Garamond"/>
          <w:szCs w:val="21"/>
          <w:highlight w:val="none"/>
        </w:rPr>
        <w:t>传真：</w:t>
      </w:r>
    </w:p>
    <w:p>
      <w:pPr>
        <w:spacing w:line="360" w:lineRule="auto"/>
        <w:jc w:val="left"/>
        <w:rPr>
          <w:rFonts w:ascii="Garamond" w:hAnsi="Garamond"/>
          <w:szCs w:val="21"/>
          <w:highlight w:val="none"/>
        </w:rPr>
      </w:pPr>
      <w:r>
        <w:rPr>
          <w:rFonts w:ascii="Garamond" w:hAnsi="Garamond"/>
          <w:szCs w:val="21"/>
          <w:highlight w:val="none"/>
        </w:rPr>
        <w:t>邮政编码：</w:t>
      </w:r>
    </w:p>
    <w:p>
      <w:pPr>
        <w:spacing w:line="360" w:lineRule="auto"/>
        <w:ind w:firstLine="1575" w:firstLineChars="750"/>
        <w:jc w:val="left"/>
        <w:rPr>
          <w:rFonts w:ascii="Garamond" w:hAnsi="Garamond"/>
          <w:szCs w:val="21"/>
          <w:highlight w:val="none"/>
        </w:rPr>
      </w:pPr>
      <w:r>
        <w:rPr>
          <w:rFonts w:ascii="Garamond" w:hAnsi="Garamond"/>
          <w:szCs w:val="21"/>
          <w:highlight w:val="none"/>
        </w:rPr>
        <w:t>_______年_____月_______日</w:t>
      </w:r>
    </w:p>
    <w:p>
      <w:pPr>
        <w:jc w:val="left"/>
        <w:rPr>
          <w:rFonts w:ascii="Garamond" w:hAnsi="Garamond"/>
          <w:szCs w:val="21"/>
          <w:highlight w:val="none"/>
        </w:rPr>
      </w:pPr>
      <w:r>
        <w:rPr>
          <w:rFonts w:ascii="Garamond" w:hAnsi="Garamond"/>
          <w:szCs w:val="21"/>
          <w:highlight w:val="none"/>
        </w:rPr>
        <w:br w:type="page"/>
      </w:r>
    </w:p>
    <w:p>
      <w:pPr>
        <w:pStyle w:val="4"/>
        <w:jc w:val="center"/>
        <w:rPr>
          <w:rFonts w:ascii="Garamond" w:hAnsi="Garamond"/>
          <w:sz w:val="28"/>
          <w:szCs w:val="28"/>
          <w:highlight w:val="none"/>
        </w:rPr>
      </w:pPr>
      <w:r>
        <w:rPr>
          <w:rFonts w:ascii="Garamond" w:hAnsi="Garamond"/>
          <w:sz w:val="28"/>
          <w:szCs w:val="28"/>
          <w:highlight w:val="none"/>
        </w:rPr>
        <w:t>投标函附录</w:t>
      </w:r>
    </w:p>
    <w:p>
      <w:pPr>
        <w:topLinePunct/>
        <w:spacing w:line="360" w:lineRule="auto"/>
        <w:jc w:val="left"/>
        <w:rPr>
          <w:rFonts w:ascii="宋体" w:hAnsi="宋体" w:cs="宋体"/>
          <w:sz w:val="24"/>
          <w:highlight w:val="none"/>
        </w:rPr>
      </w:pPr>
      <w:r>
        <w:rPr>
          <w:rFonts w:hint="eastAsia" w:ascii="宋体" w:hAnsi="宋体" w:cs="宋体"/>
          <w:sz w:val="24"/>
          <w:highlight w:val="none"/>
        </w:rPr>
        <w:t>项目名称：</w:t>
      </w:r>
    </w:p>
    <w:p>
      <w:pPr>
        <w:spacing w:line="19" w:lineRule="exact"/>
        <w:rPr>
          <w:rFonts w:ascii="宋体" w:hAnsi="宋体" w:cs="宋体"/>
          <w:highlight w:val="none"/>
        </w:rPr>
      </w:pPr>
    </w:p>
    <w:tbl>
      <w:tblPr>
        <w:tblStyle w:val="167"/>
        <w:tblW w:w="936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04"/>
        <w:gridCol w:w="2791"/>
        <w:gridCol w:w="577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6" w:hRule="atLeast"/>
          <w:jc w:val="center"/>
        </w:trPr>
        <w:tc>
          <w:tcPr>
            <w:tcW w:w="804" w:type="dxa"/>
            <w:tcBorders>
              <w:top w:val="single" w:color="000000" w:sz="2" w:space="0"/>
              <w:bottom w:val="single" w:color="000000" w:sz="2" w:space="0"/>
            </w:tcBorders>
            <w:vAlign w:val="center"/>
          </w:tcPr>
          <w:p>
            <w:pPr>
              <w:spacing w:line="360" w:lineRule="auto"/>
              <w:jc w:val="center"/>
              <w:rPr>
                <w:rFonts w:ascii="宋体" w:hAnsi="宋体" w:cs="宋体"/>
                <w:szCs w:val="21"/>
                <w:highlight w:val="none"/>
              </w:rPr>
            </w:pPr>
            <w:r>
              <w:rPr>
                <w:rFonts w:ascii="宋体" w:hAnsi="宋体" w:cs="宋体"/>
                <w:spacing w:val="-3"/>
                <w:szCs w:val="21"/>
                <w:highlight w:val="none"/>
              </w:rPr>
              <w:t>序</w:t>
            </w:r>
            <w:r>
              <w:rPr>
                <w:rFonts w:ascii="宋体" w:hAnsi="宋体" w:cs="宋体"/>
                <w:spacing w:val="-2"/>
                <w:szCs w:val="21"/>
                <w:highlight w:val="none"/>
              </w:rPr>
              <w:t>号</w:t>
            </w:r>
          </w:p>
        </w:tc>
        <w:tc>
          <w:tcPr>
            <w:tcW w:w="2791" w:type="dxa"/>
            <w:tcBorders>
              <w:top w:val="single" w:color="000000" w:sz="2" w:space="0"/>
              <w:bottom w:val="single" w:color="000000" w:sz="2" w:space="0"/>
            </w:tcBorders>
            <w:vAlign w:val="center"/>
          </w:tcPr>
          <w:p>
            <w:pPr>
              <w:spacing w:line="360" w:lineRule="auto"/>
              <w:jc w:val="center"/>
              <w:rPr>
                <w:rFonts w:ascii="宋体" w:hAnsi="宋体" w:cs="宋体"/>
                <w:szCs w:val="21"/>
                <w:highlight w:val="none"/>
              </w:rPr>
            </w:pPr>
            <w:r>
              <w:rPr>
                <w:rFonts w:ascii="宋体" w:hAnsi="宋体" w:cs="宋体"/>
                <w:spacing w:val="-3"/>
                <w:szCs w:val="21"/>
                <w:highlight w:val="none"/>
              </w:rPr>
              <w:t>事</w:t>
            </w:r>
            <w:r>
              <w:rPr>
                <w:rFonts w:ascii="宋体" w:hAnsi="宋体" w:cs="宋体"/>
                <w:spacing w:val="-2"/>
                <w:szCs w:val="21"/>
                <w:highlight w:val="none"/>
              </w:rPr>
              <w:t>项</w:t>
            </w:r>
          </w:p>
        </w:tc>
        <w:tc>
          <w:tcPr>
            <w:tcW w:w="5770" w:type="dxa"/>
            <w:tcBorders>
              <w:top w:val="single" w:color="000000" w:sz="2" w:space="0"/>
              <w:bottom w:val="single" w:color="000000" w:sz="2" w:space="0"/>
            </w:tcBorders>
            <w:vAlign w:val="center"/>
          </w:tcPr>
          <w:p>
            <w:pPr>
              <w:spacing w:line="360" w:lineRule="auto"/>
              <w:jc w:val="center"/>
              <w:rPr>
                <w:rFonts w:ascii="宋体" w:hAnsi="宋体" w:cs="宋体"/>
                <w:szCs w:val="21"/>
                <w:highlight w:val="none"/>
              </w:rPr>
            </w:pPr>
            <w:r>
              <w:rPr>
                <w:rFonts w:ascii="宋体" w:hAnsi="宋体" w:cs="宋体"/>
                <w:spacing w:val="-3"/>
                <w:szCs w:val="21"/>
                <w:highlight w:val="none"/>
              </w:rPr>
              <w:t>数据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72" w:hRule="atLeast"/>
          <w:jc w:val="center"/>
        </w:trPr>
        <w:tc>
          <w:tcPr>
            <w:tcW w:w="804" w:type="dxa"/>
            <w:tcBorders>
              <w:top w:val="single" w:color="000000" w:sz="2" w:space="0"/>
              <w:bottom w:val="single" w:color="000000" w:sz="2" w:space="0"/>
            </w:tcBorders>
            <w:vAlign w:val="center"/>
          </w:tcPr>
          <w:p>
            <w:pPr>
              <w:spacing w:line="360" w:lineRule="auto"/>
              <w:jc w:val="center"/>
              <w:rPr>
                <w:rFonts w:ascii="宋体" w:hAnsi="宋体" w:cs="宋体"/>
                <w:szCs w:val="21"/>
                <w:highlight w:val="none"/>
              </w:rPr>
            </w:pPr>
            <w:r>
              <w:rPr>
                <w:rFonts w:ascii="宋体" w:hAnsi="宋体" w:cs="宋体"/>
                <w:szCs w:val="21"/>
                <w:highlight w:val="none"/>
              </w:rPr>
              <w:t>1</w:t>
            </w:r>
          </w:p>
        </w:tc>
        <w:tc>
          <w:tcPr>
            <w:tcW w:w="2791" w:type="dxa"/>
            <w:tcBorders>
              <w:top w:val="single" w:color="000000" w:sz="2" w:space="0"/>
              <w:bottom w:val="single" w:color="000000" w:sz="2" w:space="0"/>
            </w:tcBorders>
            <w:vAlign w:val="center"/>
          </w:tcPr>
          <w:p>
            <w:pPr>
              <w:spacing w:line="360" w:lineRule="auto"/>
              <w:jc w:val="center"/>
              <w:rPr>
                <w:rFonts w:ascii="宋体" w:hAnsi="宋体" w:cs="宋体"/>
                <w:szCs w:val="21"/>
                <w:highlight w:val="none"/>
              </w:rPr>
            </w:pPr>
            <w:r>
              <w:rPr>
                <w:rFonts w:ascii="宋体" w:hAnsi="宋体" w:cs="宋体"/>
                <w:spacing w:val="-2"/>
                <w:szCs w:val="21"/>
                <w:highlight w:val="none"/>
              </w:rPr>
              <w:t>投标保证</w:t>
            </w:r>
            <w:r>
              <w:rPr>
                <w:rFonts w:ascii="宋体" w:hAnsi="宋体" w:cs="宋体"/>
                <w:spacing w:val="-1"/>
                <w:szCs w:val="21"/>
                <w:highlight w:val="none"/>
              </w:rPr>
              <w:t>金金额</w:t>
            </w:r>
          </w:p>
        </w:tc>
        <w:tc>
          <w:tcPr>
            <w:tcW w:w="5770" w:type="dxa"/>
            <w:tcBorders>
              <w:top w:val="single" w:color="000000" w:sz="2" w:space="0"/>
              <w:bottom w:val="single" w:color="000000" w:sz="2" w:space="0"/>
            </w:tcBorders>
            <w:vAlign w:val="center"/>
          </w:tcPr>
          <w:p>
            <w:pPr>
              <w:spacing w:line="360" w:lineRule="auto"/>
              <w:ind w:left="105" w:leftChars="50" w:right="105" w:rightChars="50"/>
              <w:jc w:val="center"/>
              <w:rPr>
                <w:rFonts w:ascii="宋体" w:hAnsi="宋体" w:cs="宋体"/>
                <w:szCs w:val="21"/>
                <w:highlight w:val="none"/>
              </w:rPr>
            </w:pPr>
            <w:r>
              <w:rPr>
                <w:rFonts w:ascii="宋体" w:hAnsi="宋体" w:cs="宋体"/>
                <w:szCs w:val="21"/>
                <w:highlight w:val="none"/>
              </w:rPr>
              <w:t>人民币</w:t>
            </w:r>
            <w:r>
              <w:rPr>
                <w:rFonts w:hint="eastAsia" w:ascii="宋体" w:hAnsi="宋体" w:cs="宋体"/>
                <w:szCs w:val="21"/>
                <w:highlight w:val="none"/>
                <w:u w:val="single"/>
              </w:rPr>
              <w:t xml:space="preserve">     </w:t>
            </w:r>
            <w:r>
              <w:rPr>
                <w:rFonts w:ascii="宋体" w:hAnsi="宋体" w:cs="宋体"/>
                <w:szCs w:val="21"/>
                <w:highlight w:val="none"/>
              </w:rPr>
              <w:t>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1" w:hRule="atLeast"/>
          <w:jc w:val="center"/>
        </w:trPr>
        <w:tc>
          <w:tcPr>
            <w:tcW w:w="804" w:type="dxa"/>
            <w:tcBorders>
              <w:top w:val="single" w:color="000000" w:sz="2" w:space="0"/>
              <w:bottom w:val="single" w:color="000000" w:sz="2" w:space="0"/>
            </w:tcBorders>
            <w:vAlign w:val="center"/>
          </w:tcPr>
          <w:p>
            <w:pPr>
              <w:spacing w:line="360" w:lineRule="auto"/>
              <w:jc w:val="center"/>
              <w:rPr>
                <w:rFonts w:hint="eastAsia" w:ascii="宋体" w:hAnsi="宋体" w:eastAsia="宋体" w:cs="宋体"/>
                <w:szCs w:val="21"/>
                <w:highlight w:val="none"/>
                <w:lang w:eastAsia="zh-CN"/>
              </w:rPr>
            </w:pPr>
            <w:r>
              <w:rPr>
                <w:rFonts w:hint="eastAsia" w:ascii="宋体" w:hAnsi="宋体" w:cs="宋体"/>
                <w:szCs w:val="21"/>
                <w:highlight w:val="none"/>
                <w:lang w:val="en-US" w:eastAsia="zh-CN"/>
              </w:rPr>
              <w:t>2</w:t>
            </w:r>
          </w:p>
        </w:tc>
        <w:tc>
          <w:tcPr>
            <w:tcW w:w="2791" w:type="dxa"/>
            <w:tcBorders>
              <w:top w:val="single" w:color="000000" w:sz="2" w:space="0"/>
              <w:bottom w:val="single" w:color="000000" w:sz="2" w:space="0"/>
            </w:tcBorders>
            <w:vAlign w:val="center"/>
          </w:tcPr>
          <w:p>
            <w:pPr>
              <w:spacing w:line="360" w:lineRule="auto"/>
              <w:ind w:left="105" w:leftChars="50" w:right="105" w:rightChars="50"/>
              <w:jc w:val="center"/>
              <w:rPr>
                <w:rFonts w:ascii="宋体" w:hAnsi="宋体" w:cs="宋体"/>
                <w:szCs w:val="21"/>
                <w:highlight w:val="none"/>
              </w:rPr>
            </w:pPr>
            <w:r>
              <w:rPr>
                <w:rFonts w:ascii="宋体" w:hAnsi="宋体" w:cs="宋体"/>
                <w:szCs w:val="21"/>
                <w:highlight w:val="none"/>
              </w:rPr>
              <w:t>服务期</w:t>
            </w:r>
          </w:p>
        </w:tc>
        <w:tc>
          <w:tcPr>
            <w:tcW w:w="5770" w:type="dxa"/>
            <w:tcBorders>
              <w:top w:val="single" w:color="000000" w:sz="2" w:space="0"/>
              <w:bottom w:val="single" w:color="000000" w:sz="2" w:space="0"/>
            </w:tcBorders>
            <w:vAlign w:val="center"/>
          </w:tcPr>
          <w:p>
            <w:pPr>
              <w:spacing w:line="360" w:lineRule="auto"/>
              <w:ind w:left="105" w:leftChars="50" w:right="105" w:rightChars="50"/>
              <w:jc w:val="center"/>
              <w:rPr>
                <w:rFonts w:ascii="宋体" w:hAnsi="宋体" w:cs="宋体"/>
                <w:szCs w:val="21"/>
                <w:highlight w:val="none"/>
              </w:rPr>
            </w:pPr>
            <w:r>
              <w:rPr>
                <w:rFonts w:hint="eastAsia" w:ascii="Garamond" w:hAnsi="Garamond"/>
                <w:szCs w:val="21"/>
                <w:highlight w:val="none"/>
              </w:rPr>
              <w:t>计划2024年10月开工，2024年11月25日前完工。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2" w:hRule="atLeast"/>
          <w:jc w:val="center"/>
        </w:trPr>
        <w:tc>
          <w:tcPr>
            <w:tcW w:w="804" w:type="dxa"/>
            <w:tcBorders>
              <w:top w:val="single" w:color="000000" w:sz="2" w:space="0"/>
              <w:bottom w:val="single" w:color="000000" w:sz="2" w:space="0"/>
            </w:tcBorders>
            <w:vAlign w:val="center"/>
          </w:tcPr>
          <w:p>
            <w:pPr>
              <w:spacing w:line="360" w:lineRule="auto"/>
              <w:jc w:val="center"/>
              <w:rPr>
                <w:rFonts w:hint="eastAsia" w:ascii="宋体" w:hAnsi="宋体" w:eastAsia="宋体" w:cs="宋体"/>
                <w:szCs w:val="21"/>
                <w:highlight w:val="none"/>
                <w:lang w:eastAsia="zh-CN"/>
              </w:rPr>
            </w:pPr>
            <w:r>
              <w:rPr>
                <w:rFonts w:hint="eastAsia" w:ascii="宋体" w:hAnsi="宋体" w:cs="宋体"/>
                <w:szCs w:val="21"/>
                <w:highlight w:val="none"/>
                <w:lang w:val="en-US" w:eastAsia="zh-CN"/>
              </w:rPr>
              <w:t>3</w:t>
            </w:r>
          </w:p>
        </w:tc>
        <w:tc>
          <w:tcPr>
            <w:tcW w:w="2791" w:type="dxa"/>
            <w:tcBorders>
              <w:top w:val="single" w:color="000000" w:sz="2" w:space="0"/>
              <w:bottom w:val="single" w:color="000000" w:sz="2" w:space="0"/>
            </w:tcBorders>
            <w:vAlign w:val="center"/>
          </w:tcPr>
          <w:p>
            <w:pPr>
              <w:spacing w:line="360" w:lineRule="auto"/>
              <w:ind w:left="105" w:leftChars="50" w:right="105" w:rightChars="50"/>
              <w:jc w:val="center"/>
              <w:rPr>
                <w:rFonts w:ascii="宋体" w:hAnsi="宋体" w:cs="宋体"/>
                <w:szCs w:val="21"/>
                <w:highlight w:val="none"/>
              </w:rPr>
            </w:pPr>
            <w:r>
              <w:rPr>
                <w:rFonts w:ascii="宋体" w:hAnsi="宋体" w:cs="宋体"/>
                <w:szCs w:val="21"/>
                <w:highlight w:val="none"/>
              </w:rPr>
              <w:t>预付款</w:t>
            </w:r>
          </w:p>
        </w:tc>
        <w:tc>
          <w:tcPr>
            <w:tcW w:w="5770" w:type="dxa"/>
            <w:tcBorders>
              <w:top w:val="single" w:color="000000" w:sz="2" w:space="0"/>
              <w:bottom w:val="single" w:color="000000" w:sz="2" w:space="0"/>
            </w:tcBorders>
            <w:vAlign w:val="center"/>
          </w:tcPr>
          <w:p>
            <w:pPr>
              <w:spacing w:line="360" w:lineRule="auto"/>
              <w:ind w:left="105" w:leftChars="50" w:right="105" w:rightChars="50"/>
              <w:jc w:val="center"/>
              <w:rPr>
                <w:rFonts w:ascii="宋体" w:hAnsi="宋体" w:cs="宋体"/>
                <w:szCs w:val="21"/>
                <w:highlight w:val="none"/>
              </w:rPr>
            </w:pPr>
            <w:r>
              <w:rPr>
                <w:rFonts w:ascii="宋体" w:hAnsi="宋体" w:cs="宋体"/>
                <w:szCs w:val="21"/>
                <w:highlight w:val="none"/>
              </w:rPr>
              <w:t>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1" w:hRule="atLeast"/>
          <w:jc w:val="center"/>
        </w:trPr>
        <w:tc>
          <w:tcPr>
            <w:tcW w:w="804" w:type="dxa"/>
            <w:tcBorders>
              <w:top w:val="single" w:color="000000" w:sz="2" w:space="0"/>
              <w:bottom w:val="single" w:color="000000" w:sz="2" w:space="0"/>
            </w:tcBorders>
            <w:vAlign w:val="center"/>
          </w:tcPr>
          <w:p>
            <w:pPr>
              <w:spacing w:line="360" w:lineRule="auto"/>
              <w:jc w:val="center"/>
              <w:rPr>
                <w:rFonts w:hint="eastAsia" w:ascii="宋体" w:hAnsi="宋体" w:eastAsia="宋体" w:cs="宋体"/>
                <w:szCs w:val="21"/>
                <w:highlight w:val="none"/>
                <w:lang w:eastAsia="zh-CN"/>
              </w:rPr>
            </w:pPr>
            <w:r>
              <w:rPr>
                <w:rFonts w:hint="eastAsia" w:ascii="宋体" w:hAnsi="宋体" w:cs="宋体"/>
                <w:szCs w:val="21"/>
                <w:highlight w:val="none"/>
                <w:lang w:val="en-US" w:eastAsia="zh-CN"/>
              </w:rPr>
              <w:t>4</w:t>
            </w:r>
          </w:p>
        </w:tc>
        <w:tc>
          <w:tcPr>
            <w:tcW w:w="2791" w:type="dxa"/>
            <w:tcBorders>
              <w:top w:val="single" w:color="000000" w:sz="2" w:space="0"/>
              <w:bottom w:val="single" w:color="000000" w:sz="2" w:space="0"/>
            </w:tcBorders>
            <w:vAlign w:val="center"/>
          </w:tcPr>
          <w:p>
            <w:pPr>
              <w:spacing w:line="360" w:lineRule="auto"/>
              <w:ind w:left="105" w:leftChars="50" w:right="105" w:rightChars="50"/>
              <w:jc w:val="center"/>
              <w:rPr>
                <w:rFonts w:ascii="宋体" w:hAnsi="宋体" w:cs="宋体"/>
                <w:szCs w:val="21"/>
                <w:highlight w:val="none"/>
              </w:rPr>
            </w:pPr>
            <w:r>
              <w:rPr>
                <w:rFonts w:ascii="宋体" w:hAnsi="宋体" w:cs="宋体"/>
                <w:szCs w:val="21"/>
                <w:highlight w:val="none"/>
              </w:rPr>
              <w:t>账目货币</w:t>
            </w:r>
          </w:p>
        </w:tc>
        <w:tc>
          <w:tcPr>
            <w:tcW w:w="5770" w:type="dxa"/>
            <w:tcBorders>
              <w:top w:val="single" w:color="000000" w:sz="2" w:space="0"/>
              <w:bottom w:val="single" w:color="000000" w:sz="2" w:space="0"/>
            </w:tcBorders>
            <w:vAlign w:val="center"/>
          </w:tcPr>
          <w:p>
            <w:pPr>
              <w:spacing w:line="360" w:lineRule="auto"/>
              <w:ind w:left="105" w:leftChars="50" w:right="105" w:rightChars="50"/>
              <w:jc w:val="center"/>
              <w:rPr>
                <w:rFonts w:ascii="宋体" w:hAnsi="宋体" w:cs="宋体"/>
                <w:szCs w:val="21"/>
                <w:highlight w:val="none"/>
              </w:rPr>
            </w:pPr>
            <w:r>
              <w:rPr>
                <w:rFonts w:ascii="宋体" w:hAnsi="宋体" w:cs="宋体"/>
                <w:szCs w:val="21"/>
                <w:highlight w:val="none"/>
              </w:rPr>
              <w:t>人民币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6" w:hRule="atLeast"/>
          <w:jc w:val="center"/>
        </w:trPr>
        <w:tc>
          <w:tcPr>
            <w:tcW w:w="804" w:type="dxa"/>
            <w:tcBorders>
              <w:top w:val="single" w:color="000000" w:sz="2" w:space="0"/>
              <w:bottom w:val="single" w:color="000000" w:sz="2" w:space="0"/>
            </w:tcBorders>
            <w:vAlign w:val="center"/>
          </w:tcPr>
          <w:p>
            <w:pPr>
              <w:spacing w:line="360" w:lineRule="auto"/>
              <w:jc w:val="center"/>
              <w:rPr>
                <w:rFonts w:hint="eastAsia" w:ascii="宋体" w:hAnsi="宋体" w:eastAsia="宋体" w:cs="宋体"/>
                <w:szCs w:val="21"/>
                <w:highlight w:val="none"/>
                <w:lang w:eastAsia="zh-CN"/>
              </w:rPr>
            </w:pPr>
            <w:r>
              <w:rPr>
                <w:rFonts w:hint="eastAsia" w:ascii="宋体" w:hAnsi="宋体" w:cs="宋体"/>
                <w:szCs w:val="21"/>
                <w:highlight w:val="none"/>
                <w:lang w:val="en-US" w:eastAsia="zh-CN"/>
              </w:rPr>
              <w:t>5</w:t>
            </w:r>
          </w:p>
        </w:tc>
        <w:tc>
          <w:tcPr>
            <w:tcW w:w="2791" w:type="dxa"/>
            <w:tcBorders>
              <w:top w:val="single" w:color="000000" w:sz="2" w:space="0"/>
              <w:bottom w:val="single" w:color="000000" w:sz="2" w:space="0"/>
            </w:tcBorders>
            <w:vAlign w:val="center"/>
          </w:tcPr>
          <w:p>
            <w:pPr>
              <w:spacing w:line="360" w:lineRule="auto"/>
              <w:ind w:left="105" w:leftChars="50" w:right="105" w:rightChars="50"/>
              <w:jc w:val="center"/>
              <w:rPr>
                <w:rFonts w:ascii="宋体" w:hAnsi="宋体" w:cs="宋体"/>
                <w:szCs w:val="21"/>
                <w:highlight w:val="none"/>
              </w:rPr>
            </w:pPr>
            <w:r>
              <w:rPr>
                <w:rFonts w:ascii="宋体" w:hAnsi="宋体" w:cs="宋体"/>
                <w:szCs w:val="21"/>
                <w:highlight w:val="none"/>
              </w:rPr>
              <w:t>委托人未支付金额的利率</w:t>
            </w:r>
          </w:p>
        </w:tc>
        <w:tc>
          <w:tcPr>
            <w:tcW w:w="5770" w:type="dxa"/>
            <w:tcBorders>
              <w:top w:val="single" w:color="000000" w:sz="2" w:space="0"/>
              <w:bottom w:val="single" w:color="000000" w:sz="2" w:space="0"/>
            </w:tcBorders>
            <w:vAlign w:val="center"/>
          </w:tcPr>
          <w:p>
            <w:pPr>
              <w:spacing w:line="360" w:lineRule="auto"/>
              <w:ind w:left="105" w:leftChars="50" w:right="105" w:rightChars="50"/>
              <w:jc w:val="center"/>
              <w:rPr>
                <w:rFonts w:ascii="宋体" w:hAnsi="宋体" w:cs="宋体"/>
                <w:szCs w:val="21"/>
                <w:highlight w:val="none"/>
              </w:rPr>
            </w:pPr>
            <w:r>
              <w:rPr>
                <w:rFonts w:ascii="宋体" w:hAnsi="宋体" w:cs="宋体"/>
                <w:szCs w:val="21"/>
                <w:highlight w:val="none"/>
              </w:rPr>
              <w:t>人民银行同期贷款利率</w:t>
            </w:r>
          </w:p>
        </w:tc>
      </w:tr>
    </w:tbl>
    <w:p>
      <w:pPr>
        <w:spacing w:line="243" w:lineRule="auto"/>
        <w:rPr>
          <w:rFonts w:ascii="宋体" w:hAnsi="宋体" w:cs="宋体"/>
          <w:highlight w:val="none"/>
        </w:rPr>
      </w:pPr>
    </w:p>
    <w:p>
      <w:pPr>
        <w:spacing w:line="243" w:lineRule="auto"/>
        <w:rPr>
          <w:rFonts w:ascii="宋体" w:hAnsi="宋体" w:cs="宋体"/>
          <w:highlight w:val="none"/>
        </w:rPr>
      </w:pPr>
    </w:p>
    <w:p>
      <w:pPr>
        <w:spacing w:line="244" w:lineRule="auto"/>
        <w:rPr>
          <w:rFonts w:ascii="宋体" w:hAnsi="宋体" w:cs="宋体"/>
          <w:highlight w:val="none"/>
        </w:rPr>
      </w:pPr>
    </w:p>
    <w:p>
      <w:pPr>
        <w:spacing w:line="360" w:lineRule="auto"/>
        <w:jc w:val="left"/>
        <w:rPr>
          <w:rFonts w:ascii="Garamond" w:hAnsi="Garamond"/>
          <w:szCs w:val="21"/>
          <w:highlight w:val="none"/>
        </w:rPr>
      </w:pPr>
      <w:r>
        <w:rPr>
          <w:rFonts w:ascii="Garamond" w:hAnsi="Garamond"/>
          <w:szCs w:val="21"/>
          <w:highlight w:val="none"/>
        </w:rPr>
        <w:t>投标人：（盖单位章）</w:t>
      </w:r>
    </w:p>
    <w:p>
      <w:pPr>
        <w:spacing w:line="360" w:lineRule="auto"/>
        <w:jc w:val="left"/>
        <w:rPr>
          <w:rFonts w:ascii="Garamond" w:hAnsi="Garamond"/>
          <w:szCs w:val="21"/>
          <w:highlight w:val="none"/>
        </w:rPr>
      </w:pPr>
      <w:r>
        <w:rPr>
          <w:rFonts w:hint="eastAsia" w:ascii="Garamond" w:hAnsi="Garamond"/>
          <w:szCs w:val="21"/>
          <w:highlight w:val="none"/>
        </w:rPr>
        <w:t>法定代表人（亲笔签名或签章）或其委托代理人（亲笔签名）：</w:t>
      </w:r>
    </w:p>
    <w:p>
      <w:pPr>
        <w:spacing w:line="360" w:lineRule="auto"/>
        <w:ind w:firstLine="840" w:firstLineChars="400"/>
        <w:rPr>
          <w:rFonts w:ascii="宋体" w:hAnsi="宋体" w:cs="宋体"/>
          <w:szCs w:val="21"/>
          <w:highlight w:val="none"/>
        </w:rPr>
      </w:pPr>
      <w:r>
        <w:rPr>
          <w:rFonts w:hint="eastAsia" w:ascii="宋体" w:hAnsi="宋体" w:cs="宋体"/>
          <w:szCs w:val="21"/>
          <w:highlight w:val="none"/>
        </w:rPr>
        <w:t>年   月   日</w:t>
      </w:r>
    </w:p>
    <w:p>
      <w:pPr>
        <w:pStyle w:val="16"/>
        <w:rPr>
          <w:highlight w:val="none"/>
        </w:rPr>
      </w:pPr>
    </w:p>
    <w:p>
      <w:pPr>
        <w:spacing w:line="360" w:lineRule="auto"/>
        <w:ind w:firstLine="1575" w:firstLineChars="750"/>
        <w:jc w:val="right"/>
        <w:rPr>
          <w:rFonts w:ascii="Garamond" w:hAnsi="Garamond"/>
          <w:szCs w:val="21"/>
          <w:highlight w:val="none"/>
        </w:rPr>
      </w:pPr>
    </w:p>
    <w:p>
      <w:pPr>
        <w:spacing w:line="360" w:lineRule="auto"/>
        <w:ind w:firstLine="1575" w:firstLineChars="750"/>
        <w:jc w:val="right"/>
        <w:rPr>
          <w:rFonts w:ascii="Garamond" w:hAnsi="Garamond"/>
          <w:szCs w:val="21"/>
          <w:highlight w:val="none"/>
        </w:rPr>
        <w:sectPr>
          <w:pgSz w:w="11906" w:h="16838"/>
          <w:pgMar w:top="1417" w:right="1247" w:bottom="1417" w:left="1417" w:header="851" w:footer="680" w:gutter="0"/>
          <w:cols w:space="0" w:num="1"/>
          <w:docGrid w:linePitch="312" w:charSpace="0"/>
        </w:sectPr>
      </w:pPr>
    </w:p>
    <w:p>
      <w:pPr>
        <w:pStyle w:val="4"/>
        <w:jc w:val="center"/>
        <w:rPr>
          <w:rFonts w:ascii="Garamond" w:hAnsi="Garamond"/>
          <w:sz w:val="28"/>
          <w:szCs w:val="28"/>
          <w:highlight w:val="none"/>
        </w:rPr>
      </w:pPr>
      <w:r>
        <w:rPr>
          <w:rFonts w:ascii="Garamond" w:hAnsi="Garamond"/>
          <w:sz w:val="28"/>
          <w:szCs w:val="28"/>
          <w:highlight w:val="none"/>
        </w:rPr>
        <w:t>二、法定代表人身份证明及授权委托书</w:t>
      </w:r>
    </w:p>
    <w:p>
      <w:pPr>
        <w:spacing w:line="360" w:lineRule="auto"/>
        <w:jc w:val="center"/>
        <w:rPr>
          <w:rFonts w:ascii="Garamond" w:hAnsi="Garamond"/>
          <w:b/>
          <w:sz w:val="24"/>
          <w:highlight w:val="none"/>
        </w:rPr>
      </w:pPr>
      <w:r>
        <w:rPr>
          <w:rFonts w:ascii="Garamond" w:hAnsi="Garamond"/>
          <w:b/>
          <w:sz w:val="24"/>
          <w:highlight w:val="none"/>
        </w:rPr>
        <w:t>（一）法定代表人身份证明</w:t>
      </w:r>
    </w:p>
    <w:p>
      <w:pPr>
        <w:spacing w:line="340" w:lineRule="exact"/>
        <w:jc w:val="right"/>
        <w:rPr>
          <w:rFonts w:ascii="Garamond" w:hAnsi="Garamond"/>
          <w:sz w:val="24"/>
          <w:highlight w:val="none"/>
        </w:rPr>
      </w:pPr>
    </w:p>
    <w:p>
      <w:pPr>
        <w:spacing w:line="360" w:lineRule="auto"/>
        <w:rPr>
          <w:rFonts w:ascii="Garamond" w:hAnsi="Garamond"/>
          <w:szCs w:val="21"/>
          <w:highlight w:val="none"/>
        </w:rPr>
      </w:pPr>
      <w:r>
        <w:rPr>
          <w:rFonts w:ascii="Garamond" w:hAnsi="Garamond"/>
          <w:szCs w:val="21"/>
          <w:highlight w:val="none"/>
        </w:rPr>
        <w:t>投标人名称：_____________________</w:t>
      </w:r>
    </w:p>
    <w:p>
      <w:pPr>
        <w:spacing w:line="360" w:lineRule="auto"/>
        <w:rPr>
          <w:rFonts w:ascii="Garamond" w:hAnsi="Garamond"/>
          <w:szCs w:val="21"/>
          <w:highlight w:val="none"/>
        </w:rPr>
      </w:pPr>
      <w:r>
        <w:rPr>
          <w:rFonts w:ascii="Garamond" w:hAnsi="Garamond"/>
          <w:szCs w:val="21"/>
          <w:highlight w:val="none"/>
        </w:rPr>
        <w:t>单位性质：_______________________</w:t>
      </w:r>
    </w:p>
    <w:p>
      <w:pPr>
        <w:spacing w:line="360" w:lineRule="auto"/>
        <w:rPr>
          <w:rFonts w:ascii="Garamond" w:hAnsi="Garamond"/>
          <w:szCs w:val="21"/>
          <w:highlight w:val="none"/>
        </w:rPr>
      </w:pPr>
      <w:r>
        <w:rPr>
          <w:rFonts w:ascii="Garamond" w:hAnsi="Garamond"/>
          <w:szCs w:val="21"/>
          <w:highlight w:val="none"/>
        </w:rPr>
        <w:t>地    址：_______________________</w:t>
      </w:r>
    </w:p>
    <w:p>
      <w:pPr>
        <w:spacing w:line="360" w:lineRule="auto"/>
        <w:rPr>
          <w:rFonts w:ascii="Garamond" w:hAnsi="Garamond"/>
          <w:szCs w:val="21"/>
          <w:highlight w:val="none"/>
        </w:rPr>
      </w:pPr>
      <w:r>
        <w:rPr>
          <w:rFonts w:ascii="Garamond" w:hAnsi="Garamond"/>
          <w:szCs w:val="21"/>
          <w:highlight w:val="none"/>
        </w:rPr>
        <w:t>成立时间:____年___月___日</w:t>
      </w:r>
    </w:p>
    <w:p>
      <w:pPr>
        <w:spacing w:line="360" w:lineRule="auto"/>
        <w:rPr>
          <w:rFonts w:ascii="Garamond" w:hAnsi="Garamond"/>
          <w:szCs w:val="21"/>
          <w:highlight w:val="none"/>
        </w:rPr>
      </w:pPr>
      <w:r>
        <w:rPr>
          <w:rFonts w:ascii="Garamond" w:hAnsi="Garamond"/>
          <w:szCs w:val="21"/>
          <w:highlight w:val="none"/>
        </w:rPr>
        <w:t>经营期限：_______________________</w:t>
      </w:r>
    </w:p>
    <w:p>
      <w:pPr>
        <w:spacing w:line="360" w:lineRule="auto"/>
        <w:rPr>
          <w:rFonts w:ascii="Garamond" w:hAnsi="Garamond"/>
          <w:szCs w:val="21"/>
          <w:highlight w:val="none"/>
        </w:rPr>
      </w:pPr>
    </w:p>
    <w:p>
      <w:pPr>
        <w:spacing w:line="360" w:lineRule="auto"/>
        <w:ind w:firstLine="420" w:firstLineChars="200"/>
        <w:rPr>
          <w:rFonts w:ascii="Garamond" w:hAnsi="Garamond"/>
          <w:szCs w:val="21"/>
          <w:highlight w:val="none"/>
        </w:rPr>
      </w:pPr>
      <w:r>
        <w:rPr>
          <w:rFonts w:ascii="Garamond" w:hAnsi="Garamond"/>
          <w:szCs w:val="21"/>
          <w:highlight w:val="none"/>
        </w:rPr>
        <w:t>姓名：</w:t>
      </w:r>
      <w:r>
        <w:rPr>
          <w:rFonts w:ascii="Garamond" w:hAnsi="Garamond"/>
          <w:szCs w:val="21"/>
          <w:highlight w:val="none"/>
          <w:u w:val="single"/>
        </w:rPr>
        <w:t xml:space="preserve">  （法定代表人</w:t>
      </w:r>
      <w:r>
        <w:rPr>
          <w:rFonts w:hint="eastAsia" w:ascii="Garamond" w:hAnsi="Garamond"/>
          <w:szCs w:val="21"/>
          <w:highlight w:val="none"/>
          <w:u w:val="single"/>
        </w:rPr>
        <w:t>亲笔签名或签章</w:t>
      </w:r>
      <w:r>
        <w:rPr>
          <w:rFonts w:ascii="Garamond" w:hAnsi="Garamond"/>
          <w:szCs w:val="21"/>
          <w:highlight w:val="none"/>
          <w:u w:val="single"/>
        </w:rPr>
        <w:t xml:space="preserve">）     </w:t>
      </w:r>
      <w:r>
        <w:rPr>
          <w:rFonts w:ascii="Garamond" w:hAnsi="Garamond"/>
          <w:szCs w:val="21"/>
          <w:highlight w:val="none"/>
        </w:rPr>
        <w:t>性别：____年龄：_____职务：_____系_________（投标人名称）的法定代表人。</w:t>
      </w:r>
    </w:p>
    <w:p>
      <w:pPr>
        <w:topLinePunct/>
        <w:rPr>
          <w:rFonts w:ascii="Garamond" w:hAnsi="Garamond"/>
          <w:highlight w:val="none"/>
        </w:rPr>
      </w:pPr>
      <w:r>
        <w:rPr>
          <w:rFonts w:ascii="Garamond" w:hAnsi="Garamond" w:cs="宋体"/>
          <w:highlight w:val="none"/>
        </w:rPr>
        <w:t>附：</w:t>
      </w:r>
      <w:r>
        <w:rPr>
          <w:rFonts w:ascii="Garamond" w:hAnsi="Garamond"/>
          <w:b/>
          <w:bCs/>
          <w:highlight w:val="none"/>
        </w:rPr>
        <w:t>法定代表人身份证</w:t>
      </w:r>
      <w:r>
        <w:rPr>
          <w:rFonts w:ascii="Garamond" w:hAnsi="Garamond"/>
          <w:b/>
          <w:highlight w:val="none"/>
        </w:rPr>
        <w:t>彩色复印件或彩色扫描件</w:t>
      </w:r>
      <w:r>
        <w:rPr>
          <w:rFonts w:ascii="Garamond" w:hAnsi="Garamond"/>
          <w:b/>
          <w:bCs/>
          <w:highlight w:val="none"/>
        </w:rPr>
        <w:t>。</w:t>
      </w:r>
    </w:p>
    <w:p>
      <w:pPr>
        <w:topLinePunct/>
        <w:rPr>
          <w:rFonts w:ascii="Garamond" w:hAnsi="Garamond"/>
          <w:highlight w:val="none"/>
        </w:rPr>
      </w:pPr>
    </w:p>
    <w:p>
      <w:pPr>
        <w:spacing w:line="360" w:lineRule="auto"/>
        <w:rPr>
          <w:rFonts w:ascii="Garamond" w:hAnsi="Garamond"/>
          <w:szCs w:val="21"/>
          <w:highlight w:val="none"/>
        </w:rPr>
      </w:pPr>
    </w:p>
    <w:p>
      <w:pPr>
        <w:spacing w:line="360" w:lineRule="auto"/>
        <w:rPr>
          <w:rFonts w:ascii="Garamond" w:hAnsi="Garamond"/>
          <w:szCs w:val="21"/>
          <w:highlight w:val="none"/>
        </w:rPr>
      </w:pPr>
      <w:r>
        <w:rPr>
          <w:rFonts w:ascii="Garamond" w:hAnsi="Garamond"/>
          <w:szCs w:val="21"/>
          <w:highlight w:val="none"/>
        </w:rPr>
        <w:t>特此证明。</w:t>
      </w:r>
    </w:p>
    <w:p>
      <w:pPr>
        <w:spacing w:line="360" w:lineRule="auto"/>
        <w:rPr>
          <w:rFonts w:ascii="Garamond" w:hAnsi="Garamond"/>
          <w:szCs w:val="21"/>
          <w:highlight w:val="none"/>
        </w:rPr>
      </w:pPr>
    </w:p>
    <w:p>
      <w:pPr>
        <w:spacing w:line="360" w:lineRule="auto"/>
        <w:rPr>
          <w:rFonts w:ascii="Garamond" w:hAnsi="Garamond"/>
          <w:szCs w:val="21"/>
          <w:highlight w:val="none"/>
        </w:rPr>
      </w:pPr>
    </w:p>
    <w:p>
      <w:pPr>
        <w:spacing w:line="360" w:lineRule="auto"/>
        <w:jc w:val="right"/>
        <w:rPr>
          <w:rFonts w:ascii="Garamond" w:hAnsi="Garamond"/>
          <w:szCs w:val="21"/>
          <w:highlight w:val="none"/>
        </w:rPr>
      </w:pPr>
      <w:r>
        <w:rPr>
          <w:rFonts w:ascii="Garamond" w:hAnsi="Garamond"/>
          <w:szCs w:val="21"/>
          <w:highlight w:val="none"/>
        </w:rPr>
        <w:t>投标人：___________________（盖单位章）</w:t>
      </w:r>
    </w:p>
    <w:p>
      <w:pPr>
        <w:spacing w:line="360" w:lineRule="auto"/>
        <w:rPr>
          <w:rFonts w:ascii="Garamond" w:hAnsi="Garamond"/>
          <w:szCs w:val="21"/>
          <w:highlight w:val="none"/>
        </w:rPr>
      </w:pPr>
    </w:p>
    <w:p>
      <w:pPr>
        <w:spacing w:line="360" w:lineRule="auto"/>
        <w:jc w:val="right"/>
        <w:rPr>
          <w:rFonts w:ascii="Garamond" w:hAnsi="Garamond"/>
          <w:szCs w:val="21"/>
          <w:highlight w:val="none"/>
        </w:rPr>
      </w:pPr>
      <w:r>
        <w:rPr>
          <w:rFonts w:ascii="Garamond" w:hAnsi="Garamond"/>
          <w:szCs w:val="21"/>
          <w:highlight w:val="none"/>
        </w:rPr>
        <w:t>______年_____月_______日</w:t>
      </w:r>
    </w:p>
    <w:p>
      <w:pPr>
        <w:spacing w:line="360" w:lineRule="auto"/>
        <w:jc w:val="right"/>
        <w:rPr>
          <w:rFonts w:ascii="Garamond" w:hAnsi="Garamond"/>
          <w:szCs w:val="21"/>
          <w:highlight w:val="none"/>
        </w:rPr>
      </w:pPr>
    </w:p>
    <w:p>
      <w:pPr>
        <w:spacing w:line="360" w:lineRule="auto"/>
        <w:jc w:val="right"/>
        <w:rPr>
          <w:rFonts w:ascii="Garamond" w:hAnsi="Garamond"/>
          <w:szCs w:val="21"/>
          <w:highlight w:val="none"/>
        </w:rPr>
      </w:pPr>
    </w:p>
    <w:p>
      <w:pPr>
        <w:spacing w:line="360" w:lineRule="auto"/>
        <w:jc w:val="right"/>
        <w:rPr>
          <w:rFonts w:ascii="Garamond" w:hAnsi="Garamond"/>
          <w:szCs w:val="21"/>
          <w:highlight w:val="none"/>
        </w:rPr>
      </w:pPr>
    </w:p>
    <w:p>
      <w:pPr>
        <w:spacing w:line="360" w:lineRule="auto"/>
        <w:jc w:val="right"/>
        <w:rPr>
          <w:rFonts w:ascii="Garamond" w:hAnsi="Garamond"/>
          <w:szCs w:val="21"/>
          <w:highlight w:val="none"/>
        </w:rPr>
      </w:pPr>
    </w:p>
    <w:p>
      <w:pPr>
        <w:spacing w:line="360" w:lineRule="auto"/>
        <w:jc w:val="right"/>
        <w:rPr>
          <w:rFonts w:ascii="Garamond" w:hAnsi="Garamond"/>
          <w:szCs w:val="21"/>
          <w:highlight w:val="none"/>
        </w:rPr>
      </w:pPr>
    </w:p>
    <w:p>
      <w:pPr>
        <w:spacing w:line="360" w:lineRule="auto"/>
        <w:jc w:val="right"/>
        <w:rPr>
          <w:rFonts w:ascii="Garamond" w:hAnsi="Garamond"/>
          <w:szCs w:val="21"/>
          <w:highlight w:val="none"/>
        </w:rPr>
      </w:pPr>
    </w:p>
    <w:p>
      <w:pPr>
        <w:spacing w:line="400" w:lineRule="exact"/>
        <w:rPr>
          <w:rFonts w:ascii="宋体" w:hAnsi="宋体"/>
          <w:szCs w:val="21"/>
          <w:highlight w:val="none"/>
        </w:rPr>
      </w:pPr>
      <w:r>
        <w:rPr>
          <w:rFonts w:hint="eastAsia" w:ascii="宋体" w:hAnsi="宋体"/>
          <w:b/>
          <w:szCs w:val="21"/>
          <w:highlight w:val="none"/>
        </w:rPr>
        <w:t>注：如果由投标人的法定代表人签署投标文件，需提交法定代表人身份证明。</w:t>
      </w:r>
    </w:p>
    <w:p>
      <w:pPr>
        <w:spacing w:line="360" w:lineRule="auto"/>
        <w:jc w:val="center"/>
        <w:rPr>
          <w:rFonts w:ascii="Garamond" w:hAnsi="Garamond"/>
          <w:b/>
          <w:sz w:val="24"/>
          <w:highlight w:val="none"/>
        </w:rPr>
      </w:pPr>
    </w:p>
    <w:p>
      <w:pPr>
        <w:spacing w:line="360" w:lineRule="auto"/>
        <w:jc w:val="center"/>
        <w:rPr>
          <w:rFonts w:ascii="Garamond" w:hAnsi="Garamond"/>
          <w:b/>
          <w:sz w:val="24"/>
          <w:highlight w:val="none"/>
        </w:rPr>
      </w:pPr>
    </w:p>
    <w:p>
      <w:pPr>
        <w:spacing w:line="360" w:lineRule="auto"/>
        <w:jc w:val="center"/>
        <w:rPr>
          <w:rFonts w:ascii="Garamond" w:hAnsi="Garamond"/>
          <w:b/>
          <w:sz w:val="24"/>
          <w:highlight w:val="none"/>
        </w:rPr>
      </w:pPr>
    </w:p>
    <w:p>
      <w:pPr>
        <w:widowControl/>
        <w:jc w:val="left"/>
        <w:rPr>
          <w:rFonts w:ascii="Garamond" w:hAnsi="Garamond"/>
          <w:b/>
          <w:sz w:val="24"/>
          <w:highlight w:val="none"/>
        </w:rPr>
      </w:pPr>
      <w:r>
        <w:rPr>
          <w:rFonts w:ascii="Garamond" w:hAnsi="Garamond"/>
          <w:b/>
          <w:sz w:val="24"/>
          <w:highlight w:val="none"/>
        </w:rPr>
        <w:br w:type="page"/>
      </w:r>
    </w:p>
    <w:p>
      <w:pPr>
        <w:spacing w:line="360" w:lineRule="auto"/>
        <w:jc w:val="center"/>
        <w:rPr>
          <w:rFonts w:ascii="Garamond" w:hAnsi="Garamond"/>
          <w:b/>
          <w:sz w:val="24"/>
          <w:highlight w:val="none"/>
        </w:rPr>
      </w:pPr>
      <w:r>
        <w:rPr>
          <w:rFonts w:ascii="Garamond" w:hAnsi="Garamond"/>
          <w:b/>
          <w:sz w:val="24"/>
          <w:highlight w:val="none"/>
        </w:rPr>
        <w:t>（二）授权委托书</w:t>
      </w:r>
    </w:p>
    <w:p>
      <w:pPr>
        <w:spacing w:line="340" w:lineRule="exact"/>
        <w:jc w:val="center"/>
        <w:rPr>
          <w:rFonts w:ascii="Garamond" w:hAnsi="Garamond"/>
          <w:b/>
          <w:sz w:val="24"/>
          <w:highlight w:val="none"/>
        </w:rPr>
      </w:pPr>
    </w:p>
    <w:p>
      <w:pPr>
        <w:spacing w:line="360" w:lineRule="auto"/>
        <w:ind w:firstLine="420" w:firstLineChars="200"/>
        <w:rPr>
          <w:rFonts w:ascii="Garamond" w:hAnsi="Garamond"/>
          <w:szCs w:val="21"/>
          <w:highlight w:val="none"/>
        </w:rPr>
      </w:pPr>
      <w:r>
        <w:rPr>
          <w:rFonts w:ascii="Garamond" w:hAnsi="Garamond"/>
          <w:szCs w:val="21"/>
          <w:highlight w:val="none"/>
        </w:rPr>
        <w:t>本人_____（姓名）系______（投标人名称）的法定代表人，现委托________（姓名）为我方代理人。代理人根据授权，以我方名义签署、澄清、说明、补正、递交、撤回、修改_______（项目名称）_________标段试验检测投标文件、签订合同和处理有关事宜，其法律后果由我方承担。</w:t>
      </w:r>
    </w:p>
    <w:p>
      <w:pPr>
        <w:spacing w:line="360" w:lineRule="auto"/>
        <w:ind w:firstLine="525" w:firstLineChars="250"/>
        <w:rPr>
          <w:rFonts w:ascii="Garamond" w:hAnsi="Garamond"/>
          <w:szCs w:val="21"/>
          <w:highlight w:val="none"/>
        </w:rPr>
      </w:pPr>
      <w:r>
        <w:rPr>
          <w:rFonts w:ascii="Garamond" w:hAnsi="Garamond"/>
          <w:szCs w:val="21"/>
          <w:highlight w:val="none"/>
        </w:rPr>
        <w:t>委托期限：_____________</w:t>
      </w:r>
    </w:p>
    <w:p>
      <w:pPr>
        <w:spacing w:line="360" w:lineRule="auto"/>
        <w:ind w:firstLine="525" w:firstLineChars="250"/>
        <w:rPr>
          <w:rFonts w:ascii="Garamond" w:hAnsi="Garamond"/>
          <w:szCs w:val="21"/>
          <w:highlight w:val="none"/>
        </w:rPr>
      </w:pPr>
      <w:r>
        <w:rPr>
          <w:rFonts w:ascii="Garamond" w:hAnsi="Garamond"/>
          <w:szCs w:val="21"/>
          <w:highlight w:val="none"/>
        </w:rPr>
        <w:t>代理人无转委托权。</w:t>
      </w:r>
    </w:p>
    <w:p>
      <w:pPr>
        <w:spacing w:line="360" w:lineRule="auto"/>
        <w:ind w:firstLine="527" w:firstLineChars="250"/>
        <w:rPr>
          <w:rFonts w:ascii="Garamond" w:hAnsi="Garamond"/>
          <w:b/>
          <w:szCs w:val="21"/>
          <w:highlight w:val="none"/>
        </w:rPr>
      </w:pPr>
      <w:r>
        <w:rPr>
          <w:rFonts w:ascii="Garamond" w:hAnsi="Garamond"/>
          <w:b/>
          <w:szCs w:val="21"/>
          <w:highlight w:val="none"/>
        </w:rPr>
        <w:t>附：法定代表人身份证明（包括</w:t>
      </w:r>
      <w:r>
        <w:rPr>
          <w:rFonts w:ascii="Garamond" w:hAnsi="Garamond"/>
          <w:b/>
          <w:highlight w:val="none"/>
        </w:rPr>
        <w:t>法定代表人身份证彩色复印件或彩色扫描件）及委托代理人身份证彩色复印件或彩色扫描件。</w:t>
      </w:r>
    </w:p>
    <w:p>
      <w:pPr>
        <w:spacing w:line="360" w:lineRule="auto"/>
        <w:jc w:val="center"/>
        <w:rPr>
          <w:rFonts w:ascii="Garamond" w:hAnsi="Garamond"/>
          <w:szCs w:val="21"/>
          <w:highlight w:val="none"/>
        </w:rPr>
      </w:pPr>
    </w:p>
    <w:p>
      <w:pPr>
        <w:wordWrap w:val="0"/>
        <w:spacing w:line="360" w:lineRule="auto"/>
        <w:rPr>
          <w:rFonts w:ascii="Garamond" w:hAnsi="Garamond"/>
          <w:szCs w:val="21"/>
          <w:highlight w:val="none"/>
        </w:rPr>
      </w:pPr>
      <w:r>
        <w:rPr>
          <w:rFonts w:ascii="Garamond" w:hAnsi="Garamond"/>
          <w:szCs w:val="21"/>
          <w:highlight w:val="none"/>
        </w:rPr>
        <w:t>投标人：（盖单位章）</w:t>
      </w:r>
    </w:p>
    <w:p>
      <w:pPr>
        <w:wordWrap w:val="0"/>
        <w:spacing w:line="360" w:lineRule="auto"/>
        <w:rPr>
          <w:rFonts w:ascii="Garamond" w:hAnsi="Garamond"/>
          <w:szCs w:val="21"/>
          <w:highlight w:val="none"/>
        </w:rPr>
      </w:pPr>
      <w:r>
        <w:rPr>
          <w:rFonts w:ascii="Garamond" w:hAnsi="Garamond"/>
          <w:szCs w:val="21"/>
          <w:highlight w:val="none"/>
        </w:rPr>
        <w:t>法定代表人：</w:t>
      </w:r>
      <w:r>
        <w:rPr>
          <w:rFonts w:hint="eastAsia" w:ascii="Garamond" w:hAnsi="Garamond"/>
          <w:szCs w:val="21"/>
          <w:highlight w:val="none"/>
        </w:rPr>
        <w:t>（亲笔签名或签章</w:t>
      </w:r>
      <w:r>
        <w:rPr>
          <w:rFonts w:ascii="Garamond" w:hAnsi="Garamond"/>
          <w:szCs w:val="21"/>
          <w:highlight w:val="none"/>
        </w:rPr>
        <w:t>）</w:t>
      </w:r>
    </w:p>
    <w:p>
      <w:pPr>
        <w:wordWrap w:val="0"/>
        <w:spacing w:line="360" w:lineRule="auto"/>
        <w:rPr>
          <w:rFonts w:ascii="Garamond" w:hAnsi="Garamond"/>
          <w:szCs w:val="21"/>
          <w:highlight w:val="none"/>
        </w:rPr>
      </w:pPr>
      <w:r>
        <w:rPr>
          <w:rFonts w:ascii="Garamond" w:hAnsi="Garamond"/>
          <w:szCs w:val="21"/>
          <w:highlight w:val="none"/>
        </w:rPr>
        <w:t>身份证号码：</w:t>
      </w:r>
    </w:p>
    <w:p>
      <w:pPr>
        <w:wordWrap w:val="0"/>
        <w:spacing w:line="360" w:lineRule="auto"/>
        <w:rPr>
          <w:rFonts w:ascii="Garamond" w:hAnsi="Garamond"/>
          <w:szCs w:val="21"/>
          <w:highlight w:val="none"/>
        </w:rPr>
      </w:pPr>
      <w:r>
        <w:rPr>
          <w:rFonts w:ascii="Garamond" w:hAnsi="Garamond"/>
          <w:szCs w:val="21"/>
          <w:highlight w:val="none"/>
        </w:rPr>
        <w:t>委托代理人：（</w:t>
      </w:r>
      <w:r>
        <w:rPr>
          <w:rFonts w:hint="eastAsia" w:ascii="Garamond" w:hAnsi="Garamond"/>
          <w:szCs w:val="21"/>
          <w:highlight w:val="none"/>
        </w:rPr>
        <w:t>亲笔签名</w:t>
      </w:r>
      <w:r>
        <w:rPr>
          <w:rFonts w:ascii="Garamond" w:hAnsi="Garamond"/>
          <w:szCs w:val="21"/>
          <w:highlight w:val="none"/>
        </w:rPr>
        <w:t>）</w:t>
      </w:r>
    </w:p>
    <w:p>
      <w:pPr>
        <w:wordWrap w:val="0"/>
        <w:spacing w:line="360" w:lineRule="auto"/>
        <w:rPr>
          <w:rFonts w:ascii="Garamond" w:hAnsi="Garamond"/>
          <w:szCs w:val="21"/>
          <w:highlight w:val="none"/>
        </w:rPr>
      </w:pPr>
      <w:r>
        <w:rPr>
          <w:rFonts w:ascii="Garamond" w:hAnsi="Garamond"/>
          <w:szCs w:val="21"/>
          <w:highlight w:val="none"/>
        </w:rPr>
        <w:t>身份证号码：</w:t>
      </w:r>
    </w:p>
    <w:p>
      <w:pPr>
        <w:spacing w:line="360" w:lineRule="auto"/>
        <w:jc w:val="right"/>
        <w:rPr>
          <w:rFonts w:ascii="Garamond" w:hAnsi="Garamond"/>
          <w:szCs w:val="21"/>
          <w:highlight w:val="none"/>
        </w:rPr>
      </w:pPr>
    </w:p>
    <w:p>
      <w:pPr>
        <w:spacing w:line="360" w:lineRule="auto"/>
        <w:jc w:val="right"/>
        <w:rPr>
          <w:rFonts w:ascii="Garamond" w:hAnsi="Garamond"/>
          <w:szCs w:val="21"/>
          <w:highlight w:val="none"/>
        </w:rPr>
      </w:pPr>
      <w:r>
        <w:rPr>
          <w:rFonts w:ascii="Garamond" w:hAnsi="Garamond"/>
          <w:szCs w:val="21"/>
          <w:highlight w:val="none"/>
        </w:rPr>
        <w:t>_______年__________月________日</w:t>
      </w:r>
    </w:p>
    <w:p>
      <w:pPr>
        <w:spacing w:line="360" w:lineRule="auto"/>
        <w:jc w:val="center"/>
        <w:rPr>
          <w:rFonts w:ascii="Garamond" w:hAnsi="Garamond"/>
          <w:szCs w:val="21"/>
          <w:highlight w:val="none"/>
        </w:rPr>
      </w:pPr>
    </w:p>
    <w:p>
      <w:pPr>
        <w:spacing w:line="360" w:lineRule="auto"/>
        <w:jc w:val="center"/>
        <w:rPr>
          <w:rFonts w:ascii="Garamond" w:hAnsi="Garamond"/>
          <w:szCs w:val="21"/>
          <w:highlight w:val="none"/>
        </w:rPr>
      </w:pPr>
    </w:p>
    <w:p>
      <w:pPr>
        <w:spacing w:line="360" w:lineRule="auto"/>
        <w:jc w:val="center"/>
        <w:rPr>
          <w:rFonts w:ascii="Garamond" w:hAnsi="Garamond"/>
          <w:szCs w:val="21"/>
          <w:highlight w:val="none"/>
        </w:rPr>
      </w:pPr>
    </w:p>
    <w:p>
      <w:pPr>
        <w:spacing w:line="360" w:lineRule="auto"/>
        <w:jc w:val="center"/>
        <w:rPr>
          <w:rFonts w:ascii="Garamond" w:hAnsi="Garamond"/>
          <w:szCs w:val="21"/>
          <w:highlight w:val="none"/>
        </w:rPr>
      </w:pPr>
    </w:p>
    <w:p>
      <w:pPr>
        <w:spacing w:line="360" w:lineRule="auto"/>
        <w:jc w:val="center"/>
        <w:rPr>
          <w:rFonts w:ascii="Garamond" w:hAnsi="Garamond"/>
          <w:szCs w:val="21"/>
          <w:highlight w:val="none"/>
        </w:rPr>
      </w:pPr>
    </w:p>
    <w:p>
      <w:pPr>
        <w:spacing w:line="360" w:lineRule="auto"/>
        <w:rPr>
          <w:rFonts w:ascii="Garamond" w:hAnsi="Garamond"/>
          <w:szCs w:val="21"/>
          <w:highlight w:val="none"/>
        </w:rPr>
      </w:pPr>
    </w:p>
    <w:p>
      <w:pPr>
        <w:spacing w:line="360" w:lineRule="auto"/>
        <w:jc w:val="center"/>
        <w:rPr>
          <w:rFonts w:ascii="Garamond" w:hAnsi="Garamond"/>
          <w:szCs w:val="21"/>
          <w:highlight w:val="none"/>
        </w:rPr>
      </w:pPr>
    </w:p>
    <w:p>
      <w:pPr>
        <w:spacing w:line="360" w:lineRule="auto"/>
        <w:jc w:val="center"/>
        <w:rPr>
          <w:rFonts w:ascii="Garamond" w:hAnsi="Garamond"/>
          <w:szCs w:val="21"/>
          <w:highlight w:val="none"/>
        </w:rPr>
      </w:pPr>
    </w:p>
    <w:p>
      <w:pPr>
        <w:spacing w:line="360" w:lineRule="auto"/>
        <w:jc w:val="center"/>
        <w:rPr>
          <w:rFonts w:ascii="Garamond" w:hAnsi="Garamond"/>
          <w:szCs w:val="21"/>
          <w:highlight w:val="none"/>
        </w:rPr>
      </w:pPr>
    </w:p>
    <w:p>
      <w:pPr>
        <w:spacing w:line="500" w:lineRule="exact"/>
        <w:ind w:firstLine="480"/>
        <w:rPr>
          <w:rFonts w:ascii="宋体" w:hAnsi="宋体" w:cs="宋体"/>
          <w:b/>
          <w:bCs/>
          <w:highlight w:val="none"/>
          <w:u w:val="single"/>
        </w:rPr>
      </w:pPr>
      <w:r>
        <w:rPr>
          <w:rFonts w:hint="eastAsia" w:ascii="宋体" w:hAnsi="宋体" w:cs="宋体"/>
          <w:b/>
          <w:bCs/>
          <w:highlight w:val="none"/>
          <w:u w:val="single"/>
        </w:rPr>
        <w:t>注：①如果由投标人法定代表人的委托代理人签署投标文件，需提交授权委托书。</w:t>
      </w:r>
    </w:p>
    <w:p>
      <w:pPr>
        <w:spacing w:line="500" w:lineRule="exact"/>
        <w:ind w:firstLine="480"/>
        <w:rPr>
          <w:rFonts w:ascii="宋体" w:hAnsi="宋体" w:cs="宋体"/>
          <w:b/>
          <w:bCs/>
          <w:highlight w:val="none"/>
          <w:u w:val="single"/>
        </w:rPr>
      </w:pPr>
      <w:r>
        <w:rPr>
          <w:rFonts w:hint="eastAsia" w:ascii="宋体" w:hAnsi="宋体" w:cs="宋体"/>
          <w:b/>
          <w:bCs/>
          <w:highlight w:val="none"/>
          <w:u w:val="single"/>
        </w:rPr>
        <w:t>②委托期限可写：自本委托书签署之日起至投标有效期满。</w:t>
      </w:r>
    </w:p>
    <w:p>
      <w:pPr>
        <w:rPr>
          <w:rFonts w:ascii="Garamond" w:hAnsi="Garamond"/>
          <w:sz w:val="28"/>
          <w:szCs w:val="28"/>
          <w:highlight w:val="none"/>
        </w:rPr>
      </w:pPr>
      <w:r>
        <w:rPr>
          <w:rFonts w:ascii="Garamond" w:hAnsi="Garamond"/>
          <w:sz w:val="28"/>
          <w:szCs w:val="28"/>
          <w:highlight w:val="none"/>
        </w:rPr>
        <w:br w:type="page"/>
      </w:r>
    </w:p>
    <w:p>
      <w:pPr>
        <w:pStyle w:val="4"/>
        <w:jc w:val="center"/>
        <w:rPr>
          <w:rFonts w:ascii="Garamond" w:hAnsi="Garamond"/>
          <w:sz w:val="28"/>
          <w:szCs w:val="28"/>
          <w:highlight w:val="none"/>
        </w:rPr>
      </w:pPr>
      <w:r>
        <w:rPr>
          <w:rFonts w:ascii="Garamond" w:hAnsi="Garamond"/>
          <w:sz w:val="28"/>
          <w:szCs w:val="28"/>
          <w:highlight w:val="none"/>
        </w:rPr>
        <w:t>三、投标保证金</w:t>
      </w:r>
    </w:p>
    <w:p>
      <w:pPr>
        <w:widowControl/>
        <w:autoSpaceDE w:val="0"/>
        <w:autoSpaceDN w:val="0"/>
        <w:adjustRightInd w:val="0"/>
        <w:spacing w:line="360" w:lineRule="auto"/>
        <w:jc w:val="left"/>
        <w:rPr>
          <w:rFonts w:ascii="宋体" w:hAnsi="宋体" w:cs="宋体"/>
          <w:b/>
          <w:bCs/>
          <w:color w:val="000000"/>
          <w:sz w:val="24"/>
          <w:highlight w:val="none"/>
        </w:rPr>
      </w:pPr>
      <w:r>
        <w:rPr>
          <w:rFonts w:hint="eastAsia" w:ascii="宋体" w:hAnsi="宋体" w:cs="宋体"/>
          <w:b/>
          <w:bCs/>
          <w:color w:val="000000"/>
          <w:sz w:val="24"/>
          <w:highlight w:val="none"/>
        </w:rPr>
        <w:t>一、投标保证金的金额：伍仟元。投标人最近一次在江苏省公路水路建设市场从业单位信用评定结果中的信用等级为AA级的投标保证金减少50％，被列入最近一次江苏省公路水运建设市场守信激励主体对象名单（红名单）的从业单位免缴投标保证金。</w:t>
      </w:r>
    </w:p>
    <w:p>
      <w:pPr>
        <w:widowControl/>
        <w:autoSpaceDE w:val="0"/>
        <w:autoSpaceDN w:val="0"/>
        <w:adjustRightInd w:val="0"/>
        <w:spacing w:line="360" w:lineRule="auto"/>
        <w:jc w:val="left"/>
        <w:rPr>
          <w:rFonts w:ascii="宋体" w:hAnsi="宋体" w:cs="宋体"/>
          <w:b/>
          <w:bCs/>
          <w:color w:val="000000"/>
          <w:sz w:val="24"/>
          <w:highlight w:val="none"/>
        </w:rPr>
      </w:pPr>
      <w:r>
        <w:rPr>
          <w:rFonts w:hint="eastAsia" w:ascii="宋体" w:hAnsi="宋体" w:cs="宋体"/>
          <w:b/>
          <w:bCs/>
          <w:color w:val="000000"/>
          <w:sz w:val="24"/>
          <w:highlight w:val="none"/>
        </w:rPr>
        <w:t>二、投标保证金递交形式：</w:t>
      </w:r>
    </w:p>
    <w:p>
      <w:pPr>
        <w:widowControl/>
        <w:autoSpaceDE w:val="0"/>
        <w:autoSpaceDN w:val="0"/>
        <w:adjustRightInd w:val="0"/>
        <w:spacing w:line="360" w:lineRule="auto"/>
        <w:jc w:val="left"/>
        <w:rPr>
          <w:rFonts w:ascii="宋体" w:hAnsi="宋体" w:cs="宋体"/>
          <w:b/>
          <w:bCs/>
          <w:color w:val="000000"/>
          <w:sz w:val="24"/>
          <w:highlight w:val="none"/>
        </w:rPr>
      </w:pPr>
      <w:r>
        <w:rPr>
          <w:rFonts w:hint="eastAsia" w:ascii="宋体" w:hAnsi="宋体" w:cs="宋体"/>
          <w:b/>
          <w:bCs/>
          <w:color w:val="000000"/>
          <w:sz w:val="24"/>
          <w:highlight w:val="none"/>
        </w:rPr>
        <w:t>1、红名单单位免缴投标保证金，提供列入红名单的公告截图即可。</w:t>
      </w:r>
    </w:p>
    <w:p>
      <w:pPr>
        <w:widowControl/>
        <w:autoSpaceDE w:val="0"/>
        <w:autoSpaceDN w:val="0"/>
        <w:adjustRightInd w:val="0"/>
        <w:spacing w:line="360" w:lineRule="auto"/>
        <w:jc w:val="left"/>
        <w:rPr>
          <w:rFonts w:ascii="宋体" w:hAnsi="宋体" w:cs="宋体"/>
          <w:b/>
          <w:bCs/>
          <w:color w:val="000000"/>
          <w:sz w:val="24"/>
          <w:highlight w:val="none"/>
        </w:rPr>
      </w:pPr>
      <w:r>
        <w:rPr>
          <w:rFonts w:hint="eastAsia" w:ascii="宋体" w:hAnsi="宋体" w:cs="宋体"/>
          <w:b/>
          <w:bCs/>
          <w:color w:val="000000"/>
          <w:sz w:val="24"/>
          <w:highlight w:val="none"/>
        </w:rPr>
        <w:t>2、非红名单请在投标文件中提交《投标保证金信用承诺书》代替投标保证金缴纳，承诺书中保证金金额请根据投标人自身情况填报。</w:t>
      </w:r>
    </w:p>
    <w:p>
      <w:pPr>
        <w:adjustRightInd w:val="0"/>
        <w:snapToGrid w:val="0"/>
        <w:spacing w:line="360" w:lineRule="auto"/>
        <w:ind w:firstLine="480" w:firstLineChars="200"/>
        <w:jc w:val="center"/>
        <w:rPr>
          <w:rFonts w:ascii="宋体" w:hAnsi="宋体" w:cs="宋体"/>
          <w:bCs/>
          <w:szCs w:val="21"/>
          <w:highlight w:val="none"/>
        </w:rPr>
      </w:pPr>
      <w:r>
        <w:rPr>
          <w:rFonts w:hint="eastAsia" w:ascii="宋体" w:hAnsi="宋体" w:cs="宋体"/>
          <w:color w:val="000000"/>
          <w:sz w:val="24"/>
          <w:highlight w:val="none"/>
        </w:rPr>
        <w:br w:type="page"/>
      </w:r>
      <w:r>
        <w:rPr>
          <w:rFonts w:hint="eastAsia" w:ascii="宋体" w:hAnsi="宋体" w:cs="宋体"/>
          <w:bCs/>
          <w:szCs w:val="21"/>
          <w:highlight w:val="none"/>
        </w:rPr>
        <w:t>非红名单单位递交《投标保证金信用承诺书》，格式如下：</w:t>
      </w:r>
    </w:p>
    <w:p>
      <w:pPr>
        <w:autoSpaceDE w:val="0"/>
        <w:autoSpaceDN w:val="0"/>
        <w:snapToGrid w:val="0"/>
        <w:spacing w:line="360" w:lineRule="auto"/>
        <w:ind w:left="108" w:right="522" w:firstLine="420"/>
        <w:jc w:val="center"/>
        <w:rPr>
          <w:rFonts w:ascii="宋体" w:hAnsi="宋体" w:cs="宋体"/>
          <w:bCs/>
          <w:szCs w:val="21"/>
          <w:highlight w:val="none"/>
        </w:rPr>
      </w:pPr>
      <w:r>
        <w:rPr>
          <w:rFonts w:hint="eastAsia" w:ascii="宋体" w:hAnsi="宋体" w:cs="宋体"/>
          <w:bCs/>
          <w:szCs w:val="21"/>
          <w:highlight w:val="none"/>
        </w:rPr>
        <w:t>投标保证金信用承诺书</w:t>
      </w:r>
    </w:p>
    <w:p>
      <w:pPr>
        <w:widowControl/>
        <w:autoSpaceDE w:val="0"/>
        <w:autoSpaceDN w:val="0"/>
        <w:snapToGrid w:val="0"/>
        <w:spacing w:line="360" w:lineRule="auto"/>
        <w:ind w:left="108" w:right="522" w:firstLine="420"/>
        <w:jc w:val="left"/>
        <w:rPr>
          <w:rFonts w:ascii="宋体" w:hAnsi="宋体" w:cs="宋体"/>
          <w:bCs/>
          <w:szCs w:val="21"/>
          <w:highlight w:val="none"/>
        </w:rPr>
      </w:pPr>
      <w:r>
        <w:rPr>
          <w:rFonts w:hint="eastAsia" w:ascii="宋体" w:hAnsi="宋体" w:cs="宋体"/>
          <w:bCs/>
          <w:szCs w:val="21"/>
          <w:highlight w:val="none"/>
        </w:rPr>
        <w:t xml:space="preserve">致：（招标人名称）         </w:t>
      </w:r>
    </w:p>
    <w:p>
      <w:pPr>
        <w:widowControl/>
        <w:autoSpaceDE w:val="0"/>
        <w:autoSpaceDN w:val="0"/>
        <w:snapToGrid w:val="0"/>
        <w:spacing w:line="360" w:lineRule="auto"/>
        <w:ind w:left="108" w:right="522" w:firstLine="420"/>
        <w:jc w:val="left"/>
        <w:rPr>
          <w:rFonts w:ascii="宋体" w:hAnsi="宋体" w:cs="宋体"/>
          <w:bCs/>
          <w:szCs w:val="21"/>
          <w:highlight w:val="none"/>
        </w:rPr>
      </w:pPr>
      <w:r>
        <w:rPr>
          <w:rFonts w:hint="eastAsia" w:ascii="宋体" w:hAnsi="宋体" w:cs="宋体"/>
          <w:bCs/>
          <w:szCs w:val="21"/>
          <w:highlight w:val="none"/>
        </w:rPr>
        <w:t>本公司(单位)拟参加</w:t>
      </w:r>
      <w:r>
        <w:rPr>
          <w:rFonts w:hint="eastAsia" w:ascii="宋体" w:hAnsi="宋体" w:cs="宋体"/>
          <w:bCs/>
          <w:szCs w:val="21"/>
          <w:highlight w:val="none"/>
          <w:u w:val="single"/>
        </w:rPr>
        <w:t xml:space="preserve">                  </w:t>
      </w:r>
      <w:r>
        <w:rPr>
          <w:rFonts w:hint="eastAsia" w:ascii="宋体" w:hAnsi="宋体" w:cs="宋体"/>
          <w:bCs/>
          <w:szCs w:val="21"/>
          <w:highlight w:val="none"/>
        </w:rPr>
        <w:t>项目的投标，自愿以书面承诺形式替代投标保证金并愿意承担不实承诺的法律责任。</w:t>
      </w:r>
    </w:p>
    <w:p>
      <w:pPr>
        <w:widowControl/>
        <w:autoSpaceDE w:val="0"/>
        <w:autoSpaceDN w:val="0"/>
        <w:snapToGrid w:val="0"/>
        <w:spacing w:line="360" w:lineRule="auto"/>
        <w:ind w:left="108" w:right="522" w:firstLine="420"/>
        <w:jc w:val="left"/>
        <w:rPr>
          <w:rFonts w:ascii="宋体" w:hAnsi="宋体" w:cs="宋体"/>
          <w:bCs/>
          <w:szCs w:val="21"/>
          <w:highlight w:val="none"/>
        </w:rPr>
      </w:pPr>
      <w:r>
        <w:rPr>
          <w:rFonts w:hint="eastAsia" w:ascii="宋体" w:hAnsi="宋体" w:cs="宋体"/>
          <w:bCs/>
          <w:szCs w:val="21"/>
          <w:highlight w:val="none"/>
        </w:rPr>
        <w:t>一、项目基本情况</w:t>
      </w:r>
    </w:p>
    <w:p>
      <w:pPr>
        <w:widowControl/>
        <w:autoSpaceDE w:val="0"/>
        <w:autoSpaceDN w:val="0"/>
        <w:snapToGrid w:val="0"/>
        <w:spacing w:line="360" w:lineRule="auto"/>
        <w:ind w:left="108" w:right="522" w:firstLine="420"/>
        <w:jc w:val="left"/>
        <w:rPr>
          <w:rFonts w:ascii="宋体" w:hAnsi="宋体" w:cs="宋体"/>
          <w:bCs/>
          <w:szCs w:val="21"/>
          <w:highlight w:val="none"/>
        </w:rPr>
      </w:pPr>
      <w:r>
        <w:rPr>
          <w:rFonts w:hint="eastAsia" w:ascii="宋体" w:hAnsi="宋体" w:cs="宋体"/>
          <w:bCs/>
          <w:szCs w:val="21"/>
          <w:highlight w:val="none"/>
        </w:rPr>
        <w:t>项目名称：</w:t>
      </w:r>
    </w:p>
    <w:p>
      <w:pPr>
        <w:widowControl/>
        <w:autoSpaceDE w:val="0"/>
        <w:autoSpaceDN w:val="0"/>
        <w:snapToGrid w:val="0"/>
        <w:spacing w:line="360" w:lineRule="auto"/>
        <w:ind w:left="108" w:right="522" w:firstLine="420"/>
        <w:jc w:val="left"/>
        <w:rPr>
          <w:rFonts w:ascii="宋体" w:hAnsi="宋体" w:cs="宋体"/>
          <w:bCs/>
          <w:szCs w:val="21"/>
          <w:highlight w:val="none"/>
        </w:rPr>
      </w:pPr>
      <w:r>
        <w:rPr>
          <w:rFonts w:hint="eastAsia" w:ascii="宋体" w:hAnsi="宋体" w:cs="宋体"/>
          <w:bCs/>
          <w:szCs w:val="21"/>
          <w:highlight w:val="none"/>
        </w:rPr>
        <w:t>标段名称：</w:t>
      </w:r>
    </w:p>
    <w:p>
      <w:pPr>
        <w:widowControl/>
        <w:autoSpaceDE w:val="0"/>
        <w:autoSpaceDN w:val="0"/>
        <w:snapToGrid w:val="0"/>
        <w:spacing w:line="360" w:lineRule="auto"/>
        <w:ind w:left="108" w:right="522" w:firstLine="420"/>
        <w:jc w:val="left"/>
        <w:rPr>
          <w:rFonts w:ascii="宋体" w:hAnsi="宋体" w:cs="宋体"/>
          <w:bCs/>
          <w:szCs w:val="21"/>
          <w:highlight w:val="none"/>
        </w:rPr>
      </w:pPr>
      <w:r>
        <w:rPr>
          <w:rFonts w:hint="eastAsia" w:ascii="宋体" w:hAnsi="宋体" w:cs="宋体"/>
          <w:bCs/>
          <w:szCs w:val="21"/>
          <w:highlight w:val="none"/>
        </w:rPr>
        <w:t>保证金金额：</w:t>
      </w:r>
      <w:r>
        <w:rPr>
          <w:rFonts w:hint="eastAsia" w:ascii="宋体" w:hAnsi="宋体" w:cs="宋体"/>
          <w:bCs/>
          <w:szCs w:val="21"/>
          <w:highlight w:val="none"/>
          <w:u w:val="single"/>
        </w:rPr>
        <w:t xml:space="preserve">           </w:t>
      </w:r>
      <w:r>
        <w:rPr>
          <w:rFonts w:hint="eastAsia" w:ascii="宋体" w:hAnsi="宋体" w:cs="宋体"/>
          <w:bCs/>
          <w:szCs w:val="21"/>
          <w:highlight w:val="none"/>
        </w:rPr>
        <w:t>，投标有效期：</w:t>
      </w:r>
      <w:r>
        <w:rPr>
          <w:rFonts w:hint="eastAsia" w:ascii="宋体" w:hAnsi="宋体" w:cs="宋体"/>
          <w:bCs/>
          <w:szCs w:val="21"/>
          <w:highlight w:val="none"/>
          <w:u w:val="single"/>
        </w:rPr>
        <w:t xml:space="preserve">   </w:t>
      </w:r>
      <w:r>
        <w:rPr>
          <w:rFonts w:hint="eastAsia" w:ascii="宋体" w:hAnsi="宋体" w:cs="宋体"/>
          <w:bCs/>
          <w:szCs w:val="21"/>
          <w:highlight w:val="none"/>
        </w:rPr>
        <w:t>天，投标有效期延长的，本承诺书有效期相应顺延。</w:t>
      </w:r>
    </w:p>
    <w:p>
      <w:pPr>
        <w:widowControl/>
        <w:autoSpaceDE w:val="0"/>
        <w:autoSpaceDN w:val="0"/>
        <w:snapToGrid w:val="0"/>
        <w:spacing w:line="360" w:lineRule="auto"/>
        <w:ind w:left="108" w:right="522" w:firstLine="420"/>
        <w:jc w:val="left"/>
        <w:rPr>
          <w:rFonts w:ascii="宋体" w:hAnsi="宋体" w:cs="宋体"/>
          <w:bCs/>
          <w:szCs w:val="21"/>
          <w:highlight w:val="none"/>
        </w:rPr>
      </w:pPr>
      <w:r>
        <w:rPr>
          <w:rFonts w:hint="eastAsia" w:ascii="宋体" w:hAnsi="宋体" w:cs="宋体"/>
          <w:bCs/>
          <w:szCs w:val="21"/>
          <w:highlight w:val="none"/>
        </w:rPr>
        <w:t>本公司（单位）承诺</w:t>
      </w:r>
    </w:p>
    <w:p>
      <w:pPr>
        <w:widowControl/>
        <w:autoSpaceDE w:val="0"/>
        <w:autoSpaceDN w:val="0"/>
        <w:snapToGrid w:val="0"/>
        <w:spacing w:line="360" w:lineRule="auto"/>
        <w:ind w:left="108" w:right="522" w:firstLine="420"/>
        <w:jc w:val="left"/>
        <w:rPr>
          <w:rFonts w:ascii="宋体" w:hAnsi="宋体" w:cs="宋体"/>
          <w:bCs/>
          <w:szCs w:val="21"/>
          <w:highlight w:val="none"/>
        </w:rPr>
      </w:pPr>
      <w:r>
        <w:rPr>
          <w:rFonts w:hint="eastAsia" w:ascii="宋体" w:hAnsi="宋体" w:cs="宋体"/>
          <w:bCs/>
          <w:szCs w:val="21"/>
          <w:highlight w:val="none"/>
        </w:rPr>
        <w:t>（一）符合信用承诺制的办理条件，无不良信用记录或虚假承诺等情形。</w:t>
      </w:r>
    </w:p>
    <w:p>
      <w:pPr>
        <w:widowControl/>
        <w:autoSpaceDE w:val="0"/>
        <w:autoSpaceDN w:val="0"/>
        <w:snapToGrid w:val="0"/>
        <w:spacing w:line="360" w:lineRule="auto"/>
        <w:ind w:left="108" w:right="522" w:firstLine="420"/>
        <w:jc w:val="left"/>
        <w:rPr>
          <w:rFonts w:ascii="宋体" w:hAnsi="宋体" w:cs="宋体"/>
          <w:bCs/>
          <w:szCs w:val="21"/>
          <w:highlight w:val="none"/>
        </w:rPr>
      </w:pPr>
      <w:r>
        <w:rPr>
          <w:rFonts w:hint="eastAsia" w:ascii="宋体" w:hAnsi="宋体" w:cs="宋体"/>
          <w:bCs/>
          <w:szCs w:val="21"/>
          <w:highlight w:val="none"/>
        </w:rPr>
        <w:t>（二）在此次招标活动中不发生以下情形:</w:t>
      </w:r>
    </w:p>
    <w:p>
      <w:pPr>
        <w:widowControl/>
        <w:autoSpaceDE w:val="0"/>
        <w:autoSpaceDN w:val="0"/>
        <w:snapToGrid w:val="0"/>
        <w:spacing w:line="360" w:lineRule="auto"/>
        <w:ind w:left="108" w:right="522" w:firstLine="420"/>
        <w:jc w:val="left"/>
        <w:rPr>
          <w:rFonts w:ascii="宋体" w:hAnsi="宋体" w:cs="宋体"/>
          <w:bCs/>
          <w:szCs w:val="21"/>
          <w:highlight w:val="none"/>
        </w:rPr>
      </w:pPr>
      <w:r>
        <w:rPr>
          <w:rFonts w:hint="eastAsia" w:ascii="宋体" w:hAnsi="宋体" w:cs="宋体"/>
          <w:bCs/>
          <w:szCs w:val="21"/>
          <w:highlight w:val="none"/>
        </w:rPr>
        <w:t>1.在开标后和投标有效期满之前撤销投标文件；</w:t>
      </w:r>
    </w:p>
    <w:p>
      <w:pPr>
        <w:widowControl/>
        <w:autoSpaceDE w:val="0"/>
        <w:autoSpaceDN w:val="0"/>
        <w:snapToGrid w:val="0"/>
        <w:spacing w:line="360" w:lineRule="auto"/>
        <w:ind w:left="108" w:right="522" w:firstLine="420"/>
        <w:jc w:val="left"/>
        <w:rPr>
          <w:rFonts w:ascii="宋体" w:hAnsi="宋体" w:cs="宋体"/>
          <w:bCs/>
          <w:szCs w:val="21"/>
          <w:highlight w:val="none"/>
        </w:rPr>
      </w:pPr>
      <w:r>
        <w:rPr>
          <w:rFonts w:hint="eastAsia" w:ascii="宋体" w:hAnsi="宋体" w:cs="宋体"/>
          <w:bCs/>
          <w:szCs w:val="21"/>
          <w:highlight w:val="none"/>
        </w:rPr>
        <w:t>2.在收到中标通知后，不能或拒绝在中标通知书规定的时间内与招标人签订合同；</w:t>
      </w:r>
    </w:p>
    <w:p>
      <w:pPr>
        <w:widowControl/>
        <w:autoSpaceDE w:val="0"/>
        <w:autoSpaceDN w:val="0"/>
        <w:snapToGrid w:val="0"/>
        <w:spacing w:line="360" w:lineRule="auto"/>
        <w:ind w:left="108" w:right="522" w:firstLine="420"/>
        <w:jc w:val="left"/>
        <w:rPr>
          <w:rFonts w:ascii="宋体" w:hAnsi="宋体" w:cs="宋体"/>
          <w:bCs/>
          <w:szCs w:val="21"/>
          <w:highlight w:val="none"/>
        </w:rPr>
      </w:pPr>
      <w:r>
        <w:rPr>
          <w:rFonts w:hint="eastAsia" w:ascii="宋体" w:hAnsi="宋体" w:cs="宋体"/>
          <w:bCs/>
          <w:szCs w:val="21"/>
          <w:highlight w:val="none"/>
        </w:rPr>
        <w:t>3.与招标人签订合同后，未在规定的时间内提交符合招标文件要求的履约担保；</w:t>
      </w:r>
    </w:p>
    <w:p>
      <w:pPr>
        <w:widowControl/>
        <w:autoSpaceDE w:val="0"/>
        <w:autoSpaceDN w:val="0"/>
        <w:snapToGrid w:val="0"/>
        <w:spacing w:line="360" w:lineRule="auto"/>
        <w:ind w:left="108" w:right="522" w:firstLine="420"/>
        <w:jc w:val="left"/>
        <w:rPr>
          <w:rFonts w:ascii="宋体" w:hAnsi="宋体" w:cs="宋体"/>
          <w:bCs/>
          <w:szCs w:val="21"/>
          <w:highlight w:val="none"/>
        </w:rPr>
      </w:pPr>
      <w:r>
        <w:rPr>
          <w:rFonts w:hint="eastAsia" w:ascii="宋体" w:hAnsi="宋体" w:cs="宋体"/>
          <w:bCs/>
          <w:szCs w:val="21"/>
          <w:highlight w:val="none"/>
        </w:rPr>
        <w:t>4.法律、法规或部门规章、招标文件等规定的关于不予退还投标保证金的其他要求。</w:t>
      </w:r>
    </w:p>
    <w:p>
      <w:pPr>
        <w:widowControl/>
        <w:autoSpaceDE w:val="0"/>
        <w:autoSpaceDN w:val="0"/>
        <w:snapToGrid w:val="0"/>
        <w:spacing w:line="360" w:lineRule="auto"/>
        <w:ind w:left="108" w:right="522" w:firstLine="420"/>
        <w:jc w:val="left"/>
        <w:rPr>
          <w:rFonts w:ascii="宋体" w:hAnsi="宋体" w:cs="宋体"/>
          <w:bCs/>
          <w:szCs w:val="21"/>
          <w:highlight w:val="none"/>
        </w:rPr>
      </w:pPr>
      <w:r>
        <w:rPr>
          <w:rFonts w:hint="eastAsia" w:ascii="宋体" w:hAnsi="宋体" w:cs="宋体"/>
          <w:bCs/>
          <w:szCs w:val="21"/>
          <w:highlight w:val="none"/>
        </w:rPr>
        <w:t>（三）自愿承担不实承诺的法律后果：</w:t>
      </w:r>
    </w:p>
    <w:p>
      <w:pPr>
        <w:widowControl/>
        <w:autoSpaceDE w:val="0"/>
        <w:autoSpaceDN w:val="0"/>
        <w:snapToGrid w:val="0"/>
        <w:spacing w:line="360" w:lineRule="auto"/>
        <w:ind w:left="108" w:right="522" w:firstLine="420"/>
        <w:jc w:val="left"/>
        <w:rPr>
          <w:rFonts w:ascii="宋体" w:hAnsi="宋体" w:cs="宋体"/>
          <w:bCs/>
          <w:szCs w:val="21"/>
          <w:highlight w:val="none"/>
        </w:rPr>
      </w:pPr>
      <w:r>
        <w:rPr>
          <w:rFonts w:hint="eastAsia" w:ascii="宋体" w:hAnsi="宋体" w:cs="宋体"/>
          <w:bCs/>
          <w:szCs w:val="21"/>
          <w:highlight w:val="none"/>
        </w:rPr>
        <w:t>1.投标资格无效；</w:t>
      </w:r>
    </w:p>
    <w:p>
      <w:pPr>
        <w:widowControl/>
        <w:autoSpaceDE w:val="0"/>
        <w:autoSpaceDN w:val="0"/>
        <w:snapToGrid w:val="0"/>
        <w:spacing w:line="360" w:lineRule="auto"/>
        <w:ind w:left="108" w:right="522" w:firstLine="420"/>
        <w:jc w:val="left"/>
        <w:rPr>
          <w:rFonts w:ascii="宋体" w:hAnsi="宋体" w:cs="宋体"/>
          <w:bCs/>
          <w:szCs w:val="21"/>
          <w:highlight w:val="none"/>
        </w:rPr>
      </w:pPr>
      <w:r>
        <w:rPr>
          <w:rFonts w:hint="eastAsia" w:ascii="宋体" w:hAnsi="宋体" w:cs="宋体"/>
          <w:bCs/>
          <w:szCs w:val="21"/>
          <w:highlight w:val="none"/>
        </w:rPr>
        <w:t>2.将失信行为记录到招标投标信用信息共享平台或公共资源交易服务平台予以公示，在公示期间内不参与南通市内项目的投标；给他人造成损失的，依法承担赔偿责任；违反相关法律法规的，交由相关行政监管部门处理；涉嫌犯罪的，依法移送司法机关。</w:t>
      </w:r>
    </w:p>
    <w:p>
      <w:pPr>
        <w:widowControl/>
        <w:autoSpaceDE w:val="0"/>
        <w:autoSpaceDN w:val="0"/>
        <w:snapToGrid w:val="0"/>
        <w:spacing w:line="360" w:lineRule="auto"/>
        <w:ind w:left="108" w:right="522" w:firstLine="420"/>
        <w:jc w:val="left"/>
        <w:rPr>
          <w:rFonts w:ascii="宋体" w:hAnsi="宋体" w:cs="宋体"/>
          <w:bCs/>
          <w:szCs w:val="21"/>
          <w:highlight w:val="none"/>
        </w:rPr>
      </w:pPr>
      <w:r>
        <w:rPr>
          <w:rFonts w:hint="eastAsia" w:ascii="宋体" w:hAnsi="宋体" w:cs="宋体"/>
          <w:bCs/>
          <w:szCs w:val="21"/>
          <w:highlight w:val="none"/>
        </w:rPr>
        <w:t>3.自发现承诺内容失信行为之日起5个工作日内向招标人补缴投标保证金，逾期补缴的的视为失信行为记入信用记录；给他人造成损失的，依法承担赔偿责任。</w:t>
      </w:r>
    </w:p>
    <w:p>
      <w:pPr>
        <w:widowControl/>
        <w:autoSpaceDE w:val="0"/>
        <w:autoSpaceDN w:val="0"/>
        <w:snapToGrid w:val="0"/>
        <w:spacing w:line="360" w:lineRule="auto"/>
        <w:ind w:left="108" w:right="522" w:firstLine="420"/>
        <w:jc w:val="left"/>
        <w:rPr>
          <w:rFonts w:ascii="宋体" w:hAnsi="宋体" w:cs="宋体"/>
          <w:bCs/>
          <w:szCs w:val="21"/>
          <w:highlight w:val="none"/>
        </w:rPr>
      </w:pPr>
      <w:r>
        <w:rPr>
          <w:rFonts w:hint="eastAsia" w:ascii="宋体" w:hAnsi="宋体" w:cs="宋体"/>
          <w:bCs/>
          <w:szCs w:val="21"/>
          <w:highlight w:val="none"/>
        </w:rPr>
        <w:t>4.</w:t>
      </w:r>
      <w:r>
        <w:rPr>
          <w:rFonts w:hint="eastAsia" w:ascii="宋体" w:hAnsi="宋体" w:cs="宋体"/>
          <w:bCs/>
          <w:szCs w:val="21"/>
          <w:highlight w:val="none"/>
          <w:lang w:val="zh-CN"/>
        </w:rPr>
        <w:t>招标人依法提起诉讼的，相关诉讼费用（包括</w:t>
      </w:r>
      <w:r>
        <w:rPr>
          <w:rFonts w:hint="eastAsia" w:ascii="宋体" w:hAnsi="宋体" w:cs="宋体"/>
          <w:bCs/>
          <w:szCs w:val="21"/>
          <w:highlight w:val="none"/>
        </w:rPr>
        <w:t>但不</w:t>
      </w:r>
      <w:r>
        <w:rPr>
          <w:rFonts w:hint="eastAsia" w:ascii="宋体" w:hAnsi="宋体" w:cs="宋体"/>
          <w:bCs/>
          <w:szCs w:val="21"/>
          <w:highlight w:val="none"/>
          <w:lang w:val="zh-CN"/>
        </w:rPr>
        <w:t>限于案件受理费、律师费、申请费、差旅费等）由我公司承担，</w:t>
      </w:r>
      <w:r>
        <w:rPr>
          <w:rFonts w:hint="eastAsia" w:ascii="宋体" w:hAnsi="宋体" w:cs="宋体"/>
          <w:bCs/>
          <w:szCs w:val="21"/>
          <w:highlight w:val="none"/>
        </w:rPr>
        <w:t>南通市内</w:t>
      </w:r>
      <w:r>
        <w:rPr>
          <w:rFonts w:hint="eastAsia" w:ascii="宋体" w:hAnsi="宋体" w:cs="宋体"/>
          <w:bCs/>
          <w:szCs w:val="21"/>
          <w:highlight w:val="none"/>
          <w:lang w:val="zh-CN"/>
        </w:rPr>
        <w:t>各级公共资源交易中心、招标人有权暂缓退付我公司以现金方式缴纳的其他项目保证金，并</w:t>
      </w:r>
      <w:r>
        <w:rPr>
          <w:rFonts w:hint="eastAsia" w:ascii="宋体" w:hAnsi="宋体" w:cs="宋体"/>
          <w:bCs/>
          <w:szCs w:val="21"/>
          <w:highlight w:val="none"/>
        </w:rPr>
        <w:t>配合</w:t>
      </w:r>
      <w:r>
        <w:rPr>
          <w:rFonts w:hint="eastAsia" w:ascii="宋体" w:hAnsi="宋体" w:cs="宋体"/>
          <w:bCs/>
          <w:szCs w:val="21"/>
          <w:highlight w:val="none"/>
          <w:lang w:val="zh-CN"/>
        </w:rPr>
        <w:t>法院执行。</w:t>
      </w:r>
    </w:p>
    <w:p>
      <w:pPr>
        <w:widowControl/>
        <w:autoSpaceDE w:val="0"/>
        <w:autoSpaceDN w:val="0"/>
        <w:snapToGrid w:val="0"/>
        <w:spacing w:line="360" w:lineRule="auto"/>
        <w:ind w:left="108" w:right="522" w:firstLine="420"/>
        <w:jc w:val="left"/>
        <w:rPr>
          <w:rFonts w:ascii="宋体" w:hAnsi="宋体" w:cs="宋体"/>
          <w:bCs/>
          <w:szCs w:val="21"/>
          <w:highlight w:val="none"/>
        </w:rPr>
      </w:pPr>
      <w:r>
        <w:rPr>
          <w:rFonts w:hint="eastAsia" w:ascii="宋体" w:hAnsi="宋体" w:cs="宋体"/>
          <w:bCs/>
          <w:szCs w:val="21"/>
          <w:highlight w:val="none"/>
        </w:rPr>
        <w:t>（四）上述承诺是自身真实的意思表示。</w:t>
      </w:r>
    </w:p>
    <w:p>
      <w:pPr>
        <w:spacing w:line="360" w:lineRule="auto"/>
        <w:jc w:val="left"/>
        <w:rPr>
          <w:rFonts w:ascii="Garamond" w:hAnsi="Garamond"/>
          <w:szCs w:val="21"/>
          <w:highlight w:val="none"/>
        </w:rPr>
      </w:pPr>
    </w:p>
    <w:p>
      <w:pPr>
        <w:spacing w:line="360" w:lineRule="auto"/>
        <w:jc w:val="left"/>
        <w:rPr>
          <w:rFonts w:ascii="Garamond" w:hAnsi="Garamond"/>
          <w:szCs w:val="21"/>
          <w:highlight w:val="none"/>
        </w:rPr>
      </w:pPr>
      <w:r>
        <w:rPr>
          <w:rFonts w:ascii="Garamond" w:hAnsi="Garamond"/>
          <w:szCs w:val="21"/>
          <w:highlight w:val="none"/>
        </w:rPr>
        <w:t>投标人：（盖单位章）</w:t>
      </w:r>
    </w:p>
    <w:p>
      <w:pPr>
        <w:spacing w:line="360" w:lineRule="auto"/>
        <w:jc w:val="left"/>
        <w:rPr>
          <w:rFonts w:ascii="Garamond" w:hAnsi="Garamond"/>
          <w:szCs w:val="21"/>
          <w:highlight w:val="none"/>
        </w:rPr>
      </w:pPr>
      <w:r>
        <w:rPr>
          <w:rFonts w:hint="eastAsia" w:ascii="Garamond" w:hAnsi="Garamond"/>
          <w:szCs w:val="21"/>
          <w:highlight w:val="none"/>
        </w:rPr>
        <w:t>法定代表人（亲笔签名或签章）或其委托代理人（亲笔签名）：</w:t>
      </w:r>
    </w:p>
    <w:p>
      <w:pPr>
        <w:widowControl/>
        <w:autoSpaceDE w:val="0"/>
        <w:autoSpaceDN w:val="0"/>
        <w:snapToGrid w:val="0"/>
        <w:spacing w:line="360" w:lineRule="auto"/>
        <w:ind w:right="522"/>
        <w:jc w:val="left"/>
        <w:rPr>
          <w:rFonts w:ascii="宋体" w:hAnsi="宋体" w:cs="宋体"/>
          <w:bCs/>
          <w:szCs w:val="21"/>
          <w:highlight w:val="none"/>
        </w:rPr>
      </w:pPr>
    </w:p>
    <w:p>
      <w:pPr>
        <w:pStyle w:val="3"/>
        <w:jc w:val="center"/>
        <w:rPr>
          <w:rFonts w:ascii="宋体" w:hAnsi="宋体" w:eastAsia="宋体" w:cs="宋体"/>
          <w:sz w:val="21"/>
          <w:szCs w:val="21"/>
          <w:highlight w:val="none"/>
        </w:rPr>
        <w:sectPr>
          <w:pgSz w:w="11906" w:h="16838"/>
          <w:pgMar w:top="1417" w:right="1247" w:bottom="1417" w:left="1417" w:header="851" w:footer="680" w:gutter="0"/>
          <w:cols w:space="0" w:num="1"/>
          <w:docGrid w:linePitch="312" w:charSpace="0"/>
        </w:sectPr>
      </w:pPr>
      <w:r>
        <w:rPr>
          <w:rFonts w:hint="eastAsia" w:ascii="宋体" w:hAnsi="宋体" w:eastAsia="宋体" w:cs="宋体"/>
          <w:sz w:val="21"/>
          <w:szCs w:val="21"/>
          <w:highlight w:val="none"/>
        </w:rPr>
        <w:t xml:space="preserve">                </w:t>
      </w:r>
      <w:r>
        <w:rPr>
          <w:rFonts w:hint="eastAsia" w:ascii="宋体" w:hAnsi="宋体" w:eastAsia="宋体" w:cs="宋体"/>
          <w:b w:val="0"/>
          <w:sz w:val="21"/>
          <w:szCs w:val="21"/>
          <w:highlight w:val="none"/>
        </w:rPr>
        <w:t xml:space="preserve">         年        月        日</w:t>
      </w:r>
    </w:p>
    <w:p>
      <w:pPr>
        <w:pStyle w:val="3"/>
        <w:jc w:val="center"/>
        <w:rPr>
          <w:highlight w:val="none"/>
        </w:rPr>
      </w:pPr>
      <w:r>
        <w:rPr>
          <w:rFonts w:ascii="Garamond" w:hAnsi="Garamond"/>
          <w:highlight w:val="none"/>
        </w:rPr>
        <w:t>四、</w:t>
      </w:r>
      <w:r>
        <w:rPr>
          <w:rFonts w:hint="eastAsia" w:ascii="Times New Roman" w:hAnsi="Times New Roman"/>
          <w:highlight w:val="none"/>
        </w:rPr>
        <w:t>资料真实性承诺书</w:t>
      </w:r>
    </w:p>
    <w:p>
      <w:pPr>
        <w:pStyle w:val="16"/>
        <w:adjustRightInd w:val="0"/>
        <w:spacing w:line="480" w:lineRule="auto"/>
        <w:rPr>
          <w:rFonts w:ascii="宋体" w:hAnsi="宋体"/>
          <w:szCs w:val="21"/>
          <w:highlight w:val="none"/>
        </w:rPr>
      </w:pPr>
      <w:r>
        <w:rPr>
          <w:rFonts w:hint="eastAsia" w:ascii="宋体" w:hAnsi="宋体" w:cs="宋体"/>
          <w:szCs w:val="21"/>
          <w:highlight w:val="none"/>
        </w:rPr>
        <w:t>致：</w:t>
      </w:r>
      <w:r>
        <w:rPr>
          <w:rFonts w:hint="eastAsia" w:ascii="宋体" w:hAnsi="宋体" w:cs="宋体"/>
          <w:szCs w:val="21"/>
          <w:highlight w:val="none"/>
          <w:u w:val="single"/>
        </w:rPr>
        <w:t>南通市公路事业发展中心</w:t>
      </w:r>
    </w:p>
    <w:p>
      <w:pPr>
        <w:pStyle w:val="16"/>
        <w:adjustRightInd w:val="0"/>
        <w:spacing w:line="480" w:lineRule="auto"/>
        <w:ind w:firstLine="420" w:firstLineChars="200"/>
        <w:rPr>
          <w:rFonts w:ascii="宋体" w:hAnsi="宋体"/>
          <w:szCs w:val="21"/>
          <w:highlight w:val="none"/>
        </w:rPr>
      </w:pPr>
      <w:r>
        <w:rPr>
          <w:rFonts w:hint="eastAsia" w:ascii="宋体" w:hAnsi="宋体" w:cs="宋体"/>
          <w:szCs w:val="21"/>
          <w:highlight w:val="none"/>
        </w:rPr>
        <w:t>根据贵方招标公告，本签字人愿意参加</w:t>
      </w:r>
      <w:r>
        <w:rPr>
          <w:szCs w:val="21"/>
          <w:highlight w:val="none"/>
          <w:u w:val="single"/>
        </w:rPr>
        <w:t xml:space="preserve">               </w:t>
      </w:r>
      <w:r>
        <w:rPr>
          <w:rFonts w:hAnsi="宋体"/>
          <w:szCs w:val="21"/>
          <w:highlight w:val="none"/>
        </w:rPr>
        <w:t>（项目名称）</w:t>
      </w:r>
      <w:r>
        <w:rPr>
          <w:szCs w:val="21"/>
          <w:highlight w:val="none"/>
        </w:rPr>
        <w:t xml:space="preserve"> _______</w:t>
      </w:r>
      <w:r>
        <w:rPr>
          <w:rFonts w:hAnsi="宋体"/>
          <w:szCs w:val="21"/>
          <w:highlight w:val="none"/>
        </w:rPr>
        <w:t>标段的投标</w:t>
      </w:r>
      <w:r>
        <w:rPr>
          <w:rFonts w:hint="eastAsia" w:ascii="宋体" w:hAnsi="宋体" w:cs="宋体"/>
          <w:szCs w:val="21"/>
          <w:highlight w:val="none"/>
        </w:rPr>
        <w:t>。我们在此承诺，此次递交的投标文件内容完整、真实、准确，你单位有权为证实我单位所递交的证明文件、资料的真实性等进行调查核实，如有虚假，我方愿接受你方对此作出的一切处罚。</w:t>
      </w:r>
    </w:p>
    <w:p>
      <w:pPr>
        <w:pStyle w:val="16"/>
        <w:adjustRightInd w:val="0"/>
        <w:spacing w:line="480" w:lineRule="auto"/>
        <w:ind w:firstLine="499" w:firstLineChars="238"/>
        <w:rPr>
          <w:rFonts w:ascii="宋体" w:hAnsi="宋体"/>
          <w:szCs w:val="21"/>
          <w:highlight w:val="none"/>
        </w:rPr>
      </w:pPr>
    </w:p>
    <w:p>
      <w:pPr>
        <w:pStyle w:val="16"/>
        <w:adjustRightInd w:val="0"/>
        <w:spacing w:line="480" w:lineRule="auto"/>
        <w:ind w:firstLine="499" w:firstLineChars="238"/>
        <w:rPr>
          <w:rFonts w:ascii="宋体" w:hAnsi="宋体"/>
          <w:szCs w:val="21"/>
          <w:highlight w:val="none"/>
        </w:rPr>
      </w:pPr>
    </w:p>
    <w:p>
      <w:pPr>
        <w:spacing w:line="360" w:lineRule="auto"/>
        <w:jc w:val="left"/>
        <w:rPr>
          <w:rFonts w:ascii="Garamond" w:hAnsi="Garamond"/>
          <w:szCs w:val="21"/>
          <w:highlight w:val="none"/>
        </w:rPr>
      </w:pPr>
      <w:r>
        <w:rPr>
          <w:rFonts w:ascii="Garamond" w:hAnsi="Garamond"/>
          <w:szCs w:val="21"/>
          <w:highlight w:val="none"/>
        </w:rPr>
        <w:t>投标人：（盖单位章）</w:t>
      </w:r>
    </w:p>
    <w:p>
      <w:pPr>
        <w:spacing w:line="360" w:lineRule="auto"/>
        <w:jc w:val="left"/>
        <w:rPr>
          <w:rFonts w:ascii="Garamond" w:hAnsi="Garamond"/>
          <w:szCs w:val="21"/>
          <w:highlight w:val="none"/>
        </w:rPr>
      </w:pPr>
      <w:r>
        <w:rPr>
          <w:rFonts w:hint="eastAsia" w:ascii="Garamond" w:hAnsi="Garamond"/>
          <w:szCs w:val="21"/>
          <w:highlight w:val="none"/>
        </w:rPr>
        <w:t>法定代表人（亲笔签名或签章）或其委托代理人（亲笔签名）：</w:t>
      </w:r>
    </w:p>
    <w:p>
      <w:pPr>
        <w:spacing w:line="360" w:lineRule="auto"/>
        <w:ind w:firstLine="840" w:firstLineChars="400"/>
        <w:rPr>
          <w:rFonts w:ascii="宋体" w:hAnsi="宋体" w:cs="宋体"/>
          <w:szCs w:val="21"/>
          <w:highlight w:val="none"/>
        </w:rPr>
      </w:pPr>
      <w:r>
        <w:rPr>
          <w:rFonts w:hint="eastAsia" w:ascii="宋体" w:hAnsi="宋体" w:cs="宋体"/>
          <w:szCs w:val="21"/>
          <w:highlight w:val="none"/>
        </w:rPr>
        <w:t>年   月   日</w:t>
      </w:r>
    </w:p>
    <w:p>
      <w:pPr>
        <w:pStyle w:val="3"/>
        <w:jc w:val="center"/>
        <w:rPr>
          <w:rFonts w:ascii="Times New Roman" w:hAnsi="Times New Roman"/>
          <w:highlight w:val="none"/>
        </w:rPr>
      </w:pPr>
    </w:p>
    <w:p>
      <w:pPr>
        <w:pStyle w:val="4"/>
        <w:jc w:val="center"/>
        <w:rPr>
          <w:rFonts w:ascii="Garamond" w:hAnsi="Garamond"/>
          <w:sz w:val="28"/>
          <w:szCs w:val="28"/>
          <w:highlight w:val="none"/>
        </w:rPr>
      </w:pPr>
      <w:r>
        <w:rPr>
          <w:highlight w:val="none"/>
        </w:rPr>
        <w:br w:type="page"/>
      </w:r>
    </w:p>
    <w:p>
      <w:pPr>
        <w:pStyle w:val="4"/>
        <w:jc w:val="center"/>
        <w:rPr>
          <w:rFonts w:ascii="Garamond" w:hAnsi="Garamond"/>
          <w:sz w:val="28"/>
          <w:szCs w:val="28"/>
          <w:highlight w:val="none"/>
        </w:rPr>
      </w:pPr>
      <w:r>
        <w:rPr>
          <w:rFonts w:hint="eastAsia" w:ascii="Garamond" w:hAnsi="Garamond"/>
          <w:sz w:val="28"/>
          <w:szCs w:val="28"/>
          <w:highlight w:val="none"/>
        </w:rPr>
        <w:t>五、检测实施方案</w:t>
      </w:r>
    </w:p>
    <w:p>
      <w:pPr>
        <w:spacing w:line="360" w:lineRule="auto"/>
        <w:ind w:firstLine="420" w:firstLineChars="200"/>
        <w:rPr>
          <w:rFonts w:ascii="Garamond" w:hAnsi="Garamond"/>
          <w:snapToGrid w:val="0"/>
          <w:kern w:val="0"/>
          <w:szCs w:val="21"/>
          <w:highlight w:val="none"/>
        </w:rPr>
      </w:pPr>
      <w:r>
        <w:rPr>
          <w:rFonts w:ascii="Garamond" w:hAnsi="Garamond"/>
          <w:snapToGrid w:val="0"/>
          <w:kern w:val="0"/>
          <w:szCs w:val="21"/>
          <w:highlight w:val="none"/>
        </w:rPr>
        <w:t>具体但不限于以下内容：</w:t>
      </w:r>
    </w:p>
    <w:p>
      <w:pPr>
        <w:pStyle w:val="152"/>
        <w:tabs>
          <w:tab w:val="left" w:pos="900"/>
        </w:tabs>
        <w:spacing w:line="360" w:lineRule="auto"/>
        <w:ind w:left="0" w:firstLine="420" w:firstLineChars="200"/>
        <w:rPr>
          <w:rFonts w:ascii="Garamond" w:hAnsi="Garamond"/>
          <w:snapToGrid w:val="0"/>
          <w:color w:val="auto"/>
          <w:kern w:val="0"/>
          <w:sz w:val="21"/>
          <w:szCs w:val="21"/>
          <w:highlight w:val="none"/>
        </w:rPr>
      </w:pPr>
      <w:r>
        <w:rPr>
          <w:rFonts w:ascii="Garamond" w:hAnsi="Garamond"/>
          <w:snapToGrid w:val="0"/>
          <w:color w:val="auto"/>
          <w:kern w:val="0"/>
          <w:sz w:val="21"/>
          <w:szCs w:val="21"/>
          <w:highlight w:val="none"/>
        </w:rPr>
        <w:t>一）项目概述；</w:t>
      </w:r>
    </w:p>
    <w:p>
      <w:pPr>
        <w:pStyle w:val="152"/>
        <w:tabs>
          <w:tab w:val="left" w:pos="900"/>
        </w:tabs>
        <w:spacing w:line="360" w:lineRule="auto"/>
        <w:ind w:left="0" w:firstLine="420" w:firstLineChars="200"/>
        <w:rPr>
          <w:rFonts w:ascii="Garamond" w:hAnsi="Garamond"/>
          <w:snapToGrid w:val="0"/>
          <w:color w:val="auto"/>
          <w:kern w:val="0"/>
          <w:sz w:val="21"/>
          <w:szCs w:val="21"/>
          <w:highlight w:val="none"/>
        </w:rPr>
      </w:pPr>
      <w:r>
        <w:rPr>
          <w:rFonts w:ascii="Garamond" w:hAnsi="Garamond"/>
          <w:snapToGrid w:val="0"/>
          <w:color w:val="auto"/>
          <w:kern w:val="0"/>
          <w:sz w:val="21"/>
          <w:szCs w:val="21"/>
          <w:highlight w:val="none"/>
        </w:rPr>
        <w:t>二）对项目理解和核查背景的认识；</w:t>
      </w:r>
    </w:p>
    <w:p>
      <w:pPr>
        <w:pStyle w:val="152"/>
        <w:tabs>
          <w:tab w:val="left" w:pos="900"/>
        </w:tabs>
        <w:spacing w:line="360" w:lineRule="auto"/>
        <w:ind w:left="0" w:firstLine="420" w:firstLineChars="200"/>
        <w:rPr>
          <w:rFonts w:ascii="Garamond" w:hAnsi="Garamond"/>
          <w:snapToGrid w:val="0"/>
          <w:color w:val="auto"/>
          <w:kern w:val="0"/>
          <w:sz w:val="21"/>
          <w:szCs w:val="21"/>
          <w:highlight w:val="none"/>
        </w:rPr>
      </w:pPr>
      <w:r>
        <w:rPr>
          <w:rFonts w:ascii="Garamond" w:hAnsi="Garamond"/>
          <w:snapToGrid w:val="0"/>
          <w:color w:val="auto"/>
          <w:kern w:val="0"/>
          <w:sz w:val="21"/>
          <w:szCs w:val="21"/>
          <w:highlight w:val="none"/>
        </w:rPr>
        <w:t>三）检测及核查工作的程序与方法；（包括但不限于以下内容）</w:t>
      </w:r>
    </w:p>
    <w:p>
      <w:pPr>
        <w:pStyle w:val="152"/>
        <w:tabs>
          <w:tab w:val="left" w:pos="900"/>
        </w:tabs>
        <w:spacing w:line="360" w:lineRule="auto"/>
        <w:ind w:left="0" w:firstLine="420" w:firstLineChars="200"/>
        <w:rPr>
          <w:rFonts w:ascii="Garamond" w:hAnsi="Garamond"/>
          <w:snapToGrid w:val="0"/>
          <w:color w:val="auto"/>
          <w:kern w:val="0"/>
          <w:sz w:val="21"/>
          <w:szCs w:val="21"/>
          <w:highlight w:val="none"/>
        </w:rPr>
      </w:pPr>
      <w:r>
        <w:rPr>
          <w:rFonts w:ascii="Garamond" w:hAnsi="Garamond"/>
          <w:snapToGrid w:val="0"/>
          <w:color w:val="auto"/>
          <w:kern w:val="0"/>
          <w:sz w:val="21"/>
          <w:szCs w:val="21"/>
          <w:highlight w:val="none"/>
        </w:rPr>
        <w:t>1、工作的依据，执行的有关技术规范；</w:t>
      </w:r>
    </w:p>
    <w:p>
      <w:pPr>
        <w:pStyle w:val="152"/>
        <w:tabs>
          <w:tab w:val="left" w:pos="900"/>
        </w:tabs>
        <w:spacing w:line="360" w:lineRule="auto"/>
        <w:ind w:left="0" w:firstLine="420" w:firstLineChars="200"/>
        <w:rPr>
          <w:rFonts w:ascii="Garamond" w:hAnsi="Garamond"/>
          <w:snapToGrid w:val="0"/>
          <w:color w:val="auto"/>
          <w:kern w:val="0"/>
          <w:sz w:val="21"/>
          <w:szCs w:val="21"/>
          <w:highlight w:val="none"/>
        </w:rPr>
      </w:pPr>
      <w:r>
        <w:rPr>
          <w:rFonts w:ascii="Garamond" w:hAnsi="Garamond"/>
          <w:snapToGrid w:val="0"/>
          <w:color w:val="auto"/>
          <w:kern w:val="0"/>
          <w:sz w:val="21"/>
          <w:szCs w:val="21"/>
          <w:highlight w:val="none"/>
        </w:rPr>
        <w:t>2、工作的程序；</w:t>
      </w:r>
    </w:p>
    <w:p>
      <w:pPr>
        <w:pStyle w:val="152"/>
        <w:tabs>
          <w:tab w:val="left" w:pos="900"/>
        </w:tabs>
        <w:spacing w:line="360" w:lineRule="auto"/>
        <w:ind w:left="0" w:firstLine="420" w:firstLineChars="200"/>
        <w:rPr>
          <w:rFonts w:ascii="Garamond" w:hAnsi="Garamond"/>
          <w:snapToGrid w:val="0"/>
          <w:color w:val="auto"/>
          <w:kern w:val="0"/>
          <w:sz w:val="21"/>
          <w:szCs w:val="21"/>
          <w:highlight w:val="none"/>
        </w:rPr>
      </w:pPr>
      <w:r>
        <w:rPr>
          <w:rFonts w:ascii="Garamond" w:hAnsi="Garamond"/>
          <w:snapToGrid w:val="0"/>
          <w:color w:val="auto"/>
          <w:kern w:val="0"/>
          <w:sz w:val="21"/>
          <w:szCs w:val="21"/>
          <w:highlight w:val="none"/>
        </w:rPr>
        <w:t>3、检测及核查的内容、方法、手段；</w:t>
      </w:r>
    </w:p>
    <w:p>
      <w:pPr>
        <w:pStyle w:val="152"/>
        <w:tabs>
          <w:tab w:val="left" w:pos="900"/>
        </w:tabs>
        <w:spacing w:line="360" w:lineRule="auto"/>
        <w:ind w:left="0" w:firstLine="420" w:firstLineChars="200"/>
        <w:rPr>
          <w:rFonts w:ascii="Garamond" w:hAnsi="Garamond"/>
          <w:snapToGrid w:val="0"/>
          <w:color w:val="auto"/>
          <w:kern w:val="0"/>
          <w:sz w:val="21"/>
          <w:szCs w:val="21"/>
          <w:highlight w:val="none"/>
        </w:rPr>
      </w:pPr>
      <w:r>
        <w:rPr>
          <w:rFonts w:ascii="Garamond" w:hAnsi="Garamond"/>
          <w:snapToGrid w:val="0"/>
          <w:color w:val="auto"/>
          <w:kern w:val="0"/>
          <w:sz w:val="21"/>
          <w:szCs w:val="21"/>
          <w:highlight w:val="none"/>
        </w:rPr>
        <w:t>4、检测及核查工作报告格式及内容；</w:t>
      </w:r>
    </w:p>
    <w:p>
      <w:pPr>
        <w:pStyle w:val="152"/>
        <w:tabs>
          <w:tab w:val="left" w:pos="900"/>
        </w:tabs>
        <w:spacing w:line="360" w:lineRule="auto"/>
        <w:ind w:left="0" w:firstLine="420" w:firstLineChars="200"/>
        <w:rPr>
          <w:rFonts w:ascii="Garamond" w:hAnsi="Garamond"/>
          <w:snapToGrid w:val="0"/>
          <w:color w:val="auto"/>
          <w:kern w:val="0"/>
          <w:sz w:val="21"/>
          <w:szCs w:val="21"/>
          <w:highlight w:val="none"/>
        </w:rPr>
      </w:pPr>
      <w:r>
        <w:rPr>
          <w:rFonts w:ascii="Garamond" w:hAnsi="Garamond"/>
          <w:snapToGrid w:val="0"/>
          <w:color w:val="auto"/>
          <w:kern w:val="0"/>
          <w:sz w:val="21"/>
          <w:szCs w:val="21"/>
          <w:highlight w:val="none"/>
        </w:rPr>
        <w:t>四）招标项目的特点关键技术问题、重点、难点的认识及对策措施；</w:t>
      </w:r>
    </w:p>
    <w:p>
      <w:pPr>
        <w:pStyle w:val="152"/>
        <w:tabs>
          <w:tab w:val="left" w:pos="900"/>
        </w:tabs>
        <w:spacing w:line="360" w:lineRule="auto"/>
        <w:ind w:left="0" w:firstLine="420" w:firstLineChars="200"/>
        <w:rPr>
          <w:rFonts w:ascii="Garamond" w:hAnsi="Garamond"/>
          <w:snapToGrid w:val="0"/>
          <w:color w:val="auto"/>
          <w:kern w:val="0"/>
          <w:sz w:val="21"/>
          <w:szCs w:val="21"/>
          <w:highlight w:val="none"/>
        </w:rPr>
      </w:pPr>
      <w:r>
        <w:rPr>
          <w:rFonts w:hint="eastAsia" w:ascii="Garamond" w:hAnsi="Garamond"/>
          <w:snapToGrid w:val="0"/>
          <w:color w:val="auto"/>
          <w:kern w:val="0"/>
          <w:sz w:val="21"/>
          <w:szCs w:val="21"/>
          <w:highlight w:val="none"/>
        </w:rPr>
        <w:t>五）拟投入检测的主要设备（包括设备性能的评价）、人员计划（人员资质、数量及投入时间）；</w:t>
      </w:r>
    </w:p>
    <w:p>
      <w:pPr>
        <w:pStyle w:val="152"/>
        <w:tabs>
          <w:tab w:val="left" w:pos="900"/>
        </w:tabs>
        <w:spacing w:line="360" w:lineRule="auto"/>
        <w:ind w:left="0" w:firstLine="420" w:firstLineChars="200"/>
        <w:rPr>
          <w:rFonts w:ascii="Garamond" w:hAnsi="Garamond"/>
          <w:snapToGrid w:val="0"/>
          <w:color w:val="auto"/>
          <w:kern w:val="0"/>
          <w:sz w:val="21"/>
          <w:szCs w:val="21"/>
          <w:highlight w:val="none"/>
        </w:rPr>
      </w:pPr>
      <w:r>
        <w:rPr>
          <w:rFonts w:hint="eastAsia" w:ascii="Garamond" w:hAnsi="Garamond"/>
          <w:snapToGrid w:val="0"/>
          <w:color w:val="auto"/>
          <w:kern w:val="0"/>
          <w:sz w:val="21"/>
          <w:szCs w:val="21"/>
          <w:highlight w:val="none"/>
        </w:rPr>
        <w:t>六</w:t>
      </w:r>
      <w:r>
        <w:rPr>
          <w:rFonts w:ascii="Garamond" w:hAnsi="Garamond"/>
          <w:snapToGrid w:val="0"/>
          <w:color w:val="auto"/>
          <w:kern w:val="0"/>
          <w:sz w:val="21"/>
          <w:szCs w:val="21"/>
          <w:highlight w:val="none"/>
        </w:rPr>
        <w:t>）工作计划与质量管理措施</w:t>
      </w:r>
    </w:p>
    <w:p>
      <w:pPr>
        <w:pStyle w:val="152"/>
        <w:tabs>
          <w:tab w:val="left" w:pos="900"/>
        </w:tabs>
        <w:spacing w:line="360" w:lineRule="auto"/>
        <w:ind w:left="0" w:firstLine="420" w:firstLineChars="200"/>
        <w:rPr>
          <w:rFonts w:ascii="Garamond" w:hAnsi="Garamond"/>
          <w:snapToGrid w:val="0"/>
          <w:color w:val="auto"/>
          <w:kern w:val="0"/>
          <w:sz w:val="21"/>
          <w:szCs w:val="21"/>
          <w:highlight w:val="none"/>
        </w:rPr>
      </w:pPr>
      <w:r>
        <w:rPr>
          <w:rFonts w:ascii="Garamond" w:hAnsi="Garamond"/>
          <w:snapToGrid w:val="0"/>
          <w:color w:val="auto"/>
          <w:kern w:val="0"/>
          <w:sz w:val="21"/>
          <w:szCs w:val="21"/>
          <w:highlight w:val="none"/>
        </w:rPr>
        <w:t>1、控制工作服务的目标；</w:t>
      </w:r>
    </w:p>
    <w:p>
      <w:pPr>
        <w:pStyle w:val="152"/>
        <w:tabs>
          <w:tab w:val="left" w:pos="900"/>
        </w:tabs>
        <w:spacing w:line="360" w:lineRule="auto"/>
        <w:ind w:left="0" w:firstLine="420" w:firstLineChars="200"/>
        <w:rPr>
          <w:rFonts w:ascii="Garamond" w:hAnsi="Garamond"/>
          <w:snapToGrid w:val="0"/>
          <w:color w:val="auto"/>
          <w:kern w:val="0"/>
          <w:sz w:val="21"/>
          <w:szCs w:val="21"/>
          <w:highlight w:val="none"/>
        </w:rPr>
      </w:pPr>
      <w:r>
        <w:rPr>
          <w:rFonts w:ascii="Garamond" w:hAnsi="Garamond"/>
          <w:snapToGrid w:val="0"/>
          <w:color w:val="auto"/>
          <w:kern w:val="0"/>
          <w:sz w:val="21"/>
          <w:szCs w:val="21"/>
          <w:highlight w:val="none"/>
        </w:rPr>
        <w:t>2、保证工程质量的技术措施；</w:t>
      </w:r>
    </w:p>
    <w:p>
      <w:pPr>
        <w:pStyle w:val="152"/>
        <w:tabs>
          <w:tab w:val="left" w:pos="900"/>
        </w:tabs>
        <w:spacing w:line="360" w:lineRule="auto"/>
        <w:ind w:left="0" w:firstLine="420" w:firstLineChars="200"/>
        <w:rPr>
          <w:rFonts w:ascii="Garamond" w:hAnsi="Garamond"/>
          <w:snapToGrid w:val="0"/>
          <w:color w:val="auto"/>
          <w:kern w:val="0"/>
          <w:sz w:val="21"/>
          <w:szCs w:val="21"/>
          <w:highlight w:val="none"/>
        </w:rPr>
      </w:pPr>
      <w:r>
        <w:rPr>
          <w:rFonts w:ascii="Garamond" w:hAnsi="Garamond"/>
          <w:snapToGrid w:val="0"/>
          <w:color w:val="auto"/>
          <w:kern w:val="0"/>
          <w:sz w:val="21"/>
          <w:szCs w:val="21"/>
          <w:highlight w:val="none"/>
        </w:rPr>
        <w:t>3、控制工作进度计划及保证工作进度的措施；</w:t>
      </w:r>
    </w:p>
    <w:p>
      <w:pPr>
        <w:pStyle w:val="152"/>
        <w:tabs>
          <w:tab w:val="left" w:pos="900"/>
        </w:tabs>
        <w:spacing w:line="360" w:lineRule="auto"/>
        <w:ind w:left="0" w:firstLine="420" w:firstLineChars="200"/>
        <w:rPr>
          <w:rFonts w:ascii="Garamond" w:hAnsi="Garamond"/>
          <w:snapToGrid w:val="0"/>
          <w:color w:val="auto"/>
          <w:kern w:val="0"/>
          <w:sz w:val="21"/>
          <w:szCs w:val="21"/>
          <w:highlight w:val="none"/>
        </w:rPr>
      </w:pPr>
      <w:r>
        <w:rPr>
          <w:rFonts w:ascii="Garamond" w:hAnsi="Garamond"/>
          <w:snapToGrid w:val="0"/>
          <w:color w:val="auto"/>
          <w:kern w:val="0"/>
          <w:sz w:val="21"/>
          <w:szCs w:val="21"/>
          <w:highlight w:val="none"/>
        </w:rPr>
        <w:t>4、控制工作质量与服务保证措施、安全生产管理措施；</w:t>
      </w:r>
    </w:p>
    <w:p>
      <w:pPr>
        <w:pStyle w:val="152"/>
        <w:tabs>
          <w:tab w:val="left" w:pos="900"/>
        </w:tabs>
        <w:spacing w:line="360" w:lineRule="auto"/>
        <w:ind w:left="0" w:firstLine="420" w:firstLineChars="200"/>
        <w:rPr>
          <w:rFonts w:ascii="Garamond" w:hAnsi="Garamond"/>
          <w:snapToGrid w:val="0"/>
          <w:color w:val="auto"/>
          <w:kern w:val="0"/>
          <w:sz w:val="21"/>
          <w:szCs w:val="21"/>
          <w:highlight w:val="none"/>
        </w:rPr>
      </w:pPr>
      <w:r>
        <w:rPr>
          <w:rFonts w:ascii="Garamond" w:hAnsi="Garamond"/>
          <w:snapToGrid w:val="0"/>
          <w:color w:val="auto"/>
          <w:kern w:val="0"/>
          <w:sz w:val="21"/>
          <w:szCs w:val="21"/>
          <w:highlight w:val="none"/>
        </w:rPr>
        <w:t>5、配合、协调工作的要求等其它事项；</w:t>
      </w:r>
    </w:p>
    <w:p>
      <w:pPr>
        <w:spacing w:line="360" w:lineRule="auto"/>
        <w:ind w:firstLine="420" w:firstLineChars="200"/>
        <w:rPr>
          <w:rFonts w:ascii="Garamond" w:hAnsi="Garamond"/>
          <w:snapToGrid w:val="0"/>
          <w:kern w:val="0"/>
          <w:szCs w:val="21"/>
          <w:highlight w:val="none"/>
        </w:rPr>
      </w:pPr>
      <w:r>
        <w:rPr>
          <w:rFonts w:hint="eastAsia" w:ascii="Garamond" w:hAnsi="Garamond"/>
          <w:snapToGrid w:val="0"/>
          <w:kern w:val="0"/>
          <w:szCs w:val="21"/>
          <w:highlight w:val="none"/>
        </w:rPr>
        <w:t>七</w:t>
      </w:r>
      <w:r>
        <w:rPr>
          <w:rFonts w:ascii="Garamond" w:hAnsi="Garamond"/>
          <w:snapToGrid w:val="0"/>
          <w:kern w:val="0"/>
          <w:szCs w:val="21"/>
          <w:highlight w:val="none"/>
        </w:rPr>
        <w:t>）后续服务的安排及保证措施</w:t>
      </w:r>
    </w:p>
    <w:p>
      <w:pPr>
        <w:spacing w:line="360" w:lineRule="auto"/>
        <w:ind w:firstLine="420" w:firstLineChars="200"/>
        <w:rPr>
          <w:rFonts w:ascii="Garamond" w:hAnsi="Garamond"/>
          <w:snapToGrid w:val="0"/>
          <w:kern w:val="0"/>
          <w:szCs w:val="21"/>
          <w:highlight w:val="none"/>
        </w:rPr>
      </w:pPr>
      <w:r>
        <w:rPr>
          <w:rFonts w:hint="eastAsia" w:ascii="Garamond" w:hAnsi="Garamond"/>
          <w:snapToGrid w:val="0"/>
          <w:kern w:val="0"/>
          <w:szCs w:val="21"/>
          <w:highlight w:val="none"/>
        </w:rPr>
        <w:t>八</w:t>
      </w:r>
      <w:r>
        <w:rPr>
          <w:rFonts w:ascii="Garamond" w:hAnsi="Garamond"/>
          <w:snapToGrid w:val="0"/>
          <w:kern w:val="0"/>
          <w:szCs w:val="21"/>
          <w:highlight w:val="none"/>
        </w:rPr>
        <w:t>）建议及其它</w:t>
      </w:r>
    </w:p>
    <w:p>
      <w:pPr>
        <w:spacing w:before="120" w:beforeLines="50" w:line="360" w:lineRule="auto"/>
        <w:ind w:right="238" w:firstLine="945" w:firstLineChars="450"/>
        <w:rPr>
          <w:rFonts w:ascii="Garamond" w:hAnsi="Garamond"/>
          <w:szCs w:val="21"/>
          <w:highlight w:val="none"/>
        </w:rPr>
      </w:pPr>
    </w:p>
    <w:p>
      <w:pPr>
        <w:spacing w:line="360" w:lineRule="auto"/>
        <w:ind w:right="240" w:firstLine="480"/>
        <w:rPr>
          <w:rFonts w:ascii="Garamond" w:hAnsi="Garamond"/>
          <w:szCs w:val="21"/>
          <w:highlight w:val="none"/>
        </w:rPr>
      </w:pPr>
    </w:p>
    <w:p>
      <w:pPr>
        <w:spacing w:line="360" w:lineRule="auto"/>
        <w:ind w:right="240" w:firstLine="480"/>
        <w:rPr>
          <w:rFonts w:ascii="Garamond" w:hAnsi="Garamond"/>
          <w:szCs w:val="21"/>
          <w:highlight w:val="none"/>
        </w:rPr>
      </w:pPr>
    </w:p>
    <w:p>
      <w:pPr>
        <w:spacing w:line="360" w:lineRule="auto"/>
        <w:ind w:right="240" w:firstLine="480"/>
        <w:rPr>
          <w:rFonts w:ascii="Garamond" w:hAnsi="Garamond"/>
          <w:szCs w:val="21"/>
          <w:highlight w:val="none"/>
        </w:rPr>
      </w:pPr>
    </w:p>
    <w:p>
      <w:pPr>
        <w:spacing w:line="360" w:lineRule="auto"/>
        <w:ind w:right="240" w:firstLine="480"/>
        <w:rPr>
          <w:rFonts w:ascii="Garamond" w:hAnsi="Garamond"/>
          <w:szCs w:val="21"/>
          <w:highlight w:val="none"/>
        </w:rPr>
      </w:pPr>
    </w:p>
    <w:p>
      <w:pPr>
        <w:spacing w:line="360" w:lineRule="auto"/>
        <w:ind w:right="240" w:firstLine="480"/>
        <w:rPr>
          <w:rFonts w:ascii="Garamond" w:hAnsi="Garamond"/>
          <w:szCs w:val="21"/>
          <w:highlight w:val="none"/>
        </w:rPr>
      </w:pPr>
    </w:p>
    <w:p>
      <w:pPr>
        <w:spacing w:line="360" w:lineRule="auto"/>
        <w:ind w:right="240" w:firstLine="480"/>
        <w:rPr>
          <w:rFonts w:ascii="Garamond" w:hAnsi="Garamond"/>
          <w:szCs w:val="21"/>
          <w:highlight w:val="none"/>
        </w:rPr>
      </w:pPr>
    </w:p>
    <w:p>
      <w:pPr>
        <w:spacing w:line="360" w:lineRule="auto"/>
        <w:ind w:right="240" w:firstLine="480"/>
        <w:rPr>
          <w:rFonts w:ascii="Garamond" w:hAnsi="Garamond"/>
          <w:szCs w:val="21"/>
          <w:highlight w:val="none"/>
        </w:rPr>
      </w:pPr>
    </w:p>
    <w:p>
      <w:pPr>
        <w:spacing w:line="360" w:lineRule="auto"/>
        <w:ind w:right="240" w:firstLine="480"/>
        <w:rPr>
          <w:rFonts w:ascii="Garamond" w:hAnsi="Garamond"/>
          <w:szCs w:val="21"/>
          <w:highlight w:val="none"/>
        </w:rPr>
      </w:pPr>
    </w:p>
    <w:p>
      <w:pPr>
        <w:spacing w:line="360" w:lineRule="auto"/>
        <w:ind w:right="240" w:firstLine="480"/>
        <w:rPr>
          <w:rFonts w:ascii="Garamond" w:hAnsi="Garamond"/>
          <w:szCs w:val="21"/>
          <w:highlight w:val="none"/>
        </w:rPr>
      </w:pPr>
    </w:p>
    <w:p>
      <w:pPr>
        <w:spacing w:line="360" w:lineRule="auto"/>
        <w:ind w:right="240" w:firstLine="480"/>
        <w:rPr>
          <w:rFonts w:ascii="Garamond" w:hAnsi="Garamond"/>
          <w:szCs w:val="21"/>
          <w:highlight w:val="none"/>
        </w:rPr>
      </w:pPr>
    </w:p>
    <w:p>
      <w:pPr>
        <w:spacing w:line="360" w:lineRule="auto"/>
        <w:jc w:val="center"/>
        <w:rPr>
          <w:rFonts w:ascii="Garamond" w:hAnsi="Garamond"/>
          <w:b/>
          <w:sz w:val="30"/>
          <w:szCs w:val="30"/>
          <w:highlight w:val="none"/>
        </w:rPr>
        <w:sectPr>
          <w:pgSz w:w="11906" w:h="16838"/>
          <w:pgMar w:top="1417" w:right="1247" w:bottom="1417" w:left="1417" w:header="851" w:footer="680" w:gutter="0"/>
          <w:cols w:space="0" w:num="1"/>
          <w:docGrid w:linePitch="312" w:charSpace="0"/>
        </w:sectPr>
      </w:pPr>
    </w:p>
    <w:p>
      <w:pPr>
        <w:pStyle w:val="4"/>
        <w:jc w:val="center"/>
        <w:rPr>
          <w:rFonts w:ascii="Garamond" w:hAnsi="Garamond"/>
          <w:sz w:val="24"/>
          <w:highlight w:val="none"/>
        </w:rPr>
      </w:pPr>
      <w:r>
        <w:rPr>
          <w:rFonts w:hint="eastAsia" w:ascii="Garamond" w:hAnsi="Garamond"/>
          <w:sz w:val="28"/>
          <w:szCs w:val="28"/>
          <w:highlight w:val="none"/>
        </w:rPr>
        <w:t>六</w:t>
      </w:r>
      <w:r>
        <w:rPr>
          <w:rFonts w:ascii="Garamond" w:hAnsi="Garamond"/>
          <w:sz w:val="28"/>
          <w:szCs w:val="28"/>
          <w:highlight w:val="none"/>
        </w:rPr>
        <w:t>、资格审查资料</w:t>
      </w:r>
    </w:p>
    <w:p>
      <w:pPr>
        <w:ind w:firstLine="480"/>
        <w:jc w:val="center"/>
        <w:rPr>
          <w:rFonts w:ascii="Garamond" w:hAnsi="Garamond"/>
          <w:color w:val="000000" w:themeColor="text1"/>
          <w:sz w:val="24"/>
          <w:highlight w:val="none"/>
          <w14:textFill>
            <w14:solidFill>
              <w14:schemeClr w14:val="tx1"/>
            </w14:solidFill>
          </w14:textFill>
        </w:rPr>
      </w:pPr>
      <w:r>
        <w:rPr>
          <w:rFonts w:ascii="Garamond" w:hAnsi="Garamond"/>
          <w:color w:val="000000" w:themeColor="text1"/>
          <w:sz w:val="24"/>
          <w:highlight w:val="none"/>
          <w14:textFill>
            <w14:solidFill>
              <w14:schemeClr w14:val="tx1"/>
            </w14:solidFill>
          </w14:textFill>
        </w:rPr>
        <w:t>表1企业信息基本表</w:t>
      </w:r>
    </w:p>
    <w:tbl>
      <w:tblPr>
        <w:tblStyle w:val="44"/>
        <w:tblW w:w="5000" w:type="pct"/>
        <w:jc w:val="center"/>
        <w:tblLayout w:type="autofit"/>
        <w:tblCellMar>
          <w:top w:w="0" w:type="dxa"/>
          <w:left w:w="0" w:type="dxa"/>
          <w:bottom w:w="0" w:type="dxa"/>
          <w:right w:w="0" w:type="dxa"/>
        </w:tblCellMar>
      </w:tblPr>
      <w:tblGrid>
        <w:gridCol w:w="1543"/>
        <w:gridCol w:w="1543"/>
        <w:gridCol w:w="1543"/>
        <w:gridCol w:w="1545"/>
        <w:gridCol w:w="1544"/>
        <w:gridCol w:w="1544"/>
      </w:tblGrid>
      <w:tr>
        <w:tblPrEx>
          <w:tblCellMar>
            <w:top w:w="0" w:type="dxa"/>
            <w:left w:w="0" w:type="dxa"/>
            <w:bottom w:w="0" w:type="dxa"/>
            <w:right w:w="0" w:type="dxa"/>
          </w:tblCellMar>
        </w:tblPrEx>
        <w:trPr>
          <w:trHeight w:val="260" w:hRule="atLeast"/>
          <w:jc w:val="center"/>
        </w:trPr>
        <w:tc>
          <w:tcPr>
            <w:tcW w:w="833" w:type="pct"/>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bottom"/>
          </w:tcPr>
          <w:p>
            <w:pPr>
              <w:widowControl/>
              <w:jc w:val="left"/>
              <w:textAlignment w:val="bottom"/>
              <w:rPr>
                <w:rFonts w:ascii="Garamond" w:hAnsi="Garamond" w:cs="Arial"/>
                <w:color w:val="000000" w:themeColor="text1"/>
                <w:szCs w:val="21"/>
                <w:highlight w:val="none"/>
                <w14:textFill>
                  <w14:solidFill>
                    <w14:schemeClr w14:val="tx1"/>
                  </w14:solidFill>
                </w14:textFill>
              </w:rPr>
            </w:pPr>
            <w:r>
              <w:rPr>
                <w:rFonts w:ascii="Garamond" w:hAnsi="Garamond" w:cs="Arial"/>
                <w:color w:val="000000" w:themeColor="text1"/>
                <w:kern w:val="0"/>
                <w:szCs w:val="21"/>
                <w:highlight w:val="none"/>
                <w14:textFill>
                  <w14:solidFill>
                    <w14:schemeClr w14:val="tx1"/>
                  </w14:solidFill>
                </w14:textFill>
              </w:rPr>
              <w:t>申请人全称：</w:t>
            </w:r>
          </w:p>
        </w:tc>
        <w:tc>
          <w:tcPr>
            <w:tcW w:w="4166" w:type="pct"/>
            <w:gridSpan w:val="5"/>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bottom"/>
          </w:tcPr>
          <w:p>
            <w:pPr>
              <w:widowControl/>
              <w:jc w:val="left"/>
              <w:rPr>
                <w:rFonts w:ascii="Garamond" w:hAnsi="Garamond" w:cs="Arial"/>
                <w:color w:val="000000" w:themeColor="text1"/>
                <w:szCs w:val="21"/>
                <w:highlight w:val="none"/>
                <w14:textFill>
                  <w14:solidFill>
                    <w14:schemeClr w14:val="tx1"/>
                  </w14:solidFill>
                </w14:textFill>
              </w:rPr>
            </w:pPr>
          </w:p>
        </w:tc>
      </w:tr>
      <w:tr>
        <w:tblPrEx>
          <w:tblCellMar>
            <w:top w:w="0" w:type="dxa"/>
            <w:left w:w="0" w:type="dxa"/>
            <w:bottom w:w="0" w:type="dxa"/>
            <w:right w:w="0" w:type="dxa"/>
          </w:tblCellMar>
        </w:tblPrEx>
        <w:trPr>
          <w:trHeight w:val="260" w:hRule="atLeast"/>
          <w:jc w:val="center"/>
        </w:trPr>
        <w:tc>
          <w:tcPr>
            <w:tcW w:w="833" w:type="pct"/>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bottom"/>
          </w:tcPr>
          <w:p>
            <w:pPr>
              <w:widowControl/>
              <w:jc w:val="left"/>
              <w:textAlignment w:val="bottom"/>
              <w:rPr>
                <w:rFonts w:ascii="Garamond" w:hAnsi="Garamond" w:cs="Arial"/>
                <w:color w:val="000000" w:themeColor="text1"/>
                <w:szCs w:val="21"/>
                <w:highlight w:val="none"/>
                <w14:textFill>
                  <w14:solidFill>
                    <w14:schemeClr w14:val="tx1"/>
                  </w14:solidFill>
                </w14:textFill>
              </w:rPr>
            </w:pPr>
            <w:r>
              <w:rPr>
                <w:rFonts w:ascii="Garamond" w:hAnsi="Garamond" w:cs="Arial"/>
                <w:color w:val="000000" w:themeColor="text1"/>
                <w:kern w:val="0"/>
                <w:szCs w:val="21"/>
                <w:highlight w:val="none"/>
                <w14:textFill>
                  <w14:solidFill>
                    <w14:schemeClr w14:val="tx1"/>
                  </w14:solidFill>
                </w14:textFill>
              </w:rPr>
              <w:t>主要业务：</w:t>
            </w:r>
          </w:p>
        </w:tc>
        <w:tc>
          <w:tcPr>
            <w:tcW w:w="4166" w:type="pct"/>
            <w:gridSpan w:val="5"/>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bottom"/>
          </w:tcPr>
          <w:p>
            <w:pPr>
              <w:widowControl/>
              <w:jc w:val="left"/>
              <w:rPr>
                <w:rFonts w:ascii="Garamond" w:hAnsi="Garamond" w:cs="Arial"/>
                <w:color w:val="000000" w:themeColor="text1"/>
                <w:szCs w:val="21"/>
                <w:highlight w:val="none"/>
                <w14:textFill>
                  <w14:solidFill>
                    <w14:schemeClr w14:val="tx1"/>
                  </w14:solidFill>
                </w14:textFill>
              </w:rPr>
            </w:pPr>
          </w:p>
        </w:tc>
      </w:tr>
      <w:tr>
        <w:tblPrEx>
          <w:tblCellMar>
            <w:top w:w="0" w:type="dxa"/>
            <w:left w:w="0" w:type="dxa"/>
            <w:bottom w:w="0" w:type="dxa"/>
            <w:right w:w="0" w:type="dxa"/>
          </w:tblCellMar>
        </w:tblPrEx>
        <w:trPr>
          <w:trHeight w:val="260" w:hRule="atLeast"/>
          <w:jc w:val="center"/>
        </w:trPr>
        <w:tc>
          <w:tcPr>
            <w:tcW w:w="833" w:type="pct"/>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bottom"/>
          </w:tcPr>
          <w:p>
            <w:pPr>
              <w:widowControl/>
              <w:jc w:val="left"/>
              <w:textAlignment w:val="bottom"/>
              <w:rPr>
                <w:rFonts w:ascii="Garamond" w:hAnsi="Garamond" w:cs="Arial"/>
                <w:color w:val="000000" w:themeColor="text1"/>
                <w:szCs w:val="21"/>
                <w:highlight w:val="none"/>
                <w14:textFill>
                  <w14:solidFill>
                    <w14:schemeClr w14:val="tx1"/>
                  </w14:solidFill>
                </w14:textFill>
              </w:rPr>
            </w:pPr>
            <w:r>
              <w:rPr>
                <w:rFonts w:ascii="Garamond" w:hAnsi="Garamond" w:cs="Arial"/>
                <w:color w:val="000000" w:themeColor="text1"/>
                <w:kern w:val="0"/>
                <w:szCs w:val="21"/>
                <w:highlight w:val="none"/>
                <w14:textFill>
                  <w14:solidFill>
                    <w14:schemeClr w14:val="tx1"/>
                  </w14:solidFill>
                </w14:textFill>
              </w:rPr>
              <w:t>营业范围：</w:t>
            </w:r>
          </w:p>
        </w:tc>
        <w:tc>
          <w:tcPr>
            <w:tcW w:w="4166" w:type="pct"/>
            <w:gridSpan w:val="5"/>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bottom"/>
          </w:tcPr>
          <w:p>
            <w:pPr>
              <w:widowControl/>
              <w:jc w:val="left"/>
              <w:rPr>
                <w:rFonts w:ascii="Garamond" w:hAnsi="Garamond" w:cs="Arial"/>
                <w:color w:val="000000" w:themeColor="text1"/>
                <w:szCs w:val="21"/>
                <w:highlight w:val="none"/>
                <w14:textFill>
                  <w14:solidFill>
                    <w14:schemeClr w14:val="tx1"/>
                  </w14:solidFill>
                </w14:textFill>
              </w:rPr>
            </w:pPr>
          </w:p>
        </w:tc>
      </w:tr>
      <w:tr>
        <w:tblPrEx>
          <w:tblCellMar>
            <w:top w:w="0" w:type="dxa"/>
            <w:left w:w="0" w:type="dxa"/>
            <w:bottom w:w="0" w:type="dxa"/>
            <w:right w:w="0" w:type="dxa"/>
          </w:tblCellMar>
        </w:tblPrEx>
        <w:trPr>
          <w:trHeight w:val="260" w:hRule="atLeast"/>
          <w:jc w:val="center"/>
        </w:trPr>
        <w:tc>
          <w:tcPr>
            <w:tcW w:w="833" w:type="pct"/>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bottom"/>
          </w:tcPr>
          <w:p>
            <w:pPr>
              <w:widowControl/>
              <w:jc w:val="left"/>
              <w:textAlignment w:val="bottom"/>
              <w:rPr>
                <w:rFonts w:ascii="Garamond" w:hAnsi="Garamond" w:cs="Arial"/>
                <w:color w:val="000000" w:themeColor="text1"/>
                <w:szCs w:val="21"/>
                <w:highlight w:val="none"/>
                <w14:textFill>
                  <w14:solidFill>
                    <w14:schemeClr w14:val="tx1"/>
                  </w14:solidFill>
                </w14:textFill>
              </w:rPr>
            </w:pPr>
            <w:r>
              <w:rPr>
                <w:rFonts w:ascii="Garamond" w:hAnsi="Garamond" w:cs="Arial"/>
                <w:color w:val="000000" w:themeColor="text1"/>
                <w:kern w:val="0"/>
                <w:szCs w:val="21"/>
                <w:highlight w:val="none"/>
                <w14:textFill>
                  <w14:solidFill>
                    <w14:schemeClr w14:val="tx1"/>
                  </w14:solidFill>
                </w14:textFill>
              </w:rPr>
              <w:t>统一社会信用代码：</w:t>
            </w:r>
          </w:p>
        </w:tc>
        <w:tc>
          <w:tcPr>
            <w:tcW w:w="833" w:type="pct"/>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bottom"/>
          </w:tcPr>
          <w:p>
            <w:pPr>
              <w:widowControl/>
              <w:jc w:val="left"/>
              <w:rPr>
                <w:rFonts w:ascii="Garamond" w:hAnsi="Garamond" w:cs="Arial"/>
                <w:color w:val="000000" w:themeColor="text1"/>
                <w:szCs w:val="21"/>
                <w:highlight w:val="none"/>
                <w14:textFill>
                  <w14:solidFill>
                    <w14:schemeClr w14:val="tx1"/>
                  </w14:solidFill>
                </w14:textFill>
              </w:rPr>
            </w:pPr>
          </w:p>
        </w:tc>
        <w:tc>
          <w:tcPr>
            <w:tcW w:w="833" w:type="pct"/>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bottom"/>
          </w:tcPr>
          <w:p>
            <w:pPr>
              <w:widowControl/>
              <w:jc w:val="left"/>
              <w:textAlignment w:val="bottom"/>
              <w:rPr>
                <w:rFonts w:ascii="Garamond" w:hAnsi="Garamond" w:cs="Arial"/>
                <w:color w:val="000000" w:themeColor="text1"/>
                <w:szCs w:val="21"/>
                <w:highlight w:val="none"/>
                <w14:textFill>
                  <w14:solidFill>
                    <w14:schemeClr w14:val="tx1"/>
                  </w14:solidFill>
                </w14:textFill>
              </w:rPr>
            </w:pPr>
            <w:r>
              <w:rPr>
                <w:rFonts w:ascii="Garamond" w:hAnsi="Garamond" w:cs="Arial"/>
                <w:color w:val="000000" w:themeColor="text1"/>
                <w:kern w:val="0"/>
                <w:szCs w:val="21"/>
                <w:highlight w:val="none"/>
                <w14:textFill>
                  <w14:solidFill>
                    <w14:schemeClr w14:val="tx1"/>
                  </w14:solidFill>
                </w14:textFill>
              </w:rPr>
              <w:t>注册资本(元)：</w:t>
            </w:r>
          </w:p>
        </w:tc>
        <w:tc>
          <w:tcPr>
            <w:tcW w:w="833" w:type="pct"/>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bottom"/>
          </w:tcPr>
          <w:p>
            <w:pPr>
              <w:widowControl/>
              <w:jc w:val="left"/>
              <w:rPr>
                <w:rFonts w:ascii="Garamond" w:hAnsi="Garamond" w:cs="Arial"/>
                <w:color w:val="000000" w:themeColor="text1"/>
                <w:szCs w:val="21"/>
                <w:highlight w:val="none"/>
                <w14:textFill>
                  <w14:solidFill>
                    <w14:schemeClr w14:val="tx1"/>
                  </w14:solidFill>
                </w14:textFill>
              </w:rPr>
            </w:pPr>
          </w:p>
        </w:tc>
        <w:tc>
          <w:tcPr>
            <w:tcW w:w="833" w:type="pct"/>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bottom"/>
          </w:tcPr>
          <w:p>
            <w:pPr>
              <w:widowControl/>
              <w:jc w:val="left"/>
              <w:textAlignment w:val="bottom"/>
              <w:rPr>
                <w:rFonts w:ascii="Garamond" w:hAnsi="Garamond" w:cs="Arial"/>
                <w:color w:val="000000" w:themeColor="text1"/>
                <w:szCs w:val="21"/>
                <w:highlight w:val="none"/>
                <w14:textFill>
                  <w14:solidFill>
                    <w14:schemeClr w14:val="tx1"/>
                  </w14:solidFill>
                </w14:textFill>
              </w:rPr>
            </w:pPr>
            <w:r>
              <w:rPr>
                <w:rFonts w:ascii="Garamond" w:hAnsi="Garamond" w:cs="Arial"/>
                <w:color w:val="000000" w:themeColor="text1"/>
                <w:kern w:val="0"/>
                <w:szCs w:val="21"/>
                <w:highlight w:val="none"/>
                <w14:textFill>
                  <w14:solidFill>
                    <w14:schemeClr w14:val="tx1"/>
                  </w14:solidFill>
                </w14:textFill>
              </w:rPr>
              <w:t>信用等级：</w:t>
            </w:r>
          </w:p>
        </w:tc>
        <w:tc>
          <w:tcPr>
            <w:tcW w:w="833" w:type="pct"/>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bottom"/>
          </w:tcPr>
          <w:p>
            <w:pPr>
              <w:widowControl/>
              <w:jc w:val="left"/>
              <w:rPr>
                <w:rFonts w:ascii="Garamond" w:hAnsi="Garamond" w:cs="Arial"/>
                <w:color w:val="000000" w:themeColor="text1"/>
                <w:szCs w:val="21"/>
                <w:highlight w:val="none"/>
                <w14:textFill>
                  <w14:solidFill>
                    <w14:schemeClr w14:val="tx1"/>
                  </w14:solidFill>
                </w14:textFill>
              </w:rPr>
            </w:pPr>
          </w:p>
        </w:tc>
      </w:tr>
      <w:tr>
        <w:tblPrEx>
          <w:tblCellMar>
            <w:top w:w="0" w:type="dxa"/>
            <w:left w:w="0" w:type="dxa"/>
            <w:bottom w:w="0" w:type="dxa"/>
            <w:right w:w="0" w:type="dxa"/>
          </w:tblCellMar>
        </w:tblPrEx>
        <w:trPr>
          <w:trHeight w:val="260" w:hRule="atLeast"/>
          <w:jc w:val="center"/>
        </w:trPr>
        <w:tc>
          <w:tcPr>
            <w:tcW w:w="833" w:type="pct"/>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bottom"/>
          </w:tcPr>
          <w:p>
            <w:pPr>
              <w:widowControl/>
              <w:jc w:val="left"/>
              <w:textAlignment w:val="bottom"/>
              <w:rPr>
                <w:rFonts w:ascii="Garamond" w:hAnsi="Garamond" w:cs="Arial"/>
                <w:color w:val="000000" w:themeColor="text1"/>
                <w:szCs w:val="21"/>
                <w:highlight w:val="none"/>
                <w14:textFill>
                  <w14:solidFill>
                    <w14:schemeClr w14:val="tx1"/>
                  </w14:solidFill>
                </w14:textFill>
              </w:rPr>
            </w:pPr>
            <w:r>
              <w:rPr>
                <w:rFonts w:ascii="Garamond" w:hAnsi="Garamond" w:cs="Arial"/>
                <w:color w:val="000000" w:themeColor="text1"/>
                <w:kern w:val="0"/>
                <w:szCs w:val="21"/>
                <w:highlight w:val="none"/>
                <w14:textFill>
                  <w14:solidFill>
                    <w14:schemeClr w14:val="tx1"/>
                  </w14:solidFill>
                </w14:textFill>
              </w:rPr>
              <w:t>建立日期：</w:t>
            </w:r>
          </w:p>
        </w:tc>
        <w:tc>
          <w:tcPr>
            <w:tcW w:w="833" w:type="pct"/>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bottom"/>
          </w:tcPr>
          <w:p>
            <w:pPr>
              <w:widowControl/>
              <w:jc w:val="left"/>
              <w:rPr>
                <w:rFonts w:ascii="Garamond" w:hAnsi="Garamond" w:cs="Arial"/>
                <w:color w:val="000000" w:themeColor="text1"/>
                <w:szCs w:val="21"/>
                <w:highlight w:val="none"/>
                <w14:textFill>
                  <w14:solidFill>
                    <w14:schemeClr w14:val="tx1"/>
                  </w14:solidFill>
                </w14:textFill>
              </w:rPr>
            </w:pPr>
          </w:p>
        </w:tc>
        <w:tc>
          <w:tcPr>
            <w:tcW w:w="833" w:type="pct"/>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bottom"/>
          </w:tcPr>
          <w:p>
            <w:pPr>
              <w:widowControl/>
              <w:jc w:val="left"/>
              <w:textAlignment w:val="bottom"/>
              <w:rPr>
                <w:rFonts w:ascii="Garamond" w:hAnsi="Garamond" w:cs="Arial"/>
                <w:color w:val="000000" w:themeColor="text1"/>
                <w:szCs w:val="21"/>
                <w:highlight w:val="none"/>
                <w14:textFill>
                  <w14:solidFill>
                    <w14:schemeClr w14:val="tx1"/>
                  </w14:solidFill>
                </w14:textFill>
              </w:rPr>
            </w:pPr>
            <w:r>
              <w:rPr>
                <w:rFonts w:ascii="Garamond" w:hAnsi="Garamond" w:cs="Arial"/>
                <w:color w:val="000000" w:themeColor="text1"/>
                <w:kern w:val="0"/>
                <w:szCs w:val="21"/>
                <w:highlight w:val="none"/>
                <w14:textFill>
                  <w14:solidFill>
                    <w14:schemeClr w14:val="tx1"/>
                  </w14:solidFill>
                </w14:textFill>
              </w:rPr>
              <w:t>现有职工总人数(人)：</w:t>
            </w:r>
          </w:p>
        </w:tc>
        <w:tc>
          <w:tcPr>
            <w:tcW w:w="2500" w:type="pct"/>
            <w:gridSpan w:val="3"/>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bottom"/>
          </w:tcPr>
          <w:p>
            <w:pPr>
              <w:widowControl/>
              <w:jc w:val="left"/>
              <w:rPr>
                <w:rFonts w:ascii="Garamond" w:hAnsi="Garamond" w:cs="Arial"/>
                <w:color w:val="000000" w:themeColor="text1"/>
                <w:szCs w:val="21"/>
                <w:highlight w:val="none"/>
                <w14:textFill>
                  <w14:solidFill>
                    <w14:schemeClr w14:val="tx1"/>
                  </w14:solidFill>
                </w14:textFill>
              </w:rPr>
            </w:pPr>
          </w:p>
        </w:tc>
      </w:tr>
      <w:tr>
        <w:tblPrEx>
          <w:tblCellMar>
            <w:top w:w="0" w:type="dxa"/>
            <w:left w:w="0" w:type="dxa"/>
            <w:bottom w:w="0" w:type="dxa"/>
            <w:right w:w="0" w:type="dxa"/>
          </w:tblCellMar>
        </w:tblPrEx>
        <w:trPr>
          <w:trHeight w:val="260" w:hRule="atLeast"/>
          <w:jc w:val="center"/>
        </w:trPr>
        <w:tc>
          <w:tcPr>
            <w:tcW w:w="833" w:type="pct"/>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bottom"/>
          </w:tcPr>
          <w:p>
            <w:pPr>
              <w:widowControl/>
              <w:jc w:val="left"/>
              <w:textAlignment w:val="bottom"/>
              <w:rPr>
                <w:rFonts w:ascii="Garamond" w:hAnsi="Garamond" w:cs="Arial"/>
                <w:color w:val="000000" w:themeColor="text1"/>
                <w:szCs w:val="21"/>
                <w:highlight w:val="none"/>
                <w14:textFill>
                  <w14:solidFill>
                    <w14:schemeClr w14:val="tx1"/>
                  </w14:solidFill>
                </w14:textFill>
              </w:rPr>
            </w:pPr>
            <w:r>
              <w:rPr>
                <w:rFonts w:ascii="Garamond" w:hAnsi="Garamond" w:cs="Arial"/>
                <w:color w:val="000000" w:themeColor="text1"/>
                <w:kern w:val="0"/>
                <w:szCs w:val="21"/>
                <w:highlight w:val="none"/>
                <w14:textFill>
                  <w14:solidFill>
                    <w14:schemeClr w14:val="tx1"/>
                  </w14:solidFill>
                </w14:textFill>
              </w:rPr>
              <w:t>办公地址：</w:t>
            </w:r>
          </w:p>
        </w:tc>
        <w:tc>
          <w:tcPr>
            <w:tcW w:w="2500" w:type="pct"/>
            <w:gridSpan w:val="3"/>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bottom"/>
          </w:tcPr>
          <w:p>
            <w:pPr>
              <w:widowControl/>
              <w:jc w:val="left"/>
              <w:rPr>
                <w:rFonts w:ascii="Garamond" w:hAnsi="Garamond" w:cs="Arial"/>
                <w:color w:val="000000" w:themeColor="text1"/>
                <w:szCs w:val="21"/>
                <w:highlight w:val="none"/>
                <w14:textFill>
                  <w14:solidFill>
                    <w14:schemeClr w14:val="tx1"/>
                  </w14:solidFill>
                </w14:textFill>
              </w:rPr>
            </w:pPr>
          </w:p>
        </w:tc>
        <w:tc>
          <w:tcPr>
            <w:tcW w:w="833" w:type="pct"/>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bottom"/>
          </w:tcPr>
          <w:p>
            <w:pPr>
              <w:widowControl/>
              <w:jc w:val="left"/>
              <w:textAlignment w:val="bottom"/>
              <w:rPr>
                <w:rFonts w:ascii="Garamond" w:hAnsi="Garamond" w:cs="Arial"/>
                <w:color w:val="000000" w:themeColor="text1"/>
                <w:szCs w:val="21"/>
                <w:highlight w:val="none"/>
                <w14:textFill>
                  <w14:solidFill>
                    <w14:schemeClr w14:val="tx1"/>
                  </w14:solidFill>
                </w14:textFill>
              </w:rPr>
            </w:pPr>
            <w:r>
              <w:rPr>
                <w:rFonts w:ascii="Garamond" w:hAnsi="Garamond" w:cs="Arial"/>
                <w:color w:val="000000" w:themeColor="text1"/>
                <w:kern w:val="0"/>
                <w:szCs w:val="21"/>
                <w:highlight w:val="none"/>
                <w14:textFill>
                  <w14:solidFill>
                    <w14:schemeClr w14:val="tx1"/>
                  </w14:solidFill>
                </w14:textFill>
              </w:rPr>
              <w:t>邮编：</w:t>
            </w:r>
          </w:p>
        </w:tc>
        <w:tc>
          <w:tcPr>
            <w:tcW w:w="833" w:type="pct"/>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bottom"/>
          </w:tcPr>
          <w:p>
            <w:pPr>
              <w:widowControl/>
              <w:jc w:val="left"/>
              <w:rPr>
                <w:rFonts w:ascii="Garamond" w:hAnsi="Garamond" w:cs="Arial"/>
                <w:color w:val="000000" w:themeColor="text1"/>
                <w:szCs w:val="21"/>
                <w:highlight w:val="none"/>
                <w14:textFill>
                  <w14:solidFill>
                    <w14:schemeClr w14:val="tx1"/>
                  </w14:solidFill>
                </w14:textFill>
              </w:rPr>
            </w:pPr>
          </w:p>
        </w:tc>
      </w:tr>
      <w:tr>
        <w:tblPrEx>
          <w:tblCellMar>
            <w:top w:w="0" w:type="dxa"/>
            <w:left w:w="0" w:type="dxa"/>
            <w:bottom w:w="0" w:type="dxa"/>
            <w:right w:w="0" w:type="dxa"/>
          </w:tblCellMar>
        </w:tblPrEx>
        <w:trPr>
          <w:trHeight w:val="260" w:hRule="atLeast"/>
          <w:jc w:val="center"/>
        </w:trPr>
        <w:tc>
          <w:tcPr>
            <w:tcW w:w="833" w:type="pct"/>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bottom"/>
          </w:tcPr>
          <w:p>
            <w:pPr>
              <w:widowControl/>
              <w:jc w:val="left"/>
              <w:textAlignment w:val="bottom"/>
              <w:rPr>
                <w:rFonts w:ascii="Garamond" w:hAnsi="Garamond" w:cs="Arial"/>
                <w:color w:val="000000" w:themeColor="text1"/>
                <w:szCs w:val="21"/>
                <w:highlight w:val="none"/>
                <w14:textFill>
                  <w14:solidFill>
                    <w14:schemeClr w14:val="tx1"/>
                  </w14:solidFill>
                </w14:textFill>
              </w:rPr>
            </w:pPr>
            <w:r>
              <w:rPr>
                <w:rFonts w:ascii="Garamond" w:hAnsi="Garamond" w:cs="Arial"/>
                <w:color w:val="000000" w:themeColor="text1"/>
                <w:kern w:val="0"/>
                <w:szCs w:val="21"/>
                <w:highlight w:val="none"/>
                <w14:textFill>
                  <w14:solidFill>
                    <w14:schemeClr w14:val="tx1"/>
                  </w14:solidFill>
                </w14:textFill>
              </w:rPr>
              <w:t>联系电话：</w:t>
            </w:r>
          </w:p>
        </w:tc>
        <w:tc>
          <w:tcPr>
            <w:tcW w:w="833" w:type="pct"/>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bottom"/>
          </w:tcPr>
          <w:p>
            <w:pPr>
              <w:widowControl/>
              <w:jc w:val="left"/>
              <w:rPr>
                <w:rFonts w:ascii="Garamond" w:hAnsi="Garamond" w:cs="Arial"/>
                <w:color w:val="000000" w:themeColor="text1"/>
                <w:szCs w:val="21"/>
                <w:highlight w:val="none"/>
                <w14:textFill>
                  <w14:solidFill>
                    <w14:schemeClr w14:val="tx1"/>
                  </w14:solidFill>
                </w14:textFill>
              </w:rPr>
            </w:pPr>
          </w:p>
        </w:tc>
        <w:tc>
          <w:tcPr>
            <w:tcW w:w="833" w:type="pct"/>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bottom"/>
          </w:tcPr>
          <w:p>
            <w:pPr>
              <w:widowControl/>
              <w:jc w:val="left"/>
              <w:textAlignment w:val="bottom"/>
              <w:rPr>
                <w:rFonts w:ascii="Garamond" w:hAnsi="Garamond" w:cs="Arial"/>
                <w:color w:val="000000" w:themeColor="text1"/>
                <w:szCs w:val="21"/>
                <w:highlight w:val="none"/>
                <w14:textFill>
                  <w14:solidFill>
                    <w14:schemeClr w14:val="tx1"/>
                  </w14:solidFill>
                </w14:textFill>
              </w:rPr>
            </w:pPr>
            <w:r>
              <w:rPr>
                <w:rFonts w:ascii="Garamond" w:hAnsi="Garamond" w:cs="Arial"/>
                <w:color w:val="000000" w:themeColor="text1"/>
                <w:kern w:val="0"/>
                <w:szCs w:val="21"/>
                <w:highlight w:val="none"/>
                <w14:textFill>
                  <w14:solidFill>
                    <w14:schemeClr w14:val="tx1"/>
                  </w14:solidFill>
                </w14:textFill>
              </w:rPr>
              <w:t>传真：</w:t>
            </w:r>
          </w:p>
        </w:tc>
        <w:tc>
          <w:tcPr>
            <w:tcW w:w="2500" w:type="pct"/>
            <w:gridSpan w:val="3"/>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bottom"/>
          </w:tcPr>
          <w:p>
            <w:pPr>
              <w:widowControl/>
              <w:jc w:val="left"/>
              <w:rPr>
                <w:rFonts w:ascii="Garamond" w:hAnsi="Garamond" w:cs="Arial"/>
                <w:color w:val="000000" w:themeColor="text1"/>
                <w:szCs w:val="21"/>
                <w:highlight w:val="none"/>
                <w14:textFill>
                  <w14:solidFill>
                    <w14:schemeClr w14:val="tx1"/>
                  </w14:solidFill>
                </w14:textFill>
              </w:rPr>
            </w:pPr>
          </w:p>
        </w:tc>
      </w:tr>
      <w:tr>
        <w:tblPrEx>
          <w:tblCellMar>
            <w:top w:w="0" w:type="dxa"/>
            <w:left w:w="0" w:type="dxa"/>
            <w:bottom w:w="0" w:type="dxa"/>
            <w:right w:w="0" w:type="dxa"/>
          </w:tblCellMar>
        </w:tblPrEx>
        <w:trPr>
          <w:trHeight w:val="260" w:hRule="atLeast"/>
          <w:jc w:val="center"/>
        </w:trPr>
        <w:tc>
          <w:tcPr>
            <w:tcW w:w="833" w:type="pct"/>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bottom"/>
          </w:tcPr>
          <w:p>
            <w:pPr>
              <w:widowControl/>
              <w:jc w:val="left"/>
              <w:textAlignment w:val="bottom"/>
              <w:rPr>
                <w:rFonts w:ascii="Garamond" w:hAnsi="Garamond" w:cs="Arial"/>
                <w:color w:val="000000" w:themeColor="text1"/>
                <w:szCs w:val="21"/>
                <w:highlight w:val="none"/>
                <w14:textFill>
                  <w14:solidFill>
                    <w14:schemeClr w14:val="tx1"/>
                  </w14:solidFill>
                </w14:textFill>
              </w:rPr>
            </w:pPr>
            <w:r>
              <w:rPr>
                <w:rFonts w:ascii="Garamond" w:hAnsi="Garamond" w:cs="Arial"/>
                <w:color w:val="000000" w:themeColor="text1"/>
                <w:kern w:val="0"/>
                <w:szCs w:val="21"/>
                <w:highlight w:val="none"/>
                <w14:textFill>
                  <w14:solidFill>
                    <w14:schemeClr w14:val="tx1"/>
                  </w14:solidFill>
                </w14:textFill>
              </w:rPr>
              <w:t>法人代表姓名：</w:t>
            </w:r>
          </w:p>
        </w:tc>
        <w:tc>
          <w:tcPr>
            <w:tcW w:w="833" w:type="pct"/>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bottom"/>
          </w:tcPr>
          <w:p>
            <w:pPr>
              <w:widowControl/>
              <w:jc w:val="left"/>
              <w:rPr>
                <w:rFonts w:ascii="Garamond" w:hAnsi="Garamond" w:cs="宋体"/>
                <w:color w:val="000000" w:themeColor="text1"/>
                <w:szCs w:val="21"/>
                <w:highlight w:val="none"/>
                <w14:textFill>
                  <w14:solidFill>
                    <w14:schemeClr w14:val="tx1"/>
                  </w14:solidFill>
                </w14:textFill>
              </w:rPr>
            </w:pPr>
          </w:p>
        </w:tc>
        <w:tc>
          <w:tcPr>
            <w:tcW w:w="833" w:type="pct"/>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bottom"/>
          </w:tcPr>
          <w:p>
            <w:pPr>
              <w:widowControl/>
              <w:jc w:val="left"/>
              <w:textAlignment w:val="bottom"/>
              <w:rPr>
                <w:rFonts w:ascii="Garamond" w:hAnsi="Garamond" w:cs="Arial"/>
                <w:color w:val="000000" w:themeColor="text1"/>
                <w:szCs w:val="21"/>
                <w:highlight w:val="none"/>
                <w14:textFill>
                  <w14:solidFill>
                    <w14:schemeClr w14:val="tx1"/>
                  </w14:solidFill>
                </w14:textFill>
              </w:rPr>
            </w:pPr>
            <w:r>
              <w:rPr>
                <w:rFonts w:ascii="Garamond" w:hAnsi="Garamond" w:cs="Arial"/>
                <w:color w:val="000000" w:themeColor="text1"/>
                <w:kern w:val="0"/>
                <w:szCs w:val="21"/>
                <w:highlight w:val="none"/>
                <w14:textFill>
                  <w14:solidFill>
                    <w14:schemeClr w14:val="tx1"/>
                  </w14:solidFill>
                </w14:textFill>
              </w:rPr>
              <w:t>职务：</w:t>
            </w:r>
          </w:p>
        </w:tc>
        <w:tc>
          <w:tcPr>
            <w:tcW w:w="833" w:type="pct"/>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bottom"/>
          </w:tcPr>
          <w:p>
            <w:pPr>
              <w:widowControl/>
              <w:jc w:val="left"/>
              <w:rPr>
                <w:rFonts w:ascii="Garamond" w:hAnsi="Garamond" w:cs="Arial"/>
                <w:color w:val="000000" w:themeColor="text1"/>
                <w:szCs w:val="21"/>
                <w:highlight w:val="none"/>
                <w14:textFill>
                  <w14:solidFill>
                    <w14:schemeClr w14:val="tx1"/>
                  </w14:solidFill>
                </w14:textFill>
              </w:rPr>
            </w:pPr>
          </w:p>
        </w:tc>
        <w:tc>
          <w:tcPr>
            <w:tcW w:w="833" w:type="pct"/>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bottom"/>
          </w:tcPr>
          <w:p>
            <w:pPr>
              <w:widowControl/>
              <w:jc w:val="left"/>
              <w:textAlignment w:val="bottom"/>
              <w:rPr>
                <w:rFonts w:ascii="Garamond" w:hAnsi="Garamond" w:cs="Arial"/>
                <w:color w:val="000000" w:themeColor="text1"/>
                <w:szCs w:val="21"/>
                <w:highlight w:val="none"/>
                <w14:textFill>
                  <w14:solidFill>
                    <w14:schemeClr w14:val="tx1"/>
                  </w14:solidFill>
                </w14:textFill>
              </w:rPr>
            </w:pPr>
            <w:r>
              <w:rPr>
                <w:rFonts w:ascii="Garamond" w:hAnsi="Garamond" w:cs="Arial"/>
                <w:color w:val="000000" w:themeColor="text1"/>
                <w:kern w:val="0"/>
                <w:szCs w:val="21"/>
                <w:highlight w:val="none"/>
                <w14:textFill>
                  <w14:solidFill>
                    <w14:schemeClr w14:val="tx1"/>
                  </w14:solidFill>
                </w14:textFill>
              </w:rPr>
              <w:t>联系电话：</w:t>
            </w:r>
          </w:p>
        </w:tc>
        <w:tc>
          <w:tcPr>
            <w:tcW w:w="833" w:type="pct"/>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bottom"/>
          </w:tcPr>
          <w:p>
            <w:pPr>
              <w:widowControl/>
              <w:jc w:val="left"/>
              <w:rPr>
                <w:rFonts w:ascii="Garamond" w:hAnsi="Garamond" w:cs="Arial"/>
                <w:color w:val="000000" w:themeColor="text1"/>
                <w:szCs w:val="21"/>
                <w:highlight w:val="none"/>
                <w14:textFill>
                  <w14:solidFill>
                    <w14:schemeClr w14:val="tx1"/>
                  </w14:solidFill>
                </w14:textFill>
              </w:rPr>
            </w:pPr>
          </w:p>
        </w:tc>
      </w:tr>
      <w:tr>
        <w:tblPrEx>
          <w:tblCellMar>
            <w:top w:w="0" w:type="dxa"/>
            <w:left w:w="0" w:type="dxa"/>
            <w:bottom w:w="0" w:type="dxa"/>
            <w:right w:w="0" w:type="dxa"/>
          </w:tblCellMar>
        </w:tblPrEx>
        <w:trPr>
          <w:trHeight w:val="260" w:hRule="atLeast"/>
          <w:jc w:val="center"/>
        </w:trPr>
        <w:tc>
          <w:tcPr>
            <w:tcW w:w="833" w:type="pct"/>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bottom"/>
          </w:tcPr>
          <w:p>
            <w:pPr>
              <w:widowControl/>
              <w:jc w:val="left"/>
              <w:textAlignment w:val="bottom"/>
              <w:rPr>
                <w:rFonts w:ascii="Garamond" w:hAnsi="Garamond" w:cs="Arial"/>
                <w:color w:val="000000" w:themeColor="text1"/>
                <w:szCs w:val="21"/>
                <w:highlight w:val="none"/>
                <w14:textFill>
                  <w14:solidFill>
                    <w14:schemeClr w14:val="tx1"/>
                  </w14:solidFill>
                </w14:textFill>
              </w:rPr>
            </w:pPr>
            <w:r>
              <w:rPr>
                <w:rFonts w:ascii="Garamond" w:hAnsi="Garamond" w:cs="Arial"/>
                <w:color w:val="000000" w:themeColor="text1"/>
                <w:kern w:val="0"/>
                <w:szCs w:val="21"/>
                <w:highlight w:val="none"/>
                <w14:textFill>
                  <w14:solidFill>
                    <w14:schemeClr w14:val="tx1"/>
                  </w14:solidFill>
                </w14:textFill>
              </w:rPr>
              <w:t>技术负责人姓名：</w:t>
            </w:r>
          </w:p>
        </w:tc>
        <w:tc>
          <w:tcPr>
            <w:tcW w:w="833" w:type="pct"/>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bottom"/>
          </w:tcPr>
          <w:p>
            <w:pPr>
              <w:widowControl/>
              <w:jc w:val="left"/>
              <w:rPr>
                <w:rFonts w:ascii="Garamond" w:hAnsi="Garamond" w:cs="宋体"/>
                <w:color w:val="000000" w:themeColor="text1"/>
                <w:szCs w:val="21"/>
                <w:highlight w:val="none"/>
                <w14:textFill>
                  <w14:solidFill>
                    <w14:schemeClr w14:val="tx1"/>
                  </w14:solidFill>
                </w14:textFill>
              </w:rPr>
            </w:pPr>
          </w:p>
        </w:tc>
        <w:tc>
          <w:tcPr>
            <w:tcW w:w="833" w:type="pct"/>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bottom"/>
          </w:tcPr>
          <w:p>
            <w:pPr>
              <w:widowControl/>
              <w:jc w:val="left"/>
              <w:textAlignment w:val="bottom"/>
              <w:rPr>
                <w:rFonts w:ascii="Garamond" w:hAnsi="Garamond" w:cs="Arial"/>
                <w:color w:val="000000" w:themeColor="text1"/>
                <w:szCs w:val="21"/>
                <w:highlight w:val="none"/>
                <w14:textFill>
                  <w14:solidFill>
                    <w14:schemeClr w14:val="tx1"/>
                  </w14:solidFill>
                </w14:textFill>
              </w:rPr>
            </w:pPr>
            <w:r>
              <w:rPr>
                <w:rFonts w:ascii="Garamond" w:hAnsi="Garamond" w:cs="Arial"/>
                <w:color w:val="000000" w:themeColor="text1"/>
                <w:kern w:val="0"/>
                <w:szCs w:val="21"/>
                <w:highlight w:val="none"/>
                <w14:textFill>
                  <w14:solidFill>
                    <w14:schemeClr w14:val="tx1"/>
                  </w14:solidFill>
                </w14:textFill>
              </w:rPr>
              <w:t>技术负责人职务：</w:t>
            </w:r>
          </w:p>
        </w:tc>
        <w:tc>
          <w:tcPr>
            <w:tcW w:w="833" w:type="pct"/>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bottom"/>
          </w:tcPr>
          <w:p>
            <w:pPr>
              <w:widowControl/>
              <w:jc w:val="left"/>
              <w:rPr>
                <w:rFonts w:ascii="Garamond" w:hAnsi="Garamond" w:cs="Arial"/>
                <w:color w:val="000000" w:themeColor="text1"/>
                <w:szCs w:val="21"/>
                <w:highlight w:val="none"/>
                <w14:textFill>
                  <w14:solidFill>
                    <w14:schemeClr w14:val="tx1"/>
                  </w14:solidFill>
                </w14:textFill>
              </w:rPr>
            </w:pPr>
          </w:p>
        </w:tc>
        <w:tc>
          <w:tcPr>
            <w:tcW w:w="833" w:type="pct"/>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bottom"/>
          </w:tcPr>
          <w:p>
            <w:pPr>
              <w:widowControl/>
              <w:jc w:val="left"/>
              <w:textAlignment w:val="bottom"/>
              <w:rPr>
                <w:rFonts w:ascii="Garamond" w:hAnsi="Garamond" w:cs="Arial"/>
                <w:color w:val="000000" w:themeColor="text1"/>
                <w:szCs w:val="21"/>
                <w:highlight w:val="none"/>
                <w14:textFill>
                  <w14:solidFill>
                    <w14:schemeClr w14:val="tx1"/>
                  </w14:solidFill>
                </w14:textFill>
              </w:rPr>
            </w:pPr>
            <w:r>
              <w:rPr>
                <w:rFonts w:ascii="Garamond" w:hAnsi="Garamond" w:cs="Arial"/>
                <w:color w:val="000000" w:themeColor="text1"/>
                <w:kern w:val="0"/>
                <w:szCs w:val="21"/>
                <w:highlight w:val="none"/>
                <w14:textFill>
                  <w14:solidFill>
                    <w14:schemeClr w14:val="tx1"/>
                  </w14:solidFill>
                </w14:textFill>
              </w:rPr>
              <w:t>技术负责人电话：</w:t>
            </w:r>
          </w:p>
        </w:tc>
        <w:tc>
          <w:tcPr>
            <w:tcW w:w="833" w:type="pct"/>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bottom"/>
          </w:tcPr>
          <w:p>
            <w:pPr>
              <w:widowControl/>
              <w:jc w:val="left"/>
              <w:rPr>
                <w:rFonts w:ascii="Garamond" w:hAnsi="Garamond" w:cs="Arial"/>
                <w:color w:val="000000" w:themeColor="text1"/>
                <w:szCs w:val="21"/>
                <w:highlight w:val="none"/>
                <w14:textFill>
                  <w14:solidFill>
                    <w14:schemeClr w14:val="tx1"/>
                  </w14:solidFill>
                </w14:textFill>
              </w:rPr>
            </w:pPr>
          </w:p>
        </w:tc>
      </w:tr>
      <w:tr>
        <w:tblPrEx>
          <w:tblCellMar>
            <w:top w:w="0" w:type="dxa"/>
            <w:left w:w="0" w:type="dxa"/>
            <w:bottom w:w="0" w:type="dxa"/>
            <w:right w:w="0" w:type="dxa"/>
          </w:tblCellMar>
        </w:tblPrEx>
        <w:trPr>
          <w:trHeight w:val="260" w:hRule="atLeast"/>
          <w:jc w:val="center"/>
        </w:trPr>
        <w:tc>
          <w:tcPr>
            <w:tcW w:w="833" w:type="pct"/>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bottom"/>
          </w:tcPr>
          <w:p>
            <w:pPr>
              <w:widowControl/>
              <w:jc w:val="left"/>
              <w:textAlignment w:val="bottom"/>
              <w:rPr>
                <w:rFonts w:ascii="Garamond" w:hAnsi="Garamond" w:cs="Arial"/>
                <w:color w:val="000000" w:themeColor="text1"/>
                <w:szCs w:val="21"/>
                <w:highlight w:val="none"/>
                <w14:textFill>
                  <w14:solidFill>
                    <w14:schemeClr w14:val="tx1"/>
                  </w14:solidFill>
                </w14:textFill>
              </w:rPr>
            </w:pPr>
            <w:r>
              <w:rPr>
                <w:rFonts w:ascii="Garamond" w:hAnsi="Garamond" w:cs="Arial"/>
                <w:color w:val="000000" w:themeColor="text1"/>
                <w:kern w:val="0"/>
                <w:szCs w:val="21"/>
                <w:highlight w:val="none"/>
                <w14:textFill>
                  <w14:solidFill>
                    <w14:schemeClr w14:val="tx1"/>
                  </w14:solidFill>
                </w14:textFill>
              </w:rPr>
              <w:t>联系人姓名：</w:t>
            </w:r>
          </w:p>
        </w:tc>
        <w:tc>
          <w:tcPr>
            <w:tcW w:w="833" w:type="pct"/>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bottom"/>
          </w:tcPr>
          <w:p>
            <w:pPr>
              <w:widowControl/>
              <w:jc w:val="left"/>
              <w:rPr>
                <w:rFonts w:ascii="Garamond" w:hAnsi="Garamond" w:cs="Arial"/>
                <w:color w:val="000000" w:themeColor="text1"/>
                <w:szCs w:val="21"/>
                <w:highlight w:val="none"/>
                <w14:textFill>
                  <w14:solidFill>
                    <w14:schemeClr w14:val="tx1"/>
                  </w14:solidFill>
                </w14:textFill>
              </w:rPr>
            </w:pPr>
          </w:p>
        </w:tc>
        <w:tc>
          <w:tcPr>
            <w:tcW w:w="833" w:type="pct"/>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bottom"/>
          </w:tcPr>
          <w:p>
            <w:pPr>
              <w:widowControl/>
              <w:jc w:val="left"/>
              <w:textAlignment w:val="bottom"/>
              <w:rPr>
                <w:rFonts w:ascii="Garamond" w:hAnsi="Garamond" w:cs="Arial"/>
                <w:color w:val="000000" w:themeColor="text1"/>
                <w:szCs w:val="21"/>
                <w:highlight w:val="none"/>
                <w14:textFill>
                  <w14:solidFill>
                    <w14:schemeClr w14:val="tx1"/>
                  </w14:solidFill>
                </w14:textFill>
              </w:rPr>
            </w:pPr>
            <w:r>
              <w:rPr>
                <w:rFonts w:ascii="Garamond" w:hAnsi="Garamond" w:cs="Arial"/>
                <w:color w:val="000000" w:themeColor="text1"/>
                <w:kern w:val="0"/>
                <w:szCs w:val="21"/>
                <w:highlight w:val="none"/>
                <w14:textFill>
                  <w14:solidFill>
                    <w14:schemeClr w14:val="tx1"/>
                  </w14:solidFill>
                </w14:textFill>
              </w:rPr>
              <w:t>联系人职务：</w:t>
            </w:r>
          </w:p>
        </w:tc>
        <w:tc>
          <w:tcPr>
            <w:tcW w:w="833" w:type="pct"/>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bottom"/>
          </w:tcPr>
          <w:p>
            <w:pPr>
              <w:widowControl/>
              <w:jc w:val="left"/>
              <w:rPr>
                <w:rFonts w:ascii="Garamond" w:hAnsi="Garamond" w:cs="Arial"/>
                <w:color w:val="000000" w:themeColor="text1"/>
                <w:szCs w:val="21"/>
                <w:highlight w:val="none"/>
                <w14:textFill>
                  <w14:solidFill>
                    <w14:schemeClr w14:val="tx1"/>
                  </w14:solidFill>
                </w14:textFill>
              </w:rPr>
            </w:pPr>
          </w:p>
        </w:tc>
        <w:tc>
          <w:tcPr>
            <w:tcW w:w="833" w:type="pct"/>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bottom"/>
          </w:tcPr>
          <w:p>
            <w:pPr>
              <w:widowControl/>
              <w:jc w:val="left"/>
              <w:textAlignment w:val="bottom"/>
              <w:rPr>
                <w:rFonts w:ascii="Garamond" w:hAnsi="Garamond" w:cs="Arial"/>
                <w:color w:val="000000" w:themeColor="text1"/>
                <w:szCs w:val="21"/>
                <w:highlight w:val="none"/>
                <w14:textFill>
                  <w14:solidFill>
                    <w14:schemeClr w14:val="tx1"/>
                  </w14:solidFill>
                </w14:textFill>
              </w:rPr>
            </w:pPr>
            <w:r>
              <w:rPr>
                <w:rFonts w:ascii="Garamond" w:hAnsi="Garamond" w:cs="Arial"/>
                <w:color w:val="000000" w:themeColor="text1"/>
                <w:kern w:val="0"/>
                <w:szCs w:val="21"/>
                <w:highlight w:val="none"/>
                <w14:textFill>
                  <w14:solidFill>
                    <w14:schemeClr w14:val="tx1"/>
                  </w14:solidFill>
                </w14:textFill>
              </w:rPr>
              <w:t>联系人电话：</w:t>
            </w:r>
          </w:p>
        </w:tc>
        <w:tc>
          <w:tcPr>
            <w:tcW w:w="833" w:type="pct"/>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bottom"/>
          </w:tcPr>
          <w:p>
            <w:pPr>
              <w:widowControl/>
              <w:jc w:val="left"/>
              <w:rPr>
                <w:rFonts w:ascii="Garamond" w:hAnsi="Garamond" w:cs="Arial"/>
                <w:color w:val="000000" w:themeColor="text1"/>
                <w:szCs w:val="21"/>
                <w:highlight w:val="none"/>
                <w14:textFill>
                  <w14:solidFill>
                    <w14:schemeClr w14:val="tx1"/>
                  </w14:solidFill>
                </w14:textFill>
              </w:rPr>
            </w:pPr>
          </w:p>
        </w:tc>
      </w:tr>
      <w:tr>
        <w:tblPrEx>
          <w:tblCellMar>
            <w:top w:w="0" w:type="dxa"/>
            <w:left w:w="0" w:type="dxa"/>
            <w:bottom w:w="0" w:type="dxa"/>
            <w:right w:w="0" w:type="dxa"/>
          </w:tblCellMar>
        </w:tblPrEx>
        <w:trPr>
          <w:trHeight w:val="260" w:hRule="atLeast"/>
          <w:jc w:val="center"/>
        </w:trPr>
        <w:tc>
          <w:tcPr>
            <w:tcW w:w="833" w:type="pct"/>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bottom"/>
          </w:tcPr>
          <w:p>
            <w:pPr>
              <w:widowControl/>
              <w:jc w:val="left"/>
              <w:textAlignment w:val="bottom"/>
              <w:rPr>
                <w:rFonts w:ascii="Garamond" w:hAnsi="Garamond" w:cs="Arial"/>
                <w:color w:val="000000" w:themeColor="text1"/>
                <w:szCs w:val="21"/>
                <w:highlight w:val="none"/>
                <w14:textFill>
                  <w14:solidFill>
                    <w14:schemeClr w14:val="tx1"/>
                  </w14:solidFill>
                </w14:textFill>
              </w:rPr>
            </w:pPr>
            <w:r>
              <w:rPr>
                <w:rFonts w:ascii="Garamond" w:hAnsi="Garamond" w:cs="Arial"/>
                <w:color w:val="000000" w:themeColor="text1"/>
                <w:kern w:val="0"/>
                <w:szCs w:val="21"/>
                <w:highlight w:val="none"/>
                <w14:textFill>
                  <w14:solidFill>
                    <w14:schemeClr w14:val="tx1"/>
                  </w14:solidFill>
                </w14:textFill>
              </w:rPr>
              <w:t>联系人邮箱：</w:t>
            </w:r>
          </w:p>
        </w:tc>
        <w:tc>
          <w:tcPr>
            <w:tcW w:w="4166" w:type="pct"/>
            <w:gridSpan w:val="5"/>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bottom"/>
          </w:tcPr>
          <w:p>
            <w:pPr>
              <w:widowControl/>
              <w:jc w:val="left"/>
              <w:rPr>
                <w:rFonts w:ascii="Garamond" w:hAnsi="Garamond" w:cs="Arial"/>
                <w:color w:val="000000" w:themeColor="text1"/>
                <w:szCs w:val="21"/>
                <w:highlight w:val="none"/>
                <w14:textFill>
                  <w14:solidFill>
                    <w14:schemeClr w14:val="tx1"/>
                  </w14:solidFill>
                </w14:textFill>
              </w:rPr>
            </w:pPr>
          </w:p>
        </w:tc>
      </w:tr>
      <w:tr>
        <w:tblPrEx>
          <w:tblCellMar>
            <w:top w:w="0" w:type="dxa"/>
            <w:left w:w="0" w:type="dxa"/>
            <w:bottom w:w="0" w:type="dxa"/>
            <w:right w:w="0" w:type="dxa"/>
          </w:tblCellMar>
        </w:tblPrEx>
        <w:trPr>
          <w:trHeight w:val="260" w:hRule="atLeast"/>
          <w:jc w:val="center"/>
        </w:trPr>
        <w:tc>
          <w:tcPr>
            <w:tcW w:w="833" w:type="pct"/>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bottom"/>
          </w:tcPr>
          <w:p>
            <w:pPr>
              <w:widowControl/>
              <w:jc w:val="left"/>
              <w:textAlignment w:val="bottom"/>
              <w:rPr>
                <w:rFonts w:ascii="Garamond" w:hAnsi="Garamond" w:cs="Arial"/>
                <w:color w:val="000000" w:themeColor="text1"/>
                <w:szCs w:val="21"/>
                <w:highlight w:val="none"/>
                <w14:textFill>
                  <w14:solidFill>
                    <w14:schemeClr w14:val="tx1"/>
                  </w14:solidFill>
                </w14:textFill>
              </w:rPr>
            </w:pPr>
            <w:r>
              <w:rPr>
                <w:rFonts w:ascii="Garamond" w:hAnsi="Garamond" w:cs="Arial"/>
                <w:color w:val="000000" w:themeColor="text1"/>
                <w:kern w:val="0"/>
                <w:szCs w:val="21"/>
                <w:highlight w:val="none"/>
                <w14:textFill>
                  <w14:solidFill>
                    <w14:schemeClr w14:val="tx1"/>
                  </w14:solidFill>
                </w14:textFill>
              </w:rPr>
              <w:t>企业资质名称及等级：</w:t>
            </w:r>
          </w:p>
        </w:tc>
        <w:tc>
          <w:tcPr>
            <w:tcW w:w="833" w:type="pct"/>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bottom"/>
          </w:tcPr>
          <w:p>
            <w:pPr>
              <w:widowControl/>
              <w:jc w:val="left"/>
              <w:rPr>
                <w:rFonts w:ascii="Garamond" w:hAnsi="Garamond" w:cs="Arial"/>
                <w:color w:val="000000" w:themeColor="text1"/>
                <w:szCs w:val="21"/>
                <w:highlight w:val="none"/>
                <w14:textFill>
                  <w14:solidFill>
                    <w14:schemeClr w14:val="tx1"/>
                  </w14:solidFill>
                </w14:textFill>
              </w:rPr>
            </w:pPr>
          </w:p>
        </w:tc>
        <w:tc>
          <w:tcPr>
            <w:tcW w:w="833" w:type="pct"/>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bottom"/>
          </w:tcPr>
          <w:p>
            <w:pPr>
              <w:widowControl/>
              <w:jc w:val="left"/>
              <w:textAlignment w:val="bottom"/>
              <w:rPr>
                <w:rFonts w:ascii="Garamond" w:hAnsi="Garamond" w:cs="Arial"/>
                <w:color w:val="000000" w:themeColor="text1"/>
                <w:szCs w:val="21"/>
                <w:highlight w:val="none"/>
                <w14:textFill>
                  <w14:solidFill>
                    <w14:schemeClr w14:val="tx1"/>
                  </w14:solidFill>
                </w14:textFill>
              </w:rPr>
            </w:pPr>
            <w:r>
              <w:rPr>
                <w:rFonts w:ascii="Garamond" w:hAnsi="Garamond" w:cs="Arial"/>
                <w:color w:val="000000" w:themeColor="text1"/>
                <w:kern w:val="0"/>
                <w:szCs w:val="21"/>
                <w:highlight w:val="none"/>
                <w14:textFill>
                  <w14:solidFill>
                    <w14:schemeClr w14:val="tx1"/>
                  </w14:solidFill>
                </w14:textFill>
              </w:rPr>
              <w:t>企业资质证书号：</w:t>
            </w:r>
          </w:p>
        </w:tc>
        <w:tc>
          <w:tcPr>
            <w:tcW w:w="833" w:type="pct"/>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bottom"/>
          </w:tcPr>
          <w:p>
            <w:pPr>
              <w:widowControl/>
              <w:jc w:val="left"/>
              <w:rPr>
                <w:rFonts w:ascii="Garamond" w:hAnsi="Garamond" w:cs="Arial"/>
                <w:color w:val="000000" w:themeColor="text1"/>
                <w:szCs w:val="21"/>
                <w:highlight w:val="none"/>
                <w14:textFill>
                  <w14:solidFill>
                    <w14:schemeClr w14:val="tx1"/>
                  </w14:solidFill>
                </w14:textFill>
              </w:rPr>
            </w:pPr>
          </w:p>
        </w:tc>
        <w:tc>
          <w:tcPr>
            <w:tcW w:w="833" w:type="pct"/>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bottom"/>
          </w:tcPr>
          <w:p>
            <w:pPr>
              <w:widowControl/>
              <w:jc w:val="left"/>
              <w:textAlignment w:val="bottom"/>
              <w:rPr>
                <w:rFonts w:ascii="Garamond" w:hAnsi="Garamond" w:cs="Arial"/>
                <w:color w:val="000000" w:themeColor="text1"/>
                <w:szCs w:val="21"/>
                <w:highlight w:val="none"/>
                <w14:textFill>
                  <w14:solidFill>
                    <w14:schemeClr w14:val="tx1"/>
                  </w14:solidFill>
                </w14:textFill>
              </w:rPr>
            </w:pPr>
            <w:r>
              <w:rPr>
                <w:rFonts w:ascii="Garamond" w:hAnsi="Garamond" w:cs="Arial"/>
                <w:color w:val="000000" w:themeColor="text1"/>
                <w:kern w:val="0"/>
                <w:szCs w:val="21"/>
                <w:highlight w:val="none"/>
                <w14:textFill>
                  <w14:solidFill>
                    <w14:schemeClr w14:val="tx1"/>
                  </w14:solidFill>
                </w14:textFill>
              </w:rPr>
              <w:t>企业资质有效期：</w:t>
            </w:r>
          </w:p>
        </w:tc>
        <w:tc>
          <w:tcPr>
            <w:tcW w:w="833" w:type="pct"/>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bottom"/>
          </w:tcPr>
          <w:p>
            <w:pPr>
              <w:widowControl/>
              <w:jc w:val="left"/>
              <w:rPr>
                <w:rFonts w:ascii="Garamond" w:hAnsi="Garamond" w:cs="Arial"/>
                <w:color w:val="000000" w:themeColor="text1"/>
                <w:szCs w:val="21"/>
                <w:highlight w:val="none"/>
                <w14:textFill>
                  <w14:solidFill>
                    <w14:schemeClr w14:val="tx1"/>
                  </w14:solidFill>
                </w14:textFill>
              </w:rPr>
            </w:pPr>
          </w:p>
        </w:tc>
      </w:tr>
      <w:tr>
        <w:tblPrEx>
          <w:tblCellMar>
            <w:top w:w="0" w:type="dxa"/>
            <w:left w:w="0" w:type="dxa"/>
            <w:bottom w:w="0" w:type="dxa"/>
            <w:right w:w="0" w:type="dxa"/>
          </w:tblCellMar>
        </w:tblPrEx>
        <w:trPr>
          <w:trHeight w:val="520" w:hRule="atLeast"/>
          <w:jc w:val="center"/>
        </w:trPr>
        <w:tc>
          <w:tcPr>
            <w:tcW w:w="833" w:type="pct"/>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bottom"/>
          </w:tcPr>
          <w:p>
            <w:pPr>
              <w:widowControl/>
              <w:jc w:val="left"/>
              <w:textAlignment w:val="bottom"/>
              <w:rPr>
                <w:rFonts w:ascii="Garamond" w:hAnsi="Garamond" w:cs="Arial"/>
                <w:color w:val="000000" w:themeColor="text1"/>
                <w:szCs w:val="21"/>
                <w:highlight w:val="none"/>
                <w14:textFill>
                  <w14:solidFill>
                    <w14:schemeClr w14:val="tx1"/>
                  </w14:solidFill>
                </w14:textFill>
              </w:rPr>
            </w:pPr>
            <w:r>
              <w:rPr>
                <w:rFonts w:ascii="Garamond" w:hAnsi="Garamond" w:cs="Arial"/>
                <w:color w:val="000000" w:themeColor="text1"/>
                <w:kern w:val="0"/>
                <w:szCs w:val="21"/>
                <w:highlight w:val="none"/>
                <w14:textFill>
                  <w14:solidFill>
                    <w14:schemeClr w14:val="tx1"/>
                  </w14:solidFill>
                </w14:textFill>
              </w:rPr>
              <w:t>安全许可证证书编号：</w:t>
            </w:r>
          </w:p>
        </w:tc>
        <w:tc>
          <w:tcPr>
            <w:tcW w:w="2500" w:type="pct"/>
            <w:gridSpan w:val="3"/>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bottom"/>
          </w:tcPr>
          <w:p>
            <w:pPr>
              <w:widowControl/>
              <w:jc w:val="left"/>
              <w:rPr>
                <w:rFonts w:ascii="Garamond" w:hAnsi="Garamond" w:cs="Arial"/>
                <w:color w:val="000000" w:themeColor="text1"/>
                <w:szCs w:val="21"/>
                <w:highlight w:val="none"/>
                <w14:textFill>
                  <w14:solidFill>
                    <w14:schemeClr w14:val="tx1"/>
                  </w14:solidFill>
                </w14:textFill>
              </w:rPr>
            </w:pPr>
          </w:p>
        </w:tc>
        <w:tc>
          <w:tcPr>
            <w:tcW w:w="833" w:type="pct"/>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bottom"/>
          </w:tcPr>
          <w:p>
            <w:pPr>
              <w:widowControl/>
              <w:jc w:val="left"/>
              <w:textAlignment w:val="bottom"/>
              <w:rPr>
                <w:rFonts w:ascii="Garamond" w:hAnsi="Garamond" w:cs="Arial"/>
                <w:color w:val="000000" w:themeColor="text1"/>
                <w:szCs w:val="21"/>
                <w:highlight w:val="none"/>
                <w14:textFill>
                  <w14:solidFill>
                    <w14:schemeClr w14:val="tx1"/>
                  </w14:solidFill>
                </w14:textFill>
              </w:rPr>
            </w:pPr>
            <w:r>
              <w:rPr>
                <w:rFonts w:ascii="Garamond" w:hAnsi="Garamond" w:cs="Arial"/>
                <w:color w:val="000000" w:themeColor="text1"/>
                <w:kern w:val="0"/>
                <w:szCs w:val="21"/>
                <w:highlight w:val="none"/>
                <w14:textFill>
                  <w14:solidFill>
                    <w14:schemeClr w14:val="tx1"/>
                  </w14:solidFill>
                </w14:textFill>
              </w:rPr>
              <w:t>安全许可证证书有效期：</w:t>
            </w:r>
          </w:p>
        </w:tc>
        <w:tc>
          <w:tcPr>
            <w:tcW w:w="833" w:type="pct"/>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bottom"/>
          </w:tcPr>
          <w:p>
            <w:pPr>
              <w:widowControl/>
              <w:jc w:val="left"/>
              <w:rPr>
                <w:rFonts w:ascii="Garamond" w:hAnsi="Garamond" w:cs="Arial"/>
                <w:color w:val="000000" w:themeColor="text1"/>
                <w:szCs w:val="21"/>
                <w:highlight w:val="none"/>
                <w14:textFill>
                  <w14:solidFill>
                    <w14:schemeClr w14:val="tx1"/>
                  </w14:solidFill>
                </w14:textFill>
              </w:rPr>
            </w:pPr>
          </w:p>
        </w:tc>
      </w:tr>
      <w:tr>
        <w:tblPrEx>
          <w:tblCellMar>
            <w:top w:w="0" w:type="dxa"/>
            <w:left w:w="0" w:type="dxa"/>
            <w:bottom w:w="0" w:type="dxa"/>
            <w:right w:w="0" w:type="dxa"/>
          </w:tblCellMar>
        </w:tblPrEx>
        <w:trPr>
          <w:trHeight w:val="260" w:hRule="atLeast"/>
          <w:jc w:val="center"/>
        </w:trPr>
        <w:tc>
          <w:tcPr>
            <w:tcW w:w="833" w:type="pct"/>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bottom"/>
          </w:tcPr>
          <w:p>
            <w:pPr>
              <w:widowControl/>
              <w:jc w:val="left"/>
              <w:textAlignment w:val="bottom"/>
              <w:rPr>
                <w:rFonts w:ascii="Garamond" w:hAnsi="Garamond" w:cs="Arial"/>
                <w:color w:val="000000" w:themeColor="text1"/>
                <w:szCs w:val="21"/>
                <w:highlight w:val="none"/>
                <w14:textFill>
                  <w14:solidFill>
                    <w14:schemeClr w14:val="tx1"/>
                  </w14:solidFill>
                </w14:textFill>
              </w:rPr>
            </w:pPr>
            <w:r>
              <w:rPr>
                <w:rFonts w:ascii="Garamond" w:hAnsi="Garamond" w:cs="Arial"/>
                <w:color w:val="000000" w:themeColor="text1"/>
                <w:kern w:val="0"/>
                <w:szCs w:val="21"/>
                <w:highlight w:val="none"/>
                <w14:textFill>
                  <w14:solidFill>
                    <w14:schemeClr w14:val="tx1"/>
                  </w14:solidFill>
                </w14:textFill>
              </w:rPr>
              <w:t>基本户开户行：</w:t>
            </w:r>
          </w:p>
        </w:tc>
        <w:tc>
          <w:tcPr>
            <w:tcW w:w="2500" w:type="pct"/>
            <w:gridSpan w:val="3"/>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bottom"/>
          </w:tcPr>
          <w:p>
            <w:pPr>
              <w:widowControl/>
              <w:jc w:val="left"/>
              <w:rPr>
                <w:rFonts w:ascii="Garamond" w:hAnsi="Garamond" w:cs="Arial"/>
                <w:color w:val="000000" w:themeColor="text1"/>
                <w:szCs w:val="21"/>
                <w:highlight w:val="none"/>
                <w14:textFill>
                  <w14:solidFill>
                    <w14:schemeClr w14:val="tx1"/>
                  </w14:solidFill>
                </w14:textFill>
              </w:rPr>
            </w:pPr>
          </w:p>
        </w:tc>
        <w:tc>
          <w:tcPr>
            <w:tcW w:w="833" w:type="pct"/>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bottom"/>
          </w:tcPr>
          <w:p>
            <w:pPr>
              <w:widowControl/>
              <w:jc w:val="left"/>
              <w:textAlignment w:val="bottom"/>
              <w:rPr>
                <w:rFonts w:ascii="Garamond" w:hAnsi="Garamond" w:cs="Arial"/>
                <w:color w:val="000000" w:themeColor="text1"/>
                <w:szCs w:val="21"/>
                <w:highlight w:val="none"/>
                <w14:textFill>
                  <w14:solidFill>
                    <w14:schemeClr w14:val="tx1"/>
                  </w14:solidFill>
                </w14:textFill>
              </w:rPr>
            </w:pPr>
            <w:r>
              <w:rPr>
                <w:rFonts w:ascii="Garamond" w:hAnsi="Garamond" w:cs="Arial"/>
                <w:color w:val="000000" w:themeColor="text1"/>
                <w:kern w:val="0"/>
                <w:szCs w:val="21"/>
                <w:highlight w:val="none"/>
                <w14:textFill>
                  <w14:solidFill>
                    <w14:schemeClr w14:val="tx1"/>
                  </w14:solidFill>
                </w14:textFill>
              </w:rPr>
              <w:t>基本户户名：</w:t>
            </w:r>
          </w:p>
        </w:tc>
        <w:tc>
          <w:tcPr>
            <w:tcW w:w="833" w:type="pct"/>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bottom"/>
          </w:tcPr>
          <w:p>
            <w:pPr>
              <w:widowControl/>
              <w:jc w:val="left"/>
              <w:rPr>
                <w:rFonts w:ascii="Garamond" w:hAnsi="Garamond" w:cs="Arial"/>
                <w:color w:val="000000" w:themeColor="text1"/>
                <w:szCs w:val="21"/>
                <w:highlight w:val="none"/>
                <w14:textFill>
                  <w14:solidFill>
                    <w14:schemeClr w14:val="tx1"/>
                  </w14:solidFill>
                </w14:textFill>
              </w:rPr>
            </w:pPr>
          </w:p>
        </w:tc>
      </w:tr>
      <w:tr>
        <w:tblPrEx>
          <w:tblCellMar>
            <w:top w:w="0" w:type="dxa"/>
            <w:left w:w="0" w:type="dxa"/>
            <w:bottom w:w="0" w:type="dxa"/>
            <w:right w:w="0" w:type="dxa"/>
          </w:tblCellMar>
        </w:tblPrEx>
        <w:trPr>
          <w:trHeight w:val="260" w:hRule="atLeast"/>
          <w:jc w:val="center"/>
        </w:trPr>
        <w:tc>
          <w:tcPr>
            <w:tcW w:w="833" w:type="pct"/>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bottom"/>
          </w:tcPr>
          <w:p>
            <w:pPr>
              <w:widowControl/>
              <w:jc w:val="left"/>
              <w:textAlignment w:val="bottom"/>
              <w:rPr>
                <w:rFonts w:ascii="Garamond" w:hAnsi="Garamond" w:cs="Arial"/>
                <w:color w:val="000000" w:themeColor="text1"/>
                <w:szCs w:val="21"/>
                <w:highlight w:val="none"/>
                <w14:textFill>
                  <w14:solidFill>
                    <w14:schemeClr w14:val="tx1"/>
                  </w14:solidFill>
                </w14:textFill>
              </w:rPr>
            </w:pPr>
            <w:r>
              <w:rPr>
                <w:rFonts w:ascii="Garamond" w:hAnsi="Garamond" w:cs="Arial"/>
                <w:color w:val="000000" w:themeColor="text1"/>
                <w:kern w:val="0"/>
                <w:szCs w:val="21"/>
                <w:highlight w:val="none"/>
                <w14:textFill>
                  <w14:solidFill>
                    <w14:schemeClr w14:val="tx1"/>
                  </w14:solidFill>
                </w14:textFill>
              </w:rPr>
              <w:t>基本户账号：</w:t>
            </w:r>
          </w:p>
        </w:tc>
        <w:tc>
          <w:tcPr>
            <w:tcW w:w="4166" w:type="pct"/>
            <w:gridSpan w:val="5"/>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bottom"/>
          </w:tcPr>
          <w:p>
            <w:pPr>
              <w:widowControl/>
              <w:jc w:val="left"/>
              <w:rPr>
                <w:rFonts w:ascii="Garamond" w:hAnsi="Garamond" w:cs="Arial"/>
                <w:color w:val="000000" w:themeColor="text1"/>
                <w:szCs w:val="21"/>
                <w:highlight w:val="none"/>
                <w14:textFill>
                  <w14:solidFill>
                    <w14:schemeClr w14:val="tx1"/>
                  </w14:solidFill>
                </w14:textFill>
              </w:rPr>
            </w:pPr>
          </w:p>
        </w:tc>
      </w:tr>
    </w:tbl>
    <w:p>
      <w:pPr>
        <w:rPr>
          <w:rFonts w:ascii="Garamond" w:hAnsi="Garamond"/>
          <w:color w:val="000000" w:themeColor="text1"/>
          <w:sz w:val="24"/>
          <w:highlight w:val="none"/>
          <w14:textFill>
            <w14:solidFill>
              <w14:schemeClr w14:val="tx1"/>
            </w14:solidFill>
          </w14:textFill>
        </w:rPr>
      </w:pPr>
    </w:p>
    <w:p>
      <w:pPr>
        <w:rPr>
          <w:rFonts w:ascii="Garamond" w:hAnsi="Garamond"/>
          <w:color w:val="000000" w:themeColor="text1"/>
          <w:szCs w:val="21"/>
          <w:highlight w:val="none"/>
          <w14:textFill>
            <w14:solidFill>
              <w14:schemeClr w14:val="tx1"/>
            </w14:solidFill>
          </w14:textFill>
        </w:rPr>
      </w:pPr>
    </w:p>
    <w:p>
      <w:pPr>
        <w:widowControl/>
        <w:jc w:val="left"/>
        <w:textAlignment w:val="bottom"/>
        <w:rPr>
          <w:rFonts w:ascii="Garamond" w:hAnsi="Garamond" w:cs="Arial"/>
          <w:color w:val="000000" w:themeColor="text1"/>
          <w:kern w:val="0"/>
          <w:szCs w:val="21"/>
          <w:highlight w:val="none"/>
          <w14:textFill>
            <w14:solidFill>
              <w14:schemeClr w14:val="tx1"/>
            </w14:solidFill>
          </w14:textFill>
        </w:rPr>
      </w:pPr>
      <w:r>
        <w:rPr>
          <w:rFonts w:ascii="Garamond" w:hAnsi="Garamond" w:cs="Arial"/>
          <w:color w:val="000000" w:themeColor="text1"/>
          <w:kern w:val="0"/>
          <w:szCs w:val="21"/>
          <w:highlight w:val="none"/>
          <w14:textFill>
            <w14:solidFill>
              <w14:schemeClr w14:val="tx1"/>
            </w14:solidFill>
          </w14:textFill>
        </w:rPr>
        <w:t>注：</w:t>
      </w:r>
    </w:p>
    <w:p>
      <w:pPr>
        <w:widowControl/>
        <w:jc w:val="left"/>
        <w:textAlignment w:val="bottom"/>
        <w:rPr>
          <w:rFonts w:ascii="Garamond" w:hAnsi="Garamond" w:cs="Arial"/>
          <w:color w:val="000000" w:themeColor="text1"/>
          <w:kern w:val="0"/>
          <w:szCs w:val="21"/>
          <w:highlight w:val="none"/>
          <w14:textFill>
            <w14:solidFill>
              <w14:schemeClr w14:val="tx1"/>
            </w14:solidFill>
          </w14:textFill>
        </w:rPr>
      </w:pPr>
      <w:r>
        <w:rPr>
          <w:rFonts w:ascii="Garamond" w:hAnsi="Garamond" w:cs="Arial"/>
          <w:color w:val="000000" w:themeColor="text1"/>
          <w:kern w:val="0"/>
          <w:szCs w:val="21"/>
          <w:highlight w:val="none"/>
          <w14:textFill>
            <w14:solidFill>
              <w14:schemeClr w14:val="tx1"/>
            </w14:solidFill>
          </w14:textFill>
        </w:rPr>
        <w:t xml:space="preserve">1.投标人所填写的“企业资质名称及等级、证书号、有效期”等投标人基本信息应至少对应本项目资格审查要求，否则不能通过资格审查。 </w:t>
      </w:r>
    </w:p>
    <w:p>
      <w:pPr>
        <w:widowControl/>
        <w:jc w:val="left"/>
        <w:textAlignment w:val="bottom"/>
        <w:rPr>
          <w:rFonts w:ascii="Garamond" w:hAnsi="Garamond" w:cs="Arial"/>
          <w:color w:val="000000" w:themeColor="text1"/>
          <w:kern w:val="0"/>
          <w:szCs w:val="21"/>
          <w:highlight w:val="none"/>
          <w14:textFill>
            <w14:solidFill>
              <w14:schemeClr w14:val="tx1"/>
            </w14:solidFill>
          </w14:textFill>
        </w:rPr>
      </w:pPr>
      <w:r>
        <w:rPr>
          <w:rFonts w:ascii="Garamond" w:hAnsi="Garamond" w:cs="Arial"/>
          <w:color w:val="000000" w:themeColor="text1"/>
          <w:kern w:val="0"/>
          <w:szCs w:val="21"/>
          <w:highlight w:val="none"/>
          <w14:textFill>
            <w14:solidFill>
              <w14:schemeClr w14:val="tx1"/>
            </w14:solidFill>
          </w14:textFill>
        </w:rPr>
        <w:t>2.本表后附如下资料至少包括以下：</w:t>
      </w:r>
    </w:p>
    <w:p>
      <w:pPr>
        <w:widowControl/>
        <w:jc w:val="left"/>
        <w:textAlignment w:val="bottom"/>
        <w:rPr>
          <w:rFonts w:ascii="Garamond" w:hAnsi="Garamond" w:cs="Arial"/>
          <w:color w:val="000000" w:themeColor="text1"/>
          <w:kern w:val="0"/>
          <w:szCs w:val="21"/>
          <w:highlight w:val="none"/>
          <w14:textFill>
            <w14:solidFill>
              <w14:schemeClr w14:val="tx1"/>
            </w14:solidFill>
          </w14:textFill>
        </w:rPr>
      </w:pPr>
      <w:r>
        <w:rPr>
          <w:rFonts w:ascii="Garamond" w:hAnsi="Garamond" w:cs="Arial"/>
          <w:color w:val="000000" w:themeColor="text1"/>
          <w:kern w:val="0"/>
          <w:szCs w:val="21"/>
          <w:highlight w:val="none"/>
          <w14:textFill>
            <w14:solidFill>
              <w14:schemeClr w14:val="tx1"/>
            </w14:solidFill>
          </w14:textFill>
        </w:rPr>
        <w:t>（1）投标人的具有有效营业执照或事业单位法人登记证书、</w:t>
      </w:r>
      <w:r>
        <w:rPr>
          <w:rFonts w:hint="eastAsia" w:ascii="Garamond" w:hAnsi="Garamond" w:cs="Arial"/>
          <w:color w:val="000000" w:themeColor="text1"/>
          <w:kern w:val="0"/>
          <w:szCs w:val="21"/>
          <w:highlight w:val="none"/>
          <w14:textFill>
            <w14:solidFill>
              <w14:schemeClr w14:val="tx1"/>
            </w14:solidFill>
          </w14:textFill>
        </w:rPr>
        <w:t>具有有效的基本账户开户许可证（或基本存款账户信息）、</w:t>
      </w:r>
      <w:r>
        <w:rPr>
          <w:rFonts w:ascii="Garamond" w:hAnsi="Garamond" w:cs="Arial"/>
          <w:color w:val="000000" w:themeColor="text1"/>
          <w:kern w:val="0"/>
          <w:szCs w:val="21"/>
          <w:highlight w:val="none"/>
          <w14:textFill>
            <w14:solidFill>
              <w14:schemeClr w14:val="tx1"/>
            </w14:solidFill>
          </w14:textFill>
        </w:rPr>
        <w:t xml:space="preserve">资质证书的彩色复印件或彩色扫描件。 </w:t>
      </w:r>
    </w:p>
    <w:p>
      <w:pPr>
        <w:widowControl/>
        <w:jc w:val="left"/>
        <w:textAlignment w:val="bottom"/>
        <w:rPr>
          <w:rFonts w:ascii="Garamond" w:hAnsi="Garamond" w:cs="Arial"/>
          <w:color w:val="000000" w:themeColor="text1"/>
          <w:kern w:val="0"/>
          <w:szCs w:val="21"/>
          <w:highlight w:val="none"/>
          <w14:textFill>
            <w14:solidFill>
              <w14:schemeClr w14:val="tx1"/>
            </w14:solidFill>
          </w14:textFill>
        </w:rPr>
      </w:pPr>
      <w:r>
        <w:rPr>
          <w:rFonts w:ascii="Garamond" w:hAnsi="Garamond" w:cs="Arial"/>
          <w:color w:val="000000" w:themeColor="text1"/>
          <w:kern w:val="0"/>
          <w:szCs w:val="21"/>
          <w:highlight w:val="none"/>
          <w14:textFill>
            <w14:solidFill>
              <w14:schemeClr w14:val="tx1"/>
            </w14:solidFill>
          </w14:textFill>
        </w:rPr>
        <w:t xml:space="preserve">（2）在“信用中国”网站（http://www.creditchina.gov.cn/）查询的投标人信用情况截图。 </w:t>
      </w:r>
    </w:p>
    <w:p>
      <w:pPr>
        <w:widowControl/>
        <w:jc w:val="left"/>
        <w:textAlignment w:val="bottom"/>
        <w:rPr>
          <w:rFonts w:ascii="Garamond" w:hAnsi="Garamond" w:cs="Arial"/>
          <w:color w:val="000000" w:themeColor="text1"/>
          <w:kern w:val="0"/>
          <w:szCs w:val="21"/>
          <w:highlight w:val="none"/>
          <w14:textFill>
            <w14:solidFill>
              <w14:schemeClr w14:val="tx1"/>
            </w14:solidFill>
          </w14:textFill>
        </w:rPr>
      </w:pPr>
      <w:r>
        <w:rPr>
          <w:rFonts w:ascii="Garamond" w:hAnsi="Garamond" w:cs="Arial"/>
          <w:color w:val="000000" w:themeColor="text1"/>
          <w:kern w:val="0"/>
          <w:szCs w:val="21"/>
          <w:highlight w:val="none"/>
          <w14:textFill>
            <w14:solidFill>
              <w14:schemeClr w14:val="tx1"/>
            </w14:solidFill>
          </w14:textFill>
        </w:rPr>
        <w:t xml:space="preserve">（3）在国家企业信用信息公示系统（http://www.gxt.gov.cn/）查询的投标人信用情况截图。 </w:t>
      </w:r>
    </w:p>
    <w:p>
      <w:pPr>
        <w:rPr>
          <w:rFonts w:ascii="Garamond" w:hAnsi="Garamond"/>
          <w:b/>
          <w:bCs/>
          <w:color w:val="000000" w:themeColor="text1"/>
          <w:sz w:val="24"/>
          <w:highlight w:val="none"/>
          <w:u w:val="single"/>
          <w14:textFill>
            <w14:solidFill>
              <w14:schemeClr w14:val="tx1"/>
            </w14:solidFill>
          </w14:textFill>
        </w:rPr>
      </w:pPr>
    </w:p>
    <w:p>
      <w:pPr>
        <w:rPr>
          <w:rFonts w:ascii="Garamond" w:hAnsi="Garamond"/>
          <w:b/>
          <w:bCs/>
          <w:color w:val="000000" w:themeColor="text1"/>
          <w:sz w:val="24"/>
          <w:highlight w:val="none"/>
          <w:u w:val="single"/>
          <w14:textFill>
            <w14:solidFill>
              <w14:schemeClr w14:val="tx1"/>
            </w14:solidFill>
          </w14:textFill>
        </w:rPr>
      </w:pPr>
    </w:p>
    <w:p>
      <w:pPr>
        <w:pStyle w:val="5"/>
        <w:rPr>
          <w:color w:val="000000" w:themeColor="text1"/>
          <w:highlight w:val="none"/>
          <w14:textFill>
            <w14:solidFill>
              <w14:schemeClr w14:val="tx1"/>
            </w14:solidFill>
          </w14:textFill>
        </w:rPr>
      </w:pPr>
    </w:p>
    <w:p>
      <w:pPr>
        <w:rPr>
          <w:rFonts w:ascii="Garamond" w:hAnsi="Garamond"/>
          <w:b/>
          <w:bCs/>
          <w:color w:val="000000" w:themeColor="text1"/>
          <w:sz w:val="24"/>
          <w:highlight w:val="none"/>
          <w14:textFill>
            <w14:solidFill>
              <w14:schemeClr w14:val="tx1"/>
            </w14:solidFill>
          </w14:textFill>
        </w:rPr>
      </w:pPr>
      <w:r>
        <w:rPr>
          <w:rFonts w:ascii="Garamond" w:hAnsi="Garamond"/>
          <w:b/>
          <w:bCs/>
          <w:color w:val="000000" w:themeColor="text1"/>
          <w:sz w:val="24"/>
          <w:highlight w:val="none"/>
          <w14:textFill>
            <w14:solidFill>
              <w14:schemeClr w14:val="tx1"/>
            </w14:solidFill>
          </w14:textFill>
        </w:rPr>
        <w:br w:type="page"/>
      </w:r>
    </w:p>
    <w:p>
      <w:pPr>
        <w:ind w:firstLine="482"/>
        <w:jc w:val="center"/>
        <w:rPr>
          <w:rFonts w:ascii="Garamond" w:hAnsi="Garamond"/>
          <w:b/>
          <w:bCs/>
          <w:color w:val="000000" w:themeColor="text1"/>
          <w:sz w:val="24"/>
          <w:highlight w:val="none"/>
          <w14:textFill>
            <w14:solidFill>
              <w14:schemeClr w14:val="tx1"/>
            </w14:solidFill>
          </w14:textFill>
        </w:rPr>
      </w:pPr>
      <w:r>
        <w:rPr>
          <w:rFonts w:ascii="Garamond" w:hAnsi="Garamond"/>
          <w:b/>
          <w:bCs/>
          <w:color w:val="000000" w:themeColor="text1"/>
          <w:sz w:val="24"/>
          <w:highlight w:val="none"/>
          <w14:textFill>
            <w14:solidFill>
              <w14:schemeClr w14:val="tx1"/>
            </w14:solidFill>
          </w14:textFill>
        </w:rPr>
        <w:t>表</w:t>
      </w:r>
      <w:r>
        <w:rPr>
          <w:rFonts w:hint="eastAsia" w:ascii="Garamond" w:hAnsi="Garamond"/>
          <w:b/>
          <w:bCs/>
          <w:color w:val="000000" w:themeColor="text1"/>
          <w:sz w:val="24"/>
          <w:highlight w:val="none"/>
          <w14:textFill>
            <w14:solidFill>
              <w14:schemeClr w14:val="tx1"/>
            </w14:solidFill>
          </w14:textFill>
        </w:rPr>
        <w:t>2</w:t>
      </w:r>
      <w:r>
        <w:rPr>
          <w:rFonts w:ascii="Garamond" w:hAnsi="Garamond"/>
          <w:b/>
          <w:bCs/>
          <w:color w:val="000000" w:themeColor="text1"/>
          <w:sz w:val="24"/>
          <w:highlight w:val="none"/>
          <w14:textFill>
            <w14:solidFill>
              <w14:schemeClr w14:val="tx1"/>
            </w14:solidFill>
          </w14:textFill>
        </w:rPr>
        <w:t>拟投入本标段主要人员情况表</w:t>
      </w:r>
    </w:p>
    <w:tbl>
      <w:tblPr>
        <w:tblStyle w:val="44"/>
        <w:tblW w:w="4995" w:type="pct"/>
        <w:tblInd w:w="0" w:type="dxa"/>
        <w:tblLayout w:type="autofit"/>
        <w:tblCellMar>
          <w:top w:w="0" w:type="dxa"/>
          <w:left w:w="0" w:type="dxa"/>
          <w:bottom w:w="0" w:type="dxa"/>
          <w:right w:w="0" w:type="dxa"/>
        </w:tblCellMar>
      </w:tblPr>
      <w:tblGrid>
        <w:gridCol w:w="392"/>
        <w:gridCol w:w="1218"/>
        <w:gridCol w:w="392"/>
        <w:gridCol w:w="392"/>
        <w:gridCol w:w="609"/>
        <w:gridCol w:w="609"/>
        <w:gridCol w:w="609"/>
        <w:gridCol w:w="392"/>
        <w:gridCol w:w="1220"/>
        <w:gridCol w:w="855"/>
        <w:gridCol w:w="855"/>
        <w:gridCol w:w="855"/>
        <w:gridCol w:w="855"/>
      </w:tblGrid>
      <w:tr>
        <w:tblPrEx>
          <w:tblCellMar>
            <w:top w:w="0" w:type="dxa"/>
            <w:left w:w="0" w:type="dxa"/>
            <w:bottom w:w="0" w:type="dxa"/>
            <w:right w:w="0" w:type="dxa"/>
          </w:tblCellMar>
        </w:tblPrEx>
        <w:trPr>
          <w:trHeight w:val="260" w:hRule="atLeast"/>
        </w:trPr>
        <w:tc>
          <w:tcPr>
            <w:tcW w:w="212"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highlight w:val="none"/>
                <w14:textFill>
                  <w14:solidFill>
                    <w14:schemeClr w14:val="tx1"/>
                  </w14:solidFill>
                </w14:textFill>
              </w:rPr>
            </w:pPr>
            <w:r>
              <w:rPr>
                <w:rFonts w:ascii="Garamond" w:hAnsi="Garamond" w:cs="Arial"/>
                <w:color w:val="000000" w:themeColor="text1"/>
                <w:kern w:val="0"/>
                <w:szCs w:val="21"/>
                <w:highlight w:val="none"/>
                <w14:textFill>
                  <w14:solidFill>
                    <w14:schemeClr w14:val="tx1"/>
                  </w14:solidFill>
                </w14:textFill>
              </w:rPr>
              <w:t>序号</w:t>
            </w:r>
          </w:p>
        </w:tc>
        <w:tc>
          <w:tcPr>
            <w:tcW w:w="658"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highlight w:val="none"/>
                <w14:textFill>
                  <w14:solidFill>
                    <w14:schemeClr w14:val="tx1"/>
                  </w14:solidFill>
                </w14:textFill>
              </w:rPr>
            </w:pPr>
            <w:r>
              <w:rPr>
                <w:rFonts w:ascii="Garamond" w:hAnsi="Garamond" w:cs="Arial"/>
                <w:color w:val="000000" w:themeColor="text1"/>
                <w:kern w:val="0"/>
                <w:szCs w:val="21"/>
                <w:highlight w:val="none"/>
                <w14:textFill>
                  <w14:solidFill>
                    <w14:schemeClr w14:val="tx1"/>
                  </w14:solidFill>
                </w14:textFill>
              </w:rPr>
              <w:t>在本项目中担任职务</w:t>
            </w:r>
          </w:p>
        </w:tc>
        <w:tc>
          <w:tcPr>
            <w:tcW w:w="212"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highlight w:val="none"/>
                <w14:textFill>
                  <w14:solidFill>
                    <w14:schemeClr w14:val="tx1"/>
                  </w14:solidFill>
                </w14:textFill>
              </w:rPr>
            </w:pPr>
            <w:r>
              <w:rPr>
                <w:rFonts w:ascii="Garamond" w:hAnsi="Garamond" w:cs="Arial"/>
                <w:color w:val="000000" w:themeColor="text1"/>
                <w:kern w:val="0"/>
                <w:szCs w:val="21"/>
                <w:highlight w:val="none"/>
                <w14:textFill>
                  <w14:solidFill>
                    <w14:schemeClr w14:val="tx1"/>
                  </w14:solidFill>
                </w14:textFill>
              </w:rPr>
              <w:t>姓名</w:t>
            </w:r>
          </w:p>
        </w:tc>
        <w:tc>
          <w:tcPr>
            <w:tcW w:w="212"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highlight w:val="none"/>
                <w14:textFill>
                  <w14:solidFill>
                    <w14:schemeClr w14:val="tx1"/>
                  </w14:solidFill>
                </w14:textFill>
              </w:rPr>
            </w:pPr>
            <w:r>
              <w:rPr>
                <w:rFonts w:ascii="Garamond" w:hAnsi="Garamond" w:cs="Arial"/>
                <w:color w:val="000000" w:themeColor="text1"/>
                <w:kern w:val="0"/>
                <w:szCs w:val="21"/>
                <w:highlight w:val="none"/>
                <w14:textFill>
                  <w14:solidFill>
                    <w14:schemeClr w14:val="tx1"/>
                  </w14:solidFill>
                </w14:textFill>
              </w:rPr>
              <w:t>年龄</w:t>
            </w:r>
          </w:p>
        </w:tc>
        <w:tc>
          <w:tcPr>
            <w:tcW w:w="329"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highlight w:val="none"/>
                <w14:textFill>
                  <w14:solidFill>
                    <w14:schemeClr w14:val="tx1"/>
                  </w14:solidFill>
                </w14:textFill>
              </w:rPr>
            </w:pPr>
            <w:r>
              <w:rPr>
                <w:rFonts w:ascii="Garamond" w:hAnsi="Garamond" w:cs="Arial"/>
                <w:color w:val="000000" w:themeColor="text1"/>
                <w:kern w:val="0"/>
                <w:szCs w:val="21"/>
                <w:highlight w:val="none"/>
                <w14:textFill>
                  <w14:solidFill>
                    <w14:schemeClr w14:val="tx1"/>
                  </w14:solidFill>
                </w14:textFill>
              </w:rPr>
              <w:t>技术职称</w:t>
            </w:r>
          </w:p>
        </w:tc>
        <w:tc>
          <w:tcPr>
            <w:tcW w:w="329"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highlight w:val="none"/>
                <w14:textFill>
                  <w14:solidFill>
                    <w14:schemeClr w14:val="tx1"/>
                  </w14:solidFill>
                </w14:textFill>
              </w:rPr>
            </w:pPr>
            <w:r>
              <w:rPr>
                <w:rFonts w:ascii="Garamond" w:hAnsi="Garamond" w:cs="Arial"/>
                <w:color w:val="000000" w:themeColor="text1"/>
                <w:kern w:val="0"/>
                <w:szCs w:val="21"/>
                <w:highlight w:val="none"/>
                <w14:textFill>
                  <w14:solidFill>
                    <w14:schemeClr w14:val="tx1"/>
                  </w14:solidFill>
                </w14:textFill>
              </w:rPr>
              <w:t>职称专业</w:t>
            </w:r>
          </w:p>
        </w:tc>
        <w:tc>
          <w:tcPr>
            <w:tcW w:w="329"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highlight w:val="none"/>
                <w14:textFill>
                  <w14:solidFill>
                    <w14:schemeClr w14:val="tx1"/>
                  </w14:solidFill>
                </w14:textFill>
              </w:rPr>
            </w:pPr>
            <w:r>
              <w:rPr>
                <w:rFonts w:ascii="Garamond" w:hAnsi="Garamond" w:cs="Arial"/>
                <w:color w:val="000000" w:themeColor="text1"/>
                <w:kern w:val="0"/>
                <w:szCs w:val="21"/>
                <w:highlight w:val="none"/>
                <w14:textFill>
                  <w14:solidFill>
                    <w14:schemeClr w14:val="tx1"/>
                  </w14:solidFill>
                </w14:textFill>
              </w:rPr>
              <w:t>工作年限</w:t>
            </w:r>
          </w:p>
        </w:tc>
        <w:tc>
          <w:tcPr>
            <w:tcW w:w="212"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highlight w:val="none"/>
                <w14:textFill>
                  <w14:solidFill>
                    <w14:schemeClr w14:val="tx1"/>
                  </w14:solidFill>
                </w14:textFill>
              </w:rPr>
            </w:pPr>
            <w:r>
              <w:rPr>
                <w:rFonts w:ascii="Garamond" w:hAnsi="Garamond" w:cs="Arial"/>
                <w:color w:val="000000" w:themeColor="text1"/>
                <w:kern w:val="0"/>
                <w:szCs w:val="21"/>
                <w:highlight w:val="none"/>
                <w14:textFill>
                  <w14:solidFill>
                    <w14:schemeClr w14:val="tx1"/>
                  </w14:solidFill>
                </w14:textFill>
              </w:rPr>
              <w:t>学历</w:t>
            </w:r>
          </w:p>
        </w:tc>
        <w:tc>
          <w:tcPr>
            <w:tcW w:w="659"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highlight w:val="none"/>
                <w14:textFill>
                  <w14:solidFill>
                    <w14:schemeClr w14:val="tx1"/>
                  </w14:solidFill>
                </w14:textFill>
              </w:rPr>
            </w:pPr>
            <w:r>
              <w:rPr>
                <w:rFonts w:ascii="Garamond" w:hAnsi="Garamond" w:cs="Arial"/>
                <w:color w:val="000000" w:themeColor="text1"/>
                <w:kern w:val="0"/>
                <w:szCs w:val="21"/>
                <w:highlight w:val="none"/>
                <w14:textFill>
                  <w14:solidFill>
                    <w14:schemeClr w14:val="tx1"/>
                  </w14:solidFill>
                </w14:textFill>
              </w:rPr>
              <w:t>学历专业</w:t>
            </w:r>
          </w:p>
        </w:tc>
        <w:tc>
          <w:tcPr>
            <w:tcW w:w="462"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highlight w:val="none"/>
                <w14:textFill>
                  <w14:solidFill>
                    <w14:schemeClr w14:val="tx1"/>
                  </w14:solidFill>
                </w14:textFill>
              </w:rPr>
            </w:pPr>
            <w:r>
              <w:rPr>
                <w:rFonts w:ascii="Garamond" w:hAnsi="Garamond" w:cs="Arial"/>
                <w:color w:val="000000" w:themeColor="text1"/>
                <w:kern w:val="0"/>
                <w:szCs w:val="21"/>
                <w:highlight w:val="none"/>
                <w14:textFill>
                  <w14:solidFill>
                    <w14:schemeClr w14:val="tx1"/>
                  </w14:solidFill>
                </w14:textFill>
              </w:rPr>
              <w:t>执业资格名称</w:t>
            </w:r>
          </w:p>
        </w:tc>
        <w:tc>
          <w:tcPr>
            <w:tcW w:w="462"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highlight w:val="none"/>
                <w14:textFill>
                  <w14:solidFill>
                    <w14:schemeClr w14:val="tx1"/>
                  </w14:solidFill>
                </w14:textFill>
              </w:rPr>
            </w:pPr>
            <w:r>
              <w:rPr>
                <w:rFonts w:ascii="Garamond" w:hAnsi="Garamond" w:cs="Arial"/>
                <w:color w:val="000000" w:themeColor="text1"/>
                <w:kern w:val="0"/>
                <w:szCs w:val="21"/>
                <w:highlight w:val="none"/>
                <w14:textFill>
                  <w14:solidFill>
                    <w14:schemeClr w14:val="tx1"/>
                  </w14:solidFill>
                </w14:textFill>
              </w:rPr>
              <w:t>执业资格等级</w:t>
            </w:r>
          </w:p>
        </w:tc>
        <w:tc>
          <w:tcPr>
            <w:tcW w:w="462"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highlight w:val="none"/>
                <w14:textFill>
                  <w14:solidFill>
                    <w14:schemeClr w14:val="tx1"/>
                  </w14:solidFill>
                </w14:textFill>
              </w:rPr>
            </w:pPr>
            <w:r>
              <w:rPr>
                <w:rFonts w:ascii="Garamond" w:hAnsi="Garamond" w:cs="Arial"/>
                <w:color w:val="000000" w:themeColor="text1"/>
                <w:kern w:val="0"/>
                <w:szCs w:val="21"/>
                <w:highlight w:val="none"/>
                <w14:textFill>
                  <w14:solidFill>
                    <w14:schemeClr w14:val="tx1"/>
                  </w14:solidFill>
                </w14:textFill>
              </w:rPr>
              <w:t>执业资格编号</w:t>
            </w:r>
          </w:p>
        </w:tc>
        <w:tc>
          <w:tcPr>
            <w:tcW w:w="462"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highlight w:val="none"/>
                <w14:textFill>
                  <w14:solidFill>
                    <w14:schemeClr w14:val="tx1"/>
                  </w14:solidFill>
                </w14:textFill>
              </w:rPr>
            </w:pPr>
            <w:r>
              <w:rPr>
                <w:rFonts w:ascii="Garamond" w:hAnsi="Garamond" w:cs="Arial"/>
                <w:color w:val="000000" w:themeColor="text1"/>
                <w:kern w:val="0"/>
                <w:szCs w:val="21"/>
                <w:highlight w:val="none"/>
                <w14:textFill>
                  <w14:solidFill>
                    <w14:schemeClr w14:val="tx1"/>
                  </w14:solidFill>
                </w14:textFill>
              </w:rPr>
              <w:t>执业资格有效期</w:t>
            </w:r>
          </w:p>
        </w:tc>
      </w:tr>
      <w:tr>
        <w:tblPrEx>
          <w:tblCellMar>
            <w:top w:w="0" w:type="dxa"/>
            <w:left w:w="0" w:type="dxa"/>
            <w:bottom w:w="0" w:type="dxa"/>
            <w:right w:w="0" w:type="dxa"/>
          </w:tblCellMar>
        </w:tblPrEx>
        <w:trPr>
          <w:trHeight w:val="250" w:hRule="atLeast"/>
        </w:trPr>
        <w:tc>
          <w:tcPr>
            <w:tcW w:w="212"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highlight w:val="none"/>
                <w14:textFill>
                  <w14:solidFill>
                    <w14:schemeClr w14:val="tx1"/>
                  </w14:solidFill>
                </w14:textFill>
              </w:rPr>
            </w:pPr>
            <w:r>
              <w:rPr>
                <w:rFonts w:ascii="Garamond" w:hAnsi="Garamond" w:cs="Arial"/>
                <w:color w:val="000000" w:themeColor="text1"/>
                <w:kern w:val="0"/>
                <w:szCs w:val="21"/>
                <w:highlight w:val="none"/>
                <w14:textFill>
                  <w14:solidFill>
                    <w14:schemeClr w14:val="tx1"/>
                  </w14:solidFill>
                </w14:textFill>
              </w:rPr>
              <w:t>1</w:t>
            </w:r>
          </w:p>
        </w:tc>
        <w:tc>
          <w:tcPr>
            <w:tcW w:w="658"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highlight w:val="none"/>
                <w14:textFill>
                  <w14:solidFill>
                    <w14:schemeClr w14:val="tx1"/>
                  </w14:solidFill>
                </w14:textFill>
              </w:rPr>
            </w:pPr>
          </w:p>
        </w:tc>
        <w:tc>
          <w:tcPr>
            <w:tcW w:w="212"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highlight w:val="none"/>
                <w14:textFill>
                  <w14:solidFill>
                    <w14:schemeClr w14:val="tx1"/>
                  </w14:solidFill>
                </w14:textFill>
              </w:rPr>
            </w:pPr>
          </w:p>
        </w:tc>
        <w:tc>
          <w:tcPr>
            <w:tcW w:w="212"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highlight w:val="none"/>
                <w14:textFill>
                  <w14:solidFill>
                    <w14:schemeClr w14:val="tx1"/>
                  </w14:solidFill>
                </w14:textFill>
              </w:rPr>
            </w:pPr>
          </w:p>
        </w:tc>
        <w:tc>
          <w:tcPr>
            <w:tcW w:w="329"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highlight w:val="none"/>
                <w14:textFill>
                  <w14:solidFill>
                    <w14:schemeClr w14:val="tx1"/>
                  </w14:solidFill>
                </w14:textFill>
              </w:rPr>
            </w:pPr>
          </w:p>
        </w:tc>
        <w:tc>
          <w:tcPr>
            <w:tcW w:w="329"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highlight w:val="none"/>
                <w14:textFill>
                  <w14:solidFill>
                    <w14:schemeClr w14:val="tx1"/>
                  </w14:solidFill>
                </w14:textFill>
              </w:rPr>
            </w:pPr>
          </w:p>
        </w:tc>
        <w:tc>
          <w:tcPr>
            <w:tcW w:w="329"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highlight w:val="none"/>
                <w14:textFill>
                  <w14:solidFill>
                    <w14:schemeClr w14:val="tx1"/>
                  </w14:solidFill>
                </w14:textFill>
              </w:rPr>
            </w:pPr>
          </w:p>
        </w:tc>
        <w:tc>
          <w:tcPr>
            <w:tcW w:w="212"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highlight w:val="none"/>
                <w14:textFill>
                  <w14:solidFill>
                    <w14:schemeClr w14:val="tx1"/>
                  </w14:solidFill>
                </w14:textFill>
              </w:rPr>
            </w:pPr>
          </w:p>
        </w:tc>
        <w:tc>
          <w:tcPr>
            <w:tcW w:w="659"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highlight w:val="none"/>
                <w14:textFill>
                  <w14:solidFill>
                    <w14:schemeClr w14:val="tx1"/>
                  </w14:solidFill>
                </w14:textFill>
              </w:rPr>
            </w:pPr>
          </w:p>
        </w:tc>
        <w:tc>
          <w:tcPr>
            <w:tcW w:w="462"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highlight w:val="none"/>
                <w14:textFill>
                  <w14:solidFill>
                    <w14:schemeClr w14:val="tx1"/>
                  </w14:solidFill>
                </w14:textFill>
              </w:rPr>
            </w:pPr>
          </w:p>
        </w:tc>
        <w:tc>
          <w:tcPr>
            <w:tcW w:w="462"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highlight w:val="none"/>
                <w14:textFill>
                  <w14:solidFill>
                    <w14:schemeClr w14:val="tx1"/>
                  </w14:solidFill>
                </w14:textFill>
              </w:rPr>
            </w:pPr>
          </w:p>
        </w:tc>
        <w:tc>
          <w:tcPr>
            <w:tcW w:w="462"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highlight w:val="none"/>
                <w14:textFill>
                  <w14:solidFill>
                    <w14:schemeClr w14:val="tx1"/>
                  </w14:solidFill>
                </w14:textFill>
              </w:rPr>
            </w:pPr>
          </w:p>
        </w:tc>
        <w:tc>
          <w:tcPr>
            <w:tcW w:w="462"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highlight w:val="none"/>
                <w14:textFill>
                  <w14:solidFill>
                    <w14:schemeClr w14:val="tx1"/>
                  </w14:solidFill>
                </w14:textFill>
              </w:rPr>
            </w:pPr>
          </w:p>
        </w:tc>
      </w:tr>
      <w:tr>
        <w:tblPrEx>
          <w:tblCellMar>
            <w:top w:w="0" w:type="dxa"/>
            <w:left w:w="0" w:type="dxa"/>
            <w:bottom w:w="0" w:type="dxa"/>
            <w:right w:w="0" w:type="dxa"/>
          </w:tblCellMar>
        </w:tblPrEx>
        <w:trPr>
          <w:trHeight w:val="250" w:hRule="atLeast"/>
        </w:trPr>
        <w:tc>
          <w:tcPr>
            <w:tcW w:w="212"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highlight w:val="none"/>
                <w14:textFill>
                  <w14:solidFill>
                    <w14:schemeClr w14:val="tx1"/>
                  </w14:solidFill>
                </w14:textFill>
              </w:rPr>
            </w:pPr>
            <w:r>
              <w:rPr>
                <w:rFonts w:ascii="Garamond" w:hAnsi="Garamond" w:cs="Arial"/>
                <w:color w:val="000000" w:themeColor="text1"/>
                <w:kern w:val="0"/>
                <w:szCs w:val="21"/>
                <w:highlight w:val="none"/>
                <w14:textFill>
                  <w14:solidFill>
                    <w14:schemeClr w14:val="tx1"/>
                  </w14:solidFill>
                </w14:textFill>
              </w:rPr>
              <w:t>2</w:t>
            </w:r>
          </w:p>
        </w:tc>
        <w:tc>
          <w:tcPr>
            <w:tcW w:w="658"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highlight w:val="none"/>
                <w14:textFill>
                  <w14:solidFill>
                    <w14:schemeClr w14:val="tx1"/>
                  </w14:solidFill>
                </w14:textFill>
              </w:rPr>
            </w:pPr>
          </w:p>
        </w:tc>
        <w:tc>
          <w:tcPr>
            <w:tcW w:w="212"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highlight w:val="none"/>
                <w14:textFill>
                  <w14:solidFill>
                    <w14:schemeClr w14:val="tx1"/>
                  </w14:solidFill>
                </w14:textFill>
              </w:rPr>
            </w:pPr>
          </w:p>
        </w:tc>
        <w:tc>
          <w:tcPr>
            <w:tcW w:w="212"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highlight w:val="none"/>
                <w14:textFill>
                  <w14:solidFill>
                    <w14:schemeClr w14:val="tx1"/>
                  </w14:solidFill>
                </w14:textFill>
              </w:rPr>
            </w:pPr>
          </w:p>
        </w:tc>
        <w:tc>
          <w:tcPr>
            <w:tcW w:w="329"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highlight w:val="none"/>
                <w14:textFill>
                  <w14:solidFill>
                    <w14:schemeClr w14:val="tx1"/>
                  </w14:solidFill>
                </w14:textFill>
              </w:rPr>
            </w:pPr>
          </w:p>
        </w:tc>
        <w:tc>
          <w:tcPr>
            <w:tcW w:w="329"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highlight w:val="none"/>
                <w14:textFill>
                  <w14:solidFill>
                    <w14:schemeClr w14:val="tx1"/>
                  </w14:solidFill>
                </w14:textFill>
              </w:rPr>
            </w:pPr>
          </w:p>
        </w:tc>
        <w:tc>
          <w:tcPr>
            <w:tcW w:w="329"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highlight w:val="none"/>
                <w14:textFill>
                  <w14:solidFill>
                    <w14:schemeClr w14:val="tx1"/>
                  </w14:solidFill>
                </w14:textFill>
              </w:rPr>
            </w:pPr>
          </w:p>
        </w:tc>
        <w:tc>
          <w:tcPr>
            <w:tcW w:w="212"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highlight w:val="none"/>
                <w14:textFill>
                  <w14:solidFill>
                    <w14:schemeClr w14:val="tx1"/>
                  </w14:solidFill>
                </w14:textFill>
              </w:rPr>
            </w:pPr>
          </w:p>
        </w:tc>
        <w:tc>
          <w:tcPr>
            <w:tcW w:w="659"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highlight w:val="none"/>
                <w14:textFill>
                  <w14:solidFill>
                    <w14:schemeClr w14:val="tx1"/>
                  </w14:solidFill>
                </w14:textFill>
              </w:rPr>
            </w:pPr>
          </w:p>
        </w:tc>
        <w:tc>
          <w:tcPr>
            <w:tcW w:w="462"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highlight w:val="none"/>
                <w14:textFill>
                  <w14:solidFill>
                    <w14:schemeClr w14:val="tx1"/>
                  </w14:solidFill>
                </w14:textFill>
              </w:rPr>
            </w:pPr>
          </w:p>
        </w:tc>
        <w:tc>
          <w:tcPr>
            <w:tcW w:w="462"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highlight w:val="none"/>
                <w14:textFill>
                  <w14:solidFill>
                    <w14:schemeClr w14:val="tx1"/>
                  </w14:solidFill>
                </w14:textFill>
              </w:rPr>
            </w:pPr>
          </w:p>
        </w:tc>
        <w:tc>
          <w:tcPr>
            <w:tcW w:w="462"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highlight w:val="none"/>
                <w14:textFill>
                  <w14:solidFill>
                    <w14:schemeClr w14:val="tx1"/>
                  </w14:solidFill>
                </w14:textFill>
              </w:rPr>
            </w:pPr>
          </w:p>
        </w:tc>
        <w:tc>
          <w:tcPr>
            <w:tcW w:w="462"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highlight w:val="none"/>
                <w14:textFill>
                  <w14:solidFill>
                    <w14:schemeClr w14:val="tx1"/>
                  </w14:solidFill>
                </w14:textFill>
              </w:rPr>
            </w:pPr>
          </w:p>
        </w:tc>
      </w:tr>
      <w:tr>
        <w:tblPrEx>
          <w:tblCellMar>
            <w:top w:w="0" w:type="dxa"/>
            <w:left w:w="0" w:type="dxa"/>
            <w:bottom w:w="0" w:type="dxa"/>
            <w:right w:w="0" w:type="dxa"/>
          </w:tblCellMar>
        </w:tblPrEx>
        <w:trPr>
          <w:trHeight w:val="250" w:hRule="atLeast"/>
        </w:trPr>
        <w:tc>
          <w:tcPr>
            <w:tcW w:w="212"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highlight w:val="none"/>
                <w14:textFill>
                  <w14:solidFill>
                    <w14:schemeClr w14:val="tx1"/>
                  </w14:solidFill>
                </w14:textFill>
              </w:rPr>
            </w:pPr>
            <w:r>
              <w:rPr>
                <w:rFonts w:ascii="Garamond" w:hAnsi="Garamond" w:cs="Arial"/>
                <w:color w:val="000000" w:themeColor="text1"/>
                <w:kern w:val="0"/>
                <w:szCs w:val="21"/>
                <w:highlight w:val="none"/>
                <w14:textFill>
                  <w14:solidFill>
                    <w14:schemeClr w14:val="tx1"/>
                  </w14:solidFill>
                </w14:textFill>
              </w:rPr>
              <w:t>...</w:t>
            </w:r>
          </w:p>
        </w:tc>
        <w:tc>
          <w:tcPr>
            <w:tcW w:w="658"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highlight w:val="none"/>
                <w14:textFill>
                  <w14:solidFill>
                    <w14:schemeClr w14:val="tx1"/>
                  </w14:solidFill>
                </w14:textFill>
              </w:rPr>
            </w:pPr>
          </w:p>
        </w:tc>
        <w:tc>
          <w:tcPr>
            <w:tcW w:w="212"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highlight w:val="none"/>
                <w14:textFill>
                  <w14:solidFill>
                    <w14:schemeClr w14:val="tx1"/>
                  </w14:solidFill>
                </w14:textFill>
              </w:rPr>
            </w:pPr>
          </w:p>
        </w:tc>
        <w:tc>
          <w:tcPr>
            <w:tcW w:w="212"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highlight w:val="none"/>
                <w14:textFill>
                  <w14:solidFill>
                    <w14:schemeClr w14:val="tx1"/>
                  </w14:solidFill>
                </w14:textFill>
              </w:rPr>
            </w:pPr>
          </w:p>
        </w:tc>
        <w:tc>
          <w:tcPr>
            <w:tcW w:w="329"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highlight w:val="none"/>
                <w14:textFill>
                  <w14:solidFill>
                    <w14:schemeClr w14:val="tx1"/>
                  </w14:solidFill>
                </w14:textFill>
              </w:rPr>
            </w:pPr>
          </w:p>
        </w:tc>
        <w:tc>
          <w:tcPr>
            <w:tcW w:w="329"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highlight w:val="none"/>
                <w14:textFill>
                  <w14:solidFill>
                    <w14:schemeClr w14:val="tx1"/>
                  </w14:solidFill>
                </w14:textFill>
              </w:rPr>
            </w:pPr>
          </w:p>
        </w:tc>
        <w:tc>
          <w:tcPr>
            <w:tcW w:w="329"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highlight w:val="none"/>
                <w14:textFill>
                  <w14:solidFill>
                    <w14:schemeClr w14:val="tx1"/>
                  </w14:solidFill>
                </w14:textFill>
              </w:rPr>
            </w:pPr>
          </w:p>
        </w:tc>
        <w:tc>
          <w:tcPr>
            <w:tcW w:w="212"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highlight w:val="none"/>
                <w14:textFill>
                  <w14:solidFill>
                    <w14:schemeClr w14:val="tx1"/>
                  </w14:solidFill>
                </w14:textFill>
              </w:rPr>
            </w:pPr>
          </w:p>
        </w:tc>
        <w:tc>
          <w:tcPr>
            <w:tcW w:w="659"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highlight w:val="none"/>
                <w14:textFill>
                  <w14:solidFill>
                    <w14:schemeClr w14:val="tx1"/>
                  </w14:solidFill>
                </w14:textFill>
              </w:rPr>
            </w:pPr>
          </w:p>
        </w:tc>
        <w:tc>
          <w:tcPr>
            <w:tcW w:w="462"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highlight w:val="none"/>
                <w14:textFill>
                  <w14:solidFill>
                    <w14:schemeClr w14:val="tx1"/>
                  </w14:solidFill>
                </w14:textFill>
              </w:rPr>
            </w:pPr>
          </w:p>
        </w:tc>
        <w:tc>
          <w:tcPr>
            <w:tcW w:w="462"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highlight w:val="none"/>
                <w14:textFill>
                  <w14:solidFill>
                    <w14:schemeClr w14:val="tx1"/>
                  </w14:solidFill>
                </w14:textFill>
              </w:rPr>
            </w:pPr>
          </w:p>
        </w:tc>
        <w:tc>
          <w:tcPr>
            <w:tcW w:w="462"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highlight w:val="none"/>
                <w14:textFill>
                  <w14:solidFill>
                    <w14:schemeClr w14:val="tx1"/>
                  </w14:solidFill>
                </w14:textFill>
              </w:rPr>
            </w:pPr>
          </w:p>
        </w:tc>
        <w:tc>
          <w:tcPr>
            <w:tcW w:w="462"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highlight w:val="none"/>
                <w14:textFill>
                  <w14:solidFill>
                    <w14:schemeClr w14:val="tx1"/>
                  </w14:solidFill>
                </w14:textFill>
              </w:rPr>
            </w:pPr>
          </w:p>
        </w:tc>
      </w:tr>
    </w:tbl>
    <w:p>
      <w:pPr>
        <w:pStyle w:val="5"/>
        <w:spacing w:line="276" w:lineRule="auto"/>
        <w:jc w:val="left"/>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注：</w:t>
      </w:r>
    </w:p>
    <w:p>
      <w:pPr>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 本表中所填人员应至少包括项目负责人。</w:t>
      </w:r>
    </w:p>
    <w:p>
      <w:pPr>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2.本表后附相关人员身份证、职称证书、学历证书、执业资格证书、社保缴费证明材料等证明材料的彩色复印件或彩色扫描件。 </w:t>
      </w:r>
    </w:p>
    <w:p>
      <w:pPr>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3.人员一旦确定，中标后原则上不再变更，如需变更需征得招标人同意。</w:t>
      </w:r>
    </w:p>
    <w:p>
      <w:pPr>
        <w:ind w:firstLine="482"/>
        <w:jc w:val="left"/>
        <w:rPr>
          <w:rFonts w:ascii="Garamond" w:hAnsi="Garamond"/>
          <w:b/>
          <w:bCs/>
          <w:color w:val="000000" w:themeColor="text1"/>
          <w:szCs w:val="21"/>
          <w:highlight w:val="none"/>
          <w:u w:val="single"/>
          <w14:textFill>
            <w14:solidFill>
              <w14:schemeClr w14:val="tx1"/>
            </w14:solidFill>
          </w14:textFill>
        </w:rPr>
      </w:pPr>
    </w:p>
    <w:p>
      <w:pPr>
        <w:widowControl/>
        <w:ind w:firstLine="482"/>
        <w:jc w:val="center"/>
        <w:rPr>
          <w:rFonts w:ascii="Garamond" w:hAnsi="Garamond"/>
          <w:b/>
          <w:bCs/>
          <w:color w:val="000000" w:themeColor="text1"/>
          <w:sz w:val="24"/>
          <w:highlight w:val="none"/>
          <w:u w:val="single"/>
          <w14:textFill>
            <w14:solidFill>
              <w14:schemeClr w14:val="tx1"/>
            </w14:solidFill>
          </w14:textFill>
        </w:rPr>
      </w:pPr>
    </w:p>
    <w:p>
      <w:pPr>
        <w:widowControl/>
        <w:ind w:firstLine="482"/>
        <w:jc w:val="center"/>
        <w:rPr>
          <w:rFonts w:ascii="Garamond" w:hAnsi="Garamond"/>
          <w:b/>
          <w:bCs/>
          <w:color w:val="000000" w:themeColor="text1"/>
          <w:sz w:val="24"/>
          <w:highlight w:val="none"/>
          <w:u w:val="single"/>
          <w14:textFill>
            <w14:solidFill>
              <w14:schemeClr w14:val="tx1"/>
            </w14:solidFill>
          </w14:textFill>
        </w:rPr>
      </w:pPr>
    </w:p>
    <w:p>
      <w:pPr>
        <w:widowControl/>
        <w:ind w:firstLine="482"/>
        <w:jc w:val="center"/>
        <w:rPr>
          <w:rFonts w:ascii="Garamond" w:hAnsi="Garamond"/>
          <w:b/>
          <w:bCs/>
          <w:color w:val="000000" w:themeColor="text1"/>
          <w:sz w:val="24"/>
          <w:highlight w:val="none"/>
          <w:u w:val="single"/>
          <w14:textFill>
            <w14:solidFill>
              <w14:schemeClr w14:val="tx1"/>
            </w14:solidFill>
          </w14:textFill>
        </w:rPr>
      </w:pPr>
    </w:p>
    <w:p>
      <w:pPr>
        <w:widowControl/>
        <w:ind w:firstLine="482"/>
        <w:jc w:val="center"/>
        <w:rPr>
          <w:rFonts w:ascii="Garamond" w:hAnsi="Garamond"/>
          <w:b/>
          <w:bCs/>
          <w:color w:val="000000" w:themeColor="text1"/>
          <w:sz w:val="24"/>
          <w:highlight w:val="none"/>
          <w:u w:val="single"/>
          <w14:textFill>
            <w14:solidFill>
              <w14:schemeClr w14:val="tx1"/>
            </w14:solidFill>
          </w14:textFill>
        </w:rPr>
      </w:pPr>
    </w:p>
    <w:p>
      <w:pPr>
        <w:ind w:firstLine="482"/>
        <w:jc w:val="center"/>
        <w:rPr>
          <w:rFonts w:ascii="Garamond" w:hAnsi="Garamond"/>
          <w:b/>
          <w:bCs/>
          <w:color w:val="000000" w:themeColor="text1"/>
          <w:sz w:val="24"/>
          <w:highlight w:val="none"/>
          <w14:textFill>
            <w14:solidFill>
              <w14:schemeClr w14:val="tx1"/>
            </w14:solidFill>
          </w14:textFill>
        </w:rPr>
      </w:pPr>
    </w:p>
    <w:p>
      <w:pPr>
        <w:ind w:firstLine="482"/>
        <w:jc w:val="center"/>
        <w:rPr>
          <w:rFonts w:ascii="Garamond" w:hAnsi="Garamond"/>
          <w:b/>
          <w:bCs/>
          <w:color w:val="000000" w:themeColor="text1"/>
          <w:sz w:val="24"/>
          <w:highlight w:val="none"/>
          <w14:textFill>
            <w14:solidFill>
              <w14:schemeClr w14:val="tx1"/>
            </w14:solidFill>
          </w14:textFill>
        </w:rPr>
      </w:pPr>
      <w:r>
        <w:rPr>
          <w:rFonts w:ascii="Garamond" w:hAnsi="Garamond"/>
          <w:b/>
          <w:bCs/>
          <w:color w:val="000000" w:themeColor="text1"/>
          <w:sz w:val="24"/>
          <w:highlight w:val="none"/>
          <w14:textFill>
            <w14:solidFill>
              <w14:schemeClr w14:val="tx1"/>
            </w14:solidFill>
          </w14:textFill>
        </w:rPr>
        <w:t>表</w:t>
      </w:r>
      <w:r>
        <w:rPr>
          <w:rFonts w:hint="eastAsia" w:ascii="Garamond" w:hAnsi="Garamond"/>
          <w:b/>
          <w:bCs/>
          <w:color w:val="000000" w:themeColor="text1"/>
          <w:sz w:val="24"/>
          <w:highlight w:val="none"/>
          <w14:textFill>
            <w14:solidFill>
              <w14:schemeClr w14:val="tx1"/>
            </w14:solidFill>
          </w14:textFill>
        </w:rPr>
        <w:t>3</w:t>
      </w:r>
      <w:r>
        <w:rPr>
          <w:rFonts w:ascii="Garamond" w:hAnsi="Garamond"/>
          <w:b/>
          <w:bCs/>
          <w:color w:val="000000" w:themeColor="text1"/>
          <w:sz w:val="24"/>
          <w:highlight w:val="none"/>
          <w14:textFill>
            <w14:solidFill>
              <w14:schemeClr w14:val="tx1"/>
            </w14:solidFill>
          </w14:textFill>
        </w:rPr>
        <w:t xml:space="preserve"> 拟投入本标段主要人员经历表</w:t>
      </w:r>
    </w:p>
    <w:tbl>
      <w:tblPr>
        <w:tblStyle w:val="44"/>
        <w:tblW w:w="4997" w:type="pct"/>
        <w:jc w:val="center"/>
        <w:tblLayout w:type="autofit"/>
        <w:tblCellMar>
          <w:top w:w="0" w:type="dxa"/>
          <w:left w:w="0" w:type="dxa"/>
          <w:bottom w:w="0" w:type="dxa"/>
          <w:right w:w="0" w:type="dxa"/>
        </w:tblCellMar>
      </w:tblPr>
      <w:tblGrid>
        <w:gridCol w:w="296"/>
        <w:gridCol w:w="596"/>
        <w:gridCol w:w="394"/>
        <w:gridCol w:w="1135"/>
        <w:gridCol w:w="1135"/>
        <w:gridCol w:w="1275"/>
        <w:gridCol w:w="1559"/>
        <w:gridCol w:w="2866"/>
      </w:tblGrid>
      <w:tr>
        <w:tblPrEx>
          <w:tblCellMar>
            <w:top w:w="0" w:type="dxa"/>
            <w:left w:w="0" w:type="dxa"/>
            <w:bottom w:w="0" w:type="dxa"/>
            <w:right w:w="0" w:type="dxa"/>
          </w:tblCellMar>
        </w:tblPrEx>
        <w:trPr>
          <w:trHeight w:val="520" w:hRule="atLeast"/>
          <w:jc w:val="center"/>
        </w:trPr>
        <w:tc>
          <w:tcPr>
            <w:tcW w:w="160"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center"/>
          </w:tcPr>
          <w:p>
            <w:pPr>
              <w:widowControl/>
              <w:jc w:val="center"/>
              <w:textAlignment w:val="bottom"/>
              <w:rPr>
                <w:rFonts w:ascii="Garamond" w:hAnsi="Garamond" w:cs="Arial"/>
                <w:color w:val="000000" w:themeColor="text1"/>
                <w:kern w:val="0"/>
                <w:szCs w:val="21"/>
                <w:highlight w:val="none"/>
                <w14:textFill>
                  <w14:solidFill>
                    <w14:schemeClr w14:val="tx1"/>
                  </w14:solidFill>
                </w14:textFill>
              </w:rPr>
            </w:pPr>
            <w:r>
              <w:rPr>
                <w:rFonts w:ascii="Garamond" w:hAnsi="Garamond" w:cs="Arial"/>
                <w:color w:val="000000" w:themeColor="text1"/>
                <w:kern w:val="0"/>
                <w:szCs w:val="21"/>
                <w:highlight w:val="none"/>
                <w14:textFill>
                  <w14:solidFill>
                    <w14:schemeClr w14:val="tx1"/>
                  </w14:solidFill>
                </w14:textFill>
              </w:rPr>
              <w:t>序号</w:t>
            </w:r>
          </w:p>
        </w:tc>
        <w:tc>
          <w:tcPr>
            <w:tcW w:w="322"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center"/>
          </w:tcPr>
          <w:p>
            <w:pPr>
              <w:widowControl/>
              <w:jc w:val="center"/>
              <w:textAlignment w:val="bottom"/>
              <w:rPr>
                <w:rFonts w:ascii="Garamond" w:hAnsi="Garamond" w:cs="Arial"/>
                <w:color w:val="000000" w:themeColor="text1"/>
                <w:kern w:val="0"/>
                <w:szCs w:val="21"/>
                <w:highlight w:val="none"/>
                <w14:textFill>
                  <w14:solidFill>
                    <w14:schemeClr w14:val="tx1"/>
                  </w14:solidFill>
                </w14:textFill>
              </w:rPr>
            </w:pPr>
            <w:r>
              <w:rPr>
                <w:rFonts w:ascii="Garamond" w:hAnsi="Garamond" w:cs="Arial"/>
                <w:color w:val="000000" w:themeColor="text1"/>
                <w:kern w:val="0"/>
                <w:szCs w:val="21"/>
                <w:highlight w:val="none"/>
                <w14:textFill>
                  <w14:solidFill>
                    <w14:schemeClr w14:val="tx1"/>
                  </w14:solidFill>
                </w14:textFill>
              </w:rPr>
              <w:t>担任职务</w:t>
            </w:r>
          </w:p>
        </w:tc>
        <w:tc>
          <w:tcPr>
            <w:tcW w:w="213"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center"/>
          </w:tcPr>
          <w:p>
            <w:pPr>
              <w:widowControl/>
              <w:jc w:val="center"/>
              <w:textAlignment w:val="bottom"/>
              <w:rPr>
                <w:rFonts w:ascii="Garamond" w:hAnsi="Garamond" w:cs="Arial"/>
                <w:color w:val="000000" w:themeColor="text1"/>
                <w:kern w:val="0"/>
                <w:szCs w:val="21"/>
                <w:highlight w:val="none"/>
                <w14:textFill>
                  <w14:solidFill>
                    <w14:schemeClr w14:val="tx1"/>
                  </w14:solidFill>
                </w14:textFill>
              </w:rPr>
            </w:pPr>
            <w:r>
              <w:rPr>
                <w:rFonts w:ascii="Garamond" w:hAnsi="Garamond" w:cs="Arial"/>
                <w:color w:val="000000" w:themeColor="text1"/>
                <w:kern w:val="0"/>
                <w:szCs w:val="21"/>
                <w:highlight w:val="none"/>
                <w14:textFill>
                  <w14:solidFill>
                    <w14:schemeClr w14:val="tx1"/>
                  </w14:solidFill>
                </w14:textFill>
              </w:rPr>
              <w:t>姓名</w:t>
            </w:r>
          </w:p>
        </w:tc>
        <w:tc>
          <w:tcPr>
            <w:tcW w:w="613"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center"/>
          </w:tcPr>
          <w:p>
            <w:pPr>
              <w:widowControl/>
              <w:jc w:val="center"/>
              <w:textAlignment w:val="bottom"/>
              <w:rPr>
                <w:rFonts w:ascii="Garamond" w:hAnsi="Garamond" w:cs="Arial"/>
                <w:color w:val="000000" w:themeColor="text1"/>
                <w:kern w:val="0"/>
                <w:szCs w:val="21"/>
                <w:highlight w:val="none"/>
                <w14:textFill>
                  <w14:solidFill>
                    <w14:schemeClr w14:val="tx1"/>
                  </w14:solidFill>
                </w14:textFill>
              </w:rPr>
            </w:pPr>
            <w:r>
              <w:rPr>
                <w:rFonts w:ascii="Garamond" w:hAnsi="Garamond" w:cs="Arial"/>
                <w:color w:val="000000" w:themeColor="text1"/>
                <w:kern w:val="0"/>
                <w:szCs w:val="21"/>
                <w:highlight w:val="none"/>
                <w14:textFill>
                  <w14:solidFill>
                    <w14:schemeClr w14:val="tx1"/>
                  </w14:solidFill>
                </w14:textFill>
              </w:rPr>
              <w:t>开工时间</w:t>
            </w:r>
          </w:p>
        </w:tc>
        <w:tc>
          <w:tcPr>
            <w:tcW w:w="613"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center"/>
          </w:tcPr>
          <w:p>
            <w:pPr>
              <w:widowControl/>
              <w:jc w:val="center"/>
              <w:textAlignment w:val="bottom"/>
              <w:rPr>
                <w:rFonts w:ascii="Garamond" w:hAnsi="Garamond" w:cs="Arial"/>
                <w:color w:val="000000" w:themeColor="text1"/>
                <w:kern w:val="0"/>
                <w:szCs w:val="21"/>
                <w:highlight w:val="none"/>
                <w14:textFill>
                  <w14:solidFill>
                    <w14:schemeClr w14:val="tx1"/>
                  </w14:solidFill>
                </w14:textFill>
              </w:rPr>
            </w:pPr>
            <w:r>
              <w:rPr>
                <w:rFonts w:ascii="Garamond" w:hAnsi="Garamond" w:cs="Arial"/>
                <w:color w:val="000000" w:themeColor="text1"/>
                <w:kern w:val="0"/>
                <w:szCs w:val="21"/>
                <w:highlight w:val="none"/>
                <w14:textFill>
                  <w14:solidFill>
                    <w14:schemeClr w14:val="tx1"/>
                  </w14:solidFill>
                </w14:textFill>
              </w:rPr>
              <w:t>竣工时间</w:t>
            </w:r>
          </w:p>
        </w:tc>
        <w:tc>
          <w:tcPr>
            <w:tcW w:w="689"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center"/>
          </w:tcPr>
          <w:p>
            <w:pPr>
              <w:widowControl/>
              <w:jc w:val="center"/>
              <w:textAlignment w:val="bottom"/>
              <w:rPr>
                <w:rFonts w:ascii="Garamond" w:hAnsi="Garamond" w:cs="Arial"/>
                <w:color w:val="000000" w:themeColor="text1"/>
                <w:kern w:val="0"/>
                <w:szCs w:val="21"/>
                <w:highlight w:val="none"/>
                <w14:textFill>
                  <w14:solidFill>
                    <w14:schemeClr w14:val="tx1"/>
                  </w14:solidFill>
                </w14:textFill>
              </w:rPr>
            </w:pPr>
            <w:r>
              <w:rPr>
                <w:rFonts w:ascii="Garamond" w:hAnsi="Garamond" w:cs="Arial"/>
                <w:color w:val="000000" w:themeColor="text1"/>
                <w:kern w:val="0"/>
                <w:szCs w:val="21"/>
                <w:highlight w:val="none"/>
                <w14:textFill>
                  <w14:solidFill>
                    <w14:schemeClr w14:val="tx1"/>
                  </w14:solidFill>
                </w14:textFill>
              </w:rPr>
              <w:t>项目职务</w:t>
            </w:r>
          </w:p>
        </w:tc>
        <w:tc>
          <w:tcPr>
            <w:tcW w:w="842"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center"/>
          </w:tcPr>
          <w:p>
            <w:pPr>
              <w:widowControl/>
              <w:jc w:val="center"/>
              <w:textAlignment w:val="bottom"/>
              <w:rPr>
                <w:rFonts w:ascii="Garamond" w:hAnsi="Garamond" w:cs="Arial"/>
                <w:color w:val="000000" w:themeColor="text1"/>
                <w:kern w:val="0"/>
                <w:szCs w:val="21"/>
                <w:highlight w:val="none"/>
                <w14:textFill>
                  <w14:solidFill>
                    <w14:schemeClr w14:val="tx1"/>
                  </w14:solidFill>
                </w14:textFill>
              </w:rPr>
            </w:pPr>
            <w:r>
              <w:rPr>
                <w:rFonts w:ascii="Garamond" w:hAnsi="Garamond" w:cs="Arial"/>
                <w:color w:val="000000" w:themeColor="text1"/>
                <w:kern w:val="0"/>
                <w:szCs w:val="21"/>
                <w:highlight w:val="none"/>
                <w14:textFill>
                  <w14:solidFill>
                    <w14:schemeClr w14:val="tx1"/>
                  </w14:solidFill>
                </w14:textFill>
              </w:rPr>
              <w:t>项目名称</w:t>
            </w:r>
          </w:p>
        </w:tc>
        <w:tc>
          <w:tcPr>
            <w:tcW w:w="1548"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center"/>
          </w:tcPr>
          <w:p>
            <w:pPr>
              <w:widowControl/>
              <w:jc w:val="center"/>
              <w:textAlignment w:val="bottom"/>
              <w:rPr>
                <w:rFonts w:ascii="Garamond" w:hAnsi="Garamond" w:cs="Arial"/>
                <w:color w:val="000000" w:themeColor="text1"/>
                <w:kern w:val="0"/>
                <w:szCs w:val="21"/>
                <w:highlight w:val="none"/>
                <w14:textFill>
                  <w14:solidFill>
                    <w14:schemeClr w14:val="tx1"/>
                  </w14:solidFill>
                </w14:textFill>
              </w:rPr>
            </w:pPr>
            <w:r>
              <w:rPr>
                <w:rFonts w:ascii="Garamond" w:hAnsi="Garamond" w:cs="Arial"/>
                <w:color w:val="000000" w:themeColor="text1"/>
                <w:kern w:val="0"/>
                <w:szCs w:val="21"/>
                <w:highlight w:val="none"/>
                <w14:textFill>
                  <w14:solidFill>
                    <w14:schemeClr w14:val="tx1"/>
                  </w14:solidFill>
                </w14:textFill>
              </w:rPr>
              <w:t>项目简介</w:t>
            </w:r>
          </w:p>
        </w:tc>
      </w:tr>
      <w:tr>
        <w:tblPrEx>
          <w:tblCellMar>
            <w:top w:w="0" w:type="dxa"/>
            <w:left w:w="0" w:type="dxa"/>
            <w:bottom w:w="0" w:type="dxa"/>
            <w:right w:w="0" w:type="dxa"/>
          </w:tblCellMar>
        </w:tblPrEx>
        <w:trPr>
          <w:trHeight w:val="250" w:hRule="atLeast"/>
          <w:jc w:val="center"/>
        </w:trPr>
        <w:tc>
          <w:tcPr>
            <w:tcW w:w="160"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center"/>
          </w:tcPr>
          <w:p>
            <w:pPr>
              <w:widowControl/>
              <w:jc w:val="left"/>
              <w:textAlignment w:val="bottom"/>
              <w:rPr>
                <w:rFonts w:ascii="Garamond" w:hAnsi="Garamond" w:cs="Arial"/>
                <w:color w:val="000000" w:themeColor="text1"/>
                <w:kern w:val="0"/>
                <w:szCs w:val="21"/>
                <w:highlight w:val="none"/>
                <w14:textFill>
                  <w14:solidFill>
                    <w14:schemeClr w14:val="tx1"/>
                  </w14:solidFill>
                </w14:textFill>
              </w:rPr>
            </w:pPr>
            <w:r>
              <w:rPr>
                <w:rFonts w:ascii="Garamond" w:hAnsi="Garamond" w:cs="Arial"/>
                <w:color w:val="000000" w:themeColor="text1"/>
                <w:kern w:val="0"/>
                <w:szCs w:val="21"/>
                <w:highlight w:val="none"/>
                <w14:textFill>
                  <w14:solidFill>
                    <w14:schemeClr w14:val="tx1"/>
                  </w14:solidFill>
                </w14:textFill>
              </w:rPr>
              <w:t>1</w:t>
            </w:r>
          </w:p>
        </w:tc>
        <w:tc>
          <w:tcPr>
            <w:tcW w:w="322"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center"/>
          </w:tcPr>
          <w:p>
            <w:pPr>
              <w:widowControl/>
              <w:jc w:val="left"/>
              <w:textAlignment w:val="bottom"/>
              <w:rPr>
                <w:rFonts w:ascii="Garamond" w:hAnsi="Garamond" w:cs="Arial"/>
                <w:color w:val="000000" w:themeColor="text1"/>
                <w:kern w:val="0"/>
                <w:szCs w:val="21"/>
                <w:highlight w:val="none"/>
                <w14:textFill>
                  <w14:solidFill>
                    <w14:schemeClr w14:val="tx1"/>
                  </w14:solidFill>
                </w14:textFill>
              </w:rPr>
            </w:pPr>
          </w:p>
        </w:tc>
        <w:tc>
          <w:tcPr>
            <w:tcW w:w="213"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center"/>
          </w:tcPr>
          <w:p>
            <w:pPr>
              <w:widowControl/>
              <w:jc w:val="left"/>
              <w:textAlignment w:val="bottom"/>
              <w:rPr>
                <w:rFonts w:ascii="Garamond" w:hAnsi="Garamond" w:cs="Arial"/>
                <w:color w:val="000000" w:themeColor="text1"/>
                <w:kern w:val="0"/>
                <w:szCs w:val="21"/>
                <w:highlight w:val="none"/>
                <w14:textFill>
                  <w14:solidFill>
                    <w14:schemeClr w14:val="tx1"/>
                  </w14:solidFill>
                </w14:textFill>
              </w:rPr>
            </w:pPr>
          </w:p>
        </w:tc>
        <w:tc>
          <w:tcPr>
            <w:tcW w:w="613"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center"/>
          </w:tcPr>
          <w:p>
            <w:pPr>
              <w:widowControl/>
              <w:jc w:val="left"/>
              <w:textAlignment w:val="bottom"/>
              <w:rPr>
                <w:rFonts w:ascii="Garamond" w:hAnsi="Garamond" w:cs="Arial"/>
                <w:color w:val="000000" w:themeColor="text1"/>
                <w:kern w:val="0"/>
                <w:szCs w:val="21"/>
                <w:highlight w:val="none"/>
                <w14:textFill>
                  <w14:solidFill>
                    <w14:schemeClr w14:val="tx1"/>
                  </w14:solidFill>
                </w14:textFill>
              </w:rPr>
            </w:pPr>
          </w:p>
        </w:tc>
        <w:tc>
          <w:tcPr>
            <w:tcW w:w="613"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center"/>
          </w:tcPr>
          <w:p>
            <w:pPr>
              <w:widowControl/>
              <w:jc w:val="left"/>
              <w:textAlignment w:val="bottom"/>
              <w:rPr>
                <w:rFonts w:ascii="Garamond" w:hAnsi="Garamond" w:cs="Arial"/>
                <w:color w:val="000000" w:themeColor="text1"/>
                <w:kern w:val="0"/>
                <w:szCs w:val="21"/>
                <w:highlight w:val="none"/>
                <w14:textFill>
                  <w14:solidFill>
                    <w14:schemeClr w14:val="tx1"/>
                  </w14:solidFill>
                </w14:textFill>
              </w:rPr>
            </w:pPr>
          </w:p>
        </w:tc>
        <w:tc>
          <w:tcPr>
            <w:tcW w:w="689"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center"/>
          </w:tcPr>
          <w:p>
            <w:pPr>
              <w:widowControl/>
              <w:jc w:val="left"/>
              <w:textAlignment w:val="bottom"/>
              <w:rPr>
                <w:rFonts w:ascii="Garamond" w:hAnsi="Garamond" w:cs="Arial"/>
                <w:color w:val="000000" w:themeColor="text1"/>
                <w:kern w:val="0"/>
                <w:szCs w:val="21"/>
                <w:highlight w:val="none"/>
                <w14:textFill>
                  <w14:solidFill>
                    <w14:schemeClr w14:val="tx1"/>
                  </w14:solidFill>
                </w14:textFill>
              </w:rPr>
            </w:pPr>
          </w:p>
        </w:tc>
        <w:tc>
          <w:tcPr>
            <w:tcW w:w="842"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center"/>
          </w:tcPr>
          <w:p>
            <w:pPr>
              <w:widowControl/>
              <w:jc w:val="left"/>
              <w:textAlignment w:val="bottom"/>
              <w:rPr>
                <w:rFonts w:ascii="Garamond" w:hAnsi="Garamond" w:cs="Arial"/>
                <w:color w:val="000000" w:themeColor="text1"/>
                <w:kern w:val="0"/>
                <w:szCs w:val="21"/>
                <w:highlight w:val="none"/>
                <w14:textFill>
                  <w14:solidFill>
                    <w14:schemeClr w14:val="tx1"/>
                  </w14:solidFill>
                </w14:textFill>
              </w:rPr>
            </w:pPr>
          </w:p>
        </w:tc>
        <w:tc>
          <w:tcPr>
            <w:tcW w:w="1548"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center"/>
          </w:tcPr>
          <w:p>
            <w:pPr>
              <w:widowControl/>
              <w:jc w:val="left"/>
              <w:textAlignment w:val="bottom"/>
              <w:rPr>
                <w:rFonts w:ascii="Garamond" w:hAnsi="Garamond" w:cs="Arial"/>
                <w:color w:val="000000" w:themeColor="text1"/>
                <w:kern w:val="0"/>
                <w:szCs w:val="21"/>
                <w:highlight w:val="none"/>
                <w14:textFill>
                  <w14:solidFill>
                    <w14:schemeClr w14:val="tx1"/>
                  </w14:solidFill>
                </w14:textFill>
              </w:rPr>
            </w:pPr>
          </w:p>
        </w:tc>
      </w:tr>
      <w:tr>
        <w:tblPrEx>
          <w:tblCellMar>
            <w:top w:w="0" w:type="dxa"/>
            <w:left w:w="0" w:type="dxa"/>
            <w:bottom w:w="0" w:type="dxa"/>
            <w:right w:w="0" w:type="dxa"/>
          </w:tblCellMar>
        </w:tblPrEx>
        <w:trPr>
          <w:trHeight w:val="250" w:hRule="atLeast"/>
          <w:jc w:val="center"/>
        </w:trPr>
        <w:tc>
          <w:tcPr>
            <w:tcW w:w="160"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center"/>
          </w:tcPr>
          <w:p>
            <w:pPr>
              <w:widowControl/>
              <w:jc w:val="left"/>
              <w:textAlignment w:val="bottom"/>
              <w:rPr>
                <w:rFonts w:ascii="Garamond" w:hAnsi="Garamond" w:cs="Arial"/>
                <w:color w:val="000000" w:themeColor="text1"/>
                <w:kern w:val="0"/>
                <w:szCs w:val="21"/>
                <w:highlight w:val="none"/>
                <w14:textFill>
                  <w14:solidFill>
                    <w14:schemeClr w14:val="tx1"/>
                  </w14:solidFill>
                </w14:textFill>
              </w:rPr>
            </w:pPr>
            <w:r>
              <w:rPr>
                <w:rFonts w:ascii="Garamond" w:hAnsi="Garamond" w:cs="Arial"/>
                <w:color w:val="000000" w:themeColor="text1"/>
                <w:kern w:val="0"/>
                <w:szCs w:val="21"/>
                <w:highlight w:val="none"/>
                <w14:textFill>
                  <w14:solidFill>
                    <w14:schemeClr w14:val="tx1"/>
                  </w14:solidFill>
                </w14:textFill>
              </w:rPr>
              <w:t>2</w:t>
            </w:r>
          </w:p>
        </w:tc>
        <w:tc>
          <w:tcPr>
            <w:tcW w:w="322"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center"/>
          </w:tcPr>
          <w:p>
            <w:pPr>
              <w:widowControl/>
              <w:jc w:val="left"/>
              <w:textAlignment w:val="bottom"/>
              <w:rPr>
                <w:rFonts w:ascii="Garamond" w:hAnsi="Garamond" w:cs="Arial"/>
                <w:color w:val="000000" w:themeColor="text1"/>
                <w:kern w:val="0"/>
                <w:szCs w:val="21"/>
                <w:highlight w:val="none"/>
                <w14:textFill>
                  <w14:solidFill>
                    <w14:schemeClr w14:val="tx1"/>
                  </w14:solidFill>
                </w14:textFill>
              </w:rPr>
            </w:pPr>
          </w:p>
        </w:tc>
        <w:tc>
          <w:tcPr>
            <w:tcW w:w="213"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center"/>
          </w:tcPr>
          <w:p>
            <w:pPr>
              <w:widowControl/>
              <w:jc w:val="left"/>
              <w:textAlignment w:val="bottom"/>
              <w:rPr>
                <w:rFonts w:ascii="Garamond" w:hAnsi="Garamond" w:cs="Arial"/>
                <w:color w:val="000000" w:themeColor="text1"/>
                <w:kern w:val="0"/>
                <w:szCs w:val="21"/>
                <w:highlight w:val="none"/>
                <w14:textFill>
                  <w14:solidFill>
                    <w14:schemeClr w14:val="tx1"/>
                  </w14:solidFill>
                </w14:textFill>
              </w:rPr>
            </w:pPr>
          </w:p>
        </w:tc>
        <w:tc>
          <w:tcPr>
            <w:tcW w:w="613"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center"/>
          </w:tcPr>
          <w:p>
            <w:pPr>
              <w:widowControl/>
              <w:jc w:val="left"/>
              <w:textAlignment w:val="bottom"/>
              <w:rPr>
                <w:rFonts w:ascii="Garamond" w:hAnsi="Garamond" w:cs="Arial"/>
                <w:color w:val="000000" w:themeColor="text1"/>
                <w:kern w:val="0"/>
                <w:szCs w:val="21"/>
                <w:highlight w:val="none"/>
                <w14:textFill>
                  <w14:solidFill>
                    <w14:schemeClr w14:val="tx1"/>
                  </w14:solidFill>
                </w14:textFill>
              </w:rPr>
            </w:pPr>
          </w:p>
        </w:tc>
        <w:tc>
          <w:tcPr>
            <w:tcW w:w="613"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center"/>
          </w:tcPr>
          <w:p>
            <w:pPr>
              <w:widowControl/>
              <w:jc w:val="left"/>
              <w:textAlignment w:val="bottom"/>
              <w:rPr>
                <w:rFonts w:ascii="Garamond" w:hAnsi="Garamond" w:cs="Arial"/>
                <w:color w:val="000000" w:themeColor="text1"/>
                <w:kern w:val="0"/>
                <w:szCs w:val="21"/>
                <w:highlight w:val="none"/>
                <w14:textFill>
                  <w14:solidFill>
                    <w14:schemeClr w14:val="tx1"/>
                  </w14:solidFill>
                </w14:textFill>
              </w:rPr>
            </w:pPr>
          </w:p>
        </w:tc>
        <w:tc>
          <w:tcPr>
            <w:tcW w:w="689"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center"/>
          </w:tcPr>
          <w:p>
            <w:pPr>
              <w:widowControl/>
              <w:jc w:val="left"/>
              <w:textAlignment w:val="bottom"/>
              <w:rPr>
                <w:rFonts w:ascii="Garamond" w:hAnsi="Garamond" w:cs="Arial"/>
                <w:color w:val="000000" w:themeColor="text1"/>
                <w:kern w:val="0"/>
                <w:szCs w:val="21"/>
                <w:highlight w:val="none"/>
                <w14:textFill>
                  <w14:solidFill>
                    <w14:schemeClr w14:val="tx1"/>
                  </w14:solidFill>
                </w14:textFill>
              </w:rPr>
            </w:pPr>
          </w:p>
        </w:tc>
        <w:tc>
          <w:tcPr>
            <w:tcW w:w="842"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center"/>
          </w:tcPr>
          <w:p>
            <w:pPr>
              <w:widowControl/>
              <w:jc w:val="left"/>
              <w:textAlignment w:val="bottom"/>
              <w:rPr>
                <w:rFonts w:ascii="Garamond" w:hAnsi="Garamond" w:cs="Arial"/>
                <w:color w:val="000000" w:themeColor="text1"/>
                <w:kern w:val="0"/>
                <w:szCs w:val="21"/>
                <w:highlight w:val="none"/>
                <w14:textFill>
                  <w14:solidFill>
                    <w14:schemeClr w14:val="tx1"/>
                  </w14:solidFill>
                </w14:textFill>
              </w:rPr>
            </w:pPr>
          </w:p>
        </w:tc>
        <w:tc>
          <w:tcPr>
            <w:tcW w:w="1548"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center"/>
          </w:tcPr>
          <w:p>
            <w:pPr>
              <w:widowControl/>
              <w:jc w:val="left"/>
              <w:textAlignment w:val="bottom"/>
              <w:rPr>
                <w:rFonts w:ascii="Garamond" w:hAnsi="Garamond" w:cs="Arial"/>
                <w:color w:val="000000" w:themeColor="text1"/>
                <w:kern w:val="0"/>
                <w:szCs w:val="21"/>
                <w:highlight w:val="none"/>
                <w14:textFill>
                  <w14:solidFill>
                    <w14:schemeClr w14:val="tx1"/>
                  </w14:solidFill>
                </w14:textFill>
              </w:rPr>
            </w:pPr>
          </w:p>
        </w:tc>
      </w:tr>
    </w:tbl>
    <w:p>
      <w:pPr>
        <w:widowControl/>
        <w:jc w:val="left"/>
        <w:rPr>
          <w:rFonts w:ascii="Garamond" w:hAnsi="Garamond"/>
          <w:b/>
          <w:bCs/>
          <w:color w:val="000000" w:themeColor="text1"/>
          <w:highlight w:val="none"/>
          <w14:textFill>
            <w14:solidFill>
              <w14:schemeClr w14:val="tx1"/>
            </w14:solidFill>
          </w14:textFill>
        </w:rPr>
      </w:pPr>
    </w:p>
    <w:p>
      <w:pPr>
        <w:keepNext/>
        <w:keepLines/>
        <w:adjustRightInd w:val="0"/>
        <w:snapToGrid w:val="0"/>
        <w:spacing w:line="360" w:lineRule="auto"/>
        <w:rPr>
          <w:rFonts w:ascii="宋体" w:hAnsi="宋体" w:cs="宋体"/>
          <w:szCs w:val="21"/>
          <w:highlight w:val="none"/>
        </w:rPr>
      </w:pPr>
      <w:r>
        <w:rPr>
          <w:rFonts w:hint="eastAsia" w:ascii="宋体" w:hAnsi="宋体" w:cs="宋体"/>
          <w:b/>
          <w:bCs/>
          <w:szCs w:val="21"/>
          <w:highlight w:val="none"/>
        </w:rPr>
        <w:t>注：</w:t>
      </w:r>
      <w:r>
        <w:rPr>
          <w:rFonts w:hint="eastAsia" w:ascii="宋体" w:hAnsi="宋体" w:cs="宋体"/>
          <w:szCs w:val="21"/>
          <w:highlight w:val="none"/>
        </w:rPr>
        <w:t>本表后附拟投入本标段主要人员（至少包括项目负责人）业绩证明材料（至少包括合同和检测报告两项材料，若此两项材料不能全面反映审查要求的内容，应再另外提供其他证明材料）的彩色复印件或彩色扫描件。</w:t>
      </w:r>
    </w:p>
    <w:p>
      <w:pPr>
        <w:widowControl/>
        <w:jc w:val="left"/>
        <w:rPr>
          <w:rFonts w:ascii="Garamond" w:hAnsi="Garamond"/>
          <w:b/>
          <w:bCs/>
          <w:color w:val="000000" w:themeColor="text1"/>
          <w:highlight w:val="none"/>
          <w14:textFill>
            <w14:solidFill>
              <w14:schemeClr w14:val="tx1"/>
            </w14:solidFill>
          </w14:textFill>
        </w:rPr>
      </w:pPr>
    </w:p>
    <w:p>
      <w:pPr>
        <w:widowControl/>
        <w:jc w:val="left"/>
        <w:rPr>
          <w:rFonts w:ascii="Garamond" w:hAnsi="Garamond"/>
          <w:b/>
          <w:bCs/>
          <w:color w:val="000000" w:themeColor="text1"/>
          <w:highlight w:val="none"/>
          <w14:textFill>
            <w14:solidFill>
              <w14:schemeClr w14:val="tx1"/>
            </w14:solidFill>
          </w14:textFill>
        </w:rPr>
      </w:pPr>
    </w:p>
    <w:p>
      <w:pPr>
        <w:widowControl/>
        <w:jc w:val="left"/>
        <w:rPr>
          <w:rFonts w:ascii="Garamond" w:hAnsi="Garamond"/>
          <w:b/>
          <w:bCs/>
          <w:color w:val="000000" w:themeColor="text1"/>
          <w:highlight w:val="none"/>
          <w14:textFill>
            <w14:solidFill>
              <w14:schemeClr w14:val="tx1"/>
            </w14:solidFill>
          </w14:textFill>
        </w:rPr>
      </w:pPr>
    </w:p>
    <w:p>
      <w:pPr>
        <w:widowControl/>
        <w:jc w:val="left"/>
        <w:rPr>
          <w:rFonts w:ascii="Garamond" w:hAnsi="Garamond"/>
          <w:b/>
          <w:bCs/>
          <w:color w:val="000000" w:themeColor="text1"/>
          <w:highlight w:val="none"/>
          <w14:textFill>
            <w14:solidFill>
              <w14:schemeClr w14:val="tx1"/>
            </w14:solidFill>
          </w14:textFill>
        </w:rPr>
      </w:pPr>
      <w:r>
        <w:rPr>
          <w:rFonts w:ascii="Garamond" w:hAnsi="Garamond"/>
          <w:b/>
          <w:bCs/>
          <w:color w:val="000000" w:themeColor="text1"/>
          <w:highlight w:val="none"/>
          <w14:textFill>
            <w14:solidFill>
              <w14:schemeClr w14:val="tx1"/>
            </w14:solidFill>
          </w14:textFill>
        </w:rPr>
        <w:br w:type="page"/>
      </w:r>
    </w:p>
    <w:p>
      <w:pPr>
        <w:pStyle w:val="11"/>
        <w:ind w:firstLine="0"/>
        <w:jc w:val="center"/>
        <w:rPr>
          <w:rFonts w:ascii="Garamond" w:hAnsi="Garamond"/>
          <w:b/>
          <w:bCs/>
          <w:color w:val="000000" w:themeColor="text1"/>
          <w:highlight w:val="none"/>
          <w:u w:val="single"/>
          <w14:textFill>
            <w14:solidFill>
              <w14:schemeClr w14:val="tx1"/>
            </w14:solidFill>
          </w14:textFill>
        </w:rPr>
      </w:pPr>
      <w:r>
        <w:rPr>
          <w:rFonts w:ascii="Garamond" w:hAnsi="Garamond"/>
          <w:b/>
          <w:bCs/>
          <w:color w:val="000000" w:themeColor="text1"/>
          <w:highlight w:val="none"/>
          <w:u w:val="single"/>
          <w14:textFill>
            <w14:solidFill>
              <w14:schemeClr w14:val="tx1"/>
            </w14:solidFill>
          </w14:textFill>
        </w:rPr>
        <w:t>表</w:t>
      </w:r>
      <w:r>
        <w:rPr>
          <w:rFonts w:hint="eastAsia" w:ascii="Garamond" w:hAnsi="Garamond"/>
          <w:b/>
          <w:bCs/>
          <w:color w:val="000000" w:themeColor="text1"/>
          <w:highlight w:val="none"/>
          <w:u w:val="single"/>
          <w14:textFill>
            <w14:solidFill>
              <w14:schemeClr w14:val="tx1"/>
            </w14:solidFill>
          </w14:textFill>
        </w:rPr>
        <w:t>4</w:t>
      </w:r>
      <w:r>
        <w:rPr>
          <w:rFonts w:ascii="Garamond" w:hAnsi="Garamond"/>
          <w:b/>
          <w:bCs/>
          <w:color w:val="000000" w:themeColor="text1"/>
          <w:highlight w:val="none"/>
          <w:u w:val="single"/>
          <w14:textFill>
            <w14:solidFill>
              <w14:schemeClr w14:val="tx1"/>
            </w14:solidFill>
          </w14:textFill>
        </w:rPr>
        <w:t xml:space="preserve"> 已建工程表</w:t>
      </w:r>
    </w:p>
    <w:tbl>
      <w:tblPr>
        <w:tblStyle w:val="44"/>
        <w:tblW w:w="5000" w:type="pct"/>
        <w:tblInd w:w="0" w:type="dxa"/>
        <w:tblLayout w:type="autofit"/>
        <w:tblCellMar>
          <w:top w:w="0" w:type="dxa"/>
          <w:left w:w="0" w:type="dxa"/>
          <w:bottom w:w="0" w:type="dxa"/>
          <w:right w:w="0" w:type="dxa"/>
        </w:tblCellMar>
      </w:tblPr>
      <w:tblGrid>
        <w:gridCol w:w="2315"/>
        <w:gridCol w:w="2315"/>
        <w:gridCol w:w="2316"/>
        <w:gridCol w:w="219"/>
        <w:gridCol w:w="2097"/>
      </w:tblGrid>
      <w:tr>
        <w:tblPrEx>
          <w:tblCellMar>
            <w:top w:w="0" w:type="dxa"/>
            <w:left w:w="0" w:type="dxa"/>
            <w:bottom w:w="0" w:type="dxa"/>
            <w:right w:w="0" w:type="dxa"/>
          </w:tblCellMar>
        </w:tblPrEx>
        <w:trPr>
          <w:trHeight w:val="420" w:hRule="atLeast"/>
        </w:trPr>
        <w:tc>
          <w:tcPr>
            <w:tcW w:w="5000" w:type="pct"/>
            <w:gridSpan w:val="5"/>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highlight w:val="none"/>
                <w14:textFill>
                  <w14:solidFill>
                    <w14:schemeClr w14:val="tx1"/>
                  </w14:solidFill>
                </w14:textFill>
              </w:rPr>
            </w:pPr>
            <w:r>
              <w:rPr>
                <w:rFonts w:ascii="Garamond" w:hAnsi="Garamond" w:cs="Arial"/>
                <w:color w:val="000000" w:themeColor="text1"/>
                <w:kern w:val="0"/>
                <w:szCs w:val="21"/>
                <w:highlight w:val="none"/>
                <w14:textFill>
                  <w14:solidFill>
                    <w14:schemeClr w14:val="tx1"/>
                  </w14:solidFill>
                </w14:textFill>
              </w:rPr>
              <w:t>(项目名称)</w:t>
            </w:r>
          </w:p>
        </w:tc>
      </w:tr>
      <w:tr>
        <w:tblPrEx>
          <w:tblCellMar>
            <w:top w:w="0" w:type="dxa"/>
            <w:left w:w="0" w:type="dxa"/>
            <w:bottom w:w="0" w:type="dxa"/>
            <w:right w:w="0" w:type="dxa"/>
          </w:tblCellMar>
        </w:tblPrEx>
        <w:trPr>
          <w:trHeight w:val="260" w:hRule="atLeast"/>
        </w:trPr>
        <w:tc>
          <w:tcPr>
            <w:tcW w:w="1250"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highlight w:val="none"/>
                <w14:textFill>
                  <w14:solidFill>
                    <w14:schemeClr w14:val="tx1"/>
                  </w14:solidFill>
                </w14:textFill>
              </w:rPr>
            </w:pPr>
            <w:r>
              <w:rPr>
                <w:rFonts w:ascii="Garamond" w:hAnsi="Garamond" w:cs="Arial"/>
                <w:color w:val="000000" w:themeColor="text1"/>
                <w:kern w:val="0"/>
                <w:szCs w:val="21"/>
                <w:highlight w:val="none"/>
                <w14:textFill>
                  <w14:solidFill>
                    <w14:schemeClr w14:val="tx1"/>
                  </w14:solidFill>
                </w14:textFill>
              </w:rPr>
              <w:t>工程地点:</w:t>
            </w:r>
          </w:p>
        </w:tc>
        <w:tc>
          <w:tcPr>
            <w:tcW w:w="3750" w:type="pct"/>
            <w:gridSpan w:val="4"/>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highlight w:val="none"/>
                <w14:textFill>
                  <w14:solidFill>
                    <w14:schemeClr w14:val="tx1"/>
                  </w14:solidFill>
                </w14:textFill>
              </w:rPr>
            </w:pPr>
          </w:p>
        </w:tc>
      </w:tr>
      <w:tr>
        <w:tblPrEx>
          <w:tblCellMar>
            <w:top w:w="0" w:type="dxa"/>
            <w:left w:w="0" w:type="dxa"/>
            <w:bottom w:w="0" w:type="dxa"/>
            <w:right w:w="0" w:type="dxa"/>
          </w:tblCellMar>
        </w:tblPrEx>
        <w:trPr>
          <w:trHeight w:val="260" w:hRule="atLeast"/>
        </w:trPr>
        <w:tc>
          <w:tcPr>
            <w:tcW w:w="1250"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highlight w:val="none"/>
                <w14:textFill>
                  <w14:solidFill>
                    <w14:schemeClr w14:val="tx1"/>
                  </w14:solidFill>
                </w14:textFill>
              </w:rPr>
            </w:pPr>
            <w:r>
              <w:rPr>
                <w:rFonts w:ascii="Garamond" w:hAnsi="Garamond" w:cs="Arial"/>
                <w:color w:val="000000" w:themeColor="text1"/>
                <w:kern w:val="0"/>
                <w:szCs w:val="21"/>
                <w:highlight w:val="none"/>
                <w14:textFill>
                  <w14:solidFill>
                    <w14:schemeClr w14:val="tx1"/>
                  </w14:solidFill>
                </w14:textFill>
              </w:rPr>
              <w:t>合同标段:</w:t>
            </w:r>
          </w:p>
        </w:tc>
        <w:tc>
          <w:tcPr>
            <w:tcW w:w="3750" w:type="pct"/>
            <w:gridSpan w:val="4"/>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highlight w:val="none"/>
                <w14:textFill>
                  <w14:solidFill>
                    <w14:schemeClr w14:val="tx1"/>
                  </w14:solidFill>
                </w14:textFill>
              </w:rPr>
            </w:pPr>
          </w:p>
        </w:tc>
      </w:tr>
      <w:tr>
        <w:tblPrEx>
          <w:tblCellMar>
            <w:top w:w="0" w:type="dxa"/>
            <w:left w:w="0" w:type="dxa"/>
            <w:bottom w:w="0" w:type="dxa"/>
            <w:right w:w="0" w:type="dxa"/>
          </w:tblCellMar>
        </w:tblPrEx>
        <w:trPr>
          <w:trHeight w:val="260" w:hRule="atLeast"/>
        </w:trPr>
        <w:tc>
          <w:tcPr>
            <w:tcW w:w="1250"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highlight w:val="none"/>
                <w14:textFill>
                  <w14:solidFill>
                    <w14:schemeClr w14:val="tx1"/>
                  </w14:solidFill>
                </w14:textFill>
              </w:rPr>
            </w:pPr>
            <w:r>
              <w:rPr>
                <w:rFonts w:ascii="Garamond" w:hAnsi="Garamond" w:cs="Arial"/>
                <w:color w:val="000000" w:themeColor="text1"/>
                <w:kern w:val="0"/>
                <w:szCs w:val="21"/>
                <w:highlight w:val="none"/>
                <w14:textFill>
                  <w14:solidFill>
                    <w14:schemeClr w14:val="tx1"/>
                  </w14:solidFill>
                </w14:textFill>
              </w:rPr>
              <w:t>合同价(元):</w:t>
            </w:r>
          </w:p>
        </w:tc>
        <w:tc>
          <w:tcPr>
            <w:tcW w:w="1250"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highlight w:val="none"/>
                <w14:textFill>
                  <w14:solidFill>
                    <w14:schemeClr w14:val="tx1"/>
                  </w14:solidFill>
                </w14:textFill>
              </w:rPr>
            </w:pPr>
          </w:p>
        </w:tc>
        <w:tc>
          <w:tcPr>
            <w:tcW w:w="1250"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highlight w:val="none"/>
                <w14:textFill>
                  <w14:solidFill>
                    <w14:schemeClr w14:val="tx1"/>
                  </w14:solidFill>
                </w14:textFill>
              </w:rPr>
            </w:pPr>
            <w:r>
              <w:rPr>
                <w:rFonts w:ascii="Garamond" w:hAnsi="Garamond" w:cs="Arial"/>
                <w:color w:val="000000" w:themeColor="text1"/>
                <w:kern w:val="0"/>
                <w:szCs w:val="21"/>
                <w:highlight w:val="none"/>
                <w14:textFill>
                  <w14:solidFill>
                    <w14:schemeClr w14:val="tx1"/>
                  </w14:solidFill>
                </w14:textFill>
              </w:rPr>
              <w:t>竣工质量评定：</w:t>
            </w:r>
          </w:p>
        </w:tc>
        <w:tc>
          <w:tcPr>
            <w:tcW w:w="1250" w:type="pct"/>
            <w:gridSpan w:val="2"/>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highlight w:val="none"/>
                <w14:textFill>
                  <w14:solidFill>
                    <w14:schemeClr w14:val="tx1"/>
                  </w14:solidFill>
                </w14:textFill>
              </w:rPr>
            </w:pPr>
          </w:p>
        </w:tc>
      </w:tr>
      <w:tr>
        <w:tblPrEx>
          <w:tblCellMar>
            <w:top w:w="0" w:type="dxa"/>
            <w:left w:w="0" w:type="dxa"/>
            <w:bottom w:w="0" w:type="dxa"/>
            <w:right w:w="0" w:type="dxa"/>
          </w:tblCellMar>
        </w:tblPrEx>
        <w:trPr>
          <w:trHeight w:val="260" w:hRule="atLeast"/>
        </w:trPr>
        <w:tc>
          <w:tcPr>
            <w:tcW w:w="1250"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highlight w:val="none"/>
                <w14:textFill>
                  <w14:solidFill>
                    <w14:schemeClr w14:val="tx1"/>
                  </w14:solidFill>
                </w14:textFill>
              </w:rPr>
            </w:pPr>
            <w:r>
              <w:rPr>
                <w:rFonts w:ascii="Garamond" w:hAnsi="Garamond" w:cs="Arial"/>
                <w:color w:val="000000" w:themeColor="text1"/>
                <w:kern w:val="0"/>
                <w:szCs w:val="21"/>
                <w:highlight w:val="none"/>
                <w14:textFill>
                  <w14:solidFill>
                    <w14:schemeClr w14:val="tx1"/>
                  </w14:solidFill>
                </w14:textFill>
              </w:rPr>
              <w:t>项目负责人:</w:t>
            </w:r>
          </w:p>
        </w:tc>
        <w:tc>
          <w:tcPr>
            <w:tcW w:w="3750" w:type="pct"/>
            <w:gridSpan w:val="4"/>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highlight w:val="none"/>
                <w14:textFill>
                  <w14:solidFill>
                    <w14:schemeClr w14:val="tx1"/>
                  </w14:solidFill>
                </w14:textFill>
              </w:rPr>
            </w:pPr>
          </w:p>
        </w:tc>
      </w:tr>
      <w:tr>
        <w:tblPrEx>
          <w:tblCellMar>
            <w:top w:w="0" w:type="dxa"/>
            <w:left w:w="0" w:type="dxa"/>
            <w:bottom w:w="0" w:type="dxa"/>
            <w:right w:w="0" w:type="dxa"/>
          </w:tblCellMar>
        </w:tblPrEx>
        <w:trPr>
          <w:trHeight w:val="260" w:hRule="atLeast"/>
        </w:trPr>
        <w:tc>
          <w:tcPr>
            <w:tcW w:w="1250"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highlight w:val="none"/>
                <w14:textFill>
                  <w14:solidFill>
                    <w14:schemeClr w14:val="tx1"/>
                  </w14:solidFill>
                </w14:textFill>
              </w:rPr>
            </w:pPr>
            <w:r>
              <w:rPr>
                <w:rFonts w:ascii="Garamond" w:hAnsi="Garamond" w:cs="Arial"/>
                <w:color w:val="000000" w:themeColor="text1"/>
                <w:kern w:val="0"/>
                <w:szCs w:val="21"/>
                <w:highlight w:val="none"/>
                <w14:textFill>
                  <w14:solidFill>
                    <w14:schemeClr w14:val="tx1"/>
                  </w14:solidFill>
                </w14:textFill>
              </w:rPr>
              <w:t>开始时间：</w:t>
            </w:r>
          </w:p>
        </w:tc>
        <w:tc>
          <w:tcPr>
            <w:tcW w:w="1250"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highlight w:val="none"/>
                <w14:textFill>
                  <w14:solidFill>
                    <w14:schemeClr w14:val="tx1"/>
                  </w14:solidFill>
                </w14:textFill>
              </w:rPr>
            </w:pPr>
          </w:p>
        </w:tc>
        <w:tc>
          <w:tcPr>
            <w:tcW w:w="1250"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highlight w:val="none"/>
                <w14:textFill>
                  <w14:solidFill>
                    <w14:schemeClr w14:val="tx1"/>
                  </w14:solidFill>
                </w14:textFill>
              </w:rPr>
            </w:pPr>
            <w:r>
              <w:rPr>
                <w:rFonts w:ascii="Garamond" w:hAnsi="Garamond" w:cs="Arial"/>
                <w:color w:val="000000" w:themeColor="text1"/>
                <w:kern w:val="0"/>
                <w:szCs w:val="21"/>
                <w:highlight w:val="none"/>
                <w14:textFill>
                  <w14:solidFill>
                    <w14:schemeClr w14:val="tx1"/>
                  </w14:solidFill>
                </w14:textFill>
              </w:rPr>
              <w:t>结束时间：</w:t>
            </w:r>
          </w:p>
        </w:tc>
        <w:tc>
          <w:tcPr>
            <w:tcW w:w="1250" w:type="pct"/>
            <w:gridSpan w:val="2"/>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highlight w:val="none"/>
                <w14:textFill>
                  <w14:solidFill>
                    <w14:schemeClr w14:val="tx1"/>
                  </w14:solidFill>
                </w14:textFill>
              </w:rPr>
            </w:pPr>
          </w:p>
        </w:tc>
      </w:tr>
      <w:tr>
        <w:tblPrEx>
          <w:tblCellMar>
            <w:top w:w="0" w:type="dxa"/>
            <w:left w:w="0" w:type="dxa"/>
            <w:bottom w:w="0" w:type="dxa"/>
            <w:right w:w="0" w:type="dxa"/>
          </w:tblCellMar>
        </w:tblPrEx>
        <w:trPr>
          <w:trHeight w:val="260" w:hRule="atLeast"/>
        </w:trPr>
        <w:tc>
          <w:tcPr>
            <w:tcW w:w="1250"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highlight w:val="none"/>
                <w14:textFill>
                  <w14:solidFill>
                    <w14:schemeClr w14:val="tx1"/>
                  </w14:solidFill>
                </w14:textFill>
              </w:rPr>
            </w:pPr>
            <w:r>
              <w:rPr>
                <w:rFonts w:ascii="Garamond" w:hAnsi="Garamond" w:cs="Arial"/>
                <w:color w:val="000000" w:themeColor="text1"/>
                <w:kern w:val="0"/>
                <w:szCs w:val="21"/>
                <w:highlight w:val="none"/>
                <w14:textFill>
                  <w14:solidFill>
                    <w14:schemeClr w14:val="tx1"/>
                  </w14:solidFill>
                </w14:textFill>
              </w:rPr>
              <w:t>二任项目负责人:</w:t>
            </w:r>
          </w:p>
        </w:tc>
        <w:tc>
          <w:tcPr>
            <w:tcW w:w="3750" w:type="pct"/>
            <w:gridSpan w:val="4"/>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highlight w:val="none"/>
                <w14:textFill>
                  <w14:solidFill>
                    <w14:schemeClr w14:val="tx1"/>
                  </w14:solidFill>
                </w14:textFill>
              </w:rPr>
            </w:pPr>
          </w:p>
        </w:tc>
      </w:tr>
      <w:tr>
        <w:tblPrEx>
          <w:tblCellMar>
            <w:top w:w="0" w:type="dxa"/>
            <w:left w:w="0" w:type="dxa"/>
            <w:bottom w:w="0" w:type="dxa"/>
            <w:right w:w="0" w:type="dxa"/>
          </w:tblCellMar>
        </w:tblPrEx>
        <w:trPr>
          <w:trHeight w:val="260" w:hRule="atLeast"/>
        </w:trPr>
        <w:tc>
          <w:tcPr>
            <w:tcW w:w="1250"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highlight w:val="none"/>
                <w14:textFill>
                  <w14:solidFill>
                    <w14:schemeClr w14:val="tx1"/>
                  </w14:solidFill>
                </w14:textFill>
              </w:rPr>
            </w:pPr>
            <w:r>
              <w:rPr>
                <w:rFonts w:ascii="Garamond" w:hAnsi="Garamond" w:cs="Arial"/>
                <w:color w:val="000000" w:themeColor="text1"/>
                <w:kern w:val="0"/>
                <w:szCs w:val="21"/>
                <w:highlight w:val="none"/>
                <w14:textFill>
                  <w14:solidFill>
                    <w14:schemeClr w14:val="tx1"/>
                  </w14:solidFill>
                </w14:textFill>
              </w:rPr>
              <w:t>开始时间：</w:t>
            </w:r>
          </w:p>
        </w:tc>
        <w:tc>
          <w:tcPr>
            <w:tcW w:w="1250"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highlight w:val="none"/>
                <w14:textFill>
                  <w14:solidFill>
                    <w14:schemeClr w14:val="tx1"/>
                  </w14:solidFill>
                </w14:textFill>
              </w:rPr>
            </w:pPr>
          </w:p>
        </w:tc>
        <w:tc>
          <w:tcPr>
            <w:tcW w:w="1250"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highlight w:val="none"/>
                <w14:textFill>
                  <w14:solidFill>
                    <w14:schemeClr w14:val="tx1"/>
                  </w14:solidFill>
                </w14:textFill>
              </w:rPr>
            </w:pPr>
            <w:r>
              <w:rPr>
                <w:rFonts w:ascii="Garamond" w:hAnsi="Garamond" w:cs="Arial"/>
                <w:color w:val="000000" w:themeColor="text1"/>
                <w:kern w:val="0"/>
                <w:szCs w:val="21"/>
                <w:highlight w:val="none"/>
                <w14:textFill>
                  <w14:solidFill>
                    <w14:schemeClr w14:val="tx1"/>
                  </w14:solidFill>
                </w14:textFill>
              </w:rPr>
              <w:t>结束时间：</w:t>
            </w:r>
          </w:p>
        </w:tc>
        <w:tc>
          <w:tcPr>
            <w:tcW w:w="1250" w:type="pct"/>
            <w:gridSpan w:val="2"/>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highlight w:val="none"/>
                <w14:textFill>
                  <w14:solidFill>
                    <w14:schemeClr w14:val="tx1"/>
                  </w14:solidFill>
                </w14:textFill>
              </w:rPr>
            </w:pPr>
          </w:p>
        </w:tc>
      </w:tr>
      <w:tr>
        <w:trPr>
          <w:trHeight w:val="260" w:hRule="atLeast"/>
        </w:trPr>
        <w:tc>
          <w:tcPr>
            <w:tcW w:w="1250"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highlight w:val="none"/>
                <w14:textFill>
                  <w14:solidFill>
                    <w14:schemeClr w14:val="tx1"/>
                  </w14:solidFill>
                </w14:textFill>
              </w:rPr>
            </w:pPr>
            <w:r>
              <w:rPr>
                <w:rFonts w:ascii="Garamond" w:hAnsi="Garamond" w:cs="Arial"/>
                <w:color w:val="000000" w:themeColor="text1"/>
                <w:kern w:val="0"/>
                <w:szCs w:val="21"/>
                <w:highlight w:val="none"/>
                <w14:textFill>
                  <w14:solidFill>
                    <w14:schemeClr w14:val="tx1"/>
                  </w14:solidFill>
                </w14:textFill>
              </w:rPr>
              <w:t>三任项目负责人:</w:t>
            </w:r>
          </w:p>
        </w:tc>
        <w:tc>
          <w:tcPr>
            <w:tcW w:w="3750" w:type="pct"/>
            <w:gridSpan w:val="4"/>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highlight w:val="none"/>
                <w14:textFill>
                  <w14:solidFill>
                    <w14:schemeClr w14:val="tx1"/>
                  </w14:solidFill>
                </w14:textFill>
              </w:rPr>
            </w:pPr>
          </w:p>
        </w:tc>
      </w:tr>
      <w:tr>
        <w:tblPrEx>
          <w:tblCellMar>
            <w:top w:w="0" w:type="dxa"/>
            <w:left w:w="0" w:type="dxa"/>
            <w:bottom w:w="0" w:type="dxa"/>
            <w:right w:w="0" w:type="dxa"/>
          </w:tblCellMar>
        </w:tblPrEx>
        <w:trPr>
          <w:trHeight w:val="260" w:hRule="atLeast"/>
        </w:trPr>
        <w:tc>
          <w:tcPr>
            <w:tcW w:w="1250"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highlight w:val="none"/>
                <w14:textFill>
                  <w14:solidFill>
                    <w14:schemeClr w14:val="tx1"/>
                  </w14:solidFill>
                </w14:textFill>
              </w:rPr>
            </w:pPr>
            <w:r>
              <w:rPr>
                <w:rFonts w:ascii="Garamond" w:hAnsi="Garamond" w:cs="Arial"/>
                <w:color w:val="000000" w:themeColor="text1"/>
                <w:kern w:val="0"/>
                <w:szCs w:val="21"/>
                <w:highlight w:val="none"/>
                <w14:textFill>
                  <w14:solidFill>
                    <w14:schemeClr w14:val="tx1"/>
                  </w14:solidFill>
                </w14:textFill>
              </w:rPr>
              <w:t>开始时间：</w:t>
            </w:r>
          </w:p>
        </w:tc>
        <w:tc>
          <w:tcPr>
            <w:tcW w:w="1250"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highlight w:val="none"/>
                <w14:textFill>
                  <w14:solidFill>
                    <w14:schemeClr w14:val="tx1"/>
                  </w14:solidFill>
                </w14:textFill>
              </w:rPr>
            </w:pPr>
          </w:p>
        </w:tc>
        <w:tc>
          <w:tcPr>
            <w:tcW w:w="1250"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highlight w:val="none"/>
                <w14:textFill>
                  <w14:solidFill>
                    <w14:schemeClr w14:val="tx1"/>
                  </w14:solidFill>
                </w14:textFill>
              </w:rPr>
            </w:pPr>
            <w:r>
              <w:rPr>
                <w:rFonts w:ascii="Garamond" w:hAnsi="Garamond" w:cs="Arial"/>
                <w:color w:val="000000" w:themeColor="text1"/>
                <w:kern w:val="0"/>
                <w:szCs w:val="21"/>
                <w:highlight w:val="none"/>
                <w14:textFill>
                  <w14:solidFill>
                    <w14:schemeClr w14:val="tx1"/>
                  </w14:solidFill>
                </w14:textFill>
              </w:rPr>
              <w:t>结束时间：</w:t>
            </w:r>
          </w:p>
        </w:tc>
        <w:tc>
          <w:tcPr>
            <w:tcW w:w="1250" w:type="pct"/>
            <w:gridSpan w:val="2"/>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highlight w:val="none"/>
                <w14:textFill>
                  <w14:solidFill>
                    <w14:schemeClr w14:val="tx1"/>
                  </w14:solidFill>
                </w14:textFill>
              </w:rPr>
            </w:pPr>
          </w:p>
        </w:tc>
      </w:tr>
      <w:tr>
        <w:tblPrEx>
          <w:tblCellMar>
            <w:top w:w="0" w:type="dxa"/>
            <w:left w:w="0" w:type="dxa"/>
            <w:bottom w:w="0" w:type="dxa"/>
            <w:right w:w="0" w:type="dxa"/>
          </w:tblCellMar>
        </w:tblPrEx>
        <w:trPr>
          <w:trHeight w:val="260" w:hRule="atLeast"/>
        </w:trPr>
        <w:tc>
          <w:tcPr>
            <w:tcW w:w="1250"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highlight w:val="none"/>
                <w14:textFill>
                  <w14:solidFill>
                    <w14:schemeClr w14:val="tx1"/>
                  </w14:solidFill>
                </w14:textFill>
              </w:rPr>
            </w:pPr>
            <w:r>
              <w:rPr>
                <w:rFonts w:ascii="Garamond" w:hAnsi="Garamond" w:cs="Arial"/>
                <w:color w:val="000000" w:themeColor="text1"/>
                <w:kern w:val="0"/>
                <w:szCs w:val="21"/>
                <w:highlight w:val="none"/>
                <w14:textFill>
                  <w14:solidFill>
                    <w14:schemeClr w14:val="tx1"/>
                  </w14:solidFill>
                </w14:textFill>
              </w:rPr>
              <w:t>四任项目负责人:</w:t>
            </w:r>
          </w:p>
        </w:tc>
        <w:tc>
          <w:tcPr>
            <w:tcW w:w="3750" w:type="pct"/>
            <w:gridSpan w:val="4"/>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highlight w:val="none"/>
                <w14:textFill>
                  <w14:solidFill>
                    <w14:schemeClr w14:val="tx1"/>
                  </w14:solidFill>
                </w14:textFill>
              </w:rPr>
            </w:pPr>
          </w:p>
        </w:tc>
      </w:tr>
      <w:tr>
        <w:tblPrEx>
          <w:tblCellMar>
            <w:top w:w="0" w:type="dxa"/>
            <w:left w:w="0" w:type="dxa"/>
            <w:bottom w:w="0" w:type="dxa"/>
            <w:right w:w="0" w:type="dxa"/>
          </w:tblCellMar>
        </w:tblPrEx>
        <w:trPr>
          <w:trHeight w:val="260" w:hRule="atLeast"/>
        </w:trPr>
        <w:tc>
          <w:tcPr>
            <w:tcW w:w="1250"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highlight w:val="none"/>
                <w14:textFill>
                  <w14:solidFill>
                    <w14:schemeClr w14:val="tx1"/>
                  </w14:solidFill>
                </w14:textFill>
              </w:rPr>
            </w:pPr>
            <w:r>
              <w:rPr>
                <w:rFonts w:ascii="Garamond" w:hAnsi="Garamond" w:cs="Arial"/>
                <w:color w:val="000000" w:themeColor="text1"/>
                <w:kern w:val="0"/>
                <w:szCs w:val="21"/>
                <w:highlight w:val="none"/>
                <w14:textFill>
                  <w14:solidFill>
                    <w14:schemeClr w14:val="tx1"/>
                  </w14:solidFill>
                </w14:textFill>
              </w:rPr>
              <w:t>开始时间：</w:t>
            </w:r>
          </w:p>
        </w:tc>
        <w:tc>
          <w:tcPr>
            <w:tcW w:w="1250"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highlight w:val="none"/>
                <w14:textFill>
                  <w14:solidFill>
                    <w14:schemeClr w14:val="tx1"/>
                  </w14:solidFill>
                </w14:textFill>
              </w:rPr>
            </w:pPr>
          </w:p>
        </w:tc>
        <w:tc>
          <w:tcPr>
            <w:tcW w:w="1250"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highlight w:val="none"/>
                <w14:textFill>
                  <w14:solidFill>
                    <w14:schemeClr w14:val="tx1"/>
                  </w14:solidFill>
                </w14:textFill>
              </w:rPr>
            </w:pPr>
            <w:r>
              <w:rPr>
                <w:rFonts w:ascii="Garamond" w:hAnsi="Garamond" w:cs="Arial"/>
                <w:color w:val="000000" w:themeColor="text1"/>
                <w:kern w:val="0"/>
                <w:szCs w:val="21"/>
                <w:highlight w:val="none"/>
                <w14:textFill>
                  <w14:solidFill>
                    <w14:schemeClr w14:val="tx1"/>
                  </w14:solidFill>
                </w14:textFill>
              </w:rPr>
              <w:t>结束时间：</w:t>
            </w:r>
          </w:p>
        </w:tc>
        <w:tc>
          <w:tcPr>
            <w:tcW w:w="1250" w:type="pct"/>
            <w:gridSpan w:val="2"/>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highlight w:val="none"/>
                <w14:textFill>
                  <w14:solidFill>
                    <w14:schemeClr w14:val="tx1"/>
                  </w14:solidFill>
                </w14:textFill>
              </w:rPr>
            </w:pPr>
          </w:p>
        </w:tc>
      </w:tr>
      <w:tr>
        <w:tblPrEx>
          <w:tblCellMar>
            <w:top w:w="0" w:type="dxa"/>
            <w:left w:w="0" w:type="dxa"/>
            <w:bottom w:w="0" w:type="dxa"/>
            <w:right w:w="0" w:type="dxa"/>
          </w:tblCellMar>
        </w:tblPrEx>
        <w:trPr>
          <w:trHeight w:val="260" w:hRule="atLeast"/>
        </w:trPr>
        <w:tc>
          <w:tcPr>
            <w:tcW w:w="1250"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highlight w:val="none"/>
                <w14:textFill>
                  <w14:solidFill>
                    <w14:schemeClr w14:val="tx1"/>
                  </w14:solidFill>
                </w14:textFill>
              </w:rPr>
            </w:pPr>
            <w:r>
              <w:rPr>
                <w:rFonts w:ascii="Garamond" w:hAnsi="Garamond" w:cs="Arial"/>
                <w:color w:val="000000" w:themeColor="text1"/>
                <w:kern w:val="0"/>
                <w:szCs w:val="21"/>
                <w:highlight w:val="none"/>
                <w14:textFill>
                  <w14:solidFill>
                    <w14:schemeClr w14:val="tx1"/>
                  </w14:solidFill>
                </w14:textFill>
              </w:rPr>
              <w:t>技术负责人：</w:t>
            </w:r>
          </w:p>
        </w:tc>
        <w:tc>
          <w:tcPr>
            <w:tcW w:w="3750" w:type="pct"/>
            <w:gridSpan w:val="4"/>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highlight w:val="none"/>
                <w14:textFill>
                  <w14:solidFill>
                    <w14:schemeClr w14:val="tx1"/>
                  </w14:solidFill>
                </w14:textFill>
              </w:rPr>
            </w:pPr>
          </w:p>
        </w:tc>
      </w:tr>
      <w:tr>
        <w:tblPrEx>
          <w:tblCellMar>
            <w:top w:w="0" w:type="dxa"/>
            <w:left w:w="0" w:type="dxa"/>
            <w:bottom w:w="0" w:type="dxa"/>
            <w:right w:w="0" w:type="dxa"/>
          </w:tblCellMar>
        </w:tblPrEx>
        <w:trPr>
          <w:trHeight w:val="260" w:hRule="atLeast"/>
        </w:trPr>
        <w:tc>
          <w:tcPr>
            <w:tcW w:w="1250"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highlight w:val="none"/>
                <w14:textFill>
                  <w14:solidFill>
                    <w14:schemeClr w14:val="tx1"/>
                  </w14:solidFill>
                </w14:textFill>
              </w:rPr>
            </w:pPr>
            <w:r>
              <w:rPr>
                <w:rFonts w:ascii="Garamond" w:hAnsi="Garamond" w:cs="Arial"/>
                <w:color w:val="000000" w:themeColor="text1"/>
                <w:kern w:val="0"/>
                <w:szCs w:val="21"/>
                <w:highlight w:val="none"/>
                <w14:textFill>
                  <w14:solidFill>
                    <w14:schemeClr w14:val="tx1"/>
                  </w14:solidFill>
                </w14:textFill>
              </w:rPr>
              <w:t>承建主体队伍:</w:t>
            </w:r>
          </w:p>
        </w:tc>
        <w:tc>
          <w:tcPr>
            <w:tcW w:w="3750" w:type="pct"/>
            <w:gridSpan w:val="4"/>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highlight w:val="none"/>
                <w14:textFill>
                  <w14:solidFill>
                    <w14:schemeClr w14:val="tx1"/>
                  </w14:solidFill>
                </w14:textFill>
              </w:rPr>
            </w:pPr>
          </w:p>
        </w:tc>
      </w:tr>
      <w:tr>
        <w:tblPrEx>
          <w:tblCellMar>
            <w:top w:w="0" w:type="dxa"/>
            <w:left w:w="0" w:type="dxa"/>
            <w:bottom w:w="0" w:type="dxa"/>
            <w:right w:w="0" w:type="dxa"/>
          </w:tblCellMar>
        </w:tblPrEx>
        <w:trPr>
          <w:trHeight w:val="260" w:hRule="atLeast"/>
        </w:trPr>
        <w:tc>
          <w:tcPr>
            <w:tcW w:w="1250"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highlight w:val="none"/>
                <w14:textFill>
                  <w14:solidFill>
                    <w14:schemeClr w14:val="tx1"/>
                  </w14:solidFill>
                </w14:textFill>
              </w:rPr>
            </w:pPr>
            <w:r>
              <w:rPr>
                <w:rFonts w:ascii="Garamond" w:hAnsi="Garamond" w:cs="Arial"/>
                <w:color w:val="000000" w:themeColor="text1"/>
                <w:kern w:val="0"/>
                <w:szCs w:val="21"/>
                <w:highlight w:val="none"/>
                <w14:textFill>
                  <w14:solidFill>
                    <w14:schemeClr w14:val="tx1"/>
                  </w14:solidFill>
                </w14:textFill>
              </w:rPr>
              <w:t>合同工期(天):</w:t>
            </w:r>
          </w:p>
        </w:tc>
        <w:tc>
          <w:tcPr>
            <w:tcW w:w="1250"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highlight w:val="none"/>
                <w14:textFill>
                  <w14:solidFill>
                    <w14:schemeClr w14:val="tx1"/>
                  </w14:solidFill>
                </w14:textFill>
              </w:rPr>
            </w:pPr>
          </w:p>
        </w:tc>
        <w:tc>
          <w:tcPr>
            <w:tcW w:w="1368" w:type="pct"/>
            <w:gridSpan w:val="2"/>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highlight w:val="none"/>
                <w14:textFill>
                  <w14:solidFill>
                    <w14:schemeClr w14:val="tx1"/>
                  </w14:solidFill>
                </w14:textFill>
              </w:rPr>
            </w:pPr>
            <w:r>
              <w:rPr>
                <w:rFonts w:ascii="Garamond" w:hAnsi="Garamond" w:cs="Arial"/>
                <w:color w:val="000000" w:themeColor="text1"/>
                <w:kern w:val="0"/>
                <w:szCs w:val="21"/>
                <w:highlight w:val="none"/>
                <w14:textFill>
                  <w14:solidFill>
                    <w14:schemeClr w14:val="tx1"/>
                  </w14:solidFill>
                </w14:textFill>
              </w:rPr>
              <w:t>合同开工日期(年、月)：</w:t>
            </w:r>
          </w:p>
        </w:tc>
        <w:tc>
          <w:tcPr>
            <w:tcW w:w="1132"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highlight w:val="none"/>
                <w14:textFill>
                  <w14:solidFill>
                    <w14:schemeClr w14:val="tx1"/>
                  </w14:solidFill>
                </w14:textFill>
              </w:rPr>
            </w:pPr>
          </w:p>
        </w:tc>
      </w:tr>
      <w:tr>
        <w:tblPrEx>
          <w:tblCellMar>
            <w:top w:w="0" w:type="dxa"/>
            <w:left w:w="0" w:type="dxa"/>
            <w:bottom w:w="0" w:type="dxa"/>
            <w:right w:w="0" w:type="dxa"/>
          </w:tblCellMar>
        </w:tblPrEx>
        <w:trPr>
          <w:trHeight w:val="260" w:hRule="atLeast"/>
        </w:trPr>
        <w:tc>
          <w:tcPr>
            <w:tcW w:w="1250"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highlight w:val="none"/>
                <w14:textFill>
                  <w14:solidFill>
                    <w14:schemeClr w14:val="tx1"/>
                  </w14:solidFill>
                </w14:textFill>
              </w:rPr>
            </w:pPr>
            <w:r>
              <w:rPr>
                <w:rFonts w:ascii="Garamond" w:hAnsi="Garamond" w:cs="Arial"/>
                <w:color w:val="000000" w:themeColor="text1"/>
                <w:kern w:val="0"/>
                <w:szCs w:val="21"/>
                <w:highlight w:val="none"/>
                <w14:textFill>
                  <w14:solidFill>
                    <w14:schemeClr w14:val="tx1"/>
                  </w14:solidFill>
                </w14:textFill>
              </w:rPr>
              <w:t>合同交/竣工日期(年、月):</w:t>
            </w:r>
          </w:p>
        </w:tc>
        <w:tc>
          <w:tcPr>
            <w:tcW w:w="1250"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highlight w:val="none"/>
                <w14:textFill>
                  <w14:solidFill>
                    <w14:schemeClr w14:val="tx1"/>
                  </w14:solidFill>
                </w14:textFill>
              </w:rPr>
            </w:pPr>
          </w:p>
        </w:tc>
        <w:tc>
          <w:tcPr>
            <w:tcW w:w="1368" w:type="pct"/>
            <w:gridSpan w:val="2"/>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highlight w:val="none"/>
                <w14:textFill>
                  <w14:solidFill>
                    <w14:schemeClr w14:val="tx1"/>
                  </w14:solidFill>
                </w14:textFill>
              </w:rPr>
            </w:pPr>
            <w:r>
              <w:rPr>
                <w:rFonts w:ascii="Garamond" w:hAnsi="Garamond" w:cs="Arial"/>
                <w:color w:val="000000" w:themeColor="text1"/>
                <w:kern w:val="0"/>
                <w:szCs w:val="21"/>
                <w:highlight w:val="none"/>
                <w14:textFill>
                  <w14:solidFill>
                    <w14:schemeClr w14:val="tx1"/>
                  </w14:solidFill>
                </w14:textFill>
              </w:rPr>
              <w:t>是否为分包：</w:t>
            </w:r>
          </w:p>
        </w:tc>
        <w:tc>
          <w:tcPr>
            <w:tcW w:w="1132"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highlight w:val="none"/>
                <w14:textFill>
                  <w14:solidFill>
                    <w14:schemeClr w14:val="tx1"/>
                  </w14:solidFill>
                </w14:textFill>
              </w:rPr>
            </w:pPr>
          </w:p>
        </w:tc>
      </w:tr>
      <w:tr>
        <w:tblPrEx>
          <w:tblCellMar>
            <w:top w:w="0" w:type="dxa"/>
            <w:left w:w="0" w:type="dxa"/>
            <w:bottom w:w="0" w:type="dxa"/>
            <w:right w:w="0" w:type="dxa"/>
          </w:tblCellMar>
        </w:tblPrEx>
        <w:trPr>
          <w:trHeight w:val="520" w:hRule="atLeast"/>
        </w:trPr>
        <w:tc>
          <w:tcPr>
            <w:tcW w:w="1250"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highlight w:val="none"/>
                <w14:textFill>
                  <w14:solidFill>
                    <w14:schemeClr w14:val="tx1"/>
                  </w14:solidFill>
                </w14:textFill>
              </w:rPr>
            </w:pPr>
            <w:r>
              <w:rPr>
                <w:rFonts w:ascii="Garamond" w:hAnsi="Garamond" w:cs="Arial"/>
                <w:color w:val="000000" w:themeColor="text1"/>
                <w:kern w:val="0"/>
                <w:szCs w:val="21"/>
                <w:highlight w:val="none"/>
                <w14:textFill>
                  <w14:solidFill>
                    <w14:schemeClr w14:val="tx1"/>
                  </w14:solidFill>
                </w14:textFill>
              </w:rPr>
              <w:t>获奖情况(仅限部、省级以上):</w:t>
            </w:r>
          </w:p>
        </w:tc>
        <w:tc>
          <w:tcPr>
            <w:tcW w:w="3750" w:type="pct"/>
            <w:gridSpan w:val="4"/>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highlight w:val="none"/>
                <w14:textFill>
                  <w14:solidFill>
                    <w14:schemeClr w14:val="tx1"/>
                  </w14:solidFill>
                </w14:textFill>
              </w:rPr>
            </w:pPr>
          </w:p>
        </w:tc>
      </w:tr>
      <w:tr>
        <w:tblPrEx>
          <w:tblCellMar>
            <w:top w:w="0" w:type="dxa"/>
            <w:left w:w="0" w:type="dxa"/>
            <w:bottom w:w="0" w:type="dxa"/>
            <w:right w:w="0" w:type="dxa"/>
          </w:tblCellMar>
        </w:tblPrEx>
        <w:trPr>
          <w:trHeight w:val="260" w:hRule="atLeast"/>
        </w:trPr>
        <w:tc>
          <w:tcPr>
            <w:tcW w:w="1250"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highlight w:val="none"/>
                <w14:textFill>
                  <w14:solidFill>
                    <w14:schemeClr w14:val="tx1"/>
                  </w14:solidFill>
                </w14:textFill>
              </w:rPr>
            </w:pPr>
            <w:r>
              <w:rPr>
                <w:rFonts w:ascii="Garamond" w:hAnsi="Garamond" w:cs="Arial"/>
                <w:color w:val="000000" w:themeColor="text1"/>
                <w:kern w:val="0"/>
                <w:szCs w:val="21"/>
                <w:highlight w:val="none"/>
                <w14:textFill>
                  <w14:solidFill>
                    <w14:schemeClr w14:val="tx1"/>
                  </w14:solidFill>
                </w14:textFill>
              </w:rPr>
              <w:t>发包人名称:</w:t>
            </w:r>
          </w:p>
        </w:tc>
        <w:tc>
          <w:tcPr>
            <w:tcW w:w="3750" w:type="pct"/>
            <w:gridSpan w:val="4"/>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highlight w:val="none"/>
                <w14:textFill>
                  <w14:solidFill>
                    <w14:schemeClr w14:val="tx1"/>
                  </w14:solidFill>
                </w14:textFill>
              </w:rPr>
            </w:pPr>
          </w:p>
        </w:tc>
      </w:tr>
      <w:tr>
        <w:tblPrEx>
          <w:tblCellMar>
            <w:top w:w="0" w:type="dxa"/>
            <w:left w:w="0" w:type="dxa"/>
            <w:bottom w:w="0" w:type="dxa"/>
            <w:right w:w="0" w:type="dxa"/>
          </w:tblCellMar>
        </w:tblPrEx>
        <w:trPr>
          <w:trHeight w:val="260" w:hRule="atLeast"/>
        </w:trPr>
        <w:tc>
          <w:tcPr>
            <w:tcW w:w="1250"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highlight w:val="none"/>
                <w14:textFill>
                  <w14:solidFill>
                    <w14:schemeClr w14:val="tx1"/>
                  </w14:solidFill>
                </w14:textFill>
              </w:rPr>
            </w:pPr>
            <w:r>
              <w:rPr>
                <w:rFonts w:ascii="Garamond" w:hAnsi="Garamond" w:cs="Arial"/>
                <w:color w:val="000000" w:themeColor="text1"/>
                <w:kern w:val="0"/>
                <w:szCs w:val="21"/>
                <w:highlight w:val="none"/>
                <w14:textFill>
                  <w14:solidFill>
                    <w14:schemeClr w14:val="tx1"/>
                  </w14:solidFill>
                </w14:textFill>
              </w:rPr>
              <w:t>发包人联系人:</w:t>
            </w:r>
          </w:p>
        </w:tc>
        <w:tc>
          <w:tcPr>
            <w:tcW w:w="1250"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highlight w:val="none"/>
                <w14:textFill>
                  <w14:solidFill>
                    <w14:schemeClr w14:val="tx1"/>
                  </w14:solidFill>
                </w14:textFill>
              </w:rPr>
            </w:pPr>
          </w:p>
        </w:tc>
        <w:tc>
          <w:tcPr>
            <w:tcW w:w="1250"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highlight w:val="none"/>
                <w14:textFill>
                  <w14:solidFill>
                    <w14:schemeClr w14:val="tx1"/>
                  </w14:solidFill>
                </w14:textFill>
              </w:rPr>
            </w:pPr>
            <w:r>
              <w:rPr>
                <w:rFonts w:ascii="Garamond" w:hAnsi="Garamond" w:cs="Arial"/>
                <w:color w:val="000000" w:themeColor="text1"/>
                <w:kern w:val="0"/>
                <w:szCs w:val="21"/>
                <w:highlight w:val="none"/>
                <w14:textFill>
                  <w14:solidFill>
                    <w14:schemeClr w14:val="tx1"/>
                  </w14:solidFill>
                </w14:textFill>
              </w:rPr>
              <w:t>联系电话:</w:t>
            </w:r>
          </w:p>
        </w:tc>
        <w:tc>
          <w:tcPr>
            <w:tcW w:w="1250" w:type="pct"/>
            <w:gridSpan w:val="2"/>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highlight w:val="none"/>
                <w14:textFill>
                  <w14:solidFill>
                    <w14:schemeClr w14:val="tx1"/>
                  </w14:solidFill>
                </w14:textFill>
              </w:rPr>
            </w:pPr>
          </w:p>
        </w:tc>
      </w:tr>
      <w:tr>
        <w:tblPrEx>
          <w:tblCellMar>
            <w:top w:w="0" w:type="dxa"/>
            <w:left w:w="0" w:type="dxa"/>
            <w:bottom w:w="0" w:type="dxa"/>
            <w:right w:w="0" w:type="dxa"/>
          </w:tblCellMar>
        </w:tblPrEx>
        <w:trPr>
          <w:trHeight w:val="260" w:hRule="atLeast"/>
        </w:trPr>
        <w:tc>
          <w:tcPr>
            <w:tcW w:w="1250" w:type="pc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highlight w:val="none"/>
                <w14:textFill>
                  <w14:solidFill>
                    <w14:schemeClr w14:val="tx1"/>
                  </w14:solidFill>
                </w14:textFill>
              </w:rPr>
            </w:pPr>
            <w:r>
              <w:rPr>
                <w:rFonts w:ascii="Garamond" w:hAnsi="Garamond" w:cs="Arial"/>
                <w:color w:val="000000" w:themeColor="text1"/>
                <w:kern w:val="0"/>
                <w:szCs w:val="21"/>
                <w:highlight w:val="none"/>
                <w14:textFill>
                  <w14:solidFill>
                    <w14:schemeClr w14:val="tx1"/>
                  </w14:solidFill>
                </w14:textFill>
              </w:rPr>
              <w:t>工程简介:</w:t>
            </w:r>
          </w:p>
        </w:tc>
        <w:tc>
          <w:tcPr>
            <w:tcW w:w="3750" w:type="pct"/>
            <w:gridSpan w:val="4"/>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kern w:val="0"/>
                <w:szCs w:val="21"/>
                <w:highlight w:val="none"/>
                <w14:textFill>
                  <w14:solidFill>
                    <w14:schemeClr w14:val="tx1"/>
                  </w14:solidFill>
                </w14:textFill>
              </w:rPr>
            </w:pPr>
          </w:p>
        </w:tc>
      </w:tr>
    </w:tbl>
    <w:p>
      <w:pPr>
        <w:keepNext/>
        <w:keepLines/>
        <w:adjustRightInd w:val="0"/>
        <w:snapToGrid w:val="0"/>
        <w:spacing w:line="360" w:lineRule="auto"/>
        <w:rPr>
          <w:rFonts w:ascii="宋体" w:hAnsi="宋体" w:cs="宋体"/>
          <w:b/>
          <w:bCs/>
          <w:szCs w:val="21"/>
          <w:highlight w:val="none"/>
        </w:rPr>
      </w:pPr>
    </w:p>
    <w:p>
      <w:pPr>
        <w:keepNext/>
        <w:keepLines/>
        <w:adjustRightInd w:val="0"/>
        <w:snapToGrid w:val="0"/>
        <w:spacing w:line="360" w:lineRule="auto"/>
        <w:rPr>
          <w:rFonts w:ascii="宋体" w:hAnsi="宋体" w:cs="宋体"/>
          <w:szCs w:val="21"/>
          <w:highlight w:val="none"/>
        </w:rPr>
      </w:pPr>
      <w:r>
        <w:rPr>
          <w:rFonts w:hint="eastAsia" w:ascii="宋体" w:hAnsi="宋体" w:cs="宋体"/>
          <w:b/>
          <w:bCs/>
          <w:szCs w:val="21"/>
          <w:highlight w:val="none"/>
        </w:rPr>
        <w:t>注：</w:t>
      </w:r>
      <w:r>
        <w:rPr>
          <w:rFonts w:hint="eastAsia" w:ascii="宋体" w:hAnsi="宋体" w:cs="宋体"/>
          <w:szCs w:val="21"/>
          <w:highlight w:val="none"/>
        </w:rPr>
        <w:t>本表后附投标人业绩证明材料（至少包括合同和经发包人盖章确认的已完工证明材料，若此两项材料不能全面反映审查要求的内容，应再另外提供其他证明材料）的彩色复印件或彩色扫描件。</w:t>
      </w:r>
    </w:p>
    <w:p>
      <w:pPr>
        <w:ind w:firstLine="738" w:firstLineChars="350"/>
        <w:jc w:val="center"/>
        <w:rPr>
          <w:rFonts w:ascii="Garamond" w:hAnsi="Garamond"/>
          <w:b/>
          <w:bCs/>
          <w:color w:val="000000" w:themeColor="text1"/>
          <w:highlight w:val="none"/>
          <w14:textFill>
            <w14:solidFill>
              <w14:schemeClr w14:val="tx1"/>
            </w14:solidFill>
          </w14:textFill>
        </w:rPr>
      </w:pPr>
      <w:r>
        <w:rPr>
          <w:rFonts w:ascii="Garamond" w:hAnsi="Garamond"/>
          <w:b/>
          <w:bCs/>
          <w:color w:val="000000" w:themeColor="text1"/>
          <w:highlight w:val="none"/>
          <w14:textFill>
            <w14:solidFill>
              <w14:schemeClr w14:val="tx1"/>
            </w14:solidFill>
          </w14:textFill>
        </w:rPr>
        <w:br w:type="page"/>
      </w:r>
    </w:p>
    <w:p>
      <w:pPr>
        <w:widowControl/>
        <w:jc w:val="left"/>
        <w:rPr>
          <w:rFonts w:ascii="Garamond" w:hAnsi="Garamond"/>
          <w:b/>
          <w:bCs/>
          <w:color w:val="000000" w:themeColor="text1"/>
          <w:sz w:val="24"/>
          <w:highlight w:val="none"/>
          <w:u w:val="single"/>
          <w14:textFill>
            <w14:solidFill>
              <w14:schemeClr w14:val="tx1"/>
            </w14:solidFill>
          </w14:textFill>
        </w:rPr>
      </w:pPr>
    </w:p>
    <w:p>
      <w:pPr>
        <w:widowControl/>
        <w:ind w:firstLine="482"/>
        <w:jc w:val="center"/>
        <w:rPr>
          <w:rFonts w:ascii="Garamond" w:hAnsi="Garamond"/>
          <w:b/>
          <w:bCs/>
          <w:color w:val="000000" w:themeColor="text1"/>
          <w:sz w:val="24"/>
          <w:highlight w:val="none"/>
          <w:u w:val="single"/>
          <w14:textFill>
            <w14:solidFill>
              <w14:schemeClr w14:val="tx1"/>
            </w14:solidFill>
          </w14:textFill>
        </w:rPr>
      </w:pPr>
      <w:r>
        <w:rPr>
          <w:rFonts w:ascii="Garamond" w:hAnsi="Garamond"/>
          <w:b/>
          <w:bCs/>
          <w:color w:val="000000" w:themeColor="text1"/>
          <w:sz w:val="24"/>
          <w:highlight w:val="none"/>
          <w:u w:val="single"/>
          <w14:textFill>
            <w14:solidFill>
              <w14:schemeClr w14:val="tx1"/>
            </w14:solidFill>
          </w14:textFill>
        </w:rPr>
        <w:t>表</w:t>
      </w:r>
      <w:r>
        <w:rPr>
          <w:rFonts w:hint="eastAsia" w:ascii="Garamond" w:hAnsi="Garamond"/>
          <w:b/>
          <w:bCs/>
          <w:color w:val="000000" w:themeColor="text1"/>
          <w:sz w:val="24"/>
          <w:highlight w:val="none"/>
          <w:u w:val="single"/>
          <w14:textFill>
            <w14:solidFill>
              <w14:schemeClr w14:val="tx1"/>
            </w14:solidFill>
          </w14:textFill>
        </w:rPr>
        <w:t>5</w:t>
      </w:r>
      <w:r>
        <w:rPr>
          <w:rFonts w:ascii="Garamond" w:hAnsi="Garamond"/>
          <w:b/>
          <w:bCs/>
          <w:color w:val="000000" w:themeColor="text1"/>
          <w:sz w:val="24"/>
          <w:highlight w:val="none"/>
          <w:u w:val="single"/>
          <w14:textFill>
            <w14:solidFill>
              <w14:schemeClr w14:val="tx1"/>
            </w14:solidFill>
          </w14:textFill>
        </w:rPr>
        <w:t xml:space="preserve"> 申请人(投标人)与其他单位存在控股、管理关系</w:t>
      </w:r>
    </w:p>
    <w:tbl>
      <w:tblPr>
        <w:tblStyle w:val="44"/>
        <w:tblW w:w="8799" w:type="dxa"/>
        <w:tblInd w:w="0" w:type="dxa"/>
        <w:tblLayout w:type="autofit"/>
        <w:tblCellMar>
          <w:top w:w="0" w:type="dxa"/>
          <w:left w:w="0" w:type="dxa"/>
          <w:bottom w:w="0" w:type="dxa"/>
          <w:right w:w="0" w:type="dxa"/>
        </w:tblCellMar>
      </w:tblPr>
      <w:tblGrid>
        <w:gridCol w:w="660"/>
        <w:gridCol w:w="5390"/>
        <w:gridCol w:w="2749"/>
      </w:tblGrid>
      <w:tr>
        <w:tblPrEx>
          <w:tblCellMar>
            <w:top w:w="0" w:type="dxa"/>
            <w:left w:w="0" w:type="dxa"/>
            <w:bottom w:w="0" w:type="dxa"/>
            <w:right w:w="0" w:type="dxa"/>
          </w:tblCellMar>
        </w:tblPrEx>
        <w:trPr>
          <w:trHeight w:val="260" w:hRule="atLeast"/>
        </w:trPr>
        <w:tc>
          <w:tcPr>
            <w:tcW w:w="660" w:type="dxa"/>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szCs w:val="21"/>
                <w:highlight w:val="none"/>
                <w14:textFill>
                  <w14:solidFill>
                    <w14:schemeClr w14:val="tx1"/>
                  </w14:solidFill>
                </w14:textFill>
              </w:rPr>
            </w:pPr>
            <w:r>
              <w:rPr>
                <w:rFonts w:ascii="Garamond" w:hAnsi="Garamond" w:cs="Arial"/>
                <w:color w:val="000000" w:themeColor="text1"/>
                <w:kern w:val="0"/>
                <w:szCs w:val="21"/>
                <w:highlight w:val="none"/>
                <w14:textFill>
                  <w14:solidFill>
                    <w14:schemeClr w14:val="tx1"/>
                  </w14:solidFill>
                </w14:textFill>
              </w:rPr>
              <w:t>序号</w:t>
            </w:r>
          </w:p>
        </w:tc>
        <w:tc>
          <w:tcPr>
            <w:tcW w:w="5390" w:type="dxa"/>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szCs w:val="21"/>
                <w:highlight w:val="none"/>
                <w14:textFill>
                  <w14:solidFill>
                    <w14:schemeClr w14:val="tx1"/>
                  </w14:solidFill>
                </w14:textFill>
              </w:rPr>
            </w:pPr>
            <w:r>
              <w:rPr>
                <w:rFonts w:ascii="Garamond" w:hAnsi="Garamond" w:cs="Arial"/>
                <w:color w:val="000000" w:themeColor="text1"/>
                <w:kern w:val="0"/>
                <w:szCs w:val="21"/>
                <w:highlight w:val="none"/>
                <w14:textFill>
                  <w14:solidFill>
                    <w14:schemeClr w14:val="tx1"/>
                  </w14:solidFill>
                </w14:textFill>
              </w:rPr>
              <w:t>控股、管理申请人/投标人的单位名称</w:t>
            </w:r>
          </w:p>
        </w:tc>
        <w:tc>
          <w:tcPr>
            <w:tcW w:w="2749" w:type="dxa"/>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left"/>
              <w:textAlignment w:val="bottom"/>
              <w:rPr>
                <w:rFonts w:ascii="Garamond" w:hAnsi="Garamond" w:cs="Arial"/>
                <w:color w:val="000000" w:themeColor="text1"/>
                <w:szCs w:val="21"/>
                <w:highlight w:val="none"/>
                <w14:textFill>
                  <w14:solidFill>
                    <w14:schemeClr w14:val="tx1"/>
                  </w14:solidFill>
                </w14:textFill>
              </w:rPr>
            </w:pPr>
            <w:r>
              <w:rPr>
                <w:rFonts w:ascii="Garamond" w:hAnsi="Garamond" w:cs="Arial"/>
                <w:color w:val="000000" w:themeColor="text1"/>
                <w:kern w:val="0"/>
                <w:szCs w:val="21"/>
                <w:highlight w:val="none"/>
                <w14:textFill>
                  <w14:solidFill>
                    <w14:schemeClr w14:val="tx1"/>
                  </w14:solidFill>
                </w14:textFill>
              </w:rPr>
              <w:t>控股、管理关系情况说明</w:t>
            </w:r>
          </w:p>
        </w:tc>
      </w:tr>
      <w:tr>
        <w:tblPrEx>
          <w:tblCellMar>
            <w:top w:w="0" w:type="dxa"/>
            <w:left w:w="0" w:type="dxa"/>
            <w:bottom w:w="0" w:type="dxa"/>
            <w:right w:w="0" w:type="dxa"/>
          </w:tblCellMar>
        </w:tblPrEx>
        <w:trPr>
          <w:trHeight w:val="260" w:hRule="atLeast"/>
        </w:trPr>
        <w:tc>
          <w:tcPr>
            <w:tcW w:w="660" w:type="dxa"/>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ind w:firstLine="400"/>
              <w:jc w:val="left"/>
              <w:textAlignment w:val="bottom"/>
              <w:rPr>
                <w:rFonts w:ascii="Garamond" w:hAnsi="Garamond" w:cs="Arial"/>
                <w:color w:val="000000" w:themeColor="text1"/>
                <w:szCs w:val="21"/>
                <w:highlight w:val="none"/>
                <w14:textFill>
                  <w14:solidFill>
                    <w14:schemeClr w14:val="tx1"/>
                  </w14:solidFill>
                </w14:textFill>
              </w:rPr>
            </w:pPr>
            <w:r>
              <w:rPr>
                <w:rFonts w:ascii="Garamond" w:hAnsi="Garamond" w:cs="Arial"/>
                <w:color w:val="000000" w:themeColor="text1"/>
                <w:kern w:val="0"/>
                <w:szCs w:val="21"/>
                <w:highlight w:val="none"/>
                <w14:textFill>
                  <w14:solidFill>
                    <w14:schemeClr w14:val="tx1"/>
                  </w14:solidFill>
                </w14:textFill>
              </w:rPr>
              <w:t>1</w:t>
            </w:r>
          </w:p>
        </w:tc>
        <w:tc>
          <w:tcPr>
            <w:tcW w:w="5390" w:type="dxa"/>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ind w:firstLine="400"/>
              <w:jc w:val="left"/>
              <w:textAlignment w:val="bottom"/>
              <w:rPr>
                <w:rFonts w:ascii="Garamond" w:hAnsi="Garamond" w:cs="Arial"/>
                <w:color w:val="000000" w:themeColor="text1"/>
                <w:szCs w:val="21"/>
                <w:highlight w:val="none"/>
                <w14:textFill>
                  <w14:solidFill>
                    <w14:schemeClr w14:val="tx1"/>
                  </w14:solidFill>
                </w14:textFill>
              </w:rPr>
            </w:pPr>
          </w:p>
        </w:tc>
        <w:tc>
          <w:tcPr>
            <w:tcW w:w="2749" w:type="dxa"/>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ind w:firstLine="400"/>
              <w:jc w:val="left"/>
              <w:textAlignment w:val="bottom"/>
              <w:rPr>
                <w:rFonts w:ascii="Garamond" w:hAnsi="Garamond" w:cs="Arial"/>
                <w:color w:val="000000" w:themeColor="text1"/>
                <w:szCs w:val="21"/>
                <w:highlight w:val="none"/>
                <w14:textFill>
                  <w14:solidFill>
                    <w14:schemeClr w14:val="tx1"/>
                  </w14:solidFill>
                </w14:textFill>
              </w:rPr>
            </w:pPr>
          </w:p>
        </w:tc>
      </w:tr>
    </w:tbl>
    <w:p>
      <w:pPr>
        <w:ind w:firstLine="482"/>
        <w:jc w:val="center"/>
        <w:rPr>
          <w:rFonts w:ascii="Garamond" w:hAnsi="Garamond"/>
          <w:b/>
          <w:bCs/>
          <w:color w:val="000000" w:themeColor="text1"/>
          <w:sz w:val="24"/>
          <w:highlight w:val="none"/>
          <w:u w:val="single"/>
          <w14:textFill>
            <w14:solidFill>
              <w14:schemeClr w14:val="tx1"/>
            </w14:solidFill>
          </w14:textFill>
        </w:rPr>
      </w:pPr>
    </w:p>
    <w:p>
      <w:pPr>
        <w:ind w:firstLine="482"/>
        <w:jc w:val="center"/>
        <w:rPr>
          <w:rFonts w:ascii="Garamond" w:hAnsi="Garamond"/>
          <w:b/>
          <w:bCs/>
          <w:color w:val="000000" w:themeColor="text1"/>
          <w:sz w:val="24"/>
          <w:highlight w:val="none"/>
          <w:u w:val="single"/>
          <w14:textFill>
            <w14:solidFill>
              <w14:schemeClr w14:val="tx1"/>
            </w14:solidFill>
          </w14:textFill>
        </w:rPr>
      </w:pPr>
    </w:p>
    <w:p>
      <w:pPr>
        <w:ind w:firstLine="482"/>
        <w:jc w:val="center"/>
        <w:rPr>
          <w:rFonts w:ascii="Garamond" w:hAnsi="Garamond"/>
          <w:b/>
          <w:bCs/>
          <w:color w:val="000000" w:themeColor="text1"/>
          <w:sz w:val="24"/>
          <w:highlight w:val="none"/>
          <w:u w:val="single"/>
          <w14:textFill>
            <w14:solidFill>
              <w14:schemeClr w14:val="tx1"/>
            </w14:solidFill>
          </w14:textFill>
        </w:rPr>
      </w:pPr>
    </w:p>
    <w:p>
      <w:pPr>
        <w:widowControl/>
        <w:jc w:val="left"/>
        <w:rPr>
          <w:rFonts w:ascii="Garamond" w:hAnsi="Garamond"/>
          <w:b/>
          <w:bCs/>
          <w:color w:val="000000" w:themeColor="text1"/>
          <w:sz w:val="24"/>
          <w:highlight w:val="none"/>
          <w14:textFill>
            <w14:solidFill>
              <w14:schemeClr w14:val="tx1"/>
            </w14:solidFill>
          </w14:textFill>
        </w:rPr>
      </w:pPr>
      <w:r>
        <w:rPr>
          <w:rFonts w:ascii="Garamond" w:hAnsi="Garamond"/>
          <w:b/>
          <w:bCs/>
          <w:color w:val="000000" w:themeColor="text1"/>
          <w:sz w:val="24"/>
          <w:highlight w:val="none"/>
          <w14:textFill>
            <w14:solidFill>
              <w14:schemeClr w14:val="tx1"/>
            </w14:solidFill>
          </w14:textFill>
        </w:rPr>
        <w:br w:type="page"/>
      </w:r>
    </w:p>
    <w:p>
      <w:pPr>
        <w:ind w:firstLine="482"/>
        <w:jc w:val="center"/>
        <w:rPr>
          <w:rFonts w:ascii="Garamond" w:hAnsi="Garamond"/>
          <w:b/>
          <w:bCs/>
          <w:color w:val="000000" w:themeColor="text1"/>
          <w:sz w:val="24"/>
          <w:highlight w:val="none"/>
          <w:u w:val="single"/>
          <w14:textFill>
            <w14:solidFill>
              <w14:schemeClr w14:val="tx1"/>
            </w14:solidFill>
          </w14:textFill>
        </w:rPr>
      </w:pPr>
      <w:r>
        <w:rPr>
          <w:rFonts w:ascii="Garamond" w:hAnsi="Garamond"/>
          <w:b/>
          <w:bCs/>
          <w:color w:val="000000" w:themeColor="text1"/>
          <w:sz w:val="24"/>
          <w:highlight w:val="none"/>
          <w:u w:val="single"/>
          <w14:textFill>
            <w14:solidFill>
              <w14:schemeClr w14:val="tx1"/>
            </w14:solidFill>
          </w14:textFill>
        </w:rPr>
        <w:t>表</w:t>
      </w:r>
      <w:r>
        <w:rPr>
          <w:rFonts w:hint="eastAsia" w:ascii="Garamond" w:hAnsi="Garamond"/>
          <w:b/>
          <w:bCs/>
          <w:color w:val="000000" w:themeColor="text1"/>
          <w:sz w:val="24"/>
          <w:highlight w:val="none"/>
          <w:u w:val="single"/>
          <w14:textFill>
            <w14:solidFill>
              <w14:schemeClr w14:val="tx1"/>
            </w14:solidFill>
          </w14:textFill>
        </w:rPr>
        <w:t>6</w:t>
      </w:r>
      <w:r>
        <w:rPr>
          <w:rFonts w:ascii="Garamond" w:hAnsi="Garamond"/>
          <w:b/>
          <w:bCs/>
          <w:color w:val="000000" w:themeColor="text1"/>
          <w:sz w:val="24"/>
          <w:highlight w:val="none"/>
          <w:u w:val="single"/>
          <w14:textFill>
            <w14:solidFill>
              <w14:schemeClr w14:val="tx1"/>
            </w14:solidFill>
          </w14:textFill>
        </w:rPr>
        <w:t>近年发生的诉讼及仲裁表</w:t>
      </w:r>
    </w:p>
    <w:tbl>
      <w:tblPr>
        <w:tblStyle w:val="44"/>
        <w:tblW w:w="8799" w:type="dxa"/>
        <w:tblInd w:w="0" w:type="dxa"/>
        <w:tblLayout w:type="autofit"/>
        <w:tblCellMar>
          <w:top w:w="0" w:type="dxa"/>
          <w:left w:w="0" w:type="dxa"/>
          <w:bottom w:w="0" w:type="dxa"/>
          <w:right w:w="0" w:type="dxa"/>
        </w:tblCellMar>
      </w:tblPr>
      <w:tblGrid>
        <w:gridCol w:w="776"/>
        <w:gridCol w:w="1864"/>
        <w:gridCol w:w="6159"/>
      </w:tblGrid>
      <w:tr>
        <w:tblPrEx>
          <w:tblCellMar>
            <w:top w:w="0" w:type="dxa"/>
            <w:left w:w="0" w:type="dxa"/>
            <w:bottom w:w="0" w:type="dxa"/>
            <w:right w:w="0" w:type="dxa"/>
          </w:tblCellMar>
        </w:tblPrEx>
        <w:trPr>
          <w:trHeight w:val="260" w:hRule="atLeast"/>
        </w:trPr>
        <w:tc>
          <w:tcPr>
            <w:tcW w:w="776" w:type="dxa"/>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center"/>
              <w:textAlignment w:val="bottom"/>
              <w:rPr>
                <w:rFonts w:ascii="Garamond" w:hAnsi="Garamond" w:cs="Arial"/>
                <w:color w:val="000000" w:themeColor="text1"/>
                <w:szCs w:val="21"/>
                <w:highlight w:val="none"/>
                <w14:textFill>
                  <w14:solidFill>
                    <w14:schemeClr w14:val="tx1"/>
                  </w14:solidFill>
                </w14:textFill>
              </w:rPr>
            </w:pPr>
            <w:r>
              <w:rPr>
                <w:rFonts w:ascii="Garamond" w:hAnsi="Garamond" w:cs="Arial"/>
                <w:color w:val="000000" w:themeColor="text1"/>
                <w:kern w:val="0"/>
                <w:szCs w:val="21"/>
                <w:highlight w:val="none"/>
                <w14:textFill>
                  <w14:solidFill>
                    <w14:schemeClr w14:val="tx1"/>
                  </w14:solidFill>
                </w14:textFill>
              </w:rPr>
              <w:t>序号</w:t>
            </w:r>
          </w:p>
        </w:tc>
        <w:tc>
          <w:tcPr>
            <w:tcW w:w="1864" w:type="dxa"/>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center"/>
              <w:textAlignment w:val="bottom"/>
              <w:rPr>
                <w:rFonts w:ascii="Garamond" w:hAnsi="Garamond" w:cs="Arial"/>
                <w:color w:val="000000" w:themeColor="text1"/>
                <w:szCs w:val="21"/>
                <w:highlight w:val="none"/>
                <w14:textFill>
                  <w14:solidFill>
                    <w14:schemeClr w14:val="tx1"/>
                  </w14:solidFill>
                </w14:textFill>
              </w:rPr>
            </w:pPr>
            <w:r>
              <w:rPr>
                <w:rFonts w:ascii="Garamond" w:hAnsi="Garamond" w:cs="Arial"/>
                <w:color w:val="000000" w:themeColor="text1"/>
                <w:kern w:val="0"/>
                <w:szCs w:val="21"/>
                <w:highlight w:val="none"/>
                <w14:textFill>
                  <w14:solidFill>
                    <w14:schemeClr w14:val="tx1"/>
                  </w14:solidFill>
                </w14:textFill>
              </w:rPr>
              <w:t>项目</w:t>
            </w:r>
          </w:p>
        </w:tc>
        <w:tc>
          <w:tcPr>
            <w:tcW w:w="6159" w:type="dxa"/>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jc w:val="center"/>
              <w:textAlignment w:val="bottom"/>
              <w:rPr>
                <w:rFonts w:ascii="Garamond" w:hAnsi="Garamond" w:cs="Arial"/>
                <w:color w:val="000000" w:themeColor="text1"/>
                <w:szCs w:val="21"/>
                <w:highlight w:val="none"/>
                <w14:textFill>
                  <w14:solidFill>
                    <w14:schemeClr w14:val="tx1"/>
                  </w14:solidFill>
                </w14:textFill>
              </w:rPr>
            </w:pPr>
            <w:r>
              <w:rPr>
                <w:rFonts w:ascii="Garamond" w:hAnsi="Garamond" w:cs="Arial"/>
                <w:color w:val="000000" w:themeColor="text1"/>
                <w:kern w:val="0"/>
                <w:szCs w:val="21"/>
                <w:highlight w:val="none"/>
                <w14:textFill>
                  <w14:solidFill>
                    <w14:schemeClr w14:val="tx1"/>
                  </w14:solidFill>
                </w14:textFill>
              </w:rPr>
              <w:t>申请人/投标人情况说明</w:t>
            </w:r>
          </w:p>
        </w:tc>
      </w:tr>
      <w:tr>
        <w:tblPrEx>
          <w:tblCellMar>
            <w:top w:w="0" w:type="dxa"/>
            <w:left w:w="0" w:type="dxa"/>
            <w:bottom w:w="0" w:type="dxa"/>
            <w:right w:w="0" w:type="dxa"/>
          </w:tblCellMar>
        </w:tblPrEx>
        <w:trPr>
          <w:trHeight w:val="260" w:hRule="atLeast"/>
        </w:trPr>
        <w:tc>
          <w:tcPr>
            <w:tcW w:w="776" w:type="dxa"/>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ind w:firstLine="400"/>
              <w:jc w:val="left"/>
              <w:textAlignment w:val="bottom"/>
              <w:rPr>
                <w:rFonts w:ascii="Garamond" w:hAnsi="Garamond" w:cs="Arial"/>
                <w:color w:val="000000" w:themeColor="text1"/>
                <w:szCs w:val="21"/>
                <w:highlight w:val="none"/>
                <w14:textFill>
                  <w14:solidFill>
                    <w14:schemeClr w14:val="tx1"/>
                  </w14:solidFill>
                </w14:textFill>
              </w:rPr>
            </w:pPr>
            <w:r>
              <w:rPr>
                <w:rFonts w:ascii="Garamond" w:hAnsi="Garamond" w:cs="Arial"/>
                <w:color w:val="000000" w:themeColor="text1"/>
                <w:kern w:val="0"/>
                <w:szCs w:val="21"/>
                <w:highlight w:val="none"/>
                <w14:textFill>
                  <w14:solidFill>
                    <w14:schemeClr w14:val="tx1"/>
                  </w14:solidFill>
                </w14:textFill>
              </w:rPr>
              <w:t>1</w:t>
            </w:r>
          </w:p>
        </w:tc>
        <w:tc>
          <w:tcPr>
            <w:tcW w:w="1864" w:type="dxa"/>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ind w:firstLine="400"/>
              <w:jc w:val="left"/>
              <w:textAlignment w:val="bottom"/>
              <w:rPr>
                <w:rFonts w:ascii="Garamond" w:hAnsi="Garamond" w:cs="Arial"/>
                <w:color w:val="000000" w:themeColor="text1"/>
                <w:szCs w:val="21"/>
                <w:highlight w:val="none"/>
                <w14:textFill>
                  <w14:solidFill>
                    <w14:schemeClr w14:val="tx1"/>
                  </w14:solidFill>
                </w14:textFill>
              </w:rPr>
            </w:pPr>
          </w:p>
        </w:tc>
        <w:tc>
          <w:tcPr>
            <w:tcW w:w="6159" w:type="dxa"/>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bottom"/>
          </w:tcPr>
          <w:p>
            <w:pPr>
              <w:widowControl/>
              <w:ind w:firstLine="400"/>
              <w:jc w:val="left"/>
              <w:textAlignment w:val="bottom"/>
              <w:rPr>
                <w:rFonts w:ascii="Garamond" w:hAnsi="Garamond" w:cs="Arial"/>
                <w:color w:val="000000" w:themeColor="text1"/>
                <w:szCs w:val="21"/>
                <w:highlight w:val="none"/>
                <w14:textFill>
                  <w14:solidFill>
                    <w14:schemeClr w14:val="tx1"/>
                  </w14:solidFill>
                </w14:textFill>
              </w:rPr>
            </w:pPr>
          </w:p>
        </w:tc>
      </w:tr>
    </w:tbl>
    <w:p>
      <w:pPr>
        <w:pStyle w:val="5"/>
        <w:spacing w:line="240" w:lineRule="auto"/>
        <w:jc w:val="left"/>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注：</w:t>
      </w:r>
    </w:p>
    <w:p>
      <w:pPr>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w:t>
      </w:r>
      <w:r>
        <w:rPr>
          <w:rFonts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本表后附投标人须知规定年份以来发生的可能对承担本项目产生重大影响的判决、裁决等有关法律文书扫描件（如有）。</w:t>
      </w:r>
    </w:p>
    <w:p>
      <w:pPr>
        <w:ind w:firstLine="482"/>
        <w:jc w:val="center"/>
        <w:rPr>
          <w:rFonts w:ascii="Garamond" w:hAnsi="Garamond"/>
          <w:b/>
          <w:bCs/>
          <w:color w:val="000000" w:themeColor="text1"/>
          <w:sz w:val="24"/>
          <w:highlight w:val="none"/>
          <w:u w:val="single"/>
          <w14:textFill>
            <w14:solidFill>
              <w14:schemeClr w14:val="tx1"/>
            </w14:solidFill>
          </w14:textFill>
        </w:rPr>
      </w:pPr>
    </w:p>
    <w:p>
      <w:pPr>
        <w:ind w:firstLine="482"/>
        <w:jc w:val="center"/>
        <w:rPr>
          <w:rFonts w:ascii="Garamond" w:hAnsi="Garamond"/>
          <w:b/>
          <w:bCs/>
          <w:color w:val="000000" w:themeColor="text1"/>
          <w:sz w:val="24"/>
          <w:highlight w:val="none"/>
          <w:u w:val="single"/>
          <w14:textFill>
            <w14:solidFill>
              <w14:schemeClr w14:val="tx1"/>
            </w14:solidFill>
          </w14:textFill>
        </w:rPr>
      </w:pPr>
    </w:p>
    <w:p>
      <w:pPr>
        <w:widowControl/>
        <w:jc w:val="left"/>
        <w:rPr>
          <w:rFonts w:ascii="Garamond" w:hAnsi="Garamond"/>
          <w:b/>
          <w:bCs/>
          <w:color w:val="000000" w:themeColor="text1"/>
          <w:sz w:val="24"/>
          <w:highlight w:val="none"/>
          <w14:textFill>
            <w14:solidFill>
              <w14:schemeClr w14:val="tx1"/>
            </w14:solidFill>
          </w14:textFill>
        </w:rPr>
      </w:pPr>
      <w:r>
        <w:rPr>
          <w:rFonts w:ascii="Garamond" w:hAnsi="Garamond"/>
          <w:b/>
          <w:bCs/>
          <w:color w:val="000000" w:themeColor="text1"/>
          <w:sz w:val="24"/>
          <w:highlight w:val="none"/>
          <w14:textFill>
            <w14:solidFill>
              <w14:schemeClr w14:val="tx1"/>
            </w14:solidFill>
          </w14:textFill>
        </w:rPr>
        <w:br w:type="page"/>
      </w:r>
    </w:p>
    <w:p>
      <w:pPr>
        <w:widowControl/>
        <w:ind w:firstLine="482"/>
        <w:jc w:val="center"/>
        <w:rPr>
          <w:rFonts w:ascii="Garamond" w:hAnsi="Garamond"/>
          <w:b/>
          <w:bCs/>
          <w:color w:val="000000" w:themeColor="text1"/>
          <w:sz w:val="24"/>
          <w:highlight w:val="none"/>
          <w:u w:val="single"/>
          <w14:textFill>
            <w14:solidFill>
              <w14:schemeClr w14:val="tx1"/>
            </w14:solidFill>
          </w14:textFill>
        </w:rPr>
      </w:pPr>
      <w:r>
        <w:rPr>
          <w:rFonts w:ascii="Garamond" w:hAnsi="Garamond"/>
          <w:b/>
          <w:bCs/>
          <w:color w:val="000000" w:themeColor="text1"/>
          <w:sz w:val="24"/>
          <w:highlight w:val="none"/>
          <w:u w:val="single"/>
          <w14:textFill>
            <w14:solidFill>
              <w14:schemeClr w14:val="tx1"/>
            </w14:solidFill>
          </w14:textFill>
        </w:rPr>
        <w:t>表</w:t>
      </w:r>
      <w:r>
        <w:rPr>
          <w:rFonts w:hint="eastAsia" w:ascii="Garamond" w:hAnsi="Garamond"/>
          <w:b/>
          <w:bCs/>
          <w:color w:val="000000" w:themeColor="text1"/>
          <w:sz w:val="24"/>
          <w:highlight w:val="none"/>
          <w:u w:val="single"/>
          <w14:textFill>
            <w14:solidFill>
              <w14:schemeClr w14:val="tx1"/>
            </w14:solidFill>
          </w14:textFill>
        </w:rPr>
        <w:t>7配备本标段的试验、检测仪器，办公生活及交通设施表</w:t>
      </w:r>
    </w:p>
    <w:tbl>
      <w:tblPr>
        <w:tblStyle w:val="4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6"/>
        <w:gridCol w:w="2062"/>
        <w:gridCol w:w="992"/>
        <w:gridCol w:w="1276"/>
        <w:gridCol w:w="567"/>
        <w:gridCol w:w="425"/>
        <w:gridCol w:w="426"/>
        <w:gridCol w:w="425"/>
        <w:gridCol w:w="850"/>
        <w:gridCol w:w="993"/>
        <w:gridCol w:w="5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6" w:type="dxa"/>
          </w:tcPr>
          <w:p>
            <w:pPr>
              <w:widowControl/>
              <w:jc w:val="center"/>
              <w:rPr>
                <w:rFonts w:ascii="Garamond" w:hAnsi="Garamond"/>
                <w:b/>
                <w:bCs/>
                <w:color w:val="000000" w:themeColor="text1"/>
                <w:szCs w:val="21"/>
                <w:highlight w:val="none"/>
                <w:u w:val="single"/>
                <w14:textFill>
                  <w14:solidFill>
                    <w14:schemeClr w14:val="tx1"/>
                  </w14:solidFill>
                </w14:textFill>
              </w:rPr>
            </w:pPr>
            <w:r>
              <w:rPr>
                <w:rFonts w:ascii="Garamond" w:hAnsi="Garamond" w:cs="Arial"/>
                <w:color w:val="000000" w:themeColor="text1"/>
                <w:kern w:val="0"/>
                <w:szCs w:val="21"/>
                <w:highlight w:val="none"/>
                <w14:textFill>
                  <w14:solidFill>
                    <w14:schemeClr w14:val="tx1"/>
                  </w14:solidFill>
                </w14:textFill>
              </w:rPr>
              <w:t>序号</w:t>
            </w:r>
          </w:p>
        </w:tc>
        <w:tc>
          <w:tcPr>
            <w:tcW w:w="2062" w:type="dxa"/>
            <w:vAlign w:val="center"/>
          </w:tcPr>
          <w:p>
            <w:pPr>
              <w:widowControl/>
              <w:jc w:val="center"/>
              <w:textAlignment w:val="bottom"/>
              <w:rPr>
                <w:rFonts w:ascii="Arial" w:hAnsi="Arial" w:cs="Arial"/>
                <w:color w:val="000000" w:themeColor="text1"/>
                <w:szCs w:val="21"/>
                <w:highlight w:val="none"/>
                <w14:textFill>
                  <w14:solidFill>
                    <w14:schemeClr w14:val="tx1"/>
                  </w14:solidFill>
                </w14:textFill>
              </w:rPr>
            </w:pPr>
            <w:r>
              <w:rPr>
                <w:rFonts w:ascii="Arial" w:hAnsi="Arial" w:cs="Arial"/>
                <w:color w:val="000000" w:themeColor="text1"/>
                <w:kern w:val="0"/>
                <w:szCs w:val="21"/>
                <w:highlight w:val="none"/>
                <w14:textFill>
                  <w14:solidFill>
                    <w14:schemeClr w14:val="tx1"/>
                  </w14:solidFill>
                </w14:textFill>
              </w:rPr>
              <w:t>仪器、设备与设施名称</w:t>
            </w:r>
          </w:p>
        </w:tc>
        <w:tc>
          <w:tcPr>
            <w:tcW w:w="992" w:type="dxa"/>
            <w:vAlign w:val="center"/>
          </w:tcPr>
          <w:p>
            <w:pPr>
              <w:widowControl/>
              <w:jc w:val="center"/>
              <w:textAlignment w:val="bottom"/>
              <w:rPr>
                <w:rFonts w:ascii="Arial" w:hAnsi="Arial" w:cs="Arial"/>
                <w:color w:val="000000" w:themeColor="text1"/>
                <w:szCs w:val="21"/>
                <w:highlight w:val="none"/>
                <w14:textFill>
                  <w14:solidFill>
                    <w14:schemeClr w14:val="tx1"/>
                  </w14:solidFill>
                </w14:textFill>
              </w:rPr>
            </w:pPr>
            <w:r>
              <w:rPr>
                <w:rFonts w:ascii="Arial" w:hAnsi="Arial" w:cs="Arial"/>
                <w:color w:val="000000" w:themeColor="text1"/>
                <w:kern w:val="0"/>
                <w:szCs w:val="21"/>
                <w:highlight w:val="none"/>
                <w14:textFill>
                  <w14:solidFill>
                    <w14:schemeClr w14:val="tx1"/>
                  </w14:solidFill>
                </w14:textFill>
              </w:rPr>
              <w:t>型号、产地</w:t>
            </w:r>
          </w:p>
        </w:tc>
        <w:tc>
          <w:tcPr>
            <w:tcW w:w="1276" w:type="dxa"/>
            <w:vAlign w:val="center"/>
          </w:tcPr>
          <w:p>
            <w:pPr>
              <w:widowControl/>
              <w:jc w:val="center"/>
              <w:textAlignment w:val="bottom"/>
              <w:rPr>
                <w:rFonts w:ascii="Arial" w:hAnsi="Arial" w:cs="Arial"/>
                <w:color w:val="000000" w:themeColor="text1"/>
                <w:szCs w:val="21"/>
                <w:highlight w:val="none"/>
                <w14:textFill>
                  <w14:solidFill>
                    <w14:schemeClr w14:val="tx1"/>
                  </w14:solidFill>
                </w14:textFill>
              </w:rPr>
            </w:pPr>
            <w:r>
              <w:rPr>
                <w:rFonts w:ascii="Arial" w:hAnsi="Arial" w:cs="Arial"/>
                <w:color w:val="000000" w:themeColor="text1"/>
                <w:kern w:val="0"/>
                <w:szCs w:val="21"/>
                <w:highlight w:val="none"/>
                <w14:textFill>
                  <w14:solidFill>
                    <w14:schemeClr w14:val="tx1"/>
                  </w14:solidFill>
                </w14:textFill>
              </w:rPr>
              <w:t>用途、功能规格</w:t>
            </w:r>
          </w:p>
        </w:tc>
        <w:tc>
          <w:tcPr>
            <w:tcW w:w="567" w:type="dxa"/>
            <w:vAlign w:val="center"/>
          </w:tcPr>
          <w:p>
            <w:pPr>
              <w:widowControl/>
              <w:jc w:val="center"/>
              <w:textAlignment w:val="bottom"/>
              <w:rPr>
                <w:rFonts w:ascii="Arial" w:hAnsi="Arial" w:cs="Arial"/>
                <w:color w:val="000000" w:themeColor="text1"/>
                <w:szCs w:val="21"/>
                <w:highlight w:val="none"/>
                <w14:textFill>
                  <w14:solidFill>
                    <w14:schemeClr w14:val="tx1"/>
                  </w14:solidFill>
                </w14:textFill>
              </w:rPr>
            </w:pPr>
            <w:r>
              <w:rPr>
                <w:rFonts w:ascii="Arial" w:hAnsi="Arial" w:cs="Arial"/>
                <w:color w:val="000000" w:themeColor="text1"/>
                <w:kern w:val="0"/>
                <w:szCs w:val="21"/>
                <w:highlight w:val="none"/>
                <w14:textFill>
                  <w14:solidFill>
                    <w14:schemeClr w14:val="tx1"/>
                  </w14:solidFill>
                </w14:textFill>
              </w:rPr>
              <w:t>合计</w:t>
            </w:r>
          </w:p>
        </w:tc>
        <w:tc>
          <w:tcPr>
            <w:tcW w:w="425" w:type="dxa"/>
            <w:vAlign w:val="center"/>
          </w:tcPr>
          <w:p>
            <w:pPr>
              <w:widowControl/>
              <w:jc w:val="center"/>
              <w:textAlignment w:val="bottom"/>
              <w:rPr>
                <w:rFonts w:ascii="Arial" w:hAnsi="Arial" w:cs="Arial"/>
                <w:color w:val="000000" w:themeColor="text1"/>
                <w:szCs w:val="21"/>
                <w:highlight w:val="none"/>
                <w14:textFill>
                  <w14:solidFill>
                    <w14:schemeClr w14:val="tx1"/>
                  </w14:solidFill>
                </w14:textFill>
              </w:rPr>
            </w:pPr>
            <w:r>
              <w:rPr>
                <w:rFonts w:ascii="Arial" w:hAnsi="Arial" w:cs="Arial"/>
                <w:color w:val="000000" w:themeColor="text1"/>
                <w:kern w:val="0"/>
                <w:szCs w:val="21"/>
                <w:highlight w:val="none"/>
                <w14:textFill>
                  <w14:solidFill>
                    <w14:schemeClr w14:val="tx1"/>
                  </w14:solidFill>
                </w14:textFill>
              </w:rPr>
              <w:t>自有</w:t>
            </w:r>
          </w:p>
        </w:tc>
        <w:tc>
          <w:tcPr>
            <w:tcW w:w="426" w:type="dxa"/>
            <w:vAlign w:val="center"/>
          </w:tcPr>
          <w:p>
            <w:pPr>
              <w:widowControl/>
              <w:jc w:val="center"/>
              <w:textAlignment w:val="bottom"/>
              <w:rPr>
                <w:rFonts w:ascii="Arial" w:hAnsi="Arial" w:cs="Arial"/>
                <w:color w:val="000000" w:themeColor="text1"/>
                <w:szCs w:val="21"/>
                <w:highlight w:val="none"/>
                <w14:textFill>
                  <w14:solidFill>
                    <w14:schemeClr w14:val="tx1"/>
                  </w14:solidFill>
                </w14:textFill>
              </w:rPr>
            </w:pPr>
            <w:r>
              <w:rPr>
                <w:rFonts w:ascii="Arial" w:hAnsi="Arial" w:cs="Arial"/>
                <w:color w:val="000000" w:themeColor="text1"/>
                <w:kern w:val="0"/>
                <w:szCs w:val="21"/>
                <w:highlight w:val="none"/>
                <w14:textFill>
                  <w14:solidFill>
                    <w14:schemeClr w14:val="tx1"/>
                  </w14:solidFill>
                </w14:textFill>
              </w:rPr>
              <w:t>租赁</w:t>
            </w:r>
          </w:p>
        </w:tc>
        <w:tc>
          <w:tcPr>
            <w:tcW w:w="425" w:type="dxa"/>
            <w:vAlign w:val="center"/>
          </w:tcPr>
          <w:p>
            <w:pPr>
              <w:widowControl/>
              <w:jc w:val="center"/>
              <w:textAlignment w:val="bottom"/>
              <w:rPr>
                <w:rFonts w:ascii="Arial" w:hAnsi="Arial" w:cs="Arial"/>
                <w:color w:val="000000" w:themeColor="text1"/>
                <w:szCs w:val="21"/>
                <w:highlight w:val="none"/>
                <w14:textFill>
                  <w14:solidFill>
                    <w14:schemeClr w14:val="tx1"/>
                  </w14:solidFill>
                </w14:textFill>
              </w:rPr>
            </w:pPr>
            <w:r>
              <w:rPr>
                <w:rFonts w:ascii="Arial" w:hAnsi="Arial" w:cs="Arial"/>
                <w:color w:val="000000" w:themeColor="text1"/>
                <w:kern w:val="0"/>
                <w:szCs w:val="21"/>
                <w:highlight w:val="none"/>
                <w14:textFill>
                  <w14:solidFill>
                    <w14:schemeClr w14:val="tx1"/>
                  </w14:solidFill>
                </w14:textFill>
              </w:rPr>
              <w:t>新购</w:t>
            </w:r>
          </w:p>
        </w:tc>
        <w:tc>
          <w:tcPr>
            <w:tcW w:w="850" w:type="dxa"/>
            <w:vAlign w:val="center"/>
          </w:tcPr>
          <w:p>
            <w:pPr>
              <w:widowControl/>
              <w:jc w:val="center"/>
              <w:textAlignment w:val="bottom"/>
              <w:rPr>
                <w:rFonts w:ascii="Arial" w:hAnsi="Arial" w:cs="Arial"/>
                <w:color w:val="000000" w:themeColor="text1"/>
                <w:szCs w:val="21"/>
                <w:highlight w:val="none"/>
                <w14:textFill>
                  <w14:solidFill>
                    <w14:schemeClr w14:val="tx1"/>
                  </w14:solidFill>
                </w14:textFill>
              </w:rPr>
            </w:pPr>
            <w:r>
              <w:rPr>
                <w:rFonts w:ascii="Arial" w:hAnsi="Arial" w:cs="Arial"/>
                <w:color w:val="000000" w:themeColor="text1"/>
                <w:kern w:val="0"/>
                <w:szCs w:val="21"/>
                <w:highlight w:val="none"/>
                <w14:textFill>
                  <w14:solidFill>
                    <w14:schemeClr w14:val="tx1"/>
                  </w14:solidFill>
                </w14:textFill>
              </w:rPr>
              <w:t>设备寿命（年）</w:t>
            </w:r>
          </w:p>
        </w:tc>
        <w:tc>
          <w:tcPr>
            <w:tcW w:w="993" w:type="dxa"/>
            <w:vAlign w:val="center"/>
          </w:tcPr>
          <w:p>
            <w:pPr>
              <w:widowControl/>
              <w:jc w:val="center"/>
              <w:textAlignment w:val="bottom"/>
              <w:rPr>
                <w:rFonts w:ascii="Arial" w:hAnsi="Arial" w:cs="Arial"/>
                <w:color w:val="000000" w:themeColor="text1"/>
                <w:szCs w:val="21"/>
                <w:highlight w:val="none"/>
                <w14:textFill>
                  <w14:solidFill>
                    <w14:schemeClr w14:val="tx1"/>
                  </w14:solidFill>
                </w14:textFill>
              </w:rPr>
            </w:pPr>
            <w:r>
              <w:rPr>
                <w:rFonts w:ascii="Arial" w:hAnsi="Arial" w:cs="Arial"/>
                <w:color w:val="000000" w:themeColor="text1"/>
                <w:kern w:val="0"/>
                <w:szCs w:val="21"/>
                <w:highlight w:val="none"/>
                <w14:textFill>
                  <w14:solidFill>
                    <w14:schemeClr w14:val="tx1"/>
                  </w14:solidFill>
                </w14:textFill>
              </w:rPr>
              <w:t>已使用年限（年）</w:t>
            </w:r>
          </w:p>
        </w:tc>
        <w:tc>
          <w:tcPr>
            <w:tcW w:w="532" w:type="dxa"/>
            <w:vAlign w:val="center"/>
          </w:tcPr>
          <w:p>
            <w:pPr>
              <w:widowControl/>
              <w:jc w:val="center"/>
              <w:textAlignment w:val="bottom"/>
              <w:rPr>
                <w:rFonts w:ascii="Arial" w:hAnsi="Arial" w:cs="Arial"/>
                <w:color w:val="000000" w:themeColor="text1"/>
                <w:szCs w:val="21"/>
                <w:highlight w:val="none"/>
                <w14:textFill>
                  <w14:solidFill>
                    <w14:schemeClr w14:val="tx1"/>
                  </w14:solidFill>
                </w14:textFill>
              </w:rPr>
            </w:pPr>
            <w:r>
              <w:rPr>
                <w:rFonts w:ascii="Arial" w:hAnsi="Arial" w:cs="Arial"/>
                <w:color w:val="000000" w:themeColor="text1"/>
                <w:kern w:val="0"/>
                <w:szCs w:val="21"/>
                <w:highlight w:val="none"/>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6" w:type="dxa"/>
          </w:tcPr>
          <w:p>
            <w:pPr>
              <w:widowControl/>
              <w:jc w:val="center"/>
              <w:rPr>
                <w:rFonts w:ascii="Garamond" w:hAnsi="Garamond"/>
                <w:b/>
                <w:bCs/>
                <w:color w:val="000000" w:themeColor="text1"/>
                <w:szCs w:val="21"/>
                <w:highlight w:val="none"/>
                <w:u w:val="single"/>
                <w14:textFill>
                  <w14:solidFill>
                    <w14:schemeClr w14:val="tx1"/>
                  </w14:solidFill>
                </w14:textFill>
              </w:rPr>
            </w:pPr>
          </w:p>
        </w:tc>
        <w:tc>
          <w:tcPr>
            <w:tcW w:w="2062" w:type="dxa"/>
          </w:tcPr>
          <w:p>
            <w:pPr>
              <w:widowControl/>
              <w:jc w:val="center"/>
              <w:rPr>
                <w:rFonts w:ascii="Garamond" w:hAnsi="Garamond"/>
                <w:b/>
                <w:bCs/>
                <w:color w:val="000000" w:themeColor="text1"/>
                <w:szCs w:val="21"/>
                <w:highlight w:val="none"/>
                <w:u w:val="single"/>
                <w14:textFill>
                  <w14:solidFill>
                    <w14:schemeClr w14:val="tx1"/>
                  </w14:solidFill>
                </w14:textFill>
              </w:rPr>
            </w:pPr>
          </w:p>
        </w:tc>
        <w:tc>
          <w:tcPr>
            <w:tcW w:w="992" w:type="dxa"/>
          </w:tcPr>
          <w:p>
            <w:pPr>
              <w:widowControl/>
              <w:jc w:val="center"/>
              <w:rPr>
                <w:rFonts w:ascii="Garamond" w:hAnsi="Garamond"/>
                <w:b/>
                <w:bCs/>
                <w:color w:val="000000" w:themeColor="text1"/>
                <w:szCs w:val="21"/>
                <w:highlight w:val="none"/>
                <w:u w:val="single"/>
                <w14:textFill>
                  <w14:solidFill>
                    <w14:schemeClr w14:val="tx1"/>
                  </w14:solidFill>
                </w14:textFill>
              </w:rPr>
            </w:pPr>
          </w:p>
        </w:tc>
        <w:tc>
          <w:tcPr>
            <w:tcW w:w="1276" w:type="dxa"/>
          </w:tcPr>
          <w:p>
            <w:pPr>
              <w:widowControl/>
              <w:jc w:val="center"/>
              <w:rPr>
                <w:rFonts w:ascii="Garamond" w:hAnsi="Garamond"/>
                <w:b/>
                <w:bCs/>
                <w:color w:val="000000" w:themeColor="text1"/>
                <w:szCs w:val="21"/>
                <w:highlight w:val="none"/>
                <w:u w:val="single"/>
                <w14:textFill>
                  <w14:solidFill>
                    <w14:schemeClr w14:val="tx1"/>
                  </w14:solidFill>
                </w14:textFill>
              </w:rPr>
            </w:pPr>
          </w:p>
        </w:tc>
        <w:tc>
          <w:tcPr>
            <w:tcW w:w="567" w:type="dxa"/>
          </w:tcPr>
          <w:p>
            <w:pPr>
              <w:widowControl/>
              <w:jc w:val="center"/>
              <w:rPr>
                <w:rFonts w:ascii="Garamond" w:hAnsi="Garamond"/>
                <w:b/>
                <w:bCs/>
                <w:color w:val="000000" w:themeColor="text1"/>
                <w:szCs w:val="21"/>
                <w:highlight w:val="none"/>
                <w:u w:val="single"/>
                <w14:textFill>
                  <w14:solidFill>
                    <w14:schemeClr w14:val="tx1"/>
                  </w14:solidFill>
                </w14:textFill>
              </w:rPr>
            </w:pPr>
          </w:p>
        </w:tc>
        <w:tc>
          <w:tcPr>
            <w:tcW w:w="425" w:type="dxa"/>
          </w:tcPr>
          <w:p>
            <w:pPr>
              <w:widowControl/>
              <w:jc w:val="center"/>
              <w:rPr>
                <w:rFonts w:ascii="Garamond" w:hAnsi="Garamond"/>
                <w:b/>
                <w:bCs/>
                <w:color w:val="000000" w:themeColor="text1"/>
                <w:szCs w:val="21"/>
                <w:highlight w:val="none"/>
                <w:u w:val="single"/>
                <w14:textFill>
                  <w14:solidFill>
                    <w14:schemeClr w14:val="tx1"/>
                  </w14:solidFill>
                </w14:textFill>
              </w:rPr>
            </w:pPr>
          </w:p>
        </w:tc>
        <w:tc>
          <w:tcPr>
            <w:tcW w:w="426" w:type="dxa"/>
          </w:tcPr>
          <w:p>
            <w:pPr>
              <w:widowControl/>
              <w:jc w:val="center"/>
              <w:rPr>
                <w:rFonts w:ascii="Garamond" w:hAnsi="Garamond"/>
                <w:b/>
                <w:bCs/>
                <w:color w:val="000000" w:themeColor="text1"/>
                <w:szCs w:val="21"/>
                <w:highlight w:val="none"/>
                <w:u w:val="single"/>
                <w14:textFill>
                  <w14:solidFill>
                    <w14:schemeClr w14:val="tx1"/>
                  </w14:solidFill>
                </w14:textFill>
              </w:rPr>
            </w:pPr>
          </w:p>
        </w:tc>
        <w:tc>
          <w:tcPr>
            <w:tcW w:w="425" w:type="dxa"/>
          </w:tcPr>
          <w:p>
            <w:pPr>
              <w:widowControl/>
              <w:jc w:val="center"/>
              <w:rPr>
                <w:rFonts w:ascii="Garamond" w:hAnsi="Garamond"/>
                <w:b/>
                <w:bCs/>
                <w:color w:val="000000" w:themeColor="text1"/>
                <w:szCs w:val="21"/>
                <w:highlight w:val="none"/>
                <w:u w:val="single"/>
                <w14:textFill>
                  <w14:solidFill>
                    <w14:schemeClr w14:val="tx1"/>
                  </w14:solidFill>
                </w14:textFill>
              </w:rPr>
            </w:pPr>
          </w:p>
        </w:tc>
        <w:tc>
          <w:tcPr>
            <w:tcW w:w="850" w:type="dxa"/>
          </w:tcPr>
          <w:p>
            <w:pPr>
              <w:widowControl/>
              <w:jc w:val="center"/>
              <w:rPr>
                <w:rFonts w:ascii="Garamond" w:hAnsi="Garamond"/>
                <w:b/>
                <w:bCs/>
                <w:color w:val="000000" w:themeColor="text1"/>
                <w:szCs w:val="21"/>
                <w:highlight w:val="none"/>
                <w:u w:val="single"/>
                <w14:textFill>
                  <w14:solidFill>
                    <w14:schemeClr w14:val="tx1"/>
                  </w14:solidFill>
                </w14:textFill>
              </w:rPr>
            </w:pPr>
          </w:p>
        </w:tc>
        <w:tc>
          <w:tcPr>
            <w:tcW w:w="993" w:type="dxa"/>
          </w:tcPr>
          <w:p>
            <w:pPr>
              <w:widowControl/>
              <w:jc w:val="center"/>
              <w:rPr>
                <w:rFonts w:ascii="Garamond" w:hAnsi="Garamond"/>
                <w:b/>
                <w:bCs/>
                <w:color w:val="000000" w:themeColor="text1"/>
                <w:szCs w:val="21"/>
                <w:highlight w:val="none"/>
                <w:u w:val="single"/>
                <w14:textFill>
                  <w14:solidFill>
                    <w14:schemeClr w14:val="tx1"/>
                  </w14:solidFill>
                </w14:textFill>
              </w:rPr>
            </w:pPr>
          </w:p>
        </w:tc>
        <w:tc>
          <w:tcPr>
            <w:tcW w:w="532" w:type="dxa"/>
          </w:tcPr>
          <w:p>
            <w:pPr>
              <w:widowControl/>
              <w:jc w:val="center"/>
              <w:rPr>
                <w:rFonts w:ascii="Garamond" w:hAnsi="Garamond"/>
                <w:b/>
                <w:bCs/>
                <w:color w:val="000000" w:themeColor="text1"/>
                <w:szCs w:val="21"/>
                <w:highlight w:val="none"/>
                <w:u w:val="singl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6" w:type="dxa"/>
          </w:tcPr>
          <w:p>
            <w:pPr>
              <w:widowControl/>
              <w:jc w:val="center"/>
              <w:rPr>
                <w:rFonts w:ascii="Garamond" w:hAnsi="Garamond"/>
                <w:b/>
                <w:bCs/>
                <w:color w:val="000000" w:themeColor="text1"/>
                <w:szCs w:val="21"/>
                <w:highlight w:val="none"/>
                <w:u w:val="single"/>
                <w14:textFill>
                  <w14:solidFill>
                    <w14:schemeClr w14:val="tx1"/>
                  </w14:solidFill>
                </w14:textFill>
              </w:rPr>
            </w:pPr>
          </w:p>
        </w:tc>
        <w:tc>
          <w:tcPr>
            <w:tcW w:w="2062" w:type="dxa"/>
          </w:tcPr>
          <w:p>
            <w:pPr>
              <w:widowControl/>
              <w:jc w:val="center"/>
              <w:rPr>
                <w:rFonts w:ascii="Garamond" w:hAnsi="Garamond"/>
                <w:b/>
                <w:bCs/>
                <w:color w:val="000000" w:themeColor="text1"/>
                <w:szCs w:val="21"/>
                <w:highlight w:val="none"/>
                <w:u w:val="single"/>
                <w14:textFill>
                  <w14:solidFill>
                    <w14:schemeClr w14:val="tx1"/>
                  </w14:solidFill>
                </w14:textFill>
              </w:rPr>
            </w:pPr>
          </w:p>
        </w:tc>
        <w:tc>
          <w:tcPr>
            <w:tcW w:w="992" w:type="dxa"/>
          </w:tcPr>
          <w:p>
            <w:pPr>
              <w:widowControl/>
              <w:jc w:val="center"/>
              <w:rPr>
                <w:rFonts w:ascii="Garamond" w:hAnsi="Garamond"/>
                <w:b/>
                <w:bCs/>
                <w:color w:val="000000" w:themeColor="text1"/>
                <w:szCs w:val="21"/>
                <w:highlight w:val="none"/>
                <w:u w:val="single"/>
                <w14:textFill>
                  <w14:solidFill>
                    <w14:schemeClr w14:val="tx1"/>
                  </w14:solidFill>
                </w14:textFill>
              </w:rPr>
            </w:pPr>
          </w:p>
        </w:tc>
        <w:tc>
          <w:tcPr>
            <w:tcW w:w="1276" w:type="dxa"/>
          </w:tcPr>
          <w:p>
            <w:pPr>
              <w:widowControl/>
              <w:jc w:val="center"/>
              <w:rPr>
                <w:rFonts w:ascii="Garamond" w:hAnsi="Garamond"/>
                <w:b/>
                <w:bCs/>
                <w:color w:val="000000" w:themeColor="text1"/>
                <w:szCs w:val="21"/>
                <w:highlight w:val="none"/>
                <w:u w:val="single"/>
                <w14:textFill>
                  <w14:solidFill>
                    <w14:schemeClr w14:val="tx1"/>
                  </w14:solidFill>
                </w14:textFill>
              </w:rPr>
            </w:pPr>
          </w:p>
        </w:tc>
        <w:tc>
          <w:tcPr>
            <w:tcW w:w="567" w:type="dxa"/>
          </w:tcPr>
          <w:p>
            <w:pPr>
              <w:widowControl/>
              <w:jc w:val="center"/>
              <w:rPr>
                <w:rFonts w:ascii="Garamond" w:hAnsi="Garamond"/>
                <w:b/>
                <w:bCs/>
                <w:color w:val="000000" w:themeColor="text1"/>
                <w:szCs w:val="21"/>
                <w:highlight w:val="none"/>
                <w:u w:val="single"/>
                <w14:textFill>
                  <w14:solidFill>
                    <w14:schemeClr w14:val="tx1"/>
                  </w14:solidFill>
                </w14:textFill>
              </w:rPr>
            </w:pPr>
          </w:p>
        </w:tc>
        <w:tc>
          <w:tcPr>
            <w:tcW w:w="425" w:type="dxa"/>
          </w:tcPr>
          <w:p>
            <w:pPr>
              <w:widowControl/>
              <w:jc w:val="center"/>
              <w:rPr>
                <w:rFonts w:ascii="Garamond" w:hAnsi="Garamond"/>
                <w:b/>
                <w:bCs/>
                <w:color w:val="000000" w:themeColor="text1"/>
                <w:szCs w:val="21"/>
                <w:highlight w:val="none"/>
                <w:u w:val="single"/>
                <w14:textFill>
                  <w14:solidFill>
                    <w14:schemeClr w14:val="tx1"/>
                  </w14:solidFill>
                </w14:textFill>
              </w:rPr>
            </w:pPr>
          </w:p>
        </w:tc>
        <w:tc>
          <w:tcPr>
            <w:tcW w:w="426" w:type="dxa"/>
          </w:tcPr>
          <w:p>
            <w:pPr>
              <w:widowControl/>
              <w:jc w:val="center"/>
              <w:rPr>
                <w:rFonts w:ascii="Garamond" w:hAnsi="Garamond"/>
                <w:b/>
                <w:bCs/>
                <w:color w:val="000000" w:themeColor="text1"/>
                <w:szCs w:val="21"/>
                <w:highlight w:val="none"/>
                <w:u w:val="single"/>
                <w14:textFill>
                  <w14:solidFill>
                    <w14:schemeClr w14:val="tx1"/>
                  </w14:solidFill>
                </w14:textFill>
              </w:rPr>
            </w:pPr>
          </w:p>
        </w:tc>
        <w:tc>
          <w:tcPr>
            <w:tcW w:w="425" w:type="dxa"/>
          </w:tcPr>
          <w:p>
            <w:pPr>
              <w:widowControl/>
              <w:jc w:val="center"/>
              <w:rPr>
                <w:rFonts w:ascii="Garamond" w:hAnsi="Garamond"/>
                <w:b/>
                <w:bCs/>
                <w:color w:val="000000" w:themeColor="text1"/>
                <w:szCs w:val="21"/>
                <w:highlight w:val="none"/>
                <w:u w:val="single"/>
                <w14:textFill>
                  <w14:solidFill>
                    <w14:schemeClr w14:val="tx1"/>
                  </w14:solidFill>
                </w14:textFill>
              </w:rPr>
            </w:pPr>
          </w:p>
        </w:tc>
        <w:tc>
          <w:tcPr>
            <w:tcW w:w="850" w:type="dxa"/>
          </w:tcPr>
          <w:p>
            <w:pPr>
              <w:widowControl/>
              <w:jc w:val="center"/>
              <w:rPr>
                <w:rFonts w:ascii="Garamond" w:hAnsi="Garamond"/>
                <w:b/>
                <w:bCs/>
                <w:color w:val="000000" w:themeColor="text1"/>
                <w:szCs w:val="21"/>
                <w:highlight w:val="none"/>
                <w:u w:val="single"/>
                <w14:textFill>
                  <w14:solidFill>
                    <w14:schemeClr w14:val="tx1"/>
                  </w14:solidFill>
                </w14:textFill>
              </w:rPr>
            </w:pPr>
          </w:p>
        </w:tc>
        <w:tc>
          <w:tcPr>
            <w:tcW w:w="993" w:type="dxa"/>
          </w:tcPr>
          <w:p>
            <w:pPr>
              <w:widowControl/>
              <w:jc w:val="center"/>
              <w:rPr>
                <w:rFonts w:ascii="Garamond" w:hAnsi="Garamond"/>
                <w:b/>
                <w:bCs/>
                <w:color w:val="000000" w:themeColor="text1"/>
                <w:szCs w:val="21"/>
                <w:highlight w:val="none"/>
                <w:u w:val="single"/>
                <w14:textFill>
                  <w14:solidFill>
                    <w14:schemeClr w14:val="tx1"/>
                  </w14:solidFill>
                </w14:textFill>
              </w:rPr>
            </w:pPr>
          </w:p>
        </w:tc>
        <w:tc>
          <w:tcPr>
            <w:tcW w:w="532" w:type="dxa"/>
          </w:tcPr>
          <w:p>
            <w:pPr>
              <w:widowControl/>
              <w:jc w:val="center"/>
              <w:rPr>
                <w:rFonts w:ascii="Garamond" w:hAnsi="Garamond"/>
                <w:b/>
                <w:bCs/>
                <w:color w:val="000000" w:themeColor="text1"/>
                <w:szCs w:val="21"/>
                <w:highlight w:val="none"/>
                <w:u w:val="singl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6" w:type="dxa"/>
          </w:tcPr>
          <w:p>
            <w:pPr>
              <w:widowControl/>
              <w:jc w:val="center"/>
              <w:rPr>
                <w:rFonts w:ascii="Garamond" w:hAnsi="Garamond"/>
                <w:b/>
                <w:bCs/>
                <w:color w:val="000000" w:themeColor="text1"/>
                <w:szCs w:val="21"/>
                <w:highlight w:val="none"/>
                <w:u w:val="single"/>
                <w14:textFill>
                  <w14:solidFill>
                    <w14:schemeClr w14:val="tx1"/>
                  </w14:solidFill>
                </w14:textFill>
              </w:rPr>
            </w:pPr>
          </w:p>
        </w:tc>
        <w:tc>
          <w:tcPr>
            <w:tcW w:w="2062" w:type="dxa"/>
          </w:tcPr>
          <w:p>
            <w:pPr>
              <w:widowControl/>
              <w:jc w:val="center"/>
              <w:rPr>
                <w:rFonts w:ascii="Garamond" w:hAnsi="Garamond"/>
                <w:b/>
                <w:bCs/>
                <w:color w:val="000000" w:themeColor="text1"/>
                <w:szCs w:val="21"/>
                <w:highlight w:val="none"/>
                <w:u w:val="single"/>
                <w14:textFill>
                  <w14:solidFill>
                    <w14:schemeClr w14:val="tx1"/>
                  </w14:solidFill>
                </w14:textFill>
              </w:rPr>
            </w:pPr>
          </w:p>
        </w:tc>
        <w:tc>
          <w:tcPr>
            <w:tcW w:w="992" w:type="dxa"/>
          </w:tcPr>
          <w:p>
            <w:pPr>
              <w:widowControl/>
              <w:jc w:val="center"/>
              <w:rPr>
                <w:rFonts w:ascii="Garamond" w:hAnsi="Garamond"/>
                <w:b/>
                <w:bCs/>
                <w:color w:val="000000" w:themeColor="text1"/>
                <w:szCs w:val="21"/>
                <w:highlight w:val="none"/>
                <w:u w:val="single"/>
                <w14:textFill>
                  <w14:solidFill>
                    <w14:schemeClr w14:val="tx1"/>
                  </w14:solidFill>
                </w14:textFill>
              </w:rPr>
            </w:pPr>
          </w:p>
        </w:tc>
        <w:tc>
          <w:tcPr>
            <w:tcW w:w="1276" w:type="dxa"/>
          </w:tcPr>
          <w:p>
            <w:pPr>
              <w:widowControl/>
              <w:jc w:val="center"/>
              <w:rPr>
                <w:rFonts w:ascii="Garamond" w:hAnsi="Garamond"/>
                <w:b/>
                <w:bCs/>
                <w:color w:val="000000" w:themeColor="text1"/>
                <w:szCs w:val="21"/>
                <w:highlight w:val="none"/>
                <w:u w:val="single"/>
                <w14:textFill>
                  <w14:solidFill>
                    <w14:schemeClr w14:val="tx1"/>
                  </w14:solidFill>
                </w14:textFill>
              </w:rPr>
            </w:pPr>
          </w:p>
        </w:tc>
        <w:tc>
          <w:tcPr>
            <w:tcW w:w="567" w:type="dxa"/>
          </w:tcPr>
          <w:p>
            <w:pPr>
              <w:widowControl/>
              <w:jc w:val="center"/>
              <w:rPr>
                <w:rFonts w:ascii="Garamond" w:hAnsi="Garamond"/>
                <w:b/>
                <w:bCs/>
                <w:color w:val="000000" w:themeColor="text1"/>
                <w:szCs w:val="21"/>
                <w:highlight w:val="none"/>
                <w:u w:val="single"/>
                <w14:textFill>
                  <w14:solidFill>
                    <w14:schemeClr w14:val="tx1"/>
                  </w14:solidFill>
                </w14:textFill>
              </w:rPr>
            </w:pPr>
          </w:p>
        </w:tc>
        <w:tc>
          <w:tcPr>
            <w:tcW w:w="425" w:type="dxa"/>
          </w:tcPr>
          <w:p>
            <w:pPr>
              <w:widowControl/>
              <w:jc w:val="center"/>
              <w:rPr>
                <w:rFonts w:ascii="Garamond" w:hAnsi="Garamond"/>
                <w:b/>
                <w:bCs/>
                <w:color w:val="000000" w:themeColor="text1"/>
                <w:szCs w:val="21"/>
                <w:highlight w:val="none"/>
                <w:u w:val="single"/>
                <w14:textFill>
                  <w14:solidFill>
                    <w14:schemeClr w14:val="tx1"/>
                  </w14:solidFill>
                </w14:textFill>
              </w:rPr>
            </w:pPr>
          </w:p>
        </w:tc>
        <w:tc>
          <w:tcPr>
            <w:tcW w:w="426" w:type="dxa"/>
          </w:tcPr>
          <w:p>
            <w:pPr>
              <w:widowControl/>
              <w:jc w:val="center"/>
              <w:rPr>
                <w:rFonts w:ascii="Garamond" w:hAnsi="Garamond"/>
                <w:b/>
                <w:bCs/>
                <w:color w:val="000000" w:themeColor="text1"/>
                <w:szCs w:val="21"/>
                <w:highlight w:val="none"/>
                <w:u w:val="single"/>
                <w14:textFill>
                  <w14:solidFill>
                    <w14:schemeClr w14:val="tx1"/>
                  </w14:solidFill>
                </w14:textFill>
              </w:rPr>
            </w:pPr>
          </w:p>
        </w:tc>
        <w:tc>
          <w:tcPr>
            <w:tcW w:w="425" w:type="dxa"/>
          </w:tcPr>
          <w:p>
            <w:pPr>
              <w:widowControl/>
              <w:jc w:val="center"/>
              <w:rPr>
                <w:rFonts w:ascii="Garamond" w:hAnsi="Garamond"/>
                <w:b/>
                <w:bCs/>
                <w:color w:val="000000" w:themeColor="text1"/>
                <w:szCs w:val="21"/>
                <w:highlight w:val="none"/>
                <w:u w:val="single"/>
                <w14:textFill>
                  <w14:solidFill>
                    <w14:schemeClr w14:val="tx1"/>
                  </w14:solidFill>
                </w14:textFill>
              </w:rPr>
            </w:pPr>
          </w:p>
        </w:tc>
        <w:tc>
          <w:tcPr>
            <w:tcW w:w="850" w:type="dxa"/>
          </w:tcPr>
          <w:p>
            <w:pPr>
              <w:widowControl/>
              <w:jc w:val="center"/>
              <w:rPr>
                <w:rFonts w:ascii="Garamond" w:hAnsi="Garamond"/>
                <w:b/>
                <w:bCs/>
                <w:color w:val="000000" w:themeColor="text1"/>
                <w:szCs w:val="21"/>
                <w:highlight w:val="none"/>
                <w:u w:val="single"/>
                <w14:textFill>
                  <w14:solidFill>
                    <w14:schemeClr w14:val="tx1"/>
                  </w14:solidFill>
                </w14:textFill>
              </w:rPr>
            </w:pPr>
          </w:p>
        </w:tc>
        <w:tc>
          <w:tcPr>
            <w:tcW w:w="993" w:type="dxa"/>
          </w:tcPr>
          <w:p>
            <w:pPr>
              <w:widowControl/>
              <w:jc w:val="center"/>
              <w:rPr>
                <w:rFonts w:ascii="Garamond" w:hAnsi="Garamond"/>
                <w:b/>
                <w:bCs/>
                <w:color w:val="000000" w:themeColor="text1"/>
                <w:szCs w:val="21"/>
                <w:highlight w:val="none"/>
                <w:u w:val="single"/>
                <w14:textFill>
                  <w14:solidFill>
                    <w14:schemeClr w14:val="tx1"/>
                  </w14:solidFill>
                </w14:textFill>
              </w:rPr>
            </w:pPr>
          </w:p>
        </w:tc>
        <w:tc>
          <w:tcPr>
            <w:tcW w:w="532" w:type="dxa"/>
          </w:tcPr>
          <w:p>
            <w:pPr>
              <w:widowControl/>
              <w:jc w:val="center"/>
              <w:rPr>
                <w:rFonts w:ascii="Garamond" w:hAnsi="Garamond"/>
                <w:b/>
                <w:bCs/>
                <w:color w:val="000000" w:themeColor="text1"/>
                <w:szCs w:val="21"/>
                <w:highlight w:val="none"/>
                <w:u w:val="singl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6" w:type="dxa"/>
          </w:tcPr>
          <w:p>
            <w:pPr>
              <w:widowControl/>
              <w:jc w:val="center"/>
              <w:rPr>
                <w:rFonts w:ascii="Garamond" w:hAnsi="Garamond"/>
                <w:b/>
                <w:bCs/>
                <w:color w:val="000000" w:themeColor="text1"/>
                <w:szCs w:val="21"/>
                <w:highlight w:val="none"/>
                <w:u w:val="single"/>
                <w14:textFill>
                  <w14:solidFill>
                    <w14:schemeClr w14:val="tx1"/>
                  </w14:solidFill>
                </w14:textFill>
              </w:rPr>
            </w:pPr>
          </w:p>
        </w:tc>
        <w:tc>
          <w:tcPr>
            <w:tcW w:w="2062" w:type="dxa"/>
          </w:tcPr>
          <w:p>
            <w:pPr>
              <w:widowControl/>
              <w:jc w:val="center"/>
              <w:rPr>
                <w:rFonts w:ascii="Garamond" w:hAnsi="Garamond"/>
                <w:b/>
                <w:bCs/>
                <w:color w:val="000000" w:themeColor="text1"/>
                <w:szCs w:val="21"/>
                <w:highlight w:val="none"/>
                <w:u w:val="single"/>
                <w14:textFill>
                  <w14:solidFill>
                    <w14:schemeClr w14:val="tx1"/>
                  </w14:solidFill>
                </w14:textFill>
              </w:rPr>
            </w:pPr>
          </w:p>
        </w:tc>
        <w:tc>
          <w:tcPr>
            <w:tcW w:w="992" w:type="dxa"/>
          </w:tcPr>
          <w:p>
            <w:pPr>
              <w:widowControl/>
              <w:jc w:val="center"/>
              <w:rPr>
                <w:rFonts w:ascii="Garamond" w:hAnsi="Garamond"/>
                <w:b/>
                <w:bCs/>
                <w:color w:val="000000" w:themeColor="text1"/>
                <w:szCs w:val="21"/>
                <w:highlight w:val="none"/>
                <w:u w:val="single"/>
                <w14:textFill>
                  <w14:solidFill>
                    <w14:schemeClr w14:val="tx1"/>
                  </w14:solidFill>
                </w14:textFill>
              </w:rPr>
            </w:pPr>
          </w:p>
        </w:tc>
        <w:tc>
          <w:tcPr>
            <w:tcW w:w="1276" w:type="dxa"/>
          </w:tcPr>
          <w:p>
            <w:pPr>
              <w:widowControl/>
              <w:jc w:val="center"/>
              <w:rPr>
                <w:rFonts w:ascii="Garamond" w:hAnsi="Garamond"/>
                <w:b/>
                <w:bCs/>
                <w:color w:val="000000" w:themeColor="text1"/>
                <w:szCs w:val="21"/>
                <w:highlight w:val="none"/>
                <w:u w:val="single"/>
                <w14:textFill>
                  <w14:solidFill>
                    <w14:schemeClr w14:val="tx1"/>
                  </w14:solidFill>
                </w14:textFill>
              </w:rPr>
            </w:pPr>
          </w:p>
        </w:tc>
        <w:tc>
          <w:tcPr>
            <w:tcW w:w="567" w:type="dxa"/>
          </w:tcPr>
          <w:p>
            <w:pPr>
              <w:widowControl/>
              <w:jc w:val="center"/>
              <w:rPr>
                <w:rFonts w:ascii="Garamond" w:hAnsi="Garamond"/>
                <w:b/>
                <w:bCs/>
                <w:color w:val="000000" w:themeColor="text1"/>
                <w:szCs w:val="21"/>
                <w:highlight w:val="none"/>
                <w:u w:val="single"/>
                <w14:textFill>
                  <w14:solidFill>
                    <w14:schemeClr w14:val="tx1"/>
                  </w14:solidFill>
                </w14:textFill>
              </w:rPr>
            </w:pPr>
          </w:p>
        </w:tc>
        <w:tc>
          <w:tcPr>
            <w:tcW w:w="425" w:type="dxa"/>
          </w:tcPr>
          <w:p>
            <w:pPr>
              <w:widowControl/>
              <w:jc w:val="center"/>
              <w:rPr>
                <w:rFonts w:ascii="Garamond" w:hAnsi="Garamond"/>
                <w:b/>
                <w:bCs/>
                <w:color w:val="000000" w:themeColor="text1"/>
                <w:szCs w:val="21"/>
                <w:highlight w:val="none"/>
                <w:u w:val="single"/>
                <w14:textFill>
                  <w14:solidFill>
                    <w14:schemeClr w14:val="tx1"/>
                  </w14:solidFill>
                </w14:textFill>
              </w:rPr>
            </w:pPr>
          </w:p>
        </w:tc>
        <w:tc>
          <w:tcPr>
            <w:tcW w:w="426" w:type="dxa"/>
          </w:tcPr>
          <w:p>
            <w:pPr>
              <w:widowControl/>
              <w:jc w:val="center"/>
              <w:rPr>
                <w:rFonts w:ascii="Garamond" w:hAnsi="Garamond"/>
                <w:b/>
                <w:bCs/>
                <w:color w:val="000000" w:themeColor="text1"/>
                <w:szCs w:val="21"/>
                <w:highlight w:val="none"/>
                <w:u w:val="single"/>
                <w14:textFill>
                  <w14:solidFill>
                    <w14:schemeClr w14:val="tx1"/>
                  </w14:solidFill>
                </w14:textFill>
              </w:rPr>
            </w:pPr>
          </w:p>
        </w:tc>
        <w:tc>
          <w:tcPr>
            <w:tcW w:w="425" w:type="dxa"/>
          </w:tcPr>
          <w:p>
            <w:pPr>
              <w:widowControl/>
              <w:jc w:val="center"/>
              <w:rPr>
                <w:rFonts w:ascii="Garamond" w:hAnsi="Garamond"/>
                <w:b/>
                <w:bCs/>
                <w:color w:val="000000" w:themeColor="text1"/>
                <w:szCs w:val="21"/>
                <w:highlight w:val="none"/>
                <w:u w:val="single"/>
                <w14:textFill>
                  <w14:solidFill>
                    <w14:schemeClr w14:val="tx1"/>
                  </w14:solidFill>
                </w14:textFill>
              </w:rPr>
            </w:pPr>
          </w:p>
        </w:tc>
        <w:tc>
          <w:tcPr>
            <w:tcW w:w="850" w:type="dxa"/>
          </w:tcPr>
          <w:p>
            <w:pPr>
              <w:widowControl/>
              <w:jc w:val="center"/>
              <w:rPr>
                <w:rFonts w:ascii="Garamond" w:hAnsi="Garamond"/>
                <w:b/>
                <w:bCs/>
                <w:color w:val="000000" w:themeColor="text1"/>
                <w:szCs w:val="21"/>
                <w:highlight w:val="none"/>
                <w:u w:val="single"/>
                <w14:textFill>
                  <w14:solidFill>
                    <w14:schemeClr w14:val="tx1"/>
                  </w14:solidFill>
                </w14:textFill>
              </w:rPr>
            </w:pPr>
          </w:p>
        </w:tc>
        <w:tc>
          <w:tcPr>
            <w:tcW w:w="993" w:type="dxa"/>
          </w:tcPr>
          <w:p>
            <w:pPr>
              <w:widowControl/>
              <w:jc w:val="center"/>
              <w:rPr>
                <w:rFonts w:ascii="Garamond" w:hAnsi="Garamond"/>
                <w:b/>
                <w:bCs/>
                <w:color w:val="000000" w:themeColor="text1"/>
                <w:szCs w:val="21"/>
                <w:highlight w:val="none"/>
                <w:u w:val="single"/>
                <w14:textFill>
                  <w14:solidFill>
                    <w14:schemeClr w14:val="tx1"/>
                  </w14:solidFill>
                </w14:textFill>
              </w:rPr>
            </w:pPr>
          </w:p>
        </w:tc>
        <w:tc>
          <w:tcPr>
            <w:tcW w:w="532" w:type="dxa"/>
          </w:tcPr>
          <w:p>
            <w:pPr>
              <w:widowControl/>
              <w:jc w:val="center"/>
              <w:rPr>
                <w:rFonts w:ascii="Garamond" w:hAnsi="Garamond"/>
                <w:b/>
                <w:bCs/>
                <w:color w:val="000000" w:themeColor="text1"/>
                <w:szCs w:val="21"/>
                <w:highlight w:val="none"/>
                <w:u w:val="singl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6" w:type="dxa"/>
          </w:tcPr>
          <w:p>
            <w:pPr>
              <w:widowControl/>
              <w:jc w:val="center"/>
              <w:rPr>
                <w:rFonts w:ascii="Garamond" w:hAnsi="Garamond"/>
                <w:b/>
                <w:bCs/>
                <w:color w:val="000000" w:themeColor="text1"/>
                <w:szCs w:val="21"/>
                <w:highlight w:val="none"/>
                <w:u w:val="single"/>
                <w14:textFill>
                  <w14:solidFill>
                    <w14:schemeClr w14:val="tx1"/>
                  </w14:solidFill>
                </w14:textFill>
              </w:rPr>
            </w:pPr>
          </w:p>
        </w:tc>
        <w:tc>
          <w:tcPr>
            <w:tcW w:w="2062" w:type="dxa"/>
          </w:tcPr>
          <w:p>
            <w:pPr>
              <w:widowControl/>
              <w:jc w:val="center"/>
              <w:rPr>
                <w:rFonts w:ascii="Garamond" w:hAnsi="Garamond"/>
                <w:b/>
                <w:bCs/>
                <w:color w:val="000000" w:themeColor="text1"/>
                <w:szCs w:val="21"/>
                <w:highlight w:val="none"/>
                <w:u w:val="single"/>
                <w14:textFill>
                  <w14:solidFill>
                    <w14:schemeClr w14:val="tx1"/>
                  </w14:solidFill>
                </w14:textFill>
              </w:rPr>
            </w:pPr>
          </w:p>
        </w:tc>
        <w:tc>
          <w:tcPr>
            <w:tcW w:w="992" w:type="dxa"/>
          </w:tcPr>
          <w:p>
            <w:pPr>
              <w:widowControl/>
              <w:jc w:val="center"/>
              <w:rPr>
                <w:rFonts w:ascii="Garamond" w:hAnsi="Garamond"/>
                <w:b/>
                <w:bCs/>
                <w:color w:val="000000" w:themeColor="text1"/>
                <w:szCs w:val="21"/>
                <w:highlight w:val="none"/>
                <w:u w:val="single"/>
                <w14:textFill>
                  <w14:solidFill>
                    <w14:schemeClr w14:val="tx1"/>
                  </w14:solidFill>
                </w14:textFill>
              </w:rPr>
            </w:pPr>
          </w:p>
        </w:tc>
        <w:tc>
          <w:tcPr>
            <w:tcW w:w="1276" w:type="dxa"/>
          </w:tcPr>
          <w:p>
            <w:pPr>
              <w:widowControl/>
              <w:jc w:val="center"/>
              <w:rPr>
                <w:rFonts w:ascii="Garamond" w:hAnsi="Garamond"/>
                <w:b/>
                <w:bCs/>
                <w:color w:val="000000" w:themeColor="text1"/>
                <w:szCs w:val="21"/>
                <w:highlight w:val="none"/>
                <w:u w:val="single"/>
                <w14:textFill>
                  <w14:solidFill>
                    <w14:schemeClr w14:val="tx1"/>
                  </w14:solidFill>
                </w14:textFill>
              </w:rPr>
            </w:pPr>
          </w:p>
        </w:tc>
        <w:tc>
          <w:tcPr>
            <w:tcW w:w="567" w:type="dxa"/>
          </w:tcPr>
          <w:p>
            <w:pPr>
              <w:widowControl/>
              <w:jc w:val="center"/>
              <w:rPr>
                <w:rFonts w:ascii="Garamond" w:hAnsi="Garamond"/>
                <w:b/>
                <w:bCs/>
                <w:color w:val="000000" w:themeColor="text1"/>
                <w:szCs w:val="21"/>
                <w:highlight w:val="none"/>
                <w:u w:val="single"/>
                <w14:textFill>
                  <w14:solidFill>
                    <w14:schemeClr w14:val="tx1"/>
                  </w14:solidFill>
                </w14:textFill>
              </w:rPr>
            </w:pPr>
          </w:p>
        </w:tc>
        <w:tc>
          <w:tcPr>
            <w:tcW w:w="425" w:type="dxa"/>
          </w:tcPr>
          <w:p>
            <w:pPr>
              <w:widowControl/>
              <w:jc w:val="center"/>
              <w:rPr>
                <w:rFonts w:ascii="Garamond" w:hAnsi="Garamond"/>
                <w:b/>
                <w:bCs/>
                <w:color w:val="000000" w:themeColor="text1"/>
                <w:szCs w:val="21"/>
                <w:highlight w:val="none"/>
                <w:u w:val="single"/>
                <w14:textFill>
                  <w14:solidFill>
                    <w14:schemeClr w14:val="tx1"/>
                  </w14:solidFill>
                </w14:textFill>
              </w:rPr>
            </w:pPr>
          </w:p>
        </w:tc>
        <w:tc>
          <w:tcPr>
            <w:tcW w:w="426" w:type="dxa"/>
          </w:tcPr>
          <w:p>
            <w:pPr>
              <w:widowControl/>
              <w:jc w:val="center"/>
              <w:rPr>
                <w:rFonts w:ascii="Garamond" w:hAnsi="Garamond"/>
                <w:b/>
                <w:bCs/>
                <w:color w:val="000000" w:themeColor="text1"/>
                <w:szCs w:val="21"/>
                <w:highlight w:val="none"/>
                <w:u w:val="single"/>
                <w14:textFill>
                  <w14:solidFill>
                    <w14:schemeClr w14:val="tx1"/>
                  </w14:solidFill>
                </w14:textFill>
              </w:rPr>
            </w:pPr>
          </w:p>
        </w:tc>
        <w:tc>
          <w:tcPr>
            <w:tcW w:w="425" w:type="dxa"/>
          </w:tcPr>
          <w:p>
            <w:pPr>
              <w:widowControl/>
              <w:jc w:val="center"/>
              <w:rPr>
                <w:rFonts w:ascii="Garamond" w:hAnsi="Garamond"/>
                <w:b/>
                <w:bCs/>
                <w:color w:val="000000" w:themeColor="text1"/>
                <w:szCs w:val="21"/>
                <w:highlight w:val="none"/>
                <w:u w:val="single"/>
                <w14:textFill>
                  <w14:solidFill>
                    <w14:schemeClr w14:val="tx1"/>
                  </w14:solidFill>
                </w14:textFill>
              </w:rPr>
            </w:pPr>
          </w:p>
        </w:tc>
        <w:tc>
          <w:tcPr>
            <w:tcW w:w="850" w:type="dxa"/>
          </w:tcPr>
          <w:p>
            <w:pPr>
              <w:widowControl/>
              <w:jc w:val="center"/>
              <w:rPr>
                <w:rFonts w:ascii="Garamond" w:hAnsi="Garamond"/>
                <w:b/>
                <w:bCs/>
                <w:color w:val="000000" w:themeColor="text1"/>
                <w:szCs w:val="21"/>
                <w:highlight w:val="none"/>
                <w:u w:val="single"/>
                <w14:textFill>
                  <w14:solidFill>
                    <w14:schemeClr w14:val="tx1"/>
                  </w14:solidFill>
                </w14:textFill>
              </w:rPr>
            </w:pPr>
          </w:p>
        </w:tc>
        <w:tc>
          <w:tcPr>
            <w:tcW w:w="993" w:type="dxa"/>
          </w:tcPr>
          <w:p>
            <w:pPr>
              <w:widowControl/>
              <w:jc w:val="center"/>
              <w:rPr>
                <w:rFonts w:ascii="Garamond" w:hAnsi="Garamond"/>
                <w:b/>
                <w:bCs/>
                <w:color w:val="000000" w:themeColor="text1"/>
                <w:szCs w:val="21"/>
                <w:highlight w:val="none"/>
                <w:u w:val="single"/>
                <w14:textFill>
                  <w14:solidFill>
                    <w14:schemeClr w14:val="tx1"/>
                  </w14:solidFill>
                </w14:textFill>
              </w:rPr>
            </w:pPr>
          </w:p>
        </w:tc>
        <w:tc>
          <w:tcPr>
            <w:tcW w:w="532" w:type="dxa"/>
          </w:tcPr>
          <w:p>
            <w:pPr>
              <w:widowControl/>
              <w:jc w:val="center"/>
              <w:rPr>
                <w:rFonts w:ascii="Garamond" w:hAnsi="Garamond"/>
                <w:b/>
                <w:bCs/>
                <w:color w:val="000000" w:themeColor="text1"/>
                <w:szCs w:val="21"/>
                <w:highlight w:val="none"/>
                <w:u w:val="singl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6" w:type="dxa"/>
          </w:tcPr>
          <w:p>
            <w:pPr>
              <w:widowControl/>
              <w:jc w:val="center"/>
              <w:rPr>
                <w:rFonts w:ascii="Garamond" w:hAnsi="Garamond"/>
                <w:b/>
                <w:bCs/>
                <w:color w:val="000000" w:themeColor="text1"/>
                <w:szCs w:val="21"/>
                <w:highlight w:val="none"/>
                <w:u w:val="single"/>
                <w14:textFill>
                  <w14:solidFill>
                    <w14:schemeClr w14:val="tx1"/>
                  </w14:solidFill>
                </w14:textFill>
              </w:rPr>
            </w:pPr>
          </w:p>
        </w:tc>
        <w:tc>
          <w:tcPr>
            <w:tcW w:w="2062" w:type="dxa"/>
          </w:tcPr>
          <w:p>
            <w:pPr>
              <w:widowControl/>
              <w:jc w:val="center"/>
              <w:rPr>
                <w:rFonts w:ascii="Garamond" w:hAnsi="Garamond"/>
                <w:b/>
                <w:bCs/>
                <w:color w:val="000000" w:themeColor="text1"/>
                <w:szCs w:val="21"/>
                <w:highlight w:val="none"/>
                <w:u w:val="single"/>
                <w14:textFill>
                  <w14:solidFill>
                    <w14:schemeClr w14:val="tx1"/>
                  </w14:solidFill>
                </w14:textFill>
              </w:rPr>
            </w:pPr>
          </w:p>
        </w:tc>
        <w:tc>
          <w:tcPr>
            <w:tcW w:w="992" w:type="dxa"/>
          </w:tcPr>
          <w:p>
            <w:pPr>
              <w:widowControl/>
              <w:jc w:val="center"/>
              <w:rPr>
                <w:rFonts w:ascii="Garamond" w:hAnsi="Garamond"/>
                <w:b/>
                <w:bCs/>
                <w:color w:val="000000" w:themeColor="text1"/>
                <w:szCs w:val="21"/>
                <w:highlight w:val="none"/>
                <w:u w:val="single"/>
                <w14:textFill>
                  <w14:solidFill>
                    <w14:schemeClr w14:val="tx1"/>
                  </w14:solidFill>
                </w14:textFill>
              </w:rPr>
            </w:pPr>
          </w:p>
        </w:tc>
        <w:tc>
          <w:tcPr>
            <w:tcW w:w="1276" w:type="dxa"/>
          </w:tcPr>
          <w:p>
            <w:pPr>
              <w:widowControl/>
              <w:jc w:val="center"/>
              <w:rPr>
                <w:rFonts w:ascii="Garamond" w:hAnsi="Garamond"/>
                <w:b/>
                <w:bCs/>
                <w:color w:val="000000" w:themeColor="text1"/>
                <w:szCs w:val="21"/>
                <w:highlight w:val="none"/>
                <w:u w:val="single"/>
                <w14:textFill>
                  <w14:solidFill>
                    <w14:schemeClr w14:val="tx1"/>
                  </w14:solidFill>
                </w14:textFill>
              </w:rPr>
            </w:pPr>
          </w:p>
        </w:tc>
        <w:tc>
          <w:tcPr>
            <w:tcW w:w="567" w:type="dxa"/>
          </w:tcPr>
          <w:p>
            <w:pPr>
              <w:widowControl/>
              <w:jc w:val="center"/>
              <w:rPr>
                <w:rFonts w:ascii="Garamond" w:hAnsi="Garamond"/>
                <w:b/>
                <w:bCs/>
                <w:color w:val="000000" w:themeColor="text1"/>
                <w:szCs w:val="21"/>
                <w:highlight w:val="none"/>
                <w:u w:val="single"/>
                <w14:textFill>
                  <w14:solidFill>
                    <w14:schemeClr w14:val="tx1"/>
                  </w14:solidFill>
                </w14:textFill>
              </w:rPr>
            </w:pPr>
          </w:p>
        </w:tc>
        <w:tc>
          <w:tcPr>
            <w:tcW w:w="425" w:type="dxa"/>
          </w:tcPr>
          <w:p>
            <w:pPr>
              <w:widowControl/>
              <w:jc w:val="center"/>
              <w:rPr>
                <w:rFonts w:ascii="Garamond" w:hAnsi="Garamond"/>
                <w:b/>
                <w:bCs/>
                <w:color w:val="000000" w:themeColor="text1"/>
                <w:szCs w:val="21"/>
                <w:highlight w:val="none"/>
                <w:u w:val="single"/>
                <w14:textFill>
                  <w14:solidFill>
                    <w14:schemeClr w14:val="tx1"/>
                  </w14:solidFill>
                </w14:textFill>
              </w:rPr>
            </w:pPr>
          </w:p>
        </w:tc>
        <w:tc>
          <w:tcPr>
            <w:tcW w:w="426" w:type="dxa"/>
          </w:tcPr>
          <w:p>
            <w:pPr>
              <w:widowControl/>
              <w:jc w:val="center"/>
              <w:rPr>
                <w:rFonts w:ascii="Garamond" w:hAnsi="Garamond"/>
                <w:b/>
                <w:bCs/>
                <w:color w:val="000000" w:themeColor="text1"/>
                <w:szCs w:val="21"/>
                <w:highlight w:val="none"/>
                <w:u w:val="single"/>
                <w14:textFill>
                  <w14:solidFill>
                    <w14:schemeClr w14:val="tx1"/>
                  </w14:solidFill>
                </w14:textFill>
              </w:rPr>
            </w:pPr>
          </w:p>
        </w:tc>
        <w:tc>
          <w:tcPr>
            <w:tcW w:w="425" w:type="dxa"/>
          </w:tcPr>
          <w:p>
            <w:pPr>
              <w:widowControl/>
              <w:jc w:val="center"/>
              <w:rPr>
                <w:rFonts w:ascii="Garamond" w:hAnsi="Garamond"/>
                <w:b/>
                <w:bCs/>
                <w:color w:val="000000" w:themeColor="text1"/>
                <w:szCs w:val="21"/>
                <w:highlight w:val="none"/>
                <w:u w:val="single"/>
                <w14:textFill>
                  <w14:solidFill>
                    <w14:schemeClr w14:val="tx1"/>
                  </w14:solidFill>
                </w14:textFill>
              </w:rPr>
            </w:pPr>
          </w:p>
        </w:tc>
        <w:tc>
          <w:tcPr>
            <w:tcW w:w="850" w:type="dxa"/>
          </w:tcPr>
          <w:p>
            <w:pPr>
              <w:widowControl/>
              <w:jc w:val="center"/>
              <w:rPr>
                <w:rFonts w:ascii="Garamond" w:hAnsi="Garamond"/>
                <w:b/>
                <w:bCs/>
                <w:color w:val="000000" w:themeColor="text1"/>
                <w:szCs w:val="21"/>
                <w:highlight w:val="none"/>
                <w:u w:val="single"/>
                <w14:textFill>
                  <w14:solidFill>
                    <w14:schemeClr w14:val="tx1"/>
                  </w14:solidFill>
                </w14:textFill>
              </w:rPr>
            </w:pPr>
          </w:p>
        </w:tc>
        <w:tc>
          <w:tcPr>
            <w:tcW w:w="993" w:type="dxa"/>
          </w:tcPr>
          <w:p>
            <w:pPr>
              <w:widowControl/>
              <w:jc w:val="center"/>
              <w:rPr>
                <w:rFonts w:ascii="Garamond" w:hAnsi="Garamond"/>
                <w:b/>
                <w:bCs/>
                <w:color w:val="000000" w:themeColor="text1"/>
                <w:szCs w:val="21"/>
                <w:highlight w:val="none"/>
                <w:u w:val="single"/>
                <w14:textFill>
                  <w14:solidFill>
                    <w14:schemeClr w14:val="tx1"/>
                  </w14:solidFill>
                </w14:textFill>
              </w:rPr>
            </w:pPr>
          </w:p>
        </w:tc>
        <w:tc>
          <w:tcPr>
            <w:tcW w:w="532" w:type="dxa"/>
          </w:tcPr>
          <w:p>
            <w:pPr>
              <w:widowControl/>
              <w:jc w:val="center"/>
              <w:rPr>
                <w:rFonts w:ascii="Garamond" w:hAnsi="Garamond"/>
                <w:b/>
                <w:bCs/>
                <w:color w:val="000000" w:themeColor="text1"/>
                <w:szCs w:val="21"/>
                <w:highlight w:val="none"/>
                <w:u w:val="singl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6" w:type="dxa"/>
          </w:tcPr>
          <w:p>
            <w:pPr>
              <w:widowControl/>
              <w:jc w:val="center"/>
              <w:rPr>
                <w:rFonts w:ascii="Garamond" w:hAnsi="Garamond"/>
                <w:b/>
                <w:bCs/>
                <w:color w:val="000000" w:themeColor="text1"/>
                <w:szCs w:val="21"/>
                <w:highlight w:val="none"/>
                <w:u w:val="single"/>
                <w14:textFill>
                  <w14:solidFill>
                    <w14:schemeClr w14:val="tx1"/>
                  </w14:solidFill>
                </w14:textFill>
              </w:rPr>
            </w:pPr>
          </w:p>
        </w:tc>
        <w:tc>
          <w:tcPr>
            <w:tcW w:w="2062" w:type="dxa"/>
          </w:tcPr>
          <w:p>
            <w:pPr>
              <w:widowControl/>
              <w:jc w:val="center"/>
              <w:rPr>
                <w:rFonts w:ascii="Garamond" w:hAnsi="Garamond"/>
                <w:b/>
                <w:bCs/>
                <w:color w:val="000000" w:themeColor="text1"/>
                <w:szCs w:val="21"/>
                <w:highlight w:val="none"/>
                <w:u w:val="single"/>
                <w14:textFill>
                  <w14:solidFill>
                    <w14:schemeClr w14:val="tx1"/>
                  </w14:solidFill>
                </w14:textFill>
              </w:rPr>
            </w:pPr>
          </w:p>
        </w:tc>
        <w:tc>
          <w:tcPr>
            <w:tcW w:w="992" w:type="dxa"/>
          </w:tcPr>
          <w:p>
            <w:pPr>
              <w:widowControl/>
              <w:jc w:val="center"/>
              <w:rPr>
                <w:rFonts w:ascii="Garamond" w:hAnsi="Garamond"/>
                <w:b/>
                <w:bCs/>
                <w:color w:val="000000" w:themeColor="text1"/>
                <w:szCs w:val="21"/>
                <w:highlight w:val="none"/>
                <w:u w:val="single"/>
                <w14:textFill>
                  <w14:solidFill>
                    <w14:schemeClr w14:val="tx1"/>
                  </w14:solidFill>
                </w14:textFill>
              </w:rPr>
            </w:pPr>
          </w:p>
        </w:tc>
        <w:tc>
          <w:tcPr>
            <w:tcW w:w="1276" w:type="dxa"/>
          </w:tcPr>
          <w:p>
            <w:pPr>
              <w:widowControl/>
              <w:jc w:val="center"/>
              <w:rPr>
                <w:rFonts w:ascii="Garamond" w:hAnsi="Garamond"/>
                <w:b/>
                <w:bCs/>
                <w:color w:val="000000" w:themeColor="text1"/>
                <w:szCs w:val="21"/>
                <w:highlight w:val="none"/>
                <w:u w:val="single"/>
                <w14:textFill>
                  <w14:solidFill>
                    <w14:schemeClr w14:val="tx1"/>
                  </w14:solidFill>
                </w14:textFill>
              </w:rPr>
            </w:pPr>
          </w:p>
        </w:tc>
        <w:tc>
          <w:tcPr>
            <w:tcW w:w="567" w:type="dxa"/>
          </w:tcPr>
          <w:p>
            <w:pPr>
              <w:widowControl/>
              <w:jc w:val="center"/>
              <w:rPr>
                <w:rFonts w:ascii="Garamond" w:hAnsi="Garamond"/>
                <w:b/>
                <w:bCs/>
                <w:color w:val="000000" w:themeColor="text1"/>
                <w:szCs w:val="21"/>
                <w:highlight w:val="none"/>
                <w:u w:val="single"/>
                <w14:textFill>
                  <w14:solidFill>
                    <w14:schemeClr w14:val="tx1"/>
                  </w14:solidFill>
                </w14:textFill>
              </w:rPr>
            </w:pPr>
          </w:p>
        </w:tc>
        <w:tc>
          <w:tcPr>
            <w:tcW w:w="425" w:type="dxa"/>
          </w:tcPr>
          <w:p>
            <w:pPr>
              <w:widowControl/>
              <w:jc w:val="center"/>
              <w:rPr>
                <w:rFonts w:ascii="Garamond" w:hAnsi="Garamond"/>
                <w:b/>
                <w:bCs/>
                <w:color w:val="000000" w:themeColor="text1"/>
                <w:szCs w:val="21"/>
                <w:highlight w:val="none"/>
                <w:u w:val="single"/>
                <w14:textFill>
                  <w14:solidFill>
                    <w14:schemeClr w14:val="tx1"/>
                  </w14:solidFill>
                </w14:textFill>
              </w:rPr>
            </w:pPr>
          </w:p>
        </w:tc>
        <w:tc>
          <w:tcPr>
            <w:tcW w:w="426" w:type="dxa"/>
          </w:tcPr>
          <w:p>
            <w:pPr>
              <w:widowControl/>
              <w:jc w:val="center"/>
              <w:rPr>
                <w:rFonts w:ascii="Garamond" w:hAnsi="Garamond"/>
                <w:b/>
                <w:bCs/>
                <w:color w:val="000000" w:themeColor="text1"/>
                <w:szCs w:val="21"/>
                <w:highlight w:val="none"/>
                <w:u w:val="single"/>
                <w14:textFill>
                  <w14:solidFill>
                    <w14:schemeClr w14:val="tx1"/>
                  </w14:solidFill>
                </w14:textFill>
              </w:rPr>
            </w:pPr>
          </w:p>
        </w:tc>
        <w:tc>
          <w:tcPr>
            <w:tcW w:w="425" w:type="dxa"/>
          </w:tcPr>
          <w:p>
            <w:pPr>
              <w:widowControl/>
              <w:jc w:val="center"/>
              <w:rPr>
                <w:rFonts w:ascii="Garamond" w:hAnsi="Garamond"/>
                <w:b/>
                <w:bCs/>
                <w:color w:val="000000" w:themeColor="text1"/>
                <w:szCs w:val="21"/>
                <w:highlight w:val="none"/>
                <w:u w:val="single"/>
                <w14:textFill>
                  <w14:solidFill>
                    <w14:schemeClr w14:val="tx1"/>
                  </w14:solidFill>
                </w14:textFill>
              </w:rPr>
            </w:pPr>
          </w:p>
        </w:tc>
        <w:tc>
          <w:tcPr>
            <w:tcW w:w="850" w:type="dxa"/>
          </w:tcPr>
          <w:p>
            <w:pPr>
              <w:widowControl/>
              <w:jc w:val="center"/>
              <w:rPr>
                <w:rFonts w:ascii="Garamond" w:hAnsi="Garamond"/>
                <w:b/>
                <w:bCs/>
                <w:color w:val="000000" w:themeColor="text1"/>
                <w:szCs w:val="21"/>
                <w:highlight w:val="none"/>
                <w:u w:val="single"/>
                <w14:textFill>
                  <w14:solidFill>
                    <w14:schemeClr w14:val="tx1"/>
                  </w14:solidFill>
                </w14:textFill>
              </w:rPr>
            </w:pPr>
          </w:p>
        </w:tc>
        <w:tc>
          <w:tcPr>
            <w:tcW w:w="993" w:type="dxa"/>
          </w:tcPr>
          <w:p>
            <w:pPr>
              <w:widowControl/>
              <w:jc w:val="center"/>
              <w:rPr>
                <w:rFonts w:ascii="Garamond" w:hAnsi="Garamond"/>
                <w:b/>
                <w:bCs/>
                <w:color w:val="000000" w:themeColor="text1"/>
                <w:szCs w:val="21"/>
                <w:highlight w:val="none"/>
                <w:u w:val="single"/>
                <w14:textFill>
                  <w14:solidFill>
                    <w14:schemeClr w14:val="tx1"/>
                  </w14:solidFill>
                </w14:textFill>
              </w:rPr>
            </w:pPr>
          </w:p>
        </w:tc>
        <w:tc>
          <w:tcPr>
            <w:tcW w:w="532" w:type="dxa"/>
          </w:tcPr>
          <w:p>
            <w:pPr>
              <w:widowControl/>
              <w:jc w:val="center"/>
              <w:rPr>
                <w:rFonts w:ascii="Garamond" w:hAnsi="Garamond"/>
                <w:b/>
                <w:bCs/>
                <w:color w:val="000000" w:themeColor="text1"/>
                <w:szCs w:val="21"/>
                <w:highlight w:val="none"/>
                <w:u w:val="singl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56" w:type="dxa"/>
          </w:tcPr>
          <w:p>
            <w:pPr>
              <w:widowControl/>
              <w:jc w:val="center"/>
              <w:rPr>
                <w:rFonts w:ascii="Garamond" w:hAnsi="Garamond"/>
                <w:b/>
                <w:bCs/>
                <w:color w:val="000000" w:themeColor="text1"/>
                <w:szCs w:val="21"/>
                <w:highlight w:val="none"/>
                <w:u w:val="single"/>
                <w14:textFill>
                  <w14:solidFill>
                    <w14:schemeClr w14:val="tx1"/>
                  </w14:solidFill>
                </w14:textFill>
              </w:rPr>
            </w:pPr>
          </w:p>
        </w:tc>
        <w:tc>
          <w:tcPr>
            <w:tcW w:w="2062" w:type="dxa"/>
          </w:tcPr>
          <w:p>
            <w:pPr>
              <w:widowControl/>
              <w:jc w:val="center"/>
              <w:rPr>
                <w:rFonts w:ascii="Garamond" w:hAnsi="Garamond"/>
                <w:b/>
                <w:bCs/>
                <w:color w:val="000000" w:themeColor="text1"/>
                <w:szCs w:val="21"/>
                <w:highlight w:val="none"/>
                <w:u w:val="single"/>
                <w14:textFill>
                  <w14:solidFill>
                    <w14:schemeClr w14:val="tx1"/>
                  </w14:solidFill>
                </w14:textFill>
              </w:rPr>
            </w:pPr>
          </w:p>
        </w:tc>
        <w:tc>
          <w:tcPr>
            <w:tcW w:w="992" w:type="dxa"/>
          </w:tcPr>
          <w:p>
            <w:pPr>
              <w:widowControl/>
              <w:jc w:val="center"/>
              <w:rPr>
                <w:rFonts w:ascii="Garamond" w:hAnsi="Garamond"/>
                <w:b/>
                <w:bCs/>
                <w:color w:val="000000" w:themeColor="text1"/>
                <w:szCs w:val="21"/>
                <w:highlight w:val="none"/>
                <w:u w:val="single"/>
                <w14:textFill>
                  <w14:solidFill>
                    <w14:schemeClr w14:val="tx1"/>
                  </w14:solidFill>
                </w14:textFill>
              </w:rPr>
            </w:pPr>
          </w:p>
        </w:tc>
        <w:tc>
          <w:tcPr>
            <w:tcW w:w="1276" w:type="dxa"/>
          </w:tcPr>
          <w:p>
            <w:pPr>
              <w:widowControl/>
              <w:jc w:val="center"/>
              <w:rPr>
                <w:rFonts w:ascii="Garamond" w:hAnsi="Garamond"/>
                <w:b/>
                <w:bCs/>
                <w:color w:val="000000" w:themeColor="text1"/>
                <w:szCs w:val="21"/>
                <w:highlight w:val="none"/>
                <w:u w:val="single"/>
                <w14:textFill>
                  <w14:solidFill>
                    <w14:schemeClr w14:val="tx1"/>
                  </w14:solidFill>
                </w14:textFill>
              </w:rPr>
            </w:pPr>
          </w:p>
        </w:tc>
        <w:tc>
          <w:tcPr>
            <w:tcW w:w="567" w:type="dxa"/>
          </w:tcPr>
          <w:p>
            <w:pPr>
              <w:widowControl/>
              <w:jc w:val="center"/>
              <w:rPr>
                <w:rFonts w:ascii="Garamond" w:hAnsi="Garamond"/>
                <w:b/>
                <w:bCs/>
                <w:color w:val="000000" w:themeColor="text1"/>
                <w:szCs w:val="21"/>
                <w:highlight w:val="none"/>
                <w:u w:val="single"/>
                <w14:textFill>
                  <w14:solidFill>
                    <w14:schemeClr w14:val="tx1"/>
                  </w14:solidFill>
                </w14:textFill>
              </w:rPr>
            </w:pPr>
          </w:p>
        </w:tc>
        <w:tc>
          <w:tcPr>
            <w:tcW w:w="425" w:type="dxa"/>
          </w:tcPr>
          <w:p>
            <w:pPr>
              <w:widowControl/>
              <w:jc w:val="center"/>
              <w:rPr>
                <w:rFonts w:ascii="Garamond" w:hAnsi="Garamond"/>
                <w:b/>
                <w:bCs/>
                <w:color w:val="000000" w:themeColor="text1"/>
                <w:szCs w:val="21"/>
                <w:highlight w:val="none"/>
                <w:u w:val="single"/>
                <w14:textFill>
                  <w14:solidFill>
                    <w14:schemeClr w14:val="tx1"/>
                  </w14:solidFill>
                </w14:textFill>
              </w:rPr>
            </w:pPr>
          </w:p>
        </w:tc>
        <w:tc>
          <w:tcPr>
            <w:tcW w:w="426" w:type="dxa"/>
          </w:tcPr>
          <w:p>
            <w:pPr>
              <w:widowControl/>
              <w:jc w:val="center"/>
              <w:rPr>
                <w:rFonts w:ascii="Garamond" w:hAnsi="Garamond"/>
                <w:b/>
                <w:bCs/>
                <w:color w:val="000000" w:themeColor="text1"/>
                <w:szCs w:val="21"/>
                <w:highlight w:val="none"/>
                <w:u w:val="single"/>
                <w14:textFill>
                  <w14:solidFill>
                    <w14:schemeClr w14:val="tx1"/>
                  </w14:solidFill>
                </w14:textFill>
              </w:rPr>
            </w:pPr>
          </w:p>
        </w:tc>
        <w:tc>
          <w:tcPr>
            <w:tcW w:w="425" w:type="dxa"/>
          </w:tcPr>
          <w:p>
            <w:pPr>
              <w:widowControl/>
              <w:jc w:val="center"/>
              <w:rPr>
                <w:rFonts w:ascii="Garamond" w:hAnsi="Garamond"/>
                <w:b/>
                <w:bCs/>
                <w:color w:val="000000" w:themeColor="text1"/>
                <w:szCs w:val="21"/>
                <w:highlight w:val="none"/>
                <w:u w:val="single"/>
                <w14:textFill>
                  <w14:solidFill>
                    <w14:schemeClr w14:val="tx1"/>
                  </w14:solidFill>
                </w14:textFill>
              </w:rPr>
            </w:pPr>
          </w:p>
        </w:tc>
        <w:tc>
          <w:tcPr>
            <w:tcW w:w="850" w:type="dxa"/>
          </w:tcPr>
          <w:p>
            <w:pPr>
              <w:widowControl/>
              <w:jc w:val="center"/>
              <w:rPr>
                <w:rFonts w:ascii="Garamond" w:hAnsi="Garamond"/>
                <w:b/>
                <w:bCs/>
                <w:color w:val="000000" w:themeColor="text1"/>
                <w:szCs w:val="21"/>
                <w:highlight w:val="none"/>
                <w:u w:val="single"/>
                <w14:textFill>
                  <w14:solidFill>
                    <w14:schemeClr w14:val="tx1"/>
                  </w14:solidFill>
                </w14:textFill>
              </w:rPr>
            </w:pPr>
          </w:p>
        </w:tc>
        <w:tc>
          <w:tcPr>
            <w:tcW w:w="993" w:type="dxa"/>
          </w:tcPr>
          <w:p>
            <w:pPr>
              <w:widowControl/>
              <w:jc w:val="center"/>
              <w:rPr>
                <w:rFonts w:ascii="Garamond" w:hAnsi="Garamond"/>
                <w:b/>
                <w:bCs/>
                <w:color w:val="000000" w:themeColor="text1"/>
                <w:szCs w:val="21"/>
                <w:highlight w:val="none"/>
                <w:u w:val="single"/>
                <w14:textFill>
                  <w14:solidFill>
                    <w14:schemeClr w14:val="tx1"/>
                  </w14:solidFill>
                </w14:textFill>
              </w:rPr>
            </w:pPr>
          </w:p>
        </w:tc>
        <w:tc>
          <w:tcPr>
            <w:tcW w:w="532" w:type="dxa"/>
          </w:tcPr>
          <w:p>
            <w:pPr>
              <w:widowControl/>
              <w:jc w:val="center"/>
              <w:rPr>
                <w:rFonts w:ascii="Garamond" w:hAnsi="Garamond"/>
                <w:b/>
                <w:bCs/>
                <w:color w:val="000000" w:themeColor="text1"/>
                <w:szCs w:val="21"/>
                <w:highlight w:val="none"/>
                <w:u w:val="singl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6" w:type="dxa"/>
          </w:tcPr>
          <w:p>
            <w:pPr>
              <w:widowControl/>
              <w:jc w:val="center"/>
              <w:rPr>
                <w:rFonts w:ascii="Garamond" w:hAnsi="Garamond"/>
                <w:b/>
                <w:bCs/>
                <w:color w:val="000000" w:themeColor="text1"/>
                <w:szCs w:val="21"/>
                <w:highlight w:val="none"/>
                <w:u w:val="single"/>
                <w14:textFill>
                  <w14:solidFill>
                    <w14:schemeClr w14:val="tx1"/>
                  </w14:solidFill>
                </w14:textFill>
              </w:rPr>
            </w:pPr>
          </w:p>
        </w:tc>
        <w:tc>
          <w:tcPr>
            <w:tcW w:w="2062" w:type="dxa"/>
          </w:tcPr>
          <w:p>
            <w:pPr>
              <w:widowControl/>
              <w:jc w:val="center"/>
              <w:rPr>
                <w:rFonts w:ascii="Garamond" w:hAnsi="Garamond"/>
                <w:b/>
                <w:bCs/>
                <w:color w:val="000000" w:themeColor="text1"/>
                <w:szCs w:val="21"/>
                <w:highlight w:val="none"/>
                <w:u w:val="single"/>
                <w14:textFill>
                  <w14:solidFill>
                    <w14:schemeClr w14:val="tx1"/>
                  </w14:solidFill>
                </w14:textFill>
              </w:rPr>
            </w:pPr>
          </w:p>
        </w:tc>
        <w:tc>
          <w:tcPr>
            <w:tcW w:w="992" w:type="dxa"/>
          </w:tcPr>
          <w:p>
            <w:pPr>
              <w:widowControl/>
              <w:jc w:val="center"/>
              <w:rPr>
                <w:rFonts w:ascii="Garamond" w:hAnsi="Garamond"/>
                <w:b/>
                <w:bCs/>
                <w:color w:val="000000" w:themeColor="text1"/>
                <w:szCs w:val="21"/>
                <w:highlight w:val="none"/>
                <w:u w:val="single"/>
                <w14:textFill>
                  <w14:solidFill>
                    <w14:schemeClr w14:val="tx1"/>
                  </w14:solidFill>
                </w14:textFill>
              </w:rPr>
            </w:pPr>
          </w:p>
        </w:tc>
        <w:tc>
          <w:tcPr>
            <w:tcW w:w="1276" w:type="dxa"/>
          </w:tcPr>
          <w:p>
            <w:pPr>
              <w:widowControl/>
              <w:jc w:val="center"/>
              <w:rPr>
                <w:rFonts w:ascii="Garamond" w:hAnsi="Garamond"/>
                <w:b/>
                <w:bCs/>
                <w:color w:val="000000" w:themeColor="text1"/>
                <w:szCs w:val="21"/>
                <w:highlight w:val="none"/>
                <w:u w:val="single"/>
                <w14:textFill>
                  <w14:solidFill>
                    <w14:schemeClr w14:val="tx1"/>
                  </w14:solidFill>
                </w14:textFill>
              </w:rPr>
            </w:pPr>
          </w:p>
        </w:tc>
        <w:tc>
          <w:tcPr>
            <w:tcW w:w="567" w:type="dxa"/>
          </w:tcPr>
          <w:p>
            <w:pPr>
              <w:widowControl/>
              <w:jc w:val="center"/>
              <w:rPr>
                <w:rFonts w:ascii="Garamond" w:hAnsi="Garamond"/>
                <w:b/>
                <w:bCs/>
                <w:color w:val="000000" w:themeColor="text1"/>
                <w:szCs w:val="21"/>
                <w:highlight w:val="none"/>
                <w:u w:val="single"/>
                <w14:textFill>
                  <w14:solidFill>
                    <w14:schemeClr w14:val="tx1"/>
                  </w14:solidFill>
                </w14:textFill>
              </w:rPr>
            </w:pPr>
          </w:p>
        </w:tc>
        <w:tc>
          <w:tcPr>
            <w:tcW w:w="425" w:type="dxa"/>
          </w:tcPr>
          <w:p>
            <w:pPr>
              <w:widowControl/>
              <w:jc w:val="center"/>
              <w:rPr>
                <w:rFonts w:ascii="Garamond" w:hAnsi="Garamond"/>
                <w:b/>
                <w:bCs/>
                <w:color w:val="000000" w:themeColor="text1"/>
                <w:szCs w:val="21"/>
                <w:highlight w:val="none"/>
                <w:u w:val="single"/>
                <w14:textFill>
                  <w14:solidFill>
                    <w14:schemeClr w14:val="tx1"/>
                  </w14:solidFill>
                </w14:textFill>
              </w:rPr>
            </w:pPr>
          </w:p>
        </w:tc>
        <w:tc>
          <w:tcPr>
            <w:tcW w:w="426" w:type="dxa"/>
          </w:tcPr>
          <w:p>
            <w:pPr>
              <w:widowControl/>
              <w:jc w:val="center"/>
              <w:rPr>
                <w:rFonts w:ascii="Garamond" w:hAnsi="Garamond"/>
                <w:b/>
                <w:bCs/>
                <w:color w:val="000000" w:themeColor="text1"/>
                <w:szCs w:val="21"/>
                <w:highlight w:val="none"/>
                <w:u w:val="single"/>
                <w14:textFill>
                  <w14:solidFill>
                    <w14:schemeClr w14:val="tx1"/>
                  </w14:solidFill>
                </w14:textFill>
              </w:rPr>
            </w:pPr>
          </w:p>
        </w:tc>
        <w:tc>
          <w:tcPr>
            <w:tcW w:w="425" w:type="dxa"/>
          </w:tcPr>
          <w:p>
            <w:pPr>
              <w:widowControl/>
              <w:jc w:val="center"/>
              <w:rPr>
                <w:rFonts w:ascii="Garamond" w:hAnsi="Garamond"/>
                <w:b/>
                <w:bCs/>
                <w:color w:val="000000" w:themeColor="text1"/>
                <w:szCs w:val="21"/>
                <w:highlight w:val="none"/>
                <w:u w:val="single"/>
                <w14:textFill>
                  <w14:solidFill>
                    <w14:schemeClr w14:val="tx1"/>
                  </w14:solidFill>
                </w14:textFill>
              </w:rPr>
            </w:pPr>
          </w:p>
        </w:tc>
        <w:tc>
          <w:tcPr>
            <w:tcW w:w="850" w:type="dxa"/>
          </w:tcPr>
          <w:p>
            <w:pPr>
              <w:widowControl/>
              <w:jc w:val="center"/>
              <w:rPr>
                <w:rFonts w:ascii="Garamond" w:hAnsi="Garamond"/>
                <w:b/>
                <w:bCs/>
                <w:color w:val="000000" w:themeColor="text1"/>
                <w:szCs w:val="21"/>
                <w:highlight w:val="none"/>
                <w:u w:val="single"/>
                <w14:textFill>
                  <w14:solidFill>
                    <w14:schemeClr w14:val="tx1"/>
                  </w14:solidFill>
                </w14:textFill>
              </w:rPr>
            </w:pPr>
          </w:p>
        </w:tc>
        <w:tc>
          <w:tcPr>
            <w:tcW w:w="993" w:type="dxa"/>
          </w:tcPr>
          <w:p>
            <w:pPr>
              <w:widowControl/>
              <w:jc w:val="center"/>
              <w:rPr>
                <w:rFonts w:ascii="Garamond" w:hAnsi="Garamond"/>
                <w:b/>
                <w:bCs/>
                <w:color w:val="000000" w:themeColor="text1"/>
                <w:szCs w:val="21"/>
                <w:highlight w:val="none"/>
                <w:u w:val="single"/>
                <w14:textFill>
                  <w14:solidFill>
                    <w14:schemeClr w14:val="tx1"/>
                  </w14:solidFill>
                </w14:textFill>
              </w:rPr>
            </w:pPr>
          </w:p>
        </w:tc>
        <w:tc>
          <w:tcPr>
            <w:tcW w:w="532" w:type="dxa"/>
          </w:tcPr>
          <w:p>
            <w:pPr>
              <w:widowControl/>
              <w:jc w:val="center"/>
              <w:rPr>
                <w:rFonts w:ascii="Garamond" w:hAnsi="Garamond"/>
                <w:b/>
                <w:bCs/>
                <w:color w:val="000000" w:themeColor="text1"/>
                <w:szCs w:val="21"/>
                <w:highlight w:val="none"/>
                <w:u w:val="single"/>
                <w14:textFill>
                  <w14:solidFill>
                    <w14:schemeClr w14:val="tx1"/>
                  </w14:solidFill>
                </w14:textFill>
              </w:rPr>
            </w:pPr>
          </w:p>
        </w:tc>
      </w:tr>
    </w:tbl>
    <w:p>
      <w:pPr>
        <w:widowControl/>
        <w:ind w:firstLine="482"/>
        <w:jc w:val="center"/>
        <w:rPr>
          <w:rFonts w:ascii="Garamond" w:hAnsi="Garamond"/>
          <w:b/>
          <w:bCs/>
          <w:sz w:val="24"/>
          <w:highlight w:val="none"/>
          <w:u w:val="single"/>
        </w:rPr>
      </w:pPr>
    </w:p>
    <w:p>
      <w:pPr>
        <w:snapToGrid w:val="0"/>
        <w:spacing w:line="360" w:lineRule="auto"/>
        <w:rPr>
          <w:rFonts w:ascii="Garamond" w:hAnsi="Garamond"/>
          <w:b/>
          <w:bCs/>
          <w:highlight w:val="none"/>
          <w:u w:val="single"/>
        </w:rPr>
      </w:pPr>
    </w:p>
    <w:p>
      <w:pPr>
        <w:snapToGrid w:val="0"/>
        <w:spacing w:line="360" w:lineRule="auto"/>
        <w:rPr>
          <w:rFonts w:ascii="Garamond" w:hAnsi="Garamond"/>
          <w:sz w:val="18"/>
          <w:szCs w:val="18"/>
          <w:highlight w:val="none"/>
        </w:rPr>
      </w:pPr>
    </w:p>
    <w:p>
      <w:pPr>
        <w:snapToGrid w:val="0"/>
        <w:spacing w:line="360" w:lineRule="auto"/>
        <w:rPr>
          <w:rFonts w:ascii="Garamond" w:hAnsi="Garamond"/>
          <w:sz w:val="18"/>
          <w:szCs w:val="18"/>
          <w:highlight w:val="none"/>
        </w:rPr>
      </w:pPr>
      <w:r>
        <w:rPr>
          <w:rFonts w:hint="eastAsia" w:ascii="Garamond" w:hAnsi="Garamond"/>
          <w:sz w:val="18"/>
          <w:szCs w:val="18"/>
          <w:highlight w:val="none"/>
        </w:rPr>
        <w:t>注：本表后附相关证明材料。</w:t>
      </w:r>
    </w:p>
    <w:p>
      <w:pPr>
        <w:snapToGrid w:val="0"/>
        <w:spacing w:line="360" w:lineRule="auto"/>
        <w:rPr>
          <w:rFonts w:ascii="Garamond" w:hAnsi="Garamond"/>
          <w:sz w:val="18"/>
          <w:szCs w:val="18"/>
          <w:highlight w:val="none"/>
        </w:rPr>
      </w:pPr>
    </w:p>
    <w:p>
      <w:pPr>
        <w:snapToGrid w:val="0"/>
        <w:spacing w:line="360" w:lineRule="auto"/>
        <w:rPr>
          <w:rFonts w:ascii="Garamond" w:hAnsi="Garamond"/>
          <w:sz w:val="18"/>
          <w:szCs w:val="18"/>
          <w:highlight w:val="none"/>
        </w:rPr>
      </w:pPr>
    </w:p>
    <w:p>
      <w:pPr>
        <w:snapToGrid w:val="0"/>
        <w:spacing w:line="360" w:lineRule="auto"/>
        <w:rPr>
          <w:rFonts w:ascii="Garamond" w:hAnsi="Garamond"/>
          <w:sz w:val="18"/>
          <w:szCs w:val="18"/>
          <w:highlight w:val="none"/>
        </w:rPr>
      </w:pPr>
    </w:p>
    <w:p>
      <w:pPr>
        <w:snapToGrid w:val="0"/>
        <w:spacing w:line="360" w:lineRule="auto"/>
        <w:rPr>
          <w:rFonts w:ascii="Garamond" w:hAnsi="Garamond"/>
          <w:sz w:val="18"/>
          <w:szCs w:val="18"/>
          <w:highlight w:val="none"/>
        </w:rPr>
      </w:pPr>
    </w:p>
    <w:p>
      <w:pPr>
        <w:snapToGrid w:val="0"/>
        <w:spacing w:line="360" w:lineRule="auto"/>
        <w:rPr>
          <w:rFonts w:ascii="Garamond" w:hAnsi="Garamond"/>
          <w:sz w:val="18"/>
          <w:szCs w:val="18"/>
          <w:highlight w:val="none"/>
        </w:rPr>
      </w:pPr>
    </w:p>
    <w:p>
      <w:pPr>
        <w:snapToGrid w:val="0"/>
        <w:spacing w:line="360" w:lineRule="auto"/>
        <w:rPr>
          <w:rFonts w:ascii="Garamond" w:hAnsi="Garamond"/>
          <w:sz w:val="18"/>
          <w:szCs w:val="18"/>
          <w:highlight w:val="none"/>
        </w:rPr>
      </w:pPr>
    </w:p>
    <w:p>
      <w:pPr>
        <w:widowControl/>
        <w:jc w:val="left"/>
        <w:rPr>
          <w:rFonts w:ascii="Garamond" w:hAnsi="Garamond"/>
          <w:b/>
          <w:bCs/>
          <w:sz w:val="28"/>
          <w:szCs w:val="28"/>
          <w:highlight w:val="none"/>
        </w:rPr>
      </w:pPr>
      <w:r>
        <w:rPr>
          <w:rFonts w:ascii="Garamond" w:hAnsi="Garamond"/>
          <w:sz w:val="28"/>
          <w:szCs w:val="28"/>
          <w:highlight w:val="none"/>
        </w:rPr>
        <w:br w:type="page"/>
      </w:r>
    </w:p>
    <w:p>
      <w:pPr>
        <w:pStyle w:val="4"/>
        <w:jc w:val="center"/>
        <w:rPr>
          <w:rFonts w:ascii="Garamond" w:hAnsi="Garamond"/>
          <w:highlight w:val="none"/>
        </w:rPr>
      </w:pPr>
      <w:r>
        <w:rPr>
          <w:rFonts w:hint="eastAsia" w:ascii="Garamond" w:hAnsi="Garamond"/>
          <w:sz w:val="28"/>
          <w:szCs w:val="28"/>
          <w:highlight w:val="none"/>
        </w:rPr>
        <w:t>七</w:t>
      </w:r>
      <w:r>
        <w:rPr>
          <w:rFonts w:ascii="Garamond" w:hAnsi="Garamond"/>
          <w:sz w:val="28"/>
          <w:szCs w:val="28"/>
          <w:highlight w:val="none"/>
        </w:rPr>
        <w:t>、江苏省公路水运建设项目投标人信用承诺书</w:t>
      </w:r>
    </w:p>
    <w:p>
      <w:pPr>
        <w:adjustRightInd w:val="0"/>
        <w:snapToGrid w:val="0"/>
        <w:spacing w:line="480" w:lineRule="auto"/>
        <w:rPr>
          <w:rFonts w:ascii="Garamond" w:hAnsi="Garamond" w:cs="宋体"/>
          <w:spacing w:val="-5"/>
          <w:highlight w:val="none"/>
        </w:rPr>
      </w:pPr>
      <w:r>
        <w:rPr>
          <w:rFonts w:ascii="Garamond" w:hAnsi="Garamond" w:cs="宋体"/>
          <w:spacing w:val="-5"/>
          <w:highlight w:val="none"/>
        </w:rPr>
        <w:t>致：</w:t>
      </w:r>
      <w:r>
        <w:rPr>
          <w:rFonts w:ascii="Garamond" w:hAnsi="Garamond" w:cs="宋体"/>
          <w:spacing w:val="-5"/>
          <w:highlight w:val="none"/>
          <w:u w:val="single"/>
        </w:rPr>
        <w:t>南通市公路事业发展中心</w:t>
      </w:r>
    </w:p>
    <w:p>
      <w:pPr>
        <w:adjustRightInd w:val="0"/>
        <w:snapToGrid w:val="0"/>
        <w:spacing w:line="480" w:lineRule="auto"/>
        <w:ind w:firstLine="400" w:firstLineChars="200"/>
        <w:rPr>
          <w:rFonts w:ascii="Garamond" w:hAnsi="Garamond" w:cs="宋体"/>
          <w:spacing w:val="-5"/>
          <w:highlight w:val="none"/>
        </w:rPr>
      </w:pPr>
      <w:r>
        <w:rPr>
          <w:rFonts w:ascii="Garamond" w:hAnsi="Garamond" w:cs="宋体"/>
          <w:spacing w:val="-5"/>
          <w:highlight w:val="none"/>
        </w:rPr>
        <w:t>我单位自愿参加</w:t>
      </w:r>
      <w:r>
        <w:rPr>
          <w:rFonts w:hint="eastAsia" w:ascii="Garamond" w:hAnsi="Garamond" w:cs="宋体"/>
          <w:spacing w:val="-5"/>
          <w:highlight w:val="none"/>
          <w:u w:val="single"/>
        </w:rPr>
        <w:t xml:space="preserve">          </w:t>
      </w:r>
      <w:r>
        <w:rPr>
          <w:rFonts w:ascii="Garamond" w:hAnsi="Garamond" w:cs="宋体"/>
          <w:spacing w:val="-5"/>
          <w:highlight w:val="none"/>
          <w:u w:val="single"/>
        </w:rPr>
        <w:t>项目</w:t>
      </w:r>
      <w:r>
        <w:rPr>
          <w:rFonts w:hint="eastAsia" w:ascii="Garamond" w:hAnsi="Garamond" w:cs="宋体"/>
          <w:spacing w:val="-5"/>
          <w:highlight w:val="none"/>
          <w:u w:val="single"/>
        </w:rPr>
        <w:t xml:space="preserve">     </w:t>
      </w:r>
      <w:r>
        <w:rPr>
          <w:rFonts w:ascii="Garamond" w:hAnsi="Garamond" w:cs="宋体"/>
          <w:spacing w:val="-5"/>
          <w:highlight w:val="none"/>
          <w:u w:val="single"/>
        </w:rPr>
        <w:t>标段</w:t>
      </w:r>
      <w:r>
        <w:rPr>
          <w:rFonts w:ascii="Garamond" w:hAnsi="Garamond" w:cs="宋体"/>
          <w:spacing w:val="-5"/>
          <w:highlight w:val="none"/>
        </w:rPr>
        <w:t>的投标活动，并郑重承诺：</w:t>
      </w:r>
    </w:p>
    <w:p>
      <w:pPr>
        <w:adjustRightInd w:val="0"/>
        <w:snapToGrid w:val="0"/>
        <w:spacing w:line="480" w:lineRule="auto"/>
        <w:ind w:firstLine="400" w:firstLineChars="200"/>
        <w:rPr>
          <w:rFonts w:ascii="宋体" w:hAnsi="宋体" w:cs="宋体"/>
          <w:spacing w:val="-5"/>
          <w:highlight w:val="none"/>
        </w:rPr>
      </w:pPr>
      <w:r>
        <w:rPr>
          <w:rFonts w:ascii="宋体" w:hAnsi="宋体" w:cs="宋体"/>
          <w:spacing w:val="-5"/>
          <w:highlight w:val="none"/>
        </w:rPr>
        <w:t>1.</w:t>
      </w:r>
      <w:r>
        <w:rPr>
          <w:rFonts w:hint="eastAsia" w:ascii="宋体" w:hAnsi="宋体" w:cs="宋体"/>
          <w:spacing w:val="-5"/>
          <w:highlight w:val="none"/>
        </w:rPr>
        <w:t>在本项目的投标活动中遵守国家法律法规和交通运输行业有关规定，遵循公开、公平、公正和诚信原则。</w:t>
      </w:r>
    </w:p>
    <w:p>
      <w:pPr>
        <w:adjustRightInd w:val="0"/>
        <w:snapToGrid w:val="0"/>
        <w:spacing w:line="480" w:lineRule="auto"/>
        <w:ind w:firstLine="400" w:firstLineChars="200"/>
        <w:rPr>
          <w:rFonts w:ascii="宋体" w:hAnsi="宋体" w:cs="宋体"/>
          <w:spacing w:val="-5"/>
          <w:highlight w:val="none"/>
        </w:rPr>
      </w:pPr>
      <w:r>
        <w:rPr>
          <w:rFonts w:ascii="宋体" w:hAnsi="宋体" w:cs="宋体"/>
          <w:spacing w:val="-5"/>
          <w:highlight w:val="none"/>
        </w:rPr>
        <w:t>2.</w:t>
      </w:r>
      <w:r>
        <w:rPr>
          <w:rFonts w:hint="eastAsia" w:ascii="宋体" w:hAnsi="宋体" w:cs="宋体"/>
          <w:spacing w:val="-5"/>
          <w:highlight w:val="none"/>
        </w:rPr>
        <w:t>投标文件中所有内容均为我单位真实意愿表达，相关信息真实有效。</w:t>
      </w:r>
    </w:p>
    <w:p>
      <w:pPr>
        <w:adjustRightInd w:val="0"/>
        <w:snapToGrid w:val="0"/>
        <w:spacing w:line="480" w:lineRule="auto"/>
        <w:ind w:firstLine="400" w:firstLineChars="200"/>
        <w:rPr>
          <w:rFonts w:ascii="宋体" w:hAnsi="宋体" w:cs="宋体"/>
          <w:spacing w:val="-5"/>
          <w:highlight w:val="none"/>
        </w:rPr>
      </w:pPr>
      <w:r>
        <w:rPr>
          <w:rFonts w:ascii="宋体" w:hAnsi="宋体" w:cs="宋体"/>
          <w:spacing w:val="-5"/>
          <w:highlight w:val="none"/>
        </w:rPr>
        <w:t>3.</w:t>
      </w:r>
      <w:r>
        <w:rPr>
          <w:rFonts w:hint="eastAsia" w:ascii="宋体" w:hAnsi="宋体" w:cs="宋体"/>
          <w:spacing w:val="-5"/>
          <w:highlight w:val="none"/>
        </w:rPr>
        <w:t>在本项目中无弄虚作假，无围标串标行为。</w:t>
      </w:r>
    </w:p>
    <w:p>
      <w:pPr>
        <w:adjustRightInd w:val="0"/>
        <w:snapToGrid w:val="0"/>
        <w:spacing w:line="480" w:lineRule="auto"/>
        <w:ind w:firstLine="400" w:firstLineChars="200"/>
        <w:rPr>
          <w:rFonts w:ascii="宋体" w:hAnsi="宋体" w:cs="宋体"/>
          <w:spacing w:val="-5"/>
          <w:highlight w:val="none"/>
        </w:rPr>
      </w:pPr>
      <w:r>
        <w:rPr>
          <w:rFonts w:ascii="宋体" w:hAnsi="宋体" w:cs="宋体"/>
          <w:spacing w:val="-5"/>
          <w:highlight w:val="none"/>
        </w:rPr>
        <w:t>4.</w:t>
      </w:r>
      <w:r>
        <w:rPr>
          <w:rFonts w:hint="eastAsia" w:ascii="宋体" w:hAnsi="宋体" w:cs="宋体"/>
          <w:spacing w:val="-5"/>
          <w:highlight w:val="none"/>
        </w:rPr>
        <w:t>若我方中标，在合同履行过程中严格执行有关法律、法规、规章和规范性文件的规定，不转包和违法分包。</w:t>
      </w:r>
    </w:p>
    <w:p>
      <w:pPr>
        <w:adjustRightInd w:val="0"/>
        <w:snapToGrid w:val="0"/>
        <w:spacing w:line="480" w:lineRule="auto"/>
        <w:ind w:firstLine="400" w:firstLineChars="200"/>
        <w:rPr>
          <w:rFonts w:ascii="宋体" w:hAnsi="宋体" w:cs="宋体"/>
          <w:spacing w:val="-5"/>
          <w:highlight w:val="none"/>
        </w:rPr>
      </w:pPr>
      <w:r>
        <w:rPr>
          <w:rFonts w:ascii="宋体" w:hAnsi="宋体" w:cs="宋体"/>
          <w:spacing w:val="-5"/>
          <w:highlight w:val="none"/>
        </w:rPr>
        <w:t>5.</w:t>
      </w:r>
      <w:r>
        <w:rPr>
          <w:rFonts w:hint="eastAsia" w:ascii="宋体" w:hAnsi="宋体" w:cs="宋体"/>
          <w:spacing w:val="-5"/>
          <w:highlight w:val="none"/>
        </w:rPr>
        <w:t>我方如有违背承诺，愿意接受依法进行的处罚，按照信用管理规定记入相关责任主体和责任人信用档案，并在交通运输行业和政府相关信用网站公开。</w:t>
      </w:r>
    </w:p>
    <w:p>
      <w:pPr>
        <w:spacing w:line="560" w:lineRule="exact"/>
        <w:ind w:firstLine="3800" w:firstLineChars="1900"/>
        <w:rPr>
          <w:rFonts w:ascii="宋体" w:hAnsi="宋体" w:cs="宋体"/>
          <w:spacing w:val="-5"/>
          <w:highlight w:val="none"/>
        </w:rPr>
      </w:pPr>
    </w:p>
    <w:p>
      <w:pPr>
        <w:spacing w:line="360" w:lineRule="auto"/>
        <w:jc w:val="left"/>
        <w:rPr>
          <w:rFonts w:ascii="Garamond" w:hAnsi="Garamond"/>
          <w:szCs w:val="21"/>
          <w:highlight w:val="none"/>
        </w:rPr>
      </w:pPr>
      <w:bookmarkStart w:id="84" w:name="_Toc25711"/>
      <w:bookmarkStart w:id="85" w:name="_Toc10940"/>
      <w:r>
        <w:rPr>
          <w:rFonts w:ascii="Garamond" w:hAnsi="Garamond"/>
          <w:szCs w:val="21"/>
          <w:highlight w:val="none"/>
        </w:rPr>
        <w:t>投标人：（盖单位章）</w:t>
      </w:r>
    </w:p>
    <w:p>
      <w:pPr>
        <w:spacing w:line="360" w:lineRule="auto"/>
        <w:jc w:val="left"/>
        <w:rPr>
          <w:rFonts w:ascii="Garamond" w:hAnsi="Garamond"/>
          <w:szCs w:val="21"/>
          <w:highlight w:val="none"/>
        </w:rPr>
      </w:pPr>
      <w:r>
        <w:rPr>
          <w:rFonts w:hint="eastAsia" w:ascii="Garamond" w:hAnsi="Garamond"/>
          <w:szCs w:val="21"/>
          <w:highlight w:val="none"/>
        </w:rPr>
        <w:t>法定代表人（亲笔签名或签章）或其委托代理人（亲笔签名）：</w:t>
      </w:r>
    </w:p>
    <w:p>
      <w:pPr>
        <w:spacing w:line="360" w:lineRule="auto"/>
        <w:ind w:firstLine="840" w:firstLineChars="400"/>
        <w:rPr>
          <w:rFonts w:ascii="宋体" w:hAnsi="宋体" w:cs="宋体"/>
          <w:szCs w:val="21"/>
          <w:highlight w:val="none"/>
        </w:rPr>
      </w:pPr>
      <w:r>
        <w:rPr>
          <w:rFonts w:hint="eastAsia" w:ascii="宋体" w:hAnsi="宋体" w:cs="宋体"/>
          <w:szCs w:val="21"/>
          <w:highlight w:val="none"/>
        </w:rPr>
        <w:t>年   月   日</w:t>
      </w:r>
    </w:p>
    <w:p>
      <w:pPr>
        <w:rPr>
          <w:rFonts w:ascii="Garamond" w:hAnsi="Garamond"/>
          <w:sz w:val="28"/>
          <w:szCs w:val="28"/>
          <w:highlight w:val="none"/>
        </w:rPr>
      </w:pPr>
      <w:r>
        <w:rPr>
          <w:rFonts w:hint="eastAsia" w:ascii="Garamond" w:hAnsi="Garamond"/>
          <w:sz w:val="28"/>
          <w:szCs w:val="28"/>
          <w:highlight w:val="none"/>
        </w:rPr>
        <w:br w:type="page"/>
      </w:r>
    </w:p>
    <w:p>
      <w:pPr>
        <w:pStyle w:val="4"/>
        <w:jc w:val="center"/>
        <w:rPr>
          <w:rFonts w:ascii="Garamond" w:hAnsi="Garamond"/>
          <w:sz w:val="28"/>
          <w:szCs w:val="28"/>
          <w:highlight w:val="none"/>
        </w:rPr>
      </w:pPr>
      <w:r>
        <w:rPr>
          <w:rFonts w:hint="eastAsia" w:ascii="Garamond" w:hAnsi="Garamond"/>
          <w:sz w:val="28"/>
          <w:szCs w:val="28"/>
          <w:highlight w:val="none"/>
        </w:rPr>
        <w:t>八</w:t>
      </w:r>
      <w:r>
        <w:rPr>
          <w:rFonts w:ascii="Garamond" w:hAnsi="Garamond"/>
          <w:sz w:val="28"/>
          <w:szCs w:val="28"/>
          <w:highlight w:val="none"/>
        </w:rPr>
        <w:t>、江苏公路水运建设市场主要从业人员信用承诺书</w:t>
      </w:r>
      <w:bookmarkEnd w:id="84"/>
      <w:bookmarkEnd w:id="85"/>
    </w:p>
    <w:p>
      <w:pPr>
        <w:spacing w:line="560" w:lineRule="exact"/>
        <w:ind w:firstLine="400" w:firstLineChars="200"/>
        <w:rPr>
          <w:rFonts w:ascii="Garamond" w:hAnsi="Garamond" w:cs="宋体"/>
          <w:spacing w:val="-5"/>
          <w:highlight w:val="none"/>
        </w:rPr>
      </w:pPr>
    </w:p>
    <w:p>
      <w:pPr>
        <w:adjustRightInd w:val="0"/>
        <w:snapToGrid w:val="0"/>
        <w:spacing w:line="480" w:lineRule="auto"/>
        <w:rPr>
          <w:rFonts w:ascii="宋体" w:hAnsi="宋体" w:cs="宋体"/>
          <w:spacing w:val="-5"/>
          <w:highlight w:val="none"/>
        </w:rPr>
      </w:pPr>
      <w:r>
        <w:rPr>
          <w:rFonts w:hint="eastAsia" w:ascii="宋体" w:hAnsi="宋体" w:cs="宋体"/>
          <w:spacing w:val="-5"/>
          <w:highlight w:val="none"/>
        </w:rPr>
        <w:t>本人自愿申请参加江苏省公路水运工程主要从业人员信用评价，在此郑重承诺：</w:t>
      </w:r>
    </w:p>
    <w:p>
      <w:pPr>
        <w:adjustRightInd w:val="0"/>
        <w:snapToGrid w:val="0"/>
        <w:spacing w:line="480" w:lineRule="auto"/>
        <w:ind w:firstLine="400" w:firstLineChars="200"/>
        <w:rPr>
          <w:rFonts w:ascii="宋体" w:hAnsi="宋体" w:cs="宋体"/>
          <w:spacing w:val="-5"/>
          <w:highlight w:val="none"/>
        </w:rPr>
      </w:pPr>
      <w:r>
        <w:rPr>
          <w:rFonts w:hint="eastAsia" w:ascii="宋体" w:hAnsi="宋体" w:cs="宋体"/>
          <w:spacing w:val="-5"/>
          <w:highlight w:val="none"/>
        </w:rPr>
        <w:t>1.在厅建设市场信用系统中录入的有关本人信用信息，均由本人亲自确认；所有信息都是真实、准确的。</w:t>
      </w:r>
    </w:p>
    <w:p>
      <w:pPr>
        <w:adjustRightInd w:val="0"/>
        <w:snapToGrid w:val="0"/>
        <w:spacing w:line="480" w:lineRule="auto"/>
        <w:ind w:firstLine="400" w:firstLineChars="200"/>
        <w:rPr>
          <w:rFonts w:ascii="宋体" w:hAnsi="宋体" w:cs="宋体"/>
          <w:spacing w:val="-5"/>
          <w:highlight w:val="none"/>
        </w:rPr>
      </w:pPr>
      <w:r>
        <w:rPr>
          <w:rFonts w:hint="eastAsia" w:ascii="宋体" w:hAnsi="宋体" w:cs="宋体"/>
          <w:spacing w:val="-5"/>
          <w:highlight w:val="none"/>
        </w:rPr>
        <w:t>2.按照国家和省交通运输主管部门有关规定要求，及时更新和完善信用信息系统中相关信息。</w:t>
      </w:r>
    </w:p>
    <w:p>
      <w:pPr>
        <w:adjustRightInd w:val="0"/>
        <w:snapToGrid w:val="0"/>
        <w:spacing w:line="480" w:lineRule="auto"/>
        <w:ind w:firstLine="400" w:firstLineChars="200"/>
        <w:rPr>
          <w:rFonts w:ascii="宋体" w:hAnsi="宋体" w:cs="宋体"/>
          <w:spacing w:val="-5"/>
          <w:highlight w:val="none"/>
        </w:rPr>
      </w:pPr>
      <w:r>
        <w:rPr>
          <w:rFonts w:hint="eastAsia" w:ascii="宋体" w:hAnsi="宋体" w:cs="宋体"/>
          <w:spacing w:val="-5"/>
          <w:highlight w:val="none"/>
        </w:rPr>
        <w:t>3..同意依法在省交通运输主管部门网站和信用交通江苏网站公示、公布相关信用信息，接受社会监督。</w:t>
      </w:r>
    </w:p>
    <w:p>
      <w:pPr>
        <w:adjustRightInd w:val="0"/>
        <w:snapToGrid w:val="0"/>
        <w:spacing w:line="480" w:lineRule="auto"/>
        <w:ind w:firstLine="400" w:firstLineChars="200"/>
        <w:rPr>
          <w:rFonts w:ascii="宋体" w:hAnsi="宋体" w:cs="宋体"/>
          <w:spacing w:val="-5"/>
          <w:highlight w:val="none"/>
        </w:rPr>
      </w:pPr>
      <w:r>
        <w:rPr>
          <w:rFonts w:hint="eastAsia" w:ascii="宋体" w:hAnsi="宋体" w:cs="宋体"/>
          <w:spacing w:val="-5"/>
          <w:highlight w:val="none"/>
        </w:rPr>
        <w:t>4..同意政府相关行政主管部门、招标人及工程建设管理工作有关单位因工作需要，依法对本人信用信息进行查询。</w:t>
      </w:r>
    </w:p>
    <w:p>
      <w:pPr>
        <w:adjustRightInd w:val="0"/>
        <w:snapToGrid w:val="0"/>
        <w:spacing w:line="480" w:lineRule="auto"/>
        <w:ind w:firstLine="400" w:firstLineChars="200"/>
        <w:rPr>
          <w:rFonts w:ascii="Garamond" w:hAnsi="Garamond" w:cs="宋体"/>
          <w:spacing w:val="-5"/>
          <w:highlight w:val="none"/>
        </w:rPr>
      </w:pPr>
      <w:r>
        <w:rPr>
          <w:rFonts w:hint="eastAsia" w:ascii="宋体" w:hAnsi="宋体" w:cs="宋体"/>
          <w:spacing w:val="-5"/>
          <w:highlight w:val="none"/>
        </w:rPr>
        <w:t>5.如有违背承诺，愿意接受依法进行的处罚，按照信用管理规定记入本人信用档案，并在交通运输行业和政府相关信用网站公开。</w:t>
      </w:r>
    </w:p>
    <w:p>
      <w:pPr>
        <w:spacing w:line="560" w:lineRule="exact"/>
        <w:ind w:firstLine="400" w:firstLineChars="200"/>
        <w:rPr>
          <w:rFonts w:ascii="Garamond" w:hAnsi="Garamond" w:cs="宋体"/>
          <w:spacing w:val="-5"/>
          <w:highlight w:val="none"/>
        </w:rPr>
      </w:pPr>
    </w:p>
    <w:p>
      <w:pPr>
        <w:spacing w:line="560" w:lineRule="exact"/>
        <w:ind w:firstLine="1900" w:firstLineChars="950"/>
        <w:jc w:val="center"/>
        <w:rPr>
          <w:rFonts w:ascii="Garamond" w:hAnsi="Garamond" w:cs="宋体"/>
          <w:spacing w:val="-5"/>
          <w:highlight w:val="none"/>
          <w:u w:val="single"/>
        </w:rPr>
      </w:pPr>
      <w:r>
        <w:rPr>
          <w:rFonts w:ascii="Garamond" w:hAnsi="Garamond" w:cs="宋体"/>
          <w:spacing w:val="-5"/>
          <w:highlight w:val="none"/>
        </w:rPr>
        <w:t>承诺人：</w:t>
      </w:r>
      <w:r>
        <w:rPr>
          <w:rFonts w:ascii="Garamond" w:hAnsi="Garamond" w:cs="宋体"/>
          <w:highlight w:val="none"/>
          <w:u w:val="single"/>
        </w:rPr>
        <w:t>（</w:t>
      </w:r>
      <w:r>
        <w:rPr>
          <w:rFonts w:ascii="Garamond" w:hAnsi="Garamond" w:eastAsia="黑体" w:cs="黑体"/>
          <w:b/>
          <w:spacing w:val="-2"/>
          <w:highlight w:val="none"/>
          <w:u w:val="single"/>
        </w:rPr>
        <w:t>亲笔签名</w:t>
      </w:r>
      <w:r>
        <w:rPr>
          <w:rFonts w:ascii="Garamond" w:hAnsi="Garamond" w:cs="宋体"/>
          <w:highlight w:val="none"/>
          <w:u w:val="single"/>
        </w:rPr>
        <w:t>）</w:t>
      </w:r>
    </w:p>
    <w:p>
      <w:pPr>
        <w:spacing w:line="560" w:lineRule="exact"/>
        <w:ind w:firstLine="1900" w:firstLineChars="950"/>
        <w:jc w:val="center"/>
        <w:rPr>
          <w:rFonts w:ascii="Garamond" w:hAnsi="Garamond" w:cs="宋体"/>
          <w:highlight w:val="none"/>
        </w:rPr>
      </w:pPr>
      <w:r>
        <w:rPr>
          <w:rFonts w:ascii="Garamond" w:hAnsi="Garamond" w:cs="宋体"/>
          <w:spacing w:val="-5"/>
          <w:highlight w:val="none"/>
        </w:rPr>
        <w:t>年月日</w:t>
      </w:r>
    </w:p>
    <w:p>
      <w:pPr>
        <w:spacing w:line="300" w:lineRule="exact"/>
        <w:ind w:firstLine="4200" w:firstLineChars="1750"/>
        <w:rPr>
          <w:rFonts w:ascii="Garamond" w:hAnsi="Garamond" w:cs="宋体"/>
          <w:sz w:val="24"/>
          <w:highlight w:val="none"/>
        </w:rPr>
      </w:pPr>
    </w:p>
    <w:p>
      <w:pPr>
        <w:spacing w:line="300" w:lineRule="exact"/>
        <w:rPr>
          <w:rFonts w:ascii="Garamond" w:hAnsi="Garamond" w:cs="宋体"/>
          <w:sz w:val="24"/>
          <w:highlight w:val="none"/>
        </w:rPr>
      </w:pPr>
    </w:p>
    <w:p>
      <w:pPr>
        <w:spacing w:line="560" w:lineRule="exact"/>
        <w:rPr>
          <w:rFonts w:ascii="Garamond" w:hAnsi="Garamond"/>
          <w:spacing w:val="-5"/>
          <w:szCs w:val="21"/>
          <w:highlight w:val="none"/>
        </w:rPr>
      </w:pPr>
      <w:r>
        <w:rPr>
          <w:rFonts w:ascii="Garamond" w:hAnsi="Garamond" w:cs="宋体"/>
          <w:b/>
          <w:bCs/>
          <w:highlight w:val="none"/>
        </w:rPr>
        <w:t>注：本承诺书主要从业人员为拟投入本项目的项目负责人，需由拟投入本项目的项目负责人在签名处</w:t>
      </w:r>
      <w:r>
        <w:rPr>
          <w:rFonts w:ascii="Garamond" w:hAnsi="Garamond" w:cs="宋体"/>
          <w:b/>
          <w:bCs/>
          <w:highlight w:val="none"/>
          <w:u w:val="single"/>
        </w:rPr>
        <w:t>亲笔签名</w:t>
      </w:r>
      <w:r>
        <w:rPr>
          <w:rFonts w:ascii="Garamond" w:hAnsi="Garamond" w:cs="宋体"/>
          <w:b/>
          <w:bCs/>
          <w:highlight w:val="none"/>
        </w:rPr>
        <w:t>。</w:t>
      </w:r>
    </w:p>
    <w:p>
      <w:pPr>
        <w:spacing w:line="560" w:lineRule="exact"/>
        <w:rPr>
          <w:rFonts w:ascii="Garamond" w:hAnsi="Garamond"/>
          <w:spacing w:val="-5"/>
          <w:szCs w:val="21"/>
          <w:highlight w:val="none"/>
        </w:rPr>
      </w:pPr>
    </w:p>
    <w:p>
      <w:pPr>
        <w:spacing w:line="560" w:lineRule="exact"/>
        <w:rPr>
          <w:rFonts w:ascii="Garamond" w:hAnsi="Garamond"/>
          <w:spacing w:val="-5"/>
          <w:szCs w:val="21"/>
          <w:highlight w:val="none"/>
        </w:rPr>
      </w:pPr>
    </w:p>
    <w:p>
      <w:pPr>
        <w:spacing w:line="560" w:lineRule="exact"/>
        <w:rPr>
          <w:rFonts w:ascii="Garamond" w:hAnsi="Garamond"/>
          <w:spacing w:val="-5"/>
          <w:szCs w:val="21"/>
          <w:highlight w:val="none"/>
        </w:rPr>
      </w:pPr>
    </w:p>
    <w:p>
      <w:pPr>
        <w:spacing w:line="560" w:lineRule="exact"/>
        <w:rPr>
          <w:rFonts w:ascii="Garamond" w:hAnsi="Garamond"/>
          <w:spacing w:val="-5"/>
          <w:szCs w:val="21"/>
          <w:highlight w:val="none"/>
        </w:rPr>
      </w:pPr>
    </w:p>
    <w:p>
      <w:pPr>
        <w:spacing w:line="560" w:lineRule="exact"/>
        <w:rPr>
          <w:rFonts w:ascii="Garamond" w:hAnsi="Garamond"/>
          <w:spacing w:val="-5"/>
          <w:szCs w:val="21"/>
          <w:highlight w:val="none"/>
        </w:rPr>
      </w:pPr>
    </w:p>
    <w:p>
      <w:pPr>
        <w:spacing w:line="560" w:lineRule="exact"/>
        <w:rPr>
          <w:rFonts w:ascii="Garamond" w:hAnsi="Garamond"/>
          <w:spacing w:val="-5"/>
          <w:szCs w:val="21"/>
          <w:highlight w:val="none"/>
        </w:rPr>
      </w:pPr>
    </w:p>
    <w:p>
      <w:pPr>
        <w:spacing w:line="360" w:lineRule="auto"/>
        <w:ind w:right="238" w:firstLine="480"/>
        <w:rPr>
          <w:rFonts w:ascii="Garamond" w:hAnsi="Garamond"/>
          <w:sz w:val="28"/>
          <w:szCs w:val="28"/>
          <w:highlight w:val="none"/>
        </w:rPr>
        <w:sectPr>
          <w:pgSz w:w="11906" w:h="16838"/>
          <w:pgMar w:top="1417" w:right="1247" w:bottom="1417" w:left="1417" w:header="851" w:footer="680" w:gutter="0"/>
          <w:cols w:space="0" w:num="1"/>
          <w:docGrid w:linePitch="312" w:charSpace="0"/>
        </w:sectPr>
      </w:pPr>
    </w:p>
    <w:p>
      <w:pPr>
        <w:spacing w:line="360" w:lineRule="auto"/>
        <w:ind w:right="238" w:firstLine="480"/>
        <w:jc w:val="center"/>
        <w:rPr>
          <w:rFonts w:ascii="Garamond" w:hAnsi="Garamond"/>
          <w:b/>
          <w:bCs/>
          <w:sz w:val="28"/>
          <w:szCs w:val="28"/>
          <w:highlight w:val="none"/>
        </w:rPr>
      </w:pPr>
      <w:r>
        <w:rPr>
          <w:rFonts w:hint="eastAsia" w:ascii="Garamond" w:hAnsi="Garamond"/>
          <w:b/>
          <w:bCs/>
          <w:sz w:val="28"/>
          <w:szCs w:val="28"/>
          <w:highlight w:val="none"/>
        </w:rPr>
        <w:t>九、承诺函</w:t>
      </w:r>
    </w:p>
    <w:p>
      <w:pPr>
        <w:adjustRightInd w:val="0"/>
        <w:snapToGrid w:val="0"/>
        <w:spacing w:line="480" w:lineRule="auto"/>
        <w:ind w:firstLine="482"/>
        <w:rPr>
          <w:rFonts w:ascii="宋体" w:hAnsi="宋体" w:cs="宋体"/>
          <w:szCs w:val="21"/>
          <w:highlight w:val="none"/>
        </w:rPr>
      </w:pPr>
      <w:r>
        <w:rPr>
          <w:rFonts w:hint="eastAsia" w:ascii="宋体" w:hAnsi="宋体" w:cs="宋体"/>
          <w:szCs w:val="21"/>
          <w:highlight w:val="none"/>
        </w:rPr>
        <w:t>_____________（招标人名称）：</w:t>
      </w:r>
    </w:p>
    <w:p>
      <w:pPr>
        <w:adjustRightInd w:val="0"/>
        <w:snapToGrid w:val="0"/>
        <w:spacing w:line="480" w:lineRule="auto"/>
        <w:ind w:firstLine="482"/>
        <w:rPr>
          <w:rFonts w:ascii="宋体" w:hAnsi="宋体" w:cs="宋体"/>
          <w:szCs w:val="21"/>
          <w:highlight w:val="none"/>
        </w:rPr>
      </w:pPr>
      <w:r>
        <w:rPr>
          <w:rFonts w:hint="eastAsia" w:ascii="宋体" w:hAnsi="宋体" w:cs="宋体"/>
          <w:szCs w:val="21"/>
          <w:highlight w:val="none"/>
        </w:rPr>
        <w:t>我方参加了______（项目名称）______标段投标，若我方中标，我方在此承诺：</w:t>
      </w:r>
    </w:p>
    <w:p>
      <w:pPr>
        <w:adjustRightInd w:val="0"/>
        <w:snapToGrid w:val="0"/>
        <w:spacing w:line="480" w:lineRule="auto"/>
        <w:ind w:firstLine="482"/>
        <w:rPr>
          <w:rFonts w:ascii="宋体" w:hAnsi="宋体" w:cs="宋体"/>
          <w:szCs w:val="21"/>
          <w:highlight w:val="none"/>
        </w:rPr>
      </w:pPr>
      <w:r>
        <w:rPr>
          <w:rFonts w:hint="eastAsia" w:ascii="宋体" w:hAnsi="宋体" w:cs="宋体"/>
          <w:szCs w:val="21"/>
          <w:highlight w:val="none"/>
        </w:rPr>
        <w:t>若本项目招标文件未要求我方在投标文件中填报派驻本标段的其他人员及主要试验检测设备，在招标人向我方发出中标通知书之前，我方将按照招标文件要求填报派驻本标段的其他人员及主要试验检测设备并提供其他人员为我方自有人员的社保证明材料（社保缴费证明时间段为合同签订当月开始往前5个月中，任意连续3个月），在经招标人审批后作为派驻本标段的项目管理机构主要人员和主要设备且不进行更换。</w:t>
      </w:r>
    </w:p>
    <w:p>
      <w:pPr>
        <w:adjustRightInd w:val="0"/>
        <w:snapToGrid w:val="0"/>
        <w:spacing w:line="480" w:lineRule="auto"/>
        <w:ind w:firstLine="482"/>
        <w:rPr>
          <w:rFonts w:ascii="宋体" w:hAnsi="宋体" w:cs="宋体"/>
          <w:szCs w:val="21"/>
          <w:highlight w:val="none"/>
        </w:rPr>
      </w:pPr>
      <w:r>
        <w:rPr>
          <w:rFonts w:hint="eastAsia" w:ascii="宋体" w:hAnsi="宋体" w:cs="宋体"/>
          <w:szCs w:val="21"/>
          <w:highlight w:val="none"/>
        </w:rPr>
        <w:t>若我方已按本项目招标文件要求在投标文件中填报派驻本标段的其他人员及主要试验检测设备，我方将严格按照在投标文件中填报的其他人员及主要试验检测设备组织进场检测，且不进行更换。且投入的检测设备满足《公路路面技术状况自动化检测规程》（JTG/T E61-2014）规定的准确性验证的要求且在检测工作均在校准有效期内开展。</w:t>
      </w:r>
    </w:p>
    <w:p>
      <w:pPr>
        <w:adjustRightInd w:val="0"/>
        <w:snapToGrid w:val="0"/>
        <w:spacing w:line="480" w:lineRule="auto"/>
        <w:ind w:firstLine="482"/>
        <w:rPr>
          <w:rFonts w:ascii="宋体" w:hAnsi="宋体" w:cs="宋体"/>
          <w:szCs w:val="21"/>
          <w:highlight w:val="none"/>
        </w:rPr>
      </w:pPr>
      <w:r>
        <w:rPr>
          <w:rFonts w:hint="eastAsia" w:ascii="宋体" w:hAnsi="宋体" w:cs="宋体"/>
          <w:szCs w:val="21"/>
          <w:highlight w:val="none"/>
        </w:rPr>
        <w:t>如我方违背了上述承诺，本项目招标人有权取消我方的中标资格，并由招标人将我方的违约行为上报省级交通主管部门，作为不良记录纳入江苏省公路水运建设市场信用信息管理系统。</w:t>
      </w:r>
    </w:p>
    <w:p>
      <w:pPr>
        <w:spacing w:line="360" w:lineRule="auto"/>
        <w:jc w:val="left"/>
        <w:rPr>
          <w:rFonts w:ascii="Garamond" w:hAnsi="Garamond"/>
          <w:szCs w:val="21"/>
          <w:highlight w:val="none"/>
        </w:rPr>
      </w:pPr>
      <w:r>
        <w:rPr>
          <w:rFonts w:ascii="Garamond" w:hAnsi="Garamond"/>
          <w:szCs w:val="21"/>
          <w:highlight w:val="none"/>
        </w:rPr>
        <w:t>投标人：（盖单位章）</w:t>
      </w:r>
    </w:p>
    <w:p>
      <w:pPr>
        <w:spacing w:line="360" w:lineRule="auto"/>
        <w:jc w:val="left"/>
        <w:rPr>
          <w:rFonts w:ascii="Garamond" w:hAnsi="Garamond"/>
          <w:szCs w:val="21"/>
          <w:highlight w:val="none"/>
        </w:rPr>
      </w:pPr>
      <w:r>
        <w:rPr>
          <w:rFonts w:hint="eastAsia" w:ascii="Garamond" w:hAnsi="Garamond"/>
          <w:szCs w:val="21"/>
          <w:highlight w:val="none"/>
        </w:rPr>
        <w:t>法定代表人（亲笔签名或签章）或其委托代理人（亲笔签名）：</w:t>
      </w:r>
    </w:p>
    <w:p>
      <w:pPr>
        <w:spacing w:line="360" w:lineRule="auto"/>
        <w:ind w:firstLine="840" w:firstLineChars="400"/>
        <w:rPr>
          <w:rFonts w:ascii="宋体" w:hAnsi="宋体" w:cs="宋体"/>
          <w:szCs w:val="21"/>
          <w:highlight w:val="none"/>
        </w:rPr>
      </w:pPr>
      <w:r>
        <w:rPr>
          <w:rFonts w:hint="eastAsia" w:ascii="宋体" w:hAnsi="宋体" w:cs="宋体"/>
          <w:szCs w:val="21"/>
          <w:highlight w:val="none"/>
        </w:rPr>
        <w:t>年   月   日</w:t>
      </w:r>
    </w:p>
    <w:p>
      <w:pPr>
        <w:spacing w:line="360" w:lineRule="auto"/>
        <w:ind w:right="238" w:firstLine="480"/>
        <w:jc w:val="left"/>
        <w:rPr>
          <w:rFonts w:ascii="宋体" w:hAnsi="宋体" w:cs="宋体"/>
          <w:szCs w:val="21"/>
          <w:highlight w:val="none"/>
        </w:rPr>
      </w:pPr>
    </w:p>
    <w:p>
      <w:pPr>
        <w:spacing w:line="360" w:lineRule="auto"/>
        <w:ind w:right="238" w:firstLine="480"/>
        <w:jc w:val="left"/>
        <w:rPr>
          <w:rFonts w:ascii="宋体" w:hAnsi="宋体" w:cs="宋体"/>
          <w:szCs w:val="21"/>
          <w:highlight w:val="none"/>
        </w:rPr>
      </w:pPr>
    </w:p>
    <w:p>
      <w:pPr>
        <w:spacing w:line="360" w:lineRule="auto"/>
        <w:ind w:right="238" w:firstLine="480"/>
        <w:jc w:val="left"/>
        <w:rPr>
          <w:rFonts w:ascii="宋体" w:hAnsi="宋体" w:cs="宋体"/>
          <w:szCs w:val="21"/>
          <w:highlight w:val="none"/>
        </w:rPr>
      </w:pPr>
    </w:p>
    <w:p>
      <w:pPr>
        <w:spacing w:line="360" w:lineRule="auto"/>
        <w:ind w:right="238" w:firstLine="480"/>
        <w:jc w:val="left"/>
        <w:rPr>
          <w:rFonts w:ascii="宋体" w:hAnsi="宋体" w:cs="宋体"/>
          <w:szCs w:val="21"/>
          <w:highlight w:val="none"/>
        </w:rPr>
      </w:pPr>
    </w:p>
    <w:p>
      <w:pPr>
        <w:spacing w:line="360" w:lineRule="auto"/>
        <w:ind w:right="238" w:firstLine="480"/>
        <w:jc w:val="left"/>
        <w:rPr>
          <w:rFonts w:ascii="宋体" w:hAnsi="宋体" w:cs="宋体"/>
          <w:szCs w:val="21"/>
          <w:highlight w:val="none"/>
        </w:rPr>
      </w:pPr>
    </w:p>
    <w:p>
      <w:pPr>
        <w:pStyle w:val="4"/>
        <w:jc w:val="center"/>
        <w:rPr>
          <w:rFonts w:ascii="Garamond" w:hAnsi="Garamond"/>
          <w:sz w:val="28"/>
          <w:szCs w:val="28"/>
          <w:highlight w:val="none"/>
        </w:rPr>
      </w:pPr>
    </w:p>
    <w:p>
      <w:pPr>
        <w:rPr>
          <w:rFonts w:ascii="Garamond" w:hAnsi="Garamond"/>
          <w:sz w:val="28"/>
          <w:szCs w:val="28"/>
          <w:highlight w:val="none"/>
        </w:rPr>
      </w:pPr>
      <w:r>
        <w:rPr>
          <w:rFonts w:hint="eastAsia" w:ascii="Garamond" w:hAnsi="Garamond"/>
          <w:sz w:val="28"/>
          <w:szCs w:val="28"/>
          <w:highlight w:val="none"/>
        </w:rPr>
        <w:br w:type="page"/>
      </w:r>
    </w:p>
    <w:p>
      <w:pPr>
        <w:pStyle w:val="4"/>
        <w:jc w:val="center"/>
        <w:rPr>
          <w:rFonts w:ascii="Garamond" w:hAnsi="Garamond"/>
          <w:sz w:val="28"/>
          <w:szCs w:val="28"/>
          <w:highlight w:val="none"/>
        </w:rPr>
      </w:pPr>
      <w:r>
        <w:rPr>
          <w:rFonts w:hint="eastAsia" w:ascii="Garamond" w:hAnsi="Garamond"/>
          <w:sz w:val="28"/>
          <w:szCs w:val="28"/>
          <w:highlight w:val="none"/>
        </w:rPr>
        <w:t>十</w:t>
      </w:r>
      <w:r>
        <w:rPr>
          <w:rFonts w:ascii="Garamond" w:hAnsi="Garamond"/>
          <w:sz w:val="28"/>
          <w:szCs w:val="28"/>
          <w:highlight w:val="none"/>
        </w:rPr>
        <w:t>、其他材料</w:t>
      </w:r>
    </w:p>
    <w:p>
      <w:pPr>
        <w:spacing w:line="360" w:lineRule="auto"/>
        <w:jc w:val="center"/>
        <w:rPr>
          <w:szCs w:val="21"/>
          <w:highlight w:val="none"/>
        </w:rPr>
      </w:pPr>
      <w:r>
        <w:rPr>
          <w:szCs w:val="21"/>
          <w:highlight w:val="none"/>
        </w:rPr>
        <w:t>（投标人认为有必要提供给评标委员会的）</w:t>
      </w:r>
    </w:p>
    <w:p>
      <w:pPr>
        <w:rPr>
          <w:highlight w:val="none"/>
        </w:rPr>
      </w:pPr>
    </w:p>
    <w:p>
      <w:pPr>
        <w:spacing w:line="360" w:lineRule="auto"/>
        <w:jc w:val="center"/>
        <w:rPr>
          <w:rFonts w:ascii="Garamond" w:hAnsi="Garamond"/>
          <w:szCs w:val="21"/>
          <w:highlight w:val="none"/>
        </w:rPr>
        <w:sectPr>
          <w:pgSz w:w="11906" w:h="16838"/>
          <w:pgMar w:top="1417" w:right="1247" w:bottom="1417" w:left="1417" w:header="851" w:footer="680" w:gutter="0"/>
          <w:cols w:space="0" w:num="1"/>
          <w:docGrid w:linePitch="312" w:charSpace="0"/>
        </w:sectPr>
      </w:pPr>
    </w:p>
    <w:p>
      <w:pPr>
        <w:spacing w:line="360" w:lineRule="auto"/>
        <w:jc w:val="right"/>
        <w:rPr>
          <w:rFonts w:ascii="Garamond" w:hAnsi="Garamond"/>
          <w:b/>
          <w:sz w:val="36"/>
          <w:szCs w:val="36"/>
          <w:highlight w:val="none"/>
        </w:rPr>
      </w:pPr>
      <w:r>
        <w:rPr>
          <w:rFonts w:ascii="Garamond" w:hAnsi="Garamond"/>
          <w:b/>
          <w:sz w:val="36"/>
          <w:szCs w:val="36"/>
          <w:highlight w:val="none"/>
        </w:rPr>
        <w:t>正/副本</w:t>
      </w:r>
    </w:p>
    <w:p>
      <w:pPr>
        <w:spacing w:line="360" w:lineRule="auto"/>
        <w:jc w:val="center"/>
        <w:rPr>
          <w:rFonts w:ascii="Garamond" w:hAnsi="Garamond"/>
          <w:b/>
          <w:sz w:val="36"/>
          <w:szCs w:val="36"/>
          <w:highlight w:val="none"/>
        </w:rPr>
      </w:pPr>
      <w:r>
        <w:rPr>
          <w:rFonts w:hint="eastAsia" w:ascii="Garamond" w:hAnsi="Garamond"/>
          <w:b/>
          <w:sz w:val="36"/>
          <w:szCs w:val="36"/>
          <w:highlight w:val="none"/>
        </w:rPr>
        <w:t>2024年南通市农村公路路面技术状况自动化检评数据市级抽核项目</w:t>
      </w:r>
    </w:p>
    <w:p>
      <w:pPr>
        <w:spacing w:line="360" w:lineRule="auto"/>
        <w:jc w:val="center"/>
        <w:rPr>
          <w:rFonts w:ascii="Garamond" w:hAnsi="Garamond"/>
          <w:b/>
          <w:sz w:val="36"/>
          <w:szCs w:val="36"/>
          <w:highlight w:val="none"/>
        </w:rPr>
      </w:pPr>
      <w:r>
        <w:rPr>
          <w:rFonts w:hint="eastAsia" w:eastAsia="黑体"/>
          <w:b/>
          <w:bCs/>
          <w:sz w:val="36"/>
          <w:szCs w:val="36"/>
          <w:highlight w:val="none"/>
        </w:rPr>
        <w:t>（</w:t>
      </w:r>
      <w:r>
        <w:rPr>
          <w:rFonts w:hint="eastAsia" w:eastAsia="黑体"/>
          <w:b/>
          <w:snapToGrid w:val="0"/>
          <w:kern w:val="0"/>
          <w:sz w:val="36"/>
          <w:szCs w:val="36"/>
          <w:highlight w:val="none"/>
        </w:rPr>
        <w:t>2024NLJCFH合同段</w:t>
      </w:r>
      <w:r>
        <w:rPr>
          <w:rFonts w:hint="eastAsia" w:eastAsia="黑体"/>
          <w:b/>
          <w:bCs/>
          <w:sz w:val="36"/>
          <w:szCs w:val="36"/>
          <w:highlight w:val="none"/>
        </w:rPr>
        <w:t>）</w:t>
      </w:r>
    </w:p>
    <w:p>
      <w:pPr>
        <w:spacing w:line="1100" w:lineRule="exact"/>
        <w:jc w:val="center"/>
        <w:rPr>
          <w:rFonts w:ascii="Garamond" w:hAnsi="Garamond"/>
          <w:b/>
          <w:sz w:val="36"/>
          <w:szCs w:val="36"/>
          <w:highlight w:val="none"/>
        </w:rPr>
      </w:pPr>
    </w:p>
    <w:p>
      <w:pPr>
        <w:spacing w:line="1100" w:lineRule="exact"/>
        <w:jc w:val="center"/>
        <w:rPr>
          <w:rFonts w:ascii="Garamond" w:hAnsi="Garamond"/>
          <w:b/>
          <w:sz w:val="52"/>
          <w:szCs w:val="52"/>
          <w:highlight w:val="none"/>
        </w:rPr>
      </w:pPr>
    </w:p>
    <w:p>
      <w:pPr>
        <w:spacing w:line="1100" w:lineRule="exact"/>
        <w:jc w:val="center"/>
        <w:rPr>
          <w:rFonts w:ascii="Garamond" w:hAnsi="Garamond"/>
          <w:b/>
          <w:sz w:val="84"/>
          <w:szCs w:val="84"/>
          <w:highlight w:val="none"/>
        </w:rPr>
      </w:pPr>
      <w:r>
        <w:rPr>
          <w:rFonts w:ascii="Garamond" w:hAnsi="Garamond"/>
          <w:b/>
          <w:sz w:val="84"/>
          <w:szCs w:val="84"/>
          <w:highlight w:val="none"/>
        </w:rPr>
        <w:t>投 标 文 件</w:t>
      </w:r>
    </w:p>
    <w:p>
      <w:pPr>
        <w:spacing w:line="1100" w:lineRule="exact"/>
        <w:jc w:val="center"/>
        <w:rPr>
          <w:rFonts w:ascii="Garamond" w:hAnsi="Garamond"/>
          <w:b/>
          <w:sz w:val="36"/>
          <w:szCs w:val="36"/>
          <w:highlight w:val="none"/>
        </w:rPr>
      </w:pPr>
      <w:r>
        <w:rPr>
          <w:rFonts w:ascii="Garamond" w:hAnsi="Garamond"/>
          <w:b/>
          <w:sz w:val="36"/>
          <w:szCs w:val="36"/>
          <w:highlight w:val="none"/>
        </w:rPr>
        <w:t>第二个信封（投标报价及工程量清单）</w:t>
      </w:r>
    </w:p>
    <w:p>
      <w:pPr>
        <w:spacing w:line="1100" w:lineRule="exact"/>
        <w:jc w:val="center"/>
        <w:rPr>
          <w:rFonts w:ascii="Garamond" w:hAnsi="Garamond"/>
          <w:b/>
          <w:sz w:val="52"/>
          <w:szCs w:val="52"/>
          <w:highlight w:val="none"/>
        </w:rPr>
      </w:pPr>
    </w:p>
    <w:p>
      <w:pPr>
        <w:spacing w:line="1100" w:lineRule="exact"/>
        <w:jc w:val="center"/>
        <w:rPr>
          <w:rFonts w:ascii="Garamond" w:hAnsi="Garamond"/>
          <w:b/>
          <w:sz w:val="52"/>
          <w:szCs w:val="52"/>
          <w:highlight w:val="none"/>
        </w:rPr>
      </w:pPr>
    </w:p>
    <w:p>
      <w:pPr>
        <w:spacing w:line="1100" w:lineRule="exact"/>
        <w:jc w:val="center"/>
        <w:rPr>
          <w:rFonts w:ascii="Garamond" w:hAnsi="Garamond"/>
          <w:b/>
          <w:sz w:val="36"/>
          <w:szCs w:val="36"/>
          <w:highlight w:val="none"/>
        </w:rPr>
      </w:pPr>
      <w:r>
        <w:rPr>
          <w:rFonts w:ascii="Garamond" w:hAnsi="Garamond"/>
          <w:b/>
          <w:sz w:val="36"/>
          <w:szCs w:val="36"/>
          <w:highlight w:val="none"/>
        </w:rPr>
        <w:t>投标人：__________（盖单位章）</w:t>
      </w:r>
    </w:p>
    <w:p>
      <w:pPr>
        <w:spacing w:line="1100" w:lineRule="exact"/>
        <w:jc w:val="center"/>
        <w:rPr>
          <w:rFonts w:ascii="Garamond" w:hAnsi="Garamond"/>
          <w:b/>
          <w:sz w:val="36"/>
          <w:szCs w:val="36"/>
          <w:highlight w:val="none"/>
        </w:rPr>
      </w:pPr>
      <w:r>
        <w:rPr>
          <w:rFonts w:ascii="Garamond" w:hAnsi="Garamond"/>
          <w:b/>
          <w:sz w:val="36"/>
          <w:szCs w:val="36"/>
          <w:highlight w:val="none"/>
        </w:rPr>
        <w:t>____年____月____日</w:t>
      </w:r>
    </w:p>
    <w:p>
      <w:pPr>
        <w:pStyle w:val="3"/>
        <w:spacing w:before="0" w:after="0" w:line="360" w:lineRule="auto"/>
        <w:ind w:firstLine="720" w:firstLineChars="224"/>
        <w:rPr>
          <w:rFonts w:ascii="Garamond" w:hAnsi="Garamond" w:eastAsia="宋体"/>
          <w:highlight w:val="none"/>
        </w:rPr>
        <w:sectPr>
          <w:pgSz w:w="11906" w:h="16838"/>
          <w:pgMar w:top="1417" w:right="1247" w:bottom="1417" w:left="1417" w:header="851" w:footer="680" w:gutter="0"/>
          <w:cols w:space="0" w:num="1"/>
          <w:docGrid w:linePitch="312" w:charSpace="0"/>
        </w:sectPr>
      </w:pPr>
    </w:p>
    <w:p>
      <w:pPr>
        <w:spacing w:line="400" w:lineRule="exact"/>
        <w:jc w:val="center"/>
        <w:rPr>
          <w:rFonts w:ascii="Garamond" w:hAnsi="Garamond"/>
          <w:b/>
          <w:sz w:val="32"/>
          <w:szCs w:val="32"/>
          <w:highlight w:val="none"/>
        </w:rPr>
      </w:pPr>
      <w:r>
        <w:rPr>
          <w:rFonts w:ascii="Garamond" w:hAnsi="Garamond"/>
          <w:b/>
          <w:sz w:val="32"/>
          <w:szCs w:val="32"/>
          <w:highlight w:val="none"/>
        </w:rPr>
        <w:t>目    录</w:t>
      </w:r>
    </w:p>
    <w:p>
      <w:pPr>
        <w:spacing w:line="360" w:lineRule="auto"/>
        <w:rPr>
          <w:rFonts w:ascii="Garamond" w:hAnsi="Garamond"/>
          <w:highlight w:val="none"/>
        </w:rPr>
      </w:pPr>
      <w:r>
        <w:rPr>
          <w:rFonts w:ascii="Garamond" w:hAnsi="Garamond"/>
          <w:highlight w:val="none"/>
        </w:rPr>
        <w:t xml:space="preserve">    一、报价函</w:t>
      </w:r>
    </w:p>
    <w:p>
      <w:pPr>
        <w:spacing w:line="360" w:lineRule="auto"/>
        <w:ind w:firstLine="420" w:firstLineChars="200"/>
        <w:rPr>
          <w:rFonts w:ascii="Garamond" w:hAnsi="Garamond"/>
          <w:highlight w:val="none"/>
        </w:rPr>
        <w:sectPr>
          <w:pgSz w:w="11906" w:h="16838"/>
          <w:pgMar w:top="1417" w:right="1247" w:bottom="1417" w:left="1417" w:header="851" w:footer="680" w:gutter="0"/>
          <w:cols w:space="0" w:num="1"/>
          <w:docGrid w:linePitch="312" w:charSpace="0"/>
        </w:sectPr>
      </w:pPr>
      <w:r>
        <w:rPr>
          <w:rFonts w:hint="eastAsia" w:ascii="Garamond" w:hAnsi="Garamond"/>
          <w:highlight w:val="none"/>
        </w:rPr>
        <w:t>二、</w:t>
      </w:r>
      <w:r>
        <w:rPr>
          <w:rFonts w:hint="eastAsia" w:ascii="Garamond" w:hAnsi="Garamond"/>
          <w:highlight w:val="none"/>
          <w:lang w:val="en-US" w:eastAsia="zh-CN"/>
        </w:rPr>
        <w:t>工程量</w:t>
      </w:r>
      <w:r>
        <w:rPr>
          <w:rFonts w:hint="eastAsia" w:ascii="Garamond" w:hAnsi="Garamond"/>
          <w:highlight w:val="none"/>
        </w:rPr>
        <w:t>清单</w:t>
      </w:r>
    </w:p>
    <w:p>
      <w:pPr>
        <w:pStyle w:val="159"/>
        <w:spacing w:before="120" w:beforeLines="50" w:after="120" w:afterLines="50" w:line="360" w:lineRule="auto"/>
        <w:outlineLvl w:val="2"/>
        <w:rPr>
          <w:rFonts w:ascii="Garamond" w:hAnsi="Garamond" w:eastAsia="宋体"/>
          <w:sz w:val="28"/>
          <w:szCs w:val="28"/>
          <w:highlight w:val="none"/>
        </w:rPr>
      </w:pPr>
      <w:r>
        <w:rPr>
          <w:rFonts w:ascii="Garamond" w:hAnsi="Garamond" w:eastAsia="宋体"/>
          <w:sz w:val="28"/>
          <w:szCs w:val="28"/>
          <w:highlight w:val="none"/>
        </w:rPr>
        <w:t>一、报价函</w:t>
      </w:r>
    </w:p>
    <w:p>
      <w:pPr>
        <w:spacing w:line="360" w:lineRule="auto"/>
        <w:rPr>
          <w:rFonts w:ascii="Garamond" w:hAnsi="Garamond"/>
          <w:szCs w:val="21"/>
          <w:highlight w:val="none"/>
        </w:rPr>
      </w:pPr>
      <w:r>
        <w:rPr>
          <w:rFonts w:ascii="Garamond" w:hAnsi="Garamond"/>
          <w:b w:val="0"/>
          <w:bCs/>
          <w:szCs w:val="21"/>
          <w:highlight w:val="none"/>
          <w:u w:val="single"/>
        </w:rPr>
        <w:t>南通市公路事业发展中心</w:t>
      </w:r>
      <w:r>
        <w:rPr>
          <w:rFonts w:ascii="Garamond" w:hAnsi="Garamond"/>
          <w:b/>
          <w:szCs w:val="21"/>
          <w:highlight w:val="none"/>
        </w:rPr>
        <w:t>：</w:t>
      </w:r>
    </w:p>
    <w:p>
      <w:pPr>
        <w:spacing w:line="360" w:lineRule="auto"/>
        <w:ind w:firstLine="420" w:firstLineChars="200"/>
        <w:rPr>
          <w:rFonts w:ascii="Garamond" w:hAnsi="Garamond"/>
          <w:szCs w:val="21"/>
          <w:highlight w:val="none"/>
        </w:rPr>
      </w:pPr>
      <w:r>
        <w:rPr>
          <w:rFonts w:ascii="Garamond" w:hAnsi="Garamond"/>
          <w:szCs w:val="21"/>
          <w:highlight w:val="none"/>
        </w:rPr>
        <w:t>我方已仔细研究</w:t>
      </w:r>
      <w:r>
        <w:rPr>
          <w:rFonts w:hint="eastAsia" w:ascii="Garamond" w:hAnsi="Garamond"/>
          <w:szCs w:val="21"/>
          <w:highlight w:val="none"/>
          <w:u w:val="single"/>
        </w:rPr>
        <w:t xml:space="preserve">                   </w:t>
      </w:r>
      <w:r>
        <w:rPr>
          <w:rFonts w:ascii="Garamond" w:hAnsi="Garamond"/>
          <w:szCs w:val="21"/>
          <w:highlight w:val="none"/>
        </w:rPr>
        <w:t>（项目名称）</w:t>
      </w:r>
      <w:r>
        <w:rPr>
          <w:rFonts w:hint="eastAsia" w:ascii="Garamond" w:hAnsi="Garamond"/>
          <w:szCs w:val="21"/>
          <w:highlight w:val="none"/>
          <w:u w:val="single"/>
        </w:rPr>
        <w:t xml:space="preserve">     </w:t>
      </w:r>
      <w:r>
        <w:rPr>
          <w:rFonts w:ascii="Garamond" w:hAnsi="Garamond"/>
          <w:szCs w:val="21"/>
          <w:highlight w:val="none"/>
        </w:rPr>
        <w:t>标段招标</w:t>
      </w:r>
      <w:r>
        <w:rPr>
          <w:rFonts w:hint="eastAsia" w:ascii="Garamond" w:hAnsi="Garamond"/>
          <w:szCs w:val="21"/>
          <w:highlight w:val="none"/>
        </w:rPr>
        <w:t>文件</w:t>
      </w:r>
      <w:r>
        <w:rPr>
          <w:rFonts w:ascii="Garamond" w:hAnsi="Garamond"/>
          <w:szCs w:val="21"/>
          <w:highlight w:val="none"/>
        </w:rPr>
        <w:t>的全部内容（含补遗书第_____号至第____号），在考察工程现场后，愿意以</w:t>
      </w:r>
      <w:r>
        <w:rPr>
          <w:rFonts w:ascii="Garamond" w:hAnsi="Garamond"/>
          <w:szCs w:val="21"/>
          <w:highlight w:val="none"/>
          <w:u w:val="single"/>
        </w:rPr>
        <w:t>大写     （小写：    ）</w:t>
      </w:r>
      <w:r>
        <w:rPr>
          <w:rFonts w:ascii="Garamond" w:hAnsi="Garamond"/>
          <w:szCs w:val="21"/>
          <w:highlight w:val="none"/>
        </w:rPr>
        <w:t>的</w:t>
      </w:r>
      <w:r>
        <w:rPr>
          <w:rFonts w:hint="eastAsia" w:ascii="Garamond" w:hAnsi="Garamond"/>
          <w:szCs w:val="21"/>
          <w:highlight w:val="none"/>
        </w:rPr>
        <w:t>投标总报价</w:t>
      </w:r>
      <w:r>
        <w:rPr>
          <w:rFonts w:ascii="Garamond" w:hAnsi="Garamond"/>
          <w:szCs w:val="21"/>
          <w:highlight w:val="none"/>
        </w:rPr>
        <w:t>，按合同约定承担并完成全部工作。</w:t>
      </w:r>
    </w:p>
    <w:p>
      <w:pPr>
        <w:spacing w:after="120" w:afterLines="50" w:line="360" w:lineRule="exact"/>
        <w:ind w:firstLine="420" w:firstLineChars="200"/>
        <w:rPr>
          <w:rFonts w:ascii="Garamond" w:hAnsi="Garamond"/>
          <w:szCs w:val="21"/>
          <w:highlight w:val="none"/>
        </w:rPr>
      </w:pPr>
      <w:r>
        <w:rPr>
          <w:rFonts w:ascii="Garamond" w:hAnsi="Garamond"/>
          <w:szCs w:val="21"/>
          <w:highlight w:val="none"/>
        </w:rPr>
        <w:t>我们理解，贵方不一定接受最低标价的投标或其他任何投标。同时也理解，你方不负担我方的任何投标费用。</w:t>
      </w:r>
    </w:p>
    <w:p>
      <w:pPr>
        <w:spacing w:line="360" w:lineRule="auto"/>
        <w:ind w:firstLine="420" w:firstLineChars="200"/>
        <w:rPr>
          <w:rFonts w:ascii="Garamond" w:hAnsi="Garamond"/>
          <w:szCs w:val="21"/>
          <w:highlight w:val="none"/>
        </w:rPr>
      </w:pPr>
    </w:p>
    <w:p>
      <w:pPr>
        <w:spacing w:line="360" w:lineRule="auto"/>
        <w:rPr>
          <w:rFonts w:ascii="Garamond" w:hAnsi="Garamond"/>
          <w:szCs w:val="21"/>
          <w:highlight w:val="none"/>
        </w:rPr>
      </w:pPr>
    </w:p>
    <w:p>
      <w:pPr>
        <w:spacing w:line="360" w:lineRule="auto"/>
        <w:rPr>
          <w:rFonts w:ascii="Garamond" w:hAnsi="Garamond"/>
          <w:szCs w:val="21"/>
          <w:highlight w:val="none"/>
        </w:rPr>
      </w:pPr>
    </w:p>
    <w:p>
      <w:pPr>
        <w:spacing w:line="360" w:lineRule="auto"/>
        <w:jc w:val="left"/>
        <w:rPr>
          <w:rFonts w:ascii="Garamond" w:hAnsi="Garamond"/>
          <w:szCs w:val="21"/>
          <w:highlight w:val="none"/>
        </w:rPr>
      </w:pPr>
      <w:r>
        <w:rPr>
          <w:rFonts w:ascii="Garamond" w:hAnsi="Garamond"/>
          <w:szCs w:val="21"/>
          <w:highlight w:val="none"/>
        </w:rPr>
        <w:t>投标人：（盖单位章）</w:t>
      </w:r>
    </w:p>
    <w:p>
      <w:pPr>
        <w:spacing w:line="360" w:lineRule="auto"/>
        <w:jc w:val="left"/>
        <w:rPr>
          <w:rFonts w:ascii="Garamond" w:hAnsi="Garamond"/>
          <w:szCs w:val="21"/>
          <w:highlight w:val="none"/>
        </w:rPr>
      </w:pPr>
      <w:r>
        <w:rPr>
          <w:rFonts w:hint="eastAsia" w:ascii="Garamond" w:hAnsi="Garamond"/>
          <w:szCs w:val="21"/>
          <w:highlight w:val="none"/>
        </w:rPr>
        <w:t>法定代表人（亲笔签名或签章）或其委托代理人（亲笔签名）：</w:t>
      </w:r>
    </w:p>
    <w:p>
      <w:pPr>
        <w:spacing w:line="360" w:lineRule="auto"/>
        <w:ind w:firstLine="1575" w:firstLineChars="750"/>
        <w:jc w:val="left"/>
        <w:rPr>
          <w:rFonts w:ascii="Garamond" w:hAnsi="Garamond"/>
          <w:szCs w:val="21"/>
          <w:highlight w:val="none"/>
        </w:rPr>
      </w:pPr>
      <w:r>
        <w:rPr>
          <w:rFonts w:ascii="Garamond" w:hAnsi="Garamond"/>
          <w:szCs w:val="21"/>
          <w:highlight w:val="none"/>
        </w:rPr>
        <w:t>_______年_____月_______日</w:t>
      </w:r>
    </w:p>
    <w:p>
      <w:pPr>
        <w:spacing w:line="360" w:lineRule="auto"/>
        <w:jc w:val="center"/>
        <w:rPr>
          <w:rFonts w:ascii="Garamond" w:hAnsi="Garamond"/>
          <w:b/>
          <w:bCs/>
          <w:snapToGrid w:val="0"/>
          <w:kern w:val="0"/>
          <w:sz w:val="32"/>
          <w:highlight w:val="none"/>
        </w:rPr>
      </w:pPr>
    </w:p>
    <w:p>
      <w:pPr>
        <w:widowControl/>
        <w:jc w:val="left"/>
        <w:rPr>
          <w:rFonts w:ascii="Garamond" w:hAnsi="Garamond"/>
          <w:b/>
          <w:bCs/>
          <w:snapToGrid w:val="0"/>
          <w:kern w:val="0"/>
          <w:sz w:val="32"/>
          <w:highlight w:val="none"/>
        </w:rPr>
      </w:pPr>
      <w:r>
        <w:rPr>
          <w:rFonts w:ascii="Garamond" w:hAnsi="Garamond"/>
          <w:b/>
          <w:bCs/>
          <w:snapToGrid w:val="0"/>
          <w:kern w:val="0"/>
          <w:sz w:val="32"/>
          <w:highlight w:val="none"/>
        </w:rPr>
        <w:br w:type="page"/>
      </w:r>
    </w:p>
    <w:p>
      <w:pPr>
        <w:keepNext/>
        <w:keepLines/>
        <w:numPr>
          <w:ilvl w:val="2"/>
          <w:numId w:val="0"/>
        </w:numPr>
        <w:spacing w:line="400" w:lineRule="exact"/>
        <w:jc w:val="center"/>
        <w:outlineLvl w:val="2"/>
        <w:rPr>
          <w:rFonts w:ascii="Garamond" w:hAnsi="Garamond" w:eastAsia="黑体" w:cs="宋体"/>
          <w:sz w:val="28"/>
          <w:szCs w:val="28"/>
          <w:highlight w:val="none"/>
        </w:rPr>
      </w:pPr>
      <w:r>
        <w:rPr>
          <w:rFonts w:hint="eastAsia" w:ascii="Garamond" w:hAnsi="Garamond" w:eastAsia="黑体" w:cs="宋体"/>
          <w:sz w:val="28"/>
          <w:szCs w:val="28"/>
          <w:highlight w:val="none"/>
        </w:rPr>
        <w:t>二</w:t>
      </w:r>
      <w:r>
        <w:rPr>
          <w:rFonts w:ascii="Garamond" w:hAnsi="Garamond" w:eastAsia="黑体" w:cs="宋体"/>
          <w:sz w:val="28"/>
          <w:szCs w:val="28"/>
          <w:highlight w:val="none"/>
        </w:rPr>
        <w:t>、</w:t>
      </w:r>
      <w:r>
        <w:rPr>
          <w:rFonts w:hint="eastAsia" w:ascii="Garamond" w:hAnsi="Garamond" w:eastAsia="黑体" w:cs="宋体"/>
          <w:sz w:val="28"/>
          <w:szCs w:val="28"/>
          <w:highlight w:val="none"/>
          <w:lang w:val="en-US" w:eastAsia="zh-CN"/>
        </w:rPr>
        <w:t>工程量</w:t>
      </w:r>
      <w:r>
        <w:rPr>
          <w:rFonts w:hint="eastAsia" w:ascii="Garamond" w:hAnsi="Garamond" w:eastAsia="黑体" w:cs="宋体"/>
          <w:sz w:val="28"/>
          <w:szCs w:val="28"/>
          <w:highlight w:val="none"/>
        </w:rPr>
        <w:t>清单</w:t>
      </w:r>
    </w:p>
    <w:p>
      <w:pPr>
        <w:pStyle w:val="16"/>
        <w:rPr>
          <w:highlight w:val="none"/>
        </w:rPr>
      </w:pPr>
    </w:p>
    <w:p>
      <w:pPr>
        <w:rPr>
          <w:highlight w:val="none"/>
        </w:rPr>
      </w:pPr>
      <w:r>
        <w:rPr>
          <w:highlight w:val="none"/>
        </w:rPr>
        <w:t>项目名称：</w:t>
      </w:r>
      <w:r>
        <w:rPr>
          <w:rFonts w:hint="eastAsia"/>
          <w:highlight w:val="none"/>
          <w:u w:val="single"/>
        </w:rPr>
        <w:t xml:space="preserve"> </w:t>
      </w:r>
      <w:r>
        <w:rPr>
          <w:highlight w:val="none"/>
          <w:u w:val="single"/>
        </w:rPr>
        <w:t xml:space="preserve">                    </w:t>
      </w:r>
      <w:r>
        <w:rPr>
          <w:highlight w:val="none"/>
        </w:rPr>
        <w:t xml:space="preserve">      </w:t>
      </w:r>
    </w:p>
    <w:tbl>
      <w:tblPr>
        <w:tblStyle w:val="44"/>
        <w:tblpPr w:leftFromText="180" w:rightFromText="180" w:vertAnchor="text" w:horzAnchor="margin" w:tblpXSpec="center" w:tblpY="525"/>
        <w:tblW w:w="4853" w:type="pct"/>
        <w:tblInd w:w="0" w:type="dxa"/>
        <w:tblLayout w:type="autofit"/>
        <w:tblCellMar>
          <w:top w:w="0" w:type="dxa"/>
          <w:left w:w="108" w:type="dxa"/>
          <w:bottom w:w="0" w:type="dxa"/>
          <w:right w:w="108" w:type="dxa"/>
        </w:tblCellMar>
      </w:tblPr>
      <w:tblGrid>
        <w:gridCol w:w="675"/>
        <w:gridCol w:w="1644"/>
        <w:gridCol w:w="1897"/>
        <w:gridCol w:w="2127"/>
        <w:gridCol w:w="1561"/>
        <w:gridCol w:w="1276"/>
      </w:tblGrid>
      <w:tr>
        <w:tblPrEx>
          <w:tblCellMar>
            <w:top w:w="0" w:type="dxa"/>
            <w:left w:w="108" w:type="dxa"/>
            <w:bottom w:w="0" w:type="dxa"/>
            <w:right w:w="108" w:type="dxa"/>
          </w:tblCellMar>
        </w:tblPrEx>
        <w:trPr>
          <w:trHeight w:val="320" w:hRule="atLeast"/>
        </w:trPr>
        <w:tc>
          <w:tcPr>
            <w:tcW w:w="368" w:type="pct"/>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eastAsia="宋体"/>
                <w:highlight w:val="none"/>
                <w:lang w:val="en-US" w:eastAsia="zh-CN"/>
              </w:rPr>
            </w:pPr>
            <w:r>
              <w:rPr>
                <w:rFonts w:hint="eastAsia"/>
                <w:highlight w:val="none"/>
                <w:lang w:val="en-US" w:eastAsia="zh-CN"/>
              </w:rPr>
              <w:t>序号</w:t>
            </w:r>
          </w:p>
        </w:tc>
        <w:tc>
          <w:tcPr>
            <w:tcW w:w="895" w:type="pct"/>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eastAsia="宋体"/>
                <w:highlight w:val="none"/>
                <w:lang w:val="en-US" w:eastAsia="zh-CN"/>
              </w:rPr>
            </w:pPr>
            <w:r>
              <w:rPr>
                <w:rFonts w:hint="eastAsia"/>
                <w:highlight w:val="none"/>
                <w:lang w:val="en-US" w:eastAsia="zh-CN"/>
              </w:rPr>
              <w:t>项目</w:t>
            </w:r>
          </w:p>
        </w:tc>
        <w:tc>
          <w:tcPr>
            <w:tcW w:w="1033" w:type="pct"/>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eastAsia="宋体"/>
                <w:highlight w:val="none"/>
                <w:lang w:val="en-US" w:eastAsia="zh-CN"/>
              </w:rPr>
            </w:pPr>
            <w:r>
              <w:rPr>
                <w:rFonts w:hint="eastAsia"/>
                <w:highlight w:val="none"/>
                <w:lang w:val="en-US" w:eastAsia="zh-CN"/>
              </w:rPr>
              <w:t>单价（元/公里）</w:t>
            </w:r>
          </w:p>
        </w:tc>
        <w:tc>
          <w:tcPr>
            <w:tcW w:w="1157" w:type="pct"/>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eastAsia="宋体"/>
                <w:highlight w:val="none"/>
                <w:lang w:val="en-US" w:eastAsia="zh-CN"/>
              </w:rPr>
            </w:pPr>
            <w:r>
              <w:rPr>
                <w:rFonts w:hint="eastAsia"/>
                <w:highlight w:val="none"/>
                <w:lang w:val="en-US" w:eastAsia="zh-CN"/>
              </w:rPr>
              <w:t>里程（公里）</w:t>
            </w:r>
          </w:p>
        </w:tc>
        <w:tc>
          <w:tcPr>
            <w:tcW w:w="850" w:type="pct"/>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eastAsia="宋体"/>
                <w:highlight w:val="none"/>
                <w:lang w:val="en-US" w:eastAsia="zh-CN"/>
              </w:rPr>
            </w:pPr>
            <w:r>
              <w:rPr>
                <w:rFonts w:hint="eastAsia"/>
                <w:highlight w:val="none"/>
                <w:lang w:val="en-US" w:eastAsia="zh-CN"/>
              </w:rPr>
              <w:t>合计（元）</w:t>
            </w:r>
          </w:p>
        </w:tc>
        <w:tc>
          <w:tcPr>
            <w:tcW w:w="694" w:type="pct"/>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eastAsia="宋体"/>
                <w:highlight w:val="none"/>
                <w:lang w:val="en-US" w:eastAsia="zh-CN"/>
              </w:rPr>
            </w:pPr>
            <w:r>
              <w:rPr>
                <w:rFonts w:hint="eastAsia"/>
                <w:highlight w:val="none"/>
                <w:lang w:val="en-US" w:eastAsia="zh-CN"/>
              </w:rPr>
              <w:t>备注</w:t>
            </w:r>
          </w:p>
        </w:tc>
      </w:tr>
      <w:tr>
        <w:tblPrEx>
          <w:tblCellMar>
            <w:top w:w="0" w:type="dxa"/>
            <w:left w:w="108" w:type="dxa"/>
            <w:bottom w:w="0" w:type="dxa"/>
            <w:right w:w="108" w:type="dxa"/>
          </w:tblCellMar>
        </w:tblPrEx>
        <w:trPr>
          <w:trHeight w:val="320" w:hRule="atLeast"/>
        </w:trPr>
        <w:tc>
          <w:tcPr>
            <w:tcW w:w="368" w:type="pct"/>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highlight w:val="none"/>
              </w:rPr>
            </w:pPr>
          </w:p>
        </w:tc>
        <w:tc>
          <w:tcPr>
            <w:tcW w:w="895" w:type="pct"/>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highlight w:val="none"/>
              </w:rPr>
            </w:pPr>
          </w:p>
        </w:tc>
        <w:tc>
          <w:tcPr>
            <w:tcW w:w="1033" w:type="pct"/>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highlight w:val="none"/>
              </w:rPr>
            </w:pPr>
          </w:p>
        </w:tc>
        <w:tc>
          <w:tcPr>
            <w:tcW w:w="1157" w:type="pct"/>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highlight w:val="none"/>
              </w:rPr>
            </w:pPr>
          </w:p>
        </w:tc>
        <w:tc>
          <w:tcPr>
            <w:tcW w:w="850" w:type="pct"/>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highlight w:val="none"/>
              </w:rPr>
            </w:pPr>
          </w:p>
        </w:tc>
        <w:tc>
          <w:tcPr>
            <w:tcW w:w="694" w:type="pct"/>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highlight w:val="none"/>
              </w:rPr>
            </w:pPr>
          </w:p>
        </w:tc>
      </w:tr>
      <w:tr>
        <w:tblPrEx>
          <w:tblCellMar>
            <w:top w:w="0" w:type="dxa"/>
            <w:left w:w="108" w:type="dxa"/>
            <w:bottom w:w="0" w:type="dxa"/>
            <w:right w:w="108" w:type="dxa"/>
          </w:tblCellMar>
        </w:tblPrEx>
        <w:trPr>
          <w:trHeight w:val="889" w:hRule="atLeast"/>
        </w:trPr>
        <w:tc>
          <w:tcPr>
            <w:tcW w:w="368"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eastAsia="宋体"/>
                <w:highlight w:val="none"/>
                <w:lang w:val="en-US" w:eastAsia="zh-CN"/>
              </w:rPr>
            </w:pPr>
            <w:r>
              <w:rPr>
                <w:rFonts w:hint="eastAsia"/>
                <w:highlight w:val="none"/>
                <w:lang w:val="en-US" w:eastAsia="zh-CN"/>
              </w:rPr>
              <w:t>1</w:t>
            </w:r>
          </w:p>
        </w:tc>
        <w:tc>
          <w:tcPr>
            <w:tcW w:w="895"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highlight w:val="none"/>
              </w:rPr>
            </w:pPr>
            <w:r>
              <w:rPr>
                <w:rFonts w:hint="eastAsia" w:ascii="宋体" w:hAnsi="宋体" w:cs="宋体"/>
                <w:szCs w:val="21"/>
                <w:highlight w:val="none"/>
                <w:lang w:val="en-US" w:eastAsia="zh-CN"/>
              </w:rPr>
              <w:t>复核</w:t>
            </w:r>
            <w:r>
              <w:rPr>
                <w:rFonts w:hint="eastAsia" w:ascii="宋体" w:hAnsi="宋体" w:cs="宋体"/>
                <w:szCs w:val="21"/>
                <w:highlight w:val="none"/>
              </w:rPr>
              <w:t>评定数据</w:t>
            </w:r>
          </w:p>
        </w:tc>
        <w:tc>
          <w:tcPr>
            <w:tcW w:w="1033"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highlight w:val="none"/>
              </w:rPr>
            </w:pPr>
          </w:p>
        </w:tc>
        <w:tc>
          <w:tcPr>
            <w:tcW w:w="1157"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highlight w:val="none"/>
              </w:rPr>
            </w:pPr>
          </w:p>
        </w:tc>
        <w:tc>
          <w:tcPr>
            <w:tcW w:w="850"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highlight w:val="none"/>
              </w:rPr>
            </w:pPr>
          </w:p>
        </w:tc>
        <w:tc>
          <w:tcPr>
            <w:tcW w:w="694"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highlight w:val="none"/>
              </w:rPr>
            </w:pPr>
          </w:p>
        </w:tc>
      </w:tr>
      <w:tr>
        <w:tblPrEx>
          <w:tblCellMar>
            <w:top w:w="0" w:type="dxa"/>
            <w:left w:w="108" w:type="dxa"/>
            <w:bottom w:w="0" w:type="dxa"/>
            <w:right w:w="108" w:type="dxa"/>
          </w:tblCellMar>
        </w:tblPrEx>
        <w:trPr>
          <w:trHeight w:val="831" w:hRule="atLeast"/>
        </w:trPr>
        <w:tc>
          <w:tcPr>
            <w:tcW w:w="368"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eastAsia="宋体"/>
                <w:highlight w:val="none"/>
                <w:lang w:val="en-US" w:eastAsia="zh-CN"/>
              </w:rPr>
            </w:pPr>
            <w:r>
              <w:rPr>
                <w:rFonts w:hint="eastAsia"/>
                <w:highlight w:val="none"/>
                <w:lang w:val="en-US" w:eastAsia="zh-CN"/>
              </w:rPr>
              <w:t>2</w:t>
            </w:r>
          </w:p>
        </w:tc>
        <w:tc>
          <w:tcPr>
            <w:tcW w:w="895"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highlight w:val="none"/>
              </w:rPr>
            </w:pPr>
            <w:r>
              <w:rPr>
                <w:rFonts w:hint="eastAsia" w:ascii="宋体" w:hAnsi="宋体" w:cs="宋体"/>
                <w:szCs w:val="21"/>
                <w:highlight w:val="none"/>
              </w:rPr>
              <w:t>对</w:t>
            </w:r>
            <w:r>
              <w:rPr>
                <w:rFonts w:hint="eastAsia" w:ascii="宋体" w:hAnsi="宋体" w:cs="宋体"/>
                <w:szCs w:val="21"/>
                <w:highlight w:val="none"/>
                <w:lang w:val="en-US" w:eastAsia="zh-CN"/>
              </w:rPr>
              <w:t>1</w:t>
            </w:r>
            <w:r>
              <w:rPr>
                <w:rFonts w:hint="eastAsia" w:ascii="宋体" w:hAnsi="宋体" w:cs="宋体"/>
                <w:szCs w:val="21"/>
                <w:highlight w:val="none"/>
              </w:rPr>
              <w:t>中数据按比例进行抽核</w:t>
            </w:r>
          </w:p>
        </w:tc>
        <w:tc>
          <w:tcPr>
            <w:tcW w:w="1033"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highlight w:val="none"/>
              </w:rPr>
            </w:pPr>
          </w:p>
        </w:tc>
        <w:tc>
          <w:tcPr>
            <w:tcW w:w="1157"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highlight w:val="none"/>
              </w:rPr>
            </w:pPr>
          </w:p>
        </w:tc>
        <w:tc>
          <w:tcPr>
            <w:tcW w:w="850"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highlight w:val="none"/>
              </w:rPr>
            </w:pPr>
          </w:p>
        </w:tc>
        <w:tc>
          <w:tcPr>
            <w:tcW w:w="694"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highlight w:val="none"/>
              </w:rPr>
            </w:pPr>
          </w:p>
        </w:tc>
      </w:tr>
      <w:tr>
        <w:tblPrEx>
          <w:tblCellMar>
            <w:top w:w="0" w:type="dxa"/>
            <w:left w:w="108" w:type="dxa"/>
            <w:bottom w:w="0" w:type="dxa"/>
            <w:right w:w="108" w:type="dxa"/>
          </w:tblCellMar>
        </w:tblPrEx>
        <w:trPr>
          <w:trHeight w:val="308" w:hRule="atLeast"/>
        </w:trPr>
        <w:tc>
          <w:tcPr>
            <w:tcW w:w="3454" w:type="pct"/>
            <w:gridSpan w:val="4"/>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highlight w:val="none"/>
              </w:rPr>
            </w:pPr>
            <w:r>
              <w:rPr>
                <w:rFonts w:hint="eastAsia"/>
                <w:highlight w:val="none"/>
                <w:lang w:val="en-US" w:eastAsia="zh-CN"/>
              </w:rPr>
              <w:t>总计</w:t>
            </w:r>
          </w:p>
        </w:tc>
        <w:tc>
          <w:tcPr>
            <w:tcW w:w="1545" w:type="pct"/>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highlight w:val="none"/>
              </w:rPr>
            </w:pPr>
          </w:p>
        </w:tc>
      </w:tr>
    </w:tbl>
    <w:p>
      <w:pPr>
        <w:spacing w:line="360" w:lineRule="auto"/>
        <w:jc w:val="center"/>
        <w:rPr>
          <w:rFonts w:ascii="Garamond" w:hAnsi="Garamond"/>
          <w:b/>
          <w:bCs/>
          <w:snapToGrid w:val="0"/>
          <w:kern w:val="0"/>
          <w:sz w:val="32"/>
          <w:highlight w:val="none"/>
        </w:rPr>
      </w:pPr>
    </w:p>
    <w:p>
      <w:pPr>
        <w:spacing w:line="360" w:lineRule="auto"/>
        <w:jc w:val="center"/>
        <w:rPr>
          <w:rFonts w:ascii="Garamond" w:hAnsi="Garamond"/>
          <w:b/>
          <w:bCs/>
          <w:snapToGrid w:val="0"/>
          <w:kern w:val="0"/>
          <w:sz w:val="32"/>
          <w:highlight w:val="none"/>
        </w:rPr>
      </w:pPr>
    </w:p>
    <w:p>
      <w:pPr>
        <w:spacing w:line="360" w:lineRule="auto"/>
        <w:jc w:val="center"/>
        <w:rPr>
          <w:rFonts w:ascii="Garamond" w:hAnsi="Garamond"/>
          <w:b/>
          <w:bCs/>
          <w:snapToGrid w:val="0"/>
          <w:kern w:val="0"/>
          <w:sz w:val="32"/>
          <w:highlight w:val="none"/>
        </w:rPr>
      </w:pPr>
    </w:p>
    <w:p>
      <w:pPr>
        <w:spacing w:line="360" w:lineRule="auto"/>
        <w:jc w:val="center"/>
        <w:rPr>
          <w:rFonts w:ascii="Garamond" w:hAnsi="Garamond"/>
          <w:b/>
          <w:bCs/>
          <w:snapToGrid w:val="0"/>
          <w:kern w:val="0"/>
          <w:sz w:val="32"/>
          <w:highlight w:val="none"/>
        </w:rPr>
      </w:pPr>
    </w:p>
    <w:p>
      <w:pPr>
        <w:spacing w:line="360" w:lineRule="auto"/>
        <w:jc w:val="center"/>
        <w:rPr>
          <w:rFonts w:ascii="Garamond" w:hAnsi="Garamond"/>
          <w:b/>
          <w:bCs/>
          <w:snapToGrid w:val="0"/>
          <w:kern w:val="0"/>
          <w:sz w:val="32"/>
          <w:highlight w:val="none"/>
        </w:rPr>
      </w:pPr>
    </w:p>
    <w:p>
      <w:pPr>
        <w:spacing w:line="360" w:lineRule="auto"/>
        <w:jc w:val="left"/>
        <w:rPr>
          <w:rFonts w:ascii="Garamond" w:hAnsi="Garamond"/>
          <w:szCs w:val="21"/>
          <w:highlight w:val="none"/>
        </w:rPr>
      </w:pPr>
      <w:r>
        <w:rPr>
          <w:rFonts w:ascii="Garamond" w:hAnsi="Garamond"/>
          <w:szCs w:val="21"/>
          <w:highlight w:val="none"/>
        </w:rPr>
        <w:t>投标人：（盖单位章）</w:t>
      </w:r>
    </w:p>
    <w:p>
      <w:pPr>
        <w:spacing w:line="360" w:lineRule="auto"/>
        <w:jc w:val="left"/>
        <w:rPr>
          <w:rFonts w:ascii="Garamond" w:hAnsi="Garamond"/>
          <w:szCs w:val="21"/>
          <w:highlight w:val="none"/>
        </w:rPr>
      </w:pPr>
      <w:r>
        <w:rPr>
          <w:rFonts w:hint="eastAsia" w:ascii="Garamond" w:hAnsi="Garamond"/>
          <w:szCs w:val="21"/>
          <w:highlight w:val="none"/>
        </w:rPr>
        <w:t>法定代表人（亲笔签名或签章）或其委托代理人（亲笔签名）：</w:t>
      </w:r>
    </w:p>
    <w:p>
      <w:pPr>
        <w:spacing w:line="360" w:lineRule="auto"/>
        <w:ind w:firstLine="1575" w:firstLineChars="750"/>
        <w:jc w:val="left"/>
        <w:rPr>
          <w:rFonts w:ascii="Garamond" w:hAnsi="Garamond"/>
          <w:szCs w:val="21"/>
          <w:highlight w:val="none"/>
        </w:rPr>
      </w:pPr>
      <w:r>
        <w:rPr>
          <w:rFonts w:ascii="Garamond" w:hAnsi="Garamond"/>
          <w:szCs w:val="21"/>
          <w:highlight w:val="none"/>
        </w:rPr>
        <w:t>_______年_____月_______日</w:t>
      </w:r>
    </w:p>
    <w:p>
      <w:pPr>
        <w:spacing w:line="360" w:lineRule="auto"/>
        <w:rPr>
          <w:rFonts w:ascii="Garamond" w:hAnsi="Garamond"/>
          <w:szCs w:val="21"/>
          <w:highlight w:val="none"/>
        </w:rPr>
      </w:pPr>
    </w:p>
    <w:sectPr>
      <w:footerReference r:id="rId10" w:type="even"/>
      <w:pgSz w:w="11906" w:h="16838"/>
      <w:pgMar w:top="1417" w:right="1247" w:bottom="1417" w:left="1417" w:header="851" w:footer="680" w:gutter="0"/>
      <w:cols w:space="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Tahoma">
    <w:panose1 w:val="020B0604030504040204"/>
    <w:charset w:val="00"/>
    <w:family w:val="swiss"/>
    <w:pitch w:val="default"/>
    <w:sig w:usb0="E1002EFF" w:usb1="C000605B" w:usb2="00000029" w:usb3="00000000" w:csb0="200101FF" w:csb1="20280000"/>
  </w:font>
  <w:font w:name="MingLiU">
    <w:altName w:val="Microsoft JhengHei UI"/>
    <w:panose1 w:val="02020509000000000000"/>
    <w:charset w:val="88"/>
    <w:family w:val="modern"/>
    <w:pitch w:val="default"/>
    <w:sig w:usb0="00000000" w:usb1="00000000" w:usb2="00000016" w:usb3="00000000" w:csb0="00100001" w:csb1="00000000"/>
  </w:font>
  <w:font w:name="Microsoft JhengHei UI">
    <w:panose1 w:val="020B0604030504040204"/>
    <w:charset w:val="88"/>
    <w:family w:val="auto"/>
    <w:pitch w:val="default"/>
    <w:sig w:usb0="000002A7" w:usb1="28CF4400" w:usb2="00000016" w:usb3="00000000" w:csb0="00100009"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w:altName w:val="DejaVu Math TeX Gyre"/>
    <w:panose1 w:val="02040503050406030204"/>
    <w:charset w:val="00"/>
    <w:family w:val="roman"/>
    <w:pitch w:val="default"/>
    <w:sig w:usb0="00000000" w:usb1="00000000" w:usb2="02000000" w:usb3="00000000" w:csb0="2000019F" w:csb1="00000000"/>
  </w:font>
  <w:font w:name="DejaVu Math TeX Gyre">
    <w:panose1 w:val="02000503000000000000"/>
    <w:charset w:val="00"/>
    <w:family w:val="auto"/>
    <w:pitch w:val="default"/>
    <w:sig w:usb0="A10000EF" w:usb1="4201F9EE" w:usb2="02000000" w:usb3="00000000" w:csb0="60000193" w:csb1="0DD40000"/>
  </w:font>
  <w:font w:name="Verdana">
    <w:panose1 w:val="020B0604030504040204"/>
    <w:charset w:val="00"/>
    <w:family w:val="swiss"/>
    <w:pitch w:val="default"/>
    <w:sig w:usb0="A00006FF" w:usb1="4000205B" w:usb2="00000010" w:usb3="00000000" w:csb0="2000019F" w:csb1="00000000"/>
  </w:font>
  <w:font w:name="华文细黑">
    <w:altName w:val="微软雅黑"/>
    <w:panose1 w:val="02010600040101010101"/>
    <w:charset w:val="86"/>
    <w:family w:val="auto"/>
    <w:pitch w:val="default"/>
    <w:sig w:usb0="00000000" w:usb1="0000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文鼎CS书宋二">
    <w:altName w:val="宋体"/>
    <w:panose1 w:val="00000000000000000000"/>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方正小标宋_GBK">
    <w:altName w:val="微软雅黑"/>
    <w:panose1 w:val="03000509000000000000"/>
    <w:charset w:val="86"/>
    <w:family w:val="script"/>
    <w:pitch w:val="default"/>
    <w:sig w:usb0="00000000" w:usb1="00000000" w:usb2="00000010" w:usb3="00000000" w:csb0="00040000" w:csb1="00000000"/>
  </w:font>
  <w:font w:name="隶书">
    <w:altName w:val="微软雅黑"/>
    <w:panose1 w:val="02010509060101010101"/>
    <w:charset w:val="86"/>
    <w:family w:val="modern"/>
    <w:pitch w:val="default"/>
    <w:sig w:usb0="00000000" w:usb1="00000000" w:usb2="00000000" w:usb3="00000000" w:csb0="00040000" w:csb1="00000000"/>
  </w:font>
  <w:font w:name="Arial Unicode MS">
    <w:altName w:val="宋体"/>
    <w:panose1 w:val="020B0604020202020204"/>
    <w:charset w:val="86"/>
    <w:family w:val="swiss"/>
    <w:pitch w:val="default"/>
    <w:sig w:usb0="00000000" w:usb1="00000000" w:usb2="0000007F" w:usb3="00000000" w:csb0="203F01FF" w:csb1="DFFF0000"/>
  </w:font>
  <w:font w:name="Garamond">
    <w:altName w:val="MV Boli"/>
    <w:panose1 w:val="02020404030301010803"/>
    <w:charset w:val="00"/>
    <w:family w:val="roman"/>
    <w:pitch w:val="default"/>
    <w:sig w:usb0="00000000" w:usb1="00000000" w:usb2="00000000" w:usb3="00000000" w:csb0="0000009F" w:csb1="DFD70000"/>
  </w:font>
  <w:font w:name="MV Boli">
    <w:panose1 w:val="02000500030200090000"/>
    <w:charset w:val="00"/>
    <w:family w:val="auto"/>
    <w:pitch w:val="default"/>
    <w:sig w:usb0="00000003" w:usb1="00000000" w:usb2="00000100" w:usb3="00000000" w:csb0="00000001" w:csb1="00000000"/>
  </w:font>
  <w:font w:name="Wingdings 2">
    <w:altName w:val="Wingdings"/>
    <w:panose1 w:val="05020102010507070707"/>
    <w:charset w:val="02"/>
    <w:family w:val="roman"/>
    <w:pitch w:val="default"/>
    <w:sig w:usb0="00000000" w:usb1="00000000" w:usb2="00000000" w:usb3="00000000" w:csb0="80000000" w:csb1="00000000"/>
  </w:font>
  <w:font w:name="Wingdings">
    <w:panose1 w:val="05000000000000000000"/>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6"/>
                          </w:pPr>
                          <w:r>
                            <w:fldChar w:fldCharType="begin"/>
                          </w:r>
                          <w:r>
                            <w:instrText xml:space="preserve"> PAGE  \* MERGEFORMAT </w:instrText>
                          </w:r>
                          <w:r>
                            <w:fldChar w:fldCharType="separate"/>
                          </w:r>
                          <w:r>
                            <w:t>１</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26"/>
                    </w:pPr>
                    <w:r>
                      <w:fldChar w:fldCharType="begin"/>
                    </w:r>
                    <w:r>
                      <w:instrText xml:space="preserve"> PAGE  \* MERGEFORMAT </w:instrText>
                    </w:r>
                    <w:r>
                      <w:fldChar w:fldCharType="separate"/>
                    </w:r>
                    <w:r>
                      <w:t>１</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26"/>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6"/>
                          </w:pPr>
                          <w:r>
                            <w:fldChar w:fldCharType="begin"/>
                          </w:r>
                          <w:r>
                            <w:instrText xml:space="preserve"> PAGE  \* MERGEFORMAT </w:instrText>
                          </w:r>
                          <w:r>
                            <w:fldChar w:fldCharType="separate"/>
                          </w:r>
                          <w:r>
                            <w:t>33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pPr>
                      <w:pStyle w:val="26"/>
                    </w:pPr>
                    <w:r>
                      <w:fldChar w:fldCharType="begin"/>
                    </w:r>
                    <w:r>
                      <w:instrText xml:space="preserve"> PAGE  \* MERGEFORMAT </w:instrText>
                    </w:r>
                    <w:r>
                      <w:fldChar w:fldCharType="separate"/>
                    </w:r>
                    <w:r>
                      <w:t>33</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cMibgsAgAAV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FwyJuCwCAABVBAAADgAAAAAAAAABACAAAAAfAQAAZHJzL2Uyb0RvYy54bWxQSwUGAAAAAAYA&#10;BgBZAQAAvQUAAAAA&#10;">
              <v:fill on="f" focussize="0,0"/>
              <v:stroke on="f" weight="0.5pt"/>
              <v:imagedata o:title=""/>
              <o:lock v:ext="edit" aspectratio="f"/>
              <v:textbox inset="0mm,0mm,0mm,0mm" style="mso-fit-shape-to-text:t;">
                <w:txbxContent>
                  <w:p>
                    <w:pPr>
                      <w:pStyle w:val="26"/>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framePr w:wrap="around" w:vAnchor="text" w:hAnchor="margin" w:xAlign="center" w:y="1"/>
      <w:rPr>
        <w:rStyle w:val="48"/>
      </w:rPr>
    </w:pPr>
    <w:r>
      <w:fldChar w:fldCharType="begin"/>
    </w:r>
    <w:r>
      <w:rPr>
        <w:rStyle w:val="48"/>
      </w:rPr>
      <w:instrText xml:space="preserve">PAGE  </w:instrText>
    </w:r>
    <w:r>
      <w:fldChar w:fldCharType="end"/>
    </w:r>
  </w:p>
  <w:p>
    <w:pPr>
      <w:pStyle w:val="26"/>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framePr w:wrap="around" w:vAnchor="text" w:hAnchor="margin" w:xAlign="right" w:y="1"/>
      <w:rPr>
        <w:rStyle w:val="48"/>
      </w:rPr>
    </w:pPr>
    <w:r>
      <w:fldChar w:fldCharType="begin"/>
    </w:r>
    <w:r>
      <w:rPr>
        <w:rStyle w:val="48"/>
      </w:rPr>
      <w:instrText xml:space="preserve">PAGE  </w:instrText>
    </w:r>
    <w:r>
      <w:fldChar w:fldCharType="end"/>
    </w:r>
  </w:p>
  <w:p>
    <w:pPr>
      <w:pStyle w:val="26"/>
      <w:ind w:right="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framePr w:wrap="around" w:vAnchor="text" w:hAnchor="margin" w:xAlign="right" w:y="1"/>
      <w:rPr>
        <w:rStyle w:val="48"/>
      </w:rPr>
    </w:pPr>
    <w:r>
      <w:fldChar w:fldCharType="begin"/>
    </w:r>
    <w:r>
      <w:rPr>
        <w:rStyle w:val="48"/>
      </w:rPr>
      <w:instrText xml:space="preserve">PAGE  </w:instrText>
    </w:r>
    <w:r>
      <w:fldChar w:fldCharType="end"/>
    </w:r>
  </w:p>
  <w:p>
    <w:pPr>
      <w:pStyle w:val="26"/>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480" w:lineRule="auto"/>
      <w:ind w:right="-27" w:rightChars="-13"/>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9DCA899"/>
    <w:multiLevelType w:val="singleLevel"/>
    <w:tmpl w:val="99DCA899"/>
    <w:lvl w:ilvl="0" w:tentative="0">
      <w:start w:val="5"/>
      <w:numFmt w:val="chineseCounting"/>
      <w:suff w:val="space"/>
      <w:lvlText w:val="第%1章"/>
      <w:lvlJc w:val="left"/>
      <w:rPr>
        <w:rFonts w:hint="eastAsia"/>
      </w:rPr>
    </w:lvl>
  </w:abstractNum>
  <w:abstractNum w:abstractNumId="1">
    <w:nsid w:val="7A041EBF"/>
    <w:multiLevelType w:val="singleLevel"/>
    <w:tmpl w:val="7A041EBF"/>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50"/>
  <w:drawingGridHorizontalSpacing w:val="105"/>
  <w:drawingGridVerticalSpacing w:val="156"/>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I5M2YyZDMyNGE0NzM0ODZiOTFiNjEzNzgyZTQyMjMifQ=="/>
    <w:docVar w:name="KSO_WPS_MARK_KEY" w:val="551c0904-deb7-4c67-a805-79ba7c3ad303"/>
  </w:docVars>
  <w:rsids>
    <w:rsidRoot w:val="00172A27"/>
    <w:rsid w:val="0000039B"/>
    <w:rsid w:val="00000B36"/>
    <w:rsid w:val="00001AF8"/>
    <w:rsid w:val="000029C0"/>
    <w:rsid w:val="000040B1"/>
    <w:rsid w:val="00004836"/>
    <w:rsid w:val="0000726E"/>
    <w:rsid w:val="0000732D"/>
    <w:rsid w:val="00007362"/>
    <w:rsid w:val="00012678"/>
    <w:rsid w:val="000142A2"/>
    <w:rsid w:val="00015513"/>
    <w:rsid w:val="00017346"/>
    <w:rsid w:val="00017C44"/>
    <w:rsid w:val="000218A8"/>
    <w:rsid w:val="00021A95"/>
    <w:rsid w:val="0002248C"/>
    <w:rsid w:val="000237DA"/>
    <w:rsid w:val="00023BC8"/>
    <w:rsid w:val="00023C5F"/>
    <w:rsid w:val="00023F2F"/>
    <w:rsid w:val="000252B1"/>
    <w:rsid w:val="00026EE9"/>
    <w:rsid w:val="0003072E"/>
    <w:rsid w:val="000307C9"/>
    <w:rsid w:val="00032369"/>
    <w:rsid w:val="00032FEC"/>
    <w:rsid w:val="00033B53"/>
    <w:rsid w:val="000366D2"/>
    <w:rsid w:val="00037CAD"/>
    <w:rsid w:val="00041550"/>
    <w:rsid w:val="000439C2"/>
    <w:rsid w:val="00043B9F"/>
    <w:rsid w:val="00044F74"/>
    <w:rsid w:val="00052CC7"/>
    <w:rsid w:val="00053B3F"/>
    <w:rsid w:val="00055CB5"/>
    <w:rsid w:val="00056B5A"/>
    <w:rsid w:val="00057893"/>
    <w:rsid w:val="00057F6B"/>
    <w:rsid w:val="0006067C"/>
    <w:rsid w:val="00060758"/>
    <w:rsid w:val="0006261A"/>
    <w:rsid w:val="000629A6"/>
    <w:rsid w:val="00066109"/>
    <w:rsid w:val="00066524"/>
    <w:rsid w:val="00070024"/>
    <w:rsid w:val="000741E5"/>
    <w:rsid w:val="00074567"/>
    <w:rsid w:val="0007512E"/>
    <w:rsid w:val="00075873"/>
    <w:rsid w:val="00086405"/>
    <w:rsid w:val="00092B89"/>
    <w:rsid w:val="000943B4"/>
    <w:rsid w:val="00094580"/>
    <w:rsid w:val="000945D6"/>
    <w:rsid w:val="000949E1"/>
    <w:rsid w:val="00095054"/>
    <w:rsid w:val="00096532"/>
    <w:rsid w:val="00097A33"/>
    <w:rsid w:val="00097AB9"/>
    <w:rsid w:val="000A00B0"/>
    <w:rsid w:val="000A08D4"/>
    <w:rsid w:val="000A191C"/>
    <w:rsid w:val="000A2227"/>
    <w:rsid w:val="000A3598"/>
    <w:rsid w:val="000A4621"/>
    <w:rsid w:val="000A5B8A"/>
    <w:rsid w:val="000A69B0"/>
    <w:rsid w:val="000A7572"/>
    <w:rsid w:val="000A78C3"/>
    <w:rsid w:val="000B3528"/>
    <w:rsid w:val="000B4428"/>
    <w:rsid w:val="000B710A"/>
    <w:rsid w:val="000C09D0"/>
    <w:rsid w:val="000C48AE"/>
    <w:rsid w:val="000C4B92"/>
    <w:rsid w:val="000C4B96"/>
    <w:rsid w:val="000C5F51"/>
    <w:rsid w:val="000C69FC"/>
    <w:rsid w:val="000D10BB"/>
    <w:rsid w:val="000D2726"/>
    <w:rsid w:val="000D2C60"/>
    <w:rsid w:val="000D489A"/>
    <w:rsid w:val="000D51EE"/>
    <w:rsid w:val="000D531B"/>
    <w:rsid w:val="000D5FF5"/>
    <w:rsid w:val="000D67CD"/>
    <w:rsid w:val="000E0000"/>
    <w:rsid w:val="000E170E"/>
    <w:rsid w:val="000E2329"/>
    <w:rsid w:val="000E425D"/>
    <w:rsid w:val="000E69CE"/>
    <w:rsid w:val="000F069C"/>
    <w:rsid w:val="000F2CC9"/>
    <w:rsid w:val="000F2E67"/>
    <w:rsid w:val="000F2F19"/>
    <w:rsid w:val="000F59C9"/>
    <w:rsid w:val="000F7FD4"/>
    <w:rsid w:val="00100EF2"/>
    <w:rsid w:val="0010263A"/>
    <w:rsid w:val="00102748"/>
    <w:rsid w:val="00103999"/>
    <w:rsid w:val="001071B1"/>
    <w:rsid w:val="0011189D"/>
    <w:rsid w:val="00111FFC"/>
    <w:rsid w:val="001121FE"/>
    <w:rsid w:val="00114354"/>
    <w:rsid w:val="0011475A"/>
    <w:rsid w:val="0011796B"/>
    <w:rsid w:val="00121F17"/>
    <w:rsid w:val="0012407D"/>
    <w:rsid w:val="00124E31"/>
    <w:rsid w:val="00125010"/>
    <w:rsid w:val="0012597E"/>
    <w:rsid w:val="00125D4D"/>
    <w:rsid w:val="00130449"/>
    <w:rsid w:val="001306E6"/>
    <w:rsid w:val="00130FDC"/>
    <w:rsid w:val="00131A4B"/>
    <w:rsid w:val="00131D9A"/>
    <w:rsid w:val="00132C4D"/>
    <w:rsid w:val="00135CC2"/>
    <w:rsid w:val="00136DA5"/>
    <w:rsid w:val="00137561"/>
    <w:rsid w:val="001377DC"/>
    <w:rsid w:val="00140397"/>
    <w:rsid w:val="00141360"/>
    <w:rsid w:val="00143D0B"/>
    <w:rsid w:val="00144236"/>
    <w:rsid w:val="00146DA8"/>
    <w:rsid w:val="001518AE"/>
    <w:rsid w:val="001535C4"/>
    <w:rsid w:val="00153912"/>
    <w:rsid w:val="00154EE4"/>
    <w:rsid w:val="001619CB"/>
    <w:rsid w:val="001624B0"/>
    <w:rsid w:val="001626FF"/>
    <w:rsid w:val="00164420"/>
    <w:rsid w:val="0016479E"/>
    <w:rsid w:val="00165553"/>
    <w:rsid w:val="00165D45"/>
    <w:rsid w:val="00166936"/>
    <w:rsid w:val="0016756D"/>
    <w:rsid w:val="0017296C"/>
    <w:rsid w:val="00172A27"/>
    <w:rsid w:val="0017395B"/>
    <w:rsid w:val="00177F6A"/>
    <w:rsid w:val="001807F9"/>
    <w:rsid w:val="00180E86"/>
    <w:rsid w:val="00181A1C"/>
    <w:rsid w:val="00182E57"/>
    <w:rsid w:val="00183172"/>
    <w:rsid w:val="00183357"/>
    <w:rsid w:val="0018414D"/>
    <w:rsid w:val="00184B4E"/>
    <w:rsid w:val="00185AEE"/>
    <w:rsid w:val="001867A1"/>
    <w:rsid w:val="00187249"/>
    <w:rsid w:val="001877FE"/>
    <w:rsid w:val="00190FFF"/>
    <w:rsid w:val="00191405"/>
    <w:rsid w:val="00191DFD"/>
    <w:rsid w:val="00191FC5"/>
    <w:rsid w:val="00192532"/>
    <w:rsid w:val="00195E83"/>
    <w:rsid w:val="001A4FA0"/>
    <w:rsid w:val="001A5064"/>
    <w:rsid w:val="001A64F9"/>
    <w:rsid w:val="001A7593"/>
    <w:rsid w:val="001B1C24"/>
    <w:rsid w:val="001B2649"/>
    <w:rsid w:val="001B30A1"/>
    <w:rsid w:val="001B41B6"/>
    <w:rsid w:val="001B54F7"/>
    <w:rsid w:val="001B55FC"/>
    <w:rsid w:val="001B6A4E"/>
    <w:rsid w:val="001C1D33"/>
    <w:rsid w:val="001C2EF0"/>
    <w:rsid w:val="001C4278"/>
    <w:rsid w:val="001C6076"/>
    <w:rsid w:val="001C6751"/>
    <w:rsid w:val="001D2EAD"/>
    <w:rsid w:val="001D3AAE"/>
    <w:rsid w:val="001D46A4"/>
    <w:rsid w:val="001D5646"/>
    <w:rsid w:val="001D6806"/>
    <w:rsid w:val="001D6EF8"/>
    <w:rsid w:val="001D74AF"/>
    <w:rsid w:val="001E047F"/>
    <w:rsid w:val="001E095A"/>
    <w:rsid w:val="001E0E47"/>
    <w:rsid w:val="001E3611"/>
    <w:rsid w:val="001E4237"/>
    <w:rsid w:val="001E5C9A"/>
    <w:rsid w:val="001E787C"/>
    <w:rsid w:val="001F067D"/>
    <w:rsid w:val="001F1C0E"/>
    <w:rsid w:val="001F251C"/>
    <w:rsid w:val="001F28D4"/>
    <w:rsid w:val="001F2FD3"/>
    <w:rsid w:val="001F6BBE"/>
    <w:rsid w:val="001F79D2"/>
    <w:rsid w:val="00201098"/>
    <w:rsid w:val="002027CC"/>
    <w:rsid w:val="002058E6"/>
    <w:rsid w:val="00207EE9"/>
    <w:rsid w:val="0021022E"/>
    <w:rsid w:val="00210B32"/>
    <w:rsid w:val="0021136B"/>
    <w:rsid w:val="00212923"/>
    <w:rsid w:val="00213CE1"/>
    <w:rsid w:val="0021552D"/>
    <w:rsid w:val="00216C08"/>
    <w:rsid w:val="00217509"/>
    <w:rsid w:val="00217A64"/>
    <w:rsid w:val="00220244"/>
    <w:rsid w:val="00220972"/>
    <w:rsid w:val="00221E07"/>
    <w:rsid w:val="002229FF"/>
    <w:rsid w:val="00222D99"/>
    <w:rsid w:val="00222D9B"/>
    <w:rsid w:val="00225586"/>
    <w:rsid w:val="00225F3A"/>
    <w:rsid w:val="002260C9"/>
    <w:rsid w:val="00230C2D"/>
    <w:rsid w:val="002353E5"/>
    <w:rsid w:val="002370E7"/>
    <w:rsid w:val="00242F8A"/>
    <w:rsid w:val="00242FCD"/>
    <w:rsid w:val="002432B9"/>
    <w:rsid w:val="00243818"/>
    <w:rsid w:val="00243F3C"/>
    <w:rsid w:val="00244624"/>
    <w:rsid w:val="0024623A"/>
    <w:rsid w:val="00250008"/>
    <w:rsid w:val="002538C5"/>
    <w:rsid w:val="00255EC9"/>
    <w:rsid w:val="00256ABB"/>
    <w:rsid w:val="00256BDF"/>
    <w:rsid w:val="00257AFF"/>
    <w:rsid w:val="00262A7D"/>
    <w:rsid w:val="0026324B"/>
    <w:rsid w:val="00263811"/>
    <w:rsid w:val="00263B38"/>
    <w:rsid w:val="00264998"/>
    <w:rsid w:val="00264D82"/>
    <w:rsid w:val="00265356"/>
    <w:rsid w:val="00270DEB"/>
    <w:rsid w:val="00271B07"/>
    <w:rsid w:val="00275660"/>
    <w:rsid w:val="002779F3"/>
    <w:rsid w:val="002808AA"/>
    <w:rsid w:val="002808F4"/>
    <w:rsid w:val="0028313A"/>
    <w:rsid w:val="0028372C"/>
    <w:rsid w:val="00284479"/>
    <w:rsid w:val="0028775A"/>
    <w:rsid w:val="002944EB"/>
    <w:rsid w:val="00294C76"/>
    <w:rsid w:val="00296B82"/>
    <w:rsid w:val="00297414"/>
    <w:rsid w:val="002A0FE6"/>
    <w:rsid w:val="002A1776"/>
    <w:rsid w:val="002A3236"/>
    <w:rsid w:val="002A5317"/>
    <w:rsid w:val="002A689C"/>
    <w:rsid w:val="002A69C7"/>
    <w:rsid w:val="002A6A62"/>
    <w:rsid w:val="002A7541"/>
    <w:rsid w:val="002B010F"/>
    <w:rsid w:val="002B0836"/>
    <w:rsid w:val="002B1EA6"/>
    <w:rsid w:val="002B2717"/>
    <w:rsid w:val="002B3395"/>
    <w:rsid w:val="002B5042"/>
    <w:rsid w:val="002B6182"/>
    <w:rsid w:val="002B66FF"/>
    <w:rsid w:val="002B747A"/>
    <w:rsid w:val="002C0866"/>
    <w:rsid w:val="002C0D87"/>
    <w:rsid w:val="002C1DE8"/>
    <w:rsid w:val="002C212E"/>
    <w:rsid w:val="002C52CE"/>
    <w:rsid w:val="002C58E5"/>
    <w:rsid w:val="002D063C"/>
    <w:rsid w:val="002D074F"/>
    <w:rsid w:val="002D4C90"/>
    <w:rsid w:val="002D5D38"/>
    <w:rsid w:val="002D6B1C"/>
    <w:rsid w:val="002D78E7"/>
    <w:rsid w:val="002D7B41"/>
    <w:rsid w:val="002E0E8A"/>
    <w:rsid w:val="002E2344"/>
    <w:rsid w:val="002E328F"/>
    <w:rsid w:val="002E404E"/>
    <w:rsid w:val="002E4A25"/>
    <w:rsid w:val="002E5359"/>
    <w:rsid w:val="002E584A"/>
    <w:rsid w:val="002F007B"/>
    <w:rsid w:val="002F35BE"/>
    <w:rsid w:val="002F51F1"/>
    <w:rsid w:val="002F5549"/>
    <w:rsid w:val="002F5956"/>
    <w:rsid w:val="002F5BE8"/>
    <w:rsid w:val="002F7979"/>
    <w:rsid w:val="00300C32"/>
    <w:rsid w:val="003038D3"/>
    <w:rsid w:val="003046B6"/>
    <w:rsid w:val="0030610D"/>
    <w:rsid w:val="0030640E"/>
    <w:rsid w:val="0030664A"/>
    <w:rsid w:val="00307B61"/>
    <w:rsid w:val="00310C45"/>
    <w:rsid w:val="00310E36"/>
    <w:rsid w:val="00311A4A"/>
    <w:rsid w:val="0031245A"/>
    <w:rsid w:val="00312A71"/>
    <w:rsid w:val="00313E02"/>
    <w:rsid w:val="00315449"/>
    <w:rsid w:val="00315E83"/>
    <w:rsid w:val="00317FAB"/>
    <w:rsid w:val="0032053D"/>
    <w:rsid w:val="003230C5"/>
    <w:rsid w:val="00323886"/>
    <w:rsid w:val="00325677"/>
    <w:rsid w:val="003258F2"/>
    <w:rsid w:val="00326A22"/>
    <w:rsid w:val="00326A29"/>
    <w:rsid w:val="00330A09"/>
    <w:rsid w:val="003312F7"/>
    <w:rsid w:val="00341171"/>
    <w:rsid w:val="00342C87"/>
    <w:rsid w:val="00343045"/>
    <w:rsid w:val="00343572"/>
    <w:rsid w:val="00344F60"/>
    <w:rsid w:val="00344FE8"/>
    <w:rsid w:val="0034559F"/>
    <w:rsid w:val="00345AA9"/>
    <w:rsid w:val="00347686"/>
    <w:rsid w:val="00347907"/>
    <w:rsid w:val="0035115B"/>
    <w:rsid w:val="00351F5A"/>
    <w:rsid w:val="003523A1"/>
    <w:rsid w:val="003544BF"/>
    <w:rsid w:val="00356CE8"/>
    <w:rsid w:val="00357110"/>
    <w:rsid w:val="0036068A"/>
    <w:rsid w:val="00361819"/>
    <w:rsid w:val="00365779"/>
    <w:rsid w:val="00367EF2"/>
    <w:rsid w:val="00372ED9"/>
    <w:rsid w:val="00375A66"/>
    <w:rsid w:val="00377194"/>
    <w:rsid w:val="0038136B"/>
    <w:rsid w:val="003828F0"/>
    <w:rsid w:val="00382E4C"/>
    <w:rsid w:val="00383B93"/>
    <w:rsid w:val="00384653"/>
    <w:rsid w:val="003851CC"/>
    <w:rsid w:val="00385F32"/>
    <w:rsid w:val="003876B4"/>
    <w:rsid w:val="00390411"/>
    <w:rsid w:val="00390459"/>
    <w:rsid w:val="00390DCA"/>
    <w:rsid w:val="00391F97"/>
    <w:rsid w:val="00392F3E"/>
    <w:rsid w:val="003945A2"/>
    <w:rsid w:val="00395B4C"/>
    <w:rsid w:val="0039742C"/>
    <w:rsid w:val="003979A4"/>
    <w:rsid w:val="003A185F"/>
    <w:rsid w:val="003A208E"/>
    <w:rsid w:val="003A4549"/>
    <w:rsid w:val="003A6D05"/>
    <w:rsid w:val="003B5F34"/>
    <w:rsid w:val="003B7064"/>
    <w:rsid w:val="003B7642"/>
    <w:rsid w:val="003C326B"/>
    <w:rsid w:val="003C5558"/>
    <w:rsid w:val="003D015D"/>
    <w:rsid w:val="003D0577"/>
    <w:rsid w:val="003D0B06"/>
    <w:rsid w:val="003D0F8A"/>
    <w:rsid w:val="003D3C1C"/>
    <w:rsid w:val="003D3D48"/>
    <w:rsid w:val="003D4558"/>
    <w:rsid w:val="003D56F5"/>
    <w:rsid w:val="003D643C"/>
    <w:rsid w:val="003D72C3"/>
    <w:rsid w:val="003E0DC3"/>
    <w:rsid w:val="003E35BB"/>
    <w:rsid w:val="003E3E4E"/>
    <w:rsid w:val="003E73BE"/>
    <w:rsid w:val="003E781F"/>
    <w:rsid w:val="003F3EFF"/>
    <w:rsid w:val="003F438C"/>
    <w:rsid w:val="003F54AE"/>
    <w:rsid w:val="003F58CF"/>
    <w:rsid w:val="003F603E"/>
    <w:rsid w:val="003F7F58"/>
    <w:rsid w:val="00400063"/>
    <w:rsid w:val="004014D6"/>
    <w:rsid w:val="00403E1B"/>
    <w:rsid w:val="004052BB"/>
    <w:rsid w:val="004055FC"/>
    <w:rsid w:val="00411C73"/>
    <w:rsid w:val="00411DA6"/>
    <w:rsid w:val="00415661"/>
    <w:rsid w:val="00415D27"/>
    <w:rsid w:val="00420A08"/>
    <w:rsid w:val="00421D53"/>
    <w:rsid w:val="004221F5"/>
    <w:rsid w:val="004239EC"/>
    <w:rsid w:val="00424EA3"/>
    <w:rsid w:val="00426EB0"/>
    <w:rsid w:val="0042724F"/>
    <w:rsid w:val="0043084C"/>
    <w:rsid w:val="00430922"/>
    <w:rsid w:val="00431F86"/>
    <w:rsid w:val="0043225C"/>
    <w:rsid w:val="0043319B"/>
    <w:rsid w:val="00433F85"/>
    <w:rsid w:val="004350D0"/>
    <w:rsid w:val="004355D0"/>
    <w:rsid w:val="00437242"/>
    <w:rsid w:val="00437D4F"/>
    <w:rsid w:val="00437F67"/>
    <w:rsid w:val="00440B31"/>
    <w:rsid w:val="00441D27"/>
    <w:rsid w:val="004440F9"/>
    <w:rsid w:val="00444BDC"/>
    <w:rsid w:val="00446C56"/>
    <w:rsid w:val="0044715A"/>
    <w:rsid w:val="00450FF1"/>
    <w:rsid w:val="00452517"/>
    <w:rsid w:val="004528C2"/>
    <w:rsid w:val="00454078"/>
    <w:rsid w:val="0045446D"/>
    <w:rsid w:val="004556B0"/>
    <w:rsid w:val="004579FB"/>
    <w:rsid w:val="004626B2"/>
    <w:rsid w:val="00464504"/>
    <w:rsid w:val="00465AB1"/>
    <w:rsid w:val="00470EB4"/>
    <w:rsid w:val="00471DC1"/>
    <w:rsid w:val="0047350E"/>
    <w:rsid w:val="00474D46"/>
    <w:rsid w:val="00481788"/>
    <w:rsid w:val="00481D54"/>
    <w:rsid w:val="0048257B"/>
    <w:rsid w:val="00482626"/>
    <w:rsid w:val="00484228"/>
    <w:rsid w:val="00484708"/>
    <w:rsid w:val="004859E2"/>
    <w:rsid w:val="00485BB1"/>
    <w:rsid w:val="00486087"/>
    <w:rsid w:val="00487B8C"/>
    <w:rsid w:val="00491666"/>
    <w:rsid w:val="00491A82"/>
    <w:rsid w:val="00492258"/>
    <w:rsid w:val="004A13A8"/>
    <w:rsid w:val="004A4253"/>
    <w:rsid w:val="004A55D2"/>
    <w:rsid w:val="004A5DEA"/>
    <w:rsid w:val="004A728F"/>
    <w:rsid w:val="004A73CD"/>
    <w:rsid w:val="004B35E9"/>
    <w:rsid w:val="004B4CE4"/>
    <w:rsid w:val="004B588D"/>
    <w:rsid w:val="004C06AB"/>
    <w:rsid w:val="004C6C63"/>
    <w:rsid w:val="004D0A97"/>
    <w:rsid w:val="004D2767"/>
    <w:rsid w:val="004D2B11"/>
    <w:rsid w:val="004D398D"/>
    <w:rsid w:val="004D45CD"/>
    <w:rsid w:val="004D54F9"/>
    <w:rsid w:val="004D555F"/>
    <w:rsid w:val="004D77F2"/>
    <w:rsid w:val="004E23A9"/>
    <w:rsid w:val="004E2963"/>
    <w:rsid w:val="004E2A1A"/>
    <w:rsid w:val="004E44BD"/>
    <w:rsid w:val="004E4A81"/>
    <w:rsid w:val="004E6856"/>
    <w:rsid w:val="004E77F6"/>
    <w:rsid w:val="004E7866"/>
    <w:rsid w:val="004F07DC"/>
    <w:rsid w:val="004F164A"/>
    <w:rsid w:val="004F2760"/>
    <w:rsid w:val="004F4ED6"/>
    <w:rsid w:val="004F750C"/>
    <w:rsid w:val="004F7542"/>
    <w:rsid w:val="005008BA"/>
    <w:rsid w:val="00501DC5"/>
    <w:rsid w:val="00505A65"/>
    <w:rsid w:val="00506307"/>
    <w:rsid w:val="00507662"/>
    <w:rsid w:val="005109D0"/>
    <w:rsid w:val="00512ADB"/>
    <w:rsid w:val="005155EC"/>
    <w:rsid w:val="0051583F"/>
    <w:rsid w:val="00517368"/>
    <w:rsid w:val="005174E7"/>
    <w:rsid w:val="00520110"/>
    <w:rsid w:val="00523A22"/>
    <w:rsid w:val="0052499D"/>
    <w:rsid w:val="005252C1"/>
    <w:rsid w:val="005265A6"/>
    <w:rsid w:val="005265F8"/>
    <w:rsid w:val="00526ED8"/>
    <w:rsid w:val="0053602D"/>
    <w:rsid w:val="0053607B"/>
    <w:rsid w:val="005366B5"/>
    <w:rsid w:val="00542FA7"/>
    <w:rsid w:val="00543E1D"/>
    <w:rsid w:val="005447A5"/>
    <w:rsid w:val="00544E3C"/>
    <w:rsid w:val="00546228"/>
    <w:rsid w:val="00546853"/>
    <w:rsid w:val="00547199"/>
    <w:rsid w:val="00547771"/>
    <w:rsid w:val="0055069D"/>
    <w:rsid w:val="00555A66"/>
    <w:rsid w:val="0055625D"/>
    <w:rsid w:val="005604C2"/>
    <w:rsid w:val="00561727"/>
    <w:rsid w:val="005617CD"/>
    <w:rsid w:val="005649ED"/>
    <w:rsid w:val="005662DC"/>
    <w:rsid w:val="00567E17"/>
    <w:rsid w:val="005708E3"/>
    <w:rsid w:val="00572ECA"/>
    <w:rsid w:val="005749CA"/>
    <w:rsid w:val="0057501E"/>
    <w:rsid w:val="00575457"/>
    <w:rsid w:val="005756D7"/>
    <w:rsid w:val="00575F2C"/>
    <w:rsid w:val="00577525"/>
    <w:rsid w:val="00577598"/>
    <w:rsid w:val="005807D5"/>
    <w:rsid w:val="00581219"/>
    <w:rsid w:val="00581280"/>
    <w:rsid w:val="00581911"/>
    <w:rsid w:val="00582B85"/>
    <w:rsid w:val="00582F15"/>
    <w:rsid w:val="00585448"/>
    <w:rsid w:val="00585FA1"/>
    <w:rsid w:val="0059051F"/>
    <w:rsid w:val="005916FB"/>
    <w:rsid w:val="00591F3A"/>
    <w:rsid w:val="00593631"/>
    <w:rsid w:val="0059383E"/>
    <w:rsid w:val="00594AB0"/>
    <w:rsid w:val="00596726"/>
    <w:rsid w:val="005967D3"/>
    <w:rsid w:val="00596F14"/>
    <w:rsid w:val="005A19B8"/>
    <w:rsid w:val="005A2B62"/>
    <w:rsid w:val="005A318D"/>
    <w:rsid w:val="005A42FF"/>
    <w:rsid w:val="005A50FF"/>
    <w:rsid w:val="005A7307"/>
    <w:rsid w:val="005A7960"/>
    <w:rsid w:val="005B1E24"/>
    <w:rsid w:val="005B1FB5"/>
    <w:rsid w:val="005B3FD3"/>
    <w:rsid w:val="005B4EBE"/>
    <w:rsid w:val="005B5F0B"/>
    <w:rsid w:val="005C1698"/>
    <w:rsid w:val="005C1B07"/>
    <w:rsid w:val="005C1F51"/>
    <w:rsid w:val="005C2E0C"/>
    <w:rsid w:val="005C4B0C"/>
    <w:rsid w:val="005C75F8"/>
    <w:rsid w:val="005C7E65"/>
    <w:rsid w:val="005D00A4"/>
    <w:rsid w:val="005D0B18"/>
    <w:rsid w:val="005D2351"/>
    <w:rsid w:val="005D39AD"/>
    <w:rsid w:val="005D4A72"/>
    <w:rsid w:val="005D52B7"/>
    <w:rsid w:val="005D5FD1"/>
    <w:rsid w:val="005D660E"/>
    <w:rsid w:val="005D661D"/>
    <w:rsid w:val="005E1832"/>
    <w:rsid w:val="005E1BF1"/>
    <w:rsid w:val="005E378E"/>
    <w:rsid w:val="005E5BDC"/>
    <w:rsid w:val="005E61B9"/>
    <w:rsid w:val="005E6809"/>
    <w:rsid w:val="005E7897"/>
    <w:rsid w:val="005F3078"/>
    <w:rsid w:val="005F38FF"/>
    <w:rsid w:val="005F5379"/>
    <w:rsid w:val="005F58D0"/>
    <w:rsid w:val="005F7437"/>
    <w:rsid w:val="005F7454"/>
    <w:rsid w:val="00600259"/>
    <w:rsid w:val="0060032F"/>
    <w:rsid w:val="00600D1D"/>
    <w:rsid w:val="00601DE6"/>
    <w:rsid w:val="00602C07"/>
    <w:rsid w:val="00602FFA"/>
    <w:rsid w:val="0060332F"/>
    <w:rsid w:val="00603ED8"/>
    <w:rsid w:val="006048C9"/>
    <w:rsid w:val="0060554F"/>
    <w:rsid w:val="006064A2"/>
    <w:rsid w:val="006065EB"/>
    <w:rsid w:val="006076A1"/>
    <w:rsid w:val="00607A10"/>
    <w:rsid w:val="0061132F"/>
    <w:rsid w:val="006115FA"/>
    <w:rsid w:val="00612895"/>
    <w:rsid w:val="00612A68"/>
    <w:rsid w:val="00613565"/>
    <w:rsid w:val="00613B09"/>
    <w:rsid w:val="00614041"/>
    <w:rsid w:val="006140CE"/>
    <w:rsid w:val="00614FCC"/>
    <w:rsid w:val="00615169"/>
    <w:rsid w:val="00615419"/>
    <w:rsid w:val="00617034"/>
    <w:rsid w:val="00621425"/>
    <w:rsid w:val="006226DE"/>
    <w:rsid w:val="00624F93"/>
    <w:rsid w:val="00625F27"/>
    <w:rsid w:val="006274AE"/>
    <w:rsid w:val="00627B15"/>
    <w:rsid w:val="00630BAF"/>
    <w:rsid w:val="0063351B"/>
    <w:rsid w:val="00634E32"/>
    <w:rsid w:val="006356CF"/>
    <w:rsid w:val="006359A2"/>
    <w:rsid w:val="00636C93"/>
    <w:rsid w:val="006407AF"/>
    <w:rsid w:val="00641835"/>
    <w:rsid w:val="006424B9"/>
    <w:rsid w:val="006424F5"/>
    <w:rsid w:val="00642861"/>
    <w:rsid w:val="0064418B"/>
    <w:rsid w:val="0064434C"/>
    <w:rsid w:val="0064551E"/>
    <w:rsid w:val="00645E8B"/>
    <w:rsid w:val="00646B3D"/>
    <w:rsid w:val="006475F2"/>
    <w:rsid w:val="00650D87"/>
    <w:rsid w:val="00650FEC"/>
    <w:rsid w:val="00651432"/>
    <w:rsid w:val="00651CD1"/>
    <w:rsid w:val="00651EF2"/>
    <w:rsid w:val="006526F8"/>
    <w:rsid w:val="00654D29"/>
    <w:rsid w:val="006555A3"/>
    <w:rsid w:val="00661D3C"/>
    <w:rsid w:val="00661E9E"/>
    <w:rsid w:val="00662E9A"/>
    <w:rsid w:val="00665011"/>
    <w:rsid w:val="006653BC"/>
    <w:rsid w:val="00666B99"/>
    <w:rsid w:val="00667094"/>
    <w:rsid w:val="006672C7"/>
    <w:rsid w:val="006720B5"/>
    <w:rsid w:val="006723E4"/>
    <w:rsid w:val="00673898"/>
    <w:rsid w:val="00675EB2"/>
    <w:rsid w:val="0067691E"/>
    <w:rsid w:val="006773E1"/>
    <w:rsid w:val="00677812"/>
    <w:rsid w:val="00677832"/>
    <w:rsid w:val="00677FB5"/>
    <w:rsid w:val="00681B63"/>
    <w:rsid w:val="00683AA5"/>
    <w:rsid w:val="00684236"/>
    <w:rsid w:val="0068642A"/>
    <w:rsid w:val="0068665F"/>
    <w:rsid w:val="006902BD"/>
    <w:rsid w:val="0069239B"/>
    <w:rsid w:val="00692DAC"/>
    <w:rsid w:val="00693EA5"/>
    <w:rsid w:val="00694BB6"/>
    <w:rsid w:val="00695BE6"/>
    <w:rsid w:val="00695FCF"/>
    <w:rsid w:val="0069695B"/>
    <w:rsid w:val="00696E4B"/>
    <w:rsid w:val="00697417"/>
    <w:rsid w:val="006A08A9"/>
    <w:rsid w:val="006A1CCF"/>
    <w:rsid w:val="006A1E9B"/>
    <w:rsid w:val="006A5F38"/>
    <w:rsid w:val="006A6972"/>
    <w:rsid w:val="006B02BD"/>
    <w:rsid w:val="006B12A8"/>
    <w:rsid w:val="006B1E24"/>
    <w:rsid w:val="006B4609"/>
    <w:rsid w:val="006B4E04"/>
    <w:rsid w:val="006B73E0"/>
    <w:rsid w:val="006C07F8"/>
    <w:rsid w:val="006C122B"/>
    <w:rsid w:val="006C2FF7"/>
    <w:rsid w:val="006C3E9F"/>
    <w:rsid w:val="006C5433"/>
    <w:rsid w:val="006C6E25"/>
    <w:rsid w:val="006C72AE"/>
    <w:rsid w:val="006D06E5"/>
    <w:rsid w:val="006D1CD9"/>
    <w:rsid w:val="006D205C"/>
    <w:rsid w:val="006D2896"/>
    <w:rsid w:val="006D3FF5"/>
    <w:rsid w:val="006D4F85"/>
    <w:rsid w:val="006D6605"/>
    <w:rsid w:val="006D69DB"/>
    <w:rsid w:val="006E0DB2"/>
    <w:rsid w:val="006E15A2"/>
    <w:rsid w:val="006E3150"/>
    <w:rsid w:val="006E3B23"/>
    <w:rsid w:val="006E41D2"/>
    <w:rsid w:val="006E7DB0"/>
    <w:rsid w:val="006F1F64"/>
    <w:rsid w:val="006F2A86"/>
    <w:rsid w:val="006F2E36"/>
    <w:rsid w:val="006F3BAB"/>
    <w:rsid w:val="006F4681"/>
    <w:rsid w:val="00700D00"/>
    <w:rsid w:val="00704328"/>
    <w:rsid w:val="00706187"/>
    <w:rsid w:val="00706261"/>
    <w:rsid w:val="007064EA"/>
    <w:rsid w:val="007071FF"/>
    <w:rsid w:val="00707713"/>
    <w:rsid w:val="00707C10"/>
    <w:rsid w:val="007106F1"/>
    <w:rsid w:val="00710DA3"/>
    <w:rsid w:val="007121E0"/>
    <w:rsid w:val="0071480A"/>
    <w:rsid w:val="00715453"/>
    <w:rsid w:val="007157DF"/>
    <w:rsid w:val="00717383"/>
    <w:rsid w:val="007203CF"/>
    <w:rsid w:val="007204EF"/>
    <w:rsid w:val="00720DB4"/>
    <w:rsid w:val="00720EB7"/>
    <w:rsid w:val="00721704"/>
    <w:rsid w:val="007219FC"/>
    <w:rsid w:val="0072287A"/>
    <w:rsid w:val="00723D5B"/>
    <w:rsid w:val="00725C55"/>
    <w:rsid w:val="00725F79"/>
    <w:rsid w:val="007270B4"/>
    <w:rsid w:val="007277AF"/>
    <w:rsid w:val="007278A0"/>
    <w:rsid w:val="00730B7A"/>
    <w:rsid w:val="0073177B"/>
    <w:rsid w:val="00735A9C"/>
    <w:rsid w:val="00742603"/>
    <w:rsid w:val="0074333D"/>
    <w:rsid w:val="00743650"/>
    <w:rsid w:val="00744659"/>
    <w:rsid w:val="00747FFE"/>
    <w:rsid w:val="00752FA7"/>
    <w:rsid w:val="0075391F"/>
    <w:rsid w:val="00753CC2"/>
    <w:rsid w:val="00755DD0"/>
    <w:rsid w:val="00761F58"/>
    <w:rsid w:val="00762922"/>
    <w:rsid w:val="00763001"/>
    <w:rsid w:val="00763D8D"/>
    <w:rsid w:val="0076493E"/>
    <w:rsid w:val="0076586E"/>
    <w:rsid w:val="00765F72"/>
    <w:rsid w:val="007671D8"/>
    <w:rsid w:val="007703C7"/>
    <w:rsid w:val="0077047C"/>
    <w:rsid w:val="00771C74"/>
    <w:rsid w:val="007737CE"/>
    <w:rsid w:val="00774A09"/>
    <w:rsid w:val="007769F8"/>
    <w:rsid w:val="00776B1E"/>
    <w:rsid w:val="0078079D"/>
    <w:rsid w:val="00782C77"/>
    <w:rsid w:val="007831E2"/>
    <w:rsid w:val="007837A8"/>
    <w:rsid w:val="00784013"/>
    <w:rsid w:val="0078463D"/>
    <w:rsid w:val="007856D0"/>
    <w:rsid w:val="00786649"/>
    <w:rsid w:val="007932C7"/>
    <w:rsid w:val="00793455"/>
    <w:rsid w:val="0079395E"/>
    <w:rsid w:val="00793B12"/>
    <w:rsid w:val="00796A8B"/>
    <w:rsid w:val="007A08EB"/>
    <w:rsid w:val="007A21D8"/>
    <w:rsid w:val="007A23B3"/>
    <w:rsid w:val="007A4FFC"/>
    <w:rsid w:val="007A58C4"/>
    <w:rsid w:val="007A62DA"/>
    <w:rsid w:val="007A6BCF"/>
    <w:rsid w:val="007A6FFE"/>
    <w:rsid w:val="007A76D6"/>
    <w:rsid w:val="007B11DD"/>
    <w:rsid w:val="007B18F3"/>
    <w:rsid w:val="007B1EF3"/>
    <w:rsid w:val="007B30DF"/>
    <w:rsid w:val="007B3177"/>
    <w:rsid w:val="007B385E"/>
    <w:rsid w:val="007B4E74"/>
    <w:rsid w:val="007B730F"/>
    <w:rsid w:val="007B7723"/>
    <w:rsid w:val="007C0BE1"/>
    <w:rsid w:val="007C3604"/>
    <w:rsid w:val="007C3C9E"/>
    <w:rsid w:val="007D0C52"/>
    <w:rsid w:val="007D2411"/>
    <w:rsid w:val="007D36E7"/>
    <w:rsid w:val="007D3B60"/>
    <w:rsid w:val="007D4049"/>
    <w:rsid w:val="007D4FE0"/>
    <w:rsid w:val="007D6348"/>
    <w:rsid w:val="007D662F"/>
    <w:rsid w:val="007D6825"/>
    <w:rsid w:val="007E3EB3"/>
    <w:rsid w:val="007E4EDD"/>
    <w:rsid w:val="007E6CDD"/>
    <w:rsid w:val="007F1AD8"/>
    <w:rsid w:val="007F2608"/>
    <w:rsid w:val="00802966"/>
    <w:rsid w:val="00803FC9"/>
    <w:rsid w:val="00803FF5"/>
    <w:rsid w:val="0080594E"/>
    <w:rsid w:val="008061B8"/>
    <w:rsid w:val="0080746C"/>
    <w:rsid w:val="00807A1A"/>
    <w:rsid w:val="00810E87"/>
    <w:rsid w:val="008115E7"/>
    <w:rsid w:val="008119DC"/>
    <w:rsid w:val="00812187"/>
    <w:rsid w:val="00813C5B"/>
    <w:rsid w:val="00815A52"/>
    <w:rsid w:val="00817930"/>
    <w:rsid w:val="0082025D"/>
    <w:rsid w:val="008221C7"/>
    <w:rsid w:val="008235E1"/>
    <w:rsid w:val="00823A68"/>
    <w:rsid w:val="00830C28"/>
    <w:rsid w:val="0083374A"/>
    <w:rsid w:val="008347F7"/>
    <w:rsid w:val="00835A6F"/>
    <w:rsid w:val="00837566"/>
    <w:rsid w:val="0084011A"/>
    <w:rsid w:val="0084484F"/>
    <w:rsid w:val="0084593A"/>
    <w:rsid w:val="00847198"/>
    <w:rsid w:val="00847383"/>
    <w:rsid w:val="008526D1"/>
    <w:rsid w:val="0085361F"/>
    <w:rsid w:val="008539C5"/>
    <w:rsid w:val="00854082"/>
    <w:rsid w:val="008540D1"/>
    <w:rsid w:val="008541F8"/>
    <w:rsid w:val="0085624E"/>
    <w:rsid w:val="0085640F"/>
    <w:rsid w:val="00856C6C"/>
    <w:rsid w:val="00860553"/>
    <w:rsid w:val="0086167B"/>
    <w:rsid w:val="00861685"/>
    <w:rsid w:val="008619EC"/>
    <w:rsid w:val="00861D35"/>
    <w:rsid w:val="008639E6"/>
    <w:rsid w:val="0086452B"/>
    <w:rsid w:val="00866639"/>
    <w:rsid w:val="008739E5"/>
    <w:rsid w:val="00874409"/>
    <w:rsid w:val="00875163"/>
    <w:rsid w:val="008765AB"/>
    <w:rsid w:val="00876DE6"/>
    <w:rsid w:val="00880000"/>
    <w:rsid w:val="00881824"/>
    <w:rsid w:val="00883568"/>
    <w:rsid w:val="008835C5"/>
    <w:rsid w:val="008852D8"/>
    <w:rsid w:val="0088548C"/>
    <w:rsid w:val="00885C6E"/>
    <w:rsid w:val="00886A54"/>
    <w:rsid w:val="00887E2D"/>
    <w:rsid w:val="00890500"/>
    <w:rsid w:val="0089163A"/>
    <w:rsid w:val="008936F3"/>
    <w:rsid w:val="0089561B"/>
    <w:rsid w:val="00896035"/>
    <w:rsid w:val="008A0D5C"/>
    <w:rsid w:val="008A16D7"/>
    <w:rsid w:val="008A2886"/>
    <w:rsid w:val="008A31B4"/>
    <w:rsid w:val="008A6D8D"/>
    <w:rsid w:val="008A7A58"/>
    <w:rsid w:val="008B12F7"/>
    <w:rsid w:val="008B1DB6"/>
    <w:rsid w:val="008B2D57"/>
    <w:rsid w:val="008B39FA"/>
    <w:rsid w:val="008B41E0"/>
    <w:rsid w:val="008B5A55"/>
    <w:rsid w:val="008B604A"/>
    <w:rsid w:val="008B6906"/>
    <w:rsid w:val="008C031E"/>
    <w:rsid w:val="008C1833"/>
    <w:rsid w:val="008C47DA"/>
    <w:rsid w:val="008C5150"/>
    <w:rsid w:val="008C5299"/>
    <w:rsid w:val="008C6D16"/>
    <w:rsid w:val="008D0A3E"/>
    <w:rsid w:val="008D11FE"/>
    <w:rsid w:val="008D188B"/>
    <w:rsid w:val="008D1942"/>
    <w:rsid w:val="008D2401"/>
    <w:rsid w:val="008D411D"/>
    <w:rsid w:val="008D441A"/>
    <w:rsid w:val="008D7889"/>
    <w:rsid w:val="008E0283"/>
    <w:rsid w:val="008E0C8D"/>
    <w:rsid w:val="008E0D4E"/>
    <w:rsid w:val="008E1F7D"/>
    <w:rsid w:val="008E2B12"/>
    <w:rsid w:val="008E3D4C"/>
    <w:rsid w:val="008E4C8B"/>
    <w:rsid w:val="008E5243"/>
    <w:rsid w:val="008E661C"/>
    <w:rsid w:val="008E766B"/>
    <w:rsid w:val="008F01F5"/>
    <w:rsid w:val="008F22A0"/>
    <w:rsid w:val="008F2D8F"/>
    <w:rsid w:val="008F36F5"/>
    <w:rsid w:val="008F3941"/>
    <w:rsid w:val="008F7063"/>
    <w:rsid w:val="008F7477"/>
    <w:rsid w:val="00900186"/>
    <w:rsid w:val="00900B17"/>
    <w:rsid w:val="00901455"/>
    <w:rsid w:val="009014AE"/>
    <w:rsid w:val="0090320E"/>
    <w:rsid w:val="00904460"/>
    <w:rsid w:val="00905D07"/>
    <w:rsid w:val="00905E17"/>
    <w:rsid w:val="0091109E"/>
    <w:rsid w:val="009113AF"/>
    <w:rsid w:val="00912E29"/>
    <w:rsid w:val="009133B6"/>
    <w:rsid w:val="009145BB"/>
    <w:rsid w:val="00915FB0"/>
    <w:rsid w:val="00916790"/>
    <w:rsid w:val="0092003D"/>
    <w:rsid w:val="00920AD3"/>
    <w:rsid w:val="009229AA"/>
    <w:rsid w:val="0092302B"/>
    <w:rsid w:val="009252E9"/>
    <w:rsid w:val="00925ADB"/>
    <w:rsid w:val="00926417"/>
    <w:rsid w:val="009278C5"/>
    <w:rsid w:val="00927D41"/>
    <w:rsid w:val="009301F0"/>
    <w:rsid w:val="00933124"/>
    <w:rsid w:val="00933573"/>
    <w:rsid w:val="0093448B"/>
    <w:rsid w:val="00934A30"/>
    <w:rsid w:val="00940C14"/>
    <w:rsid w:val="0094473D"/>
    <w:rsid w:val="00944C84"/>
    <w:rsid w:val="009465A0"/>
    <w:rsid w:val="009514FF"/>
    <w:rsid w:val="00951D01"/>
    <w:rsid w:val="0095437F"/>
    <w:rsid w:val="0095448E"/>
    <w:rsid w:val="00954E97"/>
    <w:rsid w:val="009603A3"/>
    <w:rsid w:val="00960959"/>
    <w:rsid w:val="00960DF4"/>
    <w:rsid w:val="00960E09"/>
    <w:rsid w:val="0096107A"/>
    <w:rsid w:val="00961382"/>
    <w:rsid w:val="009614C1"/>
    <w:rsid w:val="00964125"/>
    <w:rsid w:val="00964A1F"/>
    <w:rsid w:val="009650AD"/>
    <w:rsid w:val="00966FC3"/>
    <w:rsid w:val="00970299"/>
    <w:rsid w:val="0097151D"/>
    <w:rsid w:val="00973426"/>
    <w:rsid w:val="0097456C"/>
    <w:rsid w:val="00975ADF"/>
    <w:rsid w:val="009761C8"/>
    <w:rsid w:val="009761F3"/>
    <w:rsid w:val="009764D2"/>
    <w:rsid w:val="0098004B"/>
    <w:rsid w:val="009804BE"/>
    <w:rsid w:val="009837A7"/>
    <w:rsid w:val="00986EFD"/>
    <w:rsid w:val="009873D6"/>
    <w:rsid w:val="00987769"/>
    <w:rsid w:val="00990908"/>
    <w:rsid w:val="00991409"/>
    <w:rsid w:val="00992B8A"/>
    <w:rsid w:val="00992FCF"/>
    <w:rsid w:val="009952C7"/>
    <w:rsid w:val="00996B30"/>
    <w:rsid w:val="00996E42"/>
    <w:rsid w:val="009971E3"/>
    <w:rsid w:val="009A1A53"/>
    <w:rsid w:val="009A378D"/>
    <w:rsid w:val="009A3D57"/>
    <w:rsid w:val="009A5BD8"/>
    <w:rsid w:val="009A7756"/>
    <w:rsid w:val="009B20FA"/>
    <w:rsid w:val="009B25C3"/>
    <w:rsid w:val="009B3481"/>
    <w:rsid w:val="009B34F9"/>
    <w:rsid w:val="009B53E6"/>
    <w:rsid w:val="009B6161"/>
    <w:rsid w:val="009B6965"/>
    <w:rsid w:val="009B7494"/>
    <w:rsid w:val="009B7B9D"/>
    <w:rsid w:val="009C331F"/>
    <w:rsid w:val="009C45D7"/>
    <w:rsid w:val="009C7146"/>
    <w:rsid w:val="009C7990"/>
    <w:rsid w:val="009D0E1A"/>
    <w:rsid w:val="009D4147"/>
    <w:rsid w:val="009D5155"/>
    <w:rsid w:val="009D6B92"/>
    <w:rsid w:val="009D6DB5"/>
    <w:rsid w:val="009D6FC4"/>
    <w:rsid w:val="009E153F"/>
    <w:rsid w:val="009E23F1"/>
    <w:rsid w:val="009E2B87"/>
    <w:rsid w:val="009E5D37"/>
    <w:rsid w:val="009F562F"/>
    <w:rsid w:val="009F5B11"/>
    <w:rsid w:val="009F64CF"/>
    <w:rsid w:val="009F654D"/>
    <w:rsid w:val="00A005D0"/>
    <w:rsid w:val="00A01CE0"/>
    <w:rsid w:val="00A0237A"/>
    <w:rsid w:val="00A03F16"/>
    <w:rsid w:val="00A03F69"/>
    <w:rsid w:val="00A049C3"/>
    <w:rsid w:val="00A05F7B"/>
    <w:rsid w:val="00A069A2"/>
    <w:rsid w:val="00A070EC"/>
    <w:rsid w:val="00A07395"/>
    <w:rsid w:val="00A07A29"/>
    <w:rsid w:val="00A07C5F"/>
    <w:rsid w:val="00A1073E"/>
    <w:rsid w:val="00A123C9"/>
    <w:rsid w:val="00A1380E"/>
    <w:rsid w:val="00A14169"/>
    <w:rsid w:val="00A164C2"/>
    <w:rsid w:val="00A166DE"/>
    <w:rsid w:val="00A16D56"/>
    <w:rsid w:val="00A216C1"/>
    <w:rsid w:val="00A21EA2"/>
    <w:rsid w:val="00A22A49"/>
    <w:rsid w:val="00A2490B"/>
    <w:rsid w:val="00A25B0A"/>
    <w:rsid w:val="00A26B75"/>
    <w:rsid w:val="00A3111A"/>
    <w:rsid w:val="00A31E65"/>
    <w:rsid w:val="00A320E7"/>
    <w:rsid w:val="00A32B2F"/>
    <w:rsid w:val="00A33762"/>
    <w:rsid w:val="00A33C08"/>
    <w:rsid w:val="00A344F4"/>
    <w:rsid w:val="00A36140"/>
    <w:rsid w:val="00A40DA7"/>
    <w:rsid w:val="00A41F64"/>
    <w:rsid w:val="00A420D1"/>
    <w:rsid w:val="00A42C5D"/>
    <w:rsid w:val="00A42F7E"/>
    <w:rsid w:val="00A44335"/>
    <w:rsid w:val="00A454B5"/>
    <w:rsid w:val="00A46AAD"/>
    <w:rsid w:val="00A47BD3"/>
    <w:rsid w:val="00A47F72"/>
    <w:rsid w:val="00A5008C"/>
    <w:rsid w:val="00A503C7"/>
    <w:rsid w:val="00A505CD"/>
    <w:rsid w:val="00A51923"/>
    <w:rsid w:val="00A56745"/>
    <w:rsid w:val="00A5766E"/>
    <w:rsid w:val="00A615E7"/>
    <w:rsid w:val="00A61E6B"/>
    <w:rsid w:val="00A6687F"/>
    <w:rsid w:val="00A67A60"/>
    <w:rsid w:val="00A71C39"/>
    <w:rsid w:val="00A735DE"/>
    <w:rsid w:val="00A757EF"/>
    <w:rsid w:val="00A75DE9"/>
    <w:rsid w:val="00A80B5F"/>
    <w:rsid w:val="00A81387"/>
    <w:rsid w:val="00A81CCD"/>
    <w:rsid w:val="00A8281B"/>
    <w:rsid w:val="00A82DBB"/>
    <w:rsid w:val="00A83740"/>
    <w:rsid w:val="00A8415D"/>
    <w:rsid w:val="00A85F5E"/>
    <w:rsid w:val="00A86B9D"/>
    <w:rsid w:val="00A918DA"/>
    <w:rsid w:val="00A92C5C"/>
    <w:rsid w:val="00A94E99"/>
    <w:rsid w:val="00A96E1F"/>
    <w:rsid w:val="00AA1D9D"/>
    <w:rsid w:val="00AA1E60"/>
    <w:rsid w:val="00AA3745"/>
    <w:rsid w:val="00AA4463"/>
    <w:rsid w:val="00AA51A2"/>
    <w:rsid w:val="00AA533C"/>
    <w:rsid w:val="00AA6BA5"/>
    <w:rsid w:val="00AB1359"/>
    <w:rsid w:val="00AB24E1"/>
    <w:rsid w:val="00AB2BA1"/>
    <w:rsid w:val="00AB2C18"/>
    <w:rsid w:val="00AB3576"/>
    <w:rsid w:val="00AB428C"/>
    <w:rsid w:val="00AB5F4D"/>
    <w:rsid w:val="00AB6A78"/>
    <w:rsid w:val="00AB6D42"/>
    <w:rsid w:val="00AC07ED"/>
    <w:rsid w:val="00AC0DEE"/>
    <w:rsid w:val="00AC266B"/>
    <w:rsid w:val="00AC3448"/>
    <w:rsid w:val="00AC4980"/>
    <w:rsid w:val="00AC4D0B"/>
    <w:rsid w:val="00AC4EAA"/>
    <w:rsid w:val="00AD2DBD"/>
    <w:rsid w:val="00AD4999"/>
    <w:rsid w:val="00AD4C56"/>
    <w:rsid w:val="00AD5890"/>
    <w:rsid w:val="00AD58E6"/>
    <w:rsid w:val="00AD73AA"/>
    <w:rsid w:val="00AE35E4"/>
    <w:rsid w:val="00AE3C06"/>
    <w:rsid w:val="00AE46AE"/>
    <w:rsid w:val="00AE4B4E"/>
    <w:rsid w:val="00AE59B7"/>
    <w:rsid w:val="00AE600F"/>
    <w:rsid w:val="00AE69C7"/>
    <w:rsid w:val="00AE6A94"/>
    <w:rsid w:val="00AF1099"/>
    <w:rsid w:val="00AF290B"/>
    <w:rsid w:val="00AF439D"/>
    <w:rsid w:val="00AF4EB5"/>
    <w:rsid w:val="00AF6B23"/>
    <w:rsid w:val="00AF719F"/>
    <w:rsid w:val="00B00800"/>
    <w:rsid w:val="00B00BD0"/>
    <w:rsid w:val="00B013D4"/>
    <w:rsid w:val="00B01723"/>
    <w:rsid w:val="00B02749"/>
    <w:rsid w:val="00B06203"/>
    <w:rsid w:val="00B06803"/>
    <w:rsid w:val="00B07202"/>
    <w:rsid w:val="00B07638"/>
    <w:rsid w:val="00B07C45"/>
    <w:rsid w:val="00B07D59"/>
    <w:rsid w:val="00B10012"/>
    <w:rsid w:val="00B11D05"/>
    <w:rsid w:val="00B12F53"/>
    <w:rsid w:val="00B141A0"/>
    <w:rsid w:val="00B1494C"/>
    <w:rsid w:val="00B15416"/>
    <w:rsid w:val="00B15BA8"/>
    <w:rsid w:val="00B16356"/>
    <w:rsid w:val="00B17169"/>
    <w:rsid w:val="00B177BD"/>
    <w:rsid w:val="00B21912"/>
    <w:rsid w:val="00B21AAF"/>
    <w:rsid w:val="00B22A85"/>
    <w:rsid w:val="00B23A6B"/>
    <w:rsid w:val="00B24BF6"/>
    <w:rsid w:val="00B26121"/>
    <w:rsid w:val="00B26BC7"/>
    <w:rsid w:val="00B26C5D"/>
    <w:rsid w:val="00B278CD"/>
    <w:rsid w:val="00B27BF0"/>
    <w:rsid w:val="00B321EF"/>
    <w:rsid w:val="00B34F66"/>
    <w:rsid w:val="00B3590A"/>
    <w:rsid w:val="00B37F61"/>
    <w:rsid w:val="00B40C9F"/>
    <w:rsid w:val="00B4347A"/>
    <w:rsid w:val="00B43805"/>
    <w:rsid w:val="00B476B9"/>
    <w:rsid w:val="00B5052D"/>
    <w:rsid w:val="00B51D34"/>
    <w:rsid w:val="00B5260E"/>
    <w:rsid w:val="00B532D2"/>
    <w:rsid w:val="00B54863"/>
    <w:rsid w:val="00B54C70"/>
    <w:rsid w:val="00B570BC"/>
    <w:rsid w:val="00B57CB8"/>
    <w:rsid w:val="00B64A26"/>
    <w:rsid w:val="00B66E05"/>
    <w:rsid w:val="00B67C60"/>
    <w:rsid w:val="00B70060"/>
    <w:rsid w:val="00B7246F"/>
    <w:rsid w:val="00B75421"/>
    <w:rsid w:val="00B7605E"/>
    <w:rsid w:val="00B77A3E"/>
    <w:rsid w:val="00B81627"/>
    <w:rsid w:val="00B8243E"/>
    <w:rsid w:val="00B83E30"/>
    <w:rsid w:val="00B8425D"/>
    <w:rsid w:val="00B84266"/>
    <w:rsid w:val="00B84AE9"/>
    <w:rsid w:val="00B867D1"/>
    <w:rsid w:val="00B86E91"/>
    <w:rsid w:val="00B874E3"/>
    <w:rsid w:val="00B874EB"/>
    <w:rsid w:val="00B87918"/>
    <w:rsid w:val="00B87C99"/>
    <w:rsid w:val="00B90BF4"/>
    <w:rsid w:val="00B90C74"/>
    <w:rsid w:val="00B91E1C"/>
    <w:rsid w:val="00B92B8F"/>
    <w:rsid w:val="00B93091"/>
    <w:rsid w:val="00B93AF2"/>
    <w:rsid w:val="00B941C6"/>
    <w:rsid w:val="00B94D01"/>
    <w:rsid w:val="00B9526D"/>
    <w:rsid w:val="00B97D99"/>
    <w:rsid w:val="00BA1323"/>
    <w:rsid w:val="00BA1E3F"/>
    <w:rsid w:val="00BA1EB2"/>
    <w:rsid w:val="00BA2BEB"/>
    <w:rsid w:val="00BA35B6"/>
    <w:rsid w:val="00BA3922"/>
    <w:rsid w:val="00BA3DFB"/>
    <w:rsid w:val="00BA4210"/>
    <w:rsid w:val="00BA4F39"/>
    <w:rsid w:val="00BA629C"/>
    <w:rsid w:val="00BA7DC1"/>
    <w:rsid w:val="00BB1869"/>
    <w:rsid w:val="00BB4B0D"/>
    <w:rsid w:val="00BB6119"/>
    <w:rsid w:val="00BB6246"/>
    <w:rsid w:val="00BB646F"/>
    <w:rsid w:val="00BB6F71"/>
    <w:rsid w:val="00BB7DD0"/>
    <w:rsid w:val="00BB7E28"/>
    <w:rsid w:val="00BC32F2"/>
    <w:rsid w:val="00BC65FE"/>
    <w:rsid w:val="00BC76EF"/>
    <w:rsid w:val="00BC7C6F"/>
    <w:rsid w:val="00BD287E"/>
    <w:rsid w:val="00BD32B6"/>
    <w:rsid w:val="00BD6412"/>
    <w:rsid w:val="00BD708A"/>
    <w:rsid w:val="00BD7921"/>
    <w:rsid w:val="00BE1AFD"/>
    <w:rsid w:val="00BE40F4"/>
    <w:rsid w:val="00BE4CF9"/>
    <w:rsid w:val="00BE78A0"/>
    <w:rsid w:val="00BF103F"/>
    <w:rsid w:val="00BF23B3"/>
    <w:rsid w:val="00C01223"/>
    <w:rsid w:val="00C01ACE"/>
    <w:rsid w:val="00C021F0"/>
    <w:rsid w:val="00C059C9"/>
    <w:rsid w:val="00C06BD1"/>
    <w:rsid w:val="00C06C4A"/>
    <w:rsid w:val="00C1025A"/>
    <w:rsid w:val="00C107A5"/>
    <w:rsid w:val="00C10DC7"/>
    <w:rsid w:val="00C126DE"/>
    <w:rsid w:val="00C12C3C"/>
    <w:rsid w:val="00C12D3F"/>
    <w:rsid w:val="00C13334"/>
    <w:rsid w:val="00C1540A"/>
    <w:rsid w:val="00C16009"/>
    <w:rsid w:val="00C16436"/>
    <w:rsid w:val="00C1714D"/>
    <w:rsid w:val="00C175CF"/>
    <w:rsid w:val="00C20EC8"/>
    <w:rsid w:val="00C219C8"/>
    <w:rsid w:val="00C225E7"/>
    <w:rsid w:val="00C22CA9"/>
    <w:rsid w:val="00C233D3"/>
    <w:rsid w:val="00C243E2"/>
    <w:rsid w:val="00C26679"/>
    <w:rsid w:val="00C274F9"/>
    <w:rsid w:val="00C305EA"/>
    <w:rsid w:val="00C30827"/>
    <w:rsid w:val="00C30C54"/>
    <w:rsid w:val="00C31475"/>
    <w:rsid w:val="00C31F7E"/>
    <w:rsid w:val="00C33555"/>
    <w:rsid w:val="00C34886"/>
    <w:rsid w:val="00C3663F"/>
    <w:rsid w:val="00C373FD"/>
    <w:rsid w:val="00C375E5"/>
    <w:rsid w:val="00C4078E"/>
    <w:rsid w:val="00C42EEC"/>
    <w:rsid w:val="00C43C08"/>
    <w:rsid w:val="00C465F1"/>
    <w:rsid w:val="00C46631"/>
    <w:rsid w:val="00C46B3A"/>
    <w:rsid w:val="00C533BC"/>
    <w:rsid w:val="00C53436"/>
    <w:rsid w:val="00C53A85"/>
    <w:rsid w:val="00C545E5"/>
    <w:rsid w:val="00C5483C"/>
    <w:rsid w:val="00C568DA"/>
    <w:rsid w:val="00C57B08"/>
    <w:rsid w:val="00C609DD"/>
    <w:rsid w:val="00C609F0"/>
    <w:rsid w:val="00C63147"/>
    <w:rsid w:val="00C64107"/>
    <w:rsid w:val="00C64AD2"/>
    <w:rsid w:val="00C66A56"/>
    <w:rsid w:val="00C67DC2"/>
    <w:rsid w:val="00C71C68"/>
    <w:rsid w:val="00C729F8"/>
    <w:rsid w:val="00C72A2E"/>
    <w:rsid w:val="00C7417E"/>
    <w:rsid w:val="00C743DB"/>
    <w:rsid w:val="00C74515"/>
    <w:rsid w:val="00C747CB"/>
    <w:rsid w:val="00C74AA3"/>
    <w:rsid w:val="00C75272"/>
    <w:rsid w:val="00C76406"/>
    <w:rsid w:val="00C7708C"/>
    <w:rsid w:val="00C77A5D"/>
    <w:rsid w:val="00C8070E"/>
    <w:rsid w:val="00C81BA6"/>
    <w:rsid w:val="00C82F91"/>
    <w:rsid w:val="00C833C3"/>
    <w:rsid w:val="00C856A7"/>
    <w:rsid w:val="00C914EE"/>
    <w:rsid w:val="00C9239A"/>
    <w:rsid w:val="00C93503"/>
    <w:rsid w:val="00C93823"/>
    <w:rsid w:val="00C939D9"/>
    <w:rsid w:val="00C95342"/>
    <w:rsid w:val="00C9561D"/>
    <w:rsid w:val="00CA07AD"/>
    <w:rsid w:val="00CA0D72"/>
    <w:rsid w:val="00CA10FC"/>
    <w:rsid w:val="00CA2FB2"/>
    <w:rsid w:val="00CA31E6"/>
    <w:rsid w:val="00CA35A9"/>
    <w:rsid w:val="00CA43B2"/>
    <w:rsid w:val="00CA47B2"/>
    <w:rsid w:val="00CA500D"/>
    <w:rsid w:val="00CA718C"/>
    <w:rsid w:val="00CA7A10"/>
    <w:rsid w:val="00CA7B8E"/>
    <w:rsid w:val="00CB0E2F"/>
    <w:rsid w:val="00CB164E"/>
    <w:rsid w:val="00CB3EA9"/>
    <w:rsid w:val="00CB458C"/>
    <w:rsid w:val="00CB54B0"/>
    <w:rsid w:val="00CC0410"/>
    <w:rsid w:val="00CC0858"/>
    <w:rsid w:val="00CC1020"/>
    <w:rsid w:val="00CC178A"/>
    <w:rsid w:val="00CC1B42"/>
    <w:rsid w:val="00CC1C27"/>
    <w:rsid w:val="00CC4AAC"/>
    <w:rsid w:val="00CC72EC"/>
    <w:rsid w:val="00CC73ED"/>
    <w:rsid w:val="00CD06E4"/>
    <w:rsid w:val="00CD09E7"/>
    <w:rsid w:val="00CD176D"/>
    <w:rsid w:val="00CD2022"/>
    <w:rsid w:val="00CD2D6C"/>
    <w:rsid w:val="00CD76E8"/>
    <w:rsid w:val="00CE2077"/>
    <w:rsid w:val="00CE2885"/>
    <w:rsid w:val="00CE430A"/>
    <w:rsid w:val="00CE5A17"/>
    <w:rsid w:val="00CE79F7"/>
    <w:rsid w:val="00CE7ABA"/>
    <w:rsid w:val="00CF192A"/>
    <w:rsid w:val="00CF390E"/>
    <w:rsid w:val="00CF4766"/>
    <w:rsid w:val="00D014EC"/>
    <w:rsid w:val="00D01692"/>
    <w:rsid w:val="00D02DAE"/>
    <w:rsid w:val="00D03DF4"/>
    <w:rsid w:val="00D0468F"/>
    <w:rsid w:val="00D04888"/>
    <w:rsid w:val="00D062C8"/>
    <w:rsid w:val="00D11742"/>
    <w:rsid w:val="00D133F8"/>
    <w:rsid w:val="00D13FB9"/>
    <w:rsid w:val="00D15351"/>
    <w:rsid w:val="00D16226"/>
    <w:rsid w:val="00D1648A"/>
    <w:rsid w:val="00D17A4D"/>
    <w:rsid w:val="00D17C2B"/>
    <w:rsid w:val="00D21373"/>
    <w:rsid w:val="00D21F20"/>
    <w:rsid w:val="00D2201A"/>
    <w:rsid w:val="00D229E8"/>
    <w:rsid w:val="00D242A8"/>
    <w:rsid w:val="00D242FA"/>
    <w:rsid w:val="00D2453D"/>
    <w:rsid w:val="00D24F55"/>
    <w:rsid w:val="00D251C2"/>
    <w:rsid w:val="00D26DAD"/>
    <w:rsid w:val="00D273DE"/>
    <w:rsid w:val="00D30BE4"/>
    <w:rsid w:val="00D36883"/>
    <w:rsid w:val="00D408B3"/>
    <w:rsid w:val="00D41BCD"/>
    <w:rsid w:val="00D42B17"/>
    <w:rsid w:val="00D45C18"/>
    <w:rsid w:val="00D45D2C"/>
    <w:rsid w:val="00D4652B"/>
    <w:rsid w:val="00D4704E"/>
    <w:rsid w:val="00D471DB"/>
    <w:rsid w:val="00D47828"/>
    <w:rsid w:val="00D53254"/>
    <w:rsid w:val="00D538DF"/>
    <w:rsid w:val="00D54218"/>
    <w:rsid w:val="00D54970"/>
    <w:rsid w:val="00D55627"/>
    <w:rsid w:val="00D5573D"/>
    <w:rsid w:val="00D563F4"/>
    <w:rsid w:val="00D56861"/>
    <w:rsid w:val="00D579F8"/>
    <w:rsid w:val="00D635F5"/>
    <w:rsid w:val="00D65B06"/>
    <w:rsid w:val="00D65C9E"/>
    <w:rsid w:val="00D66B03"/>
    <w:rsid w:val="00D66BC9"/>
    <w:rsid w:val="00D7077E"/>
    <w:rsid w:val="00D7141B"/>
    <w:rsid w:val="00D71BB9"/>
    <w:rsid w:val="00D722C6"/>
    <w:rsid w:val="00D72677"/>
    <w:rsid w:val="00D73646"/>
    <w:rsid w:val="00D76BBC"/>
    <w:rsid w:val="00D81382"/>
    <w:rsid w:val="00D8485D"/>
    <w:rsid w:val="00D8699A"/>
    <w:rsid w:val="00D8742D"/>
    <w:rsid w:val="00D87CA2"/>
    <w:rsid w:val="00D90772"/>
    <w:rsid w:val="00D915F2"/>
    <w:rsid w:val="00D920AA"/>
    <w:rsid w:val="00D9339A"/>
    <w:rsid w:val="00D95395"/>
    <w:rsid w:val="00D95401"/>
    <w:rsid w:val="00D95DFF"/>
    <w:rsid w:val="00D97DC9"/>
    <w:rsid w:val="00DA2007"/>
    <w:rsid w:val="00DA65A7"/>
    <w:rsid w:val="00DA7F81"/>
    <w:rsid w:val="00DB2181"/>
    <w:rsid w:val="00DB2228"/>
    <w:rsid w:val="00DB2531"/>
    <w:rsid w:val="00DB4AF4"/>
    <w:rsid w:val="00DB596E"/>
    <w:rsid w:val="00DB76FA"/>
    <w:rsid w:val="00DB7D2F"/>
    <w:rsid w:val="00DC1338"/>
    <w:rsid w:val="00DC33C4"/>
    <w:rsid w:val="00DC39AC"/>
    <w:rsid w:val="00DC4931"/>
    <w:rsid w:val="00DC4D59"/>
    <w:rsid w:val="00DC5C95"/>
    <w:rsid w:val="00DC6C5E"/>
    <w:rsid w:val="00DC6E54"/>
    <w:rsid w:val="00DC6FEC"/>
    <w:rsid w:val="00DC7CB6"/>
    <w:rsid w:val="00DD1433"/>
    <w:rsid w:val="00DD282A"/>
    <w:rsid w:val="00DD295D"/>
    <w:rsid w:val="00DD3577"/>
    <w:rsid w:val="00DD541D"/>
    <w:rsid w:val="00DD708A"/>
    <w:rsid w:val="00DD741C"/>
    <w:rsid w:val="00DE01F3"/>
    <w:rsid w:val="00DE0890"/>
    <w:rsid w:val="00DE2A30"/>
    <w:rsid w:val="00DE2ED8"/>
    <w:rsid w:val="00DE39DD"/>
    <w:rsid w:val="00DE5424"/>
    <w:rsid w:val="00DE61F5"/>
    <w:rsid w:val="00DF0A2E"/>
    <w:rsid w:val="00DF1AE2"/>
    <w:rsid w:val="00DF1CC2"/>
    <w:rsid w:val="00DF1F93"/>
    <w:rsid w:val="00DF4EAB"/>
    <w:rsid w:val="00DF6497"/>
    <w:rsid w:val="00DF6D16"/>
    <w:rsid w:val="00E00468"/>
    <w:rsid w:val="00E01589"/>
    <w:rsid w:val="00E0195A"/>
    <w:rsid w:val="00E06A57"/>
    <w:rsid w:val="00E07CCA"/>
    <w:rsid w:val="00E104AA"/>
    <w:rsid w:val="00E1216F"/>
    <w:rsid w:val="00E123FA"/>
    <w:rsid w:val="00E12AF0"/>
    <w:rsid w:val="00E12FED"/>
    <w:rsid w:val="00E13E37"/>
    <w:rsid w:val="00E14264"/>
    <w:rsid w:val="00E1695D"/>
    <w:rsid w:val="00E21229"/>
    <w:rsid w:val="00E220FD"/>
    <w:rsid w:val="00E2502D"/>
    <w:rsid w:val="00E25DF7"/>
    <w:rsid w:val="00E26D1B"/>
    <w:rsid w:val="00E271C9"/>
    <w:rsid w:val="00E313E6"/>
    <w:rsid w:val="00E33898"/>
    <w:rsid w:val="00E341C7"/>
    <w:rsid w:val="00E347D1"/>
    <w:rsid w:val="00E3551B"/>
    <w:rsid w:val="00E407BC"/>
    <w:rsid w:val="00E40988"/>
    <w:rsid w:val="00E451D3"/>
    <w:rsid w:val="00E45F46"/>
    <w:rsid w:val="00E46536"/>
    <w:rsid w:val="00E46B91"/>
    <w:rsid w:val="00E47001"/>
    <w:rsid w:val="00E51745"/>
    <w:rsid w:val="00E526C8"/>
    <w:rsid w:val="00E5501D"/>
    <w:rsid w:val="00E55FDB"/>
    <w:rsid w:val="00E56C35"/>
    <w:rsid w:val="00E56DFC"/>
    <w:rsid w:val="00E5736A"/>
    <w:rsid w:val="00E57378"/>
    <w:rsid w:val="00E57466"/>
    <w:rsid w:val="00E6112E"/>
    <w:rsid w:val="00E62BD3"/>
    <w:rsid w:val="00E6313B"/>
    <w:rsid w:val="00E63ECC"/>
    <w:rsid w:val="00E64E91"/>
    <w:rsid w:val="00E65A05"/>
    <w:rsid w:val="00E705F5"/>
    <w:rsid w:val="00E71277"/>
    <w:rsid w:val="00E71567"/>
    <w:rsid w:val="00E743D8"/>
    <w:rsid w:val="00E762BE"/>
    <w:rsid w:val="00E76BE2"/>
    <w:rsid w:val="00E81301"/>
    <w:rsid w:val="00E83465"/>
    <w:rsid w:val="00E8472D"/>
    <w:rsid w:val="00E84DBF"/>
    <w:rsid w:val="00E86F88"/>
    <w:rsid w:val="00E86FEC"/>
    <w:rsid w:val="00E9058E"/>
    <w:rsid w:val="00E90655"/>
    <w:rsid w:val="00E91F73"/>
    <w:rsid w:val="00E92DEF"/>
    <w:rsid w:val="00E95826"/>
    <w:rsid w:val="00E95CF9"/>
    <w:rsid w:val="00E96209"/>
    <w:rsid w:val="00E96A89"/>
    <w:rsid w:val="00E96D0F"/>
    <w:rsid w:val="00E97607"/>
    <w:rsid w:val="00E97D8B"/>
    <w:rsid w:val="00EA412E"/>
    <w:rsid w:val="00EA520A"/>
    <w:rsid w:val="00EA5BEA"/>
    <w:rsid w:val="00EA7730"/>
    <w:rsid w:val="00EB107B"/>
    <w:rsid w:val="00EB1334"/>
    <w:rsid w:val="00EB22F6"/>
    <w:rsid w:val="00EB4EF8"/>
    <w:rsid w:val="00EB67DA"/>
    <w:rsid w:val="00EB67E5"/>
    <w:rsid w:val="00EB695C"/>
    <w:rsid w:val="00EB77D1"/>
    <w:rsid w:val="00EC0712"/>
    <w:rsid w:val="00EC216A"/>
    <w:rsid w:val="00EC6397"/>
    <w:rsid w:val="00EC7D20"/>
    <w:rsid w:val="00EC7D51"/>
    <w:rsid w:val="00ED07E0"/>
    <w:rsid w:val="00ED1069"/>
    <w:rsid w:val="00ED15C4"/>
    <w:rsid w:val="00ED2767"/>
    <w:rsid w:val="00ED3290"/>
    <w:rsid w:val="00ED3CFD"/>
    <w:rsid w:val="00ED4CFD"/>
    <w:rsid w:val="00ED65C9"/>
    <w:rsid w:val="00ED6817"/>
    <w:rsid w:val="00ED6B0C"/>
    <w:rsid w:val="00ED6BF6"/>
    <w:rsid w:val="00ED7304"/>
    <w:rsid w:val="00ED7BE2"/>
    <w:rsid w:val="00ED7D33"/>
    <w:rsid w:val="00ED7EC1"/>
    <w:rsid w:val="00EE030A"/>
    <w:rsid w:val="00EE06EF"/>
    <w:rsid w:val="00EE0CCA"/>
    <w:rsid w:val="00EE1007"/>
    <w:rsid w:val="00EE22D1"/>
    <w:rsid w:val="00EE6063"/>
    <w:rsid w:val="00EE7D6B"/>
    <w:rsid w:val="00EF11B9"/>
    <w:rsid w:val="00EF12CB"/>
    <w:rsid w:val="00EF1B89"/>
    <w:rsid w:val="00EF4E21"/>
    <w:rsid w:val="00EF5D80"/>
    <w:rsid w:val="00EF60ED"/>
    <w:rsid w:val="00EF6C58"/>
    <w:rsid w:val="00EF6DB5"/>
    <w:rsid w:val="00EF7496"/>
    <w:rsid w:val="00EF7570"/>
    <w:rsid w:val="00EF7CBC"/>
    <w:rsid w:val="00EF7F4E"/>
    <w:rsid w:val="00F01B60"/>
    <w:rsid w:val="00F022FD"/>
    <w:rsid w:val="00F027ED"/>
    <w:rsid w:val="00F02A16"/>
    <w:rsid w:val="00F02A3F"/>
    <w:rsid w:val="00F03715"/>
    <w:rsid w:val="00F03E5E"/>
    <w:rsid w:val="00F04A59"/>
    <w:rsid w:val="00F04DF5"/>
    <w:rsid w:val="00F066BE"/>
    <w:rsid w:val="00F06E78"/>
    <w:rsid w:val="00F072AD"/>
    <w:rsid w:val="00F11000"/>
    <w:rsid w:val="00F12227"/>
    <w:rsid w:val="00F12604"/>
    <w:rsid w:val="00F12F9B"/>
    <w:rsid w:val="00F13118"/>
    <w:rsid w:val="00F13178"/>
    <w:rsid w:val="00F1361A"/>
    <w:rsid w:val="00F140D5"/>
    <w:rsid w:val="00F14921"/>
    <w:rsid w:val="00F15C95"/>
    <w:rsid w:val="00F17614"/>
    <w:rsid w:val="00F17A80"/>
    <w:rsid w:val="00F2232E"/>
    <w:rsid w:val="00F22BDE"/>
    <w:rsid w:val="00F24A4B"/>
    <w:rsid w:val="00F25D01"/>
    <w:rsid w:val="00F26201"/>
    <w:rsid w:val="00F32A71"/>
    <w:rsid w:val="00F32B67"/>
    <w:rsid w:val="00F41EED"/>
    <w:rsid w:val="00F42F7D"/>
    <w:rsid w:val="00F43350"/>
    <w:rsid w:val="00F436C0"/>
    <w:rsid w:val="00F43E89"/>
    <w:rsid w:val="00F443D1"/>
    <w:rsid w:val="00F4478E"/>
    <w:rsid w:val="00F4496B"/>
    <w:rsid w:val="00F46A95"/>
    <w:rsid w:val="00F4730B"/>
    <w:rsid w:val="00F50139"/>
    <w:rsid w:val="00F52903"/>
    <w:rsid w:val="00F53E7B"/>
    <w:rsid w:val="00F548E6"/>
    <w:rsid w:val="00F55F43"/>
    <w:rsid w:val="00F60B5C"/>
    <w:rsid w:val="00F62E23"/>
    <w:rsid w:val="00F64510"/>
    <w:rsid w:val="00F649C2"/>
    <w:rsid w:val="00F661BC"/>
    <w:rsid w:val="00F7154D"/>
    <w:rsid w:val="00F71FBC"/>
    <w:rsid w:val="00F72085"/>
    <w:rsid w:val="00F7267D"/>
    <w:rsid w:val="00F743A7"/>
    <w:rsid w:val="00F74AAD"/>
    <w:rsid w:val="00F74CBD"/>
    <w:rsid w:val="00F76B1C"/>
    <w:rsid w:val="00F818BB"/>
    <w:rsid w:val="00F81A5E"/>
    <w:rsid w:val="00F81D17"/>
    <w:rsid w:val="00F83A7F"/>
    <w:rsid w:val="00F83E56"/>
    <w:rsid w:val="00F840C5"/>
    <w:rsid w:val="00F84F5A"/>
    <w:rsid w:val="00F86D9B"/>
    <w:rsid w:val="00F87237"/>
    <w:rsid w:val="00F90575"/>
    <w:rsid w:val="00F90F2A"/>
    <w:rsid w:val="00F9112D"/>
    <w:rsid w:val="00F91337"/>
    <w:rsid w:val="00F92D50"/>
    <w:rsid w:val="00F94E78"/>
    <w:rsid w:val="00F9686E"/>
    <w:rsid w:val="00F96B53"/>
    <w:rsid w:val="00FA03A3"/>
    <w:rsid w:val="00FA1FF8"/>
    <w:rsid w:val="00FA204C"/>
    <w:rsid w:val="00FA25D7"/>
    <w:rsid w:val="00FA3A34"/>
    <w:rsid w:val="00FA4387"/>
    <w:rsid w:val="00FA51AA"/>
    <w:rsid w:val="00FA6827"/>
    <w:rsid w:val="00FA7BC0"/>
    <w:rsid w:val="00FB2A95"/>
    <w:rsid w:val="00FB342B"/>
    <w:rsid w:val="00FB3B1B"/>
    <w:rsid w:val="00FB43FF"/>
    <w:rsid w:val="00FB627A"/>
    <w:rsid w:val="00FC0D6C"/>
    <w:rsid w:val="00FC36B2"/>
    <w:rsid w:val="00FC3A2C"/>
    <w:rsid w:val="00FC47F4"/>
    <w:rsid w:val="00FC717E"/>
    <w:rsid w:val="00FC767A"/>
    <w:rsid w:val="00FD04A1"/>
    <w:rsid w:val="00FD0C2C"/>
    <w:rsid w:val="00FD31C6"/>
    <w:rsid w:val="00FD3309"/>
    <w:rsid w:val="00FD3C2C"/>
    <w:rsid w:val="00FD40E7"/>
    <w:rsid w:val="00FD40F4"/>
    <w:rsid w:val="00FD66F5"/>
    <w:rsid w:val="00FD798E"/>
    <w:rsid w:val="00FD7DD1"/>
    <w:rsid w:val="00FE052C"/>
    <w:rsid w:val="00FE0805"/>
    <w:rsid w:val="00FE0DE1"/>
    <w:rsid w:val="00FE2166"/>
    <w:rsid w:val="00FE2713"/>
    <w:rsid w:val="00FE5490"/>
    <w:rsid w:val="00FE768C"/>
    <w:rsid w:val="00FE7813"/>
    <w:rsid w:val="00FF19CA"/>
    <w:rsid w:val="00FF292D"/>
    <w:rsid w:val="00FF2CE0"/>
    <w:rsid w:val="00FF2FF8"/>
    <w:rsid w:val="00FF3C26"/>
    <w:rsid w:val="00FF3EBA"/>
    <w:rsid w:val="00FF4696"/>
    <w:rsid w:val="00FF6AAD"/>
    <w:rsid w:val="00FF6C68"/>
    <w:rsid w:val="011B629E"/>
    <w:rsid w:val="0126764F"/>
    <w:rsid w:val="018C21A5"/>
    <w:rsid w:val="01972B18"/>
    <w:rsid w:val="01A5568A"/>
    <w:rsid w:val="01C963F3"/>
    <w:rsid w:val="01DC06FD"/>
    <w:rsid w:val="01FC2DC5"/>
    <w:rsid w:val="0204742C"/>
    <w:rsid w:val="0209031D"/>
    <w:rsid w:val="02721E6A"/>
    <w:rsid w:val="027C65FF"/>
    <w:rsid w:val="02AA4C69"/>
    <w:rsid w:val="02BB3711"/>
    <w:rsid w:val="02FF3EF3"/>
    <w:rsid w:val="031F0DA9"/>
    <w:rsid w:val="033667C1"/>
    <w:rsid w:val="039C77C9"/>
    <w:rsid w:val="03E273F4"/>
    <w:rsid w:val="03FA693B"/>
    <w:rsid w:val="044F158E"/>
    <w:rsid w:val="046C5C2A"/>
    <w:rsid w:val="0486237A"/>
    <w:rsid w:val="0490638E"/>
    <w:rsid w:val="04C43447"/>
    <w:rsid w:val="04CD61FB"/>
    <w:rsid w:val="051554AC"/>
    <w:rsid w:val="05BF1D09"/>
    <w:rsid w:val="067032E2"/>
    <w:rsid w:val="06E65352"/>
    <w:rsid w:val="071E46F6"/>
    <w:rsid w:val="07834D51"/>
    <w:rsid w:val="0809597F"/>
    <w:rsid w:val="08942C4B"/>
    <w:rsid w:val="08AB4848"/>
    <w:rsid w:val="08B952DA"/>
    <w:rsid w:val="08EB4EA1"/>
    <w:rsid w:val="09434CDD"/>
    <w:rsid w:val="096C33BF"/>
    <w:rsid w:val="09C43F96"/>
    <w:rsid w:val="09FE6E56"/>
    <w:rsid w:val="0A073817"/>
    <w:rsid w:val="0A341999"/>
    <w:rsid w:val="0A9478A8"/>
    <w:rsid w:val="0AAA2B3A"/>
    <w:rsid w:val="0ABF0394"/>
    <w:rsid w:val="0ADA1283"/>
    <w:rsid w:val="0B06628B"/>
    <w:rsid w:val="0B5605CC"/>
    <w:rsid w:val="0B85619D"/>
    <w:rsid w:val="0BBB64E5"/>
    <w:rsid w:val="0BD87868"/>
    <w:rsid w:val="0C01678A"/>
    <w:rsid w:val="0C1F66C2"/>
    <w:rsid w:val="0C9D3858"/>
    <w:rsid w:val="0D176F04"/>
    <w:rsid w:val="0D7431FE"/>
    <w:rsid w:val="0DB60DE4"/>
    <w:rsid w:val="0DBD693E"/>
    <w:rsid w:val="0E0D7668"/>
    <w:rsid w:val="0E0E518E"/>
    <w:rsid w:val="0E1657B0"/>
    <w:rsid w:val="0E1C2BFF"/>
    <w:rsid w:val="0E364406"/>
    <w:rsid w:val="0E662175"/>
    <w:rsid w:val="0EE728DC"/>
    <w:rsid w:val="0F963D6C"/>
    <w:rsid w:val="0FA0590C"/>
    <w:rsid w:val="0FAE1CB6"/>
    <w:rsid w:val="0FCA173A"/>
    <w:rsid w:val="10AB3168"/>
    <w:rsid w:val="10AC5161"/>
    <w:rsid w:val="10CC58A0"/>
    <w:rsid w:val="10D339DD"/>
    <w:rsid w:val="10E26768"/>
    <w:rsid w:val="10F70868"/>
    <w:rsid w:val="110A60E1"/>
    <w:rsid w:val="11EE1B8A"/>
    <w:rsid w:val="12053FC8"/>
    <w:rsid w:val="12767ED2"/>
    <w:rsid w:val="12896E2E"/>
    <w:rsid w:val="12AC20A9"/>
    <w:rsid w:val="13272F7A"/>
    <w:rsid w:val="13B80076"/>
    <w:rsid w:val="13B86493"/>
    <w:rsid w:val="13E96481"/>
    <w:rsid w:val="144573F9"/>
    <w:rsid w:val="146058C8"/>
    <w:rsid w:val="149502EE"/>
    <w:rsid w:val="14B7657F"/>
    <w:rsid w:val="15232E3B"/>
    <w:rsid w:val="153320AA"/>
    <w:rsid w:val="15A961A7"/>
    <w:rsid w:val="15C933D5"/>
    <w:rsid w:val="15CE1DD3"/>
    <w:rsid w:val="15F551FE"/>
    <w:rsid w:val="161A6DC6"/>
    <w:rsid w:val="168B3880"/>
    <w:rsid w:val="17407CA5"/>
    <w:rsid w:val="174C13EE"/>
    <w:rsid w:val="17A302D0"/>
    <w:rsid w:val="17E7717C"/>
    <w:rsid w:val="180F7003"/>
    <w:rsid w:val="185C48B3"/>
    <w:rsid w:val="185D32EF"/>
    <w:rsid w:val="1867206B"/>
    <w:rsid w:val="18B07A77"/>
    <w:rsid w:val="18E90CD1"/>
    <w:rsid w:val="18ED6A14"/>
    <w:rsid w:val="19FD4636"/>
    <w:rsid w:val="1A366319"/>
    <w:rsid w:val="1A3B4CCB"/>
    <w:rsid w:val="1A712403"/>
    <w:rsid w:val="1B1572FE"/>
    <w:rsid w:val="1B1F6C2C"/>
    <w:rsid w:val="1B2628EB"/>
    <w:rsid w:val="1B2763A5"/>
    <w:rsid w:val="1B612DA1"/>
    <w:rsid w:val="1C3217C2"/>
    <w:rsid w:val="1C9816CE"/>
    <w:rsid w:val="1CC7079C"/>
    <w:rsid w:val="1D3A0204"/>
    <w:rsid w:val="1D956547"/>
    <w:rsid w:val="1DD71A40"/>
    <w:rsid w:val="1DEE781A"/>
    <w:rsid w:val="1DF55DDE"/>
    <w:rsid w:val="1E263202"/>
    <w:rsid w:val="1E2702D2"/>
    <w:rsid w:val="1E3173A3"/>
    <w:rsid w:val="1F15637C"/>
    <w:rsid w:val="1F6853C7"/>
    <w:rsid w:val="1F92003C"/>
    <w:rsid w:val="1FDC31F3"/>
    <w:rsid w:val="1FE33C5E"/>
    <w:rsid w:val="20054925"/>
    <w:rsid w:val="20185FBB"/>
    <w:rsid w:val="20401B1F"/>
    <w:rsid w:val="20684BD2"/>
    <w:rsid w:val="20D17C03"/>
    <w:rsid w:val="214C004F"/>
    <w:rsid w:val="21643F27"/>
    <w:rsid w:val="219D08AB"/>
    <w:rsid w:val="22082216"/>
    <w:rsid w:val="226E709F"/>
    <w:rsid w:val="22D21279"/>
    <w:rsid w:val="232B0184"/>
    <w:rsid w:val="237A5348"/>
    <w:rsid w:val="23F24BF1"/>
    <w:rsid w:val="244D7080"/>
    <w:rsid w:val="245F55B7"/>
    <w:rsid w:val="24831FDA"/>
    <w:rsid w:val="24886BEA"/>
    <w:rsid w:val="248C684D"/>
    <w:rsid w:val="256142E1"/>
    <w:rsid w:val="25891182"/>
    <w:rsid w:val="26052BA4"/>
    <w:rsid w:val="26196A40"/>
    <w:rsid w:val="272D1D49"/>
    <w:rsid w:val="2758774E"/>
    <w:rsid w:val="27A943D1"/>
    <w:rsid w:val="27B81765"/>
    <w:rsid w:val="27BF5A1F"/>
    <w:rsid w:val="27C2106B"/>
    <w:rsid w:val="281A2C55"/>
    <w:rsid w:val="282F09C6"/>
    <w:rsid w:val="28C22931"/>
    <w:rsid w:val="29D67050"/>
    <w:rsid w:val="29D76728"/>
    <w:rsid w:val="29EF3C6E"/>
    <w:rsid w:val="2A0E67EA"/>
    <w:rsid w:val="2A184E15"/>
    <w:rsid w:val="2A2E284C"/>
    <w:rsid w:val="2A3846DF"/>
    <w:rsid w:val="2A672AB1"/>
    <w:rsid w:val="2AFC63F0"/>
    <w:rsid w:val="2B2C517A"/>
    <w:rsid w:val="2B314D36"/>
    <w:rsid w:val="2B342280"/>
    <w:rsid w:val="2B345DDC"/>
    <w:rsid w:val="2B91392E"/>
    <w:rsid w:val="2BDB094E"/>
    <w:rsid w:val="2C2E3173"/>
    <w:rsid w:val="2C2E4AE9"/>
    <w:rsid w:val="2C3A5674"/>
    <w:rsid w:val="2C6737F1"/>
    <w:rsid w:val="2C673F8F"/>
    <w:rsid w:val="2C717C3B"/>
    <w:rsid w:val="2CD63070"/>
    <w:rsid w:val="2CE81695"/>
    <w:rsid w:val="2D066AAD"/>
    <w:rsid w:val="2D1270F4"/>
    <w:rsid w:val="2D2B1E8D"/>
    <w:rsid w:val="2D825525"/>
    <w:rsid w:val="2E2C36E3"/>
    <w:rsid w:val="2E3600BD"/>
    <w:rsid w:val="2E484EAC"/>
    <w:rsid w:val="2E556795"/>
    <w:rsid w:val="2EAD1124"/>
    <w:rsid w:val="2EE16AC6"/>
    <w:rsid w:val="2EEE16BB"/>
    <w:rsid w:val="2EF4224A"/>
    <w:rsid w:val="2F7610B9"/>
    <w:rsid w:val="2F99381C"/>
    <w:rsid w:val="2FE42670"/>
    <w:rsid w:val="30332B06"/>
    <w:rsid w:val="3075311F"/>
    <w:rsid w:val="30A12ED6"/>
    <w:rsid w:val="30E60A96"/>
    <w:rsid w:val="310436BE"/>
    <w:rsid w:val="3154326A"/>
    <w:rsid w:val="316E1720"/>
    <w:rsid w:val="3198586F"/>
    <w:rsid w:val="31A33CBC"/>
    <w:rsid w:val="31AB480F"/>
    <w:rsid w:val="31C16E1F"/>
    <w:rsid w:val="321D6AB9"/>
    <w:rsid w:val="321F7BC2"/>
    <w:rsid w:val="3225114D"/>
    <w:rsid w:val="323D1A1A"/>
    <w:rsid w:val="326A6BCC"/>
    <w:rsid w:val="32AA7EA2"/>
    <w:rsid w:val="32B134C9"/>
    <w:rsid w:val="32E75E2A"/>
    <w:rsid w:val="330F7364"/>
    <w:rsid w:val="33182487"/>
    <w:rsid w:val="33750002"/>
    <w:rsid w:val="33D20183"/>
    <w:rsid w:val="34753DB4"/>
    <w:rsid w:val="34F1098C"/>
    <w:rsid w:val="353F3CFB"/>
    <w:rsid w:val="356A630C"/>
    <w:rsid w:val="35EC53A9"/>
    <w:rsid w:val="361909F0"/>
    <w:rsid w:val="36E072FE"/>
    <w:rsid w:val="37773F79"/>
    <w:rsid w:val="377838EB"/>
    <w:rsid w:val="384C5E56"/>
    <w:rsid w:val="38710670"/>
    <w:rsid w:val="389E09C9"/>
    <w:rsid w:val="389F0734"/>
    <w:rsid w:val="38A25CA6"/>
    <w:rsid w:val="38A5656B"/>
    <w:rsid w:val="38B20A5B"/>
    <w:rsid w:val="38EC5F48"/>
    <w:rsid w:val="394F3325"/>
    <w:rsid w:val="396E64A3"/>
    <w:rsid w:val="39BE1C76"/>
    <w:rsid w:val="39D50A73"/>
    <w:rsid w:val="39D966E3"/>
    <w:rsid w:val="39DF1B9E"/>
    <w:rsid w:val="39E22916"/>
    <w:rsid w:val="39F350B4"/>
    <w:rsid w:val="3A45320B"/>
    <w:rsid w:val="3A8500AC"/>
    <w:rsid w:val="3AEB6410"/>
    <w:rsid w:val="3B842468"/>
    <w:rsid w:val="3B8A07A5"/>
    <w:rsid w:val="3B907132"/>
    <w:rsid w:val="3B994239"/>
    <w:rsid w:val="3B997928"/>
    <w:rsid w:val="3BC55BE9"/>
    <w:rsid w:val="3BEE1FD7"/>
    <w:rsid w:val="3C2A7E36"/>
    <w:rsid w:val="3C335F4F"/>
    <w:rsid w:val="3C9E2725"/>
    <w:rsid w:val="3D4072AC"/>
    <w:rsid w:val="3D570175"/>
    <w:rsid w:val="3D850719"/>
    <w:rsid w:val="3D8A5E22"/>
    <w:rsid w:val="3DDA41D7"/>
    <w:rsid w:val="3DE25039"/>
    <w:rsid w:val="3E5D51F2"/>
    <w:rsid w:val="3EE46D5C"/>
    <w:rsid w:val="3F022642"/>
    <w:rsid w:val="3F3000C7"/>
    <w:rsid w:val="3F447797"/>
    <w:rsid w:val="3F46412E"/>
    <w:rsid w:val="3FB41262"/>
    <w:rsid w:val="3FCD7223"/>
    <w:rsid w:val="3FD02D5B"/>
    <w:rsid w:val="3FD90691"/>
    <w:rsid w:val="401D3FB4"/>
    <w:rsid w:val="40221304"/>
    <w:rsid w:val="4063628F"/>
    <w:rsid w:val="40B11050"/>
    <w:rsid w:val="40FC3DE3"/>
    <w:rsid w:val="414F3518"/>
    <w:rsid w:val="41703350"/>
    <w:rsid w:val="41735459"/>
    <w:rsid w:val="41803492"/>
    <w:rsid w:val="41986367"/>
    <w:rsid w:val="41D13F2D"/>
    <w:rsid w:val="41E2438C"/>
    <w:rsid w:val="427F7E2D"/>
    <w:rsid w:val="429C7486"/>
    <w:rsid w:val="42B83FE5"/>
    <w:rsid w:val="42D669C5"/>
    <w:rsid w:val="42FF6CC8"/>
    <w:rsid w:val="43183288"/>
    <w:rsid w:val="431A1904"/>
    <w:rsid w:val="439416B6"/>
    <w:rsid w:val="440B5E1C"/>
    <w:rsid w:val="44586B88"/>
    <w:rsid w:val="44623639"/>
    <w:rsid w:val="44AE67A8"/>
    <w:rsid w:val="44DF2E05"/>
    <w:rsid w:val="44FE4127"/>
    <w:rsid w:val="45070F18"/>
    <w:rsid w:val="4554734F"/>
    <w:rsid w:val="45753FD7"/>
    <w:rsid w:val="45880324"/>
    <w:rsid w:val="45BA3CA5"/>
    <w:rsid w:val="45E701C3"/>
    <w:rsid w:val="46141A02"/>
    <w:rsid w:val="464D6CF8"/>
    <w:rsid w:val="46712183"/>
    <w:rsid w:val="468462CB"/>
    <w:rsid w:val="46F93E9F"/>
    <w:rsid w:val="4707756A"/>
    <w:rsid w:val="4716447F"/>
    <w:rsid w:val="47574ED5"/>
    <w:rsid w:val="47BE5710"/>
    <w:rsid w:val="47CA1B4A"/>
    <w:rsid w:val="4818281E"/>
    <w:rsid w:val="4869041A"/>
    <w:rsid w:val="488708E6"/>
    <w:rsid w:val="492359B6"/>
    <w:rsid w:val="49502A2E"/>
    <w:rsid w:val="49504BBD"/>
    <w:rsid w:val="49EF7646"/>
    <w:rsid w:val="4A0A26D2"/>
    <w:rsid w:val="4A200666"/>
    <w:rsid w:val="4A282B58"/>
    <w:rsid w:val="4A370FED"/>
    <w:rsid w:val="4A804706"/>
    <w:rsid w:val="4A9106FD"/>
    <w:rsid w:val="4A965D14"/>
    <w:rsid w:val="4B3237EB"/>
    <w:rsid w:val="4B81429D"/>
    <w:rsid w:val="4BC14C4D"/>
    <w:rsid w:val="4BF40E3E"/>
    <w:rsid w:val="4C3C6D10"/>
    <w:rsid w:val="4C57043D"/>
    <w:rsid w:val="4D245859"/>
    <w:rsid w:val="4D2737D6"/>
    <w:rsid w:val="4D4F5EFB"/>
    <w:rsid w:val="4DBF6C7D"/>
    <w:rsid w:val="4DE51CCB"/>
    <w:rsid w:val="4E7B594C"/>
    <w:rsid w:val="4F271630"/>
    <w:rsid w:val="4F6C2556"/>
    <w:rsid w:val="4FA00183"/>
    <w:rsid w:val="4FD80B7D"/>
    <w:rsid w:val="4FE439C5"/>
    <w:rsid w:val="50586D12"/>
    <w:rsid w:val="50CA30CD"/>
    <w:rsid w:val="50D566EE"/>
    <w:rsid w:val="50DA24CF"/>
    <w:rsid w:val="50FC5F25"/>
    <w:rsid w:val="51052466"/>
    <w:rsid w:val="51053BF3"/>
    <w:rsid w:val="513A22AD"/>
    <w:rsid w:val="51A21442"/>
    <w:rsid w:val="51CC1081"/>
    <w:rsid w:val="52040F56"/>
    <w:rsid w:val="520E6AD8"/>
    <w:rsid w:val="52526266"/>
    <w:rsid w:val="5288688A"/>
    <w:rsid w:val="52BF46A2"/>
    <w:rsid w:val="53C07DDC"/>
    <w:rsid w:val="53EC4BF7"/>
    <w:rsid w:val="54DF533B"/>
    <w:rsid w:val="55065A58"/>
    <w:rsid w:val="55230AEC"/>
    <w:rsid w:val="55425416"/>
    <w:rsid w:val="55656CDD"/>
    <w:rsid w:val="556E1BAD"/>
    <w:rsid w:val="558C6691"/>
    <w:rsid w:val="55924DCB"/>
    <w:rsid w:val="55A97243"/>
    <w:rsid w:val="55C421F9"/>
    <w:rsid w:val="55C645F4"/>
    <w:rsid w:val="55CB44C0"/>
    <w:rsid w:val="56000D0B"/>
    <w:rsid w:val="563C1DDA"/>
    <w:rsid w:val="56F73FDE"/>
    <w:rsid w:val="56FE711B"/>
    <w:rsid w:val="576279F2"/>
    <w:rsid w:val="57690C8F"/>
    <w:rsid w:val="5771597B"/>
    <w:rsid w:val="57B4461F"/>
    <w:rsid w:val="580D18D4"/>
    <w:rsid w:val="581B3E8B"/>
    <w:rsid w:val="582C7CB7"/>
    <w:rsid w:val="583102C7"/>
    <w:rsid w:val="58443253"/>
    <w:rsid w:val="58726012"/>
    <w:rsid w:val="58A40E0B"/>
    <w:rsid w:val="58B77F1B"/>
    <w:rsid w:val="58BA1CEE"/>
    <w:rsid w:val="58DC348C"/>
    <w:rsid w:val="592A65E6"/>
    <w:rsid w:val="596722BD"/>
    <w:rsid w:val="597D26CF"/>
    <w:rsid w:val="597E7408"/>
    <w:rsid w:val="59D93E6F"/>
    <w:rsid w:val="59F92457"/>
    <w:rsid w:val="59FB6D28"/>
    <w:rsid w:val="5A470DD9"/>
    <w:rsid w:val="5A797138"/>
    <w:rsid w:val="5A7A3C96"/>
    <w:rsid w:val="5ABE5A4B"/>
    <w:rsid w:val="5AC07CE1"/>
    <w:rsid w:val="5ACF314D"/>
    <w:rsid w:val="5AE52625"/>
    <w:rsid w:val="5B343FB7"/>
    <w:rsid w:val="5B696CDF"/>
    <w:rsid w:val="5BA83AF9"/>
    <w:rsid w:val="5BD74E45"/>
    <w:rsid w:val="5BF57B11"/>
    <w:rsid w:val="5C0E3323"/>
    <w:rsid w:val="5C2515ED"/>
    <w:rsid w:val="5C4F7B01"/>
    <w:rsid w:val="5C5679F9"/>
    <w:rsid w:val="5D072AA1"/>
    <w:rsid w:val="5D5B27A1"/>
    <w:rsid w:val="5D952739"/>
    <w:rsid w:val="5D9A4243"/>
    <w:rsid w:val="5DA93BDE"/>
    <w:rsid w:val="5DDB6408"/>
    <w:rsid w:val="5DF438B4"/>
    <w:rsid w:val="5DF919EB"/>
    <w:rsid w:val="5EB24BEC"/>
    <w:rsid w:val="5EF4645E"/>
    <w:rsid w:val="5F984A82"/>
    <w:rsid w:val="5F9C5723"/>
    <w:rsid w:val="5FF30B47"/>
    <w:rsid w:val="60437C78"/>
    <w:rsid w:val="606C343E"/>
    <w:rsid w:val="60913EE6"/>
    <w:rsid w:val="60BA67A8"/>
    <w:rsid w:val="60BF0568"/>
    <w:rsid w:val="60CE4002"/>
    <w:rsid w:val="60D37AAA"/>
    <w:rsid w:val="60FD7D16"/>
    <w:rsid w:val="61363955"/>
    <w:rsid w:val="61442516"/>
    <w:rsid w:val="619528A3"/>
    <w:rsid w:val="61B11112"/>
    <w:rsid w:val="62137AC8"/>
    <w:rsid w:val="62576DB1"/>
    <w:rsid w:val="628472D5"/>
    <w:rsid w:val="62EF200D"/>
    <w:rsid w:val="62FD6A68"/>
    <w:rsid w:val="63220722"/>
    <w:rsid w:val="632E0D88"/>
    <w:rsid w:val="63A00324"/>
    <w:rsid w:val="63B23767"/>
    <w:rsid w:val="63C4349A"/>
    <w:rsid w:val="63D74F7B"/>
    <w:rsid w:val="63DD630A"/>
    <w:rsid w:val="63E4237E"/>
    <w:rsid w:val="642B3519"/>
    <w:rsid w:val="64C43A3F"/>
    <w:rsid w:val="64D019A6"/>
    <w:rsid w:val="64F955BE"/>
    <w:rsid w:val="65152802"/>
    <w:rsid w:val="652627C1"/>
    <w:rsid w:val="657D7DA4"/>
    <w:rsid w:val="65A53C6D"/>
    <w:rsid w:val="65AB639C"/>
    <w:rsid w:val="65D13EC2"/>
    <w:rsid w:val="660A2E72"/>
    <w:rsid w:val="661A55F3"/>
    <w:rsid w:val="66464D7E"/>
    <w:rsid w:val="667C005C"/>
    <w:rsid w:val="669047B5"/>
    <w:rsid w:val="66BC60B1"/>
    <w:rsid w:val="67284DEB"/>
    <w:rsid w:val="67654F94"/>
    <w:rsid w:val="67A07D7A"/>
    <w:rsid w:val="67DE4477"/>
    <w:rsid w:val="685622C5"/>
    <w:rsid w:val="69831D6D"/>
    <w:rsid w:val="6992710D"/>
    <w:rsid w:val="69C57604"/>
    <w:rsid w:val="69DA7573"/>
    <w:rsid w:val="69E618E4"/>
    <w:rsid w:val="6A276531"/>
    <w:rsid w:val="6A3F4642"/>
    <w:rsid w:val="6A476FE2"/>
    <w:rsid w:val="6A667059"/>
    <w:rsid w:val="6A9A6DF0"/>
    <w:rsid w:val="6AC54ED1"/>
    <w:rsid w:val="6AD83AD4"/>
    <w:rsid w:val="6B076F18"/>
    <w:rsid w:val="6BDA6B1E"/>
    <w:rsid w:val="6BEA3CBA"/>
    <w:rsid w:val="6C055CF8"/>
    <w:rsid w:val="6C256AA0"/>
    <w:rsid w:val="6C8F5842"/>
    <w:rsid w:val="6C9A3598"/>
    <w:rsid w:val="6CE04516"/>
    <w:rsid w:val="6CFA1CDB"/>
    <w:rsid w:val="6D337226"/>
    <w:rsid w:val="6D6049EA"/>
    <w:rsid w:val="6D6524AA"/>
    <w:rsid w:val="6DA11374"/>
    <w:rsid w:val="6DC031A0"/>
    <w:rsid w:val="6DC20A4A"/>
    <w:rsid w:val="6E2A6922"/>
    <w:rsid w:val="6EBB1D37"/>
    <w:rsid w:val="6ED85E5A"/>
    <w:rsid w:val="6EEA3674"/>
    <w:rsid w:val="6F414A7F"/>
    <w:rsid w:val="6F5B1156"/>
    <w:rsid w:val="70121BA2"/>
    <w:rsid w:val="701841EE"/>
    <w:rsid w:val="70750092"/>
    <w:rsid w:val="708B7819"/>
    <w:rsid w:val="709B37D5"/>
    <w:rsid w:val="709E7E8D"/>
    <w:rsid w:val="70AB15FE"/>
    <w:rsid w:val="70E959E8"/>
    <w:rsid w:val="711F7F62"/>
    <w:rsid w:val="71294F63"/>
    <w:rsid w:val="718E5B9A"/>
    <w:rsid w:val="71F004B9"/>
    <w:rsid w:val="71FD4747"/>
    <w:rsid w:val="721F6691"/>
    <w:rsid w:val="72485ABE"/>
    <w:rsid w:val="725B1494"/>
    <w:rsid w:val="744A79EB"/>
    <w:rsid w:val="749E3893"/>
    <w:rsid w:val="74D95FC0"/>
    <w:rsid w:val="74F07EF6"/>
    <w:rsid w:val="75341A37"/>
    <w:rsid w:val="75571002"/>
    <w:rsid w:val="75894543"/>
    <w:rsid w:val="75A976AE"/>
    <w:rsid w:val="75BA6FE1"/>
    <w:rsid w:val="75CD61DE"/>
    <w:rsid w:val="75F01A2C"/>
    <w:rsid w:val="75F4557D"/>
    <w:rsid w:val="760B6D06"/>
    <w:rsid w:val="7637416E"/>
    <w:rsid w:val="76A41635"/>
    <w:rsid w:val="76F15F35"/>
    <w:rsid w:val="77356731"/>
    <w:rsid w:val="774D3A7A"/>
    <w:rsid w:val="77884AB3"/>
    <w:rsid w:val="77931A6B"/>
    <w:rsid w:val="77E55713"/>
    <w:rsid w:val="7806753D"/>
    <w:rsid w:val="782D1944"/>
    <w:rsid w:val="78454C08"/>
    <w:rsid w:val="784739C6"/>
    <w:rsid w:val="785A2E96"/>
    <w:rsid w:val="789842C8"/>
    <w:rsid w:val="78A13CF9"/>
    <w:rsid w:val="78CF7D27"/>
    <w:rsid w:val="796C6412"/>
    <w:rsid w:val="798474FC"/>
    <w:rsid w:val="79B53B29"/>
    <w:rsid w:val="79E446EA"/>
    <w:rsid w:val="7A36068C"/>
    <w:rsid w:val="7A6B246A"/>
    <w:rsid w:val="7A917CBF"/>
    <w:rsid w:val="7AB84A82"/>
    <w:rsid w:val="7B09319D"/>
    <w:rsid w:val="7B3034B4"/>
    <w:rsid w:val="7B952D20"/>
    <w:rsid w:val="7BCF6ABB"/>
    <w:rsid w:val="7C010E73"/>
    <w:rsid w:val="7CA2105A"/>
    <w:rsid w:val="7D760CAF"/>
    <w:rsid w:val="7DDA135B"/>
    <w:rsid w:val="7E16287D"/>
    <w:rsid w:val="7E7B37EB"/>
    <w:rsid w:val="7E8A5BE3"/>
    <w:rsid w:val="7EBE700C"/>
    <w:rsid w:val="7ED93E46"/>
    <w:rsid w:val="7EEF2D5A"/>
    <w:rsid w:val="7F264857"/>
    <w:rsid w:val="7F791FC0"/>
    <w:rsid w:val="7FFE661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name="index 1"/>
    <w:lsdException w:qFormat="1" w:unhideWhenUsed="0"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0" w:name="toc 3"/>
    <w:lsdException w:qFormat="1" w:unhideWhenUsed="0" w:uiPriority="0" w:name="toc 4"/>
    <w:lsdException w:uiPriority="0" w:name="toc 5"/>
    <w:lsdException w:qFormat="1" w:unhideWhenUsed="0" w:uiPriority="0" w:name="toc 6"/>
    <w:lsdException w:uiPriority="0" w:name="toc 7"/>
    <w:lsdException w:uiPriority="0" w:name="toc 8"/>
    <w:lsdException w:uiPriority="0" w:name="toc 9"/>
    <w:lsdException w:qFormat="1" w:unhideWhenUsed="0" w:uiPriority="0" w:semiHidden="0" w:name="Normal Indent"/>
    <w:lsdException w:uiPriority="0" w:name="footnote text"/>
    <w:lsdException w:qFormat="1" w:unhideWhenUsed="0" w:uiPriority="0" w:name="annotation text"/>
    <w:lsdException w:qFormat="1" w:unhideWhenUsed="0" w:uiPriority="0" w:semiHidden="0" w:name="header"/>
    <w:lsdException w:qFormat="1" w:unhideWhenUsed="0" w:uiPriority="99" w:semiHidden="0" w:name="footer"/>
    <w:lsdException w:uiPriority="0" w:name="index heading"/>
    <w:lsdException w:qFormat="1" w:unhideWhenUsed="0" w:uiPriority="0" w:semiHidden="0"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qFormat="1" w:unhideWhenUsed="0" w:uiPriority="0" w:semiHidden="0" w:name="List"/>
    <w:lsdException w:unhideWhenUsed="0" w:uiPriority="0" w:semiHidden="0" w:name="List Bullet"/>
    <w:lsdException w:uiPriority="0" w:name="List Number"/>
    <w:lsdException w:qFormat="1" w:unhideWhenUsed="0" w:uiPriority="0" w:semiHidden="0" w:name="List 2"/>
    <w:lsdException w:qFormat="1" w:unhideWhenUsed="0" w:uiPriority="0" w:semiHidden="0" w:name="List 3"/>
    <w:lsdException w:qFormat="1" w:unhideWhenUsed="0" w:uiPriority="0" w:semiHidden="0" w:name="List 4"/>
    <w:lsdException w:uiPriority="0" w:name="List 5"/>
    <w:lsdException w:qFormat="1" w:unhideWhenUsed="0" w:uiPriority="0" w:semiHidden="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99" w:semiHidden="0" w:name="Body Text Indent"/>
    <w:lsdException w:uiPriority="0" w:name="List Continue"/>
    <w:lsdException w:qFormat="1"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uiPriority="0" w:name="Body Text First Indent"/>
    <w:lsdException w:uiPriority="0" w:name="Body Text First Indent 2"/>
    <w:lsdException w:uiPriority="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qFormat="1" w:unhideWhenUsed="0" w:uiPriority="0" w:semiHidden="0" w:name="Plain Text"/>
    <w:lsdException w:uiPriority="0" w:name="E-mail Signature"/>
    <w:lsdException w:qFormat="1" w:unhideWhenUsed="0" w:uiPriority="0" w:semiHidden="0" w:name="Normal (Web)"/>
    <w:lsdException w:qFormat="1" w:uiPriority="0" w:name="HTML Acronym"/>
    <w:lsdException w:uiPriority="0" w:name="HTML Address"/>
    <w:lsdException w:qFormat="1" w:uiPriority="0" w:name="HTML Cite"/>
    <w:lsdException w:qFormat="1" w:uiPriority="0" w:name="HTML Code"/>
    <w:lsdException w:qFormat="1" w:uiPriority="0" w:name="HTML Definition"/>
    <w:lsdException w:uiPriority="0" w:name="HTML Keyboard"/>
    <w:lsdException w:qFormat="1" w:unhideWhenUsed="0" w:uiPriority="0" w:semiHidden="0" w:name="HTML Preformatted"/>
    <w:lsdException w:uiPriority="0" w:name="HTML Sample"/>
    <w:lsdException w:uiPriority="0" w:name="HTML Typewriter"/>
    <w:lsdException w:qFormat="1" w:uiPriority="0" w:name="HTML Variable"/>
    <w:lsdException w:qFormat="1" w:uiPriority="99" w:name="Normal Table"/>
    <w:lsdException w:qFormat="1" w:unhideWhenUsed="0"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58"/>
    <w:qFormat/>
    <w:uiPriority w:val="0"/>
    <w:pPr>
      <w:keepNext/>
      <w:keepLines/>
      <w:spacing w:before="340" w:after="330" w:line="578" w:lineRule="auto"/>
      <w:outlineLvl w:val="0"/>
    </w:pPr>
    <w:rPr>
      <w:rFonts w:ascii="Tahoma" w:hAnsi="Tahoma"/>
      <w:b/>
      <w:bCs/>
      <w:kern w:val="44"/>
      <w:sz w:val="44"/>
      <w:szCs w:val="44"/>
    </w:rPr>
  </w:style>
  <w:style w:type="paragraph" w:styleId="3">
    <w:name w:val="heading 2"/>
    <w:basedOn w:val="1"/>
    <w:next w:val="1"/>
    <w:link w:val="81"/>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73"/>
    <w:qFormat/>
    <w:uiPriority w:val="0"/>
    <w:pPr>
      <w:keepNext/>
      <w:keepLines/>
      <w:spacing w:before="260" w:after="260" w:line="416" w:lineRule="auto"/>
      <w:outlineLvl w:val="2"/>
    </w:pPr>
    <w:rPr>
      <w:b/>
      <w:bCs/>
      <w:sz w:val="32"/>
      <w:szCs w:val="32"/>
    </w:rPr>
  </w:style>
  <w:style w:type="paragraph" w:styleId="5">
    <w:name w:val="heading 4"/>
    <w:basedOn w:val="1"/>
    <w:next w:val="1"/>
    <w:link w:val="69"/>
    <w:qFormat/>
    <w:uiPriority w:val="0"/>
    <w:pPr>
      <w:keepNext/>
      <w:keepLines/>
      <w:spacing w:before="280" w:after="290" w:line="376" w:lineRule="auto"/>
      <w:outlineLvl w:val="3"/>
    </w:pPr>
    <w:rPr>
      <w:rFonts w:ascii="Arial" w:hAnsi="Arial" w:eastAsia="黑体"/>
      <w:b/>
      <w:bCs/>
      <w:sz w:val="28"/>
      <w:szCs w:val="28"/>
    </w:rPr>
  </w:style>
  <w:style w:type="paragraph" w:styleId="6">
    <w:name w:val="heading 6"/>
    <w:basedOn w:val="1"/>
    <w:next w:val="1"/>
    <w:qFormat/>
    <w:uiPriority w:val="0"/>
    <w:pPr>
      <w:keepNext/>
      <w:keepLines/>
      <w:widowControl/>
      <w:tabs>
        <w:tab w:val="left" w:pos="1440"/>
      </w:tabs>
      <w:spacing w:before="240" w:after="64" w:line="320" w:lineRule="auto"/>
      <w:ind w:left="1152" w:hanging="1152"/>
      <w:jc w:val="left"/>
      <w:outlineLvl w:val="5"/>
    </w:pPr>
    <w:rPr>
      <w:rFonts w:ascii="Arial" w:hAnsi="Arial" w:eastAsia="黑体"/>
      <w:b/>
      <w:bCs/>
      <w:kern w:val="0"/>
      <w:sz w:val="24"/>
    </w:rPr>
  </w:style>
  <w:style w:type="paragraph" w:styleId="7">
    <w:name w:val="heading 7"/>
    <w:basedOn w:val="1"/>
    <w:next w:val="1"/>
    <w:qFormat/>
    <w:uiPriority w:val="0"/>
    <w:pPr>
      <w:keepNext/>
      <w:keepLines/>
      <w:widowControl/>
      <w:tabs>
        <w:tab w:val="left" w:pos="2520"/>
      </w:tabs>
      <w:spacing w:before="240" w:after="64" w:line="320" w:lineRule="auto"/>
      <w:ind w:left="1296" w:hanging="1296"/>
      <w:jc w:val="left"/>
      <w:outlineLvl w:val="6"/>
    </w:pPr>
    <w:rPr>
      <w:b/>
      <w:bCs/>
      <w:kern w:val="0"/>
      <w:sz w:val="24"/>
    </w:rPr>
  </w:style>
  <w:style w:type="paragraph" w:styleId="8">
    <w:name w:val="heading 8"/>
    <w:basedOn w:val="1"/>
    <w:next w:val="1"/>
    <w:qFormat/>
    <w:uiPriority w:val="0"/>
    <w:pPr>
      <w:keepNext/>
      <w:keepLines/>
      <w:widowControl/>
      <w:tabs>
        <w:tab w:val="left" w:pos="1440"/>
      </w:tabs>
      <w:spacing w:before="240" w:after="64" w:line="320" w:lineRule="auto"/>
      <w:ind w:left="1440" w:hanging="1440"/>
      <w:jc w:val="left"/>
      <w:outlineLvl w:val="7"/>
    </w:pPr>
    <w:rPr>
      <w:rFonts w:ascii="Arial" w:hAnsi="Arial" w:eastAsia="黑体"/>
      <w:kern w:val="0"/>
      <w:sz w:val="24"/>
    </w:rPr>
  </w:style>
  <w:style w:type="paragraph" w:styleId="9">
    <w:name w:val="heading 9"/>
    <w:basedOn w:val="1"/>
    <w:next w:val="1"/>
    <w:qFormat/>
    <w:uiPriority w:val="0"/>
    <w:pPr>
      <w:keepNext/>
      <w:keepLines/>
      <w:widowControl/>
      <w:tabs>
        <w:tab w:val="left" w:pos="1584"/>
      </w:tabs>
      <w:spacing w:before="240" w:after="64" w:line="320" w:lineRule="auto"/>
      <w:ind w:left="1584" w:hanging="1584"/>
      <w:jc w:val="left"/>
      <w:outlineLvl w:val="8"/>
    </w:pPr>
    <w:rPr>
      <w:rFonts w:ascii="Arial" w:hAnsi="Arial" w:eastAsia="黑体"/>
      <w:kern w:val="0"/>
      <w:szCs w:val="21"/>
    </w:rPr>
  </w:style>
  <w:style w:type="character" w:default="1" w:styleId="46">
    <w:name w:val="Default Paragraph Font"/>
    <w:semiHidden/>
    <w:unhideWhenUsed/>
    <w:qFormat/>
    <w:uiPriority w:val="1"/>
  </w:style>
  <w:style w:type="table" w:default="1" w:styleId="44">
    <w:name w:val="Normal Table"/>
    <w:semiHidden/>
    <w:unhideWhenUsed/>
    <w:qFormat/>
    <w:uiPriority w:val="99"/>
    <w:tblPr>
      <w:tblCellMar>
        <w:top w:w="0" w:type="dxa"/>
        <w:left w:w="108" w:type="dxa"/>
        <w:bottom w:w="0" w:type="dxa"/>
        <w:right w:w="108" w:type="dxa"/>
      </w:tblCellMar>
    </w:tblPr>
  </w:style>
  <w:style w:type="paragraph" w:styleId="10">
    <w:name w:val="List 3"/>
    <w:basedOn w:val="1"/>
    <w:qFormat/>
    <w:uiPriority w:val="0"/>
    <w:pPr>
      <w:ind w:left="100" w:leftChars="400" w:hanging="200" w:hangingChars="200"/>
    </w:pPr>
  </w:style>
  <w:style w:type="paragraph" w:styleId="11">
    <w:name w:val="Normal Indent"/>
    <w:basedOn w:val="1"/>
    <w:link w:val="61"/>
    <w:qFormat/>
    <w:uiPriority w:val="0"/>
    <w:pPr>
      <w:ind w:firstLine="420"/>
    </w:pPr>
  </w:style>
  <w:style w:type="paragraph" w:styleId="12">
    <w:name w:val="caption"/>
    <w:basedOn w:val="1"/>
    <w:next w:val="1"/>
    <w:qFormat/>
    <w:uiPriority w:val="0"/>
    <w:pPr>
      <w:spacing w:before="152" w:after="160"/>
    </w:pPr>
    <w:rPr>
      <w:rFonts w:ascii="Arial" w:hAnsi="Arial" w:eastAsia="黑体" w:cs="Arial"/>
      <w:sz w:val="20"/>
      <w:szCs w:val="20"/>
    </w:rPr>
  </w:style>
  <w:style w:type="paragraph" w:styleId="13">
    <w:name w:val="Document Map"/>
    <w:basedOn w:val="1"/>
    <w:semiHidden/>
    <w:qFormat/>
    <w:uiPriority w:val="0"/>
    <w:pPr>
      <w:shd w:val="clear" w:color="auto" w:fill="000080"/>
    </w:pPr>
  </w:style>
  <w:style w:type="paragraph" w:styleId="14">
    <w:name w:val="annotation text"/>
    <w:basedOn w:val="1"/>
    <w:link w:val="71"/>
    <w:semiHidden/>
    <w:qFormat/>
    <w:uiPriority w:val="0"/>
    <w:pPr>
      <w:adjustRightInd w:val="0"/>
      <w:jc w:val="left"/>
      <w:textAlignment w:val="baseline"/>
    </w:pPr>
    <w:rPr>
      <w:rFonts w:ascii="MingLiU" w:hAnsi="Tahoma" w:eastAsia="MingLiU"/>
      <w:kern w:val="0"/>
      <w:sz w:val="24"/>
      <w:szCs w:val="20"/>
      <w:lang w:eastAsia="zh-TW"/>
    </w:rPr>
  </w:style>
  <w:style w:type="paragraph" w:styleId="15">
    <w:name w:val="Body Text 3"/>
    <w:basedOn w:val="1"/>
    <w:link w:val="74"/>
    <w:qFormat/>
    <w:uiPriority w:val="0"/>
    <w:rPr>
      <w:rFonts w:ascii="宋体" w:hAnsi="Tahoma"/>
      <w:sz w:val="24"/>
      <w:szCs w:val="20"/>
    </w:rPr>
  </w:style>
  <w:style w:type="paragraph" w:styleId="16">
    <w:name w:val="Body Text"/>
    <w:basedOn w:val="1"/>
    <w:link w:val="164"/>
    <w:qFormat/>
    <w:uiPriority w:val="0"/>
    <w:pPr>
      <w:spacing w:after="120"/>
    </w:pPr>
  </w:style>
  <w:style w:type="paragraph" w:styleId="17">
    <w:name w:val="Body Text Indent"/>
    <w:basedOn w:val="1"/>
    <w:link w:val="83"/>
    <w:qFormat/>
    <w:uiPriority w:val="99"/>
    <w:pPr>
      <w:spacing w:after="120"/>
      <w:ind w:left="420" w:leftChars="200"/>
    </w:pPr>
  </w:style>
  <w:style w:type="paragraph" w:styleId="18">
    <w:name w:val="List 2"/>
    <w:basedOn w:val="1"/>
    <w:qFormat/>
    <w:uiPriority w:val="0"/>
    <w:pPr>
      <w:ind w:left="100" w:leftChars="200" w:hanging="200" w:hangingChars="200"/>
    </w:pPr>
  </w:style>
  <w:style w:type="paragraph" w:styleId="19">
    <w:name w:val="Block Text"/>
    <w:basedOn w:val="1"/>
    <w:qFormat/>
    <w:uiPriority w:val="0"/>
    <w:pPr>
      <w:ind w:left="-716" w:leftChars="-342" w:right="-874" w:rightChars="-416" w:hanging="2"/>
    </w:pPr>
    <w:rPr>
      <w:sz w:val="28"/>
    </w:rPr>
  </w:style>
  <w:style w:type="paragraph" w:styleId="20">
    <w:name w:val="List Bullet 2"/>
    <w:basedOn w:val="1"/>
    <w:qFormat/>
    <w:uiPriority w:val="0"/>
    <w:pPr>
      <w:tabs>
        <w:tab w:val="left" w:pos="780"/>
      </w:tabs>
      <w:ind w:left="780" w:hanging="360"/>
    </w:pPr>
  </w:style>
  <w:style w:type="paragraph" w:styleId="21">
    <w:name w:val="toc 3"/>
    <w:basedOn w:val="1"/>
    <w:next w:val="1"/>
    <w:semiHidden/>
    <w:qFormat/>
    <w:uiPriority w:val="0"/>
    <w:pPr>
      <w:ind w:left="840" w:leftChars="400"/>
    </w:pPr>
  </w:style>
  <w:style w:type="paragraph" w:styleId="22">
    <w:name w:val="Plain Text"/>
    <w:basedOn w:val="1"/>
    <w:link w:val="60"/>
    <w:qFormat/>
    <w:uiPriority w:val="0"/>
    <w:rPr>
      <w:rFonts w:ascii="宋体" w:hAnsi="Courier New"/>
      <w:szCs w:val="21"/>
    </w:rPr>
  </w:style>
  <w:style w:type="paragraph" w:styleId="23">
    <w:name w:val="Date"/>
    <w:basedOn w:val="1"/>
    <w:next w:val="1"/>
    <w:link w:val="78"/>
    <w:qFormat/>
    <w:uiPriority w:val="0"/>
    <w:pPr>
      <w:ind w:left="100" w:leftChars="2500"/>
    </w:pPr>
  </w:style>
  <w:style w:type="paragraph" w:styleId="24">
    <w:name w:val="Body Text Indent 2"/>
    <w:basedOn w:val="1"/>
    <w:link w:val="90"/>
    <w:qFormat/>
    <w:uiPriority w:val="0"/>
    <w:pPr>
      <w:adjustRightInd w:val="0"/>
      <w:snapToGrid w:val="0"/>
      <w:spacing w:line="300" w:lineRule="auto"/>
      <w:ind w:right="-512" w:rightChars="-244" w:firstLine="567"/>
    </w:pPr>
    <w:rPr>
      <w:rFonts w:eastAsia="仿宋_GB2312"/>
      <w:snapToGrid w:val="0"/>
      <w:sz w:val="24"/>
    </w:rPr>
  </w:style>
  <w:style w:type="paragraph" w:styleId="25">
    <w:name w:val="Balloon Text"/>
    <w:basedOn w:val="1"/>
    <w:link w:val="86"/>
    <w:qFormat/>
    <w:uiPriority w:val="0"/>
    <w:rPr>
      <w:rFonts w:ascii="Tahoma" w:hAnsi="Tahoma"/>
      <w:sz w:val="18"/>
      <w:szCs w:val="18"/>
    </w:rPr>
  </w:style>
  <w:style w:type="paragraph" w:styleId="26">
    <w:name w:val="footer"/>
    <w:basedOn w:val="1"/>
    <w:link w:val="84"/>
    <w:qFormat/>
    <w:uiPriority w:val="99"/>
    <w:pPr>
      <w:tabs>
        <w:tab w:val="center" w:pos="4153"/>
        <w:tab w:val="right" w:pos="8306"/>
      </w:tabs>
      <w:snapToGrid w:val="0"/>
      <w:jc w:val="left"/>
    </w:pPr>
    <w:rPr>
      <w:sz w:val="18"/>
      <w:szCs w:val="18"/>
    </w:rPr>
  </w:style>
  <w:style w:type="paragraph" w:styleId="2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28">
    <w:name w:val="toc 1"/>
    <w:basedOn w:val="1"/>
    <w:next w:val="1"/>
    <w:qFormat/>
    <w:uiPriority w:val="39"/>
    <w:pPr>
      <w:spacing w:line="440" w:lineRule="exact"/>
      <w:jc w:val="center"/>
    </w:pPr>
  </w:style>
  <w:style w:type="paragraph" w:styleId="29">
    <w:name w:val="toc 4"/>
    <w:basedOn w:val="1"/>
    <w:next w:val="1"/>
    <w:semiHidden/>
    <w:qFormat/>
    <w:uiPriority w:val="0"/>
    <w:pPr>
      <w:ind w:left="1260" w:leftChars="600"/>
    </w:pPr>
  </w:style>
  <w:style w:type="paragraph" w:styleId="30">
    <w:name w:val="Subtitle"/>
    <w:basedOn w:val="1"/>
    <w:next w:val="1"/>
    <w:link w:val="65"/>
    <w:qFormat/>
    <w:uiPriority w:val="0"/>
    <w:pPr>
      <w:spacing w:before="240" w:after="60" w:line="312" w:lineRule="auto"/>
      <w:jc w:val="center"/>
      <w:outlineLvl w:val="1"/>
    </w:pPr>
    <w:rPr>
      <w:rFonts w:ascii="Cambria" w:hAnsi="Cambria" w:eastAsia="黑体"/>
      <w:bCs/>
      <w:kern w:val="28"/>
      <w:sz w:val="32"/>
      <w:szCs w:val="32"/>
    </w:rPr>
  </w:style>
  <w:style w:type="paragraph" w:styleId="31">
    <w:name w:val="List"/>
    <w:basedOn w:val="1"/>
    <w:qFormat/>
    <w:uiPriority w:val="0"/>
    <w:pPr>
      <w:ind w:left="420" w:hanging="420"/>
    </w:pPr>
    <w:rPr>
      <w:szCs w:val="20"/>
    </w:rPr>
  </w:style>
  <w:style w:type="paragraph" w:styleId="32">
    <w:name w:val="toc 6"/>
    <w:basedOn w:val="1"/>
    <w:next w:val="1"/>
    <w:semiHidden/>
    <w:qFormat/>
    <w:uiPriority w:val="0"/>
    <w:pPr>
      <w:ind w:left="2100" w:leftChars="1000"/>
    </w:pPr>
  </w:style>
  <w:style w:type="paragraph" w:styleId="33">
    <w:name w:val="Body Text Indent 3"/>
    <w:basedOn w:val="1"/>
    <w:qFormat/>
    <w:uiPriority w:val="0"/>
    <w:pPr>
      <w:spacing w:after="120"/>
      <w:ind w:left="420" w:leftChars="200"/>
    </w:pPr>
    <w:rPr>
      <w:sz w:val="16"/>
      <w:szCs w:val="16"/>
    </w:rPr>
  </w:style>
  <w:style w:type="paragraph" w:styleId="34">
    <w:name w:val="toc 2"/>
    <w:basedOn w:val="1"/>
    <w:next w:val="1"/>
    <w:qFormat/>
    <w:uiPriority w:val="39"/>
    <w:pPr>
      <w:ind w:left="420" w:leftChars="200"/>
    </w:pPr>
  </w:style>
  <w:style w:type="paragraph" w:styleId="35">
    <w:name w:val="Body Text 2"/>
    <w:basedOn w:val="1"/>
    <w:qFormat/>
    <w:uiPriority w:val="0"/>
    <w:pPr>
      <w:spacing w:after="120" w:line="480" w:lineRule="auto"/>
    </w:pPr>
  </w:style>
  <w:style w:type="paragraph" w:styleId="36">
    <w:name w:val="List 4"/>
    <w:basedOn w:val="1"/>
    <w:qFormat/>
    <w:uiPriority w:val="0"/>
    <w:pPr>
      <w:ind w:left="100" w:leftChars="600" w:hanging="200" w:hangingChars="200"/>
    </w:pPr>
  </w:style>
  <w:style w:type="paragraph" w:styleId="37">
    <w:name w:val="List Continue 2"/>
    <w:basedOn w:val="1"/>
    <w:qFormat/>
    <w:uiPriority w:val="0"/>
    <w:pPr>
      <w:spacing w:after="120"/>
      <w:ind w:left="840" w:leftChars="400"/>
    </w:pPr>
  </w:style>
  <w:style w:type="paragraph" w:styleId="38">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atLeast"/>
      <w:jc w:val="left"/>
    </w:pPr>
    <w:rPr>
      <w:rFonts w:eastAsia="黑体" w:cs="Courier New"/>
      <w:kern w:val="0"/>
      <w:sz w:val="18"/>
      <w:szCs w:val="18"/>
    </w:rPr>
  </w:style>
  <w:style w:type="paragraph" w:styleId="39">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40">
    <w:name w:val="index 1"/>
    <w:basedOn w:val="1"/>
    <w:next w:val="1"/>
    <w:semiHidden/>
    <w:qFormat/>
    <w:uiPriority w:val="0"/>
    <w:pPr>
      <w:spacing w:line="220" w:lineRule="exact"/>
      <w:jc w:val="center"/>
    </w:pPr>
    <w:rPr>
      <w:rFonts w:ascii="仿宋_GB2312" w:eastAsia="仿宋_GB2312"/>
      <w:szCs w:val="21"/>
    </w:rPr>
  </w:style>
  <w:style w:type="paragraph" w:styleId="41">
    <w:name w:val="index 2"/>
    <w:basedOn w:val="1"/>
    <w:next w:val="1"/>
    <w:semiHidden/>
    <w:qFormat/>
    <w:uiPriority w:val="0"/>
    <w:pPr>
      <w:widowControl/>
      <w:ind w:left="200" w:leftChars="200"/>
      <w:jc w:val="left"/>
    </w:pPr>
    <w:rPr>
      <w:kern w:val="0"/>
      <w:sz w:val="20"/>
      <w:szCs w:val="20"/>
    </w:rPr>
  </w:style>
  <w:style w:type="paragraph" w:styleId="42">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43">
    <w:name w:val="annotation subject"/>
    <w:basedOn w:val="14"/>
    <w:next w:val="14"/>
    <w:semiHidden/>
    <w:qFormat/>
    <w:uiPriority w:val="0"/>
    <w:pPr>
      <w:adjustRightInd/>
      <w:textAlignment w:val="auto"/>
    </w:pPr>
    <w:rPr>
      <w:rFonts w:ascii="Times New Roman" w:eastAsia="宋体"/>
      <w:b/>
      <w:bCs/>
      <w:kern w:val="2"/>
      <w:sz w:val="21"/>
      <w:szCs w:val="24"/>
      <w:lang w:eastAsia="zh-CN"/>
    </w:rPr>
  </w:style>
  <w:style w:type="table" w:styleId="45">
    <w:name w:val="Table Grid"/>
    <w:basedOn w:val="4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47">
    <w:name w:val="Strong"/>
    <w:qFormat/>
    <w:uiPriority w:val="0"/>
    <w:rPr>
      <w:rFonts w:ascii="Tahoma" w:hAnsi="Tahoma"/>
      <w:b/>
      <w:bCs/>
      <w:sz w:val="24"/>
      <w:szCs w:val="20"/>
    </w:rPr>
  </w:style>
  <w:style w:type="character" w:styleId="48">
    <w:name w:val="page number"/>
    <w:basedOn w:val="46"/>
    <w:qFormat/>
    <w:uiPriority w:val="0"/>
  </w:style>
  <w:style w:type="character" w:styleId="49">
    <w:name w:val="FollowedHyperlink"/>
    <w:qFormat/>
    <w:uiPriority w:val="0"/>
    <w:rPr>
      <w:rFonts w:ascii="Tahoma" w:hAnsi="Tahoma"/>
      <w:color w:val="800080"/>
      <w:sz w:val="24"/>
      <w:szCs w:val="20"/>
      <w:u w:val="single"/>
    </w:rPr>
  </w:style>
  <w:style w:type="character" w:styleId="50">
    <w:name w:val="Emphasis"/>
    <w:qFormat/>
    <w:uiPriority w:val="0"/>
    <w:rPr>
      <w:rFonts w:ascii="Tahoma" w:hAnsi="Tahoma"/>
      <w:color w:val="CC0000"/>
      <w:sz w:val="24"/>
      <w:szCs w:val="20"/>
    </w:rPr>
  </w:style>
  <w:style w:type="character" w:styleId="51">
    <w:name w:val="HTML Definition"/>
    <w:basedOn w:val="46"/>
    <w:semiHidden/>
    <w:unhideWhenUsed/>
    <w:qFormat/>
    <w:uiPriority w:val="0"/>
  </w:style>
  <w:style w:type="character" w:styleId="52">
    <w:name w:val="HTML Acronym"/>
    <w:basedOn w:val="46"/>
    <w:semiHidden/>
    <w:unhideWhenUsed/>
    <w:qFormat/>
    <w:uiPriority w:val="0"/>
  </w:style>
  <w:style w:type="character" w:styleId="53">
    <w:name w:val="HTML Variable"/>
    <w:basedOn w:val="46"/>
    <w:semiHidden/>
    <w:unhideWhenUsed/>
    <w:qFormat/>
    <w:uiPriority w:val="0"/>
  </w:style>
  <w:style w:type="character" w:styleId="54">
    <w:name w:val="Hyperlink"/>
    <w:qFormat/>
    <w:uiPriority w:val="0"/>
    <w:rPr>
      <w:rFonts w:ascii="Tahoma" w:hAnsi="Tahoma"/>
      <w:color w:val="0000FF"/>
      <w:sz w:val="24"/>
      <w:szCs w:val="20"/>
      <w:u w:val="single"/>
    </w:rPr>
  </w:style>
  <w:style w:type="character" w:styleId="55">
    <w:name w:val="HTML Code"/>
    <w:basedOn w:val="46"/>
    <w:semiHidden/>
    <w:unhideWhenUsed/>
    <w:qFormat/>
    <w:uiPriority w:val="0"/>
    <w:rPr>
      <w:rFonts w:ascii="Courier New" w:hAnsi="Courier New"/>
      <w:sz w:val="20"/>
    </w:rPr>
  </w:style>
  <w:style w:type="character" w:styleId="56">
    <w:name w:val="annotation reference"/>
    <w:unhideWhenUsed/>
    <w:qFormat/>
    <w:uiPriority w:val="0"/>
    <w:rPr>
      <w:sz w:val="21"/>
      <w:szCs w:val="21"/>
    </w:rPr>
  </w:style>
  <w:style w:type="character" w:styleId="57">
    <w:name w:val="HTML Cite"/>
    <w:basedOn w:val="46"/>
    <w:semiHidden/>
    <w:unhideWhenUsed/>
    <w:qFormat/>
    <w:uiPriority w:val="0"/>
  </w:style>
  <w:style w:type="character" w:customStyle="1" w:styleId="58">
    <w:name w:val="标题 1 Char1"/>
    <w:link w:val="2"/>
    <w:qFormat/>
    <w:uiPriority w:val="0"/>
    <w:rPr>
      <w:rFonts w:ascii="Tahoma" w:hAnsi="Tahoma" w:eastAsia="宋体"/>
      <w:b/>
      <w:bCs/>
      <w:kern w:val="44"/>
      <w:sz w:val="44"/>
      <w:szCs w:val="44"/>
      <w:lang w:val="en-US" w:eastAsia="zh-CN" w:bidi="ar-SA"/>
    </w:rPr>
  </w:style>
  <w:style w:type="character" w:customStyle="1" w:styleId="59">
    <w:name w:val="Char Char12"/>
    <w:qFormat/>
    <w:uiPriority w:val="0"/>
    <w:rPr>
      <w:rFonts w:ascii="宋体" w:hAnsi="Tahoma" w:eastAsia="宋体"/>
      <w:kern w:val="2"/>
      <w:sz w:val="24"/>
      <w:szCs w:val="20"/>
      <w:lang w:val="en-US" w:eastAsia="zh-CN" w:bidi="ar-SA"/>
    </w:rPr>
  </w:style>
  <w:style w:type="character" w:customStyle="1" w:styleId="60">
    <w:name w:val="纯文本 Char"/>
    <w:link w:val="22"/>
    <w:qFormat/>
    <w:uiPriority w:val="0"/>
    <w:rPr>
      <w:rFonts w:ascii="宋体" w:hAnsi="Courier New" w:eastAsia="宋体"/>
      <w:kern w:val="2"/>
      <w:sz w:val="21"/>
      <w:szCs w:val="21"/>
      <w:lang w:val="en-US" w:eastAsia="zh-CN" w:bidi="ar-SA"/>
    </w:rPr>
  </w:style>
  <w:style w:type="character" w:customStyle="1" w:styleId="61">
    <w:name w:val="正文缩进 Char"/>
    <w:link w:val="11"/>
    <w:qFormat/>
    <w:uiPriority w:val="0"/>
    <w:rPr>
      <w:kern w:val="2"/>
      <w:sz w:val="21"/>
      <w:szCs w:val="24"/>
    </w:rPr>
  </w:style>
  <w:style w:type="character" w:customStyle="1" w:styleId="62">
    <w:name w:val="Char Char2"/>
    <w:qFormat/>
    <w:uiPriority w:val="0"/>
    <w:rPr>
      <w:rFonts w:ascii="Arial" w:hAnsi="Arial" w:eastAsia="黑体"/>
      <w:b/>
      <w:bCs/>
      <w:kern w:val="2"/>
      <w:sz w:val="32"/>
      <w:szCs w:val="32"/>
      <w:lang w:val="en-US" w:eastAsia="zh-CN" w:bidi="ar-SA"/>
    </w:rPr>
  </w:style>
  <w:style w:type="character" w:customStyle="1" w:styleId="63">
    <w:name w:val="表中五号字 Char"/>
    <w:link w:val="64"/>
    <w:qFormat/>
    <w:locked/>
    <w:uiPriority w:val="0"/>
    <w:rPr>
      <w:bCs/>
      <w:kern w:val="2"/>
      <w:sz w:val="21"/>
      <w:szCs w:val="21"/>
      <w:lang w:val="en-US" w:eastAsia="zh-CN" w:bidi="ar-SA"/>
    </w:rPr>
  </w:style>
  <w:style w:type="paragraph" w:customStyle="1" w:styleId="64">
    <w:name w:val="表中五号字"/>
    <w:link w:val="63"/>
    <w:qFormat/>
    <w:uiPriority w:val="0"/>
    <w:pPr>
      <w:jc w:val="center"/>
    </w:pPr>
    <w:rPr>
      <w:rFonts w:ascii="Times New Roman" w:hAnsi="Times New Roman" w:eastAsia="宋体" w:cs="Times New Roman"/>
      <w:bCs/>
      <w:kern w:val="2"/>
      <w:sz w:val="21"/>
      <w:szCs w:val="21"/>
      <w:lang w:val="en-US" w:eastAsia="zh-CN" w:bidi="ar-SA"/>
    </w:rPr>
  </w:style>
  <w:style w:type="character" w:customStyle="1" w:styleId="65">
    <w:name w:val="副标题 Char"/>
    <w:link w:val="30"/>
    <w:qFormat/>
    <w:uiPriority w:val="0"/>
    <w:rPr>
      <w:rFonts w:ascii="Cambria" w:hAnsi="Cambria" w:eastAsia="黑体"/>
      <w:bCs/>
      <w:kern w:val="28"/>
      <w:sz w:val="32"/>
      <w:szCs w:val="32"/>
    </w:rPr>
  </w:style>
  <w:style w:type="character" w:customStyle="1" w:styleId="66">
    <w:name w:val="样式 标题 3 + (中文) 黑体 Char"/>
    <w:link w:val="67"/>
    <w:qFormat/>
    <w:uiPriority w:val="0"/>
    <w:rPr>
      <w:rFonts w:eastAsia="黑体"/>
      <w:b/>
      <w:bCs/>
      <w:color w:val="000000"/>
      <w:sz w:val="28"/>
      <w:szCs w:val="32"/>
    </w:rPr>
  </w:style>
  <w:style w:type="paragraph" w:customStyle="1" w:styleId="67">
    <w:name w:val="样式 标题 3 + (中文) 黑体"/>
    <w:basedOn w:val="4"/>
    <w:link w:val="66"/>
    <w:qFormat/>
    <w:uiPriority w:val="0"/>
    <w:pPr>
      <w:tabs>
        <w:tab w:val="left" w:pos="2160"/>
      </w:tabs>
      <w:spacing w:before="120" w:after="120" w:line="360" w:lineRule="auto"/>
      <w:ind w:left="2160" w:hanging="720"/>
    </w:pPr>
    <w:rPr>
      <w:rFonts w:eastAsia="黑体"/>
      <w:color w:val="000000"/>
      <w:kern w:val="0"/>
      <w:sz w:val="28"/>
    </w:rPr>
  </w:style>
  <w:style w:type="character" w:customStyle="1" w:styleId="68">
    <w:name w:val="Char Char5"/>
    <w:qFormat/>
    <w:uiPriority w:val="0"/>
    <w:rPr>
      <w:rFonts w:ascii="Tahoma" w:hAnsi="Tahoma" w:eastAsia="宋体"/>
      <w:kern w:val="2"/>
      <w:sz w:val="18"/>
      <w:szCs w:val="18"/>
      <w:lang w:val="en-US" w:eastAsia="zh-CN" w:bidi="ar-SA"/>
    </w:rPr>
  </w:style>
  <w:style w:type="character" w:customStyle="1" w:styleId="69">
    <w:name w:val="标题 4 Char"/>
    <w:link w:val="5"/>
    <w:qFormat/>
    <w:uiPriority w:val="0"/>
    <w:rPr>
      <w:rFonts w:ascii="Arial" w:hAnsi="Arial" w:eastAsia="黑体"/>
      <w:b/>
      <w:bCs/>
      <w:kern w:val="2"/>
      <w:sz w:val="28"/>
      <w:szCs w:val="28"/>
    </w:rPr>
  </w:style>
  <w:style w:type="character" w:customStyle="1" w:styleId="70">
    <w:name w:val="style31"/>
    <w:qFormat/>
    <w:uiPriority w:val="0"/>
    <w:rPr>
      <w:rFonts w:ascii="Tahoma" w:hAnsi="Tahoma"/>
      <w:sz w:val="18"/>
      <w:szCs w:val="18"/>
    </w:rPr>
  </w:style>
  <w:style w:type="character" w:customStyle="1" w:styleId="71">
    <w:name w:val="批注文字 Char"/>
    <w:link w:val="14"/>
    <w:qFormat/>
    <w:uiPriority w:val="0"/>
    <w:rPr>
      <w:rFonts w:ascii="MingLiU" w:hAnsi="Tahoma" w:eastAsia="MingLiU"/>
      <w:sz w:val="24"/>
      <w:szCs w:val="20"/>
      <w:lang w:val="en-US" w:eastAsia="zh-TW" w:bidi="ar-SA"/>
    </w:rPr>
  </w:style>
  <w:style w:type="character" w:customStyle="1" w:styleId="72">
    <w:name w:val="Char Char"/>
    <w:qFormat/>
    <w:uiPriority w:val="0"/>
    <w:rPr>
      <w:rFonts w:ascii="Tahoma" w:hAnsi="Tahoma"/>
      <w:kern w:val="2"/>
      <w:sz w:val="18"/>
      <w:szCs w:val="18"/>
    </w:rPr>
  </w:style>
  <w:style w:type="character" w:customStyle="1" w:styleId="73">
    <w:name w:val="标题 3 Char"/>
    <w:link w:val="4"/>
    <w:qFormat/>
    <w:uiPriority w:val="0"/>
    <w:rPr>
      <w:b/>
      <w:bCs/>
      <w:kern w:val="2"/>
      <w:sz w:val="32"/>
      <w:szCs w:val="32"/>
    </w:rPr>
  </w:style>
  <w:style w:type="character" w:customStyle="1" w:styleId="74">
    <w:name w:val="正文文本 3 Char1"/>
    <w:link w:val="15"/>
    <w:qFormat/>
    <w:uiPriority w:val="0"/>
    <w:rPr>
      <w:rFonts w:ascii="宋体" w:hAnsi="Tahoma" w:eastAsia="宋体"/>
      <w:kern w:val="2"/>
      <w:sz w:val="24"/>
      <w:szCs w:val="20"/>
      <w:lang w:val="en-US" w:eastAsia="zh-CN" w:bidi="ar-SA"/>
    </w:rPr>
  </w:style>
  <w:style w:type="character" w:customStyle="1" w:styleId="75">
    <w:name w:val="样式 Char"/>
    <w:link w:val="76"/>
    <w:qFormat/>
    <w:uiPriority w:val="0"/>
    <w:rPr>
      <w:rFonts w:ascii="宋体" w:hAnsi="宋体" w:cs="宋体"/>
      <w:sz w:val="24"/>
      <w:szCs w:val="24"/>
      <w:lang w:val="en-US" w:eastAsia="zh-CN" w:bidi="ar-SA"/>
    </w:rPr>
  </w:style>
  <w:style w:type="paragraph" w:customStyle="1" w:styleId="76">
    <w:name w:val="样式"/>
    <w:link w:val="75"/>
    <w:qFormat/>
    <w:uiPriority w:val="0"/>
    <w:pPr>
      <w:widowControl w:val="0"/>
      <w:autoSpaceDE w:val="0"/>
      <w:autoSpaceDN w:val="0"/>
      <w:adjustRightInd w:val="0"/>
    </w:pPr>
    <w:rPr>
      <w:rFonts w:ascii="宋体" w:hAnsi="宋体" w:eastAsia="宋体" w:cs="宋体"/>
      <w:sz w:val="24"/>
      <w:szCs w:val="24"/>
      <w:lang w:val="en-US" w:eastAsia="zh-CN" w:bidi="ar-SA"/>
    </w:rPr>
  </w:style>
  <w:style w:type="character" w:customStyle="1" w:styleId="77">
    <w:name w:val="textcontents"/>
    <w:basedOn w:val="46"/>
    <w:qFormat/>
    <w:uiPriority w:val="0"/>
  </w:style>
  <w:style w:type="character" w:customStyle="1" w:styleId="78">
    <w:name w:val="日期 Char"/>
    <w:link w:val="23"/>
    <w:qFormat/>
    <w:uiPriority w:val="0"/>
    <w:rPr>
      <w:kern w:val="2"/>
      <w:sz w:val="21"/>
      <w:szCs w:val="24"/>
    </w:rPr>
  </w:style>
  <w:style w:type="character" w:customStyle="1" w:styleId="79">
    <w:name w:val="标题 1 Char"/>
    <w:qFormat/>
    <w:uiPriority w:val="0"/>
    <w:rPr>
      <w:rFonts w:ascii="仿宋_GB2312" w:hAnsi="Tahoma" w:eastAsia="黑体"/>
      <w:kern w:val="2"/>
      <w:sz w:val="32"/>
      <w:szCs w:val="24"/>
      <w:lang w:val="en-US" w:eastAsia="zh-CN" w:bidi="ar-SA"/>
    </w:rPr>
  </w:style>
  <w:style w:type="character" w:customStyle="1" w:styleId="80">
    <w:name w:val="Char Char1"/>
    <w:qFormat/>
    <w:uiPriority w:val="0"/>
    <w:rPr>
      <w:rFonts w:ascii="MingLiU" w:hAnsi="Tahoma" w:eastAsia="MingLiU"/>
      <w:sz w:val="24"/>
      <w:szCs w:val="20"/>
      <w:lang w:val="en-US" w:eastAsia="zh-TW" w:bidi="ar-SA"/>
    </w:rPr>
  </w:style>
  <w:style w:type="character" w:customStyle="1" w:styleId="81">
    <w:name w:val="标题 2 Char"/>
    <w:link w:val="3"/>
    <w:qFormat/>
    <w:uiPriority w:val="0"/>
    <w:rPr>
      <w:rFonts w:ascii="Arial" w:hAnsi="Arial" w:eastAsia="黑体"/>
      <w:b/>
      <w:bCs/>
      <w:kern w:val="2"/>
      <w:sz w:val="32"/>
      <w:szCs w:val="32"/>
      <w:lang w:val="en-US" w:eastAsia="zh-CN" w:bidi="ar-SA"/>
    </w:rPr>
  </w:style>
  <w:style w:type="character" w:customStyle="1" w:styleId="82">
    <w:name w:val="htd01"/>
    <w:basedOn w:val="46"/>
    <w:qFormat/>
    <w:uiPriority w:val="0"/>
  </w:style>
  <w:style w:type="character" w:customStyle="1" w:styleId="83">
    <w:name w:val="正文文本缩进 Char"/>
    <w:link w:val="17"/>
    <w:qFormat/>
    <w:uiPriority w:val="99"/>
    <w:rPr>
      <w:kern w:val="2"/>
      <w:sz w:val="21"/>
      <w:szCs w:val="24"/>
    </w:rPr>
  </w:style>
  <w:style w:type="character" w:customStyle="1" w:styleId="84">
    <w:name w:val="页脚 Char"/>
    <w:link w:val="26"/>
    <w:qFormat/>
    <w:uiPriority w:val="99"/>
    <w:rPr>
      <w:kern w:val="2"/>
      <w:sz w:val="18"/>
      <w:szCs w:val="18"/>
    </w:rPr>
  </w:style>
  <w:style w:type="character" w:customStyle="1" w:styleId="85">
    <w:name w:val="font161"/>
    <w:qFormat/>
    <w:uiPriority w:val="0"/>
    <w:rPr>
      <w:rFonts w:ascii="Tahoma" w:hAnsi="Tahoma"/>
      <w:b/>
      <w:bCs/>
      <w:sz w:val="32"/>
      <w:szCs w:val="32"/>
    </w:rPr>
  </w:style>
  <w:style w:type="character" w:customStyle="1" w:styleId="86">
    <w:name w:val="批注框文本 Char"/>
    <w:link w:val="25"/>
    <w:qFormat/>
    <w:uiPriority w:val="0"/>
    <w:rPr>
      <w:rFonts w:ascii="Tahoma" w:hAnsi="Tahoma"/>
      <w:kern w:val="2"/>
      <w:sz w:val="18"/>
      <w:szCs w:val="18"/>
    </w:rPr>
  </w:style>
  <w:style w:type="character" w:customStyle="1" w:styleId="87">
    <w:name w:val="样式 标题 1 + 小四 Char"/>
    <w:basedOn w:val="79"/>
    <w:qFormat/>
    <w:uiPriority w:val="0"/>
    <w:rPr>
      <w:rFonts w:ascii="仿宋_GB2312" w:hAnsi="Tahoma" w:eastAsia="黑体"/>
      <w:kern w:val="2"/>
      <w:sz w:val="32"/>
      <w:szCs w:val="24"/>
      <w:lang w:val="en-US" w:eastAsia="zh-CN" w:bidi="ar-SA"/>
    </w:rPr>
  </w:style>
  <w:style w:type="character" w:customStyle="1" w:styleId="88">
    <w:name w:val="Char Char3"/>
    <w:qFormat/>
    <w:uiPriority w:val="0"/>
    <w:rPr>
      <w:rFonts w:ascii="Tahoma" w:hAnsi="Tahoma" w:eastAsia="宋体"/>
      <w:b/>
      <w:bCs/>
      <w:kern w:val="44"/>
      <w:sz w:val="44"/>
      <w:szCs w:val="44"/>
      <w:lang w:val="en-US" w:eastAsia="zh-CN" w:bidi="ar-SA"/>
    </w:rPr>
  </w:style>
  <w:style w:type="character" w:customStyle="1" w:styleId="89">
    <w:name w:val="正文文本 3 Char"/>
    <w:qFormat/>
    <w:uiPriority w:val="0"/>
    <w:rPr>
      <w:rFonts w:ascii="宋体" w:hAnsi="Tahoma" w:eastAsia="宋体"/>
      <w:kern w:val="2"/>
      <w:sz w:val="24"/>
      <w:szCs w:val="20"/>
      <w:lang w:val="en-US" w:eastAsia="zh-CN" w:bidi="ar-SA"/>
    </w:rPr>
  </w:style>
  <w:style w:type="character" w:customStyle="1" w:styleId="90">
    <w:name w:val="正文文本缩进 2 Char"/>
    <w:link w:val="24"/>
    <w:qFormat/>
    <w:uiPriority w:val="0"/>
    <w:rPr>
      <w:rFonts w:eastAsia="仿宋_GB2312"/>
      <w:snapToGrid w:val="0"/>
      <w:kern w:val="2"/>
      <w:sz w:val="24"/>
      <w:szCs w:val="24"/>
    </w:rPr>
  </w:style>
  <w:style w:type="character" w:customStyle="1" w:styleId="91">
    <w:name w:val="文字 Char"/>
    <w:link w:val="92"/>
    <w:qFormat/>
    <w:uiPriority w:val="0"/>
    <w:rPr>
      <w:rFonts w:ascii="仿宋_GB2312" w:eastAsia="仿宋_GB2312"/>
      <w:sz w:val="24"/>
      <w:szCs w:val="21"/>
    </w:rPr>
  </w:style>
  <w:style w:type="paragraph" w:customStyle="1" w:styleId="92">
    <w:name w:val="文字"/>
    <w:basedOn w:val="1"/>
    <w:link w:val="91"/>
    <w:qFormat/>
    <w:uiPriority w:val="0"/>
    <w:pPr>
      <w:spacing w:afterLines="50" w:line="300" w:lineRule="auto"/>
      <w:ind w:firstLine="200" w:firstLineChars="200"/>
    </w:pPr>
    <w:rPr>
      <w:rFonts w:ascii="仿宋_GB2312" w:eastAsia="仿宋_GB2312"/>
      <w:kern w:val="0"/>
      <w:sz w:val="24"/>
      <w:szCs w:val="21"/>
    </w:rPr>
  </w:style>
  <w:style w:type="character" w:customStyle="1" w:styleId="93">
    <w:name w:val="表号 图号 Char"/>
    <w:link w:val="94"/>
    <w:qFormat/>
    <w:locked/>
    <w:uiPriority w:val="0"/>
    <w:rPr>
      <w:rFonts w:eastAsia="黑体"/>
      <w:sz w:val="24"/>
      <w:szCs w:val="24"/>
    </w:rPr>
  </w:style>
  <w:style w:type="paragraph" w:customStyle="1" w:styleId="94">
    <w:name w:val="表号 图号"/>
    <w:basedOn w:val="1"/>
    <w:link w:val="93"/>
    <w:qFormat/>
    <w:uiPriority w:val="0"/>
    <w:pPr>
      <w:spacing w:line="520" w:lineRule="exact"/>
      <w:jc w:val="center"/>
    </w:pPr>
    <w:rPr>
      <w:rFonts w:eastAsia="黑体"/>
      <w:kern w:val="0"/>
      <w:sz w:val="24"/>
    </w:rPr>
  </w:style>
  <w:style w:type="character" w:customStyle="1" w:styleId="95">
    <w:name w:val="列出段落 Char"/>
    <w:link w:val="96"/>
    <w:qFormat/>
    <w:uiPriority w:val="34"/>
    <w:rPr>
      <w:rFonts w:ascii="Calibri" w:hAnsi="Calibri"/>
      <w:kern w:val="2"/>
      <w:sz w:val="21"/>
      <w:szCs w:val="22"/>
    </w:rPr>
  </w:style>
  <w:style w:type="paragraph" w:styleId="96">
    <w:name w:val="List Paragraph"/>
    <w:basedOn w:val="1"/>
    <w:link w:val="95"/>
    <w:qFormat/>
    <w:uiPriority w:val="34"/>
    <w:pPr>
      <w:spacing w:beforeLines="50" w:line="360" w:lineRule="auto"/>
      <w:ind w:firstLine="420" w:firstLineChars="200"/>
    </w:pPr>
    <w:rPr>
      <w:rFonts w:ascii="Calibri" w:hAnsi="Calibri"/>
      <w:szCs w:val="22"/>
    </w:rPr>
  </w:style>
  <w:style w:type="paragraph" w:customStyle="1" w:styleId="97">
    <w:name w:val="font5"/>
    <w:basedOn w:val="1"/>
    <w:qFormat/>
    <w:uiPriority w:val="0"/>
    <w:pPr>
      <w:widowControl/>
      <w:spacing w:before="100" w:beforeAutospacing="1" w:after="100" w:afterAutospacing="1"/>
      <w:jc w:val="left"/>
    </w:pPr>
    <w:rPr>
      <w:rFonts w:hint="eastAsia" w:ascii="宋体" w:hAnsi="宋体"/>
      <w:kern w:val="0"/>
      <w:sz w:val="18"/>
      <w:szCs w:val="18"/>
    </w:rPr>
  </w:style>
  <w:style w:type="paragraph" w:customStyle="1" w:styleId="98">
    <w:name w:val="Char Char Char"/>
    <w:basedOn w:val="1"/>
    <w:qFormat/>
    <w:uiPriority w:val="0"/>
    <w:rPr>
      <w:rFonts w:ascii="Tahoma" w:hAnsi="Tahoma"/>
      <w:sz w:val="24"/>
      <w:szCs w:val="20"/>
    </w:rPr>
  </w:style>
  <w:style w:type="paragraph" w:customStyle="1" w:styleId="99">
    <w:name w:val="Char"/>
    <w:basedOn w:val="1"/>
    <w:qFormat/>
    <w:uiPriority w:val="0"/>
  </w:style>
  <w:style w:type="paragraph" w:customStyle="1" w:styleId="100">
    <w:name w:val="默认段落字体 Para Char"/>
    <w:basedOn w:val="1"/>
    <w:qFormat/>
    <w:uiPriority w:val="0"/>
    <w:pPr>
      <w:spacing w:line="360" w:lineRule="auto"/>
      <w:ind w:firstLine="200" w:firstLineChars="200"/>
    </w:pPr>
    <w:rPr>
      <w:rFonts w:ascii="宋体" w:hAnsi="宋体" w:cs="宋体"/>
      <w:sz w:val="24"/>
    </w:rPr>
  </w:style>
  <w:style w:type="paragraph" w:customStyle="1" w:styleId="101">
    <w:name w:val="表格文字"/>
    <w:basedOn w:val="1"/>
    <w:qFormat/>
    <w:uiPriority w:val="0"/>
    <w:pPr>
      <w:adjustRightInd w:val="0"/>
      <w:spacing w:line="420" w:lineRule="atLeast"/>
      <w:jc w:val="left"/>
      <w:textAlignment w:val="baseline"/>
    </w:pPr>
    <w:rPr>
      <w:kern w:val="0"/>
      <w:szCs w:val="20"/>
    </w:rPr>
  </w:style>
  <w:style w:type="paragraph" w:customStyle="1" w:styleId="102">
    <w:name w:val="xl31"/>
    <w:basedOn w:val="1"/>
    <w:qFormat/>
    <w:uiPriority w:val="0"/>
    <w:pPr>
      <w:widowControl/>
      <w:pBdr>
        <w:left w:val="single" w:color="auto" w:sz="4" w:space="0"/>
        <w:bottom w:val="single" w:color="auto" w:sz="4" w:space="0"/>
      </w:pBdr>
      <w:spacing w:before="100" w:beforeAutospacing="1" w:after="100" w:afterAutospacing="1"/>
      <w:jc w:val="center"/>
      <w:textAlignment w:val="center"/>
    </w:pPr>
    <w:rPr>
      <w:rFonts w:ascii="宋体" w:hAnsi="宋体"/>
      <w:kern w:val="0"/>
      <w:sz w:val="24"/>
    </w:rPr>
  </w:style>
  <w:style w:type="paragraph" w:customStyle="1" w:styleId="103">
    <w:name w:val="Char Char Char1 Char"/>
    <w:basedOn w:val="3"/>
    <w:next w:val="1"/>
    <w:qFormat/>
    <w:uiPriority w:val="0"/>
    <w:pPr>
      <w:snapToGrid w:val="0"/>
      <w:spacing w:before="120" w:after="120" w:line="240" w:lineRule="auto"/>
      <w:jc w:val="left"/>
    </w:pPr>
    <w:rPr>
      <w:bCs w:val="0"/>
      <w:szCs w:val="20"/>
    </w:rPr>
  </w:style>
  <w:style w:type="paragraph" w:customStyle="1" w:styleId="104">
    <w:name w:val="xl27"/>
    <w:basedOn w:val="1"/>
    <w:qFormat/>
    <w:uiPriority w:val="0"/>
    <w:pPr>
      <w:widowControl/>
      <w:spacing w:before="100" w:beforeAutospacing="1" w:after="100" w:afterAutospacing="1"/>
      <w:jc w:val="center"/>
    </w:pPr>
    <w:rPr>
      <w:rFonts w:ascii="宋体" w:hAnsi="宋体"/>
      <w:kern w:val="0"/>
      <w:sz w:val="28"/>
      <w:szCs w:val="28"/>
    </w:rPr>
  </w:style>
  <w:style w:type="paragraph" w:customStyle="1" w:styleId="105">
    <w:name w:val="Char2"/>
    <w:basedOn w:val="1"/>
    <w:qFormat/>
    <w:uiPriority w:val="0"/>
    <w:rPr>
      <w:rFonts w:ascii="Tahoma" w:hAnsi="Tahoma"/>
      <w:sz w:val="24"/>
      <w:szCs w:val="20"/>
    </w:rPr>
  </w:style>
  <w:style w:type="paragraph" w:customStyle="1" w:styleId="106">
    <w:name w:val="Char1"/>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107">
    <w:name w:val="标题3"/>
    <w:basedOn w:val="4"/>
    <w:qFormat/>
    <w:uiPriority w:val="0"/>
    <w:pPr>
      <w:adjustRightInd w:val="0"/>
      <w:snapToGrid w:val="0"/>
      <w:spacing w:beforeLines="100" w:afterLines="100" w:line="240" w:lineRule="auto"/>
      <w:jc w:val="center"/>
    </w:pPr>
    <w:rPr>
      <w:rFonts w:eastAsia="黑体"/>
      <w:sz w:val="28"/>
      <w:szCs w:val="20"/>
    </w:rPr>
  </w:style>
  <w:style w:type="paragraph" w:customStyle="1" w:styleId="108">
    <w:name w:val="表格"/>
    <w:basedOn w:val="1"/>
    <w:qFormat/>
    <w:uiPriority w:val="0"/>
    <w:pPr>
      <w:jc w:val="center"/>
      <w:textAlignment w:val="center"/>
    </w:pPr>
    <w:rPr>
      <w:rFonts w:ascii="华文细黑" w:hAnsi="华文细黑"/>
      <w:kern w:val="0"/>
      <w:szCs w:val="20"/>
    </w:rPr>
  </w:style>
  <w:style w:type="paragraph" w:customStyle="1" w:styleId="109">
    <w:name w:val="目录2"/>
    <w:basedOn w:val="1"/>
    <w:qFormat/>
    <w:uiPriority w:val="0"/>
    <w:pPr>
      <w:adjustRightInd w:val="0"/>
      <w:spacing w:line="420" w:lineRule="atLeast"/>
      <w:ind w:left="227"/>
      <w:textAlignment w:val="baseline"/>
    </w:pPr>
    <w:rPr>
      <w:kern w:val="0"/>
      <w:szCs w:val="20"/>
    </w:rPr>
  </w:style>
  <w:style w:type="paragraph" w:customStyle="1" w:styleId="110">
    <w:name w:val="样式 (中文) 黑体 四号 加粗 居中 行距: 多倍行距 1.25 字行"/>
    <w:basedOn w:val="41"/>
    <w:qFormat/>
    <w:uiPriority w:val="0"/>
    <w:pPr>
      <w:spacing w:line="300" w:lineRule="auto"/>
      <w:jc w:val="center"/>
    </w:pPr>
    <w:rPr>
      <w:rFonts w:eastAsia="黑体" w:cs="宋体"/>
      <w:b/>
      <w:bCs/>
      <w:sz w:val="28"/>
    </w:rPr>
  </w:style>
  <w:style w:type="paragraph" w:customStyle="1" w:styleId="111">
    <w:name w:val="xl2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kern w:val="0"/>
      <w:sz w:val="28"/>
      <w:szCs w:val="28"/>
    </w:rPr>
  </w:style>
  <w:style w:type="paragraph" w:customStyle="1" w:styleId="112">
    <w:name w:val="样式 标题 3 + (中文) 黑体 小四 非加粗 段前: 7.8 磅 段后: 0 磅 行距: 固定值 20 磅"/>
    <w:basedOn w:val="4"/>
    <w:qFormat/>
    <w:uiPriority w:val="0"/>
    <w:pPr>
      <w:spacing w:before="0" w:after="0" w:line="400" w:lineRule="exact"/>
    </w:pPr>
    <w:rPr>
      <w:rFonts w:eastAsia="黑体" w:cs="宋体"/>
      <w:b w:val="0"/>
      <w:bCs w:val="0"/>
      <w:sz w:val="24"/>
      <w:szCs w:val="20"/>
    </w:rPr>
  </w:style>
  <w:style w:type="paragraph" w:customStyle="1" w:styleId="113">
    <w:name w:val="样式 (中文) 黑体 三号 加粗 居中 行距: 多倍行距 1.25 字行"/>
    <w:basedOn w:val="2"/>
    <w:qFormat/>
    <w:uiPriority w:val="0"/>
    <w:pPr>
      <w:widowControl/>
      <w:spacing w:line="300" w:lineRule="auto"/>
      <w:jc w:val="center"/>
    </w:pPr>
    <w:rPr>
      <w:rFonts w:eastAsia="黑体" w:cs="宋体"/>
      <w:b w:val="0"/>
      <w:bCs w:val="0"/>
      <w:sz w:val="32"/>
    </w:rPr>
  </w:style>
  <w:style w:type="paragraph" w:customStyle="1" w:styleId="114">
    <w:name w:val="Char Char Char Char"/>
    <w:basedOn w:val="1"/>
    <w:qFormat/>
    <w:uiPriority w:val="0"/>
  </w:style>
  <w:style w:type="paragraph" w:customStyle="1" w:styleId="115">
    <w:name w:val="格式2"/>
    <w:qFormat/>
    <w:uiPriority w:val="99"/>
    <w:pPr>
      <w:widowControl w:val="0"/>
      <w:adjustRightInd w:val="0"/>
      <w:snapToGrid w:val="0"/>
      <w:spacing w:before="50" w:line="440" w:lineRule="exact"/>
      <w:jc w:val="both"/>
    </w:pPr>
    <w:rPr>
      <w:rFonts w:ascii="Times New Roman" w:hAnsi="Times New Roman" w:eastAsia="宋体" w:cs="Times New Roman"/>
      <w:snapToGrid w:val="0"/>
      <w:sz w:val="24"/>
      <w:lang w:val="en-US" w:eastAsia="zh-CN" w:bidi="ar-SA"/>
    </w:rPr>
  </w:style>
  <w:style w:type="paragraph" w:customStyle="1" w:styleId="116">
    <w:name w:val="xl3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kern w:val="0"/>
      <w:sz w:val="24"/>
    </w:rPr>
  </w:style>
  <w:style w:type="paragraph" w:customStyle="1" w:styleId="117">
    <w:name w:val="样式 标题 2 + Times New Roman 四号 非加粗 段前: 5 磅 段后: 0 磅 行距: 固定值 20..."/>
    <w:basedOn w:val="3"/>
    <w:qFormat/>
    <w:uiPriority w:val="0"/>
    <w:pPr>
      <w:spacing w:before="100" w:after="0" w:line="400" w:lineRule="exact"/>
    </w:pPr>
    <w:rPr>
      <w:rFonts w:ascii="Times New Roman" w:hAnsi="Times New Roman" w:cs="宋体"/>
      <w:b w:val="0"/>
      <w:bCs w:val="0"/>
      <w:sz w:val="28"/>
      <w:szCs w:val="20"/>
    </w:rPr>
  </w:style>
  <w:style w:type="paragraph" w:customStyle="1" w:styleId="118">
    <w:name w:val="Char Char Char1 Char Char Char Char Char Char Char Char Char Char Char Char Char Char Char Char Char Char Char"/>
    <w:basedOn w:val="1"/>
    <w:qFormat/>
    <w:uiPriority w:val="0"/>
  </w:style>
  <w:style w:type="paragraph" w:styleId="119">
    <w:name w:val="No Spacing"/>
    <w:qFormat/>
    <w:uiPriority w:val="0"/>
    <w:pPr>
      <w:widowControl w:val="0"/>
      <w:jc w:val="both"/>
    </w:pPr>
    <w:rPr>
      <w:rFonts w:ascii="Calibri" w:hAnsi="Calibri" w:eastAsia="宋体" w:cs="Times New Roman"/>
      <w:kern w:val="2"/>
      <w:sz w:val="21"/>
      <w:szCs w:val="22"/>
      <w:lang w:val="en-US" w:eastAsia="zh-CN" w:bidi="ar-SA"/>
    </w:rPr>
  </w:style>
  <w:style w:type="paragraph" w:customStyle="1" w:styleId="120">
    <w:name w:val="Char Char Char Char Char Char Char"/>
    <w:basedOn w:val="1"/>
    <w:qFormat/>
    <w:uiPriority w:val="0"/>
    <w:rPr>
      <w:sz w:val="28"/>
      <w:szCs w:val="20"/>
    </w:rPr>
  </w:style>
  <w:style w:type="paragraph" w:customStyle="1" w:styleId="121">
    <w:name w:val="格式4"/>
    <w:basedOn w:val="1"/>
    <w:qFormat/>
    <w:uiPriority w:val="0"/>
    <w:pPr>
      <w:spacing w:line="420" w:lineRule="exact"/>
      <w:ind w:left="990" w:leftChars="300" w:hanging="360" w:hangingChars="150"/>
    </w:pPr>
    <w:rPr>
      <w:rFonts w:ascii="宋体" w:hAnsi="宋体"/>
      <w:color w:val="000000"/>
      <w:sz w:val="24"/>
      <w:szCs w:val="20"/>
    </w:rPr>
  </w:style>
  <w:style w:type="paragraph" w:customStyle="1" w:styleId="122">
    <w:name w:val="样式 标题 3 + 段前: 7.8 磅"/>
    <w:basedOn w:val="4"/>
    <w:qFormat/>
    <w:uiPriority w:val="0"/>
    <w:pPr>
      <w:keepNext w:val="0"/>
      <w:keepLines w:val="0"/>
      <w:spacing w:before="156" w:after="0" w:line="360" w:lineRule="auto"/>
      <w:ind w:left="2220" w:hanging="420"/>
    </w:pPr>
    <w:rPr>
      <w:rFonts w:cs="宋体"/>
      <w:b w:val="0"/>
      <w:bCs w:val="0"/>
      <w:sz w:val="24"/>
      <w:szCs w:val="20"/>
    </w:rPr>
  </w:style>
  <w:style w:type="paragraph" w:customStyle="1" w:styleId="123">
    <w:name w:val="Char Char Char Char Char Char"/>
    <w:basedOn w:val="1"/>
    <w:qFormat/>
    <w:uiPriority w:val="0"/>
    <w:pPr>
      <w:widowControl/>
      <w:spacing w:after="160" w:line="240" w:lineRule="exact"/>
      <w:jc w:val="left"/>
    </w:pPr>
    <w:rPr>
      <w:rFonts w:ascii="Arial" w:hAnsi="Arial" w:eastAsia="Times New Roman" w:cs="Verdana"/>
      <w:b/>
      <w:kern w:val="0"/>
      <w:szCs w:val="20"/>
      <w:lang w:eastAsia="en-US"/>
    </w:rPr>
  </w:style>
  <w:style w:type="paragraph" w:customStyle="1" w:styleId="124">
    <w:name w:val="z-窗体底端1"/>
    <w:basedOn w:val="1"/>
    <w:next w:val="1"/>
    <w:qFormat/>
    <w:uiPriority w:val="0"/>
    <w:pPr>
      <w:widowControl/>
      <w:pBdr>
        <w:top w:val="single" w:color="auto" w:sz="6" w:space="1"/>
      </w:pBdr>
      <w:jc w:val="center"/>
    </w:pPr>
    <w:rPr>
      <w:rFonts w:ascii="Arial" w:hAnsi="Arial" w:cs="Arial"/>
      <w:vanish/>
      <w:color w:val="000000"/>
      <w:kern w:val="0"/>
      <w:sz w:val="16"/>
      <w:szCs w:val="16"/>
    </w:rPr>
  </w:style>
  <w:style w:type="paragraph" w:customStyle="1" w:styleId="125">
    <w:name w:val="xl2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kern w:val="0"/>
      <w:sz w:val="28"/>
      <w:szCs w:val="28"/>
    </w:rPr>
  </w:style>
  <w:style w:type="paragraph" w:customStyle="1" w:styleId="126">
    <w:name w:val="样式1"/>
    <w:basedOn w:val="1"/>
    <w:qFormat/>
    <w:uiPriority w:val="0"/>
    <w:pPr>
      <w:spacing w:before="120" w:after="120" w:line="300" w:lineRule="auto"/>
    </w:pPr>
    <w:rPr>
      <w:rFonts w:ascii="宋体" w:hAnsi="宋体"/>
      <w:b/>
      <w:sz w:val="24"/>
      <w:szCs w:val="20"/>
    </w:rPr>
  </w:style>
  <w:style w:type="paragraph" w:customStyle="1" w:styleId="127">
    <w:name w:val="内正文"/>
    <w:basedOn w:val="1"/>
    <w:qFormat/>
    <w:uiPriority w:val="0"/>
    <w:pPr>
      <w:ind w:firstLine="420"/>
    </w:pPr>
    <w:rPr>
      <w:rFonts w:eastAsia="文鼎CS书宋二"/>
    </w:rPr>
  </w:style>
  <w:style w:type="paragraph" w:customStyle="1" w:styleId="128">
    <w:name w:val="纯文本1"/>
    <w:basedOn w:val="1"/>
    <w:qFormat/>
    <w:uiPriority w:val="0"/>
    <w:pPr>
      <w:adjustRightInd w:val="0"/>
      <w:textAlignment w:val="baseline"/>
    </w:pPr>
    <w:rPr>
      <w:rFonts w:ascii="宋体" w:hAnsi="Courier New"/>
      <w:szCs w:val="20"/>
    </w:rPr>
  </w:style>
  <w:style w:type="paragraph" w:customStyle="1" w:styleId="129">
    <w:name w:val="简单回函地址"/>
    <w:basedOn w:val="1"/>
    <w:qFormat/>
    <w:uiPriority w:val="0"/>
  </w:style>
  <w:style w:type="paragraph" w:customStyle="1" w:styleId="130">
    <w:name w:val="Char Char Char1 Char Char Char Char Char Char Char Char Char Char Char Char Char Char Char Char Char Char Char1"/>
    <w:basedOn w:val="1"/>
    <w:qFormat/>
    <w:uiPriority w:val="0"/>
  </w:style>
  <w:style w:type="paragraph" w:customStyle="1" w:styleId="131">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132">
    <w:name w:val="样式 标题 1 + 黑体 三号 非加粗 居中 段前: 6 磅 段后: 6 磅 行距: 固定值 20 磅"/>
    <w:basedOn w:val="2"/>
    <w:qFormat/>
    <w:uiPriority w:val="0"/>
    <w:pPr>
      <w:spacing w:before="120" w:after="120" w:line="400" w:lineRule="exact"/>
      <w:jc w:val="center"/>
    </w:pPr>
    <w:rPr>
      <w:rFonts w:ascii="黑体" w:hAnsi="黑体" w:eastAsia="黑体" w:cs="宋体"/>
      <w:b w:val="0"/>
      <w:bCs w:val="0"/>
      <w:sz w:val="32"/>
      <w:szCs w:val="20"/>
    </w:rPr>
  </w:style>
  <w:style w:type="paragraph" w:customStyle="1" w:styleId="133">
    <w:name w:val="Char Char Char Char Char Char1 Char"/>
    <w:basedOn w:val="1"/>
    <w:qFormat/>
    <w:uiPriority w:val="0"/>
  </w:style>
  <w:style w:type="paragraph" w:customStyle="1" w:styleId="134">
    <w:name w:val="xl24"/>
    <w:basedOn w:val="1"/>
    <w:qFormat/>
    <w:uiPriority w:val="0"/>
    <w:pPr>
      <w:widowControl/>
      <w:spacing w:before="100" w:beforeAutospacing="1" w:after="100" w:afterAutospacing="1"/>
      <w:jc w:val="center"/>
    </w:pPr>
    <w:rPr>
      <w:rFonts w:ascii="宋体" w:hAnsi="宋体"/>
      <w:kern w:val="0"/>
      <w:sz w:val="24"/>
    </w:rPr>
  </w:style>
  <w:style w:type="paragraph" w:customStyle="1" w:styleId="135">
    <w:name w:val="xl26"/>
    <w:basedOn w:val="1"/>
    <w:qFormat/>
    <w:uiPriority w:val="0"/>
    <w:pPr>
      <w:widowControl/>
      <w:spacing w:before="100" w:beforeAutospacing="1" w:after="100" w:afterAutospacing="1"/>
      <w:jc w:val="left"/>
    </w:pPr>
    <w:rPr>
      <w:rFonts w:ascii="宋体" w:hAnsi="宋体"/>
      <w:kern w:val="0"/>
      <w:sz w:val="28"/>
      <w:szCs w:val="28"/>
    </w:rPr>
  </w:style>
  <w:style w:type="paragraph" w:customStyle="1" w:styleId="136">
    <w:name w:val="表蕊"/>
    <w:basedOn w:val="1"/>
    <w:qFormat/>
    <w:uiPriority w:val="0"/>
    <w:pPr>
      <w:adjustRightInd w:val="0"/>
      <w:spacing w:line="320" w:lineRule="atLeast"/>
      <w:jc w:val="left"/>
    </w:pPr>
    <w:rPr>
      <w:rFonts w:eastAsia="楷体_GB2312"/>
      <w:spacing w:val="-10"/>
      <w:kern w:val="0"/>
      <w:szCs w:val="20"/>
    </w:rPr>
  </w:style>
  <w:style w:type="paragraph" w:customStyle="1" w:styleId="137">
    <w:name w:val="_Style 20"/>
    <w:basedOn w:val="1"/>
    <w:qFormat/>
    <w:uiPriority w:val="0"/>
  </w:style>
  <w:style w:type="paragraph" w:customStyle="1" w:styleId="138">
    <w:name w:val="正文括号编号"/>
    <w:basedOn w:val="1"/>
    <w:next w:val="1"/>
    <w:qFormat/>
    <w:uiPriority w:val="0"/>
    <w:pPr>
      <w:tabs>
        <w:tab w:val="left" w:pos="838"/>
      </w:tabs>
      <w:ind w:left="838" w:hanging="420"/>
    </w:pPr>
    <w:rPr>
      <w:sz w:val="24"/>
    </w:rPr>
  </w:style>
  <w:style w:type="paragraph" w:customStyle="1" w:styleId="139">
    <w:name w:val="xl25"/>
    <w:basedOn w:val="1"/>
    <w:qFormat/>
    <w:uiPriority w:val="0"/>
    <w:pPr>
      <w:widowControl/>
      <w:spacing w:before="100" w:beforeAutospacing="1" w:after="100" w:afterAutospacing="1"/>
      <w:jc w:val="center"/>
    </w:pPr>
    <w:rPr>
      <w:rFonts w:hint="eastAsia" w:ascii="黑体" w:hAnsi="宋体" w:eastAsia="黑体"/>
      <w:kern w:val="0"/>
      <w:sz w:val="44"/>
      <w:szCs w:val="44"/>
    </w:rPr>
  </w:style>
  <w:style w:type="paragraph" w:customStyle="1" w:styleId="140">
    <w:name w:val="格式1"/>
    <w:basedOn w:val="1"/>
    <w:qFormat/>
    <w:uiPriority w:val="0"/>
    <w:pPr>
      <w:spacing w:beforeLines="50"/>
      <w:jc w:val="center"/>
    </w:pPr>
    <w:rPr>
      <w:rFonts w:ascii="黑体" w:hAnsi="宋体" w:eastAsia="黑体"/>
      <w:b/>
      <w:bCs/>
      <w:color w:val="000000"/>
      <w:sz w:val="32"/>
      <w:szCs w:val="20"/>
    </w:rPr>
  </w:style>
  <w:style w:type="paragraph" w:customStyle="1" w:styleId="141">
    <w:name w:val="标题1"/>
    <w:basedOn w:val="1"/>
    <w:next w:val="1"/>
    <w:qFormat/>
    <w:uiPriority w:val="0"/>
    <w:pPr>
      <w:tabs>
        <w:tab w:val="left" w:pos="9193"/>
        <w:tab w:val="left" w:pos="9827"/>
      </w:tabs>
      <w:autoSpaceDE w:val="0"/>
      <w:autoSpaceDN w:val="0"/>
      <w:snapToGrid w:val="0"/>
      <w:spacing w:line="700" w:lineRule="atLeast"/>
      <w:jc w:val="center"/>
    </w:pPr>
    <w:rPr>
      <w:rFonts w:eastAsia="方正小标宋_GBK"/>
      <w:snapToGrid w:val="0"/>
      <w:kern w:val="0"/>
      <w:sz w:val="44"/>
      <w:szCs w:val="20"/>
    </w:rPr>
  </w:style>
  <w:style w:type="paragraph" w:customStyle="1" w:styleId="142">
    <w:name w:val="副 标 题"/>
    <w:basedOn w:val="1"/>
    <w:qFormat/>
    <w:uiPriority w:val="0"/>
    <w:pPr>
      <w:widowControl/>
      <w:jc w:val="center"/>
    </w:pPr>
    <w:rPr>
      <w:rFonts w:eastAsia="仿宋" w:cs="宋体"/>
      <w:sz w:val="24"/>
    </w:rPr>
  </w:style>
  <w:style w:type="paragraph" w:customStyle="1" w:styleId="143">
    <w:name w:val="样式 标题 2 + 居中 行距: 多倍行距 1.25 字行"/>
    <w:basedOn w:val="3"/>
    <w:qFormat/>
    <w:uiPriority w:val="0"/>
    <w:pPr>
      <w:spacing w:line="300" w:lineRule="auto"/>
    </w:pPr>
    <w:rPr>
      <w:rFonts w:ascii="隶书" w:eastAsia="隶书" w:cs="宋体"/>
      <w:b w:val="0"/>
      <w:sz w:val="28"/>
      <w:szCs w:val="20"/>
    </w:rPr>
  </w:style>
  <w:style w:type="paragraph" w:customStyle="1" w:styleId="144">
    <w:name w:val="6'"/>
    <w:basedOn w:val="1"/>
    <w:qFormat/>
    <w:uiPriority w:val="0"/>
    <w:pPr>
      <w:autoSpaceDE w:val="0"/>
      <w:autoSpaceDN w:val="0"/>
      <w:adjustRightInd w:val="0"/>
      <w:snapToGrid w:val="0"/>
      <w:spacing w:line="320" w:lineRule="exact"/>
      <w:jc w:val="center"/>
      <w:textAlignment w:val="baseline"/>
    </w:pPr>
    <w:rPr>
      <w:spacing w:val="20"/>
      <w:kern w:val="28"/>
      <w:szCs w:val="20"/>
    </w:rPr>
  </w:style>
  <w:style w:type="paragraph" w:customStyle="1" w:styleId="145">
    <w:name w:val="样式17"/>
    <w:basedOn w:val="1"/>
    <w:qFormat/>
    <w:uiPriority w:val="0"/>
    <w:pPr>
      <w:adjustRightInd w:val="0"/>
      <w:snapToGrid w:val="0"/>
      <w:spacing w:before="120" w:after="120"/>
    </w:pPr>
    <w:rPr>
      <w:sz w:val="24"/>
    </w:rPr>
  </w:style>
  <w:style w:type="paragraph" w:customStyle="1" w:styleId="146">
    <w:name w:val="汇编正文"/>
    <w:basedOn w:val="1"/>
    <w:qFormat/>
    <w:uiPriority w:val="0"/>
    <w:pPr>
      <w:widowControl/>
      <w:spacing w:line="300" w:lineRule="auto"/>
      <w:ind w:firstLine="200" w:firstLineChars="200"/>
      <w:jc w:val="left"/>
    </w:pPr>
    <w:rPr>
      <w:rFonts w:cs="宋体"/>
      <w:szCs w:val="21"/>
    </w:rPr>
  </w:style>
  <w:style w:type="paragraph" w:customStyle="1" w:styleId="147">
    <w:name w:val="xl42"/>
    <w:basedOn w:val="1"/>
    <w:qFormat/>
    <w:uiPriority w:val="0"/>
    <w:pPr>
      <w:widowControl/>
      <w:pBdr>
        <w:top w:val="single" w:color="auto" w:sz="4" w:space="0"/>
        <w:left w:val="single" w:color="auto" w:sz="4" w:space="0"/>
        <w:bottom w:val="single" w:color="auto" w:sz="4" w:space="0"/>
        <w:right w:val="single" w:color="auto" w:sz="4" w:space="0"/>
      </w:pBdr>
      <w:tabs>
        <w:tab w:val="left" w:pos="480"/>
      </w:tabs>
      <w:spacing w:before="100" w:beforeAutospacing="1" w:after="100" w:afterAutospacing="1"/>
      <w:jc w:val="left"/>
    </w:pPr>
    <w:rPr>
      <w:rFonts w:ascii="Arial Unicode MS" w:hAnsi="Arial Unicode MS" w:eastAsia="Arial Unicode MS"/>
      <w:kern w:val="0"/>
      <w:sz w:val="18"/>
      <w:szCs w:val="20"/>
    </w:rPr>
  </w:style>
  <w:style w:type="paragraph" w:customStyle="1" w:styleId="148">
    <w:name w:val="格式10"/>
    <w:basedOn w:val="1"/>
    <w:qFormat/>
    <w:uiPriority w:val="0"/>
    <w:pPr>
      <w:spacing w:line="360" w:lineRule="exact"/>
      <w:ind w:left="480"/>
    </w:pPr>
    <w:rPr>
      <w:sz w:val="24"/>
    </w:rPr>
  </w:style>
  <w:style w:type="paragraph" w:customStyle="1" w:styleId="149">
    <w:name w:val="样式 标题 1 + 小四"/>
    <w:basedOn w:val="2"/>
    <w:qFormat/>
    <w:uiPriority w:val="0"/>
    <w:pPr>
      <w:keepLines w:val="0"/>
      <w:spacing w:before="0" w:after="0" w:line="360" w:lineRule="auto"/>
      <w:jc w:val="center"/>
    </w:pPr>
    <w:rPr>
      <w:rFonts w:ascii="仿宋_GB2312" w:eastAsia="黑体"/>
      <w:b w:val="0"/>
      <w:bCs w:val="0"/>
      <w:kern w:val="2"/>
      <w:sz w:val="32"/>
      <w:szCs w:val="24"/>
    </w:rPr>
  </w:style>
  <w:style w:type="paragraph" w:customStyle="1" w:styleId="150">
    <w:name w:val="1"/>
    <w:basedOn w:val="1"/>
    <w:next w:val="1"/>
    <w:qFormat/>
    <w:uiPriority w:val="0"/>
  </w:style>
  <w:style w:type="paragraph" w:customStyle="1" w:styleId="151">
    <w:name w:val="z-窗体顶端1"/>
    <w:basedOn w:val="1"/>
    <w:next w:val="1"/>
    <w:qFormat/>
    <w:uiPriority w:val="0"/>
    <w:pPr>
      <w:widowControl/>
      <w:pBdr>
        <w:bottom w:val="single" w:color="auto" w:sz="6" w:space="1"/>
      </w:pBdr>
      <w:jc w:val="center"/>
    </w:pPr>
    <w:rPr>
      <w:rFonts w:ascii="Arial" w:hAnsi="Arial" w:cs="Arial"/>
      <w:vanish/>
      <w:color w:val="000000"/>
      <w:kern w:val="0"/>
      <w:sz w:val="16"/>
      <w:szCs w:val="16"/>
    </w:rPr>
  </w:style>
  <w:style w:type="paragraph" w:customStyle="1" w:styleId="152">
    <w:name w:val="格式３"/>
    <w:basedOn w:val="1"/>
    <w:qFormat/>
    <w:uiPriority w:val="0"/>
    <w:pPr>
      <w:spacing w:line="420" w:lineRule="exact"/>
      <w:ind w:left="600" w:hanging="600" w:hangingChars="250"/>
    </w:pPr>
    <w:rPr>
      <w:rFonts w:ascii="宋体" w:hAnsi="宋体"/>
      <w:color w:val="000000"/>
      <w:sz w:val="24"/>
      <w:szCs w:val="20"/>
    </w:rPr>
  </w:style>
  <w:style w:type="paragraph" w:customStyle="1" w:styleId="153">
    <w:name w:val="样式 标题 2 + 行距: 多倍行距 1.25 字行"/>
    <w:basedOn w:val="3"/>
    <w:qFormat/>
    <w:uiPriority w:val="0"/>
    <w:pPr>
      <w:spacing w:line="300" w:lineRule="auto"/>
    </w:pPr>
    <w:rPr>
      <w:rFonts w:cs="宋体"/>
      <w:b w:val="0"/>
      <w:sz w:val="28"/>
      <w:szCs w:val="20"/>
    </w:rPr>
  </w:style>
  <w:style w:type="paragraph" w:customStyle="1" w:styleId="154">
    <w:name w:val="默认段落字体 Para Char Char Char Char Char Char Char"/>
    <w:basedOn w:val="13"/>
    <w:qFormat/>
    <w:uiPriority w:val="0"/>
    <w:pPr>
      <w:adjustRightInd w:val="0"/>
      <w:spacing w:line="436" w:lineRule="exact"/>
      <w:ind w:left="357"/>
      <w:jc w:val="left"/>
      <w:outlineLvl w:val="3"/>
    </w:pPr>
    <w:rPr>
      <w:rFonts w:ascii="Tahoma" w:hAnsi="Tahoma"/>
      <w:b/>
      <w:sz w:val="24"/>
    </w:rPr>
  </w:style>
  <w:style w:type="paragraph" w:customStyle="1" w:styleId="155">
    <w:name w:val="样式 样式 (中文) 黑体 四号 加粗 居中 行距: 多倍行距 1.25 字行 + 左侧:  2 字符"/>
    <w:basedOn w:val="3"/>
    <w:qFormat/>
    <w:uiPriority w:val="0"/>
    <w:pPr>
      <w:ind w:left="400"/>
    </w:pPr>
    <w:rPr>
      <w:bCs w:val="0"/>
      <w:szCs w:val="20"/>
    </w:rPr>
  </w:style>
  <w:style w:type="paragraph" w:customStyle="1" w:styleId="156">
    <w:name w:val="Table Paragraph"/>
    <w:basedOn w:val="1"/>
    <w:qFormat/>
    <w:uiPriority w:val="1"/>
    <w:pPr>
      <w:autoSpaceDE w:val="0"/>
      <w:autoSpaceDN w:val="0"/>
      <w:adjustRightInd w:val="0"/>
      <w:jc w:val="left"/>
    </w:pPr>
    <w:rPr>
      <w:kern w:val="0"/>
      <w:sz w:val="24"/>
    </w:rPr>
  </w:style>
  <w:style w:type="character" w:customStyle="1" w:styleId="157">
    <w:name w:val="标题 2 Char1"/>
    <w:qFormat/>
    <w:locked/>
    <w:uiPriority w:val="0"/>
    <w:rPr>
      <w:rFonts w:ascii="Arial" w:hAnsi="Arial" w:eastAsia="黑体"/>
      <w:b/>
      <w:bCs/>
      <w:kern w:val="2"/>
      <w:sz w:val="32"/>
      <w:szCs w:val="32"/>
    </w:rPr>
  </w:style>
  <w:style w:type="paragraph" w:customStyle="1" w:styleId="158">
    <w:name w:val="样式 样式 标题 2 + Times New Roman 居中 段前: 0 磅 段后: 0 磅 行距: 单倍行距 + 段前: 2..."/>
    <w:basedOn w:val="1"/>
    <w:qFormat/>
    <w:uiPriority w:val="0"/>
    <w:pPr>
      <w:keepNext/>
      <w:keepLines/>
      <w:adjustRightInd w:val="0"/>
      <w:snapToGrid w:val="0"/>
      <w:spacing w:beforeLines="150" w:afterLines="100"/>
      <w:jc w:val="center"/>
      <w:outlineLvl w:val="1"/>
    </w:pPr>
    <w:rPr>
      <w:rFonts w:eastAsia="黑体" w:cs="宋体"/>
      <w:b/>
      <w:bCs/>
      <w:sz w:val="32"/>
      <w:szCs w:val="20"/>
    </w:rPr>
  </w:style>
  <w:style w:type="paragraph" w:customStyle="1" w:styleId="159">
    <w:name w:val="标题 2 + Times New Roman 居中 段前: 0 磅 段后: 0 磅 行距: 单倍行距 + 段前..."/>
    <w:basedOn w:val="1"/>
    <w:qFormat/>
    <w:uiPriority w:val="0"/>
    <w:pPr>
      <w:keepNext/>
      <w:keepLines/>
      <w:adjustRightInd w:val="0"/>
      <w:snapToGrid w:val="0"/>
      <w:spacing w:beforeLines="150" w:afterLines="100"/>
      <w:jc w:val="center"/>
      <w:outlineLvl w:val="1"/>
    </w:pPr>
    <w:rPr>
      <w:rFonts w:eastAsia="黑体"/>
      <w:b/>
      <w:bCs/>
      <w:sz w:val="32"/>
      <w:szCs w:val="20"/>
    </w:rPr>
  </w:style>
  <w:style w:type="character" w:customStyle="1" w:styleId="160">
    <w:name w:val="font31"/>
    <w:basedOn w:val="46"/>
    <w:qFormat/>
    <w:uiPriority w:val="0"/>
    <w:rPr>
      <w:rFonts w:hint="eastAsia" w:ascii="楷体" w:hAnsi="楷体" w:eastAsia="楷体" w:cs="楷体"/>
      <w:color w:val="000000"/>
      <w:sz w:val="24"/>
      <w:szCs w:val="24"/>
      <w:u w:val="none"/>
    </w:rPr>
  </w:style>
  <w:style w:type="character" w:customStyle="1" w:styleId="161">
    <w:name w:val="font61"/>
    <w:basedOn w:val="46"/>
    <w:qFormat/>
    <w:uiPriority w:val="0"/>
    <w:rPr>
      <w:rFonts w:hint="eastAsia" w:ascii="楷体" w:hAnsi="楷体" w:eastAsia="楷体" w:cs="楷体"/>
      <w:color w:val="000000"/>
      <w:sz w:val="24"/>
      <w:szCs w:val="24"/>
      <w:u w:val="none"/>
    </w:rPr>
  </w:style>
  <w:style w:type="character" w:customStyle="1" w:styleId="162">
    <w:name w:val="font41"/>
    <w:basedOn w:val="46"/>
    <w:qFormat/>
    <w:uiPriority w:val="0"/>
    <w:rPr>
      <w:rFonts w:hint="eastAsia" w:ascii="楷体" w:hAnsi="楷体" w:eastAsia="楷体" w:cs="楷体"/>
      <w:b/>
      <w:bCs/>
      <w:color w:val="000000"/>
      <w:sz w:val="24"/>
      <w:szCs w:val="24"/>
      <w:u w:val="none"/>
    </w:rPr>
  </w:style>
  <w:style w:type="character" w:customStyle="1" w:styleId="163">
    <w:name w:val="font51"/>
    <w:basedOn w:val="46"/>
    <w:qFormat/>
    <w:uiPriority w:val="0"/>
    <w:rPr>
      <w:rFonts w:hint="eastAsia" w:ascii="楷体" w:hAnsi="楷体" w:eastAsia="楷体" w:cs="楷体"/>
      <w:color w:val="000000"/>
      <w:sz w:val="24"/>
      <w:szCs w:val="24"/>
      <w:u w:val="none"/>
    </w:rPr>
  </w:style>
  <w:style w:type="character" w:customStyle="1" w:styleId="164">
    <w:name w:val="正文文本 Char"/>
    <w:link w:val="16"/>
    <w:qFormat/>
    <w:uiPriority w:val="0"/>
    <w:rPr>
      <w:kern w:val="2"/>
      <w:sz w:val="21"/>
      <w:szCs w:val="24"/>
    </w:rPr>
  </w:style>
  <w:style w:type="character" w:customStyle="1" w:styleId="165">
    <w:name w:val="font21"/>
    <w:basedOn w:val="46"/>
    <w:qFormat/>
    <w:uiPriority w:val="0"/>
    <w:rPr>
      <w:rFonts w:hint="eastAsia" w:ascii="宋体" w:hAnsi="宋体" w:eastAsia="宋体" w:cs="宋体"/>
      <w:color w:val="000000"/>
      <w:sz w:val="22"/>
      <w:szCs w:val="22"/>
      <w:u w:val="none"/>
    </w:rPr>
  </w:style>
  <w:style w:type="paragraph" w:customStyle="1" w:styleId="166">
    <w:name w:val="zw123"/>
    <w:basedOn w:val="1"/>
    <w:qFormat/>
    <w:uiPriority w:val="99"/>
    <w:pPr>
      <w:autoSpaceDE w:val="0"/>
      <w:autoSpaceDN w:val="0"/>
      <w:adjustRightInd w:val="0"/>
      <w:spacing w:line="360" w:lineRule="auto"/>
      <w:ind w:firstLine="480" w:firstLineChars="200"/>
    </w:pPr>
    <w:rPr>
      <w:rFonts w:ascii="宋体" w:hAnsi="宋体"/>
      <w:sz w:val="22"/>
      <w:szCs w:val="22"/>
    </w:rPr>
  </w:style>
  <w:style w:type="table" w:customStyle="1" w:styleId="167">
    <w:name w:val="Table Normal"/>
    <w:unhideWhenUsed/>
    <w:qFormat/>
    <w:uiPriority w:val="2"/>
    <w:tblPr>
      <w:tblCellMar>
        <w:top w:w="0" w:type="dxa"/>
        <w:left w:w="0" w:type="dxa"/>
        <w:bottom w:w="0" w:type="dxa"/>
        <w:right w:w="0" w:type="dxa"/>
      </w:tblCellMar>
    </w:tblPr>
  </w:style>
  <w:style w:type="character" w:customStyle="1" w:styleId="168">
    <w:name w:val="font11"/>
    <w:basedOn w:val="46"/>
    <w:qFormat/>
    <w:uiPriority w:val="0"/>
    <w:rPr>
      <w:rFonts w:hint="eastAsia" w:ascii="宋体" w:hAnsi="宋体" w:eastAsia="宋体" w:cs="宋体"/>
      <w:color w:val="000000"/>
      <w:sz w:val="24"/>
      <w:szCs w:val="24"/>
      <w:u w:val="none"/>
    </w:rPr>
  </w:style>
  <w:style w:type="character" w:customStyle="1" w:styleId="169">
    <w:name w:val="font71"/>
    <w:basedOn w:val="46"/>
    <w:qFormat/>
    <w:uiPriority w:val="0"/>
    <w:rPr>
      <w:rFonts w:hint="default" w:ascii="Times New Roman" w:hAnsi="Times New Roman" w:cs="Times New Roman"/>
      <w:color w:val="000000"/>
      <w:sz w:val="24"/>
      <w:szCs w:val="24"/>
      <w:u w:val="none"/>
    </w:rPr>
  </w:style>
  <w:style w:type="paragraph" w:customStyle="1" w:styleId="170">
    <w:name w:val="修订1"/>
    <w:hidden/>
    <w:unhideWhenUsed/>
    <w:qFormat/>
    <w:uiPriority w:val="99"/>
    <w:rPr>
      <w:rFonts w:ascii="Times New Roman" w:hAnsi="Times New Roman" w:eastAsia="宋体" w:cs="Times New Roman"/>
      <w:kern w:val="2"/>
      <w:sz w:val="21"/>
      <w:szCs w:val="24"/>
      <w:lang w:val="en-US" w:eastAsia="zh-CN" w:bidi="ar-SA"/>
    </w:rPr>
  </w:style>
  <w:style w:type="paragraph" w:customStyle="1" w:styleId="171">
    <w:name w:val="修订2"/>
    <w:hidden/>
    <w:unhideWhenUsed/>
    <w:qFormat/>
    <w:uiPriority w:val="99"/>
    <w:rPr>
      <w:rFonts w:ascii="Times New Roman" w:hAnsi="Times New Roman" w:eastAsia="宋体" w:cs="Times New Roman"/>
      <w:kern w:val="2"/>
      <w:sz w:val="21"/>
      <w:szCs w:val="24"/>
      <w:lang w:val="en-US" w:eastAsia="zh-CN" w:bidi="ar-SA"/>
    </w:rPr>
  </w:style>
  <w:style w:type="character" w:customStyle="1" w:styleId="172">
    <w:name w:val="l-open"/>
    <w:basedOn w:val="46"/>
    <w:qFormat/>
    <w:uiPriority w:val="0"/>
  </w:style>
  <w:style w:type="character" w:customStyle="1" w:styleId="173">
    <w:name w:val="dbrwr_aclil"/>
    <w:basedOn w:val="46"/>
    <w:qFormat/>
    <w:uiPriority w:val="0"/>
  </w:style>
  <w:style w:type="character" w:customStyle="1" w:styleId="174">
    <w:name w:val="fieldsets"/>
    <w:basedOn w:val="46"/>
    <w:qFormat/>
    <w:uiPriority w:val="0"/>
  </w:style>
  <w:style w:type="character" w:customStyle="1" w:styleId="175">
    <w:name w:val="fieldsetf"/>
    <w:basedOn w:val="46"/>
    <w:qFormat/>
    <w:uiPriority w:val="0"/>
  </w:style>
  <w:style w:type="character" w:customStyle="1" w:styleId="176">
    <w:name w:val="dbrwr_aclir"/>
    <w:basedOn w:val="46"/>
    <w:qFormat/>
    <w:uiPriority w:val="0"/>
    <w:rPr>
      <w:color w:val="999999"/>
    </w:rPr>
  </w:style>
  <w:style w:type="character" w:customStyle="1" w:styleId="177">
    <w:name w:val="searchf"/>
    <w:basedOn w:val="46"/>
    <w:qFormat/>
    <w:uiPriority w:val="0"/>
  </w:style>
  <w:style w:type="character" w:customStyle="1" w:styleId="178">
    <w:name w:val="edui-unclickable"/>
    <w:basedOn w:val="46"/>
    <w:qFormat/>
    <w:uiPriority w:val="0"/>
    <w:rPr>
      <w:color w:val="808080"/>
    </w:rPr>
  </w:style>
  <w:style w:type="character" w:customStyle="1" w:styleId="179">
    <w:name w:val="edui-clickable2"/>
    <w:basedOn w:val="46"/>
    <w:qFormat/>
    <w:uiPriority w:val="0"/>
    <w:rPr>
      <w:color w:val="0000FF"/>
      <w:u w:val="single"/>
    </w:rPr>
  </w:style>
  <w:style w:type="character" w:customStyle="1" w:styleId="180">
    <w:name w:val="ruweitli_l"/>
    <w:basedOn w:val="46"/>
    <w:qFormat/>
    <w:uiPriority w:val="0"/>
  </w:style>
  <w:style w:type="character" w:customStyle="1" w:styleId="181">
    <w:name w:val="l-selected"/>
    <w:basedOn w:val="46"/>
    <w:qFormat/>
    <w:uiPriority w:val="0"/>
    <w:rPr>
      <w:color w:val="355686"/>
      <w:bdr w:val="single" w:color="DAB364" w:sz="4" w:space="0"/>
      <w:shd w:val="clear" w:color="auto" w:fill="FFFFFF"/>
    </w:rPr>
  </w:style>
  <w:style w:type="character" w:customStyle="1" w:styleId="182">
    <w:name w:val="searchs"/>
    <w:basedOn w:val="46"/>
    <w:qFormat/>
    <w:uiPriority w:val="0"/>
  </w:style>
  <w:style w:type="character" w:customStyle="1" w:styleId="183">
    <w:name w:val="l-over"/>
    <w:basedOn w:val="46"/>
    <w:qFormat/>
    <w:uiPriority w:val="0"/>
    <w:rPr>
      <w:bdr w:val="single" w:color="DAB364" w:sz="4" w:space="0"/>
    </w:rPr>
  </w:style>
  <w:style w:type="character" w:customStyle="1" w:styleId="184">
    <w:name w:val="ruweitli_r"/>
    <w:basedOn w:val="46"/>
    <w:qFormat/>
    <w:uiPriority w:val="0"/>
  </w:style>
  <w:style w:type="paragraph" w:customStyle="1" w:styleId="185">
    <w:name w:val="_Style 184"/>
    <w:basedOn w:val="1"/>
    <w:next w:val="1"/>
    <w:qFormat/>
    <w:uiPriority w:val="0"/>
    <w:pPr>
      <w:pBdr>
        <w:bottom w:val="single" w:color="auto" w:sz="6" w:space="1"/>
      </w:pBdr>
      <w:jc w:val="center"/>
    </w:pPr>
    <w:rPr>
      <w:rFonts w:ascii="Arial"/>
      <w:vanish/>
      <w:sz w:val="16"/>
    </w:rPr>
  </w:style>
  <w:style w:type="paragraph" w:customStyle="1" w:styleId="186">
    <w:name w:val="_Style 185"/>
    <w:basedOn w:val="1"/>
    <w:next w:val="1"/>
    <w:qFormat/>
    <w:uiPriority w:val="0"/>
    <w:pPr>
      <w:pBdr>
        <w:top w:val="single" w:color="auto" w:sz="6" w:space="1"/>
      </w:pBdr>
      <w:jc w:val="center"/>
    </w:pPr>
    <w:rPr>
      <w:rFonts w:ascii="Arial"/>
      <w:vanish/>
      <w:sz w:val="16"/>
    </w:rPr>
  </w:style>
</w:styles>
</file>

<file path=word/_rels/document.xml.rels><?xml version="1.0" encoding="UTF-8" standalone="yes"?>
<Relationships xmlns="http://schemas.openxmlformats.org/package/2006/relationships"><Relationship Id="rId9" Type="http://schemas.openxmlformats.org/officeDocument/2006/relationships/footer" Target="footer6.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7.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DEB45DB-E5D2-4765-AF76-62E9EC3306CC}">
  <ds:schemaRefs/>
</ds:datastoreItem>
</file>

<file path=docProps/app.xml><?xml version="1.0" encoding="utf-8"?>
<Properties xmlns="http://schemas.openxmlformats.org/officeDocument/2006/extended-properties" xmlns:vt="http://schemas.openxmlformats.org/officeDocument/2006/docPropsVTypes">
  <Template>Normal</Template>
  <Company>Hewlett-Packard</Company>
  <Pages>77</Pages>
  <Words>30873</Words>
  <Characters>33246</Characters>
  <Lines>271</Lines>
  <Paragraphs>76</Paragraphs>
  <TotalTime>9</TotalTime>
  <ScaleCrop>false</ScaleCrop>
  <LinksUpToDate>false</LinksUpToDate>
  <CharactersWithSpaces>34030</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2023-08-29T09:34:00Z</dcterms:created>
  <dc:creator>萝卜家园</dc:creator>
  <cp:lastModifiedBy>qhf</cp:lastModifiedBy>
  <cp:lastPrinted>2021-06-03T09:11:00Z</cp:lastPrinted>
  <dcterms:modified xsi:type="dcterms:W3CDTF">2024-09-20T07:01:49Z</dcterms:modified>
  <dc:title>中华人民共和国交通运输部</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6635F9D432E74D70801B8BB87C15C00D_13</vt:lpwstr>
  </property>
</Properties>
</file>