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29CA">
      <w:pPr>
        <w:rPr>
          <w:rFonts w:ascii="宋体" w:hAnsi="宋体" w:cs="宋体"/>
          <w:b/>
          <w:color w:val="auto"/>
          <w:sz w:val="36"/>
          <w:szCs w:val="36"/>
          <w:highlight w:val="none"/>
        </w:rPr>
      </w:pPr>
    </w:p>
    <w:p w14:paraId="1CABD1ED">
      <w:pPr>
        <w:autoSpaceDE w:val="0"/>
        <w:autoSpaceDN w:val="0"/>
        <w:adjustRightInd w:val="0"/>
        <w:spacing w:line="1000" w:lineRule="exac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2026-2027年南通市公路事业发展中心项目造价咨询服务项目</w:t>
      </w:r>
    </w:p>
    <w:p w14:paraId="42FAF2FB">
      <w:pPr>
        <w:pStyle w:val="17"/>
        <w:rPr>
          <w:rFonts w:ascii="宋体" w:hAnsi="宋体" w:cs="宋体"/>
          <w:color w:val="auto"/>
          <w:highlight w:val="none"/>
        </w:rPr>
      </w:pPr>
    </w:p>
    <w:p w14:paraId="05AC2C92">
      <w:pPr>
        <w:pStyle w:val="17"/>
        <w:rPr>
          <w:rFonts w:ascii="宋体" w:hAnsi="宋体" w:cs="宋体"/>
          <w:color w:val="auto"/>
          <w:highlight w:val="none"/>
        </w:rPr>
      </w:pPr>
    </w:p>
    <w:p w14:paraId="6C5B0957">
      <w:pPr>
        <w:tabs>
          <w:tab w:val="left" w:pos="6300"/>
        </w:tabs>
        <w:snapToGrid w:val="0"/>
        <w:spacing w:line="300" w:lineRule="auto"/>
        <w:jc w:val="center"/>
        <w:rPr>
          <w:rFonts w:ascii="宋体" w:hAnsi="宋体" w:cs="宋体"/>
          <w:b/>
          <w:color w:val="auto"/>
          <w:w w:val="80"/>
          <w:sz w:val="96"/>
          <w:szCs w:val="96"/>
          <w:highlight w:val="none"/>
        </w:rPr>
      </w:pPr>
      <w:r>
        <w:rPr>
          <w:rFonts w:hint="eastAsia" w:ascii="宋体" w:hAnsi="宋体" w:cs="宋体"/>
          <w:b/>
          <w:color w:val="auto"/>
          <w:w w:val="80"/>
          <w:sz w:val="96"/>
          <w:szCs w:val="96"/>
          <w:highlight w:val="none"/>
        </w:rPr>
        <w:t>竞争性磋商文件</w:t>
      </w:r>
    </w:p>
    <w:p w14:paraId="71DF64DC">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lang w:val="en-US" w:eastAsia="zh-CN"/>
        </w:rPr>
        <w:t>项目编号：2026-2027ZJZX</w:t>
      </w:r>
    </w:p>
    <w:p w14:paraId="36959DCD">
      <w:pPr>
        <w:tabs>
          <w:tab w:val="left" w:pos="6300"/>
        </w:tabs>
        <w:snapToGrid w:val="0"/>
        <w:spacing w:line="300" w:lineRule="auto"/>
        <w:ind w:firstLine="3087" w:firstLineChars="1200"/>
        <w:jc w:val="both"/>
        <w:rPr>
          <w:rFonts w:hint="default"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20251125</w:t>
      </w:r>
    </w:p>
    <w:p w14:paraId="4784C0F7">
      <w:pPr>
        <w:tabs>
          <w:tab w:val="left" w:pos="6300"/>
        </w:tabs>
        <w:snapToGrid w:val="0"/>
        <w:spacing w:line="300" w:lineRule="auto"/>
        <w:ind w:firstLine="2830" w:firstLineChars="1100"/>
        <w:rPr>
          <w:rFonts w:ascii="宋体" w:hAnsi="宋体" w:cs="宋体"/>
          <w:b/>
          <w:snapToGrid w:val="0"/>
          <w:color w:val="auto"/>
          <w:w w:val="80"/>
          <w:kern w:val="0"/>
          <w:sz w:val="32"/>
          <w:szCs w:val="32"/>
          <w:highlight w:val="none"/>
        </w:rPr>
      </w:pPr>
    </w:p>
    <w:p w14:paraId="1C272296">
      <w:pPr>
        <w:autoSpaceDE w:val="0"/>
        <w:autoSpaceDN w:val="0"/>
        <w:adjustRightInd w:val="0"/>
        <w:spacing w:line="360" w:lineRule="auto"/>
        <w:ind w:firstLine="420"/>
        <w:jc w:val="center"/>
        <w:rPr>
          <w:rFonts w:ascii="宋体" w:hAnsi="宋体" w:cs="宋体"/>
          <w:color w:val="auto"/>
          <w:szCs w:val="21"/>
          <w:highlight w:val="none"/>
        </w:rPr>
      </w:pPr>
    </w:p>
    <w:p w14:paraId="075DEF2F">
      <w:pPr>
        <w:autoSpaceDE w:val="0"/>
        <w:autoSpaceDN w:val="0"/>
        <w:adjustRightInd w:val="0"/>
        <w:spacing w:line="360" w:lineRule="auto"/>
        <w:ind w:firstLine="420"/>
        <w:jc w:val="center"/>
        <w:rPr>
          <w:rFonts w:ascii="宋体" w:hAnsi="宋体" w:cs="宋体"/>
          <w:color w:val="auto"/>
          <w:szCs w:val="21"/>
          <w:highlight w:val="none"/>
        </w:rPr>
      </w:pPr>
    </w:p>
    <w:p w14:paraId="046A3A87">
      <w:pPr>
        <w:autoSpaceDE w:val="0"/>
        <w:autoSpaceDN w:val="0"/>
        <w:adjustRightInd w:val="0"/>
        <w:spacing w:line="360" w:lineRule="auto"/>
        <w:ind w:firstLine="420"/>
        <w:jc w:val="center"/>
        <w:rPr>
          <w:rFonts w:ascii="宋体" w:hAnsi="宋体" w:cs="宋体"/>
          <w:color w:val="auto"/>
          <w:szCs w:val="21"/>
          <w:highlight w:val="none"/>
        </w:rPr>
      </w:pPr>
    </w:p>
    <w:p w14:paraId="7A2C676B">
      <w:pPr>
        <w:autoSpaceDE w:val="0"/>
        <w:autoSpaceDN w:val="0"/>
        <w:adjustRightInd w:val="0"/>
        <w:spacing w:line="360" w:lineRule="auto"/>
        <w:ind w:firstLine="420"/>
        <w:jc w:val="center"/>
        <w:rPr>
          <w:rFonts w:ascii="宋体" w:hAnsi="宋体" w:cs="宋体"/>
          <w:color w:val="auto"/>
          <w:szCs w:val="21"/>
          <w:highlight w:val="none"/>
        </w:rPr>
      </w:pPr>
    </w:p>
    <w:p w14:paraId="3346916F">
      <w:pPr>
        <w:autoSpaceDE w:val="0"/>
        <w:autoSpaceDN w:val="0"/>
        <w:adjustRightInd w:val="0"/>
        <w:spacing w:line="360" w:lineRule="auto"/>
        <w:ind w:firstLine="420"/>
        <w:jc w:val="center"/>
        <w:rPr>
          <w:rFonts w:ascii="宋体" w:hAnsi="宋体" w:cs="宋体"/>
          <w:color w:val="auto"/>
          <w:szCs w:val="21"/>
          <w:highlight w:val="none"/>
        </w:rPr>
      </w:pPr>
    </w:p>
    <w:p w14:paraId="67C81B8C">
      <w:pPr>
        <w:autoSpaceDE w:val="0"/>
        <w:autoSpaceDN w:val="0"/>
        <w:adjustRightInd w:val="0"/>
        <w:spacing w:line="360" w:lineRule="auto"/>
        <w:ind w:firstLine="420"/>
        <w:jc w:val="center"/>
        <w:rPr>
          <w:rFonts w:ascii="宋体" w:hAnsi="宋体" w:cs="宋体"/>
          <w:color w:val="auto"/>
          <w:szCs w:val="21"/>
          <w:highlight w:val="none"/>
        </w:rPr>
      </w:pPr>
    </w:p>
    <w:p w14:paraId="18802255">
      <w:pPr>
        <w:autoSpaceDE w:val="0"/>
        <w:autoSpaceDN w:val="0"/>
        <w:adjustRightInd w:val="0"/>
        <w:spacing w:line="360" w:lineRule="auto"/>
        <w:ind w:firstLine="420"/>
        <w:jc w:val="center"/>
        <w:rPr>
          <w:rFonts w:ascii="宋体" w:hAnsi="宋体" w:cs="宋体"/>
          <w:color w:val="auto"/>
          <w:szCs w:val="21"/>
          <w:highlight w:val="none"/>
        </w:rPr>
      </w:pPr>
    </w:p>
    <w:p w14:paraId="47AF95AA">
      <w:pPr>
        <w:autoSpaceDE w:val="0"/>
        <w:autoSpaceDN w:val="0"/>
        <w:adjustRightInd w:val="0"/>
        <w:jc w:val="center"/>
        <w:rPr>
          <w:rFonts w:ascii="宋体" w:hAnsi="宋体" w:cs="宋体"/>
          <w:color w:val="auto"/>
          <w:szCs w:val="21"/>
          <w:highlight w:val="none"/>
        </w:rPr>
      </w:pPr>
    </w:p>
    <w:p w14:paraId="7ABA66A7">
      <w:pPr>
        <w:autoSpaceDE w:val="0"/>
        <w:autoSpaceDN w:val="0"/>
        <w:adjustRightInd w:val="0"/>
        <w:spacing w:line="360" w:lineRule="auto"/>
        <w:ind w:firstLine="420"/>
        <w:jc w:val="center"/>
        <w:rPr>
          <w:rFonts w:ascii="宋体" w:hAnsi="宋体" w:cs="宋体"/>
          <w:color w:val="auto"/>
          <w:szCs w:val="21"/>
          <w:highlight w:val="none"/>
        </w:rPr>
      </w:pPr>
    </w:p>
    <w:p w14:paraId="220D0DF3">
      <w:pPr>
        <w:autoSpaceDE w:val="0"/>
        <w:autoSpaceDN w:val="0"/>
        <w:adjustRightInd w:val="0"/>
        <w:spacing w:line="360" w:lineRule="auto"/>
        <w:ind w:firstLine="420"/>
        <w:jc w:val="center"/>
        <w:rPr>
          <w:rFonts w:ascii="宋体" w:hAnsi="宋体" w:cs="宋体"/>
          <w:color w:val="auto"/>
          <w:szCs w:val="21"/>
          <w:highlight w:val="none"/>
        </w:rPr>
      </w:pPr>
    </w:p>
    <w:p w14:paraId="2C27A476">
      <w:pPr>
        <w:autoSpaceDE w:val="0"/>
        <w:autoSpaceDN w:val="0"/>
        <w:adjustRightInd w:val="0"/>
        <w:spacing w:line="360" w:lineRule="auto"/>
        <w:rPr>
          <w:rFonts w:ascii="宋体" w:hAnsi="宋体" w:cs="宋体"/>
          <w:color w:val="auto"/>
          <w:szCs w:val="21"/>
          <w:highlight w:val="none"/>
        </w:rPr>
      </w:pPr>
    </w:p>
    <w:p w14:paraId="57A0D841">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   购   人：南通市公路事业发展中心</w:t>
      </w:r>
    </w:p>
    <w:p w14:paraId="571CC6FD">
      <w:pPr>
        <w:adjustRightInd w:val="0"/>
        <w:snapToGrid w:val="0"/>
        <w:spacing w:line="360" w:lineRule="auto"/>
        <w:ind w:firstLine="602" w:firstLineChars="20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采购代理机构：</w:t>
      </w:r>
      <w:r>
        <w:rPr>
          <w:rFonts w:hint="eastAsia" w:ascii="宋体" w:hAnsi="宋体" w:cs="宋体"/>
          <w:b/>
          <w:color w:val="auto"/>
          <w:sz w:val="30"/>
          <w:szCs w:val="30"/>
          <w:highlight w:val="none"/>
          <w:lang w:eastAsia="zh-CN"/>
        </w:rPr>
        <w:t>捷宏润安工程顾问（江苏）有限公司</w:t>
      </w:r>
    </w:p>
    <w:p w14:paraId="023EADAB">
      <w:pPr>
        <w:adjustRightInd w:val="0"/>
        <w:snapToGrid w:val="0"/>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202</w:t>
      </w:r>
      <w:r>
        <w:rPr>
          <w:rFonts w:hint="eastAsia" w:ascii="宋体" w:hAnsi="宋体" w:cs="宋体"/>
          <w:b/>
          <w:color w:val="auto"/>
          <w:sz w:val="30"/>
          <w:szCs w:val="30"/>
          <w:highlight w:val="none"/>
          <w:lang w:val="en-US" w:eastAsia="zh-CN"/>
        </w:rPr>
        <w:t>6</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1</w:t>
      </w:r>
      <w:r>
        <w:rPr>
          <w:rFonts w:hint="eastAsia" w:ascii="宋体" w:hAnsi="宋体" w:cs="宋体"/>
          <w:b/>
          <w:color w:val="auto"/>
          <w:sz w:val="30"/>
          <w:szCs w:val="30"/>
          <w:highlight w:val="none"/>
        </w:rPr>
        <w:t>月</w:t>
      </w:r>
    </w:p>
    <w:p w14:paraId="743EA168">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   录</w:t>
      </w:r>
    </w:p>
    <w:p w14:paraId="45D8E3E1">
      <w:pPr>
        <w:autoSpaceDE w:val="0"/>
        <w:autoSpaceDN w:val="0"/>
        <w:adjustRightInd w:val="0"/>
        <w:spacing w:line="480" w:lineRule="auto"/>
        <w:ind w:firstLine="556"/>
        <w:rPr>
          <w:rFonts w:ascii="宋体" w:hAnsi="宋体" w:cs="宋体"/>
          <w:b/>
          <w:bCs/>
          <w:color w:val="auto"/>
          <w:sz w:val="32"/>
          <w:szCs w:val="32"/>
          <w:highlight w:val="none"/>
        </w:rPr>
      </w:pPr>
    </w:p>
    <w:p w14:paraId="5CF6BA9E">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竞争性磋商公告</w:t>
      </w:r>
    </w:p>
    <w:p w14:paraId="5120B71D">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磋商须知</w:t>
      </w:r>
    </w:p>
    <w:p w14:paraId="61CFB728">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14:paraId="7D7C8609">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第四部分  磋商程序和内容</w:t>
      </w:r>
    </w:p>
    <w:p w14:paraId="01884277">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第五部分  合同签订与验收付款</w:t>
      </w:r>
    </w:p>
    <w:p w14:paraId="330CC46A">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  质疑提出和处理</w:t>
      </w:r>
    </w:p>
    <w:p w14:paraId="48E188C5">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第七部分  响应文件组成</w:t>
      </w:r>
    </w:p>
    <w:p w14:paraId="7A603905">
      <w:pPr>
        <w:tabs>
          <w:tab w:val="left" w:pos="7740"/>
        </w:tabs>
        <w:spacing w:line="500" w:lineRule="exact"/>
        <w:rPr>
          <w:rFonts w:ascii="宋体" w:hAnsi="宋体" w:cs="宋体"/>
          <w:b/>
          <w:color w:val="auto"/>
          <w:spacing w:val="2"/>
          <w:sz w:val="32"/>
          <w:szCs w:val="32"/>
          <w:highlight w:val="none"/>
        </w:rPr>
      </w:pPr>
    </w:p>
    <w:p w14:paraId="0CE77F72">
      <w:pPr>
        <w:autoSpaceDE w:val="0"/>
        <w:autoSpaceDN w:val="0"/>
        <w:adjustRightInd w:val="0"/>
        <w:spacing w:line="540" w:lineRule="exact"/>
        <w:jc w:val="center"/>
        <w:rPr>
          <w:rFonts w:ascii="宋体" w:hAnsi="宋体" w:cs="宋体"/>
          <w:b/>
          <w:bCs/>
          <w:color w:val="auto"/>
          <w:sz w:val="36"/>
          <w:szCs w:val="36"/>
          <w:highlight w:val="none"/>
          <w:lang w:val="zh-CN"/>
        </w:rPr>
      </w:pPr>
    </w:p>
    <w:p w14:paraId="7EB15FC8">
      <w:pPr>
        <w:autoSpaceDE w:val="0"/>
        <w:autoSpaceDN w:val="0"/>
        <w:adjustRightInd w:val="0"/>
        <w:spacing w:line="540" w:lineRule="exact"/>
        <w:rPr>
          <w:rFonts w:ascii="宋体" w:hAnsi="宋体" w:cs="宋体"/>
          <w:b/>
          <w:bCs/>
          <w:color w:val="auto"/>
          <w:sz w:val="36"/>
          <w:szCs w:val="36"/>
          <w:highlight w:val="none"/>
          <w:lang w:val="zh-CN"/>
        </w:rPr>
      </w:pPr>
    </w:p>
    <w:p w14:paraId="76BFA547">
      <w:pPr>
        <w:autoSpaceDE w:val="0"/>
        <w:autoSpaceDN w:val="0"/>
        <w:adjustRightInd w:val="0"/>
        <w:spacing w:line="540" w:lineRule="exact"/>
        <w:jc w:val="center"/>
        <w:rPr>
          <w:rFonts w:ascii="宋体" w:hAnsi="宋体" w:cs="宋体"/>
          <w:b/>
          <w:bCs/>
          <w:color w:val="auto"/>
          <w:sz w:val="36"/>
          <w:szCs w:val="36"/>
          <w:highlight w:val="none"/>
          <w:lang w:val="zh-CN"/>
        </w:rPr>
      </w:pPr>
    </w:p>
    <w:p w14:paraId="7F345DE2">
      <w:pPr>
        <w:autoSpaceDE w:val="0"/>
        <w:autoSpaceDN w:val="0"/>
        <w:adjustRightInd w:val="0"/>
        <w:spacing w:line="540" w:lineRule="exact"/>
        <w:jc w:val="center"/>
        <w:rPr>
          <w:rFonts w:ascii="宋体" w:hAnsi="宋体" w:cs="宋体"/>
          <w:b/>
          <w:bCs/>
          <w:color w:val="auto"/>
          <w:sz w:val="36"/>
          <w:szCs w:val="36"/>
          <w:highlight w:val="none"/>
          <w:lang w:val="zh-CN"/>
        </w:rPr>
      </w:pPr>
    </w:p>
    <w:p w14:paraId="0B7B5570">
      <w:pPr>
        <w:autoSpaceDE w:val="0"/>
        <w:autoSpaceDN w:val="0"/>
        <w:adjustRightInd w:val="0"/>
        <w:spacing w:line="540" w:lineRule="exact"/>
        <w:jc w:val="center"/>
        <w:rPr>
          <w:rFonts w:ascii="宋体" w:hAnsi="宋体" w:cs="宋体"/>
          <w:b/>
          <w:bCs/>
          <w:color w:val="auto"/>
          <w:sz w:val="36"/>
          <w:szCs w:val="36"/>
          <w:highlight w:val="none"/>
          <w:lang w:val="zh-CN"/>
        </w:rPr>
      </w:pPr>
    </w:p>
    <w:p w14:paraId="266007DB">
      <w:pPr>
        <w:autoSpaceDE w:val="0"/>
        <w:autoSpaceDN w:val="0"/>
        <w:adjustRightInd w:val="0"/>
        <w:spacing w:line="540" w:lineRule="exact"/>
        <w:jc w:val="center"/>
        <w:rPr>
          <w:rFonts w:ascii="宋体" w:hAnsi="宋体" w:cs="宋体"/>
          <w:b/>
          <w:bCs/>
          <w:color w:val="auto"/>
          <w:sz w:val="36"/>
          <w:szCs w:val="36"/>
          <w:highlight w:val="none"/>
          <w:lang w:val="zh-CN"/>
        </w:rPr>
      </w:pPr>
    </w:p>
    <w:p w14:paraId="5F5D402A">
      <w:pPr>
        <w:autoSpaceDE w:val="0"/>
        <w:autoSpaceDN w:val="0"/>
        <w:adjustRightInd w:val="0"/>
        <w:spacing w:line="540" w:lineRule="exact"/>
        <w:rPr>
          <w:rFonts w:ascii="宋体" w:hAnsi="宋体" w:cs="宋体"/>
          <w:b/>
          <w:bCs/>
          <w:color w:val="auto"/>
          <w:sz w:val="36"/>
          <w:szCs w:val="36"/>
          <w:highlight w:val="none"/>
          <w:lang w:val="zh-CN"/>
        </w:rPr>
      </w:pPr>
    </w:p>
    <w:p w14:paraId="0EE00D08">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 xml:space="preserve">第一部分  </w:t>
      </w:r>
      <w:bookmarkStart w:id="0" w:name="_Hlk156306618"/>
      <w:r>
        <w:rPr>
          <w:rFonts w:hint="eastAsia" w:ascii="宋体" w:hAnsi="宋体" w:cs="宋体"/>
          <w:b/>
          <w:bCs/>
          <w:color w:val="auto"/>
          <w:sz w:val="36"/>
          <w:szCs w:val="36"/>
          <w:highlight w:val="none"/>
          <w:lang w:val="zh-CN"/>
        </w:rPr>
        <w:t>竞争性磋商公告</w:t>
      </w:r>
    </w:p>
    <w:p w14:paraId="356A4314">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一、项目基本情况</w:t>
      </w:r>
    </w:p>
    <w:p w14:paraId="60F89A2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1.项目</w:t>
      </w:r>
      <w:r>
        <w:rPr>
          <w:rFonts w:hint="eastAsia" w:ascii="宋体" w:hAnsi="宋体" w:cs="宋体"/>
          <w:color w:val="auto"/>
          <w:sz w:val="24"/>
          <w:highlight w:val="none"/>
          <w:lang w:eastAsia="zh-CN"/>
        </w:rPr>
        <w:t>编号：2026-2027ZJZX</w:t>
      </w:r>
    </w:p>
    <w:p w14:paraId="427437D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2026-2027年南通市公路事业发展中心项目造价咨询服务项目</w:t>
      </w:r>
    </w:p>
    <w:p w14:paraId="1FE1946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3.项目类型：服务</w:t>
      </w:r>
    </w:p>
    <w:p w14:paraId="0118130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4.所属行业：其他未列明行业</w:t>
      </w:r>
    </w:p>
    <w:p w14:paraId="18B9B0D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5.预算金额：人民币</w:t>
      </w:r>
      <w:r>
        <w:rPr>
          <w:rFonts w:hint="eastAsia" w:ascii="宋体" w:hAnsi="宋体" w:cs="宋体"/>
          <w:color w:val="auto"/>
          <w:sz w:val="24"/>
          <w:highlight w:val="none"/>
          <w:lang w:val="en-US" w:eastAsia="zh-CN"/>
        </w:rPr>
        <w:t>伍拾肆万元/年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54万元/年</w:t>
      </w:r>
      <w:r>
        <w:rPr>
          <w:rFonts w:hint="eastAsia" w:ascii="宋体" w:hAnsi="宋体" w:cs="宋体"/>
          <w:color w:val="auto"/>
          <w:sz w:val="24"/>
          <w:highlight w:val="none"/>
        </w:rPr>
        <w:t>）</w:t>
      </w:r>
    </w:p>
    <w:p w14:paraId="1744973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本项目采用统一收费标准（详见</w:t>
      </w:r>
      <w:r>
        <w:rPr>
          <w:rFonts w:hint="eastAsia" w:ascii="宋体" w:hAnsi="宋体"/>
          <w:bCs/>
          <w:color w:val="auto"/>
          <w:sz w:val="24"/>
          <w:highlight w:val="none"/>
          <w:lang w:val="en-US" w:eastAsia="zh-CN"/>
        </w:rPr>
        <w:t>采购</w:t>
      </w:r>
      <w:r>
        <w:rPr>
          <w:rFonts w:hint="eastAsia" w:ascii="宋体" w:hAnsi="宋体"/>
          <w:bCs/>
          <w:color w:val="auto"/>
          <w:sz w:val="24"/>
          <w:highlight w:val="none"/>
        </w:rPr>
        <w:t>文件），无需供应商报价，但供应商须响应统一收费标准的价格并作承诺，否则作无效标处理。</w:t>
      </w:r>
    </w:p>
    <w:p w14:paraId="2BBDDC3A">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6.采购需求：</w:t>
      </w:r>
      <w:r>
        <w:rPr>
          <w:rFonts w:hint="eastAsia" w:ascii="宋体" w:hAnsi="宋体"/>
          <w:color w:val="auto"/>
          <w:sz w:val="24"/>
          <w:highlight w:val="none"/>
          <w:lang w:eastAsia="zh-CN"/>
        </w:rPr>
        <w:t>2026-2027年南通市公路事业发展中心项目造价咨询服务</w:t>
      </w:r>
      <w:r>
        <w:rPr>
          <w:rFonts w:hint="eastAsia" w:ascii="宋体" w:hAnsi="宋体"/>
          <w:color w:val="auto"/>
          <w:sz w:val="24"/>
          <w:highlight w:val="none"/>
        </w:rPr>
        <w:t>，本项目选择</w:t>
      </w:r>
      <w:r>
        <w:rPr>
          <w:rFonts w:hint="eastAsia" w:ascii="宋体" w:hAnsi="宋体"/>
          <w:color w:val="auto"/>
          <w:sz w:val="24"/>
          <w:highlight w:val="none"/>
          <w:lang w:val="en-US" w:eastAsia="zh-CN"/>
        </w:rPr>
        <w:t>3</w:t>
      </w:r>
      <w:r>
        <w:rPr>
          <w:rFonts w:hint="eastAsia" w:ascii="宋体" w:hAnsi="宋体"/>
          <w:color w:val="auto"/>
          <w:sz w:val="24"/>
          <w:highlight w:val="none"/>
        </w:rPr>
        <w:t>家项目造价咨询服务单位。具体详见第三部分项目需求</w:t>
      </w:r>
      <w:r>
        <w:rPr>
          <w:rFonts w:ascii="宋体" w:hAnsi="宋体"/>
          <w:color w:val="auto"/>
          <w:sz w:val="24"/>
          <w:highlight w:val="none"/>
        </w:rPr>
        <w:t>。</w:t>
      </w:r>
    </w:p>
    <w:p w14:paraId="59DE5A91">
      <w:pPr>
        <w:pStyle w:val="15"/>
        <w:adjustRightInd w:val="0"/>
        <w:snapToGrid w:val="0"/>
        <w:spacing w:before="0" w:beforeAutospacing="0" w:after="0" w:afterAutospacing="0" w:line="360" w:lineRule="auto"/>
        <w:ind w:firstLine="480" w:firstLineChars="200"/>
        <w:jc w:val="both"/>
        <w:rPr>
          <w:rFonts w:hint="eastAsia"/>
          <w:color w:val="auto"/>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w:t>
      </w:r>
      <w:r>
        <w:rPr>
          <w:rFonts w:hint="eastAsia"/>
          <w:color w:val="auto"/>
          <w:highlight w:val="none"/>
        </w:rPr>
        <w:t>12个月。若采购人提供咨询资料延后则时间相应顺延，若增加工作内容则具体完成时间另行约定。采购人有权对成交供应商履职期间的情况综合考核并决定是否续签合同，考核合格的可续签1次，续签合同服务期为12个月。</w:t>
      </w:r>
    </w:p>
    <w:p w14:paraId="4F62FF1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8.本项目不接受联合体磋商。</w:t>
      </w:r>
    </w:p>
    <w:p w14:paraId="400115FD">
      <w:pPr>
        <w:keepNext w:val="0"/>
        <w:keepLines w:val="0"/>
        <w:pageBreakBefore w:val="0"/>
        <w:topLinePunct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本项目不允许分包。</w:t>
      </w:r>
    </w:p>
    <w:p w14:paraId="2523C3BB">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二、供应商资格要求</w:t>
      </w:r>
    </w:p>
    <w:p w14:paraId="739C8A6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1.符合《中华人民共和国政府采购法》第二十二条规定。</w:t>
      </w:r>
    </w:p>
    <w:p w14:paraId="4ED21A9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采购，供应商应为中小微企业、监狱企业、残疾人福利性单位，并按照采购文件要求提供《中小企业声明函》、《残疾人福利性单位声明函》或监狱和戒毒企业证明材料。</w:t>
      </w:r>
    </w:p>
    <w:p w14:paraId="0221ED0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p>
    <w:p w14:paraId="068965C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文件递交截止日当日，供应商在“信用中国”网站(http://www.creditchina.gov.cn/)中未被列入失信被执行人名单、重大税收违法案件当事人名单，在国家企业信用信息公示系(http://www.gsxt.gov.cn/)中未被列入严重违法失信企业名单，未被“中国政府采购网”(http://www.ccgp.gov.cn/)列入政府采购严重失信行为。</w:t>
      </w:r>
    </w:p>
    <w:p w14:paraId="415A15F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项目负责人：具有公路工程或其他工程类的高级及以上技术职称，同时具有一级注册造价工程师或交通部甲级公路工程造价工程师执业资格。项目负责人不得为公司法定代表人或企业负责人。</w:t>
      </w:r>
    </w:p>
    <w:p w14:paraId="2D62DC18">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其他人员：除项目负责人外，供应商拟投入本项目的其他人员不少于4人，其中具有一级注册造价工程师或交通部甲级公路工程造价工程师执业资格的人员不少于2人，其余人员必须具备二级注册造价工程师或交通部乙级公路工程造价工程师执业资格。</w:t>
      </w:r>
    </w:p>
    <w:p w14:paraId="776B7B5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拟投入本项目的项目负责人及其他人员均须提供执业资格证书或注册证书，并且为投标供应商自有员工，出具投标供应商为其缴纳的近3个月（2025年10月至2025年12月）内任意一个月社保缴费证明，社保缴纳证明材料需含缴费起止时间、缴费单位、缴费人员姓名并由社保机构加盖缴费证明专用章，社保机构官网上打印件与线下的盖章件具有同等效力，缴费单位须与投标供应商名称一致（投标供应商下属不具备独立法人资格的分支机构缴纳的社保视为本单位）。</w:t>
      </w:r>
    </w:p>
    <w:p w14:paraId="234A328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2025-2026年度南通市公路事业发展中心招标代理单位项目的中标单位不得参与本项目的投标。</w:t>
      </w:r>
    </w:p>
    <w:p w14:paraId="593D0C0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与采购人存在利害关系可能影响公正性的单位，单位负责人为同一人或者存在直接控股、管理关系的不同供应商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不得参加同一合同项下的政府采购活动。若同时参加同一合同项下的政府采购活动，则相关供应商的投标均做无效投标处理。</w:t>
      </w:r>
    </w:p>
    <w:p w14:paraId="0573EDA1">
      <w:pPr>
        <w:pStyle w:val="33"/>
        <w:keepNext w:val="0"/>
        <w:keepLines w:val="0"/>
        <w:pageBreakBefore w:val="0"/>
        <w:topLinePunct w:val="0"/>
        <w:bidi w:val="0"/>
        <w:adjustRightInd w:val="0"/>
        <w:snapToGrid w:val="0"/>
        <w:spacing w:line="360" w:lineRule="auto"/>
        <w:ind w:firstLine="482" w:firstLineChars="200"/>
        <w:textAlignment w:val="auto"/>
        <w:rPr>
          <w:rFonts w:eastAsia="宋体" w:cs="宋体"/>
          <w:b/>
          <w:bCs/>
          <w:color w:val="auto"/>
          <w:highlight w:val="none"/>
        </w:rPr>
      </w:pPr>
      <w:r>
        <w:rPr>
          <w:rFonts w:hint="eastAsia" w:eastAsia="宋体" w:cs="宋体"/>
          <w:b/>
          <w:color w:val="auto"/>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CD1244F">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三、获取磋商文件</w:t>
      </w:r>
    </w:p>
    <w:p w14:paraId="7861654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1.申请</w:t>
      </w:r>
    </w:p>
    <w:p w14:paraId="2AA113E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申请时间：自公告上网发布之日起至</w:t>
      </w:r>
      <w:r>
        <w:rPr>
          <w:rFonts w:hint="eastAsia"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lang w:val="en-US" w:eastAsia="zh-CN"/>
        </w:rPr>
        <w:t>6</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 xml:space="preserve"> 1 </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 xml:space="preserve"> 15 </w:t>
      </w:r>
      <w:r>
        <w:rPr>
          <w:rFonts w:hint="eastAsia" w:ascii="宋体" w:hAnsi="宋体" w:cs="宋体"/>
          <w:color w:val="auto"/>
          <w:spacing w:val="7"/>
          <w:kern w:val="0"/>
          <w:sz w:val="24"/>
          <w:highlight w:val="none"/>
        </w:rPr>
        <w:t>日，每日工作时间：上午9:00—11:30整，</w:t>
      </w:r>
      <w:r>
        <w:rPr>
          <w:rFonts w:hint="eastAsia" w:ascii="宋体" w:hAnsi="宋体" w:cs="宋体"/>
          <w:color w:val="auto"/>
          <w:spacing w:val="7"/>
          <w:kern w:val="0"/>
          <w:sz w:val="24"/>
          <w:highlight w:val="none"/>
          <w:lang w:eastAsia="zh-CN"/>
        </w:rPr>
        <w:t>13:30</w:t>
      </w:r>
      <w:r>
        <w:rPr>
          <w:rFonts w:hint="eastAsia" w:ascii="宋体" w:hAnsi="宋体" w:cs="宋体"/>
          <w:color w:val="auto"/>
          <w:spacing w:val="7"/>
          <w:kern w:val="0"/>
          <w:sz w:val="24"/>
          <w:highlight w:val="none"/>
        </w:rPr>
        <w:t>—17:30整（节假日除外）。</w:t>
      </w:r>
    </w:p>
    <w:p w14:paraId="4D250A0F">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按照磋商公告下附件《申请函》的</w:t>
      </w:r>
      <w:r>
        <w:rPr>
          <w:rFonts w:hint="eastAsia" w:ascii="宋体" w:hAnsi="宋体" w:cs="宋体"/>
          <w:color w:val="auto"/>
          <w:kern w:val="0"/>
          <w:sz w:val="24"/>
          <w:highlight w:val="none"/>
          <w:lang w:eastAsia="zh-CN"/>
        </w:rPr>
        <w:t>格式</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回函</w:t>
      </w:r>
      <w:r>
        <w:rPr>
          <w:rFonts w:hint="eastAsia" w:ascii="宋体" w:hAnsi="宋体" w:cs="宋体"/>
          <w:color w:val="auto"/>
          <w:kern w:val="0"/>
          <w:sz w:val="24"/>
          <w:highlight w:val="none"/>
        </w:rPr>
        <w:t>（加盖单位章）发彩色扫描件至邮箱中（</w:t>
      </w:r>
      <w:r>
        <w:rPr>
          <w:rFonts w:hint="eastAsia" w:ascii="宋体" w:hAnsi="宋体" w:cs="宋体"/>
          <w:color w:val="auto"/>
          <w:kern w:val="0"/>
          <w:sz w:val="24"/>
          <w:highlight w:val="none"/>
          <w:lang w:val="en-US" w:eastAsia="zh-CN"/>
        </w:rPr>
        <w:t>邮箱：54504928@qq.com，</w:t>
      </w: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丁渭晋</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lang w:val="en-US" w:eastAsia="zh-CN"/>
        </w:rPr>
        <w:t>15850591856</w:t>
      </w:r>
      <w:r>
        <w:rPr>
          <w:rFonts w:hint="eastAsia" w:ascii="宋体" w:hAnsi="宋体" w:cs="宋体"/>
          <w:color w:val="auto"/>
          <w:kern w:val="0"/>
          <w:sz w:val="24"/>
          <w:highlight w:val="none"/>
        </w:rPr>
        <w:t>），并致电代理机构确认邮件送达，确认是否参与本次投标的相关事宜。</w:t>
      </w:r>
    </w:p>
    <w:p w14:paraId="02C1359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申请提供资料：按附件提供《申请函》</w:t>
      </w:r>
    </w:p>
    <w:p w14:paraId="26D52649">
      <w:pPr>
        <w:keepNext w:val="0"/>
        <w:keepLines w:val="0"/>
        <w:pageBreakBefore w:val="0"/>
        <w:topLinePunct w:val="0"/>
        <w:bidi w:val="0"/>
        <w:adjustRightInd w:val="0"/>
        <w:snapToGrid w:val="0"/>
        <w:spacing w:line="360" w:lineRule="auto"/>
        <w:ind w:firstLine="482" w:firstLineChars="200"/>
        <w:contextualSpacing/>
        <w:textAlignment w:val="auto"/>
        <w:rPr>
          <w:rFonts w:ascii="宋体" w:hAnsi="宋体" w:cs="宋体"/>
          <w:color w:val="auto"/>
          <w:spacing w:val="7"/>
          <w:kern w:val="0"/>
          <w:sz w:val="24"/>
          <w:highlight w:val="none"/>
        </w:rPr>
      </w:pPr>
      <w:r>
        <w:rPr>
          <w:rFonts w:hint="eastAsia" w:ascii="宋体" w:hAnsi="宋体" w:cs="宋体"/>
          <w:b/>
          <w:bCs/>
          <w:color w:val="auto"/>
          <w:kern w:val="0"/>
          <w:sz w:val="24"/>
          <w:highlight w:val="none"/>
        </w:rPr>
        <w:t>未按要求进行申请的不具备磋商资格。</w:t>
      </w:r>
    </w:p>
    <w:p w14:paraId="4599E885">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2.获取磋商文件</w:t>
      </w:r>
    </w:p>
    <w:p w14:paraId="4305950B">
      <w:pPr>
        <w:keepNext w:val="0"/>
        <w:keepLines w:val="0"/>
        <w:pageBreakBefore w:val="0"/>
        <w:topLinePunct w:val="0"/>
        <w:bidi w:val="0"/>
        <w:adjustRightInd w:val="0"/>
        <w:snapToGrid w:val="0"/>
        <w:spacing w:line="360" w:lineRule="auto"/>
        <w:ind w:firstLine="508" w:firstLineChars="200"/>
        <w:contextualSpacing/>
        <w:jc w:val="left"/>
        <w:textAlignment w:val="auto"/>
        <w:rPr>
          <w:rFonts w:ascii="宋体" w:hAnsi="宋体" w:cs="宋体"/>
          <w:color w:val="auto"/>
          <w:spacing w:val="7"/>
          <w:kern w:val="0"/>
          <w:sz w:val="24"/>
          <w:highlight w:val="none"/>
        </w:rPr>
      </w:pPr>
      <w:r>
        <w:rPr>
          <w:rFonts w:ascii="宋体" w:hAnsi="宋体" w:cs="宋体"/>
          <w:color w:val="auto"/>
          <w:spacing w:val="7"/>
          <w:kern w:val="0"/>
          <w:sz w:val="24"/>
          <w:highlight w:val="none"/>
        </w:rPr>
        <w:t>各申请人</w:t>
      </w:r>
      <w:r>
        <w:rPr>
          <w:rFonts w:hint="eastAsia" w:ascii="宋体" w:cs="宋体"/>
          <w:color w:val="auto"/>
          <w:sz w:val="24"/>
          <w:highlight w:val="none"/>
        </w:rPr>
        <w:t>在南通市交通运输局网站（网址：</w:t>
      </w:r>
      <w:r>
        <w:rPr>
          <w:rFonts w:hint="eastAsia" w:ascii="宋体" w:hAnsi="Times New Roman" w:eastAsia="宋体" w:cs="宋体"/>
          <w:color w:val="auto"/>
          <w:sz w:val="24"/>
          <w:highlight w:val="none"/>
        </w:rPr>
        <w:fldChar w:fldCharType="begin"/>
      </w:r>
      <w:r>
        <w:rPr>
          <w:rFonts w:hint="eastAsia" w:ascii="宋体" w:hAnsi="Times New Roman" w:eastAsia="宋体" w:cs="宋体"/>
          <w:color w:val="auto"/>
          <w:sz w:val="24"/>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Times New Roman" w:eastAsia="宋体" w:cs="宋体"/>
          <w:color w:val="auto"/>
          <w:sz w:val="24"/>
          <w:highlight w:val="none"/>
        </w:rPr>
        <w:fldChar w:fldCharType="separate"/>
      </w:r>
      <w:r>
        <w:rPr>
          <w:rFonts w:hint="eastAsia" w:ascii="宋体" w:hAnsi="Times New Roman" w:eastAsia="宋体" w:cs="宋体"/>
          <w:color w:val="auto"/>
          <w:sz w:val="24"/>
          <w:highlight w:val="none"/>
        </w:rPr>
        <w:t>http://jtysj.nantong.gov.cn/）</w:t>
      </w:r>
      <w:r>
        <w:rPr>
          <w:rFonts w:hint="eastAsia" w:ascii="宋体" w:hAnsi="Times New Roman" w:eastAsia="宋体" w:cs="宋体"/>
          <w:color w:val="auto"/>
          <w:sz w:val="24"/>
          <w:highlight w:val="none"/>
          <w:lang w:val="en-US" w:eastAsia="zh-CN"/>
        </w:rPr>
        <w:t>本项目</w:t>
      </w:r>
      <w:r>
        <w:rPr>
          <w:rFonts w:hint="eastAsia" w:ascii="宋体" w:hAnsi="Times New Roman" w:eastAsia="宋体" w:cs="宋体"/>
          <w:color w:val="auto"/>
          <w:sz w:val="24"/>
          <w:highlight w:val="none"/>
        </w:rPr>
        <w:fldChar w:fldCharType="end"/>
      </w:r>
      <w:r>
        <w:rPr>
          <w:rFonts w:hint="eastAsia" w:ascii="宋体" w:cs="宋体"/>
          <w:color w:val="auto"/>
          <w:sz w:val="24"/>
          <w:highlight w:val="none"/>
          <w:lang w:val="en-US" w:eastAsia="zh-CN"/>
        </w:rPr>
        <w:t>磋商公告下附件自行下载</w:t>
      </w:r>
      <w:r>
        <w:rPr>
          <w:rFonts w:ascii="宋体" w:hAnsi="宋体" w:cs="宋体"/>
          <w:color w:val="auto"/>
          <w:spacing w:val="7"/>
          <w:kern w:val="0"/>
          <w:sz w:val="24"/>
          <w:highlight w:val="none"/>
        </w:rPr>
        <w:t>。</w:t>
      </w:r>
    </w:p>
    <w:p w14:paraId="1DF93979">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磋商文件售价</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元/供应商。</w:t>
      </w:r>
    </w:p>
    <w:p w14:paraId="750BC059">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16390A38">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四、磋商响应文件递交</w:t>
      </w:r>
    </w:p>
    <w:p w14:paraId="1807663D">
      <w:pPr>
        <w:keepNext w:val="0"/>
        <w:keepLines w:val="0"/>
        <w:pageBreakBefore w:val="0"/>
        <w:widowControl/>
        <w:shd w:val="clear" w:color="auto" w:fill="FFFFFF"/>
        <w:topLinePunct w:val="0"/>
        <w:bidi w:val="0"/>
        <w:adjustRightInd w:val="0"/>
        <w:snapToGrid w:val="0"/>
        <w:spacing w:line="360" w:lineRule="auto"/>
        <w:ind w:firstLine="508" w:firstLineChars="200"/>
        <w:textAlignment w:val="auto"/>
        <w:rPr>
          <w:rFonts w:ascii="宋体" w:hAnsi="宋体" w:cs="宋体"/>
          <w:i/>
          <w:color w:val="auto"/>
          <w:spacing w:val="7"/>
          <w:kern w:val="0"/>
          <w:sz w:val="24"/>
          <w:highlight w:val="none"/>
          <w:u w:val="single"/>
        </w:rPr>
      </w:pPr>
      <w:r>
        <w:rPr>
          <w:rFonts w:hint="eastAsia" w:ascii="宋体" w:hAnsi="宋体" w:cs="宋体"/>
          <w:color w:val="auto"/>
          <w:spacing w:val="7"/>
          <w:kern w:val="0"/>
          <w:sz w:val="24"/>
          <w:highlight w:val="none"/>
        </w:rPr>
        <w:t>截止时间：</w:t>
      </w:r>
      <w:r>
        <w:rPr>
          <w:rFonts w:hint="eastAsia"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lang w:val="en-US" w:eastAsia="zh-CN"/>
        </w:rPr>
        <w:t>6</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 xml:space="preserve"> 1 </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 xml:space="preserve"> 16 </w:t>
      </w:r>
      <w:r>
        <w:rPr>
          <w:rFonts w:hint="eastAsia" w:ascii="宋体" w:hAnsi="宋体" w:cs="宋体"/>
          <w:color w:val="auto"/>
          <w:spacing w:val="7"/>
          <w:kern w:val="0"/>
          <w:sz w:val="24"/>
          <w:highlight w:val="none"/>
        </w:rPr>
        <w:t>日</w:t>
      </w:r>
      <w:r>
        <w:rPr>
          <w:rFonts w:hint="eastAsia" w:ascii="宋体" w:hAnsi="宋体" w:cs="宋体"/>
          <w:color w:val="auto"/>
          <w:sz w:val="24"/>
          <w:highlight w:val="none"/>
          <w:u w:val="single"/>
        </w:rPr>
        <w:t>9</w:t>
      </w:r>
      <w:r>
        <w:rPr>
          <w:rFonts w:hint="eastAsia" w:ascii="宋体" w:hAnsi="宋体" w:cs="宋体"/>
          <w:color w:val="auto"/>
          <w:spacing w:val="7"/>
          <w:kern w:val="0"/>
          <w:sz w:val="24"/>
          <w:highlight w:val="none"/>
        </w:rPr>
        <w:t>时</w:t>
      </w:r>
      <w:r>
        <w:rPr>
          <w:rFonts w:hint="eastAsia" w:ascii="宋体" w:hAnsi="宋体" w:cs="宋体"/>
          <w:color w:val="auto"/>
          <w:sz w:val="24"/>
          <w:highlight w:val="none"/>
          <w:u w:val="single"/>
        </w:rPr>
        <w:t>00</w:t>
      </w:r>
      <w:r>
        <w:rPr>
          <w:rFonts w:hint="eastAsia" w:ascii="宋体" w:hAnsi="宋体" w:cs="宋体"/>
          <w:color w:val="auto"/>
          <w:spacing w:val="7"/>
          <w:kern w:val="0"/>
          <w:sz w:val="24"/>
          <w:highlight w:val="none"/>
        </w:rPr>
        <w:t>分（北京时间）</w:t>
      </w:r>
    </w:p>
    <w:p w14:paraId="0F827D5B">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逾时，将不予接收。</w:t>
      </w:r>
    </w:p>
    <w:p w14:paraId="363F269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58404184">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五、磋商响应文件开启</w:t>
      </w:r>
    </w:p>
    <w:p w14:paraId="769CE56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时间：</w:t>
      </w:r>
      <w:r>
        <w:rPr>
          <w:rFonts w:hint="eastAsia" w:ascii="宋体" w:hAnsi="宋体" w:cs="宋体"/>
          <w:color w:val="auto"/>
          <w:kern w:val="0"/>
          <w:sz w:val="24"/>
          <w:highlight w:val="none"/>
        </w:rPr>
        <w:t>同磋商响应文件递交截止时间</w:t>
      </w:r>
    </w:p>
    <w:p w14:paraId="0A5DE40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03601D4D">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六、公告期限</w:t>
      </w:r>
    </w:p>
    <w:p w14:paraId="6CF2374B">
      <w:pPr>
        <w:keepNext w:val="0"/>
        <w:keepLines w:val="0"/>
        <w:pageBreakBefore w:val="0"/>
        <w:topLinePunct w:val="0"/>
        <w:bidi w:val="0"/>
        <w:adjustRightInd w:val="0"/>
        <w:snapToGrid w:val="0"/>
        <w:spacing w:line="360" w:lineRule="auto"/>
        <w:ind w:firstLine="508"/>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自本公告发布之日起10日。</w:t>
      </w:r>
    </w:p>
    <w:p w14:paraId="4ED8F5A9">
      <w:pPr>
        <w:keepNext w:val="0"/>
        <w:keepLines w:val="0"/>
        <w:pageBreakBefore w:val="0"/>
        <w:topLinePunct w:val="0"/>
        <w:bidi w:val="0"/>
        <w:adjustRightInd w:val="0"/>
        <w:snapToGrid w:val="0"/>
        <w:spacing w:line="360" w:lineRule="auto"/>
        <w:ind w:firstLine="510" w:firstLineChars="200"/>
        <w:textAlignment w:val="auto"/>
        <w:rPr>
          <w:rFonts w:ascii="宋体" w:hAnsi="宋体" w:cs="宋体"/>
          <w:color w:val="auto"/>
          <w:kern w:val="0"/>
          <w:sz w:val="24"/>
          <w:highlight w:val="none"/>
        </w:rPr>
      </w:pPr>
      <w:r>
        <w:rPr>
          <w:rFonts w:hint="eastAsia" w:ascii="宋体" w:hAnsi="宋体" w:cs="宋体"/>
          <w:b/>
          <w:color w:val="auto"/>
          <w:spacing w:val="7"/>
          <w:kern w:val="0"/>
          <w:sz w:val="24"/>
          <w:highlight w:val="none"/>
        </w:rPr>
        <w:t>七、</w:t>
      </w:r>
      <w:r>
        <w:rPr>
          <w:rFonts w:hint="eastAsia" w:ascii="宋体" w:hAnsi="宋体" w:cs="宋体"/>
          <w:b/>
          <w:bCs/>
          <w:color w:val="auto"/>
          <w:sz w:val="24"/>
          <w:highlight w:val="none"/>
          <w:lang w:val="zh-CN"/>
        </w:rPr>
        <w:t>支付方式</w:t>
      </w:r>
      <w:r>
        <w:rPr>
          <w:rFonts w:hint="eastAsia" w:ascii="宋体" w:hAnsi="宋体" w:cs="宋体"/>
          <w:b/>
          <w:bCs/>
          <w:color w:val="auto"/>
          <w:sz w:val="24"/>
          <w:highlight w:val="none"/>
        </w:rPr>
        <w:t>：</w:t>
      </w:r>
    </w:p>
    <w:p w14:paraId="1AD3BD69">
      <w:pPr>
        <w:pStyle w:val="15"/>
        <w:adjustRightInd w:val="0"/>
        <w:snapToGrid w:val="0"/>
        <w:spacing w:before="0" w:beforeAutospacing="0" w:after="0" w:afterAutospacing="0" w:line="360" w:lineRule="auto"/>
        <w:ind w:firstLine="480" w:firstLineChars="200"/>
        <w:jc w:val="both"/>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本项目为综合单价合同，按实结算。合同一年一签。合同签订后15日内支付</w:t>
      </w:r>
      <w:r>
        <w:rPr>
          <w:rFonts w:hint="eastAsia" w:cs="Times New Roman"/>
          <w:color w:val="auto"/>
          <w:highlight w:val="none"/>
          <w:lang w:val="en-US" w:eastAsia="zh-CN"/>
        </w:rPr>
        <w:t>预付款，预付款金额为为</w:t>
      </w:r>
      <w:r>
        <w:rPr>
          <w:rFonts w:hint="eastAsia"/>
          <w:color w:val="auto"/>
          <w:highlight w:val="none"/>
          <w:lang w:val="en-US" w:eastAsia="zh-CN"/>
        </w:rPr>
        <w:t>签约</w:t>
      </w:r>
      <w:r>
        <w:rPr>
          <w:rFonts w:hint="eastAsia" w:cs="Times New Roman"/>
          <w:color w:val="auto"/>
          <w:highlight w:val="none"/>
          <w:lang w:val="en-US" w:eastAsia="zh-CN"/>
        </w:rPr>
        <w:t>合同价（18万元/中标人）的</w:t>
      </w:r>
      <w:r>
        <w:rPr>
          <w:rFonts w:hint="eastAsia" w:ascii="宋体" w:hAnsi="宋体" w:eastAsia="宋体" w:cs="Times New Roman"/>
          <w:color w:val="auto"/>
          <w:highlight w:val="none"/>
          <w:lang w:val="zh-CN"/>
        </w:rPr>
        <w:t>30%，服务期满且经发包人考核合格后</w:t>
      </w:r>
      <w:r>
        <w:rPr>
          <w:rFonts w:hint="eastAsia" w:cs="Times New Roman"/>
          <w:color w:val="auto"/>
          <w:highlight w:val="none"/>
          <w:lang w:val="zh-CN"/>
        </w:rPr>
        <w:t>，</w:t>
      </w:r>
      <w:r>
        <w:rPr>
          <w:rFonts w:hint="eastAsia" w:cs="Times New Roman"/>
          <w:color w:val="auto"/>
          <w:highlight w:val="none"/>
          <w:lang w:val="en-US" w:eastAsia="zh-CN"/>
        </w:rPr>
        <w:t>按照双方结算金额</w:t>
      </w:r>
      <w:r>
        <w:rPr>
          <w:rFonts w:hint="eastAsia" w:ascii="宋体" w:hAnsi="宋体" w:eastAsia="宋体" w:cs="Times New Roman"/>
          <w:color w:val="auto"/>
          <w:highlight w:val="none"/>
          <w:lang w:val="zh-CN"/>
        </w:rPr>
        <w:t>支付至100%。</w:t>
      </w:r>
    </w:p>
    <w:p w14:paraId="6D3CBE7C">
      <w:pPr>
        <w:pStyle w:val="15"/>
        <w:adjustRightInd w:val="0"/>
        <w:snapToGrid w:val="0"/>
        <w:spacing w:before="0" w:beforeAutospacing="0" w:after="0" w:afterAutospacing="0" w:line="360" w:lineRule="auto"/>
        <w:ind w:firstLine="480" w:firstLineChars="200"/>
        <w:jc w:val="both"/>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注：（1）上述每次付款采购人须按合同要求扣减违约金和赔偿款。</w:t>
      </w:r>
    </w:p>
    <w:p w14:paraId="136D186F">
      <w:pPr>
        <w:pStyle w:val="15"/>
        <w:adjustRightInd w:val="0"/>
        <w:snapToGrid w:val="0"/>
        <w:spacing w:before="0" w:beforeAutospacing="0" w:after="0" w:afterAutospacing="0" w:line="360" w:lineRule="auto"/>
        <w:ind w:firstLine="480" w:firstLineChars="200"/>
        <w:jc w:val="both"/>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（2）每次付款前，投标人须按采购人要求提供等额的合规发票及相关付款申请资料，否则采购人可以拒绝付款。</w:t>
      </w:r>
    </w:p>
    <w:p w14:paraId="4E321E9B">
      <w:pPr>
        <w:pStyle w:val="15"/>
        <w:adjustRightInd w:val="0"/>
        <w:snapToGrid w:val="0"/>
        <w:spacing w:before="0" w:beforeAutospacing="0" w:after="0" w:afterAutospacing="0" w:line="360" w:lineRule="auto"/>
        <w:ind w:firstLine="480" w:firstLineChars="200"/>
        <w:jc w:val="both"/>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（3）上述付款均不计利息。</w:t>
      </w:r>
    </w:p>
    <w:p w14:paraId="6D8BA8A2">
      <w:pPr>
        <w:keepNext w:val="0"/>
        <w:keepLines w:val="0"/>
        <w:pageBreakBefore w:val="0"/>
        <w:topLinePunct w:val="0"/>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bCs/>
          <w:color w:val="auto"/>
          <w:sz w:val="24"/>
          <w:highlight w:val="none"/>
          <w:lang w:val="zh-CN"/>
        </w:rPr>
        <w:t>八、</w:t>
      </w:r>
      <w:r>
        <w:rPr>
          <w:rFonts w:hint="eastAsia" w:ascii="宋体" w:hAnsi="宋体" w:cs="宋体"/>
          <w:b/>
          <w:color w:val="auto"/>
          <w:sz w:val="24"/>
          <w:highlight w:val="none"/>
        </w:rPr>
        <w:t>公告媒介</w:t>
      </w:r>
    </w:p>
    <w:p w14:paraId="41CBE7F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01B56013">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九、凡对本次采购提出询问，请按以下方式联系。</w:t>
      </w:r>
    </w:p>
    <w:p w14:paraId="7EDB547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50A903F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名称：南通市公路事业发展中心 </w:t>
      </w:r>
    </w:p>
    <w:p w14:paraId="4693582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地址：江苏省南通市跃龙路4号 </w:t>
      </w:r>
    </w:p>
    <w:p w14:paraId="45FC3DB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联系人：周先生 </w:t>
      </w:r>
    </w:p>
    <w:p w14:paraId="43984A7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联系方式：0513-85524439</w:t>
      </w:r>
    </w:p>
    <w:p w14:paraId="643EB17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bookmarkStart w:id="3" w:name="_GoBack"/>
      <w:bookmarkEnd w:id="3"/>
    </w:p>
    <w:p w14:paraId="0D8F863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捷宏润安工程顾问（江苏）有限公司</w:t>
      </w:r>
    </w:p>
    <w:p w14:paraId="6ED95B22">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南通市崇川区崇川路58号南通产业研究院9号A1303-A1304室</w:t>
      </w:r>
    </w:p>
    <w:p w14:paraId="44461944">
      <w:pPr>
        <w:keepNext w:val="0"/>
        <w:keepLines w:val="0"/>
        <w:pageBreakBefore w:val="0"/>
        <w:topLinePunct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丁渭晋、</w:t>
      </w:r>
      <w:r>
        <w:rPr>
          <w:rFonts w:hint="eastAsia" w:ascii="宋体" w:hAnsi="宋体" w:cs="宋体"/>
          <w:color w:val="auto"/>
          <w:sz w:val="24"/>
          <w:highlight w:val="none"/>
          <w:lang w:eastAsia="zh-CN"/>
        </w:rPr>
        <w:t>钱舒佳、</w:t>
      </w:r>
      <w:r>
        <w:rPr>
          <w:rFonts w:hint="eastAsia" w:ascii="宋体" w:hAnsi="宋体" w:cs="宋体"/>
          <w:color w:val="auto"/>
          <w:sz w:val="24"/>
          <w:highlight w:val="none"/>
          <w:lang w:val="en-US" w:eastAsia="zh-CN"/>
        </w:rPr>
        <w:t>南文秀</w:t>
      </w:r>
    </w:p>
    <w:p w14:paraId="66E4D5B8">
      <w:pPr>
        <w:keepNext w:val="0"/>
        <w:keepLines w:val="0"/>
        <w:pageBreakBefore w:val="0"/>
        <w:topLinePunct w:val="0"/>
        <w:bidi w:val="0"/>
        <w:adjustRightInd w:val="0"/>
        <w:snapToGrid w:val="0"/>
        <w:spacing w:line="360" w:lineRule="auto"/>
        <w:ind w:firstLine="480" w:firstLineChars="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联系电话：</w:t>
      </w:r>
      <w:r>
        <w:rPr>
          <w:rFonts w:hint="eastAsia" w:ascii="宋体" w:hAnsi="宋体" w:cs="宋体"/>
          <w:color w:val="auto"/>
          <w:kern w:val="0"/>
          <w:sz w:val="24"/>
          <w:highlight w:val="none"/>
          <w:lang w:val="en-US" w:eastAsia="zh-CN"/>
        </w:rPr>
        <w:t>15850591856、15162861908</w:t>
      </w:r>
    </w:p>
    <w:p w14:paraId="4ACD68E1">
      <w:pPr>
        <w:keepNext w:val="0"/>
        <w:keepLines w:val="0"/>
        <w:pageBreakBefore w:val="0"/>
        <w:topLinePunct w:val="0"/>
        <w:bidi w:val="0"/>
        <w:adjustRightInd w:val="0"/>
        <w:snapToGrid w:val="0"/>
        <w:spacing w:line="360" w:lineRule="auto"/>
        <w:ind w:firstLine="560" w:firstLineChars="200"/>
        <w:contextualSpacing/>
        <w:textAlignment w:val="auto"/>
        <w:rPr>
          <w:rFonts w:ascii="宋体" w:hAnsi="宋体" w:cs="宋体"/>
          <w:color w:val="auto"/>
          <w:sz w:val="28"/>
          <w:szCs w:val="28"/>
          <w:highlight w:val="none"/>
        </w:rPr>
      </w:pPr>
    </w:p>
    <w:p w14:paraId="1535F652">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ascii="宋体" w:hAnsi="宋体" w:cs="宋体"/>
          <w:color w:val="auto"/>
          <w:sz w:val="28"/>
          <w:szCs w:val="28"/>
          <w:highlight w:val="none"/>
        </w:rPr>
      </w:pPr>
      <w:r>
        <w:rPr>
          <w:rFonts w:hint="eastAsia" w:ascii="宋体" w:hAnsi="宋体" w:cs="宋体"/>
          <w:color w:val="auto"/>
          <w:spacing w:val="7"/>
          <w:kern w:val="0"/>
          <w:sz w:val="24"/>
          <w:highlight w:val="none"/>
        </w:rPr>
        <w:t xml:space="preserve">   </w:t>
      </w:r>
      <w:r>
        <w:rPr>
          <w:rFonts w:hint="eastAsia"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lang w:val="en-US" w:eastAsia="zh-CN"/>
        </w:rPr>
        <w:t>6</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 xml:space="preserve"> 1 </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 xml:space="preserve"> 5 </w:t>
      </w:r>
      <w:r>
        <w:rPr>
          <w:rFonts w:hint="eastAsia" w:ascii="宋体" w:hAnsi="宋体" w:cs="宋体"/>
          <w:color w:val="auto"/>
          <w:spacing w:val="7"/>
          <w:kern w:val="0"/>
          <w:sz w:val="24"/>
          <w:highlight w:val="none"/>
        </w:rPr>
        <w:t>日</w:t>
      </w:r>
      <w:bookmarkEnd w:id="0"/>
    </w:p>
    <w:p w14:paraId="644D31A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p>
    <w:p w14:paraId="4190C032">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w:t>
      </w:r>
    </w:p>
    <w:p w14:paraId="27B347C5">
      <w:pPr>
        <w:spacing w:line="420" w:lineRule="exact"/>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申请函</w:t>
      </w:r>
    </w:p>
    <w:p w14:paraId="6FC83043">
      <w:pPr>
        <w:spacing w:line="420" w:lineRule="exact"/>
        <w:jc w:val="left"/>
        <w:rPr>
          <w:rFonts w:ascii="宋体" w:hAnsi="宋体" w:cs="宋体"/>
          <w:b/>
          <w:color w:val="auto"/>
          <w:kern w:val="0"/>
          <w:sz w:val="32"/>
          <w:szCs w:val="20"/>
          <w:highlight w:val="none"/>
        </w:rPr>
      </w:pPr>
    </w:p>
    <w:p w14:paraId="2EFD2A6F">
      <w:pPr>
        <w:spacing w:line="360" w:lineRule="auto"/>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rPr>
        <w:t>南通市公路事业发展中心</w:t>
      </w:r>
    </w:p>
    <w:p w14:paraId="6B0D611B">
      <w:pPr>
        <w:widowControl/>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2026-2027年南通市公路事业发展中心项目造价咨询服务项目</w:t>
      </w:r>
      <w:r>
        <w:rPr>
          <w:rFonts w:hint="eastAsia" w:ascii="宋体" w:hAnsi="宋体" w:cs="宋体"/>
          <w:color w:val="auto"/>
          <w:spacing w:val="7"/>
          <w:kern w:val="0"/>
          <w:sz w:val="24"/>
          <w:highlight w:val="none"/>
        </w:rPr>
        <w:t>竞争性磋商公告</w:t>
      </w:r>
      <w:r>
        <w:rPr>
          <w:rFonts w:hint="eastAsia" w:ascii="宋体" w:hAnsi="宋体" w:cs="宋体"/>
          <w:color w:val="auto"/>
          <w:kern w:val="0"/>
          <w:sz w:val="24"/>
          <w:highlight w:val="none"/>
        </w:rPr>
        <w:t>，经研究，我单位拟参加本项目磋商，现申请获取磋商文件。</w:t>
      </w:r>
    </w:p>
    <w:p w14:paraId="514BBC01">
      <w:pPr>
        <w:spacing w:line="360" w:lineRule="auto"/>
        <w:ind w:firstLine="480" w:firstLineChars="200"/>
        <w:jc w:val="left"/>
        <w:rPr>
          <w:rFonts w:ascii="宋体" w:hAnsi="宋体" w:cs="宋体"/>
          <w:color w:val="auto"/>
          <w:kern w:val="0"/>
          <w:sz w:val="24"/>
          <w:highlight w:val="none"/>
        </w:rPr>
      </w:pPr>
    </w:p>
    <w:p w14:paraId="1146575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spacing w:val="7"/>
          <w:kern w:val="0"/>
          <w:sz w:val="24"/>
          <w:highlight w:val="none"/>
          <w:u w:val="single"/>
        </w:rPr>
        <w:t xml:space="preserve">   </w:t>
      </w:r>
    </w:p>
    <w:p w14:paraId="472E9D1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spacing w:val="7"/>
          <w:kern w:val="0"/>
          <w:sz w:val="24"/>
          <w:highlight w:val="none"/>
          <w:u w:val="single"/>
        </w:rPr>
        <w:t xml:space="preserve">   </w:t>
      </w:r>
    </w:p>
    <w:p w14:paraId="611B9FA1">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r>
        <w:rPr>
          <w:rFonts w:hint="eastAsia" w:ascii="宋体" w:hAnsi="宋体" w:cs="宋体"/>
          <w:color w:val="auto"/>
          <w:spacing w:val="7"/>
          <w:kern w:val="0"/>
          <w:sz w:val="24"/>
          <w:highlight w:val="none"/>
          <w:u w:val="single"/>
        </w:rPr>
        <w:t xml:space="preserve">   </w:t>
      </w:r>
    </w:p>
    <w:p w14:paraId="3E0DF138">
      <w:pPr>
        <w:spacing w:line="360" w:lineRule="auto"/>
        <w:jc w:val="left"/>
        <w:rPr>
          <w:rFonts w:ascii="宋体" w:hAnsi="宋体" w:cs="宋体"/>
          <w:color w:val="auto"/>
          <w:kern w:val="0"/>
          <w:sz w:val="24"/>
          <w:highlight w:val="none"/>
          <w:lang w:val="zh-CN"/>
        </w:rPr>
      </w:pPr>
    </w:p>
    <w:p w14:paraId="71109941">
      <w:pPr>
        <w:spacing w:line="360" w:lineRule="auto"/>
        <w:jc w:val="left"/>
        <w:rPr>
          <w:rFonts w:ascii="宋体" w:hAnsi="宋体" w:cs="宋体"/>
          <w:b/>
          <w:color w:val="auto"/>
          <w:kern w:val="0"/>
          <w:sz w:val="24"/>
          <w:highlight w:val="none"/>
          <w:lang w:val="zh-CN"/>
        </w:rPr>
      </w:pPr>
    </w:p>
    <w:p w14:paraId="435D64D7">
      <w:pPr>
        <w:spacing w:line="360" w:lineRule="auto"/>
        <w:jc w:val="left"/>
        <w:rPr>
          <w:rFonts w:ascii="宋体" w:hAnsi="宋体" w:cs="宋体"/>
          <w:b/>
          <w:color w:val="auto"/>
          <w:kern w:val="0"/>
          <w:sz w:val="24"/>
          <w:highlight w:val="none"/>
          <w:lang w:val="zh-CN"/>
        </w:rPr>
      </w:pPr>
    </w:p>
    <w:p w14:paraId="2D2C363E">
      <w:pPr>
        <w:spacing w:line="360" w:lineRule="auto"/>
        <w:jc w:val="left"/>
        <w:rPr>
          <w:rFonts w:ascii="宋体" w:hAnsi="宋体" w:cs="宋体"/>
          <w:b/>
          <w:color w:val="auto"/>
          <w:kern w:val="0"/>
          <w:sz w:val="24"/>
          <w:highlight w:val="none"/>
          <w:lang w:val="zh-CN"/>
        </w:rPr>
      </w:pPr>
    </w:p>
    <w:p w14:paraId="2FE9CEB1">
      <w:pPr>
        <w:spacing w:line="360" w:lineRule="auto"/>
        <w:ind w:firstLine="5280" w:firstLineChars="2200"/>
        <w:jc w:val="left"/>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14:paraId="390CCEBB">
      <w:pPr>
        <w:spacing w:line="360" w:lineRule="auto"/>
        <w:jc w:val="right"/>
        <w:rPr>
          <w:rFonts w:ascii="宋体" w:hAnsi="宋体" w:cs="宋体"/>
          <w:color w:val="auto"/>
          <w:kern w:val="0"/>
          <w:sz w:val="24"/>
          <w:highlight w:val="none"/>
        </w:rPr>
      </w:pP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月</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日</w:t>
      </w:r>
    </w:p>
    <w:p w14:paraId="28A5AC4A">
      <w:pPr>
        <w:snapToGrid w:val="0"/>
        <w:spacing w:line="300" w:lineRule="auto"/>
        <w:ind w:firstLine="560" w:firstLineChars="200"/>
        <w:contextualSpacing/>
        <w:rPr>
          <w:rFonts w:ascii="宋体" w:hAnsi="宋体" w:cs="宋体"/>
          <w:color w:val="auto"/>
          <w:sz w:val="28"/>
          <w:szCs w:val="28"/>
          <w:highlight w:val="none"/>
        </w:rPr>
      </w:pPr>
    </w:p>
    <w:p w14:paraId="1D7E7084">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color w:val="auto"/>
          <w:sz w:val="28"/>
          <w:szCs w:val="28"/>
          <w:highlight w:val="none"/>
        </w:rPr>
        <w:br w:type="page"/>
      </w:r>
      <w:r>
        <w:rPr>
          <w:rFonts w:hint="eastAsia" w:ascii="宋体" w:hAnsi="宋体" w:cs="宋体"/>
          <w:b/>
          <w:bCs/>
          <w:color w:val="auto"/>
          <w:sz w:val="36"/>
          <w:szCs w:val="36"/>
          <w:highlight w:val="none"/>
          <w:lang w:val="zh-CN"/>
        </w:rPr>
        <w:t>第二部分 磋商须知</w:t>
      </w:r>
    </w:p>
    <w:p w14:paraId="3F74BE90">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14:paraId="16E09B9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本竞争性磋商文件仅适用于采购人组织的竞争性磋商采购活动。</w:t>
      </w:r>
    </w:p>
    <w:p w14:paraId="7069155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竞争性磋商活动及因本次磋商产生的合同受中国法律制约和保护。</w:t>
      </w:r>
    </w:p>
    <w:p w14:paraId="1DBAA13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rPr>
        <w:t>竞争性磋商文件的解释权属于采购人。</w:t>
      </w:r>
    </w:p>
    <w:p w14:paraId="6174F7B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供应商下载磋商</w:t>
      </w:r>
      <w:r>
        <w:rPr>
          <w:rFonts w:hint="eastAsia" w:ascii="宋体" w:hAnsi="宋体" w:cs="宋体"/>
          <w:color w:val="auto"/>
          <w:sz w:val="24"/>
          <w:highlight w:val="none"/>
        </w:rPr>
        <w:t>文件后，应在磋商文件发布后的</w:t>
      </w:r>
      <w:r>
        <w:rPr>
          <w:rFonts w:hint="eastAsia" w:ascii="宋体" w:hAnsi="宋体" w:cs="宋体"/>
          <w:b/>
          <w:color w:val="auto"/>
          <w:sz w:val="24"/>
          <w:highlight w:val="none"/>
          <w:lang w:val="zh-CN"/>
        </w:rPr>
        <w:t>3日内以书面形式向采购人或代理单位提出询问或疑问</w:t>
      </w:r>
      <w:r>
        <w:rPr>
          <w:rFonts w:hint="eastAsia" w:ascii="宋体" w:hAnsi="宋体" w:cs="宋体"/>
          <w:color w:val="auto"/>
          <w:sz w:val="24"/>
          <w:highlight w:val="none"/>
          <w:lang w:val="zh-CN"/>
        </w:rPr>
        <w:t>，未在规定的3日内提出询问或疑问的，视同供应商理解并接受本磋商文件所有内容，并由此引起的损失自负。</w:t>
      </w:r>
      <w:r>
        <w:rPr>
          <w:rFonts w:hint="eastAsia" w:ascii="宋体" w:hAnsi="宋体" w:cs="宋体"/>
          <w:b/>
          <w:color w:val="auto"/>
          <w:sz w:val="24"/>
          <w:highlight w:val="none"/>
        </w:rPr>
        <w:t>非书面形式的不作为日后质疑提出的依据。</w:t>
      </w:r>
    </w:p>
    <w:p w14:paraId="5D3F4A84">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50875C6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4335C29F">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二、磋商文件的澄清、修改、答疑</w:t>
      </w:r>
    </w:p>
    <w:p w14:paraId="4E59600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采购人有权对发出的磋商文件进行必要的澄清、修改或补充。</w:t>
      </w:r>
    </w:p>
    <w:p w14:paraId="79D94935">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磋商文件的澄清、修改、补充等内容均以书面明确的形式发布，并以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14:paraId="099222C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采购人对磋商文件的澄清、修改将构成磋商文件的一部分，对响应磋商的供应商具有约束力。</w:t>
      </w:r>
    </w:p>
    <w:p w14:paraId="33B0CEF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澄清或者修改的内容可能影响到响应文件编制的，采购人将在提交响应文件接收截止之日5日前，发布澄清或者修改公告，不足5日的，当顺延提交响应文件接收截止时间。</w:t>
      </w:r>
    </w:p>
    <w:p w14:paraId="6299F7C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除非采购人以书面的形式对磋商文件作出澄清、修改及补充，供应商由于对磋商文件的任何推论和误解以及采购人对有关问题的口头解释所造成的后果，均由供应商自负。</w:t>
      </w:r>
    </w:p>
    <w:p w14:paraId="2F01F0F8">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采购人视情况组织答疑会。如有产生答疑且对磋商文件内容有修改，采购人将按照本须知有关规定，以书面方式发出。</w:t>
      </w:r>
    </w:p>
    <w:p w14:paraId="74603044">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三、磋商项目涉及到的现场勘察</w:t>
      </w:r>
    </w:p>
    <w:p w14:paraId="08D5D85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E78E2A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14:paraId="565EF636">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14:paraId="6B9399C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E083565">
      <w:pPr>
        <w:autoSpaceDE w:val="0"/>
        <w:autoSpaceDN w:val="0"/>
        <w:adjustRightInd w:val="0"/>
        <w:snapToGrid w:val="0"/>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lang w:val="zh-CN"/>
        </w:rPr>
        <w:t>四、响应文件的编写、密封及标记</w:t>
      </w:r>
    </w:p>
    <w:p w14:paraId="126ADC15">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14:paraId="0164EE9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1.供应商按“第七部分 响应文件组成”要求编写响应文件。但表格可以按同样格式扩展。除另有规定者外，磋商响应人不得修改。</w:t>
      </w:r>
    </w:p>
    <w:p w14:paraId="0B22A3A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2.响应文件规格幅面A4纸（图纸等除外）。</w:t>
      </w:r>
    </w:p>
    <w:p w14:paraId="7069ABD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3.按照磋商文件所规定的内容顺序，统一编制目录，逐页编码，由于编排混乱导致投标</w:t>
      </w:r>
      <w:r>
        <w:rPr>
          <w:rFonts w:hint="eastAsia" w:ascii="宋体" w:hAnsi="宋体" w:cs="宋体"/>
          <w:color w:val="auto"/>
          <w:sz w:val="24"/>
          <w:highlight w:val="none"/>
        </w:rPr>
        <w:t>响应</w:t>
      </w:r>
      <w:r>
        <w:rPr>
          <w:rFonts w:hint="eastAsia" w:ascii="宋体" w:hAnsi="宋体" w:cs="宋体"/>
          <w:color w:val="auto"/>
          <w:sz w:val="24"/>
          <w:highlight w:val="none"/>
          <w:lang w:val="zh-CN"/>
        </w:rPr>
        <w:t>文件被误读或查找不到，其责任应当由供应商承担；牢固装订成册，不允许使用活页夹、拉杆夹、文件夹、塑料方便式书脊（插入式或穿孔式）装订。</w:t>
      </w:r>
    </w:p>
    <w:p w14:paraId="22CF894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4.响应文件不得行间插字、涂改、增删，如修改错漏处，须经响应文件签署人签字并加盖公章。</w:t>
      </w:r>
    </w:p>
    <w:p w14:paraId="458221CE">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14:paraId="1BC92B6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商务技术响应文件、③价格响应文件、④电子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文件共4部分组成（以下由文件序号代称）。</w:t>
      </w:r>
    </w:p>
    <w:p w14:paraId="1480D37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2.纸质响应文件（</w:t>
      </w:r>
      <w:r>
        <w:rPr>
          <w:rFonts w:hint="eastAsia" w:ascii="宋体" w:hAnsi="宋体" w:cs="宋体"/>
          <w:color w:val="auto"/>
          <w:sz w:val="24"/>
          <w:highlight w:val="none"/>
        </w:rPr>
        <w:t>即</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w:t>
      </w:r>
      <w:r>
        <w:rPr>
          <w:rFonts w:hint="eastAsia" w:ascii="宋体" w:hAnsi="宋体" w:cs="宋体"/>
          <w:color w:val="auto"/>
          <w:sz w:val="24"/>
          <w:highlight w:val="none"/>
        </w:rPr>
        <w:t>下同</w:t>
      </w:r>
      <w:r>
        <w:rPr>
          <w:rFonts w:hint="eastAsia" w:ascii="宋体" w:hAnsi="宋体" w:cs="宋体"/>
          <w:color w:val="auto"/>
          <w:sz w:val="24"/>
          <w:highlight w:val="none"/>
          <w:lang w:val="zh-CN"/>
        </w:rPr>
        <w:t>）均为一式叁份，其中“正本”壹份和“副本”贰份。电子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文件1份（具体要求详见第七部分响应文件组成）。</w:t>
      </w:r>
    </w:p>
    <w:p w14:paraId="0CA20AB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3.在每份纸质响应文件上要明确标注项目名称、对应的响应文件名称、供应商的全称、日期、“正本”、“副本”字样。“正本”和“副本”若有差异，概以“正本”为准。</w:t>
      </w:r>
    </w:p>
    <w:p w14:paraId="425CEA5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4.响应文件中的所有“正本”，其正文内容须按磋商文件要求由供应商法定代表人或被授权人签字（或盖章）并加盖单位公章。“副本”可复印，但须加盖单位公章。</w:t>
      </w:r>
    </w:p>
    <w:p w14:paraId="4C8C9A4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5.电子版响应文件</w:t>
      </w:r>
    </w:p>
    <w:p w14:paraId="23B3A1E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电子版响应文件即为上述</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商务技术文件、③价格响应文件签字盖章后纸质版响应文件的扫描件，全部内容均存入一份U盘即可。</w:t>
      </w:r>
    </w:p>
    <w:p w14:paraId="056459C0">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（三）响应文件的密封及标记</w:t>
      </w:r>
    </w:p>
    <w:p w14:paraId="2D13FDB7">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1.供应商须将本项目响应文件：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0F3498F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2.供应商可将响应文件正副本统一密封或分别密封，如正本和副本分别密封的，应在封袋或封箱上标明正、副本字样。</w:t>
      </w:r>
    </w:p>
    <w:p w14:paraId="037605D9">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3.密封后，应在封袋或封箱上明确标注</w:t>
      </w:r>
      <w:r>
        <w:rPr>
          <w:rFonts w:hint="eastAsia" w:ascii="宋体" w:hAnsi="宋体" w:cs="宋体"/>
          <w:b/>
          <w:bCs/>
          <w:color w:val="auto"/>
          <w:sz w:val="24"/>
          <w:highlight w:val="none"/>
          <w:u w:val="double"/>
          <w:lang w:val="zh-CN"/>
        </w:rPr>
        <w:t>磋商项目名称、响应文件各自对应的名称、供应商的全称及日期。</w:t>
      </w:r>
    </w:p>
    <w:p w14:paraId="09CF111D">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4.</w:t>
      </w:r>
      <w:r>
        <w:rPr>
          <w:rFonts w:hint="eastAsia" w:ascii="宋体" w:hAnsi="宋体" w:cs="宋体"/>
          <w:b/>
          <w:bCs/>
          <w:color w:val="auto"/>
          <w:sz w:val="24"/>
          <w:highlight w:val="none"/>
          <w:u w:val="double"/>
          <w:lang w:val="zh-CN"/>
        </w:rPr>
        <w:t>在边缝处加盖供应商公章或骑缝签字。</w:t>
      </w:r>
    </w:p>
    <w:p w14:paraId="200CD555">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5.采购人将拒绝接收未按照磋商文件要求密封的响应文件。</w:t>
      </w:r>
    </w:p>
    <w:p w14:paraId="283C723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【特别提醒】响应文件中</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均不得含有价格响应文件中报价表（报价单）内的任何项目价格，否则作无效响应处理</w:t>
      </w:r>
      <w:r>
        <w:rPr>
          <w:rFonts w:hint="eastAsia" w:ascii="宋体" w:hAnsi="宋体" w:cs="宋体"/>
          <w:color w:val="auto"/>
          <w:sz w:val="24"/>
          <w:highlight w:val="none"/>
          <w:lang w:val="zh-CN"/>
        </w:rPr>
        <w:t>。</w:t>
      </w:r>
    </w:p>
    <w:p w14:paraId="626418C4">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四</w:t>
      </w:r>
      <w:r>
        <w:rPr>
          <w:rFonts w:hint="eastAsia" w:ascii="宋体" w:hAnsi="宋体" w:cs="宋体"/>
          <w:b/>
          <w:bCs/>
          <w:color w:val="auto"/>
          <w:sz w:val="24"/>
          <w:highlight w:val="none"/>
          <w:lang w:val="zh-CN"/>
        </w:rPr>
        <w:t>）磋商响应有效期</w:t>
      </w:r>
    </w:p>
    <w:p w14:paraId="7F46868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磋商响应有效期为采购代理机构规定的响应文件提交截止时间后</w:t>
      </w:r>
      <w:r>
        <w:rPr>
          <w:rFonts w:hint="eastAsia" w:ascii="宋体" w:hAnsi="宋体" w:cs="宋体"/>
          <w:b/>
          <w:color w:val="auto"/>
          <w:sz w:val="24"/>
          <w:highlight w:val="none"/>
          <w:u w:val="single"/>
          <w:lang w:val="zh-CN"/>
        </w:rPr>
        <w:t>四十五（45）天</w:t>
      </w:r>
      <w:r>
        <w:rPr>
          <w:rFonts w:hint="eastAsia" w:ascii="宋体" w:hAnsi="宋体" w:cs="宋体"/>
          <w:color w:val="auto"/>
          <w:sz w:val="24"/>
          <w:highlight w:val="none"/>
          <w:lang w:val="zh-CN"/>
        </w:rPr>
        <w:t>。磋商响应有效期比规定短的将被视为非实质性响应而予以拒绝。</w:t>
      </w:r>
    </w:p>
    <w:p w14:paraId="708947B2">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五、磋商报价</w:t>
      </w:r>
    </w:p>
    <w:p w14:paraId="340673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本项目采用统一收费标准。无需供应商报价，但投标须响应统一收费标准的价格并作承诺，否则作无效标处理。</w:t>
      </w:r>
    </w:p>
    <w:p w14:paraId="511783DD">
      <w:pPr>
        <w:adjustRightInd w:val="0"/>
        <w:snapToGrid w:val="0"/>
        <w:spacing w:line="360" w:lineRule="auto"/>
        <w:ind w:firstLine="482" w:firstLineChars="200"/>
        <w:rPr>
          <w:rFonts w:hint="eastAsia" w:ascii="宋体" w:hAnsi="宋体"/>
          <w:bCs/>
          <w:color w:val="auto"/>
          <w:sz w:val="24"/>
          <w:highlight w:val="none"/>
        </w:rPr>
      </w:pPr>
      <w:r>
        <w:rPr>
          <w:rFonts w:hint="eastAsia" w:ascii="宋体" w:hAnsi="宋体"/>
          <w:b/>
          <w:bCs/>
          <w:color w:val="auto"/>
          <w:sz w:val="24"/>
          <w:highlight w:val="none"/>
        </w:rPr>
        <w:t>统一收费标准如下</w:t>
      </w:r>
      <w:r>
        <w:rPr>
          <w:rFonts w:hint="eastAsia" w:ascii="宋体" w:hAnsi="宋体"/>
          <w:bCs/>
          <w:color w:val="auto"/>
          <w:sz w:val="24"/>
          <w:highlight w:val="none"/>
        </w:rPr>
        <w:t>：</w:t>
      </w:r>
    </w:p>
    <w:p w14:paraId="19CE5E96">
      <w:pPr>
        <w:pStyle w:val="30"/>
        <w:snapToGrid w:val="0"/>
        <w:spacing w:line="360" w:lineRule="auto"/>
        <w:ind w:firstLine="494"/>
        <w:contextualSpacing/>
        <w:rPr>
          <w:rFonts w:hint="eastAsia" w:ascii="宋体" w:eastAsia="宋体" w:cs="宋体"/>
          <w:color w:val="auto"/>
          <w:sz w:val="24"/>
          <w:szCs w:val="24"/>
          <w:highlight w:val="none"/>
          <w:lang w:val="zh-CN"/>
        </w:rPr>
      </w:pPr>
      <w:bookmarkStart w:id="1" w:name="_Hlt26954739"/>
      <w:bookmarkEnd w:id="1"/>
      <w:bookmarkStart w:id="2" w:name="_Hlt26954852"/>
      <w:bookmarkEnd w:id="2"/>
      <w:r>
        <w:rPr>
          <w:rFonts w:hint="eastAsia" w:ascii="宋体" w:eastAsia="宋体" w:cs="宋体"/>
          <w:color w:val="auto"/>
          <w:sz w:val="24"/>
          <w:szCs w:val="24"/>
          <w:highlight w:val="none"/>
          <w:lang w:val="zh-CN"/>
        </w:rPr>
        <w:t>（1）工程方案设计概算审核费用：按审定后概算造价的0.175‰结算，单个项目审核费用不足1500元时，按1500元计算。</w:t>
      </w:r>
    </w:p>
    <w:p w14:paraId="6953A404">
      <w:pPr>
        <w:pStyle w:val="30"/>
        <w:snapToGrid w:val="0"/>
        <w:spacing w:line="360" w:lineRule="auto"/>
        <w:ind w:firstLine="494"/>
        <w:contextualSpacing/>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（2）项目预算审核费用：按审定后预算价的0.5‰进行结算，单个项目审核费用不足1500元时，按1500元计算。</w:t>
      </w:r>
    </w:p>
    <w:p w14:paraId="5FF4F5C2">
      <w:pPr>
        <w:pStyle w:val="30"/>
        <w:snapToGrid w:val="0"/>
        <w:spacing w:line="360" w:lineRule="auto"/>
        <w:ind w:firstLine="494"/>
        <w:contextualSpacing/>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（3）现场跟踪审计费用：按600元/人.工日结算。</w:t>
      </w:r>
    </w:p>
    <w:p w14:paraId="01C188EA">
      <w:pPr>
        <w:pStyle w:val="30"/>
        <w:snapToGrid w:val="0"/>
        <w:spacing w:line="360" w:lineRule="auto"/>
        <w:ind w:firstLine="494"/>
        <w:contextualSpacing/>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（4）工程竣工结算审计费用：按送审金额的0.9‰计算，加效益计费按审减额的3 %结算。当单个项目工程竣工结算审计费用不足1500元时，按1500元计算。</w:t>
      </w:r>
    </w:p>
    <w:p w14:paraId="4F281A32">
      <w:pPr>
        <w:pStyle w:val="30"/>
        <w:snapToGrid w:val="0"/>
        <w:spacing w:line="360" w:lineRule="auto"/>
        <w:ind w:firstLine="494"/>
        <w:contextualSpacing/>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（5）项目决算审核费用：按项目决算数的0.2‰进行结算（单个项目成本决算数大于2000万的按2000万计算，单个项目成本决算数小于等于2000万的按实计算），当单个项目决算审核费用不足1500元时，按1500元计算。</w:t>
      </w:r>
    </w:p>
    <w:p w14:paraId="4EE967AB">
      <w:pPr>
        <w:pStyle w:val="30"/>
        <w:snapToGrid w:val="0"/>
        <w:spacing w:line="360" w:lineRule="auto"/>
        <w:ind w:firstLine="494"/>
        <w:contextualSpacing/>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（6）其他审核事项费用：按《省物价局省住房和城乡建设厅关于规范工程造价咨询服务收费标准及有关事项的通知》（苏价服〔2014〕383号文）进行结算。</w:t>
      </w:r>
    </w:p>
    <w:p w14:paraId="59754E4A">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六、响应文件及磋商费用</w:t>
      </w:r>
    </w:p>
    <w:p w14:paraId="73001393">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磋商程序顺利进行后，除供应商的原件可退回外，其余所有的响应文件都将作为档案保存，不论成交与否，均不退回（未拆封的除外）。</w:t>
      </w:r>
    </w:p>
    <w:p w14:paraId="02E08FD5">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供应商承担参与磋商可能发生的全部费用，参加项目磋商的供应商自行承担与本次项目磋商有关的全部费用，采购人在任何情况下均无义务和责任承担这些费用。</w:t>
      </w:r>
    </w:p>
    <w:p w14:paraId="680D7BF4">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14:paraId="509BB367">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1.本项目不设磋商保证金。</w:t>
      </w:r>
    </w:p>
    <w:p w14:paraId="53F334E1">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本项目不设履约保证金。</w:t>
      </w:r>
    </w:p>
    <w:p w14:paraId="5165A777">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八、分包</w:t>
      </w:r>
    </w:p>
    <w:p w14:paraId="1DA85B3B">
      <w:pPr>
        <w:pStyle w:val="30"/>
        <w:snapToGrid w:val="0"/>
        <w:spacing w:line="360" w:lineRule="auto"/>
        <w:ind w:firstLine="494"/>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本项目不允许分包。</w:t>
      </w:r>
    </w:p>
    <w:p w14:paraId="5E219C25">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九、未尽事宜</w:t>
      </w:r>
    </w:p>
    <w:p w14:paraId="6902AE4E">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参照《中华人民共和国政府采购法》、《政府采购竞争性磋商采购方式管理暂行办法》及其他有关法律法规和规范性文件的规定执行。</w:t>
      </w:r>
    </w:p>
    <w:p w14:paraId="69184942">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 项目需求</w:t>
      </w:r>
    </w:p>
    <w:p w14:paraId="372EAFFE">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4281390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一、项目需求</w:t>
      </w:r>
    </w:p>
    <w:p w14:paraId="7C429404">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en-US" w:eastAsia="zh-CN"/>
        </w:rPr>
        <w:t>采购</w:t>
      </w:r>
      <w:r>
        <w:rPr>
          <w:rFonts w:hint="eastAsia" w:ascii="宋体" w:eastAsia="宋体" w:cs="宋体"/>
          <w:color w:val="auto"/>
          <w:kern w:val="0"/>
          <w:sz w:val="24"/>
          <w:szCs w:val="24"/>
          <w:highlight w:val="none"/>
        </w:rPr>
        <w:t>范围</w:t>
      </w:r>
    </w:p>
    <w:p w14:paraId="60D97223">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本次主要是采购确定南通市公路事业发展中心2026-2027年项目造价咨询服务单位。项目包括中心本级及下属8个分中心的项目。</w:t>
      </w:r>
    </w:p>
    <w:p w14:paraId="0971BB4C">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2.工作内容</w:t>
      </w:r>
    </w:p>
    <w:p w14:paraId="69A3345E">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2026-2027年南通市公路事业发展中心项目造价咨询服务包括：项目预算审核（包含工程方案设计概算、项目预算）、现场跟踪审核、工程竣(交)工结算审计、项目决算审核及其他咨询事项。其中：</w:t>
      </w:r>
    </w:p>
    <w:p w14:paraId="63668DD3">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项目预算审核（包含工程方案设计概算、项目预算）：预算计价选用的定额、市场造价、所采用的技术与工艺流程、技术要求、材料选用标准及取费标准等是否符合招标文件规定的计价方法及设计文件有关条款；工程量清单中数量、单位及单价组成是否准确、完整。</w:t>
      </w:r>
    </w:p>
    <w:p w14:paraId="45222DDA">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现场跟踪审核：对隐蔽工程、重点部位工程、变更项目及合同外零星工程进行现场工程量把关，做好照片、影像资料的采集工作，审核必要性与确定工程量。在工程实施过程中无法预测的设计变更计量，审核可以予以确认，但审核计量结算与补办的变更手续同步生效。</w:t>
      </w:r>
    </w:p>
    <w:p w14:paraId="520D194D">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工程竣(交)工结算审核：审查竣工图纸及相关资料的真实性。核查竣工资料与现场勘查实际完成情况是否一致。依据签证资料和工程量计算规则等，审查工程量的真实性。审查设计变更手续是否完备，变更是否必要、真实，签证资料是否真实、准确。审查工程结算是否依据招标文件、投标承诺、施工合同及有关工程定额、取费标准等编制。结算汇总、进行三方确认、签证审核定案单，出具工程审核报告征求意见稿，交付委采购人完整的审核报告及过程审核原始资料电子档，为采购人提供实事求是、合理、可行的咨询意见。审查工程设计、施工、监理、材料采购、建设管理等方面存在问题，并提出合理化建议。法律、法规、规章要求的其他审计事项。</w:t>
      </w:r>
    </w:p>
    <w:p w14:paraId="7CAC7279">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项目决算审核：按照会计准则及采购人有关编制要求，对江苏省交通运输发展专项资金、燃油税资金、中央车购税资金及政府还贷二级公路取消收费后补助资金等绩效目标所涉及的项目编制财务决算审核报告。财务决算审核报告的主要内容是项目的投资额，对与项目相关的其他费用，按适当的方法分摊到各投资项目，形成项目的决算投资成本。</w:t>
      </w:r>
    </w:p>
    <w:p w14:paraId="57A515C7">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（5）其他咨询事项。除了上述工程造价咨询服务事项以外的，需要进行专项业务咨询的事项。</w:t>
      </w:r>
    </w:p>
    <w:p w14:paraId="319D5F91">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2.审核时间要求</w:t>
      </w:r>
    </w:p>
    <w:p w14:paraId="4D66C303">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（1）项目预算审核时间要求：接到审核通知书2个工作日内领取资料并完成初步审核，5个工作日内根据预算编制单位及相关部门协商结果，出具审核报告，应急等项目根据市中心要求按时完成预算审核任务。</w:t>
      </w:r>
    </w:p>
    <w:p w14:paraId="1629F310">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（2）现场跟踪审核时间要求：采购人提前 1 天通知供应商，供应商必须按规定的时间自行前往工程现场。</w:t>
      </w:r>
    </w:p>
    <w:p w14:paraId="0ED25271">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工程竣(交)工结算审计时间要求：委托项目确定后，供应商接到通知后应于3个工作日内领取结算资料；接受工程结算资料之日起5个工作日内以书面形式将缺少的资料清单、工作人员、工作进度计划等报送委托方；在资料提供完整后7日内进行现场勘查，并形成踏勘记录（对比竣工图、签证与现场，对未实施的项目、资料与现场不符的情况及清点、测量等需有详细记录并由施工方签字确认）；踏勘现场后7日内进行结算核对；接收完整的结算资料后，在30日内（以接收资料日期和“审计核定单”开出日期为准）完成审计任务，并出具符合行业管理要求的审核报告、审核明细等书面资料，连同其他相关审核资料一并移交给采购人。</w:t>
      </w:r>
    </w:p>
    <w:p w14:paraId="37D37AD7">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项目决算审核时间要求：在接收完整的审核资料后15日内完成审核任务，并出具符合采购人管理要求的项目决算说明、审核报告、审核明细等书面资料移交给采购人。遇有特殊情况不能按时完成，应向采购人书面告知原因。未经采购人同意，无故拖延审核时间，采购人有权扣减咨询费用或取消委托审核项目。</w:t>
      </w:r>
    </w:p>
    <w:p w14:paraId="5A80BB39">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（5）其他咨询事项时间要求：在接收完整的审核资料后30日内完成审核任务，并出具符合委托方管理要求的审核报告。</w:t>
      </w:r>
    </w:p>
    <w:p w14:paraId="3906D0A6">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服务期：12个月。若采购人提供咨询资料延后则时间相应顺延，若增加工作内容则具体完成时间另行约定。采购人有权对成交供应商履职期间的情况综合考核并决定是否续签合同，考核合格的可续签1次，续签合同服务期为12个月。</w:t>
      </w:r>
    </w:p>
    <w:p w14:paraId="3BF075DA">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二</w:t>
      </w:r>
      <w:r>
        <w:rPr>
          <w:rFonts w:hint="eastAsia" w:ascii="宋体" w:eastAsia="宋体" w:cs="宋体"/>
          <w:color w:val="auto"/>
          <w:kern w:val="0"/>
          <w:sz w:val="24"/>
          <w:szCs w:val="24"/>
          <w:highlight w:val="none"/>
        </w:rPr>
        <w:t>、标包划分和工作范围</w:t>
      </w:r>
    </w:p>
    <w:p w14:paraId="1F46FD5F">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本次招标设一个标包，项目编号2026-2027ZJZX。选择3家项目造价咨询服务单位。</w:t>
      </w:r>
    </w:p>
    <w:p w14:paraId="44FEBC02">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1EC156F1">
      <w:pPr>
        <w:pStyle w:val="30"/>
        <w:snapToGrid w:val="0"/>
        <w:spacing w:line="360" w:lineRule="auto"/>
        <w:ind w:firstLine="0" w:firstLineChars="0"/>
        <w:contextualSpacing/>
        <w:rPr>
          <w:rFonts w:ascii="宋体" w:eastAsia="宋体" w:cs="宋体"/>
          <w:b/>
          <w:bCs/>
          <w:color w:val="auto"/>
          <w:sz w:val="24"/>
          <w:szCs w:val="24"/>
          <w:highlight w:val="none"/>
        </w:rPr>
        <w:sectPr>
          <w:footerReference r:id="rId3" w:type="default"/>
          <w:pgSz w:w="11907" w:h="16839"/>
          <w:pgMar w:top="1429" w:right="1429" w:bottom="1429" w:left="1429" w:header="720" w:footer="720" w:gutter="0"/>
          <w:cols w:space="720" w:num="1"/>
          <w:docGrid w:linePitch="286" w:charSpace="0"/>
        </w:sectPr>
      </w:pPr>
    </w:p>
    <w:p w14:paraId="595F50C4">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  评审程序和内容</w:t>
      </w:r>
    </w:p>
    <w:p w14:paraId="46D025F6">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一、采购人组织磋商活动</w:t>
      </w:r>
    </w:p>
    <w:p w14:paraId="1A4E11B4">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1.成立竞争性磋商小组。</w:t>
      </w:r>
    </w:p>
    <w:p w14:paraId="69A6C0C9">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rPr>
        <w:t>磋商小组由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共3人或以上单数组成。采购代理机构人员不得参加本机构代理的采购项目的评审。</w:t>
      </w:r>
    </w:p>
    <w:p w14:paraId="5E9AD6CF">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2.竞争性磋商小组的职责：</w:t>
      </w:r>
    </w:p>
    <w:p w14:paraId="2178EBC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评审专家应当遵守评审工作纪律，不得泄露评审情况和评审中获悉的商业秘密。</w:t>
      </w:r>
    </w:p>
    <w:p w14:paraId="5E09CC07">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磋商小组在评审过程中发现供应商有行贿、提供虚假材料或者串通等违法行为的，应当及时向主管部门报告。</w:t>
      </w:r>
    </w:p>
    <w:p w14:paraId="698417D5">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评审专家在评审过程中受到非法干涉的，应当及时向相关主管部门举报。</w:t>
      </w:r>
    </w:p>
    <w:p w14:paraId="0F200BF6">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7E957A">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磋商文件内容违反国家有关强制性规定的，磋商小组应当停止评审并向采购人或者采购代理机构说明情况。</w:t>
      </w:r>
    </w:p>
    <w:p w14:paraId="47F568FE">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3.竞争性磋商小组成员的义务：</w:t>
      </w:r>
    </w:p>
    <w:p w14:paraId="4B494198">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2B75E5A6">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二、供应商参加磋商活动</w:t>
      </w:r>
    </w:p>
    <w:p w14:paraId="1EE8B9A8">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供应商的法定代表人或被授权人须持身份证准时参加磋商。</w:t>
      </w:r>
    </w:p>
    <w:p w14:paraId="7956F210">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三、磋商的原则及方法</w:t>
      </w:r>
    </w:p>
    <w:p w14:paraId="6529F2BE">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Cs/>
          <w:color w:val="auto"/>
          <w:kern w:val="0"/>
          <w:sz w:val="24"/>
          <w:szCs w:val="24"/>
          <w:highlight w:val="none"/>
          <w:lang w:val="zh-CN"/>
        </w:rPr>
        <w:t>.</w:t>
      </w: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color w:val="auto"/>
          <w:kern w:val="0"/>
          <w:sz w:val="24"/>
          <w:szCs w:val="24"/>
          <w:highlight w:val="none"/>
        </w:rPr>
        <w:t>商文件的响应文件按无效响应处理，磋商小组应当告知提交响应文件的供应商。</w:t>
      </w:r>
    </w:p>
    <w:p w14:paraId="35AEB083">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0FCC5">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A9F80B">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3ADBDCD4">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3.</w:t>
      </w:r>
      <w:r>
        <w:rPr>
          <w:rStyle w:val="35"/>
          <w:rFonts w:hint="default" w:cs="宋体"/>
          <w:color w:val="auto"/>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4D01F2FB">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bCs/>
          <w:color w:val="auto"/>
          <w:kern w:val="0"/>
          <w:sz w:val="24"/>
          <w:szCs w:val="24"/>
          <w:highlight w:val="none"/>
          <w:lang w:val="zh-CN"/>
        </w:rPr>
        <w:t>4.</w:t>
      </w:r>
      <w:r>
        <w:rPr>
          <w:rFonts w:hint="eastAsia" w:ascii="宋体" w:eastAsia="宋体" w:cs="宋体"/>
          <w:color w:val="auto"/>
          <w:kern w:val="0"/>
          <w:sz w:val="24"/>
          <w:szCs w:val="24"/>
          <w:highlight w:val="none"/>
          <w:lang w:val="zh-CN"/>
        </w:rPr>
        <w:t>磋商小组</w:t>
      </w:r>
      <w:r>
        <w:rPr>
          <w:rStyle w:val="35"/>
          <w:rFonts w:hint="default" w:cs="宋体"/>
          <w:color w:val="auto"/>
          <w:highlight w:val="none"/>
          <w:lang w:val="zh-CN"/>
        </w:rPr>
        <w:t>所有</w:t>
      </w:r>
      <w:r>
        <w:rPr>
          <w:rFonts w:hint="eastAsia" w:ascii="宋体" w:eastAsia="宋体" w:cs="宋体"/>
          <w:color w:val="auto"/>
          <w:kern w:val="0"/>
          <w:sz w:val="24"/>
          <w:szCs w:val="24"/>
          <w:highlight w:val="none"/>
          <w:lang w:val="zh-CN"/>
        </w:rPr>
        <w:t>成员应当集中与单一供应商分别进行磋商，并给予所有参加磋商的供应商平等的磋商机会。</w:t>
      </w:r>
    </w:p>
    <w:p w14:paraId="22572492">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5</w:t>
      </w:r>
      <w:r>
        <w:rPr>
          <w:rFonts w:hint="eastAsia"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6735E7D6">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对磋商文件作出的实质性变动是磋商文件的有效组成部分，磋商小组应当及时以书面形式同时通知所有参加磋商的供应商。</w:t>
      </w:r>
    </w:p>
    <w:p w14:paraId="246263B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76DE080">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6.磋商文件能够详细列明采购标的的技术、服务要求的，磋商结束后，磋商小组应当要求所有实质性响应的供应商在规定时间内提交最后报价，提交最后报价的供应商不得少于</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lang w:val="zh-CN"/>
        </w:rPr>
        <w:t>家。</w:t>
      </w:r>
    </w:p>
    <w:p w14:paraId="7849DE2E">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lang w:val="zh-CN"/>
        </w:rPr>
        <w:t>家及以上供应商的设计方案或者解决方案，并要求其在规定时间内提交最后报价。</w:t>
      </w:r>
    </w:p>
    <w:p w14:paraId="28E4D0F3">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en-US" w:eastAsia="zh-CN"/>
        </w:rPr>
        <w:t>7</w:t>
      </w:r>
      <w:r>
        <w:rPr>
          <w:rFonts w:hint="eastAsia" w:ascii="宋体" w:eastAsia="宋体" w:cs="宋体"/>
          <w:color w:val="auto"/>
          <w:kern w:val="0"/>
          <w:sz w:val="24"/>
          <w:szCs w:val="24"/>
          <w:highlight w:val="none"/>
          <w:lang w:val="zh-CN"/>
        </w:rPr>
        <w:t>.对于在磋商顺利开始后至最终报价前，根据磋商情况退出磋商的供应商，须以书面形式说明退出磋商的原因，经磋商小组同意可以退出磋商。</w:t>
      </w:r>
    </w:p>
    <w:p w14:paraId="4D158E07">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en-US" w:eastAsia="zh-CN"/>
        </w:rPr>
        <w:t>8</w:t>
      </w:r>
      <w:r>
        <w:rPr>
          <w:rFonts w:hint="eastAsia" w:ascii="宋体" w:eastAsia="宋体" w:cs="宋体"/>
          <w:color w:val="auto"/>
          <w:kern w:val="0"/>
          <w:sz w:val="24"/>
          <w:szCs w:val="24"/>
          <w:highlight w:val="none"/>
          <w:lang w:val="zh-CN"/>
        </w:rPr>
        <w:t>.磋商时间由磋商小组掌握。</w:t>
      </w:r>
    </w:p>
    <w:p w14:paraId="2CE8BC23">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四、评审步骤</w:t>
      </w:r>
    </w:p>
    <w:p w14:paraId="093C6084">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1.评审步骤规定：</w:t>
      </w:r>
    </w:p>
    <w:p w14:paraId="0A7E526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本次资格审查采用资格后审，各供应商资格审查通过后方能进入商务技术响应文件和报价响应文件评审。</w:t>
      </w:r>
    </w:p>
    <w:p w14:paraId="5D02B9F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第一阶段：</w:t>
      </w:r>
      <w:r>
        <w:rPr>
          <w:rFonts w:hint="eastAsia" w:ascii="宋体" w:hAnsi="宋体" w:cs="宋体"/>
          <w:color w:val="auto"/>
          <w:sz w:val="24"/>
          <w:highlight w:val="none"/>
        </w:rPr>
        <w:t>磋商小组一并</w:t>
      </w:r>
      <w:r>
        <w:rPr>
          <w:rFonts w:hint="eastAsia" w:ascii="宋体" w:hAnsi="宋体" w:cs="宋体"/>
          <w:color w:val="auto"/>
          <w:sz w:val="24"/>
          <w:highlight w:val="none"/>
          <w:lang w:val="zh-CN"/>
        </w:rPr>
        <w:t>对每个供应商的资格进行审查。</w:t>
      </w:r>
    </w:p>
    <w:p w14:paraId="63481DE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第二阶段：磋商小组对每个符合资格要求的供应商的商务技术标进行评审。</w:t>
      </w:r>
    </w:p>
    <w:p w14:paraId="50EB948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zh-CN"/>
        </w:rPr>
        <w:t>第三阶段：</w:t>
      </w:r>
      <w:r>
        <w:rPr>
          <w:rFonts w:hint="eastAsia" w:ascii="宋体" w:hAnsi="宋体" w:cs="宋体"/>
          <w:color w:val="auto"/>
          <w:kern w:val="0"/>
          <w:sz w:val="24"/>
          <w:highlight w:val="none"/>
        </w:rPr>
        <w:t>磋商小组按照综合得分推荐预成交供应商并出具评审磋商报告。</w:t>
      </w:r>
    </w:p>
    <w:p w14:paraId="296C8C70">
      <w:pPr>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2.在磋商过程中，供应商提交的澄清文件和最终报价响应文件，由供应商法定代表人或被授权人签字后生效，供应商受其约束。</w:t>
      </w:r>
    </w:p>
    <w:p w14:paraId="55B4049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五、评审方法-综合评分法</w:t>
      </w:r>
    </w:p>
    <w:p w14:paraId="7B506AA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经磋商确定最终采购需求和提交最后报价的供应商后，由磋商小组采用综合评分法对提交最后报价的供应商的响应文件和最后报价进行综合评分。</w:t>
      </w:r>
    </w:p>
    <w:p w14:paraId="430EF3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512B4F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评审时，磋商小组各成员应当独立对每个有效响应的文件进行评价、打分，然后汇总每个供应商每项评分因素的得分（计算结果均四舍五入保留两位小数）。</w:t>
      </w:r>
    </w:p>
    <w:p w14:paraId="3517531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（一）审查响应文件的有效性、完整性、响应程度</w:t>
      </w:r>
    </w:p>
    <w:p w14:paraId="1F363F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要求的保证金是否已提供；</w:t>
      </w:r>
    </w:p>
    <w:p w14:paraId="6B75F4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响应文件是否按磋商文件要求装订、密封、签署、盖章的；</w:t>
      </w:r>
    </w:p>
    <w:p w14:paraId="773C27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供应商资格是否符合；</w:t>
      </w:r>
    </w:p>
    <w:p w14:paraId="780C4E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响应文件是否完整；</w:t>
      </w:r>
    </w:p>
    <w:p w14:paraId="73EBE5AE">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是否作出实质性响应（</w:t>
      </w:r>
      <w:r>
        <w:rPr>
          <w:rFonts w:hint="eastAsia" w:ascii="宋体" w:hAnsi="宋体" w:cs="宋体"/>
          <w:b/>
          <w:color w:val="auto"/>
          <w:sz w:val="24"/>
          <w:highlight w:val="none"/>
        </w:rPr>
        <w:t>是否有实质性响应，只根据响应文件本身，而不寻求外部证据）；</w:t>
      </w:r>
    </w:p>
    <w:p w14:paraId="0C4D19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kern w:val="0"/>
          <w:sz w:val="24"/>
          <w:highlight w:val="none"/>
          <w:lang w:val="zh-CN"/>
        </w:rPr>
        <w:t>.</w:t>
      </w:r>
      <w:r>
        <w:rPr>
          <w:rFonts w:hint="eastAsia" w:ascii="宋体" w:hAnsi="宋体" w:cs="宋体"/>
          <w:color w:val="auto"/>
          <w:sz w:val="24"/>
          <w:highlight w:val="none"/>
        </w:rPr>
        <w:t>是否有计算错误。</w:t>
      </w:r>
    </w:p>
    <w:p w14:paraId="1B36D9AB">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rPr>
      </w:pPr>
      <w:r>
        <w:rPr>
          <w:rFonts w:hint="eastAsia" w:ascii="宋体" w:hAnsi="宋体" w:cs="宋体"/>
          <w:b/>
          <w:bCs/>
          <w:color w:val="auto"/>
          <w:sz w:val="24"/>
          <w:highlight w:val="none"/>
        </w:rPr>
        <w:t>（二）误差纠正</w:t>
      </w:r>
    </w:p>
    <w:p w14:paraId="3ACF2C3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val="zh-CN"/>
        </w:rPr>
        <w:t>报价表中的大写金额与小写金额、总价金额与按单价汇总金额，若有差异，按照下列规定修正：</w:t>
      </w:r>
    </w:p>
    <w:p w14:paraId="2BF2184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文件中开标一览表（报价表）内容与</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文件中相应内容不一致的，以开标一览表（报价表）为准；</w:t>
      </w:r>
    </w:p>
    <w:p w14:paraId="6117738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5B2D5D1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2AF9E2C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8EA77E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w:t>
      </w:r>
      <w:r>
        <w:rPr>
          <w:rFonts w:hint="eastAsia" w:ascii="宋体" w:hAnsi="宋体" w:cs="宋体"/>
          <w:color w:val="auto"/>
          <w:sz w:val="24"/>
          <w:highlight w:val="none"/>
        </w:rPr>
        <w:t>供应商</w:t>
      </w:r>
      <w:r>
        <w:rPr>
          <w:rFonts w:hint="eastAsia" w:ascii="宋体" w:hAnsi="宋体" w:cs="宋体"/>
          <w:color w:val="auto"/>
          <w:sz w:val="24"/>
          <w:highlight w:val="none"/>
          <w:lang w:val="zh-CN"/>
        </w:rPr>
        <w:t>确认后产生约束力，</w:t>
      </w:r>
      <w:r>
        <w:rPr>
          <w:rFonts w:hint="eastAsia" w:ascii="宋体" w:hAnsi="宋体" w:cs="宋体"/>
          <w:color w:val="auto"/>
          <w:sz w:val="24"/>
          <w:highlight w:val="none"/>
        </w:rPr>
        <w:t>供应商</w:t>
      </w:r>
      <w:r>
        <w:rPr>
          <w:rFonts w:hint="eastAsia" w:ascii="宋体" w:hAnsi="宋体" w:cs="宋体"/>
          <w:color w:val="auto"/>
          <w:sz w:val="24"/>
          <w:highlight w:val="none"/>
          <w:lang w:val="zh-CN"/>
        </w:rPr>
        <w:t>不确认的，其投标无效。</w:t>
      </w:r>
    </w:p>
    <w:p w14:paraId="5BE81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正本与副本有矛盾的，以正本为准；</w:t>
      </w:r>
    </w:p>
    <w:p w14:paraId="57DDAA14">
      <w:pPr>
        <w:tabs>
          <w:tab w:val="left" w:pos="6555"/>
          <w:tab w:val="right" w:pos="8306"/>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（三）出现下列情形之一的，作无效响应处理</w:t>
      </w:r>
      <w:r>
        <w:rPr>
          <w:rFonts w:hint="eastAsia" w:ascii="宋体" w:hAnsi="宋体" w:cs="宋体"/>
          <w:b/>
          <w:color w:val="auto"/>
          <w:sz w:val="24"/>
          <w:highlight w:val="none"/>
        </w:rPr>
        <w:tab/>
      </w:r>
      <w:r>
        <w:rPr>
          <w:rFonts w:hint="eastAsia" w:ascii="宋体" w:hAnsi="宋体" w:cs="宋体"/>
          <w:b/>
          <w:color w:val="auto"/>
          <w:sz w:val="24"/>
          <w:highlight w:val="none"/>
        </w:rPr>
        <w:tab/>
      </w:r>
    </w:p>
    <w:p w14:paraId="675B12F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响应文件未按照磋商文件规定要求装订、密封、签署、盖章的；</w:t>
      </w:r>
    </w:p>
    <w:p w14:paraId="29D959D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响应文件不完整的；</w:t>
      </w:r>
    </w:p>
    <w:p w14:paraId="66B3A8A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不具备磋商文件中规定的资格要求的；</w:t>
      </w:r>
    </w:p>
    <w:p w14:paraId="7860FF7C">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响应报价超出预算（最高投标限价）的；</w:t>
      </w:r>
    </w:p>
    <w:p w14:paraId="11F79B3B">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不符合</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和磋商文件中规定的其他实质性要求的；</w:t>
      </w:r>
    </w:p>
    <w:p w14:paraId="0658DA7F">
      <w:pPr>
        <w:snapToGrid w:val="0"/>
        <w:spacing w:line="360" w:lineRule="auto"/>
        <w:ind w:firstLine="570"/>
        <w:rPr>
          <w:rFonts w:hint="eastAsia" w:ascii="宋体" w:hAnsi="宋体" w:cs="宋体"/>
          <w:color w:val="auto"/>
          <w:sz w:val="24"/>
          <w:highlight w:val="none"/>
          <w:lang w:eastAsia="zh-CN"/>
        </w:rPr>
      </w:pPr>
      <w:r>
        <w:rPr>
          <w:rFonts w:hint="eastAsia" w:ascii="宋体" w:hAnsi="宋体" w:cs="宋体"/>
          <w:color w:val="auto"/>
          <w:sz w:val="24"/>
          <w:highlight w:val="none"/>
        </w:rPr>
        <w:t>6.投标</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r>
        <w:rPr>
          <w:rFonts w:hint="eastAsia" w:ascii="宋体" w:hAnsi="宋体" w:cs="宋体"/>
          <w:color w:val="auto"/>
          <w:sz w:val="24"/>
          <w:highlight w:val="none"/>
          <w:lang w:eastAsia="zh-CN"/>
        </w:rPr>
        <w:t>；</w:t>
      </w:r>
    </w:p>
    <w:p w14:paraId="0C1082D4">
      <w:pPr>
        <w:snapToGrid w:val="0"/>
        <w:spacing w:line="360" w:lineRule="auto"/>
        <w:ind w:firstLine="570"/>
        <w:rPr>
          <w:rFonts w:ascii="宋体" w:hAnsi="宋体" w:cs="宋体"/>
          <w:b/>
          <w:color w:val="auto"/>
          <w:sz w:val="24"/>
          <w:highlight w:val="none"/>
        </w:rPr>
      </w:pPr>
      <w:r>
        <w:rPr>
          <w:rFonts w:hint="eastAsia" w:ascii="宋体" w:hAnsi="宋体" w:cs="宋体"/>
          <w:b/>
          <w:color w:val="auto"/>
          <w:sz w:val="24"/>
          <w:highlight w:val="none"/>
        </w:rPr>
        <w:t>（四）出现下列情形之一的，磋商失败</w:t>
      </w:r>
    </w:p>
    <w:p w14:paraId="086838B9">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1.符合条件的供应商或者对磋商文件作实质响应的供应商不足</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家的；</w:t>
      </w:r>
    </w:p>
    <w:p w14:paraId="2354DBC4">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4CDFD32D">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3.供应商的最后报价均超过了采购预算，采购人不能支付的；</w:t>
      </w:r>
    </w:p>
    <w:p w14:paraId="46009BC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79D0D95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1B705092">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rPr>
        <w:t xml:space="preserve">（五）本次项目磋商的商务技术响应文件总分值为100分。评审因素比重如下： </w:t>
      </w:r>
    </w:p>
    <w:p w14:paraId="697DEB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商务技术</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lang w:val="en-US" w:eastAsia="zh-CN"/>
        </w:rPr>
        <w:t>100</w:t>
      </w:r>
      <w:r>
        <w:rPr>
          <w:rFonts w:hint="eastAsia" w:ascii="宋体" w:hAnsi="宋体" w:cs="宋体"/>
          <w:b/>
          <w:color w:val="auto"/>
          <w:sz w:val="24"/>
          <w:highlight w:val="none"/>
          <w:u w:val="single"/>
        </w:rPr>
        <w:t>%（权重）</w:t>
      </w:r>
      <w:r>
        <w:rPr>
          <w:rFonts w:hint="eastAsia" w:ascii="宋体" w:hAnsi="宋体" w:cs="宋体"/>
          <w:color w:val="auto"/>
          <w:sz w:val="24"/>
          <w:highlight w:val="none"/>
        </w:rPr>
        <w:t>（四舍五入保留两位小数）；</w:t>
      </w:r>
    </w:p>
    <w:p w14:paraId="519E15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商务技术响应文件分值为所有磋商小组成员打分的算术平均值，计算结果均四舍五入保留两位小数。 </w:t>
      </w:r>
    </w:p>
    <w:p w14:paraId="41D139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（六）磋商小组推荐综合得分</w:t>
      </w:r>
      <w:r>
        <w:rPr>
          <w:rFonts w:hint="eastAsia" w:cs="宋体" w:asciiTheme="minorEastAsia" w:hAnsiTheme="minorEastAsia" w:eastAsiaTheme="minorEastAsia"/>
          <w:b/>
          <w:color w:val="auto"/>
          <w:sz w:val="24"/>
          <w:highlight w:val="none"/>
        </w:rPr>
        <w:t>排名前</w:t>
      </w:r>
      <w:r>
        <w:rPr>
          <w:rFonts w:hint="eastAsia" w:cs="宋体" w:asciiTheme="minorEastAsia" w:hAnsiTheme="minorEastAsia" w:eastAsiaTheme="minorEastAsia"/>
          <w:b/>
          <w:color w:val="auto"/>
          <w:sz w:val="24"/>
          <w:highlight w:val="none"/>
          <w:lang w:val="en-US" w:eastAsia="zh-CN"/>
        </w:rPr>
        <w:t>三</w:t>
      </w:r>
      <w:r>
        <w:rPr>
          <w:rFonts w:hint="eastAsia" w:cs="宋体" w:asciiTheme="minorEastAsia" w:hAnsiTheme="minorEastAsia" w:eastAsiaTheme="minorEastAsia"/>
          <w:b/>
          <w:color w:val="auto"/>
          <w:sz w:val="24"/>
          <w:highlight w:val="none"/>
        </w:rPr>
        <w:t>名</w:t>
      </w:r>
      <w:r>
        <w:rPr>
          <w:rFonts w:hint="eastAsia" w:ascii="宋体" w:hAnsi="宋体" w:cs="宋体"/>
          <w:b/>
          <w:color w:val="auto"/>
          <w:sz w:val="24"/>
          <w:highlight w:val="none"/>
        </w:rPr>
        <w:t>的供应商为项目预成交供应商，并出具评审磋商报告。</w:t>
      </w:r>
    </w:p>
    <w:p w14:paraId="190FEA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如成交供应商拒绝与采购人签订合同的，采购人可以按照评审报告推荐的成交候选人名单排序，确定下一候选人为成交供应商，也可以重新开展采购活动。</w:t>
      </w:r>
    </w:p>
    <w:p w14:paraId="73394C6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（七）确定成交候选人的特殊情况处理：</w:t>
      </w:r>
    </w:p>
    <w:p w14:paraId="63EB01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1.若总分且最终报价得分均相同的，则采取评委票决的方式确定。</w:t>
      </w:r>
    </w:p>
    <w:p w14:paraId="369EE5AA">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八）磋商评审时，磋商小组成员对评审的细则若有争议，由磋商小组集体讨论确定，并对未尽情况有最终解释权。</w:t>
      </w:r>
    </w:p>
    <w:p w14:paraId="321DBF4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（九）对落标的供应商不做落标原因的解释。</w:t>
      </w:r>
    </w:p>
    <w:p w14:paraId="131EC3C5">
      <w:pPr>
        <w:snapToGrid w:val="0"/>
        <w:spacing w:line="360" w:lineRule="auto"/>
        <w:ind w:left="568"/>
        <w:rPr>
          <w:rFonts w:ascii="宋体" w:hAnsi="宋体" w:cs="宋体"/>
          <w:b/>
          <w:color w:val="auto"/>
          <w:sz w:val="24"/>
          <w:highlight w:val="none"/>
          <w:lang w:val="zh-CN"/>
        </w:rPr>
      </w:pPr>
      <w:r>
        <w:rPr>
          <w:rFonts w:hint="eastAsia" w:ascii="宋体" w:hAnsi="宋体" w:cs="宋体"/>
          <w:b/>
          <w:color w:val="auto"/>
          <w:sz w:val="24"/>
          <w:highlight w:val="none"/>
          <w:lang w:val="zh-CN"/>
        </w:rPr>
        <w:t>六、评审标准</w:t>
      </w:r>
    </w:p>
    <w:p w14:paraId="46A9637F">
      <w:pPr>
        <w:snapToGrid w:val="0"/>
        <w:spacing w:line="360" w:lineRule="auto"/>
        <w:ind w:left="568"/>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zh-CN"/>
        </w:rPr>
        <w:t>商务技术分（</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lang w:val="zh-CN"/>
        </w:rPr>
        <w:t>0分）</w:t>
      </w:r>
    </w:p>
    <w:p w14:paraId="066016E5">
      <w:pPr>
        <w:snapToGrid w:val="0"/>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供应商得分为磋商小组成员评分的算术平均分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1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950"/>
        <w:gridCol w:w="992"/>
        <w:gridCol w:w="769"/>
        <w:gridCol w:w="5327"/>
      </w:tblGrid>
      <w:tr w14:paraId="64C2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2205DC31">
            <w:pPr>
              <w:jc w:val="center"/>
              <w:rPr>
                <w:rFonts w:ascii="宋体" w:hAnsi="宋体" w:cs="宋体"/>
                <w:bCs/>
                <w:color w:val="auto"/>
                <w:sz w:val="24"/>
                <w:szCs w:val="32"/>
                <w:highlight w:val="none"/>
              </w:rPr>
            </w:pPr>
            <w:r>
              <w:rPr>
                <w:rFonts w:hint="eastAsia" w:ascii="宋体" w:hAnsi="宋体" w:cs="宋体"/>
                <w:bCs/>
                <w:color w:val="auto"/>
                <w:sz w:val="24"/>
                <w:szCs w:val="32"/>
                <w:highlight w:val="none"/>
              </w:rPr>
              <w:t>评分因素</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77B85E">
            <w:pPr>
              <w:jc w:val="center"/>
              <w:rPr>
                <w:rFonts w:ascii="宋体" w:hAnsi="宋体" w:cs="宋体"/>
                <w:bCs/>
                <w:color w:val="auto"/>
                <w:sz w:val="24"/>
                <w:szCs w:val="32"/>
                <w:highlight w:val="none"/>
              </w:rPr>
            </w:pPr>
            <w:r>
              <w:rPr>
                <w:rFonts w:hint="eastAsia" w:ascii="宋体" w:hAnsi="宋体" w:cs="宋体"/>
                <w:bCs/>
                <w:color w:val="auto"/>
                <w:sz w:val="24"/>
                <w:szCs w:val="32"/>
                <w:highlight w:val="none"/>
              </w:rPr>
              <w:t>分值</w:t>
            </w:r>
          </w:p>
        </w:tc>
        <w:tc>
          <w:tcPr>
            <w:tcW w:w="6096" w:type="dxa"/>
            <w:gridSpan w:val="2"/>
            <w:tcBorders>
              <w:top w:val="single" w:color="auto" w:sz="4" w:space="0"/>
              <w:left w:val="single" w:color="auto" w:sz="4" w:space="0"/>
              <w:bottom w:val="single" w:color="auto" w:sz="4" w:space="0"/>
              <w:right w:val="single" w:color="auto" w:sz="4" w:space="0"/>
            </w:tcBorders>
            <w:noWrap w:val="0"/>
            <w:vAlign w:val="center"/>
          </w:tcPr>
          <w:p w14:paraId="7EB8A5DF">
            <w:pPr>
              <w:jc w:val="center"/>
              <w:rPr>
                <w:rFonts w:ascii="宋体" w:hAnsi="宋体" w:cs="宋体"/>
                <w:bCs/>
                <w:color w:val="auto"/>
                <w:sz w:val="24"/>
                <w:szCs w:val="32"/>
                <w:highlight w:val="none"/>
              </w:rPr>
            </w:pPr>
            <w:r>
              <w:rPr>
                <w:rFonts w:hint="eastAsia" w:ascii="宋体" w:hAnsi="宋体" w:cs="宋体"/>
                <w:bCs/>
                <w:color w:val="auto"/>
                <w:sz w:val="24"/>
                <w:szCs w:val="32"/>
                <w:highlight w:val="none"/>
              </w:rPr>
              <w:t>评审标准</w:t>
            </w:r>
          </w:p>
        </w:tc>
      </w:tr>
      <w:tr w14:paraId="596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70FAEF04">
            <w:pPr>
              <w:jc w:val="center"/>
              <w:rPr>
                <w:rFonts w:ascii="宋体" w:hAnsi="宋体" w:cs="宋体"/>
                <w:bCs/>
                <w:color w:val="auto"/>
                <w:sz w:val="24"/>
                <w:szCs w:val="32"/>
                <w:highlight w:val="none"/>
              </w:rPr>
            </w:pPr>
            <w:r>
              <w:rPr>
                <w:rFonts w:ascii="宋体" w:hAnsi="宋体" w:cs="宋体"/>
                <w:bCs/>
                <w:color w:val="auto"/>
                <w:sz w:val="24"/>
                <w:szCs w:val="32"/>
                <w:highlight w:val="none"/>
              </w:rPr>
              <w:t>供应商业绩</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DE0BB3">
            <w:pPr>
              <w:jc w:val="center"/>
              <w:rPr>
                <w:rFonts w:ascii="宋体" w:hAnsi="宋体" w:cs="宋体"/>
                <w:bCs/>
                <w:color w:val="auto"/>
                <w:sz w:val="24"/>
                <w:szCs w:val="32"/>
                <w:highlight w:val="none"/>
              </w:rPr>
            </w:pPr>
            <w:r>
              <w:rPr>
                <w:rFonts w:hint="eastAsia" w:ascii="宋体" w:hAnsi="宋体" w:cs="宋体"/>
                <w:bCs/>
                <w:color w:val="auto"/>
                <w:sz w:val="24"/>
                <w:szCs w:val="32"/>
                <w:highlight w:val="none"/>
              </w:rPr>
              <w:t>30</w:t>
            </w:r>
          </w:p>
        </w:tc>
        <w:tc>
          <w:tcPr>
            <w:tcW w:w="6096" w:type="dxa"/>
            <w:gridSpan w:val="2"/>
            <w:tcBorders>
              <w:top w:val="single" w:color="auto" w:sz="4" w:space="0"/>
              <w:left w:val="single" w:color="auto" w:sz="4" w:space="0"/>
              <w:bottom w:val="single" w:color="auto" w:sz="4" w:space="0"/>
              <w:right w:val="single" w:color="auto" w:sz="4" w:space="0"/>
            </w:tcBorders>
            <w:noWrap w:val="0"/>
            <w:vAlign w:val="center"/>
          </w:tcPr>
          <w:p w14:paraId="570FA127">
            <w:pPr>
              <w:jc w:val="left"/>
              <w:rPr>
                <w:rFonts w:ascii="宋体" w:hAnsi="宋体" w:cs="宋体"/>
                <w:bCs/>
                <w:color w:val="auto"/>
                <w:sz w:val="24"/>
                <w:szCs w:val="32"/>
                <w:highlight w:val="none"/>
              </w:rPr>
            </w:pPr>
            <w:r>
              <w:rPr>
                <w:rFonts w:hint="eastAsia" w:ascii="宋体" w:hAnsi="宋体" w:cs="宋体"/>
                <w:bCs/>
                <w:color w:val="auto"/>
                <w:sz w:val="24"/>
                <w:szCs w:val="32"/>
                <w:highlight w:val="none"/>
              </w:rPr>
              <w:t>①自2020年1月1日以来（以合同签订时间为准）供应商完成过1个国省道或高速公路工程的施工（或服务）项目造价（</w:t>
            </w:r>
            <w:r>
              <w:rPr>
                <w:rFonts w:hint="eastAsia" w:ascii="宋体" w:hAnsi="宋体" w:cs="宋体"/>
                <w:bCs/>
                <w:color w:val="auto"/>
                <w:sz w:val="24"/>
                <w:szCs w:val="32"/>
                <w:highlight w:val="none"/>
                <w:lang w:val="en-US" w:eastAsia="zh-CN"/>
              </w:rPr>
              <w:t>或</w:t>
            </w:r>
            <w:r>
              <w:rPr>
                <w:rFonts w:hint="eastAsia" w:ascii="宋体" w:hAnsi="宋体" w:cs="宋体"/>
                <w:bCs/>
                <w:color w:val="auto"/>
                <w:sz w:val="24"/>
                <w:szCs w:val="32"/>
                <w:highlight w:val="none"/>
              </w:rPr>
              <w:t>工程方案设计概算或项目预算）审核工作的，得9分。每增加提供1个</w:t>
            </w:r>
            <w:r>
              <w:rPr>
                <w:rFonts w:hint="eastAsia" w:ascii="宋体" w:hAnsi="宋体" w:cs="宋体"/>
                <w:bCs/>
                <w:color w:val="auto"/>
                <w:sz w:val="24"/>
                <w:szCs w:val="32"/>
                <w:highlight w:val="none"/>
                <w:lang w:val="en-US" w:eastAsia="zh-CN"/>
              </w:rPr>
              <w:t>满足上述要求</w:t>
            </w:r>
            <w:r>
              <w:rPr>
                <w:rFonts w:hint="eastAsia" w:ascii="宋体" w:hAnsi="宋体" w:cs="宋体"/>
                <w:bCs/>
                <w:color w:val="auto"/>
                <w:sz w:val="24"/>
                <w:szCs w:val="32"/>
                <w:highlight w:val="none"/>
              </w:rPr>
              <w:t>项目</w:t>
            </w:r>
            <w:r>
              <w:rPr>
                <w:rFonts w:hint="eastAsia" w:ascii="宋体" w:hAnsi="宋体" w:cs="宋体"/>
                <w:bCs/>
                <w:color w:val="auto"/>
                <w:sz w:val="24"/>
                <w:szCs w:val="32"/>
                <w:highlight w:val="none"/>
                <w:lang w:val="en-US" w:eastAsia="zh-CN"/>
              </w:rPr>
              <w:t>的</w:t>
            </w:r>
            <w:r>
              <w:rPr>
                <w:rFonts w:hint="eastAsia" w:ascii="宋体" w:hAnsi="宋体" w:cs="宋体"/>
                <w:bCs/>
                <w:color w:val="auto"/>
                <w:sz w:val="24"/>
                <w:szCs w:val="32"/>
                <w:highlight w:val="none"/>
              </w:rPr>
              <w:t>得2.5分。本</w:t>
            </w:r>
            <w:r>
              <w:rPr>
                <w:rFonts w:hint="eastAsia" w:ascii="宋体" w:hAnsi="宋体" w:cs="宋体"/>
                <w:bCs/>
                <w:color w:val="auto"/>
                <w:sz w:val="24"/>
                <w:szCs w:val="32"/>
                <w:highlight w:val="none"/>
                <w:lang w:val="en-US" w:eastAsia="zh-CN"/>
              </w:rPr>
              <w:t>项</w:t>
            </w:r>
            <w:r>
              <w:rPr>
                <w:rFonts w:hint="eastAsia" w:ascii="宋体" w:hAnsi="宋体" w:cs="宋体"/>
                <w:bCs/>
                <w:color w:val="auto"/>
                <w:sz w:val="24"/>
                <w:szCs w:val="32"/>
                <w:highlight w:val="none"/>
              </w:rPr>
              <w:t>最多14分。</w:t>
            </w:r>
          </w:p>
          <w:p w14:paraId="473B216B">
            <w:pPr>
              <w:jc w:val="left"/>
              <w:rPr>
                <w:rFonts w:ascii="宋体" w:hAnsi="宋体" w:cs="宋体"/>
                <w:bCs/>
                <w:color w:val="auto"/>
                <w:sz w:val="24"/>
                <w:szCs w:val="32"/>
                <w:highlight w:val="none"/>
              </w:rPr>
            </w:pPr>
            <w:r>
              <w:rPr>
                <w:rFonts w:hint="eastAsia" w:ascii="宋体" w:hAnsi="宋体" w:cs="宋体"/>
                <w:bCs/>
                <w:color w:val="auto"/>
                <w:sz w:val="24"/>
                <w:szCs w:val="32"/>
                <w:highlight w:val="none"/>
              </w:rPr>
              <w:t>②自2020年1月1日以来（以合同签订时间为准）供应商完成过项目现场跟踪审核工作的，每提供1个项目</w:t>
            </w:r>
            <w:r>
              <w:rPr>
                <w:rFonts w:hint="eastAsia" w:ascii="宋体" w:hAnsi="宋体" w:cs="宋体"/>
                <w:bCs/>
                <w:color w:val="auto"/>
                <w:sz w:val="24"/>
                <w:szCs w:val="32"/>
                <w:highlight w:val="none"/>
                <w:lang w:val="en-US" w:eastAsia="zh-CN"/>
              </w:rPr>
              <w:t>的</w:t>
            </w:r>
            <w:r>
              <w:rPr>
                <w:rFonts w:hint="eastAsia" w:ascii="宋体" w:hAnsi="宋体" w:cs="宋体"/>
                <w:bCs/>
                <w:color w:val="auto"/>
                <w:sz w:val="24"/>
                <w:szCs w:val="32"/>
                <w:highlight w:val="none"/>
              </w:rPr>
              <w:t>得2分，本</w:t>
            </w:r>
            <w:r>
              <w:rPr>
                <w:rFonts w:hint="eastAsia" w:ascii="宋体" w:hAnsi="宋体" w:cs="宋体"/>
                <w:bCs/>
                <w:color w:val="auto"/>
                <w:sz w:val="24"/>
                <w:szCs w:val="32"/>
                <w:highlight w:val="none"/>
                <w:lang w:val="en-US" w:eastAsia="zh-CN"/>
              </w:rPr>
              <w:t>项</w:t>
            </w:r>
            <w:r>
              <w:rPr>
                <w:rFonts w:hint="eastAsia" w:ascii="宋体" w:hAnsi="宋体" w:cs="宋体"/>
                <w:bCs/>
                <w:color w:val="auto"/>
                <w:sz w:val="24"/>
                <w:szCs w:val="32"/>
                <w:highlight w:val="none"/>
              </w:rPr>
              <w:t>最多2分。</w:t>
            </w:r>
          </w:p>
          <w:p w14:paraId="3899E022">
            <w:pPr>
              <w:jc w:val="left"/>
              <w:rPr>
                <w:rFonts w:ascii="宋体" w:hAnsi="宋体" w:cs="宋体"/>
                <w:bCs/>
                <w:color w:val="auto"/>
                <w:sz w:val="24"/>
                <w:szCs w:val="32"/>
                <w:highlight w:val="none"/>
              </w:rPr>
            </w:pPr>
            <w:r>
              <w:rPr>
                <w:rFonts w:hint="eastAsia" w:ascii="宋体" w:hAnsi="宋体" w:cs="宋体"/>
                <w:bCs/>
                <w:color w:val="auto"/>
                <w:sz w:val="24"/>
                <w:szCs w:val="32"/>
                <w:highlight w:val="none"/>
              </w:rPr>
              <w:t>③自2020年1月1日以来（以合同签订时间为准）供应商完成过1个项目竣</w:t>
            </w:r>
            <w:r>
              <w:rPr>
                <w:rFonts w:ascii="宋体" w:hAnsi="宋体" w:cs="宋体"/>
                <w:bCs/>
                <w:color w:val="auto"/>
                <w:sz w:val="24"/>
                <w:szCs w:val="32"/>
                <w:highlight w:val="none"/>
              </w:rPr>
              <w:t>(</w:t>
            </w:r>
            <w:r>
              <w:rPr>
                <w:rFonts w:hint="eastAsia" w:ascii="宋体" w:hAnsi="宋体" w:cs="宋体"/>
                <w:bCs/>
                <w:color w:val="auto"/>
                <w:sz w:val="24"/>
                <w:szCs w:val="32"/>
                <w:highlight w:val="none"/>
              </w:rPr>
              <w:t>交</w:t>
            </w:r>
            <w:r>
              <w:rPr>
                <w:rFonts w:ascii="宋体" w:hAnsi="宋体" w:cs="宋体"/>
                <w:bCs/>
                <w:color w:val="auto"/>
                <w:sz w:val="24"/>
                <w:szCs w:val="32"/>
                <w:highlight w:val="none"/>
              </w:rPr>
              <w:t>)</w:t>
            </w:r>
            <w:r>
              <w:rPr>
                <w:rFonts w:hint="eastAsia" w:ascii="宋体" w:hAnsi="宋体" w:cs="宋体"/>
                <w:bCs/>
                <w:color w:val="auto"/>
                <w:sz w:val="24"/>
                <w:szCs w:val="32"/>
                <w:highlight w:val="none"/>
              </w:rPr>
              <w:t>工结算审计的，得9分。每增加提供1个</w:t>
            </w:r>
            <w:r>
              <w:rPr>
                <w:rFonts w:hint="eastAsia" w:ascii="宋体" w:hAnsi="宋体" w:cs="宋体"/>
                <w:bCs/>
                <w:color w:val="auto"/>
                <w:sz w:val="24"/>
                <w:szCs w:val="32"/>
                <w:highlight w:val="none"/>
                <w:lang w:val="en-US" w:eastAsia="zh-CN"/>
              </w:rPr>
              <w:t>满足上述要求</w:t>
            </w:r>
            <w:r>
              <w:rPr>
                <w:rFonts w:hint="eastAsia" w:ascii="宋体" w:hAnsi="宋体" w:cs="宋体"/>
                <w:bCs/>
                <w:color w:val="auto"/>
                <w:sz w:val="24"/>
                <w:szCs w:val="32"/>
                <w:highlight w:val="none"/>
              </w:rPr>
              <w:t>项目</w:t>
            </w:r>
            <w:r>
              <w:rPr>
                <w:rFonts w:hint="eastAsia" w:ascii="宋体" w:hAnsi="宋体" w:cs="宋体"/>
                <w:bCs/>
                <w:color w:val="auto"/>
                <w:sz w:val="24"/>
                <w:szCs w:val="32"/>
                <w:highlight w:val="none"/>
                <w:lang w:val="en-US" w:eastAsia="zh-CN"/>
              </w:rPr>
              <w:t>的</w:t>
            </w:r>
            <w:r>
              <w:rPr>
                <w:rFonts w:hint="eastAsia" w:ascii="宋体" w:hAnsi="宋体" w:cs="宋体"/>
                <w:bCs/>
                <w:color w:val="auto"/>
                <w:sz w:val="24"/>
                <w:szCs w:val="32"/>
                <w:highlight w:val="none"/>
              </w:rPr>
              <w:t>得2.5分。本</w:t>
            </w:r>
            <w:r>
              <w:rPr>
                <w:rFonts w:hint="eastAsia" w:ascii="宋体" w:hAnsi="宋体" w:cs="宋体"/>
                <w:bCs/>
                <w:color w:val="auto"/>
                <w:sz w:val="24"/>
                <w:szCs w:val="32"/>
                <w:highlight w:val="none"/>
                <w:lang w:val="en-US" w:eastAsia="zh-CN"/>
              </w:rPr>
              <w:t>项</w:t>
            </w:r>
            <w:r>
              <w:rPr>
                <w:rFonts w:hint="eastAsia" w:ascii="宋体" w:hAnsi="宋体" w:cs="宋体"/>
                <w:bCs/>
                <w:color w:val="auto"/>
                <w:sz w:val="24"/>
                <w:szCs w:val="32"/>
                <w:highlight w:val="none"/>
              </w:rPr>
              <w:t>最多14分。</w:t>
            </w:r>
          </w:p>
          <w:p w14:paraId="0AE61A4C">
            <w:pPr>
              <w:jc w:val="left"/>
              <w:rPr>
                <w:rFonts w:hint="eastAsia" w:ascii="宋体" w:hAnsi="宋体" w:cs="宋体"/>
                <w:bCs/>
                <w:color w:val="auto"/>
                <w:sz w:val="24"/>
                <w:szCs w:val="32"/>
                <w:highlight w:val="none"/>
              </w:rPr>
            </w:pPr>
            <w:r>
              <w:rPr>
                <w:rFonts w:hint="eastAsia" w:ascii="宋体" w:hAnsi="宋体" w:cs="宋体"/>
                <w:bCs/>
                <w:color w:val="auto"/>
                <w:sz w:val="24"/>
                <w:szCs w:val="32"/>
                <w:highlight w:val="none"/>
              </w:rPr>
              <w:t>注：1、所有业绩均需同时提供加盖公章的项目造价咨询报告书（或现场跟踪审核报告或审计报告）和与该项目咨询委托方签订的合同的复印件或扫描件，否则该业绩不认可。</w:t>
            </w:r>
          </w:p>
          <w:p w14:paraId="4F998824">
            <w:pPr>
              <w:jc w:val="left"/>
              <w:rPr>
                <w:rFonts w:ascii="宋体" w:hAnsi="宋体" w:cs="宋体"/>
                <w:bCs/>
                <w:color w:val="auto"/>
                <w:sz w:val="24"/>
                <w:szCs w:val="32"/>
                <w:highlight w:val="none"/>
              </w:rPr>
            </w:pPr>
            <w:r>
              <w:rPr>
                <w:rFonts w:hint="eastAsia" w:ascii="宋体" w:hAnsi="宋体" w:cs="宋体"/>
                <w:bCs/>
                <w:color w:val="auto"/>
                <w:sz w:val="24"/>
                <w:szCs w:val="32"/>
                <w:highlight w:val="none"/>
              </w:rPr>
              <w:t>2、同一项目同时具有上述内容的可分别计分。</w:t>
            </w:r>
          </w:p>
        </w:tc>
      </w:tr>
      <w:tr w14:paraId="2692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restart"/>
            <w:noWrap w:val="0"/>
            <w:vAlign w:val="center"/>
          </w:tcPr>
          <w:p w14:paraId="09EEC2F9">
            <w:pPr>
              <w:jc w:val="center"/>
              <w:rPr>
                <w:rFonts w:cs="宋体"/>
                <w:color w:val="auto"/>
                <w:sz w:val="24"/>
                <w:szCs w:val="32"/>
                <w:highlight w:val="none"/>
              </w:rPr>
            </w:pPr>
            <w:r>
              <w:rPr>
                <w:rFonts w:hint="eastAsia" w:cs="宋体"/>
                <w:color w:val="auto"/>
                <w:sz w:val="24"/>
                <w:szCs w:val="32"/>
                <w:highlight w:val="none"/>
              </w:rPr>
              <w:t>项目机构</w:t>
            </w:r>
          </w:p>
        </w:tc>
        <w:tc>
          <w:tcPr>
            <w:tcW w:w="950" w:type="dxa"/>
            <w:vMerge w:val="restart"/>
            <w:noWrap w:val="0"/>
            <w:vAlign w:val="center"/>
          </w:tcPr>
          <w:p w14:paraId="1937FC36">
            <w:pPr>
              <w:jc w:val="center"/>
              <w:rPr>
                <w:rFonts w:cs="宋体"/>
                <w:color w:val="auto"/>
                <w:sz w:val="24"/>
                <w:szCs w:val="32"/>
                <w:highlight w:val="none"/>
              </w:rPr>
            </w:pPr>
            <w:r>
              <w:rPr>
                <w:rFonts w:hint="eastAsia" w:cs="宋体"/>
                <w:color w:val="auto"/>
                <w:sz w:val="24"/>
                <w:szCs w:val="32"/>
                <w:highlight w:val="none"/>
              </w:rPr>
              <w:t>30</w:t>
            </w:r>
          </w:p>
        </w:tc>
        <w:tc>
          <w:tcPr>
            <w:tcW w:w="992" w:type="dxa"/>
            <w:noWrap w:val="0"/>
            <w:vAlign w:val="center"/>
          </w:tcPr>
          <w:p w14:paraId="24D9E175">
            <w:pPr>
              <w:jc w:val="center"/>
              <w:rPr>
                <w:rFonts w:cs="宋体"/>
                <w:color w:val="auto"/>
                <w:sz w:val="24"/>
                <w:szCs w:val="32"/>
                <w:highlight w:val="none"/>
              </w:rPr>
            </w:pPr>
            <w:r>
              <w:rPr>
                <w:rFonts w:hint="eastAsia" w:cs="宋体"/>
                <w:color w:val="auto"/>
                <w:sz w:val="24"/>
                <w:szCs w:val="32"/>
                <w:highlight w:val="none"/>
              </w:rPr>
              <w:t>项目负责人</w:t>
            </w:r>
          </w:p>
        </w:tc>
        <w:tc>
          <w:tcPr>
            <w:tcW w:w="769" w:type="dxa"/>
            <w:noWrap w:val="0"/>
            <w:vAlign w:val="center"/>
          </w:tcPr>
          <w:p w14:paraId="3AECD52B">
            <w:pPr>
              <w:jc w:val="center"/>
              <w:rPr>
                <w:rFonts w:cs="宋体"/>
                <w:color w:val="auto"/>
                <w:sz w:val="24"/>
                <w:szCs w:val="32"/>
                <w:highlight w:val="none"/>
              </w:rPr>
            </w:pPr>
            <w:r>
              <w:rPr>
                <w:rFonts w:hint="eastAsia" w:cs="宋体"/>
                <w:color w:val="auto"/>
                <w:sz w:val="24"/>
                <w:szCs w:val="32"/>
                <w:highlight w:val="none"/>
              </w:rPr>
              <w:t>15</w:t>
            </w:r>
          </w:p>
        </w:tc>
        <w:tc>
          <w:tcPr>
            <w:tcW w:w="5327" w:type="dxa"/>
            <w:noWrap w:val="0"/>
            <w:vAlign w:val="center"/>
          </w:tcPr>
          <w:p w14:paraId="6F1D4FC6">
            <w:pPr>
              <w:jc w:val="left"/>
              <w:rPr>
                <w:rFonts w:ascii="宋体" w:hAnsi="宋体"/>
                <w:color w:val="auto"/>
                <w:sz w:val="24"/>
                <w:szCs w:val="24"/>
                <w:highlight w:val="none"/>
              </w:rPr>
            </w:pPr>
            <w:r>
              <w:rPr>
                <w:rFonts w:hint="eastAsia" w:ascii="宋体" w:hAnsi="宋体"/>
                <w:color w:val="auto"/>
                <w:sz w:val="24"/>
                <w:szCs w:val="24"/>
                <w:highlight w:val="none"/>
              </w:rPr>
              <w:t>拟投入的项目负责人自2020年1月1日以来（以合同签订时间为准）担任过公路工程相关项目造价咨询服务的项目负责人或技术负责人的业绩，每提供一个工程的得5分，最多得15分；</w:t>
            </w:r>
          </w:p>
          <w:p w14:paraId="65FDDD82">
            <w:pPr>
              <w:jc w:val="left"/>
              <w:rPr>
                <w:rFonts w:ascii="宋体" w:hAnsi="宋体"/>
                <w:color w:val="auto"/>
                <w:sz w:val="24"/>
                <w:szCs w:val="24"/>
                <w:highlight w:val="none"/>
              </w:rPr>
            </w:pPr>
            <w:r>
              <w:rPr>
                <w:rFonts w:hint="eastAsia" w:ascii="宋体" w:hAnsi="宋体"/>
                <w:color w:val="auto"/>
                <w:sz w:val="24"/>
                <w:szCs w:val="24"/>
                <w:highlight w:val="none"/>
              </w:rPr>
              <w:t>注：所有业绩均需提供与委托方签订的加盖公章的服务合同复印件或扫描件，若合同内容无法体现出服务内容包含公路工程相关项目及拟投入项目负责人的姓名、职务，须同时提供委托方出具的加盖公章的相关证明材料复印件或扫描件，否则该业绩不</w:t>
            </w:r>
            <w:r>
              <w:rPr>
                <w:rFonts w:hint="eastAsia" w:ascii="宋体" w:hAnsi="宋体"/>
                <w:color w:val="auto"/>
                <w:sz w:val="24"/>
                <w:szCs w:val="24"/>
                <w:highlight w:val="none"/>
                <w:lang w:val="en-US" w:eastAsia="zh-CN"/>
              </w:rPr>
              <w:t>予</w:t>
            </w:r>
            <w:r>
              <w:rPr>
                <w:rFonts w:hint="eastAsia" w:ascii="宋体" w:hAnsi="宋体"/>
                <w:color w:val="auto"/>
                <w:sz w:val="24"/>
                <w:szCs w:val="24"/>
                <w:highlight w:val="none"/>
              </w:rPr>
              <w:t>认可。</w:t>
            </w:r>
          </w:p>
        </w:tc>
      </w:tr>
      <w:tr w14:paraId="2216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noWrap w:val="0"/>
            <w:vAlign w:val="center"/>
          </w:tcPr>
          <w:p w14:paraId="111D2449">
            <w:pPr>
              <w:jc w:val="center"/>
              <w:rPr>
                <w:rFonts w:cs="宋体"/>
                <w:color w:val="auto"/>
                <w:sz w:val="24"/>
                <w:szCs w:val="32"/>
                <w:highlight w:val="none"/>
              </w:rPr>
            </w:pPr>
          </w:p>
        </w:tc>
        <w:tc>
          <w:tcPr>
            <w:tcW w:w="950" w:type="dxa"/>
            <w:vMerge w:val="continue"/>
            <w:noWrap w:val="0"/>
            <w:vAlign w:val="center"/>
          </w:tcPr>
          <w:p w14:paraId="43BCD836">
            <w:pPr>
              <w:jc w:val="center"/>
              <w:rPr>
                <w:rFonts w:cs="宋体"/>
                <w:color w:val="auto"/>
                <w:sz w:val="24"/>
                <w:szCs w:val="32"/>
                <w:highlight w:val="none"/>
              </w:rPr>
            </w:pPr>
          </w:p>
        </w:tc>
        <w:tc>
          <w:tcPr>
            <w:tcW w:w="992" w:type="dxa"/>
            <w:noWrap w:val="0"/>
            <w:vAlign w:val="center"/>
          </w:tcPr>
          <w:p w14:paraId="0AE3A14F">
            <w:pPr>
              <w:jc w:val="center"/>
              <w:rPr>
                <w:rFonts w:cs="宋体"/>
                <w:color w:val="auto"/>
                <w:sz w:val="24"/>
                <w:szCs w:val="32"/>
                <w:highlight w:val="none"/>
              </w:rPr>
            </w:pPr>
            <w:r>
              <w:rPr>
                <w:rFonts w:hint="eastAsia" w:cs="宋体"/>
                <w:color w:val="auto"/>
                <w:sz w:val="24"/>
                <w:szCs w:val="32"/>
                <w:highlight w:val="none"/>
              </w:rPr>
              <w:t>其他人员</w:t>
            </w:r>
          </w:p>
        </w:tc>
        <w:tc>
          <w:tcPr>
            <w:tcW w:w="769" w:type="dxa"/>
            <w:noWrap w:val="0"/>
            <w:vAlign w:val="center"/>
          </w:tcPr>
          <w:p w14:paraId="19155F71">
            <w:pPr>
              <w:jc w:val="center"/>
              <w:rPr>
                <w:rFonts w:cs="宋体"/>
                <w:color w:val="auto"/>
                <w:sz w:val="24"/>
                <w:szCs w:val="32"/>
                <w:highlight w:val="none"/>
              </w:rPr>
            </w:pPr>
            <w:r>
              <w:rPr>
                <w:rFonts w:hint="eastAsia" w:cs="宋体"/>
                <w:color w:val="auto"/>
                <w:sz w:val="24"/>
                <w:szCs w:val="32"/>
                <w:highlight w:val="none"/>
              </w:rPr>
              <w:t>15</w:t>
            </w:r>
          </w:p>
        </w:tc>
        <w:tc>
          <w:tcPr>
            <w:tcW w:w="5327" w:type="dxa"/>
            <w:noWrap w:val="0"/>
            <w:vAlign w:val="center"/>
          </w:tcPr>
          <w:p w14:paraId="1FF94F0C">
            <w:pPr>
              <w:jc w:val="left"/>
              <w:rPr>
                <w:rFonts w:ascii="宋体" w:hAnsi="宋体"/>
                <w:color w:val="auto"/>
                <w:sz w:val="24"/>
                <w:szCs w:val="24"/>
                <w:highlight w:val="none"/>
              </w:rPr>
            </w:pPr>
            <w:r>
              <w:rPr>
                <w:rFonts w:hint="eastAsia" w:ascii="宋体" w:hAnsi="宋体"/>
                <w:color w:val="auto"/>
                <w:sz w:val="24"/>
                <w:szCs w:val="24"/>
                <w:highlight w:val="none"/>
              </w:rPr>
              <w:t>根据项目组其他人员的数量、专业配备、类似工作经验、专业人员能力等横向比较综合打分。项目组其他人员的数量及专业配备完全满足项目需求、具有本项目完全类似的工作经验，专业人员能力视为优，得15分、项目组其他人员的数量及专业配备满足项目主要需求、具有本项目基本类似的工作经验，专业人员能力视为良，得11分，项目组其他人员的数量及专业配备满足项目少数需求、具有本项目少量类似的工作经验，专业人员能力视为差，得6分，</w:t>
            </w:r>
            <w:r>
              <w:rPr>
                <w:rFonts w:hint="eastAsia" w:ascii="宋体" w:hAnsi="宋体"/>
                <w:color w:val="auto"/>
                <w:kern w:val="0"/>
                <w:sz w:val="24"/>
                <w:szCs w:val="24"/>
                <w:highlight w:val="none"/>
              </w:rPr>
              <w:t>未提供不得分</w:t>
            </w:r>
            <w:r>
              <w:rPr>
                <w:rFonts w:hint="eastAsia" w:ascii="宋体" w:hAnsi="宋体"/>
                <w:color w:val="auto"/>
                <w:sz w:val="24"/>
                <w:szCs w:val="24"/>
                <w:highlight w:val="none"/>
              </w:rPr>
              <w:t>。</w:t>
            </w:r>
          </w:p>
          <w:p w14:paraId="7BC07821">
            <w:pPr>
              <w:jc w:val="left"/>
              <w:rPr>
                <w:color w:val="auto"/>
                <w:sz w:val="24"/>
                <w:szCs w:val="32"/>
                <w:highlight w:val="none"/>
              </w:rPr>
            </w:pPr>
            <w:r>
              <w:rPr>
                <w:rFonts w:hint="eastAsia" w:ascii="宋体" w:hAnsi="宋体"/>
                <w:color w:val="auto"/>
                <w:sz w:val="24"/>
                <w:szCs w:val="24"/>
                <w:highlight w:val="none"/>
              </w:rPr>
              <w:t>注：类似工作经验以与委托方签订的服务合同为准，若合同内容无法体现出与本项目类似相关服务内容及人员姓名，须同时提供委托方出具的加盖公章的相关证明材料复印件或扫描件，否则该工作经验不认可。</w:t>
            </w:r>
          </w:p>
        </w:tc>
      </w:tr>
      <w:tr w14:paraId="3781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99" w:type="dxa"/>
            <w:vMerge w:val="restart"/>
            <w:noWrap w:val="0"/>
            <w:vAlign w:val="center"/>
          </w:tcPr>
          <w:p w14:paraId="06EFB398">
            <w:pPr>
              <w:jc w:val="center"/>
              <w:rPr>
                <w:rFonts w:cs="宋体"/>
                <w:color w:val="auto"/>
                <w:sz w:val="24"/>
                <w:szCs w:val="32"/>
                <w:highlight w:val="none"/>
              </w:rPr>
            </w:pPr>
            <w:r>
              <w:rPr>
                <w:rFonts w:hint="eastAsia" w:ascii="宋体" w:hAnsi="宋体"/>
                <w:color w:val="auto"/>
                <w:kern w:val="0"/>
                <w:sz w:val="24"/>
                <w:szCs w:val="24"/>
                <w:highlight w:val="none"/>
              </w:rPr>
              <w:t>工作大纲及服务承诺</w:t>
            </w:r>
          </w:p>
        </w:tc>
        <w:tc>
          <w:tcPr>
            <w:tcW w:w="950" w:type="dxa"/>
            <w:vMerge w:val="restart"/>
            <w:noWrap w:val="0"/>
            <w:vAlign w:val="center"/>
          </w:tcPr>
          <w:p w14:paraId="66FC539A">
            <w:pPr>
              <w:jc w:val="center"/>
              <w:rPr>
                <w:rFonts w:cs="宋体"/>
                <w:color w:val="auto"/>
                <w:sz w:val="24"/>
                <w:szCs w:val="32"/>
                <w:highlight w:val="none"/>
              </w:rPr>
            </w:pPr>
            <w:r>
              <w:rPr>
                <w:rFonts w:hint="eastAsia" w:cs="宋体"/>
                <w:color w:val="auto"/>
                <w:sz w:val="24"/>
                <w:szCs w:val="32"/>
                <w:highlight w:val="none"/>
              </w:rPr>
              <w:t>40</w:t>
            </w:r>
          </w:p>
        </w:tc>
        <w:tc>
          <w:tcPr>
            <w:tcW w:w="7088" w:type="dxa"/>
            <w:gridSpan w:val="3"/>
            <w:noWrap w:val="0"/>
            <w:vAlign w:val="center"/>
          </w:tcPr>
          <w:p w14:paraId="55206E9F">
            <w:pPr>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1、根据供应商提供的项目预算审核方案进行评分，内容至少包括：①预算审核方案的工作</w:t>
            </w:r>
            <w:r>
              <w:rPr>
                <w:rFonts w:ascii="宋体" w:hAnsi="宋体"/>
                <w:color w:val="auto"/>
                <w:kern w:val="0"/>
                <w:sz w:val="24"/>
                <w:szCs w:val="24"/>
                <w:highlight w:val="none"/>
              </w:rPr>
              <w:t>程序与方法</w:t>
            </w:r>
            <w:r>
              <w:rPr>
                <w:rFonts w:hint="eastAsia" w:ascii="宋体" w:hAnsi="宋体"/>
                <w:color w:val="auto"/>
                <w:kern w:val="0"/>
                <w:sz w:val="24"/>
                <w:szCs w:val="24"/>
                <w:highlight w:val="none"/>
              </w:rPr>
              <w:t>；②预算审核方案的工作思路；③预算审核方案</w:t>
            </w:r>
            <w:r>
              <w:rPr>
                <w:rFonts w:hint="eastAsia" w:ascii="宋体" w:hAnsi="宋体"/>
                <w:color w:val="auto"/>
                <w:kern w:val="0"/>
                <w:sz w:val="24"/>
                <w:szCs w:val="24"/>
                <w:highlight w:val="none"/>
                <w:u w:val="single"/>
              </w:rPr>
              <w:t>的重点、难点</w:t>
            </w:r>
            <w:r>
              <w:rPr>
                <w:rFonts w:hint="eastAsia" w:ascii="宋体" w:hAnsi="宋体"/>
                <w:color w:val="auto"/>
                <w:kern w:val="0"/>
                <w:sz w:val="24"/>
                <w:szCs w:val="24"/>
                <w:highlight w:val="none"/>
              </w:rPr>
              <w:t>。</w:t>
            </w:r>
          </w:p>
          <w:p w14:paraId="19F55B59">
            <w:pPr>
              <w:jc w:val="left"/>
              <w:rPr>
                <w:rFonts w:ascii="宋体" w:hAnsi="宋体"/>
                <w:color w:val="auto"/>
                <w:kern w:val="0"/>
                <w:sz w:val="24"/>
                <w:szCs w:val="24"/>
                <w:highlight w:val="none"/>
              </w:rPr>
            </w:pPr>
            <w:r>
              <w:rPr>
                <w:rFonts w:hint="eastAsia" w:ascii="宋体" w:hAnsi="宋体"/>
                <w:color w:val="auto"/>
                <w:kern w:val="0"/>
                <w:sz w:val="24"/>
                <w:szCs w:val="24"/>
                <w:highlight w:val="none"/>
              </w:rPr>
              <w:t>未提供或未完整提供①②③项方案的不得分；</w:t>
            </w:r>
          </w:p>
          <w:p w14:paraId="7905248F">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按上述①②③项要求提供方案且阐述一般的，得3分，</w:t>
            </w:r>
          </w:p>
          <w:p w14:paraId="17A80A30">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按上述①②③项要求提供方案且比较全面、清晰、合理的，得6分，</w:t>
            </w:r>
          </w:p>
          <w:p w14:paraId="2B2C983E">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按上述①②③项要求提供方案且全面、清晰、合理的，得8分。</w:t>
            </w:r>
          </w:p>
        </w:tc>
      </w:tr>
      <w:tr w14:paraId="3BEA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noWrap w:val="0"/>
            <w:vAlign w:val="center"/>
          </w:tcPr>
          <w:p w14:paraId="64312515">
            <w:pPr>
              <w:jc w:val="center"/>
              <w:rPr>
                <w:rFonts w:cs="宋体"/>
                <w:color w:val="auto"/>
                <w:sz w:val="24"/>
                <w:szCs w:val="32"/>
                <w:highlight w:val="none"/>
              </w:rPr>
            </w:pPr>
          </w:p>
        </w:tc>
        <w:tc>
          <w:tcPr>
            <w:tcW w:w="950" w:type="dxa"/>
            <w:vMerge w:val="continue"/>
            <w:noWrap w:val="0"/>
            <w:vAlign w:val="center"/>
          </w:tcPr>
          <w:p w14:paraId="39062F47">
            <w:pPr>
              <w:jc w:val="center"/>
              <w:rPr>
                <w:rFonts w:cs="宋体"/>
                <w:color w:val="auto"/>
                <w:sz w:val="24"/>
                <w:szCs w:val="32"/>
                <w:highlight w:val="none"/>
              </w:rPr>
            </w:pPr>
          </w:p>
        </w:tc>
        <w:tc>
          <w:tcPr>
            <w:tcW w:w="7088" w:type="dxa"/>
            <w:gridSpan w:val="3"/>
            <w:noWrap w:val="0"/>
            <w:vAlign w:val="center"/>
          </w:tcPr>
          <w:p w14:paraId="62A78778">
            <w:pPr>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2、根据供应商提供的现场跟踪审核方案进行评分，内容至少包括：①现场跟踪审核方案的工作</w:t>
            </w:r>
            <w:r>
              <w:rPr>
                <w:rFonts w:ascii="宋体" w:hAnsi="宋体"/>
                <w:color w:val="auto"/>
                <w:kern w:val="0"/>
                <w:sz w:val="24"/>
                <w:szCs w:val="24"/>
                <w:highlight w:val="none"/>
              </w:rPr>
              <w:t>程序与方法</w:t>
            </w:r>
            <w:r>
              <w:rPr>
                <w:rFonts w:hint="eastAsia" w:ascii="宋体" w:hAnsi="宋体"/>
                <w:color w:val="auto"/>
                <w:kern w:val="0"/>
                <w:sz w:val="24"/>
                <w:szCs w:val="24"/>
                <w:highlight w:val="none"/>
              </w:rPr>
              <w:t>；②现场跟踪审核方案的工作思路；③现场跟踪审核方案的</w:t>
            </w:r>
            <w:r>
              <w:rPr>
                <w:rFonts w:hint="eastAsia" w:ascii="宋体" w:hAnsi="宋体"/>
                <w:color w:val="auto"/>
                <w:kern w:val="0"/>
                <w:sz w:val="24"/>
                <w:szCs w:val="24"/>
                <w:highlight w:val="none"/>
                <w:u w:val="single"/>
              </w:rPr>
              <w:t>重点、难点</w:t>
            </w:r>
            <w:r>
              <w:rPr>
                <w:rFonts w:hint="eastAsia" w:ascii="宋体" w:hAnsi="宋体"/>
                <w:color w:val="auto"/>
                <w:kern w:val="0"/>
                <w:sz w:val="24"/>
                <w:szCs w:val="24"/>
                <w:highlight w:val="none"/>
              </w:rPr>
              <w:t>。</w:t>
            </w:r>
          </w:p>
          <w:p w14:paraId="15DEED5D">
            <w:pPr>
              <w:jc w:val="left"/>
              <w:rPr>
                <w:rFonts w:ascii="宋体" w:hAnsi="宋体"/>
                <w:color w:val="auto"/>
                <w:kern w:val="0"/>
                <w:sz w:val="24"/>
                <w:szCs w:val="24"/>
                <w:highlight w:val="none"/>
              </w:rPr>
            </w:pPr>
            <w:r>
              <w:rPr>
                <w:rFonts w:hint="eastAsia" w:ascii="宋体" w:hAnsi="宋体"/>
                <w:color w:val="auto"/>
                <w:kern w:val="0"/>
                <w:sz w:val="24"/>
                <w:szCs w:val="24"/>
                <w:highlight w:val="none"/>
              </w:rPr>
              <w:t>未提供或未完整提供①②③项方案的不得分；</w:t>
            </w:r>
          </w:p>
          <w:p w14:paraId="4343FC57">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按上述①②③项要求提供方案且阐述一般的，得3分，</w:t>
            </w:r>
          </w:p>
          <w:p w14:paraId="54155B80">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按上述①②③项要求提供方案且比较全面、清晰、合理的，得6分，</w:t>
            </w:r>
          </w:p>
          <w:p w14:paraId="7D3645CE">
            <w:pPr>
              <w:pStyle w:val="17"/>
              <w:ind w:left="0" w:leftChars="0" w:firstLine="0" w:firstLineChars="0"/>
              <w:rPr>
                <w:color w:val="auto"/>
                <w:sz w:val="24"/>
                <w:szCs w:val="32"/>
                <w:highlight w:val="none"/>
              </w:rPr>
            </w:pPr>
            <w:r>
              <w:rPr>
                <w:rFonts w:hint="eastAsia" w:ascii="宋体" w:hAnsi="宋体"/>
                <w:color w:val="auto"/>
                <w:sz w:val="24"/>
                <w:szCs w:val="24"/>
                <w:highlight w:val="none"/>
              </w:rPr>
              <w:t>按上述①②③项要求提供方案且全面、清晰、合理的，得8分。</w:t>
            </w:r>
          </w:p>
        </w:tc>
      </w:tr>
      <w:tr w14:paraId="5C22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noWrap w:val="0"/>
            <w:vAlign w:val="center"/>
          </w:tcPr>
          <w:p w14:paraId="7145AB9B">
            <w:pPr>
              <w:jc w:val="center"/>
              <w:rPr>
                <w:rFonts w:cs="宋体"/>
                <w:color w:val="auto"/>
                <w:sz w:val="24"/>
                <w:szCs w:val="32"/>
                <w:highlight w:val="none"/>
              </w:rPr>
            </w:pPr>
          </w:p>
        </w:tc>
        <w:tc>
          <w:tcPr>
            <w:tcW w:w="950" w:type="dxa"/>
            <w:vMerge w:val="continue"/>
            <w:noWrap w:val="0"/>
            <w:vAlign w:val="center"/>
          </w:tcPr>
          <w:p w14:paraId="4B2D2E4B">
            <w:pPr>
              <w:jc w:val="center"/>
              <w:rPr>
                <w:rFonts w:cs="宋体"/>
                <w:color w:val="auto"/>
                <w:sz w:val="24"/>
                <w:szCs w:val="32"/>
                <w:highlight w:val="none"/>
              </w:rPr>
            </w:pPr>
          </w:p>
        </w:tc>
        <w:tc>
          <w:tcPr>
            <w:tcW w:w="7088" w:type="dxa"/>
            <w:gridSpan w:val="3"/>
            <w:noWrap w:val="0"/>
            <w:vAlign w:val="center"/>
          </w:tcPr>
          <w:p w14:paraId="2EAC199F">
            <w:pPr>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3、根据供应商提供的工程竣</w:t>
            </w:r>
            <w:r>
              <w:rPr>
                <w:rFonts w:ascii="宋体" w:hAnsi="宋体"/>
                <w:color w:val="auto"/>
                <w:kern w:val="0"/>
                <w:sz w:val="24"/>
                <w:szCs w:val="24"/>
                <w:highlight w:val="none"/>
              </w:rPr>
              <w:t>(</w:t>
            </w:r>
            <w:r>
              <w:rPr>
                <w:rFonts w:hint="eastAsia" w:ascii="宋体" w:hAnsi="宋体"/>
                <w:color w:val="auto"/>
                <w:kern w:val="0"/>
                <w:sz w:val="24"/>
                <w:szCs w:val="24"/>
                <w:highlight w:val="none"/>
              </w:rPr>
              <w:t>交</w:t>
            </w:r>
            <w:r>
              <w:rPr>
                <w:rFonts w:ascii="宋体" w:hAnsi="宋体"/>
                <w:color w:val="auto"/>
                <w:kern w:val="0"/>
                <w:sz w:val="24"/>
                <w:szCs w:val="24"/>
                <w:highlight w:val="none"/>
              </w:rPr>
              <w:t>)</w:t>
            </w:r>
            <w:r>
              <w:rPr>
                <w:rFonts w:hint="eastAsia" w:ascii="宋体" w:hAnsi="宋体"/>
                <w:color w:val="auto"/>
                <w:kern w:val="0"/>
                <w:sz w:val="24"/>
                <w:szCs w:val="24"/>
                <w:highlight w:val="none"/>
              </w:rPr>
              <w:t>工结算审计方案进行评分，内容至少包括：</w:t>
            </w:r>
          </w:p>
          <w:p w14:paraId="5E2A799B">
            <w:pPr>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①工程竣</w:t>
            </w:r>
            <w:r>
              <w:rPr>
                <w:rFonts w:ascii="宋体" w:hAnsi="宋体"/>
                <w:color w:val="auto"/>
                <w:kern w:val="0"/>
                <w:sz w:val="24"/>
                <w:szCs w:val="24"/>
                <w:highlight w:val="none"/>
              </w:rPr>
              <w:t>(</w:t>
            </w:r>
            <w:r>
              <w:rPr>
                <w:rFonts w:hint="eastAsia" w:ascii="宋体" w:hAnsi="宋体"/>
                <w:color w:val="auto"/>
                <w:kern w:val="0"/>
                <w:sz w:val="24"/>
                <w:szCs w:val="24"/>
                <w:highlight w:val="none"/>
              </w:rPr>
              <w:t>交</w:t>
            </w:r>
            <w:r>
              <w:rPr>
                <w:rFonts w:ascii="宋体" w:hAnsi="宋体"/>
                <w:color w:val="auto"/>
                <w:kern w:val="0"/>
                <w:sz w:val="24"/>
                <w:szCs w:val="24"/>
                <w:highlight w:val="none"/>
              </w:rPr>
              <w:t>)</w:t>
            </w:r>
            <w:r>
              <w:rPr>
                <w:rFonts w:hint="eastAsia" w:ascii="宋体" w:hAnsi="宋体"/>
                <w:color w:val="auto"/>
                <w:kern w:val="0"/>
                <w:sz w:val="24"/>
                <w:szCs w:val="24"/>
                <w:highlight w:val="none"/>
              </w:rPr>
              <w:t>工结算审计方案的工作</w:t>
            </w:r>
            <w:r>
              <w:rPr>
                <w:rFonts w:ascii="宋体" w:hAnsi="宋体"/>
                <w:color w:val="auto"/>
                <w:kern w:val="0"/>
                <w:sz w:val="24"/>
                <w:szCs w:val="24"/>
                <w:highlight w:val="none"/>
              </w:rPr>
              <w:t>程序与方法</w:t>
            </w:r>
            <w:r>
              <w:rPr>
                <w:rFonts w:hint="eastAsia" w:ascii="宋体" w:hAnsi="宋体"/>
                <w:color w:val="auto"/>
                <w:kern w:val="0"/>
                <w:sz w:val="24"/>
                <w:szCs w:val="24"/>
                <w:highlight w:val="none"/>
              </w:rPr>
              <w:t>；②工程竣</w:t>
            </w:r>
            <w:r>
              <w:rPr>
                <w:rFonts w:ascii="宋体" w:hAnsi="宋体"/>
                <w:color w:val="auto"/>
                <w:kern w:val="0"/>
                <w:sz w:val="24"/>
                <w:szCs w:val="24"/>
                <w:highlight w:val="none"/>
              </w:rPr>
              <w:t>(</w:t>
            </w:r>
            <w:r>
              <w:rPr>
                <w:rFonts w:hint="eastAsia" w:ascii="宋体" w:hAnsi="宋体"/>
                <w:color w:val="auto"/>
                <w:kern w:val="0"/>
                <w:sz w:val="24"/>
                <w:szCs w:val="24"/>
                <w:highlight w:val="none"/>
              </w:rPr>
              <w:t>交</w:t>
            </w:r>
            <w:r>
              <w:rPr>
                <w:rFonts w:ascii="宋体" w:hAnsi="宋体"/>
                <w:color w:val="auto"/>
                <w:kern w:val="0"/>
                <w:sz w:val="24"/>
                <w:szCs w:val="24"/>
                <w:highlight w:val="none"/>
              </w:rPr>
              <w:t>)</w:t>
            </w:r>
            <w:r>
              <w:rPr>
                <w:rFonts w:hint="eastAsia" w:ascii="宋体" w:hAnsi="宋体"/>
                <w:color w:val="auto"/>
                <w:kern w:val="0"/>
                <w:sz w:val="24"/>
                <w:szCs w:val="24"/>
                <w:highlight w:val="none"/>
              </w:rPr>
              <w:t>工结算审计方案的工作思路；③工程竣</w:t>
            </w:r>
            <w:r>
              <w:rPr>
                <w:rFonts w:ascii="宋体" w:hAnsi="宋体"/>
                <w:color w:val="auto"/>
                <w:kern w:val="0"/>
                <w:sz w:val="24"/>
                <w:szCs w:val="24"/>
                <w:highlight w:val="none"/>
              </w:rPr>
              <w:t>(</w:t>
            </w:r>
            <w:r>
              <w:rPr>
                <w:rFonts w:hint="eastAsia" w:ascii="宋体" w:hAnsi="宋体"/>
                <w:color w:val="auto"/>
                <w:kern w:val="0"/>
                <w:sz w:val="24"/>
                <w:szCs w:val="24"/>
                <w:highlight w:val="none"/>
              </w:rPr>
              <w:t>交</w:t>
            </w:r>
            <w:r>
              <w:rPr>
                <w:rFonts w:ascii="宋体" w:hAnsi="宋体"/>
                <w:color w:val="auto"/>
                <w:kern w:val="0"/>
                <w:sz w:val="24"/>
                <w:szCs w:val="24"/>
                <w:highlight w:val="none"/>
              </w:rPr>
              <w:t>)</w:t>
            </w:r>
            <w:r>
              <w:rPr>
                <w:rFonts w:hint="eastAsia" w:ascii="宋体" w:hAnsi="宋体"/>
                <w:color w:val="auto"/>
                <w:kern w:val="0"/>
                <w:sz w:val="24"/>
                <w:szCs w:val="24"/>
                <w:highlight w:val="none"/>
              </w:rPr>
              <w:t>工结算审计方案</w:t>
            </w:r>
            <w:r>
              <w:rPr>
                <w:rFonts w:hint="eastAsia" w:ascii="宋体" w:hAnsi="宋体"/>
                <w:color w:val="auto"/>
                <w:kern w:val="0"/>
                <w:sz w:val="24"/>
                <w:szCs w:val="24"/>
                <w:highlight w:val="none"/>
                <w:u w:val="single"/>
              </w:rPr>
              <w:t>的重点、难点</w:t>
            </w:r>
            <w:r>
              <w:rPr>
                <w:rFonts w:hint="eastAsia" w:ascii="宋体" w:hAnsi="宋体"/>
                <w:color w:val="auto"/>
                <w:kern w:val="0"/>
                <w:sz w:val="24"/>
                <w:szCs w:val="24"/>
                <w:highlight w:val="none"/>
              </w:rPr>
              <w:t>。</w:t>
            </w:r>
          </w:p>
          <w:p w14:paraId="5F87C6FB">
            <w:pPr>
              <w:jc w:val="left"/>
              <w:rPr>
                <w:rFonts w:ascii="宋体" w:hAnsi="宋体"/>
                <w:color w:val="auto"/>
                <w:kern w:val="0"/>
                <w:sz w:val="24"/>
                <w:szCs w:val="24"/>
                <w:highlight w:val="none"/>
              </w:rPr>
            </w:pPr>
            <w:r>
              <w:rPr>
                <w:rFonts w:hint="eastAsia" w:ascii="宋体" w:hAnsi="宋体"/>
                <w:color w:val="auto"/>
                <w:kern w:val="0"/>
                <w:sz w:val="24"/>
                <w:szCs w:val="24"/>
                <w:highlight w:val="none"/>
              </w:rPr>
              <w:t>未提供或未完整提供①②③项方案的不得分；</w:t>
            </w:r>
          </w:p>
          <w:p w14:paraId="5E783574">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按上述①②③项要求提供方案且阐述一般的，得3分，</w:t>
            </w:r>
          </w:p>
          <w:p w14:paraId="2995A7AF">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按上述①②③项要求提供方案且比较全面、清晰、合理的，得6分，</w:t>
            </w:r>
          </w:p>
          <w:p w14:paraId="00B73879">
            <w:pPr>
              <w:pStyle w:val="17"/>
              <w:ind w:left="0" w:leftChars="0" w:firstLine="0" w:firstLineChars="0"/>
              <w:rPr>
                <w:color w:val="auto"/>
                <w:sz w:val="24"/>
                <w:szCs w:val="32"/>
                <w:highlight w:val="none"/>
              </w:rPr>
            </w:pPr>
            <w:r>
              <w:rPr>
                <w:rFonts w:hint="eastAsia" w:ascii="宋体" w:hAnsi="宋体"/>
                <w:color w:val="auto"/>
                <w:sz w:val="24"/>
                <w:szCs w:val="24"/>
                <w:highlight w:val="none"/>
              </w:rPr>
              <w:t>按上述①②③项要求提供方案且全面、清晰、合理的，得8分。</w:t>
            </w:r>
          </w:p>
        </w:tc>
      </w:tr>
      <w:tr w14:paraId="71D9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noWrap w:val="0"/>
            <w:vAlign w:val="center"/>
          </w:tcPr>
          <w:p w14:paraId="3A93C984">
            <w:pPr>
              <w:jc w:val="center"/>
              <w:rPr>
                <w:rFonts w:cs="宋体"/>
                <w:color w:val="auto"/>
                <w:sz w:val="24"/>
                <w:szCs w:val="32"/>
                <w:highlight w:val="none"/>
              </w:rPr>
            </w:pPr>
          </w:p>
        </w:tc>
        <w:tc>
          <w:tcPr>
            <w:tcW w:w="950" w:type="dxa"/>
            <w:vMerge w:val="continue"/>
            <w:noWrap w:val="0"/>
            <w:vAlign w:val="center"/>
          </w:tcPr>
          <w:p w14:paraId="381FD73D">
            <w:pPr>
              <w:jc w:val="center"/>
              <w:rPr>
                <w:rFonts w:cs="宋体"/>
                <w:color w:val="auto"/>
                <w:sz w:val="24"/>
                <w:szCs w:val="32"/>
                <w:highlight w:val="none"/>
              </w:rPr>
            </w:pPr>
          </w:p>
        </w:tc>
        <w:tc>
          <w:tcPr>
            <w:tcW w:w="7088" w:type="dxa"/>
            <w:gridSpan w:val="3"/>
            <w:noWrap w:val="0"/>
            <w:vAlign w:val="center"/>
          </w:tcPr>
          <w:p w14:paraId="5BB949E8">
            <w:pPr>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4、根据供应商提供的项目决算审核及其他审核方案进行评分，内容至少包括：</w:t>
            </w:r>
          </w:p>
          <w:p w14:paraId="275F8A0D">
            <w:pPr>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①项目决算审核及其他审核方案的工作</w:t>
            </w:r>
            <w:r>
              <w:rPr>
                <w:rFonts w:ascii="宋体" w:hAnsi="宋体"/>
                <w:color w:val="auto"/>
                <w:kern w:val="0"/>
                <w:sz w:val="24"/>
                <w:szCs w:val="24"/>
                <w:highlight w:val="none"/>
              </w:rPr>
              <w:t>程序与方法</w:t>
            </w:r>
            <w:r>
              <w:rPr>
                <w:rFonts w:hint="eastAsia" w:ascii="宋体" w:hAnsi="宋体"/>
                <w:color w:val="auto"/>
                <w:kern w:val="0"/>
                <w:sz w:val="24"/>
                <w:szCs w:val="24"/>
                <w:highlight w:val="none"/>
              </w:rPr>
              <w:t>；②项目决算审核及其他审核方案的工作思路；③项目决算审核及其他审核方案的</w:t>
            </w:r>
            <w:r>
              <w:rPr>
                <w:rFonts w:hint="eastAsia" w:ascii="宋体" w:hAnsi="宋体"/>
                <w:color w:val="auto"/>
                <w:kern w:val="0"/>
                <w:sz w:val="24"/>
                <w:szCs w:val="24"/>
                <w:highlight w:val="none"/>
                <w:u w:val="single"/>
              </w:rPr>
              <w:t>重点、难点</w:t>
            </w:r>
            <w:r>
              <w:rPr>
                <w:rFonts w:hint="eastAsia" w:ascii="宋体" w:hAnsi="宋体"/>
                <w:color w:val="auto"/>
                <w:kern w:val="0"/>
                <w:sz w:val="24"/>
                <w:szCs w:val="24"/>
                <w:highlight w:val="none"/>
              </w:rPr>
              <w:t>。</w:t>
            </w:r>
          </w:p>
          <w:p w14:paraId="45852174">
            <w:pPr>
              <w:jc w:val="left"/>
              <w:rPr>
                <w:rFonts w:ascii="宋体" w:hAnsi="宋体"/>
                <w:color w:val="auto"/>
                <w:kern w:val="0"/>
                <w:sz w:val="24"/>
                <w:szCs w:val="24"/>
                <w:highlight w:val="none"/>
              </w:rPr>
            </w:pPr>
            <w:r>
              <w:rPr>
                <w:rFonts w:hint="eastAsia" w:ascii="宋体" w:hAnsi="宋体"/>
                <w:color w:val="auto"/>
                <w:kern w:val="0"/>
                <w:sz w:val="24"/>
                <w:szCs w:val="24"/>
                <w:highlight w:val="none"/>
              </w:rPr>
              <w:t>未提供或未完整提供①②③项方案的不得分；</w:t>
            </w:r>
          </w:p>
          <w:p w14:paraId="044D981C">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按上述①②③项要求提供方案且阐述一般的，得1分，</w:t>
            </w:r>
          </w:p>
          <w:p w14:paraId="62F609E6">
            <w:pPr>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按上述①②③项要求提供方案且比较全面、清晰、合理的，得2分，</w:t>
            </w:r>
          </w:p>
          <w:p w14:paraId="1A857B88">
            <w:pPr>
              <w:pStyle w:val="17"/>
              <w:ind w:left="0" w:leftChars="0" w:firstLine="0" w:firstLineChars="0"/>
              <w:rPr>
                <w:color w:val="auto"/>
                <w:sz w:val="24"/>
                <w:szCs w:val="32"/>
                <w:highlight w:val="none"/>
              </w:rPr>
            </w:pPr>
            <w:r>
              <w:rPr>
                <w:rFonts w:hint="eastAsia" w:ascii="宋体" w:hAnsi="宋体"/>
                <w:color w:val="auto"/>
                <w:sz w:val="24"/>
                <w:szCs w:val="24"/>
                <w:highlight w:val="none"/>
              </w:rPr>
              <w:t>按上述①②③项要求提供方案且全面、清晰、合理的，得4分。</w:t>
            </w:r>
          </w:p>
        </w:tc>
      </w:tr>
      <w:tr w14:paraId="5D21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noWrap w:val="0"/>
            <w:vAlign w:val="center"/>
          </w:tcPr>
          <w:p w14:paraId="46017A1D">
            <w:pPr>
              <w:jc w:val="center"/>
              <w:rPr>
                <w:rFonts w:cs="宋体"/>
                <w:color w:val="auto"/>
                <w:sz w:val="24"/>
                <w:szCs w:val="32"/>
                <w:highlight w:val="none"/>
              </w:rPr>
            </w:pPr>
          </w:p>
        </w:tc>
        <w:tc>
          <w:tcPr>
            <w:tcW w:w="950" w:type="dxa"/>
            <w:vMerge w:val="continue"/>
            <w:noWrap w:val="0"/>
            <w:vAlign w:val="center"/>
          </w:tcPr>
          <w:p w14:paraId="358599A6">
            <w:pPr>
              <w:jc w:val="center"/>
              <w:rPr>
                <w:rFonts w:cs="宋体"/>
                <w:color w:val="auto"/>
                <w:sz w:val="24"/>
                <w:szCs w:val="32"/>
                <w:highlight w:val="none"/>
              </w:rPr>
            </w:pPr>
          </w:p>
        </w:tc>
        <w:tc>
          <w:tcPr>
            <w:tcW w:w="7088" w:type="dxa"/>
            <w:gridSpan w:val="3"/>
            <w:noWrap w:val="0"/>
            <w:vAlign w:val="center"/>
          </w:tcPr>
          <w:p w14:paraId="7996E427">
            <w:pPr>
              <w:widowControl/>
              <w:snapToGrid w:val="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5、根据供应商提供的其他措施及承诺进行评分，内容至少包括：</w:t>
            </w:r>
          </w:p>
          <w:p w14:paraId="3905C0CE">
            <w:pPr>
              <w:widowControl/>
              <w:snapToGrid w:val="0"/>
              <w:jc w:val="left"/>
              <w:rPr>
                <w:color w:val="auto"/>
                <w:sz w:val="24"/>
                <w:szCs w:val="32"/>
                <w:highlight w:val="none"/>
              </w:rPr>
            </w:pPr>
            <w:r>
              <w:rPr>
                <w:rFonts w:hint="eastAsia" w:ascii="宋体" w:hAnsi="宋体"/>
                <w:color w:val="auto"/>
                <w:kern w:val="0"/>
                <w:sz w:val="24"/>
                <w:szCs w:val="24"/>
                <w:highlight w:val="none"/>
              </w:rPr>
              <w:t>①</w:t>
            </w:r>
            <w:r>
              <w:rPr>
                <w:rFonts w:ascii="宋体" w:hAnsi="宋体"/>
                <w:color w:val="auto"/>
                <w:kern w:val="0"/>
                <w:sz w:val="24"/>
                <w:szCs w:val="24"/>
                <w:highlight w:val="none"/>
              </w:rPr>
              <w:t>质量保证措施</w:t>
            </w:r>
            <w:r>
              <w:rPr>
                <w:rFonts w:hint="eastAsia" w:ascii="宋体" w:hAnsi="宋体"/>
                <w:color w:val="auto"/>
                <w:kern w:val="0"/>
                <w:sz w:val="24"/>
                <w:szCs w:val="24"/>
                <w:highlight w:val="none"/>
              </w:rPr>
              <w:t>；</w:t>
            </w:r>
          </w:p>
          <w:p w14:paraId="7267D80B">
            <w:pPr>
              <w:widowControl/>
              <w:snapToGrid w:val="0"/>
              <w:jc w:val="left"/>
              <w:rPr>
                <w:color w:val="auto"/>
                <w:sz w:val="24"/>
                <w:szCs w:val="32"/>
                <w:highlight w:val="none"/>
              </w:rPr>
            </w:pPr>
            <w:r>
              <w:rPr>
                <w:rFonts w:hint="eastAsia" w:ascii="宋体" w:hAnsi="宋体"/>
                <w:color w:val="auto"/>
                <w:kern w:val="0"/>
                <w:sz w:val="24"/>
                <w:szCs w:val="24"/>
                <w:highlight w:val="none"/>
              </w:rPr>
              <w:t>②</w:t>
            </w:r>
            <w:r>
              <w:rPr>
                <w:rFonts w:ascii="宋体" w:hAnsi="宋体"/>
                <w:color w:val="auto"/>
                <w:kern w:val="0"/>
                <w:sz w:val="24"/>
                <w:szCs w:val="24"/>
                <w:highlight w:val="none"/>
              </w:rPr>
              <w:t>进度保证措施</w:t>
            </w:r>
            <w:r>
              <w:rPr>
                <w:rFonts w:hint="eastAsia" w:ascii="宋体" w:hAnsi="宋体"/>
                <w:color w:val="auto"/>
                <w:kern w:val="0"/>
                <w:sz w:val="24"/>
                <w:szCs w:val="24"/>
                <w:highlight w:val="none"/>
              </w:rPr>
              <w:t>；</w:t>
            </w:r>
          </w:p>
          <w:p w14:paraId="054BE6A0">
            <w:pPr>
              <w:widowControl/>
              <w:snapToGrid w:val="0"/>
              <w:jc w:val="left"/>
              <w:rPr>
                <w:color w:val="auto"/>
                <w:sz w:val="24"/>
                <w:szCs w:val="32"/>
                <w:highlight w:val="none"/>
              </w:rPr>
            </w:pPr>
            <w:r>
              <w:rPr>
                <w:rFonts w:hint="eastAsia" w:ascii="宋体" w:hAnsi="宋体"/>
                <w:color w:val="auto"/>
                <w:kern w:val="0"/>
                <w:sz w:val="24"/>
                <w:szCs w:val="24"/>
                <w:highlight w:val="none"/>
              </w:rPr>
              <w:t>③</w:t>
            </w:r>
            <w:r>
              <w:rPr>
                <w:rFonts w:ascii="宋体" w:hAnsi="宋体"/>
                <w:color w:val="auto"/>
                <w:kern w:val="0"/>
                <w:sz w:val="24"/>
                <w:szCs w:val="24"/>
                <w:highlight w:val="none"/>
              </w:rPr>
              <w:t>保密措施</w:t>
            </w:r>
            <w:r>
              <w:rPr>
                <w:rFonts w:hint="eastAsia" w:ascii="宋体" w:hAnsi="宋体"/>
                <w:color w:val="auto"/>
                <w:kern w:val="0"/>
                <w:sz w:val="24"/>
                <w:szCs w:val="24"/>
                <w:highlight w:val="none"/>
              </w:rPr>
              <w:t>；</w:t>
            </w:r>
          </w:p>
          <w:p w14:paraId="2EF5CA72">
            <w:pPr>
              <w:widowControl/>
              <w:snapToGrid w:val="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④应急</w:t>
            </w:r>
            <w:r>
              <w:rPr>
                <w:rFonts w:ascii="宋体" w:hAnsi="宋体"/>
                <w:color w:val="auto"/>
                <w:kern w:val="0"/>
                <w:sz w:val="24"/>
                <w:szCs w:val="24"/>
                <w:highlight w:val="none"/>
              </w:rPr>
              <w:t>措施</w:t>
            </w:r>
            <w:r>
              <w:rPr>
                <w:rFonts w:hint="eastAsia" w:ascii="宋体" w:hAnsi="宋体"/>
                <w:color w:val="auto"/>
                <w:kern w:val="0"/>
                <w:sz w:val="24"/>
                <w:szCs w:val="24"/>
                <w:highlight w:val="none"/>
              </w:rPr>
              <w:t>；</w:t>
            </w:r>
          </w:p>
          <w:p w14:paraId="073ED091">
            <w:pPr>
              <w:widowControl/>
              <w:snapToGrid w:val="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⑤</w:t>
            </w:r>
            <w:r>
              <w:rPr>
                <w:rFonts w:ascii="宋体" w:hAnsi="宋体"/>
                <w:color w:val="auto"/>
                <w:sz w:val="24"/>
                <w:szCs w:val="24"/>
                <w:highlight w:val="none"/>
              </w:rPr>
              <w:t>服务的目标与承诺</w:t>
            </w:r>
            <w:r>
              <w:rPr>
                <w:rFonts w:hint="eastAsia" w:ascii="宋体" w:hAnsi="宋体"/>
                <w:color w:val="auto"/>
                <w:sz w:val="24"/>
                <w:szCs w:val="24"/>
                <w:highlight w:val="none"/>
              </w:rPr>
              <w:t>。</w:t>
            </w:r>
          </w:p>
          <w:p w14:paraId="143F7DE0">
            <w:pPr>
              <w:widowControl/>
              <w:snapToGrid w:val="0"/>
              <w:jc w:val="left"/>
              <w:rPr>
                <w:rFonts w:ascii="宋体" w:hAnsi="宋体"/>
                <w:color w:val="auto"/>
                <w:kern w:val="0"/>
                <w:sz w:val="24"/>
                <w:szCs w:val="24"/>
                <w:highlight w:val="none"/>
              </w:rPr>
            </w:pPr>
            <w:r>
              <w:rPr>
                <w:rFonts w:hint="eastAsia" w:ascii="宋体" w:hAnsi="宋体"/>
                <w:color w:val="auto"/>
                <w:kern w:val="0"/>
                <w:sz w:val="24"/>
                <w:szCs w:val="24"/>
                <w:highlight w:val="none"/>
              </w:rPr>
              <w:t>未提供或未完整提供①②③④⑤项方案的不得分；</w:t>
            </w:r>
          </w:p>
          <w:p w14:paraId="5EA68EFB">
            <w:pPr>
              <w:widowControl/>
              <w:snapToGrid w:val="0"/>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按上述①②③④⑤项要求提供方案且阐述一般的，得4分，</w:t>
            </w:r>
          </w:p>
          <w:p w14:paraId="57D90B19">
            <w:pPr>
              <w:widowControl/>
              <w:snapToGrid w:val="0"/>
              <w:jc w:val="left"/>
              <w:rPr>
                <w:rFonts w:ascii="宋体" w:hAnsi="宋体"/>
                <w:color w:val="auto"/>
                <w:kern w:val="0"/>
                <w:sz w:val="24"/>
                <w:szCs w:val="24"/>
                <w:highlight w:val="none"/>
              </w:rPr>
            </w:pPr>
            <w:r>
              <w:rPr>
                <w:rFonts w:hint="eastAsia" w:ascii="宋体" w:hAnsi="宋体"/>
                <w:color w:val="auto"/>
                <w:kern w:val="0"/>
                <w:sz w:val="24"/>
                <w:szCs w:val="24"/>
                <w:highlight w:val="none"/>
              </w:rPr>
              <w:t>按上述①②③④⑤项要求提供方案且比较全面、清晰、合理的，得8分，</w:t>
            </w:r>
          </w:p>
          <w:p w14:paraId="3FF8F2A2">
            <w:pPr>
              <w:widowControl/>
              <w:snapToGrid w:val="0"/>
              <w:jc w:val="left"/>
              <w:rPr>
                <w:color w:val="auto"/>
                <w:sz w:val="24"/>
                <w:szCs w:val="32"/>
                <w:highlight w:val="none"/>
              </w:rPr>
            </w:pPr>
            <w:r>
              <w:rPr>
                <w:rFonts w:hint="eastAsia" w:ascii="宋体" w:hAnsi="宋体"/>
                <w:color w:val="auto"/>
                <w:kern w:val="0"/>
                <w:sz w:val="24"/>
                <w:szCs w:val="24"/>
                <w:highlight w:val="none"/>
              </w:rPr>
              <w:t>按上述①②③④⑤项要求提供方案且全面、清晰、合理的，得12分。</w:t>
            </w:r>
          </w:p>
        </w:tc>
      </w:tr>
    </w:tbl>
    <w:p w14:paraId="321856CD">
      <w:pPr>
        <w:autoSpaceDE w:val="0"/>
        <w:autoSpaceDN w:val="0"/>
        <w:adjustRightInd w:val="0"/>
        <w:snapToGrid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价格评审</w:t>
      </w:r>
    </w:p>
    <w:p w14:paraId="0BDBF23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本项目采用统一收费标准（详见</w:t>
      </w:r>
      <w:r>
        <w:rPr>
          <w:rFonts w:hint="eastAsia" w:ascii="宋体" w:hAnsi="宋体"/>
          <w:bCs/>
          <w:color w:val="auto"/>
          <w:sz w:val="24"/>
          <w:highlight w:val="none"/>
          <w:lang w:val="en-US" w:eastAsia="zh-CN"/>
        </w:rPr>
        <w:t>采购</w:t>
      </w:r>
      <w:r>
        <w:rPr>
          <w:rFonts w:hint="eastAsia" w:ascii="宋体" w:hAnsi="宋体"/>
          <w:bCs/>
          <w:color w:val="auto"/>
          <w:sz w:val="24"/>
          <w:highlight w:val="none"/>
        </w:rPr>
        <w:t>文件），无需供应商报价，但供应商须响应统一收费标准的价格并作承诺，否则作无效标处理。</w:t>
      </w:r>
    </w:p>
    <w:p w14:paraId="2972A7B4">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、变更为其他方式采购的情形</w:t>
      </w:r>
    </w:p>
    <w:p w14:paraId="2855ED90">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提交响应文件截止时间时参加磋商的供应商不足</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家的，及磋商中出现符合专业条件的供应商或对磋商文件作实质响应的供应商不足</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家，除采购任务取消外，采购人视情采取其他方式采购。</w:t>
      </w:r>
      <w:r>
        <w:rPr>
          <w:rFonts w:hint="eastAsia" w:ascii="宋体" w:hAnsi="宋体" w:cs="宋体"/>
          <w:color w:val="auto"/>
          <w:sz w:val="24"/>
          <w:highlight w:val="none"/>
          <w:lang w:val="zh-CN"/>
        </w:rPr>
        <w:t>磋商文件中对供应商资质、技术等要求，将作为</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方式采购的基本要求和依据。原已经参加磋商并符合要求的供应商，根据自愿原则，参加</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w:t>
      </w:r>
    </w:p>
    <w:p w14:paraId="53FD3614">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zh-CN"/>
        </w:rPr>
        <w:t>、出现下列情形之一的，竞争性磋商采购活动终止，重新开展采购活动：</w:t>
      </w:r>
    </w:p>
    <w:p w14:paraId="1D124BF5">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（一）因情况变化，不再符合规定的竞争性磋商采购方式适用情形的；</w:t>
      </w:r>
    </w:p>
    <w:p w14:paraId="6FE4A4DC">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（二）出现影响采购公正的违法、违规行为的；</w:t>
      </w:r>
    </w:p>
    <w:p w14:paraId="365E5CF1">
      <w:pPr>
        <w:pStyle w:val="30"/>
        <w:snapToGrid w:val="0"/>
        <w:spacing w:line="360" w:lineRule="auto"/>
        <w:ind w:firstLine="480" w:firstLineChars="200"/>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（三）在采购过程中符合要求的供应商或者报价未超过采购预算的供应商不足</w:t>
      </w:r>
      <w:r>
        <w:rPr>
          <w:rFonts w:hint="eastAsia" w:ascii="宋体" w:eastAsia="宋体" w:cs="宋体"/>
          <w:color w:val="auto"/>
          <w:sz w:val="24"/>
          <w:szCs w:val="24"/>
          <w:highlight w:val="none"/>
          <w:lang w:val="en-US" w:eastAsia="zh-CN"/>
        </w:rPr>
        <w:t>5</w:t>
      </w:r>
      <w:r>
        <w:rPr>
          <w:rFonts w:hint="eastAsia" w:ascii="宋体" w:eastAsia="宋体" w:cs="宋体"/>
          <w:color w:val="auto"/>
          <w:sz w:val="24"/>
          <w:szCs w:val="24"/>
          <w:highlight w:val="none"/>
        </w:rPr>
        <w:t>家的。</w:t>
      </w:r>
    </w:p>
    <w:p w14:paraId="062019EB">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lang w:val="zh-CN"/>
        </w:rPr>
        <w:t>若有充分证据证明，</w:t>
      </w:r>
      <w:r>
        <w:rPr>
          <w:rFonts w:hint="eastAsia" w:ascii="宋体" w:hAnsi="宋体" w:cs="宋体"/>
          <w:b/>
          <w:color w:val="auto"/>
          <w:sz w:val="24"/>
          <w:highlight w:val="none"/>
          <w:lang w:val="en-US" w:eastAsia="zh-CN"/>
        </w:rPr>
        <w:t>成交供应商</w:t>
      </w:r>
      <w:r>
        <w:rPr>
          <w:rFonts w:hint="eastAsia" w:ascii="宋体" w:hAnsi="宋体" w:cs="宋体"/>
          <w:b/>
          <w:color w:val="auto"/>
          <w:sz w:val="24"/>
          <w:highlight w:val="none"/>
          <w:lang w:val="zh-CN"/>
        </w:rPr>
        <w:t>出现下列情况之一的，一经查实，将被取消</w:t>
      </w:r>
      <w:r>
        <w:rPr>
          <w:rFonts w:hint="eastAsia" w:ascii="宋体" w:hAnsi="宋体" w:cs="宋体"/>
          <w:b/>
          <w:color w:val="auto"/>
          <w:sz w:val="24"/>
          <w:highlight w:val="none"/>
          <w:lang w:val="en-US" w:eastAsia="zh-CN"/>
        </w:rPr>
        <w:t>成交</w:t>
      </w:r>
      <w:r>
        <w:rPr>
          <w:rFonts w:hint="eastAsia" w:ascii="宋体" w:hAnsi="宋体" w:cs="宋体"/>
          <w:b/>
          <w:color w:val="auto"/>
          <w:sz w:val="24"/>
          <w:highlight w:val="none"/>
          <w:lang w:val="zh-CN"/>
        </w:rPr>
        <w:t>资格：</w:t>
      </w:r>
    </w:p>
    <w:p w14:paraId="482070C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p>
    <w:p w14:paraId="7959D23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向采购人、采购代理机构行贿或者提供其他不正当利益的。</w:t>
      </w:r>
    </w:p>
    <w:p w14:paraId="0C49D9E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属于本文件规定的无效条件，但在评标过程中又未被评委会发现的。</w:t>
      </w:r>
    </w:p>
    <w:p w14:paraId="08CCBA5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与采购人或者其他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恶意串通的。</w:t>
      </w:r>
    </w:p>
    <w:p w14:paraId="17C693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采取不正当手段诋毁、排挤其他</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p>
    <w:p w14:paraId="71CCB7E7">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lang w:val="zh-CN"/>
        </w:rPr>
        <w:t>有下列情形之一的，视为</w:t>
      </w:r>
      <w:r>
        <w:rPr>
          <w:rFonts w:hint="eastAsia" w:ascii="宋体" w:hAnsi="宋体" w:cs="宋体"/>
          <w:b/>
          <w:color w:val="auto"/>
          <w:sz w:val="24"/>
          <w:highlight w:val="none"/>
          <w:lang w:val="zh-CN" w:eastAsia="zh-CN"/>
        </w:rPr>
        <w:t>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zh-CN"/>
        </w:rPr>
        <w:t>串通投标，投标无效：</w:t>
      </w:r>
    </w:p>
    <w:p w14:paraId="497B24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文件由同一单位或者个人编制；</w:t>
      </w:r>
    </w:p>
    <w:p w14:paraId="79FF476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委托同一单位或者个人办理投标事宜；</w:t>
      </w:r>
    </w:p>
    <w:p w14:paraId="6FCDCF7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文件载明的项目管理成员或者联系人员为同一人；</w:t>
      </w:r>
    </w:p>
    <w:p w14:paraId="7041B92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文件异常一致或者投标报价呈规律性差异；</w:t>
      </w:r>
    </w:p>
    <w:p w14:paraId="44BC84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文件相互混装</w:t>
      </w:r>
      <w:r>
        <w:rPr>
          <w:rFonts w:hint="eastAsia" w:ascii="宋体" w:hAnsi="宋体" w:eastAsia="宋体" w:cs="宋体"/>
          <w:color w:val="auto"/>
          <w:sz w:val="24"/>
          <w:szCs w:val="24"/>
          <w:highlight w:val="none"/>
          <w:lang w:eastAsia="zh-CN"/>
        </w:rPr>
        <w:t>。</w:t>
      </w:r>
    </w:p>
    <w:p w14:paraId="7C1452C1">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val="zh-CN"/>
        </w:rPr>
        <w:t>、成交通知</w:t>
      </w:r>
    </w:p>
    <w:p w14:paraId="07CF8DB1">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color w:val="auto"/>
          <w:sz w:val="36"/>
          <w:szCs w:val="36"/>
          <w:highlight w:val="none"/>
        </w:rPr>
        <w:br w:type="page"/>
      </w:r>
    </w:p>
    <w:p w14:paraId="3E6E27C2">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合同签订与验收付款</w:t>
      </w:r>
    </w:p>
    <w:p w14:paraId="61B67045">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D654DA1">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val="zh-CN"/>
        </w:rPr>
        <w:t>签订合同后，</w:t>
      </w:r>
      <w:r>
        <w:rPr>
          <w:rFonts w:hint="eastAsia" w:ascii="宋体" w:hAnsi="宋体" w:cs="宋体"/>
          <w:color w:val="auto"/>
          <w:sz w:val="24"/>
          <w:highlight w:val="none"/>
          <w:lang w:val="en-US" w:eastAsia="zh-CN"/>
        </w:rPr>
        <w:t>成交供应商不</w:t>
      </w:r>
      <w:r>
        <w:rPr>
          <w:rFonts w:hint="eastAsia" w:ascii="宋体" w:hAnsi="宋体" w:cs="宋体"/>
          <w:color w:val="auto"/>
          <w:sz w:val="24"/>
          <w:highlight w:val="none"/>
          <w:lang w:val="zh-CN"/>
        </w:rPr>
        <w:t>得将合同标的进行转包。未经采购人同意，</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也不得采用分包的形式履行合同，否则采购人有权终止合同。采购合同分包履行的，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就采购项目和分包项目向采购人负责，分包供应商就分包项目承担责任。转包或分包造成采购人损失的，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应承担相应赔偿责任。</w:t>
      </w:r>
    </w:p>
    <w:p w14:paraId="2FD5B8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EAEA70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货物和服务的追加、减少和添购。</w:t>
      </w:r>
    </w:p>
    <w:p w14:paraId="5E9BDD1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.1采购合同履行中，采购人需追加与合同标的相同的货物和服务的，在不改变合同其他条款的前提下，可以与</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协商签订补充合同，但所有补充合同的采购金额不超过原合同金额10%。</w:t>
      </w:r>
    </w:p>
    <w:p w14:paraId="2663BA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p>
    <w:p w14:paraId="486E5E54">
      <w:pPr>
        <w:pStyle w:val="30"/>
        <w:numPr>
          <w:ilvl w:val="0"/>
          <w:numId w:val="1"/>
        </w:num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履约验收：</w:t>
      </w:r>
    </w:p>
    <w:p w14:paraId="6A4398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验收实施主体：南通市公路事业发展中心</w:t>
      </w:r>
      <w:r>
        <w:rPr>
          <w:rFonts w:hint="eastAsia" w:asciiTheme="minorEastAsia" w:hAnsiTheme="minorEastAsia" w:eastAsiaTheme="minorEastAsia"/>
          <w:color w:val="auto"/>
          <w:sz w:val="24"/>
          <w:szCs w:val="24"/>
          <w:highlight w:val="none"/>
          <w:lang w:val="en-US" w:eastAsia="zh-CN"/>
        </w:rPr>
        <w:t>财务审计科</w:t>
      </w:r>
      <w:r>
        <w:rPr>
          <w:rFonts w:hint="eastAsia" w:asciiTheme="minorEastAsia" w:hAnsiTheme="minorEastAsia" w:eastAsiaTheme="minorEastAsia"/>
          <w:color w:val="auto"/>
          <w:sz w:val="24"/>
          <w:szCs w:val="24"/>
          <w:highlight w:val="none"/>
        </w:rPr>
        <w:t>。</w:t>
      </w:r>
    </w:p>
    <w:p w14:paraId="5E0DB6A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验收时间：</w:t>
      </w:r>
      <w:r>
        <w:rPr>
          <w:rFonts w:hint="eastAsia" w:ascii="宋体" w:cs="宋体"/>
          <w:color w:val="auto"/>
          <w:sz w:val="24"/>
          <w:szCs w:val="24"/>
          <w:highlight w:val="none"/>
          <w:lang w:val="en-US" w:eastAsia="zh-CN"/>
        </w:rPr>
        <w:t>年度合同服务期满</w:t>
      </w:r>
      <w:r>
        <w:rPr>
          <w:rFonts w:hint="eastAsia" w:asciiTheme="minorEastAsia" w:hAnsiTheme="minorEastAsia" w:eastAsiaTheme="minorEastAsia"/>
          <w:color w:val="auto"/>
          <w:sz w:val="24"/>
          <w:szCs w:val="24"/>
          <w:highlight w:val="none"/>
        </w:rPr>
        <w:t>。</w:t>
      </w:r>
    </w:p>
    <w:p w14:paraId="36F5FB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验收方式：</w:t>
      </w:r>
      <w:r>
        <w:rPr>
          <w:rFonts w:hint="eastAsia" w:asciiTheme="minorEastAsia" w:hAnsiTheme="minorEastAsia" w:eastAsiaTheme="minorEastAsia"/>
          <w:color w:val="auto"/>
          <w:sz w:val="24"/>
          <w:szCs w:val="24"/>
          <w:highlight w:val="none"/>
          <w:lang w:val="en-US" w:eastAsia="zh-CN"/>
        </w:rPr>
        <w:t>书面</w:t>
      </w:r>
      <w:r>
        <w:rPr>
          <w:rFonts w:hint="eastAsia" w:asciiTheme="minorEastAsia" w:hAnsiTheme="minorEastAsia" w:eastAsiaTheme="minorEastAsia"/>
          <w:color w:val="auto"/>
          <w:sz w:val="24"/>
          <w:szCs w:val="24"/>
          <w:highlight w:val="none"/>
        </w:rPr>
        <w:t>审核。</w:t>
      </w:r>
    </w:p>
    <w:p w14:paraId="5B9AEDB2">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420" w:firstLineChars="0"/>
        <w:textAlignment w:val="baseline"/>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验收内容：</w:t>
      </w:r>
      <w:r>
        <w:rPr>
          <w:rFonts w:hint="eastAsia" w:asciiTheme="minorEastAsia" w:hAnsiTheme="minorEastAsia" w:eastAsiaTheme="minorEastAsia"/>
          <w:color w:val="auto"/>
          <w:sz w:val="24"/>
          <w:szCs w:val="24"/>
          <w:highlight w:val="none"/>
          <w:lang w:val="en-US" w:eastAsia="zh-CN"/>
        </w:rPr>
        <w:t>本合同约定的咨询业务范围及内容。</w:t>
      </w:r>
    </w:p>
    <w:p w14:paraId="52B855EC">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验收标准：</w:t>
      </w:r>
    </w:p>
    <w:p w14:paraId="491A4EFD">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及时完成服务内容；</w:t>
      </w:r>
    </w:p>
    <w:p w14:paraId="2250927B">
      <w:pPr>
        <w:widowControl/>
        <w:numPr>
          <w:ilvl w:val="0"/>
          <w:numId w:val="2"/>
        </w:numPr>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Theme="minorEastAsia" w:hAnsiTheme="minorEastAsia" w:eastAsiaTheme="minorEastAsia"/>
          <w:color w:val="auto"/>
          <w:sz w:val="24"/>
          <w:szCs w:val="24"/>
          <w:highlight w:val="none"/>
          <w:lang w:val="en-US" w:eastAsia="zh-CN"/>
        </w:rPr>
        <w:t>未发生合同约定的质量违约情况。</w:t>
      </w:r>
    </w:p>
    <w:p w14:paraId="5DFF2170">
      <w:pPr>
        <w:widowControl/>
        <w:numPr>
          <w:ilvl w:val="-1"/>
          <w:numId w:val="0"/>
        </w:numPr>
        <w:adjustRightInd w:val="0"/>
        <w:snapToGrid w:val="0"/>
        <w:spacing w:line="360" w:lineRule="auto"/>
        <w:ind w:firstLine="480" w:firstLineChars="200"/>
        <w:textAlignment w:val="baseline"/>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szCs w:val="24"/>
          <w:highlight w:val="none"/>
          <w:lang w:val="en-US" w:eastAsia="zh-CN"/>
        </w:rPr>
        <w:t>满足上述两点则认定通过验收。</w:t>
      </w:r>
    </w:p>
    <w:p w14:paraId="1C061F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、成交供应商出现违约情形，应当及时纠正或补偿；造成损失的，按合同约定追究违约责任；发现有假冒、伪劣、走私产品、商业贿赂等违法情形的，应由采购人移交工商、质监、公安等行政执法部门依法查处。</w:t>
      </w:r>
    </w:p>
    <w:p w14:paraId="24938967">
      <w:pPr>
        <w:pStyle w:val="3"/>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szCs w:val="24"/>
          <w:highlight w:val="none"/>
        </w:rPr>
        <w:t>合同条款内容</w:t>
      </w:r>
    </w:p>
    <w:p w14:paraId="05F4296E">
      <w:pPr>
        <w:pStyle w:val="3"/>
        <w:kinsoku w:val="0"/>
        <w:topLinePunct/>
        <w:autoSpaceDE w:val="0"/>
        <w:autoSpaceDN w:val="0"/>
        <w:snapToGrid w:val="0"/>
        <w:spacing w:line="360" w:lineRule="auto"/>
        <w:ind w:firstLine="0"/>
        <w:contextualSpacing/>
        <w:rPr>
          <w:rFonts w:ascii="宋体" w:hAnsi="宋体" w:cs="宋体"/>
          <w:color w:val="auto"/>
          <w:sz w:val="24"/>
          <w:highlight w:val="none"/>
        </w:rPr>
      </w:pPr>
      <w:r>
        <w:rPr>
          <w:rFonts w:hint="eastAsia" w:ascii="宋体" w:hAnsi="宋体" w:cs="宋体"/>
          <w:color w:val="auto"/>
          <w:sz w:val="24"/>
          <w:szCs w:val="24"/>
          <w:highlight w:val="none"/>
        </w:rPr>
        <w:br w:type="page"/>
      </w:r>
    </w:p>
    <w:p w14:paraId="2AFF8F7F">
      <w:pPr>
        <w:spacing w:line="360" w:lineRule="auto"/>
        <w:ind w:firstLine="0"/>
        <w:jc w:val="center"/>
        <w:outlineLvl w:val="0"/>
        <w:rPr>
          <w:rFonts w:hint="eastAsia" w:ascii="宋体" w:hAnsi="宋体" w:cs="宋体"/>
          <w:b/>
          <w:color w:val="auto"/>
          <w:sz w:val="30"/>
          <w:szCs w:val="21"/>
          <w:highlight w:val="none"/>
          <w:lang w:eastAsia="zh-CN"/>
        </w:rPr>
      </w:pPr>
      <w:r>
        <w:rPr>
          <w:rFonts w:hint="eastAsia" w:ascii="宋体" w:hAnsi="宋体" w:cs="宋体"/>
          <w:b/>
          <w:color w:val="auto"/>
          <w:sz w:val="30"/>
          <w:szCs w:val="21"/>
          <w:highlight w:val="none"/>
          <w:lang w:eastAsia="zh-CN"/>
        </w:rPr>
        <w:t>2026-2027年南通市公路事业发展中心项目造价咨询服务项目</w:t>
      </w:r>
    </w:p>
    <w:p w14:paraId="4879EE1F">
      <w:pPr>
        <w:spacing w:line="360" w:lineRule="auto"/>
        <w:ind w:firstLine="0"/>
        <w:jc w:val="center"/>
        <w:outlineLvl w:val="0"/>
        <w:rPr>
          <w:rFonts w:ascii="宋体" w:hAnsi="宋体" w:cs="宋体"/>
          <w:b/>
          <w:bCs/>
          <w:color w:val="auto"/>
          <w:sz w:val="30"/>
          <w:szCs w:val="20"/>
          <w:highlight w:val="none"/>
        </w:rPr>
      </w:pPr>
      <w:r>
        <w:rPr>
          <w:rFonts w:hint="eastAsia" w:ascii="宋体" w:hAnsi="宋体" w:cs="宋体"/>
          <w:b/>
          <w:color w:val="auto"/>
          <w:sz w:val="30"/>
          <w:szCs w:val="21"/>
          <w:highlight w:val="none"/>
        </w:rPr>
        <w:t>合同协议书</w:t>
      </w:r>
    </w:p>
    <w:p w14:paraId="6B50AA3E">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委托人：</w:t>
      </w:r>
      <w:r>
        <w:rPr>
          <w:rFonts w:hint="eastAsia" w:ascii="宋体" w:hAnsi="宋体"/>
          <w:color w:val="auto"/>
          <w:sz w:val="24"/>
          <w:highlight w:val="none"/>
          <w:u w:val="single"/>
        </w:rPr>
        <w:t>南通市公路事业发展中心</w:t>
      </w:r>
    </w:p>
    <w:p w14:paraId="1B265D28">
      <w:pPr>
        <w:adjustRightInd w:val="0"/>
        <w:snapToGrid w:val="0"/>
        <w:spacing w:line="360" w:lineRule="auto"/>
        <w:ind w:left="1200" w:hanging="1200" w:hangingChars="500"/>
        <w:rPr>
          <w:rFonts w:hint="eastAsia" w:ascii="宋体" w:hAnsi="宋体"/>
          <w:color w:val="auto"/>
          <w:sz w:val="24"/>
          <w:highlight w:val="none"/>
          <w:u w:val="single"/>
        </w:rPr>
      </w:pPr>
      <w:r>
        <w:rPr>
          <w:rFonts w:hint="eastAsia" w:ascii="宋体" w:hAnsi="宋体"/>
          <w:color w:val="auto"/>
          <w:sz w:val="24"/>
          <w:highlight w:val="none"/>
        </w:rPr>
        <w:t>咨询人：</w:t>
      </w:r>
      <w:r>
        <w:rPr>
          <w:rFonts w:hint="eastAsia" w:ascii="宋体" w:hAnsi="宋体"/>
          <w:color w:val="auto"/>
          <w:sz w:val="24"/>
          <w:highlight w:val="none"/>
          <w:u w:val="single"/>
        </w:rPr>
        <w:t xml:space="preserve">                      </w:t>
      </w:r>
    </w:p>
    <w:p w14:paraId="4D570AF7">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依据《中华人民共和国民法典》及工程造价相关管理规定，经过双方协商一致，签订本工程造价咨询合同。</w:t>
      </w:r>
    </w:p>
    <w:p w14:paraId="206EA6BD">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一、委托人委托咨询人为以下项目提供建设工程造价咨询服务：</w:t>
      </w:r>
    </w:p>
    <w:p w14:paraId="344D20B9">
      <w:pPr>
        <w:adjustRightInd w:val="0"/>
        <w:snapToGrid w:val="0"/>
        <w:spacing w:line="360" w:lineRule="auto"/>
        <w:ind w:firstLine="420"/>
        <w:rPr>
          <w:rFonts w:hint="eastAsia" w:ascii="宋体" w:hAnsi="宋体"/>
          <w:color w:val="auto"/>
          <w:sz w:val="24"/>
          <w:highlight w:val="none"/>
          <w:u w:val="single"/>
        </w:rPr>
      </w:pPr>
      <w:r>
        <w:rPr>
          <w:rFonts w:hint="eastAsia" w:ascii="宋体" w:hAnsi="宋体"/>
          <w:color w:val="auto"/>
          <w:sz w:val="24"/>
          <w:highlight w:val="none"/>
        </w:rPr>
        <w:t>1、项目名称：</w:t>
      </w:r>
      <w:r>
        <w:rPr>
          <w:rFonts w:hint="eastAsia" w:ascii="宋体" w:hAnsi="宋体"/>
          <w:color w:val="auto"/>
          <w:sz w:val="24"/>
          <w:highlight w:val="none"/>
          <w:u w:val="single"/>
          <w:lang w:eastAsia="zh-CN"/>
        </w:rPr>
        <w:t>2026-2027年南通市公路事业发展中心项目造价咨询服务项目</w:t>
      </w:r>
      <w:r>
        <w:rPr>
          <w:rFonts w:hint="eastAsia" w:ascii="宋体" w:hAnsi="宋体"/>
          <w:color w:val="auto"/>
          <w:sz w:val="24"/>
          <w:highlight w:val="none"/>
          <w:u w:val="single"/>
        </w:rPr>
        <w:t>　</w:t>
      </w:r>
    </w:p>
    <w:p w14:paraId="3976C1B9">
      <w:pPr>
        <w:pStyle w:val="17"/>
        <w:ind w:firstLine="480"/>
        <w:rPr>
          <w:rFonts w:ascii="宋体" w:hAnsi="宋体"/>
          <w:color w:val="auto"/>
          <w:sz w:val="24"/>
          <w:highlight w:val="none"/>
          <w:u w:val="single"/>
        </w:rPr>
      </w:pPr>
      <w:r>
        <w:rPr>
          <w:rFonts w:hint="eastAsia" w:ascii="宋体" w:hAnsi="宋体"/>
          <w:color w:val="auto"/>
          <w:sz w:val="24"/>
          <w:highlight w:val="none"/>
        </w:rPr>
        <w:t>合同名称：</w:t>
      </w:r>
      <w:r>
        <w:rPr>
          <w:rFonts w:hint="eastAsia" w:ascii="宋体" w:hAnsi="宋体"/>
          <w:color w:val="auto"/>
          <w:sz w:val="24"/>
          <w:highlight w:val="none"/>
          <w:u w:val="single"/>
          <w:lang w:eastAsia="zh-CN"/>
        </w:rPr>
        <w:t>2026-2027年南通市公路事业发展中心项目造价咨询服务项目</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年度）</w:t>
      </w:r>
    </w:p>
    <w:p w14:paraId="610564A8">
      <w:pPr>
        <w:numPr>
          <w:ilvl w:val="0"/>
          <w:numId w:val="3"/>
        </w:numPr>
        <w:adjustRightInd w:val="0"/>
        <w:snapToGrid w:val="0"/>
        <w:spacing w:line="360" w:lineRule="auto"/>
        <w:ind w:firstLine="420"/>
        <w:rPr>
          <w:rFonts w:hint="eastAsia" w:ascii="宋体" w:hAnsi="宋体"/>
          <w:color w:val="auto"/>
          <w:sz w:val="24"/>
          <w:highlight w:val="none"/>
          <w:u w:val="single"/>
        </w:rPr>
      </w:pPr>
      <w:r>
        <w:rPr>
          <w:rFonts w:hint="eastAsia" w:ascii="宋体" w:hAnsi="宋体"/>
          <w:color w:val="auto"/>
          <w:sz w:val="24"/>
          <w:highlight w:val="none"/>
        </w:rPr>
        <w:t>建设地点：</w:t>
      </w:r>
      <w:r>
        <w:rPr>
          <w:rFonts w:hint="eastAsia" w:ascii="宋体" w:hAnsi="宋体"/>
          <w:color w:val="auto"/>
          <w:sz w:val="24"/>
          <w:highlight w:val="none"/>
          <w:u w:val="single"/>
        </w:rPr>
        <w:t>南通市</w:t>
      </w:r>
    </w:p>
    <w:p w14:paraId="688A03E2">
      <w:pPr>
        <w:numPr>
          <w:ilvl w:val="0"/>
          <w:numId w:val="3"/>
        </w:num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咨询业务范围及内容：</w:t>
      </w:r>
    </w:p>
    <w:p w14:paraId="3D34056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 2026-2027年南通市公路事业发展中心项目造价咨询服务包括：项目预算审核（包含工程方案设计概算、项目预算）、现场跟踪审核、工程竣(交)工结算审计、项目决算审核及其他咨询事项。其中：</w:t>
      </w:r>
    </w:p>
    <w:p w14:paraId="7877903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项目预算审核（包含工程方案设计概算、项目预算）：预算计价选用的定额、市场造价、所采用的技术与工艺流程、技术要求、材料选用标准及取费标准等是否符合招标文件规定的计价方法及设计文件有关条款；工程量清单中数量、单位及单价组成是否准确、完整。</w:t>
      </w:r>
    </w:p>
    <w:p w14:paraId="79FAED2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现场跟踪审核：对隐蔽工程、重点部位工程、变更项目及合同外零星工程进行现场工程量把关，做好照片、影像资料的采集工作，审核必要性与确定工程量。在工程实施过程中无法预测的设计变更计量，审核可以予以确认，但审核计量结算与补办的变更手续同步生效。</w:t>
      </w:r>
    </w:p>
    <w:p w14:paraId="5F2166C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工程竣(交)工结算审核：审查竣工图纸及相关资料的真实性。核查竣工资料与现场勘查实际完成情况是否一致。依据签证资料和工程量计算规则等，审查工程量的真实性。审查设计变更手续是否完备，变更是否必要、真实，签证资料是否真实、准确。审查工程结算是否依据招标文件、投标承诺、施工合同及有关工程定额、取费标准等编制。结算汇总、进行三方确认、签证审核定案单，出具工程审核报告征求意见稿，交付委</w:t>
      </w:r>
      <w:r>
        <w:rPr>
          <w:rFonts w:hint="eastAsia" w:ascii="宋体" w:hAnsi="宋体"/>
          <w:color w:val="auto"/>
          <w:sz w:val="24"/>
          <w:highlight w:val="none"/>
          <w:lang w:eastAsia="zh-CN"/>
        </w:rPr>
        <w:t>委托人</w:t>
      </w:r>
      <w:r>
        <w:rPr>
          <w:rFonts w:hint="eastAsia" w:ascii="宋体" w:hAnsi="宋体"/>
          <w:color w:val="auto"/>
          <w:sz w:val="24"/>
          <w:highlight w:val="none"/>
        </w:rPr>
        <w:t>完整的审核报告及过程审核原始资料电子档，为</w:t>
      </w:r>
      <w:r>
        <w:rPr>
          <w:rFonts w:hint="eastAsia" w:ascii="宋体" w:hAnsi="宋体"/>
          <w:color w:val="auto"/>
          <w:sz w:val="24"/>
          <w:highlight w:val="none"/>
          <w:lang w:eastAsia="zh-CN"/>
        </w:rPr>
        <w:t>委托人</w:t>
      </w:r>
      <w:r>
        <w:rPr>
          <w:rFonts w:hint="eastAsia" w:ascii="宋体" w:hAnsi="宋体"/>
          <w:color w:val="auto"/>
          <w:sz w:val="24"/>
          <w:highlight w:val="none"/>
        </w:rPr>
        <w:t>提供实事求是、合理、可行的咨询意见。审查工程设计、施工、监理、材料采购、建设管理等方面存在问题，并提出合理化建议。法律、法规、规章要求的其他审计事项。</w:t>
      </w:r>
    </w:p>
    <w:p w14:paraId="6356B2E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（4）项目决算审核：按照会计准则及</w:t>
      </w:r>
      <w:r>
        <w:rPr>
          <w:rFonts w:hint="eastAsia" w:ascii="宋体" w:hAnsi="宋体"/>
          <w:color w:val="auto"/>
          <w:sz w:val="24"/>
          <w:highlight w:val="none"/>
          <w:lang w:eastAsia="zh-CN"/>
        </w:rPr>
        <w:t>委托人</w:t>
      </w:r>
      <w:r>
        <w:rPr>
          <w:rFonts w:hint="eastAsia" w:ascii="宋体" w:hAnsi="宋体"/>
          <w:color w:val="auto"/>
          <w:sz w:val="24"/>
          <w:highlight w:val="none"/>
        </w:rPr>
        <w:t>有关编制要求，对江苏省交通运输发展专项资金、燃油税资金、中央车购税资金及政府还贷二级公路取消收费后补助资金等绩效目标所涉及的项目编制财务决算审核报告。财务决算审核报告的主要内容是项目的投资额，对与项目相关的其他费用，按适当的方法分摊到各投资项目，形成项目的决算投资成本。</w:t>
      </w:r>
    </w:p>
    <w:p w14:paraId="3B5BE72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（5）其他咨询事项。除了上述工程造价咨询服务事项以外的，需要进行专项业务咨询的事项。</w:t>
      </w:r>
    </w:p>
    <w:p w14:paraId="5F1465C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3.2审核时间要求</w:t>
      </w:r>
    </w:p>
    <w:p w14:paraId="1527339C">
      <w:pPr>
        <w:spacing w:line="360" w:lineRule="auto"/>
        <w:ind w:left="435" w:leftChars="207" w:firstLine="120" w:firstLineChars="50"/>
        <w:rPr>
          <w:rFonts w:hint="eastAsia" w:ascii="宋体" w:hAnsi="宋体"/>
          <w:color w:val="auto"/>
          <w:sz w:val="24"/>
          <w:highlight w:val="none"/>
        </w:rPr>
      </w:pPr>
      <w:r>
        <w:rPr>
          <w:rFonts w:hint="eastAsia" w:ascii="宋体" w:hAnsi="宋体"/>
          <w:color w:val="auto"/>
          <w:sz w:val="24"/>
          <w:highlight w:val="none"/>
        </w:rPr>
        <w:t>（1）项目预算审核时间要求：接到审核通知书2个工作日内领取资料并完成初步审核，5个工作日内根据预算编制单位及相关部门协商结果，出具审核报告，应急等项目根据市中心要求按时完成预算审核任务。</w:t>
      </w:r>
    </w:p>
    <w:p w14:paraId="5DC7B39B">
      <w:pPr>
        <w:spacing w:line="360" w:lineRule="auto"/>
        <w:ind w:left="435" w:leftChars="207" w:firstLine="120" w:firstLineChars="50"/>
        <w:rPr>
          <w:rFonts w:hint="eastAsia" w:ascii="宋体" w:hAnsi="宋体"/>
          <w:color w:val="auto"/>
          <w:sz w:val="24"/>
          <w:highlight w:val="none"/>
        </w:rPr>
      </w:pPr>
      <w:r>
        <w:rPr>
          <w:rFonts w:hint="eastAsia" w:ascii="宋体" w:hAnsi="宋体"/>
          <w:color w:val="auto"/>
          <w:sz w:val="24"/>
          <w:highlight w:val="none"/>
        </w:rPr>
        <w:t>（2）现场跟踪审核时间要求：</w:t>
      </w:r>
      <w:r>
        <w:rPr>
          <w:rFonts w:hint="eastAsia" w:ascii="宋体" w:hAnsi="宋体"/>
          <w:color w:val="auto"/>
          <w:sz w:val="24"/>
          <w:highlight w:val="none"/>
          <w:lang w:eastAsia="zh-CN"/>
        </w:rPr>
        <w:t>委托人</w:t>
      </w:r>
      <w:r>
        <w:rPr>
          <w:rFonts w:hint="eastAsia" w:ascii="宋体" w:hAnsi="宋体"/>
          <w:color w:val="auto"/>
          <w:sz w:val="24"/>
          <w:highlight w:val="none"/>
        </w:rPr>
        <w:t>提前 1 天通知</w:t>
      </w:r>
      <w:r>
        <w:rPr>
          <w:rFonts w:hint="eastAsia" w:ascii="宋体" w:hAnsi="宋体"/>
          <w:color w:val="auto"/>
          <w:sz w:val="24"/>
          <w:highlight w:val="none"/>
          <w:lang w:eastAsia="zh-CN"/>
        </w:rPr>
        <w:t>咨询人</w:t>
      </w:r>
      <w:r>
        <w:rPr>
          <w:rFonts w:hint="eastAsia" w:ascii="宋体" w:hAnsi="宋体"/>
          <w:color w:val="auto"/>
          <w:sz w:val="24"/>
          <w:highlight w:val="none"/>
        </w:rPr>
        <w:t>，</w:t>
      </w:r>
      <w:r>
        <w:rPr>
          <w:rFonts w:hint="eastAsia" w:ascii="宋体" w:hAnsi="宋体"/>
          <w:color w:val="auto"/>
          <w:sz w:val="24"/>
          <w:highlight w:val="none"/>
          <w:lang w:eastAsia="zh-CN"/>
        </w:rPr>
        <w:t>咨询人</w:t>
      </w:r>
      <w:r>
        <w:rPr>
          <w:rFonts w:hint="eastAsia" w:ascii="宋体" w:hAnsi="宋体"/>
          <w:color w:val="auto"/>
          <w:sz w:val="24"/>
          <w:highlight w:val="none"/>
        </w:rPr>
        <w:t>必须按规定的时间自行前往工程现场。</w:t>
      </w:r>
    </w:p>
    <w:p w14:paraId="7E78A4B5">
      <w:pPr>
        <w:spacing w:line="360" w:lineRule="auto"/>
        <w:ind w:left="435" w:leftChars="207" w:firstLine="120" w:firstLineChars="50"/>
        <w:rPr>
          <w:rFonts w:hint="eastAsia" w:ascii="宋体" w:hAnsi="宋体"/>
          <w:color w:val="auto"/>
          <w:sz w:val="24"/>
          <w:highlight w:val="none"/>
        </w:rPr>
      </w:pPr>
      <w:r>
        <w:rPr>
          <w:rFonts w:hint="eastAsia" w:ascii="宋体" w:hAnsi="宋体"/>
          <w:color w:val="auto"/>
          <w:sz w:val="24"/>
          <w:highlight w:val="none"/>
        </w:rPr>
        <w:t>（3）工程竣(交)工结算审计时间要求：委托项目确定后，</w:t>
      </w:r>
      <w:r>
        <w:rPr>
          <w:rFonts w:hint="eastAsia" w:ascii="宋体" w:hAnsi="宋体"/>
          <w:color w:val="auto"/>
          <w:sz w:val="24"/>
          <w:highlight w:val="none"/>
          <w:lang w:eastAsia="zh-CN"/>
        </w:rPr>
        <w:t>咨询人</w:t>
      </w:r>
      <w:r>
        <w:rPr>
          <w:rFonts w:hint="eastAsia" w:ascii="宋体" w:hAnsi="宋体"/>
          <w:color w:val="auto"/>
          <w:sz w:val="24"/>
          <w:highlight w:val="none"/>
        </w:rPr>
        <w:t>接到通知后应于3个工作日内领取结算资料；接受工程结算资料之日起5个工作日内以书面形式将缺少的资料清单、工作人员、工作进度计划等报送委托方；在资料提供完整后7日内进行现场勘查，并形成踏勘记录（对比竣工图、签证与现场，对未实施的项目、资料与现场不符的情况及清点、测量等需有详细记录并由施工方签字确认）；踏勘现场后7日内进行结算核对；接收完整的结算资料后，在30日内（以接收资料日期和“审计核定单”开出日期为准）完成审计任务，并出具符合行业管理要求的审核报告、审核明细等书面资料，连同其他相关审核资料一并移交给</w:t>
      </w:r>
      <w:r>
        <w:rPr>
          <w:rFonts w:hint="eastAsia" w:ascii="宋体" w:hAnsi="宋体"/>
          <w:color w:val="auto"/>
          <w:sz w:val="24"/>
          <w:highlight w:val="none"/>
          <w:lang w:eastAsia="zh-CN"/>
        </w:rPr>
        <w:t>委托人</w:t>
      </w:r>
      <w:r>
        <w:rPr>
          <w:rFonts w:hint="eastAsia" w:ascii="宋体" w:hAnsi="宋体"/>
          <w:color w:val="auto"/>
          <w:sz w:val="24"/>
          <w:highlight w:val="none"/>
        </w:rPr>
        <w:t>。</w:t>
      </w:r>
    </w:p>
    <w:p w14:paraId="23389883">
      <w:pPr>
        <w:spacing w:line="360" w:lineRule="auto"/>
        <w:ind w:left="435" w:leftChars="207" w:firstLine="120" w:firstLineChars="50"/>
        <w:rPr>
          <w:rFonts w:hint="eastAsia" w:ascii="宋体" w:hAnsi="宋体"/>
          <w:color w:val="auto"/>
          <w:sz w:val="24"/>
          <w:highlight w:val="none"/>
        </w:rPr>
      </w:pPr>
      <w:r>
        <w:rPr>
          <w:rFonts w:hint="eastAsia" w:ascii="宋体" w:hAnsi="宋体"/>
          <w:color w:val="auto"/>
          <w:sz w:val="24"/>
          <w:highlight w:val="none"/>
        </w:rPr>
        <w:t>（4）项目决算审核时间要求：在接收完整的审核资料后15日内完成审核任务，并出具符合</w:t>
      </w:r>
      <w:r>
        <w:rPr>
          <w:rFonts w:hint="eastAsia" w:ascii="宋体" w:hAnsi="宋体"/>
          <w:color w:val="auto"/>
          <w:sz w:val="24"/>
          <w:highlight w:val="none"/>
          <w:lang w:eastAsia="zh-CN"/>
        </w:rPr>
        <w:t>委托人</w:t>
      </w:r>
      <w:r>
        <w:rPr>
          <w:rFonts w:hint="eastAsia" w:ascii="宋体" w:hAnsi="宋体"/>
          <w:color w:val="auto"/>
          <w:sz w:val="24"/>
          <w:highlight w:val="none"/>
        </w:rPr>
        <w:t>管理要求的项目决算说明、审核报告、审核明细等书面资料移交给</w:t>
      </w:r>
      <w:r>
        <w:rPr>
          <w:rFonts w:hint="eastAsia" w:ascii="宋体" w:hAnsi="宋体"/>
          <w:color w:val="auto"/>
          <w:sz w:val="24"/>
          <w:highlight w:val="none"/>
          <w:lang w:eastAsia="zh-CN"/>
        </w:rPr>
        <w:t>委托人</w:t>
      </w:r>
      <w:r>
        <w:rPr>
          <w:rFonts w:hint="eastAsia" w:ascii="宋体" w:hAnsi="宋体"/>
          <w:color w:val="auto"/>
          <w:sz w:val="24"/>
          <w:highlight w:val="none"/>
        </w:rPr>
        <w:t>。遇有特殊情况不能按时完成，应向</w:t>
      </w:r>
      <w:r>
        <w:rPr>
          <w:rFonts w:hint="eastAsia" w:ascii="宋体" w:hAnsi="宋体"/>
          <w:color w:val="auto"/>
          <w:sz w:val="24"/>
          <w:highlight w:val="none"/>
          <w:lang w:eastAsia="zh-CN"/>
        </w:rPr>
        <w:t>委托人</w:t>
      </w:r>
      <w:r>
        <w:rPr>
          <w:rFonts w:hint="eastAsia" w:ascii="宋体" w:hAnsi="宋体"/>
          <w:color w:val="auto"/>
          <w:sz w:val="24"/>
          <w:highlight w:val="none"/>
        </w:rPr>
        <w:t>书面告知原因。未经</w:t>
      </w:r>
      <w:r>
        <w:rPr>
          <w:rFonts w:hint="eastAsia" w:ascii="宋体" w:hAnsi="宋体"/>
          <w:color w:val="auto"/>
          <w:sz w:val="24"/>
          <w:highlight w:val="none"/>
          <w:lang w:eastAsia="zh-CN"/>
        </w:rPr>
        <w:t>委托人</w:t>
      </w:r>
      <w:r>
        <w:rPr>
          <w:rFonts w:hint="eastAsia" w:ascii="宋体" w:hAnsi="宋体"/>
          <w:color w:val="auto"/>
          <w:sz w:val="24"/>
          <w:highlight w:val="none"/>
        </w:rPr>
        <w:t>同意，无故拖延审核时间，</w:t>
      </w:r>
      <w:r>
        <w:rPr>
          <w:rFonts w:hint="eastAsia" w:ascii="宋体" w:hAnsi="宋体"/>
          <w:color w:val="auto"/>
          <w:sz w:val="24"/>
          <w:highlight w:val="none"/>
          <w:lang w:eastAsia="zh-CN"/>
        </w:rPr>
        <w:t>委托人</w:t>
      </w:r>
      <w:r>
        <w:rPr>
          <w:rFonts w:hint="eastAsia" w:ascii="宋体" w:hAnsi="宋体"/>
          <w:color w:val="auto"/>
          <w:sz w:val="24"/>
          <w:highlight w:val="none"/>
        </w:rPr>
        <w:t>有权扣减咨询费用或取消委托审核项目。</w:t>
      </w:r>
    </w:p>
    <w:p w14:paraId="186FDCAD">
      <w:pPr>
        <w:spacing w:line="360" w:lineRule="auto"/>
        <w:ind w:left="435" w:leftChars="207" w:firstLine="120" w:firstLineChars="50"/>
        <w:rPr>
          <w:rFonts w:hint="eastAsia" w:ascii="宋体" w:hAnsi="宋体"/>
          <w:color w:val="auto"/>
          <w:sz w:val="24"/>
          <w:highlight w:val="none"/>
        </w:rPr>
      </w:pPr>
      <w:r>
        <w:rPr>
          <w:rFonts w:hint="eastAsia" w:ascii="宋体" w:hAnsi="宋体"/>
          <w:color w:val="auto"/>
          <w:sz w:val="24"/>
          <w:highlight w:val="none"/>
        </w:rPr>
        <w:t>（5）其他咨询事项时间要求：在接收完整的审核资料后30日内完成审核任务，并出具符合委托方管理要求的审核报告。</w:t>
      </w:r>
    </w:p>
    <w:p w14:paraId="76C73F8F">
      <w:pPr>
        <w:spacing w:line="360" w:lineRule="auto"/>
        <w:ind w:left="435" w:leftChars="207" w:firstLine="360" w:firstLineChars="150"/>
        <w:rPr>
          <w:rFonts w:ascii="宋体" w:hAnsi="宋体"/>
          <w:color w:val="auto"/>
          <w:sz w:val="24"/>
          <w:highlight w:val="none"/>
        </w:rPr>
      </w:pPr>
      <w:r>
        <w:rPr>
          <w:rFonts w:hint="eastAsia" w:ascii="宋体" w:hAnsi="宋体"/>
          <w:color w:val="auto"/>
          <w:sz w:val="24"/>
          <w:highlight w:val="none"/>
        </w:rPr>
        <w:t xml:space="preserve">4、委托工程造价咨询业务的内容（下列内容有委托的在□中打√）：　                                  </w:t>
      </w:r>
    </w:p>
    <w:p w14:paraId="7047878C">
      <w:pPr>
        <w:adjustRightInd w:val="0"/>
        <w:snapToGrid w:val="0"/>
        <w:spacing w:line="360" w:lineRule="auto"/>
        <w:ind w:firstLine="540" w:firstLineChars="224"/>
        <w:rPr>
          <w:rFonts w:hint="eastAsia" w:ascii="宋体" w:hAnsi="宋体"/>
          <w:b/>
          <w:color w:val="auto"/>
          <w:sz w:val="24"/>
          <w:highlight w:val="none"/>
        </w:rPr>
      </w:pPr>
      <w:r>
        <w:rPr>
          <w:rFonts w:hint="eastAsia" w:ascii="宋体" w:hAnsi="宋体"/>
          <w:b/>
          <w:color w:val="auto"/>
          <w:sz w:val="24"/>
          <w:highlight w:val="none"/>
        </w:rPr>
        <w:t>2.1 建设工程造价咨询业务</w:t>
      </w:r>
    </w:p>
    <w:p w14:paraId="206768D3">
      <w:pPr>
        <w:spacing w:line="360" w:lineRule="auto"/>
        <w:ind w:firstLine="540" w:firstLineChars="224"/>
        <w:rPr>
          <w:rFonts w:hint="eastAsia" w:ascii="宋体" w:hAnsi="宋体"/>
          <w:b/>
          <w:color w:val="auto"/>
          <w:sz w:val="24"/>
          <w:highlight w:val="none"/>
        </w:rPr>
      </w:pPr>
      <w:r>
        <w:rPr>
          <w:rFonts w:hint="eastAsia" w:ascii="宋体" w:hAnsi="宋体"/>
          <w:b/>
          <w:color w:val="auto"/>
          <w:sz w:val="24"/>
          <w:highlight w:val="none"/>
        </w:rPr>
        <w:t>投资决策阶段</w:t>
      </w:r>
    </w:p>
    <w:p w14:paraId="77ED39DF">
      <w:pPr>
        <w:tabs>
          <w:tab w:val="left" w:pos="0"/>
        </w:tabs>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□编制建设工程投资估算       □审核建设工程投资估算</w:t>
      </w:r>
    </w:p>
    <w:p w14:paraId="7B2CC2B8">
      <w:pPr>
        <w:tabs>
          <w:tab w:val="left" w:pos="476"/>
        </w:tabs>
        <w:spacing w:line="360" w:lineRule="auto"/>
        <w:ind w:firstLine="542" w:firstLineChars="226"/>
        <w:rPr>
          <w:rFonts w:hint="eastAsia" w:ascii="宋体" w:hAnsi="宋体"/>
          <w:color w:val="auto"/>
          <w:sz w:val="24"/>
          <w:highlight w:val="none"/>
        </w:rPr>
      </w:pPr>
      <w:r>
        <w:rPr>
          <w:rFonts w:hint="eastAsia" w:ascii="宋体" w:hAnsi="宋体"/>
          <w:color w:val="auto"/>
          <w:sz w:val="24"/>
          <w:highlight w:val="none"/>
        </w:rPr>
        <w:t>□建设工程项目经济评价       □其它</w:t>
      </w:r>
    </w:p>
    <w:p w14:paraId="514C8B11">
      <w:pPr>
        <w:spacing w:line="360" w:lineRule="auto"/>
        <w:ind w:firstLine="540" w:firstLineChars="224"/>
        <w:rPr>
          <w:rFonts w:hint="eastAsia" w:ascii="宋体" w:hAnsi="宋体"/>
          <w:b/>
          <w:color w:val="auto"/>
          <w:sz w:val="24"/>
          <w:highlight w:val="none"/>
        </w:rPr>
      </w:pPr>
      <w:r>
        <w:rPr>
          <w:rFonts w:hint="eastAsia" w:ascii="宋体" w:hAnsi="宋体"/>
          <w:b/>
          <w:color w:val="auto"/>
          <w:sz w:val="24"/>
          <w:highlight w:val="none"/>
        </w:rPr>
        <w:t>工程设计阶段</w:t>
      </w:r>
    </w:p>
    <w:p w14:paraId="55D50C48">
      <w:pPr>
        <w:spacing w:line="360" w:lineRule="auto"/>
        <w:ind w:left="470" w:firstLine="74" w:firstLineChars="31"/>
        <w:rPr>
          <w:rFonts w:hint="eastAsia" w:ascii="宋体" w:hAnsi="宋体"/>
          <w:color w:val="auto"/>
          <w:sz w:val="24"/>
          <w:highlight w:val="none"/>
        </w:rPr>
      </w:pPr>
      <w:r>
        <w:rPr>
          <w:rFonts w:hint="eastAsia" w:ascii="宋体" w:hAnsi="宋体"/>
          <w:color w:val="auto"/>
          <w:sz w:val="24"/>
          <w:highlight w:val="none"/>
        </w:rPr>
        <w:t xml:space="preserve">□编制建设工程概算        </w:t>
      </w: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审核建设工程概算</w:t>
      </w:r>
    </w:p>
    <w:p w14:paraId="44EF0413">
      <w:pPr>
        <w:spacing w:line="360" w:lineRule="auto"/>
        <w:ind w:left="470" w:firstLine="74" w:firstLineChars="31"/>
        <w:rPr>
          <w:rFonts w:hint="eastAsia" w:ascii="宋体" w:hAnsi="宋体"/>
          <w:color w:val="auto"/>
          <w:sz w:val="24"/>
          <w:highlight w:val="none"/>
        </w:rPr>
      </w:pPr>
      <w:r>
        <w:rPr>
          <w:rFonts w:hint="eastAsia" w:ascii="宋体" w:hAnsi="宋体"/>
          <w:color w:val="auto"/>
          <w:sz w:val="24"/>
          <w:highlight w:val="none"/>
        </w:rPr>
        <w:t xml:space="preserve">□编制建设工程预算        </w:t>
      </w: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审核建设工程预算</w:t>
      </w:r>
    </w:p>
    <w:p w14:paraId="0593C9E6">
      <w:pPr>
        <w:spacing w:line="360" w:lineRule="auto"/>
        <w:ind w:firstLine="544" w:firstLineChars="227"/>
        <w:rPr>
          <w:rFonts w:hint="eastAsia" w:ascii="宋体" w:hAnsi="宋体"/>
          <w:color w:val="auto"/>
          <w:sz w:val="24"/>
          <w:highlight w:val="none"/>
        </w:rPr>
      </w:pPr>
      <w:r>
        <w:rPr>
          <w:rFonts w:hint="eastAsia" w:ascii="宋体" w:hAnsi="宋体"/>
          <w:color w:val="auto"/>
          <w:sz w:val="24"/>
          <w:highlight w:val="none"/>
        </w:rPr>
        <w:t>□设计方案经济比较        □其它</w:t>
      </w:r>
    </w:p>
    <w:p w14:paraId="25FC158F">
      <w:pPr>
        <w:spacing w:line="360" w:lineRule="auto"/>
        <w:ind w:firstLine="420"/>
        <w:rPr>
          <w:rFonts w:hint="eastAsia" w:ascii="宋体" w:hAnsi="宋体"/>
          <w:b/>
          <w:color w:val="auto"/>
          <w:sz w:val="24"/>
          <w:highlight w:val="none"/>
        </w:rPr>
      </w:pPr>
      <w:r>
        <w:rPr>
          <w:rFonts w:hint="eastAsia" w:ascii="宋体" w:hAnsi="宋体"/>
          <w:b/>
          <w:color w:val="auto"/>
          <w:sz w:val="24"/>
          <w:highlight w:val="none"/>
        </w:rPr>
        <w:t>工程发承包/招投标阶段</w:t>
      </w:r>
    </w:p>
    <w:p w14:paraId="01C7A902">
      <w:pPr>
        <w:tabs>
          <w:tab w:val="left" w:pos="0"/>
        </w:tabs>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□审核招标文件造价控制条款</w:t>
      </w:r>
    </w:p>
    <w:p w14:paraId="10CD6D8D">
      <w:pPr>
        <w:tabs>
          <w:tab w:val="left" w:pos="0"/>
        </w:tabs>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 xml:space="preserve">□编制工程量清单   □编制招标控制价/发包工程预算（标底）              </w:t>
      </w:r>
    </w:p>
    <w:p w14:paraId="70B075FC">
      <w:pPr>
        <w:tabs>
          <w:tab w:val="left" w:pos="0"/>
        </w:tabs>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 xml:space="preserve">□审核工程量清单   </w:t>
      </w: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审核招标控制价/发包工程预算（标底）</w:t>
      </w:r>
    </w:p>
    <w:p w14:paraId="4217D62B">
      <w:pPr>
        <w:tabs>
          <w:tab w:val="left" w:pos="0"/>
        </w:tabs>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□参与审查经济标   □参与合同谈判，协助起草合同文本</w:t>
      </w:r>
    </w:p>
    <w:p w14:paraId="4B849E8A">
      <w:pPr>
        <w:spacing w:line="360" w:lineRule="auto"/>
        <w:ind w:left="470"/>
        <w:rPr>
          <w:rFonts w:hint="eastAsia" w:ascii="宋体" w:hAnsi="宋体"/>
          <w:color w:val="auto"/>
          <w:sz w:val="24"/>
          <w:highlight w:val="none"/>
        </w:rPr>
      </w:pPr>
      <w:r>
        <w:rPr>
          <w:rFonts w:hint="eastAsia" w:ascii="宋体" w:hAnsi="宋体"/>
          <w:color w:val="auto"/>
          <w:sz w:val="24"/>
          <w:highlight w:val="none"/>
        </w:rPr>
        <w:t xml:space="preserve">□其它             </w:t>
      </w:r>
    </w:p>
    <w:p w14:paraId="002E2043">
      <w:pPr>
        <w:spacing w:line="360" w:lineRule="auto"/>
        <w:ind w:firstLine="420"/>
        <w:rPr>
          <w:rFonts w:hint="eastAsia" w:ascii="宋体" w:hAnsi="宋体"/>
          <w:b/>
          <w:color w:val="auto"/>
          <w:sz w:val="24"/>
          <w:highlight w:val="none"/>
        </w:rPr>
      </w:pPr>
      <w:r>
        <w:rPr>
          <w:rFonts w:hint="eastAsia" w:ascii="宋体" w:hAnsi="宋体"/>
          <w:b/>
          <w:color w:val="auto"/>
          <w:sz w:val="24"/>
          <w:highlight w:val="none"/>
        </w:rPr>
        <w:t>工程施工阶段</w:t>
      </w:r>
    </w:p>
    <w:p w14:paraId="25E8B191">
      <w:pPr>
        <w:tabs>
          <w:tab w:val="left" w:pos="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□分析合同价款（投标报价/发包工程预算），</w:t>
      </w:r>
      <w:r>
        <w:rPr>
          <w:rFonts w:ascii="宋体" w:hAnsi="宋体"/>
          <w:color w:val="auto"/>
          <w:sz w:val="24"/>
          <w:highlight w:val="none"/>
        </w:rPr>
        <w:t>确定</w:t>
      </w:r>
      <w:r>
        <w:rPr>
          <w:rFonts w:hint="eastAsia" w:ascii="宋体" w:hAnsi="宋体"/>
          <w:color w:val="auto"/>
          <w:sz w:val="24"/>
          <w:highlight w:val="none"/>
        </w:rPr>
        <w:t>工程造价</w:t>
      </w:r>
      <w:r>
        <w:rPr>
          <w:rFonts w:ascii="宋体" w:hAnsi="宋体"/>
          <w:color w:val="auto"/>
          <w:sz w:val="24"/>
          <w:highlight w:val="none"/>
        </w:rPr>
        <w:t>控制目标</w:t>
      </w:r>
      <w:r>
        <w:rPr>
          <w:rFonts w:hint="eastAsia" w:ascii="宋体" w:hAnsi="宋体"/>
          <w:color w:val="auto"/>
          <w:sz w:val="24"/>
          <w:highlight w:val="none"/>
        </w:rPr>
        <w:t xml:space="preserve">，编制资金使用计划       </w:t>
      </w:r>
    </w:p>
    <w:p w14:paraId="00C87D4F">
      <w:pPr>
        <w:tabs>
          <w:tab w:val="left" w:pos="0"/>
        </w:tabs>
        <w:spacing w:line="360" w:lineRule="auto"/>
        <w:ind w:firstLine="480" w:firstLineChars="1200"/>
        <w:rPr>
          <w:rFonts w:hint="eastAsia" w:ascii="宋体" w:hAnsi="宋体"/>
          <w:color w:val="auto"/>
          <w:sz w:val="24"/>
          <w:highlight w:val="none"/>
        </w:rPr>
      </w:pP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审核工程计量与价款支付        </w:t>
      </w: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审核工程索赔与签证费用</w:t>
      </w:r>
    </w:p>
    <w:p w14:paraId="47A9970D">
      <w:pPr>
        <w:tabs>
          <w:tab w:val="left" w:pos="0"/>
        </w:tabs>
        <w:spacing w:line="360" w:lineRule="auto"/>
        <w:ind w:firstLine="489" w:firstLineChars="1223"/>
        <w:rPr>
          <w:rFonts w:hint="eastAsia" w:ascii="宋体" w:hAnsi="宋体"/>
          <w:color w:val="auto"/>
          <w:sz w:val="24"/>
          <w:highlight w:val="none"/>
        </w:rPr>
      </w:pP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审核工程价款调整     □业主分包的专业工程招标咨询，材料设备询价</w:t>
      </w:r>
    </w:p>
    <w:p w14:paraId="28838DB7">
      <w:pPr>
        <w:tabs>
          <w:tab w:val="left" w:pos="0"/>
        </w:tabs>
        <w:spacing w:line="36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 xml:space="preserve">□分析工程投资偏差，调整工程造价控制目标      □其它             </w:t>
      </w:r>
    </w:p>
    <w:p w14:paraId="21FECBBE">
      <w:pPr>
        <w:spacing w:line="360" w:lineRule="auto"/>
        <w:ind w:firstLine="420"/>
        <w:rPr>
          <w:rFonts w:hint="eastAsia" w:ascii="宋体" w:hAnsi="宋体"/>
          <w:b/>
          <w:color w:val="auto"/>
          <w:sz w:val="24"/>
          <w:highlight w:val="none"/>
        </w:rPr>
      </w:pPr>
      <w:r>
        <w:rPr>
          <w:rFonts w:hint="eastAsia" w:ascii="宋体" w:hAnsi="宋体"/>
          <w:b/>
          <w:color w:val="auto"/>
          <w:sz w:val="24"/>
          <w:highlight w:val="none"/>
        </w:rPr>
        <w:t>工程竣工阶段</w:t>
      </w:r>
    </w:p>
    <w:p w14:paraId="67FCBE35">
      <w:pPr>
        <w:tabs>
          <w:tab w:val="left" w:pos="0"/>
        </w:tabs>
        <w:spacing w:line="360" w:lineRule="auto"/>
        <w:ind w:firstLine="537" w:firstLineChars="224"/>
        <w:rPr>
          <w:rFonts w:hint="eastAsia" w:ascii="宋体" w:hAnsi="宋体"/>
          <w:b/>
          <w:color w:val="auto"/>
          <w:sz w:val="24"/>
          <w:highlight w:val="none"/>
        </w:rPr>
      </w:pPr>
      <w:r>
        <w:rPr>
          <w:rFonts w:hint="eastAsia" w:ascii="宋体" w:hAnsi="宋体"/>
          <w:color w:val="auto"/>
          <w:sz w:val="24"/>
          <w:highlight w:val="none"/>
        </w:rPr>
        <w:t xml:space="preserve">□编制工程竣工结算书    </w:t>
      </w: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审核工程竣工结算     □其它            </w:t>
      </w:r>
    </w:p>
    <w:p w14:paraId="77C637E7">
      <w:pPr>
        <w:adjustRightInd w:val="0"/>
        <w:snapToGrid w:val="0"/>
        <w:spacing w:line="360" w:lineRule="auto"/>
        <w:ind w:firstLine="420"/>
        <w:rPr>
          <w:rFonts w:hint="eastAsia" w:ascii="宋体" w:hAnsi="宋体"/>
          <w:b/>
          <w:color w:val="auto"/>
          <w:sz w:val="24"/>
          <w:highlight w:val="none"/>
        </w:rPr>
      </w:pPr>
      <w:r>
        <w:rPr>
          <w:rFonts w:hint="eastAsia" w:ascii="宋体" w:hAnsi="宋体"/>
          <w:b/>
          <w:color w:val="auto"/>
          <w:sz w:val="24"/>
          <w:highlight w:val="none"/>
        </w:rPr>
        <w:t>2.2 造价咨询其它业务</w:t>
      </w:r>
    </w:p>
    <w:p w14:paraId="2B9C7909">
      <w:pPr>
        <w:tabs>
          <w:tab w:val="left" w:pos="0"/>
        </w:tabs>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□工程造价鉴定及仲裁咨询      □编制工程造价计价依据</w:t>
      </w:r>
    </w:p>
    <w:p w14:paraId="5486A68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□提供工程造价信息服务        </w:t>
      </w:r>
      <w:r>
        <w:rPr>
          <w:rFonts w:hint="eastAsia" w:ascii="宋体" w:hAnsi="宋体"/>
          <w:color w:val="auto"/>
          <w:spacing w:val="-100"/>
          <w:sz w:val="24"/>
          <w:highlight w:val="none"/>
        </w:rPr>
        <w:t xml:space="preserve">□√     </w:t>
      </w:r>
      <w:r>
        <w:rPr>
          <w:rFonts w:hint="eastAsia" w:ascii="宋体" w:hAnsi="宋体"/>
          <w:color w:val="auto"/>
          <w:sz w:val="24"/>
          <w:highlight w:val="none"/>
        </w:rPr>
        <w:t xml:space="preserve"> 其它</w:t>
      </w:r>
    </w:p>
    <w:p w14:paraId="330CACF6">
      <w:pPr>
        <w:numPr>
          <w:ilvl w:val="0"/>
          <w:numId w:val="3"/>
        </w:numPr>
        <w:spacing w:line="360" w:lineRule="auto"/>
        <w:ind w:left="0" w:leftChars="0" w:firstLine="420" w:firstLineChars="0"/>
        <w:rPr>
          <w:rFonts w:hint="eastAsia" w:ascii="宋体" w:hAnsi="宋体"/>
          <w:color w:val="auto"/>
          <w:sz w:val="24"/>
          <w:highlight w:val="none"/>
        </w:rPr>
      </w:pPr>
      <w:r>
        <w:rPr>
          <w:rFonts w:hint="eastAsia" w:ascii="宋体" w:hAnsi="宋体"/>
          <w:color w:val="auto"/>
          <w:sz w:val="24"/>
          <w:highlight w:val="none"/>
        </w:rPr>
        <w:t>本合同咨询项目负责人由</w:t>
      </w:r>
      <w:r>
        <w:rPr>
          <w:rFonts w:hint="eastAsia" w:ascii="宋体" w:hAnsi="宋体"/>
          <w:color w:val="auto"/>
          <w:sz w:val="24"/>
          <w:highlight w:val="none"/>
          <w:u w:val="single"/>
        </w:rPr>
        <w:t xml:space="preserve">            </w:t>
      </w:r>
      <w:r>
        <w:rPr>
          <w:rFonts w:hint="eastAsia" w:ascii="宋体" w:hAnsi="宋体"/>
          <w:color w:val="auto"/>
          <w:sz w:val="24"/>
          <w:highlight w:val="none"/>
        </w:rPr>
        <w:t>担任，电话：</w:t>
      </w:r>
      <w:r>
        <w:rPr>
          <w:rFonts w:hint="eastAsia" w:ascii="宋体" w:hAnsi="宋体"/>
          <w:color w:val="auto"/>
          <w:sz w:val="24"/>
          <w:highlight w:val="none"/>
          <w:u w:val="single"/>
        </w:rPr>
        <w:t xml:space="preserve">           </w:t>
      </w:r>
      <w:r>
        <w:rPr>
          <w:rFonts w:hint="eastAsia" w:ascii="宋体" w:hAnsi="宋体"/>
          <w:color w:val="auto"/>
          <w:sz w:val="24"/>
          <w:highlight w:val="none"/>
        </w:rPr>
        <w:t>，负责本咨询项目的具体实施及与委托方的联系等事宜。</w:t>
      </w:r>
    </w:p>
    <w:p w14:paraId="557632C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未经委托人书面同意，咨询人不得擅自更换项目负责人，否则视为违约，委托人有权解除本合同。咨询人向委托人书面申请但未获批或咨询人擅自进行人员更换的，将被视为咨询人违约，委托人将按如下标准扣除咨询人违约金：擅自更换项目负责人30000元/次，擅自更换其他主要管理人员10000元/次。咨询人向委托人书面申请报批获得同意后，方可进行人员的更换，并保证调整后不得低于原有的水平，且委托人将按如下标准扣除咨询人违约金：擅自更换项目负责人15000元/次，擅自更换其他主要管理人员5000元/次。</w:t>
      </w:r>
    </w:p>
    <w:p w14:paraId="10B068E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咨询人需按合同专用条件中约定的范围实施咨询业务，咨询业务结束时一并向委托人提供纸质版（   份）及电子版审核报告：包括审核说明、审核依据、相关的政府文件、有关的工程量审核计算式等资料。</w:t>
      </w:r>
    </w:p>
    <w:p w14:paraId="55F6A33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二、本协议书的措词和用语与所属建设工程造价咨询合同通用条款赋予的定义相同。</w:t>
      </w:r>
    </w:p>
    <w:p w14:paraId="0EE728FA">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三、本合同的组成部分及解释顺序为：</w:t>
      </w:r>
    </w:p>
    <w:p w14:paraId="1F1E25CA">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1、建设工程造价咨询协议书；</w:t>
      </w:r>
    </w:p>
    <w:p w14:paraId="0CDF7B44">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2、建设工程造价咨询合同专用条款；</w:t>
      </w:r>
    </w:p>
    <w:p w14:paraId="0B6AEBD1">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3、建设工程造价咨询合同通用条款；</w:t>
      </w:r>
    </w:p>
    <w:p w14:paraId="1440803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4、建设工程造价咨询合同履行中共同签署的补充文件；</w:t>
      </w:r>
    </w:p>
    <w:p w14:paraId="35C02E17">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    5、通过招标方式获得咨询业务的，还包括下列资料：</w:t>
      </w:r>
    </w:p>
    <w:p w14:paraId="19395E9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（1）招标文件；</w:t>
      </w:r>
    </w:p>
    <w:p w14:paraId="4A4106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（2）投标书及其附件；</w:t>
      </w:r>
    </w:p>
    <w:p w14:paraId="564F4BB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（3）中标通知书。</w:t>
      </w:r>
    </w:p>
    <w:p w14:paraId="6D72BC6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组成合同的上述，涉及内容为同一类的，以最新签署的为准，签署日期为同一日，内容存在不一致的，以对委托人有利为准，由委托人选择适用。</w:t>
      </w:r>
    </w:p>
    <w:p w14:paraId="163ADFCE">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四、咨询人同意按照本合同的约定，承担本合同专用条款中约定范围内的建设工程造价咨询业务。</w:t>
      </w:r>
    </w:p>
    <w:p w14:paraId="7AD8A631">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五、委托人同意按以下的计算方法、支付时间与金额，支付咨询人的正常服务酬金：</w:t>
      </w:r>
    </w:p>
    <w:p w14:paraId="436284B0">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1、正常酬金计算方法</w:t>
      </w:r>
    </w:p>
    <w:p w14:paraId="377B6086">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（1）工程方案设计概算审核费用：按审定后概算造价的0.175‰结算，单个项目审核费用不足1500元时，按1500元计算。</w:t>
      </w:r>
    </w:p>
    <w:p w14:paraId="5B26BC3D">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（2）项目预算审核费用：按审定后预算价的0.5‰进行结算，单个项目审核费用不足1500元时，按1500元计算。</w:t>
      </w:r>
    </w:p>
    <w:p w14:paraId="7453F297">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（3）现场跟踪审计费用：按600元/人.工日结算。</w:t>
      </w:r>
    </w:p>
    <w:p w14:paraId="675CECB2">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（4）工程竣工结算审计费用：按送审金额的0.9‰计算，加效益计费按审减额的3 %结算。当单个项目工程竣工结算审计费用不足1500元时，按1500元计算。</w:t>
      </w:r>
    </w:p>
    <w:p w14:paraId="6CE00F98">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（5）项目决算审核费用：按项目决算数的0.2‰进行结算（单个项目成本决算数大于2000万的按2000万计算，单个项目成本决算数小于等于2000万的按实计算），当单个项目决算审核费用不足1500元时，按1500元计算。</w:t>
      </w:r>
    </w:p>
    <w:p w14:paraId="195997B2">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（6）其他审核事项费用：按《省物价局省住房和城乡建设厅关于规范工程造价咨询服务收费标准及有关事项的通知》（苏价服〔2014〕383号文）进行结算。</w:t>
      </w:r>
    </w:p>
    <w:p w14:paraId="2273DE61">
      <w:pPr>
        <w:adjustRightInd w:val="0"/>
        <w:snapToGrid w:val="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2、正常酬金支付方式</w:t>
      </w:r>
    </w:p>
    <w:p w14:paraId="36425DC5">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本项目为综合单价合同，按实结算。合同一年一签。合同签订后15日内支付预付款，预付款金额为为签约合同价（18万元/中标人）的30%，服务期满且经发包人考核合格后，按照双方结算金额支付至100%。</w:t>
      </w:r>
    </w:p>
    <w:p w14:paraId="38659994">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注：（1）上述每次付款</w:t>
      </w:r>
      <w:r>
        <w:rPr>
          <w:rFonts w:hint="eastAsia" w:ascii="宋体" w:hAnsi="宋体"/>
          <w:color w:val="auto"/>
          <w:sz w:val="24"/>
          <w:highlight w:val="none"/>
          <w:lang w:eastAsia="zh-CN"/>
        </w:rPr>
        <w:t>委托人</w:t>
      </w:r>
      <w:r>
        <w:rPr>
          <w:rFonts w:hint="eastAsia" w:ascii="宋体" w:hAnsi="宋体"/>
          <w:color w:val="auto"/>
          <w:sz w:val="24"/>
          <w:highlight w:val="none"/>
        </w:rPr>
        <w:t>须按合同要求扣减违约金和赔偿款。</w:t>
      </w:r>
    </w:p>
    <w:p w14:paraId="277432E1">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（2）每次付款前，投标人须按</w:t>
      </w:r>
      <w:r>
        <w:rPr>
          <w:rFonts w:hint="eastAsia" w:ascii="宋体" w:hAnsi="宋体"/>
          <w:color w:val="auto"/>
          <w:sz w:val="24"/>
          <w:highlight w:val="none"/>
          <w:lang w:eastAsia="zh-CN"/>
        </w:rPr>
        <w:t>委托人</w:t>
      </w:r>
      <w:r>
        <w:rPr>
          <w:rFonts w:hint="eastAsia" w:ascii="宋体" w:hAnsi="宋体"/>
          <w:color w:val="auto"/>
          <w:sz w:val="24"/>
          <w:highlight w:val="none"/>
        </w:rPr>
        <w:t>要求提供等额的合规发票及相关付款申请资料，否则</w:t>
      </w:r>
      <w:r>
        <w:rPr>
          <w:rFonts w:hint="eastAsia" w:ascii="宋体" w:hAnsi="宋体"/>
          <w:color w:val="auto"/>
          <w:sz w:val="24"/>
          <w:highlight w:val="none"/>
          <w:lang w:eastAsia="zh-CN"/>
        </w:rPr>
        <w:t>委托人</w:t>
      </w:r>
      <w:r>
        <w:rPr>
          <w:rFonts w:hint="eastAsia" w:ascii="宋体" w:hAnsi="宋体"/>
          <w:color w:val="auto"/>
          <w:sz w:val="24"/>
          <w:highlight w:val="none"/>
        </w:rPr>
        <w:t>可以拒绝付款。</w:t>
      </w:r>
    </w:p>
    <w:p w14:paraId="7C81F06B">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（3）上述付款均不计利息。</w:t>
      </w:r>
    </w:p>
    <w:p w14:paraId="52B7B348">
      <w:pPr>
        <w:adjustRightInd w:val="0"/>
        <w:snapToGrid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    3、其他约定</w:t>
      </w:r>
    </w:p>
    <w:p w14:paraId="09CBBA99">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 xml:space="preserve">附加服务酬金：/   </w:t>
      </w:r>
    </w:p>
    <w:p w14:paraId="4CE740E2">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 xml:space="preserve">额外服务酬金：/  </w:t>
      </w:r>
    </w:p>
    <w:p w14:paraId="68D661E2">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委托人同意按照本款约定的期限、方式、币种和额度向咨询人支付酬金。本合同约定的酬金包含咨询人履行本合同所需的全部成本、利润及税费，除本合同另有约定外，委托人无需再向咨询人另行支付其他任何费用。</w:t>
      </w:r>
    </w:p>
    <w:p w14:paraId="5509AF44">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六、</w:t>
      </w:r>
      <w:r>
        <w:rPr>
          <w:rFonts w:hint="eastAsia" w:ascii="宋体" w:hAnsi="宋体"/>
          <w:color w:val="auto"/>
          <w:sz w:val="24"/>
          <w:highlight w:val="none"/>
          <w:lang w:val="en-US" w:eastAsia="zh-CN"/>
        </w:rPr>
        <w:t>服务期：</w:t>
      </w:r>
      <w:r>
        <w:rPr>
          <w:rFonts w:hint="eastAsia" w:ascii="宋体" w:hAnsi="宋体"/>
          <w:color w:val="auto"/>
          <w:sz w:val="24"/>
          <w:highlight w:val="none"/>
        </w:rPr>
        <w:t>12个月。若委托人提供咨询资料延后则时间相应顺延，若增加工作内容则具体完成时间另行约定。委托人有权对</w:t>
      </w:r>
      <w:r>
        <w:rPr>
          <w:rFonts w:hint="eastAsia" w:ascii="宋体" w:hAnsi="宋体"/>
          <w:color w:val="auto"/>
          <w:sz w:val="24"/>
          <w:highlight w:val="none"/>
          <w:lang w:val="en-US" w:eastAsia="zh-CN"/>
        </w:rPr>
        <w:t>咨询人</w:t>
      </w:r>
      <w:r>
        <w:rPr>
          <w:rFonts w:hint="eastAsia" w:ascii="宋体" w:hAnsi="宋体"/>
          <w:color w:val="auto"/>
          <w:sz w:val="24"/>
          <w:highlight w:val="none"/>
        </w:rPr>
        <w:t>履职期间的情况综合考核并决定是否续签合同，考核合格的可续签1次，续签合同服务期为12个月。</w:t>
      </w:r>
    </w:p>
    <w:p w14:paraId="15071524">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七、第二条本合同适用的法律、法规及工程造价计价办法和规定</w:t>
      </w:r>
    </w:p>
    <w:p w14:paraId="3798AC3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1．适用法律和法规：按现行合同及现行有关法律法规</w:t>
      </w:r>
    </w:p>
    <w:p w14:paraId="6DECBCB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2．工程造价计价办法：按现行计价办法</w:t>
      </w:r>
    </w:p>
    <w:p w14:paraId="2DDFD9D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3.标准规范：按现行标准规范</w:t>
      </w:r>
    </w:p>
    <w:p w14:paraId="3EF7AC0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八、委托人应在</w:t>
      </w:r>
      <w:r>
        <w:rPr>
          <w:rFonts w:hint="eastAsia" w:ascii="宋体" w:hAnsi="宋体"/>
          <w:color w:val="auto"/>
          <w:sz w:val="24"/>
          <w:highlight w:val="none"/>
          <w:u w:val="single"/>
        </w:rPr>
        <w:t xml:space="preserve">　5  </w:t>
      </w:r>
      <w:r>
        <w:rPr>
          <w:rFonts w:hint="eastAsia" w:ascii="宋体" w:hAnsi="宋体"/>
          <w:color w:val="auto"/>
          <w:sz w:val="24"/>
          <w:highlight w:val="none"/>
        </w:rPr>
        <w:t>日内对咨询人书面提交并要求做出答复的事宜做出书面答复。</w:t>
      </w:r>
    </w:p>
    <w:p w14:paraId="3E04CD9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九、咨询人在其责任期内如果因自身原因给委托方造成经济损失时，同意按以下办法承担责任，向委托方支付赔偿金：承担全部损失。</w:t>
      </w:r>
    </w:p>
    <w:p w14:paraId="00FC1DB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十、委托人对其提供资料的真实性、完整性和有效性负责，由此造成的咨询人工作的缺陷或失误及额外工作由委托人负责对咨询人进行赔偿。 本合同约定的资料完整提供时间由委托人确定。</w:t>
      </w:r>
    </w:p>
    <w:p w14:paraId="70E251D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一、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违约条款如下：</w:t>
      </w:r>
    </w:p>
    <w:p w14:paraId="50C8009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1、咨询人如因质量低劣或弄虚作假造成委托人经济损失，应向甲方进行赔偿，累计赔偿总额不应超过建设相应委托项目工程造价咨询酬金总额（除去税金）。</w:t>
      </w:r>
    </w:p>
    <w:p w14:paraId="207C2D8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经咨询人审核后的结算，委托人提交有权部门进行最终审定，审定结果与咨询人的审核结果相比，要求准确率达97%以上，若有权部门在97%基础上再有核减，核减每超过1%，扣咨询费10%，中间值按直线法内插计算。</w:t>
      </w:r>
    </w:p>
    <w:p w14:paraId="677C2FE8">
      <w:pPr>
        <w:adjustRightInd w:val="0"/>
        <w:snapToGrid w:val="0"/>
        <w:spacing w:line="360" w:lineRule="auto"/>
        <w:ind w:firstLine="420" w:firstLineChars="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咨询人应当在委托人限定的时间（以委托人书面通知为准，咨询人有异议的，应当以书面方式提出，经委托人书面同意后方可另行确定工作时限，否则视为咨询人认可）内完成全部工作并通过委托人验收，否则委托人有权要求咨询</w:t>
      </w:r>
      <w:r>
        <w:rPr>
          <w:rFonts w:hint="eastAsia" w:ascii="宋体" w:hAnsi="宋体"/>
          <w:color w:val="auto"/>
          <w:sz w:val="24"/>
          <w:highlight w:val="none"/>
          <w:lang w:val="en-US" w:eastAsia="zh-CN"/>
        </w:rPr>
        <w:t>人</w:t>
      </w:r>
      <w:r>
        <w:rPr>
          <w:rFonts w:hint="eastAsia" w:ascii="宋体" w:hAnsi="宋体"/>
          <w:color w:val="auto"/>
          <w:sz w:val="24"/>
          <w:highlight w:val="none"/>
        </w:rPr>
        <w:t>按照每日2000元的</w:t>
      </w:r>
      <w:r>
        <w:rPr>
          <w:rFonts w:hint="eastAsia" w:ascii="宋体" w:hAnsi="宋体"/>
          <w:color w:val="auto"/>
          <w:sz w:val="24"/>
          <w:highlight w:val="none"/>
          <w:lang w:val="en-US" w:eastAsia="zh-CN"/>
        </w:rPr>
        <w:t>标准</w:t>
      </w:r>
      <w:r>
        <w:rPr>
          <w:rFonts w:hint="eastAsia" w:ascii="宋体" w:hAnsi="宋体"/>
          <w:color w:val="auto"/>
          <w:sz w:val="24"/>
          <w:highlight w:val="none"/>
        </w:rPr>
        <w:t>支付延期损失赔偿金</w:t>
      </w:r>
      <w:r>
        <w:rPr>
          <w:rFonts w:hint="eastAsia" w:ascii="宋体" w:hAnsi="宋体"/>
          <w:color w:val="auto"/>
          <w:sz w:val="24"/>
          <w:highlight w:val="none"/>
          <w:lang w:eastAsia="zh-CN"/>
        </w:rPr>
        <w:t>；</w:t>
      </w:r>
      <w:r>
        <w:rPr>
          <w:rFonts w:hint="eastAsia" w:ascii="宋体" w:hAnsi="宋体"/>
          <w:color w:val="auto"/>
          <w:sz w:val="24"/>
          <w:highlight w:val="none"/>
        </w:rPr>
        <w:t>延期7天以上的，委托人有权解除本合同并要求咨询人承担委托项目合同总价20%的损失赔偿金</w:t>
      </w:r>
      <w:r>
        <w:rPr>
          <w:rFonts w:hint="eastAsia" w:ascii="宋体" w:hAnsi="宋体"/>
          <w:color w:val="auto"/>
          <w:sz w:val="24"/>
          <w:highlight w:val="none"/>
          <w:lang w:eastAsia="zh-CN"/>
        </w:rPr>
        <w:t>。</w:t>
      </w:r>
      <w:r>
        <w:rPr>
          <w:rFonts w:hint="eastAsia" w:ascii="宋体" w:hAnsi="宋体"/>
          <w:color w:val="auto"/>
          <w:sz w:val="24"/>
          <w:highlight w:val="none"/>
        </w:rPr>
        <w:t>如咨询人的工作成果未能一次性通过委托人验收的，委托人有权要求咨询人重做直至通过验收为止，由此导致的延误按照本条交付延误承担违约责任。本合同约定咨询人应向委托人支付的损失赔偿金及其他费用等，委托人有权自应付款项中直接扣除。</w:t>
      </w:r>
    </w:p>
    <w:p w14:paraId="16FB6BD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十二、建设工程造价咨询合同在履行过程中发生争议，委托人与咨询人应及时协商解决；如未能达成一致，可提交有关主管部门调解；协商或调解不成的，按下列第</w:t>
      </w:r>
      <w:r>
        <w:rPr>
          <w:rFonts w:hint="eastAsia" w:ascii="宋体" w:hAnsi="宋体"/>
          <w:color w:val="auto"/>
          <w:sz w:val="24"/>
          <w:highlight w:val="none"/>
          <w:u w:val="single"/>
        </w:rPr>
        <w:t>1</w:t>
      </w:r>
      <w:r>
        <w:rPr>
          <w:rFonts w:hint="eastAsia" w:ascii="宋体" w:hAnsi="宋体"/>
          <w:color w:val="auto"/>
          <w:sz w:val="24"/>
          <w:highlight w:val="none"/>
        </w:rPr>
        <w:t>种方式解决：</w:t>
      </w:r>
    </w:p>
    <w:p w14:paraId="2DB5689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1、提交</w:t>
      </w:r>
      <w:r>
        <w:rPr>
          <w:rFonts w:hint="eastAsia" w:ascii="宋体" w:hAnsi="宋体"/>
          <w:color w:val="auto"/>
          <w:sz w:val="24"/>
          <w:highlight w:val="none"/>
          <w:u w:val="single"/>
        </w:rPr>
        <w:t xml:space="preserve"> 南通  </w:t>
      </w:r>
      <w:r>
        <w:rPr>
          <w:rFonts w:hint="eastAsia" w:ascii="宋体" w:hAnsi="宋体"/>
          <w:color w:val="auto"/>
          <w:sz w:val="24"/>
          <w:highlight w:val="none"/>
        </w:rPr>
        <w:t>仲裁委员会仲裁；</w:t>
      </w:r>
    </w:p>
    <w:p w14:paraId="34CDC1F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2、依法向人民法院起诉。</w:t>
      </w:r>
    </w:p>
    <w:p w14:paraId="50146C5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十三、本合同正本二份，委托人、咨询人各执一份，副本</w:t>
      </w:r>
      <w:r>
        <w:rPr>
          <w:rFonts w:hint="eastAsia" w:ascii="宋体" w:hAnsi="宋体"/>
          <w:color w:val="auto"/>
          <w:sz w:val="24"/>
          <w:highlight w:val="none"/>
          <w:u w:val="single"/>
        </w:rPr>
        <w:t xml:space="preserve">    </w:t>
      </w:r>
      <w:r>
        <w:rPr>
          <w:rFonts w:hint="eastAsia" w:ascii="宋体" w:hAnsi="宋体"/>
          <w:color w:val="auto"/>
          <w:sz w:val="24"/>
          <w:highlight w:val="none"/>
        </w:rPr>
        <w:t>份，委托人</w:t>
      </w:r>
      <w:r>
        <w:rPr>
          <w:rFonts w:hint="eastAsia" w:ascii="宋体" w:hAnsi="宋体"/>
          <w:color w:val="auto"/>
          <w:sz w:val="24"/>
          <w:highlight w:val="none"/>
          <w:u w:val="single"/>
        </w:rPr>
        <w:t xml:space="preserve">  </w:t>
      </w:r>
      <w:r>
        <w:rPr>
          <w:rFonts w:hint="eastAsia" w:ascii="宋体" w:hAnsi="宋体"/>
          <w:color w:val="auto"/>
          <w:sz w:val="24"/>
          <w:highlight w:val="none"/>
        </w:rPr>
        <w:t>份，咨询人</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14:paraId="5161E5DD">
      <w:pPr>
        <w:adjustRightInd w:val="0"/>
        <w:snapToGrid w:val="0"/>
        <w:spacing w:line="360" w:lineRule="auto"/>
        <w:rPr>
          <w:rFonts w:hint="eastAsia" w:ascii="宋体" w:hAnsi="宋体"/>
          <w:color w:val="auto"/>
          <w:sz w:val="24"/>
          <w:highlight w:val="none"/>
        </w:rPr>
      </w:pPr>
    </w:p>
    <w:p w14:paraId="39876CAF">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委　托　人：（盖章）　　　　　　　　  咨　询　人：（盖章）</w:t>
      </w:r>
    </w:p>
    <w:p w14:paraId="358E423D">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308F00A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法定代表人或                          法定代表人或</w:t>
      </w:r>
    </w:p>
    <w:p w14:paraId="49BAC32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委托代理人：（签字）　　　　　        委托代理人：（签字）</w:t>
      </w:r>
    </w:p>
    <w:p w14:paraId="4AAB1106">
      <w:pPr>
        <w:adjustRightInd w:val="0"/>
        <w:snapToGrid w:val="0"/>
        <w:spacing w:line="360" w:lineRule="auto"/>
        <w:ind w:firstLine="480" w:firstLineChars="200"/>
        <w:rPr>
          <w:rFonts w:hint="eastAsia" w:ascii="宋体" w:hAnsi="宋体"/>
          <w:b/>
          <w:color w:val="auto"/>
          <w:highlight w:val="none"/>
        </w:rPr>
      </w:pPr>
      <w:r>
        <w:rPr>
          <w:rFonts w:hint="eastAsia" w:ascii="宋体" w:hAnsi="宋体"/>
          <w:color w:val="auto"/>
          <w:sz w:val="24"/>
          <w:highlight w:val="none"/>
        </w:rPr>
        <w:t>年　　月　　日　　　　　　　　　　　　年　　月　　日</w:t>
      </w:r>
    </w:p>
    <w:p w14:paraId="5FA126DD">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第二部分　建设工程造价咨询合同通用条款</w:t>
      </w:r>
    </w:p>
    <w:p w14:paraId="499AF9FD">
      <w:pPr>
        <w:adjustRightInd w:val="0"/>
        <w:snapToGrid w:val="0"/>
        <w:spacing w:line="360" w:lineRule="auto"/>
        <w:jc w:val="center"/>
        <w:rPr>
          <w:rFonts w:hint="eastAsia" w:ascii="宋体" w:hAnsi="宋体"/>
          <w:b/>
          <w:color w:val="auto"/>
          <w:sz w:val="24"/>
          <w:highlight w:val="none"/>
        </w:rPr>
      </w:pPr>
      <w:r>
        <w:rPr>
          <w:rFonts w:hint="eastAsia" w:ascii="宋体" w:hAnsi="宋体"/>
          <w:vanish/>
          <w:color w:val="auto"/>
          <w:sz w:val="24"/>
          <w:highlight w:val="none"/>
        </w:rPr>
        <w:cr/>
      </w:r>
      <w:r>
        <w:rPr>
          <w:rFonts w:hint="eastAsia" w:ascii="宋体" w:hAnsi="宋体"/>
          <w:color w:val="auto"/>
          <w:sz w:val="24"/>
          <w:highlight w:val="none"/>
        </w:rPr>
        <w:t>词语定义、适用语言和法律、法规</w:t>
      </w:r>
    </w:p>
    <w:p w14:paraId="2BF5910B">
      <w:pPr>
        <w:adjustRightInd w:val="0"/>
        <w:snapToGrid w:val="0"/>
        <w:spacing w:line="360" w:lineRule="auto"/>
        <w:rPr>
          <w:rFonts w:ascii="宋体" w:hAnsi="宋体"/>
          <w:color w:val="auto"/>
          <w:sz w:val="24"/>
          <w:highlight w:val="none"/>
        </w:rPr>
      </w:pPr>
      <w:r>
        <w:rPr>
          <w:rFonts w:hint="eastAsia" w:ascii="宋体" w:hAnsi="宋体"/>
          <w:b/>
          <w:color w:val="auto"/>
          <w:highlight w:val="none"/>
        </w:rPr>
        <w:t>　</w:t>
      </w:r>
      <w:r>
        <w:rPr>
          <w:rFonts w:hint="eastAsia" w:ascii="宋体" w:hAnsi="宋体"/>
          <w:b/>
          <w:color w:val="auto"/>
          <w:sz w:val="24"/>
          <w:highlight w:val="none"/>
        </w:rPr>
        <w:t>　第一条</w:t>
      </w:r>
      <w:r>
        <w:rPr>
          <w:rFonts w:hint="eastAsia" w:ascii="宋体" w:hAnsi="宋体"/>
          <w:color w:val="auto"/>
          <w:sz w:val="24"/>
          <w:highlight w:val="none"/>
        </w:rPr>
        <w:t>　下列名词和用语，除上下文另有规定外具有如下含义。</w:t>
      </w:r>
    </w:p>
    <w:p w14:paraId="703E42AE">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1、“委托人”是指在建设工程造价咨询协议书上指明并与咨询人在该协议书上签字、盖章的当事人。</w:t>
      </w:r>
    </w:p>
    <w:p w14:paraId="41A116DA">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2、“咨询人”是指在建设工程造价咨询协议书上指明并与委托人在该协议书上签字、盖章的当事人。</w:t>
      </w:r>
    </w:p>
    <w:p w14:paraId="26339FD3">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3、“第三人”是指除委托人、咨询人以外与本咨询业务有关的当事人。</w:t>
      </w:r>
    </w:p>
    <w:p w14:paraId="2F0943F5">
      <w:pPr>
        <w:adjustRightInd w:val="0"/>
        <w:snapToGrid w:val="0"/>
        <w:spacing w:line="360" w:lineRule="auto"/>
        <w:ind w:firstLine="420" w:firstLineChars="175"/>
        <w:rPr>
          <w:rFonts w:hint="eastAsia" w:ascii="宋体" w:hAnsi="宋体"/>
          <w:color w:val="auto"/>
          <w:sz w:val="24"/>
          <w:highlight w:val="none"/>
        </w:rPr>
      </w:pPr>
      <w:r>
        <w:rPr>
          <w:rFonts w:hint="eastAsia" w:ascii="宋体" w:hAnsi="宋体"/>
          <w:color w:val="auto"/>
          <w:sz w:val="24"/>
          <w:highlight w:val="none"/>
        </w:rPr>
        <w:t>4、“日”是指任何一个午夜至下一个午夜的时间段。</w:t>
      </w:r>
    </w:p>
    <w:p w14:paraId="367682EC">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5、“正常服务”是指双方在专用条款中约定的工程造价咨询工作；</w:t>
      </w:r>
    </w:p>
    <w:p w14:paraId="593D6797">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6、“附加服务”是指在“正常服务”以外，经双方书面协议确定的附加服务；</w:t>
      </w:r>
    </w:p>
    <w:p w14:paraId="0EAA27A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7、“额外服务”是指不属于“正常服务”和“附加服务”，咨询人增加的额外工作量。</w:t>
      </w:r>
    </w:p>
    <w:p w14:paraId="6A6A2F5D">
      <w:pPr>
        <w:adjustRightInd w:val="0"/>
        <w:snapToGrid w:val="0"/>
        <w:spacing w:line="360" w:lineRule="auto"/>
        <w:rPr>
          <w:rFonts w:ascii="宋体" w:hAnsi="宋体"/>
          <w:color w:val="auto"/>
          <w:sz w:val="24"/>
          <w:highlight w:val="none"/>
        </w:rPr>
      </w:pPr>
      <w:r>
        <w:rPr>
          <w:rFonts w:hint="eastAsia" w:ascii="宋体" w:hAnsi="宋体"/>
          <w:b/>
          <w:color w:val="auto"/>
          <w:sz w:val="24"/>
          <w:highlight w:val="none"/>
        </w:rPr>
        <w:t>　　第二条</w:t>
      </w:r>
      <w:r>
        <w:rPr>
          <w:rFonts w:hint="eastAsia" w:ascii="宋体" w:hAnsi="宋体"/>
          <w:color w:val="auto"/>
          <w:sz w:val="24"/>
          <w:highlight w:val="none"/>
        </w:rPr>
        <w:t>　建设工程造价咨询合同适用的法律、法规是中华人民共和国的法律、法规，以及专用条款中约定的部门规章、工程造价有关计价办法、规定，及项目所在地的地方法规、地方规章。</w:t>
      </w:r>
    </w:p>
    <w:p w14:paraId="3D10467F">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w:t>
      </w:r>
      <w:r>
        <w:rPr>
          <w:rFonts w:hint="eastAsia" w:ascii="宋体" w:hAnsi="宋体"/>
          <w:b/>
          <w:color w:val="auto"/>
          <w:sz w:val="24"/>
          <w:highlight w:val="none"/>
        </w:rPr>
        <w:t>　第三条</w:t>
      </w:r>
      <w:r>
        <w:rPr>
          <w:rFonts w:hint="eastAsia" w:ascii="宋体" w:hAnsi="宋体"/>
          <w:color w:val="auto"/>
          <w:sz w:val="24"/>
          <w:highlight w:val="none"/>
        </w:rPr>
        <w:t>　建设工程造价咨询合同的书写、解释和说明，以汉语为主导语言。当不同语言文本发生不同解释时，以汉语合同文本为准。</w:t>
      </w:r>
    </w:p>
    <w:p w14:paraId="546DC63D">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咨询人的义务</w:t>
      </w:r>
    </w:p>
    <w:p w14:paraId="2BF95F16">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w:t>
      </w:r>
      <w:r>
        <w:rPr>
          <w:rFonts w:hint="eastAsia" w:ascii="宋体" w:hAnsi="宋体"/>
          <w:b/>
          <w:color w:val="auto"/>
          <w:sz w:val="24"/>
          <w:highlight w:val="none"/>
        </w:rPr>
        <w:t>第四条</w:t>
      </w:r>
      <w:r>
        <w:rPr>
          <w:rFonts w:hint="eastAsia" w:ascii="宋体" w:hAnsi="宋体"/>
          <w:color w:val="auto"/>
          <w:sz w:val="24"/>
          <w:highlight w:val="none"/>
        </w:rPr>
        <w:t>　向委托人提供与工程造价咨询业务有关的资料，包括承担本合同咨询业务的专业人员名单、咨询工作计划等。</w:t>
      </w:r>
    </w:p>
    <w:p w14:paraId="06F2FFA5">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w:t>
      </w:r>
      <w:r>
        <w:rPr>
          <w:rFonts w:hint="eastAsia" w:ascii="宋体" w:hAnsi="宋体"/>
          <w:b/>
          <w:color w:val="auto"/>
          <w:sz w:val="24"/>
          <w:highlight w:val="none"/>
        </w:rPr>
        <w:t>第五条</w:t>
      </w:r>
      <w:r>
        <w:rPr>
          <w:rFonts w:hint="eastAsia" w:ascii="宋体" w:hAnsi="宋体"/>
          <w:color w:val="auto"/>
          <w:sz w:val="24"/>
          <w:highlight w:val="none"/>
        </w:rPr>
        <w:t>　咨询人按专用条款中约定的工作范围和内容，向委托人提供工程造价咨询专业服务，包括正常服务、附加服务和额外服务。并在合同约定的时间内，提供符合行业管理规定的咨询成果文件。</w:t>
      </w:r>
    </w:p>
    <w:p w14:paraId="727A04EA">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hint="eastAsia" w:ascii="宋体" w:hAnsi="宋体"/>
          <w:color w:val="auto"/>
          <w:sz w:val="24"/>
          <w:highlight w:val="none"/>
        </w:rPr>
        <w:t xml:space="preserve">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14:paraId="3ADC42C3">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第七条</w:t>
      </w:r>
      <w:r>
        <w:rPr>
          <w:rFonts w:hint="eastAsia" w:ascii="宋体" w:hAnsi="宋体"/>
          <w:color w:val="auto"/>
          <w:sz w:val="24"/>
          <w:highlight w:val="none"/>
        </w:rPr>
        <w:t>　咨询人不得泄露与本合同规定业务活动有关的保密资料。</w:t>
      </w:r>
    </w:p>
    <w:p w14:paraId="3841BDD9">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委托人的义务</w:t>
      </w:r>
    </w:p>
    <w:p w14:paraId="4D248DD2">
      <w:pPr>
        <w:adjustRightInd w:val="0"/>
        <w:snapToGrid w:val="0"/>
        <w:spacing w:line="360" w:lineRule="auto"/>
        <w:rPr>
          <w:rFonts w:ascii="宋体" w:hAnsi="宋体"/>
          <w:b/>
          <w:color w:val="auto"/>
          <w:sz w:val="24"/>
          <w:highlight w:val="none"/>
        </w:rPr>
      </w:pPr>
      <w:r>
        <w:rPr>
          <w:rFonts w:hint="eastAsia" w:ascii="宋体" w:hAnsi="宋体"/>
          <w:color w:val="auto"/>
          <w:sz w:val="24"/>
          <w:highlight w:val="none"/>
        </w:rPr>
        <w:t>　　</w:t>
      </w:r>
      <w:r>
        <w:rPr>
          <w:rFonts w:hint="eastAsia" w:ascii="宋体" w:hAnsi="宋体"/>
          <w:b/>
          <w:color w:val="auto"/>
          <w:sz w:val="24"/>
          <w:highlight w:val="none"/>
        </w:rPr>
        <w:t>第八条</w:t>
      </w:r>
      <w:r>
        <w:rPr>
          <w:rFonts w:hint="eastAsia" w:ascii="宋体" w:hAnsi="宋体"/>
          <w:color w:val="auto"/>
          <w:sz w:val="24"/>
          <w:highlight w:val="none"/>
        </w:rPr>
        <w:t>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2EFEE6D5">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第九条</w:t>
      </w:r>
      <w:r>
        <w:rPr>
          <w:rFonts w:hint="eastAsia" w:ascii="宋体" w:hAnsi="宋体"/>
          <w:color w:val="auto"/>
          <w:sz w:val="24"/>
          <w:highlight w:val="none"/>
        </w:rPr>
        <w:t>　委托人在约定的时间内，免费向咨询人提供与本项目咨询业务有关的资料。并对资料的真实性、完整性负责。</w:t>
      </w:r>
    </w:p>
    <w:p w14:paraId="06958692">
      <w:pPr>
        <w:adjustRightInd w:val="0"/>
        <w:snapToGrid w:val="0"/>
        <w:spacing w:line="360" w:lineRule="auto"/>
        <w:ind w:left="105" w:leftChars="50" w:firstLine="361" w:firstLineChars="150"/>
        <w:rPr>
          <w:rFonts w:hint="eastAsia" w:ascii="宋体" w:hAnsi="宋体"/>
          <w:color w:val="auto"/>
          <w:sz w:val="24"/>
          <w:highlight w:val="none"/>
        </w:rPr>
      </w:pPr>
      <w:r>
        <w:rPr>
          <w:rFonts w:hint="eastAsia" w:ascii="宋体" w:hAnsi="宋体"/>
          <w:b/>
          <w:color w:val="auto"/>
          <w:sz w:val="24"/>
          <w:highlight w:val="none"/>
        </w:rPr>
        <w:t>第十条</w:t>
      </w:r>
      <w:r>
        <w:rPr>
          <w:rFonts w:hint="eastAsia" w:ascii="宋体" w:hAnsi="宋体"/>
          <w:color w:val="auto"/>
          <w:sz w:val="24"/>
          <w:highlight w:val="none"/>
        </w:rPr>
        <w:t xml:space="preserve"> 委托人在约定的时间内就咨询人书面提交并要求做出答复的事宜做出书面答复。　　</w:t>
      </w:r>
    </w:p>
    <w:p w14:paraId="4E02EF26">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第十一条</w:t>
      </w:r>
      <w:r>
        <w:rPr>
          <w:rFonts w:hint="eastAsia" w:ascii="宋体" w:hAnsi="宋体"/>
          <w:color w:val="auto"/>
          <w:sz w:val="24"/>
          <w:highlight w:val="none"/>
        </w:rPr>
        <w:t>　委托人应当按合同条款规定及时支付咨询费用。</w:t>
      </w:r>
    </w:p>
    <w:p w14:paraId="73926576">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咨询人的权利</w:t>
      </w:r>
    </w:p>
    <w:p w14:paraId="028936AE">
      <w:pPr>
        <w:adjustRightInd w:val="0"/>
        <w:snapToGrid w:val="0"/>
        <w:spacing w:line="360" w:lineRule="auto"/>
        <w:ind w:firstLine="420"/>
        <w:rPr>
          <w:rFonts w:hint="eastAsia" w:ascii="宋体" w:hAnsi="宋体"/>
          <w:color w:val="auto"/>
          <w:sz w:val="24"/>
          <w:highlight w:val="none"/>
        </w:rPr>
      </w:pPr>
      <w:r>
        <w:rPr>
          <w:rFonts w:hint="eastAsia" w:ascii="宋体" w:hAnsi="宋体"/>
          <w:b/>
          <w:color w:val="auto"/>
          <w:sz w:val="24"/>
          <w:highlight w:val="none"/>
        </w:rPr>
        <w:t>第十二条</w:t>
      </w:r>
      <w:r>
        <w:rPr>
          <w:rFonts w:hint="eastAsia" w:ascii="宋体" w:hAnsi="宋体"/>
          <w:color w:val="auto"/>
          <w:sz w:val="24"/>
          <w:highlight w:val="none"/>
        </w:rPr>
        <w:t>　咨询人在咨询过程中，如委托人提供的资料不明确时可向委托人提出书面报告。</w:t>
      </w:r>
    </w:p>
    <w:p w14:paraId="2B910533">
      <w:pPr>
        <w:adjustRightInd w:val="0"/>
        <w:snapToGrid w:val="0"/>
        <w:spacing w:line="360" w:lineRule="auto"/>
        <w:ind w:firstLine="420"/>
        <w:rPr>
          <w:rFonts w:hint="eastAsia" w:ascii="宋体" w:hAnsi="宋体"/>
          <w:b/>
          <w:color w:val="auto"/>
          <w:sz w:val="24"/>
          <w:highlight w:val="none"/>
        </w:rPr>
      </w:pPr>
      <w:r>
        <w:rPr>
          <w:rFonts w:hint="eastAsia" w:ascii="宋体" w:hAnsi="宋体"/>
          <w:b/>
          <w:color w:val="auto"/>
          <w:sz w:val="24"/>
          <w:highlight w:val="none"/>
        </w:rPr>
        <w:t>第十三条</w:t>
      </w:r>
      <w:r>
        <w:rPr>
          <w:rFonts w:hint="eastAsia" w:ascii="宋体" w:hAnsi="宋体"/>
          <w:color w:val="auto"/>
          <w:sz w:val="24"/>
          <w:highlight w:val="none"/>
        </w:rPr>
        <w:t xml:space="preserve">  咨询人在咨询过程中，有权对与本咨询业务有关的问题进行核对或查问，以及到工程现场勘察。</w:t>
      </w:r>
    </w:p>
    <w:p w14:paraId="62567A3B">
      <w:pPr>
        <w:adjustRightInd w:val="0"/>
        <w:snapToGrid w:val="0"/>
        <w:spacing w:line="360" w:lineRule="auto"/>
        <w:ind w:firstLine="420"/>
        <w:rPr>
          <w:rFonts w:hint="eastAsia" w:ascii="宋体" w:hAnsi="宋体"/>
          <w:color w:val="auto"/>
          <w:sz w:val="24"/>
          <w:highlight w:val="none"/>
        </w:rPr>
      </w:pPr>
      <w:r>
        <w:rPr>
          <w:rFonts w:hint="eastAsia" w:ascii="宋体" w:hAnsi="宋体"/>
          <w:b/>
          <w:color w:val="auto"/>
          <w:sz w:val="24"/>
          <w:highlight w:val="none"/>
        </w:rPr>
        <w:t>第十四条</w:t>
      </w:r>
      <w:r>
        <w:rPr>
          <w:rFonts w:hint="eastAsia" w:ascii="宋体" w:hAnsi="宋体"/>
          <w:color w:val="auto"/>
          <w:sz w:val="24"/>
          <w:highlight w:val="none"/>
        </w:rPr>
        <w:t xml:space="preserve">  咨询人在咨询过程中，由于委托人原因造成咨询人无法继续履行合同时，咨询人有权解除合同并要求委托人承担相应赔偿。</w:t>
      </w:r>
    </w:p>
    <w:p w14:paraId="4C6552D9">
      <w:pPr>
        <w:adjustRightInd w:val="0"/>
        <w:snapToGrid w:val="0"/>
        <w:spacing w:line="360" w:lineRule="auto"/>
        <w:ind w:firstLine="420"/>
        <w:rPr>
          <w:rFonts w:hint="eastAsia" w:ascii="宋体" w:hAnsi="宋体"/>
          <w:color w:val="auto"/>
          <w:sz w:val="24"/>
          <w:highlight w:val="none"/>
        </w:rPr>
      </w:pPr>
      <w:r>
        <w:rPr>
          <w:rFonts w:hint="eastAsia" w:ascii="宋体" w:hAnsi="宋体"/>
          <w:b/>
          <w:color w:val="auto"/>
          <w:sz w:val="24"/>
          <w:highlight w:val="none"/>
        </w:rPr>
        <w:t>第十五条</w:t>
      </w:r>
      <w:r>
        <w:rPr>
          <w:rFonts w:hint="eastAsia" w:ascii="宋体" w:hAnsi="宋体"/>
          <w:color w:val="auto"/>
          <w:sz w:val="24"/>
          <w:highlight w:val="none"/>
        </w:rPr>
        <w:t xml:space="preserve">  咨询人在咨询过程中，有独立执行工程造价咨询业务工作的权利。</w:t>
      </w:r>
    </w:p>
    <w:p w14:paraId="321D3FDB">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rPr>
        <w:t>咨询人有权拒绝委托人提出的有失公平、公正及违反法律法规的要求，由此原因造成的咨询合同终止咨询人免责。对于造成咨询人损失的，由委托人给予赔偿。</w:t>
      </w:r>
    </w:p>
    <w:p w14:paraId="161AA89E">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委托人的权利</w:t>
      </w:r>
    </w:p>
    <w:p w14:paraId="36C78F5C">
      <w:pPr>
        <w:adjustRightInd w:val="0"/>
        <w:snapToGrid w:val="0"/>
        <w:spacing w:line="360" w:lineRule="auto"/>
        <w:ind w:firstLine="420"/>
        <w:rPr>
          <w:rFonts w:hint="eastAsia" w:ascii="宋体" w:hAnsi="宋体"/>
          <w:color w:val="auto"/>
          <w:sz w:val="24"/>
          <w:highlight w:val="none"/>
        </w:rPr>
      </w:pPr>
      <w:r>
        <w:rPr>
          <w:rFonts w:hint="eastAsia" w:ascii="宋体" w:hAnsi="宋体"/>
          <w:b/>
          <w:color w:val="auto"/>
          <w:sz w:val="24"/>
          <w:highlight w:val="none"/>
        </w:rPr>
        <w:t>第十六条</w:t>
      </w:r>
      <w:r>
        <w:rPr>
          <w:rFonts w:hint="eastAsia" w:ascii="宋体" w:hAnsi="宋体"/>
          <w:color w:val="auto"/>
          <w:sz w:val="24"/>
          <w:highlight w:val="none"/>
        </w:rPr>
        <w:t>　委托人有权向咨询人询问工作进展情况及相关的内容。</w:t>
      </w:r>
    </w:p>
    <w:p w14:paraId="4F2B4BFE">
      <w:pPr>
        <w:adjustRightInd w:val="0"/>
        <w:snapToGrid w:val="0"/>
        <w:spacing w:line="360" w:lineRule="auto"/>
        <w:ind w:firstLine="420"/>
        <w:rPr>
          <w:rFonts w:hint="eastAsia" w:ascii="宋体" w:hAnsi="宋体"/>
          <w:color w:val="auto"/>
          <w:sz w:val="24"/>
          <w:highlight w:val="none"/>
        </w:rPr>
      </w:pPr>
      <w:r>
        <w:rPr>
          <w:rFonts w:hint="eastAsia" w:ascii="宋体" w:hAnsi="宋体"/>
          <w:b/>
          <w:color w:val="auto"/>
          <w:sz w:val="24"/>
          <w:highlight w:val="none"/>
        </w:rPr>
        <w:t>第十七条</w:t>
      </w:r>
      <w:r>
        <w:rPr>
          <w:rFonts w:hint="eastAsia" w:ascii="宋体" w:hAnsi="宋体"/>
          <w:color w:val="auto"/>
          <w:sz w:val="24"/>
          <w:highlight w:val="none"/>
        </w:rPr>
        <w:t xml:space="preserve">  委托人有权阐述对具体问题的意见和建议。</w:t>
      </w:r>
    </w:p>
    <w:p w14:paraId="65B7BC13">
      <w:pPr>
        <w:adjustRightInd w:val="0"/>
        <w:snapToGrid w:val="0"/>
        <w:spacing w:line="360" w:lineRule="auto"/>
        <w:ind w:firstLine="420"/>
        <w:rPr>
          <w:rFonts w:hint="eastAsia" w:ascii="宋体" w:hAnsi="宋体"/>
          <w:b/>
          <w:color w:val="auto"/>
          <w:sz w:val="24"/>
          <w:highlight w:val="none"/>
        </w:rPr>
      </w:pPr>
      <w:r>
        <w:rPr>
          <w:rFonts w:hint="eastAsia" w:ascii="宋体" w:hAnsi="宋体"/>
          <w:b/>
          <w:color w:val="auto"/>
          <w:sz w:val="24"/>
          <w:highlight w:val="none"/>
        </w:rPr>
        <w:t>第十八条</w:t>
      </w:r>
      <w:r>
        <w:rPr>
          <w:rFonts w:hint="eastAsia" w:ascii="宋体" w:hAnsi="宋体"/>
          <w:color w:val="auto"/>
          <w:sz w:val="24"/>
          <w:highlight w:val="none"/>
        </w:rPr>
        <w:t xml:space="preserve">  当委托人认定咨询专业人员不按咨询合同履行其职责，或与第三人串通给委托人造成经济损失的，委托人有权要求更换咨询专业人员，直至终止合同并要求咨询人承担相应的赔偿责任。</w:t>
      </w:r>
    </w:p>
    <w:p w14:paraId="42ABC8AF">
      <w:pPr>
        <w:adjustRightInd w:val="0"/>
        <w:snapToGrid w:val="0"/>
        <w:spacing w:line="360" w:lineRule="auto"/>
        <w:ind w:firstLine="420"/>
        <w:rPr>
          <w:rFonts w:hint="eastAsia" w:ascii="宋体" w:hAnsi="宋体"/>
          <w:color w:val="auto"/>
          <w:sz w:val="24"/>
          <w:highlight w:val="none"/>
        </w:rPr>
      </w:pPr>
      <w:r>
        <w:rPr>
          <w:rFonts w:hint="eastAsia" w:ascii="宋体" w:hAnsi="宋体"/>
          <w:b/>
          <w:color w:val="auto"/>
          <w:sz w:val="24"/>
          <w:highlight w:val="none"/>
        </w:rPr>
        <w:t>第十九条</w:t>
      </w:r>
      <w:r>
        <w:rPr>
          <w:rFonts w:hint="eastAsia" w:ascii="宋体" w:hAnsi="宋体"/>
          <w:color w:val="auto"/>
          <w:sz w:val="24"/>
          <w:highlight w:val="none"/>
        </w:rPr>
        <w:t xml:space="preserve">  当委托人认定咨询人执行的专业咨询业务不符合相关规范时，有向行业主管部门申诉的权利。</w:t>
      </w:r>
    </w:p>
    <w:p w14:paraId="2EA207D4">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咨询人的责任</w:t>
      </w:r>
    </w:p>
    <w:p w14:paraId="1CB26BB2">
      <w:pPr>
        <w:adjustRightInd w:val="0"/>
        <w:snapToGrid w:val="0"/>
        <w:spacing w:line="360" w:lineRule="auto"/>
        <w:rPr>
          <w:rFonts w:ascii="宋体" w:hAnsi="宋体"/>
          <w:b/>
          <w:color w:val="auto"/>
          <w:sz w:val="24"/>
          <w:highlight w:val="none"/>
        </w:rPr>
      </w:pPr>
      <w:r>
        <w:rPr>
          <w:rFonts w:hint="eastAsia" w:ascii="宋体" w:hAnsi="宋体"/>
          <w:color w:val="auto"/>
          <w:sz w:val="24"/>
          <w:highlight w:val="none"/>
        </w:rPr>
        <w:t>　　</w:t>
      </w:r>
      <w:r>
        <w:rPr>
          <w:rFonts w:hint="eastAsia" w:ascii="宋体" w:hAnsi="宋体"/>
          <w:b/>
          <w:color w:val="auto"/>
          <w:sz w:val="24"/>
          <w:highlight w:val="none"/>
        </w:rPr>
        <w:t>第二十条</w:t>
      </w:r>
      <w:r>
        <w:rPr>
          <w:rFonts w:hint="eastAsia" w:ascii="宋体" w:hAnsi="宋体"/>
          <w:color w:val="auto"/>
          <w:sz w:val="24"/>
          <w:highlight w:val="none"/>
        </w:rPr>
        <w:t>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3AD1DB2A">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第二十一条</w:t>
      </w:r>
      <w:r>
        <w:rPr>
          <w:rFonts w:hint="eastAsia" w:ascii="宋体" w:hAnsi="宋体"/>
          <w:color w:val="auto"/>
          <w:sz w:val="24"/>
          <w:highlight w:val="none"/>
        </w:rPr>
        <w:t>　咨询人对委托人或第三人所提出的咨询业务范围内的问题不能及时核对或答复，导致合同不能全部或部分履行，咨询人应承担相应的责任。</w:t>
      </w:r>
    </w:p>
    <w:p w14:paraId="2B8A88BD">
      <w:pPr>
        <w:adjustRightInd w:val="0"/>
        <w:snapToGrid w:val="0"/>
        <w:spacing w:line="360" w:lineRule="auto"/>
        <w:rPr>
          <w:rFonts w:hint="eastAsia" w:ascii="宋体" w:hAnsi="宋体"/>
          <w:color w:val="auto"/>
          <w:sz w:val="24"/>
          <w:highlight w:val="none"/>
        </w:rPr>
      </w:pPr>
      <w:r>
        <w:rPr>
          <w:rFonts w:hint="eastAsia" w:ascii="宋体" w:hAnsi="宋体"/>
          <w:b/>
          <w:color w:val="auto"/>
          <w:sz w:val="24"/>
          <w:highlight w:val="none"/>
        </w:rPr>
        <w:t>　　第二十二条</w:t>
      </w:r>
      <w:r>
        <w:rPr>
          <w:rFonts w:hint="eastAsia" w:ascii="宋体" w:hAnsi="宋体"/>
          <w:color w:val="auto"/>
          <w:sz w:val="24"/>
          <w:highlight w:val="none"/>
        </w:rPr>
        <w:t>　咨询人向委托人提出赔偿要求不能成立时，则应补偿由于该赔偿或其他要求所导致委托人的各种费用的支出。</w:t>
      </w:r>
    </w:p>
    <w:p w14:paraId="51B49106">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委托人的责任</w:t>
      </w:r>
    </w:p>
    <w:p w14:paraId="410C5D03">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第二十三条</w:t>
      </w:r>
      <w:r>
        <w:rPr>
          <w:rFonts w:hint="eastAsia" w:ascii="宋体" w:hAnsi="宋体"/>
          <w:color w:val="auto"/>
          <w:sz w:val="24"/>
          <w:highlight w:val="none"/>
        </w:rPr>
        <w:t>　委托人应当履行建设工程造价咨询合同约定的义务，如有违反则应当承担违约责任，赔偿给咨询人造成的损失。</w:t>
      </w:r>
    </w:p>
    <w:p w14:paraId="01C2800C">
      <w:pPr>
        <w:adjustRightInd w:val="0"/>
        <w:snapToGrid w:val="0"/>
        <w:spacing w:line="360" w:lineRule="auto"/>
        <w:rPr>
          <w:rFonts w:hint="eastAsia" w:ascii="宋体" w:hAnsi="宋体"/>
          <w:color w:val="auto"/>
          <w:sz w:val="24"/>
          <w:highlight w:val="none"/>
        </w:rPr>
      </w:pPr>
      <w:r>
        <w:rPr>
          <w:rFonts w:hint="eastAsia" w:ascii="宋体" w:hAnsi="宋体"/>
          <w:b/>
          <w:color w:val="auto"/>
          <w:sz w:val="24"/>
          <w:highlight w:val="none"/>
        </w:rPr>
        <w:t>　　第二十四条</w:t>
      </w:r>
      <w:r>
        <w:rPr>
          <w:rFonts w:hint="eastAsia" w:ascii="宋体" w:hAnsi="宋体"/>
          <w:color w:val="auto"/>
          <w:sz w:val="24"/>
          <w:highlight w:val="none"/>
        </w:rPr>
        <w:t>　委托人如果向咨询人提出赔偿或其他要求不能成立时，则应补偿由于该赔偿或其他要求所导致咨询人的各种费用的支出。</w:t>
      </w:r>
    </w:p>
    <w:p w14:paraId="2F70D998">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合同生效、变更与终止</w:t>
      </w:r>
    </w:p>
    <w:p w14:paraId="25307381">
      <w:pPr>
        <w:adjustRightInd w:val="0"/>
        <w:snapToGrid w:val="0"/>
        <w:spacing w:line="360" w:lineRule="auto"/>
        <w:rPr>
          <w:rFonts w:ascii="宋体" w:hAnsi="宋体"/>
          <w:b/>
          <w:color w:val="auto"/>
          <w:sz w:val="24"/>
          <w:highlight w:val="none"/>
        </w:rPr>
      </w:pPr>
      <w:r>
        <w:rPr>
          <w:rFonts w:hint="eastAsia" w:ascii="宋体" w:hAnsi="宋体"/>
          <w:color w:val="auto"/>
          <w:sz w:val="24"/>
          <w:highlight w:val="none"/>
        </w:rPr>
        <w:t>　　</w:t>
      </w:r>
      <w:r>
        <w:rPr>
          <w:rFonts w:hint="eastAsia" w:ascii="宋体" w:hAnsi="宋体"/>
          <w:b/>
          <w:color w:val="auto"/>
          <w:sz w:val="24"/>
          <w:highlight w:val="none"/>
        </w:rPr>
        <w:t>第二十五条</w:t>
      </w:r>
      <w:r>
        <w:rPr>
          <w:rFonts w:hint="eastAsia" w:ascii="宋体" w:hAnsi="宋体"/>
          <w:color w:val="auto"/>
          <w:sz w:val="24"/>
          <w:highlight w:val="none"/>
        </w:rPr>
        <w:t>　本合同自双方签字盖章之日起生效。</w:t>
      </w:r>
    </w:p>
    <w:p w14:paraId="646D5FA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第二十六条</w:t>
      </w:r>
      <w:r>
        <w:rPr>
          <w:rFonts w:hint="eastAsia" w:ascii="宋体" w:hAnsi="宋体"/>
          <w:color w:val="auto"/>
          <w:sz w:val="24"/>
          <w:highlight w:val="none"/>
        </w:rPr>
        <w:t>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14:paraId="5BC43D61">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第二十七条</w:t>
      </w:r>
      <w:r>
        <w:rPr>
          <w:rFonts w:hint="eastAsia" w:ascii="宋体" w:hAnsi="宋体"/>
          <w:color w:val="auto"/>
          <w:sz w:val="24"/>
          <w:highlight w:val="none"/>
        </w:rPr>
        <w:t>　当事人一方要求变更或解除合同时，则应当在7个工作日前通知对方；因变更或解除合同使一方遭受损失的，应由责任方负责赔偿。</w:t>
      </w:r>
    </w:p>
    <w:p w14:paraId="67A67808">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第二十八条</w:t>
      </w:r>
      <w:r>
        <w:rPr>
          <w:rFonts w:hint="eastAsia" w:ascii="宋体" w:hAnsi="宋体"/>
          <w:color w:val="auto"/>
          <w:sz w:val="24"/>
          <w:highlight w:val="none"/>
        </w:rPr>
        <w:t>　咨询人由于非自身原因暂停或中止执行建设工程造价咨询业务，由此而增加的恢复执行建设工程造价咨询业务的工作，应视为额外服务，有权得到额外的时间和酬金。</w:t>
      </w:r>
    </w:p>
    <w:p w14:paraId="7A02BC44">
      <w:pPr>
        <w:adjustRightInd w:val="0"/>
        <w:snapToGrid w:val="0"/>
        <w:spacing w:line="360" w:lineRule="auto"/>
        <w:rPr>
          <w:rFonts w:hint="eastAsia" w:ascii="宋体" w:hAnsi="宋体"/>
          <w:color w:val="auto"/>
          <w:sz w:val="24"/>
          <w:highlight w:val="none"/>
        </w:rPr>
      </w:pPr>
      <w:r>
        <w:rPr>
          <w:rFonts w:hint="eastAsia" w:ascii="宋体" w:hAnsi="宋体"/>
          <w:b/>
          <w:color w:val="auto"/>
          <w:sz w:val="24"/>
          <w:highlight w:val="none"/>
        </w:rPr>
        <w:t>　　第二十九条</w:t>
      </w:r>
      <w:r>
        <w:rPr>
          <w:rFonts w:hint="eastAsia" w:ascii="宋体" w:hAnsi="宋体"/>
          <w:color w:val="auto"/>
          <w:sz w:val="24"/>
          <w:highlight w:val="none"/>
        </w:rPr>
        <w:t>　变更或解除合同的通知或协议应当采取书面形式，新的协议未达成之前，原合同仍然有效。</w:t>
      </w:r>
    </w:p>
    <w:p w14:paraId="4FEFF6A5">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咨询业务酬金</w:t>
      </w:r>
    </w:p>
    <w:p w14:paraId="30DB7760">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第三十条</w:t>
      </w:r>
      <w:r>
        <w:rPr>
          <w:rFonts w:hint="eastAsia" w:ascii="宋体" w:hAnsi="宋体"/>
          <w:color w:val="auto"/>
          <w:sz w:val="24"/>
          <w:highlight w:val="none"/>
        </w:rPr>
        <w:t>　正常服务，附加服务和额外服务的酬金，按照建设工程造价咨询合同专用条款约定的方法计取，并按约定的时间、数额和币种支付。</w:t>
      </w:r>
    </w:p>
    <w:p w14:paraId="3F2AD602">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第三十一条</w:t>
      </w:r>
      <w:r>
        <w:rPr>
          <w:rFonts w:hint="eastAsia" w:ascii="宋体" w:hAnsi="宋体"/>
          <w:color w:val="auto"/>
          <w:sz w:val="24"/>
          <w:highlight w:val="none"/>
        </w:rPr>
        <w:t>　如果委托人在规定的支付期限内未支付建设工程造价咨询酬金，自规定支付之日起，应当向咨询人补偿应支付的酬金利息。利息额按规定支付期限最后一日银行贷款利率计算。</w:t>
      </w:r>
    </w:p>
    <w:p w14:paraId="1A7C0740">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第三十二条</w:t>
      </w:r>
      <w:r>
        <w:rPr>
          <w:rFonts w:hint="eastAsia" w:ascii="宋体" w:hAnsi="宋体"/>
          <w:color w:val="auto"/>
          <w:sz w:val="24"/>
          <w:highlight w:val="none"/>
        </w:rPr>
        <w:t>　如果委托人对咨询人提交的支付通知书中酬金或部分酬金项目提出异议，应当在收到支付通知书两日内向咨询人发出异议的通知，但委托人不得拖延其无异议部分酬金的支付。</w:t>
      </w:r>
    </w:p>
    <w:p w14:paraId="2ABB9DE8">
      <w:pPr>
        <w:adjustRightInd w:val="0"/>
        <w:snapToGrid w:val="0"/>
        <w:spacing w:line="360" w:lineRule="auto"/>
        <w:rPr>
          <w:rFonts w:hint="eastAsia" w:ascii="宋体" w:hAnsi="宋体"/>
          <w:color w:val="auto"/>
          <w:sz w:val="24"/>
          <w:highlight w:val="none"/>
        </w:rPr>
      </w:pPr>
      <w:r>
        <w:rPr>
          <w:rFonts w:hint="eastAsia" w:ascii="宋体" w:hAnsi="宋体"/>
          <w:b/>
          <w:color w:val="auto"/>
          <w:sz w:val="24"/>
          <w:highlight w:val="none"/>
        </w:rPr>
        <w:t>　　第三十三条</w:t>
      </w:r>
      <w:r>
        <w:rPr>
          <w:rFonts w:hint="eastAsia" w:ascii="宋体" w:hAnsi="宋体"/>
          <w:color w:val="auto"/>
          <w:sz w:val="24"/>
          <w:highlight w:val="none"/>
        </w:rPr>
        <w:t>　支付建设工程造价咨询酬金所采取的货币币种、汇率由合同专用条款约定。</w:t>
      </w:r>
    </w:p>
    <w:p w14:paraId="547DDE27">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其　　他</w:t>
      </w:r>
    </w:p>
    <w:p w14:paraId="2136B98F">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第三十四条</w:t>
      </w:r>
      <w:r>
        <w:rPr>
          <w:rFonts w:hint="eastAsia" w:ascii="宋体" w:hAnsi="宋体"/>
          <w:color w:val="auto"/>
          <w:sz w:val="24"/>
          <w:highlight w:val="none"/>
        </w:rPr>
        <w:t>　因建设工程造价咨询业务的需要，咨询人在合同约定外的外出考察，经委托人同意，其所需费用由委托人负责。</w:t>
      </w:r>
    </w:p>
    <w:p w14:paraId="5A587A6F">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第三十五条</w:t>
      </w:r>
      <w:r>
        <w:rPr>
          <w:rFonts w:hint="eastAsia" w:ascii="宋体" w:hAnsi="宋体"/>
          <w:color w:val="auto"/>
          <w:sz w:val="24"/>
          <w:highlight w:val="none"/>
        </w:rPr>
        <w:t>　咨询人如需外聘专家协助，在委托的建设工程造价咨询业务范围内其费用由咨询人承担；在委托的建设工程造价咨询业务范围以外经委托人认可其费用由委托人承担。</w:t>
      </w:r>
    </w:p>
    <w:p w14:paraId="702EC7F6">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第三十六条</w:t>
      </w:r>
      <w:r>
        <w:rPr>
          <w:rFonts w:hint="eastAsia" w:ascii="宋体" w:hAnsi="宋体"/>
          <w:color w:val="auto"/>
          <w:sz w:val="24"/>
          <w:highlight w:val="none"/>
        </w:rPr>
        <w:t>　未经对方的书面同意，各方均不得转让合同约定的权利和义务。</w:t>
      </w:r>
    </w:p>
    <w:p w14:paraId="05082439">
      <w:pPr>
        <w:adjustRightInd w:val="0"/>
        <w:snapToGrid w:val="0"/>
        <w:spacing w:line="360" w:lineRule="auto"/>
        <w:rPr>
          <w:rFonts w:hint="eastAsia" w:ascii="宋体" w:hAnsi="宋体"/>
          <w:color w:val="auto"/>
          <w:sz w:val="24"/>
          <w:highlight w:val="none"/>
        </w:rPr>
      </w:pPr>
      <w:r>
        <w:rPr>
          <w:rFonts w:hint="eastAsia" w:ascii="宋体" w:hAnsi="宋体"/>
          <w:b/>
          <w:color w:val="auto"/>
          <w:sz w:val="24"/>
          <w:highlight w:val="none"/>
        </w:rPr>
        <w:t>　　第三十七条</w:t>
      </w:r>
      <w:r>
        <w:rPr>
          <w:rFonts w:hint="eastAsia" w:ascii="宋体" w:hAnsi="宋体"/>
          <w:color w:val="auto"/>
          <w:sz w:val="24"/>
          <w:highlight w:val="none"/>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1F73B8BF">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合同争议的解决</w:t>
      </w:r>
    </w:p>
    <w:p w14:paraId="33B5F145">
      <w:pPr>
        <w:adjustRightInd w:val="0"/>
        <w:snapToGrid w:val="0"/>
        <w:spacing w:line="360" w:lineRule="auto"/>
        <w:rPr>
          <w:rFonts w:ascii="宋体" w:hAnsi="宋体"/>
          <w:color w:val="auto"/>
          <w:sz w:val="24"/>
          <w:highlight w:val="none"/>
        </w:rPr>
      </w:pPr>
      <w:r>
        <w:rPr>
          <w:rFonts w:hint="eastAsia" w:ascii="宋体" w:hAnsi="宋体"/>
          <w:b/>
          <w:color w:val="auto"/>
          <w:sz w:val="24"/>
          <w:highlight w:val="none"/>
        </w:rPr>
        <w:t>　　第三十九条</w:t>
      </w:r>
      <w:r>
        <w:rPr>
          <w:rFonts w:hint="eastAsia" w:ascii="宋体" w:hAnsi="宋体"/>
          <w:color w:val="auto"/>
          <w:sz w:val="24"/>
          <w:highlight w:val="none"/>
        </w:rPr>
        <w:t>　因违约或终止合同而引起的损失和损害的赔偿，委托人与咨询人之间应当协商解决；如未能达成一致，可提交有关主管部门调解；协商或调解不成的，根据双方约定提交仲裁机关仲裁，或向人民法院提起诉讼。</w:t>
      </w:r>
    </w:p>
    <w:p w14:paraId="7A8141F5">
      <w:pPr>
        <w:widowControl/>
        <w:jc w:val="left"/>
        <w:rPr>
          <w:rFonts w:cs="宋体" w:asciiTheme="minorEastAsia" w:hAnsiTheme="minorEastAsia" w:eastAsiaTheme="minorEastAsia"/>
          <w:b/>
          <w:color w:val="auto"/>
          <w:sz w:val="36"/>
          <w:szCs w:val="36"/>
          <w:highlight w:val="none"/>
        </w:rPr>
      </w:pPr>
      <w:r>
        <w:rPr>
          <w:b/>
          <w:color w:val="auto"/>
          <w:sz w:val="28"/>
          <w:szCs w:val="28"/>
          <w:highlight w:val="none"/>
        </w:rPr>
        <w:br w:type="page"/>
      </w:r>
    </w:p>
    <w:p w14:paraId="5AB7E8F3">
      <w:pPr>
        <w:spacing w:line="360" w:lineRule="auto"/>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2026-2027年南通市公路事业发展中心项目造价咨询服务项目</w:t>
      </w:r>
    </w:p>
    <w:p w14:paraId="59FE9D6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廉政合同</w:t>
      </w:r>
    </w:p>
    <w:p w14:paraId="5364E08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根据交通</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部《关于在交通基础设施建设中加强廉政建设的若干意见》以及有关工程建设、廉政建设的规定，为做好工程建设中的党风廉政建设，保证工程建设高效优质，保证建设资金的安全和有效使用以及投资效益，甲方</w:t>
      </w:r>
      <w:r>
        <w:rPr>
          <w:rFonts w:hint="eastAsia" w:ascii="宋体" w:hAnsi="宋体" w:cs="宋体"/>
          <w:color w:val="auto"/>
          <w:sz w:val="24"/>
          <w:highlight w:val="none"/>
          <w:u w:val="single"/>
        </w:rPr>
        <w:t xml:space="preserve">     （全称）      </w:t>
      </w:r>
      <w:r>
        <w:rPr>
          <w:rFonts w:hint="eastAsia" w:ascii="宋体" w:hAnsi="宋体" w:cs="宋体"/>
          <w:color w:val="auto"/>
          <w:sz w:val="24"/>
          <w:highlight w:val="none"/>
        </w:rPr>
        <w:t>与乙方</w:t>
      </w:r>
      <w:r>
        <w:rPr>
          <w:rFonts w:hint="eastAsia" w:ascii="宋体" w:hAnsi="宋体" w:cs="宋体"/>
          <w:color w:val="auto"/>
          <w:sz w:val="24"/>
          <w:highlight w:val="none"/>
          <w:u w:val="single"/>
        </w:rPr>
        <w:t xml:space="preserve"> （全称）   </w:t>
      </w:r>
      <w:r>
        <w:rPr>
          <w:rFonts w:hint="eastAsia" w:ascii="宋体" w:hAnsi="宋体" w:cs="宋体"/>
          <w:color w:val="auto"/>
          <w:sz w:val="24"/>
          <w:highlight w:val="none"/>
        </w:rPr>
        <w:t>特订立如下合同。</w:t>
      </w:r>
    </w:p>
    <w:p w14:paraId="27BD64B5">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第一条</w:t>
      </w:r>
      <w:r>
        <w:rPr>
          <w:rFonts w:hint="eastAsia" w:ascii="宋体" w:hAnsi="宋体" w:cs="宋体"/>
          <w:color w:val="auto"/>
          <w:sz w:val="24"/>
          <w:highlight w:val="none"/>
        </w:rPr>
        <w:t>甲乙双方的权利和义务</w:t>
      </w:r>
    </w:p>
    <w:p w14:paraId="258E03A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（一）严格遵守国家有关法律法规及交通运输部的有关规定。</w:t>
      </w:r>
    </w:p>
    <w:p w14:paraId="750C92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的合同文件，自觉按合同办事。</w:t>
      </w:r>
    </w:p>
    <w:p w14:paraId="317FB98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（三）双方的业务活动坚持公开、公正、诚信、透明的原则（除法律认定的商业秘密和合同文件另有规定之外），不得损害国家和集体利益，违反工程建设管理规章制度。</w:t>
      </w:r>
    </w:p>
    <w:p w14:paraId="13AE04C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（四）建立健全廉政制度，开展廉政教育，设立廉政告示牌，公布举报电话，监督并认真查处违法违纪行为。</w:t>
      </w:r>
    </w:p>
    <w:p w14:paraId="2D2F0DB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60D893D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（六）发现对方严重违反本合同义务条款的行为，有向其上级有关部门举报、建议给予处理并要求告知处理结果的权利。影响合同履行的，可按照合同中关于合同解除的约定处理。</w:t>
      </w:r>
    </w:p>
    <w:p w14:paraId="12FC3764">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第二条</w:t>
      </w:r>
      <w:r>
        <w:rPr>
          <w:rFonts w:hint="eastAsia" w:ascii="宋体" w:hAnsi="宋体" w:cs="宋体"/>
          <w:color w:val="auto"/>
          <w:sz w:val="24"/>
          <w:highlight w:val="none"/>
        </w:rPr>
        <w:t>甲方的义务</w:t>
      </w:r>
    </w:p>
    <w:p w14:paraId="150638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（一）甲方作为工程项目的建设单位，认真履行合同规定的甲方责任。</w:t>
      </w:r>
    </w:p>
    <w:p w14:paraId="5AABD85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（二）甲方及其工作人员不得索要或接受乙方的礼金、有价证券和贵重物品，不得在乙方报销任何应由甲方或个人支付的费用等。</w:t>
      </w:r>
    </w:p>
    <w:p w14:paraId="131450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（三）甲方工作人员不得参加乙方安排的超标准宴请和娱乐活动；不得接受乙方提供的通讯工具、交通工具和高档办公用品等。</w:t>
      </w:r>
    </w:p>
    <w:p w14:paraId="037521A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（四）甲方及其工作人员不得要求或者接受乙方为其住房装修、婚丧嫁娶活动、配偶子女的工作安排以及出国出境、旅游等提供方便等。</w:t>
      </w:r>
    </w:p>
    <w:p w14:paraId="0E32AAB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（五）甲方工作人员的配偶、子女不得从事与甲方工程有关的项目。</w:t>
      </w:r>
    </w:p>
    <w:p w14:paraId="2511D61E">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第三条</w:t>
      </w:r>
      <w:r>
        <w:rPr>
          <w:rFonts w:hint="eastAsia" w:ascii="宋体" w:hAnsi="宋体" w:cs="宋体"/>
          <w:color w:val="auto"/>
          <w:sz w:val="24"/>
          <w:highlight w:val="none"/>
        </w:rPr>
        <w:t>乙方的义务</w:t>
      </w:r>
    </w:p>
    <w:p w14:paraId="1BF00A2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（一）乙方不得以任何理由向甲方及其工作人员行贿或馈赠礼金、有价证券、贵重礼品。</w:t>
      </w:r>
    </w:p>
    <w:p w14:paraId="71C7096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（二）乙方不得以任何名义为甲方及其工作人员报销应由甲方单位或个人支付的任何费用。</w:t>
      </w:r>
    </w:p>
    <w:p w14:paraId="33F8A5A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（三）乙方不得以任何理由安排甲方工作人员参加超标准宴请及娱乐活动。</w:t>
      </w:r>
    </w:p>
    <w:p w14:paraId="615FC7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（四）乙方不得为甲方单位和个人购置或提供通讯工具、交通工具和高档办公用品等。</w:t>
      </w:r>
    </w:p>
    <w:p w14:paraId="3461471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（五）乙方及其工作人员不得索取或接受工作关系单位的礼金、有价证券和贵重物品，不得在工作关系报销任何应由乙方或个人支付的费用。</w:t>
      </w:r>
    </w:p>
    <w:p w14:paraId="1CB22B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（六）乙方及其工作人员必须严格按照规程办事，不得损害甲方利益。</w:t>
      </w:r>
    </w:p>
    <w:p w14:paraId="7B0E2E7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第四条</w:t>
      </w:r>
      <w:r>
        <w:rPr>
          <w:rFonts w:hint="eastAsia" w:ascii="宋体" w:hAnsi="宋体" w:cs="宋体"/>
          <w:color w:val="auto"/>
          <w:sz w:val="24"/>
          <w:highlight w:val="none"/>
        </w:rPr>
        <w:t>违约责任</w:t>
      </w:r>
    </w:p>
    <w:p w14:paraId="3413F0C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（一）甲方及其工作人员违反本合同第一、二条；按管理权限，依据有关规定给予党纪、政纪或组织处理；涉嫌犯罪的，移交司法机关追究刑事责任；给乙方单位造成经济损失的，应予以赔偿。</w:t>
      </w:r>
    </w:p>
    <w:p w14:paraId="274C7C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0E7A555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第五条</w:t>
      </w:r>
      <w:r>
        <w:rPr>
          <w:rFonts w:hint="eastAsia" w:ascii="宋体" w:hAnsi="宋体" w:cs="宋体"/>
          <w:color w:val="auto"/>
          <w:sz w:val="24"/>
          <w:highlight w:val="none"/>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2A8182F3">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第六条</w:t>
      </w:r>
      <w:r>
        <w:rPr>
          <w:rFonts w:hint="eastAsia" w:ascii="宋体" w:hAnsi="宋体" w:cs="宋体"/>
          <w:color w:val="auto"/>
          <w:sz w:val="24"/>
          <w:highlight w:val="none"/>
        </w:rPr>
        <w:t>本合同有效期为甲乙双方签署之日起至该工程项目所有工作内容完成并经甲方验收合格后止。</w:t>
      </w:r>
    </w:p>
    <w:p w14:paraId="4C65880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第七条</w:t>
      </w:r>
      <w:r>
        <w:rPr>
          <w:rFonts w:hint="eastAsia" w:ascii="宋体" w:hAnsi="宋体" w:cs="宋体"/>
          <w:color w:val="auto"/>
          <w:sz w:val="24"/>
          <w:highlight w:val="none"/>
        </w:rPr>
        <w:t>本合同作为</w:t>
      </w:r>
      <w:r>
        <w:rPr>
          <w:rFonts w:hint="eastAsia" w:ascii="宋体" w:hAnsi="宋体" w:cs="宋体"/>
          <w:color w:val="auto"/>
          <w:sz w:val="24"/>
          <w:highlight w:val="none"/>
          <w:lang w:eastAsia="zh-CN"/>
        </w:rPr>
        <w:t>2026-2027年南通市公路事业发展中心项目造价咨询服务项目</w:t>
      </w:r>
      <w:r>
        <w:rPr>
          <w:rFonts w:hint="eastAsia" w:ascii="宋体" w:hAnsi="宋体" w:cs="宋体"/>
          <w:color w:val="auto"/>
          <w:sz w:val="24"/>
          <w:highlight w:val="none"/>
        </w:rPr>
        <w:t>合同的附件，与</w:t>
      </w:r>
      <w:r>
        <w:rPr>
          <w:rFonts w:hint="eastAsia" w:ascii="宋体" w:hAnsi="宋体" w:cs="宋体"/>
          <w:color w:val="auto"/>
          <w:sz w:val="24"/>
          <w:highlight w:val="none"/>
          <w:lang w:eastAsia="zh-CN"/>
        </w:rPr>
        <w:t>2026-2027年南通市公路事业发展中心项目造价咨询服务项目</w:t>
      </w:r>
      <w:r>
        <w:rPr>
          <w:rFonts w:hint="eastAsia" w:ascii="宋体" w:hAnsi="宋体" w:cs="宋体"/>
          <w:color w:val="auto"/>
          <w:sz w:val="24"/>
          <w:highlight w:val="none"/>
        </w:rPr>
        <w:t>合同具有同等的法律效力，经合同双方签署立即生效。</w:t>
      </w:r>
    </w:p>
    <w:p w14:paraId="3D6701A9">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第八条</w:t>
      </w:r>
      <w:r>
        <w:rPr>
          <w:rFonts w:hint="eastAsia" w:ascii="宋体" w:hAnsi="宋体" w:cs="宋体"/>
          <w:color w:val="auto"/>
          <w:sz w:val="24"/>
          <w:highlight w:val="none"/>
        </w:rPr>
        <w:t>本合同一式六份，双方各执三份。</w:t>
      </w:r>
    </w:p>
    <w:p w14:paraId="6ADD94F7">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（盖单位章）                     乙方：（盖单位章）</w:t>
      </w:r>
    </w:p>
    <w:p w14:paraId="6E46EDB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14:paraId="632BF0CE">
      <w:pPr>
        <w:spacing w:line="360" w:lineRule="auto"/>
        <w:jc w:val="left"/>
        <w:rPr>
          <w:rFonts w:ascii="宋体" w:hAnsi="宋体" w:cs="宋体"/>
          <w:color w:val="auto"/>
          <w:sz w:val="24"/>
          <w:highlight w:val="none"/>
        </w:rPr>
      </w:pPr>
      <w:r>
        <w:rPr>
          <w:rFonts w:hint="eastAsia" w:ascii="宋体" w:hAnsi="宋体" w:cs="宋体"/>
          <w:color w:val="auto"/>
          <w:sz w:val="24"/>
          <w:highlight w:val="none"/>
        </w:rPr>
        <w:t>或其委托代理人：（签字或盖章）          或其委托代理人：（签字或盖章）</w:t>
      </w:r>
    </w:p>
    <w:p w14:paraId="42199C57">
      <w:pPr>
        <w:spacing w:line="360" w:lineRule="auto"/>
        <w:ind w:firstLine="0"/>
        <w:rPr>
          <w:rFonts w:ascii="宋体" w:hAnsi="宋体" w:cs="宋体"/>
          <w:color w:val="auto"/>
          <w:sz w:val="24"/>
          <w:highlight w:val="none"/>
        </w:rPr>
      </w:pP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  月 </w:t>
      </w:r>
      <w:r>
        <w:rPr>
          <w:rFonts w:hint="eastAsia" w:ascii="宋体" w:hAnsi="宋体" w:cs="宋体"/>
          <w:color w:val="auto"/>
          <w:sz w:val="24"/>
          <w:highlight w:val="none"/>
        </w:rPr>
        <w:tab/>
      </w:r>
      <w:r>
        <w:rPr>
          <w:rFonts w:hint="eastAsia" w:ascii="宋体" w:hAnsi="宋体" w:cs="宋体"/>
          <w:color w:val="auto"/>
          <w:sz w:val="24"/>
          <w:highlight w:val="none"/>
        </w:rPr>
        <w:t xml:space="preserve">  日</w:t>
      </w:r>
    </w:p>
    <w:p w14:paraId="0B3C7C43">
      <w:pPr>
        <w:rPr>
          <w:rFonts w:ascii="宋体" w:hAnsi="宋体" w:cs="宋体"/>
          <w:color w:val="auto"/>
          <w:sz w:val="36"/>
          <w:szCs w:val="36"/>
          <w:highlight w:val="none"/>
        </w:rPr>
        <w:sectPr>
          <w:footerReference r:id="rId4" w:type="default"/>
          <w:pgSz w:w="11905" w:h="16838"/>
          <w:pgMar w:top="1429" w:right="1429" w:bottom="1429" w:left="1429" w:header="850" w:footer="992" w:gutter="0"/>
          <w:cols w:space="0" w:num="1"/>
          <w:rtlGutter w:val="0"/>
          <w:docGrid w:linePitch="360" w:charSpace="0"/>
        </w:sectPr>
      </w:pPr>
    </w:p>
    <w:p w14:paraId="4673903E">
      <w:pPr>
        <w:adjustRightInd w:val="0"/>
        <w:snapToGrid w:val="0"/>
        <w:spacing w:line="360" w:lineRule="auto"/>
        <w:ind w:firstLine="723" w:firstLineChars="200"/>
        <w:jc w:val="center"/>
        <w:rPr>
          <w:rFonts w:ascii="宋体" w:hAnsi="宋体" w:cs="宋体"/>
          <w:color w:val="auto"/>
          <w:sz w:val="28"/>
          <w:szCs w:val="28"/>
          <w:highlight w:val="none"/>
        </w:rPr>
      </w:pPr>
      <w:r>
        <w:rPr>
          <w:rFonts w:hint="eastAsia" w:ascii="宋体" w:hAnsi="宋体" w:cs="宋体"/>
          <w:b/>
          <w:color w:val="auto"/>
          <w:sz w:val="36"/>
          <w:szCs w:val="36"/>
          <w:highlight w:val="none"/>
        </w:rPr>
        <w:t>第六部分  质疑提出和处理</w:t>
      </w:r>
    </w:p>
    <w:p w14:paraId="6B2A19E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一、质疑的提出</w:t>
      </w:r>
    </w:p>
    <w:p w14:paraId="2D1DB9C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（一）质疑人的身份要求      </w:t>
      </w:r>
    </w:p>
    <w:p w14:paraId="5BD3135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1.提出质疑的供应商应当是参与所质疑项目采购活动的供应商。</w:t>
      </w:r>
    </w:p>
    <w:p w14:paraId="4085FF5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4B31452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（二）质疑提出的格式要求   </w:t>
      </w:r>
    </w:p>
    <w:p w14:paraId="5BA596E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w:t>
      </w:r>
      <w:r>
        <w:rPr>
          <w:rFonts w:hint="eastAsia" w:ascii="宋体" w:hAnsi="宋体" w:cs="宋体"/>
          <w:color w:val="auto"/>
          <w:kern w:val="0"/>
          <w:sz w:val="24"/>
          <w:highlight w:val="none"/>
        </w:rPr>
        <w:t>应</w:t>
      </w:r>
      <w:r>
        <w:rPr>
          <w:rFonts w:hint="eastAsia" w:ascii="宋体" w:hAnsi="宋体" w:cs="宋体"/>
          <w:color w:val="auto"/>
          <w:kern w:val="0"/>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C4C318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2.质疑函应包括：    </w:t>
      </w:r>
    </w:p>
    <w:p w14:paraId="35FF914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（1）质疑供应商的名称、地址、邮编、联系人及联系电话；</w:t>
      </w:r>
    </w:p>
    <w:p w14:paraId="7E9FB8F5">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（2）具体、明确的质疑事项及明确的请求；</w:t>
      </w:r>
    </w:p>
    <w:p w14:paraId="147EBFB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（3）质疑的事实依据和必要的法律依据；</w:t>
      </w:r>
    </w:p>
    <w:p w14:paraId="2A3F41F6">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（4）提起质疑的日期；</w:t>
      </w:r>
    </w:p>
    <w:p w14:paraId="2A8E337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（5）认为自己合法权益受到损害或可能受到损害的相关证据材料；                            </w:t>
      </w:r>
    </w:p>
    <w:p w14:paraId="2D43CE9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将不予受理。质疑人委托代理质疑的，应当向采购人提交授权委托书，并载明委托代理的具体权限和事项。</w:t>
      </w:r>
    </w:p>
    <w:p w14:paraId="69FD88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3.质疑函需遵循的原则：</w:t>
      </w:r>
    </w:p>
    <w:p w14:paraId="2A95D43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人不具有法定调查、认定权限。</w:t>
      </w:r>
    </w:p>
    <w:p w14:paraId="68D26BB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（三）质疑提出的时效要求</w:t>
      </w:r>
    </w:p>
    <w:p w14:paraId="5405C96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3946406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（1）对可以质疑的采购文件提出质疑的，为收到采购文件之日或者采购文件公告期限届满之日；</w:t>
      </w:r>
    </w:p>
    <w:p w14:paraId="75672A2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（2）对采购过程提出质疑的，为各采购程序环节结束之日；</w:t>
      </w:r>
    </w:p>
    <w:p w14:paraId="4BB8533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（3）对成交或者成交结果提出质疑的，为成交或者成交结果公告期限届满之日。                 </w:t>
      </w:r>
    </w:p>
    <w:p w14:paraId="0E64F7E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供应商认为采购文件使自己的权益受到损害的，可以按照</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公告第八项要求向采购人提出质疑；供应商认为采购过程和采购结果使自己的权益受到损害的，可以以书面形式向采购人或采购人提出质疑。</w:t>
      </w:r>
    </w:p>
    <w:p w14:paraId="0F5C401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2.供应商应在法定质疑期一次性提出针对同一采购程序环节的质疑。                         </w:t>
      </w:r>
    </w:p>
    <w:p w14:paraId="6995FEC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二、《质疑函》的受理和答复</w:t>
      </w:r>
    </w:p>
    <w:p w14:paraId="46E4E4D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1.采购人收到质疑函后，将对质疑的形式和内容进行审查，如质疑函内容、格式不符合规定，采购人将告知质疑人进行补正。</w:t>
      </w:r>
    </w:p>
    <w:p w14:paraId="729BE34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2.质疑人应当在法定质疑期限内进行补正并重新提交质疑函，拒不补正或者在法定期限内未重新提交质疑函的，为无效质疑，采购人将不予受理。</w:t>
      </w:r>
    </w:p>
    <w:p w14:paraId="4219EB9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3.采购人或采购代理机构答复供应商质疑应当采用书面方式并依法送达，质疑供应商或其委托代理人拒绝签收的视为已经送达。</w:t>
      </w:r>
    </w:p>
    <w:p w14:paraId="5CEB9FE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三、质疑处理</w:t>
      </w:r>
    </w:p>
    <w:p w14:paraId="4AD88EA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质疑成立的处理</w:t>
      </w:r>
    </w:p>
    <w:p w14:paraId="370B262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（1）对于内容、格式符合规定的质疑函，采购人在收到磋商供应商的书面质疑后七个工作日内作出书面答复，但答复的内容不得涉及商业秘密。                       </w:t>
      </w:r>
    </w:p>
    <w:p w14:paraId="5B28198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1F1D288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2082224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质疑答复导致成交、成交结果改变的，采购人或者采购代理机构应当将有关情况书面报告本级财政部门。</w:t>
      </w:r>
    </w:p>
    <w:p w14:paraId="36E49C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2.质疑不成立的处理</w:t>
      </w:r>
    </w:p>
    <w:p w14:paraId="22CE6F5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若质疑不成立，或者成立未对成交、成交结果构成影响的，继续开展采购活动。                  </w:t>
      </w:r>
    </w:p>
    <w:p w14:paraId="65C188B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3.虚假质疑的处理          </w:t>
      </w:r>
    </w:p>
    <w:p w14:paraId="16770E63">
      <w:pPr>
        <w:pStyle w:val="7"/>
        <w:adjustRightInd w:val="0"/>
        <w:snapToGrid w:val="0"/>
        <w:spacing w:after="0" w:line="360" w:lineRule="auto"/>
        <w:ind w:left="0" w:leftChars="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1ED3AA60">
      <w:pPr>
        <w:autoSpaceDE w:val="0"/>
        <w:autoSpaceDN w:val="0"/>
        <w:adjustRightInd w:val="0"/>
        <w:snapToGrid w:val="0"/>
        <w:spacing w:line="300" w:lineRule="auto"/>
        <w:contextualSpacing/>
        <w:rPr>
          <w:rFonts w:ascii="宋体" w:hAnsi="宋体" w:cs="宋体"/>
          <w:color w:val="auto"/>
          <w:sz w:val="28"/>
          <w:szCs w:val="28"/>
          <w:highlight w:val="none"/>
          <w:lang w:val="zh-CN"/>
        </w:rPr>
      </w:pPr>
    </w:p>
    <w:p w14:paraId="7C2133C9">
      <w:pPr>
        <w:autoSpaceDE w:val="0"/>
        <w:autoSpaceDN w:val="0"/>
        <w:adjustRightInd w:val="0"/>
        <w:snapToGrid w:val="0"/>
        <w:spacing w:line="300" w:lineRule="auto"/>
        <w:ind w:left="3630" w:right="210" w:hanging="3092"/>
        <w:outlineLvl w:val="0"/>
        <w:rPr>
          <w:rFonts w:ascii="宋体" w:hAnsi="宋体" w:cs="宋体"/>
          <w:color w:val="auto"/>
          <w:sz w:val="28"/>
          <w:szCs w:val="28"/>
          <w:highlight w:val="none"/>
          <w:lang w:val="zh-CN"/>
        </w:rPr>
      </w:pPr>
    </w:p>
    <w:p w14:paraId="63D28D1E">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C4A786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4E2EF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4D3A24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3DE074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572317B">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5ADA923">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9F497E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282A7C1">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BA2BA35">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3E1C0D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3241A3F">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B157812">
      <w:pPr>
        <w:widowControl/>
        <w:jc w:val="center"/>
        <w:rPr>
          <w:rFonts w:ascii="宋体" w:hAnsi="宋体" w:cs="宋体"/>
          <w:bCs/>
          <w:color w:val="auto"/>
          <w:sz w:val="44"/>
          <w:szCs w:val="44"/>
          <w:highlight w:val="none"/>
        </w:rPr>
      </w:pPr>
      <w:r>
        <w:rPr>
          <w:rFonts w:hint="eastAsia" w:ascii="宋体" w:hAnsi="宋体" w:cs="宋体"/>
          <w:b/>
          <w:bCs/>
          <w:color w:val="auto"/>
          <w:sz w:val="36"/>
          <w:szCs w:val="36"/>
          <w:highlight w:val="none"/>
          <w:lang w:val="zh-CN"/>
        </w:rPr>
        <w:br w:type="page"/>
      </w:r>
      <w:r>
        <w:rPr>
          <w:rFonts w:hint="eastAsia" w:ascii="宋体" w:hAnsi="宋体" w:cs="宋体"/>
          <w:bCs/>
          <w:color w:val="auto"/>
          <w:sz w:val="44"/>
          <w:szCs w:val="44"/>
          <w:highlight w:val="none"/>
        </w:rPr>
        <w:t>质疑函范本</w:t>
      </w:r>
    </w:p>
    <w:p w14:paraId="5856EB40">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75B5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275C5A5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F0A13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             联系电话：</w:t>
      </w:r>
    </w:p>
    <w:p w14:paraId="6CD365B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6F58E7C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2A559C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4B04EB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67E2F5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67CFE2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26B13684">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A585F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0E6ABE5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2E9FAC">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6A5ACCA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38029908">
      <w:pPr>
        <w:adjustRightInd w:val="0"/>
        <w:snapToGrid w:val="0"/>
        <w:spacing w:line="360" w:lineRule="auto"/>
        <w:rPr>
          <w:rFonts w:ascii="宋体" w:hAnsi="宋体" w:cs="宋体"/>
          <w:color w:val="auto"/>
          <w:sz w:val="24"/>
          <w:highlight w:val="none"/>
        </w:rPr>
      </w:pPr>
    </w:p>
    <w:p w14:paraId="622A43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52981C5D">
      <w:pPr>
        <w:adjustRightInd w:val="0"/>
        <w:snapToGrid w:val="0"/>
        <w:spacing w:line="360" w:lineRule="auto"/>
        <w:rPr>
          <w:rFonts w:ascii="宋体" w:hAnsi="宋体" w:cs="宋体"/>
          <w:color w:val="auto"/>
          <w:sz w:val="24"/>
          <w:highlight w:val="none"/>
          <w:u w:val="dotted"/>
        </w:rPr>
      </w:pPr>
    </w:p>
    <w:p w14:paraId="09A6C7C2">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709400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409DA41">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C0E4A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1FB956D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236764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06F85F">
      <w:pPr>
        <w:adjustRightInd w:val="0"/>
        <w:snapToGrid w:val="0"/>
        <w:spacing w:line="360" w:lineRule="auto"/>
        <w:rPr>
          <w:rFonts w:ascii="宋体" w:hAnsi="宋体" w:cs="宋体"/>
          <w:color w:val="auto"/>
          <w:sz w:val="32"/>
          <w:szCs w:val="32"/>
          <w:highlight w:val="none"/>
        </w:rPr>
      </w:pPr>
    </w:p>
    <w:p w14:paraId="717AD1B5">
      <w:pPr>
        <w:adjustRightInd w:val="0"/>
        <w:snapToGrid w:val="0"/>
        <w:spacing w:line="360" w:lineRule="auto"/>
        <w:rPr>
          <w:rFonts w:ascii="宋体" w:hAnsi="宋体" w:cs="宋体"/>
          <w:b/>
          <w:color w:val="auto"/>
          <w:sz w:val="32"/>
          <w:szCs w:val="32"/>
          <w:highlight w:val="none"/>
        </w:rPr>
      </w:pPr>
    </w:p>
    <w:p w14:paraId="50C8805D">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AC5A27B">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458EA00">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5548B6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0EED58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0C66E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40B876C">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AB7C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C569D3">
      <w:pPr>
        <w:widowControl/>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DDE8299">
      <w:pPr>
        <w:autoSpaceDE w:val="0"/>
        <w:autoSpaceDN w:val="0"/>
        <w:adjustRightInd w:val="0"/>
        <w:snapToGrid w:val="0"/>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第七部分  响应文件组成</w:t>
      </w:r>
    </w:p>
    <w:p w14:paraId="63DDACC4">
      <w:pPr>
        <w:snapToGrid w:val="0"/>
        <w:spacing w:line="440" w:lineRule="exact"/>
        <w:ind w:firstLine="458" w:firstLineChars="200"/>
        <w:jc w:val="left"/>
        <w:rPr>
          <w:rFonts w:ascii="宋体" w:hAnsi="宋体" w:cs="宋体"/>
          <w:b/>
          <w:color w:val="auto"/>
          <w:spacing w:val="-6"/>
          <w:sz w:val="24"/>
          <w:highlight w:val="none"/>
        </w:rPr>
      </w:pPr>
      <w:r>
        <w:rPr>
          <w:rFonts w:hint="eastAsia" w:ascii="宋体" w:hAnsi="宋体" w:cs="宋体"/>
          <w:b/>
          <w:color w:val="auto"/>
          <w:spacing w:val="-6"/>
          <w:sz w:val="24"/>
          <w:highlight w:val="none"/>
        </w:rPr>
        <w:t>响应文件由资格审查、商务技术文件、价格响应文件、电子版响应文件四</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14:paraId="3F704D21">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14:paraId="6C67BE4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1.资格声明函原件；</w:t>
      </w:r>
    </w:p>
    <w:p w14:paraId="3BE2378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2.授权委托书或法定代表人身份证明原件；</w:t>
      </w:r>
    </w:p>
    <w:p w14:paraId="0448E01F">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3.供应商信用承诺书原件；</w:t>
      </w:r>
    </w:p>
    <w:p w14:paraId="0066EBF8">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cs="宋体" w:asciiTheme="minorEastAsia" w:hAnsiTheme="minorEastAsia" w:eastAsiaTheme="minorEastAsia"/>
          <w:color w:val="auto"/>
          <w:sz w:val="24"/>
          <w:highlight w:val="none"/>
        </w:rPr>
        <w:t>《中小企业声明函》等原件；</w:t>
      </w:r>
    </w:p>
    <w:p w14:paraId="5995E321">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.供应商基本情况表及按竞争性磋商公告资格要求提供相应的佐证材料（以下材料均须提供复印件（或扫描件）并加盖公章）；</w:t>
      </w:r>
    </w:p>
    <w:p w14:paraId="521CF6A2">
      <w:pPr>
        <w:adjustRightInd w:val="0"/>
        <w:snapToGrid w:val="0"/>
        <w:spacing w:line="360" w:lineRule="auto"/>
        <w:ind w:firstLine="480" w:firstLineChars="200"/>
        <w:rPr>
          <w:rFonts w:hint="eastAsia" w:ascii="宋体" w:hAnsi="宋体"/>
          <w:color w:val="auto"/>
          <w:kern w:val="0"/>
          <w:sz w:val="24"/>
          <w:highlight w:val="none"/>
          <w:lang w:val="zh-CN"/>
        </w:rPr>
      </w:pPr>
      <w:r>
        <w:rPr>
          <w:rFonts w:hint="eastAsia" w:ascii="宋体" w:hAnsi="宋体"/>
          <w:color w:val="auto"/>
          <w:kern w:val="0"/>
          <w:sz w:val="24"/>
          <w:highlight w:val="none"/>
          <w:lang w:val="zh-CN"/>
        </w:rPr>
        <w:t>（1）企业法人营业执照或事业单位法人登记证明或社会组织或其他组织或自然人证明材料；</w:t>
      </w:r>
    </w:p>
    <w:p w14:paraId="03AB2CC1">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val="zh-CN"/>
        </w:rPr>
        <w:t>）供应商在“信用中国”网站(http://www.creditchina.gov.cn/)中未被列入失信被执行人名单、重大税收违法案件当事人名单，在国家企业信用信息公示系(http://www.gsxt.gov.cn/)中未被列入严重违法失信企业名单，未被“中国政府采购网”(http://www.ccgp.gov.cn/)列入政府采购严重失信行为</w:t>
      </w:r>
      <w:r>
        <w:rPr>
          <w:rFonts w:ascii="宋体" w:hAnsi="宋体"/>
          <w:color w:val="auto"/>
          <w:kern w:val="0"/>
          <w:sz w:val="24"/>
          <w:highlight w:val="none"/>
          <w:lang w:val="zh-CN"/>
        </w:rPr>
        <w:t>记录名单</w:t>
      </w:r>
      <w:r>
        <w:rPr>
          <w:rFonts w:hint="eastAsia" w:ascii="宋体" w:hAnsi="宋体"/>
          <w:color w:val="auto"/>
          <w:kern w:val="0"/>
          <w:sz w:val="24"/>
          <w:highlight w:val="none"/>
          <w:lang w:val="zh-CN"/>
        </w:rPr>
        <w:t>截图。</w:t>
      </w:r>
    </w:p>
    <w:p w14:paraId="71680073">
      <w:pPr>
        <w:tabs>
          <w:tab w:val="left" w:pos="3375"/>
        </w:tabs>
        <w:autoSpaceDE w:val="0"/>
        <w:autoSpaceDN w:val="0"/>
        <w:adjustRightInd w:val="0"/>
        <w:snapToGrid w:val="0"/>
        <w:spacing w:line="44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注：上述截图请在本项目招标公告后递交响应文件截止时间前截取并放入响应文件中。</w:t>
      </w:r>
    </w:p>
    <w:p w14:paraId="4D2FCC6F">
      <w:pPr>
        <w:adjustRightInd w:val="0"/>
        <w:snapToGrid w:val="0"/>
        <w:spacing w:line="360" w:lineRule="auto"/>
        <w:ind w:firstLine="480" w:firstLineChars="200"/>
        <w:rPr>
          <w:rFonts w:hint="eastAsia" w:ascii="宋体" w:hAnsi="宋体"/>
          <w:color w:val="auto"/>
          <w:kern w:val="0"/>
          <w:sz w:val="24"/>
          <w:highlight w:val="none"/>
          <w:lang w:val="zh-CN"/>
        </w:rPr>
      </w:pP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val="zh-CN"/>
        </w:rPr>
        <w:t>）项目负责人职称证书复印件及一级注册造价工程师注册证书（或交通部甲级公路工程造价工程师）复印件；</w:t>
      </w:r>
    </w:p>
    <w:p w14:paraId="4D04BB34">
      <w:pPr>
        <w:adjustRightInd w:val="0"/>
        <w:snapToGrid w:val="0"/>
        <w:spacing w:line="360" w:lineRule="auto"/>
        <w:ind w:firstLine="480" w:firstLineChars="200"/>
        <w:rPr>
          <w:rFonts w:hint="eastAsia" w:ascii="宋体" w:hAnsi="宋体"/>
          <w:color w:val="auto"/>
          <w:kern w:val="0"/>
          <w:sz w:val="24"/>
          <w:highlight w:val="none"/>
          <w:lang w:val="zh-CN"/>
        </w:rPr>
      </w:pP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val="zh-CN"/>
        </w:rPr>
        <w:t>）项目组（除项目负责人外）二级及以上注册造价工程师注册证书（或交通部乙级及以上公路工程造价工程师）复印件；</w:t>
      </w:r>
    </w:p>
    <w:p w14:paraId="57B6D236">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lang w:val="en-US" w:eastAsia="zh-CN"/>
        </w:rPr>
        <w:t>6.</w:t>
      </w:r>
      <w:r>
        <w:rPr>
          <w:rFonts w:hint="eastAsia" w:ascii="宋体" w:hAnsi="宋体" w:cs="宋体"/>
          <w:color w:val="auto"/>
          <w:sz w:val="24"/>
          <w:highlight w:val="none"/>
          <w:lang w:eastAsia="zh-CN"/>
        </w:rPr>
        <w:t>其他</w:t>
      </w:r>
      <w:r>
        <w:rPr>
          <w:rFonts w:hint="eastAsia" w:ascii="宋体" w:hAnsi="宋体" w:cs="宋体"/>
          <w:color w:val="auto"/>
          <w:sz w:val="24"/>
          <w:highlight w:val="none"/>
        </w:rPr>
        <w:t>需要提交的资格审查材料。</w:t>
      </w:r>
    </w:p>
    <w:p w14:paraId="0244F575">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二、商务技术文件</w:t>
      </w:r>
    </w:p>
    <w:p w14:paraId="635B1FB7">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41C990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2990DDFE">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77378D4A">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F6435C7">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7424CC77">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三、价格响应文件</w:t>
      </w:r>
    </w:p>
    <w:p w14:paraId="6ECAA39B">
      <w:pPr>
        <w:pStyle w:val="30"/>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报价承诺函。</w:t>
      </w:r>
    </w:p>
    <w:p w14:paraId="45E5AB7D">
      <w:pPr>
        <w:tabs>
          <w:tab w:val="left" w:pos="3375"/>
        </w:tabs>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D790D8A">
      <w:pPr>
        <w:tabs>
          <w:tab w:val="left" w:pos="3375"/>
        </w:tabs>
        <w:autoSpaceDE w:val="0"/>
        <w:autoSpaceDN w:val="0"/>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四、电子版响应文件</w:t>
      </w:r>
    </w:p>
    <w:p w14:paraId="2F05060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w:t>
      </w:r>
      <w:r>
        <w:rPr>
          <w:rFonts w:hint="eastAsia" w:ascii="宋体" w:hAnsi="宋体" w:cs="宋体"/>
          <w:b/>
          <w:bCs/>
          <w:color w:val="auto"/>
          <w:sz w:val="24"/>
          <w:highlight w:val="none"/>
        </w:rPr>
        <w:t>按“第二部分 磋商须知”中电子版响应文件要求</w:t>
      </w:r>
      <w:r>
        <w:rPr>
          <w:rFonts w:hint="eastAsia" w:ascii="宋体" w:hAnsi="宋体" w:cs="宋体"/>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14:paraId="4CEFA744">
      <w:pPr>
        <w:tabs>
          <w:tab w:val="left" w:pos="3375"/>
        </w:tabs>
        <w:autoSpaceDE w:val="0"/>
        <w:autoSpaceDN w:val="0"/>
        <w:adjustRightInd w:val="0"/>
        <w:snapToGrid w:val="0"/>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电子版响应文件不得设置密码并保证无病毒。</w:t>
      </w:r>
    </w:p>
    <w:p w14:paraId="7419E6B7">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第一部分格式：</w:t>
      </w:r>
    </w:p>
    <w:p w14:paraId="65F9C77C">
      <w:pPr>
        <w:tabs>
          <w:tab w:val="left" w:pos="159"/>
        </w:tabs>
        <w:rPr>
          <w:rFonts w:ascii="宋体" w:hAnsi="宋体" w:cs="宋体"/>
          <w:color w:val="auto"/>
          <w:sz w:val="28"/>
          <w:szCs w:val="28"/>
          <w:highlight w:val="none"/>
        </w:rPr>
      </w:pPr>
    </w:p>
    <w:p w14:paraId="08C8551D">
      <w:pPr>
        <w:snapToGrid w:val="0"/>
        <w:spacing w:line="300" w:lineRule="auto"/>
        <w:ind w:firstLine="906" w:firstLineChars="206"/>
        <w:contextualSpacing/>
        <w:rPr>
          <w:rFonts w:ascii="宋体" w:hAnsi="宋体" w:cs="宋体"/>
          <w:color w:val="auto"/>
          <w:sz w:val="44"/>
          <w:szCs w:val="44"/>
          <w:highlight w:val="none"/>
        </w:rPr>
      </w:pPr>
    </w:p>
    <w:p w14:paraId="44DB7AAB">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2026-2027年南通市公路事业发展中心项目造价咨询服务项目</w:t>
      </w:r>
    </w:p>
    <w:p w14:paraId="6345EF61">
      <w:pPr>
        <w:tabs>
          <w:tab w:val="left" w:pos="6300"/>
        </w:tabs>
        <w:snapToGrid w:val="0"/>
        <w:spacing w:line="300" w:lineRule="auto"/>
        <w:jc w:val="center"/>
        <w:rPr>
          <w:rFonts w:hint="eastAsia" w:ascii="宋体" w:hAnsi="宋体" w:cs="宋体"/>
          <w:b/>
          <w:color w:val="auto"/>
          <w:w w:val="80"/>
          <w:sz w:val="32"/>
          <w:szCs w:val="32"/>
          <w:highlight w:val="none"/>
        </w:rPr>
      </w:pPr>
    </w:p>
    <w:p w14:paraId="726CC66B">
      <w:pPr>
        <w:tabs>
          <w:tab w:val="left" w:pos="6300"/>
        </w:tabs>
        <w:snapToGrid w:val="0"/>
        <w:spacing w:line="300" w:lineRule="auto"/>
        <w:ind w:firstLine="3087" w:firstLineChars="1200"/>
        <w:jc w:val="both"/>
        <w:rPr>
          <w:rFonts w:hint="eastAsia"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eastAsia="zh-CN"/>
        </w:rPr>
        <w:t>2026-2027ZJZX</w:t>
      </w:r>
    </w:p>
    <w:p w14:paraId="6F0A63C8">
      <w:pPr>
        <w:tabs>
          <w:tab w:val="left" w:pos="6300"/>
        </w:tabs>
        <w:snapToGrid w:val="0"/>
        <w:spacing w:line="300" w:lineRule="auto"/>
        <w:ind w:firstLine="3087" w:firstLineChars="1200"/>
        <w:jc w:val="both"/>
        <w:rPr>
          <w:rFonts w:hint="default"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20251125</w:t>
      </w:r>
    </w:p>
    <w:p w14:paraId="426730EF">
      <w:pPr>
        <w:tabs>
          <w:tab w:val="left" w:pos="6300"/>
        </w:tabs>
        <w:snapToGrid w:val="0"/>
        <w:spacing w:line="300" w:lineRule="auto"/>
        <w:jc w:val="center"/>
        <w:rPr>
          <w:rFonts w:ascii="宋体" w:hAnsi="宋体" w:cs="宋体"/>
          <w:b/>
          <w:color w:val="auto"/>
          <w:w w:val="80"/>
          <w:sz w:val="32"/>
          <w:szCs w:val="32"/>
          <w:highlight w:val="none"/>
        </w:rPr>
      </w:pPr>
    </w:p>
    <w:p w14:paraId="58D714E8">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24EBD9B">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14:paraId="73DB14C4">
      <w:pPr>
        <w:spacing w:after="60"/>
        <w:jc w:val="center"/>
        <w:rPr>
          <w:rFonts w:ascii="宋体" w:hAnsi="宋体" w:cs="宋体"/>
          <w:b/>
          <w:bCs/>
          <w:color w:val="auto"/>
          <w:sz w:val="72"/>
          <w:szCs w:val="72"/>
          <w:highlight w:val="none"/>
        </w:rPr>
      </w:pPr>
    </w:p>
    <w:p w14:paraId="20D79FC4">
      <w:pPr>
        <w:spacing w:after="60"/>
        <w:jc w:val="center"/>
        <w:rPr>
          <w:rFonts w:ascii="宋体" w:hAnsi="宋体" w:cs="宋体"/>
          <w:b/>
          <w:bCs/>
          <w:color w:val="auto"/>
          <w:sz w:val="72"/>
          <w:szCs w:val="72"/>
          <w:highlight w:val="none"/>
        </w:rPr>
      </w:pPr>
    </w:p>
    <w:p w14:paraId="6A3CB1C7">
      <w:pPr>
        <w:spacing w:after="60"/>
        <w:jc w:val="center"/>
        <w:rPr>
          <w:rFonts w:ascii="宋体" w:hAnsi="宋体" w:cs="宋体"/>
          <w:b/>
          <w:bCs/>
          <w:color w:val="auto"/>
          <w:sz w:val="72"/>
          <w:szCs w:val="72"/>
          <w:highlight w:val="none"/>
        </w:rPr>
      </w:pPr>
    </w:p>
    <w:p w14:paraId="2DF8F8DD">
      <w:pPr>
        <w:spacing w:after="60"/>
        <w:jc w:val="center"/>
        <w:rPr>
          <w:rFonts w:ascii="宋体" w:hAnsi="宋体" w:cs="宋体"/>
          <w:b/>
          <w:bCs/>
          <w:color w:val="auto"/>
          <w:sz w:val="72"/>
          <w:szCs w:val="72"/>
          <w:highlight w:val="none"/>
        </w:rPr>
      </w:pPr>
    </w:p>
    <w:p w14:paraId="0E91FAFD">
      <w:pPr>
        <w:pStyle w:val="17"/>
        <w:ind w:left="0" w:leftChars="0" w:firstLine="0" w:firstLineChars="0"/>
        <w:rPr>
          <w:rFonts w:ascii="宋体" w:hAnsi="宋体" w:cs="宋体"/>
          <w:b/>
          <w:bCs/>
          <w:color w:val="auto"/>
          <w:sz w:val="72"/>
          <w:szCs w:val="72"/>
          <w:highlight w:val="none"/>
        </w:rPr>
      </w:pPr>
    </w:p>
    <w:p w14:paraId="01CFA4BE">
      <w:pPr>
        <w:spacing w:after="60"/>
        <w:jc w:val="center"/>
        <w:rPr>
          <w:rFonts w:ascii="宋体" w:hAnsi="宋体" w:cs="宋体"/>
          <w:b/>
          <w:bCs/>
          <w:color w:val="auto"/>
          <w:sz w:val="72"/>
          <w:szCs w:val="72"/>
          <w:highlight w:val="none"/>
        </w:rPr>
      </w:pPr>
    </w:p>
    <w:p w14:paraId="7093FD5A">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622156F9">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02847B11">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1768455F">
      <w:pPr>
        <w:snapToGrid w:val="0"/>
        <w:spacing w:line="360" w:lineRule="auto"/>
        <w:contextualSpacing/>
        <w:jc w:val="left"/>
        <w:rPr>
          <w:rFonts w:ascii="宋体" w:hAnsi="宋体" w:cs="宋体"/>
          <w:color w:val="auto"/>
          <w:sz w:val="24"/>
          <w:highlight w:val="none"/>
        </w:rPr>
      </w:pPr>
      <w:r>
        <w:rPr>
          <w:rFonts w:hint="eastAsia" w:ascii="宋体" w:hAnsi="宋体" w:cs="宋体"/>
          <w:color w:val="auto"/>
          <w:sz w:val="28"/>
          <w:szCs w:val="28"/>
          <w:highlight w:val="none"/>
        </w:rPr>
        <w:t>（一）资格审查文件</w:t>
      </w:r>
    </w:p>
    <w:p w14:paraId="540C570A">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附件1：</w:t>
      </w:r>
    </w:p>
    <w:p w14:paraId="5149812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4EAB5712">
      <w:pPr>
        <w:spacing w:line="360" w:lineRule="auto"/>
        <w:jc w:val="center"/>
        <w:rPr>
          <w:rFonts w:ascii="宋体" w:hAnsi="宋体" w:cs="宋体"/>
          <w:b/>
          <w:color w:val="auto"/>
          <w:sz w:val="24"/>
          <w:highlight w:val="none"/>
        </w:rPr>
      </w:pPr>
    </w:p>
    <w:p w14:paraId="7EF2F0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u w:val="single"/>
        </w:rPr>
        <w:t>南通市公路事业发展中心</w:t>
      </w:r>
      <w:r>
        <w:rPr>
          <w:rFonts w:hint="eastAsia" w:ascii="宋体" w:hAnsi="宋体" w:cs="宋体"/>
          <w:b/>
          <w:color w:val="auto"/>
          <w:sz w:val="24"/>
          <w:highlight w:val="none"/>
        </w:rPr>
        <w:t>：</w:t>
      </w:r>
    </w:p>
    <w:p w14:paraId="29F6B4D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磋商文件（含所有澄清、修改文件），符合贵方提出的资格要求，自愿报名参加响应，并郑重声明：</w:t>
      </w:r>
    </w:p>
    <w:p w14:paraId="436B1E97">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我单位具有独立承担民事责任的能力；</w:t>
      </w:r>
    </w:p>
    <w:p w14:paraId="3BB65C71">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32E774FE">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306A5A6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2BFF23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我单位参加政府采购活动前3年内在经营活动中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1FA9E7B5">
      <w:pPr>
        <w:snapToGrid w:val="0"/>
        <w:spacing w:line="300" w:lineRule="auto"/>
        <w:ind w:firstLine="420"/>
        <w:contextualSpacing/>
        <w:rPr>
          <w:rFonts w:ascii="宋体" w:hAnsi="宋体" w:cs="宋体"/>
          <w:color w:val="auto"/>
          <w:sz w:val="28"/>
          <w:szCs w:val="28"/>
          <w:highlight w:val="none"/>
        </w:rPr>
      </w:pPr>
    </w:p>
    <w:p w14:paraId="062FFC60">
      <w:pPr>
        <w:snapToGrid w:val="0"/>
        <w:spacing w:line="360" w:lineRule="auto"/>
        <w:ind w:firstLine="4440" w:firstLineChars="1850"/>
        <w:contextualSpacing/>
        <w:rPr>
          <w:rFonts w:ascii="宋体" w:hAnsi="宋体" w:cs="宋体"/>
          <w:color w:val="auto"/>
          <w:sz w:val="24"/>
          <w:highlight w:val="none"/>
        </w:rPr>
      </w:pPr>
    </w:p>
    <w:p w14:paraId="3BA0D7D5">
      <w:pPr>
        <w:snapToGrid w:val="0"/>
        <w:spacing w:line="360" w:lineRule="auto"/>
        <w:ind w:firstLine="4440" w:firstLineChars="1850"/>
        <w:contextualSpacing/>
        <w:rPr>
          <w:rFonts w:ascii="宋体" w:hAnsi="宋体" w:cs="宋体"/>
          <w:color w:val="auto"/>
          <w:sz w:val="24"/>
          <w:highlight w:val="none"/>
        </w:rPr>
      </w:pPr>
    </w:p>
    <w:p w14:paraId="70CFEBA5">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70D23496">
      <w:pPr>
        <w:snapToGrid w:val="0"/>
        <w:spacing w:line="360" w:lineRule="auto"/>
        <w:contextualSpacing/>
        <w:rPr>
          <w:rFonts w:ascii="宋体" w:hAnsi="宋体" w:cs="宋体"/>
          <w:color w:val="auto"/>
          <w:sz w:val="24"/>
          <w:highlight w:val="none"/>
        </w:rPr>
      </w:pPr>
    </w:p>
    <w:p w14:paraId="5A117E3C">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14:paraId="0DE399C1">
      <w:pPr>
        <w:spacing w:line="600" w:lineRule="exact"/>
        <w:ind w:firstLine="576" w:firstLineChars="206"/>
        <w:rPr>
          <w:rFonts w:ascii="宋体" w:hAnsi="宋体" w:cs="宋体"/>
          <w:color w:val="auto"/>
          <w:sz w:val="28"/>
          <w:szCs w:val="28"/>
          <w:highlight w:val="none"/>
        </w:rPr>
      </w:pPr>
    </w:p>
    <w:p w14:paraId="7F266861">
      <w:pPr>
        <w:spacing w:line="600" w:lineRule="exact"/>
        <w:ind w:firstLine="576" w:firstLineChars="206"/>
        <w:rPr>
          <w:rFonts w:ascii="宋体" w:hAnsi="宋体" w:cs="宋体"/>
          <w:color w:val="auto"/>
          <w:sz w:val="28"/>
          <w:szCs w:val="28"/>
          <w:highlight w:val="none"/>
        </w:rPr>
      </w:pPr>
    </w:p>
    <w:p w14:paraId="558B3F4A">
      <w:pPr>
        <w:spacing w:line="600" w:lineRule="exact"/>
        <w:ind w:firstLine="576" w:firstLineChars="206"/>
        <w:rPr>
          <w:rFonts w:ascii="宋体" w:hAnsi="宋体" w:cs="宋体"/>
          <w:color w:val="auto"/>
          <w:sz w:val="28"/>
          <w:szCs w:val="28"/>
          <w:highlight w:val="none"/>
        </w:rPr>
      </w:pPr>
    </w:p>
    <w:p w14:paraId="126B5AAF">
      <w:pPr>
        <w:spacing w:line="600" w:lineRule="exact"/>
        <w:ind w:firstLine="576" w:firstLineChars="206"/>
        <w:rPr>
          <w:rFonts w:ascii="宋体" w:hAnsi="宋体" w:cs="宋体"/>
          <w:color w:val="auto"/>
          <w:sz w:val="28"/>
          <w:szCs w:val="28"/>
          <w:highlight w:val="none"/>
        </w:rPr>
      </w:pPr>
    </w:p>
    <w:p w14:paraId="5C4927C7">
      <w:pPr>
        <w:snapToGrid w:val="0"/>
        <w:spacing w:line="300" w:lineRule="auto"/>
        <w:contextualSpacing/>
        <w:rPr>
          <w:rFonts w:ascii="宋体" w:hAnsi="宋体" w:cs="宋体"/>
          <w:color w:val="auto"/>
          <w:sz w:val="28"/>
          <w:szCs w:val="28"/>
          <w:highlight w:val="none"/>
        </w:rPr>
      </w:pPr>
      <w:r>
        <w:rPr>
          <w:rFonts w:hint="eastAsia" w:ascii="宋体" w:hAnsi="宋体" w:cs="宋体"/>
          <w:b/>
          <w:bCs/>
          <w:color w:val="auto"/>
          <w:sz w:val="72"/>
          <w:szCs w:val="72"/>
          <w:highlight w:val="none"/>
        </w:rPr>
        <w:br w:type="page"/>
      </w:r>
      <w:r>
        <w:rPr>
          <w:rFonts w:hint="eastAsia" w:ascii="宋体" w:hAnsi="宋体" w:cs="宋体"/>
          <w:color w:val="auto"/>
          <w:sz w:val="28"/>
          <w:szCs w:val="28"/>
          <w:highlight w:val="none"/>
        </w:rPr>
        <w:t>附件2：</w:t>
      </w:r>
    </w:p>
    <w:p w14:paraId="73465D66">
      <w:pPr>
        <w:spacing w:before="120" w:beforeLines="50" w:after="120" w:afterLines="50"/>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14:paraId="500C9ADB">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14:paraId="2051E2BD">
      <w:pPr>
        <w:topLinePunct/>
        <w:spacing w:before="120" w:beforeLines="50" w:line="400" w:lineRule="exact"/>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14:paraId="3FE83F64">
      <w:pPr>
        <w:topLinePunct/>
        <w:spacing w:line="400" w:lineRule="exact"/>
        <w:rPr>
          <w:rFonts w:ascii="宋体" w:hAnsi="宋体" w:cs="宋体"/>
          <w:color w:val="auto"/>
          <w:sz w:val="24"/>
          <w:highlight w:val="none"/>
        </w:rPr>
      </w:pPr>
    </w:p>
    <w:p w14:paraId="6AF11E1E">
      <w:pPr>
        <w:topLinePunct/>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14:paraId="0AAB4B21">
      <w:pPr>
        <w:topLinePunct/>
        <w:spacing w:line="400" w:lineRule="exact"/>
        <w:rPr>
          <w:rFonts w:ascii="宋体" w:hAnsi="宋体" w:cs="宋体"/>
          <w:color w:val="auto"/>
          <w:sz w:val="24"/>
          <w:highlight w:val="none"/>
        </w:rPr>
      </w:pPr>
    </w:p>
    <w:p w14:paraId="55E27778">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977EC87">
      <w:pPr>
        <w:topLinePunct/>
        <w:spacing w:line="400" w:lineRule="exact"/>
        <w:rPr>
          <w:rFonts w:ascii="宋体" w:hAnsi="宋体" w:cs="宋体"/>
          <w:color w:val="auto"/>
          <w:sz w:val="24"/>
          <w:highlight w:val="none"/>
        </w:rPr>
      </w:pPr>
    </w:p>
    <w:p w14:paraId="3F1614A4">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附：法定代表人身份证明及委托代理人身份证复印件。</w:t>
      </w:r>
    </w:p>
    <w:p w14:paraId="53C88416">
      <w:pPr>
        <w:topLinePunct/>
        <w:ind w:firstLine="480" w:firstLineChars="200"/>
        <w:rPr>
          <w:rFonts w:ascii="宋体" w:hAnsi="宋体" w:cs="宋体"/>
          <w:color w:val="auto"/>
          <w:sz w:val="24"/>
          <w:highlight w:val="none"/>
        </w:rPr>
      </w:pPr>
    </w:p>
    <w:p w14:paraId="15D954D9">
      <w:pPr>
        <w:topLinePunct/>
        <w:rPr>
          <w:rFonts w:ascii="宋体" w:hAnsi="宋体" w:cs="宋体"/>
          <w:color w:val="auto"/>
          <w:sz w:val="24"/>
          <w:highlight w:val="none"/>
        </w:rPr>
      </w:pPr>
    </w:p>
    <w:p w14:paraId="4403F0DD">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69686AF9">
      <w:pPr>
        <w:topLinePunct/>
        <w:rPr>
          <w:rFonts w:ascii="宋体" w:hAnsi="宋体" w:cs="宋体"/>
          <w:color w:val="auto"/>
          <w:sz w:val="24"/>
          <w:highlight w:val="none"/>
        </w:rPr>
      </w:pPr>
    </w:p>
    <w:p w14:paraId="62D9AF9B">
      <w:pPr>
        <w:wordWrap w:val="0"/>
        <w:topLinePun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13F9E344">
      <w:pPr>
        <w:topLinePunct/>
        <w:rPr>
          <w:rFonts w:ascii="宋体" w:hAnsi="宋体" w:cs="宋体"/>
          <w:color w:val="auto"/>
          <w:sz w:val="24"/>
          <w:highlight w:val="none"/>
        </w:rPr>
      </w:pPr>
    </w:p>
    <w:p w14:paraId="29B71D83">
      <w:pPr>
        <w:wordWrap w:val="0"/>
        <w:topLinePunct/>
        <w:rPr>
          <w:rFonts w:ascii="宋体" w:hAnsi="宋体" w:cs="宋体"/>
          <w:color w:val="auto"/>
          <w:sz w:val="24"/>
          <w:highlight w:val="none"/>
          <w:u w:val="single"/>
        </w:rPr>
      </w:pPr>
      <w:r>
        <w:rPr>
          <w:rFonts w:hint="eastAsia" w:ascii="宋体" w:hAnsi="宋体" w:cs="宋体"/>
          <w:color w:val="auto"/>
          <w:sz w:val="24"/>
          <w:highlight w:val="none"/>
        </w:rPr>
        <w:t>身份证号码：</w:t>
      </w:r>
    </w:p>
    <w:p w14:paraId="283FC2D2">
      <w:pPr>
        <w:topLinePunct/>
        <w:rPr>
          <w:rFonts w:ascii="宋体" w:hAnsi="宋体" w:cs="宋体"/>
          <w:color w:val="auto"/>
          <w:sz w:val="24"/>
          <w:highlight w:val="none"/>
        </w:rPr>
      </w:pPr>
    </w:p>
    <w:p w14:paraId="44B77A7D">
      <w:pPr>
        <w:topLinePunct/>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69F7789A">
      <w:pPr>
        <w:topLinePunct/>
        <w:rPr>
          <w:rFonts w:ascii="宋体" w:hAnsi="宋体" w:cs="宋体"/>
          <w:color w:val="auto"/>
          <w:sz w:val="24"/>
          <w:highlight w:val="none"/>
        </w:rPr>
      </w:pPr>
    </w:p>
    <w:p w14:paraId="17A99D31">
      <w:pPr>
        <w:wordWrap w:val="0"/>
        <w:topLinePunct/>
        <w:rPr>
          <w:rFonts w:ascii="宋体" w:hAnsi="宋体" w:cs="宋体"/>
          <w:color w:val="auto"/>
          <w:sz w:val="24"/>
          <w:highlight w:val="none"/>
        </w:rPr>
      </w:pPr>
      <w:r>
        <w:rPr>
          <w:rFonts w:hint="eastAsia" w:ascii="宋体" w:hAnsi="宋体" w:cs="宋体"/>
          <w:color w:val="auto"/>
          <w:sz w:val="24"/>
          <w:highlight w:val="none"/>
        </w:rPr>
        <w:t>身份证号码：</w:t>
      </w:r>
    </w:p>
    <w:p w14:paraId="200E2EA4">
      <w:pPr>
        <w:topLinePunct/>
        <w:spacing w:before="120" w:beforeLines="50" w:after="120" w:afterLines="5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4400ED">
      <w:pPr>
        <w:topLinePunct/>
        <w:spacing w:before="120" w:beforeLines="50" w:after="120" w:afterLines="50"/>
        <w:jc w:val="center"/>
        <w:rPr>
          <w:rFonts w:ascii="宋体" w:hAnsi="宋体" w:cs="宋体"/>
          <w:color w:val="auto"/>
          <w:sz w:val="36"/>
          <w:szCs w:val="36"/>
          <w:highlight w:val="none"/>
        </w:rPr>
      </w:pPr>
    </w:p>
    <w:p w14:paraId="69119EE6">
      <w:pPr>
        <w:topLinePunct/>
        <w:spacing w:line="400" w:lineRule="exact"/>
        <w:ind w:firstLine="560" w:firstLineChars="200"/>
        <w:rPr>
          <w:rFonts w:ascii="宋体" w:hAnsi="宋体" w:cs="宋体"/>
          <w:color w:val="auto"/>
          <w:sz w:val="28"/>
          <w:szCs w:val="28"/>
          <w:highlight w:val="none"/>
        </w:rPr>
      </w:pPr>
    </w:p>
    <w:p w14:paraId="0FC872FB">
      <w:pPr>
        <w:topLinePunct/>
        <w:spacing w:line="400" w:lineRule="exact"/>
        <w:ind w:firstLine="560" w:firstLineChars="200"/>
        <w:rPr>
          <w:rFonts w:ascii="宋体" w:hAnsi="宋体" w:cs="宋体"/>
          <w:color w:val="auto"/>
          <w:sz w:val="28"/>
          <w:szCs w:val="28"/>
          <w:highlight w:val="none"/>
        </w:rPr>
      </w:pPr>
    </w:p>
    <w:p w14:paraId="730E6B39">
      <w:pPr>
        <w:topLinePunct/>
        <w:spacing w:line="400" w:lineRule="exact"/>
        <w:ind w:firstLine="560" w:firstLineChars="200"/>
        <w:rPr>
          <w:rFonts w:ascii="宋体" w:hAnsi="宋体" w:cs="宋体"/>
          <w:color w:val="auto"/>
          <w:sz w:val="28"/>
          <w:szCs w:val="28"/>
          <w:highlight w:val="none"/>
        </w:rPr>
      </w:pPr>
    </w:p>
    <w:p w14:paraId="4AF4C5D8">
      <w:pPr>
        <w:topLinePunct/>
        <w:spacing w:line="400" w:lineRule="exact"/>
        <w:ind w:firstLine="560" w:firstLineChars="200"/>
        <w:rPr>
          <w:rFonts w:ascii="宋体" w:hAnsi="宋体" w:cs="宋体"/>
          <w:color w:val="auto"/>
          <w:sz w:val="28"/>
          <w:szCs w:val="28"/>
          <w:highlight w:val="none"/>
        </w:rPr>
      </w:pPr>
    </w:p>
    <w:p w14:paraId="4445ED3C">
      <w:pPr>
        <w:topLinePunct/>
        <w:spacing w:line="400" w:lineRule="exact"/>
        <w:ind w:firstLine="560" w:firstLineChars="200"/>
        <w:rPr>
          <w:rFonts w:ascii="宋体" w:hAnsi="宋体" w:cs="宋体"/>
          <w:color w:val="auto"/>
          <w:sz w:val="28"/>
          <w:szCs w:val="28"/>
          <w:highlight w:val="none"/>
        </w:rPr>
      </w:pPr>
    </w:p>
    <w:p w14:paraId="39DD2CEB">
      <w:pPr>
        <w:spacing w:before="120" w:beforeLines="50" w:after="120" w:afterLines="50"/>
        <w:jc w:val="left"/>
        <w:rPr>
          <w:rFonts w:ascii="宋体" w:hAnsi="宋体" w:cs="宋体"/>
          <w:b/>
          <w:bCs/>
          <w:color w:val="auto"/>
          <w:highlight w:val="none"/>
        </w:rPr>
      </w:pPr>
      <w:r>
        <w:rPr>
          <w:rFonts w:hint="eastAsia" w:ascii="宋体" w:hAnsi="宋体" w:cs="宋体"/>
          <w:b/>
          <w:bCs/>
          <w:color w:val="auto"/>
          <w:highlight w:val="none"/>
        </w:rPr>
        <w:t>注：如果由供应商的法定代表人签署投标响应文件，则无须提交授权委托书。</w:t>
      </w:r>
    </w:p>
    <w:p w14:paraId="732CE1E2">
      <w:pPr>
        <w:pStyle w:val="34"/>
        <w:topLinePunct/>
        <w:spacing w:line="400" w:lineRule="exact"/>
        <w:ind w:left="560" w:firstLine="0" w:firstLineChars="0"/>
        <w:rPr>
          <w:rFonts w:ascii="宋体" w:hAnsi="宋体" w:cs="宋体"/>
          <w:color w:val="auto"/>
          <w:sz w:val="28"/>
          <w:szCs w:val="28"/>
          <w:highlight w:val="none"/>
        </w:rPr>
      </w:pPr>
      <w:r>
        <w:rPr>
          <w:rFonts w:hint="eastAsia" w:ascii="宋体" w:hAnsi="宋体" w:cs="宋体"/>
          <w:color w:val="auto"/>
          <w:sz w:val="27"/>
          <w:szCs w:val="27"/>
          <w:highlight w:val="none"/>
        </w:rPr>
        <w:br w:type="page"/>
      </w:r>
    </w:p>
    <w:p w14:paraId="74D15E5E">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（二）</w:t>
      </w:r>
      <w:r>
        <w:rPr>
          <w:rFonts w:hint="eastAsia" w:ascii="宋体" w:hAnsi="宋体" w:cs="宋体"/>
          <w:b/>
          <w:color w:val="auto"/>
          <w:sz w:val="28"/>
          <w:szCs w:val="28"/>
          <w:highlight w:val="none"/>
        </w:rPr>
        <w:t>法定代表人身份证明</w:t>
      </w:r>
    </w:p>
    <w:p w14:paraId="349AAEAA">
      <w:pPr>
        <w:topLinePunct/>
        <w:rPr>
          <w:rFonts w:ascii="宋体" w:hAnsi="宋体" w:cs="宋体"/>
          <w:color w:val="auto"/>
          <w:sz w:val="28"/>
          <w:szCs w:val="28"/>
          <w:highlight w:val="none"/>
        </w:rPr>
      </w:pPr>
    </w:p>
    <w:p w14:paraId="78B9AFB4">
      <w:pPr>
        <w:topLinePunct/>
        <w:rPr>
          <w:rFonts w:ascii="宋体" w:hAnsi="宋体" w:cs="宋体"/>
          <w:color w:val="auto"/>
          <w:sz w:val="28"/>
          <w:szCs w:val="28"/>
          <w:highlight w:val="none"/>
        </w:rPr>
      </w:pPr>
    </w:p>
    <w:p w14:paraId="463CF6E4">
      <w:pPr>
        <w:topLinePun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65F71BA">
      <w:pPr>
        <w:topLinePunct/>
        <w:rPr>
          <w:rFonts w:ascii="宋体" w:hAnsi="宋体" w:cs="宋体"/>
          <w:color w:val="auto"/>
          <w:sz w:val="24"/>
          <w:highlight w:val="none"/>
        </w:rPr>
      </w:pPr>
    </w:p>
    <w:p w14:paraId="751029A7">
      <w:pPr>
        <w:topLinePunc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FFE5FAC">
      <w:pPr>
        <w:topLinePunct/>
        <w:rPr>
          <w:rFonts w:ascii="宋体" w:hAnsi="宋体" w:cs="宋体"/>
          <w:color w:val="auto"/>
          <w:sz w:val="24"/>
          <w:highlight w:val="none"/>
        </w:rPr>
      </w:pPr>
    </w:p>
    <w:p w14:paraId="63C4CE57">
      <w:pPr>
        <w:topLinePunct/>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w:t>
      </w:r>
    </w:p>
    <w:p w14:paraId="6C61C0B9">
      <w:pPr>
        <w:topLinePunct/>
        <w:rPr>
          <w:rFonts w:ascii="宋体" w:hAnsi="宋体" w:cs="宋体"/>
          <w:color w:val="auto"/>
          <w:sz w:val="24"/>
          <w:highlight w:val="none"/>
        </w:rPr>
      </w:pPr>
    </w:p>
    <w:p w14:paraId="47FEB164">
      <w:pPr>
        <w:topLinePunct/>
        <w:rPr>
          <w:rFonts w:ascii="宋体" w:hAnsi="宋体" w:cs="宋体"/>
          <w:color w:val="auto"/>
          <w:sz w:val="24"/>
          <w:highlight w:val="none"/>
        </w:rPr>
      </w:pPr>
      <w:r>
        <w:rPr>
          <w:rFonts w:hint="eastAsia" w:ascii="宋体" w:hAnsi="宋体" w:cs="宋体"/>
          <w:color w:val="auto"/>
          <w:sz w:val="24"/>
          <w:highlight w:val="none"/>
        </w:rPr>
        <w:t>特此证明。</w:t>
      </w:r>
    </w:p>
    <w:p w14:paraId="44CEFAD1">
      <w:pPr>
        <w:topLinePunct/>
        <w:rPr>
          <w:rFonts w:ascii="宋体" w:hAnsi="宋体" w:cs="宋体"/>
          <w:color w:val="auto"/>
          <w:sz w:val="24"/>
          <w:highlight w:val="none"/>
        </w:rPr>
      </w:pPr>
    </w:p>
    <w:p w14:paraId="71192E46">
      <w:pPr>
        <w:topLinePunct/>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3DF098D4">
      <w:pPr>
        <w:topLinePunct/>
        <w:rPr>
          <w:rFonts w:ascii="宋体" w:hAnsi="宋体" w:cs="宋体"/>
          <w:color w:val="auto"/>
          <w:sz w:val="24"/>
          <w:highlight w:val="none"/>
        </w:rPr>
      </w:pPr>
    </w:p>
    <w:p w14:paraId="69A88E8F">
      <w:pPr>
        <w:topLinePunct/>
        <w:rPr>
          <w:rFonts w:ascii="宋体" w:hAnsi="宋体" w:cs="宋体"/>
          <w:color w:val="auto"/>
          <w:sz w:val="24"/>
          <w:highlight w:val="none"/>
        </w:rPr>
      </w:pPr>
    </w:p>
    <w:p w14:paraId="1728441B">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46898CF1">
      <w:pPr>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B6851AB">
      <w:pPr>
        <w:topLinePunct/>
        <w:rPr>
          <w:rFonts w:ascii="宋体" w:hAnsi="宋体" w:cs="宋体"/>
          <w:color w:val="auto"/>
          <w:sz w:val="28"/>
          <w:szCs w:val="28"/>
          <w:highlight w:val="none"/>
        </w:rPr>
      </w:pPr>
    </w:p>
    <w:p w14:paraId="0FC59CFC">
      <w:pPr>
        <w:topLinePunct/>
        <w:rPr>
          <w:rFonts w:ascii="宋体" w:hAnsi="宋体" w:cs="宋体"/>
          <w:color w:val="auto"/>
          <w:sz w:val="28"/>
          <w:szCs w:val="28"/>
          <w:highlight w:val="none"/>
        </w:rPr>
      </w:pPr>
    </w:p>
    <w:p w14:paraId="74EBD28A">
      <w:pPr>
        <w:topLinePunct/>
        <w:rPr>
          <w:rFonts w:ascii="宋体" w:hAnsi="宋体" w:cs="宋体"/>
          <w:color w:val="auto"/>
          <w:sz w:val="28"/>
          <w:szCs w:val="28"/>
          <w:highlight w:val="none"/>
        </w:rPr>
      </w:pPr>
    </w:p>
    <w:p w14:paraId="20BC9C1C">
      <w:pPr>
        <w:rPr>
          <w:rFonts w:ascii="宋体" w:hAnsi="宋体" w:cs="宋体"/>
          <w:b/>
          <w:bCs/>
          <w:color w:val="auto"/>
          <w:highlight w:val="none"/>
        </w:rPr>
      </w:pPr>
    </w:p>
    <w:p w14:paraId="3BE799B5">
      <w:pPr>
        <w:spacing w:before="120" w:beforeLines="50" w:after="120" w:afterLines="50"/>
        <w:jc w:val="center"/>
        <w:rPr>
          <w:rFonts w:ascii="宋体" w:hAnsi="宋体" w:cs="宋体"/>
          <w:b/>
          <w:bCs/>
          <w:color w:val="auto"/>
          <w:highlight w:val="none"/>
        </w:rPr>
      </w:pPr>
    </w:p>
    <w:p w14:paraId="14D3EFCB">
      <w:pPr>
        <w:spacing w:before="120" w:beforeLines="50" w:after="120" w:afterLines="50"/>
        <w:jc w:val="center"/>
        <w:rPr>
          <w:rFonts w:ascii="宋体" w:hAnsi="宋体" w:cs="宋体"/>
          <w:b/>
          <w:bCs/>
          <w:color w:val="auto"/>
          <w:highlight w:val="none"/>
        </w:rPr>
      </w:pPr>
    </w:p>
    <w:p w14:paraId="15BA7C91">
      <w:pPr>
        <w:spacing w:before="120" w:beforeLines="50" w:after="120" w:afterLines="50"/>
        <w:jc w:val="center"/>
        <w:rPr>
          <w:rFonts w:ascii="宋体" w:hAnsi="宋体" w:cs="宋体"/>
          <w:b/>
          <w:bCs/>
          <w:color w:val="auto"/>
          <w:highlight w:val="none"/>
        </w:rPr>
      </w:pPr>
    </w:p>
    <w:p w14:paraId="2C487367">
      <w:pPr>
        <w:spacing w:before="120" w:beforeLines="50" w:after="120" w:afterLines="50"/>
        <w:jc w:val="center"/>
        <w:rPr>
          <w:rFonts w:ascii="宋体" w:hAnsi="宋体" w:cs="宋体"/>
          <w:b/>
          <w:bCs/>
          <w:color w:val="auto"/>
          <w:highlight w:val="none"/>
        </w:rPr>
      </w:pPr>
    </w:p>
    <w:p w14:paraId="73F3B0EE">
      <w:pPr>
        <w:spacing w:before="120" w:beforeLines="50" w:after="120" w:afterLines="50"/>
        <w:jc w:val="center"/>
        <w:rPr>
          <w:rFonts w:ascii="宋体" w:hAnsi="宋体" w:cs="宋体"/>
          <w:b/>
          <w:bCs/>
          <w:color w:val="auto"/>
          <w:highlight w:val="none"/>
        </w:rPr>
      </w:pPr>
    </w:p>
    <w:p w14:paraId="6653063B">
      <w:pPr>
        <w:snapToGrid w:val="0"/>
        <w:spacing w:line="300" w:lineRule="auto"/>
        <w:ind w:firstLine="420"/>
        <w:contextualSpacing/>
        <w:rPr>
          <w:rFonts w:ascii="宋体" w:hAnsi="宋体" w:cs="宋体"/>
          <w:b/>
          <w:color w:val="auto"/>
          <w:sz w:val="28"/>
          <w:szCs w:val="28"/>
          <w:highlight w:val="none"/>
        </w:rPr>
      </w:pPr>
    </w:p>
    <w:p w14:paraId="5EAE621D">
      <w:pPr>
        <w:spacing w:before="120" w:beforeLines="50" w:after="120" w:afterLines="5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21DA273C">
      <w:pPr>
        <w:pStyle w:val="17"/>
        <w:rPr>
          <w:rFonts w:ascii="宋体" w:hAnsi="宋体" w:cs="宋体"/>
          <w:color w:val="auto"/>
          <w:highlight w:val="none"/>
        </w:rPr>
      </w:pPr>
    </w:p>
    <w:p w14:paraId="20777AA5">
      <w:pPr>
        <w:pStyle w:val="17"/>
        <w:rPr>
          <w:rFonts w:ascii="宋体" w:hAnsi="宋体" w:cs="宋体"/>
          <w:color w:val="auto"/>
          <w:highlight w:val="none"/>
        </w:rPr>
      </w:pPr>
    </w:p>
    <w:p w14:paraId="2573E62B">
      <w:pPr>
        <w:pStyle w:val="17"/>
        <w:rPr>
          <w:rFonts w:ascii="宋体" w:hAnsi="宋体" w:cs="宋体"/>
          <w:color w:val="auto"/>
          <w:highlight w:val="none"/>
        </w:rPr>
      </w:pPr>
    </w:p>
    <w:p w14:paraId="3ACCFFDA">
      <w:pPr>
        <w:pStyle w:val="17"/>
        <w:rPr>
          <w:rFonts w:ascii="宋体" w:hAnsi="宋体" w:cs="宋体"/>
          <w:color w:val="auto"/>
          <w:highlight w:val="none"/>
        </w:rPr>
      </w:pPr>
    </w:p>
    <w:p w14:paraId="515F1EB4">
      <w:pPr>
        <w:pStyle w:val="17"/>
        <w:rPr>
          <w:rFonts w:ascii="宋体" w:hAnsi="宋体" w:cs="宋体"/>
          <w:color w:val="auto"/>
          <w:highlight w:val="none"/>
        </w:rPr>
      </w:pPr>
    </w:p>
    <w:p w14:paraId="26F6ED67">
      <w:pPr>
        <w:pStyle w:val="17"/>
        <w:rPr>
          <w:rFonts w:ascii="宋体" w:hAnsi="宋体" w:cs="宋体"/>
          <w:color w:val="auto"/>
          <w:highlight w:val="none"/>
        </w:rPr>
      </w:pPr>
    </w:p>
    <w:p w14:paraId="35E233A1">
      <w:pPr>
        <w:pStyle w:val="17"/>
        <w:rPr>
          <w:rFonts w:ascii="宋体" w:hAnsi="宋体" w:cs="宋体"/>
          <w:color w:val="auto"/>
          <w:highlight w:val="none"/>
        </w:rPr>
      </w:pPr>
    </w:p>
    <w:p w14:paraId="3200E786">
      <w:pPr>
        <w:pStyle w:val="17"/>
        <w:rPr>
          <w:rFonts w:ascii="宋体" w:hAnsi="宋体" w:cs="宋体"/>
          <w:color w:val="auto"/>
          <w:highlight w:val="none"/>
        </w:rPr>
      </w:pPr>
    </w:p>
    <w:p w14:paraId="3ABCC569">
      <w:pPr>
        <w:pStyle w:val="31"/>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附件3：                </w:t>
      </w:r>
    </w:p>
    <w:p w14:paraId="39870565">
      <w:pPr>
        <w:pStyle w:val="31"/>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14:paraId="522BB162">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3A0CC22C">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 xml:space="preserve"> </w:t>
      </w:r>
    </w:p>
    <w:p w14:paraId="1EFF762C">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项目投标活动，并郑重承诺：</w:t>
      </w:r>
    </w:p>
    <w:p w14:paraId="28D1D983">
      <w:pPr>
        <w:numPr>
          <w:ilvl w:val="0"/>
          <w:numId w:val="4"/>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14:paraId="495A5362">
      <w:pPr>
        <w:numPr>
          <w:ilvl w:val="0"/>
          <w:numId w:val="4"/>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14:paraId="4487092C">
      <w:pPr>
        <w:numPr>
          <w:ilvl w:val="0"/>
          <w:numId w:val="4"/>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14:paraId="315FCF4B">
      <w:pPr>
        <w:numPr>
          <w:ilvl w:val="0"/>
          <w:numId w:val="4"/>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w:t>
      </w:r>
      <w:r>
        <w:rPr>
          <w:rFonts w:hint="eastAsia" w:ascii="宋体" w:hAnsi="宋体" w:cs="宋体"/>
          <w:color w:val="auto"/>
          <w:spacing w:val="-5"/>
          <w:sz w:val="24"/>
          <w:highlight w:val="none"/>
          <w:lang w:eastAsia="zh-CN"/>
        </w:rPr>
        <w:t>法律法规</w:t>
      </w:r>
      <w:r>
        <w:rPr>
          <w:rFonts w:hint="eastAsia" w:ascii="宋体" w:hAnsi="宋体" w:cs="宋体"/>
          <w:color w:val="auto"/>
          <w:spacing w:val="-5"/>
          <w:sz w:val="24"/>
          <w:highlight w:val="none"/>
        </w:rPr>
        <w:t>、规章和规范性文件的规定，不转包和违法分包。</w:t>
      </w:r>
    </w:p>
    <w:p w14:paraId="5273F39D">
      <w:pPr>
        <w:numPr>
          <w:ilvl w:val="0"/>
          <w:numId w:val="4"/>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14:paraId="7B19E490">
      <w:pPr>
        <w:spacing w:line="560" w:lineRule="exact"/>
        <w:ind w:firstLine="4370" w:firstLineChars="1900"/>
        <w:rPr>
          <w:rFonts w:ascii="宋体" w:hAnsi="宋体" w:cs="宋体"/>
          <w:color w:val="auto"/>
          <w:spacing w:val="-5"/>
          <w:sz w:val="24"/>
          <w:highlight w:val="none"/>
        </w:rPr>
      </w:pPr>
    </w:p>
    <w:p w14:paraId="1D5178FE">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218A6E04">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DDD23D5">
      <w:pPr>
        <w:spacing w:line="360" w:lineRule="auto"/>
        <w:ind w:firstLine="3675"/>
        <w:rPr>
          <w:rFonts w:ascii="宋体" w:hAnsi="宋体" w:cs="宋体"/>
          <w:color w:val="auto"/>
          <w:sz w:val="24"/>
          <w:highlight w:val="none"/>
        </w:rPr>
      </w:pPr>
      <w:r>
        <w:rPr>
          <w:rFonts w:hint="eastAsia" w:ascii="宋体" w:hAnsi="宋体" w:cs="宋体"/>
          <w:color w:val="auto"/>
          <w:sz w:val="24"/>
          <w:highlight w:val="none"/>
        </w:rPr>
        <w:t>日期：   年   月   日</w:t>
      </w:r>
    </w:p>
    <w:p w14:paraId="3F3C5ED1">
      <w:pPr>
        <w:rPr>
          <w:rFonts w:ascii="宋体" w:hAnsi="宋体" w:cs="宋体"/>
          <w:color w:val="auto"/>
          <w:sz w:val="28"/>
          <w:szCs w:val="28"/>
          <w:highlight w:val="none"/>
        </w:rPr>
      </w:pPr>
      <w:r>
        <w:rPr>
          <w:rFonts w:hint="eastAsia" w:ascii="宋体" w:hAnsi="宋体" w:cs="宋体"/>
          <w:color w:val="auto"/>
          <w:sz w:val="24"/>
          <w:highlight w:val="none"/>
        </w:rPr>
        <w:br w:type="page"/>
      </w:r>
    </w:p>
    <w:p w14:paraId="5EFC28D9">
      <w:pPr>
        <w:widowControl/>
        <w:spacing w:line="360" w:lineRule="auto"/>
        <w:jc w:val="left"/>
        <w:rPr>
          <w:rFonts w:ascii="宋体" w:hAnsi="宋体" w:cs="宋体"/>
          <w:color w:val="auto"/>
          <w:sz w:val="28"/>
          <w:szCs w:val="28"/>
          <w:highlight w:val="none"/>
        </w:rPr>
      </w:pPr>
      <w:r>
        <w:rPr>
          <w:rFonts w:hint="eastAsia" w:ascii="宋体" w:hAnsi="宋体" w:cs="宋体"/>
          <w:color w:val="auto"/>
          <w:sz w:val="32"/>
          <w:szCs w:val="32"/>
          <w:highlight w:val="none"/>
        </w:rPr>
        <w:t>附件4：</w:t>
      </w:r>
      <w:r>
        <w:rPr>
          <w:rFonts w:hint="eastAsia" w:ascii="宋体" w:hAnsi="宋体" w:cs="宋体"/>
          <w:color w:val="auto"/>
          <w:sz w:val="28"/>
          <w:szCs w:val="28"/>
          <w:highlight w:val="none"/>
        </w:rPr>
        <w:t>《中小企业声明函》等</w:t>
      </w:r>
    </w:p>
    <w:p w14:paraId="02C5757D">
      <w:pPr>
        <w:snapToGrid w:val="0"/>
        <w:spacing w:line="300" w:lineRule="auto"/>
        <w:outlineLvl w:val="0"/>
        <w:rPr>
          <w:rFonts w:ascii="宋体" w:hAnsi="宋体" w:cs="宋体"/>
          <w:color w:val="auto"/>
          <w:sz w:val="28"/>
          <w:szCs w:val="28"/>
          <w:highlight w:val="none"/>
        </w:rPr>
      </w:pPr>
    </w:p>
    <w:p w14:paraId="144E734A">
      <w:pPr>
        <w:spacing w:before="120" w:beforeLines="50" w:after="120" w:afterLines="50"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中小企业声明函（工程、服务）</w:t>
      </w:r>
    </w:p>
    <w:p w14:paraId="52038807">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bidi="zh-CN"/>
        </w:rPr>
        <w:t>（单位名称）</w:t>
      </w:r>
      <w:r>
        <w:rPr>
          <w:rFonts w:hint="eastAsia" w:ascii="宋体" w:hAnsi="宋体" w:cs="宋体"/>
          <w:color w:val="auto"/>
          <w:sz w:val="24"/>
          <w:highlight w:val="none"/>
          <w:lang w:bidi="zh-CN"/>
        </w:rPr>
        <w:t>的</w:t>
      </w:r>
      <w:r>
        <w:rPr>
          <w:rFonts w:hint="eastAsia" w:ascii="宋体" w:hAnsi="宋体" w:cs="宋体"/>
          <w:color w:val="auto"/>
          <w:sz w:val="24"/>
          <w:highlight w:val="none"/>
          <w:u w:val="single"/>
          <w:lang w:bidi="zh-CN"/>
        </w:rPr>
        <w:t>（项目名称）</w:t>
      </w:r>
      <w:r>
        <w:rPr>
          <w:rFonts w:hint="eastAsia" w:ascii="宋体" w:hAnsi="宋体" w:cs="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4683480B">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1.</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50865520">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2.</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0A31F9AA">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w:t>
      </w:r>
    </w:p>
    <w:p w14:paraId="0FD91030">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以上企业，不属于大企业的分支机构，不存在控股股东为大企业的情形，也不存在与大企业的负责人为同一人的情形。</w:t>
      </w:r>
    </w:p>
    <w:p w14:paraId="2BB89E61">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本企业对上述声明内容的真实性负责。如有虚假，将依法承担相应责任。</w:t>
      </w:r>
    </w:p>
    <w:p w14:paraId="4DBCF7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供应商如不提供此声明函，价格将不做相应扣除。</w:t>
      </w:r>
    </w:p>
    <w:p w14:paraId="1B550315">
      <w:pPr>
        <w:adjustRightInd w:val="0"/>
        <w:snapToGrid w:val="0"/>
        <w:spacing w:line="360" w:lineRule="auto"/>
        <w:ind w:firstLine="960" w:firstLineChars="400"/>
        <w:rPr>
          <w:rFonts w:ascii="宋体" w:hAnsi="宋体" w:cs="宋体"/>
          <w:color w:val="auto"/>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中标或成交供应商为小型、微型单位的，此声明函将随中标或成交结果同时公告，接受社会监督。）</w:t>
      </w:r>
    </w:p>
    <w:p w14:paraId="537AC3A8">
      <w:pPr>
        <w:adjustRightInd w:val="0"/>
        <w:snapToGrid w:val="0"/>
        <w:spacing w:line="360" w:lineRule="auto"/>
        <w:outlineLvl w:val="0"/>
        <w:rPr>
          <w:rFonts w:ascii="宋体" w:hAnsi="宋体" w:cs="宋体"/>
          <w:color w:val="auto"/>
          <w:sz w:val="24"/>
          <w:highlight w:val="none"/>
          <w:lang w:bidi="zh-CN"/>
        </w:rPr>
      </w:pPr>
    </w:p>
    <w:p w14:paraId="7F17A0E4">
      <w:pPr>
        <w:adjustRightInd w:val="0"/>
        <w:snapToGrid w:val="0"/>
        <w:spacing w:line="360" w:lineRule="auto"/>
        <w:outlineLvl w:val="0"/>
        <w:rPr>
          <w:rFonts w:ascii="宋体" w:hAnsi="宋体" w:cs="宋体"/>
          <w:color w:val="auto"/>
          <w:sz w:val="24"/>
          <w:highlight w:val="none"/>
          <w:lang w:bidi="zh-CN"/>
        </w:rPr>
      </w:pPr>
    </w:p>
    <w:p w14:paraId="73125B34">
      <w:pPr>
        <w:adjustRightInd w:val="0"/>
        <w:snapToGrid w:val="0"/>
        <w:spacing w:line="36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企业名称（盖章）：</w:t>
      </w:r>
    </w:p>
    <w:p w14:paraId="6AE79DAB">
      <w:pPr>
        <w:spacing w:line="30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日期：</w:t>
      </w:r>
    </w:p>
    <w:p w14:paraId="2DD13304">
      <w:pPr>
        <w:spacing w:line="560" w:lineRule="exact"/>
        <w:ind w:firstLine="240" w:firstLineChars="100"/>
        <w:rPr>
          <w:rFonts w:ascii="宋体" w:hAnsi="宋体" w:cs="宋体"/>
          <w:color w:val="auto"/>
          <w:sz w:val="24"/>
          <w:highlight w:val="none"/>
        </w:rPr>
      </w:pPr>
    </w:p>
    <w:p w14:paraId="3B824D4E">
      <w:pPr>
        <w:spacing w:line="300" w:lineRule="auto"/>
        <w:contextualSpacing/>
        <w:rPr>
          <w:rFonts w:ascii="宋体" w:hAnsi="宋体" w:cs="宋体"/>
          <w:color w:val="auto"/>
          <w:sz w:val="24"/>
          <w:highlight w:val="none"/>
        </w:rPr>
      </w:pPr>
    </w:p>
    <w:p w14:paraId="6B042A3A">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残疾人福利性单位声明函</w:t>
      </w:r>
    </w:p>
    <w:p w14:paraId="33A66511">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2D085E">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0D9FFED">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76E409C7">
      <w:pPr>
        <w:spacing w:line="588" w:lineRule="exact"/>
        <w:ind w:firstLine="1440" w:firstLineChars="6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中标或成交供应商为残疾人福利单位的，此声明函将随中标或成交结果同时公告，接受社会监督）</w:t>
      </w:r>
    </w:p>
    <w:p w14:paraId="2B64C386">
      <w:pPr>
        <w:spacing w:line="588" w:lineRule="exact"/>
        <w:ind w:firstLine="480" w:firstLineChars="200"/>
        <w:rPr>
          <w:rFonts w:ascii="宋体" w:hAnsi="宋体" w:cs="宋体"/>
          <w:color w:val="auto"/>
          <w:sz w:val="24"/>
          <w:highlight w:val="none"/>
        </w:rPr>
      </w:pPr>
    </w:p>
    <w:p w14:paraId="68CF0AD0">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供应商全称（盖章）：</w:t>
      </w:r>
    </w:p>
    <w:p w14:paraId="32E2FCE3">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877FEB8">
      <w:pPr>
        <w:spacing w:line="420" w:lineRule="exact"/>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监狱和戒毒企业证明材料</w:t>
      </w:r>
    </w:p>
    <w:p w14:paraId="05D3168D">
      <w:pPr>
        <w:spacing w:line="420" w:lineRule="exact"/>
        <w:ind w:firstLine="495" w:firstLineChars="177"/>
        <w:rPr>
          <w:rFonts w:ascii="宋体" w:hAnsi="宋体" w:cs="宋体"/>
          <w:color w:val="auto"/>
          <w:sz w:val="28"/>
          <w:szCs w:val="28"/>
          <w:highlight w:val="none"/>
        </w:rPr>
      </w:pPr>
    </w:p>
    <w:p w14:paraId="7E280453">
      <w:pPr>
        <w:spacing w:line="420" w:lineRule="exact"/>
        <w:ind w:firstLine="426" w:firstLineChars="177"/>
        <w:jc w:val="center"/>
        <w:rPr>
          <w:rFonts w:ascii="宋体" w:hAnsi="宋体" w:cs="宋体"/>
          <w:b/>
          <w:color w:val="auto"/>
          <w:sz w:val="24"/>
          <w:highlight w:val="none"/>
        </w:rPr>
      </w:pPr>
      <w:r>
        <w:rPr>
          <w:rFonts w:hint="eastAsia" w:ascii="宋体" w:hAnsi="宋体" w:cs="宋体"/>
          <w:b/>
          <w:color w:val="auto"/>
          <w:sz w:val="24"/>
          <w:highlight w:val="none"/>
        </w:rPr>
        <w:t>（格式自拟）</w:t>
      </w:r>
    </w:p>
    <w:p w14:paraId="1942C201">
      <w:pPr>
        <w:spacing w:line="420" w:lineRule="exact"/>
        <w:ind w:firstLine="424" w:firstLineChars="177"/>
        <w:rPr>
          <w:rFonts w:ascii="宋体" w:hAnsi="宋体" w:cs="宋体"/>
          <w:color w:val="auto"/>
          <w:sz w:val="24"/>
          <w:highlight w:val="none"/>
        </w:rPr>
      </w:pPr>
    </w:p>
    <w:p w14:paraId="122223EF">
      <w:pPr>
        <w:spacing w:line="42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1F4D54A">
      <w:pPr>
        <w:spacing w:line="300" w:lineRule="auto"/>
        <w:contextualSpacing/>
        <w:rPr>
          <w:rFonts w:ascii="宋体" w:hAnsi="宋体" w:cs="宋体"/>
          <w:b/>
          <w:bCs/>
          <w:color w:val="auto"/>
          <w:sz w:val="24"/>
          <w:highlight w:val="none"/>
        </w:rPr>
      </w:pPr>
    </w:p>
    <w:p w14:paraId="3FA980CE">
      <w:pPr>
        <w:kinsoku w:val="0"/>
        <w:topLinePunct/>
        <w:spacing w:line="420" w:lineRule="exact"/>
        <w:jc w:val="center"/>
        <w:rPr>
          <w:rFonts w:ascii="宋体" w:hAnsi="宋体" w:cs="宋体"/>
          <w:color w:val="auto"/>
          <w:sz w:val="24"/>
          <w:highlight w:val="none"/>
        </w:rPr>
      </w:pPr>
    </w:p>
    <w:p w14:paraId="57591BD3">
      <w:pPr>
        <w:adjustRightInd w:val="0"/>
        <w:snapToGrid w:val="0"/>
        <w:spacing w:line="360" w:lineRule="auto"/>
        <w:jc w:val="left"/>
        <w:rPr>
          <w:rFonts w:ascii="宋体" w:hAnsi="宋体" w:cs="宋体"/>
          <w:color w:val="auto"/>
          <w:sz w:val="24"/>
          <w:highlight w:val="none"/>
        </w:rPr>
      </w:pPr>
    </w:p>
    <w:p w14:paraId="6F4D2CC8">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735AFA5">
      <w:pPr>
        <w:rPr>
          <w:rFonts w:ascii="宋体" w:hAnsi="宋体" w:cs="宋体"/>
          <w:color w:val="auto"/>
          <w:sz w:val="28"/>
          <w:szCs w:val="28"/>
          <w:highlight w:val="none"/>
        </w:rPr>
      </w:pPr>
      <w:r>
        <w:rPr>
          <w:rFonts w:hint="eastAsia" w:ascii="宋体" w:hAnsi="宋体" w:cs="宋体"/>
          <w:color w:val="auto"/>
          <w:sz w:val="28"/>
          <w:szCs w:val="28"/>
          <w:highlight w:val="none"/>
        </w:rPr>
        <w:t>附件5：</w:t>
      </w:r>
    </w:p>
    <w:p w14:paraId="63B21D57">
      <w:pPr>
        <w:snapToGrid w:val="0"/>
        <w:spacing w:line="520" w:lineRule="exact"/>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0F07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727113C1">
            <w:pPr>
              <w:jc w:val="center"/>
              <w:rPr>
                <w:rFonts w:ascii="宋体" w:hAnsi="宋体" w:cs="宋体"/>
                <w:color w:val="auto"/>
                <w:sz w:val="24"/>
                <w:highlight w:val="none"/>
              </w:rPr>
            </w:pPr>
            <w:r>
              <w:rPr>
                <w:rFonts w:hint="eastAsia" w:ascii="宋体" w:hAnsi="宋体" w:cs="宋体"/>
                <w:color w:val="auto"/>
                <w:sz w:val="24"/>
                <w:highlight w:val="none"/>
              </w:rPr>
              <w:t>供应商全称</w:t>
            </w:r>
          </w:p>
        </w:tc>
        <w:tc>
          <w:tcPr>
            <w:tcW w:w="6859" w:type="dxa"/>
            <w:gridSpan w:val="3"/>
            <w:vAlign w:val="center"/>
          </w:tcPr>
          <w:p w14:paraId="692AEDC9">
            <w:pPr>
              <w:jc w:val="center"/>
              <w:rPr>
                <w:rFonts w:ascii="宋体" w:hAnsi="宋体" w:cs="宋体"/>
                <w:b/>
                <w:color w:val="auto"/>
                <w:sz w:val="24"/>
                <w:highlight w:val="none"/>
              </w:rPr>
            </w:pPr>
          </w:p>
        </w:tc>
      </w:tr>
      <w:tr w14:paraId="632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1FBF690E">
            <w:pPr>
              <w:jc w:val="center"/>
              <w:rPr>
                <w:rFonts w:ascii="宋体" w:hAnsi="宋体" w:cs="宋体"/>
                <w:color w:val="auto"/>
                <w:sz w:val="24"/>
                <w:highlight w:val="none"/>
              </w:rPr>
            </w:pPr>
            <w:r>
              <w:rPr>
                <w:rFonts w:hint="eastAsia" w:ascii="宋体" w:hAnsi="宋体" w:cs="宋体"/>
                <w:color w:val="auto"/>
                <w:sz w:val="24"/>
                <w:highlight w:val="none"/>
              </w:rPr>
              <w:t>主要业务范围</w:t>
            </w:r>
          </w:p>
        </w:tc>
        <w:tc>
          <w:tcPr>
            <w:tcW w:w="6859" w:type="dxa"/>
            <w:gridSpan w:val="3"/>
            <w:vAlign w:val="center"/>
          </w:tcPr>
          <w:p w14:paraId="6AD96CE9">
            <w:pPr>
              <w:jc w:val="center"/>
              <w:rPr>
                <w:rFonts w:ascii="宋体" w:hAnsi="宋体" w:cs="宋体"/>
                <w:b/>
                <w:color w:val="auto"/>
                <w:sz w:val="24"/>
                <w:highlight w:val="none"/>
              </w:rPr>
            </w:pPr>
          </w:p>
        </w:tc>
      </w:tr>
      <w:tr w14:paraId="46C8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9AC1775">
            <w:pPr>
              <w:jc w:val="center"/>
              <w:rPr>
                <w:rFonts w:ascii="宋体" w:hAnsi="宋体" w:cs="宋体"/>
                <w:color w:val="auto"/>
                <w:sz w:val="24"/>
                <w:highlight w:val="none"/>
              </w:rPr>
            </w:pPr>
            <w:r>
              <w:rPr>
                <w:rFonts w:hint="eastAsia" w:ascii="宋体" w:hAnsi="宋体" w:cs="宋体"/>
                <w:color w:val="auto"/>
                <w:sz w:val="24"/>
                <w:highlight w:val="none"/>
              </w:rPr>
              <w:t>法定代表人姓名</w:t>
            </w:r>
          </w:p>
        </w:tc>
        <w:tc>
          <w:tcPr>
            <w:tcW w:w="3036" w:type="dxa"/>
            <w:vAlign w:val="center"/>
          </w:tcPr>
          <w:p w14:paraId="6561FAF6">
            <w:pPr>
              <w:jc w:val="center"/>
              <w:rPr>
                <w:rFonts w:ascii="宋体" w:hAnsi="宋体" w:cs="宋体"/>
                <w:b/>
                <w:color w:val="auto"/>
                <w:sz w:val="24"/>
                <w:highlight w:val="none"/>
              </w:rPr>
            </w:pPr>
          </w:p>
        </w:tc>
        <w:tc>
          <w:tcPr>
            <w:tcW w:w="1536" w:type="dxa"/>
            <w:vAlign w:val="center"/>
          </w:tcPr>
          <w:p w14:paraId="43DBDDE1">
            <w:pPr>
              <w:jc w:val="center"/>
              <w:rPr>
                <w:rFonts w:ascii="宋体" w:hAnsi="宋体" w:cs="宋体"/>
                <w:color w:val="auto"/>
                <w:sz w:val="24"/>
                <w:highlight w:val="none"/>
              </w:rPr>
            </w:pPr>
            <w:r>
              <w:rPr>
                <w:rFonts w:hint="eastAsia" w:ascii="宋体" w:hAnsi="宋体" w:cs="宋体"/>
                <w:color w:val="auto"/>
                <w:sz w:val="24"/>
                <w:highlight w:val="none"/>
              </w:rPr>
              <w:t>职    务</w:t>
            </w:r>
          </w:p>
        </w:tc>
        <w:tc>
          <w:tcPr>
            <w:tcW w:w="2287" w:type="dxa"/>
          </w:tcPr>
          <w:p w14:paraId="3A9BBA5F">
            <w:pPr>
              <w:rPr>
                <w:rFonts w:ascii="宋体" w:hAnsi="宋体" w:cs="宋体"/>
                <w:b/>
                <w:color w:val="auto"/>
                <w:sz w:val="24"/>
                <w:highlight w:val="none"/>
              </w:rPr>
            </w:pPr>
          </w:p>
        </w:tc>
      </w:tr>
      <w:tr w14:paraId="5E25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483C4B3">
            <w:pPr>
              <w:jc w:val="center"/>
              <w:rPr>
                <w:rFonts w:ascii="宋体" w:hAnsi="宋体" w:cs="宋体"/>
                <w:color w:val="auto"/>
                <w:sz w:val="24"/>
                <w:highlight w:val="none"/>
              </w:rPr>
            </w:pPr>
            <w:r>
              <w:rPr>
                <w:rFonts w:hint="eastAsia" w:ascii="宋体" w:hAnsi="宋体" w:cs="宋体"/>
                <w:color w:val="auto"/>
                <w:sz w:val="24"/>
                <w:highlight w:val="none"/>
              </w:rPr>
              <w:t>供应商地址</w:t>
            </w:r>
          </w:p>
        </w:tc>
        <w:tc>
          <w:tcPr>
            <w:tcW w:w="3036" w:type="dxa"/>
            <w:vAlign w:val="center"/>
          </w:tcPr>
          <w:p w14:paraId="1C173A93">
            <w:pPr>
              <w:jc w:val="center"/>
              <w:rPr>
                <w:rFonts w:ascii="宋体" w:hAnsi="宋体" w:cs="宋体"/>
                <w:b/>
                <w:color w:val="auto"/>
                <w:sz w:val="24"/>
                <w:highlight w:val="none"/>
              </w:rPr>
            </w:pPr>
          </w:p>
        </w:tc>
        <w:tc>
          <w:tcPr>
            <w:tcW w:w="1536" w:type="dxa"/>
            <w:vAlign w:val="center"/>
          </w:tcPr>
          <w:p w14:paraId="18665DEB">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87" w:type="dxa"/>
          </w:tcPr>
          <w:p w14:paraId="68FF2FB4">
            <w:pPr>
              <w:rPr>
                <w:rFonts w:ascii="宋体" w:hAnsi="宋体" w:cs="宋体"/>
                <w:b/>
                <w:color w:val="auto"/>
                <w:sz w:val="24"/>
                <w:highlight w:val="none"/>
              </w:rPr>
            </w:pPr>
          </w:p>
        </w:tc>
      </w:tr>
      <w:tr w14:paraId="3FF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8E07BAB">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3036" w:type="dxa"/>
            <w:vAlign w:val="center"/>
          </w:tcPr>
          <w:p w14:paraId="389EC93A">
            <w:pPr>
              <w:jc w:val="center"/>
              <w:rPr>
                <w:rFonts w:ascii="宋体" w:hAnsi="宋体" w:cs="宋体"/>
                <w:b/>
                <w:color w:val="auto"/>
                <w:sz w:val="24"/>
                <w:highlight w:val="none"/>
              </w:rPr>
            </w:pPr>
          </w:p>
        </w:tc>
        <w:tc>
          <w:tcPr>
            <w:tcW w:w="1536" w:type="dxa"/>
            <w:vAlign w:val="center"/>
          </w:tcPr>
          <w:p w14:paraId="7D3DC02B">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287" w:type="dxa"/>
          </w:tcPr>
          <w:p w14:paraId="4FBAC2F5">
            <w:pPr>
              <w:rPr>
                <w:rFonts w:ascii="宋体" w:hAnsi="宋体" w:cs="宋体"/>
                <w:b/>
                <w:color w:val="auto"/>
                <w:sz w:val="24"/>
                <w:highlight w:val="none"/>
              </w:rPr>
            </w:pPr>
          </w:p>
        </w:tc>
      </w:tr>
      <w:tr w14:paraId="7AE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40A84DCA">
            <w:pPr>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3036" w:type="dxa"/>
            <w:vAlign w:val="center"/>
          </w:tcPr>
          <w:p w14:paraId="06ECFDFF">
            <w:pPr>
              <w:jc w:val="center"/>
              <w:rPr>
                <w:rFonts w:ascii="宋体" w:hAnsi="宋体" w:cs="宋体"/>
                <w:b/>
                <w:color w:val="auto"/>
                <w:sz w:val="24"/>
                <w:highlight w:val="none"/>
              </w:rPr>
            </w:pPr>
          </w:p>
        </w:tc>
        <w:tc>
          <w:tcPr>
            <w:tcW w:w="1536" w:type="dxa"/>
            <w:vAlign w:val="center"/>
          </w:tcPr>
          <w:p w14:paraId="387EE434">
            <w:pPr>
              <w:jc w:val="center"/>
              <w:rPr>
                <w:rFonts w:ascii="宋体" w:hAnsi="宋体" w:cs="宋体"/>
                <w:color w:val="auto"/>
                <w:sz w:val="24"/>
                <w:highlight w:val="none"/>
              </w:rPr>
            </w:pPr>
            <w:r>
              <w:rPr>
                <w:rFonts w:hint="eastAsia" w:ascii="宋体" w:hAnsi="宋体" w:cs="宋体"/>
                <w:color w:val="auto"/>
                <w:sz w:val="24"/>
                <w:highlight w:val="none"/>
              </w:rPr>
              <w:t>现 有 职</w:t>
            </w:r>
          </w:p>
          <w:p w14:paraId="1887DD88">
            <w:pPr>
              <w:jc w:val="center"/>
              <w:rPr>
                <w:rFonts w:ascii="宋体" w:hAnsi="宋体" w:cs="宋体"/>
                <w:color w:val="auto"/>
                <w:sz w:val="24"/>
                <w:highlight w:val="none"/>
              </w:rPr>
            </w:pPr>
            <w:r>
              <w:rPr>
                <w:rFonts w:hint="eastAsia" w:ascii="宋体" w:hAnsi="宋体" w:cs="宋体"/>
                <w:color w:val="auto"/>
                <w:sz w:val="24"/>
                <w:highlight w:val="none"/>
              </w:rPr>
              <w:t>工 人 数</w:t>
            </w:r>
          </w:p>
        </w:tc>
        <w:tc>
          <w:tcPr>
            <w:tcW w:w="2287" w:type="dxa"/>
          </w:tcPr>
          <w:p w14:paraId="0377C597">
            <w:pPr>
              <w:rPr>
                <w:rFonts w:ascii="宋体" w:hAnsi="宋体" w:cs="宋体"/>
                <w:b/>
                <w:color w:val="auto"/>
                <w:sz w:val="24"/>
                <w:highlight w:val="none"/>
              </w:rPr>
            </w:pPr>
          </w:p>
        </w:tc>
      </w:tr>
      <w:tr w14:paraId="429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50B7EE21">
            <w:pPr>
              <w:pStyle w:val="12"/>
              <w:jc w:val="center"/>
              <w:rPr>
                <w:rFonts w:ascii="宋体" w:hAnsi="宋体" w:cs="宋体"/>
                <w:color w:val="auto"/>
                <w:sz w:val="24"/>
                <w:szCs w:val="24"/>
                <w:highlight w:val="none"/>
              </w:rPr>
            </w:pPr>
            <w:r>
              <w:rPr>
                <w:rFonts w:hint="eastAsia" w:ascii="宋体" w:hAnsi="宋体" w:cs="宋体"/>
                <w:color w:val="auto"/>
                <w:sz w:val="24"/>
                <w:szCs w:val="24"/>
                <w:highlight w:val="none"/>
              </w:rPr>
              <w:t>资质等级证书（如有）</w:t>
            </w:r>
          </w:p>
        </w:tc>
        <w:tc>
          <w:tcPr>
            <w:tcW w:w="6859" w:type="dxa"/>
            <w:gridSpan w:val="3"/>
          </w:tcPr>
          <w:p w14:paraId="3ED1FACF">
            <w:pPr>
              <w:rPr>
                <w:rFonts w:ascii="宋体" w:hAnsi="宋体" w:cs="宋体"/>
                <w:b/>
                <w:color w:val="auto"/>
                <w:sz w:val="24"/>
                <w:highlight w:val="none"/>
              </w:rPr>
            </w:pPr>
          </w:p>
          <w:p w14:paraId="79B95B26">
            <w:pPr>
              <w:rPr>
                <w:rFonts w:ascii="宋体" w:hAnsi="宋体" w:cs="宋体"/>
                <w:color w:val="auto"/>
                <w:sz w:val="24"/>
                <w:highlight w:val="none"/>
              </w:rPr>
            </w:pPr>
            <w:r>
              <w:rPr>
                <w:rFonts w:hint="eastAsia" w:ascii="宋体" w:hAnsi="宋体" w:cs="宋体"/>
                <w:color w:val="auto"/>
                <w:sz w:val="24"/>
                <w:highlight w:val="none"/>
              </w:rPr>
              <w:t>等 级：                   证书号：</w:t>
            </w:r>
          </w:p>
        </w:tc>
      </w:tr>
      <w:tr w14:paraId="0E9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6BCE8B8E">
            <w:pPr>
              <w:rPr>
                <w:rFonts w:ascii="宋体" w:hAnsi="宋体" w:cs="宋体"/>
                <w:color w:val="auto"/>
                <w:sz w:val="24"/>
                <w:highlight w:val="none"/>
              </w:rPr>
            </w:pPr>
            <w:r>
              <w:rPr>
                <w:rFonts w:hint="eastAsia" w:ascii="宋体" w:hAnsi="宋体" w:cs="宋体"/>
                <w:color w:val="auto"/>
                <w:sz w:val="24"/>
                <w:highlight w:val="none"/>
              </w:rPr>
              <w:t>单位简介：</w:t>
            </w:r>
          </w:p>
          <w:p w14:paraId="0F101F82">
            <w:pPr>
              <w:rPr>
                <w:rFonts w:ascii="宋体" w:hAnsi="宋体" w:cs="宋体"/>
                <w:color w:val="auto"/>
                <w:sz w:val="24"/>
                <w:highlight w:val="none"/>
              </w:rPr>
            </w:pPr>
            <w:r>
              <w:rPr>
                <w:rFonts w:hint="eastAsia" w:ascii="宋体" w:hAnsi="宋体" w:cs="宋体"/>
                <w:color w:val="auto"/>
                <w:sz w:val="24"/>
                <w:highlight w:val="none"/>
              </w:rPr>
              <w:t xml:space="preserve">技术人员总数：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p>
        </w:tc>
      </w:tr>
    </w:tbl>
    <w:p w14:paraId="061BF2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1F642AA6">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208F9A7B">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8677746">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5D5EDDB5">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注：本表后附竞争性磋商公告资格要求提供相应的佐证材料（以下材料均须提供复印件（或扫描件）并加盖公章）；</w:t>
      </w:r>
    </w:p>
    <w:p w14:paraId="7A029880">
      <w:pPr>
        <w:adjustRightInd w:val="0"/>
        <w:snapToGrid w:val="0"/>
        <w:spacing w:line="360" w:lineRule="auto"/>
        <w:ind w:firstLine="480" w:firstLineChars="200"/>
        <w:rPr>
          <w:rFonts w:hint="eastAsia" w:ascii="宋体" w:hAnsi="宋体"/>
          <w:color w:val="auto"/>
          <w:kern w:val="0"/>
          <w:sz w:val="24"/>
          <w:highlight w:val="none"/>
          <w:lang w:val="zh-CN"/>
        </w:rPr>
      </w:pPr>
      <w:r>
        <w:rPr>
          <w:rFonts w:hint="eastAsia" w:ascii="宋体" w:hAnsi="宋体"/>
          <w:color w:val="auto"/>
          <w:kern w:val="0"/>
          <w:sz w:val="24"/>
          <w:highlight w:val="none"/>
          <w:lang w:val="zh-CN"/>
        </w:rPr>
        <w:t>（1）企业法人营业执照或事业单位法人登记证明或社会组织或其他组织或自然人证明材料；</w:t>
      </w:r>
    </w:p>
    <w:p w14:paraId="248FA4C6">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val="zh-CN"/>
        </w:rPr>
        <w:t>）供应商在“信用中国”网站(http://www.creditchina.gov.cn/)中未被列入失信被执行人名单、重大税收违法案件当事人名单，在国家企业信用信息公示系(http://www.gsxt.gov.cn/)中未被列入严重违法失信企业名单，未被“中国政府采购网”(http://www.ccgp.gov.cn/)列入政府采购严重失信行为</w:t>
      </w:r>
      <w:r>
        <w:rPr>
          <w:rFonts w:ascii="宋体" w:hAnsi="宋体"/>
          <w:color w:val="auto"/>
          <w:kern w:val="0"/>
          <w:sz w:val="24"/>
          <w:highlight w:val="none"/>
          <w:lang w:val="zh-CN"/>
        </w:rPr>
        <w:t>记录名单</w:t>
      </w:r>
      <w:r>
        <w:rPr>
          <w:rFonts w:hint="eastAsia" w:ascii="宋体" w:hAnsi="宋体"/>
          <w:color w:val="auto"/>
          <w:kern w:val="0"/>
          <w:sz w:val="24"/>
          <w:highlight w:val="none"/>
          <w:lang w:val="zh-CN"/>
        </w:rPr>
        <w:t>截图。</w:t>
      </w:r>
    </w:p>
    <w:p w14:paraId="631041D3">
      <w:pPr>
        <w:tabs>
          <w:tab w:val="left" w:pos="3375"/>
        </w:tabs>
        <w:autoSpaceDE w:val="0"/>
        <w:autoSpaceDN w:val="0"/>
        <w:adjustRightInd w:val="0"/>
        <w:snapToGrid w:val="0"/>
        <w:spacing w:line="44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注：上述截图请在本项目招标公告后递交响应文件截止时间前截取并放入响应文件中。</w:t>
      </w:r>
    </w:p>
    <w:p w14:paraId="00C252B2">
      <w:pPr>
        <w:adjustRightInd w:val="0"/>
        <w:snapToGrid w:val="0"/>
        <w:spacing w:line="360" w:lineRule="auto"/>
        <w:ind w:firstLine="480" w:firstLineChars="200"/>
        <w:rPr>
          <w:rFonts w:hint="eastAsia" w:ascii="宋体" w:hAnsi="宋体"/>
          <w:color w:val="auto"/>
          <w:kern w:val="0"/>
          <w:sz w:val="24"/>
          <w:highlight w:val="none"/>
          <w:lang w:val="zh-CN"/>
        </w:rPr>
      </w:pP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val="zh-CN"/>
        </w:rPr>
        <w:t>）项目负责人职称证书复印件及一级注册造价工程师注册证书（或交通部甲级公路工程造价工程师）复印件；</w:t>
      </w:r>
    </w:p>
    <w:p w14:paraId="6ADC053A">
      <w:pPr>
        <w:adjustRightInd w:val="0"/>
        <w:snapToGrid w:val="0"/>
        <w:spacing w:line="360" w:lineRule="auto"/>
        <w:ind w:firstLine="480" w:firstLineChars="200"/>
        <w:rPr>
          <w:rFonts w:hint="eastAsia" w:ascii="宋体" w:hAnsi="宋体"/>
          <w:color w:val="auto"/>
          <w:kern w:val="0"/>
          <w:sz w:val="24"/>
          <w:highlight w:val="none"/>
          <w:lang w:val="zh-CN"/>
        </w:rPr>
      </w:pP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val="zh-CN"/>
        </w:rPr>
        <w:t>）项目组（除项目负责人外）二级及以上注册造价工程师注册证书（或交通部乙级及以上公路工程造价工程师）复印件；</w:t>
      </w:r>
    </w:p>
    <w:p w14:paraId="7CC377AA">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rPr>
      </w:pPr>
    </w:p>
    <w:p w14:paraId="53B027D9">
      <w:pPr>
        <w:tabs>
          <w:tab w:val="left" w:pos="3375"/>
        </w:tabs>
        <w:autoSpaceDE w:val="0"/>
        <w:autoSpaceDN w:val="0"/>
        <w:adjustRightInd w:val="0"/>
        <w:snapToGrid w:val="0"/>
        <w:spacing w:line="440" w:lineRule="exact"/>
        <w:ind w:firstLine="480" w:firstLineChars="200"/>
        <w:rPr>
          <w:rFonts w:hint="default" w:ascii="宋体" w:hAnsi="宋体" w:cs="宋体"/>
          <w:color w:val="auto"/>
          <w:sz w:val="24"/>
          <w:highlight w:val="none"/>
          <w:lang w:val="en-US" w:eastAsia="zh-CN"/>
        </w:rPr>
      </w:pPr>
    </w:p>
    <w:p w14:paraId="56B7F498">
      <w:pPr>
        <w:spacing w:line="300" w:lineRule="auto"/>
        <w:jc w:val="center"/>
        <w:rPr>
          <w:rFonts w:hint="eastAsia" w:ascii="宋体" w:hAnsi="宋体"/>
          <w:bCs/>
          <w:color w:val="auto"/>
          <w:sz w:val="32"/>
          <w:szCs w:val="32"/>
          <w:highlight w:val="none"/>
        </w:rPr>
      </w:pPr>
    </w:p>
    <w:p w14:paraId="23781883">
      <w:pPr>
        <w:spacing w:line="300" w:lineRule="auto"/>
        <w:jc w:val="center"/>
        <w:rPr>
          <w:rFonts w:hint="eastAsia" w:ascii="宋体" w:hAnsi="宋体"/>
          <w:bCs/>
          <w:color w:val="auto"/>
          <w:sz w:val="32"/>
          <w:szCs w:val="32"/>
          <w:highlight w:val="none"/>
        </w:rPr>
      </w:pPr>
    </w:p>
    <w:p w14:paraId="0E8DE7AA">
      <w:pPr>
        <w:spacing w:line="300" w:lineRule="auto"/>
        <w:jc w:val="center"/>
        <w:rPr>
          <w:rFonts w:hint="eastAsia" w:ascii="宋体" w:hAnsi="宋体"/>
          <w:bCs/>
          <w:color w:val="auto"/>
          <w:sz w:val="32"/>
          <w:szCs w:val="32"/>
          <w:highlight w:val="none"/>
        </w:rPr>
      </w:pPr>
    </w:p>
    <w:p w14:paraId="77D0F714">
      <w:pPr>
        <w:spacing w:line="300" w:lineRule="auto"/>
        <w:jc w:val="center"/>
        <w:rPr>
          <w:rFonts w:hint="eastAsia" w:ascii="宋体" w:hAnsi="宋体"/>
          <w:bCs/>
          <w:color w:val="auto"/>
          <w:sz w:val="32"/>
          <w:szCs w:val="32"/>
          <w:highlight w:val="none"/>
        </w:rPr>
      </w:pPr>
    </w:p>
    <w:p w14:paraId="6BF69A5A">
      <w:pPr>
        <w:spacing w:line="300" w:lineRule="auto"/>
        <w:jc w:val="center"/>
        <w:rPr>
          <w:rFonts w:hint="eastAsia" w:ascii="宋体" w:hAnsi="宋体"/>
          <w:bCs/>
          <w:color w:val="auto"/>
          <w:sz w:val="32"/>
          <w:szCs w:val="32"/>
          <w:highlight w:val="none"/>
        </w:rPr>
      </w:pPr>
    </w:p>
    <w:p w14:paraId="04B2930E">
      <w:pPr>
        <w:rPr>
          <w:rFonts w:hint="eastAsia" w:ascii="宋体" w:hAnsi="宋体"/>
          <w:bCs/>
          <w:color w:val="auto"/>
          <w:sz w:val="32"/>
          <w:szCs w:val="32"/>
          <w:highlight w:val="none"/>
        </w:rPr>
      </w:pPr>
      <w:r>
        <w:rPr>
          <w:rFonts w:hint="eastAsia" w:ascii="宋体" w:hAnsi="宋体"/>
          <w:bCs/>
          <w:color w:val="auto"/>
          <w:sz w:val="32"/>
          <w:szCs w:val="32"/>
          <w:highlight w:val="none"/>
        </w:rPr>
        <w:br w:type="page"/>
      </w:r>
    </w:p>
    <w:p w14:paraId="1C7065BA">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其他</w:t>
      </w:r>
      <w:r>
        <w:rPr>
          <w:rFonts w:hint="eastAsia" w:ascii="宋体" w:hAnsi="宋体" w:cs="宋体"/>
          <w:color w:val="auto"/>
          <w:sz w:val="24"/>
          <w:highlight w:val="none"/>
        </w:rPr>
        <w:t>需要提交的资格审查材料</w:t>
      </w:r>
    </w:p>
    <w:p w14:paraId="2C37D411">
      <w:pPr>
        <w:spacing w:after="120" w:line="360" w:lineRule="auto"/>
        <w:ind w:left="420" w:leftChars="200" w:firstLine="400" w:firstLineChars="200"/>
        <w:rPr>
          <w:rFonts w:ascii="宋体" w:hAnsi="宋体" w:cs="宋体"/>
          <w:color w:val="auto"/>
          <w:kern w:val="0"/>
          <w:sz w:val="20"/>
          <w:highlight w:val="none"/>
        </w:rPr>
      </w:pPr>
    </w:p>
    <w:p w14:paraId="0AE11C8B">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14:paraId="67E900A3">
      <w:pPr>
        <w:pStyle w:val="17"/>
        <w:ind w:firstLine="480"/>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highlight w:val="none"/>
        </w:rPr>
        <w:br w:type="page"/>
      </w:r>
    </w:p>
    <w:p w14:paraId="463F5113">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第二部分格式：</w:t>
      </w:r>
    </w:p>
    <w:p w14:paraId="00D13311">
      <w:pPr>
        <w:snapToGrid w:val="0"/>
        <w:spacing w:line="300" w:lineRule="auto"/>
        <w:contextualSpacing/>
        <w:rPr>
          <w:rFonts w:ascii="宋体" w:hAnsi="宋体" w:cs="宋体"/>
          <w:color w:val="auto"/>
          <w:sz w:val="32"/>
          <w:szCs w:val="32"/>
          <w:highlight w:val="none"/>
        </w:rPr>
      </w:pPr>
    </w:p>
    <w:p w14:paraId="55F87B2C">
      <w:pPr>
        <w:autoSpaceDE w:val="0"/>
        <w:autoSpaceDN w:val="0"/>
        <w:adjustRightInd w:val="0"/>
        <w:jc w:val="center"/>
        <w:rPr>
          <w:rFonts w:ascii="宋体" w:hAnsi="宋体" w:cs="宋体"/>
          <w:b/>
          <w:color w:val="auto"/>
          <w:sz w:val="32"/>
          <w:szCs w:val="32"/>
          <w:highlight w:val="none"/>
        </w:rPr>
      </w:pPr>
    </w:p>
    <w:p w14:paraId="686303D0">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2026-2027年南通市公路事业发展中心项目造价咨询服务项目</w:t>
      </w:r>
    </w:p>
    <w:p w14:paraId="432CEB63">
      <w:pPr>
        <w:pStyle w:val="17"/>
        <w:rPr>
          <w:rFonts w:ascii="宋体" w:hAnsi="宋体" w:cs="宋体"/>
          <w:color w:val="auto"/>
          <w:highlight w:val="none"/>
        </w:rPr>
      </w:pPr>
    </w:p>
    <w:p w14:paraId="01B8A1C4">
      <w:pPr>
        <w:tabs>
          <w:tab w:val="left" w:pos="6300"/>
        </w:tabs>
        <w:snapToGrid w:val="0"/>
        <w:spacing w:line="300" w:lineRule="auto"/>
        <w:ind w:firstLine="3087" w:firstLineChars="1200"/>
        <w:jc w:val="both"/>
        <w:rPr>
          <w:rFonts w:hint="eastAsia" w:ascii="宋体" w:hAnsi="宋体" w:eastAsia="宋体" w:cs="宋体"/>
          <w:b/>
          <w:color w:val="auto"/>
          <w:w w:val="80"/>
          <w:sz w:val="32"/>
          <w:szCs w:val="32"/>
          <w:highlight w:val="none"/>
          <w:lang w:eastAsia="zh-CN"/>
        </w:rPr>
      </w:pPr>
      <w:r>
        <w:rPr>
          <w:rFonts w:hint="eastAsia" w:ascii="宋体" w:hAnsi="宋体" w:eastAsia="宋体" w:cs="宋体"/>
          <w:b/>
          <w:color w:val="auto"/>
          <w:w w:val="80"/>
          <w:sz w:val="32"/>
          <w:szCs w:val="32"/>
          <w:highlight w:val="none"/>
        </w:rPr>
        <w:t>项目编号：</w:t>
      </w:r>
      <w:r>
        <w:rPr>
          <w:rFonts w:hint="eastAsia" w:ascii="宋体" w:hAnsi="宋体" w:cs="宋体"/>
          <w:b/>
          <w:color w:val="auto"/>
          <w:w w:val="80"/>
          <w:sz w:val="32"/>
          <w:szCs w:val="32"/>
          <w:highlight w:val="none"/>
          <w:lang w:eastAsia="zh-CN"/>
        </w:rPr>
        <w:t>2026-2027ZJZX</w:t>
      </w:r>
    </w:p>
    <w:p w14:paraId="368FFF67">
      <w:pPr>
        <w:tabs>
          <w:tab w:val="left" w:pos="6300"/>
        </w:tabs>
        <w:snapToGrid w:val="0"/>
        <w:spacing w:line="300" w:lineRule="auto"/>
        <w:ind w:firstLine="3087" w:firstLineChars="1200"/>
        <w:jc w:val="both"/>
        <w:rPr>
          <w:rFonts w:hint="default" w:ascii="宋体" w:hAnsi="宋体" w:cs="宋体"/>
          <w:b/>
          <w:color w:val="auto"/>
          <w:w w:val="80"/>
          <w:sz w:val="32"/>
          <w:szCs w:val="32"/>
          <w:highlight w:val="none"/>
          <w:lang w:val="en-US"/>
        </w:rPr>
      </w:pPr>
      <w:r>
        <w:rPr>
          <w:rFonts w:hint="eastAsia" w:ascii="宋体" w:hAnsi="宋体" w:eastAsia="宋体" w:cs="宋体"/>
          <w:b/>
          <w:color w:val="auto"/>
          <w:w w:val="80"/>
          <w:sz w:val="32"/>
          <w:szCs w:val="32"/>
          <w:highlight w:val="none"/>
        </w:rPr>
        <w:t>档</w:t>
      </w:r>
      <w:r>
        <w:rPr>
          <w:rFonts w:hint="eastAsia" w:ascii="宋体" w:hAnsi="宋体" w:cs="宋体"/>
          <w:b/>
          <w:color w:val="auto"/>
          <w:w w:val="80"/>
          <w:sz w:val="32"/>
          <w:szCs w:val="32"/>
          <w:highlight w:val="none"/>
        </w:rPr>
        <w:t>案编号：</w:t>
      </w:r>
      <w:r>
        <w:rPr>
          <w:rFonts w:hint="eastAsia" w:ascii="宋体" w:hAnsi="宋体" w:cs="宋体"/>
          <w:b/>
          <w:color w:val="auto"/>
          <w:w w:val="80"/>
          <w:sz w:val="32"/>
          <w:szCs w:val="32"/>
          <w:highlight w:val="none"/>
          <w:lang w:val="en-US" w:eastAsia="zh-CN"/>
        </w:rPr>
        <w:t>20251125</w:t>
      </w:r>
    </w:p>
    <w:p w14:paraId="5AE94D09">
      <w:pPr>
        <w:tabs>
          <w:tab w:val="left" w:pos="6300"/>
        </w:tabs>
        <w:snapToGrid w:val="0"/>
        <w:spacing w:line="300" w:lineRule="auto"/>
        <w:jc w:val="center"/>
        <w:rPr>
          <w:rFonts w:ascii="宋体" w:hAnsi="宋体" w:cs="宋体"/>
          <w:b/>
          <w:color w:val="auto"/>
          <w:w w:val="80"/>
          <w:sz w:val="32"/>
          <w:szCs w:val="32"/>
          <w:highlight w:val="none"/>
        </w:rPr>
      </w:pPr>
    </w:p>
    <w:p w14:paraId="50E0002A">
      <w:pPr>
        <w:tabs>
          <w:tab w:val="left" w:pos="6300"/>
        </w:tabs>
        <w:snapToGrid w:val="0"/>
        <w:spacing w:line="300" w:lineRule="auto"/>
        <w:jc w:val="center"/>
        <w:rPr>
          <w:rFonts w:ascii="宋体" w:hAnsi="宋体" w:cs="宋体"/>
          <w:b/>
          <w:color w:val="auto"/>
          <w:w w:val="80"/>
          <w:sz w:val="32"/>
          <w:szCs w:val="32"/>
          <w:highlight w:val="none"/>
        </w:rPr>
      </w:pPr>
    </w:p>
    <w:p w14:paraId="4D56E3C1">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5040DFFC">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（商务技术响应文件）</w:t>
      </w:r>
    </w:p>
    <w:p w14:paraId="26368725">
      <w:pPr>
        <w:spacing w:after="60"/>
        <w:jc w:val="center"/>
        <w:rPr>
          <w:rFonts w:ascii="宋体" w:hAnsi="宋体" w:cs="宋体"/>
          <w:b/>
          <w:bCs/>
          <w:color w:val="auto"/>
          <w:sz w:val="72"/>
          <w:szCs w:val="72"/>
          <w:highlight w:val="none"/>
        </w:rPr>
      </w:pPr>
    </w:p>
    <w:p w14:paraId="75F168A4">
      <w:pPr>
        <w:spacing w:after="60"/>
        <w:jc w:val="center"/>
        <w:rPr>
          <w:rFonts w:ascii="宋体" w:hAnsi="宋体" w:cs="宋体"/>
          <w:b/>
          <w:bCs/>
          <w:color w:val="auto"/>
          <w:sz w:val="72"/>
          <w:szCs w:val="72"/>
          <w:highlight w:val="none"/>
        </w:rPr>
      </w:pPr>
    </w:p>
    <w:p w14:paraId="0993526D">
      <w:pPr>
        <w:spacing w:after="60"/>
        <w:jc w:val="center"/>
        <w:rPr>
          <w:rFonts w:ascii="宋体" w:hAnsi="宋体" w:cs="宋体"/>
          <w:b/>
          <w:bCs/>
          <w:color w:val="auto"/>
          <w:sz w:val="72"/>
          <w:szCs w:val="72"/>
          <w:highlight w:val="none"/>
        </w:rPr>
      </w:pPr>
    </w:p>
    <w:p w14:paraId="6A2D5C90">
      <w:pPr>
        <w:spacing w:after="60"/>
        <w:jc w:val="center"/>
        <w:rPr>
          <w:rFonts w:ascii="宋体" w:hAnsi="宋体" w:cs="宋体"/>
          <w:b/>
          <w:bCs/>
          <w:color w:val="auto"/>
          <w:sz w:val="72"/>
          <w:szCs w:val="72"/>
          <w:highlight w:val="none"/>
        </w:rPr>
      </w:pPr>
    </w:p>
    <w:p w14:paraId="7BBB8BBE">
      <w:pPr>
        <w:pStyle w:val="17"/>
        <w:ind w:left="0" w:leftChars="0" w:firstLine="0" w:firstLineChars="0"/>
        <w:rPr>
          <w:rFonts w:ascii="宋体" w:hAnsi="宋体" w:cs="宋体"/>
          <w:b/>
          <w:bCs/>
          <w:color w:val="auto"/>
          <w:sz w:val="72"/>
          <w:szCs w:val="72"/>
          <w:highlight w:val="none"/>
        </w:rPr>
      </w:pPr>
    </w:p>
    <w:p w14:paraId="53BD3E34">
      <w:pPr>
        <w:spacing w:after="60"/>
        <w:jc w:val="center"/>
        <w:rPr>
          <w:rFonts w:ascii="宋体" w:hAnsi="宋体" w:cs="宋体"/>
          <w:b/>
          <w:bCs/>
          <w:color w:val="auto"/>
          <w:sz w:val="72"/>
          <w:szCs w:val="72"/>
          <w:highlight w:val="none"/>
        </w:rPr>
      </w:pPr>
    </w:p>
    <w:p w14:paraId="212346BD">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292CC5B0">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5806FF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3FEE9100">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EF09D7D">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6AF4708F">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3709AF7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54462D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54B0CECD">
      <w:pPr>
        <w:snapToGrid w:val="0"/>
        <w:spacing w:line="300" w:lineRule="auto"/>
        <w:contextualSpacing/>
        <w:rPr>
          <w:rFonts w:ascii="宋体" w:hAnsi="宋体" w:cs="宋体"/>
          <w:color w:val="auto"/>
          <w:sz w:val="32"/>
          <w:szCs w:val="32"/>
          <w:highlight w:val="none"/>
        </w:rPr>
      </w:pPr>
    </w:p>
    <w:p w14:paraId="349141CC">
      <w:pPr>
        <w:pStyle w:val="17"/>
        <w:rPr>
          <w:rFonts w:ascii="宋体" w:hAnsi="宋体" w:cs="宋体"/>
          <w:color w:val="auto"/>
          <w:highlight w:val="none"/>
        </w:rPr>
      </w:pPr>
    </w:p>
    <w:p w14:paraId="774E3306">
      <w:pPr>
        <w:pStyle w:val="17"/>
        <w:rPr>
          <w:rFonts w:ascii="宋体" w:hAnsi="宋体" w:cs="宋体"/>
          <w:color w:val="auto"/>
          <w:highlight w:val="none"/>
        </w:rPr>
      </w:pPr>
    </w:p>
    <w:p w14:paraId="16C7A245">
      <w:pPr>
        <w:pStyle w:val="17"/>
        <w:rPr>
          <w:rFonts w:ascii="宋体" w:hAnsi="宋体" w:cs="宋体"/>
          <w:color w:val="auto"/>
          <w:highlight w:val="none"/>
        </w:rPr>
      </w:pPr>
    </w:p>
    <w:p w14:paraId="3E466012">
      <w:pPr>
        <w:pStyle w:val="17"/>
        <w:rPr>
          <w:rFonts w:ascii="宋体" w:hAnsi="宋体" w:cs="宋体"/>
          <w:color w:val="auto"/>
          <w:highlight w:val="none"/>
        </w:rPr>
      </w:pPr>
    </w:p>
    <w:p w14:paraId="62AD001F">
      <w:pPr>
        <w:pStyle w:val="17"/>
        <w:rPr>
          <w:rFonts w:ascii="宋体" w:hAnsi="宋体" w:cs="宋体"/>
          <w:color w:val="auto"/>
          <w:highlight w:val="none"/>
        </w:rPr>
      </w:pPr>
    </w:p>
    <w:p w14:paraId="49A38269">
      <w:pPr>
        <w:pStyle w:val="17"/>
        <w:rPr>
          <w:rFonts w:ascii="宋体" w:hAnsi="宋体" w:cs="宋体"/>
          <w:color w:val="auto"/>
          <w:highlight w:val="none"/>
        </w:rPr>
      </w:pPr>
    </w:p>
    <w:p w14:paraId="43574BE9">
      <w:pPr>
        <w:pStyle w:val="17"/>
        <w:rPr>
          <w:rFonts w:ascii="宋体" w:hAnsi="宋体" w:cs="宋体"/>
          <w:color w:val="auto"/>
          <w:highlight w:val="none"/>
        </w:rPr>
      </w:pPr>
    </w:p>
    <w:p w14:paraId="6B6B478E">
      <w:pPr>
        <w:pStyle w:val="17"/>
        <w:rPr>
          <w:rFonts w:ascii="宋体" w:hAnsi="宋体" w:cs="宋体"/>
          <w:color w:val="auto"/>
          <w:highlight w:val="none"/>
        </w:rPr>
      </w:pPr>
    </w:p>
    <w:p w14:paraId="6265097C">
      <w:pPr>
        <w:pStyle w:val="17"/>
        <w:rPr>
          <w:rFonts w:ascii="宋体" w:hAnsi="宋体" w:cs="宋体"/>
          <w:color w:val="auto"/>
          <w:highlight w:val="none"/>
        </w:rPr>
      </w:pPr>
    </w:p>
    <w:p w14:paraId="344A71CF">
      <w:pPr>
        <w:pStyle w:val="17"/>
        <w:rPr>
          <w:rFonts w:ascii="宋体" w:hAnsi="宋体" w:cs="宋体"/>
          <w:color w:val="auto"/>
          <w:highlight w:val="none"/>
        </w:rPr>
      </w:pPr>
    </w:p>
    <w:p w14:paraId="5F428BC6">
      <w:pPr>
        <w:pStyle w:val="17"/>
        <w:rPr>
          <w:rFonts w:ascii="宋体" w:hAnsi="宋体" w:cs="宋体"/>
          <w:color w:val="auto"/>
          <w:highlight w:val="none"/>
        </w:rPr>
      </w:pPr>
    </w:p>
    <w:p w14:paraId="1B635154">
      <w:pPr>
        <w:pStyle w:val="17"/>
        <w:rPr>
          <w:rFonts w:ascii="宋体" w:hAnsi="宋体" w:cs="宋体"/>
          <w:color w:val="auto"/>
          <w:highlight w:val="none"/>
        </w:rPr>
      </w:pPr>
    </w:p>
    <w:p w14:paraId="35EF952F">
      <w:pPr>
        <w:pStyle w:val="17"/>
        <w:rPr>
          <w:rFonts w:ascii="宋体" w:hAnsi="宋体" w:cs="宋体"/>
          <w:color w:val="auto"/>
          <w:highlight w:val="none"/>
        </w:rPr>
      </w:pPr>
    </w:p>
    <w:p w14:paraId="1F6B212F">
      <w:pPr>
        <w:pStyle w:val="17"/>
        <w:rPr>
          <w:rFonts w:ascii="宋体" w:hAnsi="宋体" w:cs="宋体"/>
          <w:color w:val="auto"/>
          <w:highlight w:val="none"/>
        </w:rPr>
      </w:pPr>
    </w:p>
    <w:p w14:paraId="5B25AA4D">
      <w:pPr>
        <w:pStyle w:val="17"/>
        <w:rPr>
          <w:rFonts w:ascii="宋体" w:hAnsi="宋体" w:cs="宋体"/>
          <w:color w:val="auto"/>
          <w:highlight w:val="none"/>
        </w:rPr>
      </w:pPr>
    </w:p>
    <w:p w14:paraId="7A03BD38">
      <w:pPr>
        <w:pStyle w:val="17"/>
        <w:rPr>
          <w:rFonts w:ascii="宋体" w:hAnsi="宋体" w:cs="宋体"/>
          <w:color w:val="auto"/>
          <w:highlight w:val="none"/>
        </w:rPr>
      </w:pPr>
    </w:p>
    <w:p w14:paraId="1BCF1DC6">
      <w:pPr>
        <w:pStyle w:val="17"/>
        <w:rPr>
          <w:rFonts w:ascii="宋体" w:hAnsi="宋体" w:cs="宋体"/>
          <w:color w:val="auto"/>
          <w:highlight w:val="none"/>
        </w:rPr>
      </w:pPr>
    </w:p>
    <w:p w14:paraId="75F5DBB2">
      <w:pPr>
        <w:pStyle w:val="17"/>
        <w:rPr>
          <w:rFonts w:ascii="宋体" w:hAnsi="宋体" w:cs="宋体"/>
          <w:color w:val="auto"/>
          <w:highlight w:val="none"/>
        </w:rPr>
      </w:pPr>
    </w:p>
    <w:p w14:paraId="7DD77D8B">
      <w:pPr>
        <w:pStyle w:val="17"/>
        <w:rPr>
          <w:rFonts w:ascii="宋体" w:hAnsi="宋体" w:cs="宋体"/>
          <w:color w:val="auto"/>
          <w:highlight w:val="none"/>
        </w:rPr>
      </w:pPr>
    </w:p>
    <w:p w14:paraId="371C4640">
      <w:pPr>
        <w:pStyle w:val="17"/>
        <w:rPr>
          <w:rFonts w:ascii="宋体" w:hAnsi="宋体" w:cs="宋体"/>
          <w:color w:val="auto"/>
          <w:highlight w:val="none"/>
        </w:rPr>
      </w:pPr>
    </w:p>
    <w:p w14:paraId="6FEDB210">
      <w:pPr>
        <w:pStyle w:val="17"/>
        <w:rPr>
          <w:rFonts w:ascii="宋体" w:hAnsi="宋体" w:cs="宋体"/>
          <w:color w:val="auto"/>
          <w:highlight w:val="none"/>
        </w:rPr>
      </w:pPr>
    </w:p>
    <w:p w14:paraId="13FD169A">
      <w:pPr>
        <w:pStyle w:val="17"/>
        <w:rPr>
          <w:rFonts w:ascii="宋体" w:hAnsi="宋体" w:cs="宋体"/>
          <w:color w:val="auto"/>
          <w:highlight w:val="none"/>
        </w:rPr>
      </w:pPr>
    </w:p>
    <w:p w14:paraId="5B1BE06B">
      <w:pPr>
        <w:pStyle w:val="17"/>
        <w:rPr>
          <w:rFonts w:ascii="宋体" w:hAnsi="宋体" w:cs="宋体"/>
          <w:color w:val="auto"/>
          <w:highlight w:val="none"/>
        </w:rPr>
      </w:pPr>
    </w:p>
    <w:p w14:paraId="2FA39E3E">
      <w:pPr>
        <w:pStyle w:val="17"/>
        <w:rPr>
          <w:rFonts w:ascii="宋体" w:hAnsi="宋体" w:cs="宋体"/>
          <w:color w:val="auto"/>
          <w:highlight w:val="none"/>
        </w:rPr>
      </w:pPr>
    </w:p>
    <w:p w14:paraId="161D1E15">
      <w:pPr>
        <w:pStyle w:val="17"/>
        <w:rPr>
          <w:rFonts w:ascii="宋体" w:hAnsi="宋体" w:cs="宋体"/>
          <w:color w:val="auto"/>
          <w:highlight w:val="none"/>
        </w:rPr>
      </w:pPr>
    </w:p>
    <w:p w14:paraId="1BBE5FC8">
      <w:pPr>
        <w:pStyle w:val="17"/>
        <w:rPr>
          <w:rFonts w:ascii="宋体" w:hAnsi="宋体" w:cs="宋体"/>
          <w:color w:val="auto"/>
          <w:highlight w:val="none"/>
        </w:rPr>
      </w:pPr>
    </w:p>
    <w:p w14:paraId="325BAA22">
      <w:pPr>
        <w:pStyle w:val="17"/>
        <w:rPr>
          <w:rFonts w:ascii="宋体" w:hAnsi="宋体" w:cs="宋体"/>
          <w:color w:val="auto"/>
          <w:highlight w:val="none"/>
        </w:rPr>
      </w:pPr>
    </w:p>
    <w:p w14:paraId="60791313">
      <w:pPr>
        <w:snapToGrid w:val="0"/>
        <w:spacing w:line="360" w:lineRule="auto"/>
        <w:jc w:val="center"/>
        <w:outlineLvl w:val="3"/>
        <w:rPr>
          <w:rFonts w:ascii="宋体" w:hAnsi="宋体" w:cs="宋体"/>
          <w:bCs/>
          <w:color w:val="auto"/>
          <w:sz w:val="28"/>
          <w:szCs w:val="28"/>
          <w:highlight w:val="none"/>
        </w:rPr>
      </w:pPr>
      <w:r>
        <w:rPr>
          <w:rFonts w:hint="eastAsia" w:ascii="宋体" w:hAnsi="宋体" w:cs="宋体"/>
          <w:bCs/>
          <w:color w:val="auto"/>
          <w:sz w:val="28"/>
          <w:szCs w:val="28"/>
          <w:highlight w:val="none"/>
        </w:rPr>
        <w:t>竞争性磋商响应函</w:t>
      </w:r>
    </w:p>
    <w:p w14:paraId="1141DF4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w:t>
      </w:r>
    </w:p>
    <w:p w14:paraId="76A944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（项目名称)项目竞争性磋商的邀请，我方授权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（职务）为全权代表参加该项目的磋商响应工作，全权处理本次磋商的有关事宜。同时，我公司声明如下：</w:t>
      </w:r>
    </w:p>
    <w:p w14:paraId="3033AAC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（1）我方愿意按照磋商文件的一切要求，提供完成该项目的全部内容</w:t>
      </w:r>
      <w:r>
        <w:rPr>
          <w:rFonts w:hint="eastAsia" w:ascii="宋体" w:hAnsi="宋体" w:cs="宋体"/>
          <w:color w:val="auto"/>
          <w:sz w:val="24"/>
          <w:highlight w:val="none"/>
          <w:lang w:val="zh-CN"/>
        </w:rPr>
        <w:t>。</w:t>
      </w:r>
    </w:p>
    <w:p w14:paraId="4165CB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（2）我方已经详细审查了全部磋商文件，我方已完全清晰理解磋商文件的要求，不存在任何含糊不清和误解之处，同意放弃对这些文件所提出的异议和质疑的权利。</w:t>
      </w:r>
    </w:p>
    <w:p w14:paraId="2C3241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（3）我方承诺提供的磋商响应文件的有效期，从磋商响应文件接收截止之日算起，45个“日历天”内保持有效。</w:t>
      </w:r>
    </w:p>
    <w:p w14:paraId="5C80E5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（4）我方愿意提供采购人在磋商文件中要求的所有资料。</w:t>
      </w:r>
    </w:p>
    <w:p w14:paraId="188102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（5）我方承诺在本次磋商响应中提供的一切文件，无论是原件还是复印件均真实有效，绝无任何虚假、伪造和夸大的成份。否则，愿承担相应的后果和法律责任。</w:t>
      </w:r>
    </w:p>
    <w:p w14:paraId="6E9904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（6）我方尊重评审小组所作评定结果，同时也清楚理解到磋商报价最低并非意味着必定获得中标或成交资格。</w:t>
      </w:r>
    </w:p>
    <w:p w14:paraId="4C0988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（7）一旦我方成交，我方将根据磋商文件的规定，严格履行磋商文件中规定的每一项要求，按期、按质、按量履行合同的义务。</w:t>
      </w:r>
    </w:p>
    <w:p w14:paraId="10963A0D">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磋商响应供应商：（盖</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公章）</w:t>
      </w:r>
    </w:p>
    <w:p w14:paraId="5CD45BDB">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签字或盖章</w:t>
      </w:r>
      <w:r>
        <w:rPr>
          <w:rFonts w:hint="eastAsia" w:ascii="宋体" w:hAnsi="宋体" w:cs="宋体"/>
          <w:bCs/>
          <w:color w:val="auto"/>
          <w:sz w:val="24"/>
          <w:highlight w:val="none"/>
        </w:rPr>
        <w:t>）</w:t>
      </w:r>
    </w:p>
    <w:p w14:paraId="09F4E31F">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4EE0DEA">
      <w:pPr>
        <w:pStyle w:val="17"/>
        <w:rPr>
          <w:rFonts w:ascii="宋体" w:hAnsi="宋体" w:cs="宋体"/>
          <w:color w:val="auto"/>
          <w:highlight w:val="none"/>
        </w:rPr>
      </w:pPr>
    </w:p>
    <w:p w14:paraId="27846D6D">
      <w:pPr>
        <w:widowControl/>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D78CE5A">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第三部分格式：</w:t>
      </w:r>
    </w:p>
    <w:p w14:paraId="71B52CC3">
      <w:pPr>
        <w:snapToGrid w:val="0"/>
        <w:spacing w:line="300" w:lineRule="auto"/>
        <w:contextualSpacing/>
        <w:rPr>
          <w:rFonts w:ascii="宋体" w:hAnsi="宋体" w:cs="宋体"/>
          <w:color w:val="auto"/>
          <w:sz w:val="32"/>
          <w:szCs w:val="32"/>
          <w:highlight w:val="none"/>
        </w:rPr>
      </w:pPr>
    </w:p>
    <w:p w14:paraId="61C545AD">
      <w:pPr>
        <w:autoSpaceDE w:val="0"/>
        <w:autoSpaceDN w:val="0"/>
        <w:adjustRightInd w:val="0"/>
        <w:jc w:val="center"/>
        <w:rPr>
          <w:rFonts w:ascii="宋体" w:hAnsi="宋体" w:cs="宋体"/>
          <w:b/>
          <w:color w:val="auto"/>
          <w:sz w:val="32"/>
          <w:szCs w:val="32"/>
          <w:highlight w:val="none"/>
        </w:rPr>
      </w:pPr>
    </w:p>
    <w:p w14:paraId="5E354D33">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2026-2027年南通市公路事业发展中心项目造价咨询服务项目</w:t>
      </w:r>
    </w:p>
    <w:p w14:paraId="3FD3934F">
      <w:pPr>
        <w:pStyle w:val="17"/>
        <w:rPr>
          <w:rFonts w:ascii="宋体" w:hAnsi="宋体" w:cs="宋体"/>
          <w:color w:val="auto"/>
          <w:highlight w:val="none"/>
        </w:rPr>
      </w:pPr>
    </w:p>
    <w:p w14:paraId="0FE7457D">
      <w:pPr>
        <w:tabs>
          <w:tab w:val="left" w:pos="6300"/>
        </w:tabs>
        <w:snapToGrid w:val="0"/>
        <w:spacing w:line="300" w:lineRule="auto"/>
        <w:ind w:firstLine="3087" w:firstLineChars="1200"/>
        <w:jc w:val="both"/>
        <w:rPr>
          <w:rFonts w:hint="eastAsia"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eastAsia="zh-CN"/>
        </w:rPr>
        <w:t>2026-2027ZJZX</w:t>
      </w:r>
    </w:p>
    <w:p w14:paraId="7D850102">
      <w:pPr>
        <w:tabs>
          <w:tab w:val="left" w:pos="6300"/>
        </w:tabs>
        <w:snapToGrid w:val="0"/>
        <w:spacing w:line="300" w:lineRule="auto"/>
        <w:ind w:firstLine="3087" w:firstLineChars="1200"/>
        <w:jc w:val="both"/>
        <w:rPr>
          <w:rFonts w:hint="default"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20251125</w:t>
      </w:r>
    </w:p>
    <w:p w14:paraId="1D230B55">
      <w:pPr>
        <w:tabs>
          <w:tab w:val="left" w:pos="6300"/>
        </w:tabs>
        <w:snapToGrid w:val="0"/>
        <w:spacing w:line="300" w:lineRule="auto"/>
        <w:jc w:val="center"/>
        <w:rPr>
          <w:rFonts w:ascii="宋体" w:hAnsi="宋体" w:cs="宋体"/>
          <w:b/>
          <w:color w:val="auto"/>
          <w:w w:val="80"/>
          <w:sz w:val="32"/>
          <w:szCs w:val="32"/>
          <w:highlight w:val="none"/>
        </w:rPr>
      </w:pPr>
    </w:p>
    <w:p w14:paraId="095C33E7">
      <w:pPr>
        <w:tabs>
          <w:tab w:val="left" w:pos="6300"/>
        </w:tabs>
        <w:snapToGrid w:val="0"/>
        <w:spacing w:line="300" w:lineRule="auto"/>
        <w:jc w:val="center"/>
        <w:rPr>
          <w:rFonts w:ascii="宋体" w:hAnsi="宋体" w:cs="宋体"/>
          <w:b/>
          <w:color w:val="auto"/>
          <w:w w:val="80"/>
          <w:sz w:val="32"/>
          <w:szCs w:val="32"/>
          <w:highlight w:val="none"/>
        </w:rPr>
      </w:pPr>
    </w:p>
    <w:p w14:paraId="4660CE92">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1A90E388">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14:paraId="4215A6B4">
      <w:pPr>
        <w:spacing w:after="60"/>
        <w:jc w:val="center"/>
        <w:rPr>
          <w:rFonts w:ascii="宋体" w:hAnsi="宋体" w:cs="宋体"/>
          <w:b/>
          <w:bCs/>
          <w:color w:val="auto"/>
          <w:sz w:val="72"/>
          <w:szCs w:val="72"/>
          <w:highlight w:val="none"/>
        </w:rPr>
      </w:pPr>
    </w:p>
    <w:p w14:paraId="1E181A60">
      <w:pPr>
        <w:spacing w:after="60"/>
        <w:jc w:val="center"/>
        <w:rPr>
          <w:rFonts w:ascii="宋体" w:hAnsi="宋体" w:cs="宋体"/>
          <w:b/>
          <w:bCs/>
          <w:color w:val="auto"/>
          <w:sz w:val="72"/>
          <w:szCs w:val="72"/>
          <w:highlight w:val="none"/>
        </w:rPr>
      </w:pPr>
    </w:p>
    <w:p w14:paraId="140985A3">
      <w:pPr>
        <w:spacing w:after="60"/>
        <w:jc w:val="center"/>
        <w:rPr>
          <w:rFonts w:ascii="宋体" w:hAnsi="宋体" w:cs="宋体"/>
          <w:b/>
          <w:bCs/>
          <w:color w:val="auto"/>
          <w:sz w:val="72"/>
          <w:szCs w:val="72"/>
          <w:highlight w:val="none"/>
        </w:rPr>
      </w:pPr>
    </w:p>
    <w:p w14:paraId="05A0DCE0">
      <w:pPr>
        <w:spacing w:after="60"/>
        <w:jc w:val="center"/>
        <w:rPr>
          <w:rFonts w:ascii="宋体" w:hAnsi="宋体" w:cs="宋体"/>
          <w:b/>
          <w:bCs/>
          <w:color w:val="auto"/>
          <w:sz w:val="72"/>
          <w:szCs w:val="72"/>
          <w:highlight w:val="none"/>
        </w:rPr>
      </w:pPr>
    </w:p>
    <w:p w14:paraId="2E1BEAFE">
      <w:pPr>
        <w:pStyle w:val="17"/>
        <w:ind w:left="0" w:leftChars="0" w:firstLine="0" w:firstLineChars="0"/>
        <w:rPr>
          <w:rFonts w:ascii="宋体" w:hAnsi="宋体" w:cs="宋体"/>
          <w:b/>
          <w:bCs/>
          <w:color w:val="auto"/>
          <w:sz w:val="72"/>
          <w:szCs w:val="72"/>
          <w:highlight w:val="none"/>
        </w:rPr>
      </w:pPr>
    </w:p>
    <w:p w14:paraId="481FEC02">
      <w:pPr>
        <w:spacing w:after="60"/>
        <w:jc w:val="center"/>
        <w:rPr>
          <w:rFonts w:ascii="宋体" w:hAnsi="宋体" w:cs="宋体"/>
          <w:b/>
          <w:bCs/>
          <w:color w:val="auto"/>
          <w:sz w:val="72"/>
          <w:szCs w:val="72"/>
          <w:highlight w:val="none"/>
        </w:rPr>
      </w:pPr>
    </w:p>
    <w:p w14:paraId="6286CFE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0239B32A">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14235010">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57382DDB">
      <w:pPr>
        <w:snapToGrid w:val="0"/>
        <w:spacing w:line="360" w:lineRule="auto"/>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附件1：</w:t>
      </w:r>
    </w:p>
    <w:p w14:paraId="4D05E9B4">
      <w:pPr>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投标报价承诺函</w:t>
      </w:r>
    </w:p>
    <w:p w14:paraId="01FDE214">
      <w:pPr>
        <w:adjustRightInd w:val="0"/>
        <w:snapToGrid w:val="0"/>
        <w:spacing w:line="360" w:lineRule="auto"/>
        <w:rPr>
          <w:rFonts w:ascii="宋体" w:hAnsi="宋体" w:cs="宋体"/>
          <w:color w:val="auto"/>
          <w:sz w:val="24"/>
          <w:highlight w:val="none"/>
        </w:rPr>
      </w:pPr>
      <w:r>
        <w:rPr>
          <w:rFonts w:hint="eastAsia" w:ascii="宋体" w:hAnsi="宋体" w:cs="宋体"/>
          <w:iCs/>
          <w:color w:val="auto"/>
          <w:sz w:val="24"/>
          <w:highlight w:val="none"/>
          <w:u w:val="single"/>
        </w:rPr>
        <w:t>（</w:t>
      </w:r>
      <w:r>
        <w:rPr>
          <w:rFonts w:hint="eastAsia" w:ascii="宋体" w:hAnsi="宋体" w:cs="宋体"/>
          <w:iCs/>
          <w:color w:val="auto"/>
          <w:sz w:val="24"/>
          <w:highlight w:val="none"/>
          <w:u w:val="single"/>
          <w:lang w:val="en-US" w:eastAsia="zh-CN"/>
        </w:rPr>
        <w:t>采购</w:t>
      </w:r>
      <w:r>
        <w:rPr>
          <w:rFonts w:hint="eastAsia" w:ascii="宋体" w:hAnsi="宋体" w:cs="宋体"/>
          <w:iCs/>
          <w:color w:val="auto"/>
          <w:sz w:val="24"/>
          <w:highlight w:val="none"/>
          <w:u w:val="single"/>
        </w:rPr>
        <w:t>人）</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03668AA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（一）根据已收到的</w:t>
      </w:r>
      <w:r>
        <w:rPr>
          <w:rFonts w:hint="eastAsia" w:ascii="宋体" w:hAnsi="宋体"/>
          <w:b/>
          <w:bCs/>
          <w:color w:val="auto"/>
          <w:sz w:val="24"/>
          <w:highlight w:val="none"/>
          <w:u w:val="single"/>
          <w:lang w:eastAsia="zh-CN"/>
        </w:rPr>
        <w:t>2026-2027年南通市公路事业发展中心项目造价咨询服务项目</w:t>
      </w:r>
      <w:r>
        <w:rPr>
          <w:rFonts w:hint="eastAsia" w:ascii="宋体" w:hAnsi="宋体"/>
          <w:color w:val="auto"/>
          <w:sz w:val="24"/>
          <w:highlight w:val="none"/>
          <w:lang w:val="en-US" w:eastAsia="zh-CN"/>
        </w:rPr>
        <w:t>采购</w:t>
      </w:r>
      <w:r>
        <w:rPr>
          <w:rFonts w:hint="eastAsia" w:ascii="宋体" w:hAnsi="宋体"/>
          <w:color w:val="auto"/>
          <w:sz w:val="24"/>
          <w:highlight w:val="none"/>
        </w:rPr>
        <w:t>文件，我单位同意本项目服务费用按下列收费标准，并按招标文件的要求承包招标范围内的全部业务。统一收费标准如下：</w:t>
      </w:r>
    </w:p>
    <w:p w14:paraId="16354C0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（1）工程方案设计概算审核费用：按审定后概算造价的0.175‰结算，单个项目审核费用不足1500元时，按1500元计算。</w:t>
      </w:r>
    </w:p>
    <w:p w14:paraId="1312969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（2）项目预算审核费用：按审定后预算价的0.5‰进行结算，单个项目审核费用不足1500元时，按1500元计算。</w:t>
      </w:r>
    </w:p>
    <w:p w14:paraId="257049C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（3）现场跟踪审计费用：按600元/人.工日结算。</w:t>
      </w:r>
    </w:p>
    <w:p w14:paraId="4FAEEE1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（4）工程竣工结算审计费用：按送审金额的0.9‰计算，加效益计费按审减额的3 %结算。当单个项目工程竣工结算审计费用不足1500元时，按1500元计算。</w:t>
      </w:r>
    </w:p>
    <w:p w14:paraId="438BE8F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（5）项目决算审核费用：按项目决算数的0.2‰进行结算（单个项目成本决算数大于2000万的按2000万计算，单个项目成本决算数小于等于2000万的按实计算），当单个项目决算审核费用不足1500元时，按1500元计算。</w:t>
      </w:r>
    </w:p>
    <w:p w14:paraId="02157EC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（6）其他审核事项费用：按《省物价局省住房和城乡建设厅关于规范工程造价咨询服务收费标准及有关事项的通知》（苏价服〔2014〕383号文）进行结算。</w:t>
      </w:r>
    </w:p>
    <w:p w14:paraId="5F387328">
      <w:pPr>
        <w:adjustRightInd w:val="0"/>
        <w:snapToGrid w:val="0"/>
        <w:spacing w:line="360" w:lineRule="auto"/>
        <w:ind w:firstLine="480" w:firstLineChars="200"/>
        <w:rPr>
          <w:rFonts w:ascii="宋体"/>
          <w:color w:val="auto"/>
          <w:kern w:val="0"/>
          <w:sz w:val="24"/>
          <w:highlight w:val="none"/>
        </w:rPr>
      </w:pPr>
      <w:r>
        <w:rPr>
          <w:rFonts w:ascii="宋体" w:hAnsi="宋体"/>
          <w:color w:val="auto"/>
          <w:sz w:val="24"/>
          <w:highlight w:val="none"/>
        </w:rPr>
        <w:t>(</w:t>
      </w:r>
      <w:r>
        <w:rPr>
          <w:rFonts w:hint="eastAsia" w:ascii="宋体" w:hAnsi="宋体"/>
          <w:color w:val="auto"/>
          <w:sz w:val="24"/>
          <w:highlight w:val="none"/>
        </w:rPr>
        <w:t>二</w:t>
      </w:r>
      <w:r>
        <w:rPr>
          <w:rFonts w:ascii="宋体" w:hAnsi="宋体"/>
          <w:color w:val="auto"/>
          <w:sz w:val="24"/>
          <w:highlight w:val="none"/>
        </w:rPr>
        <w:t>)</w:t>
      </w:r>
      <w:r>
        <w:rPr>
          <w:rFonts w:hint="eastAsia" w:ascii="宋体" w:hAnsi="宋体"/>
          <w:color w:val="auto"/>
          <w:sz w:val="24"/>
          <w:highlight w:val="none"/>
        </w:rPr>
        <w:t>我单位保证在收到贵单位发出的书面指令后立即开展工作，并</w:t>
      </w:r>
      <w:r>
        <w:rPr>
          <w:rFonts w:hint="eastAsia" w:ascii="宋体" w:hAnsi="宋体"/>
          <w:color w:val="auto"/>
          <w:kern w:val="0"/>
          <w:sz w:val="24"/>
          <w:highlight w:val="none"/>
        </w:rPr>
        <w:t>按业主要求的时间完成造价咨询任务。</w:t>
      </w:r>
    </w:p>
    <w:p w14:paraId="43202E16">
      <w:pPr>
        <w:adjustRightInd w:val="0"/>
        <w:snapToGrid w:val="0"/>
        <w:spacing w:line="360" w:lineRule="auto"/>
        <w:ind w:firstLine="480" w:firstLineChars="200"/>
        <w:textAlignment w:val="baseline"/>
        <w:rPr>
          <w:rFonts w:asci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三</w:t>
      </w:r>
      <w:r>
        <w:rPr>
          <w:rFonts w:ascii="宋体" w:hAnsi="宋体"/>
          <w:color w:val="auto"/>
          <w:kern w:val="0"/>
          <w:sz w:val="24"/>
          <w:highlight w:val="none"/>
        </w:rPr>
        <w:t>)</w:t>
      </w:r>
      <w:r>
        <w:rPr>
          <w:rFonts w:hint="eastAsia" w:ascii="宋体" w:hAnsi="宋体"/>
          <w:color w:val="auto"/>
          <w:kern w:val="0"/>
          <w:sz w:val="24"/>
          <w:highlight w:val="none"/>
        </w:rPr>
        <w:t>我单位保证造价咨询数据及报告及时、真实、规范、有效。</w:t>
      </w:r>
    </w:p>
    <w:p w14:paraId="32625BCA">
      <w:pPr>
        <w:adjustRightInd w:val="0"/>
        <w:snapToGrid w:val="0"/>
        <w:spacing w:line="360" w:lineRule="auto"/>
        <w:ind w:firstLine="480" w:firstLineChars="200"/>
        <w:textAlignment w:val="baseline"/>
        <w:rPr>
          <w:rFonts w:asci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四</w:t>
      </w:r>
      <w:r>
        <w:rPr>
          <w:rFonts w:ascii="宋体" w:hAnsi="宋体"/>
          <w:color w:val="auto"/>
          <w:kern w:val="0"/>
          <w:sz w:val="24"/>
          <w:highlight w:val="none"/>
        </w:rPr>
        <w:t>)</w:t>
      </w:r>
      <w:r>
        <w:rPr>
          <w:rFonts w:hint="eastAsia" w:ascii="宋体" w:hAnsi="宋体"/>
          <w:color w:val="auto"/>
          <w:kern w:val="0"/>
          <w:sz w:val="24"/>
          <w:highlight w:val="none"/>
        </w:rPr>
        <w:t>如果我方中标，我方将按照招标文件规定的金额提交履约担保。</w:t>
      </w:r>
    </w:p>
    <w:p w14:paraId="23E2592E">
      <w:pPr>
        <w:adjustRightInd w:val="0"/>
        <w:snapToGrid w:val="0"/>
        <w:spacing w:line="360" w:lineRule="auto"/>
        <w:ind w:firstLine="480" w:firstLineChars="200"/>
        <w:textAlignment w:val="baseline"/>
        <w:rPr>
          <w:rFonts w:asci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五</w:t>
      </w:r>
      <w:r>
        <w:rPr>
          <w:rFonts w:ascii="宋体" w:hAnsi="宋体"/>
          <w:color w:val="auto"/>
          <w:kern w:val="0"/>
          <w:sz w:val="24"/>
          <w:highlight w:val="none"/>
        </w:rPr>
        <w:t>)</w:t>
      </w:r>
      <w:r>
        <w:rPr>
          <w:rFonts w:hint="eastAsia" w:ascii="宋体" w:hAnsi="宋体"/>
          <w:color w:val="auto"/>
          <w:kern w:val="0"/>
          <w:sz w:val="24"/>
          <w:highlight w:val="none"/>
        </w:rPr>
        <w:t>招标文件中的其他实质性要求以及合同条款我方均响应。</w:t>
      </w:r>
    </w:p>
    <w:p w14:paraId="5FBE6DB5">
      <w:pPr>
        <w:adjustRightInd w:val="0"/>
        <w:snapToGrid w:val="0"/>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(六)贵单位的招标文件、中标通知书和本投标文件将构成约束我们双方的合同。</w:t>
      </w:r>
    </w:p>
    <w:p w14:paraId="152FA53F">
      <w:pPr>
        <w:adjustRightInd w:val="0"/>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(七)我方报价已考虑了本次招标工程造价咨询业务的所有费用。</w:t>
      </w:r>
    </w:p>
    <w:p w14:paraId="7C473A98">
      <w:pPr>
        <w:adjustRightInd w:val="0"/>
        <w:snapToGrid w:val="0"/>
        <w:spacing w:line="360" w:lineRule="auto"/>
        <w:textAlignment w:val="baseline"/>
        <w:rPr>
          <w:rFonts w:hint="eastAsia" w:ascii="宋体" w:hAnsi="宋体"/>
          <w:color w:val="auto"/>
          <w:kern w:val="0"/>
          <w:sz w:val="24"/>
          <w:highlight w:val="none"/>
        </w:rPr>
      </w:pPr>
    </w:p>
    <w:p w14:paraId="6E5C42AC">
      <w:pPr>
        <w:adjustRightInd w:val="0"/>
        <w:snapToGrid w:val="0"/>
        <w:spacing w:line="360" w:lineRule="auto"/>
        <w:textAlignment w:val="baseline"/>
        <w:rPr>
          <w:rFonts w:hint="eastAsia" w:ascii="宋体" w:hAnsi="宋体"/>
          <w:color w:val="auto"/>
          <w:kern w:val="0"/>
          <w:sz w:val="24"/>
          <w:highlight w:val="none"/>
        </w:rPr>
      </w:pPr>
    </w:p>
    <w:p w14:paraId="3EC3FD66">
      <w:pPr>
        <w:adjustRightInd w:val="0"/>
        <w:snapToGrid w:val="0"/>
        <w:spacing w:line="360" w:lineRule="auto"/>
        <w:textAlignment w:val="baseline"/>
        <w:rPr>
          <w:rFonts w:ascii="宋体" w:hAnsi="宋体"/>
          <w:color w:val="auto"/>
          <w:kern w:val="0"/>
          <w:sz w:val="24"/>
          <w:highlight w:val="none"/>
          <w:u w:val="single"/>
        </w:rPr>
      </w:pPr>
      <w:r>
        <w:rPr>
          <w:rFonts w:hint="eastAsia" w:ascii="宋体" w:hAnsi="宋体"/>
          <w:color w:val="auto"/>
          <w:kern w:val="0"/>
          <w:sz w:val="24"/>
          <w:highlight w:val="none"/>
        </w:rPr>
        <w:t>供应商</w:t>
      </w:r>
      <w:r>
        <w:rPr>
          <w:rFonts w:ascii="宋体" w:hAnsi="宋体"/>
          <w:color w:val="auto"/>
          <w:kern w:val="0"/>
          <w:sz w:val="24"/>
          <w:highlight w:val="none"/>
        </w:rPr>
        <w:t>(</w:t>
      </w:r>
      <w:r>
        <w:rPr>
          <w:rFonts w:hint="eastAsia" w:ascii="宋体" w:hAnsi="宋体"/>
          <w:color w:val="auto"/>
          <w:kern w:val="0"/>
          <w:sz w:val="24"/>
          <w:highlight w:val="none"/>
        </w:rPr>
        <w:t>盖单位公章</w:t>
      </w:r>
      <w:r>
        <w:rPr>
          <w:rFonts w:ascii="宋体" w:hAnsi="宋体"/>
          <w:color w:val="auto"/>
          <w:kern w:val="0"/>
          <w:sz w:val="24"/>
          <w:highlight w:val="none"/>
        </w:rPr>
        <w:t>)</w:t>
      </w:r>
      <w:r>
        <w:rPr>
          <w:rFonts w:hint="eastAsia" w:ascii="宋体" w:hAnsi="宋体"/>
          <w:color w:val="auto"/>
          <w:kern w:val="0"/>
          <w:sz w:val="24"/>
          <w:highlight w:val="none"/>
        </w:rPr>
        <w:t>：</w:t>
      </w:r>
    </w:p>
    <w:p w14:paraId="25C32F4A">
      <w:pPr>
        <w:adjustRightInd w:val="0"/>
        <w:snapToGrid w:val="0"/>
        <w:spacing w:line="360" w:lineRule="auto"/>
        <w:textAlignment w:val="baseline"/>
        <w:rPr>
          <w:rFonts w:ascii="宋体" w:hAnsi="宋体"/>
          <w:color w:val="auto"/>
          <w:kern w:val="0"/>
          <w:sz w:val="24"/>
          <w:highlight w:val="none"/>
        </w:rPr>
      </w:pPr>
      <w:r>
        <w:rPr>
          <w:rFonts w:hint="eastAsia" w:ascii="宋体" w:hAnsi="宋体"/>
          <w:color w:val="auto"/>
          <w:kern w:val="0"/>
          <w:sz w:val="24"/>
          <w:highlight w:val="none"/>
        </w:rPr>
        <w:t>法定代表人或委托代理人</w:t>
      </w:r>
      <w:r>
        <w:rPr>
          <w:rFonts w:ascii="宋体" w:hAnsi="宋体"/>
          <w:color w:val="auto"/>
          <w:kern w:val="0"/>
          <w:sz w:val="24"/>
          <w:highlight w:val="none"/>
        </w:rPr>
        <w:t>(</w:t>
      </w:r>
      <w:r>
        <w:rPr>
          <w:rFonts w:hint="eastAsia" w:ascii="宋体" w:hAnsi="宋体"/>
          <w:color w:val="auto"/>
          <w:kern w:val="0"/>
          <w:sz w:val="24"/>
          <w:highlight w:val="none"/>
        </w:rPr>
        <w:t>签字或盖章</w:t>
      </w:r>
      <w:r>
        <w:rPr>
          <w:rFonts w:ascii="宋体" w:hAnsi="宋体"/>
          <w:color w:val="auto"/>
          <w:kern w:val="0"/>
          <w:sz w:val="24"/>
          <w:highlight w:val="none"/>
        </w:rPr>
        <w:t>)</w:t>
      </w:r>
      <w:r>
        <w:rPr>
          <w:rFonts w:hint="eastAsia" w:ascii="宋体" w:hAnsi="宋体"/>
          <w:color w:val="auto"/>
          <w:kern w:val="0"/>
          <w:sz w:val="24"/>
          <w:highlight w:val="none"/>
        </w:rPr>
        <w:t>：</w:t>
      </w:r>
    </w:p>
    <w:p w14:paraId="24E26F9B">
      <w:pPr>
        <w:adjustRightInd w:val="0"/>
        <w:snapToGrid w:val="0"/>
        <w:spacing w:line="360" w:lineRule="auto"/>
        <w:textAlignment w:val="baseline"/>
        <w:rPr>
          <w:rFonts w:ascii="宋体" w:hAnsi="宋体"/>
          <w:color w:val="auto"/>
          <w:kern w:val="0"/>
          <w:sz w:val="24"/>
          <w:highlight w:val="none"/>
        </w:rPr>
      </w:pPr>
      <w:r>
        <w:rPr>
          <w:rFonts w:hint="eastAsia" w:ascii="宋体" w:hAnsi="宋体"/>
          <w:color w:val="auto"/>
          <w:kern w:val="0"/>
          <w:sz w:val="24"/>
          <w:highlight w:val="none"/>
        </w:rPr>
        <w:t>地址：</w:t>
      </w:r>
    </w:p>
    <w:p w14:paraId="4F2D0BD0">
      <w:pPr>
        <w:adjustRightInd w:val="0"/>
        <w:snapToGrid w:val="0"/>
        <w:spacing w:line="360" w:lineRule="auto"/>
        <w:textAlignment w:val="baseline"/>
        <w:rPr>
          <w:rFonts w:ascii="宋体" w:hAnsi="宋体"/>
          <w:color w:val="auto"/>
          <w:kern w:val="0"/>
          <w:sz w:val="24"/>
          <w:highlight w:val="none"/>
          <w:u w:val="single"/>
        </w:rPr>
      </w:pPr>
      <w:r>
        <w:rPr>
          <w:rFonts w:hint="eastAsia" w:ascii="宋体" w:hAnsi="宋体"/>
          <w:color w:val="auto"/>
          <w:kern w:val="0"/>
          <w:sz w:val="24"/>
          <w:highlight w:val="none"/>
        </w:rPr>
        <w:t>电话：</w:t>
      </w:r>
    </w:p>
    <w:p w14:paraId="00B43354">
      <w:pPr>
        <w:adjustRightInd w:val="0"/>
        <w:snapToGrid w:val="0"/>
        <w:spacing w:line="360" w:lineRule="auto"/>
        <w:textAlignment w:val="baseline"/>
        <w:rPr>
          <w:rFonts w:ascii="宋体" w:hAnsi="宋体"/>
          <w:color w:val="auto"/>
          <w:kern w:val="0"/>
          <w:sz w:val="24"/>
          <w:highlight w:val="none"/>
          <w:u w:val="single"/>
        </w:rPr>
      </w:pPr>
      <w:r>
        <w:rPr>
          <w:rFonts w:hint="eastAsia" w:ascii="宋体" w:hAnsi="宋体"/>
          <w:color w:val="auto"/>
          <w:kern w:val="0"/>
          <w:sz w:val="24"/>
          <w:highlight w:val="none"/>
        </w:rPr>
        <w:t>邮政编码：</w:t>
      </w:r>
    </w:p>
    <w:p w14:paraId="464A2638">
      <w:pPr>
        <w:adjustRightInd w:val="0"/>
        <w:snapToGrid w:val="0"/>
        <w:spacing w:line="360" w:lineRule="auto"/>
        <w:textAlignment w:val="baseline"/>
        <w:rPr>
          <w:rFonts w:hint="eastAsia" w:ascii="宋体"/>
          <w:color w:val="auto"/>
          <w:kern w:val="0"/>
          <w:sz w:val="24"/>
          <w:highlight w:val="none"/>
        </w:rPr>
      </w:pPr>
      <w:r>
        <w:rPr>
          <w:rFonts w:hint="eastAsia" w:ascii="宋体" w:hAnsi="宋体"/>
          <w:color w:val="auto"/>
          <w:kern w:val="0"/>
          <w:sz w:val="24"/>
          <w:highlight w:val="none"/>
        </w:rPr>
        <w:t>日期：年 月 日</w:t>
      </w:r>
    </w:p>
    <w:p w14:paraId="53A472E3">
      <w:pPr>
        <w:adjustRightInd w:val="0"/>
        <w:snapToGrid w:val="0"/>
        <w:spacing w:line="360" w:lineRule="auto"/>
        <w:ind w:firstLine="482" w:firstLineChars="200"/>
        <w:jc w:val="left"/>
        <w:rPr>
          <w:rFonts w:ascii="宋体" w:hAnsi="宋体" w:cs="宋体"/>
          <w:b/>
          <w:bCs/>
          <w:color w:val="auto"/>
          <w:sz w:val="24"/>
          <w:highlight w:val="none"/>
        </w:rPr>
      </w:pPr>
    </w:p>
    <w:p w14:paraId="56B0C308">
      <w:pPr>
        <w:rPr>
          <w:rFonts w:ascii="宋体" w:hAnsi="宋体" w:cs="宋体"/>
          <w:b/>
          <w:bCs/>
          <w:color w:val="auto"/>
          <w:sz w:val="24"/>
          <w:highlight w:val="none"/>
        </w:rPr>
      </w:pPr>
    </w:p>
    <w:sectPr>
      <w:footerReference r:id="rId5" w:type="default"/>
      <w:pgSz w:w="11905" w:h="16838"/>
      <w:pgMar w:top="1429" w:right="1429" w:bottom="1429" w:left="1429" w:header="850" w:footer="992"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264F">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5DFAD13B">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5DFAD13B">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6"/>
                    </w:pPr>
                  </w:p>
                </w:txbxContent>
              </v:textbox>
            </v:shape>
          </w:pict>
        </mc:Fallback>
      </mc:AlternateContent>
    </w:r>
  </w:p>
  <w:p w14:paraId="0C27AA4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B1D4">
    <w:pPr>
      <w:pStyle w:val="60"/>
      <w:jc w:val="center"/>
      <w:rPr>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846D">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A846D">
                    <w:pPr>
                      <w:pStyle w:val="13"/>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03E4">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3FE07AA6">
                              <w:pPr>
                                <w:pStyle w:val="13"/>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3FE07AA6">
                        <w:pPr>
                          <w:pStyle w:val="13"/>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6"/>
                    </w:pPr>
                  </w:p>
                </w:txbxContent>
              </v:textbox>
            </v:shape>
          </w:pict>
        </mc:Fallback>
      </mc:AlternateContent>
    </w:r>
  </w:p>
  <w:p w14:paraId="49EC431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0E2EA"/>
    <w:multiLevelType w:val="singleLevel"/>
    <w:tmpl w:val="9580E2EA"/>
    <w:lvl w:ilvl="0" w:tentative="0">
      <w:start w:val="2"/>
      <w:numFmt w:val="decimal"/>
      <w:suff w:val="nothing"/>
      <w:lvlText w:val="%1、"/>
      <w:lvlJc w:val="left"/>
    </w:lvl>
  </w:abstractNum>
  <w:abstractNum w:abstractNumId="1">
    <w:nsid w:val="DDCFEAC5"/>
    <w:multiLevelType w:val="singleLevel"/>
    <w:tmpl w:val="DDCFEAC5"/>
    <w:lvl w:ilvl="0" w:tentative="0">
      <w:start w:val="1"/>
      <w:numFmt w:val="decimal"/>
      <w:suff w:val="nothing"/>
      <w:lvlText w:val="%1、"/>
      <w:lvlJc w:val="left"/>
    </w:lvl>
  </w:abstractNum>
  <w:abstractNum w:abstractNumId="2">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3">
    <w:nsid w:val="7C30D000"/>
    <w:multiLevelType w:val="singleLevel"/>
    <w:tmpl w:val="7C30D000"/>
    <w:lvl w:ilvl="0" w:tentative="0">
      <w:start w:val="5"/>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C1D"/>
    <w:rsid w:val="009546A2"/>
    <w:rsid w:val="00954ECC"/>
    <w:rsid w:val="00971B84"/>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2DC5645"/>
    <w:rsid w:val="036D6D25"/>
    <w:rsid w:val="056D2E15"/>
    <w:rsid w:val="06871428"/>
    <w:rsid w:val="06C9265D"/>
    <w:rsid w:val="07A16AD8"/>
    <w:rsid w:val="08362309"/>
    <w:rsid w:val="08DD775A"/>
    <w:rsid w:val="099217C1"/>
    <w:rsid w:val="0A5E0C59"/>
    <w:rsid w:val="0AAC3FD4"/>
    <w:rsid w:val="0BA26B08"/>
    <w:rsid w:val="0C3A32A1"/>
    <w:rsid w:val="0C9D4705"/>
    <w:rsid w:val="0C9E28EC"/>
    <w:rsid w:val="0D1A67D0"/>
    <w:rsid w:val="0D7313F8"/>
    <w:rsid w:val="0EE3398A"/>
    <w:rsid w:val="0F396B61"/>
    <w:rsid w:val="0FCB26F9"/>
    <w:rsid w:val="104246CD"/>
    <w:rsid w:val="10BF4F03"/>
    <w:rsid w:val="120D40DA"/>
    <w:rsid w:val="1283614B"/>
    <w:rsid w:val="12A10777"/>
    <w:rsid w:val="13400FC0"/>
    <w:rsid w:val="13A02D2C"/>
    <w:rsid w:val="146137CF"/>
    <w:rsid w:val="14AD65E3"/>
    <w:rsid w:val="15DE716E"/>
    <w:rsid w:val="162E0984"/>
    <w:rsid w:val="17D9680D"/>
    <w:rsid w:val="188B4CDC"/>
    <w:rsid w:val="19A30C3C"/>
    <w:rsid w:val="1B5C578B"/>
    <w:rsid w:val="1C53479C"/>
    <w:rsid w:val="1D3249F5"/>
    <w:rsid w:val="1EDF44F4"/>
    <w:rsid w:val="1F9F2DD9"/>
    <w:rsid w:val="201872BC"/>
    <w:rsid w:val="22520E8C"/>
    <w:rsid w:val="22923EF2"/>
    <w:rsid w:val="244E6973"/>
    <w:rsid w:val="2483022C"/>
    <w:rsid w:val="24B67467"/>
    <w:rsid w:val="256A70DF"/>
    <w:rsid w:val="27A97396"/>
    <w:rsid w:val="27C33364"/>
    <w:rsid w:val="287E31E4"/>
    <w:rsid w:val="294A5C4F"/>
    <w:rsid w:val="29770441"/>
    <w:rsid w:val="2B8E01D9"/>
    <w:rsid w:val="2BE9306B"/>
    <w:rsid w:val="2C0C26E6"/>
    <w:rsid w:val="2C391C60"/>
    <w:rsid w:val="2CAE1922"/>
    <w:rsid w:val="2CD722CC"/>
    <w:rsid w:val="2F0D7070"/>
    <w:rsid w:val="2FED0C50"/>
    <w:rsid w:val="3098637C"/>
    <w:rsid w:val="30CD4226"/>
    <w:rsid w:val="313244EC"/>
    <w:rsid w:val="31BF2A03"/>
    <w:rsid w:val="32380C07"/>
    <w:rsid w:val="331C0D46"/>
    <w:rsid w:val="33202078"/>
    <w:rsid w:val="349124F1"/>
    <w:rsid w:val="34A75F46"/>
    <w:rsid w:val="361231BE"/>
    <w:rsid w:val="364079A0"/>
    <w:rsid w:val="36603F29"/>
    <w:rsid w:val="36B93A98"/>
    <w:rsid w:val="36F37731"/>
    <w:rsid w:val="37D0630C"/>
    <w:rsid w:val="384462A9"/>
    <w:rsid w:val="38481C7E"/>
    <w:rsid w:val="3848736B"/>
    <w:rsid w:val="38B03AC7"/>
    <w:rsid w:val="38E47094"/>
    <w:rsid w:val="39512A22"/>
    <w:rsid w:val="39747F9D"/>
    <w:rsid w:val="3B0A5163"/>
    <w:rsid w:val="3BDF0464"/>
    <w:rsid w:val="3C3E5289"/>
    <w:rsid w:val="3CCC7501"/>
    <w:rsid w:val="3D536049"/>
    <w:rsid w:val="3D7E0B8F"/>
    <w:rsid w:val="3E886BC8"/>
    <w:rsid w:val="40A45A86"/>
    <w:rsid w:val="425A2175"/>
    <w:rsid w:val="42704534"/>
    <w:rsid w:val="42D24401"/>
    <w:rsid w:val="430A1C61"/>
    <w:rsid w:val="433E3844"/>
    <w:rsid w:val="434370AD"/>
    <w:rsid w:val="43EE6A01"/>
    <w:rsid w:val="44F109D5"/>
    <w:rsid w:val="4554492E"/>
    <w:rsid w:val="45647A48"/>
    <w:rsid w:val="457F1EF2"/>
    <w:rsid w:val="459B6D55"/>
    <w:rsid w:val="45CF4C28"/>
    <w:rsid w:val="46DF28B7"/>
    <w:rsid w:val="470A303D"/>
    <w:rsid w:val="477E4B57"/>
    <w:rsid w:val="47E759F0"/>
    <w:rsid w:val="482D025C"/>
    <w:rsid w:val="4947569E"/>
    <w:rsid w:val="49757894"/>
    <w:rsid w:val="4A840191"/>
    <w:rsid w:val="4BB55C79"/>
    <w:rsid w:val="4E3F014B"/>
    <w:rsid w:val="4EC15329"/>
    <w:rsid w:val="4F457D08"/>
    <w:rsid w:val="4F7853F7"/>
    <w:rsid w:val="519B00B4"/>
    <w:rsid w:val="51DD6BC9"/>
    <w:rsid w:val="527B72D6"/>
    <w:rsid w:val="52BC29D7"/>
    <w:rsid w:val="53067DC6"/>
    <w:rsid w:val="53CF7776"/>
    <w:rsid w:val="53F43EF1"/>
    <w:rsid w:val="54091C4C"/>
    <w:rsid w:val="56AD4788"/>
    <w:rsid w:val="572834F8"/>
    <w:rsid w:val="57AA1988"/>
    <w:rsid w:val="57E80E47"/>
    <w:rsid w:val="58F96D8E"/>
    <w:rsid w:val="59D55610"/>
    <w:rsid w:val="5A4540E7"/>
    <w:rsid w:val="5A854500"/>
    <w:rsid w:val="5BF62AB6"/>
    <w:rsid w:val="5D641CA2"/>
    <w:rsid w:val="5DDD4037"/>
    <w:rsid w:val="5E0758EE"/>
    <w:rsid w:val="5FA212DE"/>
    <w:rsid w:val="5FC85532"/>
    <w:rsid w:val="5FD17AC2"/>
    <w:rsid w:val="60026A52"/>
    <w:rsid w:val="625B20CE"/>
    <w:rsid w:val="63337B03"/>
    <w:rsid w:val="63412E7D"/>
    <w:rsid w:val="640A23EA"/>
    <w:rsid w:val="65586327"/>
    <w:rsid w:val="6841330B"/>
    <w:rsid w:val="68E85E7D"/>
    <w:rsid w:val="6A372C18"/>
    <w:rsid w:val="6A6454B7"/>
    <w:rsid w:val="6A6E23B2"/>
    <w:rsid w:val="6B575EFD"/>
    <w:rsid w:val="6BB34520"/>
    <w:rsid w:val="6BF15CBC"/>
    <w:rsid w:val="6C712D2B"/>
    <w:rsid w:val="6C97159C"/>
    <w:rsid w:val="6DC24EEE"/>
    <w:rsid w:val="6E81013B"/>
    <w:rsid w:val="6EC00D66"/>
    <w:rsid w:val="6F7274FB"/>
    <w:rsid w:val="6FBE3493"/>
    <w:rsid w:val="70D67B33"/>
    <w:rsid w:val="70F64FF1"/>
    <w:rsid w:val="710F25AA"/>
    <w:rsid w:val="71104394"/>
    <w:rsid w:val="71235CA4"/>
    <w:rsid w:val="71991A38"/>
    <w:rsid w:val="71CC633B"/>
    <w:rsid w:val="72CD4767"/>
    <w:rsid w:val="72F21378"/>
    <w:rsid w:val="75362644"/>
    <w:rsid w:val="758955BC"/>
    <w:rsid w:val="75C83CC5"/>
    <w:rsid w:val="761323C6"/>
    <w:rsid w:val="76316FDE"/>
    <w:rsid w:val="76DE56C7"/>
    <w:rsid w:val="78D945F3"/>
    <w:rsid w:val="7B7F7F7B"/>
    <w:rsid w:val="7BA954C7"/>
    <w:rsid w:val="7CB64B7A"/>
    <w:rsid w:val="7D663BE5"/>
    <w:rsid w:val="7DF85FEB"/>
    <w:rsid w:val="7E720E50"/>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6"/>
    <w:qFormat/>
    <w:uiPriority w:val="0"/>
    <w:pPr>
      <w:ind w:firstLine="420"/>
    </w:pPr>
    <w:rPr>
      <w:szCs w:val="20"/>
    </w:rPr>
  </w:style>
  <w:style w:type="paragraph" w:styleId="4">
    <w:name w:val="annotation text"/>
    <w:basedOn w:val="1"/>
    <w:link w:val="42"/>
    <w:semiHidden/>
    <w:unhideWhenUsed/>
    <w:qFormat/>
    <w:uiPriority w:val="99"/>
    <w:pPr>
      <w:jc w:val="left"/>
    </w:pPr>
  </w:style>
  <w:style w:type="paragraph" w:styleId="5">
    <w:name w:val="Body Text 3"/>
    <w:basedOn w:val="1"/>
    <w:link w:val="52"/>
    <w:semiHidden/>
    <w:unhideWhenUsed/>
    <w:qFormat/>
    <w:uiPriority w:val="99"/>
    <w:pPr>
      <w:spacing w:after="120"/>
    </w:pPr>
    <w:rPr>
      <w:sz w:val="16"/>
      <w:szCs w:val="16"/>
    </w:rPr>
  </w:style>
  <w:style w:type="paragraph" w:styleId="6">
    <w:name w:val="Body Text"/>
    <w:basedOn w:val="1"/>
    <w:next w:val="1"/>
    <w:qFormat/>
    <w:uiPriority w:val="0"/>
    <w:pPr>
      <w:spacing w:after="120"/>
    </w:pPr>
  </w:style>
  <w:style w:type="paragraph" w:styleId="7">
    <w:name w:val="Body Text Indent"/>
    <w:basedOn w:val="1"/>
    <w:next w:val="8"/>
    <w:link w:val="23"/>
    <w:unhideWhenUsed/>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index 4"/>
    <w:basedOn w:val="1"/>
    <w:next w:val="1"/>
    <w:qFormat/>
    <w:uiPriority w:val="99"/>
    <w:pPr>
      <w:ind w:left="600" w:leftChars="600"/>
    </w:pPr>
  </w:style>
  <w:style w:type="paragraph" w:styleId="10">
    <w:name w:val="toc 3"/>
    <w:basedOn w:val="1"/>
    <w:next w:val="1"/>
    <w:qFormat/>
    <w:uiPriority w:val="0"/>
    <w:pPr>
      <w:ind w:left="840" w:leftChars="400"/>
    </w:pPr>
  </w:style>
  <w:style w:type="paragraph" w:styleId="11">
    <w:name w:val="Plain Text"/>
    <w:basedOn w:val="1"/>
    <w:link w:val="50"/>
    <w:qFormat/>
    <w:uiPriority w:val="0"/>
    <w:rPr>
      <w:rFonts w:ascii="宋体" w:hAnsi="Courier New"/>
    </w:r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annotation subject"/>
    <w:basedOn w:val="4"/>
    <w:next w:val="4"/>
    <w:link w:val="43"/>
    <w:semiHidden/>
    <w:unhideWhenUsed/>
    <w:qFormat/>
    <w:uiPriority w:val="99"/>
    <w:rPr>
      <w:b/>
      <w:bCs/>
    </w:rPr>
  </w:style>
  <w:style w:type="paragraph" w:styleId="17">
    <w:name w:val="Body Text First Indent 2"/>
    <w:basedOn w:val="7"/>
    <w:link w:val="24"/>
    <w:unhideWhenUsed/>
    <w:qFormat/>
    <w:uiPriority w:val="99"/>
    <w:pPr>
      <w:ind w:firstLine="42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unhideWhenUsed/>
    <w:qFormat/>
    <w:uiPriority w:val="0"/>
    <w:rPr>
      <w:sz w:val="21"/>
      <w:szCs w:val="21"/>
    </w:r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3">
    <w:name w:val="正文文本缩进 Char"/>
    <w:basedOn w:val="20"/>
    <w:link w:val="7"/>
    <w:semiHidden/>
    <w:qFormat/>
    <w:uiPriority w:val="99"/>
    <w:rPr>
      <w:rFonts w:ascii="Times New Roman" w:hAnsi="Times New Roman" w:eastAsia="宋体" w:cs="Times New Roman"/>
      <w:szCs w:val="24"/>
    </w:rPr>
  </w:style>
  <w:style w:type="character" w:customStyle="1" w:styleId="24">
    <w:name w:val="正文首行缩进 2 Char1"/>
    <w:basedOn w:val="23"/>
    <w:link w:val="17"/>
    <w:qFormat/>
    <w:uiPriority w:val="99"/>
    <w:rPr>
      <w:rFonts w:ascii="Times New Roman" w:hAnsi="Times New Roman" w:eastAsia="宋体" w:cs="Times New Roman"/>
      <w:szCs w:val="24"/>
    </w:rPr>
  </w:style>
  <w:style w:type="character" w:customStyle="1" w:styleId="25">
    <w:name w:val="正文文本缩进 Char1"/>
    <w:qFormat/>
    <w:uiPriority w:val="0"/>
    <w:rPr>
      <w:kern w:val="2"/>
      <w:sz w:val="21"/>
      <w:szCs w:val="24"/>
    </w:rPr>
  </w:style>
  <w:style w:type="character" w:customStyle="1" w:styleId="26">
    <w:name w:val="正文缩进 Char1"/>
    <w:link w:val="3"/>
    <w:qFormat/>
    <w:uiPriority w:val="0"/>
    <w:rPr>
      <w:rFonts w:ascii="Times New Roman" w:hAnsi="Times New Roman" w:eastAsia="宋体" w:cs="Times New Roman"/>
      <w:szCs w:val="20"/>
    </w:rPr>
  </w:style>
  <w:style w:type="character" w:customStyle="1" w:styleId="27">
    <w:name w:val="批注框文本 Char"/>
    <w:basedOn w:val="20"/>
    <w:link w:val="12"/>
    <w:qFormat/>
    <w:uiPriority w:val="0"/>
    <w:rPr>
      <w:rFonts w:ascii="Times New Roman" w:hAnsi="Times New Roman" w:eastAsia="宋体" w:cs="Times New Roman"/>
      <w:sz w:val="18"/>
      <w:szCs w:val="18"/>
    </w:rPr>
  </w:style>
  <w:style w:type="character" w:customStyle="1" w:styleId="28">
    <w:name w:val="页脚 Char"/>
    <w:basedOn w:val="20"/>
    <w:link w:val="13"/>
    <w:qFormat/>
    <w:uiPriority w:val="99"/>
    <w:rPr>
      <w:rFonts w:ascii="Times New Roman" w:hAnsi="Times New Roman" w:eastAsia="宋体" w:cs="Times New Roman"/>
      <w:sz w:val="18"/>
      <w:szCs w:val="18"/>
    </w:rPr>
  </w:style>
  <w:style w:type="character" w:customStyle="1" w:styleId="29">
    <w:name w:val="正文缩进2格 Char"/>
    <w:link w:val="30"/>
    <w:qFormat/>
    <w:locked/>
    <w:uiPriority w:val="99"/>
    <w:rPr>
      <w:rFonts w:ascii="仿宋_GB2312" w:hAnsi="宋体" w:eastAsia="仿宋_GB2312"/>
      <w:sz w:val="31"/>
      <w:szCs w:val="28"/>
    </w:rPr>
  </w:style>
  <w:style w:type="paragraph" w:customStyle="1" w:styleId="30">
    <w:name w:val="正文缩进2格"/>
    <w:basedOn w:val="1"/>
    <w:link w:val="29"/>
    <w:qFormat/>
    <w:uiPriority w:val="99"/>
    <w:pPr>
      <w:spacing w:line="600" w:lineRule="exact"/>
      <w:ind w:firstLine="639" w:firstLineChars="206"/>
    </w:pPr>
    <w:rPr>
      <w:rFonts w:ascii="仿宋_GB2312" w:hAnsi="宋体" w:eastAsia="仿宋_GB2312" w:cstheme="minorBidi"/>
      <w:sz w:val="31"/>
      <w:szCs w:val="28"/>
    </w:rPr>
  </w:style>
  <w:style w:type="paragraph" w:customStyle="1" w:styleId="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2">
    <w:name w:val="我的正文 Char"/>
    <w:link w:val="33"/>
    <w:qFormat/>
    <w:locked/>
    <w:uiPriority w:val="0"/>
    <w:rPr>
      <w:rFonts w:ascii="宋体" w:hAnsi="宋体"/>
      <w:sz w:val="24"/>
      <w:szCs w:val="24"/>
    </w:rPr>
  </w:style>
  <w:style w:type="paragraph" w:customStyle="1" w:styleId="33">
    <w:name w:val="我的正文"/>
    <w:basedOn w:val="1"/>
    <w:link w:val="32"/>
    <w:qFormat/>
    <w:uiPriority w:val="0"/>
    <w:pPr>
      <w:snapToGrid w:val="0"/>
      <w:spacing w:line="300" w:lineRule="auto"/>
      <w:ind w:firstLine="150" w:firstLineChars="150"/>
    </w:pPr>
    <w:rPr>
      <w:rFonts w:ascii="宋体" w:hAnsi="宋体" w:eastAsiaTheme="minorEastAsia" w:cstheme="minorBidi"/>
      <w:sz w:val="24"/>
    </w:rPr>
  </w:style>
  <w:style w:type="paragraph" w:customStyle="1" w:styleId="34">
    <w:name w:val="列出段落1"/>
    <w:basedOn w:val="1"/>
    <w:qFormat/>
    <w:uiPriority w:val="34"/>
    <w:pPr>
      <w:ind w:firstLine="420" w:firstLineChars="200"/>
    </w:pPr>
  </w:style>
  <w:style w:type="character" w:customStyle="1" w:styleId="35">
    <w:name w:val="fontstyle01"/>
    <w:qFormat/>
    <w:uiPriority w:val="0"/>
    <w:rPr>
      <w:rFonts w:hint="eastAsia" w:ascii="宋体" w:hAnsi="宋体" w:eastAsia="宋体"/>
      <w:color w:val="000000"/>
      <w:sz w:val="24"/>
      <w:szCs w:val="24"/>
    </w:rPr>
  </w:style>
  <w:style w:type="paragraph" w:styleId="36">
    <w:name w:val="List Paragraph"/>
    <w:basedOn w:val="1"/>
    <w:qFormat/>
    <w:uiPriority w:val="34"/>
    <w:pPr>
      <w:ind w:firstLine="420" w:firstLineChars="200"/>
    </w:pPr>
  </w:style>
  <w:style w:type="paragraph" w:customStyle="1" w:styleId="37">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8">
    <w:name w:val="页眉 Char"/>
    <w:basedOn w:val="20"/>
    <w:link w:val="14"/>
    <w:qFormat/>
    <w:uiPriority w:val="99"/>
    <w:rPr>
      <w:rFonts w:ascii="Times New Roman" w:hAnsi="Times New Roman" w:eastAsia="宋体" w:cs="Times New Roman"/>
      <w:sz w:val="18"/>
      <w:szCs w:val="18"/>
    </w:rPr>
  </w:style>
  <w:style w:type="character" w:customStyle="1" w:styleId="39">
    <w:name w:val="font61"/>
    <w:basedOn w:val="20"/>
    <w:qFormat/>
    <w:uiPriority w:val="0"/>
    <w:rPr>
      <w:rFonts w:hint="eastAsia" w:ascii="宋体" w:hAnsi="宋体" w:eastAsia="宋体" w:cs="宋体"/>
      <w:color w:val="FF0000"/>
      <w:sz w:val="20"/>
      <w:szCs w:val="20"/>
      <w:u w:val="none"/>
    </w:rPr>
  </w:style>
  <w:style w:type="character" w:customStyle="1" w:styleId="40">
    <w:name w:val="font31"/>
    <w:basedOn w:val="20"/>
    <w:qFormat/>
    <w:uiPriority w:val="0"/>
    <w:rPr>
      <w:rFonts w:hint="eastAsia" w:ascii="宋体" w:hAnsi="宋体" w:eastAsia="宋体" w:cs="宋体"/>
      <w:color w:val="000000"/>
      <w:sz w:val="20"/>
      <w:szCs w:val="20"/>
      <w:u w:val="none"/>
    </w:rPr>
  </w:style>
  <w:style w:type="paragraph" w:customStyle="1" w:styleId="41">
    <w:name w:val="ces正文"/>
    <w:basedOn w:val="1"/>
    <w:qFormat/>
    <w:uiPriority w:val="0"/>
    <w:pPr>
      <w:spacing w:line="360" w:lineRule="auto"/>
      <w:ind w:firstLine="480" w:firstLineChars="200"/>
    </w:pPr>
    <w:rPr>
      <w:rFonts w:ascii="宋体" w:hAnsi="宋体"/>
      <w:sz w:val="24"/>
    </w:rPr>
  </w:style>
  <w:style w:type="character" w:customStyle="1" w:styleId="42">
    <w:name w:val="批注文字 Char"/>
    <w:basedOn w:val="20"/>
    <w:link w:val="4"/>
    <w:semiHidden/>
    <w:qFormat/>
    <w:uiPriority w:val="99"/>
    <w:rPr>
      <w:kern w:val="2"/>
      <w:sz w:val="21"/>
      <w:szCs w:val="24"/>
    </w:rPr>
  </w:style>
  <w:style w:type="character" w:customStyle="1" w:styleId="43">
    <w:name w:val="批注主题 Char"/>
    <w:basedOn w:val="42"/>
    <w:link w:val="16"/>
    <w:semiHidden/>
    <w:qFormat/>
    <w:uiPriority w:val="99"/>
    <w:rPr>
      <w:b/>
      <w:bCs/>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正文缩进 Char"/>
    <w:qFormat/>
    <w:uiPriority w:val="0"/>
    <w:rPr>
      <w:kern w:val="2"/>
      <w:sz w:val="21"/>
    </w:rPr>
  </w:style>
  <w:style w:type="paragraph" w:customStyle="1" w:styleId="46">
    <w:name w:val="_Style 38"/>
    <w:basedOn w:val="7"/>
    <w:next w:val="17"/>
    <w:link w:val="47"/>
    <w:unhideWhenUsed/>
    <w:qFormat/>
    <w:uiPriority w:val="99"/>
    <w:pPr>
      <w:ind w:firstLine="420" w:firstLineChars="200"/>
    </w:pPr>
    <w:rPr>
      <w:kern w:val="0"/>
      <w:sz w:val="20"/>
      <w:szCs w:val="20"/>
    </w:rPr>
  </w:style>
  <w:style w:type="character" w:customStyle="1" w:styleId="47">
    <w:name w:val="正文首行缩进 2 Char"/>
    <w:link w:val="46"/>
    <w:semiHidden/>
    <w:qFormat/>
    <w:uiPriority w:val="99"/>
  </w:style>
  <w:style w:type="paragraph" w:customStyle="1" w:styleId="48">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49">
    <w:name w:val="网格型1"/>
    <w:basedOn w:val="18"/>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0">
    <w:name w:val="纯文本 Char"/>
    <w:basedOn w:val="20"/>
    <w:link w:val="11"/>
    <w:qFormat/>
    <w:uiPriority w:val="0"/>
    <w:rPr>
      <w:rFonts w:ascii="宋体" w:hAnsi="Courier New"/>
      <w:kern w:val="2"/>
      <w:sz w:val="21"/>
      <w:szCs w:val="24"/>
    </w:rPr>
  </w:style>
  <w:style w:type="character" w:customStyle="1" w:styleId="51">
    <w:name w:val="NormalCharacter"/>
    <w:autoRedefine/>
    <w:qFormat/>
    <w:uiPriority w:val="0"/>
  </w:style>
  <w:style w:type="character" w:customStyle="1" w:styleId="52">
    <w:name w:val="正文文本 3 Char"/>
    <w:basedOn w:val="20"/>
    <w:link w:val="5"/>
    <w:semiHidden/>
    <w:qFormat/>
    <w:uiPriority w:val="99"/>
    <w:rPr>
      <w:kern w:val="2"/>
      <w:sz w:val="16"/>
      <w:szCs w:val="16"/>
    </w:rPr>
  </w:style>
  <w:style w:type="paragraph" w:customStyle="1" w:styleId="53">
    <w:name w:val="样式1"/>
    <w:basedOn w:val="1"/>
    <w:qFormat/>
    <w:uiPriority w:val="0"/>
    <w:pPr>
      <w:spacing w:line="520" w:lineRule="exact"/>
      <w:ind w:firstLine="566" w:firstLineChars="236"/>
    </w:pPr>
    <w:rPr>
      <w:sz w:val="24"/>
    </w:rPr>
  </w:style>
  <w:style w:type="character" w:customStyle="1" w:styleId="54">
    <w:name w:val="批注引用1"/>
    <w:basedOn w:val="55"/>
    <w:qFormat/>
    <w:uiPriority w:val="0"/>
    <w:rPr>
      <w:rFonts w:ascii="Times New Roman" w:hAnsi="Times New Roman" w:eastAsia="宋体" w:cs="Times New Roman"/>
      <w:kern w:val="2"/>
      <w:sz w:val="21"/>
      <w:szCs w:val="24"/>
      <w:lang w:val="en-US" w:eastAsia="zh-CN" w:bidi="ar-SA"/>
    </w:rPr>
  </w:style>
  <w:style w:type="character" w:customStyle="1" w:styleId="55">
    <w:name w:val="默认段落字体1"/>
    <w:unhideWhenUsed/>
    <w:qFormat/>
    <w:uiPriority w:val="1"/>
  </w:style>
  <w:style w:type="paragraph" w:customStyle="1" w:styleId="56">
    <w:name w:val="正文首行缩进 21"/>
    <w:basedOn w:val="57"/>
    <w:qFormat/>
    <w:uiPriority w:val="99"/>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paragraph" w:customStyle="1" w:styleId="58">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9">
    <w:name w:val="纯文本1"/>
    <w:basedOn w:val="1"/>
    <w:qFormat/>
    <w:uiPriority w:val="0"/>
    <w:rPr>
      <w:rFonts w:ascii="宋体" w:hAnsi="Courier New" w:cs="Courier New"/>
      <w:szCs w:val="21"/>
    </w:rPr>
  </w:style>
  <w:style w:type="paragraph" w:customStyle="1" w:styleId="60">
    <w:name w:val="页脚1"/>
    <w:basedOn w:val="1"/>
    <w:qFormat/>
    <w:uiPriority w:val="99"/>
    <w:pPr>
      <w:tabs>
        <w:tab w:val="center" w:pos="4153"/>
        <w:tab w:val="right" w:pos="8306"/>
      </w:tabs>
      <w:jc w:val="left"/>
    </w:pPr>
    <w:rPr>
      <w:sz w:val="18"/>
      <w:szCs w:val="18"/>
    </w:rPr>
  </w:style>
  <w:style w:type="character" w:customStyle="1" w:styleId="61">
    <w:name w:val="font21"/>
    <w:basedOn w:val="20"/>
    <w:qFormat/>
    <w:uiPriority w:val="0"/>
    <w:rPr>
      <w:rFonts w:hint="default" w:ascii="仿宋_GB2312" w:eastAsia="仿宋_GB2312" w:cs="仿宋_GB2312"/>
      <w:color w:val="000000"/>
      <w:sz w:val="24"/>
      <w:szCs w:val="24"/>
      <w:u w:val="none"/>
    </w:rPr>
  </w:style>
  <w:style w:type="character" w:customStyle="1" w:styleId="62">
    <w:name w:val="font81"/>
    <w:basedOn w:val="20"/>
    <w:qFormat/>
    <w:uiPriority w:val="0"/>
    <w:rPr>
      <w:rFonts w:hint="default" w:ascii="Times New Roman" w:hAnsi="Times New Roman" w:cs="Times New Roman"/>
      <w:color w:val="000000"/>
      <w:sz w:val="22"/>
      <w:szCs w:val="22"/>
      <w:u w:val="none"/>
    </w:rPr>
  </w:style>
  <w:style w:type="character" w:customStyle="1" w:styleId="63">
    <w:name w:val="font51"/>
    <w:basedOn w:val="20"/>
    <w:qFormat/>
    <w:uiPriority w:val="0"/>
    <w:rPr>
      <w:rFonts w:hint="eastAsia" w:ascii="宋体" w:hAnsi="宋体" w:eastAsia="宋体" w:cs="宋体"/>
      <w:color w:val="000000"/>
      <w:sz w:val="24"/>
      <w:szCs w:val="24"/>
      <w:u w:val="none"/>
    </w:rPr>
  </w:style>
  <w:style w:type="paragraph" w:styleId="64">
    <w:name w:val="No Spacing"/>
    <w:qFormat/>
    <w:uiPriority w:val="1"/>
    <w:pPr>
      <w:adjustRightInd w:val="0"/>
      <w:snapToGrid w:val="0"/>
    </w:pPr>
    <w:rPr>
      <w:rFonts w:ascii="Tahoma" w:hAnsi="Tahoma" w:eastAsia="微软雅黑" w:cs="Tahoma"/>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13721</Words>
  <Characters>14291</Characters>
  <Lines>253</Lines>
  <Paragraphs>71</Paragraphs>
  <TotalTime>0</TotalTime>
  <ScaleCrop>false</ScaleCrop>
  <LinksUpToDate>false</LinksUpToDate>
  <CharactersWithSpaces>14393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2024-11-28T02:57:00Z</dcterms:created>
  <dc:creator>吉加兵</dc:creator>
  <cp:lastModifiedBy>山河</cp:lastModifiedBy>
  <cp:lastPrinted>2022-03-01T06:57:00Z</cp:lastPrinted>
  <dcterms:modified xsi:type="dcterms:W3CDTF">2026-01-05T06:53:06Z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B352F3EA0AB54EBAAD9FB9BC9015A947_13</vt:lpwstr>
  </property>
  <property fmtid="{D5CDD505-2E9C-101B-9397-08002B2CF9AE}" pid="4" name="KSOTemplateDocerSaveRecord">
    <vt:lpwstr>eyJoZGlkIjoiMDAyNzFiMjcyMmI3YWE2MGUyZDVlNWE4MmVhNmI4NTQiLCJ1c2VySWQiOiIxMDA5OTgxODQyIn0=</vt:lpwstr>
  </property>
</Properties>
</file>