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6D1AE">
      <w:pPr>
        <w:spacing w:line="500" w:lineRule="exact"/>
        <w:jc w:val="center"/>
        <w:rPr>
          <w:rFonts w:hint="eastAsia" w:ascii="宋体" w:hAnsi="宋体" w:eastAsia="宋体" w:cs="宋体"/>
          <w:bCs/>
          <w:color w:val="auto"/>
          <w:spacing w:val="20"/>
          <w:sz w:val="44"/>
          <w:highlight w:val="none"/>
          <w:lang w:eastAsia="zh-CN"/>
        </w:rPr>
      </w:pPr>
    </w:p>
    <w:p w14:paraId="2A21B3E2">
      <w:pPr>
        <w:spacing w:line="360" w:lineRule="auto"/>
        <w:contextualSpacing/>
        <w:jc w:val="center"/>
        <w:rPr>
          <w:rFonts w:hint="eastAsia" w:ascii="宋体" w:hAnsi="宋体" w:eastAsia="宋体" w:cs="宋体"/>
          <w:b/>
          <w:bCs/>
          <w:color w:val="auto"/>
          <w:sz w:val="36"/>
          <w:szCs w:val="36"/>
          <w:highlight w:val="none"/>
          <w:lang w:val="en-US" w:eastAsia="zh-CN" w:bidi="ar-SA"/>
        </w:rPr>
      </w:pPr>
      <w:r>
        <w:rPr>
          <w:rFonts w:hint="eastAsia" w:ascii="宋体" w:hAnsi="宋体" w:cs="宋体"/>
          <w:b/>
          <w:bCs/>
          <w:color w:val="auto"/>
          <w:sz w:val="36"/>
          <w:szCs w:val="36"/>
          <w:highlight w:val="none"/>
          <w:lang w:val="en-US" w:eastAsia="zh-CN" w:bidi="ar-SA"/>
        </w:rPr>
        <w:t>南通市客运行业年度发展报告（2025年）项目</w:t>
      </w:r>
    </w:p>
    <w:p w14:paraId="49A867D2">
      <w:pPr>
        <w:spacing w:line="480" w:lineRule="auto"/>
        <w:jc w:val="center"/>
        <w:rPr>
          <w:rFonts w:hint="eastAsia" w:ascii="宋体" w:hAnsi="宋体" w:eastAsia="宋体" w:cs="宋体"/>
          <w:b/>
          <w:bCs/>
          <w:color w:val="auto"/>
          <w:sz w:val="48"/>
          <w:szCs w:val="48"/>
          <w:highlight w:val="none"/>
          <w:lang w:val="en-US" w:eastAsia="zh-CN" w:bidi="ar-SA"/>
        </w:rPr>
      </w:pPr>
    </w:p>
    <w:p w14:paraId="54D03EC4">
      <w:pPr>
        <w:jc w:val="center"/>
        <w:rPr>
          <w:rFonts w:hint="eastAsia" w:ascii="宋体" w:hAnsi="宋体" w:eastAsia="宋体" w:cs="宋体"/>
          <w:bCs/>
          <w:color w:val="auto"/>
          <w:sz w:val="100"/>
          <w:szCs w:val="100"/>
          <w:highlight w:val="none"/>
        </w:rPr>
      </w:pPr>
    </w:p>
    <w:p w14:paraId="0BD14E58">
      <w:pPr>
        <w:tabs>
          <w:tab w:val="left" w:pos="6300"/>
        </w:tabs>
        <w:spacing w:line="300" w:lineRule="auto"/>
        <w:jc w:val="center"/>
        <w:rPr>
          <w:rFonts w:hint="eastAsia" w:ascii="宋体" w:hAnsi="宋体" w:eastAsia="宋体" w:cs="宋体"/>
          <w:b/>
          <w:color w:val="auto"/>
          <w:sz w:val="96"/>
          <w:szCs w:val="96"/>
          <w:highlight w:val="none"/>
          <w:lang w:val="en-US" w:eastAsia="zh-CN" w:bidi="ar-SA"/>
        </w:rPr>
      </w:pPr>
      <w:r>
        <w:rPr>
          <w:rFonts w:hint="eastAsia" w:ascii="宋体" w:hAnsi="宋体" w:eastAsia="宋体" w:cs="宋体"/>
          <w:b/>
          <w:color w:val="auto"/>
          <w:sz w:val="96"/>
          <w:szCs w:val="96"/>
          <w:highlight w:val="none"/>
          <w:lang w:val="en-US" w:eastAsia="zh-CN" w:bidi="ar-SA"/>
        </w:rPr>
        <w:t>公开招标文件</w:t>
      </w:r>
    </w:p>
    <w:p w14:paraId="04ECC112">
      <w:pPr>
        <w:pStyle w:val="7"/>
        <w:spacing w:line="500" w:lineRule="exact"/>
        <w:rPr>
          <w:rFonts w:hint="eastAsia" w:ascii="宋体" w:hAnsi="宋体" w:eastAsia="宋体" w:cs="宋体"/>
          <w:b w:val="0"/>
          <w:bCs/>
          <w:color w:val="auto"/>
          <w:highlight w:val="none"/>
          <w:lang w:eastAsia="zh-CN"/>
        </w:rPr>
      </w:pPr>
      <w:r>
        <w:rPr>
          <w:rFonts w:hint="eastAsia" w:ascii="宋体" w:hAnsi="宋体" w:cs="宋体"/>
          <w:b w:val="0"/>
          <w:bCs/>
          <w:color w:val="auto"/>
          <w:highlight w:val="none"/>
          <w:lang w:eastAsia="zh-CN"/>
        </w:rPr>
        <w:t>（</w:t>
      </w:r>
      <w:r>
        <w:rPr>
          <w:rFonts w:hint="eastAsia" w:ascii="宋体" w:hAnsi="宋体" w:cs="宋体"/>
          <w:b w:val="0"/>
          <w:bCs/>
          <w:color w:val="auto"/>
          <w:highlight w:val="none"/>
          <w:lang w:val="en-US" w:eastAsia="zh-CN"/>
        </w:rPr>
        <w:t>二次</w:t>
      </w:r>
      <w:r>
        <w:rPr>
          <w:rFonts w:hint="eastAsia" w:ascii="宋体" w:hAnsi="宋体" w:cs="宋体"/>
          <w:b w:val="0"/>
          <w:bCs/>
          <w:color w:val="auto"/>
          <w:highlight w:val="none"/>
          <w:lang w:eastAsia="zh-CN"/>
        </w:rPr>
        <w:t>）</w:t>
      </w:r>
    </w:p>
    <w:p w14:paraId="19149EDB">
      <w:pPr>
        <w:spacing w:line="360" w:lineRule="auto"/>
        <w:jc w:val="center"/>
        <w:rPr>
          <w:rFonts w:hint="eastAsia" w:ascii="宋体" w:hAnsi="宋体" w:eastAsia="宋体" w:cs="宋体"/>
          <w:b/>
          <w:color w:val="auto"/>
          <w:sz w:val="30"/>
          <w:szCs w:val="30"/>
          <w:highlight w:val="none"/>
        </w:rPr>
      </w:pPr>
    </w:p>
    <w:p w14:paraId="1513C002">
      <w:pPr>
        <w:pStyle w:val="17"/>
        <w:rPr>
          <w:rFonts w:hint="eastAsia" w:ascii="宋体" w:hAnsi="宋体" w:eastAsia="宋体" w:cs="宋体"/>
          <w:b/>
          <w:color w:val="auto"/>
          <w:sz w:val="30"/>
          <w:szCs w:val="30"/>
          <w:highlight w:val="none"/>
        </w:rPr>
      </w:pPr>
    </w:p>
    <w:p w14:paraId="536FE2ED">
      <w:pPr>
        <w:pStyle w:val="55"/>
        <w:rPr>
          <w:rFonts w:hint="eastAsia" w:ascii="宋体" w:hAnsi="宋体" w:eastAsia="宋体" w:cs="宋体"/>
          <w:b/>
          <w:color w:val="auto"/>
          <w:sz w:val="30"/>
          <w:szCs w:val="30"/>
          <w:highlight w:val="none"/>
        </w:rPr>
      </w:pPr>
    </w:p>
    <w:p w14:paraId="2415B035">
      <w:pPr>
        <w:pStyle w:val="55"/>
        <w:rPr>
          <w:rFonts w:hint="eastAsia" w:ascii="宋体" w:hAnsi="宋体" w:eastAsia="宋体" w:cs="宋体"/>
          <w:b/>
          <w:color w:val="auto"/>
          <w:sz w:val="30"/>
          <w:szCs w:val="30"/>
          <w:highlight w:val="none"/>
        </w:rPr>
      </w:pPr>
    </w:p>
    <w:p w14:paraId="42FFB81C">
      <w:pPr>
        <w:pStyle w:val="55"/>
        <w:rPr>
          <w:rFonts w:hint="eastAsia" w:ascii="宋体" w:hAnsi="宋体" w:eastAsia="宋体" w:cs="宋体"/>
          <w:b/>
          <w:color w:val="auto"/>
          <w:sz w:val="30"/>
          <w:szCs w:val="30"/>
          <w:highlight w:val="none"/>
        </w:rPr>
      </w:pPr>
    </w:p>
    <w:p w14:paraId="01A2864F">
      <w:pPr>
        <w:pStyle w:val="55"/>
        <w:rPr>
          <w:rFonts w:hint="eastAsia" w:ascii="宋体" w:hAnsi="宋体" w:eastAsia="宋体" w:cs="宋体"/>
          <w:b/>
          <w:color w:val="auto"/>
          <w:sz w:val="30"/>
          <w:szCs w:val="30"/>
          <w:highlight w:val="none"/>
        </w:rPr>
      </w:pPr>
    </w:p>
    <w:p w14:paraId="3DAE5AB9">
      <w:pPr>
        <w:pStyle w:val="55"/>
        <w:rPr>
          <w:rFonts w:hint="eastAsia" w:ascii="宋体" w:hAnsi="宋体" w:eastAsia="宋体" w:cs="宋体"/>
          <w:b/>
          <w:color w:val="auto"/>
          <w:sz w:val="30"/>
          <w:szCs w:val="30"/>
          <w:highlight w:val="none"/>
        </w:rPr>
      </w:pPr>
    </w:p>
    <w:p w14:paraId="37F2C522">
      <w:pPr>
        <w:pStyle w:val="55"/>
        <w:rPr>
          <w:rFonts w:hint="eastAsia" w:ascii="宋体" w:hAnsi="宋体" w:eastAsia="宋体" w:cs="宋体"/>
          <w:b/>
          <w:color w:val="auto"/>
          <w:sz w:val="30"/>
          <w:szCs w:val="30"/>
          <w:highlight w:val="none"/>
        </w:rPr>
      </w:pPr>
    </w:p>
    <w:p w14:paraId="688B0D9F">
      <w:pPr>
        <w:pStyle w:val="55"/>
        <w:rPr>
          <w:rFonts w:hint="eastAsia" w:ascii="宋体" w:hAnsi="宋体" w:eastAsia="宋体" w:cs="宋体"/>
          <w:b/>
          <w:color w:val="auto"/>
          <w:sz w:val="30"/>
          <w:szCs w:val="30"/>
          <w:highlight w:val="none"/>
        </w:rPr>
      </w:pPr>
    </w:p>
    <w:p w14:paraId="1E303E11">
      <w:pPr>
        <w:pStyle w:val="55"/>
        <w:rPr>
          <w:rFonts w:hint="eastAsia" w:ascii="宋体" w:hAnsi="宋体" w:eastAsia="宋体" w:cs="宋体"/>
          <w:b/>
          <w:color w:val="auto"/>
          <w:sz w:val="30"/>
          <w:szCs w:val="30"/>
          <w:highlight w:val="none"/>
        </w:rPr>
      </w:pPr>
    </w:p>
    <w:p w14:paraId="35681DAF">
      <w:pPr>
        <w:pStyle w:val="55"/>
        <w:rPr>
          <w:rFonts w:hint="eastAsia" w:ascii="宋体" w:hAnsi="宋体" w:eastAsia="宋体" w:cs="宋体"/>
          <w:b/>
          <w:color w:val="auto"/>
          <w:sz w:val="30"/>
          <w:szCs w:val="30"/>
          <w:highlight w:val="none"/>
        </w:rPr>
      </w:pPr>
    </w:p>
    <w:p w14:paraId="300B9342">
      <w:pPr>
        <w:adjustRightInd w:val="0"/>
        <w:snapToGrid w:val="0"/>
        <w:spacing w:line="360" w:lineRule="auto"/>
        <w:ind w:firstLine="643" w:firstLineChars="200"/>
        <w:jc w:val="left"/>
        <w:rPr>
          <w:rFonts w:hint="eastAsia" w:ascii="宋体" w:hAnsi="宋体" w:eastAsia="宋体" w:cs="宋体"/>
          <w:b/>
          <w:bCs/>
          <w:color w:val="auto"/>
          <w:sz w:val="32"/>
          <w:szCs w:val="30"/>
          <w:highlight w:val="none"/>
          <w:lang w:eastAsia="zh-CN"/>
        </w:rPr>
      </w:pPr>
      <w:r>
        <w:rPr>
          <w:rFonts w:hint="eastAsia" w:ascii="宋体" w:hAnsi="宋体" w:eastAsia="宋体" w:cs="宋体"/>
          <w:b/>
          <w:bCs/>
          <w:color w:val="auto"/>
          <w:sz w:val="32"/>
          <w:szCs w:val="32"/>
          <w:highlight w:val="none"/>
        </w:rPr>
        <w:t>采</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购</w:t>
      </w:r>
      <w:r>
        <w:rPr>
          <w:rFonts w:hint="eastAsia" w:ascii="宋体" w:hAnsi="宋体" w:eastAsia="宋体" w:cs="宋体"/>
          <w:b/>
          <w:bCs/>
          <w:color w:val="auto"/>
          <w:sz w:val="32"/>
          <w:szCs w:val="32"/>
          <w:highlight w:val="none"/>
          <w:lang w:val="en-US" w:eastAsia="zh-CN"/>
        </w:rPr>
        <w:t xml:space="preserve">   人</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0"/>
          <w:highlight w:val="none"/>
          <w:lang w:val="en-US" w:eastAsia="zh-CN"/>
        </w:rPr>
        <w:t>南通市交通运输局</w:t>
      </w:r>
    </w:p>
    <w:p w14:paraId="6655677A">
      <w:pPr>
        <w:adjustRightInd w:val="0"/>
        <w:snapToGrid w:val="0"/>
        <w:spacing w:line="360" w:lineRule="auto"/>
        <w:ind w:firstLine="643" w:firstLineChars="200"/>
        <w:jc w:val="left"/>
        <w:rPr>
          <w:rFonts w:hint="eastAsia" w:ascii="宋体" w:hAnsi="宋体" w:eastAsia="宋体" w:cs="宋体"/>
          <w:b/>
          <w:bCs/>
          <w:color w:val="auto"/>
          <w:sz w:val="32"/>
          <w:szCs w:val="30"/>
          <w:highlight w:val="none"/>
          <w:lang w:eastAsia="zh-CN"/>
        </w:rPr>
      </w:pPr>
      <w:r>
        <w:rPr>
          <w:rFonts w:hint="eastAsia" w:ascii="宋体" w:hAnsi="宋体" w:eastAsia="宋体" w:cs="宋体"/>
          <w:b/>
          <w:bCs/>
          <w:color w:val="auto"/>
          <w:sz w:val="32"/>
          <w:szCs w:val="30"/>
          <w:highlight w:val="none"/>
        </w:rPr>
        <w:t>采购代理机构：</w:t>
      </w:r>
      <w:r>
        <w:rPr>
          <w:rFonts w:hint="eastAsia" w:ascii="宋体" w:hAnsi="宋体" w:eastAsia="宋体" w:cs="宋体"/>
          <w:b/>
          <w:bCs/>
          <w:color w:val="auto"/>
          <w:sz w:val="32"/>
          <w:szCs w:val="30"/>
          <w:highlight w:val="none"/>
          <w:lang w:eastAsia="zh-CN"/>
        </w:rPr>
        <w:t>江苏睿致诚工程咨询有限公司</w:t>
      </w:r>
    </w:p>
    <w:p w14:paraId="71CF2A9D">
      <w:pPr>
        <w:spacing w:line="360" w:lineRule="auto"/>
        <w:ind w:firstLine="643" w:firstLineChars="200"/>
        <w:jc w:val="both"/>
        <w:rPr>
          <w:rFonts w:hint="eastAsia" w:ascii="宋体" w:hAnsi="宋体" w:eastAsia="宋体" w:cs="宋体"/>
          <w:b/>
          <w:color w:val="auto"/>
          <w:sz w:val="30"/>
          <w:szCs w:val="30"/>
          <w:highlight w:val="none"/>
        </w:rPr>
      </w:pPr>
      <w:r>
        <w:rPr>
          <w:rFonts w:hint="eastAsia" w:ascii="宋体" w:hAnsi="宋体" w:eastAsia="宋体" w:cs="宋体"/>
          <w:b/>
          <w:bCs/>
          <w:color w:val="auto"/>
          <w:sz w:val="32"/>
          <w:szCs w:val="32"/>
          <w:highlight w:val="none"/>
        </w:rPr>
        <w:t>日        期：二〇二</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月</w:t>
      </w:r>
    </w:p>
    <w:p w14:paraId="1B5219D3">
      <w:pPr>
        <w:spacing w:line="500" w:lineRule="exact"/>
        <w:rPr>
          <w:rFonts w:hint="eastAsia" w:ascii="宋体" w:hAnsi="宋体" w:eastAsia="宋体" w:cs="宋体"/>
          <w:color w:val="auto"/>
          <w:highlight w:val="none"/>
        </w:rPr>
      </w:pPr>
    </w:p>
    <w:p w14:paraId="401D8F52">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3FF35831">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14:paraId="2B0456B8">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第一部分  投标邀请</w:t>
      </w:r>
    </w:p>
    <w:p w14:paraId="3184045D">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第二部分  投标须知</w:t>
      </w:r>
    </w:p>
    <w:p w14:paraId="39D63538">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第三部分  项目需求</w:t>
      </w:r>
    </w:p>
    <w:p w14:paraId="287FA336">
      <w:pPr>
        <w:tabs>
          <w:tab w:val="left" w:pos="7740"/>
        </w:tabs>
        <w:spacing w:line="360" w:lineRule="auto"/>
        <w:ind w:firstLine="640"/>
        <w:rPr>
          <w:rFonts w:hint="eastAsia"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rPr>
        <w:t xml:space="preserve">第四部分  </w:t>
      </w:r>
      <w:r>
        <w:rPr>
          <w:rFonts w:hint="eastAsia" w:ascii="宋体" w:hAnsi="宋体" w:eastAsia="宋体" w:cs="宋体"/>
          <w:bCs/>
          <w:color w:val="auto"/>
          <w:sz w:val="32"/>
          <w:szCs w:val="32"/>
          <w:highlight w:val="none"/>
          <w:lang w:eastAsia="zh-CN"/>
        </w:rPr>
        <w:t>评标方法与评标标准</w:t>
      </w:r>
    </w:p>
    <w:p w14:paraId="0314CB7F">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第五部分  合同格式</w:t>
      </w:r>
    </w:p>
    <w:p w14:paraId="056B7AC6">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第六部分  投标文件组成</w:t>
      </w:r>
    </w:p>
    <w:p w14:paraId="6BF2BBB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44"/>
          <w:szCs w:val="44"/>
          <w:highlight w:val="none"/>
        </w:rPr>
        <w:br w:type="page" w:clear="all"/>
      </w:r>
      <w:r>
        <w:rPr>
          <w:rFonts w:hint="eastAsia" w:ascii="宋体" w:hAnsi="宋体" w:eastAsia="宋体" w:cs="宋体"/>
          <w:bCs/>
          <w:color w:val="auto"/>
          <w:sz w:val="36"/>
          <w:szCs w:val="36"/>
          <w:highlight w:val="none"/>
        </w:rPr>
        <w:t xml:space="preserve">第一部分  </w:t>
      </w:r>
      <w:bookmarkStart w:id="0" w:name="OLE_LINK5"/>
      <w:bookmarkStart w:id="1" w:name="OLE_LINK7"/>
      <w:r>
        <w:rPr>
          <w:rFonts w:hint="eastAsia" w:ascii="宋体" w:hAnsi="宋体" w:eastAsia="宋体" w:cs="宋体"/>
          <w:bCs/>
          <w:color w:val="auto"/>
          <w:sz w:val="36"/>
          <w:szCs w:val="36"/>
          <w:highlight w:val="none"/>
        </w:rPr>
        <w:t>投标邀请</w:t>
      </w:r>
      <w:bookmarkStart w:id="2" w:name="OLE_LINK6"/>
    </w:p>
    <w:p w14:paraId="5EB42B5A">
      <w:pPr>
        <w:keepNext w:val="0"/>
        <w:keepLines w:val="0"/>
        <w:pageBreakBefore w:val="0"/>
        <w:widowControl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bookmarkStart w:id="3" w:name="OLE_LINK1"/>
      <w:r>
        <w:rPr>
          <w:rFonts w:hint="eastAsia" w:ascii="宋体" w:hAnsi="宋体" w:eastAsia="宋体" w:cs="宋体"/>
          <w:color w:val="auto"/>
          <w:sz w:val="24"/>
          <w:szCs w:val="24"/>
          <w:highlight w:val="none"/>
        </w:rPr>
        <w:t>项目概况</w:t>
      </w:r>
    </w:p>
    <w:p w14:paraId="14D64B6F">
      <w:pPr>
        <w:keepNext w:val="0"/>
        <w:keepLines w:val="0"/>
        <w:pageBreakBefore w:val="0"/>
        <w:widowControl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南通市客运行业年度发展报告（2025年）项目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lang w:eastAsia="zh-CN"/>
        </w:rPr>
        <w:t>可在南通市交通运输局网下载招标文件</w:t>
      </w:r>
      <w:r>
        <w:rPr>
          <w:rFonts w:hint="eastAsia" w:ascii="宋体" w:hAnsi="宋体" w:eastAsia="宋体" w:cs="宋体"/>
          <w:color w:val="auto"/>
          <w:sz w:val="24"/>
          <w:szCs w:val="24"/>
          <w:highlight w:val="none"/>
        </w:rPr>
        <w:t>，并于202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分（北京时间）前递交投标文件。</w:t>
      </w:r>
    </w:p>
    <w:p w14:paraId="5A46E7E5">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2859F670">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项目名称：</w:t>
      </w:r>
      <w:r>
        <w:rPr>
          <w:rFonts w:hint="eastAsia" w:ascii="宋体" w:hAnsi="宋体" w:cs="宋体"/>
          <w:color w:val="auto"/>
          <w:sz w:val="24"/>
          <w:szCs w:val="24"/>
          <w:highlight w:val="none"/>
          <w:lang w:eastAsia="zh-CN"/>
        </w:rPr>
        <w:t>南通市客运行业年度发展报告（2025年）项目</w:t>
      </w:r>
      <w:r>
        <w:rPr>
          <w:rFonts w:hint="eastAsia" w:ascii="宋体" w:hAnsi="宋体" w:eastAsia="宋体" w:cs="宋体"/>
          <w:color w:val="auto"/>
          <w:sz w:val="24"/>
          <w:szCs w:val="24"/>
          <w:highlight w:val="none"/>
          <w:lang w:eastAsia="zh-CN"/>
        </w:rPr>
        <w:t>；</w:t>
      </w:r>
    </w:p>
    <w:p w14:paraId="37CE9E4E">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万元；</w:t>
      </w:r>
    </w:p>
    <w:p w14:paraId="1DD07061">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3.最高限价：人民币贰拾万元整（¥200000）；</w:t>
      </w:r>
    </w:p>
    <w:p w14:paraId="6F3A4FDC">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4.采购需求：</w:t>
      </w:r>
      <w:r>
        <w:rPr>
          <w:rFonts w:hint="default" w:ascii="宋体" w:hAnsi="宋体" w:eastAsia="宋体" w:cs="宋体"/>
          <w:color w:val="auto"/>
          <w:sz w:val="24"/>
          <w:szCs w:val="24"/>
          <w:highlight w:val="none"/>
          <w:lang w:val="en-US" w:eastAsia="zh-CN"/>
        </w:rPr>
        <w:t>从综合交通运输体系的角度考虑，编制包括道路客运、城市客运、铁路客运、航空客运、水路客运等方式的客运行业年度发展报告</w:t>
      </w:r>
      <w:r>
        <w:rPr>
          <w:rFonts w:hint="eastAsia" w:ascii="宋体" w:hAnsi="宋体" w:eastAsia="宋体" w:cs="宋体"/>
          <w:color w:val="auto"/>
          <w:sz w:val="24"/>
          <w:szCs w:val="24"/>
          <w:highlight w:val="none"/>
          <w:lang w:val="en-US" w:eastAsia="zh-CN"/>
        </w:rPr>
        <w:t>。详见招标文件第三部分，请仔细研究。</w:t>
      </w:r>
    </w:p>
    <w:p w14:paraId="21DF6E86">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5.合同履行期限：2026年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日前完成项目全部工作，并通过专家评审。</w:t>
      </w:r>
    </w:p>
    <w:p w14:paraId="392E42F3">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二、申请人的资格要求：</w:t>
      </w:r>
    </w:p>
    <w:p w14:paraId="36D816B1">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通用资格要求</w:t>
      </w:r>
    </w:p>
    <w:p w14:paraId="7DDD0CEF">
      <w:pPr>
        <w:adjustRightInd w:val="0"/>
        <w:snapToGrid w:val="0"/>
        <w:spacing w:after="0"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满足《中华人民共和国政府采购法》第二十二条规定</w:t>
      </w:r>
      <w:r>
        <w:rPr>
          <w:rFonts w:hint="eastAsia" w:ascii="宋体" w:hAnsi="宋体" w:cs="宋体"/>
          <w:color w:val="auto"/>
          <w:sz w:val="24"/>
          <w:szCs w:val="24"/>
          <w:highlight w:val="none"/>
          <w:lang w:eastAsia="zh-CN"/>
        </w:rPr>
        <w:t>。</w:t>
      </w:r>
    </w:p>
    <w:p w14:paraId="4DBDB60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文件中无需提供证明材料）</w:t>
      </w:r>
    </w:p>
    <w:p w14:paraId="14E0A9B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en-US"/>
        </w:rPr>
        <w:t>.落实政府采购政策需满足的资格要求：</w:t>
      </w:r>
      <w:r>
        <w:rPr>
          <w:rFonts w:hint="eastAsia" w:ascii="宋体" w:hAnsi="宋体" w:cs="宋体"/>
          <w:color w:val="auto"/>
          <w:sz w:val="24"/>
          <w:szCs w:val="24"/>
          <w:highlight w:val="none"/>
          <w:lang w:val="en-US" w:eastAsia="zh-CN"/>
        </w:rPr>
        <w:t>无。</w:t>
      </w:r>
    </w:p>
    <w:p w14:paraId="037F32E3">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en-US"/>
        </w:rPr>
        <w:t>本项目</w:t>
      </w:r>
      <w:r>
        <w:rPr>
          <w:rFonts w:hint="eastAsia" w:ascii="宋体" w:hAnsi="宋体" w:eastAsia="宋体" w:cs="宋体"/>
          <w:color w:val="auto"/>
          <w:sz w:val="24"/>
          <w:szCs w:val="24"/>
          <w:highlight w:val="none"/>
          <w:lang w:val="en-US" w:eastAsia="zh-CN"/>
        </w:rPr>
        <w:t>不接受</w:t>
      </w:r>
      <w:r>
        <w:rPr>
          <w:rFonts w:hint="eastAsia" w:ascii="宋体" w:hAnsi="宋体" w:eastAsia="宋体" w:cs="宋体"/>
          <w:color w:val="auto"/>
          <w:sz w:val="24"/>
          <w:szCs w:val="24"/>
          <w:highlight w:val="none"/>
          <w:lang w:val="en-US" w:eastAsia="en-US"/>
        </w:rPr>
        <w:t>联合体投标</w:t>
      </w:r>
      <w:r>
        <w:rPr>
          <w:rFonts w:hint="eastAsia" w:ascii="宋体" w:hAnsi="宋体" w:eastAsia="宋体" w:cs="宋体"/>
          <w:color w:val="auto"/>
          <w:sz w:val="24"/>
          <w:szCs w:val="24"/>
          <w:highlight w:val="none"/>
          <w:lang w:val="en-US" w:eastAsia="zh-CN"/>
        </w:rPr>
        <w:t>。</w:t>
      </w:r>
    </w:p>
    <w:p w14:paraId="032CFE62">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en-US"/>
        </w:rPr>
        <w:t>本项目的特定资格要求：</w:t>
      </w:r>
    </w:p>
    <w:p w14:paraId="5B465D1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en-US"/>
        </w:rPr>
        <w:t>单位负责人为同一人或者存在直接控股、管理关系的不同</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不得参加同一合同项下的政府采购活动。</w:t>
      </w:r>
    </w:p>
    <w:p w14:paraId="6CE0CDB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.本项目不允许分包。</w:t>
      </w:r>
    </w:p>
    <w:p w14:paraId="13A67C36">
      <w:pPr>
        <w:keepNext/>
        <w:keepLines/>
        <w:adjustRightInd w:val="0"/>
        <w:snapToGrid w:val="0"/>
        <w:spacing w:line="360" w:lineRule="auto"/>
        <w:ind w:firstLine="482" w:firstLineChars="200"/>
        <w:outlineLvl w:val="2"/>
        <w:rPr>
          <w:rFonts w:hint="eastAsia" w:ascii="宋体" w:hAnsi="宋体" w:eastAsia="宋体" w:cs="Times New Roman"/>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Times New Roman"/>
          <w:b/>
          <w:bCs/>
          <w:color w:val="auto"/>
          <w:sz w:val="24"/>
          <w:szCs w:val="24"/>
          <w:highlight w:val="none"/>
        </w:rPr>
        <w:t>投标预约</w:t>
      </w:r>
    </w:p>
    <w:p w14:paraId="61D42B8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en-US"/>
        </w:rPr>
        <w:t>预约时间：自本公告上网发布之日起至202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en-US"/>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en-US"/>
        </w:rPr>
        <w:t>日，每日工作时间：上午9:00至11:30整，下午13:30至17:30整（北京时间，双休、节假日除外）。</w:t>
      </w:r>
    </w:p>
    <w:p w14:paraId="3F7E5D4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en-US"/>
        </w:rPr>
        <w:t>预约方式：凡符合资格要求并有意愿参加本项目的</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，请如实填写《申请函》（格式见本项目公告附件）并加盖公章，发彩色扫描件至邮箱（jsrzcnt@126.com）中，并致电</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en-US"/>
        </w:rPr>
        <w:t>代理确认邮件送达，确认预约是否成功。凡预约成功的</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en-US"/>
        </w:rPr>
        <w:t>代理将邮寄一份纸质</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en-US"/>
        </w:rPr>
        <w:t>文件。</w:t>
      </w:r>
    </w:p>
    <w:p w14:paraId="29F4672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en-US"/>
        </w:rPr>
        <w:t>文件资料费300元/套。</w:t>
      </w:r>
    </w:p>
    <w:p w14:paraId="5407A7A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en-US"/>
        </w:rPr>
        <w:t>代理联系人：</w:t>
      </w:r>
      <w:r>
        <w:rPr>
          <w:rFonts w:hint="eastAsia" w:ascii="宋体" w:hAnsi="宋体" w:cs="宋体"/>
          <w:color w:val="auto"/>
          <w:sz w:val="24"/>
          <w:szCs w:val="24"/>
          <w:highlight w:val="none"/>
          <w:lang w:val="en-US" w:eastAsia="zh-CN"/>
        </w:rPr>
        <w:t>陆</w:t>
      </w:r>
      <w:r>
        <w:rPr>
          <w:rFonts w:hint="eastAsia" w:ascii="宋体" w:hAnsi="宋体" w:eastAsia="宋体" w:cs="宋体"/>
          <w:color w:val="auto"/>
          <w:sz w:val="24"/>
          <w:szCs w:val="24"/>
          <w:highlight w:val="none"/>
          <w:lang w:val="en-US" w:eastAsia="en-US"/>
        </w:rPr>
        <w:t>工，联系电话：</w:t>
      </w:r>
      <w:r>
        <w:rPr>
          <w:rFonts w:hint="eastAsia" w:ascii="宋体" w:hAnsi="宋体" w:cs="宋体"/>
          <w:color w:val="auto"/>
          <w:sz w:val="24"/>
          <w:szCs w:val="24"/>
          <w:highlight w:val="none"/>
          <w:lang w:val="en-US" w:eastAsia="zh-CN"/>
        </w:rPr>
        <w:t>18260596237</w:t>
      </w:r>
      <w:r>
        <w:rPr>
          <w:rFonts w:hint="eastAsia" w:ascii="宋体" w:hAnsi="宋体" w:eastAsia="宋体" w:cs="宋体"/>
          <w:color w:val="auto"/>
          <w:sz w:val="24"/>
          <w:szCs w:val="24"/>
          <w:highlight w:val="none"/>
          <w:lang w:val="en-US" w:eastAsia="en-US"/>
        </w:rPr>
        <w:t>。</w:t>
      </w:r>
    </w:p>
    <w:p w14:paraId="02A345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注：未按上述要求进行预约及支付</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en-US"/>
        </w:rPr>
        <w:t>文件</w:t>
      </w:r>
      <w:r>
        <w:rPr>
          <w:rFonts w:hint="eastAsia" w:ascii="宋体" w:hAnsi="宋体" w:eastAsia="宋体" w:cs="宋体"/>
          <w:color w:val="auto"/>
          <w:sz w:val="24"/>
          <w:szCs w:val="24"/>
          <w:highlight w:val="none"/>
          <w:lang w:val="en-US" w:eastAsia="zh-CN"/>
        </w:rPr>
        <w:t>资料</w:t>
      </w:r>
      <w:r>
        <w:rPr>
          <w:rFonts w:hint="eastAsia" w:ascii="宋体" w:hAnsi="宋体" w:eastAsia="宋体" w:cs="宋体"/>
          <w:color w:val="auto"/>
          <w:sz w:val="24"/>
          <w:szCs w:val="24"/>
          <w:highlight w:val="none"/>
          <w:lang w:val="en-US" w:eastAsia="en-US"/>
        </w:rPr>
        <w:t>费用的，视为放弃本项目</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en-US"/>
        </w:rPr>
        <w:t>。</w:t>
      </w:r>
    </w:p>
    <w:p w14:paraId="5337C2CB">
      <w:pPr>
        <w:keepNext w:val="0"/>
        <w:keepLines w:val="0"/>
        <w:pageBreakBefore w:val="0"/>
        <w:widowControl/>
        <w:kinsoku/>
        <w:wordWrap/>
        <w:overflowPunct/>
        <w:topLinePunct w:val="0"/>
        <w:autoSpaceDE/>
        <w:autoSpaceDN/>
        <w:bidi w:val="0"/>
        <w:adjustRightInd w:val="0"/>
        <w:snapToGrid w:val="0"/>
        <w:spacing w:line="360" w:lineRule="auto"/>
        <w:ind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四、提交投标文件截止时间、开标时间和地点</w:t>
      </w:r>
    </w:p>
    <w:p w14:paraId="20593F9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en-US"/>
        </w:rPr>
        <w:t>文件递交截止时间和地点</w:t>
      </w:r>
    </w:p>
    <w:p w14:paraId="1EEBC13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en-US"/>
        </w:rPr>
        <w:t>文件递交截止时间：202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月</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en-US"/>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en-US"/>
        </w:rPr>
        <w:t>点</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en-US"/>
        </w:rPr>
        <w:t>分（北京时间）。</w:t>
      </w:r>
    </w:p>
    <w:p w14:paraId="6434959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en-US"/>
        </w:rPr>
        <w:t>文件递交地点：</w:t>
      </w:r>
      <w:r>
        <w:rPr>
          <w:rFonts w:hint="eastAsia" w:ascii="宋体" w:hAnsi="宋体" w:eastAsia="宋体" w:cs="宋体"/>
          <w:color w:val="auto"/>
          <w:sz w:val="24"/>
          <w:szCs w:val="24"/>
          <w:highlight w:val="none"/>
          <w:lang w:val="en-US" w:eastAsia="zh-CN"/>
        </w:rPr>
        <w:t>南通市交通运输局14楼西会议室</w:t>
      </w:r>
      <w:r>
        <w:rPr>
          <w:rFonts w:hint="eastAsia" w:ascii="宋体" w:hAnsi="宋体" w:eastAsia="宋体" w:cs="宋体"/>
          <w:color w:val="auto"/>
          <w:sz w:val="24"/>
          <w:szCs w:val="24"/>
          <w:highlight w:val="none"/>
          <w:lang w:val="en-US" w:eastAsia="en-US"/>
        </w:rPr>
        <w:t>，如有变化另行通知。</w:t>
      </w:r>
    </w:p>
    <w:p w14:paraId="2C23E078">
      <w:pPr>
        <w:adjustRightInd w:val="0"/>
        <w:snapToGri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逾期送达的或者未送达指定地点的投标文件，采购人不予受理。</w:t>
      </w:r>
    </w:p>
    <w:p w14:paraId="1EC9A0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2.开标时间及地点</w:t>
      </w:r>
    </w:p>
    <w:p w14:paraId="2557FCF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开标时间：202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年</w:t>
      </w:r>
      <w:r>
        <w:rPr>
          <w:rFonts w:hint="eastAsia" w:ascii="宋体" w:hAnsi="宋体" w:cs="宋体"/>
          <w:color w:val="auto"/>
          <w:sz w:val="24"/>
          <w:szCs w:val="24"/>
          <w:highlight w:val="none"/>
          <w:lang w:val="en-US" w:eastAsia="zh-CN"/>
        </w:rPr>
        <w:t>6月8</w:t>
      </w:r>
      <w:r>
        <w:rPr>
          <w:rFonts w:hint="eastAsia" w:ascii="宋体" w:hAnsi="宋体" w:eastAsia="宋体" w:cs="宋体"/>
          <w:color w:val="auto"/>
          <w:sz w:val="24"/>
          <w:szCs w:val="24"/>
          <w:highlight w:val="none"/>
          <w:lang w:val="en-US" w:eastAsia="en-US"/>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en-US"/>
        </w:rPr>
        <w:t>点</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en-US"/>
        </w:rPr>
        <w:t>分（北京时间）。</w:t>
      </w:r>
    </w:p>
    <w:p w14:paraId="69733FE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开标地点：</w:t>
      </w:r>
      <w:r>
        <w:rPr>
          <w:rFonts w:hint="eastAsia" w:ascii="宋体" w:hAnsi="宋体" w:eastAsia="宋体" w:cs="宋体"/>
          <w:color w:val="auto"/>
          <w:sz w:val="24"/>
          <w:szCs w:val="24"/>
          <w:highlight w:val="none"/>
          <w:lang w:val="en-US" w:eastAsia="zh-CN"/>
        </w:rPr>
        <w:t>南通市交通运输局14楼西会议室</w:t>
      </w:r>
      <w:r>
        <w:rPr>
          <w:rFonts w:hint="eastAsia" w:ascii="宋体" w:hAnsi="宋体" w:eastAsia="宋体" w:cs="宋体"/>
          <w:color w:val="auto"/>
          <w:sz w:val="24"/>
          <w:szCs w:val="24"/>
          <w:highlight w:val="none"/>
          <w:lang w:val="en-US" w:eastAsia="en-US"/>
        </w:rPr>
        <w:t>，如有变化另行通知。</w:t>
      </w:r>
    </w:p>
    <w:p w14:paraId="7A2A6E4D">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五、公告期限</w:t>
      </w:r>
    </w:p>
    <w:p w14:paraId="68FA60FB">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自本公告发布之日起5个工作日。</w:t>
      </w:r>
    </w:p>
    <w:p w14:paraId="5FDB79B6">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六、其他补充事宜</w:t>
      </w:r>
    </w:p>
    <w:p w14:paraId="5DBF280E">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投标保证金：免收</w:t>
      </w:r>
    </w:p>
    <w:p w14:paraId="52275C3B">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有关本次招标的事项若存在变动或修改，</w:t>
      </w:r>
      <w:r>
        <w:rPr>
          <w:rFonts w:hint="eastAsia" w:ascii="宋体" w:hAnsi="宋体" w:eastAsia="宋体" w:cs="宋体"/>
          <w:color w:val="auto"/>
          <w:sz w:val="24"/>
          <w:szCs w:val="24"/>
          <w:highlight w:val="none"/>
        </w:rPr>
        <w:t>均以</w:t>
      </w:r>
      <w:r>
        <w:rPr>
          <w:rFonts w:hint="eastAsia" w:ascii="宋体" w:hAnsi="宋体" w:cs="宋体"/>
          <w:color w:val="auto"/>
          <w:sz w:val="24"/>
          <w:szCs w:val="24"/>
          <w:highlight w:val="none"/>
          <w:lang w:eastAsia="zh-CN"/>
        </w:rPr>
        <w:t>南通市交通运输局网</w:t>
      </w:r>
      <w:r>
        <w:rPr>
          <w:rFonts w:hint="eastAsia" w:ascii="宋体" w:hAnsi="宋体" w:eastAsia="宋体" w:cs="宋体"/>
          <w:color w:val="auto"/>
          <w:sz w:val="24"/>
          <w:szCs w:val="24"/>
          <w:highlight w:val="none"/>
        </w:rPr>
        <w:t>发布的更正或补充通知为准，</w:t>
      </w:r>
      <w:r>
        <w:rPr>
          <w:rFonts w:hint="eastAsia" w:ascii="宋体" w:hAnsi="宋体" w:eastAsia="宋体" w:cs="宋体"/>
          <w:bCs/>
          <w:color w:val="auto"/>
          <w:sz w:val="24"/>
          <w:szCs w:val="24"/>
          <w:highlight w:val="none"/>
        </w:rPr>
        <w:t>敬请及时关注。</w:t>
      </w:r>
    </w:p>
    <w:p w14:paraId="3CD605DC">
      <w:pPr>
        <w:keepNext w:val="0"/>
        <w:keepLines w:val="0"/>
        <w:pageBreakBefore w:val="0"/>
        <w:tabs>
          <w:tab w:val="left" w:pos="900"/>
        </w:tabs>
        <w:kinsoku/>
        <w:wordWrap/>
        <w:overflowPunct/>
        <w:topLinePunct w:val="0"/>
        <w:autoSpaceDE/>
        <w:autoSpaceDN/>
        <w:bidi w:val="0"/>
        <w:adjustRightInd w:val="0"/>
        <w:snapToGrid w:val="0"/>
        <w:spacing w:line="360" w:lineRule="auto"/>
        <w:ind w:right="0"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人应依照规定提交各类声明函、承诺函，不再同时提供原件备查或提供有关部门出具的相关证明文件。但中标人应做好提交声明函、承诺函等相应原件的核查准备；核查后发现虚假或违背承诺的，依照相关法律法规规定处理。</w:t>
      </w:r>
    </w:p>
    <w:p w14:paraId="3A9E1082">
      <w:pPr>
        <w:keepNext w:val="0"/>
        <w:keepLines w:val="0"/>
        <w:pageBreakBefore w:val="0"/>
        <w:kinsoku/>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七、对本次招标提出询问，请按以下方式联系。</w:t>
      </w:r>
    </w:p>
    <w:p w14:paraId="483AC245">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1.采购单位信息：</w:t>
      </w:r>
    </w:p>
    <w:p w14:paraId="664E01D2">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名称：南通市交通运输局</w:t>
      </w:r>
    </w:p>
    <w:p w14:paraId="7CC46185">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地址：南通市政务中心北停车楼12楼（崇川区工农南路150-1号）</w:t>
      </w:r>
    </w:p>
    <w:p w14:paraId="2EEFEBBF">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联系人：苏先生</w:t>
      </w:r>
    </w:p>
    <w:p w14:paraId="5E688638">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联系电话：0513-59003772</w:t>
      </w:r>
    </w:p>
    <w:p w14:paraId="7D9E0660">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15F208FF">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采购代理机构：江苏睿致诚工程咨询有限公司</w:t>
      </w:r>
    </w:p>
    <w:p w14:paraId="0D968B5A">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地址：南京市江宁区江南路697号金轮星际中心A1栋7楼</w:t>
      </w:r>
    </w:p>
    <w:p w14:paraId="2D3A1EE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联系人：尹建、陈小龙</w:t>
      </w:r>
    </w:p>
    <w:p w14:paraId="22C2E5F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电话：18906275357（尹建）、18932207883（陈小龙）</w:t>
      </w:r>
    </w:p>
    <w:p w14:paraId="3218C67D">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项目负责人：陈小龙</w:t>
      </w:r>
    </w:p>
    <w:bookmarkEnd w:id="3"/>
    <w:p w14:paraId="0110DD69">
      <w:pPr>
        <w:rPr>
          <w:rFonts w:hint="eastAsia" w:ascii="宋体" w:hAnsi="宋体" w:eastAsia="宋体" w:cs="宋体"/>
          <w:bCs/>
          <w:color w:val="auto"/>
          <w:sz w:val="36"/>
          <w:szCs w:val="36"/>
          <w:highlight w:val="none"/>
          <w:lang w:val="en-US" w:eastAsia="zh-CN"/>
        </w:rPr>
      </w:pPr>
      <w:r>
        <w:rPr>
          <w:rFonts w:hint="eastAsia" w:ascii="宋体" w:hAnsi="宋体" w:eastAsia="宋体" w:cs="宋体"/>
          <w:bCs/>
          <w:color w:val="auto"/>
          <w:sz w:val="36"/>
          <w:szCs w:val="36"/>
          <w:highlight w:val="none"/>
        </w:rPr>
        <w:br w:type="page"/>
      </w:r>
      <w:r>
        <w:rPr>
          <w:rFonts w:hint="eastAsia" w:ascii="宋体" w:hAnsi="宋体" w:cs="宋体"/>
          <w:bCs/>
          <w:color w:val="auto"/>
          <w:sz w:val="36"/>
          <w:szCs w:val="36"/>
          <w:highlight w:val="none"/>
          <w:lang w:val="en-US" w:eastAsia="zh-CN"/>
        </w:rPr>
        <w:t>-</w:t>
      </w:r>
    </w:p>
    <w:p w14:paraId="60B503BF">
      <w:pPr>
        <w:adjustRightInd w:val="0"/>
        <w:snapToGrid w:val="0"/>
        <w:spacing w:line="500" w:lineRule="exact"/>
        <w:rPr>
          <w:rFonts w:ascii="宋体" w:hAnsi="宋体"/>
          <w:color w:val="auto"/>
          <w:kern w:val="0"/>
          <w:sz w:val="28"/>
          <w:szCs w:val="28"/>
          <w:highlight w:val="none"/>
        </w:rPr>
      </w:pPr>
      <w:r>
        <w:rPr>
          <w:rFonts w:hint="eastAsia" w:ascii="宋体" w:hAnsi="宋体"/>
          <w:color w:val="auto"/>
          <w:kern w:val="0"/>
          <w:sz w:val="28"/>
          <w:szCs w:val="28"/>
          <w:highlight w:val="none"/>
        </w:rPr>
        <w:t>附件</w:t>
      </w:r>
    </w:p>
    <w:p w14:paraId="19CE0521">
      <w:pPr>
        <w:spacing w:line="420" w:lineRule="exact"/>
        <w:jc w:val="center"/>
        <w:rPr>
          <w:rFonts w:ascii="宋体" w:hAnsi="宋体"/>
          <w:b/>
          <w:color w:val="auto"/>
          <w:kern w:val="0"/>
          <w:sz w:val="32"/>
          <w:szCs w:val="20"/>
          <w:highlight w:val="none"/>
        </w:rPr>
      </w:pPr>
      <w:r>
        <w:rPr>
          <w:rFonts w:hint="eastAsia" w:ascii="宋体" w:hAnsi="宋体"/>
          <w:b/>
          <w:color w:val="auto"/>
          <w:kern w:val="0"/>
          <w:sz w:val="32"/>
          <w:szCs w:val="20"/>
          <w:highlight w:val="none"/>
        </w:rPr>
        <w:t>申请函</w:t>
      </w:r>
    </w:p>
    <w:p w14:paraId="3672CFEC">
      <w:pPr>
        <w:spacing w:line="420" w:lineRule="exact"/>
        <w:jc w:val="left"/>
        <w:rPr>
          <w:rFonts w:ascii="宋体" w:hAnsi="宋体"/>
          <w:b/>
          <w:color w:val="auto"/>
          <w:kern w:val="0"/>
          <w:sz w:val="32"/>
          <w:szCs w:val="20"/>
          <w:highlight w:val="none"/>
        </w:rPr>
      </w:pPr>
    </w:p>
    <w:p w14:paraId="7CF3A4F5">
      <w:pPr>
        <w:adjustRightInd w:val="0"/>
        <w:snapToGrid w:val="0"/>
        <w:spacing w:line="360" w:lineRule="auto"/>
        <w:jc w:val="left"/>
        <w:rPr>
          <w:rFonts w:ascii="宋体" w:hAnsi="宋体"/>
          <w:b/>
          <w:color w:val="auto"/>
          <w:kern w:val="0"/>
          <w:sz w:val="24"/>
          <w:szCs w:val="24"/>
          <w:highlight w:val="none"/>
          <w:u w:val="single"/>
        </w:rPr>
      </w:pPr>
      <w:r>
        <w:rPr>
          <w:rFonts w:hint="eastAsia" w:ascii="宋体" w:hAnsi="宋体"/>
          <w:b/>
          <w:color w:val="auto"/>
          <w:kern w:val="0"/>
          <w:sz w:val="24"/>
          <w:szCs w:val="24"/>
          <w:highlight w:val="none"/>
        </w:rPr>
        <w:t>致：</w:t>
      </w:r>
      <w:r>
        <w:rPr>
          <w:rFonts w:hint="eastAsia" w:ascii="宋体" w:hAnsi="宋体" w:cs="宋体"/>
          <w:b/>
          <w:color w:val="auto"/>
          <w:spacing w:val="7"/>
          <w:kern w:val="0"/>
          <w:sz w:val="24"/>
          <w:szCs w:val="24"/>
          <w:highlight w:val="none"/>
          <w:u w:val="single"/>
        </w:rPr>
        <w:t>（采购人名称）</w:t>
      </w:r>
    </w:p>
    <w:p w14:paraId="654F7A73">
      <w:pPr>
        <w:widowControl/>
        <w:shd w:val="clear" w:color="auto" w:fill="FFFFFF"/>
        <w:adjustRightInd w:val="0"/>
        <w:snapToGri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我公司已获悉贵单位发出的</w:t>
      </w:r>
      <w:r>
        <w:rPr>
          <w:rFonts w:hint="eastAsia" w:ascii="宋体" w:hAnsi="宋体" w:cs="宋体"/>
          <w:color w:val="auto"/>
          <w:sz w:val="24"/>
          <w:szCs w:val="24"/>
          <w:highlight w:val="none"/>
          <w:u w:val="single"/>
        </w:rPr>
        <w:t xml:space="preserve">          </w:t>
      </w:r>
      <w:r>
        <w:rPr>
          <w:rFonts w:hint="eastAsia" w:ascii="宋体" w:hAnsi="宋体" w:cs="宋体"/>
          <w:color w:val="auto"/>
          <w:spacing w:val="7"/>
          <w:kern w:val="0"/>
          <w:sz w:val="24"/>
          <w:szCs w:val="24"/>
          <w:highlight w:val="none"/>
          <w:lang w:val="en-US" w:eastAsia="zh-CN"/>
        </w:rPr>
        <w:t>招标</w:t>
      </w:r>
      <w:r>
        <w:rPr>
          <w:rFonts w:hint="eastAsia" w:ascii="宋体" w:hAnsi="宋体" w:cs="宋体"/>
          <w:color w:val="auto"/>
          <w:spacing w:val="7"/>
          <w:kern w:val="0"/>
          <w:sz w:val="24"/>
          <w:szCs w:val="24"/>
          <w:highlight w:val="none"/>
        </w:rPr>
        <w:t>公告</w:t>
      </w:r>
      <w:r>
        <w:rPr>
          <w:rFonts w:hint="eastAsia" w:ascii="宋体" w:hAnsi="宋体" w:cs="宋体"/>
          <w:color w:val="auto"/>
          <w:spacing w:val="7"/>
          <w:kern w:val="0"/>
          <w:sz w:val="24"/>
          <w:szCs w:val="24"/>
          <w:highlight w:val="none"/>
          <w:lang w:eastAsia="zh-CN"/>
        </w:rPr>
        <w:t>（</w:t>
      </w:r>
      <w:r>
        <w:rPr>
          <w:rFonts w:hint="eastAsia" w:ascii="宋体" w:hAnsi="宋体" w:cs="宋体"/>
          <w:color w:val="auto"/>
          <w:spacing w:val="7"/>
          <w:kern w:val="0"/>
          <w:sz w:val="24"/>
          <w:szCs w:val="24"/>
          <w:highlight w:val="none"/>
          <w:lang w:val="en-US" w:eastAsia="zh-CN"/>
        </w:rPr>
        <w:t>二次</w:t>
      </w:r>
      <w:r>
        <w:rPr>
          <w:rFonts w:hint="eastAsia" w:ascii="宋体" w:hAnsi="宋体" w:cs="宋体"/>
          <w:color w:val="auto"/>
          <w:spacing w:val="7"/>
          <w:kern w:val="0"/>
          <w:sz w:val="24"/>
          <w:szCs w:val="24"/>
          <w:highlight w:val="none"/>
          <w:lang w:eastAsia="zh-CN"/>
        </w:rPr>
        <w:t>）</w:t>
      </w:r>
      <w:r>
        <w:rPr>
          <w:rFonts w:hint="eastAsia" w:ascii="宋体" w:hAnsi="宋体"/>
          <w:color w:val="auto"/>
          <w:kern w:val="0"/>
          <w:sz w:val="24"/>
          <w:szCs w:val="24"/>
          <w:highlight w:val="none"/>
        </w:rPr>
        <w:t>，经研究，我单位拟参加本项目的投标。</w:t>
      </w:r>
    </w:p>
    <w:p w14:paraId="433161D6">
      <w:pPr>
        <w:adjustRightInd w:val="0"/>
        <w:snapToGri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联系人：</w:t>
      </w:r>
      <w:r>
        <w:rPr>
          <w:rFonts w:ascii="宋体" w:hAnsi="宋体" w:cs="宋体"/>
          <w:color w:val="auto"/>
          <w:spacing w:val="7"/>
          <w:kern w:val="0"/>
          <w:sz w:val="24"/>
          <w:szCs w:val="24"/>
          <w:highlight w:val="none"/>
          <w:u w:val="single"/>
        </w:rPr>
        <w:t xml:space="preserve">   </w:t>
      </w:r>
    </w:p>
    <w:p w14:paraId="153B7251">
      <w:pPr>
        <w:adjustRightInd w:val="0"/>
        <w:snapToGri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联系电话：</w:t>
      </w:r>
      <w:r>
        <w:rPr>
          <w:rFonts w:ascii="宋体" w:hAnsi="宋体" w:cs="宋体"/>
          <w:color w:val="auto"/>
          <w:spacing w:val="7"/>
          <w:kern w:val="0"/>
          <w:sz w:val="24"/>
          <w:szCs w:val="24"/>
          <w:highlight w:val="none"/>
          <w:u w:val="single"/>
        </w:rPr>
        <w:t xml:space="preserve">   </w:t>
      </w:r>
    </w:p>
    <w:p w14:paraId="48CDBE85">
      <w:pPr>
        <w:adjustRightInd w:val="0"/>
        <w:snapToGrid w:val="0"/>
        <w:spacing w:line="360" w:lineRule="auto"/>
        <w:ind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E-MAIL地址：</w:t>
      </w:r>
      <w:r>
        <w:rPr>
          <w:rFonts w:ascii="宋体" w:hAnsi="宋体" w:cs="宋体"/>
          <w:color w:val="auto"/>
          <w:spacing w:val="7"/>
          <w:kern w:val="0"/>
          <w:sz w:val="24"/>
          <w:szCs w:val="24"/>
          <w:highlight w:val="none"/>
          <w:u w:val="single"/>
        </w:rPr>
        <w:t xml:space="preserve">   </w:t>
      </w:r>
    </w:p>
    <w:p w14:paraId="6151D451">
      <w:pPr>
        <w:adjustRightInd w:val="0"/>
        <w:snapToGrid w:val="0"/>
        <w:spacing w:line="360" w:lineRule="auto"/>
        <w:jc w:val="left"/>
        <w:rPr>
          <w:rFonts w:ascii="宋体" w:hAnsi="宋体" w:cs="宋体"/>
          <w:color w:val="auto"/>
          <w:kern w:val="0"/>
          <w:sz w:val="24"/>
          <w:szCs w:val="24"/>
          <w:highlight w:val="none"/>
          <w:lang w:val="zh-CN"/>
        </w:rPr>
      </w:pPr>
    </w:p>
    <w:p w14:paraId="0E5FC463">
      <w:pPr>
        <w:adjustRightInd w:val="0"/>
        <w:snapToGrid w:val="0"/>
        <w:spacing w:line="360" w:lineRule="auto"/>
        <w:ind w:firstLine="6480" w:firstLineChars="2700"/>
        <w:jc w:val="left"/>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单位：</w:t>
      </w:r>
      <w:r>
        <w:rPr>
          <w:rFonts w:hint="eastAsia" w:ascii="宋体" w:hAnsi="宋体" w:cs="宋体"/>
          <w:color w:val="auto"/>
          <w:kern w:val="0"/>
          <w:sz w:val="24"/>
          <w:szCs w:val="24"/>
          <w:highlight w:val="none"/>
          <w:u w:val="single"/>
          <w:lang w:val="zh-CN"/>
        </w:rPr>
        <w:t xml:space="preserve"> （盖章）                 </w:t>
      </w:r>
    </w:p>
    <w:p w14:paraId="0D245F01">
      <w:pPr>
        <w:adjustRightInd w:val="0"/>
        <w:snapToGrid w:val="0"/>
        <w:spacing w:line="360" w:lineRule="auto"/>
        <w:jc w:val="right"/>
        <w:rPr>
          <w:rFonts w:ascii="宋体" w:hAnsi="宋体"/>
          <w:color w:val="auto"/>
          <w:kern w:val="0"/>
          <w:sz w:val="24"/>
          <w:szCs w:val="24"/>
          <w:highlight w:val="none"/>
        </w:rPr>
      </w:pPr>
      <w:r>
        <w:rPr>
          <w:rFonts w:ascii="宋体" w:hAnsi="宋体" w:cs="宋体"/>
          <w:color w:val="auto"/>
          <w:spacing w:val="7"/>
          <w:kern w:val="0"/>
          <w:sz w:val="24"/>
          <w:szCs w:val="24"/>
          <w:highlight w:val="none"/>
          <w:u w:val="single"/>
        </w:rPr>
        <w:t xml:space="preserve">   </w:t>
      </w:r>
      <w:r>
        <w:rPr>
          <w:rFonts w:hint="eastAsia" w:ascii="宋体" w:hAnsi="宋体" w:cs="宋体"/>
          <w:color w:val="auto"/>
          <w:kern w:val="0"/>
          <w:sz w:val="24"/>
          <w:szCs w:val="24"/>
          <w:highlight w:val="none"/>
          <w:lang w:val="zh-CN"/>
        </w:rPr>
        <w:t>年</w:t>
      </w:r>
      <w:r>
        <w:rPr>
          <w:rFonts w:ascii="宋体" w:hAnsi="宋体" w:cs="宋体"/>
          <w:color w:val="auto"/>
          <w:spacing w:val="7"/>
          <w:kern w:val="0"/>
          <w:sz w:val="24"/>
          <w:szCs w:val="24"/>
          <w:highlight w:val="none"/>
          <w:u w:val="single"/>
        </w:rPr>
        <w:t xml:space="preserve">   </w:t>
      </w:r>
      <w:r>
        <w:rPr>
          <w:rFonts w:hint="eastAsia" w:ascii="宋体" w:hAnsi="宋体" w:cs="宋体"/>
          <w:color w:val="auto"/>
          <w:kern w:val="0"/>
          <w:sz w:val="24"/>
          <w:szCs w:val="24"/>
          <w:highlight w:val="none"/>
          <w:lang w:val="zh-CN"/>
        </w:rPr>
        <w:t>月</w:t>
      </w:r>
      <w:r>
        <w:rPr>
          <w:rFonts w:ascii="宋体" w:hAnsi="宋体" w:cs="宋体"/>
          <w:color w:val="auto"/>
          <w:spacing w:val="7"/>
          <w:kern w:val="0"/>
          <w:sz w:val="24"/>
          <w:szCs w:val="24"/>
          <w:highlight w:val="none"/>
          <w:u w:val="single"/>
        </w:rPr>
        <w:t xml:space="preserve">   </w:t>
      </w:r>
      <w:r>
        <w:rPr>
          <w:rFonts w:hint="eastAsia" w:ascii="宋体" w:hAnsi="宋体" w:cs="宋体"/>
          <w:color w:val="auto"/>
          <w:kern w:val="0"/>
          <w:sz w:val="24"/>
          <w:szCs w:val="24"/>
          <w:highlight w:val="none"/>
          <w:lang w:val="zh-CN"/>
        </w:rPr>
        <w:t>日</w:t>
      </w:r>
    </w:p>
    <w:p w14:paraId="1EF01344">
      <w:pPr>
        <w:spacing w:line="500" w:lineRule="exact"/>
        <w:jc w:val="center"/>
        <w:outlineLvl w:val="0"/>
        <w:rPr>
          <w:rFonts w:hint="eastAsia" w:ascii="宋体" w:hAnsi="宋体" w:eastAsia="宋体" w:cs="宋体"/>
          <w:bCs/>
          <w:color w:val="auto"/>
          <w:sz w:val="36"/>
          <w:szCs w:val="36"/>
          <w:highlight w:val="none"/>
        </w:rPr>
      </w:pPr>
      <w:r>
        <w:rPr>
          <w:rFonts w:ascii="宋体" w:hAnsi="宋体" w:cs="宋体"/>
          <w:b/>
          <w:color w:val="auto"/>
          <w:sz w:val="36"/>
          <w:szCs w:val="36"/>
          <w:highlight w:val="none"/>
        </w:rPr>
        <w:br w:type="page"/>
      </w:r>
      <w:r>
        <w:rPr>
          <w:rFonts w:hint="eastAsia" w:ascii="宋体" w:hAnsi="宋体" w:eastAsia="宋体" w:cs="宋体"/>
          <w:bCs/>
          <w:color w:val="auto"/>
          <w:sz w:val="36"/>
          <w:szCs w:val="36"/>
          <w:highlight w:val="none"/>
        </w:rPr>
        <w:t>第二部分  投标须知</w:t>
      </w:r>
    </w:p>
    <w:p w14:paraId="38724B35">
      <w:pPr>
        <w:pStyle w:val="4"/>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4" w:name="_Toc513029203"/>
      <w:bookmarkStart w:id="5" w:name="_Toc16938519"/>
      <w:bookmarkStart w:id="6" w:name="_Toc20823275"/>
      <w:bookmarkStart w:id="7" w:name="_Toc120614214"/>
      <w:r>
        <w:rPr>
          <w:rFonts w:hint="eastAsia" w:ascii="宋体" w:hAnsi="宋体" w:eastAsia="宋体" w:cs="宋体"/>
          <w:color w:val="auto"/>
          <w:sz w:val="24"/>
          <w:szCs w:val="24"/>
          <w:highlight w:val="none"/>
        </w:rPr>
        <w:t>（一）总则</w:t>
      </w:r>
      <w:bookmarkEnd w:id="4"/>
      <w:bookmarkEnd w:id="5"/>
      <w:bookmarkEnd w:id="6"/>
      <w:bookmarkEnd w:id="7"/>
    </w:p>
    <w:p w14:paraId="3B6C63A1">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8" w:name="_Hlt16619475"/>
      <w:bookmarkEnd w:id="8"/>
      <w:bookmarkStart w:id="9" w:name="_Toc458694821"/>
      <w:bookmarkStart w:id="10" w:name="_Toc16938520"/>
      <w:bookmarkStart w:id="11" w:name="_Toc513029204"/>
      <w:bookmarkStart w:id="12" w:name="_Toc20823276"/>
      <w:r>
        <w:rPr>
          <w:rFonts w:hint="eastAsia" w:ascii="宋体" w:hAnsi="宋体" w:eastAsia="宋体" w:cs="宋体"/>
          <w:color w:val="auto"/>
          <w:sz w:val="24"/>
          <w:szCs w:val="24"/>
          <w:highlight w:val="none"/>
        </w:rPr>
        <w:t>1</w:t>
      </w:r>
      <w:bookmarkEnd w:id="9"/>
      <w:r>
        <w:rPr>
          <w:rFonts w:hint="eastAsia" w:ascii="宋体" w:hAnsi="宋体" w:eastAsia="宋体" w:cs="宋体"/>
          <w:color w:val="auto"/>
          <w:sz w:val="24"/>
          <w:szCs w:val="24"/>
          <w:highlight w:val="none"/>
        </w:rPr>
        <w:t>.招标方式</w:t>
      </w:r>
      <w:bookmarkEnd w:id="10"/>
      <w:bookmarkEnd w:id="11"/>
      <w:bookmarkEnd w:id="12"/>
    </w:p>
    <w:p w14:paraId="6517ADCA">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1.1本次招标采取公开招标方式，本招标文件仅适用于招标公告中所述项目。</w:t>
      </w:r>
    </w:p>
    <w:p w14:paraId="433FB0AC">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lang w:eastAsia="zh-CN"/>
        </w:rPr>
      </w:pPr>
      <w:bookmarkStart w:id="13" w:name="_Toc513029205"/>
      <w:bookmarkStart w:id="14" w:name="_Toc20823277"/>
      <w:bookmarkStart w:id="15" w:name="_Toc16938521"/>
      <w:r>
        <w:rPr>
          <w:rFonts w:hint="eastAsia" w:ascii="宋体" w:hAnsi="宋体" w:eastAsia="宋体" w:cs="宋体"/>
          <w:color w:val="auto"/>
          <w:sz w:val="24"/>
          <w:szCs w:val="24"/>
          <w:highlight w:val="none"/>
        </w:rPr>
        <w:t>2.合格的</w:t>
      </w:r>
      <w:bookmarkEnd w:id="13"/>
      <w:bookmarkEnd w:id="14"/>
      <w:bookmarkEnd w:id="15"/>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p>
    <w:p w14:paraId="767D70F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2.1满足招标公告中</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的资格要求的规定。</w:t>
      </w:r>
    </w:p>
    <w:p w14:paraId="438295E5">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2.2满足本文件实质性条款的规定。</w:t>
      </w:r>
    </w:p>
    <w:p w14:paraId="70CED6B1">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16" w:name="_Toc16938522"/>
      <w:bookmarkStart w:id="17" w:name="_Toc20823278"/>
      <w:bookmarkStart w:id="18" w:name="_Toc513029206"/>
      <w:r>
        <w:rPr>
          <w:rFonts w:hint="eastAsia" w:ascii="宋体" w:hAnsi="宋体" w:eastAsia="宋体" w:cs="宋体"/>
          <w:color w:val="auto"/>
          <w:sz w:val="24"/>
          <w:szCs w:val="24"/>
          <w:highlight w:val="none"/>
        </w:rPr>
        <w:t>3.适用法律</w:t>
      </w:r>
      <w:bookmarkEnd w:id="16"/>
      <w:bookmarkEnd w:id="17"/>
      <w:bookmarkEnd w:id="18"/>
    </w:p>
    <w:p w14:paraId="1D610EF6">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3.1本次招标及由此产生的合同受中华人民共和国有关的法律法规制约和保护。</w:t>
      </w:r>
    </w:p>
    <w:p w14:paraId="0291A1A2">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19" w:name="_Toc513029207"/>
      <w:bookmarkStart w:id="20" w:name="_Toc20823279"/>
      <w:bookmarkStart w:id="21" w:name="_Toc16938523"/>
      <w:bookmarkStart w:id="22" w:name="_Toc462564067"/>
      <w:r>
        <w:rPr>
          <w:rFonts w:hint="eastAsia" w:ascii="宋体" w:hAnsi="宋体" w:eastAsia="宋体" w:cs="宋体"/>
          <w:color w:val="auto"/>
          <w:sz w:val="24"/>
          <w:szCs w:val="24"/>
          <w:highlight w:val="none"/>
        </w:rPr>
        <w:t>4.投标费用</w:t>
      </w:r>
      <w:bookmarkEnd w:id="19"/>
      <w:bookmarkEnd w:id="20"/>
      <w:bookmarkEnd w:id="21"/>
      <w:bookmarkEnd w:id="22"/>
    </w:p>
    <w:p w14:paraId="40EA8250">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应自行承担所有与参加投标有关的费用，无论招标过程中的做法和结果如何，采购人在任何情况下均无义务和责任承担这些费用。</w:t>
      </w:r>
    </w:p>
    <w:p w14:paraId="118F32ED">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4.2</w:t>
      </w:r>
      <w:r>
        <w:rPr>
          <w:rFonts w:hint="eastAsia" w:ascii="宋体" w:hAnsi="宋体" w:cs="宋体"/>
          <w:color w:val="auto"/>
          <w:sz w:val="24"/>
          <w:highlight w:val="none"/>
        </w:rPr>
        <w:t>本项目采购代理费由中标人支付。</w:t>
      </w: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val="en-US" w:eastAsia="zh-CN"/>
        </w:rPr>
        <w:t>采购代理费按</w:t>
      </w:r>
      <w:r>
        <w:rPr>
          <w:rFonts w:hint="eastAsia" w:ascii="宋体" w:hAnsi="宋体" w:cs="宋体"/>
          <w:color w:val="auto"/>
          <w:sz w:val="24"/>
          <w:szCs w:val="24"/>
          <w:highlight w:val="none"/>
        </w:rPr>
        <w:t>《江苏省招标代理服务收费的指导意见》（苏招协[2022]002）</w:t>
      </w:r>
      <w:r>
        <w:rPr>
          <w:rFonts w:hint="eastAsia" w:ascii="宋体" w:hAnsi="宋体" w:cs="宋体"/>
          <w:color w:val="auto"/>
          <w:sz w:val="24"/>
          <w:szCs w:val="24"/>
          <w:highlight w:val="none"/>
          <w:lang w:val="en-US" w:eastAsia="zh-CN"/>
        </w:rPr>
        <w:t>收费标准</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lang w:val="en-US" w:eastAsia="zh-CN"/>
        </w:rPr>
        <w:t>60%计取</w:t>
      </w:r>
      <w:r>
        <w:rPr>
          <w:rFonts w:hint="eastAsia" w:ascii="宋体" w:hAnsi="宋体" w:cs="宋体"/>
          <w:color w:val="auto"/>
          <w:sz w:val="24"/>
          <w:highlight w:val="none"/>
        </w:rPr>
        <w:t>；此部分费用包含在投标报价中，不单独计量支付，中标人应在领取中标通知书的同时一次性向采购代理单位支付（按照采购人与代理单位签订的代理合同执行）。</w:t>
      </w:r>
    </w:p>
    <w:p w14:paraId="2FD23796">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5.招标文件的约束力</w:t>
      </w:r>
    </w:p>
    <w:p w14:paraId="643790BA">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5.1</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一旦参加本项目采购活动，即被认为接受了本招标文件的规定和约束。</w:t>
      </w:r>
    </w:p>
    <w:p w14:paraId="2BF67226">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6.招标文件的解释</w:t>
      </w:r>
    </w:p>
    <w:p w14:paraId="4B497E8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6.1</w:t>
      </w:r>
      <w:r>
        <w:rPr>
          <w:rFonts w:hint="eastAsia" w:ascii="宋体" w:hAnsi="宋体" w:eastAsia="宋体" w:cs="宋体"/>
          <w:color w:val="auto"/>
          <w:sz w:val="24"/>
          <w:szCs w:val="24"/>
          <w:highlight w:val="none"/>
        </w:rPr>
        <w:t>招标文件需求部分（</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资格要求、项目需求、商务技术评分标准）由采购人解释，</w:t>
      </w:r>
      <w:r>
        <w:rPr>
          <w:rFonts w:hint="eastAsia" w:ascii="宋体" w:hAnsi="宋体" w:eastAsia="宋体" w:cs="宋体"/>
          <w:color w:val="auto"/>
          <w:sz w:val="24"/>
          <w:szCs w:val="24"/>
          <w:highlight w:val="none"/>
          <w:lang w:eastAsia="zh-CN"/>
        </w:rPr>
        <w:t>其他部分</w:t>
      </w:r>
      <w:r>
        <w:rPr>
          <w:rFonts w:hint="eastAsia" w:ascii="宋体" w:hAnsi="宋体" w:eastAsia="宋体" w:cs="宋体"/>
          <w:color w:val="auto"/>
          <w:sz w:val="24"/>
          <w:szCs w:val="24"/>
          <w:highlight w:val="none"/>
        </w:rPr>
        <w:t>由采购代理机构解释。</w:t>
      </w:r>
    </w:p>
    <w:p w14:paraId="3103DB99">
      <w:pPr>
        <w:pStyle w:val="4"/>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bookmarkStart w:id="23" w:name="_Toc120614215"/>
      <w:bookmarkStart w:id="24" w:name="_Toc513029209"/>
      <w:bookmarkStart w:id="25" w:name="_Toc20823281"/>
      <w:bookmarkStart w:id="26" w:name="_Toc16938525"/>
      <w:r>
        <w:rPr>
          <w:rFonts w:hint="eastAsia" w:ascii="宋体" w:hAnsi="宋体" w:eastAsia="宋体" w:cs="宋体"/>
          <w:color w:val="auto"/>
          <w:sz w:val="24"/>
          <w:szCs w:val="24"/>
          <w:highlight w:val="none"/>
        </w:rPr>
        <w:t>（二）招标文件</w:t>
      </w:r>
      <w:bookmarkEnd w:id="23"/>
      <w:bookmarkEnd w:id="24"/>
      <w:bookmarkEnd w:id="25"/>
      <w:bookmarkEnd w:id="26"/>
    </w:p>
    <w:p w14:paraId="37FBC7F7">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27" w:name="_Toc20823282"/>
      <w:bookmarkStart w:id="28" w:name="_Toc513029210"/>
      <w:bookmarkStart w:id="29" w:name="_Toc16938526"/>
      <w:r>
        <w:rPr>
          <w:rFonts w:hint="eastAsia" w:ascii="宋体" w:hAnsi="宋体" w:eastAsia="宋体" w:cs="宋体"/>
          <w:color w:val="auto"/>
          <w:sz w:val="24"/>
          <w:szCs w:val="24"/>
          <w:highlight w:val="none"/>
        </w:rPr>
        <w:t>1.招标文件构成</w:t>
      </w:r>
      <w:bookmarkEnd w:id="27"/>
      <w:bookmarkEnd w:id="28"/>
      <w:bookmarkEnd w:id="29"/>
    </w:p>
    <w:p w14:paraId="0905644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color w:val="auto"/>
          <w:sz w:val="24"/>
          <w:szCs w:val="24"/>
          <w:highlight w:val="none"/>
        </w:rPr>
        <w:t>招标文件由以下部分组成：</w:t>
      </w:r>
    </w:p>
    <w:p w14:paraId="50FB2079">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w:t>
      </w:r>
    </w:p>
    <w:p w14:paraId="4EFD5E57">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（2）投标须知</w:t>
      </w:r>
    </w:p>
    <w:p w14:paraId="6C71E57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（3）项目需求</w:t>
      </w:r>
    </w:p>
    <w:p w14:paraId="0031D69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评标方法与评标标准</w:t>
      </w:r>
    </w:p>
    <w:p w14:paraId="6F417395">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（5）合同格式</w:t>
      </w:r>
    </w:p>
    <w:p w14:paraId="5B440367">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）投标文件组成</w:t>
      </w:r>
    </w:p>
    <w:p w14:paraId="3878B5B0">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）附件（如有）</w:t>
      </w:r>
    </w:p>
    <w:p w14:paraId="4FB91029">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请仔细检查招标文件是否齐全，如有缺漏请立即与采购人或采购代理机构联系解决。</w:t>
      </w:r>
    </w:p>
    <w:p w14:paraId="4266202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应认真阅读招标文件中所有的事项、格式、条款和规范等要求。按招标文件要求和规定编制投标文件，并保证所提供的全部资料的真实性，以使其投标文件对招标文件作出实质性响应，否则其风险由</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自行承担。</w:t>
      </w:r>
    </w:p>
    <w:p w14:paraId="0EF9DD17">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30" w:name="_Toc20823283"/>
      <w:bookmarkStart w:id="31" w:name="_Toc513029211"/>
      <w:bookmarkStart w:id="32" w:name="_Toc462564070"/>
      <w:bookmarkStart w:id="33" w:name="_Toc16938527"/>
      <w:r>
        <w:rPr>
          <w:rFonts w:hint="eastAsia" w:ascii="宋体" w:hAnsi="宋体" w:eastAsia="宋体" w:cs="宋体"/>
          <w:color w:val="auto"/>
          <w:sz w:val="24"/>
          <w:szCs w:val="24"/>
          <w:highlight w:val="none"/>
        </w:rPr>
        <w:t>2.招标文件的澄清</w:t>
      </w:r>
      <w:bookmarkEnd w:id="30"/>
      <w:bookmarkEnd w:id="31"/>
      <w:bookmarkEnd w:id="32"/>
      <w:bookmarkEnd w:id="33"/>
    </w:p>
    <w:p w14:paraId="7B545067">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2.1</w:t>
      </w:r>
      <w:r>
        <w:rPr>
          <w:rFonts w:hint="eastAsia" w:ascii="宋体" w:hAnsi="宋体" w:eastAsia="宋体" w:cs="宋体"/>
          <w:color w:val="auto"/>
          <w:sz w:val="24"/>
          <w:szCs w:val="24"/>
          <w:highlight w:val="none"/>
        </w:rPr>
        <w:t>任何要求对招标文件进行澄清的</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，应在投标截止期十日前按招标公告中的通讯地址，以书面形式通知采购人。采购人有权对发出的招标文件进行必要的澄清或修改</w:t>
      </w:r>
      <w:r>
        <w:rPr>
          <w:rFonts w:hint="eastAsia" w:ascii="宋体" w:hAnsi="宋体" w:eastAsia="宋体" w:cs="宋体"/>
          <w:color w:val="auto"/>
          <w:sz w:val="24"/>
          <w:szCs w:val="24"/>
          <w:highlight w:val="none"/>
          <w:lang w:eastAsia="zh-CN"/>
        </w:rPr>
        <w:t>。</w:t>
      </w:r>
    </w:p>
    <w:p w14:paraId="6EEE1D8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2.2采购人视情组织答疑会</w:t>
      </w:r>
    </w:p>
    <w:p w14:paraId="1C67C88A">
      <w:pPr>
        <w:pStyle w:val="5"/>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bCs/>
          <w:color w:val="auto"/>
          <w:sz w:val="24"/>
          <w:szCs w:val="24"/>
          <w:highlight w:val="none"/>
        </w:rPr>
      </w:pPr>
      <w:bookmarkStart w:id="34" w:name="_Toc462564071"/>
      <w:bookmarkStart w:id="35" w:name="_Toc513029212"/>
      <w:bookmarkStart w:id="36" w:name="_Toc16938528"/>
      <w:bookmarkStart w:id="37" w:name="_Toc20823284"/>
      <w:r>
        <w:rPr>
          <w:rFonts w:hint="eastAsia" w:ascii="宋体" w:hAnsi="宋体" w:eastAsia="宋体" w:cs="宋体"/>
          <w:color w:val="auto"/>
          <w:sz w:val="24"/>
          <w:szCs w:val="24"/>
          <w:highlight w:val="none"/>
        </w:rPr>
        <w:t>3.招标文件的修改</w:t>
      </w:r>
      <w:bookmarkEnd w:id="34"/>
      <w:bookmarkEnd w:id="35"/>
      <w:bookmarkEnd w:id="36"/>
      <w:bookmarkEnd w:id="37"/>
    </w:p>
    <w:p w14:paraId="0BBE9D11">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3.1</w:t>
      </w:r>
      <w:r>
        <w:rPr>
          <w:rFonts w:hint="eastAsia" w:ascii="宋体" w:hAnsi="宋体" w:eastAsia="宋体" w:cs="宋体"/>
          <w:color w:val="auto"/>
          <w:sz w:val="24"/>
          <w:szCs w:val="24"/>
          <w:highlight w:val="none"/>
        </w:rPr>
        <w:t>在投标截止时间前，采购人或采购代理机构可以对招标文件进行修改。</w:t>
      </w:r>
    </w:p>
    <w:p w14:paraId="3DA58101">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3.2</w:t>
      </w:r>
      <w:r>
        <w:rPr>
          <w:rFonts w:hint="eastAsia" w:ascii="宋体" w:hAnsi="宋体" w:eastAsia="宋体" w:cs="宋体"/>
          <w:color w:val="auto"/>
          <w:sz w:val="24"/>
          <w:szCs w:val="24"/>
          <w:highlight w:val="none"/>
        </w:rPr>
        <w:t>采购人或采购代理机构有权按照法定的要求推迟投标截止日期和开标日期。</w:t>
      </w:r>
    </w:p>
    <w:p w14:paraId="610304C2">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3.3</w:t>
      </w:r>
      <w:r>
        <w:rPr>
          <w:rFonts w:hint="eastAsia" w:ascii="宋体" w:hAnsi="宋体" w:eastAsia="宋体" w:cs="宋体"/>
          <w:color w:val="auto"/>
          <w:sz w:val="24"/>
          <w:szCs w:val="24"/>
          <w:highlight w:val="none"/>
        </w:rPr>
        <w:t>招标文件的修改将在</w:t>
      </w:r>
      <w:r>
        <w:rPr>
          <w:rFonts w:hint="eastAsia" w:ascii="宋体" w:hAnsi="宋体" w:cs="宋体"/>
          <w:color w:val="auto"/>
          <w:sz w:val="24"/>
          <w:szCs w:val="24"/>
          <w:highlight w:val="none"/>
          <w:lang w:eastAsia="zh-CN"/>
        </w:rPr>
        <w:t>南通市交通运输局网</w:t>
      </w:r>
      <w:r>
        <w:rPr>
          <w:rFonts w:hint="eastAsia" w:ascii="宋体" w:hAnsi="宋体" w:eastAsia="宋体" w:cs="宋体"/>
          <w:color w:val="auto"/>
          <w:sz w:val="24"/>
          <w:szCs w:val="24"/>
          <w:highlight w:val="none"/>
        </w:rPr>
        <w:t>公布，补充文件将作为招标文件的组成部分，并对</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具有约束力。</w:t>
      </w:r>
    </w:p>
    <w:p w14:paraId="57F1A0D0">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olor w:val="auto"/>
          <w:sz w:val="24"/>
          <w:highlight w:val="none"/>
          <w:lang w:val="en-US" w:eastAsia="zh-CN"/>
        </w:rPr>
        <w:t>3.4</w:t>
      </w:r>
      <w:r>
        <w:rPr>
          <w:rFonts w:hint="eastAsia" w:ascii="宋体" w:hAnsi="宋体"/>
          <w:color w:val="auto"/>
          <w:sz w:val="24"/>
          <w:highlight w:val="none"/>
        </w:rPr>
        <w:t>修改</w:t>
      </w:r>
      <w:r>
        <w:rPr>
          <w:rFonts w:ascii="宋体" w:hAnsi="宋体"/>
          <w:color w:val="auto"/>
          <w:sz w:val="24"/>
          <w:highlight w:val="none"/>
        </w:rPr>
        <w:t>的内容可能影响</w:t>
      </w:r>
      <w:r>
        <w:rPr>
          <w:rFonts w:hint="eastAsia" w:ascii="宋体" w:hAnsi="宋体"/>
          <w:color w:val="auto"/>
          <w:sz w:val="24"/>
          <w:highlight w:val="none"/>
        </w:rPr>
        <w:t>投标</w:t>
      </w:r>
      <w:r>
        <w:rPr>
          <w:rFonts w:ascii="宋体" w:hAnsi="宋体"/>
          <w:color w:val="auto"/>
          <w:sz w:val="24"/>
          <w:highlight w:val="none"/>
        </w:rPr>
        <w:t>文件编制的，</w:t>
      </w:r>
      <w:r>
        <w:rPr>
          <w:rFonts w:hint="eastAsia" w:ascii="宋体" w:hAnsi="宋体"/>
          <w:color w:val="auto"/>
          <w:sz w:val="24"/>
          <w:highlight w:val="none"/>
        </w:rPr>
        <w:t>采购人</w:t>
      </w:r>
      <w:r>
        <w:rPr>
          <w:rFonts w:ascii="宋体" w:hAnsi="宋体"/>
          <w:color w:val="auto"/>
          <w:sz w:val="24"/>
          <w:highlight w:val="none"/>
        </w:rPr>
        <w:t>将在投标截止时间</w:t>
      </w:r>
      <w:r>
        <w:rPr>
          <w:rFonts w:hint="eastAsia" w:ascii="宋体" w:hAnsi="宋体"/>
          <w:color w:val="auto"/>
          <w:sz w:val="24"/>
          <w:highlight w:val="none"/>
          <w:lang w:val="en-US" w:eastAsia="zh-CN"/>
        </w:rPr>
        <w:t>15</w:t>
      </w:r>
      <w:r>
        <w:rPr>
          <w:rFonts w:ascii="宋体" w:hAnsi="宋体"/>
          <w:color w:val="auto"/>
          <w:sz w:val="24"/>
          <w:highlight w:val="none"/>
        </w:rPr>
        <w:t>日前，发布补充说明、澄清，不足</w:t>
      </w:r>
      <w:r>
        <w:rPr>
          <w:rFonts w:hint="eastAsia" w:ascii="宋体" w:hAnsi="宋体"/>
          <w:color w:val="auto"/>
          <w:sz w:val="24"/>
          <w:highlight w:val="none"/>
          <w:lang w:val="en-US" w:eastAsia="zh-CN"/>
        </w:rPr>
        <w:t>15</w:t>
      </w:r>
      <w:r>
        <w:rPr>
          <w:rFonts w:ascii="宋体" w:hAnsi="宋体"/>
          <w:color w:val="auto"/>
          <w:sz w:val="24"/>
          <w:highlight w:val="none"/>
        </w:rPr>
        <w:t>日的，应当顺延提交投标文件的截止时间。</w:t>
      </w:r>
    </w:p>
    <w:p w14:paraId="3AD4E3B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对采购人提供的</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文件所做出的推论、解释和结论，采购人概不负责。</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由于对</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文件的任何推论和误解以及采购人对有关问题的口头解释所造成的后果，均由各潜在</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自负。</w:t>
      </w:r>
    </w:p>
    <w:p w14:paraId="75EB71FD">
      <w:pPr>
        <w:pStyle w:val="4"/>
        <w:adjustRightInd w:val="0"/>
        <w:snapToGrid w:val="0"/>
        <w:spacing w:before="0" w:after="0" w:line="360" w:lineRule="auto"/>
        <w:ind w:firstLine="482" w:firstLineChars="200"/>
        <w:rPr>
          <w:rFonts w:ascii="宋体" w:hAnsi="宋体" w:cs="宋体"/>
          <w:color w:val="auto"/>
          <w:sz w:val="24"/>
          <w:szCs w:val="24"/>
          <w:highlight w:val="none"/>
        </w:rPr>
      </w:pPr>
      <w:bookmarkStart w:id="38" w:name="_Toc462564072"/>
      <w:bookmarkStart w:id="39" w:name="_Toc513029213"/>
      <w:bookmarkStart w:id="40" w:name="_Toc16938529"/>
      <w:bookmarkStart w:id="41" w:name="_Toc20823285"/>
      <w:bookmarkStart w:id="42" w:name="_Toc120614216"/>
      <w:r>
        <w:rPr>
          <w:rFonts w:hint="eastAsia" w:ascii="宋体" w:hAnsi="宋体" w:cs="宋体"/>
          <w:color w:val="auto"/>
          <w:sz w:val="24"/>
          <w:szCs w:val="24"/>
          <w:highlight w:val="none"/>
        </w:rPr>
        <w:t>（三）投标文件的编制</w:t>
      </w:r>
      <w:bookmarkEnd w:id="38"/>
      <w:bookmarkEnd w:id="39"/>
      <w:bookmarkEnd w:id="40"/>
      <w:bookmarkEnd w:id="41"/>
      <w:bookmarkEnd w:id="42"/>
    </w:p>
    <w:p w14:paraId="7F85B1EB">
      <w:pPr>
        <w:pStyle w:val="5"/>
        <w:adjustRightInd w:val="0"/>
        <w:snapToGrid w:val="0"/>
        <w:spacing w:line="360" w:lineRule="auto"/>
        <w:ind w:firstLine="480" w:firstLineChars="200"/>
        <w:jc w:val="both"/>
        <w:rPr>
          <w:rFonts w:ascii="宋体" w:hAnsi="宋体" w:eastAsia="宋体" w:cs="宋体"/>
          <w:bCs/>
          <w:color w:val="auto"/>
          <w:sz w:val="24"/>
          <w:szCs w:val="24"/>
          <w:highlight w:val="none"/>
        </w:rPr>
      </w:pPr>
      <w:bookmarkStart w:id="43" w:name="_Toc16938530"/>
      <w:bookmarkStart w:id="44" w:name="_Toc513029214"/>
      <w:bookmarkStart w:id="45" w:name="_Toc462564073"/>
      <w:bookmarkStart w:id="46" w:name="_Toc20823286"/>
      <w:r>
        <w:rPr>
          <w:rFonts w:hint="eastAsia" w:ascii="宋体" w:hAnsi="宋体" w:eastAsia="宋体" w:cs="宋体"/>
          <w:color w:val="auto"/>
          <w:sz w:val="24"/>
          <w:szCs w:val="24"/>
          <w:highlight w:val="none"/>
        </w:rPr>
        <w:t>1.投标文件的语言及度量衡单位</w:t>
      </w:r>
      <w:bookmarkEnd w:id="43"/>
      <w:bookmarkEnd w:id="44"/>
      <w:bookmarkEnd w:id="45"/>
      <w:bookmarkEnd w:id="46"/>
    </w:p>
    <w:p w14:paraId="69166A94">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1.1投标人提交的投标文件以及投标人与采购人或采购代理机构就有关投标的所有来往通知、函件和文件均应使用简体中文。</w:t>
      </w:r>
    </w:p>
    <w:p w14:paraId="1BA8BA3D">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1.2除技术性能另有规定外，投标文件所使用的度量衡单位，均须采用国家法定计量单位。</w:t>
      </w:r>
    </w:p>
    <w:p w14:paraId="14B11F94">
      <w:pPr>
        <w:pStyle w:val="5"/>
        <w:adjustRightInd w:val="0"/>
        <w:snapToGrid w:val="0"/>
        <w:spacing w:line="360" w:lineRule="auto"/>
        <w:ind w:firstLine="480" w:firstLineChars="200"/>
        <w:jc w:val="both"/>
        <w:rPr>
          <w:rFonts w:ascii="宋体" w:hAnsi="宋体" w:eastAsia="宋体" w:cs="宋体"/>
          <w:b/>
          <w:bCs/>
          <w:color w:val="auto"/>
          <w:sz w:val="24"/>
          <w:szCs w:val="24"/>
          <w:highlight w:val="none"/>
        </w:rPr>
      </w:pPr>
      <w:bookmarkStart w:id="47" w:name="_Toc513029215"/>
      <w:bookmarkStart w:id="48" w:name="_Toc16938531"/>
      <w:bookmarkStart w:id="49" w:name="_Toc20823287"/>
      <w:bookmarkStart w:id="50" w:name="_Toc462564074"/>
      <w:r>
        <w:rPr>
          <w:rFonts w:hint="eastAsia" w:ascii="宋体" w:hAnsi="宋体" w:eastAsia="宋体" w:cs="宋体"/>
          <w:color w:val="auto"/>
          <w:sz w:val="24"/>
          <w:szCs w:val="24"/>
          <w:highlight w:val="none"/>
        </w:rPr>
        <w:t>2.投标文件构成</w:t>
      </w:r>
      <w:bookmarkEnd w:id="47"/>
      <w:bookmarkEnd w:id="48"/>
      <w:bookmarkEnd w:id="49"/>
      <w:bookmarkEnd w:id="50"/>
    </w:p>
    <w:p w14:paraId="204CE75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投标人编写的投标文件应包括资格审查证明材料、商务技术标、价格标、电子版投标文件。投标人按“第六部分 投标文件组成”要求编写投标文件。</w:t>
      </w:r>
    </w:p>
    <w:p w14:paraId="45050214">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3.投标文件的编写</w:t>
      </w:r>
    </w:p>
    <w:p w14:paraId="42FA5E8F">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3.1</w:t>
      </w:r>
      <w:r>
        <w:rPr>
          <w:rFonts w:hint="eastAsia" w:ascii="宋体" w:hAnsi="宋体" w:cs="宋体"/>
          <w:color w:val="auto"/>
          <w:sz w:val="24"/>
          <w:highlight w:val="none"/>
          <w:lang w:val="zh-CN"/>
        </w:rPr>
        <w:t>投标人按“第</w:t>
      </w:r>
      <w:r>
        <w:rPr>
          <w:rFonts w:hint="eastAsia" w:ascii="宋体" w:hAnsi="宋体" w:cs="宋体"/>
          <w:color w:val="auto"/>
          <w:sz w:val="24"/>
          <w:highlight w:val="none"/>
        </w:rPr>
        <w:t>六</w:t>
      </w:r>
      <w:r>
        <w:rPr>
          <w:rFonts w:hint="eastAsia" w:ascii="宋体" w:hAnsi="宋体" w:cs="宋体"/>
          <w:color w:val="auto"/>
          <w:sz w:val="24"/>
          <w:highlight w:val="none"/>
          <w:lang w:val="zh-CN"/>
        </w:rPr>
        <w:t xml:space="preserve">部分 </w:t>
      </w:r>
      <w:r>
        <w:rPr>
          <w:rFonts w:hint="eastAsia" w:ascii="宋体" w:hAnsi="宋体" w:cs="宋体"/>
          <w:color w:val="auto"/>
          <w:sz w:val="24"/>
          <w:highlight w:val="none"/>
        </w:rPr>
        <w:t>投标</w:t>
      </w:r>
      <w:r>
        <w:rPr>
          <w:rFonts w:hint="eastAsia" w:ascii="宋体" w:hAnsi="宋体" w:cs="宋体"/>
          <w:color w:val="auto"/>
          <w:sz w:val="24"/>
          <w:highlight w:val="none"/>
          <w:lang w:val="zh-CN"/>
        </w:rPr>
        <w:t>文件组成”要求编写</w:t>
      </w:r>
      <w:r>
        <w:rPr>
          <w:rFonts w:hint="eastAsia" w:ascii="宋体" w:hAnsi="宋体" w:cs="宋体"/>
          <w:color w:val="auto"/>
          <w:sz w:val="24"/>
          <w:highlight w:val="none"/>
        </w:rPr>
        <w:t>投标</w:t>
      </w:r>
      <w:r>
        <w:rPr>
          <w:rFonts w:hint="eastAsia" w:ascii="宋体" w:hAnsi="宋体" w:cs="宋体"/>
          <w:color w:val="auto"/>
          <w:sz w:val="24"/>
          <w:highlight w:val="none"/>
          <w:lang w:val="zh-CN"/>
        </w:rPr>
        <w:t>文件。但表格可以按同样格式扩展。除另有规定者外，</w:t>
      </w:r>
      <w:r>
        <w:rPr>
          <w:rFonts w:hint="eastAsia" w:ascii="宋体" w:hAnsi="宋体" w:cs="宋体"/>
          <w:color w:val="auto"/>
          <w:sz w:val="24"/>
          <w:highlight w:val="none"/>
        </w:rPr>
        <w:t>投标人</w:t>
      </w:r>
      <w:r>
        <w:rPr>
          <w:rFonts w:hint="eastAsia" w:ascii="宋体" w:hAnsi="宋体" w:cs="宋体"/>
          <w:color w:val="auto"/>
          <w:sz w:val="24"/>
          <w:highlight w:val="none"/>
          <w:lang w:val="zh-CN"/>
        </w:rPr>
        <w:t>不得修改。</w:t>
      </w:r>
    </w:p>
    <w:p w14:paraId="2B34844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3.2投标</w:t>
      </w:r>
      <w:r>
        <w:rPr>
          <w:rFonts w:hint="eastAsia" w:ascii="宋体" w:hAnsi="宋体" w:cs="宋体"/>
          <w:color w:val="auto"/>
          <w:sz w:val="24"/>
          <w:highlight w:val="none"/>
          <w:lang w:val="zh-CN"/>
        </w:rPr>
        <w:t>文件规格幅面A4纸（图纸、样品等除外）。</w:t>
      </w:r>
    </w:p>
    <w:p w14:paraId="1049B2F1">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3.3</w:t>
      </w:r>
      <w:r>
        <w:rPr>
          <w:rFonts w:hint="eastAsia" w:ascii="宋体" w:hAnsi="宋体" w:cs="宋体"/>
          <w:color w:val="auto"/>
          <w:sz w:val="24"/>
          <w:highlight w:val="none"/>
          <w:lang w:val="zh-CN"/>
        </w:rPr>
        <w:t>按照</w:t>
      </w:r>
      <w:r>
        <w:rPr>
          <w:rFonts w:hint="eastAsia" w:ascii="宋体" w:hAnsi="宋体" w:cs="宋体"/>
          <w:color w:val="auto"/>
          <w:sz w:val="24"/>
          <w:highlight w:val="none"/>
        </w:rPr>
        <w:t>招标</w:t>
      </w:r>
      <w:r>
        <w:rPr>
          <w:rFonts w:hint="eastAsia" w:ascii="宋体" w:hAnsi="宋体" w:cs="宋体"/>
          <w:color w:val="auto"/>
          <w:sz w:val="24"/>
          <w:highlight w:val="none"/>
          <w:lang w:val="zh-CN"/>
        </w:rPr>
        <w:t>文件所规定的内容顺序，统一编制目录，逐页编码，由于编排混乱导致投标文件被误读或查找不到，其责任应当由投标人承担；牢固装订成册，不允许使用活页夹、拉杆夹、文件夹、塑料方便式书脊（插入式或穿孔式）装订。</w:t>
      </w:r>
    </w:p>
    <w:p w14:paraId="2714025D">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3.4</w:t>
      </w:r>
      <w:r>
        <w:rPr>
          <w:rFonts w:hint="eastAsia" w:ascii="宋体" w:hAnsi="宋体" w:cs="宋体"/>
          <w:color w:val="auto"/>
          <w:sz w:val="24"/>
          <w:highlight w:val="none"/>
          <w:lang w:val="zh-CN"/>
        </w:rPr>
        <w:t>纸质</w:t>
      </w:r>
      <w:r>
        <w:rPr>
          <w:rFonts w:hint="eastAsia" w:ascii="宋体" w:hAnsi="宋体" w:cs="宋体"/>
          <w:color w:val="auto"/>
          <w:sz w:val="24"/>
          <w:highlight w:val="none"/>
        </w:rPr>
        <w:t>投标</w:t>
      </w:r>
      <w:r>
        <w:rPr>
          <w:rFonts w:hint="eastAsia" w:ascii="宋体" w:hAnsi="宋体" w:cs="宋体"/>
          <w:color w:val="auto"/>
          <w:sz w:val="24"/>
          <w:highlight w:val="none"/>
          <w:lang w:val="zh-CN"/>
        </w:rPr>
        <w:t>文件不得行间插字、涂改、增删，如修改错漏处，须经</w:t>
      </w:r>
      <w:r>
        <w:rPr>
          <w:rFonts w:hint="eastAsia" w:ascii="宋体" w:hAnsi="宋体" w:cs="宋体"/>
          <w:color w:val="auto"/>
          <w:sz w:val="24"/>
          <w:highlight w:val="none"/>
        </w:rPr>
        <w:t>投标</w:t>
      </w:r>
      <w:r>
        <w:rPr>
          <w:rFonts w:hint="eastAsia" w:ascii="宋体" w:hAnsi="宋体" w:cs="宋体"/>
          <w:color w:val="auto"/>
          <w:sz w:val="24"/>
          <w:highlight w:val="none"/>
          <w:lang w:val="zh-CN"/>
        </w:rPr>
        <w:t>文件签署人签字并加盖公章。</w:t>
      </w:r>
    </w:p>
    <w:p w14:paraId="1854BFF5">
      <w:pPr>
        <w:adjustRightInd w:val="0"/>
        <w:snapToGrid w:val="0"/>
        <w:spacing w:line="360" w:lineRule="auto"/>
        <w:ind w:firstLine="480" w:firstLineChars="200"/>
        <w:rPr>
          <w:rFonts w:ascii="宋体" w:hAnsi="宋体" w:cs="宋体"/>
          <w:bCs/>
          <w:color w:val="auto"/>
          <w:sz w:val="24"/>
          <w:highlight w:val="none"/>
          <w:lang w:val="zh-CN"/>
        </w:rPr>
      </w:pPr>
      <w:r>
        <w:rPr>
          <w:rFonts w:hint="eastAsia" w:ascii="宋体" w:hAnsi="宋体" w:cs="宋体"/>
          <w:bCs/>
          <w:color w:val="auto"/>
          <w:sz w:val="24"/>
          <w:highlight w:val="none"/>
        </w:rPr>
        <w:t>4.投标</w:t>
      </w:r>
      <w:r>
        <w:rPr>
          <w:rFonts w:hint="eastAsia" w:ascii="宋体" w:hAnsi="宋体" w:cs="宋体"/>
          <w:bCs/>
          <w:color w:val="auto"/>
          <w:sz w:val="24"/>
          <w:highlight w:val="none"/>
          <w:lang w:val="zh-CN"/>
        </w:rPr>
        <w:t>文件的份数和签署</w:t>
      </w:r>
    </w:p>
    <w:p w14:paraId="6E11A84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4.1投标</w:t>
      </w:r>
      <w:r>
        <w:rPr>
          <w:rFonts w:hint="eastAsia" w:ascii="宋体" w:hAnsi="宋体" w:cs="宋体"/>
          <w:color w:val="auto"/>
          <w:sz w:val="24"/>
          <w:highlight w:val="none"/>
          <w:lang w:val="zh-CN"/>
        </w:rPr>
        <w:t>文件由：</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资格审查证明材料</w:t>
      </w:r>
      <w:r>
        <w:rPr>
          <w:rFonts w:hint="eastAsia" w:ascii="宋体" w:hAnsi="宋体" w:cs="宋体"/>
          <w:color w:val="auto"/>
          <w:sz w:val="24"/>
          <w:highlight w:val="none"/>
          <w:lang w:val="zh-CN"/>
        </w:rPr>
        <w:t>、</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商务技术标</w:t>
      </w:r>
      <w:r>
        <w:rPr>
          <w:rFonts w:hint="eastAsia" w:ascii="宋体" w:hAnsi="宋体" w:cs="宋体"/>
          <w:color w:val="auto"/>
          <w:sz w:val="24"/>
          <w:highlight w:val="none"/>
          <w:lang w:val="zh-CN"/>
        </w:rPr>
        <w:t>、③</w:t>
      </w:r>
      <w:r>
        <w:rPr>
          <w:rFonts w:hint="eastAsia" w:ascii="宋体" w:hAnsi="宋体" w:cs="宋体"/>
          <w:color w:val="auto"/>
          <w:sz w:val="24"/>
          <w:highlight w:val="none"/>
        </w:rPr>
        <w:t>价格标、④电子版投标文件</w:t>
      </w:r>
      <w:r>
        <w:rPr>
          <w:rFonts w:hint="eastAsia" w:ascii="宋体" w:hAnsi="宋体" w:cs="宋体"/>
          <w:color w:val="auto"/>
          <w:sz w:val="24"/>
          <w:highlight w:val="none"/>
          <w:lang w:val="zh-CN"/>
        </w:rPr>
        <w:t>共</w:t>
      </w:r>
      <w:r>
        <w:rPr>
          <w:rFonts w:hint="eastAsia" w:ascii="宋体" w:hAnsi="宋体" w:cs="宋体"/>
          <w:color w:val="auto"/>
          <w:sz w:val="24"/>
          <w:highlight w:val="none"/>
        </w:rPr>
        <w:t>4</w:t>
      </w:r>
      <w:r>
        <w:rPr>
          <w:rFonts w:hint="eastAsia" w:ascii="宋体" w:hAnsi="宋体" w:cs="宋体"/>
          <w:color w:val="auto"/>
          <w:sz w:val="24"/>
          <w:highlight w:val="none"/>
          <w:lang w:val="zh-CN"/>
        </w:rPr>
        <w:t>部分组成（以下由文件序号代称）。</w:t>
      </w:r>
    </w:p>
    <w:p w14:paraId="0DE3A3A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4.2</w:t>
      </w:r>
      <w:r>
        <w:rPr>
          <w:rFonts w:hint="eastAsia" w:ascii="宋体" w:hAnsi="宋体" w:cs="宋体"/>
          <w:color w:val="auto"/>
          <w:sz w:val="24"/>
          <w:highlight w:val="none"/>
          <w:lang w:val="zh-CN"/>
        </w:rPr>
        <w:t>纸质</w:t>
      </w:r>
      <w:r>
        <w:rPr>
          <w:rFonts w:hint="eastAsia" w:ascii="宋体" w:hAnsi="宋体" w:cs="宋体"/>
          <w:color w:val="auto"/>
          <w:sz w:val="24"/>
          <w:highlight w:val="none"/>
        </w:rPr>
        <w:t>投标</w:t>
      </w:r>
      <w:r>
        <w:rPr>
          <w:rFonts w:hint="eastAsia" w:ascii="宋体" w:hAnsi="宋体" w:cs="宋体"/>
          <w:color w:val="auto"/>
          <w:sz w:val="24"/>
          <w:highlight w:val="none"/>
          <w:lang w:val="zh-CN"/>
        </w:rPr>
        <w:t>文件均为一式</w:t>
      </w:r>
      <w:r>
        <w:rPr>
          <w:rFonts w:hint="eastAsia" w:ascii="宋体" w:hAnsi="宋体" w:cs="宋体"/>
          <w:color w:val="auto"/>
          <w:sz w:val="24"/>
          <w:highlight w:val="none"/>
          <w:lang w:val="en-US" w:eastAsia="zh-CN"/>
        </w:rPr>
        <w:t>五</w:t>
      </w:r>
      <w:r>
        <w:rPr>
          <w:rFonts w:hint="eastAsia" w:ascii="宋体" w:hAnsi="宋体" w:cs="宋体"/>
          <w:color w:val="auto"/>
          <w:sz w:val="24"/>
          <w:highlight w:val="none"/>
          <w:lang w:val="zh-CN"/>
        </w:rPr>
        <w:t>份，其中“正本”壹份和“副本”</w:t>
      </w:r>
      <w:r>
        <w:rPr>
          <w:rFonts w:hint="eastAsia" w:ascii="宋体" w:hAnsi="宋体" w:cs="宋体"/>
          <w:color w:val="auto"/>
          <w:sz w:val="24"/>
          <w:highlight w:val="none"/>
        </w:rPr>
        <w:t>肆</w:t>
      </w:r>
      <w:r>
        <w:rPr>
          <w:rFonts w:hint="eastAsia" w:ascii="宋体" w:hAnsi="宋体" w:cs="宋体"/>
          <w:color w:val="auto"/>
          <w:sz w:val="24"/>
          <w:highlight w:val="none"/>
          <w:lang w:val="zh-CN"/>
        </w:rPr>
        <w:t>份。（具体要求详见第</w:t>
      </w:r>
      <w:r>
        <w:rPr>
          <w:rFonts w:hint="eastAsia" w:ascii="宋体" w:hAnsi="宋体" w:cs="宋体"/>
          <w:color w:val="auto"/>
          <w:sz w:val="24"/>
          <w:highlight w:val="none"/>
        </w:rPr>
        <w:t>六</w:t>
      </w:r>
      <w:r>
        <w:rPr>
          <w:rFonts w:hint="eastAsia" w:ascii="宋体" w:hAnsi="宋体" w:cs="宋体"/>
          <w:color w:val="auto"/>
          <w:sz w:val="24"/>
          <w:highlight w:val="none"/>
          <w:lang w:val="zh-CN"/>
        </w:rPr>
        <w:t>部分</w:t>
      </w:r>
      <w:r>
        <w:rPr>
          <w:rFonts w:hint="eastAsia" w:ascii="宋体" w:hAnsi="宋体" w:cs="宋体"/>
          <w:color w:val="auto"/>
          <w:sz w:val="24"/>
          <w:highlight w:val="none"/>
        </w:rPr>
        <w:t>投标</w:t>
      </w:r>
      <w:r>
        <w:rPr>
          <w:rFonts w:hint="eastAsia" w:ascii="宋体" w:hAnsi="宋体" w:cs="宋体"/>
          <w:color w:val="auto"/>
          <w:sz w:val="24"/>
          <w:highlight w:val="none"/>
          <w:lang w:val="zh-CN"/>
        </w:rPr>
        <w:t>文件组成）</w:t>
      </w:r>
    </w:p>
    <w:p w14:paraId="147B5E4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4.3</w:t>
      </w:r>
      <w:r>
        <w:rPr>
          <w:rFonts w:hint="eastAsia" w:ascii="宋体" w:hAnsi="宋体" w:cs="宋体"/>
          <w:color w:val="auto"/>
          <w:sz w:val="24"/>
          <w:highlight w:val="none"/>
          <w:lang w:val="zh-CN"/>
        </w:rPr>
        <w:t>在每份纸质</w:t>
      </w:r>
      <w:r>
        <w:rPr>
          <w:rFonts w:hint="eastAsia" w:ascii="宋体" w:hAnsi="宋体" w:cs="宋体"/>
          <w:color w:val="auto"/>
          <w:sz w:val="24"/>
          <w:highlight w:val="none"/>
        </w:rPr>
        <w:t>投标</w:t>
      </w:r>
      <w:r>
        <w:rPr>
          <w:rFonts w:hint="eastAsia" w:ascii="宋体" w:hAnsi="宋体" w:cs="宋体"/>
          <w:color w:val="auto"/>
          <w:sz w:val="24"/>
          <w:highlight w:val="none"/>
          <w:lang w:val="zh-CN"/>
        </w:rPr>
        <w:t>文件上要明确标注项目名称、对应的</w:t>
      </w:r>
      <w:r>
        <w:rPr>
          <w:rFonts w:hint="eastAsia" w:ascii="宋体" w:hAnsi="宋体" w:cs="宋体"/>
          <w:color w:val="auto"/>
          <w:sz w:val="24"/>
          <w:highlight w:val="none"/>
        </w:rPr>
        <w:t>投标</w:t>
      </w:r>
      <w:r>
        <w:rPr>
          <w:rFonts w:hint="eastAsia" w:ascii="宋体" w:hAnsi="宋体" w:cs="宋体"/>
          <w:color w:val="auto"/>
          <w:sz w:val="24"/>
          <w:highlight w:val="none"/>
          <w:lang w:val="zh-CN"/>
        </w:rPr>
        <w:t>文件名称、投标人的全称、日期、“正本”、“副本”字样。“正本”和“副本”若有差异，概以“正本”为准。</w:t>
      </w:r>
    </w:p>
    <w:p w14:paraId="3E0DD8AE">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4.4</w:t>
      </w:r>
      <w:r>
        <w:rPr>
          <w:rFonts w:hint="eastAsia" w:ascii="宋体" w:hAnsi="宋体" w:cs="宋体"/>
          <w:color w:val="auto"/>
          <w:sz w:val="24"/>
          <w:highlight w:val="none"/>
          <w:lang w:val="zh-CN"/>
        </w:rPr>
        <w:t>纸质</w:t>
      </w:r>
      <w:r>
        <w:rPr>
          <w:rFonts w:hint="eastAsia" w:ascii="宋体" w:hAnsi="宋体" w:cs="宋体"/>
          <w:color w:val="auto"/>
          <w:sz w:val="24"/>
          <w:highlight w:val="none"/>
        </w:rPr>
        <w:t>投标</w:t>
      </w:r>
      <w:r>
        <w:rPr>
          <w:rFonts w:hint="eastAsia" w:ascii="宋体" w:hAnsi="宋体" w:cs="宋体"/>
          <w:color w:val="auto"/>
          <w:sz w:val="24"/>
          <w:highlight w:val="none"/>
          <w:lang w:val="zh-CN"/>
        </w:rPr>
        <w:t>文件中的所有“正本”，其正文内容须按</w:t>
      </w:r>
      <w:r>
        <w:rPr>
          <w:rFonts w:hint="eastAsia" w:ascii="宋体" w:hAnsi="宋体" w:cs="宋体"/>
          <w:color w:val="auto"/>
          <w:sz w:val="24"/>
          <w:highlight w:val="none"/>
        </w:rPr>
        <w:t>招标</w:t>
      </w:r>
      <w:r>
        <w:rPr>
          <w:rFonts w:hint="eastAsia" w:ascii="宋体" w:hAnsi="宋体" w:cs="宋体"/>
          <w:color w:val="auto"/>
          <w:sz w:val="24"/>
          <w:highlight w:val="none"/>
          <w:lang w:val="zh-CN"/>
        </w:rPr>
        <w:t>文件要求由投标人法定代表人或被授权人签字（或盖章）并加盖单位公章。“副本”可</w:t>
      </w:r>
      <w:r>
        <w:rPr>
          <w:rFonts w:hint="eastAsia" w:ascii="宋体" w:hAnsi="宋体" w:cs="宋体"/>
          <w:color w:val="auto"/>
          <w:sz w:val="24"/>
          <w:highlight w:val="none"/>
        </w:rPr>
        <w:t>为</w:t>
      </w:r>
      <w:r>
        <w:rPr>
          <w:rFonts w:hint="eastAsia" w:ascii="宋体" w:hAnsi="宋体" w:cs="宋体"/>
          <w:color w:val="auto"/>
          <w:sz w:val="24"/>
          <w:highlight w:val="none"/>
          <w:lang w:val="zh-CN"/>
        </w:rPr>
        <w:t>“</w:t>
      </w:r>
      <w:r>
        <w:rPr>
          <w:rFonts w:hint="eastAsia" w:ascii="宋体" w:hAnsi="宋体" w:cs="宋体"/>
          <w:color w:val="auto"/>
          <w:sz w:val="24"/>
          <w:highlight w:val="none"/>
        </w:rPr>
        <w:t>正本</w:t>
      </w:r>
      <w:r>
        <w:rPr>
          <w:rFonts w:hint="eastAsia" w:ascii="宋体" w:hAnsi="宋体" w:cs="宋体"/>
          <w:color w:val="auto"/>
          <w:sz w:val="24"/>
          <w:highlight w:val="none"/>
          <w:lang w:val="zh-CN"/>
        </w:rPr>
        <w:t>”的复印</w:t>
      </w:r>
      <w:r>
        <w:rPr>
          <w:rFonts w:hint="eastAsia" w:ascii="宋体" w:hAnsi="宋体" w:cs="宋体"/>
          <w:color w:val="auto"/>
          <w:sz w:val="24"/>
          <w:highlight w:val="none"/>
        </w:rPr>
        <w:t>件</w:t>
      </w:r>
      <w:r>
        <w:rPr>
          <w:rFonts w:hint="eastAsia" w:ascii="宋体" w:hAnsi="宋体" w:cs="宋体"/>
          <w:color w:val="auto"/>
          <w:sz w:val="24"/>
          <w:highlight w:val="none"/>
          <w:lang w:val="zh-CN"/>
        </w:rPr>
        <w:t>。</w:t>
      </w:r>
    </w:p>
    <w:p w14:paraId="5E7427B9">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4.5电子投标文件</w:t>
      </w:r>
    </w:p>
    <w:p w14:paraId="3ACBF25F">
      <w:pPr>
        <w:tabs>
          <w:tab w:val="left" w:pos="3375"/>
        </w:tabs>
        <w:autoSpaceDE w:val="0"/>
        <w:autoSpaceDN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电子版投标文件（包括</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资格审查证明材料</w:t>
      </w:r>
      <w:r>
        <w:rPr>
          <w:rFonts w:hint="eastAsia" w:ascii="宋体" w:hAnsi="宋体" w:cs="宋体"/>
          <w:color w:val="auto"/>
          <w:sz w:val="24"/>
          <w:highlight w:val="none"/>
          <w:lang w:val="zh-CN"/>
        </w:rPr>
        <w:t>、</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商务技术标</w:t>
      </w:r>
      <w:r>
        <w:rPr>
          <w:rFonts w:hint="eastAsia" w:ascii="宋体" w:hAnsi="宋体" w:cs="宋体"/>
          <w:color w:val="auto"/>
          <w:sz w:val="24"/>
          <w:highlight w:val="none"/>
          <w:lang w:val="zh-CN"/>
        </w:rPr>
        <w:t>、③</w:t>
      </w:r>
      <w:r>
        <w:rPr>
          <w:rFonts w:hint="eastAsia" w:ascii="宋体" w:hAnsi="宋体" w:cs="宋体"/>
          <w:color w:val="auto"/>
          <w:sz w:val="24"/>
          <w:highlight w:val="none"/>
        </w:rPr>
        <w:t>价格标</w:t>
      </w:r>
      <w:r>
        <w:rPr>
          <w:rFonts w:hint="eastAsia" w:ascii="宋体" w:hAnsi="宋体" w:cs="宋体"/>
          <w:b/>
          <w:color w:val="auto"/>
          <w:sz w:val="24"/>
          <w:highlight w:val="none"/>
        </w:rPr>
        <w:t>，所有盖章后纸质版投标文件的扫描件内容均存入一份U盘即可）</w:t>
      </w:r>
      <w:r>
        <w:rPr>
          <w:rFonts w:hint="eastAsia" w:ascii="宋体" w:hAnsi="宋体" w:cs="宋体"/>
          <w:color w:val="auto"/>
          <w:sz w:val="24"/>
          <w:highlight w:val="none"/>
        </w:rPr>
        <w:t>。</w:t>
      </w:r>
    </w:p>
    <w:p w14:paraId="1DC9D89E">
      <w:pPr>
        <w:tabs>
          <w:tab w:val="left" w:pos="3375"/>
        </w:tabs>
        <w:autoSpaceDE w:val="0"/>
        <w:autoSpaceDN w:val="0"/>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电子版投标文件不得设置密码并保证无病毒。</w:t>
      </w:r>
    </w:p>
    <w:p w14:paraId="02778F74">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rPr>
        <w:t>5.投标</w:t>
      </w:r>
      <w:r>
        <w:rPr>
          <w:rFonts w:hint="eastAsia" w:ascii="宋体" w:hAnsi="宋体" w:cs="宋体"/>
          <w:color w:val="auto"/>
          <w:sz w:val="24"/>
          <w:highlight w:val="none"/>
          <w:lang w:val="zh-CN"/>
        </w:rPr>
        <w:t>文件的密封及标记</w:t>
      </w:r>
    </w:p>
    <w:p w14:paraId="4ADB1CA9">
      <w:pPr>
        <w:autoSpaceDE w:val="0"/>
        <w:autoSpaceDN w:val="0"/>
        <w:adjustRightInd w:val="0"/>
        <w:snapToGrid w:val="0"/>
        <w:spacing w:line="360" w:lineRule="auto"/>
        <w:ind w:firstLine="480" w:firstLineChars="200"/>
        <w:jc w:val="left"/>
        <w:rPr>
          <w:rFonts w:ascii="宋体" w:hAnsi="宋体" w:cs="宋体"/>
          <w:b/>
          <w:bCs/>
          <w:color w:val="auto"/>
          <w:sz w:val="24"/>
          <w:highlight w:val="none"/>
          <w:u w:val="double"/>
          <w:lang w:val="zh-CN"/>
        </w:rPr>
      </w:pPr>
      <w:r>
        <w:rPr>
          <w:rFonts w:hint="eastAsia" w:ascii="宋体" w:hAnsi="宋体" w:cs="宋体"/>
          <w:color w:val="auto"/>
          <w:sz w:val="24"/>
          <w:highlight w:val="none"/>
        </w:rPr>
        <w:t>5.1</w:t>
      </w:r>
      <w:r>
        <w:rPr>
          <w:rFonts w:hint="eastAsia" w:ascii="宋体" w:hAnsi="宋体" w:cs="宋体"/>
          <w:color w:val="auto"/>
          <w:sz w:val="24"/>
          <w:highlight w:val="none"/>
          <w:lang w:val="zh-CN"/>
        </w:rPr>
        <w:t>投标人须将本项目</w:t>
      </w:r>
      <w:r>
        <w:rPr>
          <w:rFonts w:hint="eastAsia" w:ascii="宋体" w:hAnsi="宋体" w:cs="宋体"/>
          <w:color w:val="auto"/>
          <w:sz w:val="24"/>
          <w:highlight w:val="none"/>
        </w:rPr>
        <w:t>投标</w:t>
      </w:r>
      <w:r>
        <w:rPr>
          <w:rFonts w:hint="eastAsia" w:ascii="宋体" w:hAnsi="宋体" w:cs="宋体"/>
          <w:color w:val="auto"/>
          <w:sz w:val="24"/>
          <w:highlight w:val="none"/>
          <w:lang w:val="zh-CN"/>
        </w:rPr>
        <w:t>文件：</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1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①</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2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②</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、③单独密封，④密封至③的封袋内。</w:t>
      </w:r>
    </w:p>
    <w:p w14:paraId="3850A205">
      <w:pPr>
        <w:autoSpaceDE w:val="0"/>
        <w:autoSpaceDN w:val="0"/>
        <w:adjustRightInd w:val="0"/>
        <w:snapToGrid w:val="0"/>
        <w:spacing w:line="360" w:lineRule="auto"/>
        <w:ind w:firstLine="480" w:firstLineChars="200"/>
        <w:jc w:val="left"/>
        <w:rPr>
          <w:rFonts w:ascii="宋体" w:hAnsi="宋体" w:cs="宋体"/>
          <w:color w:val="auto"/>
          <w:sz w:val="24"/>
          <w:highlight w:val="none"/>
          <w:lang w:val="zh-CN"/>
        </w:rPr>
      </w:pPr>
      <w:r>
        <w:rPr>
          <w:rFonts w:hint="eastAsia" w:ascii="宋体" w:hAnsi="宋体" w:cs="宋体"/>
          <w:color w:val="auto"/>
          <w:sz w:val="24"/>
          <w:highlight w:val="none"/>
        </w:rPr>
        <w:t>5.2投标人可将每部分投标文件</w:t>
      </w:r>
      <w:r>
        <w:rPr>
          <w:rFonts w:hint="eastAsia" w:ascii="宋体" w:hAnsi="宋体" w:cs="宋体"/>
          <w:color w:val="auto"/>
          <w:sz w:val="24"/>
          <w:highlight w:val="none"/>
          <w:lang w:val="zh-CN"/>
        </w:rPr>
        <w:t>正副本统一密封或分别密封，如正本和副本分别密封的，应在封袋或封箱上标明正、副本字样。</w:t>
      </w:r>
    </w:p>
    <w:p w14:paraId="7B4C2A8E">
      <w:pPr>
        <w:autoSpaceDE w:val="0"/>
        <w:autoSpaceDN w:val="0"/>
        <w:adjustRightInd w:val="0"/>
        <w:snapToGrid w:val="0"/>
        <w:spacing w:line="360" w:lineRule="auto"/>
        <w:ind w:firstLine="480" w:firstLineChars="200"/>
        <w:jc w:val="left"/>
        <w:rPr>
          <w:rFonts w:ascii="宋体" w:hAnsi="宋体" w:cs="宋体"/>
          <w:b/>
          <w:bCs/>
          <w:color w:val="auto"/>
          <w:sz w:val="24"/>
          <w:highlight w:val="none"/>
          <w:u w:val="double"/>
          <w:lang w:val="zh-CN"/>
        </w:rPr>
      </w:pPr>
      <w:r>
        <w:rPr>
          <w:rFonts w:hint="eastAsia" w:ascii="宋体" w:hAnsi="宋体" w:cs="宋体"/>
          <w:color w:val="auto"/>
          <w:sz w:val="24"/>
          <w:highlight w:val="none"/>
        </w:rPr>
        <w:t>5.3</w:t>
      </w:r>
      <w:r>
        <w:rPr>
          <w:rFonts w:hint="eastAsia" w:ascii="宋体" w:hAnsi="宋体" w:cs="宋体"/>
          <w:color w:val="auto"/>
          <w:sz w:val="24"/>
          <w:highlight w:val="none"/>
          <w:lang w:val="zh-CN"/>
        </w:rPr>
        <w:t>密封后，应在封袋或封箱上明确标注</w:t>
      </w:r>
      <w:r>
        <w:rPr>
          <w:rFonts w:hint="eastAsia" w:ascii="宋体" w:hAnsi="宋体" w:cs="宋体"/>
          <w:b/>
          <w:bCs/>
          <w:color w:val="auto"/>
          <w:sz w:val="24"/>
          <w:highlight w:val="none"/>
          <w:u w:val="double"/>
        </w:rPr>
        <w:t>招标</w:t>
      </w:r>
      <w:r>
        <w:rPr>
          <w:rFonts w:hint="eastAsia" w:ascii="宋体" w:hAnsi="宋体" w:cs="宋体"/>
          <w:b/>
          <w:bCs/>
          <w:color w:val="auto"/>
          <w:sz w:val="24"/>
          <w:highlight w:val="none"/>
          <w:u w:val="double"/>
          <w:lang w:val="zh-CN"/>
        </w:rPr>
        <w:t>项目名称、</w:t>
      </w:r>
      <w:r>
        <w:rPr>
          <w:rFonts w:hint="eastAsia" w:ascii="宋体" w:hAnsi="宋体" w:cs="宋体"/>
          <w:b/>
          <w:bCs/>
          <w:color w:val="auto"/>
          <w:sz w:val="24"/>
          <w:highlight w:val="none"/>
          <w:u w:val="double"/>
        </w:rPr>
        <w:t>投标</w:t>
      </w:r>
      <w:r>
        <w:rPr>
          <w:rFonts w:hint="eastAsia" w:ascii="宋体" w:hAnsi="宋体" w:cs="宋体"/>
          <w:b/>
          <w:bCs/>
          <w:color w:val="auto"/>
          <w:sz w:val="24"/>
          <w:highlight w:val="none"/>
          <w:u w:val="double"/>
          <w:lang w:val="zh-CN"/>
        </w:rPr>
        <w:t>文件各自对应的名称、投标人的全称及日期</w:t>
      </w:r>
      <w:r>
        <w:rPr>
          <w:rFonts w:hint="eastAsia" w:ascii="宋体" w:hAnsi="宋体" w:cs="宋体"/>
          <w:b/>
          <w:bCs/>
          <w:color w:val="auto"/>
          <w:sz w:val="24"/>
          <w:highlight w:val="none"/>
          <w:u w:val="double"/>
        </w:rPr>
        <w:t>并加盖投标人单位公章</w:t>
      </w:r>
      <w:r>
        <w:rPr>
          <w:rFonts w:hint="eastAsia" w:ascii="宋体" w:hAnsi="宋体" w:cs="宋体"/>
          <w:b/>
          <w:bCs/>
          <w:color w:val="auto"/>
          <w:sz w:val="24"/>
          <w:highlight w:val="none"/>
          <w:u w:val="double"/>
          <w:lang w:val="zh-CN"/>
        </w:rPr>
        <w:t>。</w:t>
      </w:r>
    </w:p>
    <w:p w14:paraId="7020651D">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5.4</w:t>
      </w:r>
      <w:r>
        <w:rPr>
          <w:rFonts w:hint="eastAsia" w:ascii="宋体" w:hAnsi="宋体" w:cs="宋体"/>
          <w:color w:val="auto"/>
          <w:sz w:val="24"/>
          <w:highlight w:val="none"/>
          <w:lang w:val="zh-CN"/>
        </w:rPr>
        <w:t>采购人将拒绝接收未按照招标文件要求密封及标记的投标文件。</w:t>
      </w:r>
    </w:p>
    <w:p w14:paraId="4782F5F2">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【特别提醒】投标文件中的</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1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①</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2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②</w:t>
      </w:r>
      <w:r>
        <w:rPr>
          <w:rFonts w:hint="eastAsia" w:ascii="宋体" w:hAnsi="宋体" w:cs="宋体"/>
          <w:b/>
          <w:bCs/>
          <w:color w:val="auto"/>
          <w:sz w:val="24"/>
          <w:highlight w:val="none"/>
          <w:u w:val="double"/>
          <w:lang w:val="zh-CN"/>
        </w:rPr>
        <w:fldChar w:fldCharType="end"/>
      </w:r>
      <w:r>
        <w:rPr>
          <w:rFonts w:hint="eastAsia" w:ascii="宋体" w:hAnsi="宋体" w:cs="宋体"/>
          <w:color w:val="auto"/>
          <w:sz w:val="24"/>
          <w:highlight w:val="none"/>
          <w:lang w:val="zh-CN"/>
        </w:rPr>
        <w:t>的“正本”或“副本”中，</w:t>
      </w:r>
      <w:r>
        <w:rPr>
          <w:rFonts w:hint="eastAsia" w:ascii="宋体" w:hAnsi="宋体" w:cs="宋体"/>
          <w:b/>
          <w:bCs/>
          <w:color w:val="auto"/>
          <w:sz w:val="24"/>
          <w:highlight w:val="none"/>
          <w:u w:val="double"/>
          <w:lang w:val="zh-CN"/>
        </w:rPr>
        <w:t>均不得含有投标报价内容，否则作无效标处理</w:t>
      </w:r>
      <w:r>
        <w:rPr>
          <w:rFonts w:hint="eastAsia" w:ascii="宋体" w:hAnsi="宋体" w:cs="宋体"/>
          <w:color w:val="auto"/>
          <w:sz w:val="24"/>
          <w:highlight w:val="none"/>
          <w:lang w:val="zh-CN"/>
        </w:rPr>
        <w:t>。</w:t>
      </w:r>
    </w:p>
    <w:p w14:paraId="1196150A">
      <w:pPr>
        <w:pStyle w:val="5"/>
        <w:adjustRightInd w:val="0"/>
        <w:snapToGrid w:val="0"/>
        <w:spacing w:line="360" w:lineRule="auto"/>
        <w:ind w:firstLine="480" w:firstLineChars="200"/>
        <w:jc w:val="both"/>
        <w:rPr>
          <w:rFonts w:ascii="宋体" w:hAnsi="宋体" w:eastAsia="宋体" w:cs="宋体"/>
          <w:b/>
          <w:bCs/>
          <w:color w:val="auto"/>
          <w:sz w:val="24"/>
          <w:szCs w:val="24"/>
          <w:highlight w:val="none"/>
        </w:rPr>
      </w:pPr>
      <w:bookmarkStart w:id="51" w:name="_Hlt26670360"/>
      <w:bookmarkEnd w:id="51"/>
      <w:bookmarkStart w:id="52" w:name="_Hlt26954838"/>
      <w:bookmarkEnd w:id="52"/>
      <w:bookmarkStart w:id="53" w:name="_Hlt26668975"/>
      <w:bookmarkEnd w:id="53"/>
      <w:bookmarkStart w:id="54" w:name="_Toc14577360"/>
      <w:bookmarkStart w:id="55" w:name="_Toc49090511"/>
      <w:r>
        <w:rPr>
          <w:rFonts w:hint="eastAsia" w:ascii="宋体" w:hAnsi="宋体" w:eastAsia="宋体" w:cs="宋体"/>
          <w:color w:val="auto"/>
          <w:sz w:val="24"/>
          <w:szCs w:val="24"/>
          <w:highlight w:val="none"/>
        </w:rPr>
        <w:t>6.投标有效期</w:t>
      </w:r>
      <w:bookmarkEnd w:id="54"/>
      <w:bookmarkEnd w:id="55"/>
    </w:p>
    <w:p w14:paraId="1A508E4C">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6.1投标有效期为采购人规定的开标之日后</w:t>
      </w:r>
      <w:r>
        <w:rPr>
          <w:rFonts w:hint="eastAsia" w:ascii="宋体" w:hAnsi="宋体" w:cs="宋体"/>
          <w:b/>
          <w:color w:val="auto"/>
          <w:sz w:val="24"/>
          <w:highlight w:val="none"/>
          <w:u w:val="single"/>
        </w:rPr>
        <w:t>六十（60）天</w:t>
      </w:r>
      <w:r>
        <w:rPr>
          <w:rFonts w:hint="eastAsia" w:ascii="宋体" w:hAnsi="宋体" w:cs="宋体"/>
          <w:bCs/>
          <w:color w:val="auto"/>
          <w:sz w:val="24"/>
          <w:highlight w:val="none"/>
        </w:rPr>
        <w:t>。投标有效期比规定短的将被视为非响应性投标而予以拒绝。</w:t>
      </w:r>
    </w:p>
    <w:p w14:paraId="7B3E4CA3">
      <w:pPr>
        <w:pStyle w:val="5"/>
        <w:adjustRightInd w:val="0"/>
        <w:snapToGrid w:val="0"/>
        <w:spacing w:line="360" w:lineRule="auto"/>
        <w:ind w:firstLine="480" w:firstLineChars="200"/>
        <w:jc w:val="both"/>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7.投标有效期的延长</w:t>
      </w:r>
    </w:p>
    <w:p w14:paraId="25BD419A">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7.1在特殊情况下，采购人或采购代理机构于原投标有效期满之前，可向投标人提出延长投标有效期的要求。这种要求与答复均应采用书面形式。投标人可以拒绝采购人或采购代理机构的这一要求而放弃投标，同意延长投标有效期的投标人既不能要求也不允许修改其投标文件。同时</w:t>
      </w:r>
      <w:r>
        <w:rPr>
          <w:rFonts w:hint="eastAsia" w:ascii="宋体" w:hAnsi="宋体" w:cs="宋体"/>
          <w:color w:val="auto"/>
          <w:sz w:val="24"/>
          <w:highlight w:val="none"/>
        </w:rPr>
        <w:t>受投标有效期约束的所有权利与义务均延长至新的有效期</w:t>
      </w:r>
      <w:r>
        <w:rPr>
          <w:rFonts w:hint="eastAsia" w:ascii="宋体" w:hAnsi="宋体" w:cs="宋体"/>
          <w:bCs/>
          <w:color w:val="auto"/>
          <w:sz w:val="24"/>
          <w:highlight w:val="none"/>
        </w:rPr>
        <w:t>。</w:t>
      </w:r>
    </w:p>
    <w:p w14:paraId="70019D01">
      <w:pPr>
        <w:pStyle w:val="4"/>
        <w:adjustRightInd w:val="0"/>
        <w:snapToGrid w:val="0"/>
        <w:spacing w:before="0" w:after="0" w:line="360" w:lineRule="auto"/>
        <w:ind w:firstLine="482" w:firstLineChars="200"/>
        <w:rPr>
          <w:rFonts w:ascii="宋体" w:hAnsi="宋体" w:cs="宋体"/>
          <w:color w:val="auto"/>
          <w:sz w:val="24"/>
          <w:szCs w:val="24"/>
          <w:highlight w:val="none"/>
        </w:rPr>
      </w:pPr>
      <w:bookmarkStart w:id="56" w:name="_Hlt26954852"/>
      <w:bookmarkEnd w:id="56"/>
      <w:bookmarkStart w:id="57" w:name="_Hlt26954739"/>
      <w:bookmarkEnd w:id="57"/>
      <w:bookmarkStart w:id="58" w:name="_Toc513029224"/>
      <w:bookmarkStart w:id="59" w:name="_Toc20823296"/>
      <w:bookmarkStart w:id="60" w:name="_Toc120614217"/>
      <w:bookmarkStart w:id="61" w:name="_Toc16938540"/>
      <w:r>
        <w:rPr>
          <w:rFonts w:hint="eastAsia" w:ascii="宋体" w:hAnsi="宋体" w:cs="宋体"/>
          <w:color w:val="auto"/>
          <w:sz w:val="24"/>
          <w:szCs w:val="24"/>
          <w:highlight w:val="none"/>
        </w:rPr>
        <w:t>（四）投标文件的递交</w:t>
      </w:r>
      <w:bookmarkEnd w:id="58"/>
      <w:bookmarkEnd w:id="59"/>
      <w:bookmarkEnd w:id="60"/>
      <w:bookmarkEnd w:id="61"/>
    </w:p>
    <w:p w14:paraId="393841DF">
      <w:pPr>
        <w:adjustRightInd w:val="0"/>
        <w:snapToGrid w:val="0"/>
        <w:spacing w:line="360" w:lineRule="auto"/>
        <w:ind w:firstLine="480" w:firstLineChars="200"/>
        <w:rPr>
          <w:rFonts w:ascii="宋体" w:hAnsi="宋体" w:cs="宋体"/>
          <w:bCs/>
          <w:color w:val="auto"/>
          <w:sz w:val="24"/>
          <w:highlight w:val="none"/>
        </w:rPr>
      </w:pPr>
      <w:bookmarkStart w:id="62" w:name="_Toc16938542"/>
      <w:bookmarkStart w:id="63" w:name="_Toc513029226"/>
      <w:bookmarkStart w:id="64" w:name="_Toc20823298"/>
      <w:r>
        <w:rPr>
          <w:rFonts w:hint="eastAsia" w:ascii="宋体" w:hAnsi="宋体" w:cs="宋体"/>
          <w:bCs/>
          <w:color w:val="auto"/>
          <w:sz w:val="24"/>
          <w:highlight w:val="none"/>
        </w:rPr>
        <w:t>1.投标文件的递交</w:t>
      </w:r>
    </w:p>
    <w:p w14:paraId="2A2F2D07">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投标人应当在投标文件提交截止时间前制作并提交其投标文件。</w:t>
      </w:r>
    </w:p>
    <w:p w14:paraId="1DF86772">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2.提交投标文件截止时间</w:t>
      </w:r>
      <w:bookmarkEnd w:id="62"/>
      <w:bookmarkEnd w:id="63"/>
      <w:bookmarkEnd w:id="64"/>
    </w:p>
    <w:p w14:paraId="4664A957">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2.1投标人递交投标文件的时间不得迟于招标公告中规定的投标文件递交截止时间。</w:t>
      </w:r>
    </w:p>
    <w:p w14:paraId="1F3C1F1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2.2采购人可以按照规定，通过修改招标文件酌情延长提交投标文件截止日期，在此情况下，投标人的所有权利和义务以及投标人受制的截止日期均应以延长后新的截止日期为准。</w:t>
      </w:r>
    </w:p>
    <w:p w14:paraId="5685E1BA">
      <w:pPr>
        <w:adjustRightInd w:val="0"/>
        <w:snapToGrid w:val="0"/>
        <w:spacing w:line="360" w:lineRule="auto"/>
        <w:ind w:firstLine="480" w:firstLineChars="200"/>
        <w:rPr>
          <w:rFonts w:ascii="宋体" w:hAnsi="宋体" w:cs="宋体"/>
          <w:bCs/>
          <w:color w:val="auto"/>
          <w:sz w:val="24"/>
          <w:highlight w:val="none"/>
        </w:rPr>
      </w:pPr>
      <w:bookmarkStart w:id="65" w:name="_Toc20823299"/>
      <w:bookmarkStart w:id="66" w:name="_Toc513029227"/>
      <w:bookmarkStart w:id="67" w:name="_Toc16938543"/>
      <w:r>
        <w:rPr>
          <w:rFonts w:hint="eastAsia" w:ascii="宋体" w:hAnsi="宋体" w:cs="宋体"/>
          <w:bCs/>
          <w:color w:val="auto"/>
          <w:sz w:val="24"/>
          <w:highlight w:val="none"/>
        </w:rPr>
        <w:t>3.投标文件</w:t>
      </w:r>
      <w:bookmarkEnd w:id="65"/>
      <w:bookmarkEnd w:id="66"/>
      <w:bookmarkEnd w:id="67"/>
      <w:r>
        <w:rPr>
          <w:rFonts w:hint="eastAsia" w:ascii="宋体" w:hAnsi="宋体" w:cs="宋体"/>
          <w:bCs/>
          <w:color w:val="auto"/>
          <w:sz w:val="24"/>
          <w:highlight w:val="none"/>
        </w:rPr>
        <w:t>的拒收</w:t>
      </w:r>
    </w:p>
    <w:p w14:paraId="5CDF008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采购人拒绝接收在其规定的提交投标文件截止时间后递交的任何投标文件。</w:t>
      </w:r>
    </w:p>
    <w:p w14:paraId="5CB68C86">
      <w:pPr>
        <w:adjustRightInd w:val="0"/>
        <w:snapToGrid w:val="0"/>
        <w:spacing w:line="360" w:lineRule="auto"/>
        <w:ind w:firstLine="480" w:firstLineChars="200"/>
        <w:rPr>
          <w:rFonts w:ascii="宋体" w:hAnsi="宋体" w:cs="宋体"/>
          <w:bCs/>
          <w:color w:val="auto"/>
          <w:sz w:val="24"/>
          <w:highlight w:val="none"/>
        </w:rPr>
      </w:pPr>
      <w:bookmarkStart w:id="68" w:name="_Toc513029228"/>
      <w:bookmarkStart w:id="69" w:name="_Toc16938544"/>
      <w:bookmarkStart w:id="70" w:name="_Toc20823300"/>
      <w:r>
        <w:rPr>
          <w:rFonts w:hint="eastAsia" w:ascii="宋体" w:hAnsi="宋体" w:cs="宋体"/>
          <w:bCs/>
          <w:color w:val="auto"/>
          <w:sz w:val="24"/>
          <w:highlight w:val="none"/>
        </w:rPr>
        <w:t>4.投标文件的撤回和修改</w:t>
      </w:r>
      <w:bookmarkEnd w:id="68"/>
      <w:bookmarkEnd w:id="69"/>
      <w:bookmarkEnd w:id="70"/>
    </w:p>
    <w:p w14:paraId="51A51B9F">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4.1投标文件的撤回</w:t>
      </w:r>
    </w:p>
    <w:p w14:paraId="3AD6FB41">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4.1.1投标人可在投标截止时</w:t>
      </w:r>
      <w:r>
        <w:rPr>
          <w:rFonts w:hint="eastAsia" w:ascii="宋体" w:hAnsi="宋体" w:cs="宋体"/>
          <w:bCs/>
          <w:color w:val="auto"/>
          <w:sz w:val="24"/>
          <w:highlight w:val="none"/>
          <w:lang w:eastAsia="zh-CN"/>
        </w:rPr>
        <w:t>间之</w:t>
      </w:r>
      <w:r>
        <w:rPr>
          <w:rFonts w:hint="eastAsia" w:ascii="宋体" w:hAnsi="宋体" w:cs="宋体"/>
          <w:bCs/>
          <w:color w:val="auto"/>
          <w:sz w:val="24"/>
          <w:highlight w:val="none"/>
        </w:rPr>
        <w:t>前，以书面的形式撤回其递交的投标文件。</w:t>
      </w:r>
    </w:p>
    <w:p w14:paraId="335A12E7">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4.1.2投标人撤回投标文件，则认为其不再参与本项目投标活动。</w:t>
      </w:r>
    </w:p>
    <w:p w14:paraId="358D6BB4">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4.2投标文件的修改</w:t>
      </w:r>
    </w:p>
    <w:p w14:paraId="0D2074AA">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投标人可在投标文件递交截止时间前，对其投标文件进行修改。</w:t>
      </w:r>
    </w:p>
    <w:p w14:paraId="102EFB7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4.3在提交投标文件截止时间之后，投标人不得对其投标文件做任何修改。</w:t>
      </w:r>
    </w:p>
    <w:p w14:paraId="3BA37C2C">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4.4在提交投标文件截止时间至招标文件中规定的投标有效期满之间的这段时间内，投标人不得撤回其投标文件。</w:t>
      </w:r>
    </w:p>
    <w:p w14:paraId="437B3BF8">
      <w:pPr>
        <w:pStyle w:val="4"/>
        <w:adjustRightInd w:val="0"/>
        <w:snapToGrid w:val="0"/>
        <w:spacing w:before="0" w:after="0" w:line="360" w:lineRule="auto"/>
        <w:ind w:firstLine="482" w:firstLineChars="200"/>
        <w:rPr>
          <w:rFonts w:ascii="宋体" w:hAnsi="宋体" w:cs="宋体"/>
          <w:color w:val="auto"/>
          <w:sz w:val="24"/>
          <w:szCs w:val="24"/>
          <w:highlight w:val="none"/>
        </w:rPr>
      </w:pPr>
      <w:bookmarkStart w:id="71" w:name="_Toc513029229"/>
      <w:bookmarkStart w:id="72" w:name="_Toc20823301"/>
      <w:bookmarkStart w:id="73" w:name="_Toc16938545"/>
      <w:bookmarkStart w:id="74" w:name="_Toc120614218"/>
      <w:r>
        <w:rPr>
          <w:rFonts w:hint="eastAsia" w:ascii="宋体" w:hAnsi="宋体" w:cs="宋体"/>
          <w:color w:val="auto"/>
          <w:sz w:val="24"/>
          <w:szCs w:val="24"/>
          <w:highlight w:val="none"/>
        </w:rPr>
        <w:t>（五）开标与评标</w:t>
      </w:r>
      <w:bookmarkEnd w:id="71"/>
      <w:bookmarkEnd w:id="72"/>
      <w:bookmarkEnd w:id="73"/>
      <w:bookmarkEnd w:id="74"/>
    </w:p>
    <w:p w14:paraId="30F1BD84">
      <w:pPr>
        <w:pStyle w:val="5"/>
        <w:adjustRightInd w:val="0"/>
        <w:snapToGrid w:val="0"/>
        <w:spacing w:line="360" w:lineRule="auto"/>
        <w:ind w:firstLine="480" w:firstLineChars="200"/>
        <w:jc w:val="both"/>
        <w:rPr>
          <w:rFonts w:ascii="宋体" w:hAnsi="宋体" w:eastAsia="宋体" w:cs="宋体"/>
          <w:b/>
          <w:bCs/>
          <w:color w:val="auto"/>
          <w:sz w:val="24"/>
          <w:szCs w:val="24"/>
          <w:highlight w:val="none"/>
        </w:rPr>
      </w:pPr>
      <w:bookmarkStart w:id="75" w:name="_Toc16938546"/>
      <w:bookmarkStart w:id="76" w:name="_Toc20823302"/>
      <w:bookmarkStart w:id="77" w:name="_Toc513029230"/>
      <w:r>
        <w:rPr>
          <w:rFonts w:hint="eastAsia" w:ascii="宋体" w:hAnsi="宋体" w:eastAsia="宋体" w:cs="宋体"/>
          <w:color w:val="auto"/>
          <w:sz w:val="24"/>
          <w:szCs w:val="24"/>
          <w:highlight w:val="none"/>
        </w:rPr>
        <w:t>1.开标</w:t>
      </w:r>
      <w:bookmarkEnd w:id="75"/>
      <w:bookmarkEnd w:id="76"/>
      <w:bookmarkEnd w:id="77"/>
    </w:p>
    <w:p w14:paraId="5093E26E">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1.1采购人或采购代理机构将在招标公告中规定的时间和地点组织公开开标。</w:t>
      </w:r>
    </w:p>
    <w:p w14:paraId="54B3A931">
      <w:pPr>
        <w:adjustRightInd w:val="0"/>
        <w:snapToGrid w:val="0"/>
        <w:spacing w:line="360" w:lineRule="auto"/>
        <w:ind w:firstLine="480" w:firstLineChars="200"/>
        <w:rPr>
          <w:rFonts w:ascii="宋体" w:hAnsi="宋体" w:cs="宋体"/>
          <w:color w:val="auto"/>
          <w:sz w:val="24"/>
          <w:highlight w:val="none"/>
        </w:rPr>
      </w:pPr>
      <w:bookmarkStart w:id="78" w:name="_Toc16938547"/>
      <w:bookmarkStart w:id="79" w:name="_Toc20823303"/>
      <w:bookmarkStart w:id="80" w:name="_Toc513029231"/>
      <w:r>
        <w:rPr>
          <w:rFonts w:hint="eastAsia" w:ascii="宋体" w:hAnsi="宋体" w:cs="宋体"/>
          <w:color w:val="auto"/>
          <w:sz w:val="24"/>
          <w:highlight w:val="none"/>
        </w:rPr>
        <w:t>2.评标委员会</w:t>
      </w:r>
    </w:p>
    <w:p w14:paraId="00E89566">
      <w:pPr>
        <w:adjustRightInd w:val="0"/>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2.1开标后，采购人或采购代理机构将立即组织评标委员会（以下简称评委会）进行评标。</w:t>
      </w:r>
    </w:p>
    <w:p w14:paraId="7BD727A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2.2评委会由采购人代表和有关技术、经济等方面的专家组成，且人员构成符合有关规定。</w:t>
      </w:r>
    </w:p>
    <w:p w14:paraId="0659E06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2.3评委会独立工作，负责评审所有投标文件并确定中标候选人。</w:t>
      </w:r>
    </w:p>
    <w:p w14:paraId="5BBB94BB">
      <w:pPr>
        <w:pStyle w:val="5"/>
        <w:adjustRightInd w:val="0"/>
        <w:snapToGrid w:val="0"/>
        <w:spacing w:line="360" w:lineRule="auto"/>
        <w:ind w:firstLine="480" w:firstLineChars="200"/>
        <w:jc w:val="both"/>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3.评标过程的保密与公正</w:t>
      </w:r>
      <w:bookmarkEnd w:id="78"/>
      <w:bookmarkEnd w:id="79"/>
      <w:bookmarkEnd w:id="80"/>
    </w:p>
    <w:p w14:paraId="0CA009FC">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3.1</w:t>
      </w:r>
      <w:r>
        <w:rPr>
          <w:rFonts w:hint="eastAsia" w:ascii="宋体" w:hAnsi="宋体" w:cs="宋体"/>
          <w:bCs/>
          <w:color w:val="auto"/>
          <w:sz w:val="24"/>
          <w:highlight w:val="none"/>
        </w:rPr>
        <w:t>凡是与审查、澄清、评价和比较投标的有关资料以及授标建议等，采购人、评委、采购代理机构均不得向投标人或与评标无关的其他人员透露。</w:t>
      </w:r>
    </w:p>
    <w:p w14:paraId="5FADB409">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3.2在评标过程中，投标人不得以任何行为影响评标过程，否则其投标文件将被作为无效投标文件。</w:t>
      </w:r>
    </w:p>
    <w:p w14:paraId="55FBBA2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3.3在评标期间，采购代理机构将设专门人员与投标人联系。</w:t>
      </w:r>
    </w:p>
    <w:p w14:paraId="7CB7681D">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3.4采购人或采购代理机构和评标委员会不向未中标的投标人解释未中标原因，也不公布评标过程中的相关细节。</w:t>
      </w:r>
    </w:p>
    <w:p w14:paraId="1DD8C4B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3.5采用综合评分法的项目，公布评标结果时一并公布所有投标人的评审得分及排序情况。</w:t>
      </w:r>
    </w:p>
    <w:p w14:paraId="6DBB8871">
      <w:pPr>
        <w:pStyle w:val="5"/>
        <w:adjustRightInd w:val="0"/>
        <w:snapToGrid w:val="0"/>
        <w:spacing w:line="360" w:lineRule="auto"/>
        <w:ind w:firstLine="480" w:firstLineChars="200"/>
        <w:jc w:val="both"/>
        <w:rPr>
          <w:rFonts w:ascii="宋体" w:hAnsi="宋体" w:eastAsia="宋体" w:cs="宋体"/>
          <w:b/>
          <w:bCs/>
          <w:color w:val="auto"/>
          <w:sz w:val="24"/>
          <w:szCs w:val="24"/>
          <w:highlight w:val="none"/>
        </w:rPr>
      </w:pPr>
      <w:bookmarkStart w:id="81" w:name="_Toc16938548"/>
      <w:bookmarkStart w:id="82" w:name="_Toc513029232"/>
      <w:bookmarkStart w:id="83" w:name="_Toc20823304"/>
      <w:r>
        <w:rPr>
          <w:rFonts w:hint="eastAsia" w:ascii="宋体" w:hAnsi="宋体" w:eastAsia="宋体" w:cs="宋体"/>
          <w:color w:val="auto"/>
          <w:sz w:val="24"/>
          <w:szCs w:val="24"/>
          <w:highlight w:val="none"/>
        </w:rPr>
        <w:t>4.投标文件的澄清</w:t>
      </w:r>
      <w:bookmarkEnd w:id="81"/>
      <w:bookmarkEnd w:id="82"/>
      <w:bookmarkEnd w:id="83"/>
    </w:p>
    <w:p w14:paraId="1A84A50F">
      <w:pPr>
        <w:adjustRightInd w:val="0"/>
        <w:snapToGrid w:val="0"/>
        <w:spacing w:line="360" w:lineRule="auto"/>
        <w:ind w:firstLine="480" w:firstLineChars="200"/>
        <w:rPr>
          <w:rFonts w:ascii="宋体" w:hAnsi="宋体" w:cs="宋体"/>
          <w:color w:val="auto"/>
          <w:sz w:val="24"/>
          <w:highlight w:val="none"/>
        </w:rPr>
      </w:pPr>
      <w:bookmarkStart w:id="84" w:name="_Toc20823305"/>
      <w:bookmarkStart w:id="85" w:name="_Toc513029233"/>
      <w:bookmarkStart w:id="86" w:name="_Toc16938549"/>
      <w:r>
        <w:rPr>
          <w:rFonts w:hint="eastAsia" w:ascii="宋体" w:hAnsi="宋体" w:cs="宋体"/>
          <w:color w:val="auto"/>
          <w:sz w:val="24"/>
          <w:highlight w:val="none"/>
        </w:rPr>
        <w:t>4.1评标期间，评委会对投标文件中含义不明确、同类问题表述不一致或者有明显文字和计算错误的内容，有权要求投标人作出必要的澄清、说明或者补正。</w:t>
      </w:r>
    </w:p>
    <w:p w14:paraId="31C0B0C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投标人的澄清、说明或者补正不得超出投标文件的范围或者改变投标文件的实质性内容。</w:t>
      </w:r>
    </w:p>
    <w:p w14:paraId="273E66A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评标委员会并非对每个投标人都做澄清要求。</w:t>
      </w:r>
    </w:p>
    <w:p w14:paraId="6F8F9E5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需要投标人进行澄清、说明和补正的，评委会将通过采购人或采购代理机构向投标人发出“澄清要求函”，接到“澄清要求函”的投标人应当按照要求书面提交“澄清响应函”。澄清、说明和补正的内容作为投标文件的补充部分。</w:t>
      </w:r>
    </w:p>
    <w:p w14:paraId="260308A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4.3接到评委会澄清、说明和补正要求的投标人如未按规定</w:t>
      </w:r>
      <w:r>
        <w:rPr>
          <w:rFonts w:hint="eastAsia" w:ascii="宋体" w:hAnsi="宋体" w:cs="宋体"/>
          <w:color w:val="auto"/>
          <w:sz w:val="24"/>
          <w:highlight w:val="none"/>
          <w:lang w:eastAsia="zh-CN"/>
        </w:rPr>
        <w:t>作出</w:t>
      </w:r>
      <w:r>
        <w:rPr>
          <w:rFonts w:hint="eastAsia" w:ascii="宋体" w:hAnsi="宋体" w:cs="宋体"/>
          <w:color w:val="auto"/>
          <w:sz w:val="24"/>
          <w:highlight w:val="none"/>
        </w:rPr>
        <w:t>澄清、说明和补正，其风险由投标人自行承担。</w:t>
      </w:r>
    </w:p>
    <w:p w14:paraId="666695EB">
      <w:pPr>
        <w:pStyle w:val="5"/>
        <w:adjustRightInd w:val="0"/>
        <w:snapToGrid w:val="0"/>
        <w:spacing w:line="360" w:lineRule="auto"/>
        <w:ind w:firstLine="480" w:firstLineChars="200"/>
        <w:jc w:val="both"/>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5.对投标文件的初审</w:t>
      </w:r>
      <w:bookmarkEnd w:id="84"/>
      <w:bookmarkEnd w:id="85"/>
      <w:bookmarkEnd w:id="86"/>
    </w:p>
    <w:p w14:paraId="61D4C6C3">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5.1</w:t>
      </w:r>
      <w:r>
        <w:rPr>
          <w:rFonts w:hint="eastAsia" w:ascii="宋体" w:hAnsi="宋体" w:cs="宋体"/>
          <w:bCs/>
          <w:color w:val="auto"/>
          <w:sz w:val="24"/>
          <w:highlight w:val="none"/>
        </w:rPr>
        <w:t>投标文件初审分为资格审查和符合性审查。</w:t>
      </w:r>
    </w:p>
    <w:p w14:paraId="4F66A8DC">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5.1.1资格审查：依据法律法规和招标文件的规定，由评委会对投标文件中的资格证明文件进行审查。</w:t>
      </w:r>
    </w:p>
    <w:p w14:paraId="7331A574">
      <w:p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采购人在进行资格性审查的同时，将在“信用中国”网站（www.creditchina.gov.cn）查询投标人的信用记录，以确定投标人是否具备投标资格</w:t>
      </w:r>
      <w:r>
        <w:rPr>
          <w:rFonts w:hint="eastAsia" w:ascii="宋体" w:hAnsi="宋体" w:cs="宋体"/>
          <w:b/>
          <w:color w:val="auto"/>
          <w:sz w:val="24"/>
          <w:highlight w:val="none"/>
          <w:lang w:eastAsia="zh-CN"/>
        </w:rPr>
        <w:t>，</w:t>
      </w:r>
      <w:r>
        <w:rPr>
          <w:rFonts w:hint="eastAsia" w:ascii="宋体" w:hAnsi="宋体" w:cs="宋体"/>
          <w:b/>
          <w:color w:val="auto"/>
          <w:sz w:val="24"/>
          <w:highlight w:val="none"/>
        </w:rPr>
        <w:t>查询结果留存并归档。</w:t>
      </w:r>
    </w:p>
    <w:p w14:paraId="7C70D8A3">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5.1.2符合性审查：依据招标文件的规定，由评委会从投标文件的有效性、完整性和对招标文件的响应程度进行审查，以确定是否对招标文件的实质性要求作出响应。</w:t>
      </w:r>
    </w:p>
    <w:p w14:paraId="1183E81F">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5.1.3未通过资格审查或符合性审查的投标人，采购人或采购代理机构告知未通过资格审查或符合性审查的原因，评审结束后，采购人或采购代理机构将不再告知未通过资格审查或符合性审查的原因。</w:t>
      </w:r>
    </w:p>
    <w:p w14:paraId="73D3580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66D1176F">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color w:val="auto"/>
          <w:sz w:val="24"/>
          <w:highlight w:val="none"/>
        </w:rPr>
        <w:t>评委决定投标文件的响应性只根据投标文件本身的内容，而不寻求外部的证据。</w:t>
      </w:r>
    </w:p>
    <w:p w14:paraId="5FB7B274">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5.3</w:t>
      </w:r>
      <w:r>
        <w:rPr>
          <w:rFonts w:hint="eastAsia" w:ascii="宋体" w:hAnsi="宋体" w:cs="宋体"/>
          <w:bCs/>
          <w:color w:val="auto"/>
          <w:sz w:val="24"/>
          <w:highlight w:val="none"/>
        </w:rPr>
        <w:t>如果投标文件实质上没有响应招标文件的要求，评委会将予以拒绝，投标人不得通过修改或撤销不符合要求的偏离或保留而使其投标成为实质性响应的投标。</w:t>
      </w:r>
    </w:p>
    <w:p w14:paraId="1F8F51F0">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5.4</w:t>
      </w:r>
      <w:r>
        <w:rPr>
          <w:rFonts w:hint="eastAsia" w:ascii="宋体" w:hAnsi="宋体" w:cs="宋体"/>
          <w:bCs/>
          <w:color w:val="auto"/>
          <w:sz w:val="24"/>
          <w:highlight w:val="none"/>
        </w:rPr>
        <w:t>评委会将对确定为实质性响应的投标进行进一步审核，确定其是否有计算上或累加上的算术错误，修正错误的原则如下：</w:t>
      </w:r>
    </w:p>
    <w:p w14:paraId="44A2F32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（1）投标文件中开标一览表内容与投标文件中相应内容不一致的，以开标一览表为准。</w:t>
      </w:r>
    </w:p>
    <w:p w14:paraId="1B1C736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（2）大写金额和小写金额不一致的，以大写金额为准。</w:t>
      </w:r>
    </w:p>
    <w:p w14:paraId="2F0AC95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（3）单价金额小数点或者百分比有明显错位的，以开标一览表的总价为准，并修改单价。</w:t>
      </w:r>
    </w:p>
    <w:p w14:paraId="73F3189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（4）总价金额与按单价汇总金额不一致的，以单价金额计算结果为准。</w:t>
      </w:r>
    </w:p>
    <w:p w14:paraId="61EE56AE">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同时出现两种以上错误的，按照前款规定的顺序修正。</w:t>
      </w:r>
    </w:p>
    <w:p w14:paraId="5FFE5FDB">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5.5</w:t>
      </w:r>
      <w:r>
        <w:rPr>
          <w:rFonts w:hint="eastAsia" w:ascii="宋体" w:hAnsi="宋体" w:cs="宋体"/>
          <w:bCs/>
          <w:color w:val="auto"/>
          <w:sz w:val="24"/>
          <w:highlight w:val="none"/>
        </w:rPr>
        <w:t>评委会将按上述修正错误的方法调整投标文件中的投标报价，并告知投标人，调整后的价格应对投标人具有约束力。如果投标人不接受修正后的价格，则其投标将被拒绝。</w:t>
      </w:r>
    </w:p>
    <w:p w14:paraId="7AC94A92">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5.6</w:t>
      </w:r>
      <w:r>
        <w:rPr>
          <w:rFonts w:hint="eastAsia" w:ascii="宋体" w:hAnsi="宋体" w:cs="宋体"/>
          <w:bCs/>
          <w:color w:val="auto"/>
          <w:sz w:val="24"/>
          <w:highlight w:val="none"/>
        </w:rPr>
        <w:t>评委会将允许修正投标文件中不构成重大偏离的、微小的、非正规的、不一致的或不规则的地方，但这些修改不能影响任何投标人相应的名次排列。</w:t>
      </w:r>
    </w:p>
    <w:p w14:paraId="03CC5DCF">
      <w:pPr>
        <w:adjustRightInd w:val="0"/>
        <w:snapToGrid w:val="0"/>
        <w:spacing w:line="360" w:lineRule="auto"/>
        <w:ind w:firstLine="480" w:firstLineChars="200"/>
        <w:rPr>
          <w:rFonts w:ascii="宋体" w:hAnsi="宋体" w:cs="宋体"/>
          <w:color w:val="auto"/>
          <w:sz w:val="24"/>
          <w:highlight w:val="none"/>
        </w:rPr>
      </w:pPr>
      <w:bookmarkStart w:id="87" w:name="_Toc16938550"/>
      <w:bookmarkStart w:id="88" w:name="_Toc513029234"/>
      <w:bookmarkStart w:id="89" w:name="_Toc20823306"/>
      <w:r>
        <w:rPr>
          <w:rFonts w:hint="eastAsia" w:ascii="宋体" w:hAnsi="宋体" w:cs="宋体"/>
          <w:color w:val="auto"/>
          <w:sz w:val="24"/>
          <w:highlight w:val="none"/>
        </w:rPr>
        <w:t>5.7投标人在开、评标全过程中应保持通讯畅通，并安排专人与采购人或采购代理机构联系。</w:t>
      </w:r>
      <w:bookmarkEnd w:id="87"/>
      <w:bookmarkEnd w:id="88"/>
      <w:bookmarkEnd w:id="89"/>
    </w:p>
    <w:p w14:paraId="2960AF87">
      <w:pPr>
        <w:pStyle w:val="5"/>
        <w:adjustRightInd w:val="0"/>
        <w:snapToGrid w:val="0"/>
        <w:spacing w:line="360" w:lineRule="auto"/>
        <w:ind w:firstLine="480" w:firstLineChars="200"/>
        <w:jc w:val="both"/>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6.无效投标条款和废标条款</w:t>
      </w:r>
    </w:p>
    <w:p w14:paraId="0D63A945">
      <w:pPr>
        <w:adjustRightInd w:val="0"/>
        <w:snapToGrid w:val="0"/>
        <w:spacing w:line="360" w:lineRule="auto"/>
        <w:ind w:firstLine="480" w:firstLineChars="200"/>
        <w:rPr>
          <w:rFonts w:ascii="宋体" w:hAnsi="宋体" w:cs="宋体"/>
          <w:bCs/>
          <w:color w:val="auto"/>
          <w:sz w:val="24"/>
          <w:highlight w:val="none"/>
        </w:rPr>
      </w:pPr>
      <w:bookmarkStart w:id="90" w:name="_Toc16938551"/>
      <w:bookmarkStart w:id="91" w:name="_Toc20823307"/>
      <w:bookmarkStart w:id="92" w:name="_Toc513029235"/>
      <w:r>
        <w:rPr>
          <w:rFonts w:hint="eastAsia" w:ascii="宋体" w:hAnsi="宋体" w:cs="宋体"/>
          <w:bCs/>
          <w:color w:val="auto"/>
          <w:sz w:val="24"/>
          <w:highlight w:val="none"/>
        </w:rPr>
        <w:t>6.1无效投标条款</w:t>
      </w:r>
    </w:p>
    <w:p w14:paraId="36A73F9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6.1.1投标文件未按规定要求装订、密封、签署、盖章。</w:t>
      </w:r>
    </w:p>
    <w:p w14:paraId="347E0587">
      <w:pPr>
        <w:adjustRightInd w:val="0"/>
        <w:snapToGrid w:val="0"/>
        <w:spacing w:line="360" w:lineRule="auto"/>
        <w:ind w:firstLine="480" w:firstLineChars="200"/>
        <w:rPr>
          <w:rFonts w:ascii="宋体" w:hAnsi="宋体" w:cs="宋体"/>
          <w:bCs/>
          <w:color w:val="auto"/>
          <w:sz w:val="24"/>
          <w:highlight w:val="none"/>
          <w:lang w:val="zh-CN"/>
        </w:rPr>
      </w:pPr>
      <w:r>
        <w:rPr>
          <w:rFonts w:hint="eastAsia" w:ascii="宋体" w:hAnsi="宋体" w:cs="宋体"/>
          <w:bCs/>
          <w:color w:val="auto"/>
          <w:sz w:val="24"/>
          <w:highlight w:val="none"/>
        </w:rPr>
        <w:t>6.1.2资格审查证明材料、商务技术标中出现投标报价的</w:t>
      </w:r>
      <w:r>
        <w:rPr>
          <w:rFonts w:hint="eastAsia" w:ascii="宋体" w:hAnsi="宋体" w:cs="宋体"/>
          <w:bCs/>
          <w:color w:val="auto"/>
          <w:sz w:val="24"/>
          <w:highlight w:val="none"/>
          <w:lang w:val="zh-CN"/>
        </w:rPr>
        <w:t>。</w:t>
      </w:r>
    </w:p>
    <w:p w14:paraId="4BF9EDF0">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6.1.3同一投标人提交两个（含两个）以上不同的投标报价的。</w:t>
      </w:r>
    </w:p>
    <w:p w14:paraId="1294CFC8">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6.1.4投标人不具备招标文件中规定资格要求的。</w:t>
      </w:r>
    </w:p>
    <w:p w14:paraId="2F45BD51">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6.1.5投标人的报价超过了采购预算或最高限价的。</w:t>
      </w:r>
    </w:p>
    <w:p w14:paraId="0C3A1DB1">
      <w:pPr>
        <w:adjustRightInd w:val="0"/>
        <w:snapToGrid w:val="0"/>
        <w:spacing w:line="360" w:lineRule="auto"/>
        <w:ind w:firstLine="480" w:firstLineChars="200"/>
        <w:rPr>
          <w:rFonts w:ascii="宋体" w:hAnsi="宋体" w:cs="宋体"/>
          <w:bCs/>
          <w:i/>
          <w:color w:val="auto"/>
          <w:sz w:val="24"/>
          <w:highlight w:val="none"/>
          <w:u w:val="single"/>
        </w:rPr>
      </w:pPr>
      <w:r>
        <w:rPr>
          <w:rFonts w:hint="eastAsia" w:ascii="宋体" w:hAnsi="宋体" w:cs="宋体"/>
          <w:bCs/>
          <w:color w:val="auto"/>
          <w:sz w:val="24"/>
          <w:highlight w:val="none"/>
        </w:rPr>
        <w:t>6.1.6未通过符合性审查的。</w:t>
      </w:r>
    </w:p>
    <w:p w14:paraId="1029F316">
      <w:pPr>
        <w:adjustRightInd w:val="0"/>
        <w:snapToGrid w:val="0"/>
        <w:spacing w:line="360" w:lineRule="auto"/>
        <w:ind w:firstLine="480"/>
        <w:rPr>
          <w:rFonts w:ascii="宋体" w:hAnsi="宋体" w:cs="宋体"/>
          <w:bCs/>
          <w:i/>
          <w:color w:val="auto"/>
          <w:sz w:val="24"/>
          <w:highlight w:val="none"/>
          <w:u w:val="single"/>
        </w:rPr>
      </w:pPr>
      <w:r>
        <w:rPr>
          <w:rFonts w:hint="eastAsia" w:ascii="宋体" w:hAnsi="宋体" w:cs="宋体"/>
          <w:bCs/>
          <w:color w:val="auto"/>
          <w:sz w:val="24"/>
          <w:highlight w:val="none"/>
        </w:rPr>
        <w:t>6.1.7不符合招标文件中规定的其他实质性要求和条件的</w:t>
      </w:r>
      <w:r>
        <w:rPr>
          <w:rFonts w:hint="eastAsia" w:ascii="宋体" w:hAnsi="宋体" w:cs="宋体"/>
          <w:bCs/>
          <w:i/>
          <w:iCs/>
          <w:color w:val="auto"/>
          <w:sz w:val="24"/>
          <w:highlight w:val="none"/>
          <w:u w:val="single"/>
        </w:rPr>
        <w:t>（本招标文件中斜体且有下划线部分为实质性要求）</w:t>
      </w:r>
      <w:r>
        <w:rPr>
          <w:rFonts w:hint="eastAsia" w:ascii="宋体" w:hAnsi="宋体" w:cs="宋体"/>
          <w:bCs/>
          <w:color w:val="auto"/>
          <w:sz w:val="24"/>
          <w:highlight w:val="none"/>
        </w:rPr>
        <w:t>。</w:t>
      </w:r>
    </w:p>
    <w:p w14:paraId="2D1D157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6.1.8投标人被 “信用中国”网站列入失信被执行人或</w:t>
      </w:r>
      <w:r>
        <w:rPr>
          <w:rFonts w:hint="eastAsia" w:ascii="宋体" w:hAnsi="宋体" w:cs="宋体"/>
          <w:color w:val="auto"/>
          <w:sz w:val="24"/>
          <w:highlight w:val="none"/>
        </w:rPr>
        <w:t>重大税收违法失信主体名单</w:t>
      </w:r>
      <w:r>
        <w:rPr>
          <w:rFonts w:hint="eastAsia" w:ascii="宋体" w:hAnsi="宋体" w:cs="宋体"/>
          <w:bCs/>
          <w:color w:val="auto"/>
          <w:sz w:val="24"/>
          <w:highlight w:val="none"/>
        </w:rPr>
        <w:t>或</w:t>
      </w:r>
      <w:r>
        <w:rPr>
          <w:rFonts w:hint="eastAsia" w:ascii="宋体" w:hAnsi="宋体" w:cs="宋体"/>
          <w:color w:val="auto"/>
          <w:sz w:val="24"/>
          <w:highlight w:val="none"/>
          <w:lang w:val="en-US" w:eastAsia="zh-CN"/>
        </w:rPr>
        <w:t>政府采购</w:t>
      </w:r>
      <w:r>
        <w:rPr>
          <w:rFonts w:hint="eastAsia" w:ascii="宋体" w:hAnsi="宋体" w:cs="宋体"/>
          <w:color w:val="auto"/>
          <w:sz w:val="24"/>
          <w:highlight w:val="none"/>
        </w:rPr>
        <w:t>严重</w:t>
      </w:r>
      <w:r>
        <w:rPr>
          <w:rFonts w:hint="eastAsia" w:ascii="宋体" w:hAnsi="宋体" w:cs="宋体"/>
          <w:color w:val="auto"/>
          <w:sz w:val="24"/>
          <w:highlight w:val="none"/>
          <w:lang w:val="en-US" w:eastAsia="zh-CN"/>
        </w:rPr>
        <w:t>违法</w:t>
      </w:r>
      <w:r>
        <w:rPr>
          <w:rFonts w:hint="eastAsia" w:ascii="宋体" w:hAnsi="宋体" w:cs="宋体"/>
          <w:color w:val="auto"/>
          <w:sz w:val="24"/>
          <w:highlight w:val="none"/>
        </w:rPr>
        <w:t>失信</w:t>
      </w:r>
      <w:r>
        <w:rPr>
          <w:rFonts w:hint="eastAsia" w:ascii="宋体" w:hAnsi="宋体" w:cs="宋体"/>
          <w:color w:val="auto"/>
          <w:sz w:val="24"/>
          <w:highlight w:val="none"/>
          <w:lang w:val="en-US" w:eastAsia="zh-CN"/>
        </w:rPr>
        <w:t>行为记录</w:t>
      </w:r>
      <w:r>
        <w:rPr>
          <w:rFonts w:hint="eastAsia" w:ascii="宋体" w:hAnsi="宋体" w:cs="宋体"/>
          <w:color w:val="auto"/>
          <w:sz w:val="24"/>
          <w:highlight w:val="none"/>
        </w:rPr>
        <w:t>名单</w:t>
      </w:r>
      <w:r>
        <w:rPr>
          <w:rFonts w:hint="eastAsia" w:ascii="宋体" w:hAnsi="宋体" w:cs="宋体"/>
          <w:bCs/>
          <w:color w:val="auto"/>
          <w:sz w:val="24"/>
          <w:highlight w:val="none"/>
        </w:rPr>
        <w:t>。或查询“信用中国”网站后发现投标人存在其他不符合《中华人民共和国政府采购法》第二十二条规定条件的信用记录。</w:t>
      </w:r>
    </w:p>
    <w:p w14:paraId="2470A35D">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6.1.9投标文件含有采购人不能接受的附加条件的。</w:t>
      </w:r>
    </w:p>
    <w:p w14:paraId="69145D8A">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6.1.10评标委员会认为投标人的报价明显低于其他通过符合性审查投标人的报价，有可能影响产品质量或者不能诚信履约的其他情形。评标委员会将启动异常低价投标审查程序。评标委员会要求相关投标人在评标现场合理的时间内</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一般不少于30分钟</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，提供项目具体成本测算等与报价合理性相关的书面说明及必要的证明材料，对投标价格作出解释，</w:t>
      </w:r>
      <w:r>
        <w:rPr>
          <w:rFonts w:hint="eastAsia" w:ascii="宋体" w:hAnsi="宋体" w:cs="宋体"/>
          <w:bCs/>
          <w:color w:val="auto"/>
          <w:sz w:val="24"/>
          <w:highlight w:val="none"/>
          <w:lang w:val="en-US" w:eastAsia="zh-CN"/>
        </w:rPr>
        <w:t>由评标委员会</w:t>
      </w:r>
      <w:r>
        <w:rPr>
          <w:rFonts w:hint="eastAsia" w:ascii="宋体" w:hAnsi="宋体" w:cs="宋体"/>
          <w:bCs/>
          <w:color w:val="auto"/>
          <w:sz w:val="24"/>
          <w:highlight w:val="none"/>
        </w:rPr>
        <w:t>依据专业经验，参考同类项目中标（成交）价格、类似产品市场价格水平、行业人工费用标准、国家有关部门指导行业协会发布的行业平均成本等情况，对报价合理性进行判断。投标人不提供书面说明、证明材料，或者提供的书面说明、证明材料不能证明其报价合理性的，评标委员会应当将其作为无效投标处理。</w:t>
      </w:r>
    </w:p>
    <w:p w14:paraId="19EA389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6.1.11本项目采购产品被财政部、</w:t>
      </w:r>
      <w:r>
        <w:rPr>
          <w:rFonts w:hint="eastAsia" w:ascii="宋体" w:hAnsi="宋体" w:cs="宋体"/>
          <w:bCs/>
          <w:color w:val="auto"/>
          <w:sz w:val="24"/>
          <w:highlight w:val="none"/>
          <w:lang w:eastAsia="zh-CN"/>
        </w:rPr>
        <w:t>国家发展改革委</w:t>
      </w:r>
      <w:r>
        <w:rPr>
          <w:rFonts w:hint="eastAsia" w:ascii="宋体" w:hAnsi="宋体" w:cs="宋体"/>
          <w:bCs/>
          <w:color w:val="auto"/>
          <w:sz w:val="24"/>
          <w:highlight w:val="none"/>
        </w:rPr>
        <w:t>、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0A0E3E1E">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6.1.1</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其他</w:t>
      </w:r>
      <w:r>
        <w:rPr>
          <w:rFonts w:hint="eastAsia" w:ascii="宋体" w:hAnsi="宋体" w:cs="宋体"/>
          <w:bCs/>
          <w:color w:val="auto"/>
          <w:sz w:val="24"/>
          <w:highlight w:val="none"/>
          <w:lang w:eastAsia="zh-CN"/>
        </w:rPr>
        <w:t>法律法规</w:t>
      </w:r>
      <w:r>
        <w:rPr>
          <w:rFonts w:hint="eastAsia" w:ascii="宋体" w:hAnsi="宋体" w:cs="宋体"/>
          <w:bCs/>
          <w:color w:val="auto"/>
          <w:sz w:val="24"/>
          <w:highlight w:val="none"/>
        </w:rPr>
        <w:t>及本招标文件规定的</w:t>
      </w:r>
      <w:r>
        <w:rPr>
          <w:rFonts w:hint="eastAsia" w:ascii="宋体" w:hAnsi="宋体" w:cs="宋体"/>
          <w:bCs/>
          <w:color w:val="auto"/>
          <w:sz w:val="24"/>
          <w:highlight w:val="none"/>
          <w:lang w:eastAsia="zh-CN"/>
        </w:rPr>
        <w:t>属于</w:t>
      </w:r>
      <w:r>
        <w:rPr>
          <w:rFonts w:hint="eastAsia" w:ascii="宋体" w:hAnsi="宋体" w:cs="宋体"/>
          <w:bCs/>
          <w:color w:val="auto"/>
          <w:sz w:val="24"/>
          <w:highlight w:val="none"/>
        </w:rPr>
        <w:t>无效投标的情形。</w:t>
      </w:r>
    </w:p>
    <w:p w14:paraId="29016AD3">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6.2废标条款：</w:t>
      </w:r>
    </w:p>
    <w:p w14:paraId="04BF2D6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6.2.1符合专业条件的投标人或者对招标文件作实质响应的投标人不足三家的。</w:t>
      </w:r>
    </w:p>
    <w:p w14:paraId="014D4179">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6.2.2出现影响采购公正的违法、违规行为的。</w:t>
      </w:r>
    </w:p>
    <w:p w14:paraId="7FAEE30A">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6.2.3因重大变故，采购任务取消的。</w:t>
      </w:r>
    </w:p>
    <w:p w14:paraId="0745EC61">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6.2.4评标委员会认定招标文件存在歧义、重大缺陷导致评审工作无法进行。</w:t>
      </w:r>
    </w:p>
    <w:p w14:paraId="51202D5F">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6.3投标截止时间结束后参加投标的投标人不足三家的处理：</w:t>
      </w:r>
    </w:p>
    <w:p w14:paraId="5AE775F7">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6.3.1如出现投标截止时间结束后参加投标的投标人或者在评标期间对招标文件做出实质响应的投标人不足三家情况，按采购相关规定执行。</w:t>
      </w:r>
    </w:p>
    <w:bookmarkEnd w:id="90"/>
    <w:bookmarkEnd w:id="91"/>
    <w:bookmarkEnd w:id="92"/>
    <w:p w14:paraId="45A7EF0B">
      <w:pPr>
        <w:pStyle w:val="4"/>
        <w:adjustRightInd w:val="0"/>
        <w:snapToGrid w:val="0"/>
        <w:spacing w:before="0" w:after="0" w:line="360" w:lineRule="auto"/>
        <w:ind w:firstLine="482" w:firstLineChars="200"/>
        <w:rPr>
          <w:rFonts w:ascii="宋体" w:hAnsi="宋体" w:cs="宋体"/>
          <w:color w:val="auto"/>
          <w:sz w:val="24"/>
          <w:szCs w:val="24"/>
          <w:highlight w:val="none"/>
        </w:rPr>
      </w:pPr>
      <w:bookmarkStart w:id="93" w:name="_Toc120614219"/>
      <w:r>
        <w:rPr>
          <w:rFonts w:hint="eastAsia" w:ascii="宋体" w:hAnsi="宋体" w:cs="宋体"/>
          <w:color w:val="auto"/>
          <w:sz w:val="24"/>
          <w:szCs w:val="24"/>
          <w:highlight w:val="none"/>
        </w:rPr>
        <w:t>（六）定标</w:t>
      </w:r>
      <w:bookmarkEnd w:id="93"/>
    </w:p>
    <w:p w14:paraId="382C487F">
      <w:pPr>
        <w:pStyle w:val="5"/>
        <w:adjustRightInd w:val="0"/>
        <w:snapToGrid w:val="0"/>
        <w:spacing w:line="360" w:lineRule="auto"/>
        <w:ind w:firstLine="480" w:firstLineChars="200"/>
        <w:jc w:val="both"/>
        <w:rPr>
          <w:rFonts w:ascii="宋体" w:hAnsi="宋体" w:eastAsia="宋体" w:cs="宋体"/>
          <w:b/>
          <w:color w:val="auto"/>
          <w:sz w:val="24"/>
          <w:szCs w:val="24"/>
          <w:highlight w:val="none"/>
        </w:rPr>
      </w:pPr>
      <w:bookmarkStart w:id="94" w:name="_Toc20823310"/>
      <w:bookmarkStart w:id="95" w:name="_Toc16938554"/>
      <w:r>
        <w:rPr>
          <w:rFonts w:hint="eastAsia" w:ascii="宋体" w:hAnsi="宋体" w:eastAsia="宋体" w:cs="宋体"/>
          <w:color w:val="auto"/>
          <w:sz w:val="24"/>
          <w:szCs w:val="24"/>
          <w:highlight w:val="none"/>
        </w:rPr>
        <w:t>1.确定</w:t>
      </w:r>
      <w:bookmarkEnd w:id="94"/>
      <w:bookmarkEnd w:id="95"/>
      <w:r>
        <w:rPr>
          <w:rFonts w:hint="eastAsia" w:ascii="宋体" w:hAnsi="宋体" w:eastAsia="宋体" w:cs="宋体"/>
          <w:color w:val="auto"/>
          <w:sz w:val="24"/>
          <w:szCs w:val="24"/>
          <w:highlight w:val="none"/>
        </w:rPr>
        <w:t>中标人</w:t>
      </w:r>
    </w:p>
    <w:p w14:paraId="687C0CE6">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1.1中标候选人的选取原则和数量见招标文件第四部分规定。 </w:t>
      </w:r>
    </w:p>
    <w:p w14:paraId="7A271DC3">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1.2采购人应根据评标委员会推荐的中标候选人确定中标人。</w:t>
      </w:r>
    </w:p>
    <w:p w14:paraId="1BD964E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1.3</w:t>
      </w:r>
      <w:r>
        <w:rPr>
          <w:rFonts w:hint="eastAsia" w:ascii="宋体" w:hAnsi="宋体" w:cs="宋体"/>
          <w:color w:val="auto"/>
          <w:sz w:val="24"/>
          <w:highlight w:val="none"/>
        </w:rPr>
        <w:t>采购人或采购代理机构将在南通市交通运输局网发布中标公告，公告期限为1个工作日。</w:t>
      </w:r>
    </w:p>
    <w:p w14:paraId="577D92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1.4若有充分证据证明，中标人出现下列情况之一的，一经查实，将被取消中标资格：</w:t>
      </w:r>
    </w:p>
    <w:p w14:paraId="68E5CD8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1.4.1提供虚假材料谋取中标的。</w:t>
      </w:r>
    </w:p>
    <w:p w14:paraId="37A9F37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1.4.2向采购人、采购代理机构行贿或者提供其他不正当利益的。</w:t>
      </w:r>
    </w:p>
    <w:p w14:paraId="3BDB0EF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1.4.3恶意竞争，投标总报价明显低于其自身合理成本且又无法提供证明的。</w:t>
      </w:r>
    </w:p>
    <w:p w14:paraId="33A597D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1.4.4属于本文件规定的无效条件，但在评标过程中又未被评委会发现的。</w:t>
      </w:r>
    </w:p>
    <w:p w14:paraId="6B80F74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1.4.5与采购人或者其他投标人恶意串通的。</w:t>
      </w:r>
    </w:p>
    <w:p w14:paraId="3CC4705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1.4.6采取不正当手段诋毁、排挤其他投标人的。</w:t>
      </w:r>
    </w:p>
    <w:p w14:paraId="6453DD2A">
      <w:pPr>
        <w:adjustRightInd w:val="0"/>
        <w:snapToGrid w:val="0"/>
        <w:spacing w:line="360" w:lineRule="auto"/>
        <w:ind w:firstLine="480" w:firstLineChars="200"/>
        <w:rPr>
          <w:rFonts w:ascii="宋体" w:hAnsi="宋体" w:cs="宋体"/>
          <w:color w:val="auto"/>
          <w:sz w:val="24"/>
          <w:highlight w:val="none"/>
        </w:rPr>
      </w:pPr>
      <w:bookmarkStart w:id="96" w:name="_Toc200451960"/>
      <w:r>
        <w:rPr>
          <w:rFonts w:hint="eastAsia" w:ascii="宋体" w:hAnsi="宋体" w:cs="宋体"/>
          <w:color w:val="auto"/>
          <w:sz w:val="24"/>
          <w:highlight w:val="none"/>
        </w:rPr>
        <w:t>1.5有下列情形之一的，视为投标人串通投标，投标无效：</w:t>
      </w:r>
    </w:p>
    <w:p w14:paraId="771341E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1.5.1不同投标人的投标文件由同一单位或者个人编制；</w:t>
      </w:r>
    </w:p>
    <w:p w14:paraId="6EBFDE8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1.5.2不同投标人委托同一单位或者个人办理投标事宜；</w:t>
      </w:r>
    </w:p>
    <w:p w14:paraId="1C06DB8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1.5.3不同投标人的投标文件载明的项目管理成员或者联系人员为同一人；</w:t>
      </w:r>
    </w:p>
    <w:p w14:paraId="21FD54D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1.5.4不同投标人的投标文件异常一致或者投标报价呈规律性差异；</w:t>
      </w:r>
    </w:p>
    <w:p w14:paraId="634A7C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1.5.5不同投标人的投标文件相互混装。</w:t>
      </w:r>
    </w:p>
    <w:p w14:paraId="1C901246">
      <w:pPr>
        <w:pStyle w:val="5"/>
        <w:adjustRightInd w:val="0"/>
        <w:snapToGrid w:val="0"/>
        <w:spacing w:line="360" w:lineRule="auto"/>
        <w:ind w:firstLine="480" w:firstLineChars="200"/>
        <w:jc w:val="both"/>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2.质疑处理</w:t>
      </w:r>
      <w:bookmarkEnd w:id="96"/>
    </w:p>
    <w:p w14:paraId="2C4E4C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2.1提出质疑的投标人应当是参与所质疑项目采购活动的投标人。潜在投标人依法获取其可质疑的招标文件的，可以对招标文件提出质疑。</w:t>
      </w:r>
    </w:p>
    <w:p w14:paraId="0997AC9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投标人认为招标文件、采购过程和采购结果使自己的权益受到损害的，可以在知道或应知其权益受到损害之日起七个工作日内，以书面形式向采购人或采购代理机构提出质疑。上述应知其权益受到损害之日，是指：</w:t>
      </w:r>
    </w:p>
    <w:p w14:paraId="44D9E1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2.2.1对可以质疑的招标文件提出质疑的，为收到招标文件之日或者招标文件公告期限届满之日；</w:t>
      </w:r>
    </w:p>
    <w:p w14:paraId="25BD421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2.2.2对采购过程提出质疑的，为各采购程序环节结束之日；</w:t>
      </w:r>
    </w:p>
    <w:p w14:paraId="35D9344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2.2.3对中标结果提出质疑的，为中标结果公告期限届满之日。</w:t>
      </w:r>
    </w:p>
    <w:p w14:paraId="288D68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投标人应当在法定质疑期内一次性提出针对同一采购程序环节的质疑。投标人如在法定期限内对同一采购程序环节提出多次质疑的，采购人或采购代理机构将只对投标人第一次质疑作出答复。</w:t>
      </w:r>
    </w:p>
    <w:p w14:paraId="69CA948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2.3质疑函必须按照本招标文件中《质疑函范本》要求的格式和内容进行填写。投标人如组成联合体参加投标，则《质疑函范本》中要求签字、盖章、加盖公章之处，联合体各方均须按要求签字、盖章、加盖公章。</w:t>
      </w:r>
    </w:p>
    <w:p w14:paraId="42B9B0C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2.4质疑答复依据《政府采购质疑和投诉办法》（财政部令第94号）。</w:t>
      </w:r>
    </w:p>
    <w:p w14:paraId="1813B7F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采购人质疑接收人及联系方式，见招标文件第一部分。</w:t>
      </w:r>
    </w:p>
    <w:p w14:paraId="307F479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2.5以下情形的质疑不予受理</w:t>
      </w:r>
    </w:p>
    <w:p w14:paraId="26C8907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2.5.1内容不符合《政府采购质疑和投诉办法》第十二条规定的质疑。</w:t>
      </w:r>
    </w:p>
    <w:p w14:paraId="04EFD93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2.5.2超出政府采购法定期限的质疑。</w:t>
      </w:r>
    </w:p>
    <w:p w14:paraId="7FBC0DA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2.5.3未参加投标活动的投标人或在投标活动中自身权益未受到损害的投标人所提出的质疑。</w:t>
      </w:r>
    </w:p>
    <w:p w14:paraId="30367DD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2.5.4投标人组成联合体参加投标，联合体中任何一方或多方未按要求签字、盖章、加盖公章的质疑。</w:t>
      </w:r>
    </w:p>
    <w:p w14:paraId="538907B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投标人提出书面质疑必须有理、有据，不得捏造事实、提供虚假材料进行恶意质疑。否则，一经查实，采购人或采购代理机构有权依据政府采购的有关规定，报请政府采购监管部门对该投标人进行相应的行政处罚和记录该投标人的失信信息。</w:t>
      </w:r>
    </w:p>
    <w:p w14:paraId="200C61FD">
      <w:pPr>
        <w:pStyle w:val="5"/>
        <w:adjustRightInd w:val="0"/>
        <w:snapToGrid w:val="0"/>
        <w:spacing w:line="360" w:lineRule="auto"/>
        <w:ind w:firstLine="480" w:firstLineChars="200"/>
        <w:jc w:val="both"/>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3.中标通知书</w:t>
      </w:r>
    </w:p>
    <w:p w14:paraId="27A72DBD">
      <w:pPr>
        <w:adjustRightInd w:val="0"/>
        <w:snapToGrid w:val="0"/>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3.1中标结果确定后，</w:t>
      </w:r>
      <w:r>
        <w:rPr>
          <w:rFonts w:hint="eastAsia" w:ascii="宋体" w:hAnsi="宋体" w:cs="宋体"/>
          <w:bCs/>
          <w:color w:val="auto"/>
          <w:sz w:val="24"/>
          <w:highlight w:val="none"/>
        </w:rPr>
        <w:t>采购人或采购代理机构</w:t>
      </w:r>
      <w:r>
        <w:rPr>
          <w:rFonts w:hint="eastAsia" w:ascii="宋体" w:hAnsi="宋体" w:cs="宋体"/>
          <w:color w:val="auto"/>
          <w:sz w:val="24"/>
          <w:highlight w:val="none"/>
        </w:rPr>
        <w:t>将向中标人发出中标通知书。</w:t>
      </w:r>
    </w:p>
    <w:p w14:paraId="7D8E5E9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3.2中标通知书将是合同的一个组成部分。对采购人和中标人均具有法律效力。中标通知书发出后，采购人改变中标结果的，或者中标人放弃中标项目的，应当依法承担法律责任。</w:t>
      </w:r>
    </w:p>
    <w:p w14:paraId="48CB5E29">
      <w:pPr>
        <w:pStyle w:val="4"/>
        <w:adjustRightInd w:val="0"/>
        <w:snapToGrid w:val="0"/>
        <w:spacing w:before="0" w:after="0" w:line="360" w:lineRule="auto"/>
        <w:ind w:firstLine="482" w:firstLineChars="200"/>
        <w:rPr>
          <w:rFonts w:ascii="宋体" w:hAnsi="宋体" w:cs="宋体"/>
          <w:color w:val="auto"/>
          <w:sz w:val="24"/>
          <w:szCs w:val="24"/>
          <w:highlight w:val="none"/>
        </w:rPr>
      </w:pPr>
      <w:bookmarkStart w:id="97" w:name="_Toc120614220"/>
      <w:bookmarkStart w:id="98" w:name="_Toc20823308"/>
      <w:bookmarkStart w:id="99" w:name="_Toc513029236"/>
      <w:bookmarkStart w:id="100" w:name="_Toc16938552"/>
      <w:r>
        <w:rPr>
          <w:rFonts w:hint="eastAsia" w:ascii="宋体" w:hAnsi="宋体" w:cs="宋体"/>
          <w:color w:val="auto"/>
          <w:sz w:val="24"/>
          <w:szCs w:val="24"/>
          <w:highlight w:val="none"/>
        </w:rPr>
        <w:t>（七）授予合同</w:t>
      </w:r>
      <w:bookmarkEnd w:id="97"/>
      <w:bookmarkEnd w:id="98"/>
      <w:bookmarkEnd w:id="99"/>
      <w:bookmarkEnd w:id="100"/>
    </w:p>
    <w:p w14:paraId="787CDE7A">
      <w:pPr>
        <w:pStyle w:val="5"/>
        <w:adjustRightInd w:val="0"/>
        <w:snapToGrid w:val="0"/>
        <w:spacing w:line="360" w:lineRule="auto"/>
        <w:ind w:firstLine="480" w:firstLineChars="200"/>
        <w:jc w:val="both"/>
        <w:rPr>
          <w:rFonts w:ascii="宋体" w:hAnsi="宋体" w:eastAsia="宋体" w:cs="宋体"/>
          <w:b/>
          <w:color w:val="auto"/>
          <w:sz w:val="24"/>
          <w:szCs w:val="24"/>
          <w:highlight w:val="none"/>
        </w:rPr>
      </w:pPr>
      <w:bookmarkStart w:id="101" w:name="_Toc16938553"/>
      <w:bookmarkStart w:id="102" w:name="_Toc20823309"/>
      <w:bookmarkStart w:id="103" w:name="_Toc513029237"/>
      <w:r>
        <w:rPr>
          <w:rFonts w:hint="eastAsia" w:ascii="宋体" w:hAnsi="宋体" w:eastAsia="宋体" w:cs="宋体"/>
          <w:color w:val="auto"/>
          <w:sz w:val="24"/>
          <w:szCs w:val="24"/>
          <w:highlight w:val="none"/>
        </w:rPr>
        <w:t>1.签订合同</w:t>
      </w:r>
    </w:p>
    <w:p w14:paraId="7CB1E0F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.l中标人应当在中标通知书发出之日起三十日内，按照招标文件确定的事项与采购人签订采购合同。</w:t>
      </w:r>
    </w:p>
    <w:p w14:paraId="6E992E4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1.2招标文件、中标人的投标文件及招标过程中有关澄清、承诺文件均应作为合同附件。</w:t>
      </w:r>
    </w:p>
    <w:p w14:paraId="0729674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签订合同后，中标人不得将合同标的进行转包。未经采购人同意，中标人也不得采用分包的形式履行合同，否则采购人有权终止合同。采购合同分包履行的，中标人就采购项目和分包项目向采购人负责，分包供应商就分包项目承担责任。转包或分包造成采购人损失的，中标人应承担相应赔偿责任。</w:t>
      </w:r>
    </w:p>
    <w:p w14:paraId="54726361">
      <w:pPr>
        <w:pStyle w:val="5"/>
        <w:adjustRightInd w:val="0"/>
        <w:snapToGrid w:val="0"/>
        <w:spacing w:line="360" w:lineRule="auto"/>
        <w:ind w:firstLine="480" w:firstLineChars="200"/>
        <w:jc w:val="both"/>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2.货物和服务的追加、减少和添购。</w:t>
      </w:r>
    </w:p>
    <w:p w14:paraId="2E71E0F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2.1采购合同履行中，采购人需追加与合同标的相同的货物和服务的，在不改变合同其他条款的前提下，可以与中标人协商签订补充合同，但所有补充合同的采购金额不超过原合同金额10%。</w:t>
      </w:r>
    </w:p>
    <w:p w14:paraId="2A3FFEE1">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2.2采购结束后，采购人若由于各种客观原因，必须对采购项目所牵涉的货物和服务进行适当的减少时，在双方协商一致的前提下，可以按照招标采购时的价格水平做相应的调减，并据此签订补充合同。</w:t>
      </w:r>
      <w:bookmarkEnd w:id="101"/>
      <w:bookmarkEnd w:id="102"/>
      <w:bookmarkEnd w:id="103"/>
    </w:p>
    <w:p w14:paraId="08535168">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b w:val="0"/>
          <w:bCs w:val="0"/>
          <w:color w:val="auto"/>
          <w:sz w:val="21"/>
          <w:szCs w:val="21"/>
          <w:highlight w:val="none"/>
        </w:rPr>
      </w:pPr>
    </w:p>
    <w:p w14:paraId="3EF12B5D">
      <w:pPr>
        <w:spacing w:line="500" w:lineRule="exact"/>
        <w:ind w:firstLine="281"/>
        <w:jc w:val="center"/>
        <w:outlineLvl w:val="0"/>
        <w:rPr>
          <w:rFonts w:hint="eastAsia" w:ascii="宋体" w:hAnsi="宋体" w:eastAsia="宋体" w:cs="宋体"/>
          <w:bCs/>
          <w:color w:val="auto"/>
          <w:sz w:val="36"/>
          <w:szCs w:val="36"/>
          <w:highlight w:val="none"/>
        </w:rPr>
      </w:pPr>
      <w:r>
        <w:rPr>
          <w:rFonts w:hint="eastAsia" w:ascii="宋体" w:hAnsi="宋体" w:eastAsia="宋体" w:cs="宋体"/>
          <w:b w:val="0"/>
          <w:bCs w:val="0"/>
          <w:color w:val="auto"/>
          <w:sz w:val="28"/>
          <w:szCs w:val="28"/>
          <w:highlight w:val="none"/>
        </w:rPr>
        <w:br w:type="page" w:clear="all"/>
      </w:r>
      <w:r>
        <w:rPr>
          <w:rFonts w:hint="eastAsia" w:ascii="宋体" w:hAnsi="宋体" w:eastAsia="宋体" w:cs="宋体"/>
          <w:bCs/>
          <w:color w:val="auto"/>
          <w:sz w:val="36"/>
          <w:szCs w:val="36"/>
          <w:highlight w:val="none"/>
        </w:rPr>
        <w:t>第三部分  项目需求</w:t>
      </w:r>
    </w:p>
    <w:bookmarkEnd w:id="0"/>
    <w:bookmarkEnd w:id="1"/>
    <w:bookmarkEnd w:id="2"/>
    <w:p w14:paraId="5F1DCA75">
      <w:pPr>
        <w:adjustRightInd w:val="0"/>
        <w:snapToGrid w:val="0"/>
        <w:spacing w:line="360" w:lineRule="auto"/>
        <w:ind w:firstLine="480" w:firstLineChars="200"/>
        <w:rPr>
          <w:rFonts w:hint="eastAsia" w:ascii="宋体" w:hAnsi="宋体" w:cs="宋体"/>
          <w:color w:val="auto"/>
          <w:sz w:val="24"/>
          <w:szCs w:val="24"/>
          <w:highlight w:val="none"/>
        </w:rPr>
      </w:pPr>
      <w:bookmarkStart w:id="104" w:name="_Toc4280"/>
      <w:bookmarkStart w:id="105" w:name="_Toc13080"/>
      <w:r>
        <w:rPr>
          <w:rFonts w:hint="eastAsia" w:ascii="宋体" w:hAnsi="宋体" w:cs="宋体"/>
          <w:color w:val="auto"/>
          <w:sz w:val="24"/>
          <w:szCs w:val="24"/>
          <w:highlight w:val="none"/>
        </w:rPr>
        <w:t>项目属性：服务类项目</w:t>
      </w:r>
    </w:p>
    <w:p w14:paraId="4F938745">
      <w:pPr>
        <w:keepNext/>
        <w:keepLines/>
        <w:adjustRightInd w:val="0"/>
        <w:snapToGrid w:val="0"/>
        <w:spacing w:line="360" w:lineRule="auto"/>
        <w:ind w:firstLine="482" w:firstLineChars="200"/>
        <w:outlineLvl w:val="2"/>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一、采购标的清单</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67"/>
        <w:gridCol w:w="3284"/>
        <w:gridCol w:w="3515"/>
      </w:tblGrid>
      <w:tr w14:paraId="4271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5" w:type="pct"/>
            <w:noWrap w:val="0"/>
            <w:vAlign w:val="center"/>
          </w:tcPr>
          <w:p w14:paraId="4E260153">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分包</w:t>
            </w:r>
          </w:p>
        </w:tc>
        <w:tc>
          <w:tcPr>
            <w:tcW w:w="508" w:type="pct"/>
            <w:noWrap w:val="0"/>
            <w:vAlign w:val="center"/>
          </w:tcPr>
          <w:p w14:paraId="25393DB1">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1925" w:type="pct"/>
            <w:noWrap w:val="0"/>
            <w:vAlign w:val="center"/>
          </w:tcPr>
          <w:p w14:paraId="1C3C29F5">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采购标的</w:t>
            </w:r>
          </w:p>
        </w:tc>
        <w:tc>
          <w:tcPr>
            <w:tcW w:w="2060" w:type="pct"/>
            <w:noWrap w:val="0"/>
            <w:vAlign w:val="center"/>
          </w:tcPr>
          <w:p w14:paraId="777D690C">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对应中小企业划分标准所属行业</w:t>
            </w:r>
          </w:p>
        </w:tc>
      </w:tr>
      <w:tr w14:paraId="3B49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505" w:type="pct"/>
            <w:noWrap w:val="0"/>
            <w:vAlign w:val="center"/>
          </w:tcPr>
          <w:p w14:paraId="7DA1B280">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508" w:type="pct"/>
            <w:noWrap w:val="0"/>
            <w:vAlign w:val="center"/>
          </w:tcPr>
          <w:p w14:paraId="697C1C89">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1925" w:type="pct"/>
            <w:noWrap w:val="0"/>
            <w:vAlign w:val="center"/>
          </w:tcPr>
          <w:p w14:paraId="73481E43">
            <w:pPr>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南通市客运行业年度发展报告（2025年）项目</w:t>
            </w:r>
          </w:p>
        </w:tc>
        <w:tc>
          <w:tcPr>
            <w:tcW w:w="2060" w:type="pct"/>
            <w:noWrap w:val="0"/>
            <w:vAlign w:val="center"/>
          </w:tcPr>
          <w:p w14:paraId="67E32759">
            <w:pPr>
              <w:adjustRightInd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其他未列明行业</w:t>
            </w:r>
          </w:p>
        </w:tc>
      </w:tr>
    </w:tbl>
    <w:p w14:paraId="796B135B">
      <w:pPr>
        <w:keepNext/>
        <w:keepLines/>
        <w:adjustRightInd w:val="0"/>
        <w:snapToGrid w:val="0"/>
        <w:spacing w:line="360" w:lineRule="auto"/>
        <w:ind w:firstLine="482" w:firstLineChars="200"/>
        <w:outlineLvl w:val="2"/>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二、技术要求</w:t>
      </w:r>
    </w:p>
    <w:bookmarkEnd w:id="104"/>
    <w:bookmarkEnd w:id="105"/>
    <w:p w14:paraId="0DA2758F">
      <w:pPr>
        <w:numPr>
          <w:ilvl w:val="0"/>
          <w:numId w:val="0"/>
        </w:numPr>
        <w:autoSpaceDE w:val="0"/>
        <w:autoSpaceDN w:val="0"/>
        <w:adjustRightInd w:val="0"/>
        <w:snapToGrid w:val="0"/>
        <w:spacing w:line="360" w:lineRule="auto"/>
        <w:ind w:firstLine="480" w:firstLineChars="200"/>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1.项目概况</w:t>
      </w:r>
    </w:p>
    <w:p w14:paraId="248C98C9">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全面分析2025年度客运运行情况，深度剖析南通市铁路、航空、道路、水运、城市客运等方式的发展特征</w:t>
      </w:r>
      <w:r>
        <w:rPr>
          <w:rFonts w:hint="eastAsia" w:ascii="宋体" w:hAnsi="宋体" w:eastAsia="宋体" w:cs="宋体"/>
          <w:color w:val="auto"/>
          <w:sz w:val="24"/>
          <w:szCs w:val="24"/>
          <w:highlight w:val="none"/>
          <w:lang w:val="en-US" w:eastAsia="zh-CN"/>
        </w:rPr>
        <w:t>，预判行业</w:t>
      </w:r>
      <w:r>
        <w:rPr>
          <w:rFonts w:hint="default" w:ascii="宋体" w:hAnsi="宋体" w:eastAsia="宋体" w:cs="宋体"/>
          <w:color w:val="auto"/>
          <w:sz w:val="24"/>
          <w:szCs w:val="24"/>
          <w:highlight w:val="none"/>
          <w:lang w:val="en-US" w:eastAsia="zh-CN"/>
        </w:rPr>
        <w:t>发展趋势，</w:t>
      </w:r>
      <w:r>
        <w:rPr>
          <w:rFonts w:hint="eastAsia" w:ascii="宋体" w:hAnsi="宋体" w:eastAsia="宋体" w:cs="宋体"/>
          <w:color w:val="auto"/>
          <w:sz w:val="24"/>
          <w:szCs w:val="24"/>
          <w:highlight w:val="none"/>
          <w:lang w:val="en-US" w:eastAsia="zh-CN"/>
        </w:rPr>
        <w:t>提出客运行业发展建议，</w:t>
      </w:r>
      <w:r>
        <w:rPr>
          <w:rFonts w:hint="default" w:ascii="宋体" w:hAnsi="宋体" w:eastAsia="宋体" w:cs="宋体"/>
          <w:color w:val="auto"/>
          <w:sz w:val="24"/>
          <w:szCs w:val="24"/>
          <w:highlight w:val="none"/>
          <w:lang w:val="en-US" w:eastAsia="zh-CN"/>
        </w:rPr>
        <w:t>指导客运行业管理工作实际，</w:t>
      </w:r>
      <w:r>
        <w:rPr>
          <w:rFonts w:hint="eastAsia" w:ascii="宋体" w:hAnsi="宋体" w:eastAsia="宋体" w:cs="宋体"/>
          <w:color w:val="auto"/>
          <w:sz w:val="24"/>
          <w:szCs w:val="24"/>
          <w:highlight w:val="none"/>
          <w:lang w:val="en-US" w:eastAsia="zh-CN"/>
        </w:rPr>
        <w:t>促进</w:t>
      </w:r>
      <w:r>
        <w:rPr>
          <w:rFonts w:hint="default" w:ascii="宋体" w:hAnsi="宋体" w:eastAsia="宋体" w:cs="宋体"/>
          <w:color w:val="auto"/>
          <w:sz w:val="24"/>
          <w:szCs w:val="24"/>
          <w:highlight w:val="none"/>
          <w:lang w:val="en-US" w:eastAsia="zh-CN"/>
        </w:rPr>
        <w:t>行业健康发展。</w:t>
      </w:r>
    </w:p>
    <w:p w14:paraId="29E28EE9">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服务内容</w:t>
      </w:r>
    </w:p>
    <w:p w14:paraId="779C72DE">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从综合交通运输体系的角度考虑，编制包括道路客运、城市客运、铁路客运、航空客运、水路客运等方式的客运行业年度发展报告。成果应能够准确全面展现全市客运行业运行动态、科学分析客运基本服务情况、市场供求状况，指导客运行业管理工作实际，促进社会资源合理配置，引导行业健康发展。</w:t>
      </w:r>
    </w:p>
    <w:p w14:paraId="1634490A">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具体研究内容包括但不限于：</w:t>
      </w:r>
    </w:p>
    <w:p w14:paraId="51EB056E">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（1）全市客运发展基础与环境分析</w:t>
      </w:r>
    </w:p>
    <w:p w14:paraId="6349CFEF">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在全面把握南通市经济社会发展宏观背景的基础上，系统分析GDP增长、人口结构变化、私家车保有量变化等宏观因素对全市客运需求总量、结构及空间分布的影响。</w:t>
      </w:r>
    </w:p>
    <w:p w14:paraId="52D53BDA">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立足综合交通运输体系的整体视角，系统梳理2025年度道路客运、城市客运、铁路客运、航空客运、水路客运</w:t>
      </w:r>
      <w:r>
        <w:rPr>
          <w:rFonts w:hint="eastAsia" w:ascii="宋体" w:hAnsi="宋体" w:eastAsia="宋体" w:cs="宋体"/>
          <w:color w:val="auto"/>
          <w:sz w:val="24"/>
          <w:szCs w:val="24"/>
          <w:highlight w:val="none"/>
          <w:lang w:val="en-US" w:eastAsia="zh-CN"/>
        </w:rPr>
        <w:t>等方式</w:t>
      </w:r>
      <w:r>
        <w:rPr>
          <w:rFonts w:hint="default"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基本情况及变化</w:t>
      </w:r>
      <w:r>
        <w:rPr>
          <w:rFonts w:hint="default" w:ascii="宋体" w:hAnsi="宋体" w:eastAsia="宋体" w:cs="宋体"/>
          <w:color w:val="auto"/>
          <w:sz w:val="24"/>
          <w:szCs w:val="24"/>
          <w:highlight w:val="none"/>
          <w:lang w:val="en-US" w:eastAsia="zh-CN"/>
        </w:rPr>
        <w:t>情况。</w:t>
      </w:r>
    </w:p>
    <w:p w14:paraId="242F9ADF">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（2）分方式客运运行特征分析</w:t>
      </w:r>
    </w:p>
    <w:p w14:paraId="0562B6C2">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全面</w:t>
      </w:r>
      <w:r>
        <w:rPr>
          <w:rFonts w:hint="eastAsia" w:ascii="宋体" w:hAnsi="宋体" w:eastAsia="宋体" w:cs="宋体"/>
          <w:color w:val="auto"/>
          <w:sz w:val="24"/>
          <w:szCs w:val="24"/>
          <w:highlight w:val="none"/>
          <w:lang w:val="en-US" w:eastAsia="zh-CN"/>
        </w:rPr>
        <w:t>分析</w:t>
      </w:r>
      <w:r>
        <w:rPr>
          <w:rFonts w:hint="default" w:ascii="宋体" w:hAnsi="宋体" w:eastAsia="宋体" w:cs="宋体"/>
          <w:color w:val="auto"/>
          <w:sz w:val="24"/>
          <w:szCs w:val="24"/>
          <w:highlight w:val="none"/>
          <w:lang w:val="en-US" w:eastAsia="zh-CN"/>
        </w:rPr>
        <w:t>2025年度道路客运、城市客运、铁路客运、航空客运、水路客运等方式的运行情况，深入</w:t>
      </w:r>
      <w:r>
        <w:rPr>
          <w:rFonts w:hint="eastAsia" w:ascii="宋体" w:hAnsi="宋体" w:eastAsia="宋体" w:cs="宋体"/>
          <w:color w:val="auto"/>
          <w:sz w:val="24"/>
          <w:szCs w:val="24"/>
          <w:highlight w:val="none"/>
          <w:lang w:val="en-US" w:eastAsia="zh-CN"/>
        </w:rPr>
        <w:t>研究</w:t>
      </w:r>
      <w:r>
        <w:rPr>
          <w:rFonts w:hint="default" w:ascii="宋体" w:hAnsi="宋体" w:eastAsia="宋体" w:cs="宋体"/>
          <w:color w:val="auto"/>
          <w:sz w:val="24"/>
          <w:szCs w:val="24"/>
          <w:highlight w:val="none"/>
          <w:lang w:val="en-US" w:eastAsia="zh-CN"/>
        </w:rPr>
        <w:t>各方式近年来的发展特征与演变规律</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深度剖析客运市场供求关系特征，并从综合交通运输体系整体优化的角度出发，</w:t>
      </w:r>
      <w:r>
        <w:rPr>
          <w:rFonts w:hint="eastAsia" w:ascii="宋体" w:hAnsi="宋体" w:eastAsia="宋体" w:cs="宋体"/>
          <w:color w:val="auto"/>
          <w:sz w:val="24"/>
          <w:szCs w:val="24"/>
          <w:highlight w:val="none"/>
          <w:lang w:val="en-US" w:eastAsia="zh-CN"/>
        </w:rPr>
        <w:t>探索</w:t>
      </w:r>
      <w:r>
        <w:rPr>
          <w:rFonts w:hint="default" w:ascii="宋体" w:hAnsi="宋体" w:eastAsia="宋体" w:cs="宋体"/>
          <w:color w:val="auto"/>
          <w:sz w:val="24"/>
          <w:szCs w:val="24"/>
          <w:highlight w:val="none"/>
          <w:lang w:val="en-US" w:eastAsia="zh-CN"/>
        </w:rPr>
        <w:t>综合客运</w:t>
      </w:r>
      <w:r>
        <w:rPr>
          <w:rFonts w:hint="eastAsia" w:ascii="宋体" w:hAnsi="宋体" w:eastAsia="宋体" w:cs="宋体"/>
          <w:color w:val="auto"/>
          <w:sz w:val="24"/>
          <w:szCs w:val="24"/>
          <w:highlight w:val="none"/>
          <w:lang w:val="en-US" w:eastAsia="zh-CN"/>
        </w:rPr>
        <w:t>行业</w:t>
      </w:r>
      <w:r>
        <w:rPr>
          <w:rFonts w:hint="default" w:ascii="宋体" w:hAnsi="宋体" w:eastAsia="宋体" w:cs="宋体"/>
          <w:color w:val="auto"/>
          <w:sz w:val="24"/>
          <w:szCs w:val="24"/>
          <w:highlight w:val="none"/>
          <w:lang w:val="en-US" w:eastAsia="zh-CN"/>
        </w:rPr>
        <w:t>结构演变的深层次原因，揭示各方式之间的竞争合作关系与演变逻辑。</w:t>
      </w:r>
    </w:p>
    <w:p w14:paraId="491AC5AC">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（3）行业发展趋势预测分析</w:t>
      </w:r>
    </w:p>
    <w:p w14:paraId="74FFCDFF">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系统解读2025年度客运行业政策导向，客观阐述行业政策对市场主体经营行为及公众出行选择的影响与引导作用。结合各方式客运运行特征的演变规律，综合研判南通市客运行业发展趋势，分析内容应涵盖出行结构、服务模式、供需关系、市场竞争等方面的变化趋势，为行业发展</w:t>
      </w:r>
      <w:r>
        <w:rPr>
          <w:rFonts w:hint="eastAsia" w:ascii="宋体" w:hAnsi="宋体" w:eastAsia="宋体" w:cs="宋体"/>
          <w:color w:val="auto"/>
          <w:sz w:val="24"/>
          <w:szCs w:val="24"/>
          <w:highlight w:val="none"/>
          <w:lang w:val="en-US" w:eastAsia="zh-CN"/>
        </w:rPr>
        <w:t>方向</w:t>
      </w:r>
      <w:r>
        <w:rPr>
          <w:rFonts w:hint="default" w:ascii="宋体" w:hAnsi="宋体" w:eastAsia="宋体" w:cs="宋体"/>
          <w:color w:val="auto"/>
          <w:sz w:val="24"/>
          <w:szCs w:val="24"/>
          <w:highlight w:val="none"/>
          <w:lang w:val="en-US" w:eastAsia="zh-CN"/>
        </w:rPr>
        <w:t>提供前瞻性判断。</w:t>
      </w:r>
    </w:p>
    <w:p w14:paraId="6D0D155A">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（4）问题诊断与发展建议</w:t>
      </w:r>
    </w:p>
    <w:p w14:paraId="5D37D454">
      <w:pPr>
        <w:numPr>
          <w:ilvl w:val="0"/>
          <w:numId w:val="0"/>
        </w:numPr>
        <w:autoSpaceDE w:val="0"/>
        <w:autoSpaceDN w:val="0"/>
        <w:adjustRightInd w:val="0"/>
        <w:snapToGrid w:val="0"/>
        <w:spacing w:line="360" w:lineRule="auto"/>
        <w:ind w:firstLine="480" w:firstLineChars="200"/>
        <w:outlineLvl w:val="0"/>
        <w:rPr>
          <w:rFonts w:hint="default" w:ascii="宋体" w:hAnsi="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客观诊断各客运方式在运行过程中存在的结构性矛盾与运行短板，系统识别影响行业运行效率、服务质量和资源配置合理性的关键环节与制度性障碍。从综合交通运输体系视角出发，立足南通市经济社会发展阶段与</w:t>
      </w:r>
      <w:r>
        <w:rPr>
          <w:rFonts w:hint="eastAsia" w:ascii="宋体" w:hAnsi="宋体" w:eastAsia="宋体" w:cs="宋体"/>
          <w:color w:val="auto"/>
          <w:sz w:val="24"/>
          <w:szCs w:val="24"/>
          <w:highlight w:val="none"/>
          <w:lang w:val="en-US" w:eastAsia="zh-CN"/>
        </w:rPr>
        <w:t>各方式</w:t>
      </w:r>
      <w:r>
        <w:rPr>
          <w:rFonts w:hint="default" w:ascii="宋体" w:hAnsi="宋体" w:eastAsia="宋体" w:cs="宋体"/>
          <w:color w:val="auto"/>
          <w:sz w:val="24"/>
          <w:szCs w:val="24"/>
          <w:highlight w:val="none"/>
          <w:lang w:val="en-US" w:eastAsia="zh-CN"/>
        </w:rPr>
        <w:t>出行需求演变规律，提出具有前瞻性、可操作性的发展建议，建议内容应包括</w:t>
      </w:r>
      <w:r>
        <w:rPr>
          <w:rFonts w:hint="eastAsia" w:ascii="宋体" w:hAnsi="宋体" w:eastAsia="宋体" w:cs="宋体"/>
          <w:color w:val="auto"/>
          <w:sz w:val="24"/>
          <w:szCs w:val="24"/>
          <w:highlight w:val="none"/>
          <w:lang w:val="en-US" w:eastAsia="zh-CN"/>
        </w:rPr>
        <w:t>行业</w:t>
      </w:r>
      <w:r>
        <w:rPr>
          <w:rFonts w:hint="default" w:ascii="宋体" w:hAnsi="宋体" w:eastAsia="宋体" w:cs="宋体"/>
          <w:color w:val="auto"/>
          <w:sz w:val="24"/>
          <w:szCs w:val="24"/>
          <w:highlight w:val="none"/>
          <w:lang w:val="en-US" w:eastAsia="zh-CN"/>
        </w:rPr>
        <w:t>管理、企业运营、社会参与等多个</w:t>
      </w:r>
      <w:r>
        <w:rPr>
          <w:rFonts w:hint="eastAsia" w:ascii="宋体" w:hAnsi="宋体" w:eastAsia="宋体" w:cs="宋体"/>
          <w:color w:val="auto"/>
          <w:sz w:val="24"/>
          <w:szCs w:val="24"/>
          <w:highlight w:val="none"/>
          <w:lang w:val="en-US" w:eastAsia="zh-CN"/>
        </w:rPr>
        <w:t>方面</w:t>
      </w:r>
      <w:r>
        <w:rPr>
          <w:rFonts w:hint="default" w:ascii="宋体" w:hAnsi="宋体" w:eastAsia="宋体" w:cs="宋体"/>
          <w:color w:val="auto"/>
          <w:sz w:val="24"/>
          <w:szCs w:val="24"/>
          <w:highlight w:val="none"/>
          <w:lang w:val="en-US" w:eastAsia="zh-CN"/>
        </w:rPr>
        <w:t>。</w:t>
      </w:r>
    </w:p>
    <w:p w14:paraId="233AA9C6">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合同履行期限</w:t>
      </w:r>
    </w:p>
    <w:p w14:paraId="779C3B99">
      <w:pPr>
        <w:adjustRightInd w:val="0"/>
        <w:snapToGrid w:val="0"/>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日前完成项目全部工作，并通过专家评审</w:t>
      </w:r>
      <w:r>
        <w:rPr>
          <w:rFonts w:hint="eastAsia" w:ascii="宋体" w:hAnsi="宋体" w:eastAsia="宋体" w:cs="宋体"/>
          <w:color w:val="auto"/>
          <w:sz w:val="24"/>
          <w:szCs w:val="24"/>
          <w:highlight w:val="none"/>
        </w:rPr>
        <w:t>。</w:t>
      </w:r>
    </w:p>
    <w:p w14:paraId="7A3ABBE4">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cs="宋体"/>
          <w:bCs/>
          <w:color w:val="auto"/>
          <w:kern w:val="2"/>
          <w:sz w:val="24"/>
          <w:szCs w:val="24"/>
          <w:highlight w:val="none"/>
          <w:lang w:val="en-US" w:eastAsia="zh-CN" w:bidi="ar-SA"/>
        </w:rPr>
        <w:t>4.</w:t>
      </w:r>
      <w:r>
        <w:rPr>
          <w:rFonts w:hint="eastAsia" w:ascii="宋体" w:hAnsi="宋体" w:eastAsia="宋体" w:cs="宋体"/>
          <w:bCs/>
          <w:color w:val="auto"/>
          <w:sz w:val="24"/>
          <w:szCs w:val="24"/>
          <w:highlight w:val="none"/>
          <w:lang w:val="en-US" w:eastAsia="zh-CN"/>
        </w:rPr>
        <w:t>质量要求</w:t>
      </w:r>
    </w:p>
    <w:p w14:paraId="2CAE7AB5">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满足国家、省、市及行业相关技术规范要求。</w:t>
      </w:r>
    </w:p>
    <w:p w14:paraId="6C5B8B3E">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成果要求</w:t>
      </w:r>
    </w:p>
    <w:p w14:paraId="39FC16C1">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《南通市客运行业年度发展报告（2025年）》研究报告纸质</w:t>
      </w:r>
      <w:r>
        <w:rPr>
          <w:rFonts w:hint="eastAsia" w:ascii="宋体" w:hAnsi="宋体" w:eastAsia="宋体" w:cs="宋体"/>
          <w:color w:val="auto"/>
          <w:sz w:val="24"/>
          <w:szCs w:val="24"/>
          <w:highlight w:val="none"/>
          <w:lang w:val="en-US" w:eastAsia="zh-CN"/>
        </w:rPr>
        <w:t>版3份，以及</w:t>
      </w:r>
      <w:r>
        <w:rPr>
          <w:rFonts w:hint="default" w:ascii="宋体" w:hAnsi="宋体" w:eastAsia="宋体" w:cs="宋体"/>
          <w:color w:val="auto"/>
          <w:sz w:val="24"/>
          <w:szCs w:val="24"/>
          <w:highlight w:val="none"/>
          <w:lang w:val="en-US" w:eastAsia="zh-CN"/>
        </w:rPr>
        <w:t>研究报告word</w:t>
      </w:r>
      <w:r>
        <w:rPr>
          <w:rFonts w:hint="eastAsia" w:ascii="宋体" w:hAnsi="宋体" w:eastAsia="宋体" w:cs="宋体"/>
          <w:color w:val="auto"/>
          <w:sz w:val="24"/>
          <w:szCs w:val="24"/>
          <w:highlight w:val="none"/>
          <w:lang w:val="en-US" w:eastAsia="zh-CN"/>
        </w:rPr>
        <w:t>版、</w:t>
      </w:r>
      <w:r>
        <w:rPr>
          <w:rFonts w:hint="default" w:ascii="宋体" w:hAnsi="宋体" w:eastAsia="宋体" w:cs="宋体"/>
          <w:color w:val="auto"/>
          <w:sz w:val="24"/>
          <w:szCs w:val="24"/>
          <w:highlight w:val="none"/>
          <w:lang w:val="en-US" w:eastAsia="zh-CN"/>
        </w:rPr>
        <w:t>汇报材料ppt</w:t>
      </w:r>
      <w:r>
        <w:rPr>
          <w:rFonts w:hint="eastAsia" w:ascii="宋体" w:hAnsi="宋体" w:eastAsia="宋体" w:cs="宋体"/>
          <w:color w:val="auto"/>
          <w:sz w:val="24"/>
          <w:szCs w:val="24"/>
          <w:highlight w:val="none"/>
          <w:lang w:val="en-US" w:eastAsia="zh-CN"/>
        </w:rPr>
        <w:t>版。</w:t>
      </w:r>
    </w:p>
    <w:p w14:paraId="1E3BD664">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通过采购人组织的专家评审，并按照专家</w:t>
      </w:r>
      <w:r>
        <w:rPr>
          <w:rFonts w:hint="eastAsia" w:ascii="宋体" w:hAnsi="宋体" w:eastAsia="宋体" w:cs="宋体"/>
          <w:color w:val="auto"/>
          <w:sz w:val="24"/>
          <w:szCs w:val="24"/>
          <w:highlight w:val="none"/>
          <w:lang w:val="en-US" w:eastAsia="zh-CN"/>
        </w:rPr>
        <w:t>评审会</w:t>
      </w:r>
      <w:r>
        <w:rPr>
          <w:rFonts w:hint="default" w:ascii="宋体" w:hAnsi="宋体" w:eastAsia="宋体" w:cs="宋体"/>
          <w:color w:val="auto"/>
          <w:sz w:val="24"/>
          <w:szCs w:val="24"/>
          <w:highlight w:val="none"/>
          <w:lang w:val="en-US" w:eastAsia="zh-CN"/>
        </w:rPr>
        <w:t>及采购人意见修改完善</w:t>
      </w:r>
      <w:r>
        <w:rPr>
          <w:rFonts w:hint="eastAsia" w:ascii="宋体" w:hAnsi="宋体" w:eastAsia="宋体" w:cs="宋体"/>
          <w:color w:val="auto"/>
          <w:sz w:val="24"/>
          <w:szCs w:val="24"/>
          <w:highlight w:val="none"/>
          <w:lang w:val="en-US" w:eastAsia="zh-CN"/>
        </w:rPr>
        <w:t>。</w:t>
      </w:r>
    </w:p>
    <w:p w14:paraId="33C29798">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三、</w:t>
      </w:r>
      <w:r>
        <w:rPr>
          <w:rFonts w:hint="eastAsia" w:ascii="宋体" w:hAnsi="宋体" w:eastAsia="宋体" w:cs="宋体"/>
          <w:bCs/>
          <w:color w:val="auto"/>
          <w:sz w:val="24"/>
          <w:szCs w:val="24"/>
          <w:highlight w:val="none"/>
          <w:lang w:val="en-US" w:eastAsia="zh-CN"/>
        </w:rPr>
        <w:t>商务要求</w:t>
      </w:r>
    </w:p>
    <w:p w14:paraId="1637F9A1">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sz w:val="24"/>
          <w:szCs w:val="24"/>
          <w:highlight w:val="none"/>
          <w:lang w:val="en-US" w:eastAsia="zh-CN"/>
        </w:rPr>
        <w:t>报价要求</w:t>
      </w:r>
    </w:p>
    <w:p w14:paraId="4AC5670F">
      <w:pPr>
        <w:adjustRightInd w:val="0"/>
        <w:snapToGrid w:val="0"/>
        <w:spacing w:line="360" w:lineRule="auto"/>
        <w:ind w:firstLine="480" w:firstLineChars="200"/>
        <w:jc w:val="left"/>
        <w:rPr>
          <w:rFonts w:hint="eastAsia" w:ascii="宋体" w:hAnsi="宋体" w:cs="Times New Roman"/>
          <w:bCs/>
          <w:color w:val="auto"/>
          <w:sz w:val="24"/>
          <w:szCs w:val="24"/>
          <w:highlight w:val="none"/>
          <w:lang w:val="en-US" w:eastAsia="zh-CN"/>
        </w:rPr>
      </w:pPr>
      <w:r>
        <w:rPr>
          <w:rFonts w:hint="eastAsia" w:ascii="宋体" w:hAnsi="宋体"/>
          <w:bCs/>
          <w:color w:val="auto"/>
          <w:sz w:val="24"/>
          <w:szCs w:val="24"/>
          <w:highlight w:val="none"/>
        </w:rPr>
        <w:t>本项目</w:t>
      </w:r>
      <w:r>
        <w:rPr>
          <w:rFonts w:hint="eastAsia" w:ascii="宋体" w:hAnsi="宋体"/>
          <w:bCs/>
          <w:color w:val="auto"/>
          <w:sz w:val="24"/>
          <w:szCs w:val="24"/>
          <w:highlight w:val="none"/>
          <w:lang w:val="en-US" w:eastAsia="zh-CN"/>
        </w:rPr>
        <w:t>为总价报价，投标报价</w:t>
      </w:r>
      <w:r>
        <w:rPr>
          <w:rFonts w:hint="eastAsia" w:ascii="宋体" w:hAnsi="宋体" w:cs="宋体"/>
          <w:bCs/>
          <w:color w:val="auto"/>
          <w:sz w:val="24"/>
          <w:szCs w:val="24"/>
          <w:highlight w:val="none"/>
        </w:rPr>
        <w:t>是</w:t>
      </w:r>
      <w:r>
        <w:rPr>
          <w:rFonts w:hint="eastAsia" w:ascii="宋体" w:hAnsi="宋体" w:cs="宋体"/>
          <w:bCs/>
          <w:color w:val="auto"/>
          <w:sz w:val="24"/>
          <w:szCs w:val="24"/>
          <w:highlight w:val="none"/>
          <w:lang w:val="en-US" w:eastAsia="zh-CN"/>
        </w:rPr>
        <w:t>投标人</w:t>
      </w:r>
      <w:r>
        <w:rPr>
          <w:rFonts w:hint="eastAsia" w:ascii="宋体" w:hAnsi="宋体" w:cs="宋体"/>
          <w:bCs/>
          <w:color w:val="auto"/>
          <w:sz w:val="24"/>
          <w:szCs w:val="24"/>
          <w:highlight w:val="none"/>
        </w:rPr>
        <w:t>完成本项目的全部工作的全部费用，包含但不限于</w:t>
      </w:r>
      <w:r>
        <w:rPr>
          <w:rFonts w:hint="eastAsia" w:ascii="宋体" w:hAnsi="宋体" w:cs="宋体"/>
          <w:bCs/>
          <w:color w:val="auto"/>
          <w:sz w:val="24"/>
          <w:szCs w:val="24"/>
          <w:highlight w:val="none"/>
          <w:lang w:val="en-US" w:eastAsia="zh-CN"/>
        </w:rPr>
        <w:t>调研费、报告编制</w:t>
      </w:r>
      <w:r>
        <w:rPr>
          <w:rFonts w:hint="eastAsia" w:ascii="宋体" w:hAnsi="宋体" w:cs="宋体"/>
          <w:bCs/>
          <w:color w:val="auto"/>
          <w:sz w:val="24"/>
          <w:szCs w:val="24"/>
          <w:highlight w:val="none"/>
        </w:rPr>
        <w:t>费、人员劳务费、专家咨询费</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如有</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、交通费（汽油费、过路费、驾驶员工资等）、活动组织费（会务费、咨询费、活动场地费、资料印刷费、人工费等）、采购代理费、企业管理费、税金</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利润</w:t>
      </w:r>
      <w:r>
        <w:rPr>
          <w:rFonts w:hint="eastAsia" w:ascii="宋体" w:hAnsi="宋体" w:cs="宋体"/>
          <w:bCs/>
          <w:color w:val="auto"/>
          <w:sz w:val="24"/>
          <w:szCs w:val="24"/>
          <w:highlight w:val="none"/>
        </w:rPr>
        <w:t>等费用。</w:t>
      </w:r>
      <w:r>
        <w:rPr>
          <w:rFonts w:hint="eastAsia" w:ascii="宋体" w:hAnsi="宋体" w:cs="宋体"/>
          <w:bCs/>
          <w:color w:val="auto"/>
          <w:sz w:val="24"/>
          <w:szCs w:val="24"/>
          <w:highlight w:val="none"/>
          <w:lang w:val="en-US" w:eastAsia="zh-CN"/>
        </w:rPr>
        <w:t>投标人</w:t>
      </w:r>
      <w:r>
        <w:rPr>
          <w:rFonts w:hint="eastAsia" w:ascii="宋体" w:hAnsi="宋体" w:cs="宋体"/>
          <w:bCs/>
          <w:color w:val="auto"/>
          <w:sz w:val="24"/>
          <w:szCs w:val="24"/>
          <w:highlight w:val="none"/>
        </w:rPr>
        <w:t>应根据本项目相应标段情况和有关规范制订必要、合理的人员投入计划，其拟投入现场人员数量应能满足本标段工作的要求。在合同实施期间，合同费用不随国家政策或法规、标准及市场因素的变化而进行调整。</w:t>
      </w:r>
    </w:p>
    <w:p w14:paraId="7382C816">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付款方式</w:t>
      </w:r>
    </w:p>
    <w:p w14:paraId="4E50B26C">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（1）签订合同后30日内支付合同总费用的30%作为预付款；</w:t>
      </w:r>
    </w:p>
    <w:p w14:paraId="43BFEBB7">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（2）提交全部工作成果并通过专家评审后30日内，支付合同总费用的70%； </w:t>
      </w:r>
    </w:p>
    <w:p w14:paraId="14628E2B">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Times New Roman"/>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以上付款均不计利息。</w:t>
      </w:r>
    </w:p>
    <w:p w14:paraId="755CED53">
      <w:pPr>
        <w:numPr>
          <w:ilvl w:val="0"/>
          <w:numId w:val="0"/>
        </w:numPr>
        <w:autoSpaceDE w:val="0"/>
        <w:autoSpaceDN w:val="0"/>
        <w:adjustRightInd w:val="0"/>
        <w:snapToGrid w:val="0"/>
        <w:spacing w:line="360" w:lineRule="auto"/>
        <w:ind w:left="0" w:leftChars="0"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3</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sz w:val="24"/>
          <w:szCs w:val="24"/>
          <w:highlight w:val="none"/>
          <w:lang w:val="en-US" w:eastAsia="zh-CN"/>
        </w:rPr>
        <w:t>履约保证金</w:t>
      </w:r>
    </w:p>
    <w:p w14:paraId="41B588F6">
      <w:pPr>
        <w:numPr>
          <w:ilvl w:val="0"/>
          <w:numId w:val="0"/>
        </w:numPr>
        <w:autoSpaceDE w:val="0"/>
        <w:autoSpaceDN w:val="0"/>
        <w:adjustRightInd w:val="0"/>
        <w:snapToGrid w:val="0"/>
        <w:spacing w:line="360" w:lineRule="auto"/>
        <w:ind w:leftChars="200"/>
        <w:outlineLvl w:val="0"/>
        <w:rPr>
          <w:rFonts w:ascii="宋体" w:hAnsi="宋体" w:cs="Courier New"/>
          <w:color w:val="auto"/>
          <w:sz w:val="24"/>
          <w:szCs w:val="24"/>
          <w:highlight w:val="none"/>
        </w:rPr>
      </w:pPr>
      <w:r>
        <w:rPr>
          <w:rFonts w:ascii="宋体" w:hAnsi="宋体" w:cs="Courier New"/>
          <w:color w:val="auto"/>
          <w:sz w:val="24"/>
          <w:szCs w:val="24"/>
          <w:highlight w:val="none"/>
        </w:rPr>
        <w:t>本项目不设履约保证金。</w:t>
      </w:r>
    </w:p>
    <w:p w14:paraId="64A02E97">
      <w:pPr>
        <w:keepNext w:val="0"/>
        <w:keepLines w:val="0"/>
        <w:pageBreakBefore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宋体" w:hAnsi="宋体" w:eastAsia="宋体" w:cs="宋体"/>
          <w:b w:val="0"/>
          <w:bCs w:val="0"/>
          <w:color w:val="auto"/>
          <w:kern w:val="21"/>
          <w:sz w:val="24"/>
          <w:szCs w:val="24"/>
          <w:highlight w:val="none"/>
          <w:lang w:val="en-US" w:eastAsia="zh-CN"/>
        </w:rPr>
      </w:pPr>
      <w:r>
        <w:rPr>
          <w:rFonts w:hint="eastAsia" w:ascii="宋体" w:hAnsi="宋体" w:cs="宋体"/>
          <w:b w:val="0"/>
          <w:bCs w:val="0"/>
          <w:color w:val="auto"/>
          <w:kern w:val="21"/>
          <w:sz w:val="24"/>
          <w:szCs w:val="24"/>
          <w:highlight w:val="none"/>
          <w:lang w:val="en-US" w:eastAsia="zh-CN"/>
        </w:rPr>
        <w:t>4.</w:t>
      </w:r>
      <w:r>
        <w:rPr>
          <w:rFonts w:hint="eastAsia" w:ascii="宋体" w:hAnsi="宋体" w:eastAsia="宋体" w:cs="宋体"/>
          <w:b w:val="0"/>
          <w:bCs w:val="0"/>
          <w:color w:val="auto"/>
          <w:kern w:val="21"/>
          <w:sz w:val="24"/>
          <w:szCs w:val="24"/>
          <w:highlight w:val="none"/>
          <w:lang w:val="en-US" w:eastAsia="zh-CN"/>
        </w:rPr>
        <w:t>投标项目涉及到的现场勘察</w:t>
      </w:r>
    </w:p>
    <w:p w14:paraId="1D269EB7">
      <w:pPr>
        <w:keepNext w:val="0"/>
        <w:keepLines w:val="0"/>
        <w:pageBreakBefore w:val="0"/>
        <w:kinsoku/>
        <w:wordWrap/>
        <w:overflowPunct/>
        <w:topLinePunct w:val="0"/>
        <w:autoSpaceDE/>
        <w:autoSpaceDN/>
        <w:bidi w:val="0"/>
        <w:adjustRightInd/>
        <w:snapToGrid/>
        <w:spacing w:after="0" w:line="360" w:lineRule="auto"/>
        <w:ind w:left="0" w:firstLine="480" w:firstLineChars="200"/>
        <w:jc w:val="both"/>
        <w:textAlignment w:val="auto"/>
        <w:rPr>
          <w:rFonts w:hint="eastAsia" w:ascii="宋体" w:hAnsi="宋体" w:eastAsia="宋体" w:cs="宋体"/>
          <w:b w:val="0"/>
          <w:bCs w:val="0"/>
          <w:color w:val="auto"/>
          <w:kern w:val="21"/>
          <w:sz w:val="24"/>
          <w:szCs w:val="24"/>
          <w:highlight w:val="none"/>
        </w:rPr>
      </w:pPr>
      <w:r>
        <w:rPr>
          <w:rFonts w:hint="eastAsia" w:ascii="宋体" w:hAnsi="宋体" w:cs="宋体"/>
          <w:b w:val="0"/>
          <w:bCs w:val="0"/>
          <w:color w:val="auto"/>
          <w:kern w:val="21"/>
          <w:sz w:val="24"/>
          <w:szCs w:val="24"/>
          <w:highlight w:val="none"/>
          <w:lang w:val="en-US" w:eastAsia="zh-CN"/>
        </w:rPr>
        <w:t>本项目采购人不组织现场勘察，由投标人根据自身需要</w:t>
      </w:r>
      <w:r>
        <w:rPr>
          <w:rFonts w:hint="eastAsia" w:ascii="宋体" w:hAnsi="宋体" w:eastAsia="宋体" w:cs="宋体"/>
          <w:b w:val="0"/>
          <w:bCs w:val="0"/>
          <w:color w:val="auto"/>
          <w:kern w:val="21"/>
          <w:sz w:val="24"/>
          <w:szCs w:val="24"/>
          <w:highlight w:val="none"/>
        </w:rPr>
        <w:t>在</w:t>
      </w:r>
      <w:r>
        <w:rPr>
          <w:rFonts w:hint="eastAsia" w:ascii="宋体" w:hAnsi="宋体" w:eastAsia="宋体" w:cs="宋体"/>
          <w:b w:val="0"/>
          <w:bCs w:val="0"/>
          <w:color w:val="auto"/>
          <w:kern w:val="21"/>
          <w:sz w:val="24"/>
          <w:szCs w:val="24"/>
          <w:highlight w:val="none"/>
          <w:lang w:val="en-US" w:eastAsia="zh-CN"/>
        </w:rPr>
        <w:t>投标</w:t>
      </w:r>
      <w:r>
        <w:rPr>
          <w:rFonts w:hint="eastAsia" w:ascii="宋体" w:hAnsi="宋体" w:eastAsia="宋体" w:cs="宋体"/>
          <w:b w:val="0"/>
          <w:bCs w:val="0"/>
          <w:color w:val="auto"/>
          <w:kern w:val="21"/>
          <w:sz w:val="24"/>
          <w:szCs w:val="24"/>
          <w:highlight w:val="none"/>
        </w:rPr>
        <w:t>文件递交之日前对有关现场和周围环境进行</w:t>
      </w:r>
      <w:r>
        <w:rPr>
          <w:rFonts w:hint="eastAsia" w:ascii="宋体" w:hAnsi="宋体" w:eastAsia="宋体" w:cs="宋体"/>
          <w:b w:val="0"/>
          <w:bCs w:val="0"/>
          <w:color w:val="auto"/>
          <w:kern w:val="21"/>
          <w:sz w:val="24"/>
          <w:szCs w:val="24"/>
          <w:highlight w:val="none"/>
          <w:lang w:val="en-US" w:eastAsia="zh-CN"/>
        </w:rPr>
        <w:t>勘察</w:t>
      </w:r>
      <w:r>
        <w:rPr>
          <w:rFonts w:hint="eastAsia" w:ascii="宋体" w:hAnsi="宋体" w:cs="宋体"/>
          <w:b w:val="0"/>
          <w:bCs w:val="0"/>
          <w:color w:val="auto"/>
          <w:kern w:val="21"/>
          <w:sz w:val="24"/>
          <w:szCs w:val="24"/>
          <w:highlight w:val="none"/>
          <w:lang w:val="en-US" w:eastAsia="zh-CN"/>
        </w:rPr>
        <w:t>。</w:t>
      </w:r>
      <w:r>
        <w:rPr>
          <w:rFonts w:hint="eastAsia" w:ascii="宋体" w:hAnsi="宋体" w:eastAsia="宋体" w:cs="宋体"/>
          <w:b w:val="0"/>
          <w:bCs w:val="0"/>
          <w:color w:val="auto"/>
          <w:kern w:val="21"/>
          <w:sz w:val="24"/>
          <w:szCs w:val="24"/>
          <w:highlight w:val="none"/>
          <w:lang w:val="en-US" w:eastAsia="zh-CN"/>
        </w:rPr>
        <w:t>勘察</w:t>
      </w:r>
      <w:r>
        <w:rPr>
          <w:rFonts w:hint="eastAsia" w:ascii="宋体" w:hAnsi="宋体" w:eastAsia="宋体" w:cs="宋体"/>
          <w:b w:val="0"/>
          <w:bCs w:val="0"/>
          <w:color w:val="auto"/>
          <w:kern w:val="21"/>
          <w:sz w:val="24"/>
          <w:szCs w:val="24"/>
          <w:highlight w:val="none"/>
        </w:rPr>
        <w:t>现场所发生的费用由</w:t>
      </w:r>
      <w:r>
        <w:rPr>
          <w:rFonts w:hint="eastAsia" w:ascii="宋体" w:hAnsi="宋体" w:eastAsia="宋体" w:cs="宋体"/>
          <w:b w:val="0"/>
          <w:bCs w:val="0"/>
          <w:color w:val="auto"/>
          <w:kern w:val="21"/>
          <w:sz w:val="24"/>
          <w:szCs w:val="24"/>
          <w:highlight w:val="none"/>
          <w:lang w:val="en-US" w:eastAsia="zh-CN"/>
        </w:rPr>
        <w:t>投标人</w:t>
      </w:r>
      <w:r>
        <w:rPr>
          <w:rFonts w:hint="eastAsia" w:ascii="宋体" w:hAnsi="宋体" w:eastAsia="宋体" w:cs="宋体"/>
          <w:b w:val="0"/>
          <w:bCs w:val="0"/>
          <w:color w:val="auto"/>
          <w:kern w:val="21"/>
          <w:sz w:val="24"/>
          <w:szCs w:val="24"/>
          <w:highlight w:val="none"/>
        </w:rPr>
        <w:t>自己承担。</w:t>
      </w:r>
      <w:r>
        <w:rPr>
          <w:rFonts w:hint="eastAsia" w:ascii="宋体" w:hAnsi="宋体" w:eastAsia="宋体" w:cs="宋体"/>
          <w:b w:val="0"/>
          <w:bCs w:val="0"/>
          <w:color w:val="auto"/>
          <w:kern w:val="21"/>
          <w:sz w:val="24"/>
          <w:szCs w:val="24"/>
          <w:highlight w:val="none"/>
          <w:lang w:val="en-US" w:eastAsia="zh-CN"/>
        </w:rPr>
        <w:t>勘察</w:t>
      </w:r>
      <w:r>
        <w:rPr>
          <w:rFonts w:hint="eastAsia" w:ascii="宋体" w:hAnsi="宋体" w:eastAsia="宋体" w:cs="宋体"/>
          <w:b w:val="0"/>
          <w:bCs w:val="0"/>
          <w:color w:val="auto"/>
          <w:kern w:val="21"/>
          <w:sz w:val="24"/>
          <w:szCs w:val="24"/>
          <w:highlight w:val="none"/>
        </w:rPr>
        <w:t>现场</w:t>
      </w:r>
      <w:r>
        <w:rPr>
          <w:rFonts w:hint="eastAsia" w:ascii="宋体" w:hAnsi="宋体" w:cs="宋体"/>
          <w:b w:val="0"/>
          <w:bCs w:val="0"/>
          <w:color w:val="auto"/>
          <w:kern w:val="21"/>
          <w:sz w:val="24"/>
          <w:szCs w:val="24"/>
          <w:highlight w:val="none"/>
          <w:lang w:val="en-US" w:eastAsia="zh-CN"/>
        </w:rPr>
        <w:t>所涉及到的</w:t>
      </w:r>
      <w:r>
        <w:rPr>
          <w:rFonts w:hint="eastAsia" w:ascii="宋体" w:hAnsi="宋体" w:eastAsia="宋体" w:cs="宋体"/>
          <w:b w:val="0"/>
          <w:bCs w:val="0"/>
          <w:color w:val="auto"/>
          <w:kern w:val="21"/>
          <w:sz w:val="24"/>
          <w:szCs w:val="24"/>
          <w:highlight w:val="none"/>
        </w:rPr>
        <w:t>责任和风险由</w:t>
      </w:r>
      <w:r>
        <w:rPr>
          <w:rFonts w:hint="eastAsia" w:ascii="宋体" w:hAnsi="宋体" w:eastAsia="宋体" w:cs="宋体"/>
          <w:b w:val="0"/>
          <w:bCs w:val="0"/>
          <w:color w:val="auto"/>
          <w:kern w:val="21"/>
          <w:sz w:val="24"/>
          <w:szCs w:val="24"/>
          <w:highlight w:val="none"/>
          <w:lang w:val="en-US" w:eastAsia="zh-CN"/>
        </w:rPr>
        <w:t>投标人</w:t>
      </w:r>
      <w:r>
        <w:rPr>
          <w:rFonts w:hint="eastAsia" w:ascii="宋体" w:hAnsi="宋体" w:eastAsia="宋体" w:cs="宋体"/>
          <w:b w:val="0"/>
          <w:bCs w:val="0"/>
          <w:color w:val="auto"/>
          <w:kern w:val="21"/>
          <w:sz w:val="24"/>
          <w:szCs w:val="24"/>
          <w:highlight w:val="none"/>
        </w:rPr>
        <w:t>自己承担。</w:t>
      </w:r>
    </w:p>
    <w:p w14:paraId="73F07E0D">
      <w:pPr>
        <w:keepNext w:val="0"/>
        <w:keepLines w:val="0"/>
        <w:pageBreakBefore w:val="0"/>
        <w:kinsoku/>
        <w:wordWrap/>
        <w:overflowPunct/>
        <w:topLinePunct w:val="0"/>
        <w:autoSpaceDE/>
        <w:autoSpaceDN/>
        <w:bidi w:val="0"/>
        <w:adjustRightInd/>
        <w:snapToGrid/>
        <w:spacing w:after="0" w:line="360" w:lineRule="auto"/>
        <w:ind w:left="0" w:firstLine="480" w:firstLineChars="200"/>
        <w:jc w:val="both"/>
        <w:textAlignment w:val="auto"/>
        <w:rPr>
          <w:rFonts w:hint="default" w:ascii="宋体" w:hAnsi="宋体" w:cs="Courier New"/>
          <w:color w:val="auto"/>
          <w:sz w:val="24"/>
          <w:szCs w:val="24"/>
          <w:highlight w:val="none"/>
          <w:lang w:val="en-US" w:eastAsia="zh-CN"/>
        </w:rPr>
      </w:pPr>
    </w:p>
    <w:p w14:paraId="1684B3B2">
      <w:pPr>
        <w:rPr>
          <w:rFonts w:hint="eastAsia" w:ascii="宋体" w:hAnsi="宋体" w:eastAsia="宋体" w:cs="宋体"/>
          <w:b/>
          <w:bCs w:val="0"/>
          <w:color w:val="auto"/>
          <w:sz w:val="36"/>
          <w:szCs w:val="36"/>
          <w:highlight w:val="none"/>
        </w:rPr>
      </w:pPr>
      <w:r>
        <w:rPr>
          <w:rFonts w:hint="eastAsia" w:ascii="宋体" w:hAnsi="宋体" w:eastAsia="宋体" w:cs="宋体"/>
          <w:b/>
          <w:bCs w:val="0"/>
          <w:color w:val="auto"/>
          <w:sz w:val="36"/>
          <w:szCs w:val="36"/>
          <w:highlight w:val="none"/>
        </w:rPr>
        <w:br w:type="page"/>
      </w:r>
    </w:p>
    <w:p w14:paraId="1F219B82">
      <w:pPr>
        <w:spacing w:line="500" w:lineRule="exact"/>
        <w:jc w:val="center"/>
        <w:outlineLvl w:val="0"/>
        <w:rPr>
          <w:rFonts w:hint="eastAsia" w:ascii="宋体" w:hAnsi="宋体" w:eastAsia="宋体" w:cs="宋体"/>
          <w:b/>
          <w:bCs w:val="0"/>
          <w:color w:val="auto"/>
          <w:sz w:val="36"/>
          <w:szCs w:val="36"/>
          <w:highlight w:val="none"/>
          <w:lang w:eastAsia="zh-CN"/>
        </w:rPr>
      </w:pPr>
      <w:r>
        <w:rPr>
          <w:rFonts w:hint="eastAsia" w:ascii="宋体" w:hAnsi="宋体" w:eastAsia="宋体" w:cs="宋体"/>
          <w:b/>
          <w:bCs w:val="0"/>
          <w:color w:val="auto"/>
          <w:sz w:val="36"/>
          <w:szCs w:val="36"/>
          <w:highlight w:val="none"/>
        </w:rPr>
        <w:t xml:space="preserve">第四部分  </w:t>
      </w:r>
      <w:r>
        <w:rPr>
          <w:rFonts w:hint="eastAsia" w:ascii="宋体" w:hAnsi="宋体" w:eastAsia="宋体" w:cs="宋体"/>
          <w:b/>
          <w:bCs w:val="0"/>
          <w:color w:val="auto"/>
          <w:sz w:val="36"/>
          <w:szCs w:val="36"/>
          <w:highlight w:val="none"/>
          <w:lang w:eastAsia="zh-CN"/>
        </w:rPr>
        <w:t>评标方法与评标标准</w:t>
      </w:r>
    </w:p>
    <w:p w14:paraId="2A3EE8AC">
      <w:pPr>
        <w:keepNext w:val="0"/>
        <w:keepLines w:val="0"/>
        <w:pageBreakBefore w:val="0"/>
        <w:widowControl w:val="0"/>
        <w:kinsoku/>
        <w:wordWrap/>
        <w:overflowPunct/>
        <w:topLinePunct w:val="0"/>
        <w:bidi w:val="0"/>
        <w:adjustRightInd w:val="0"/>
        <w:snapToGrid w:val="0"/>
        <w:spacing w:line="360" w:lineRule="auto"/>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采用综合评分法，评标结果按评审后得分由高到低顺序排列。</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得分相同的，按投标报价由低到高顺序排列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得分且投标报价相同的</w:t>
      </w:r>
      <w:r>
        <w:rPr>
          <w:rFonts w:hint="eastAsia" w:ascii="宋体" w:hAnsi="宋体" w:cs="宋体"/>
          <w:color w:val="auto"/>
          <w:sz w:val="24"/>
          <w:szCs w:val="24"/>
          <w:highlight w:val="none"/>
          <w:lang w:eastAsia="zh-CN"/>
        </w:rPr>
        <w:t>，</w:t>
      </w:r>
      <w:r>
        <w:rPr>
          <w:rFonts w:hint="eastAsia" w:ascii="宋体" w:hAnsi="宋体" w:cs="宋体"/>
          <w:color w:val="auto"/>
          <w:sz w:val="24"/>
          <w:highlight w:val="none"/>
          <w:lang w:val="en-US" w:eastAsia="zh-CN"/>
        </w:rPr>
        <w:t>按</w:t>
      </w:r>
      <w:r>
        <w:rPr>
          <w:rFonts w:hint="eastAsia" w:ascii="宋体" w:hAnsi="宋体" w:eastAsia="宋体" w:cs="宋体"/>
          <w:color w:val="auto"/>
          <w:sz w:val="24"/>
          <w:szCs w:val="24"/>
          <w:highlight w:val="none"/>
          <w:vertAlign w:val="baseline"/>
          <w:lang w:val="en-US" w:eastAsia="zh-CN"/>
        </w:rPr>
        <w:t>对采购项目的理解和总体思路得分由高到低顺序排序；综合得分、投标报价及对采购项目的理解和总体思路得分均相同的由投标人抽签确定排序。</w:t>
      </w:r>
      <w:r>
        <w:rPr>
          <w:rFonts w:hint="eastAsia" w:ascii="宋体" w:hAnsi="宋体" w:eastAsia="宋体" w:cs="宋体"/>
          <w:color w:val="auto"/>
          <w:sz w:val="24"/>
          <w:szCs w:val="24"/>
          <w:highlight w:val="none"/>
        </w:rPr>
        <w:t>投标文件满足招标文件全部实质性要求，且按照评审因素的量化指标评审得分最高的投标人为中标候选人。本项目选取1名中标人。</w:t>
      </w:r>
    </w:p>
    <w:tbl>
      <w:tblPr>
        <w:tblStyle w:val="4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5649"/>
      </w:tblGrid>
      <w:tr w14:paraId="26B2B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noWrap w:val="0"/>
            <w:vAlign w:val="center"/>
          </w:tcPr>
          <w:p w14:paraId="09D9AA4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选取中标人数量</w:t>
            </w:r>
          </w:p>
        </w:tc>
        <w:tc>
          <w:tcPr>
            <w:tcW w:w="5912" w:type="dxa"/>
            <w:noWrap w:val="0"/>
            <w:vAlign w:val="center"/>
          </w:tcPr>
          <w:p w14:paraId="14E4F3A0">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选取中标人的原则</w:t>
            </w:r>
          </w:p>
        </w:tc>
      </w:tr>
      <w:tr w14:paraId="5AAFF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88" w:type="dxa"/>
            <w:noWrap w:val="0"/>
            <w:vAlign w:val="center"/>
          </w:tcPr>
          <w:p w14:paraId="68D35F9D">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5912" w:type="dxa"/>
            <w:noWrap w:val="0"/>
            <w:vAlign w:val="center"/>
          </w:tcPr>
          <w:p w14:paraId="372D2AD3">
            <w:pPr>
              <w:keepNext w:val="0"/>
              <w:keepLines w:val="0"/>
              <w:pageBreakBefore w:val="0"/>
              <w:widowControl w:val="0"/>
              <w:kinsoku/>
              <w:wordWrap/>
              <w:overflowPunct/>
              <w:topLinePunct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满足招标文件全部实质性要求，且按照评审因素的量化指标评审得分最高的投标人为中标人。</w:t>
            </w:r>
          </w:p>
        </w:tc>
      </w:tr>
    </w:tbl>
    <w:p w14:paraId="4D5F3386">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一、政府采购政策功能落实</w:t>
      </w:r>
    </w:p>
    <w:p w14:paraId="289DAA22">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lang w:eastAsia="zh-CN"/>
        </w:rPr>
        <w:t>1.</w:t>
      </w:r>
      <w:r>
        <w:rPr>
          <w:rFonts w:hint="eastAsia" w:ascii="宋体" w:hAnsi="宋体"/>
          <w:color w:val="auto"/>
          <w:sz w:val="24"/>
          <w:szCs w:val="24"/>
          <w:highlight w:val="none"/>
        </w:rPr>
        <w:t>小微型企业价格扣除</w:t>
      </w:r>
    </w:p>
    <w:p w14:paraId="3E9245E6">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（1）本项目对小型和微型企业给予</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w:t>
      </w:r>
      <w:r>
        <w:rPr>
          <w:rFonts w:hint="eastAsia" w:ascii="宋体" w:hAnsi="宋体"/>
          <w:color w:val="auto"/>
          <w:sz w:val="24"/>
          <w:szCs w:val="24"/>
          <w:highlight w:val="none"/>
        </w:rPr>
        <w:t>的扣除价格，用扣除后的价格参与评审。</w:t>
      </w:r>
    </w:p>
    <w:p w14:paraId="01DD64D1">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需按照</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lang w:eastAsia="zh-CN"/>
        </w:rPr>
        <w:t>文件</w:t>
      </w:r>
      <w:r>
        <w:rPr>
          <w:rFonts w:hint="eastAsia" w:ascii="宋体" w:hAnsi="宋体"/>
          <w:color w:val="auto"/>
          <w:sz w:val="24"/>
          <w:szCs w:val="24"/>
          <w:highlight w:val="none"/>
        </w:rPr>
        <w:t>的要求提供相应的《小微企业声明函》。</w:t>
      </w:r>
    </w:p>
    <w:p w14:paraId="71A9AFE2">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（3）企业标准请参照《关于印发中小企业划型标准规定的通知》（工信部联企业[2011]300号）文件规定自行填写。</w:t>
      </w:r>
    </w:p>
    <w:p w14:paraId="78E615F0">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lang w:eastAsia="zh-CN"/>
        </w:rPr>
        <w:t>2.</w:t>
      </w:r>
      <w:r>
        <w:rPr>
          <w:rFonts w:hint="eastAsia" w:ascii="宋体" w:hAnsi="宋体"/>
          <w:color w:val="auto"/>
          <w:sz w:val="24"/>
          <w:szCs w:val="24"/>
          <w:highlight w:val="none"/>
        </w:rPr>
        <w:t>残疾人福利单位价格扣除</w:t>
      </w:r>
    </w:p>
    <w:p w14:paraId="09ACE87B">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（1）本项目对残疾人福利性单位视同小型、微型企业，给予</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0%</w:t>
      </w:r>
      <w:r>
        <w:rPr>
          <w:rFonts w:hint="eastAsia" w:ascii="宋体" w:hAnsi="宋体"/>
          <w:color w:val="auto"/>
          <w:sz w:val="24"/>
          <w:szCs w:val="24"/>
          <w:highlight w:val="none"/>
        </w:rPr>
        <w:t>的价格扣除，用扣除后的价格参与评审。</w:t>
      </w:r>
    </w:p>
    <w:p w14:paraId="6EB1BF76">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（2）残疾人福利单位需按照</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lang w:eastAsia="zh-CN"/>
        </w:rPr>
        <w:t>文件</w:t>
      </w:r>
      <w:r>
        <w:rPr>
          <w:rFonts w:hint="eastAsia" w:ascii="宋体" w:hAnsi="宋体"/>
          <w:color w:val="auto"/>
          <w:sz w:val="24"/>
          <w:szCs w:val="24"/>
          <w:highlight w:val="none"/>
        </w:rPr>
        <w:t>的要求提供《残疾人福利性单位声明函》。</w:t>
      </w:r>
    </w:p>
    <w:p w14:paraId="163AA415">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（3）残疾人福利单位标准请参照《关于促进残疾人就业政府采购政策的通知》（财库〔2017〕141号）。</w:t>
      </w:r>
    </w:p>
    <w:p w14:paraId="7DC2B8B4">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lang w:eastAsia="zh-CN"/>
        </w:rPr>
        <w:t>3.</w:t>
      </w:r>
      <w:r>
        <w:rPr>
          <w:rFonts w:hint="eastAsia" w:ascii="宋体" w:hAnsi="宋体"/>
          <w:color w:val="auto"/>
          <w:sz w:val="24"/>
          <w:szCs w:val="24"/>
          <w:highlight w:val="none"/>
        </w:rPr>
        <w:t>监狱和戒毒企业价格扣除</w:t>
      </w:r>
    </w:p>
    <w:p w14:paraId="2D255C9F">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（1）本项目对监狱和戒毒企业（简称监狱企业）视同小型、微型企业，给予</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0%</w:t>
      </w:r>
      <w:r>
        <w:rPr>
          <w:rFonts w:hint="eastAsia" w:ascii="宋体" w:hAnsi="宋体"/>
          <w:color w:val="auto"/>
          <w:sz w:val="24"/>
          <w:szCs w:val="24"/>
          <w:highlight w:val="none"/>
        </w:rPr>
        <w:t>的价格扣除，用扣除后的价格参与评审。</w:t>
      </w:r>
    </w:p>
    <w:p w14:paraId="0DB3975C">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（2）监狱企业参加政府采购活动时，需提供由省级以上监狱管理局、戒毒管理局</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含新疆生产建设兵团</w:t>
      </w:r>
      <w:r>
        <w:rPr>
          <w:rFonts w:hint="eastAsia" w:ascii="宋体" w:hAnsi="宋体"/>
          <w:color w:val="auto"/>
          <w:sz w:val="24"/>
          <w:szCs w:val="24"/>
          <w:highlight w:val="none"/>
          <w:lang w:eastAsia="zh-CN"/>
        </w:rPr>
        <w:t>）</w:t>
      </w:r>
      <w:r>
        <w:rPr>
          <w:rFonts w:hint="eastAsia" w:ascii="宋体" w:hAnsi="宋体"/>
          <w:color w:val="auto"/>
          <w:sz w:val="24"/>
          <w:szCs w:val="24"/>
          <w:highlight w:val="none"/>
        </w:rPr>
        <w:t>出具的属于监狱企业的证明文件。</w:t>
      </w:r>
      <w:r>
        <w:rPr>
          <w:rFonts w:hint="eastAsia" w:ascii="宋体" w:hAnsi="宋体"/>
          <w:color w:val="auto"/>
          <w:kern w:val="0"/>
          <w:sz w:val="24"/>
          <w:szCs w:val="24"/>
          <w:highlight w:val="none"/>
          <w:lang w:eastAsia="zh-CN"/>
        </w:rPr>
        <w:t>投标人</w:t>
      </w:r>
      <w:r>
        <w:rPr>
          <w:rFonts w:hint="eastAsia" w:ascii="宋体" w:hAnsi="宋体"/>
          <w:color w:val="auto"/>
          <w:kern w:val="0"/>
          <w:sz w:val="24"/>
          <w:szCs w:val="24"/>
          <w:highlight w:val="none"/>
        </w:rPr>
        <w:t>如不提供上述证明文件，价格将不做相应扣除</w:t>
      </w:r>
      <w:r>
        <w:rPr>
          <w:rFonts w:hint="eastAsia" w:ascii="宋体" w:hAnsi="宋体"/>
          <w:color w:val="auto"/>
          <w:sz w:val="24"/>
          <w:szCs w:val="24"/>
          <w:highlight w:val="none"/>
        </w:rPr>
        <w:t>。</w:t>
      </w:r>
    </w:p>
    <w:p w14:paraId="0EF20F3B">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rPr>
        <w:t>（3）监狱企业标准请参照《关于政府采购支持监狱企业发展有关问题的通知》（</w:t>
      </w:r>
      <w:r>
        <w:rPr>
          <w:rFonts w:ascii="宋体" w:hAnsi="宋体"/>
          <w:color w:val="auto"/>
          <w:sz w:val="24"/>
          <w:szCs w:val="24"/>
          <w:highlight w:val="none"/>
        </w:rPr>
        <w:t>财库[2014]68号</w:t>
      </w:r>
      <w:r>
        <w:rPr>
          <w:rFonts w:hint="eastAsia" w:ascii="宋体" w:hAnsi="宋体"/>
          <w:color w:val="auto"/>
          <w:sz w:val="24"/>
          <w:szCs w:val="24"/>
          <w:highlight w:val="none"/>
        </w:rPr>
        <w:t>）。</w:t>
      </w:r>
    </w:p>
    <w:p w14:paraId="17DFF34F">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lang w:eastAsia="zh-CN"/>
        </w:rPr>
        <w:t>4.</w:t>
      </w:r>
      <w:r>
        <w:rPr>
          <w:rFonts w:hint="eastAsia" w:ascii="宋体" w:hAnsi="宋体"/>
          <w:color w:val="auto"/>
          <w:sz w:val="24"/>
          <w:szCs w:val="24"/>
          <w:highlight w:val="none"/>
        </w:rPr>
        <w:t>残疾人福利单位、监狱企业属于小型、微型企业的，不重复享受政策。</w:t>
      </w:r>
    </w:p>
    <w:p w14:paraId="2369B554">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lang w:eastAsia="zh-CN"/>
        </w:rPr>
        <w:t>5.</w:t>
      </w:r>
      <w:r>
        <w:rPr>
          <w:rFonts w:hint="eastAsia" w:ascii="宋体" w:hAnsi="宋体"/>
          <w:color w:val="auto"/>
          <w:sz w:val="24"/>
          <w:szCs w:val="24"/>
          <w:highlight w:val="none"/>
        </w:rPr>
        <w:t>如本项目同意联合体参加</w:t>
      </w:r>
      <w:r>
        <w:rPr>
          <w:rFonts w:hint="eastAsia" w:ascii="宋体" w:hAnsi="宋体"/>
          <w:color w:val="auto"/>
          <w:sz w:val="24"/>
          <w:szCs w:val="24"/>
          <w:highlight w:val="none"/>
          <w:lang w:val="en-US" w:eastAsia="zh-CN"/>
        </w:rPr>
        <w:t>投标</w:t>
      </w:r>
      <w:r>
        <w:rPr>
          <w:rFonts w:hint="eastAsia" w:ascii="宋体" w:hAnsi="宋体"/>
          <w:color w:val="auto"/>
          <w:sz w:val="24"/>
          <w:szCs w:val="24"/>
          <w:highlight w:val="none"/>
        </w:rPr>
        <w:t>或同意分包履行合同的</w:t>
      </w:r>
      <w:r>
        <w:rPr>
          <w:rFonts w:hint="eastAsia" w:ascii="宋体" w:hAnsi="宋体"/>
          <w:color w:val="auto"/>
          <w:sz w:val="24"/>
          <w:szCs w:val="24"/>
          <w:highlight w:val="none"/>
          <w:lang w:eastAsia="zh-CN"/>
        </w:rPr>
        <w:t>，</w:t>
      </w:r>
      <w:r>
        <w:rPr>
          <w:rFonts w:hint="eastAsia" w:ascii="宋体" w:hAnsi="宋体"/>
          <w:color w:val="auto"/>
          <w:sz w:val="24"/>
          <w:szCs w:val="24"/>
          <w:highlight w:val="none"/>
        </w:rPr>
        <w:t>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color w:val="auto"/>
          <w:sz w:val="24"/>
          <w:szCs w:val="24"/>
          <w:highlight w:val="none"/>
          <w:u w:val="single"/>
          <w:lang w:val="en-US" w:eastAsia="zh-CN"/>
        </w:rPr>
        <w:t>4</w:t>
      </w:r>
      <w:r>
        <w:rPr>
          <w:rFonts w:hint="eastAsia" w:ascii="宋体" w:hAnsi="宋体"/>
          <w:color w:val="auto"/>
          <w:sz w:val="24"/>
          <w:szCs w:val="24"/>
          <w:highlight w:val="none"/>
          <w:u w:val="single"/>
        </w:rPr>
        <w:t>%</w:t>
      </w:r>
      <w:r>
        <w:rPr>
          <w:rFonts w:hint="eastAsia" w:ascii="宋体" w:hAnsi="宋体"/>
          <w:color w:val="auto"/>
          <w:sz w:val="24"/>
          <w:szCs w:val="24"/>
          <w:highlight w:val="none"/>
        </w:rPr>
        <w:t>的价格扣除，用扣除后的价格参与评审。</w:t>
      </w:r>
    </w:p>
    <w:p w14:paraId="55F9C475">
      <w:pPr>
        <w:adjustRightInd w:val="0"/>
        <w:snapToGrid w:val="0"/>
        <w:spacing w:line="360" w:lineRule="auto"/>
        <w:ind w:firstLine="480" w:firstLineChars="200"/>
        <w:jc w:val="left"/>
        <w:textAlignment w:val="baseline"/>
        <w:rPr>
          <w:rFonts w:ascii="宋体" w:hAnsi="宋体"/>
          <w:color w:val="auto"/>
          <w:sz w:val="24"/>
          <w:szCs w:val="24"/>
          <w:highlight w:val="none"/>
        </w:rPr>
      </w:pPr>
      <w:r>
        <w:rPr>
          <w:rFonts w:hint="eastAsia" w:ascii="宋体" w:hAnsi="宋体"/>
          <w:color w:val="auto"/>
          <w:sz w:val="24"/>
          <w:szCs w:val="24"/>
          <w:highlight w:val="none"/>
          <w:lang w:eastAsia="zh-CN"/>
        </w:rPr>
        <w:t>6.</w:t>
      </w:r>
      <w:r>
        <w:rPr>
          <w:rFonts w:hint="eastAsia" w:ascii="宋体" w:hAnsi="宋体"/>
          <w:color w:val="auto"/>
          <w:sz w:val="24"/>
          <w:szCs w:val="24"/>
          <w:highlight w:val="none"/>
        </w:rPr>
        <w:t>联合体各方均为小型、微型企业（残疾人福利单位、监狱企业）的，联合体享受</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0%</w:t>
      </w:r>
      <w:r>
        <w:rPr>
          <w:rFonts w:hint="eastAsia" w:ascii="宋体" w:hAnsi="宋体"/>
          <w:color w:val="auto"/>
          <w:sz w:val="24"/>
          <w:szCs w:val="24"/>
          <w:highlight w:val="none"/>
        </w:rPr>
        <w:t>价格扣除，用扣除后的价格参与评审。</w:t>
      </w:r>
    </w:p>
    <w:p w14:paraId="60E716F3">
      <w:pPr>
        <w:adjustRightInd w:val="0"/>
        <w:snapToGrid w:val="0"/>
        <w:spacing w:line="360" w:lineRule="auto"/>
        <w:ind w:firstLine="480" w:firstLineChars="200"/>
        <w:rPr>
          <w:rFonts w:ascii="宋体" w:hAnsi="宋体"/>
          <w:bCs/>
          <w:color w:val="auto"/>
          <w:sz w:val="24"/>
          <w:highlight w:val="none"/>
        </w:rPr>
      </w:pPr>
      <w:r>
        <w:rPr>
          <w:rFonts w:hint="eastAsia" w:ascii="宋体" w:hAnsi="宋体"/>
          <w:color w:val="auto"/>
          <w:sz w:val="24"/>
          <w:szCs w:val="24"/>
          <w:highlight w:val="none"/>
          <w:lang w:val="en-US" w:eastAsia="zh-CN"/>
        </w:rPr>
        <w:t>7.</w:t>
      </w:r>
      <w:r>
        <w:rPr>
          <w:rFonts w:hint="eastAsia" w:ascii="宋体" w:hAnsi="宋体"/>
          <w:bCs/>
          <w:color w:val="auto"/>
          <w:sz w:val="24"/>
          <w:highlight w:val="none"/>
        </w:rPr>
        <w:t>专门面向中小企业采购的项目或者采购包，不再执行价格评审优惠的扶持政策。</w:t>
      </w:r>
    </w:p>
    <w:p w14:paraId="586445C7">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评标方法与评标标准</w:t>
      </w:r>
    </w:p>
    <w:p w14:paraId="379B8E57">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rPr>
        <w:t>）价格分</w:t>
      </w:r>
      <w:r>
        <w:rPr>
          <w:rFonts w:hint="eastAsia" w:ascii="宋体" w:hAnsi="宋体" w:eastAsia="宋体" w:cs="宋体"/>
          <w:color w:val="auto"/>
          <w:sz w:val="24"/>
          <w:szCs w:val="24"/>
          <w:highlight w:val="none"/>
        </w:rPr>
        <w:t>：10分</w:t>
      </w:r>
    </w:p>
    <w:p w14:paraId="7E8EEB25">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价格分统一采用低价优先法计算，即满足招标文件要求且投标价格最低的投标报价为评标基准价，其价格分为满分。其他投标人的价格分统一按照下列公式计算：</w:t>
      </w:r>
    </w:p>
    <w:p w14:paraId="1EFE43F1">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投标报价得分=（评标基准价/投标报价）×价格权值×100</w:t>
      </w:r>
    </w:p>
    <w:p w14:paraId="0F4863FE">
      <w:pPr>
        <w:adjustRightInd w:val="0"/>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二）评审过程异常低价的审查</w:t>
      </w:r>
    </w:p>
    <w:p w14:paraId="4F053771">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1.采购评审中出现下列情形之一的，评审委员会应当启动异常低价投标（响应）审查程序：</w:t>
      </w:r>
    </w:p>
    <w:p w14:paraId="3333B39E">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投标（响应）报价低于全部通过符合性审查</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投标（响应）报价平均值50%的，即投标（响应）报价&lt;全部通过符合性审查</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投标（响应）报价平均值×50%；</w:t>
      </w:r>
    </w:p>
    <w:p w14:paraId="65041238">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投标（响应）报价低于通过符合性审查的次低报价</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投标（响应）报价50%的，即投标（响应）报价&lt;通过符合性审查的次低报价</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投标（响应）报价×50%；</w:t>
      </w:r>
    </w:p>
    <w:p w14:paraId="62007368">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投标（响应）报价低于采购项目最高限价45%的，即投标（响应）报价&lt;采购项目最高限价×45%；</w:t>
      </w:r>
    </w:p>
    <w:p w14:paraId="0C90A8D5">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评审委员会基于专业判断，认为</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报价过低，有可能影响产品质量或者不能诚信履约的其他情形。</w:t>
      </w:r>
    </w:p>
    <w:p w14:paraId="6966E46C">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2.评审委员会启动异常低价投标（响应）审查后，属于前述第1项至第4项情形的，应当要求相关</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的合理时间一般不少于30分钟。其中，属于第3项情形，</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已随投标（响应）文件一并提交相关书面说明及必要的证明材料的，在评审现场可不再重复提交。</w:t>
      </w:r>
    </w:p>
    <w:p w14:paraId="07D4EBC6">
      <w:pPr>
        <w:adjustRightInd w:val="0"/>
        <w:snapToGrid w:val="0"/>
        <w:spacing w:line="360" w:lineRule="auto"/>
        <w:ind w:firstLine="555"/>
        <w:rPr>
          <w:rFonts w:hint="eastAsia" w:ascii="宋体" w:hAnsi="宋体" w:cs="宋体"/>
          <w:color w:val="auto"/>
          <w:sz w:val="24"/>
          <w:highlight w:val="none"/>
        </w:rPr>
      </w:pPr>
      <w:r>
        <w:rPr>
          <w:rFonts w:hint="eastAsia" w:ascii="宋体" w:hAnsi="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（响应供应商）不能提供书面说明、证明材料，或者提供的书面说明、证明材料不能证明其报价合理性的，评审委员会应当将其作为无效投标（响应）处理。</w:t>
      </w:r>
    </w:p>
    <w:p w14:paraId="758C721F">
      <w:pPr>
        <w:adjustRightInd w:val="0"/>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BF2D9D0">
      <w:pPr>
        <w:adjustRightInd w:val="0"/>
        <w:snapToGrid w:val="0"/>
        <w:spacing w:line="360" w:lineRule="auto"/>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异常低价投标（响应）审查的启动原因、审查意见和审查结果应当在评审报告中记录，并随</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提供的相关书面说明及证明材料，以及评审委员会有关互联网浏览、查询历史一并归档。</w:t>
      </w:r>
    </w:p>
    <w:p w14:paraId="285F46C7">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商务技术分：90分</w:t>
      </w:r>
    </w:p>
    <w:p w14:paraId="51F4721C">
      <w:pPr>
        <w:keepNext w:val="0"/>
        <w:keepLines w:val="0"/>
        <w:pageBreakBefore w:val="0"/>
        <w:widowControl w:val="0"/>
        <w:kinsoku/>
        <w:wordWrap/>
        <w:overflowPunct/>
        <w:topLinePunct w:val="0"/>
        <w:autoSpaceDE/>
        <w:autoSpaceDN/>
        <w:bidi w:val="0"/>
        <w:adjustRightInd w:val="0"/>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各投标人得分为评委会成员评分的算术平均分，分值四舍五入保留小数点后两位。</w:t>
      </w: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941"/>
        <w:gridCol w:w="819"/>
        <w:gridCol w:w="4721"/>
      </w:tblGrid>
      <w:tr w14:paraId="4907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vAlign w:val="center"/>
          </w:tcPr>
          <w:p w14:paraId="218567E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1138" w:type="pct"/>
            <w:vAlign w:val="center"/>
          </w:tcPr>
          <w:p w14:paraId="005FE9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评分点名称</w:t>
            </w:r>
          </w:p>
        </w:tc>
        <w:tc>
          <w:tcPr>
            <w:tcW w:w="480" w:type="pct"/>
            <w:vAlign w:val="center"/>
          </w:tcPr>
          <w:p w14:paraId="488E05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分值</w:t>
            </w:r>
          </w:p>
        </w:tc>
        <w:tc>
          <w:tcPr>
            <w:tcW w:w="2768" w:type="pct"/>
            <w:vAlign w:val="center"/>
          </w:tcPr>
          <w:p w14:paraId="737DA27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评审标准</w:t>
            </w:r>
          </w:p>
        </w:tc>
      </w:tr>
      <w:tr w14:paraId="5445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vAlign w:val="center"/>
          </w:tcPr>
          <w:p w14:paraId="0F1FD05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1138" w:type="pct"/>
            <w:vAlign w:val="center"/>
          </w:tcPr>
          <w:p w14:paraId="4C8C57E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投标人</w:t>
            </w:r>
            <w:r>
              <w:rPr>
                <w:rFonts w:hint="eastAsia" w:ascii="宋体" w:hAnsi="宋体" w:eastAsia="宋体" w:cs="宋体"/>
                <w:color w:val="auto"/>
                <w:sz w:val="24"/>
                <w:szCs w:val="24"/>
                <w:highlight w:val="none"/>
                <w:vertAlign w:val="baseline"/>
                <w:lang w:val="en-US" w:eastAsia="zh-CN"/>
              </w:rPr>
              <w:t>业绩</w:t>
            </w:r>
          </w:p>
        </w:tc>
        <w:tc>
          <w:tcPr>
            <w:tcW w:w="480" w:type="pct"/>
            <w:vAlign w:val="center"/>
          </w:tcPr>
          <w:p w14:paraId="0D4966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15</w:t>
            </w:r>
          </w:p>
        </w:tc>
        <w:tc>
          <w:tcPr>
            <w:tcW w:w="2768" w:type="pct"/>
            <w:vAlign w:val="center"/>
          </w:tcPr>
          <w:p w14:paraId="08793BC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投标人自20</w:t>
            </w:r>
            <w:r>
              <w:rPr>
                <w:rFonts w:hint="eastAsia" w:ascii="宋体" w:hAnsi="宋体" w:cs="宋体"/>
                <w:color w:val="auto"/>
                <w:sz w:val="24"/>
                <w:szCs w:val="24"/>
                <w:highlight w:val="none"/>
                <w:vertAlign w:val="baseline"/>
                <w:lang w:val="en-US" w:eastAsia="zh-CN"/>
              </w:rPr>
              <w:t>21</w:t>
            </w:r>
            <w:r>
              <w:rPr>
                <w:rFonts w:hint="eastAsia" w:ascii="宋体" w:hAnsi="宋体" w:eastAsia="宋体" w:cs="宋体"/>
                <w:color w:val="auto"/>
                <w:sz w:val="24"/>
                <w:szCs w:val="24"/>
                <w:highlight w:val="none"/>
                <w:vertAlign w:val="baseline"/>
                <w:lang w:val="en-US" w:eastAsia="zh-CN"/>
              </w:rPr>
              <w:t>年1月1日以来（以合同</w:t>
            </w:r>
            <w:r>
              <w:rPr>
                <w:rFonts w:hint="eastAsia" w:ascii="宋体" w:hAnsi="宋体" w:cs="宋体"/>
                <w:color w:val="auto"/>
                <w:sz w:val="24"/>
                <w:szCs w:val="24"/>
                <w:highlight w:val="none"/>
                <w:vertAlign w:val="baseline"/>
                <w:lang w:val="en-US" w:eastAsia="zh-CN"/>
              </w:rPr>
              <w:t>签订日期为准</w:t>
            </w:r>
            <w:r>
              <w:rPr>
                <w:rFonts w:hint="eastAsia" w:ascii="宋体" w:hAnsi="宋体" w:eastAsia="宋体" w:cs="宋体"/>
                <w:color w:val="auto"/>
                <w:sz w:val="24"/>
                <w:szCs w:val="24"/>
                <w:highlight w:val="none"/>
                <w:vertAlign w:val="baseline"/>
                <w:lang w:val="en-US" w:eastAsia="zh-CN"/>
              </w:rPr>
              <w:t>）承担过</w:t>
            </w:r>
            <w:r>
              <w:rPr>
                <w:rFonts w:hint="eastAsia" w:ascii="宋体" w:hAnsi="宋体" w:cs="宋体"/>
                <w:color w:val="auto"/>
                <w:sz w:val="24"/>
                <w:szCs w:val="24"/>
                <w:highlight w:val="none"/>
                <w:vertAlign w:val="baseline"/>
                <w:lang w:val="en-US" w:eastAsia="zh-CN"/>
              </w:rPr>
              <w:t>交通运输行业发展报告（或年度报告或研究分析报告），</w:t>
            </w:r>
            <w:r>
              <w:rPr>
                <w:rFonts w:hint="eastAsia" w:ascii="宋体" w:hAnsi="宋体" w:eastAsia="宋体" w:cs="宋体"/>
                <w:color w:val="auto"/>
                <w:sz w:val="24"/>
                <w:szCs w:val="24"/>
                <w:highlight w:val="none"/>
                <w:vertAlign w:val="baseline"/>
                <w:lang w:val="en-US" w:eastAsia="zh-CN"/>
              </w:rPr>
              <w:t>每提供</w:t>
            </w:r>
            <w:r>
              <w:rPr>
                <w:rFonts w:hint="eastAsia" w:ascii="宋体" w:hAnsi="宋体" w:cs="宋体"/>
                <w:color w:val="auto"/>
                <w:sz w:val="24"/>
                <w:szCs w:val="24"/>
                <w:highlight w:val="none"/>
                <w:vertAlign w:val="baseline"/>
                <w:lang w:val="en-US" w:eastAsia="zh-CN"/>
              </w:rPr>
              <w:t>一项业绩</w:t>
            </w:r>
            <w:r>
              <w:rPr>
                <w:rFonts w:hint="eastAsia" w:ascii="宋体" w:hAnsi="宋体" w:eastAsia="宋体" w:cs="宋体"/>
                <w:color w:val="auto"/>
                <w:sz w:val="24"/>
                <w:szCs w:val="24"/>
                <w:highlight w:val="none"/>
                <w:vertAlign w:val="baseline"/>
                <w:lang w:val="en-US" w:eastAsia="zh-CN"/>
              </w:rPr>
              <w:t>得3分，最多得15分。</w:t>
            </w:r>
          </w:p>
          <w:p w14:paraId="782D8B9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注：</w:t>
            </w:r>
            <w:r>
              <w:rPr>
                <w:rFonts w:hint="eastAsia" w:ascii="宋体" w:hAnsi="宋体" w:eastAsia="宋体" w:cs="宋体"/>
                <w:color w:val="auto"/>
                <w:sz w:val="24"/>
                <w:szCs w:val="24"/>
                <w:highlight w:val="none"/>
                <w:vertAlign w:val="baseline"/>
                <w:lang w:val="en-US" w:eastAsia="zh-CN"/>
              </w:rPr>
              <w:t>提供项目合同（</w:t>
            </w:r>
            <w:r>
              <w:rPr>
                <w:rFonts w:hint="eastAsia" w:ascii="宋体" w:hAnsi="宋体" w:eastAsia="宋体" w:cs="宋体"/>
                <w:b w:val="0"/>
                <w:color w:val="auto"/>
                <w:sz w:val="24"/>
                <w:szCs w:val="24"/>
                <w:highlight w:val="none"/>
                <w:lang w:val="en-US" w:eastAsia="zh-CN"/>
              </w:rPr>
              <w:t>包括合同首页、关键内容页、签字盖章页）</w:t>
            </w:r>
            <w:r>
              <w:rPr>
                <w:rFonts w:hint="eastAsia" w:ascii="宋体" w:hAnsi="宋体" w:eastAsia="宋体" w:cs="宋体"/>
                <w:color w:val="auto"/>
                <w:sz w:val="24"/>
                <w:szCs w:val="24"/>
                <w:highlight w:val="none"/>
                <w:vertAlign w:val="baseline"/>
                <w:lang w:val="en-US" w:eastAsia="zh-CN"/>
              </w:rPr>
              <w:t>复印件（或扫描件）加盖投标人公章，否则不得分。</w:t>
            </w:r>
          </w:p>
        </w:tc>
      </w:tr>
      <w:tr w14:paraId="2D56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7" w:hRule="atLeast"/>
        </w:trPr>
        <w:tc>
          <w:tcPr>
            <w:tcW w:w="613" w:type="pct"/>
            <w:vMerge w:val="restart"/>
            <w:vAlign w:val="center"/>
          </w:tcPr>
          <w:p w14:paraId="7588C7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1138" w:type="pct"/>
            <w:vMerge w:val="restart"/>
            <w:vAlign w:val="center"/>
          </w:tcPr>
          <w:p w14:paraId="413F62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项目团队综合实力</w:t>
            </w:r>
          </w:p>
        </w:tc>
        <w:tc>
          <w:tcPr>
            <w:tcW w:w="480" w:type="pct"/>
            <w:vMerge w:val="restart"/>
            <w:vAlign w:val="center"/>
          </w:tcPr>
          <w:p w14:paraId="1BBC26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33</w:t>
            </w:r>
          </w:p>
        </w:tc>
        <w:tc>
          <w:tcPr>
            <w:tcW w:w="2768" w:type="pct"/>
            <w:vAlign w:val="center"/>
          </w:tcPr>
          <w:p w14:paraId="52B50C87">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项目负责人综合实力（13分）：</w:t>
            </w:r>
          </w:p>
          <w:p w14:paraId="19E82B5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项目负责人</w:t>
            </w:r>
            <w:r>
              <w:rPr>
                <w:rFonts w:hint="eastAsia" w:ascii="宋体" w:hAnsi="宋体" w:cs="宋体"/>
                <w:color w:val="auto"/>
                <w:sz w:val="24"/>
                <w:szCs w:val="24"/>
                <w:highlight w:val="none"/>
                <w:vertAlign w:val="baseline"/>
                <w:lang w:val="en-US" w:eastAsia="zh-CN"/>
              </w:rPr>
              <w:t>具有</w:t>
            </w:r>
            <w:r>
              <w:rPr>
                <w:rFonts w:hint="eastAsia" w:ascii="宋体" w:hAnsi="宋体" w:eastAsia="宋体" w:cs="宋体"/>
                <w:color w:val="auto"/>
                <w:sz w:val="24"/>
                <w:szCs w:val="24"/>
                <w:highlight w:val="none"/>
                <w:vertAlign w:val="baseline"/>
                <w:lang w:val="en-US" w:eastAsia="zh-CN"/>
              </w:rPr>
              <w:t>交通运输类专业</w:t>
            </w:r>
            <w:r>
              <w:rPr>
                <w:rFonts w:hint="eastAsia" w:ascii="宋体" w:hAnsi="宋体" w:cs="宋体"/>
                <w:color w:val="auto"/>
                <w:sz w:val="24"/>
                <w:szCs w:val="24"/>
                <w:highlight w:val="none"/>
                <w:vertAlign w:val="baseline"/>
                <w:lang w:val="en-US" w:eastAsia="zh-CN"/>
              </w:rPr>
              <w:t>，并</w:t>
            </w:r>
            <w:r>
              <w:rPr>
                <w:rFonts w:hint="eastAsia" w:ascii="宋体" w:hAnsi="宋体" w:eastAsia="宋体" w:cs="宋体"/>
                <w:color w:val="auto"/>
                <w:sz w:val="24"/>
                <w:szCs w:val="24"/>
                <w:highlight w:val="none"/>
                <w:vertAlign w:val="baseline"/>
                <w:lang w:val="en-US" w:eastAsia="zh-CN"/>
              </w:rPr>
              <w:t>具备高级及以上</w:t>
            </w:r>
            <w:r>
              <w:rPr>
                <w:rFonts w:hint="eastAsia" w:ascii="宋体" w:hAnsi="宋体" w:cs="宋体"/>
                <w:color w:val="auto"/>
                <w:sz w:val="24"/>
                <w:szCs w:val="24"/>
                <w:highlight w:val="none"/>
                <w:vertAlign w:val="baseline"/>
                <w:lang w:val="en-US" w:eastAsia="zh-CN"/>
              </w:rPr>
              <w:t>技术</w:t>
            </w:r>
            <w:r>
              <w:rPr>
                <w:rFonts w:hint="eastAsia" w:ascii="宋体" w:hAnsi="宋体" w:eastAsia="宋体" w:cs="宋体"/>
                <w:color w:val="auto"/>
                <w:sz w:val="24"/>
                <w:szCs w:val="24"/>
                <w:highlight w:val="none"/>
                <w:vertAlign w:val="baseline"/>
                <w:lang w:val="en-US" w:eastAsia="zh-CN"/>
              </w:rPr>
              <w:t>职称的得4分。</w:t>
            </w:r>
          </w:p>
          <w:p w14:paraId="4CF5DD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提供</w:t>
            </w:r>
            <w:r>
              <w:rPr>
                <w:rFonts w:hint="eastAsia" w:ascii="宋体" w:hAnsi="宋体" w:cs="宋体"/>
                <w:color w:val="auto"/>
                <w:sz w:val="24"/>
                <w:szCs w:val="24"/>
                <w:highlight w:val="none"/>
                <w:vertAlign w:val="baseline"/>
                <w:lang w:val="en-US" w:eastAsia="zh-CN"/>
              </w:rPr>
              <w:t>的专业佐证材料（毕业证书或职称证书或执业证书等）及职</w:t>
            </w:r>
            <w:r>
              <w:rPr>
                <w:rFonts w:hint="eastAsia" w:ascii="宋体" w:hAnsi="宋体" w:eastAsia="宋体" w:cs="宋体"/>
                <w:color w:val="auto"/>
                <w:sz w:val="24"/>
                <w:szCs w:val="24"/>
                <w:highlight w:val="none"/>
                <w:vertAlign w:val="baseline"/>
                <w:lang w:val="en-US" w:eastAsia="zh-CN"/>
              </w:rPr>
              <w:t>称证书的复印件（或扫描件）加盖投标人公章，否则不得分。</w:t>
            </w:r>
          </w:p>
          <w:p w14:paraId="2D2D9D9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（2）项目负责人自20</w:t>
            </w:r>
            <w:r>
              <w:rPr>
                <w:rFonts w:hint="eastAsia" w:ascii="宋体" w:hAnsi="宋体" w:cs="宋体"/>
                <w:color w:val="auto"/>
                <w:sz w:val="24"/>
                <w:szCs w:val="24"/>
                <w:highlight w:val="none"/>
                <w:vertAlign w:val="baseline"/>
                <w:lang w:val="en-US" w:eastAsia="zh-CN"/>
              </w:rPr>
              <w:t>21</w:t>
            </w:r>
            <w:r>
              <w:rPr>
                <w:rFonts w:hint="eastAsia" w:ascii="宋体" w:hAnsi="宋体" w:eastAsia="宋体" w:cs="宋体"/>
                <w:color w:val="auto"/>
                <w:sz w:val="24"/>
                <w:szCs w:val="24"/>
                <w:highlight w:val="none"/>
                <w:vertAlign w:val="baseline"/>
                <w:lang w:val="en-US" w:eastAsia="zh-CN"/>
              </w:rPr>
              <w:t>年1月1日以来（以合同</w:t>
            </w:r>
            <w:r>
              <w:rPr>
                <w:rFonts w:hint="eastAsia" w:ascii="宋体" w:hAnsi="宋体" w:cs="宋体"/>
                <w:color w:val="auto"/>
                <w:sz w:val="24"/>
                <w:szCs w:val="24"/>
                <w:highlight w:val="none"/>
                <w:vertAlign w:val="baseline"/>
                <w:lang w:val="en-US" w:eastAsia="zh-CN"/>
              </w:rPr>
              <w:t>签订日期为准</w:t>
            </w:r>
            <w:r>
              <w:rPr>
                <w:rFonts w:hint="eastAsia" w:ascii="宋体" w:hAnsi="宋体" w:eastAsia="宋体" w:cs="宋体"/>
                <w:color w:val="auto"/>
                <w:sz w:val="24"/>
                <w:szCs w:val="24"/>
                <w:highlight w:val="none"/>
                <w:vertAlign w:val="baseline"/>
                <w:lang w:val="en-US" w:eastAsia="zh-CN"/>
              </w:rPr>
              <w:t>）承担过</w:t>
            </w:r>
            <w:r>
              <w:rPr>
                <w:rFonts w:hint="eastAsia" w:ascii="宋体" w:hAnsi="宋体" w:cs="宋体"/>
                <w:color w:val="auto"/>
                <w:sz w:val="24"/>
                <w:szCs w:val="24"/>
                <w:highlight w:val="none"/>
                <w:vertAlign w:val="baseline"/>
                <w:lang w:val="en-US" w:eastAsia="zh-CN"/>
              </w:rPr>
              <w:t>交通运输行业发展报告（或年度报告或研究分析报告）</w:t>
            </w:r>
            <w:r>
              <w:rPr>
                <w:rFonts w:hint="eastAsia" w:ascii="宋体" w:hAnsi="宋体" w:eastAsia="宋体" w:cs="宋体"/>
                <w:color w:val="auto"/>
                <w:sz w:val="24"/>
                <w:szCs w:val="24"/>
                <w:highlight w:val="none"/>
                <w:vertAlign w:val="baseline"/>
                <w:lang w:val="en-US" w:eastAsia="zh-CN"/>
              </w:rPr>
              <w:t>并担任项目负责人的</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每提供</w:t>
            </w:r>
            <w:r>
              <w:rPr>
                <w:rFonts w:hint="eastAsia" w:ascii="宋体" w:hAnsi="宋体" w:cs="宋体"/>
                <w:color w:val="auto"/>
                <w:sz w:val="24"/>
                <w:szCs w:val="24"/>
                <w:highlight w:val="none"/>
                <w:vertAlign w:val="baseline"/>
                <w:lang w:val="en-US" w:eastAsia="zh-CN"/>
              </w:rPr>
              <w:t>一项业绩</w:t>
            </w:r>
            <w:r>
              <w:rPr>
                <w:rFonts w:hint="eastAsia" w:ascii="宋体" w:hAnsi="宋体" w:eastAsia="宋体" w:cs="宋体"/>
                <w:color w:val="auto"/>
                <w:sz w:val="24"/>
                <w:szCs w:val="24"/>
                <w:highlight w:val="none"/>
                <w:vertAlign w:val="baseline"/>
                <w:lang w:val="en-US" w:eastAsia="zh-CN"/>
              </w:rPr>
              <w:t>得3分，最高得9分。</w:t>
            </w:r>
          </w:p>
          <w:p w14:paraId="3821D8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提供项目合同（</w:t>
            </w:r>
            <w:r>
              <w:rPr>
                <w:rFonts w:hint="eastAsia" w:ascii="宋体" w:hAnsi="宋体" w:eastAsia="宋体" w:cs="宋体"/>
                <w:b w:val="0"/>
                <w:color w:val="auto"/>
                <w:sz w:val="24"/>
                <w:szCs w:val="24"/>
                <w:highlight w:val="none"/>
                <w:lang w:val="en-US" w:eastAsia="zh-CN"/>
              </w:rPr>
              <w:t>包括合同首页、关键内容页、签字盖章页）</w:t>
            </w:r>
            <w:r>
              <w:rPr>
                <w:rFonts w:hint="eastAsia" w:ascii="宋体" w:hAnsi="宋体" w:eastAsia="宋体" w:cs="宋体"/>
                <w:color w:val="auto"/>
                <w:sz w:val="24"/>
                <w:szCs w:val="24"/>
                <w:highlight w:val="none"/>
                <w:vertAlign w:val="baseline"/>
                <w:lang w:val="en-US" w:eastAsia="zh-CN"/>
              </w:rPr>
              <w:t>复印件（或扫描件）加盖投标人公章，若合同无法体现上述内容（如项目负责人名字或职务等内容），需提供项目业主方加盖项目业主方公章的证明材料的复印件（或扫描件）加盖投标人公章作为佐证材料，否则不得分。</w:t>
            </w:r>
          </w:p>
          <w:p w14:paraId="4323A21F">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注</w:t>
            </w:r>
            <w:r>
              <w:rPr>
                <w:rFonts w:hint="eastAsia" w:ascii="宋体" w:hAnsi="宋体" w:eastAsia="宋体" w:cs="宋体"/>
                <w:color w:val="auto"/>
                <w:sz w:val="24"/>
                <w:szCs w:val="24"/>
                <w:highlight w:val="none"/>
                <w:vertAlign w:val="baseline"/>
                <w:lang w:val="en-US" w:eastAsia="zh-CN"/>
              </w:rPr>
              <w:t>：项目负责人</w:t>
            </w:r>
            <w:r>
              <w:rPr>
                <w:rFonts w:hint="eastAsia" w:ascii="宋体" w:hAnsi="宋体" w:cs="宋体"/>
                <w:color w:val="auto"/>
                <w:sz w:val="24"/>
                <w:szCs w:val="24"/>
                <w:highlight w:val="none"/>
                <w:vertAlign w:val="baseline"/>
                <w:lang w:val="en-US" w:eastAsia="zh-CN"/>
              </w:rPr>
              <w:t>须</w:t>
            </w:r>
            <w:r>
              <w:rPr>
                <w:rFonts w:hint="eastAsia" w:ascii="宋体" w:hAnsi="宋体" w:eastAsia="宋体" w:cs="宋体"/>
                <w:color w:val="auto"/>
                <w:sz w:val="24"/>
                <w:szCs w:val="24"/>
                <w:highlight w:val="none"/>
                <w:vertAlign w:val="baseline"/>
                <w:lang w:val="en-US" w:eastAsia="zh-CN"/>
              </w:rPr>
              <w:t>为投标人自有人员，提供投标人为其缴纳的近三个月内（2</w:t>
            </w:r>
            <w:r>
              <w:rPr>
                <w:rFonts w:hint="eastAsia" w:ascii="宋体" w:hAnsi="宋体" w:cs="宋体"/>
                <w:color w:val="auto"/>
                <w:sz w:val="24"/>
                <w:szCs w:val="24"/>
                <w:highlight w:val="none"/>
                <w:vertAlign w:val="baseline"/>
                <w:lang w:val="en-US" w:eastAsia="zh-CN"/>
              </w:rPr>
              <w:t>026年3月至2026年5月）任意一个月的社保证明复印件（或扫描件）并加盖投标人公章，否则上述（1）－（2）项评分项均不得分。</w:t>
            </w:r>
          </w:p>
        </w:tc>
      </w:tr>
      <w:tr w14:paraId="1E3D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1" w:hRule="atLeast"/>
        </w:trPr>
        <w:tc>
          <w:tcPr>
            <w:tcW w:w="613" w:type="pct"/>
            <w:vMerge w:val="continue"/>
            <w:vAlign w:val="center"/>
          </w:tcPr>
          <w:p w14:paraId="7615795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138" w:type="pct"/>
            <w:vMerge w:val="continue"/>
            <w:vAlign w:val="center"/>
          </w:tcPr>
          <w:p w14:paraId="1558B1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color w:val="auto"/>
                <w:sz w:val="24"/>
                <w:szCs w:val="24"/>
                <w:highlight w:val="none"/>
                <w:lang w:val="en-US" w:eastAsia="zh-CN"/>
              </w:rPr>
            </w:pPr>
          </w:p>
        </w:tc>
        <w:tc>
          <w:tcPr>
            <w:tcW w:w="480" w:type="pct"/>
            <w:vMerge w:val="continue"/>
            <w:vAlign w:val="center"/>
          </w:tcPr>
          <w:p w14:paraId="1DC8771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color w:val="auto"/>
                <w:sz w:val="24"/>
                <w:szCs w:val="24"/>
                <w:highlight w:val="none"/>
                <w:vertAlign w:val="baseline"/>
                <w:lang w:val="en-US" w:eastAsia="zh-CN"/>
              </w:rPr>
            </w:pPr>
          </w:p>
        </w:tc>
        <w:tc>
          <w:tcPr>
            <w:tcW w:w="2768" w:type="pct"/>
            <w:vAlign w:val="center"/>
          </w:tcPr>
          <w:p w14:paraId="6DD43D04">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jc w:val="both"/>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2.项目成员（除项目负责人外）综合实力（20分）：</w:t>
            </w:r>
          </w:p>
          <w:p w14:paraId="428A16B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r>
              <w:rPr>
                <w:rFonts w:hint="eastAsia" w:ascii="宋体" w:hAnsi="宋体" w:cs="宋体"/>
                <w:color w:val="auto"/>
                <w:sz w:val="24"/>
                <w:szCs w:val="24"/>
                <w:highlight w:val="none"/>
                <w:vertAlign w:val="baseline"/>
                <w:lang w:val="en-US" w:eastAsia="zh-CN"/>
              </w:rPr>
              <w:t>项目成员具有交通运输类专业人员的，每有一个得2分，最高得4分；具有统计类或经济类或管理类专业人员的，每有一个得2分，最高得4分；本项最</w:t>
            </w:r>
            <w:r>
              <w:rPr>
                <w:rFonts w:hint="eastAsia" w:ascii="宋体" w:hAnsi="宋体" w:eastAsia="宋体" w:cs="宋体"/>
                <w:color w:val="auto"/>
                <w:sz w:val="24"/>
                <w:szCs w:val="24"/>
                <w:highlight w:val="none"/>
                <w:vertAlign w:val="baseline"/>
                <w:lang w:val="en-US" w:eastAsia="zh-CN"/>
              </w:rPr>
              <w:t>高得8分。</w:t>
            </w:r>
          </w:p>
          <w:p w14:paraId="3214A61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提供项目成员的专业佐证材料（毕业证书或职称证书或执业证书等）的复印件（或扫描件）加盖投标人公章，否则不得分。</w:t>
            </w:r>
          </w:p>
          <w:p w14:paraId="534D24C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（2）以上</w:t>
            </w:r>
            <w:r>
              <w:rPr>
                <w:rFonts w:hint="eastAsia" w:ascii="宋体" w:hAnsi="宋体" w:eastAsia="宋体" w:cs="宋体"/>
                <w:color w:val="auto"/>
                <w:sz w:val="24"/>
                <w:szCs w:val="24"/>
                <w:highlight w:val="none"/>
                <w:vertAlign w:val="baseline"/>
                <w:lang w:val="en-US" w:eastAsia="zh-CN"/>
              </w:rPr>
              <w:t>项目成员自20</w:t>
            </w:r>
            <w:r>
              <w:rPr>
                <w:rFonts w:hint="eastAsia" w:ascii="宋体" w:hAnsi="宋体" w:cs="宋体"/>
                <w:color w:val="auto"/>
                <w:sz w:val="24"/>
                <w:szCs w:val="24"/>
                <w:highlight w:val="none"/>
                <w:vertAlign w:val="baseline"/>
                <w:lang w:val="en-US" w:eastAsia="zh-CN"/>
              </w:rPr>
              <w:t>21</w:t>
            </w:r>
            <w:r>
              <w:rPr>
                <w:rFonts w:hint="eastAsia" w:ascii="宋体" w:hAnsi="宋体" w:eastAsia="宋体" w:cs="宋体"/>
                <w:color w:val="auto"/>
                <w:sz w:val="24"/>
                <w:szCs w:val="24"/>
                <w:highlight w:val="none"/>
                <w:vertAlign w:val="baseline"/>
                <w:lang w:val="en-US" w:eastAsia="zh-CN"/>
              </w:rPr>
              <w:t>年1月1日以来（以合同</w:t>
            </w:r>
            <w:r>
              <w:rPr>
                <w:rFonts w:hint="eastAsia" w:ascii="宋体" w:hAnsi="宋体" w:cs="宋体"/>
                <w:color w:val="auto"/>
                <w:sz w:val="24"/>
                <w:szCs w:val="24"/>
                <w:highlight w:val="none"/>
                <w:vertAlign w:val="baseline"/>
                <w:lang w:val="en-US" w:eastAsia="zh-CN"/>
              </w:rPr>
              <w:t>签订日期为准</w:t>
            </w:r>
            <w:r>
              <w:rPr>
                <w:rFonts w:hint="eastAsia" w:ascii="宋体" w:hAnsi="宋体" w:eastAsia="宋体" w:cs="宋体"/>
                <w:color w:val="auto"/>
                <w:sz w:val="24"/>
                <w:szCs w:val="24"/>
                <w:highlight w:val="none"/>
                <w:vertAlign w:val="baseline"/>
                <w:lang w:val="en-US" w:eastAsia="zh-CN"/>
              </w:rPr>
              <w:t>）参与过</w:t>
            </w:r>
            <w:r>
              <w:rPr>
                <w:rFonts w:hint="eastAsia" w:ascii="宋体" w:hAnsi="宋体" w:cs="宋体"/>
                <w:color w:val="auto"/>
                <w:sz w:val="24"/>
                <w:szCs w:val="24"/>
                <w:highlight w:val="none"/>
                <w:vertAlign w:val="baseline"/>
                <w:lang w:val="en-US" w:eastAsia="zh-CN"/>
              </w:rPr>
              <w:t>交通运输行业发展报告（或年度报告或研究分析报告）</w:t>
            </w:r>
            <w:r>
              <w:rPr>
                <w:rFonts w:hint="eastAsia" w:ascii="宋体" w:hAnsi="宋体" w:eastAsia="宋体" w:cs="宋体"/>
                <w:color w:val="auto"/>
                <w:sz w:val="24"/>
                <w:szCs w:val="24"/>
                <w:highlight w:val="none"/>
                <w:vertAlign w:val="baseline"/>
                <w:lang w:val="en-US" w:eastAsia="zh-CN"/>
              </w:rPr>
              <w:t>项目的</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每有一人得3分，最高得12分。</w:t>
            </w:r>
          </w:p>
          <w:p w14:paraId="2B2057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提供项目合同（</w:t>
            </w:r>
            <w:r>
              <w:rPr>
                <w:rFonts w:hint="eastAsia" w:ascii="宋体" w:hAnsi="宋体" w:eastAsia="宋体" w:cs="宋体"/>
                <w:b w:val="0"/>
                <w:color w:val="auto"/>
                <w:sz w:val="24"/>
                <w:szCs w:val="24"/>
                <w:highlight w:val="none"/>
                <w:lang w:val="en-US" w:eastAsia="zh-CN"/>
              </w:rPr>
              <w:t>包括合同首页、关键内容页、签字盖章页）</w:t>
            </w:r>
            <w:r>
              <w:rPr>
                <w:rFonts w:hint="eastAsia" w:ascii="宋体" w:hAnsi="宋体" w:eastAsia="宋体" w:cs="宋体"/>
                <w:color w:val="auto"/>
                <w:sz w:val="24"/>
                <w:szCs w:val="24"/>
                <w:highlight w:val="none"/>
                <w:vertAlign w:val="baseline"/>
                <w:lang w:val="en-US" w:eastAsia="zh-CN"/>
              </w:rPr>
              <w:t>复印件（或扫描件）加盖投标人公章，若合同无法体现上述内容（如人员名字等内容），需提供项目业主方加盖项目业主方公章的证明材料的复印件（或扫描件）加盖投标人公章作为佐证材料，否则不得分。</w:t>
            </w:r>
          </w:p>
          <w:p w14:paraId="53C02640">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注：①以上项目组成员（</w:t>
            </w:r>
            <w:r>
              <w:rPr>
                <w:rFonts w:hint="eastAsia" w:ascii="宋体" w:hAnsi="宋体" w:cs="宋体"/>
                <w:color w:val="auto"/>
                <w:sz w:val="24"/>
                <w:szCs w:val="24"/>
                <w:highlight w:val="none"/>
                <w:vertAlign w:val="baseline"/>
                <w:lang w:val="en-US" w:eastAsia="zh-CN"/>
              </w:rPr>
              <w:t>除</w:t>
            </w:r>
            <w:r>
              <w:rPr>
                <w:rFonts w:hint="eastAsia" w:ascii="宋体" w:hAnsi="宋体" w:eastAsia="宋体" w:cs="宋体"/>
                <w:color w:val="auto"/>
                <w:sz w:val="24"/>
                <w:szCs w:val="24"/>
                <w:highlight w:val="none"/>
                <w:vertAlign w:val="baseline"/>
                <w:lang w:val="en-US" w:eastAsia="zh-CN"/>
              </w:rPr>
              <w:t>项目负责人</w:t>
            </w:r>
            <w:r>
              <w:rPr>
                <w:rFonts w:hint="eastAsia" w:ascii="宋体" w:hAnsi="宋体" w:cs="宋体"/>
                <w:color w:val="auto"/>
                <w:sz w:val="24"/>
                <w:szCs w:val="24"/>
                <w:highlight w:val="none"/>
                <w:vertAlign w:val="baseline"/>
                <w:lang w:val="en-US" w:eastAsia="zh-CN"/>
              </w:rPr>
              <w:t>外</w:t>
            </w:r>
            <w:r>
              <w:rPr>
                <w:rFonts w:hint="eastAsia" w:ascii="宋体" w:hAnsi="宋体" w:eastAsia="宋体" w:cs="宋体"/>
                <w:color w:val="auto"/>
                <w:sz w:val="24"/>
                <w:szCs w:val="24"/>
                <w:highlight w:val="none"/>
                <w:vertAlign w:val="baseline"/>
                <w:lang w:val="en-US" w:eastAsia="zh-CN"/>
              </w:rPr>
              <w:t>）为投标人自有人员，提供投标人为其缴纳的近三个月内（2</w:t>
            </w:r>
            <w:r>
              <w:rPr>
                <w:rFonts w:hint="eastAsia" w:ascii="宋体" w:hAnsi="宋体" w:cs="宋体"/>
                <w:color w:val="auto"/>
                <w:sz w:val="24"/>
                <w:szCs w:val="24"/>
                <w:highlight w:val="none"/>
                <w:vertAlign w:val="baseline"/>
                <w:lang w:val="en-US" w:eastAsia="zh-CN"/>
              </w:rPr>
              <w:t>026年3月至2026年5月）任意一个月的社保证明复印件（或扫描件）并加盖投标人公章，否则上述（1）（2）项中相应人员评分项不得分。</w:t>
            </w:r>
          </w:p>
          <w:p w14:paraId="5C4265B2">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uto"/>
              <w:jc w:val="both"/>
              <w:textAlignment w:val="auto"/>
              <w:rPr>
                <w:rFonts w:hint="default" w:ascii="宋体" w:hAnsi="宋体" w:cs="宋体"/>
                <w:color w:val="auto"/>
                <w:sz w:val="24"/>
                <w:szCs w:val="24"/>
                <w:highlight w:val="none"/>
                <w:vertAlign w:val="baseline"/>
                <w:lang w:val="en-US" w:eastAsia="zh-CN"/>
              </w:rPr>
            </w:pPr>
            <w:r>
              <w:rPr>
                <w:rFonts w:hint="default" w:ascii="宋体" w:hAnsi="宋体" w:cs="宋体"/>
                <w:color w:val="auto"/>
                <w:sz w:val="24"/>
                <w:szCs w:val="24"/>
                <w:highlight w:val="none"/>
                <w:vertAlign w:val="baseline"/>
                <w:lang w:val="en-US" w:eastAsia="zh-CN"/>
              </w:rPr>
              <w:t>②</w:t>
            </w:r>
            <w:r>
              <w:rPr>
                <w:rFonts w:hint="eastAsia" w:ascii="宋体" w:hAnsi="宋体" w:cs="宋体"/>
                <w:color w:val="auto"/>
                <w:sz w:val="24"/>
                <w:szCs w:val="24"/>
                <w:highlight w:val="none"/>
                <w:vertAlign w:val="baseline"/>
                <w:lang w:val="en-US" w:eastAsia="zh-CN"/>
              </w:rPr>
              <w:t>同一业绩仅计分一次。</w:t>
            </w:r>
          </w:p>
        </w:tc>
      </w:tr>
      <w:tr w14:paraId="08EB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vAlign w:val="center"/>
          </w:tcPr>
          <w:p w14:paraId="360BEB7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1138" w:type="pct"/>
            <w:vAlign w:val="center"/>
          </w:tcPr>
          <w:p w14:paraId="28602C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对采购项目的理解和总体思路</w:t>
            </w:r>
          </w:p>
        </w:tc>
        <w:tc>
          <w:tcPr>
            <w:tcW w:w="480" w:type="pct"/>
            <w:vAlign w:val="center"/>
          </w:tcPr>
          <w:p w14:paraId="5FF9F81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12</w:t>
            </w:r>
          </w:p>
        </w:tc>
        <w:tc>
          <w:tcPr>
            <w:tcW w:w="2768" w:type="pct"/>
            <w:vAlign w:val="center"/>
          </w:tcPr>
          <w:p w14:paraId="2AC0831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w:t>
            </w:r>
            <w:r>
              <w:rPr>
                <w:rFonts w:hint="eastAsia" w:ascii="宋体" w:hAnsi="宋体" w:cs="宋体"/>
                <w:color w:val="auto"/>
                <w:sz w:val="24"/>
                <w:szCs w:val="24"/>
                <w:highlight w:val="none"/>
                <w:vertAlign w:val="baseline"/>
                <w:lang w:val="en-US" w:eastAsia="zh-CN"/>
              </w:rPr>
              <w:t>投标人</w:t>
            </w:r>
            <w:r>
              <w:rPr>
                <w:rFonts w:hint="eastAsia" w:ascii="宋体" w:hAnsi="宋体" w:eastAsia="宋体" w:cs="宋体"/>
                <w:color w:val="auto"/>
                <w:sz w:val="24"/>
                <w:szCs w:val="24"/>
                <w:highlight w:val="none"/>
                <w:vertAlign w:val="baseline"/>
                <w:lang w:val="en-US" w:eastAsia="zh-CN"/>
              </w:rPr>
              <w:t>对本项目功能、重点、难点等的理解分析及总体实施方案</w:t>
            </w:r>
            <w:r>
              <w:rPr>
                <w:rFonts w:hint="eastAsia" w:ascii="宋体" w:hAnsi="宋体" w:cs="宋体"/>
                <w:color w:val="auto"/>
                <w:sz w:val="24"/>
                <w:szCs w:val="24"/>
                <w:highlight w:val="none"/>
                <w:vertAlign w:val="baseline"/>
                <w:lang w:val="en-US" w:eastAsia="zh-CN"/>
              </w:rPr>
              <w:t>描述进行评分。</w:t>
            </w:r>
          </w:p>
          <w:p w14:paraId="6A07CDA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思路清晰，对本项工作理解透彻全面，工作方法合理的，得</w:t>
            </w:r>
            <w:r>
              <w:rPr>
                <w:rFonts w:hint="eastAsia" w:ascii="宋体" w:hAnsi="宋体" w:cs="宋体"/>
                <w:color w:val="auto"/>
                <w:sz w:val="24"/>
                <w:szCs w:val="24"/>
                <w:highlight w:val="none"/>
                <w:vertAlign w:val="baseline"/>
                <w:lang w:val="en-US" w:eastAsia="zh-CN"/>
              </w:rPr>
              <w:t>12</w:t>
            </w:r>
            <w:r>
              <w:rPr>
                <w:rFonts w:hint="eastAsia" w:ascii="宋体" w:hAnsi="宋体" w:eastAsia="宋体" w:cs="宋体"/>
                <w:color w:val="auto"/>
                <w:sz w:val="24"/>
                <w:szCs w:val="24"/>
                <w:highlight w:val="none"/>
                <w:vertAlign w:val="baseline"/>
                <w:lang w:val="en-US" w:eastAsia="zh-CN"/>
              </w:rPr>
              <w:t>分；</w:t>
            </w:r>
          </w:p>
          <w:p w14:paraId="43829CA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思路</w:t>
            </w:r>
            <w:r>
              <w:rPr>
                <w:rFonts w:hint="eastAsia" w:ascii="宋体" w:hAnsi="宋体" w:cs="宋体"/>
                <w:color w:val="auto"/>
                <w:sz w:val="24"/>
                <w:szCs w:val="24"/>
                <w:highlight w:val="none"/>
                <w:vertAlign w:val="baseline"/>
                <w:lang w:val="en-US" w:eastAsia="zh-CN"/>
              </w:rPr>
              <w:t>较</w:t>
            </w:r>
            <w:r>
              <w:rPr>
                <w:rFonts w:hint="eastAsia" w:ascii="宋体" w:hAnsi="宋体" w:eastAsia="宋体" w:cs="宋体"/>
                <w:color w:val="auto"/>
                <w:sz w:val="24"/>
                <w:szCs w:val="24"/>
                <w:highlight w:val="none"/>
                <w:vertAlign w:val="baseline"/>
                <w:lang w:val="en-US" w:eastAsia="zh-CN"/>
              </w:rPr>
              <w:t>清晰，对本项工作理解</w:t>
            </w:r>
            <w:r>
              <w:rPr>
                <w:rFonts w:hint="eastAsia" w:ascii="宋体" w:hAnsi="宋体" w:cs="宋体"/>
                <w:color w:val="auto"/>
                <w:sz w:val="24"/>
                <w:szCs w:val="24"/>
                <w:highlight w:val="none"/>
                <w:vertAlign w:val="baseline"/>
                <w:lang w:val="en-US" w:eastAsia="zh-CN"/>
              </w:rPr>
              <w:t>较</w:t>
            </w:r>
            <w:r>
              <w:rPr>
                <w:rFonts w:hint="eastAsia" w:ascii="宋体" w:hAnsi="宋体" w:eastAsia="宋体" w:cs="宋体"/>
                <w:color w:val="auto"/>
                <w:sz w:val="24"/>
                <w:szCs w:val="24"/>
                <w:highlight w:val="none"/>
                <w:vertAlign w:val="baseline"/>
                <w:lang w:val="en-US" w:eastAsia="zh-CN"/>
              </w:rPr>
              <w:t>透彻，工作方法</w:t>
            </w:r>
            <w:r>
              <w:rPr>
                <w:rFonts w:hint="eastAsia" w:ascii="宋体" w:hAnsi="宋体" w:cs="宋体"/>
                <w:color w:val="auto"/>
                <w:sz w:val="24"/>
                <w:szCs w:val="24"/>
                <w:highlight w:val="none"/>
                <w:vertAlign w:val="baseline"/>
                <w:lang w:val="en-US" w:eastAsia="zh-CN"/>
              </w:rPr>
              <w:t>较</w:t>
            </w:r>
            <w:r>
              <w:rPr>
                <w:rFonts w:hint="eastAsia" w:ascii="宋体" w:hAnsi="宋体" w:eastAsia="宋体" w:cs="宋体"/>
                <w:color w:val="auto"/>
                <w:sz w:val="24"/>
                <w:szCs w:val="24"/>
                <w:highlight w:val="none"/>
                <w:vertAlign w:val="baseline"/>
                <w:lang w:val="en-US" w:eastAsia="zh-CN"/>
              </w:rPr>
              <w:t>合理的，得</w:t>
            </w:r>
            <w:r>
              <w:rPr>
                <w:rFonts w:hint="eastAsia" w:ascii="宋体" w:hAnsi="宋体" w:cs="宋体"/>
                <w:color w:val="auto"/>
                <w:sz w:val="24"/>
                <w:szCs w:val="24"/>
                <w:highlight w:val="none"/>
                <w:vertAlign w:val="baseline"/>
                <w:lang w:val="en-US" w:eastAsia="zh-CN"/>
              </w:rPr>
              <w:t>9</w:t>
            </w:r>
            <w:r>
              <w:rPr>
                <w:rFonts w:hint="eastAsia" w:ascii="宋体" w:hAnsi="宋体" w:eastAsia="宋体" w:cs="宋体"/>
                <w:color w:val="auto"/>
                <w:sz w:val="24"/>
                <w:szCs w:val="24"/>
                <w:highlight w:val="none"/>
                <w:vertAlign w:val="baseline"/>
                <w:lang w:val="en-US" w:eastAsia="zh-CN"/>
              </w:rPr>
              <w:t>分；</w:t>
            </w:r>
          </w:p>
          <w:p w14:paraId="71BA6AF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思路基本清晰，对本项工作理解基本正确，工作方法基本合理的，得</w:t>
            </w:r>
            <w:r>
              <w:rPr>
                <w:rFonts w:hint="eastAsia" w:ascii="宋体" w:hAnsi="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val="en-US" w:eastAsia="zh-CN"/>
              </w:rPr>
              <w:t>分；</w:t>
            </w:r>
          </w:p>
          <w:p w14:paraId="2D377F9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思路一般，对本项工作理解一般，工作方法一般的，得</w:t>
            </w:r>
            <w:r>
              <w:rPr>
                <w:rFonts w:hint="eastAsia" w:ascii="宋体" w:hAnsi="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lang w:val="en-US" w:eastAsia="zh-CN"/>
              </w:rPr>
              <w:t>分；</w:t>
            </w:r>
          </w:p>
          <w:p w14:paraId="0DAB77F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未提供不得分。</w:t>
            </w:r>
          </w:p>
        </w:tc>
      </w:tr>
      <w:tr w14:paraId="31DD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vAlign w:val="center"/>
          </w:tcPr>
          <w:p w14:paraId="61B1AC1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1138" w:type="pct"/>
            <w:vAlign w:val="center"/>
          </w:tcPr>
          <w:p w14:paraId="4C850F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采购项目的特点，关键技术问题的认识及其对策措施</w:t>
            </w:r>
          </w:p>
        </w:tc>
        <w:tc>
          <w:tcPr>
            <w:tcW w:w="480" w:type="pct"/>
            <w:vAlign w:val="center"/>
          </w:tcPr>
          <w:p w14:paraId="7B5BACD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10</w:t>
            </w:r>
          </w:p>
        </w:tc>
        <w:tc>
          <w:tcPr>
            <w:tcW w:w="2768" w:type="pct"/>
            <w:vAlign w:val="center"/>
          </w:tcPr>
          <w:p w14:paraId="02CD30A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根据投标人对项目的特点、关键技术问题的认识</w:t>
            </w:r>
            <w:r>
              <w:rPr>
                <w:rFonts w:hint="eastAsia" w:ascii="宋体" w:hAnsi="宋体" w:cs="宋体"/>
                <w:color w:val="auto"/>
                <w:sz w:val="24"/>
                <w:szCs w:val="24"/>
                <w:highlight w:val="none"/>
                <w:vertAlign w:val="baseline"/>
                <w:lang w:val="en-US" w:eastAsia="zh-CN"/>
              </w:rPr>
              <w:t>及</w:t>
            </w:r>
            <w:r>
              <w:rPr>
                <w:rFonts w:hint="eastAsia" w:ascii="宋体" w:hAnsi="宋体" w:eastAsia="宋体" w:cs="宋体"/>
                <w:color w:val="auto"/>
                <w:sz w:val="24"/>
                <w:szCs w:val="24"/>
                <w:highlight w:val="none"/>
                <w:vertAlign w:val="baseline"/>
                <w:lang w:val="en-US" w:eastAsia="zh-CN"/>
              </w:rPr>
              <w:t>对策措施等方面进行</w:t>
            </w:r>
            <w:r>
              <w:rPr>
                <w:rFonts w:hint="eastAsia" w:ascii="宋体" w:hAnsi="宋体" w:cs="宋体"/>
                <w:color w:val="auto"/>
                <w:sz w:val="24"/>
                <w:szCs w:val="24"/>
                <w:highlight w:val="none"/>
                <w:vertAlign w:val="baseline"/>
                <w:lang w:val="en-US" w:eastAsia="zh-CN"/>
              </w:rPr>
              <w:t>评</w:t>
            </w:r>
            <w:r>
              <w:rPr>
                <w:rFonts w:hint="eastAsia" w:ascii="宋体" w:hAnsi="宋体" w:eastAsia="宋体" w:cs="宋体"/>
                <w:color w:val="auto"/>
                <w:sz w:val="24"/>
                <w:szCs w:val="24"/>
                <w:highlight w:val="none"/>
                <w:vertAlign w:val="baseline"/>
                <w:lang w:val="en-US" w:eastAsia="zh-CN"/>
              </w:rPr>
              <w:t>分。</w:t>
            </w:r>
          </w:p>
          <w:p w14:paraId="1D32AED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对重难点分析准确透彻，关键技术问题提出的解决方案合理可行的，得10分；</w:t>
            </w:r>
          </w:p>
          <w:p w14:paraId="0A76449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对重难点分析</w:t>
            </w:r>
            <w:r>
              <w:rPr>
                <w:rFonts w:hint="eastAsia" w:ascii="宋体" w:hAnsi="宋体" w:cs="宋体"/>
                <w:color w:val="auto"/>
                <w:sz w:val="24"/>
                <w:szCs w:val="24"/>
                <w:highlight w:val="none"/>
                <w:vertAlign w:val="baseline"/>
                <w:lang w:val="en-US" w:eastAsia="zh-CN"/>
              </w:rPr>
              <w:t>较</w:t>
            </w:r>
            <w:r>
              <w:rPr>
                <w:rFonts w:hint="eastAsia" w:ascii="宋体" w:hAnsi="宋体" w:eastAsia="宋体" w:cs="宋体"/>
                <w:color w:val="auto"/>
                <w:sz w:val="24"/>
                <w:szCs w:val="24"/>
                <w:highlight w:val="none"/>
                <w:vertAlign w:val="baseline"/>
                <w:lang w:val="en-US" w:eastAsia="zh-CN"/>
              </w:rPr>
              <w:t>准确</w:t>
            </w:r>
            <w:r>
              <w:rPr>
                <w:rFonts w:hint="eastAsia" w:ascii="宋体" w:hAnsi="宋体" w:cs="宋体"/>
                <w:color w:val="auto"/>
                <w:sz w:val="24"/>
                <w:szCs w:val="24"/>
                <w:highlight w:val="none"/>
                <w:vertAlign w:val="baseline"/>
                <w:lang w:val="en-US" w:eastAsia="zh-CN"/>
              </w:rPr>
              <w:t>、较</w:t>
            </w:r>
            <w:r>
              <w:rPr>
                <w:rFonts w:hint="eastAsia" w:ascii="宋体" w:hAnsi="宋体" w:eastAsia="宋体" w:cs="宋体"/>
                <w:color w:val="auto"/>
                <w:sz w:val="24"/>
                <w:szCs w:val="24"/>
                <w:highlight w:val="none"/>
                <w:vertAlign w:val="baseline"/>
                <w:lang w:val="en-US" w:eastAsia="zh-CN"/>
              </w:rPr>
              <w:t>透彻，关键技术问题提出的解决方案</w:t>
            </w:r>
            <w:r>
              <w:rPr>
                <w:rFonts w:hint="eastAsia" w:ascii="宋体" w:hAnsi="宋体" w:cs="宋体"/>
                <w:color w:val="auto"/>
                <w:sz w:val="24"/>
                <w:szCs w:val="24"/>
                <w:highlight w:val="none"/>
                <w:vertAlign w:val="baseline"/>
                <w:lang w:val="en-US" w:eastAsia="zh-CN"/>
              </w:rPr>
              <w:t>较</w:t>
            </w:r>
            <w:r>
              <w:rPr>
                <w:rFonts w:hint="eastAsia" w:ascii="宋体" w:hAnsi="宋体" w:eastAsia="宋体" w:cs="宋体"/>
                <w:color w:val="auto"/>
                <w:sz w:val="24"/>
                <w:szCs w:val="24"/>
                <w:highlight w:val="none"/>
                <w:vertAlign w:val="baseline"/>
                <w:lang w:val="en-US" w:eastAsia="zh-CN"/>
              </w:rPr>
              <w:t>合理</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可行的，得</w:t>
            </w:r>
            <w:r>
              <w:rPr>
                <w:rFonts w:hint="eastAsia" w:ascii="宋体" w:hAnsi="宋体" w:cs="宋体"/>
                <w:color w:val="auto"/>
                <w:sz w:val="24"/>
                <w:szCs w:val="24"/>
                <w:highlight w:val="none"/>
                <w:vertAlign w:val="baseline"/>
                <w:lang w:val="en-US" w:eastAsia="zh-CN"/>
              </w:rPr>
              <w:t>7</w:t>
            </w:r>
            <w:r>
              <w:rPr>
                <w:rFonts w:hint="eastAsia" w:ascii="宋体" w:hAnsi="宋体" w:eastAsia="宋体" w:cs="宋体"/>
                <w:color w:val="auto"/>
                <w:sz w:val="24"/>
                <w:szCs w:val="24"/>
                <w:highlight w:val="none"/>
                <w:vertAlign w:val="baseline"/>
                <w:lang w:val="en-US" w:eastAsia="zh-CN"/>
              </w:rPr>
              <w:t>分；</w:t>
            </w:r>
          </w:p>
          <w:p w14:paraId="28DD467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对重难点分析基本准确，关键技术问题提出的解决方案基本可行的，得</w:t>
            </w:r>
            <w:r>
              <w:rPr>
                <w:rFonts w:hint="eastAsia" w:ascii="宋体" w:hAnsi="宋体" w:cs="宋体"/>
                <w:color w:val="auto"/>
                <w:sz w:val="24"/>
                <w:szCs w:val="24"/>
                <w:highlight w:val="none"/>
                <w:vertAlign w:val="baseline"/>
                <w:lang w:val="en-US" w:eastAsia="zh-CN"/>
              </w:rPr>
              <w:t>4</w:t>
            </w:r>
            <w:r>
              <w:rPr>
                <w:rFonts w:hint="eastAsia" w:ascii="宋体" w:hAnsi="宋体" w:eastAsia="宋体" w:cs="宋体"/>
                <w:color w:val="auto"/>
                <w:sz w:val="24"/>
                <w:szCs w:val="24"/>
                <w:highlight w:val="none"/>
                <w:vertAlign w:val="baseline"/>
                <w:lang w:val="en-US" w:eastAsia="zh-CN"/>
              </w:rPr>
              <w:t>分；</w:t>
            </w:r>
          </w:p>
          <w:p w14:paraId="599C1A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对重难点分析一般，关键技术问题提出的解决方案一般的，得</w:t>
            </w:r>
            <w:r>
              <w:rPr>
                <w:rFonts w:hint="eastAsia" w:ascii="宋体" w:hAnsi="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分；</w:t>
            </w:r>
          </w:p>
          <w:p w14:paraId="06B209C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未提供不得分。</w:t>
            </w:r>
          </w:p>
        </w:tc>
      </w:tr>
      <w:tr w14:paraId="391B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vAlign w:val="center"/>
          </w:tcPr>
          <w:p w14:paraId="7F8997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1138" w:type="pct"/>
            <w:vAlign w:val="center"/>
          </w:tcPr>
          <w:p w14:paraId="2B39999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工作质量保证措施、进度保证措施、安全保证措施</w:t>
            </w:r>
          </w:p>
        </w:tc>
        <w:tc>
          <w:tcPr>
            <w:tcW w:w="480" w:type="pct"/>
            <w:vAlign w:val="center"/>
          </w:tcPr>
          <w:p w14:paraId="7D9FDA1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8</w:t>
            </w:r>
          </w:p>
        </w:tc>
        <w:tc>
          <w:tcPr>
            <w:tcW w:w="2768" w:type="pct"/>
            <w:vAlign w:val="center"/>
          </w:tcPr>
          <w:p w14:paraId="3A56516D">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对投标人拟定保障措施的合理性进行评分。</w:t>
            </w:r>
          </w:p>
          <w:p w14:paraId="128F210D">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质量保障措施、进度保证措施、安全保证措施充分到位、得力可行的，得8分；</w:t>
            </w:r>
          </w:p>
          <w:p w14:paraId="3F54CE3C">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质量保障措施、进度保证措施、安全保证措施基本完整，总体可行的，得6分；</w:t>
            </w:r>
          </w:p>
          <w:p w14:paraId="1CAE3B84">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质量保障有措施、进度保证措施、安全保证措施尚可行的，得4分；</w:t>
            </w:r>
          </w:p>
          <w:p w14:paraId="2DBD6621">
            <w:pPr>
              <w:keepNext w:val="0"/>
              <w:keepLines w:val="0"/>
              <w:pageBreakBefore w:val="0"/>
              <w:widowControl w:val="0"/>
              <w:kinsoku/>
              <w:wordWrap/>
              <w:overflowPunct/>
              <w:topLinePunct w:val="0"/>
              <w:autoSpaceDE/>
              <w:autoSpaceDN/>
              <w:bidi w:val="0"/>
              <w:spacing w:line="320" w:lineRule="exact"/>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质</w:t>
            </w:r>
            <w:bookmarkStart w:id="111" w:name="_GoBack"/>
            <w:bookmarkEnd w:id="111"/>
            <w:r>
              <w:rPr>
                <w:rFonts w:hint="eastAsia" w:ascii="宋体" w:hAnsi="宋体" w:cs="宋体"/>
                <w:color w:val="auto"/>
                <w:sz w:val="24"/>
                <w:szCs w:val="24"/>
                <w:highlight w:val="none"/>
                <w:vertAlign w:val="baseline"/>
                <w:lang w:val="en-US" w:eastAsia="zh-CN"/>
              </w:rPr>
              <w:t>量保障、进度保证措施、安全保证措施缺乏有效措施的，得2分；</w:t>
            </w:r>
          </w:p>
          <w:p w14:paraId="2F752352">
            <w:pPr>
              <w:keepNext w:val="0"/>
              <w:keepLines w:val="0"/>
              <w:pageBreakBefore w:val="0"/>
              <w:widowControl w:val="0"/>
              <w:kinsoku/>
              <w:wordWrap/>
              <w:overflowPunct/>
              <w:topLinePunct w:val="0"/>
              <w:autoSpaceDE/>
              <w:autoSpaceDN/>
              <w:bidi w:val="0"/>
              <w:spacing w:line="320" w:lineRule="exact"/>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未提供不得分。</w:t>
            </w:r>
          </w:p>
        </w:tc>
      </w:tr>
      <w:tr w14:paraId="5475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shd w:val="clear" w:color="auto" w:fill="auto"/>
            <w:vAlign w:val="center"/>
          </w:tcPr>
          <w:p w14:paraId="0372DC4A">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cs="宋体"/>
                <w:color w:val="auto"/>
                <w:spacing w:val="-6"/>
                <w:sz w:val="21"/>
                <w:szCs w:val="21"/>
                <w:highlight w:val="none"/>
                <w:shd w:val="clear" w:color="auto" w:fill="FFFFFF"/>
                <w:lang w:val="en-US" w:eastAsia="zh-CN"/>
              </w:rPr>
              <w:t>6</w:t>
            </w:r>
          </w:p>
        </w:tc>
        <w:tc>
          <w:tcPr>
            <w:tcW w:w="1138" w:type="pct"/>
            <w:shd w:val="clear" w:color="auto" w:fill="auto"/>
            <w:vAlign w:val="center"/>
          </w:tcPr>
          <w:p w14:paraId="058B682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工作量及计划安排</w:t>
            </w:r>
          </w:p>
        </w:tc>
        <w:tc>
          <w:tcPr>
            <w:tcW w:w="480" w:type="pct"/>
            <w:vAlign w:val="center"/>
          </w:tcPr>
          <w:p w14:paraId="304A26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2768" w:type="pct"/>
            <w:shd w:val="clear" w:color="auto" w:fill="auto"/>
            <w:vAlign w:val="center"/>
          </w:tcPr>
          <w:p w14:paraId="012D841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对投标人拟定的进度安排的合理性进行评</w:t>
            </w:r>
            <w:r>
              <w:rPr>
                <w:rFonts w:hint="eastAsia" w:ascii="宋体" w:hAnsi="宋体" w:cs="宋体"/>
                <w:color w:val="auto"/>
                <w:sz w:val="24"/>
                <w:szCs w:val="24"/>
                <w:highlight w:val="none"/>
                <w:vertAlign w:val="baseline"/>
                <w:lang w:val="en-US" w:eastAsia="zh-CN"/>
              </w:rPr>
              <w:t>分</w:t>
            </w:r>
            <w:r>
              <w:rPr>
                <w:rFonts w:hint="eastAsia" w:ascii="宋体" w:hAnsi="宋体" w:eastAsia="宋体" w:cs="宋体"/>
                <w:color w:val="auto"/>
                <w:sz w:val="24"/>
                <w:szCs w:val="24"/>
                <w:highlight w:val="none"/>
                <w:vertAlign w:val="baseline"/>
                <w:lang w:val="en-US" w:eastAsia="zh-CN"/>
              </w:rPr>
              <w:t>。</w:t>
            </w:r>
          </w:p>
          <w:p w14:paraId="3C6B23B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实施计划安排详实周密、充分满足项目需求的，得</w:t>
            </w:r>
            <w:r>
              <w:rPr>
                <w:rFonts w:hint="eastAsia" w:ascii="宋体" w:hAnsi="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val="en-US" w:eastAsia="zh-CN"/>
              </w:rPr>
              <w:t>分；</w:t>
            </w:r>
          </w:p>
          <w:p w14:paraId="1A3138C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实施计划安排较周密，较好满足项目需求的，得</w:t>
            </w:r>
            <w:r>
              <w:rPr>
                <w:rFonts w:hint="eastAsia" w:ascii="宋体" w:hAnsi="宋体" w:cs="宋体"/>
                <w:color w:val="auto"/>
                <w:sz w:val="24"/>
                <w:szCs w:val="24"/>
                <w:highlight w:val="none"/>
                <w:vertAlign w:val="baseline"/>
                <w:lang w:val="en-US" w:eastAsia="zh-CN"/>
              </w:rPr>
              <w:t>4</w:t>
            </w:r>
            <w:r>
              <w:rPr>
                <w:rFonts w:hint="eastAsia" w:ascii="宋体" w:hAnsi="宋体" w:eastAsia="宋体" w:cs="宋体"/>
                <w:color w:val="auto"/>
                <w:sz w:val="24"/>
                <w:szCs w:val="24"/>
                <w:highlight w:val="none"/>
                <w:vertAlign w:val="baseline"/>
                <w:lang w:val="en-US" w:eastAsia="zh-CN"/>
              </w:rPr>
              <w:t>分；</w:t>
            </w:r>
          </w:p>
          <w:p w14:paraId="01FEE9E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实施计划安排一般，尚能满足项目需求</w:t>
            </w:r>
            <w:r>
              <w:rPr>
                <w:rFonts w:hint="eastAsia" w:ascii="宋体" w:hAnsi="宋体" w:cs="宋体"/>
                <w:color w:val="auto"/>
                <w:sz w:val="24"/>
                <w:szCs w:val="24"/>
                <w:highlight w:val="none"/>
                <w:vertAlign w:val="baseline"/>
                <w:lang w:val="en-US" w:eastAsia="zh-CN"/>
              </w:rPr>
              <w:t>的</w:t>
            </w:r>
            <w:r>
              <w:rPr>
                <w:rFonts w:hint="eastAsia" w:ascii="宋体" w:hAnsi="宋体" w:eastAsia="宋体" w:cs="宋体"/>
                <w:color w:val="auto"/>
                <w:sz w:val="24"/>
                <w:szCs w:val="24"/>
                <w:highlight w:val="none"/>
                <w:vertAlign w:val="baseline"/>
                <w:lang w:val="en-US" w:eastAsia="zh-CN"/>
              </w:rPr>
              <w:t>，得2分；</w:t>
            </w:r>
          </w:p>
          <w:p w14:paraId="4311788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实施计划安排有较大或明显疏漏，难以满足项目需求的</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得</w:t>
            </w:r>
            <w:r>
              <w:rPr>
                <w:rFonts w:hint="eastAsia" w:ascii="宋体" w:hAnsi="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分；</w:t>
            </w:r>
          </w:p>
          <w:p w14:paraId="139AB8E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未提供不得分。</w:t>
            </w:r>
          </w:p>
        </w:tc>
      </w:tr>
      <w:tr w14:paraId="069B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613" w:type="pct"/>
            <w:shd w:val="clear" w:color="auto" w:fill="auto"/>
            <w:vAlign w:val="center"/>
          </w:tcPr>
          <w:p w14:paraId="7CD1DAE2">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pacing w:val="-6"/>
                <w:sz w:val="21"/>
                <w:szCs w:val="21"/>
                <w:highlight w:val="none"/>
                <w:shd w:val="clear" w:color="auto" w:fill="FFFFFF"/>
                <w:lang w:val="en-US" w:eastAsia="zh-CN"/>
              </w:rPr>
            </w:pPr>
            <w:r>
              <w:rPr>
                <w:rFonts w:hint="eastAsia" w:ascii="宋体" w:hAnsi="宋体" w:cs="宋体"/>
                <w:color w:val="auto"/>
                <w:spacing w:val="-6"/>
                <w:sz w:val="21"/>
                <w:szCs w:val="21"/>
                <w:highlight w:val="none"/>
                <w:shd w:val="clear" w:color="auto" w:fill="FFFFFF"/>
                <w:lang w:val="en-US" w:eastAsia="zh-CN"/>
              </w:rPr>
              <w:t>7</w:t>
            </w:r>
          </w:p>
        </w:tc>
        <w:tc>
          <w:tcPr>
            <w:tcW w:w="1138" w:type="pct"/>
            <w:shd w:val="clear" w:color="auto" w:fill="auto"/>
            <w:vAlign w:val="center"/>
          </w:tcPr>
          <w:p w14:paraId="4969D4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后续服务的安排及保证措施</w:t>
            </w:r>
          </w:p>
        </w:tc>
        <w:tc>
          <w:tcPr>
            <w:tcW w:w="480" w:type="pct"/>
            <w:vAlign w:val="center"/>
          </w:tcPr>
          <w:p w14:paraId="2617D37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2768" w:type="pct"/>
            <w:shd w:val="clear" w:color="auto" w:fill="auto"/>
            <w:vAlign w:val="center"/>
          </w:tcPr>
          <w:p w14:paraId="3DE5C42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根据投标人对项目后续服务安排及措施、承诺等是否切实可行等方面评分。</w:t>
            </w:r>
          </w:p>
          <w:p w14:paraId="0C18090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服务承诺内容具体、全面周到，服务响应快，切实可行，充分满足项目需求的，得6分；</w:t>
            </w:r>
          </w:p>
          <w:p w14:paraId="25356B9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服务承诺较为周到，承诺的服务内容、响应速度能较好满足项目需求的，得4分；</w:t>
            </w:r>
          </w:p>
          <w:p w14:paraId="298BB12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服务承诺不够周到，承诺的服务内容、响应速度尚能基本满足项目需求的，得2分；</w:t>
            </w:r>
          </w:p>
          <w:p w14:paraId="288DD60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服务承诺难以满足项目需求的，得1分；</w:t>
            </w:r>
          </w:p>
          <w:p w14:paraId="666A622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未提供不得分。</w:t>
            </w:r>
          </w:p>
        </w:tc>
      </w:tr>
    </w:tbl>
    <w:p w14:paraId="7F4468A7">
      <w:pPr>
        <w:spacing w:line="500" w:lineRule="exact"/>
        <w:jc w:val="center"/>
        <w:outlineLvl w:val="0"/>
        <w:rPr>
          <w:rFonts w:hint="eastAsia" w:ascii="宋体" w:hAnsi="宋体" w:eastAsia="宋体" w:cs="宋体"/>
          <w:bCs/>
          <w:color w:val="auto"/>
          <w:sz w:val="36"/>
          <w:szCs w:val="36"/>
          <w:highlight w:val="none"/>
        </w:rPr>
      </w:pPr>
      <w:r>
        <w:rPr>
          <w:rFonts w:hint="eastAsia" w:ascii="宋体" w:hAnsi="宋体" w:eastAsia="宋体" w:cs="宋体"/>
          <w:b/>
          <w:color w:val="auto"/>
          <w:sz w:val="36"/>
          <w:szCs w:val="36"/>
          <w:highlight w:val="none"/>
        </w:rPr>
        <w:br w:type="page" w:clear="all"/>
      </w:r>
      <w:r>
        <w:rPr>
          <w:rFonts w:hint="eastAsia" w:ascii="宋体" w:hAnsi="宋体" w:eastAsia="宋体" w:cs="宋体"/>
          <w:bCs/>
          <w:color w:val="auto"/>
          <w:sz w:val="36"/>
          <w:szCs w:val="36"/>
          <w:highlight w:val="none"/>
        </w:rPr>
        <w:t>第五部分  合同格式</w:t>
      </w:r>
    </w:p>
    <w:p w14:paraId="42384932">
      <w:pPr>
        <w:keepNext w:val="0"/>
        <w:keepLines w:val="0"/>
        <w:pageBreakBefore w:val="0"/>
        <w:spacing w:after="60" w:line="360" w:lineRule="auto"/>
        <w:rPr>
          <w:rFonts w:hint="eastAsia" w:ascii="宋体" w:hAnsi="宋体" w:eastAsia="宋体" w:cs="宋体"/>
          <w:color w:val="auto"/>
          <w:sz w:val="21"/>
          <w:szCs w:val="21"/>
          <w:highlight w:val="none"/>
        </w:rPr>
      </w:pPr>
      <w:bookmarkStart w:id="106" w:name="_Toc16938559"/>
      <w:bookmarkStart w:id="107" w:name="_Toc20823315"/>
      <w:bookmarkStart w:id="108" w:name="_Toc513029243"/>
      <w:bookmarkStart w:id="109" w:name="_Toc5321_WPSOffice_Level2"/>
      <w:bookmarkStart w:id="110" w:name="_Toc14707"/>
    </w:p>
    <w:p w14:paraId="63DF727B">
      <w:pPr>
        <w:keepNext w:val="0"/>
        <w:keepLines w:val="0"/>
        <w:pageBreakBefore w:val="0"/>
        <w:spacing w:after="6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以下为中标后</w:t>
      </w:r>
      <w:r>
        <w:rPr>
          <w:rFonts w:hint="eastAsia" w:ascii="宋体" w:hAnsi="宋体" w:eastAsia="宋体" w:cs="宋体"/>
          <w:color w:val="auto"/>
          <w:sz w:val="24"/>
          <w:szCs w:val="24"/>
          <w:highlight w:val="none"/>
          <w:lang w:eastAsia="zh-CN"/>
        </w:rPr>
        <w:t>签订</w:t>
      </w:r>
      <w:r>
        <w:rPr>
          <w:rFonts w:hint="eastAsia" w:ascii="宋体" w:hAnsi="宋体" w:eastAsia="宋体" w:cs="宋体"/>
          <w:color w:val="auto"/>
          <w:sz w:val="24"/>
          <w:szCs w:val="24"/>
          <w:highlight w:val="none"/>
        </w:rPr>
        <w:t>本项目合同的通用条款，</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不得提出实质性的修改。</w:t>
      </w:r>
      <w:bookmarkEnd w:id="106"/>
      <w:bookmarkEnd w:id="107"/>
      <w:bookmarkEnd w:id="108"/>
    </w:p>
    <w:p w14:paraId="1B224334">
      <w:pPr>
        <w:snapToGrid w:val="0"/>
        <w:spacing w:beforeLines="50" w:afterLines="50"/>
        <w:jc w:val="center"/>
        <w:outlineLvl w:val="0"/>
        <w:rPr>
          <w:rFonts w:ascii="宋体" w:hAnsi="宋体"/>
          <w:b/>
          <w:bCs/>
          <w:color w:val="auto"/>
          <w:sz w:val="30"/>
          <w:szCs w:val="20"/>
          <w:highlight w:val="none"/>
        </w:rPr>
      </w:pPr>
      <w:r>
        <w:rPr>
          <w:rFonts w:hint="eastAsia" w:ascii="宋体" w:hAnsi="宋体"/>
          <w:b/>
          <w:color w:val="auto"/>
          <w:sz w:val="30"/>
          <w:szCs w:val="21"/>
          <w:highlight w:val="none"/>
          <w:lang w:val="en-US" w:eastAsia="zh-CN"/>
        </w:rPr>
        <w:t>南通市</w:t>
      </w:r>
      <w:r>
        <w:rPr>
          <w:rFonts w:hint="eastAsia" w:ascii="宋体" w:hAnsi="宋体"/>
          <w:b/>
          <w:color w:val="auto"/>
          <w:sz w:val="30"/>
          <w:szCs w:val="21"/>
          <w:highlight w:val="none"/>
        </w:rPr>
        <w:t>政府采购合同（合同编号）</w:t>
      </w:r>
    </w:p>
    <w:p w14:paraId="3BFAB50F">
      <w:pPr>
        <w:adjustRightInd w:val="0"/>
        <w:snapToGrid w:val="0"/>
        <w:spacing w:line="360" w:lineRule="auto"/>
        <w:jc w:val="left"/>
        <w:rPr>
          <w:rFonts w:hint="eastAsia" w:ascii="宋体" w:hAnsi="宋体" w:eastAsia="宋体"/>
          <w:color w:val="auto"/>
          <w:sz w:val="24"/>
          <w:szCs w:val="24"/>
          <w:highlight w:val="none"/>
          <w:lang w:eastAsia="zh-CN"/>
        </w:rPr>
      </w:pPr>
      <w:r>
        <w:rPr>
          <w:rFonts w:ascii="宋体" w:hAnsi="宋体" w:cs="Courier New"/>
          <w:color w:val="auto"/>
          <w:sz w:val="24"/>
          <w:szCs w:val="24"/>
          <w:highlight w:val="none"/>
        </w:rPr>
        <w:t>项目名称：</w:t>
      </w:r>
      <w:r>
        <w:rPr>
          <w:rFonts w:hint="eastAsia" w:ascii="宋体" w:hAnsi="宋体" w:cs="Courier New"/>
          <w:color w:val="auto"/>
          <w:sz w:val="24"/>
          <w:szCs w:val="24"/>
          <w:highlight w:val="none"/>
          <w:lang w:eastAsia="zh-CN"/>
        </w:rPr>
        <w:t>南通市客运行业年度发展报告（2025年）项目</w:t>
      </w:r>
    </w:p>
    <w:p w14:paraId="3BE4A84A">
      <w:pPr>
        <w:adjustRightInd w:val="0"/>
        <w:snapToGrid w:val="0"/>
        <w:spacing w:line="360" w:lineRule="auto"/>
        <w:jc w:val="left"/>
        <w:rPr>
          <w:rFonts w:ascii="宋体" w:hAnsi="宋体" w:cs="Courier New"/>
          <w:color w:val="auto"/>
          <w:sz w:val="24"/>
          <w:szCs w:val="24"/>
          <w:highlight w:val="none"/>
        </w:rPr>
      </w:pPr>
      <w:r>
        <w:rPr>
          <w:rFonts w:ascii="宋体" w:hAnsi="宋体" w:cs="Courier New"/>
          <w:color w:val="auto"/>
          <w:sz w:val="24"/>
          <w:szCs w:val="24"/>
          <w:highlight w:val="none"/>
        </w:rPr>
        <w:t>项目编号：</w:t>
      </w:r>
    </w:p>
    <w:p w14:paraId="69C46873">
      <w:pPr>
        <w:adjustRightInd w:val="0"/>
        <w:snapToGrid w:val="0"/>
        <w:spacing w:line="360" w:lineRule="auto"/>
        <w:rPr>
          <w:rFonts w:ascii="宋体" w:hAnsi="宋体" w:cs="Courier New"/>
          <w:color w:val="auto"/>
          <w:sz w:val="24"/>
          <w:szCs w:val="24"/>
          <w:highlight w:val="none"/>
        </w:rPr>
      </w:pPr>
      <w:r>
        <w:rPr>
          <w:rFonts w:ascii="宋体" w:hAnsi="宋体" w:cs="Courier New"/>
          <w:color w:val="auto"/>
          <w:sz w:val="24"/>
          <w:szCs w:val="24"/>
          <w:highlight w:val="none"/>
        </w:rPr>
        <w:t>甲方：</w:t>
      </w:r>
      <w:r>
        <w:rPr>
          <w:rFonts w:hint="eastAsia" w:ascii="宋体" w:hAnsi="宋体" w:cs="Courier New"/>
          <w:color w:val="auto"/>
          <w:sz w:val="24"/>
          <w:szCs w:val="24"/>
          <w:highlight w:val="none"/>
          <w:u w:val="single"/>
        </w:rPr>
        <w:t>南通市交通运输局</w:t>
      </w:r>
    </w:p>
    <w:p w14:paraId="03E2F4CE">
      <w:pPr>
        <w:adjustRightInd w:val="0"/>
        <w:snapToGrid w:val="0"/>
        <w:spacing w:line="360" w:lineRule="auto"/>
        <w:rPr>
          <w:rFonts w:ascii="宋体" w:hAnsi="宋体" w:cs="Courier New"/>
          <w:color w:val="auto"/>
          <w:sz w:val="24"/>
          <w:szCs w:val="24"/>
          <w:highlight w:val="none"/>
        </w:rPr>
      </w:pPr>
      <w:r>
        <w:rPr>
          <w:rFonts w:ascii="宋体" w:hAnsi="宋体" w:cs="Courier New"/>
          <w:color w:val="auto"/>
          <w:sz w:val="24"/>
          <w:szCs w:val="24"/>
          <w:highlight w:val="none"/>
        </w:rPr>
        <w:t>乙方：_________</w:t>
      </w:r>
    </w:p>
    <w:p w14:paraId="55842BB7">
      <w:pPr>
        <w:adjustRightInd w:val="0"/>
        <w:snapToGrid w:val="0"/>
        <w:spacing w:line="360" w:lineRule="auto"/>
        <w:ind w:firstLine="480" w:firstLineChars="200"/>
        <w:rPr>
          <w:rFonts w:ascii="宋体" w:hAnsi="宋体" w:cs="Courier New"/>
          <w:b/>
          <w:color w:val="auto"/>
          <w:sz w:val="24"/>
          <w:szCs w:val="24"/>
          <w:highlight w:val="none"/>
        </w:rPr>
      </w:pPr>
      <w:r>
        <w:rPr>
          <w:rFonts w:ascii="宋体" w:hAnsi="宋体" w:cs="Courier New"/>
          <w:color w:val="auto"/>
          <w:sz w:val="24"/>
          <w:szCs w:val="24"/>
          <w:highlight w:val="none"/>
        </w:rPr>
        <w:t>甲、乙双方根据</w:t>
      </w:r>
      <w:r>
        <w:rPr>
          <w:rFonts w:hint="eastAsia" w:ascii="宋体" w:hAnsi="宋体" w:cs="Courier New"/>
          <w:color w:val="auto"/>
          <w:sz w:val="24"/>
          <w:szCs w:val="24"/>
          <w:highlight w:val="none"/>
          <w:u w:val="single"/>
          <w:lang w:eastAsia="zh-CN"/>
        </w:rPr>
        <w:t>南通市客运行业年度发展报告（2025年）项目</w:t>
      </w:r>
      <w:r>
        <w:rPr>
          <w:rFonts w:hint="eastAsia" w:ascii="宋体" w:hAnsi="宋体" w:cs="Courier New"/>
          <w:color w:val="auto"/>
          <w:sz w:val="24"/>
          <w:szCs w:val="24"/>
          <w:highlight w:val="none"/>
          <w:lang w:val="en-US" w:eastAsia="zh-CN"/>
        </w:rPr>
        <w:t>公开招标</w:t>
      </w:r>
      <w:r>
        <w:rPr>
          <w:rFonts w:ascii="宋体" w:hAnsi="宋体" w:cs="Courier New"/>
          <w:color w:val="auto"/>
          <w:sz w:val="24"/>
          <w:szCs w:val="24"/>
          <w:highlight w:val="none"/>
        </w:rPr>
        <w:t>的结果，签署本合同。</w:t>
      </w:r>
    </w:p>
    <w:p w14:paraId="3767DA89">
      <w:pPr>
        <w:adjustRightInd w:val="0"/>
        <w:snapToGrid w:val="0"/>
        <w:spacing w:line="360" w:lineRule="auto"/>
        <w:ind w:firstLine="482" w:firstLineChars="200"/>
        <w:rPr>
          <w:rFonts w:ascii="宋体" w:hAnsi="宋体" w:cs="Courier New"/>
          <w:b/>
          <w:color w:val="auto"/>
          <w:sz w:val="24"/>
          <w:szCs w:val="24"/>
          <w:highlight w:val="none"/>
        </w:rPr>
      </w:pPr>
      <w:r>
        <w:rPr>
          <w:rFonts w:ascii="宋体" w:hAnsi="宋体" w:cs="Courier New"/>
          <w:b/>
          <w:color w:val="auto"/>
          <w:sz w:val="24"/>
          <w:szCs w:val="24"/>
          <w:highlight w:val="none"/>
        </w:rPr>
        <w:t>一、</w:t>
      </w:r>
      <w:r>
        <w:rPr>
          <w:rFonts w:hint="eastAsia" w:ascii="宋体" w:hAnsi="宋体" w:cs="Courier New"/>
          <w:b/>
          <w:color w:val="auto"/>
          <w:sz w:val="24"/>
          <w:szCs w:val="24"/>
          <w:highlight w:val="none"/>
        </w:rPr>
        <w:t>合同</w:t>
      </w:r>
      <w:r>
        <w:rPr>
          <w:rFonts w:ascii="宋体" w:hAnsi="宋体" w:cs="Courier New"/>
          <w:b/>
          <w:color w:val="auto"/>
          <w:sz w:val="24"/>
          <w:szCs w:val="24"/>
          <w:highlight w:val="none"/>
        </w:rPr>
        <w:t>内容</w:t>
      </w:r>
    </w:p>
    <w:p w14:paraId="10A1094A">
      <w:pPr>
        <w:adjustRightInd w:val="0"/>
        <w:snapToGrid w:val="0"/>
        <w:spacing w:line="360" w:lineRule="auto"/>
        <w:ind w:firstLine="480" w:firstLineChars="200"/>
        <w:rPr>
          <w:rFonts w:hint="eastAsia" w:ascii="宋体" w:hAnsi="宋体" w:eastAsia="宋体" w:cs="Courier New"/>
          <w:color w:val="auto"/>
          <w:sz w:val="24"/>
          <w:szCs w:val="24"/>
          <w:highlight w:val="none"/>
          <w:lang w:eastAsia="zh-CN"/>
        </w:rPr>
      </w:pPr>
      <w:r>
        <w:rPr>
          <w:rFonts w:ascii="宋体" w:hAnsi="宋体" w:cs="Courier New"/>
          <w:color w:val="auto"/>
          <w:sz w:val="24"/>
          <w:szCs w:val="24"/>
          <w:highlight w:val="none"/>
        </w:rPr>
        <w:t>1.1</w:t>
      </w:r>
      <w:r>
        <w:rPr>
          <w:rFonts w:hint="eastAsia" w:ascii="宋体" w:hAnsi="宋体" w:cs="Courier New"/>
          <w:color w:val="auto"/>
          <w:sz w:val="24"/>
          <w:szCs w:val="24"/>
          <w:highlight w:val="none"/>
        </w:rPr>
        <w:t>标的</w:t>
      </w:r>
      <w:r>
        <w:rPr>
          <w:rFonts w:ascii="宋体" w:hAnsi="宋体" w:cs="Courier New"/>
          <w:color w:val="auto"/>
          <w:sz w:val="24"/>
          <w:szCs w:val="24"/>
          <w:highlight w:val="none"/>
        </w:rPr>
        <w:t>名称：</w:t>
      </w:r>
      <w:r>
        <w:rPr>
          <w:rFonts w:hint="eastAsia" w:ascii="宋体" w:hAnsi="宋体" w:cs="Courier New"/>
          <w:color w:val="auto"/>
          <w:sz w:val="24"/>
          <w:szCs w:val="24"/>
          <w:highlight w:val="none"/>
          <w:lang w:eastAsia="zh-CN"/>
        </w:rPr>
        <w:t>南通市客运行业年度发展报告（2025年）项目</w:t>
      </w:r>
    </w:p>
    <w:p w14:paraId="0DC96E16">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1.2</w:t>
      </w:r>
      <w:r>
        <w:rPr>
          <w:rFonts w:hint="eastAsia" w:ascii="宋体" w:hAnsi="宋体" w:cs="Courier New"/>
          <w:color w:val="auto"/>
          <w:sz w:val="24"/>
          <w:szCs w:val="24"/>
          <w:highlight w:val="none"/>
        </w:rPr>
        <w:t>标的质量：</w:t>
      </w:r>
      <w:r>
        <w:rPr>
          <w:rFonts w:hint="eastAsia" w:ascii="宋体" w:hAnsi="宋体" w:eastAsia="宋体" w:cs="宋体"/>
          <w:bCs/>
          <w:color w:val="auto"/>
          <w:sz w:val="24"/>
          <w:szCs w:val="24"/>
          <w:highlight w:val="none"/>
          <w:lang w:val="en-US" w:eastAsia="zh-CN"/>
        </w:rPr>
        <w:t>满足国家、省、市及行业相关技术规范要求</w:t>
      </w:r>
    </w:p>
    <w:p w14:paraId="201A466E">
      <w:pPr>
        <w:adjustRightInd w:val="0"/>
        <w:snapToGrid w:val="0"/>
        <w:spacing w:line="360" w:lineRule="auto"/>
        <w:ind w:firstLine="480" w:firstLineChars="200"/>
        <w:rPr>
          <w:rFonts w:hint="eastAsia" w:ascii="宋体" w:hAnsi="宋体" w:cs="Courier New"/>
          <w:color w:val="auto"/>
          <w:sz w:val="24"/>
          <w:szCs w:val="24"/>
          <w:highlight w:val="none"/>
        </w:rPr>
      </w:pPr>
      <w:r>
        <w:rPr>
          <w:rFonts w:hint="eastAsia" w:ascii="宋体" w:hAnsi="宋体" w:cs="Courier New"/>
          <w:color w:val="auto"/>
          <w:sz w:val="24"/>
          <w:szCs w:val="24"/>
          <w:highlight w:val="none"/>
        </w:rPr>
        <w:t>1.3</w:t>
      </w:r>
      <w:r>
        <w:rPr>
          <w:rFonts w:hint="eastAsia" w:ascii="宋体" w:hAnsi="宋体" w:cs="Courier New"/>
          <w:color w:val="auto"/>
          <w:sz w:val="24"/>
          <w:szCs w:val="24"/>
          <w:highlight w:val="none"/>
          <w:lang w:val="en-US" w:eastAsia="zh-CN"/>
        </w:rPr>
        <w:t>服务内容</w:t>
      </w:r>
      <w:r>
        <w:rPr>
          <w:rFonts w:hint="eastAsia" w:ascii="宋体" w:hAnsi="宋体" w:cs="Courier New"/>
          <w:color w:val="auto"/>
          <w:sz w:val="24"/>
          <w:szCs w:val="24"/>
          <w:highlight w:val="none"/>
        </w:rPr>
        <w:t>：</w:t>
      </w:r>
    </w:p>
    <w:p w14:paraId="11497B42">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从综合交通运输体系的角度考虑，编制包括道路客运、城市客运、铁路客运、航空客运、水路客运等方式的客运行业年度发展报告。成果应能够准确全面展现全市客运行业运行动态、科学分析客运基本服务情况、市场供求状况，指导客运行业管理工作实际，促进社会资源合理配置，引导行业健康发展。</w:t>
      </w:r>
    </w:p>
    <w:p w14:paraId="4C8AE061">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具体研究内容包括但不限于：</w:t>
      </w:r>
    </w:p>
    <w:p w14:paraId="5F16FEC6">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（1）全市客运发展基础与环境分析</w:t>
      </w:r>
    </w:p>
    <w:p w14:paraId="7E33FDE2">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在全面把握南通市经济社会发展宏观背景的基础上，系统分析GDP增长、人口结构变化、私家车保有量变化等宏观因素对全市客运需求总量、结构及空间分布的影响。</w:t>
      </w:r>
    </w:p>
    <w:p w14:paraId="142036C5">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立足综合交通运输体系的整体视角，系统梳理2025年度道路客运、城市客运、铁路客运、航空客运、水路客运</w:t>
      </w:r>
      <w:r>
        <w:rPr>
          <w:rFonts w:hint="eastAsia" w:ascii="宋体" w:hAnsi="宋体" w:eastAsia="宋体" w:cs="宋体"/>
          <w:color w:val="auto"/>
          <w:sz w:val="24"/>
          <w:szCs w:val="24"/>
          <w:highlight w:val="none"/>
          <w:lang w:val="en-US" w:eastAsia="zh-CN"/>
        </w:rPr>
        <w:t>等方式</w:t>
      </w:r>
      <w:r>
        <w:rPr>
          <w:rFonts w:hint="default"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基本情况及变化</w:t>
      </w:r>
      <w:r>
        <w:rPr>
          <w:rFonts w:hint="default" w:ascii="宋体" w:hAnsi="宋体" w:eastAsia="宋体" w:cs="宋体"/>
          <w:color w:val="auto"/>
          <w:sz w:val="24"/>
          <w:szCs w:val="24"/>
          <w:highlight w:val="none"/>
          <w:lang w:val="en-US" w:eastAsia="zh-CN"/>
        </w:rPr>
        <w:t>情况。</w:t>
      </w:r>
    </w:p>
    <w:p w14:paraId="23810003">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（2）分方式客运运行特征分析</w:t>
      </w:r>
    </w:p>
    <w:p w14:paraId="2B04F4A1">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全面</w:t>
      </w:r>
      <w:r>
        <w:rPr>
          <w:rFonts w:hint="eastAsia" w:ascii="宋体" w:hAnsi="宋体" w:eastAsia="宋体" w:cs="宋体"/>
          <w:color w:val="auto"/>
          <w:sz w:val="24"/>
          <w:szCs w:val="24"/>
          <w:highlight w:val="none"/>
          <w:lang w:val="en-US" w:eastAsia="zh-CN"/>
        </w:rPr>
        <w:t>分析</w:t>
      </w:r>
      <w:r>
        <w:rPr>
          <w:rFonts w:hint="default" w:ascii="宋体" w:hAnsi="宋体" w:eastAsia="宋体" w:cs="宋体"/>
          <w:color w:val="auto"/>
          <w:sz w:val="24"/>
          <w:szCs w:val="24"/>
          <w:highlight w:val="none"/>
          <w:lang w:val="en-US" w:eastAsia="zh-CN"/>
        </w:rPr>
        <w:t>2025年度道路客运、城市客运、铁路客运、航空客运、水路客运等方式的运行情况，深入</w:t>
      </w:r>
      <w:r>
        <w:rPr>
          <w:rFonts w:hint="eastAsia" w:ascii="宋体" w:hAnsi="宋体" w:eastAsia="宋体" w:cs="宋体"/>
          <w:color w:val="auto"/>
          <w:sz w:val="24"/>
          <w:szCs w:val="24"/>
          <w:highlight w:val="none"/>
          <w:lang w:val="en-US" w:eastAsia="zh-CN"/>
        </w:rPr>
        <w:t>研究</w:t>
      </w:r>
      <w:r>
        <w:rPr>
          <w:rFonts w:hint="default" w:ascii="宋体" w:hAnsi="宋体" w:eastAsia="宋体" w:cs="宋体"/>
          <w:color w:val="auto"/>
          <w:sz w:val="24"/>
          <w:szCs w:val="24"/>
          <w:highlight w:val="none"/>
          <w:lang w:val="en-US" w:eastAsia="zh-CN"/>
        </w:rPr>
        <w:t>各方式近年来的发展特征与演变规律</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深度剖析客运市场供求关系特征，并从综合交通运输体系整体优化的角度出发，</w:t>
      </w:r>
      <w:r>
        <w:rPr>
          <w:rFonts w:hint="eastAsia" w:ascii="宋体" w:hAnsi="宋体" w:eastAsia="宋体" w:cs="宋体"/>
          <w:color w:val="auto"/>
          <w:sz w:val="24"/>
          <w:szCs w:val="24"/>
          <w:highlight w:val="none"/>
          <w:lang w:val="en-US" w:eastAsia="zh-CN"/>
        </w:rPr>
        <w:t>探索</w:t>
      </w:r>
      <w:r>
        <w:rPr>
          <w:rFonts w:hint="default" w:ascii="宋体" w:hAnsi="宋体" w:eastAsia="宋体" w:cs="宋体"/>
          <w:color w:val="auto"/>
          <w:sz w:val="24"/>
          <w:szCs w:val="24"/>
          <w:highlight w:val="none"/>
          <w:lang w:val="en-US" w:eastAsia="zh-CN"/>
        </w:rPr>
        <w:t>综合客运</w:t>
      </w:r>
      <w:r>
        <w:rPr>
          <w:rFonts w:hint="eastAsia" w:ascii="宋体" w:hAnsi="宋体" w:eastAsia="宋体" w:cs="宋体"/>
          <w:color w:val="auto"/>
          <w:sz w:val="24"/>
          <w:szCs w:val="24"/>
          <w:highlight w:val="none"/>
          <w:lang w:val="en-US" w:eastAsia="zh-CN"/>
        </w:rPr>
        <w:t>行业</w:t>
      </w:r>
      <w:r>
        <w:rPr>
          <w:rFonts w:hint="default" w:ascii="宋体" w:hAnsi="宋体" w:eastAsia="宋体" w:cs="宋体"/>
          <w:color w:val="auto"/>
          <w:sz w:val="24"/>
          <w:szCs w:val="24"/>
          <w:highlight w:val="none"/>
          <w:lang w:val="en-US" w:eastAsia="zh-CN"/>
        </w:rPr>
        <w:t>结构演变的深层次原因，揭示各方式之间的竞争合作关系与演变逻辑。</w:t>
      </w:r>
    </w:p>
    <w:p w14:paraId="46B50E87">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（3）行业发展趋势预测分析</w:t>
      </w:r>
    </w:p>
    <w:p w14:paraId="58C67E05">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系统解读2025年度客运行业政策导向，客观阐述行业政策对市场主体经营行为及公众出行选择的影响与引导作用。结合各方式客运运行特征的演变规律，综合研判南通市客运行业发展趋势，分析内容应涵盖出行结构、服务模式、供需关系、市场竞争等方面的变化趋势，为行业发展</w:t>
      </w:r>
      <w:r>
        <w:rPr>
          <w:rFonts w:hint="eastAsia" w:ascii="宋体" w:hAnsi="宋体" w:eastAsia="宋体" w:cs="宋体"/>
          <w:color w:val="auto"/>
          <w:sz w:val="24"/>
          <w:szCs w:val="24"/>
          <w:highlight w:val="none"/>
          <w:lang w:val="en-US" w:eastAsia="zh-CN"/>
        </w:rPr>
        <w:t>方向</w:t>
      </w:r>
      <w:r>
        <w:rPr>
          <w:rFonts w:hint="default" w:ascii="宋体" w:hAnsi="宋体" w:eastAsia="宋体" w:cs="宋体"/>
          <w:color w:val="auto"/>
          <w:sz w:val="24"/>
          <w:szCs w:val="24"/>
          <w:highlight w:val="none"/>
          <w:lang w:val="en-US" w:eastAsia="zh-CN"/>
        </w:rPr>
        <w:t>提供前瞻性判断。</w:t>
      </w:r>
    </w:p>
    <w:p w14:paraId="0561D595">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（4）问题诊断与发展建议</w:t>
      </w:r>
    </w:p>
    <w:p w14:paraId="43C76629">
      <w:pPr>
        <w:adjustRightInd w:val="0"/>
        <w:snapToGrid w:val="0"/>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客观诊断各客运方式在运行过程中存在的结构性矛盾与运行短板，系统识别影响行业运行效率、服务质量和资源配置合理性的关键环节与制度性障碍。从综合交通运输体系视角出发，立足南通市经济社会发展阶段与</w:t>
      </w:r>
      <w:r>
        <w:rPr>
          <w:rFonts w:hint="eastAsia" w:ascii="宋体" w:hAnsi="宋体" w:eastAsia="宋体" w:cs="宋体"/>
          <w:color w:val="auto"/>
          <w:sz w:val="24"/>
          <w:szCs w:val="24"/>
          <w:highlight w:val="none"/>
          <w:lang w:val="en-US" w:eastAsia="zh-CN"/>
        </w:rPr>
        <w:t>各方式</w:t>
      </w:r>
      <w:r>
        <w:rPr>
          <w:rFonts w:hint="default" w:ascii="宋体" w:hAnsi="宋体" w:eastAsia="宋体" w:cs="宋体"/>
          <w:color w:val="auto"/>
          <w:sz w:val="24"/>
          <w:szCs w:val="24"/>
          <w:highlight w:val="none"/>
          <w:lang w:val="en-US" w:eastAsia="zh-CN"/>
        </w:rPr>
        <w:t>出行需求演变规律，提出具有前瞻性、可操作性的发展建议，建议内容应包括</w:t>
      </w:r>
      <w:r>
        <w:rPr>
          <w:rFonts w:hint="eastAsia" w:ascii="宋体" w:hAnsi="宋体" w:eastAsia="宋体" w:cs="宋体"/>
          <w:color w:val="auto"/>
          <w:sz w:val="24"/>
          <w:szCs w:val="24"/>
          <w:highlight w:val="none"/>
          <w:lang w:val="en-US" w:eastAsia="zh-CN"/>
        </w:rPr>
        <w:t>行业</w:t>
      </w:r>
      <w:r>
        <w:rPr>
          <w:rFonts w:hint="default" w:ascii="宋体" w:hAnsi="宋体" w:eastAsia="宋体" w:cs="宋体"/>
          <w:color w:val="auto"/>
          <w:sz w:val="24"/>
          <w:szCs w:val="24"/>
          <w:highlight w:val="none"/>
          <w:lang w:val="en-US" w:eastAsia="zh-CN"/>
        </w:rPr>
        <w:t>管理、企业运营、社会参与等多个</w:t>
      </w:r>
      <w:r>
        <w:rPr>
          <w:rFonts w:hint="eastAsia" w:ascii="宋体" w:hAnsi="宋体" w:eastAsia="宋体" w:cs="宋体"/>
          <w:color w:val="auto"/>
          <w:sz w:val="24"/>
          <w:szCs w:val="24"/>
          <w:highlight w:val="none"/>
          <w:lang w:val="en-US" w:eastAsia="zh-CN"/>
        </w:rPr>
        <w:t>方面</w:t>
      </w:r>
      <w:r>
        <w:rPr>
          <w:rFonts w:hint="default" w:ascii="宋体" w:hAnsi="宋体" w:eastAsia="宋体" w:cs="宋体"/>
          <w:color w:val="auto"/>
          <w:sz w:val="24"/>
          <w:szCs w:val="24"/>
          <w:highlight w:val="none"/>
          <w:lang w:val="en-US" w:eastAsia="zh-CN"/>
        </w:rPr>
        <w:t>。</w:t>
      </w:r>
    </w:p>
    <w:p w14:paraId="1E0C4F09">
      <w:pPr>
        <w:adjustRightInd w:val="0"/>
        <w:snapToGrid w:val="0"/>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s="Courier New"/>
          <w:color w:val="auto"/>
          <w:sz w:val="24"/>
          <w:szCs w:val="24"/>
          <w:highlight w:val="none"/>
        </w:rPr>
        <w:t>1.4履行时间（期限）：</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日前完成项目全部工作，并通过专家评审。</w:t>
      </w:r>
    </w:p>
    <w:p w14:paraId="31CE8499">
      <w:pPr>
        <w:autoSpaceDE w:val="0"/>
        <w:autoSpaceDN w:val="0"/>
        <w:adjustRightInd w:val="0"/>
        <w:snapToGrid w:val="0"/>
        <w:spacing w:line="360" w:lineRule="auto"/>
        <w:ind w:firstLine="480" w:firstLineChars="200"/>
        <w:outlineLvl w:val="0"/>
        <w:rPr>
          <w:rFonts w:ascii="宋体" w:hAnsi="宋体" w:cs="Courier New"/>
          <w:color w:val="auto"/>
          <w:sz w:val="24"/>
          <w:szCs w:val="24"/>
          <w:highlight w:val="none"/>
        </w:rPr>
      </w:pPr>
      <w:r>
        <w:rPr>
          <w:rFonts w:hint="eastAsia" w:ascii="宋体" w:hAnsi="宋体" w:cs="Courier New"/>
          <w:color w:val="auto"/>
          <w:sz w:val="24"/>
          <w:szCs w:val="24"/>
          <w:highlight w:val="none"/>
        </w:rPr>
        <w:t>1.5履行地点：</w:t>
      </w:r>
      <w:r>
        <w:rPr>
          <w:rFonts w:hint="eastAsia" w:ascii="宋体" w:hAnsi="宋体"/>
          <w:color w:val="auto"/>
          <w:sz w:val="24"/>
          <w:szCs w:val="24"/>
          <w:highlight w:val="none"/>
        </w:rPr>
        <w:t>南通市</w:t>
      </w:r>
    </w:p>
    <w:p w14:paraId="69151E7D">
      <w:pPr>
        <w:adjustRightInd w:val="0"/>
        <w:snapToGrid w:val="0"/>
        <w:spacing w:line="360" w:lineRule="auto"/>
        <w:ind w:firstLine="482" w:firstLineChars="200"/>
        <w:rPr>
          <w:rFonts w:hint="default" w:ascii="宋体" w:hAnsi="宋体" w:eastAsia="宋体" w:cs="Courier New"/>
          <w:b/>
          <w:color w:val="auto"/>
          <w:sz w:val="24"/>
          <w:szCs w:val="24"/>
          <w:highlight w:val="none"/>
          <w:lang w:val="en-US" w:eastAsia="zh-CN"/>
        </w:rPr>
      </w:pPr>
      <w:r>
        <w:rPr>
          <w:rFonts w:ascii="宋体" w:hAnsi="宋体" w:cs="Courier New"/>
          <w:b/>
          <w:color w:val="auto"/>
          <w:sz w:val="24"/>
          <w:szCs w:val="24"/>
          <w:highlight w:val="none"/>
        </w:rPr>
        <w:t>二、合同金额</w:t>
      </w:r>
    </w:p>
    <w:p w14:paraId="1001BFED">
      <w:pPr>
        <w:adjustRightInd w:val="0"/>
        <w:snapToGrid w:val="0"/>
        <w:spacing w:line="360" w:lineRule="auto"/>
        <w:ind w:firstLine="480" w:firstLineChars="200"/>
        <w:jc w:val="left"/>
        <w:rPr>
          <w:rFonts w:ascii="宋体" w:hAnsi="宋体" w:cs="Courier New"/>
          <w:color w:val="auto"/>
          <w:sz w:val="24"/>
          <w:szCs w:val="24"/>
          <w:highlight w:val="none"/>
        </w:rPr>
      </w:pPr>
      <w:r>
        <w:rPr>
          <w:rFonts w:ascii="宋体" w:hAnsi="宋体" w:cs="Courier New"/>
          <w:color w:val="auto"/>
          <w:sz w:val="24"/>
          <w:szCs w:val="24"/>
          <w:highlight w:val="none"/>
        </w:rPr>
        <w:t>2.1本合同金额为（大写）：____________________________________元（</w:t>
      </w:r>
      <w:r>
        <w:rPr>
          <w:rFonts w:hint="eastAsia" w:ascii="宋体" w:hAnsi="宋体" w:cs="Courier New"/>
          <w:color w:val="auto"/>
          <w:sz w:val="24"/>
          <w:szCs w:val="24"/>
          <w:highlight w:val="none"/>
        </w:rPr>
        <w:t>¥</w:t>
      </w:r>
      <w:r>
        <w:rPr>
          <w:rFonts w:ascii="宋体" w:hAnsi="宋体" w:cs="Courier New"/>
          <w:color w:val="auto"/>
          <w:sz w:val="24"/>
          <w:szCs w:val="24"/>
          <w:highlight w:val="none"/>
        </w:rPr>
        <w:t>____________）。</w:t>
      </w:r>
    </w:p>
    <w:p w14:paraId="0013E95E">
      <w:pPr>
        <w:adjustRightInd w:val="0"/>
        <w:snapToGrid w:val="0"/>
        <w:spacing w:line="360" w:lineRule="auto"/>
        <w:ind w:firstLine="480" w:firstLineChars="200"/>
        <w:jc w:val="left"/>
        <w:rPr>
          <w:rFonts w:ascii="宋体" w:hAnsi="宋体" w:cs="Courier New"/>
          <w:color w:val="auto"/>
          <w:sz w:val="24"/>
          <w:szCs w:val="24"/>
          <w:highlight w:val="none"/>
        </w:rPr>
      </w:pPr>
      <w:r>
        <w:rPr>
          <w:rFonts w:hint="eastAsia" w:ascii="宋体" w:hAnsi="宋体"/>
          <w:bCs/>
          <w:color w:val="auto"/>
          <w:sz w:val="24"/>
          <w:szCs w:val="24"/>
          <w:highlight w:val="none"/>
        </w:rPr>
        <w:t>本项目</w:t>
      </w:r>
      <w:r>
        <w:rPr>
          <w:rFonts w:hint="eastAsia" w:ascii="宋体" w:hAnsi="宋体"/>
          <w:bCs/>
          <w:color w:val="auto"/>
          <w:sz w:val="24"/>
          <w:szCs w:val="24"/>
          <w:highlight w:val="none"/>
          <w:lang w:val="en-US" w:eastAsia="zh-CN"/>
        </w:rPr>
        <w:t>为</w:t>
      </w:r>
      <w:r>
        <w:rPr>
          <w:rFonts w:hint="eastAsia" w:ascii="宋体" w:hAnsi="宋体"/>
          <w:bCs/>
          <w:color w:val="auto"/>
          <w:sz w:val="24"/>
          <w:szCs w:val="24"/>
          <w:highlight w:val="none"/>
        </w:rPr>
        <w:t>总价合同，合同价款</w:t>
      </w:r>
      <w:r>
        <w:rPr>
          <w:rFonts w:hint="eastAsia" w:ascii="宋体" w:hAnsi="宋体" w:cs="宋体"/>
          <w:bCs/>
          <w:color w:val="auto"/>
          <w:sz w:val="24"/>
          <w:szCs w:val="24"/>
          <w:highlight w:val="none"/>
        </w:rPr>
        <w:t>是</w:t>
      </w:r>
      <w:r>
        <w:rPr>
          <w:rFonts w:hint="eastAsia" w:ascii="宋体" w:hAnsi="宋体" w:cs="宋体"/>
          <w:bCs/>
          <w:color w:val="auto"/>
          <w:sz w:val="24"/>
          <w:szCs w:val="24"/>
          <w:highlight w:val="none"/>
          <w:lang w:val="en-US" w:eastAsia="zh-CN"/>
        </w:rPr>
        <w:t>乙方</w:t>
      </w:r>
      <w:r>
        <w:rPr>
          <w:rFonts w:hint="eastAsia" w:ascii="宋体" w:hAnsi="宋体" w:cs="宋体"/>
          <w:bCs/>
          <w:color w:val="auto"/>
          <w:sz w:val="24"/>
          <w:szCs w:val="24"/>
          <w:highlight w:val="none"/>
        </w:rPr>
        <w:t>完成本项目的全部工作的全部费用，包含但不限于</w:t>
      </w:r>
      <w:r>
        <w:rPr>
          <w:rFonts w:hint="eastAsia" w:ascii="宋体" w:hAnsi="宋体" w:cs="宋体"/>
          <w:bCs/>
          <w:color w:val="auto"/>
          <w:sz w:val="24"/>
          <w:szCs w:val="24"/>
          <w:highlight w:val="none"/>
          <w:lang w:val="en-US" w:eastAsia="zh-CN"/>
        </w:rPr>
        <w:t>调研费、报告编制</w:t>
      </w:r>
      <w:r>
        <w:rPr>
          <w:rFonts w:hint="eastAsia" w:ascii="宋体" w:hAnsi="宋体" w:cs="宋体"/>
          <w:bCs/>
          <w:color w:val="auto"/>
          <w:sz w:val="24"/>
          <w:szCs w:val="24"/>
          <w:highlight w:val="none"/>
        </w:rPr>
        <w:t>费、人员劳务费、专家咨询费</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如有</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、交通费（汽油费、过路费、驾驶员工资等）、活动组织费（会务费、咨询费、活动场地费、资料印刷费、人工费等）、采购代理费、企业管理费、税金</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利润</w:t>
      </w:r>
      <w:r>
        <w:rPr>
          <w:rFonts w:hint="eastAsia" w:ascii="宋体" w:hAnsi="宋体" w:cs="宋体"/>
          <w:bCs/>
          <w:color w:val="auto"/>
          <w:sz w:val="24"/>
          <w:szCs w:val="24"/>
          <w:highlight w:val="none"/>
        </w:rPr>
        <w:t>等费用。</w:t>
      </w:r>
      <w:r>
        <w:rPr>
          <w:rFonts w:hint="eastAsia" w:ascii="宋体" w:hAnsi="宋体" w:cs="宋体"/>
          <w:bCs/>
          <w:color w:val="auto"/>
          <w:sz w:val="24"/>
          <w:szCs w:val="24"/>
          <w:highlight w:val="none"/>
          <w:lang w:val="en-US" w:eastAsia="zh-CN"/>
        </w:rPr>
        <w:t>乙方</w:t>
      </w:r>
      <w:r>
        <w:rPr>
          <w:rFonts w:hint="eastAsia" w:ascii="宋体" w:hAnsi="宋体" w:cs="宋体"/>
          <w:bCs/>
          <w:color w:val="auto"/>
          <w:sz w:val="24"/>
          <w:szCs w:val="24"/>
          <w:highlight w:val="none"/>
        </w:rPr>
        <w:t>应根据本项目相应标段情况和有关规范制订必要、合理的人员投入计划，其拟投入现场人员数量应能满足本标段工作的要求。在合同实施期间，合同费用不随国家政策或法规、标准及市场因素的变化而进行调整。</w:t>
      </w:r>
    </w:p>
    <w:p w14:paraId="2BD163C3">
      <w:pPr>
        <w:adjustRightInd w:val="0"/>
        <w:snapToGrid w:val="0"/>
        <w:spacing w:line="360" w:lineRule="auto"/>
        <w:ind w:firstLine="482" w:firstLineChars="200"/>
        <w:rPr>
          <w:rFonts w:ascii="宋体" w:hAnsi="宋体" w:cs="Courier New"/>
          <w:b/>
          <w:color w:val="auto"/>
          <w:sz w:val="24"/>
          <w:szCs w:val="24"/>
          <w:highlight w:val="none"/>
        </w:rPr>
      </w:pPr>
      <w:r>
        <w:rPr>
          <w:rFonts w:ascii="宋体" w:hAnsi="宋体" w:cs="Courier New"/>
          <w:b/>
          <w:color w:val="auto"/>
          <w:sz w:val="24"/>
          <w:szCs w:val="24"/>
          <w:highlight w:val="none"/>
        </w:rPr>
        <w:t>三、技术资料</w:t>
      </w:r>
    </w:p>
    <w:p w14:paraId="319CC246">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3.1乙方应按</w:t>
      </w:r>
      <w:r>
        <w:rPr>
          <w:rFonts w:hint="eastAsia" w:ascii="宋体" w:hAnsi="宋体" w:cs="Courier New"/>
          <w:color w:val="auto"/>
          <w:sz w:val="24"/>
          <w:szCs w:val="24"/>
          <w:highlight w:val="none"/>
          <w:lang w:val="en-US" w:eastAsia="zh-CN"/>
        </w:rPr>
        <w:t>招标</w:t>
      </w:r>
      <w:r>
        <w:rPr>
          <w:rFonts w:ascii="宋体" w:hAnsi="宋体" w:cs="Courier New"/>
          <w:color w:val="auto"/>
          <w:sz w:val="24"/>
          <w:szCs w:val="24"/>
          <w:highlight w:val="none"/>
        </w:rPr>
        <w:t>文件规定的时间向甲方提供</w:t>
      </w:r>
      <w:r>
        <w:rPr>
          <w:rFonts w:hint="eastAsia" w:ascii="宋体" w:hAnsi="宋体" w:cs="Courier New"/>
          <w:color w:val="auto"/>
          <w:sz w:val="24"/>
          <w:szCs w:val="24"/>
          <w:highlight w:val="none"/>
        </w:rPr>
        <w:t>与合同标的</w:t>
      </w:r>
      <w:r>
        <w:rPr>
          <w:rFonts w:ascii="宋体" w:hAnsi="宋体" w:cs="Courier New"/>
          <w:color w:val="auto"/>
          <w:sz w:val="24"/>
          <w:szCs w:val="24"/>
          <w:highlight w:val="none"/>
        </w:rPr>
        <w:t>有关的技术资料。</w:t>
      </w:r>
    </w:p>
    <w:p w14:paraId="66543C2F">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EEE6BAD">
      <w:pPr>
        <w:numPr>
          <w:ilvl w:val="0"/>
          <w:numId w:val="0"/>
        </w:numPr>
        <w:adjustRightInd w:val="0"/>
        <w:snapToGrid w:val="0"/>
        <w:spacing w:line="360" w:lineRule="auto"/>
        <w:ind w:firstLine="482" w:firstLineChars="200"/>
        <w:rPr>
          <w:rFonts w:hint="eastAsia" w:ascii="宋体" w:hAnsi="宋体" w:cs="Courier New"/>
          <w:b/>
          <w:color w:val="auto"/>
          <w:sz w:val="24"/>
          <w:szCs w:val="24"/>
          <w:highlight w:val="none"/>
          <w:lang w:val="en-US" w:eastAsia="zh-CN"/>
        </w:rPr>
      </w:pPr>
      <w:r>
        <w:rPr>
          <w:rFonts w:hint="eastAsia" w:ascii="宋体" w:hAnsi="宋体" w:eastAsia="宋体" w:cs="Courier New"/>
          <w:b/>
          <w:color w:val="auto"/>
          <w:sz w:val="24"/>
          <w:szCs w:val="24"/>
          <w:highlight w:val="none"/>
          <w:lang w:val="en-US" w:eastAsia="zh-CN"/>
        </w:rPr>
        <w:t>四、</w:t>
      </w:r>
      <w:r>
        <w:rPr>
          <w:rFonts w:hint="eastAsia" w:ascii="宋体" w:hAnsi="宋体" w:cs="Courier New"/>
          <w:b/>
          <w:color w:val="auto"/>
          <w:sz w:val="24"/>
          <w:szCs w:val="24"/>
          <w:highlight w:val="none"/>
          <w:lang w:val="en-US" w:eastAsia="zh-CN"/>
        </w:rPr>
        <w:t>成果要求</w:t>
      </w:r>
    </w:p>
    <w:p w14:paraId="2F6067C4">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w:t>
      </w:r>
      <w:r>
        <w:rPr>
          <w:rFonts w:hint="default" w:ascii="宋体" w:hAnsi="宋体" w:eastAsia="宋体" w:cs="宋体"/>
          <w:color w:val="auto"/>
          <w:sz w:val="24"/>
          <w:szCs w:val="24"/>
          <w:highlight w:val="none"/>
          <w:lang w:val="en-US" w:eastAsia="zh-CN"/>
        </w:rPr>
        <w:t>《南通市客运行业年度发展报告（2025年）》研究报告纸质</w:t>
      </w:r>
      <w:r>
        <w:rPr>
          <w:rFonts w:hint="eastAsia" w:ascii="宋体" w:hAnsi="宋体" w:eastAsia="宋体" w:cs="宋体"/>
          <w:color w:val="auto"/>
          <w:sz w:val="24"/>
          <w:szCs w:val="24"/>
          <w:highlight w:val="none"/>
          <w:lang w:val="en-US" w:eastAsia="zh-CN"/>
        </w:rPr>
        <w:t>版3份，以及</w:t>
      </w:r>
      <w:r>
        <w:rPr>
          <w:rFonts w:hint="default" w:ascii="宋体" w:hAnsi="宋体" w:eastAsia="宋体" w:cs="宋体"/>
          <w:color w:val="auto"/>
          <w:sz w:val="24"/>
          <w:szCs w:val="24"/>
          <w:highlight w:val="none"/>
          <w:lang w:val="en-US" w:eastAsia="zh-CN"/>
        </w:rPr>
        <w:t>研究报告word</w:t>
      </w:r>
      <w:r>
        <w:rPr>
          <w:rFonts w:hint="eastAsia" w:ascii="宋体" w:hAnsi="宋体" w:eastAsia="宋体" w:cs="宋体"/>
          <w:color w:val="auto"/>
          <w:sz w:val="24"/>
          <w:szCs w:val="24"/>
          <w:highlight w:val="none"/>
          <w:lang w:val="en-US" w:eastAsia="zh-CN"/>
        </w:rPr>
        <w:t>版、</w:t>
      </w:r>
      <w:r>
        <w:rPr>
          <w:rFonts w:hint="default" w:ascii="宋体" w:hAnsi="宋体" w:eastAsia="宋体" w:cs="宋体"/>
          <w:color w:val="auto"/>
          <w:sz w:val="24"/>
          <w:szCs w:val="24"/>
          <w:highlight w:val="none"/>
          <w:lang w:val="en-US" w:eastAsia="zh-CN"/>
        </w:rPr>
        <w:t>汇报材料ppt</w:t>
      </w:r>
      <w:r>
        <w:rPr>
          <w:rFonts w:hint="eastAsia" w:ascii="宋体" w:hAnsi="宋体" w:eastAsia="宋体" w:cs="宋体"/>
          <w:color w:val="auto"/>
          <w:sz w:val="24"/>
          <w:szCs w:val="24"/>
          <w:highlight w:val="none"/>
          <w:lang w:val="en-US" w:eastAsia="zh-CN"/>
        </w:rPr>
        <w:t>版。</w:t>
      </w:r>
    </w:p>
    <w:p w14:paraId="0E054C3A">
      <w:pPr>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w:t>
      </w:r>
      <w:r>
        <w:rPr>
          <w:rFonts w:hint="default"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lang w:val="en-US" w:eastAsia="zh-CN"/>
        </w:rPr>
        <w:t>甲方</w:t>
      </w:r>
      <w:r>
        <w:rPr>
          <w:rFonts w:hint="default" w:ascii="宋体" w:hAnsi="宋体" w:eastAsia="宋体" w:cs="宋体"/>
          <w:color w:val="auto"/>
          <w:sz w:val="24"/>
          <w:szCs w:val="24"/>
          <w:highlight w:val="none"/>
          <w:lang w:val="en-US" w:eastAsia="zh-CN"/>
        </w:rPr>
        <w:t>组织的专家评审，并按照专家</w:t>
      </w:r>
      <w:r>
        <w:rPr>
          <w:rFonts w:hint="eastAsia" w:ascii="宋体" w:hAnsi="宋体" w:eastAsia="宋体" w:cs="宋体"/>
          <w:color w:val="auto"/>
          <w:sz w:val="24"/>
          <w:szCs w:val="24"/>
          <w:highlight w:val="none"/>
          <w:lang w:val="en-US" w:eastAsia="zh-CN"/>
        </w:rPr>
        <w:t>评审会</w:t>
      </w:r>
      <w:r>
        <w:rPr>
          <w:rFonts w:hint="default"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甲方</w:t>
      </w:r>
      <w:r>
        <w:rPr>
          <w:rFonts w:hint="default" w:ascii="宋体" w:hAnsi="宋体" w:eastAsia="宋体" w:cs="宋体"/>
          <w:color w:val="auto"/>
          <w:sz w:val="24"/>
          <w:szCs w:val="24"/>
          <w:highlight w:val="none"/>
          <w:lang w:val="en-US" w:eastAsia="zh-CN"/>
        </w:rPr>
        <w:t>意见修改完善</w:t>
      </w:r>
      <w:r>
        <w:rPr>
          <w:rFonts w:hint="eastAsia" w:ascii="宋体" w:hAnsi="宋体" w:eastAsia="宋体" w:cs="宋体"/>
          <w:color w:val="auto"/>
          <w:sz w:val="24"/>
          <w:szCs w:val="24"/>
          <w:highlight w:val="none"/>
          <w:lang w:val="en-US" w:eastAsia="zh-CN"/>
        </w:rPr>
        <w:t>。</w:t>
      </w:r>
    </w:p>
    <w:p w14:paraId="045B84CC">
      <w:pPr>
        <w:adjustRightInd w:val="0"/>
        <w:snapToGrid w:val="0"/>
        <w:spacing w:line="360" w:lineRule="auto"/>
        <w:ind w:firstLine="482" w:firstLineChars="200"/>
        <w:rPr>
          <w:rFonts w:ascii="宋体" w:hAnsi="宋体" w:cs="Courier New"/>
          <w:b/>
          <w:color w:val="auto"/>
          <w:sz w:val="24"/>
          <w:szCs w:val="24"/>
          <w:highlight w:val="none"/>
        </w:rPr>
      </w:pPr>
      <w:r>
        <w:rPr>
          <w:rFonts w:hint="eastAsia" w:ascii="宋体" w:hAnsi="宋体" w:cs="Courier New"/>
          <w:b/>
          <w:color w:val="auto"/>
          <w:sz w:val="24"/>
          <w:szCs w:val="24"/>
          <w:highlight w:val="none"/>
          <w:lang w:val="en-US" w:eastAsia="zh-CN"/>
        </w:rPr>
        <w:t>五</w:t>
      </w:r>
      <w:r>
        <w:rPr>
          <w:rFonts w:ascii="宋体" w:hAnsi="宋体" w:cs="Courier New"/>
          <w:b/>
          <w:color w:val="auto"/>
          <w:sz w:val="24"/>
          <w:szCs w:val="24"/>
          <w:highlight w:val="none"/>
        </w:rPr>
        <w:t>、知识产权</w:t>
      </w:r>
    </w:p>
    <w:p w14:paraId="18F6AE0C">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.1甲乙双方未事先征得对方同意，不得把合同的权利和义务委托别人或转让他方。同时甲乙双方应履行保密义务，未经对方书面许可，不向合同之外的人或单位展示、披露或</w:t>
      </w:r>
      <w:r>
        <w:rPr>
          <w:rFonts w:hint="eastAsia" w:ascii="宋体" w:hAnsi="宋体" w:cs="宋体"/>
          <w:color w:val="auto"/>
          <w:sz w:val="24"/>
          <w:szCs w:val="24"/>
          <w:highlight w:val="none"/>
          <w:lang w:eastAsia="zh-CN"/>
        </w:rPr>
        <w:t>以其他方式</w:t>
      </w:r>
      <w:r>
        <w:rPr>
          <w:rFonts w:hint="eastAsia" w:ascii="宋体" w:hAnsi="宋体" w:cs="宋体"/>
          <w:color w:val="auto"/>
          <w:sz w:val="24"/>
          <w:szCs w:val="24"/>
          <w:highlight w:val="none"/>
        </w:rPr>
        <w:t>泄露任何技术文件或与合同有关的数据，包括合同本身，保密义务不因</w:t>
      </w:r>
      <w:r>
        <w:rPr>
          <w:rFonts w:hint="eastAsia" w:ascii="宋体" w:hAnsi="宋体" w:cs="宋体"/>
          <w:color w:val="auto"/>
          <w:sz w:val="24"/>
          <w:szCs w:val="24"/>
          <w:highlight w:val="none"/>
          <w:lang w:eastAsia="zh-CN"/>
        </w:rPr>
        <w:t>合同有效期</w:t>
      </w:r>
      <w:r>
        <w:rPr>
          <w:rFonts w:hint="eastAsia" w:ascii="宋体" w:hAnsi="宋体" w:cs="宋体"/>
          <w:color w:val="auto"/>
          <w:sz w:val="24"/>
          <w:szCs w:val="24"/>
          <w:highlight w:val="none"/>
        </w:rPr>
        <w:t xml:space="preserve">的终止而结束。 </w:t>
      </w:r>
    </w:p>
    <w:p w14:paraId="4E6A1B29">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.2因履行本协议甲方向乙方提供的所有信息，无论是书面的、口头的、图形的、电磁的或</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任何形式的信息，包括（但不限于）数据、模型、样品、草案、技术、方法、仪器设备</w:t>
      </w:r>
      <w:r>
        <w:rPr>
          <w:rFonts w:hint="eastAsia" w:ascii="宋体" w:hAnsi="宋体" w:cs="宋体"/>
          <w:color w:val="auto"/>
          <w:sz w:val="24"/>
          <w:szCs w:val="24"/>
          <w:highlight w:val="none"/>
          <w:lang w:eastAsia="zh-CN"/>
        </w:rPr>
        <w:t>和其他信息</w:t>
      </w:r>
      <w:r>
        <w:rPr>
          <w:rFonts w:hint="eastAsia" w:ascii="宋体" w:hAnsi="宋体" w:cs="宋体"/>
          <w:color w:val="auto"/>
          <w:sz w:val="24"/>
          <w:szCs w:val="24"/>
          <w:highlight w:val="none"/>
        </w:rPr>
        <w:t>，只要不为社会</w:t>
      </w:r>
      <w:r>
        <w:rPr>
          <w:rFonts w:hint="eastAsia" w:ascii="宋体" w:hAnsi="宋体" w:cs="宋体"/>
          <w:color w:val="auto"/>
          <w:sz w:val="24"/>
          <w:szCs w:val="24"/>
          <w:highlight w:val="none"/>
          <w:lang w:eastAsia="zh-CN"/>
        </w:rPr>
        <w:t>公</w:t>
      </w:r>
      <w:r>
        <w:rPr>
          <w:rFonts w:hint="eastAsia" w:ascii="宋体" w:hAnsi="宋体" w:cs="宋体"/>
          <w:color w:val="auto"/>
          <w:sz w:val="24"/>
          <w:szCs w:val="24"/>
          <w:highlight w:val="none"/>
        </w:rPr>
        <w:t xml:space="preserve">众所周知，乙方均应予以保密，且只能在本合同目的范围内使用。 </w:t>
      </w:r>
    </w:p>
    <w:p w14:paraId="281BBFBD">
      <w:pPr>
        <w:adjustRightInd w:val="0"/>
        <w:snapToGrid w:val="0"/>
        <w:spacing w:line="360" w:lineRule="auto"/>
        <w:ind w:firstLine="480" w:firstLineChars="200"/>
        <w:rPr>
          <w:rFonts w:ascii="宋体" w:hAnsi="宋体" w:cs="Courier New"/>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.3项目所涉及的技术专利申请权的归属问题由甲乙双方协商确定。</w:t>
      </w:r>
    </w:p>
    <w:p w14:paraId="5DC252D3">
      <w:pPr>
        <w:adjustRightInd w:val="0"/>
        <w:snapToGrid w:val="0"/>
        <w:spacing w:line="360" w:lineRule="auto"/>
        <w:ind w:firstLine="482" w:firstLineChars="200"/>
        <w:rPr>
          <w:rFonts w:ascii="宋体" w:hAnsi="宋体" w:cs="Courier New"/>
          <w:color w:val="auto"/>
          <w:sz w:val="24"/>
          <w:szCs w:val="24"/>
          <w:highlight w:val="none"/>
          <w:u w:val="single"/>
        </w:rPr>
      </w:pPr>
      <w:r>
        <w:rPr>
          <w:rFonts w:hint="eastAsia" w:ascii="宋体" w:hAnsi="宋体" w:cs="Courier New"/>
          <w:b/>
          <w:color w:val="auto"/>
          <w:sz w:val="24"/>
          <w:szCs w:val="24"/>
          <w:highlight w:val="none"/>
          <w:lang w:val="en-US" w:eastAsia="zh-CN"/>
        </w:rPr>
        <w:t>六</w:t>
      </w:r>
      <w:r>
        <w:rPr>
          <w:rFonts w:ascii="宋体" w:hAnsi="宋体" w:cs="Courier New"/>
          <w:b/>
          <w:color w:val="auto"/>
          <w:sz w:val="24"/>
          <w:szCs w:val="24"/>
          <w:highlight w:val="none"/>
        </w:rPr>
        <w:t>、产权担保</w:t>
      </w:r>
    </w:p>
    <w:p w14:paraId="6C62E6E2">
      <w:pPr>
        <w:adjustRightInd w:val="0"/>
        <w:snapToGrid w:val="0"/>
        <w:spacing w:line="360" w:lineRule="auto"/>
        <w:ind w:firstLine="480" w:firstLineChars="200"/>
        <w:rPr>
          <w:rFonts w:ascii="宋体" w:hAnsi="宋体" w:cs="Courier New"/>
          <w:color w:val="auto"/>
          <w:sz w:val="24"/>
          <w:szCs w:val="24"/>
          <w:highlight w:val="none"/>
          <w:u w:val="single"/>
        </w:rPr>
      </w:pPr>
      <w:r>
        <w:rPr>
          <w:rFonts w:hint="eastAsia" w:ascii="宋体" w:hAnsi="宋体" w:cs="Courier New"/>
          <w:color w:val="auto"/>
          <w:sz w:val="24"/>
          <w:szCs w:val="24"/>
          <w:highlight w:val="none"/>
          <w:lang w:val="en-US" w:eastAsia="zh-CN"/>
        </w:rPr>
        <w:t>6</w:t>
      </w:r>
      <w:r>
        <w:rPr>
          <w:rFonts w:ascii="宋体" w:hAnsi="宋体" w:cs="Courier New"/>
          <w:color w:val="auto"/>
          <w:sz w:val="24"/>
          <w:szCs w:val="24"/>
          <w:highlight w:val="none"/>
        </w:rPr>
        <w:t>.1乙方保证所交付的</w:t>
      </w:r>
      <w:r>
        <w:rPr>
          <w:rFonts w:hint="eastAsia" w:ascii="宋体" w:hAnsi="宋体" w:cs="Courier New"/>
          <w:color w:val="auto"/>
          <w:sz w:val="24"/>
          <w:szCs w:val="24"/>
          <w:highlight w:val="none"/>
        </w:rPr>
        <w:t>合同标的</w:t>
      </w:r>
      <w:r>
        <w:rPr>
          <w:rFonts w:ascii="宋体" w:hAnsi="宋体" w:cs="Courier New"/>
          <w:color w:val="auto"/>
          <w:sz w:val="24"/>
          <w:szCs w:val="24"/>
          <w:highlight w:val="none"/>
        </w:rPr>
        <w:t>的所有权完全属于乙方且无任何抵押、查封等产权瑕疵。</w:t>
      </w:r>
    </w:p>
    <w:p w14:paraId="0450BBF8">
      <w:pPr>
        <w:adjustRightInd w:val="0"/>
        <w:snapToGrid w:val="0"/>
        <w:spacing w:line="360" w:lineRule="auto"/>
        <w:ind w:firstLine="482" w:firstLineChars="200"/>
        <w:rPr>
          <w:rFonts w:ascii="宋体" w:hAnsi="宋体" w:cs="Courier New"/>
          <w:b/>
          <w:color w:val="auto"/>
          <w:sz w:val="24"/>
          <w:szCs w:val="24"/>
          <w:highlight w:val="none"/>
        </w:rPr>
      </w:pPr>
      <w:r>
        <w:rPr>
          <w:rFonts w:hint="eastAsia" w:ascii="宋体" w:hAnsi="宋体" w:cs="Courier New"/>
          <w:b/>
          <w:color w:val="auto"/>
          <w:sz w:val="24"/>
          <w:szCs w:val="24"/>
          <w:highlight w:val="none"/>
          <w:lang w:val="en-US" w:eastAsia="zh-CN"/>
        </w:rPr>
        <w:t>七</w:t>
      </w:r>
      <w:r>
        <w:rPr>
          <w:rFonts w:ascii="宋体" w:hAnsi="宋体" w:cs="Courier New"/>
          <w:b/>
          <w:color w:val="auto"/>
          <w:sz w:val="24"/>
          <w:szCs w:val="24"/>
          <w:highlight w:val="none"/>
        </w:rPr>
        <w:t>、履约保证金</w:t>
      </w:r>
    </w:p>
    <w:p w14:paraId="16798AC1">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本项目不设履约保证金。</w:t>
      </w:r>
    </w:p>
    <w:p w14:paraId="24623D48">
      <w:pPr>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val="en-US" w:eastAsia="zh-CN"/>
        </w:rPr>
        <w:t>八</w:t>
      </w:r>
      <w:r>
        <w:rPr>
          <w:rFonts w:hint="eastAsia" w:ascii="宋体" w:hAnsi="宋体"/>
          <w:b/>
          <w:color w:val="auto"/>
          <w:sz w:val="24"/>
          <w:szCs w:val="24"/>
          <w:highlight w:val="none"/>
        </w:rPr>
        <w:t>、合同转包或分包</w:t>
      </w:r>
    </w:p>
    <w:p w14:paraId="2AF7CA73">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.1乙方不得将合同标的转包给他人履行。</w:t>
      </w:r>
    </w:p>
    <w:p w14:paraId="0D452BD3">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ascii="宋体" w:hAnsi="宋体"/>
          <w:color w:val="auto"/>
          <w:sz w:val="24"/>
          <w:szCs w:val="24"/>
          <w:highlight w:val="none"/>
        </w:rPr>
        <w:t>.2</w:t>
      </w:r>
      <w:r>
        <w:rPr>
          <w:rFonts w:hint="eastAsia" w:ascii="宋体" w:hAnsi="宋体"/>
          <w:color w:val="auto"/>
          <w:sz w:val="24"/>
          <w:szCs w:val="24"/>
          <w:highlight w:val="none"/>
          <w:lang w:val="en-US" w:eastAsia="zh-CN"/>
        </w:rPr>
        <w:t>未经甲方同意</w:t>
      </w:r>
      <w:r>
        <w:rPr>
          <w:rFonts w:hint="eastAsia" w:ascii="宋体" w:hAnsi="宋体"/>
          <w:color w:val="auto"/>
          <w:sz w:val="24"/>
          <w:szCs w:val="24"/>
          <w:highlight w:val="none"/>
        </w:rPr>
        <w:t>乙方不得将合同标的分包给他人履行。</w:t>
      </w:r>
    </w:p>
    <w:p w14:paraId="1D6DA1CA">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ascii="宋体" w:hAnsi="宋体"/>
          <w:color w:val="auto"/>
          <w:sz w:val="24"/>
          <w:szCs w:val="24"/>
          <w:highlight w:val="none"/>
        </w:rPr>
        <w:t>.3</w:t>
      </w:r>
      <w:r>
        <w:rPr>
          <w:rFonts w:hint="eastAsia" w:ascii="宋体" w:hAnsi="宋体"/>
          <w:color w:val="auto"/>
          <w:sz w:val="24"/>
          <w:szCs w:val="24"/>
          <w:highlight w:val="none"/>
        </w:rPr>
        <w:t>乙方如有转包或未经甲方同意的分包行为，甲方有权解除合同。</w:t>
      </w:r>
    </w:p>
    <w:p w14:paraId="27D54CA1">
      <w:pPr>
        <w:adjustRightInd w:val="0"/>
        <w:snapToGrid w:val="0"/>
        <w:spacing w:line="360" w:lineRule="auto"/>
        <w:ind w:firstLine="482" w:firstLineChars="200"/>
        <w:rPr>
          <w:rFonts w:ascii="宋体" w:hAnsi="宋体" w:cs="Courier New"/>
          <w:b/>
          <w:color w:val="auto"/>
          <w:sz w:val="24"/>
          <w:szCs w:val="24"/>
          <w:highlight w:val="none"/>
        </w:rPr>
      </w:pPr>
      <w:r>
        <w:rPr>
          <w:rFonts w:hint="eastAsia" w:ascii="宋体" w:hAnsi="宋体" w:cs="Courier New"/>
          <w:b/>
          <w:color w:val="auto"/>
          <w:sz w:val="24"/>
          <w:szCs w:val="24"/>
          <w:highlight w:val="none"/>
          <w:lang w:val="en-US" w:eastAsia="zh-CN"/>
        </w:rPr>
        <w:t>九</w:t>
      </w:r>
      <w:r>
        <w:rPr>
          <w:rFonts w:ascii="宋体" w:hAnsi="宋体" w:cs="Courier New"/>
          <w:b/>
          <w:color w:val="auto"/>
          <w:sz w:val="24"/>
          <w:szCs w:val="24"/>
          <w:highlight w:val="none"/>
        </w:rPr>
        <w:t>、</w:t>
      </w:r>
      <w:r>
        <w:rPr>
          <w:rFonts w:hint="eastAsia" w:ascii="宋体" w:hAnsi="宋体" w:cs="Courier New"/>
          <w:b/>
          <w:color w:val="auto"/>
          <w:sz w:val="24"/>
          <w:szCs w:val="24"/>
          <w:highlight w:val="none"/>
        </w:rPr>
        <w:t>合同款项</w:t>
      </w:r>
      <w:r>
        <w:rPr>
          <w:rFonts w:ascii="宋体" w:hAnsi="宋体" w:cs="Courier New"/>
          <w:b/>
          <w:color w:val="auto"/>
          <w:sz w:val="24"/>
          <w:szCs w:val="24"/>
          <w:highlight w:val="none"/>
        </w:rPr>
        <w:t>支付</w:t>
      </w:r>
    </w:p>
    <w:p w14:paraId="34BB5A83">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（1）签订合同后30日内支付合同总费用的30%作为预付款；</w:t>
      </w:r>
    </w:p>
    <w:p w14:paraId="168BB9FD">
      <w:pPr>
        <w:numPr>
          <w:ilvl w:val="0"/>
          <w:numId w:val="0"/>
        </w:numPr>
        <w:autoSpaceDE w:val="0"/>
        <w:autoSpaceDN w:val="0"/>
        <w:adjustRightInd w:val="0"/>
        <w:snapToGrid w:val="0"/>
        <w:spacing w:line="360" w:lineRule="auto"/>
        <w:ind w:firstLine="480" w:firstLineChars="200"/>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（2）提交全部工作成果并通过专家评审后30日内，支付合同总费用的70%； </w:t>
      </w:r>
    </w:p>
    <w:p w14:paraId="2F4B3D6F">
      <w:pPr>
        <w:numPr>
          <w:ilvl w:val="0"/>
          <w:numId w:val="0"/>
        </w:numPr>
        <w:autoSpaceDE w:val="0"/>
        <w:autoSpaceDN w:val="0"/>
        <w:adjustRightInd w:val="0"/>
        <w:snapToGrid w:val="0"/>
        <w:spacing w:line="360" w:lineRule="auto"/>
        <w:ind w:firstLine="480" w:firstLineChars="200"/>
        <w:outlineLvl w:val="0"/>
        <w:rPr>
          <w:rFonts w:hint="default" w:ascii="宋体" w:hAnsi="宋体" w:eastAsia="宋体" w:cs="Times New Roman"/>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以上付款均不计利息。</w:t>
      </w:r>
    </w:p>
    <w:p w14:paraId="504205B5">
      <w:pPr>
        <w:adjustRightInd w:val="0"/>
        <w:snapToGri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val="en-US" w:eastAsia="zh-CN"/>
        </w:rPr>
        <w:t>十</w:t>
      </w:r>
      <w:r>
        <w:rPr>
          <w:rFonts w:hint="eastAsia" w:ascii="宋体" w:hAnsi="宋体"/>
          <w:b/>
          <w:color w:val="auto"/>
          <w:sz w:val="24"/>
          <w:szCs w:val="24"/>
          <w:highlight w:val="none"/>
        </w:rPr>
        <w:t>、税费</w:t>
      </w:r>
    </w:p>
    <w:p w14:paraId="539B4ABD">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ascii="宋体" w:hAnsi="宋体"/>
          <w:color w:val="auto"/>
          <w:sz w:val="24"/>
          <w:szCs w:val="24"/>
          <w:highlight w:val="none"/>
        </w:rPr>
        <w:t>.1</w:t>
      </w:r>
      <w:r>
        <w:rPr>
          <w:rFonts w:hint="eastAsia" w:ascii="宋体" w:hAnsi="宋体"/>
          <w:color w:val="auto"/>
          <w:sz w:val="24"/>
          <w:szCs w:val="24"/>
          <w:highlight w:val="none"/>
        </w:rPr>
        <w:t>本合同执行中相关的一切税费均由乙方负担。</w:t>
      </w:r>
    </w:p>
    <w:p w14:paraId="5E600DDF">
      <w:pPr>
        <w:adjustRightInd w:val="0"/>
        <w:snapToGrid w:val="0"/>
        <w:spacing w:line="360" w:lineRule="auto"/>
        <w:ind w:firstLine="482" w:firstLineChars="200"/>
        <w:rPr>
          <w:rFonts w:ascii="宋体" w:hAnsi="宋体" w:cs="Courier New"/>
          <w:b/>
          <w:color w:val="auto"/>
          <w:sz w:val="24"/>
          <w:szCs w:val="24"/>
          <w:highlight w:val="none"/>
        </w:rPr>
      </w:pPr>
      <w:r>
        <w:rPr>
          <w:rFonts w:ascii="宋体" w:hAnsi="宋体" w:cs="Courier New"/>
          <w:b/>
          <w:color w:val="auto"/>
          <w:sz w:val="24"/>
          <w:szCs w:val="24"/>
          <w:highlight w:val="none"/>
        </w:rPr>
        <w:t>十</w:t>
      </w:r>
      <w:r>
        <w:rPr>
          <w:rFonts w:hint="eastAsia" w:ascii="宋体" w:hAnsi="宋体" w:cs="Courier New"/>
          <w:b/>
          <w:color w:val="auto"/>
          <w:sz w:val="24"/>
          <w:szCs w:val="24"/>
          <w:highlight w:val="none"/>
          <w:lang w:val="en-US" w:eastAsia="zh-CN"/>
        </w:rPr>
        <w:t>一</w:t>
      </w:r>
      <w:r>
        <w:rPr>
          <w:rFonts w:ascii="宋体" w:hAnsi="宋体" w:cs="Courier New"/>
          <w:b/>
          <w:color w:val="auto"/>
          <w:sz w:val="24"/>
          <w:szCs w:val="24"/>
          <w:highlight w:val="none"/>
        </w:rPr>
        <w:t>、</w:t>
      </w:r>
      <w:r>
        <w:rPr>
          <w:rFonts w:hint="eastAsia" w:ascii="宋体" w:hAnsi="宋体" w:cs="Courier New"/>
          <w:b/>
          <w:color w:val="auto"/>
          <w:sz w:val="24"/>
          <w:szCs w:val="24"/>
          <w:highlight w:val="none"/>
        </w:rPr>
        <w:t>项目</w:t>
      </w:r>
      <w:r>
        <w:rPr>
          <w:rFonts w:ascii="宋体" w:hAnsi="宋体" w:cs="Courier New"/>
          <w:b/>
          <w:color w:val="auto"/>
          <w:sz w:val="24"/>
          <w:szCs w:val="24"/>
          <w:highlight w:val="none"/>
        </w:rPr>
        <w:t>验收</w:t>
      </w:r>
    </w:p>
    <w:p w14:paraId="1279E17C">
      <w:pPr>
        <w:adjustRightInd w:val="0"/>
        <w:snapToGrid w:val="0"/>
        <w:spacing w:line="360" w:lineRule="auto"/>
        <w:ind w:firstLine="480" w:firstLineChars="200"/>
        <w:rPr>
          <w:rFonts w:ascii="宋体" w:hAnsi="宋体" w:cs="Courier New"/>
          <w:color w:val="auto"/>
          <w:sz w:val="24"/>
          <w:szCs w:val="24"/>
          <w:highlight w:val="none"/>
        </w:rPr>
      </w:pPr>
      <w:r>
        <w:rPr>
          <w:rFonts w:hint="eastAsia"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1</w:t>
      </w:r>
      <w:r>
        <w:rPr>
          <w:rFonts w:hint="eastAsia" w:ascii="宋体" w:hAnsi="宋体" w:cs="Courier New"/>
          <w:color w:val="auto"/>
          <w:sz w:val="24"/>
          <w:szCs w:val="24"/>
          <w:highlight w:val="none"/>
        </w:rPr>
        <w:t>.1甲方依法组织履约验收工作。</w:t>
      </w:r>
    </w:p>
    <w:p w14:paraId="07403673">
      <w:pPr>
        <w:adjustRightInd w:val="0"/>
        <w:snapToGrid w:val="0"/>
        <w:spacing w:line="360" w:lineRule="auto"/>
        <w:ind w:firstLine="480" w:firstLineChars="200"/>
        <w:rPr>
          <w:rFonts w:ascii="宋体" w:hAnsi="宋体" w:cs="Courier New"/>
          <w:color w:val="auto"/>
          <w:sz w:val="24"/>
          <w:szCs w:val="24"/>
          <w:highlight w:val="none"/>
        </w:rPr>
      </w:pPr>
      <w:r>
        <w:rPr>
          <w:rFonts w:hint="eastAsia"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1</w:t>
      </w:r>
      <w:r>
        <w:rPr>
          <w:rFonts w:hint="eastAsia" w:ascii="宋体" w:hAnsi="宋体" w:cs="Courier New"/>
          <w:color w:val="auto"/>
          <w:sz w:val="24"/>
          <w:szCs w:val="24"/>
          <w:highlight w:val="none"/>
        </w:rPr>
        <w:t>.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9306CA0">
      <w:pPr>
        <w:adjustRightInd w:val="0"/>
        <w:snapToGrid w:val="0"/>
        <w:spacing w:line="360" w:lineRule="auto"/>
        <w:ind w:firstLine="480" w:firstLineChars="200"/>
        <w:rPr>
          <w:rFonts w:ascii="宋体" w:hAnsi="宋体" w:cs="Courier New"/>
          <w:color w:val="auto"/>
          <w:sz w:val="24"/>
          <w:szCs w:val="24"/>
          <w:highlight w:val="none"/>
        </w:rPr>
      </w:pPr>
      <w:r>
        <w:rPr>
          <w:rFonts w:hint="eastAsia"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1</w:t>
      </w:r>
      <w:r>
        <w:rPr>
          <w:rFonts w:hint="eastAsia" w:ascii="宋体" w:hAnsi="宋体" w:cs="Courier New"/>
          <w:color w:val="auto"/>
          <w:sz w:val="24"/>
          <w:szCs w:val="24"/>
          <w:highlight w:val="none"/>
        </w:rPr>
        <w:t>.3对于实际使用人和甲方分离的项目，甲方邀请实际使用人参与验收。</w:t>
      </w:r>
    </w:p>
    <w:p w14:paraId="27F05491">
      <w:pPr>
        <w:adjustRightInd w:val="0"/>
        <w:snapToGrid w:val="0"/>
        <w:spacing w:line="360" w:lineRule="auto"/>
        <w:ind w:firstLine="480" w:firstLineChars="200"/>
        <w:rPr>
          <w:rFonts w:ascii="宋体" w:hAnsi="宋体" w:cs="Courier New"/>
          <w:color w:val="auto"/>
          <w:sz w:val="24"/>
          <w:szCs w:val="24"/>
          <w:highlight w:val="none"/>
        </w:rPr>
      </w:pPr>
      <w:r>
        <w:rPr>
          <w:rFonts w:hint="eastAsia"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1</w:t>
      </w:r>
      <w:r>
        <w:rPr>
          <w:rFonts w:hint="eastAsia" w:ascii="宋体" w:hAnsi="宋体" w:cs="Courier New"/>
          <w:color w:val="auto"/>
          <w:sz w:val="24"/>
          <w:szCs w:val="24"/>
          <w:highlight w:val="none"/>
        </w:rPr>
        <w:t>.4如有必要，甲方邀请参加本项目的其他</w:t>
      </w:r>
      <w:r>
        <w:rPr>
          <w:rFonts w:hint="eastAsia" w:ascii="宋体" w:hAnsi="宋体" w:cs="Courier New"/>
          <w:color w:val="auto"/>
          <w:sz w:val="24"/>
          <w:szCs w:val="24"/>
          <w:highlight w:val="none"/>
          <w:lang w:eastAsia="zh-CN"/>
        </w:rPr>
        <w:t>投标人</w:t>
      </w:r>
      <w:r>
        <w:rPr>
          <w:rFonts w:hint="eastAsia" w:ascii="宋体" w:hAnsi="宋体" w:cs="Courier New"/>
          <w:color w:val="auto"/>
          <w:sz w:val="24"/>
          <w:szCs w:val="24"/>
          <w:highlight w:val="none"/>
        </w:rPr>
        <w:t>或第三方专业机构及专家参与验收，相关意见将作为验收书的参考资料。</w:t>
      </w:r>
    </w:p>
    <w:p w14:paraId="5CF7E57D">
      <w:pPr>
        <w:adjustRightInd w:val="0"/>
        <w:snapToGrid w:val="0"/>
        <w:spacing w:line="360" w:lineRule="auto"/>
        <w:ind w:firstLine="480" w:firstLineChars="200"/>
        <w:rPr>
          <w:rFonts w:ascii="宋体" w:hAnsi="宋体" w:cs="Courier New"/>
          <w:color w:val="auto"/>
          <w:sz w:val="24"/>
          <w:szCs w:val="24"/>
          <w:highlight w:val="none"/>
        </w:rPr>
      </w:pPr>
      <w:r>
        <w:rPr>
          <w:rFonts w:hint="eastAsia"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1</w:t>
      </w:r>
      <w:r>
        <w:rPr>
          <w:rFonts w:hint="eastAsia" w:ascii="宋体" w:hAnsi="宋体" w:cs="Courier New"/>
          <w:color w:val="auto"/>
          <w:sz w:val="24"/>
          <w:szCs w:val="24"/>
          <w:highlight w:val="none"/>
        </w:rPr>
        <w:t>.5甲方成立验收小组，按照采购合同的约定对乙方的履约情况进行验收。验收时</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rPr>
        <w:t>甲方按照采购合同的约定对每一项技术、服务、安全标准的履约情况进行确认。验收结束后</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rPr>
        <w:t>验收小组出具验收书</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rPr>
        <w:t>列明各项标准的验收情况及项目总体评价</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rPr>
        <w:t>由验收双方共同签署。验收结果与采购合同约定的资金支付条件挂钩。履约验收的各项资料存档备查。</w:t>
      </w:r>
    </w:p>
    <w:p w14:paraId="2C78C58C">
      <w:pPr>
        <w:adjustRightInd w:val="0"/>
        <w:snapToGrid w:val="0"/>
        <w:spacing w:line="360" w:lineRule="auto"/>
        <w:ind w:firstLine="480" w:firstLineChars="200"/>
        <w:rPr>
          <w:rFonts w:ascii="宋体" w:hAnsi="宋体" w:cs="Courier New"/>
          <w:color w:val="auto"/>
          <w:sz w:val="24"/>
          <w:szCs w:val="24"/>
          <w:highlight w:val="none"/>
        </w:rPr>
      </w:pPr>
      <w:r>
        <w:rPr>
          <w:rFonts w:hint="eastAsia"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1</w:t>
      </w:r>
      <w:r>
        <w:rPr>
          <w:rFonts w:hint="eastAsia" w:ascii="宋体" w:hAnsi="宋体" w:cs="Courier New"/>
          <w:color w:val="auto"/>
          <w:sz w:val="24"/>
          <w:szCs w:val="24"/>
          <w:highlight w:val="none"/>
        </w:rPr>
        <w:t>.6验收合格的项目</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rPr>
        <w:t>甲方根据采购合同的约定及时向乙方支付合同款项。验收不合格的项目，甲方依法及时处理。采购合同的履行、违约责任和解决争议的方式等适用《</w:t>
      </w:r>
      <w:r>
        <w:rPr>
          <w:rFonts w:hint="eastAsia" w:ascii="宋体" w:hAnsi="宋体" w:cs="Courier New"/>
          <w:color w:val="auto"/>
          <w:sz w:val="24"/>
          <w:szCs w:val="24"/>
          <w:highlight w:val="none"/>
          <w:lang w:val="en-US" w:eastAsia="zh-CN"/>
        </w:rPr>
        <w:t>中华人民共和国</w:t>
      </w:r>
      <w:r>
        <w:rPr>
          <w:rFonts w:hint="eastAsia" w:ascii="宋体" w:hAnsi="宋体" w:cs="Courier New"/>
          <w:color w:val="auto"/>
          <w:sz w:val="24"/>
          <w:szCs w:val="24"/>
          <w:highlight w:val="none"/>
        </w:rPr>
        <w:t>民法典》。乙方在履约过程中有政府采购法律法</w:t>
      </w:r>
      <w:r>
        <w:rPr>
          <w:rFonts w:hint="eastAsia" w:ascii="宋体" w:hAnsi="宋体" w:cs="Courier New"/>
          <w:color w:val="auto"/>
          <w:sz w:val="24"/>
          <w:szCs w:val="24"/>
          <w:highlight w:val="none"/>
          <w:lang w:eastAsia="zh-CN"/>
        </w:rPr>
        <w:t>规和</w:t>
      </w:r>
      <w:r>
        <w:rPr>
          <w:rFonts w:hint="eastAsia" w:ascii="宋体" w:hAnsi="宋体" w:cs="Courier New"/>
          <w:color w:val="auto"/>
          <w:sz w:val="24"/>
          <w:szCs w:val="24"/>
          <w:highlight w:val="none"/>
          <w:lang w:val="en-US" w:eastAsia="zh-CN"/>
        </w:rPr>
        <w:t>规范性文件</w:t>
      </w:r>
      <w:r>
        <w:rPr>
          <w:rFonts w:hint="eastAsia" w:ascii="宋体" w:hAnsi="宋体" w:cs="Courier New"/>
          <w:color w:val="auto"/>
          <w:sz w:val="24"/>
          <w:szCs w:val="24"/>
          <w:highlight w:val="none"/>
        </w:rPr>
        <w:t>规定的违法违规情形的</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rPr>
        <w:t>甲方将及时报告本级财政部门。</w:t>
      </w:r>
    </w:p>
    <w:p w14:paraId="1EA08BCE">
      <w:pPr>
        <w:adjustRightInd w:val="0"/>
        <w:snapToGrid w:val="0"/>
        <w:spacing w:line="360" w:lineRule="auto"/>
        <w:ind w:firstLine="482" w:firstLineChars="200"/>
        <w:rPr>
          <w:rFonts w:ascii="宋体" w:hAnsi="宋体" w:cs="Courier New"/>
          <w:b/>
          <w:color w:val="auto"/>
          <w:sz w:val="24"/>
          <w:szCs w:val="24"/>
          <w:highlight w:val="none"/>
        </w:rPr>
      </w:pPr>
      <w:r>
        <w:rPr>
          <w:rFonts w:ascii="宋体" w:hAnsi="宋体" w:cs="Courier New"/>
          <w:b/>
          <w:color w:val="auto"/>
          <w:sz w:val="24"/>
          <w:szCs w:val="24"/>
          <w:highlight w:val="none"/>
        </w:rPr>
        <w:t>十</w:t>
      </w:r>
      <w:r>
        <w:rPr>
          <w:rFonts w:hint="eastAsia" w:ascii="宋体" w:hAnsi="宋体" w:cs="Courier New"/>
          <w:b/>
          <w:color w:val="auto"/>
          <w:sz w:val="24"/>
          <w:szCs w:val="24"/>
          <w:highlight w:val="none"/>
          <w:lang w:val="en-US" w:eastAsia="zh-CN"/>
        </w:rPr>
        <w:t>二</w:t>
      </w:r>
      <w:r>
        <w:rPr>
          <w:rFonts w:ascii="宋体" w:hAnsi="宋体" w:cs="Courier New"/>
          <w:b/>
          <w:color w:val="auto"/>
          <w:sz w:val="24"/>
          <w:szCs w:val="24"/>
          <w:highlight w:val="none"/>
        </w:rPr>
        <w:t>、违约责任</w:t>
      </w:r>
    </w:p>
    <w:p w14:paraId="51AF29BC">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2</w:t>
      </w:r>
      <w:r>
        <w:rPr>
          <w:rFonts w:ascii="宋体" w:hAnsi="宋体" w:cs="Courier New"/>
          <w:color w:val="auto"/>
          <w:sz w:val="24"/>
          <w:szCs w:val="24"/>
          <w:highlight w:val="none"/>
        </w:rPr>
        <w:t>.1甲方无正当理由</w:t>
      </w:r>
      <w:r>
        <w:rPr>
          <w:rFonts w:hint="eastAsia" w:ascii="宋体" w:hAnsi="宋体" w:cs="Courier New"/>
          <w:color w:val="auto"/>
          <w:sz w:val="24"/>
          <w:szCs w:val="24"/>
          <w:highlight w:val="none"/>
        </w:rPr>
        <w:t>拒绝接受乙方提供的合同标的</w:t>
      </w:r>
      <w:r>
        <w:rPr>
          <w:rFonts w:ascii="宋体" w:hAnsi="宋体" w:cs="Courier New"/>
          <w:color w:val="auto"/>
          <w:sz w:val="24"/>
          <w:szCs w:val="24"/>
          <w:highlight w:val="none"/>
        </w:rPr>
        <w:t>的，甲方向乙方偿付</w:t>
      </w:r>
      <w:r>
        <w:rPr>
          <w:rFonts w:hint="eastAsia" w:ascii="宋体" w:hAnsi="宋体" w:cs="Courier New"/>
          <w:color w:val="auto"/>
          <w:sz w:val="24"/>
          <w:szCs w:val="24"/>
          <w:highlight w:val="none"/>
        </w:rPr>
        <w:t>拒绝接受合同价款</w:t>
      </w:r>
      <w:r>
        <w:rPr>
          <w:rFonts w:ascii="宋体" w:hAnsi="宋体" w:cs="Courier New"/>
          <w:color w:val="auto"/>
          <w:sz w:val="24"/>
          <w:szCs w:val="24"/>
          <w:highlight w:val="none"/>
        </w:rPr>
        <w:t>总值</w:t>
      </w:r>
      <w:r>
        <w:rPr>
          <w:rFonts w:hint="eastAsia" w:ascii="宋体" w:hAnsi="宋体" w:cs="Courier New"/>
          <w:color w:val="auto"/>
          <w:sz w:val="24"/>
          <w:szCs w:val="24"/>
          <w:highlight w:val="none"/>
          <w:u w:val="single"/>
        </w:rPr>
        <w:t>5%</w:t>
      </w:r>
      <w:r>
        <w:rPr>
          <w:rFonts w:ascii="宋体" w:hAnsi="宋体" w:cs="Courier New"/>
          <w:color w:val="auto"/>
          <w:sz w:val="24"/>
          <w:szCs w:val="24"/>
          <w:highlight w:val="none"/>
        </w:rPr>
        <w:t>的违约金。</w:t>
      </w:r>
    </w:p>
    <w:p w14:paraId="6FE83260">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2</w:t>
      </w:r>
      <w:r>
        <w:rPr>
          <w:rFonts w:ascii="宋体" w:hAnsi="宋体" w:cs="Courier New"/>
          <w:color w:val="auto"/>
          <w:sz w:val="24"/>
          <w:szCs w:val="24"/>
          <w:highlight w:val="none"/>
        </w:rPr>
        <w:t>.2甲方无故逾期验收和办理</w:t>
      </w:r>
      <w:r>
        <w:rPr>
          <w:rFonts w:hint="eastAsia" w:ascii="宋体" w:hAnsi="宋体" w:cs="Courier New"/>
          <w:color w:val="auto"/>
          <w:sz w:val="24"/>
          <w:szCs w:val="24"/>
          <w:highlight w:val="none"/>
        </w:rPr>
        <w:t>合同款项</w:t>
      </w:r>
      <w:r>
        <w:rPr>
          <w:rFonts w:ascii="宋体" w:hAnsi="宋体" w:cs="Courier New"/>
          <w:color w:val="auto"/>
          <w:sz w:val="24"/>
          <w:szCs w:val="24"/>
          <w:highlight w:val="none"/>
        </w:rPr>
        <w:t>支付手续的</w:t>
      </w:r>
      <w:r>
        <w:rPr>
          <w:rFonts w:hint="eastAsia" w:ascii="宋体" w:hAnsi="宋体" w:cs="Courier New"/>
          <w:color w:val="auto"/>
          <w:sz w:val="24"/>
          <w:szCs w:val="24"/>
          <w:highlight w:val="none"/>
          <w:lang w:eastAsia="zh-CN"/>
        </w:rPr>
        <w:t>，</w:t>
      </w:r>
      <w:r>
        <w:rPr>
          <w:rFonts w:ascii="宋体" w:hAnsi="宋体" w:cs="Courier New"/>
          <w:color w:val="auto"/>
          <w:sz w:val="24"/>
          <w:szCs w:val="24"/>
          <w:highlight w:val="none"/>
        </w:rPr>
        <w:t>甲方应按逾期付款总额</w:t>
      </w:r>
      <w:r>
        <w:rPr>
          <w:rFonts w:hint="eastAsia" w:ascii="宋体" w:hAnsi="宋体" w:cs="Courier New"/>
          <w:color w:val="auto"/>
          <w:sz w:val="24"/>
          <w:szCs w:val="24"/>
          <w:highlight w:val="none"/>
          <w:u w:val="single"/>
        </w:rPr>
        <w:t xml:space="preserve"> </w:t>
      </w:r>
      <w:r>
        <w:rPr>
          <w:rFonts w:hint="eastAsia" w:ascii="宋体" w:hAnsi="宋体" w:cs="Courier New"/>
          <w:color w:val="auto"/>
          <w:sz w:val="24"/>
          <w:szCs w:val="24"/>
          <w:highlight w:val="none"/>
          <w:u w:val="single"/>
          <w:lang w:val="en-US" w:eastAsia="zh-CN"/>
        </w:rPr>
        <w:t>6‰</w:t>
      </w:r>
      <w:r>
        <w:rPr>
          <w:rFonts w:hint="eastAsia" w:ascii="宋体" w:hAnsi="宋体" w:cs="Courier New"/>
          <w:color w:val="auto"/>
          <w:sz w:val="24"/>
          <w:szCs w:val="24"/>
          <w:highlight w:val="none"/>
          <w:u w:val="single"/>
        </w:rPr>
        <w:t xml:space="preserve"> </w:t>
      </w:r>
      <w:r>
        <w:rPr>
          <w:rFonts w:ascii="宋体" w:hAnsi="宋体" w:cs="Courier New"/>
          <w:color w:val="auto"/>
          <w:sz w:val="24"/>
          <w:szCs w:val="24"/>
          <w:highlight w:val="none"/>
        </w:rPr>
        <w:t>每日向乙方支付违约金。</w:t>
      </w:r>
    </w:p>
    <w:p w14:paraId="5F92B9DC">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2</w:t>
      </w:r>
      <w:r>
        <w:rPr>
          <w:rFonts w:ascii="宋体" w:hAnsi="宋体" w:cs="Courier New"/>
          <w:color w:val="auto"/>
          <w:sz w:val="24"/>
          <w:szCs w:val="24"/>
          <w:highlight w:val="none"/>
        </w:rPr>
        <w:t>.3乙方逾期</w:t>
      </w:r>
      <w:r>
        <w:rPr>
          <w:rFonts w:hint="eastAsia" w:ascii="宋体" w:hAnsi="宋体" w:cs="Courier New"/>
          <w:color w:val="auto"/>
          <w:sz w:val="24"/>
          <w:szCs w:val="24"/>
          <w:highlight w:val="none"/>
        </w:rPr>
        <w:t>交付合同标的</w:t>
      </w:r>
      <w:r>
        <w:rPr>
          <w:rFonts w:ascii="宋体" w:hAnsi="宋体" w:cs="Courier New"/>
          <w:color w:val="auto"/>
          <w:sz w:val="24"/>
          <w:szCs w:val="24"/>
          <w:highlight w:val="none"/>
        </w:rPr>
        <w:t>的，乙方应按逾期</w:t>
      </w:r>
      <w:r>
        <w:rPr>
          <w:rFonts w:hint="eastAsia" w:ascii="宋体" w:hAnsi="宋体" w:cs="Courier New"/>
          <w:color w:val="auto"/>
          <w:sz w:val="24"/>
          <w:szCs w:val="24"/>
          <w:highlight w:val="none"/>
        </w:rPr>
        <w:t>交付合同</w:t>
      </w:r>
      <w:r>
        <w:rPr>
          <w:rFonts w:ascii="宋体" w:hAnsi="宋体" w:cs="Courier New"/>
          <w:color w:val="auto"/>
          <w:sz w:val="24"/>
          <w:szCs w:val="24"/>
          <w:highlight w:val="none"/>
        </w:rPr>
        <w:t>总额每日</w:t>
      </w:r>
      <w:r>
        <w:rPr>
          <w:rFonts w:hint="eastAsia" w:ascii="宋体" w:hAnsi="宋体" w:cs="Courier New"/>
          <w:color w:val="auto"/>
          <w:sz w:val="24"/>
          <w:szCs w:val="24"/>
          <w:highlight w:val="none"/>
          <w:lang w:val="en-US" w:eastAsia="zh-CN"/>
        </w:rPr>
        <w:t>6‰</w:t>
      </w:r>
      <w:r>
        <w:rPr>
          <w:rFonts w:ascii="宋体" w:hAnsi="宋体" w:cs="Courier New"/>
          <w:color w:val="auto"/>
          <w:sz w:val="24"/>
          <w:szCs w:val="24"/>
          <w:highlight w:val="none"/>
        </w:rPr>
        <w:t>向甲方支付违约金，由甲方从待付</w:t>
      </w:r>
      <w:r>
        <w:rPr>
          <w:rFonts w:hint="eastAsia" w:ascii="宋体" w:hAnsi="宋体" w:cs="Courier New"/>
          <w:color w:val="auto"/>
          <w:sz w:val="24"/>
          <w:szCs w:val="24"/>
          <w:highlight w:val="none"/>
        </w:rPr>
        <w:t>合同款项</w:t>
      </w:r>
      <w:r>
        <w:rPr>
          <w:rFonts w:ascii="宋体" w:hAnsi="宋体" w:cs="Courier New"/>
          <w:color w:val="auto"/>
          <w:sz w:val="24"/>
          <w:szCs w:val="24"/>
          <w:highlight w:val="none"/>
        </w:rPr>
        <w:t>中扣除。逾期超过约定日期10个工作日不能</w:t>
      </w:r>
      <w:r>
        <w:rPr>
          <w:rFonts w:hint="eastAsia" w:ascii="宋体" w:hAnsi="宋体" w:cs="Courier New"/>
          <w:color w:val="auto"/>
          <w:sz w:val="24"/>
          <w:szCs w:val="24"/>
          <w:highlight w:val="none"/>
        </w:rPr>
        <w:t>交付合同标的</w:t>
      </w:r>
      <w:r>
        <w:rPr>
          <w:rFonts w:ascii="宋体" w:hAnsi="宋体" w:cs="Courier New"/>
          <w:color w:val="auto"/>
          <w:sz w:val="24"/>
          <w:szCs w:val="24"/>
          <w:highlight w:val="none"/>
        </w:rPr>
        <w:t>的，甲方可解除本合同。乙方因逾期</w:t>
      </w:r>
      <w:r>
        <w:rPr>
          <w:rFonts w:hint="eastAsia" w:ascii="宋体" w:hAnsi="宋体" w:cs="Courier New"/>
          <w:color w:val="auto"/>
          <w:sz w:val="24"/>
          <w:szCs w:val="24"/>
          <w:highlight w:val="none"/>
        </w:rPr>
        <w:t>交付合同标的</w:t>
      </w:r>
      <w:r>
        <w:rPr>
          <w:rFonts w:ascii="宋体" w:hAnsi="宋体" w:cs="Courier New"/>
          <w:color w:val="auto"/>
          <w:sz w:val="24"/>
          <w:szCs w:val="24"/>
          <w:highlight w:val="none"/>
        </w:rPr>
        <w:t>或因其他违约行为导致甲方解除合同的，乙方应向甲方支付合同</w:t>
      </w:r>
      <w:r>
        <w:rPr>
          <w:rFonts w:hint="eastAsia" w:ascii="宋体" w:hAnsi="宋体" w:cs="Courier New"/>
          <w:color w:val="auto"/>
          <w:sz w:val="24"/>
          <w:szCs w:val="24"/>
          <w:highlight w:val="none"/>
        </w:rPr>
        <w:t>价款总额</w:t>
      </w:r>
      <w:r>
        <w:rPr>
          <w:rFonts w:hint="eastAsia" w:ascii="宋体" w:hAnsi="宋体" w:cs="Courier New"/>
          <w:color w:val="auto"/>
          <w:sz w:val="24"/>
          <w:szCs w:val="24"/>
          <w:highlight w:val="none"/>
          <w:u w:val="single"/>
        </w:rPr>
        <w:t>5%</w:t>
      </w:r>
      <w:r>
        <w:rPr>
          <w:rFonts w:ascii="宋体" w:hAnsi="宋体" w:cs="Courier New"/>
          <w:color w:val="auto"/>
          <w:sz w:val="24"/>
          <w:szCs w:val="24"/>
          <w:highlight w:val="none"/>
        </w:rPr>
        <w:t xml:space="preserve">的违约金，如造成甲方损失超过违约金的，超出部分由乙方继续承担赔偿责任。 </w:t>
      </w:r>
    </w:p>
    <w:p w14:paraId="09BC1234">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2</w:t>
      </w:r>
      <w:r>
        <w:rPr>
          <w:rFonts w:ascii="宋体" w:hAnsi="宋体" w:cs="Courier New"/>
          <w:color w:val="auto"/>
          <w:sz w:val="24"/>
          <w:szCs w:val="24"/>
          <w:highlight w:val="none"/>
        </w:rPr>
        <w:t>.4乙方</w:t>
      </w:r>
      <w:r>
        <w:rPr>
          <w:rFonts w:hint="eastAsia" w:ascii="宋体" w:hAnsi="宋体" w:cs="Courier New"/>
          <w:color w:val="auto"/>
          <w:sz w:val="24"/>
          <w:szCs w:val="24"/>
          <w:highlight w:val="none"/>
        </w:rPr>
        <w:t>交付合同标的的标准</w:t>
      </w:r>
      <w:r>
        <w:rPr>
          <w:rFonts w:ascii="宋体" w:hAnsi="宋体" w:cs="Courier New"/>
          <w:color w:val="auto"/>
          <w:sz w:val="24"/>
          <w:szCs w:val="24"/>
          <w:highlight w:val="none"/>
        </w:rPr>
        <w:t>不符合合同规定及</w:t>
      </w:r>
      <w:r>
        <w:rPr>
          <w:rFonts w:hint="eastAsia" w:ascii="宋体" w:hAnsi="宋体" w:cs="Courier New"/>
          <w:color w:val="auto"/>
          <w:sz w:val="24"/>
          <w:szCs w:val="24"/>
          <w:highlight w:val="none"/>
          <w:lang w:val="en-US" w:eastAsia="zh-CN"/>
        </w:rPr>
        <w:t>招标</w:t>
      </w:r>
      <w:r>
        <w:rPr>
          <w:rFonts w:ascii="宋体" w:hAnsi="宋体" w:cs="Courier New"/>
          <w:color w:val="auto"/>
          <w:sz w:val="24"/>
          <w:szCs w:val="24"/>
          <w:highlight w:val="none"/>
        </w:rPr>
        <w:t>文件规定标准的，甲方有权</w:t>
      </w:r>
      <w:r>
        <w:rPr>
          <w:rFonts w:hint="eastAsia" w:ascii="宋体" w:hAnsi="宋体" w:cs="Courier New"/>
          <w:color w:val="auto"/>
          <w:sz w:val="24"/>
          <w:szCs w:val="24"/>
          <w:highlight w:val="none"/>
        </w:rPr>
        <w:t>拒绝接受合同标的</w:t>
      </w:r>
      <w:r>
        <w:rPr>
          <w:rFonts w:ascii="宋体" w:hAnsi="宋体" w:cs="Courier New"/>
          <w:color w:val="auto"/>
          <w:sz w:val="24"/>
          <w:szCs w:val="24"/>
          <w:highlight w:val="none"/>
        </w:rPr>
        <w:t>，</w:t>
      </w:r>
      <w:r>
        <w:rPr>
          <w:rFonts w:hint="eastAsia" w:ascii="宋体" w:hAnsi="宋体" w:cs="Courier New"/>
          <w:color w:val="auto"/>
          <w:sz w:val="24"/>
          <w:szCs w:val="24"/>
          <w:highlight w:val="none"/>
        </w:rPr>
        <w:t>并</w:t>
      </w:r>
      <w:r>
        <w:rPr>
          <w:rFonts w:ascii="宋体" w:hAnsi="宋体" w:cs="Courier New"/>
          <w:color w:val="auto"/>
          <w:sz w:val="24"/>
          <w:szCs w:val="24"/>
          <w:highlight w:val="none"/>
        </w:rPr>
        <w:t>可单方面解除合同。</w:t>
      </w:r>
    </w:p>
    <w:p w14:paraId="39C54CD2">
      <w:pPr>
        <w:adjustRightInd w:val="0"/>
        <w:snapToGrid w:val="0"/>
        <w:spacing w:line="360" w:lineRule="auto"/>
        <w:ind w:firstLine="482" w:firstLineChars="200"/>
        <w:rPr>
          <w:rFonts w:ascii="宋体" w:hAnsi="宋体" w:cs="Courier New"/>
          <w:b/>
          <w:color w:val="auto"/>
          <w:sz w:val="24"/>
          <w:szCs w:val="24"/>
          <w:highlight w:val="none"/>
        </w:rPr>
      </w:pPr>
      <w:r>
        <w:rPr>
          <w:rFonts w:ascii="宋体" w:hAnsi="宋体" w:cs="Courier New"/>
          <w:b/>
          <w:color w:val="auto"/>
          <w:sz w:val="24"/>
          <w:szCs w:val="24"/>
          <w:highlight w:val="none"/>
        </w:rPr>
        <w:t>十</w:t>
      </w:r>
      <w:r>
        <w:rPr>
          <w:rFonts w:hint="eastAsia" w:ascii="宋体" w:hAnsi="宋体" w:cs="Courier New"/>
          <w:b/>
          <w:color w:val="auto"/>
          <w:sz w:val="24"/>
          <w:szCs w:val="24"/>
          <w:highlight w:val="none"/>
          <w:lang w:val="en-US" w:eastAsia="zh-CN"/>
        </w:rPr>
        <w:t>三</w:t>
      </w:r>
      <w:r>
        <w:rPr>
          <w:rFonts w:ascii="宋体" w:hAnsi="宋体" w:cs="Courier New"/>
          <w:b/>
          <w:color w:val="auto"/>
          <w:sz w:val="24"/>
          <w:szCs w:val="24"/>
          <w:highlight w:val="none"/>
        </w:rPr>
        <w:t>、不可抗力事件处理</w:t>
      </w:r>
    </w:p>
    <w:p w14:paraId="0246F193">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3</w:t>
      </w:r>
      <w:r>
        <w:rPr>
          <w:rFonts w:ascii="宋体" w:hAnsi="宋体" w:cs="Courier New"/>
          <w:color w:val="auto"/>
          <w:sz w:val="24"/>
          <w:szCs w:val="24"/>
          <w:highlight w:val="none"/>
        </w:rPr>
        <w:t>.1在合同有效期内，任何一方因不可抗力事件导致不能履行合同，则合同履行期可延长，其延长期与不可抗力影响期相同。</w:t>
      </w:r>
    </w:p>
    <w:p w14:paraId="6696B6E0">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3</w:t>
      </w:r>
      <w:r>
        <w:rPr>
          <w:rFonts w:ascii="宋体" w:hAnsi="宋体" w:cs="Courier New"/>
          <w:color w:val="auto"/>
          <w:sz w:val="24"/>
          <w:szCs w:val="24"/>
          <w:highlight w:val="none"/>
        </w:rPr>
        <w:t>.2不可抗力事件发生后，应立即通知对方，并寄送有关权威机构出具的证明。</w:t>
      </w:r>
    </w:p>
    <w:p w14:paraId="2E136389">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3</w:t>
      </w:r>
      <w:r>
        <w:rPr>
          <w:rFonts w:ascii="宋体" w:hAnsi="宋体" w:cs="Courier New"/>
          <w:color w:val="auto"/>
          <w:sz w:val="24"/>
          <w:szCs w:val="24"/>
          <w:highlight w:val="none"/>
        </w:rPr>
        <w:t>.3不可抗力事件延续120天以上，双方应通过友好协商，确定是否继续履行合同。</w:t>
      </w:r>
    </w:p>
    <w:p w14:paraId="31D3D5EB">
      <w:pPr>
        <w:adjustRightInd w:val="0"/>
        <w:snapToGrid w:val="0"/>
        <w:spacing w:line="360" w:lineRule="auto"/>
        <w:ind w:firstLine="482" w:firstLineChars="200"/>
        <w:rPr>
          <w:rFonts w:ascii="宋体" w:hAnsi="宋体" w:cs="Courier New"/>
          <w:b/>
          <w:color w:val="auto"/>
          <w:sz w:val="24"/>
          <w:szCs w:val="24"/>
          <w:highlight w:val="none"/>
        </w:rPr>
      </w:pPr>
      <w:r>
        <w:rPr>
          <w:rFonts w:ascii="宋体" w:hAnsi="宋体" w:cs="Courier New"/>
          <w:b/>
          <w:color w:val="auto"/>
          <w:sz w:val="24"/>
          <w:szCs w:val="24"/>
          <w:highlight w:val="none"/>
        </w:rPr>
        <w:t>十</w:t>
      </w:r>
      <w:r>
        <w:rPr>
          <w:rFonts w:hint="eastAsia" w:ascii="宋体" w:hAnsi="宋体" w:cs="Courier New"/>
          <w:b/>
          <w:color w:val="auto"/>
          <w:sz w:val="24"/>
          <w:szCs w:val="24"/>
          <w:highlight w:val="none"/>
          <w:lang w:val="en-US" w:eastAsia="zh-CN"/>
        </w:rPr>
        <w:t>四</w:t>
      </w:r>
      <w:r>
        <w:rPr>
          <w:rFonts w:ascii="宋体" w:hAnsi="宋体" w:cs="Courier New"/>
          <w:b/>
          <w:color w:val="auto"/>
          <w:sz w:val="24"/>
          <w:szCs w:val="24"/>
          <w:highlight w:val="none"/>
        </w:rPr>
        <w:t>、</w:t>
      </w:r>
      <w:r>
        <w:rPr>
          <w:rFonts w:hint="eastAsia" w:ascii="宋体" w:hAnsi="宋体" w:cs="Courier New"/>
          <w:b/>
          <w:color w:val="auto"/>
          <w:sz w:val="24"/>
          <w:szCs w:val="24"/>
          <w:highlight w:val="none"/>
        </w:rPr>
        <w:t>解决争议的方法</w:t>
      </w:r>
    </w:p>
    <w:p w14:paraId="772F8CF9">
      <w:pPr>
        <w:adjustRightInd w:val="0"/>
        <w:snapToGrid w:val="0"/>
        <w:spacing w:line="360" w:lineRule="auto"/>
        <w:ind w:firstLine="480" w:firstLineChars="200"/>
        <w:rPr>
          <w:rFonts w:ascii="宋体" w:hAnsi="宋体" w:cs="Courier New"/>
          <w:color w:val="auto"/>
          <w:sz w:val="24"/>
          <w:szCs w:val="24"/>
          <w:highlight w:val="none"/>
        </w:rPr>
      </w:pPr>
      <w:r>
        <w:rPr>
          <w:rFonts w:hint="eastAsia"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4</w:t>
      </w:r>
      <w:r>
        <w:rPr>
          <w:rFonts w:hint="eastAsia" w:ascii="宋体" w:hAnsi="宋体" w:cs="Courier New"/>
          <w:color w:val="auto"/>
          <w:sz w:val="24"/>
          <w:szCs w:val="24"/>
          <w:highlight w:val="none"/>
        </w:rPr>
        <w:t>.1双方在签订、履行合同中所发生的一切争议，应通过友好协商解决。如协商不成，由甲方住所地人民法院管辖。</w:t>
      </w:r>
    </w:p>
    <w:p w14:paraId="3E0695AB">
      <w:pPr>
        <w:adjustRightInd w:val="0"/>
        <w:snapToGrid w:val="0"/>
        <w:spacing w:line="360" w:lineRule="auto"/>
        <w:ind w:firstLine="482" w:firstLineChars="200"/>
        <w:rPr>
          <w:rFonts w:ascii="宋体" w:hAnsi="宋体" w:cs="Courier New"/>
          <w:b/>
          <w:color w:val="auto"/>
          <w:sz w:val="24"/>
          <w:szCs w:val="24"/>
          <w:highlight w:val="none"/>
        </w:rPr>
      </w:pPr>
      <w:r>
        <w:rPr>
          <w:rFonts w:ascii="宋体" w:hAnsi="宋体" w:cs="Courier New"/>
          <w:b/>
          <w:color w:val="auto"/>
          <w:sz w:val="24"/>
          <w:szCs w:val="24"/>
          <w:highlight w:val="none"/>
        </w:rPr>
        <w:t>十</w:t>
      </w:r>
      <w:r>
        <w:rPr>
          <w:rFonts w:hint="eastAsia" w:ascii="宋体" w:hAnsi="宋体" w:cs="Courier New"/>
          <w:b/>
          <w:color w:val="auto"/>
          <w:sz w:val="24"/>
          <w:szCs w:val="24"/>
          <w:highlight w:val="none"/>
          <w:lang w:val="en-US" w:eastAsia="zh-CN"/>
        </w:rPr>
        <w:t>五</w:t>
      </w:r>
      <w:r>
        <w:rPr>
          <w:rFonts w:ascii="宋体" w:hAnsi="宋体" w:cs="Courier New"/>
          <w:b/>
          <w:color w:val="auto"/>
          <w:sz w:val="24"/>
          <w:szCs w:val="24"/>
          <w:highlight w:val="none"/>
        </w:rPr>
        <w:t>、合同生效及其</w:t>
      </w:r>
      <w:r>
        <w:rPr>
          <w:rFonts w:hint="eastAsia" w:ascii="宋体" w:hAnsi="宋体" w:cs="Courier New"/>
          <w:b/>
          <w:color w:val="auto"/>
          <w:sz w:val="24"/>
          <w:szCs w:val="24"/>
          <w:highlight w:val="none"/>
          <w:lang w:eastAsia="zh-CN"/>
        </w:rPr>
        <w:t>他</w:t>
      </w:r>
    </w:p>
    <w:p w14:paraId="4D2985A2">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5</w:t>
      </w:r>
      <w:r>
        <w:rPr>
          <w:rFonts w:ascii="宋体" w:hAnsi="宋体" w:cs="Courier New"/>
          <w:color w:val="auto"/>
          <w:sz w:val="24"/>
          <w:szCs w:val="24"/>
          <w:highlight w:val="none"/>
        </w:rPr>
        <w:t>.1合同经双方法定代表人或授权委托代</w:t>
      </w:r>
      <w:r>
        <w:rPr>
          <w:rFonts w:hint="eastAsia" w:ascii="宋体" w:hAnsi="宋体" w:cs="Courier New"/>
          <w:color w:val="auto"/>
          <w:sz w:val="24"/>
          <w:szCs w:val="24"/>
          <w:highlight w:val="none"/>
        </w:rPr>
        <w:t>表</w:t>
      </w:r>
      <w:r>
        <w:rPr>
          <w:rFonts w:ascii="宋体" w:hAnsi="宋体" w:cs="Courier New"/>
          <w:color w:val="auto"/>
          <w:sz w:val="24"/>
          <w:szCs w:val="24"/>
          <w:highlight w:val="none"/>
        </w:rPr>
        <w:t>人签字并加盖单位公章后生效。</w:t>
      </w:r>
    </w:p>
    <w:p w14:paraId="117C9880">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5</w:t>
      </w:r>
      <w:r>
        <w:rPr>
          <w:rFonts w:ascii="宋体" w:hAnsi="宋体" w:cs="Courier New"/>
          <w:color w:val="auto"/>
          <w:sz w:val="24"/>
          <w:szCs w:val="24"/>
          <w:highlight w:val="none"/>
        </w:rPr>
        <w:t>.2本合同未尽事宜，遵照</w:t>
      </w:r>
      <w:r>
        <w:rPr>
          <w:rFonts w:hint="eastAsia" w:ascii="宋体" w:hAnsi="宋体" w:cs="Courier New"/>
          <w:color w:val="auto"/>
          <w:sz w:val="24"/>
          <w:szCs w:val="24"/>
          <w:highlight w:val="none"/>
        </w:rPr>
        <w:t>《</w:t>
      </w:r>
      <w:r>
        <w:rPr>
          <w:rFonts w:hint="eastAsia" w:ascii="宋体" w:hAnsi="宋体" w:cs="Courier New"/>
          <w:color w:val="auto"/>
          <w:sz w:val="24"/>
          <w:szCs w:val="24"/>
          <w:highlight w:val="none"/>
          <w:lang w:val="en-US" w:eastAsia="zh-CN"/>
        </w:rPr>
        <w:t>中华人民共和国</w:t>
      </w:r>
      <w:r>
        <w:rPr>
          <w:rFonts w:hint="eastAsia" w:ascii="宋体" w:hAnsi="宋体" w:cs="Courier New"/>
          <w:color w:val="auto"/>
          <w:sz w:val="24"/>
          <w:szCs w:val="24"/>
          <w:highlight w:val="none"/>
        </w:rPr>
        <w:t>民法典</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lang w:val="en-US" w:eastAsia="zh-CN"/>
        </w:rPr>
        <w:t>中华人民共和国</w:t>
      </w:r>
      <w:r>
        <w:rPr>
          <w:rFonts w:hint="eastAsia" w:ascii="宋体" w:hAnsi="宋体" w:cs="Courier New"/>
          <w:color w:val="auto"/>
          <w:sz w:val="24"/>
          <w:szCs w:val="24"/>
          <w:highlight w:val="none"/>
        </w:rPr>
        <w:t>政府采购法</w:t>
      </w:r>
      <w:r>
        <w:rPr>
          <w:rFonts w:hint="eastAsia" w:ascii="宋体" w:hAnsi="宋体" w:cs="Courier New"/>
          <w:color w:val="auto"/>
          <w:sz w:val="24"/>
          <w:szCs w:val="24"/>
          <w:highlight w:val="none"/>
          <w:lang w:eastAsia="zh-CN"/>
        </w:rPr>
        <w:t>》等</w:t>
      </w:r>
      <w:r>
        <w:rPr>
          <w:rFonts w:ascii="宋体" w:hAnsi="宋体" w:cs="Courier New"/>
          <w:color w:val="auto"/>
          <w:sz w:val="24"/>
          <w:szCs w:val="24"/>
          <w:highlight w:val="none"/>
        </w:rPr>
        <w:t>有关条文执行。</w:t>
      </w:r>
    </w:p>
    <w:p w14:paraId="7B4FDCDB">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lang w:val="en-US" w:eastAsia="zh-CN"/>
        </w:rPr>
        <w:t>5</w:t>
      </w:r>
      <w:r>
        <w:rPr>
          <w:rFonts w:ascii="宋体" w:hAnsi="宋体" w:cs="Courier New"/>
          <w:color w:val="auto"/>
          <w:sz w:val="24"/>
          <w:szCs w:val="24"/>
          <w:highlight w:val="none"/>
        </w:rPr>
        <w:t>.</w:t>
      </w:r>
      <w:r>
        <w:rPr>
          <w:rFonts w:hint="eastAsia" w:ascii="宋体" w:hAnsi="宋体" w:cs="Courier New"/>
          <w:color w:val="auto"/>
          <w:sz w:val="24"/>
          <w:szCs w:val="24"/>
          <w:highlight w:val="none"/>
        </w:rPr>
        <w:t>3</w:t>
      </w:r>
      <w:r>
        <w:rPr>
          <w:rFonts w:ascii="宋体" w:hAnsi="宋体" w:cs="Courier New"/>
          <w:color w:val="auto"/>
          <w:sz w:val="24"/>
          <w:szCs w:val="24"/>
          <w:highlight w:val="none"/>
        </w:rPr>
        <w:t>本合同正本一式</w:t>
      </w:r>
      <w:r>
        <w:rPr>
          <w:rFonts w:hint="eastAsia" w:ascii="宋体" w:hAnsi="宋体" w:cs="Courier New"/>
          <w:color w:val="auto"/>
          <w:sz w:val="24"/>
          <w:szCs w:val="24"/>
          <w:highlight w:val="none"/>
          <w:lang w:val="en-US" w:eastAsia="zh-CN"/>
        </w:rPr>
        <w:t>四</w:t>
      </w:r>
      <w:r>
        <w:rPr>
          <w:rFonts w:ascii="宋体" w:hAnsi="宋体" w:cs="Courier New"/>
          <w:color w:val="auto"/>
          <w:sz w:val="24"/>
          <w:szCs w:val="24"/>
          <w:highlight w:val="none"/>
        </w:rPr>
        <w:t>份，具有同等法律效力，甲</w:t>
      </w:r>
      <w:r>
        <w:rPr>
          <w:rFonts w:hint="eastAsia" w:ascii="宋体" w:hAnsi="宋体" w:cs="Courier New"/>
          <w:color w:val="auto"/>
          <w:sz w:val="24"/>
          <w:szCs w:val="24"/>
          <w:highlight w:val="none"/>
        </w:rPr>
        <w:t>方、</w:t>
      </w:r>
      <w:r>
        <w:rPr>
          <w:rFonts w:ascii="宋体" w:hAnsi="宋体" w:cs="Courier New"/>
          <w:color w:val="auto"/>
          <w:sz w:val="24"/>
          <w:szCs w:val="24"/>
          <w:highlight w:val="none"/>
        </w:rPr>
        <w:t>乙方各执</w:t>
      </w:r>
      <w:r>
        <w:rPr>
          <w:rFonts w:hint="eastAsia" w:ascii="宋体" w:hAnsi="宋体" w:cs="Courier New"/>
          <w:color w:val="auto"/>
          <w:sz w:val="24"/>
          <w:szCs w:val="24"/>
          <w:highlight w:val="none"/>
          <w:lang w:val="en-US" w:eastAsia="zh-CN"/>
        </w:rPr>
        <w:t>贰</w:t>
      </w:r>
      <w:r>
        <w:rPr>
          <w:rFonts w:ascii="宋体" w:hAnsi="宋体" w:cs="Courier New"/>
          <w:color w:val="auto"/>
          <w:sz w:val="24"/>
          <w:szCs w:val="24"/>
          <w:highlight w:val="none"/>
        </w:rPr>
        <w:t>份。</w:t>
      </w:r>
    </w:p>
    <w:p w14:paraId="7A8D67AF">
      <w:pPr>
        <w:adjustRightInd w:val="0"/>
        <w:snapToGrid w:val="0"/>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 xml:space="preserve">  </w:t>
      </w:r>
    </w:p>
    <w:p w14:paraId="68C8383E">
      <w:pPr>
        <w:adjustRightInd w:val="0"/>
        <w:snapToGrid w:val="0"/>
        <w:spacing w:line="360" w:lineRule="auto"/>
        <w:rPr>
          <w:rFonts w:ascii="宋体" w:hAnsi="宋体" w:cs="Courier New"/>
          <w:color w:val="auto"/>
          <w:sz w:val="24"/>
          <w:szCs w:val="24"/>
          <w:highlight w:val="none"/>
        </w:rPr>
      </w:pPr>
      <w:r>
        <w:rPr>
          <w:rFonts w:ascii="宋体" w:hAnsi="宋体" w:cs="Courier New"/>
          <w:color w:val="auto"/>
          <w:sz w:val="24"/>
          <w:szCs w:val="24"/>
          <w:highlight w:val="none"/>
        </w:rPr>
        <w:t>甲方：</w:t>
      </w:r>
      <w:r>
        <w:rPr>
          <w:rFonts w:ascii="宋体" w:hAnsi="宋体" w:cs="Courier New"/>
          <w:color w:val="auto"/>
          <w:sz w:val="24"/>
          <w:szCs w:val="24"/>
          <w:highlight w:val="none"/>
          <w:u w:val="single"/>
        </w:rPr>
        <w:t xml:space="preserve">       </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lang w:val="en-US" w:eastAsia="zh-CN"/>
        </w:rPr>
        <w:t>盖章</w:t>
      </w:r>
      <w:r>
        <w:rPr>
          <w:rFonts w:hint="eastAsia" w:ascii="宋体" w:hAnsi="宋体" w:cs="Courier New"/>
          <w:color w:val="auto"/>
          <w:sz w:val="24"/>
          <w:szCs w:val="24"/>
          <w:highlight w:val="none"/>
          <w:lang w:eastAsia="zh-CN"/>
        </w:rPr>
        <w:t>）</w:t>
      </w:r>
      <w:r>
        <w:rPr>
          <w:rFonts w:ascii="宋体" w:hAnsi="宋体" w:cs="Courier New"/>
          <w:color w:val="auto"/>
          <w:sz w:val="24"/>
          <w:szCs w:val="24"/>
          <w:highlight w:val="none"/>
        </w:rPr>
        <w:t xml:space="preserve">             乙方：</w:t>
      </w:r>
      <w:r>
        <w:rPr>
          <w:rFonts w:ascii="宋体" w:hAnsi="宋体" w:cs="Courier New"/>
          <w:color w:val="auto"/>
          <w:sz w:val="24"/>
          <w:szCs w:val="24"/>
          <w:highlight w:val="none"/>
          <w:u w:val="single"/>
        </w:rPr>
        <w:t xml:space="preserve">       </w:t>
      </w:r>
      <w:r>
        <w:rPr>
          <w:rFonts w:ascii="宋体" w:hAnsi="宋体" w:cs="Courier New"/>
          <w:color w:val="auto"/>
          <w:sz w:val="24"/>
          <w:szCs w:val="24"/>
          <w:highlight w:val="none"/>
        </w:rPr>
        <w:t xml:space="preserve"> </w:t>
      </w:r>
      <w:r>
        <w:rPr>
          <w:rFonts w:hint="eastAsia" w:ascii="宋体" w:hAnsi="宋体" w:cs="Courier New"/>
          <w:color w:val="auto"/>
          <w:sz w:val="24"/>
          <w:szCs w:val="24"/>
          <w:highlight w:val="none"/>
          <w:lang w:eastAsia="zh-CN"/>
        </w:rPr>
        <w:t>（</w:t>
      </w:r>
      <w:r>
        <w:rPr>
          <w:rFonts w:hint="eastAsia" w:ascii="宋体" w:hAnsi="宋体" w:cs="Courier New"/>
          <w:color w:val="auto"/>
          <w:sz w:val="24"/>
          <w:szCs w:val="24"/>
          <w:highlight w:val="none"/>
          <w:lang w:val="en-US" w:eastAsia="zh-CN"/>
        </w:rPr>
        <w:t>盖章</w:t>
      </w:r>
      <w:r>
        <w:rPr>
          <w:rFonts w:hint="eastAsia" w:ascii="宋体" w:hAnsi="宋体" w:cs="Courier New"/>
          <w:color w:val="auto"/>
          <w:sz w:val="24"/>
          <w:szCs w:val="24"/>
          <w:highlight w:val="none"/>
          <w:lang w:eastAsia="zh-CN"/>
        </w:rPr>
        <w:t>）</w:t>
      </w:r>
      <w:r>
        <w:rPr>
          <w:rFonts w:ascii="宋体" w:hAnsi="宋体" w:cs="Courier New"/>
          <w:color w:val="auto"/>
          <w:sz w:val="24"/>
          <w:szCs w:val="24"/>
          <w:highlight w:val="none"/>
        </w:rPr>
        <w:t xml:space="preserve"> </w:t>
      </w:r>
    </w:p>
    <w:p w14:paraId="0388ABDC">
      <w:pPr>
        <w:adjustRightInd w:val="0"/>
        <w:snapToGrid w:val="0"/>
        <w:spacing w:line="360" w:lineRule="auto"/>
        <w:rPr>
          <w:rFonts w:ascii="宋体" w:hAnsi="宋体" w:cs="Courier New"/>
          <w:color w:val="auto"/>
          <w:sz w:val="24"/>
          <w:szCs w:val="24"/>
          <w:highlight w:val="none"/>
        </w:rPr>
      </w:pPr>
      <w:r>
        <w:rPr>
          <w:rFonts w:ascii="宋体" w:hAnsi="宋体" w:cs="Courier New"/>
          <w:color w:val="auto"/>
          <w:sz w:val="24"/>
          <w:szCs w:val="24"/>
          <w:highlight w:val="none"/>
        </w:rPr>
        <w:t>地址：</w:t>
      </w:r>
      <w:r>
        <w:rPr>
          <w:rFonts w:hint="eastAsia" w:ascii="宋体" w:hAnsi="宋体" w:cs="Courier New"/>
          <w:color w:val="auto"/>
          <w:sz w:val="24"/>
          <w:szCs w:val="24"/>
          <w:highlight w:val="none"/>
          <w:u w:val="single"/>
          <w:lang w:val="en-US" w:eastAsia="zh-CN"/>
        </w:rPr>
        <w:t xml:space="preserve">       </w:t>
      </w:r>
      <w:r>
        <w:rPr>
          <w:rFonts w:ascii="宋体" w:hAnsi="宋体" w:cs="Courier New"/>
          <w:color w:val="auto"/>
          <w:sz w:val="24"/>
          <w:szCs w:val="24"/>
          <w:highlight w:val="none"/>
        </w:rPr>
        <w:t xml:space="preserve">                     地址：</w:t>
      </w:r>
      <w:r>
        <w:rPr>
          <w:rFonts w:ascii="宋体" w:hAnsi="宋体" w:cs="Courier New"/>
          <w:color w:val="auto"/>
          <w:sz w:val="24"/>
          <w:szCs w:val="24"/>
          <w:highlight w:val="none"/>
          <w:u w:val="single"/>
        </w:rPr>
        <w:t xml:space="preserve">       </w:t>
      </w:r>
      <w:r>
        <w:rPr>
          <w:rFonts w:ascii="宋体" w:hAnsi="宋体" w:cs="Courier New"/>
          <w:color w:val="auto"/>
          <w:sz w:val="24"/>
          <w:szCs w:val="24"/>
          <w:highlight w:val="none"/>
        </w:rPr>
        <w:t xml:space="preserve"> </w:t>
      </w:r>
    </w:p>
    <w:p w14:paraId="552D2F04">
      <w:pPr>
        <w:adjustRightInd w:val="0"/>
        <w:snapToGrid w:val="0"/>
        <w:spacing w:line="360" w:lineRule="auto"/>
        <w:rPr>
          <w:rFonts w:ascii="宋体" w:hAnsi="宋体" w:cs="Courier New"/>
          <w:color w:val="auto"/>
          <w:sz w:val="24"/>
          <w:szCs w:val="24"/>
          <w:highlight w:val="none"/>
        </w:rPr>
      </w:pPr>
      <w:r>
        <w:rPr>
          <w:rFonts w:ascii="宋体" w:hAnsi="宋体" w:cs="Courier New"/>
          <w:color w:val="auto"/>
          <w:sz w:val="24"/>
          <w:szCs w:val="24"/>
          <w:highlight w:val="none"/>
        </w:rPr>
        <w:t>法定代表人</w:t>
      </w:r>
      <w:r>
        <w:rPr>
          <w:rFonts w:hint="eastAsia" w:ascii="宋体" w:hAnsi="宋体" w:cs="Courier New"/>
          <w:color w:val="auto"/>
          <w:sz w:val="24"/>
          <w:szCs w:val="24"/>
          <w:highlight w:val="none"/>
          <w:lang w:val="en-US" w:eastAsia="zh-CN"/>
        </w:rPr>
        <w:t xml:space="preserve">                        </w:t>
      </w:r>
      <w:r>
        <w:rPr>
          <w:rFonts w:ascii="宋体" w:hAnsi="宋体" w:cs="Courier New"/>
          <w:color w:val="auto"/>
          <w:sz w:val="24"/>
          <w:szCs w:val="24"/>
          <w:highlight w:val="none"/>
        </w:rPr>
        <w:t>法定代表人</w:t>
      </w:r>
    </w:p>
    <w:p w14:paraId="50048F92">
      <w:pPr>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或</w:t>
      </w:r>
      <w:r>
        <w:rPr>
          <w:rFonts w:hint="eastAsia" w:ascii="宋体" w:hAnsi="宋体" w:cs="Courier New"/>
          <w:color w:val="auto"/>
          <w:sz w:val="24"/>
          <w:szCs w:val="24"/>
          <w:highlight w:val="none"/>
          <w:lang w:val="en-US" w:eastAsia="zh-CN"/>
        </w:rPr>
        <w:t>其委托代理人</w:t>
      </w:r>
      <w:r>
        <w:rPr>
          <w:rFonts w:ascii="宋体" w:hAnsi="宋体" w:cs="Courier New"/>
          <w:color w:val="auto"/>
          <w:sz w:val="24"/>
          <w:szCs w:val="24"/>
          <w:highlight w:val="none"/>
        </w:rPr>
        <w:t>：</w:t>
      </w:r>
      <w:r>
        <w:rPr>
          <w:rFonts w:ascii="宋体" w:hAnsi="宋体" w:cs="Courier New"/>
          <w:color w:val="auto"/>
          <w:sz w:val="24"/>
          <w:szCs w:val="24"/>
          <w:highlight w:val="none"/>
          <w:u w:val="single"/>
        </w:rPr>
        <w:t xml:space="preserve">    </w:t>
      </w:r>
      <w:r>
        <w:rPr>
          <w:rFonts w:ascii="宋体" w:hAnsi="宋体" w:cs="宋体"/>
          <w:i/>
          <w:color w:val="auto"/>
          <w:sz w:val="24"/>
          <w:szCs w:val="24"/>
          <w:highlight w:val="none"/>
        </w:rPr>
        <w:t>（</w:t>
      </w:r>
      <w:r>
        <w:rPr>
          <w:rFonts w:ascii="宋体" w:hAnsi="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ascii="宋体" w:hAnsi="宋体" w:cs="宋体"/>
          <w:color w:val="auto"/>
          <w:sz w:val="24"/>
          <w:szCs w:val="24"/>
          <w:highlight w:val="none"/>
        </w:rPr>
        <w:t>）</w:t>
      </w:r>
      <w:r>
        <w:rPr>
          <w:rFonts w:hint="eastAsia" w:ascii="宋体" w:hAnsi="宋体" w:cs="Courier New"/>
          <w:color w:val="auto"/>
          <w:sz w:val="24"/>
          <w:szCs w:val="24"/>
          <w:highlight w:val="none"/>
        </w:rPr>
        <w:t>或</w:t>
      </w:r>
      <w:r>
        <w:rPr>
          <w:rFonts w:hint="eastAsia" w:ascii="宋体" w:hAnsi="宋体" w:cs="Courier New"/>
          <w:color w:val="auto"/>
          <w:sz w:val="24"/>
          <w:szCs w:val="24"/>
          <w:highlight w:val="none"/>
          <w:lang w:val="en-US" w:eastAsia="zh-CN"/>
        </w:rPr>
        <w:t>其委托代理人</w:t>
      </w:r>
      <w:r>
        <w:rPr>
          <w:rFonts w:ascii="宋体" w:hAnsi="宋体" w:cs="Courier New"/>
          <w:color w:val="auto"/>
          <w:sz w:val="24"/>
          <w:szCs w:val="24"/>
          <w:highlight w:val="none"/>
        </w:rPr>
        <w:t>：</w:t>
      </w:r>
      <w:r>
        <w:rPr>
          <w:rFonts w:ascii="宋体" w:hAnsi="宋体" w:cs="Courier New"/>
          <w:color w:val="auto"/>
          <w:sz w:val="24"/>
          <w:szCs w:val="24"/>
          <w:highlight w:val="none"/>
          <w:u w:val="single"/>
        </w:rPr>
        <w:t xml:space="preserve">    </w:t>
      </w:r>
      <w:r>
        <w:rPr>
          <w:rFonts w:ascii="宋体" w:hAnsi="宋体" w:cs="宋体"/>
          <w:i/>
          <w:color w:val="auto"/>
          <w:sz w:val="24"/>
          <w:szCs w:val="24"/>
          <w:highlight w:val="none"/>
        </w:rPr>
        <w:t>（</w:t>
      </w:r>
      <w:r>
        <w:rPr>
          <w:rFonts w:ascii="宋体" w:hAnsi="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ascii="宋体" w:hAnsi="宋体" w:cs="宋体"/>
          <w:color w:val="auto"/>
          <w:sz w:val="24"/>
          <w:szCs w:val="24"/>
          <w:highlight w:val="none"/>
        </w:rPr>
        <w:t>）</w:t>
      </w:r>
    </w:p>
    <w:p w14:paraId="4D1CC771">
      <w:pPr>
        <w:adjustRightInd w:val="0"/>
        <w:snapToGrid w:val="0"/>
        <w:spacing w:line="360" w:lineRule="auto"/>
        <w:rPr>
          <w:rFonts w:ascii="宋体" w:hAnsi="宋体" w:cs="Courier New"/>
          <w:color w:val="auto"/>
          <w:sz w:val="24"/>
          <w:szCs w:val="24"/>
          <w:highlight w:val="none"/>
        </w:rPr>
      </w:pPr>
      <w:r>
        <w:rPr>
          <w:rFonts w:hint="eastAsia" w:ascii="宋体" w:hAnsi="宋体" w:cs="Courier New"/>
          <w:color w:val="auto"/>
          <w:sz w:val="24"/>
          <w:szCs w:val="24"/>
          <w:highlight w:val="none"/>
        </w:rPr>
        <w:t>联系电话：</w:t>
      </w:r>
      <w:r>
        <w:rPr>
          <w:rFonts w:hint="eastAsia" w:ascii="宋体" w:hAnsi="宋体" w:cs="Courier New"/>
          <w:color w:val="auto"/>
          <w:sz w:val="24"/>
          <w:szCs w:val="24"/>
          <w:highlight w:val="none"/>
          <w:u w:val="single"/>
          <w:lang w:val="en-US" w:eastAsia="zh-CN"/>
        </w:rPr>
        <w:t xml:space="preserve">         </w:t>
      </w:r>
      <w:r>
        <w:rPr>
          <w:rFonts w:hint="eastAsia" w:ascii="宋体" w:hAnsi="宋体" w:cs="Courier New"/>
          <w:color w:val="auto"/>
          <w:sz w:val="24"/>
          <w:szCs w:val="24"/>
          <w:highlight w:val="none"/>
        </w:rPr>
        <w:t xml:space="preserve">              </w:t>
      </w:r>
      <w:r>
        <w:rPr>
          <w:rFonts w:hint="eastAsia" w:ascii="宋体" w:hAnsi="宋体" w:cs="Courier New"/>
          <w:color w:val="auto"/>
          <w:sz w:val="24"/>
          <w:szCs w:val="24"/>
          <w:highlight w:val="none"/>
          <w:lang w:val="en-US" w:eastAsia="zh-CN"/>
        </w:rPr>
        <w:t xml:space="preserve"> </w:t>
      </w:r>
      <w:r>
        <w:rPr>
          <w:rFonts w:hint="eastAsia" w:ascii="宋体" w:hAnsi="宋体" w:cs="Courier New"/>
          <w:color w:val="auto"/>
          <w:sz w:val="24"/>
          <w:szCs w:val="24"/>
          <w:highlight w:val="none"/>
        </w:rPr>
        <w:t>联系电话：</w:t>
      </w:r>
      <w:r>
        <w:rPr>
          <w:rFonts w:ascii="宋体" w:hAnsi="宋体" w:cs="Courier New"/>
          <w:color w:val="auto"/>
          <w:sz w:val="24"/>
          <w:szCs w:val="24"/>
          <w:highlight w:val="none"/>
          <w:u w:val="single"/>
        </w:rPr>
        <w:t xml:space="preserve">       </w:t>
      </w:r>
      <w:r>
        <w:rPr>
          <w:rFonts w:hint="eastAsia" w:ascii="宋体" w:hAnsi="宋体" w:cs="Courier New"/>
          <w:color w:val="auto"/>
          <w:sz w:val="24"/>
          <w:szCs w:val="24"/>
          <w:highlight w:val="none"/>
        </w:rPr>
        <w:t xml:space="preserve">          </w:t>
      </w:r>
    </w:p>
    <w:p w14:paraId="148B3FEC">
      <w:pPr>
        <w:adjustRightInd w:val="0"/>
        <w:snapToGrid w:val="0"/>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签订日期：      年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月  </w:t>
      </w:r>
      <w:r>
        <w:rPr>
          <w:rFonts w:hint="eastAsia" w:ascii="宋体" w:hAnsi="宋体"/>
          <w:color w:val="auto"/>
          <w:sz w:val="24"/>
          <w:szCs w:val="24"/>
          <w:highlight w:val="none"/>
        </w:rPr>
        <w:t xml:space="preserve"> </w:t>
      </w:r>
      <w:r>
        <w:rPr>
          <w:rFonts w:ascii="宋体" w:hAnsi="宋体"/>
          <w:color w:val="auto"/>
          <w:sz w:val="24"/>
          <w:szCs w:val="24"/>
          <w:highlight w:val="none"/>
        </w:rPr>
        <w:t>日</w:t>
      </w:r>
    </w:p>
    <w:p w14:paraId="6894497D">
      <w:pPr>
        <w:rPr>
          <w:rFonts w:ascii="宋体" w:hAnsi="宋体" w:cs="宋体"/>
          <w:color w:val="auto"/>
          <w:sz w:val="24"/>
          <w:szCs w:val="24"/>
          <w:highlight w:val="none"/>
        </w:rPr>
      </w:pPr>
      <w:r>
        <w:rPr>
          <w:rFonts w:ascii="宋体" w:hAnsi="宋体" w:cs="宋体"/>
          <w:color w:val="auto"/>
          <w:sz w:val="24"/>
          <w:szCs w:val="24"/>
          <w:highlight w:val="none"/>
        </w:rPr>
        <w:br w:type="page"/>
      </w:r>
    </w:p>
    <w:p w14:paraId="5277CA07">
      <w:pPr>
        <w:autoSpaceDE w:val="0"/>
        <w:autoSpaceDN w:val="0"/>
        <w:adjustRightInd w:val="0"/>
        <w:snapToGrid w:val="0"/>
        <w:spacing w:line="360" w:lineRule="auto"/>
        <w:rPr>
          <w:rFonts w:ascii="宋体" w:hAnsi="宋体" w:cs="宋体"/>
          <w:color w:val="auto"/>
          <w:szCs w:val="21"/>
          <w:highlight w:val="none"/>
        </w:rPr>
      </w:pPr>
      <w:r>
        <w:rPr>
          <w:rFonts w:ascii="宋体" w:hAnsi="宋体" w:cs="宋体"/>
          <w:color w:val="auto"/>
          <w:sz w:val="24"/>
          <w:szCs w:val="24"/>
          <w:highlight w:val="none"/>
        </w:rPr>
        <w:t>合同附件</w:t>
      </w:r>
      <w:r>
        <w:rPr>
          <w:rFonts w:hint="eastAsia" w:ascii="宋体" w:hAnsi="宋体" w:cs="宋体"/>
          <w:color w:val="auto"/>
          <w:sz w:val="24"/>
          <w:szCs w:val="24"/>
          <w:highlight w:val="none"/>
          <w:lang w:val="en-US" w:eastAsia="zh-CN"/>
        </w:rPr>
        <w:t>一</w:t>
      </w:r>
      <w:r>
        <w:rPr>
          <w:rFonts w:ascii="宋体" w:hAnsi="宋体" w:cs="宋体"/>
          <w:color w:val="auto"/>
          <w:sz w:val="24"/>
          <w:szCs w:val="24"/>
          <w:highlight w:val="none"/>
        </w:rPr>
        <w:t>：</w:t>
      </w:r>
    </w:p>
    <w:p w14:paraId="5C0A8F39">
      <w:pPr>
        <w:spacing w:line="360" w:lineRule="auto"/>
        <w:jc w:val="center"/>
        <w:rPr>
          <w:rFonts w:ascii="宋体" w:hAnsi="宋体"/>
          <w:b/>
          <w:bCs/>
          <w:color w:val="auto"/>
          <w:sz w:val="28"/>
          <w:szCs w:val="28"/>
          <w:highlight w:val="none"/>
        </w:rPr>
      </w:pPr>
    </w:p>
    <w:p w14:paraId="7A4D3C73">
      <w:pPr>
        <w:spacing w:line="360" w:lineRule="auto"/>
        <w:jc w:val="center"/>
        <w:rPr>
          <w:rFonts w:ascii="宋体" w:hAnsi="宋体"/>
          <w:b/>
          <w:bCs/>
          <w:color w:val="auto"/>
          <w:sz w:val="30"/>
          <w:szCs w:val="30"/>
          <w:highlight w:val="none"/>
        </w:rPr>
      </w:pPr>
      <w:r>
        <w:rPr>
          <w:rFonts w:ascii="宋体" w:hAnsi="宋体"/>
          <w:b/>
          <w:bCs/>
          <w:color w:val="auto"/>
          <w:sz w:val="30"/>
          <w:szCs w:val="30"/>
          <w:highlight w:val="none"/>
        </w:rPr>
        <w:t>廉政合同协议书</w:t>
      </w:r>
    </w:p>
    <w:p w14:paraId="07D749E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根据</w:t>
      </w:r>
      <w:r>
        <w:rPr>
          <w:rFonts w:hint="eastAsia" w:ascii="宋体" w:hAnsi="宋体" w:cs="宋体"/>
          <w:color w:val="auto"/>
          <w:sz w:val="24"/>
          <w:szCs w:val="24"/>
          <w:highlight w:val="none"/>
          <w:lang w:eastAsia="zh-CN"/>
        </w:rPr>
        <w:t>交通运输部</w:t>
      </w:r>
      <w:r>
        <w:rPr>
          <w:rFonts w:ascii="宋体" w:hAnsi="宋体" w:cs="宋体"/>
          <w:color w:val="auto"/>
          <w:sz w:val="24"/>
          <w:szCs w:val="24"/>
          <w:highlight w:val="none"/>
        </w:rPr>
        <w:t>《关于在交通基础设施建设中加强廉政建设的若干意见》以及有关工程建设、廉政建设的规定，为做好工程建设中的党风廉政建设，保证工程建设高效优质，保证建设资金的安全和有效使用以及投资效益，</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（以</w:t>
      </w:r>
      <w:r>
        <w:rPr>
          <w:rFonts w:hint="eastAsia" w:ascii="宋体" w:hAnsi="宋体" w:cs="宋体"/>
          <w:color w:val="auto"/>
          <w:sz w:val="24"/>
          <w:szCs w:val="24"/>
          <w:highlight w:val="none"/>
          <w:lang w:eastAsia="zh-CN"/>
        </w:rPr>
        <w:t>下简</w:t>
      </w:r>
      <w:r>
        <w:rPr>
          <w:rFonts w:ascii="宋体" w:hAnsi="宋体" w:cs="宋体"/>
          <w:color w:val="auto"/>
          <w:sz w:val="24"/>
          <w:szCs w:val="24"/>
          <w:highlight w:val="none"/>
        </w:rPr>
        <w:t>称委托人）与</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（以下称受托人），特订立如下合同。</w:t>
      </w:r>
    </w:p>
    <w:p w14:paraId="0FAA1A0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第一条  委托人、受托人双方的权利和义务</w:t>
      </w:r>
    </w:p>
    <w:p w14:paraId="1BF5A9F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（一）严格遵守党和国家有关法律法规及</w:t>
      </w:r>
      <w:r>
        <w:rPr>
          <w:rFonts w:hint="eastAsia" w:ascii="宋体" w:hAnsi="宋体" w:cs="宋体"/>
          <w:color w:val="auto"/>
          <w:sz w:val="24"/>
          <w:szCs w:val="24"/>
          <w:highlight w:val="none"/>
          <w:lang w:eastAsia="zh-CN"/>
        </w:rPr>
        <w:t>交通运输部</w:t>
      </w:r>
      <w:r>
        <w:rPr>
          <w:rFonts w:ascii="宋体" w:hAnsi="宋体" w:cs="宋体"/>
          <w:color w:val="auto"/>
          <w:sz w:val="24"/>
          <w:szCs w:val="24"/>
          <w:highlight w:val="none"/>
        </w:rPr>
        <w:t>的有关规定。</w:t>
      </w:r>
    </w:p>
    <w:p w14:paraId="069FB4E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（二）严格遵守</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合同文件，自觉按合同办事。</w:t>
      </w:r>
    </w:p>
    <w:p w14:paraId="682A4C7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（三）双方的业务活动坚持公开、公正、诚信、透明的原则（除法律认定的商业秘密和合同文件另有规定之外），不得损害国家和集体利益，违反工程建设管理规章制度。</w:t>
      </w:r>
    </w:p>
    <w:p w14:paraId="0283B59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（四）建立健全廉政制度，开展廉政教育，设立廉政告示牌，公布举报电话，监督并认真查处违法违纪行为。</w:t>
      </w:r>
    </w:p>
    <w:p w14:paraId="1CDA174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（五）发现对方在业务活动中有违反廉政规定的行为，有及时提醒对方纠正的权利和义务。</w:t>
      </w:r>
    </w:p>
    <w:p w14:paraId="6CEC6D0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（六）发现对方严重违反本合同义务条款的行为，有向其上级有关部门举报、建议给予处理并要求告</w:t>
      </w:r>
      <w:r>
        <w:rPr>
          <w:rFonts w:hint="eastAsia" w:ascii="宋体" w:hAnsi="宋体" w:cs="宋体"/>
          <w:color w:val="auto"/>
          <w:sz w:val="24"/>
          <w:szCs w:val="24"/>
          <w:highlight w:val="none"/>
          <w:lang w:eastAsia="zh-CN"/>
        </w:rPr>
        <w:t>知</w:t>
      </w:r>
      <w:r>
        <w:rPr>
          <w:rFonts w:ascii="宋体" w:hAnsi="宋体" w:cs="宋体"/>
          <w:color w:val="auto"/>
          <w:sz w:val="24"/>
          <w:szCs w:val="24"/>
          <w:highlight w:val="none"/>
        </w:rPr>
        <w:t>处理结果的权利。</w:t>
      </w:r>
    </w:p>
    <w:p w14:paraId="77B3F13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第二条  委托人的义务</w:t>
      </w:r>
    </w:p>
    <w:p w14:paraId="54076D4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（一）委托人及其工作人员不得索要或接受受托人的礼金、有价证券和贵重物品，不得由受托人报销任何应由委托人或个人支付的费用等。</w:t>
      </w:r>
    </w:p>
    <w:p w14:paraId="77A092F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（二）委托人工作人员不得参加受托人安排的超标准宴请和娱乐活动；不得接受受托人提供的通讯工具、交通工具和高档办公用品等。</w:t>
      </w:r>
    </w:p>
    <w:p w14:paraId="2C16C8F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三）委托人及其工作人员不得要求或者接受受托人为其住房装修、婚丧嫁娶活动、配偶子女的工作安排和子女读书上学以及出国出境、旅游等提供方便等；不得要求或者接受受托人为其子女读书上学提供其所承担的费用等。</w:t>
      </w:r>
    </w:p>
    <w:p w14:paraId="1AE4734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（四）委托人工作人员的配偶、子女不得从事与委托人工程有关的材料设备供应、工程分包、劳务等经济活动等。</w:t>
      </w:r>
    </w:p>
    <w:p w14:paraId="1F9DB971">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（五）委托人及其工作人员不得以任何理由向受托人推荐分包单位，不得要求受托人购买合同规定外的材料和设备。</w:t>
      </w:r>
    </w:p>
    <w:p w14:paraId="6A8491F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第三条  受托人义务</w:t>
      </w:r>
    </w:p>
    <w:p w14:paraId="5636491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（一）受托人不得以任何理由向委托人及其工作人员行贿或馈赠礼金、有价证券、贵重礼品。</w:t>
      </w:r>
    </w:p>
    <w:p w14:paraId="03B986E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（二）受托人不得以任何名义为委托人及其工作人员报销应由委托人单位或个人支付的任何费用。</w:t>
      </w:r>
    </w:p>
    <w:p w14:paraId="273F5738">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（三）受托人不得以任何理由安排委托人工作人员参加超标准宴请及娱乐活动。</w:t>
      </w:r>
    </w:p>
    <w:p w14:paraId="068E9DE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（四）受托人不得为委托人单位和个人购置或提供通讯工具、交通工具和高档办公用品等。</w:t>
      </w:r>
    </w:p>
    <w:p w14:paraId="52817C5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第四条  违约责任</w:t>
      </w:r>
    </w:p>
    <w:p w14:paraId="00F2E1EA">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（一）委托人及其工作人员违反本合同第一、二条，按管理权限，依据有关规定给予党纪、政纪或组织处理；涉嫌犯罪的，移交司法机关追究刑事责任；给受托人单位造成经济损失的，应予以赔偿。</w:t>
      </w:r>
    </w:p>
    <w:p w14:paraId="78B73E8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二）受托人及其工作人员违反本合同第一、三条，按管理权限，依据有关规定，给予党纪、政纪或组织处理；给委托人单位造成经济损失的，应予以赔偿；情节严重的，委托人建议交通工程建设主管部门给予受托人一至三年内不得进入其主管的交通工程建设市场的处罚。</w:t>
      </w:r>
    </w:p>
    <w:p w14:paraId="627D3CA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第五条  双方约定：本合同由双方或双方上级单位的纪检监察机关负责监督。由委托人或委托人上级单位的纪检监察机关约请受托人或受托人上级单位纪检监察机关对本合同履行情况进行检查，提出在本合同规定范围内的裁定意见。</w:t>
      </w:r>
    </w:p>
    <w:p w14:paraId="53C83F8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第六条  本合同有效期为委托人、受托人双方签署的</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项目合同期限。</w:t>
      </w:r>
    </w:p>
    <w:p w14:paraId="374D71E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第七条  本合同作为</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项目合同的附件，经合同双方签署立即生效。</w:t>
      </w:r>
    </w:p>
    <w:p w14:paraId="76BCB0A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第八条  本合同共肆份，</w:t>
      </w:r>
      <w:r>
        <w:rPr>
          <w:rFonts w:hint="eastAsia" w:ascii="宋体" w:hAnsi="宋体" w:cs="宋体"/>
          <w:color w:val="auto"/>
          <w:sz w:val="24"/>
          <w:szCs w:val="24"/>
          <w:highlight w:val="none"/>
          <w:lang w:eastAsia="zh-CN"/>
        </w:rPr>
        <w:t>双方</w:t>
      </w:r>
      <w:r>
        <w:rPr>
          <w:rFonts w:ascii="宋体" w:hAnsi="宋体" w:cs="宋体"/>
          <w:color w:val="auto"/>
          <w:sz w:val="24"/>
          <w:szCs w:val="24"/>
          <w:highlight w:val="none"/>
        </w:rPr>
        <w:t>各执贰份。</w:t>
      </w:r>
    </w:p>
    <w:p w14:paraId="0E4FC3BE">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ascii="宋体" w:hAnsi="宋体" w:cs="宋体"/>
          <w:color w:val="auto"/>
          <w:sz w:val="24"/>
          <w:szCs w:val="24"/>
          <w:highlight w:val="none"/>
        </w:rPr>
        <w:sectPr>
          <w:headerReference r:id="rId3" w:type="default"/>
          <w:footerReference r:id="rId4" w:type="default"/>
          <w:pgSz w:w="11906" w:h="16838"/>
          <w:pgMar w:top="1440" w:right="1797" w:bottom="1440" w:left="1797" w:header="851" w:footer="992" w:gutter="0"/>
          <w:cols w:space="1701" w:num="1"/>
          <w:docGrid w:linePitch="360" w:charSpace="0"/>
        </w:sectPr>
      </w:pPr>
    </w:p>
    <w:p w14:paraId="5B9B3A61">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ascii="宋体" w:hAnsi="宋体" w:cs="宋体"/>
          <w:color w:val="auto"/>
          <w:sz w:val="24"/>
          <w:szCs w:val="24"/>
          <w:highlight w:val="none"/>
        </w:rPr>
      </w:pPr>
      <w:r>
        <w:rPr>
          <w:rFonts w:ascii="宋体" w:hAnsi="宋体" w:cs="宋体"/>
          <w:color w:val="auto"/>
          <w:sz w:val="24"/>
          <w:szCs w:val="24"/>
          <w:highlight w:val="none"/>
        </w:rPr>
        <w:t>委托人</w:t>
      </w:r>
      <w:r>
        <w:rPr>
          <w:rFonts w:ascii="宋体" w:hAnsi="宋体" w:cs="宋体"/>
          <w:color w:val="auto"/>
          <w:spacing w:val="-17"/>
          <w:sz w:val="24"/>
          <w:szCs w:val="24"/>
          <w:highlight w:val="none"/>
        </w:rPr>
        <w:t>：</w:t>
      </w:r>
      <w:r>
        <w:rPr>
          <w:rFonts w:ascii="宋体" w:hAnsi="宋体" w:cs="宋体"/>
          <w:color w:val="auto"/>
          <w:spacing w:val="-17"/>
          <w:sz w:val="24"/>
          <w:szCs w:val="24"/>
          <w:highlight w:val="none"/>
          <w:u w:val="single"/>
        </w:rPr>
        <w:t xml:space="preserve"> </w:t>
      </w:r>
      <w:r>
        <w:rPr>
          <w:rFonts w:hint="eastAsia" w:ascii="宋体" w:hAnsi="宋体" w:cs="宋体"/>
          <w:color w:val="auto"/>
          <w:spacing w:val="-17"/>
          <w:sz w:val="24"/>
          <w:szCs w:val="24"/>
          <w:highlight w:val="none"/>
          <w:u w:val="single"/>
          <w:lang w:val="en-US" w:eastAsia="zh-CN"/>
        </w:rPr>
        <w:t xml:space="preserve">                  </w:t>
      </w:r>
      <w:r>
        <w:rPr>
          <w:rFonts w:ascii="宋体" w:hAnsi="宋体" w:cs="宋体"/>
          <w:color w:val="auto"/>
          <w:sz w:val="24"/>
          <w:szCs w:val="24"/>
          <w:highlight w:val="none"/>
        </w:rPr>
        <w:t>（盖章）</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受托人</w:t>
      </w:r>
      <w:r>
        <w:rPr>
          <w:rFonts w:ascii="宋体" w:hAnsi="宋体" w:cs="宋体"/>
          <w:color w:val="auto"/>
          <w:spacing w:val="-17"/>
          <w:sz w:val="24"/>
          <w:szCs w:val="24"/>
          <w:highlight w:val="none"/>
        </w:rPr>
        <w:t>：</w:t>
      </w:r>
      <w:r>
        <w:rPr>
          <w:rFonts w:hint="eastAsia" w:ascii="宋体" w:hAnsi="宋体" w:cs="宋体"/>
          <w:color w:val="auto"/>
          <w:spacing w:val="-17"/>
          <w:sz w:val="24"/>
          <w:szCs w:val="24"/>
          <w:highlight w:val="none"/>
          <w:u w:val="single"/>
          <w:lang w:val="en-US" w:eastAsia="zh-CN"/>
        </w:rPr>
        <w:t xml:space="preserve">                </w:t>
      </w:r>
      <w:r>
        <w:rPr>
          <w:rFonts w:ascii="宋体" w:hAnsi="宋体" w:cs="宋体"/>
          <w:color w:val="auto"/>
          <w:sz w:val="24"/>
          <w:szCs w:val="24"/>
          <w:highlight w:val="none"/>
        </w:rPr>
        <w:t xml:space="preserve">（盖章） </w:t>
      </w:r>
    </w:p>
    <w:p w14:paraId="52000CA2">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ascii="宋体" w:hAnsi="宋体" w:cs="宋体"/>
          <w:color w:val="auto"/>
          <w:sz w:val="24"/>
          <w:szCs w:val="24"/>
          <w:highlight w:val="none"/>
        </w:rPr>
      </w:pPr>
      <w:r>
        <w:rPr>
          <w:rFonts w:ascii="宋体" w:hAnsi="宋体" w:cs="宋体"/>
          <w:color w:val="auto"/>
          <w:sz w:val="24"/>
          <w:szCs w:val="24"/>
          <w:highlight w:val="none"/>
        </w:rPr>
        <w:t>法定代表人                         法定代表人</w:t>
      </w:r>
    </w:p>
    <w:p w14:paraId="36B93ECC">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ascii="宋体" w:hAnsi="宋体" w:cs="宋体"/>
          <w:color w:val="auto"/>
          <w:sz w:val="24"/>
          <w:szCs w:val="24"/>
          <w:highlight w:val="none"/>
        </w:rPr>
      </w:pPr>
      <w:r>
        <w:rPr>
          <w:rFonts w:ascii="宋体" w:hAnsi="宋体" w:cs="宋体"/>
          <w:color w:val="auto"/>
          <w:sz w:val="24"/>
          <w:szCs w:val="24"/>
          <w:highlight w:val="none"/>
        </w:rPr>
        <w:t>或其委托代理人</w:t>
      </w:r>
      <w:r>
        <w:rPr>
          <w:rFonts w:ascii="宋体" w:hAnsi="宋体" w:cs="宋体"/>
          <w:color w:val="auto"/>
          <w:spacing w:val="-17"/>
          <w:sz w:val="24"/>
          <w:szCs w:val="24"/>
          <w:highlight w:val="none"/>
        </w:rPr>
        <w:t>：</w:t>
      </w:r>
      <w:r>
        <w:rPr>
          <w:rFonts w:ascii="宋体" w:hAnsi="宋体" w:cs="宋体"/>
          <w:color w:val="auto"/>
          <w:spacing w:val="-17"/>
          <w:sz w:val="24"/>
          <w:szCs w:val="24"/>
          <w:highlight w:val="none"/>
          <w:u w:val="single"/>
        </w:rPr>
        <w:t xml:space="preserve">       </w:t>
      </w:r>
      <w:r>
        <w:rPr>
          <w:rFonts w:ascii="宋体" w:hAnsi="宋体" w:cs="宋体"/>
          <w:i/>
          <w:color w:val="auto"/>
          <w:sz w:val="24"/>
          <w:szCs w:val="24"/>
          <w:highlight w:val="none"/>
        </w:rPr>
        <w:t>（</w:t>
      </w:r>
      <w:r>
        <w:rPr>
          <w:rFonts w:ascii="宋体" w:hAnsi="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ascii="宋体" w:hAnsi="宋体" w:cs="宋体"/>
          <w:color w:val="auto"/>
          <w:sz w:val="24"/>
          <w:szCs w:val="24"/>
          <w:highlight w:val="none"/>
        </w:rPr>
        <w:t>）或其委托代理人</w:t>
      </w:r>
      <w:r>
        <w:rPr>
          <w:rFonts w:ascii="宋体" w:hAnsi="宋体" w:cs="宋体"/>
          <w:color w:val="auto"/>
          <w:spacing w:val="-16"/>
          <w:sz w:val="24"/>
          <w:szCs w:val="24"/>
          <w:highlight w:val="none"/>
        </w:rPr>
        <w:t>：</w:t>
      </w:r>
      <w:r>
        <w:rPr>
          <w:rFonts w:ascii="宋体" w:hAnsi="宋体" w:cs="宋体"/>
          <w:color w:val="auto"/>
          <w:spacing w:val="-1"/>
          <w:sz w:val="24"/>
          <w:szCs w:val="24"/>
          <w:highlight w:val="none"/>
          <w:u w:val="single"/>
        </w:rPr>
        <w:t xml:space="preserve">    </w:t>
      </w:r>
      <w:r>
        <w:rPr>
          <w:rFonts w:ascii="宋体" w:hAnsi="宋体" w:cs="宋体"/>
          <w:i/>
          <w:color w:val="auto"/>
          <w:sz w:val="24"/>
          <w:szCs w:val="24"/>
          <w:highlight w:val="none"/>
        </w:rPr>
        <w:t>（</w:t>
      </w:r>
      <w:r>
        <w:rPr>
          <w:rFonts w:ascii="宋体" w:hAnsi="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ascii="宋体" w:hAnsi="宋体" w:cs="宋体"/>
          <w:color w:val="auto"/>
          <w:sz w:val="24"/>
          <w:szCs w:val="24"/>
          <w:highlight w:val="none"/>
        </w:rPr>
        <w:t>）</w:t>
      </w:r>
    </w:p>
    <w:p w14:paraId="779D02B1">
      <w:pPr>
        <w:keepNext w:val="0"/>
        <w:keepLines w:val="0"/>
        <w:pageBreakBefore w:val="0"/>
        <w:widowControl w:val="0"/>
        <w:tabs>
          <w:tab w:val="left" w:pos="1920"/>
          <w:tab w:val="left" w:pos="2130"/>
          <w:tab w:val="left" w:pos="2760"/>
          <w:tab w:val="left" w:pos="5945"/>
          <w:tab w:val="left" w:pos="7025"/>
          <w:tab w:val="left" w:pos="7865"/>
          <w:tab w:val="left" w:pos="8705"/>
        </w:tabs>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日</w:t>
      </w:r>
    </w:p>
    <w:p w14:paraId="22AED355">
      <w:pPr>
        <w:rPr>
          <w:rFonts w:ascii="宋体" w:hAnsi="宋体" w:cs="宋体"/>
          <w:color w:val="auto"/>
          <w:sz w:val="24"/>
          <w:szCs w:val="24"/>
          <w:highlight w:val="none"/>
        </w:rPr>
      </w:pPr>
      <w:r>
        <w:rPr>
          <w:rFonts w:ascii="宋体" w:hAnsi="宋体" w:cs="宋体"/>
          <w:color w:val="auto"/>
          <w:sz w:val="24"/>
          <w:szCs w:val="24"/>
          <w:highlight w:val="none"/>
        </w:rPr>
        <w:br w:type="page"/>
      </w:r>
    </w:p>
    <w:p w14:paraId="2661328E">
      <w:pPr>
        <w:autoSpaceDE w:val="0"/>
        <w:autoSpaceDN w:val="0"/>
        <w:adjustRightInd w:val="0"/>
        <w:snapToGrid w:val="0"/>
        <w:spacing w:line="360" w:lineRule="auto"/>
        <w:rPr>
          <w:rFonts w:ascii="宋体" w:hAnsi="宋体" w:cs="宋体"/>
          <w:color w:val="auto"/>
          <w:sz w:val="24"/>
          <w:szCs w:val="24"/>
          <w:highlight w:val="none"/>
        </w:rPr>
        <w:sectPr>
          <w:type w:val="continuous"/>
          <w:pgSz w:w="11906" w:h="16838"/>
          <w:pgMar w:top="1440" w:right="1797" w:bottom="1440" w:left="1797" w:header="851" w:footer="992" w:gutter="0"/>
          <w:cols w:space="1701" w:num="1"/>
          <w:docGrid w:linePitch="360" w:charSpace="0"/>
        </w:sectPr>
      </w:pPr>
    </w:p>
    <w:p w14:paraId="765E9E0D">
      <w:pPr>
        <w:autoSpaceDE w:val="0"/>
        <w:autoSpaceDN w:val="0"/>
        <w:adjustRightInd w:val="0"/>
        <w:snapToGrid w:val="0"/>
        <w:spacing w:line="360" w:lineRule="auto"/>
        <w:rPr>
          <w:rFonts w:ascii="宋体" w:hAnsi="宋体" w:cs="宋体"/>
          <w:color w:val="auto"/>
          <w:szCs w:val="21"/>
          <w:highlight w:val="none"/>
        </w:rPr>
      </w:pPr>
      <w:r>
        <w:rPr>
          <w:rFonts w:ascii="宋体" w:hAnsi="宋体" w:cs="宋体"/>
          <w:color w:val="auto"/>
          <w:sz w:val="24"/>
          <w:szCs w:val="24"/>
          <w:highlight w:val="none"/>
        </w:rPr>
        <w:t>合同附件二：</w:t>
      </w:r>
    </w:p>
    <w:p w14:paraId="2D70FD22">
      <w:pPr>
        <w:spacing w:line="360" w:lineRule="auto"/>
        <w:jc w:val="center"/>
        <w:rPr>
          <w:rFonts w:ascii="宋体" w:hAnsi="宋体"/>
          <w:b/>
          <w:bCs/>
          <w:color w:val="auto"/>
          <w:sz w:val="30"/>
          <w:szCs w:val="30"/>
          <w:highlight w:val="none"/>
        </w:rPr>
      </w:pPr>
      <w:r>
        <w:rPr>
          <w:rFonts w:ascii="宋体" w:hAnsi="宋体"/>
          <w:b/>
          <w:bCs/>
          <w:color w:val="auto"/>
          <w:sz w:val="30"/>
          <w:szCs w:val="30"/>
          <w:highlight w:val="none"/>
        </w:rPr>
        <w:t>安全生产合同协议书</w:t>
      </w:r>
    </w:p>
    <w:p w14:paraId="3CAFE7C3">
      <w:pPr>
        <w:keepNext w:val="0"/>
        <w:keepLines w:val="0"/>
        <w:pageBreakBefore w:val="0"/>
        <w:widowControl w:val="0"/>
        <w:tabs>
          <w:tab w:val="left" w:pos="3081"/>
          <w:tab w:val="left" w:pos="5122"/>
          <w:tab w:val="left" w:pos="6125"/>
          <w:tab w:val="left" w:pos="8619"/>
        </w:tabs>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为在</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（项目名称）</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标段合同的实施过程中切实搞好本项目的安全管理工作</w:t>
      </w:r>
      <w:r>
        <w:rPr>
          <w:rFonts w:ascii="宋体" w:hAnsi="宋体" w:cs="宋体"/>
          <w:color w:val="auto"/>
          <w:spacing w:val="-29"/>
          <w:sz w:val="24"/>
          <w:szCs w:val="24"/>
          <w:highlight w:val="none"/>
        </w:rPr>
        <w:t>，</w:t>
      </w:r>
      <w:r>
        <w:rPr>
          <w:rFonts w:ascii="宋体" w:hAnsi="宋体" w:cs="宋体"/>
          <w:color w:val="auto"/>
          <w:sz w:val="24"/>
          <w:szCs w:val="24"/>
          <w:highlight w:val="none"/>
        </w:rPr>
        <w:t>本项目委托人</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（委托人名称</w:t>
      </w:r>
      <w:r>
        <w:rPr>
          <w:rFonts w:ascii="宋体" w:hAnsi="宋体" w:cs="宋体"/>
          <w:color w:val="auto"/>
          <w:spacing w:val="-13"/>
          <w:sz w:val="24"/>
          <w:szCs w:val="24"/>
          <w:highlight w:val="none"/>
        </w:rPr>
        <w:t>，</w:t>
      </w:r>
      <w:r>
        <w:rPr>
          <w:rFonts w:ascii="宋体" w:hAnsi="宋体" w:cs="宋体"/>
          <w:color w:val="auto"/>
          <w:sz w:val="24"/>
          <w:szCs w:val="24"/>
          <w:highlight w:val="none"/>
        </w:rPr>
        <w:t>以下简称“委托人</w:t>
      </w:r>
      <w:r>
        <w:rPr>
          <w:rFonts w:ascii="宋体" w:hAnsi="宋体" w:cs="宋体"/>
          <w:color w:val="auto"/>
          <w:spacing w:val="-7"/>
          <w:sz w:val="24"/>
          <w:szCs w:val="24"/>
          <w:highlight w:val="none"/>
        </w:rPr>
        <w:t>”）</w:t>
      </w:r>
      <w:r>
        <w:rPr>
          <w:rFonts w:ascii="宋体" w:hAnsi="宋体" w:cs="宋体"/>
          <w:color w:val="auto"/>
          <w:sz w:val="24"/>
          <w:szCs w:val="24"/>
          <w:highlight w:val="none"/>
        </w:rPr>
        <w:t>与受托人</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u w:val="single"/>
        </w:rPr>
        <w:tab/>
      </w:r>
      <w:r>
        <w:rPr>
          <w:rFonts w:ascii="宋体" w:hAnsi="宋体" w:cs="宋体"/>
          <w:color w:val="auto"/>
          <w:sz w:val="24"/>
          <w:szCs w:val="24"/>
          <w:highlight w:val="none"/>
        </w:rPr>
        <w:t>（受托人名称</w:t>
      </w:r>
      <w:r>
        <w:rPr>
          <w:rFonts w:ascii="宋体" w:hAnsi="宋体" w:cs="宋体"/>
          <w:color w:val="auto"/>
          <w:spacing w:val="-12"/>
          <w:sz w:val="24"/>
          <w:szCs w:val="24"/>
          <w:highlight w:val="none"/>
        </w:rPr>
        <w:t>，</w:t>
      </w:r>
      <w:r>
        <w:rPr>
          <w:rFonts w:ascii="宋体" w:hAnsi="宋体" w:cs="宋体"/>
          <w:color w:val="auto"/>
          <w:sz w:val="24"/>
          <w:szCs w:val="24"/>
          <w:highlight w:val="none"/>
        </w:rPr>
        <w:t>以下简称“受托人”）特此签订安全生产合同。</w:t>
      </w:r>
    </w:p>
    <w:p w14:paraId="5F6CBDC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1.委托人职责</w:t>
      </w:r>
    </w:p>
    <w:p w14:paraId="35EF25BA">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（1）严格遵守国家有关安全生产的法律法规，认真执行工程承包合同中的有关安全要求。</w:t>
      </w:r>
    </w:p>
    <w:p w14:paraId="23DE6CB5">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（2）按照“安全第一、预防为主、综合治理”和坚持“管生产必须管安全”的原则进行安全生产管理，做到生产与安全工作同时计划、布置、检查、总结和评比。</w:t>
      </w:r>
    </w:p>
    <w:p w14:paraId="7CE92987">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（3）重要的安全设施必须坚持与主体工程“三同时”的原则，即：同时设计、审批，同时施工，同时验收，投入使用。</w:t>
      </w:r>
    </w:p>
    <w:p w14:paraId="5F61452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（4）定期召开安全生产调度会，及时传达中央及地方有关安全生产的精神。</w:t>
      </w:r>
    </w:p>
    <w:p w14:paraId="1FF533F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（5）组织对受托人进行安全生产检查，监督受托人及时处理发现的各种安全隐患。</w:t>
      </w:r>
    </w:p>
    <w:p w14:paraId="59D3AD9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2.受托人职责</w:t>
      </w:r>
    </w:p>
    <w:p w14:paraId="48D779C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合同中的有关安全要求。</w:t>
      </w:r>
    </w:p>
    <w:p w14:paraId="7DC6A9D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所有项目组人员必须熟悉和</w:t>
      </w:r>
      <w:r>
        <w:rPr>
          <w:rFonts w:ascii="宋体" w:hAnsi="宋体" w:cs="宋体"/>
          <w:color w:val="auto"/>
          <w:spacing w:val="-5"/>
          <w:sz w:val="24"/>
          <w:szCs w:val="24"/>
          <w:highlight w:val="none"/>
        </w:rPr>
        <w:t>遵守本合同的各项规定，做到生产与安全工作同时计划、布置、检查、总结和评比。</w:t>
      </w:r>
    </w:p>
    <w:p w14:paraId="43A6DD30">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（3）建立健全安全生产责任制。</w:t>
      </w:r>
    </w:p>
    <w:p w14:paraId="09EFA96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（4）受托人在任何时候都应采取各种合理的预防措施，防止其员工发生任何违法、</w:t>
      </w:r>
      <w:r>
        <w:rPr>
          <w:rFonts w:hint="eastAsia" w:ascii="宋体" w:hAnsi="宋体" w:cs="宋体"/>
          <w:color w:val="auto"/>
          <w:sz w:val="24"/>
          <w:szCs w:val="24"/>
          <w:highlight w:val="none"/>
          <w:lang w:eastAsia="zh-CN"/>
        </w:rPr>
        <w:t>违纪</w:t>
      </w:r>
      <w:r>
        <w:rPr>
          <w:rFonts w:ascii="宋体" w:hAnsi="宋体" w:cs="宋体"/>
          <w:color w:val="auto"/>
          <w:sz w:val="24"/>
          <w:szCs w:val="24"/>
          <w:highlight w:val="none"/>
        </w:rPr>
        <w:t>、暴力或妨碍治安的行为。</w:t>
      </w:r>
    </w:p>
    <w:p w14:paraId="01F94592">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5）受托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DBCABD4">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（6）安全生产费用按照《公路水运工程安全生产监督管理办法》的相关规定使用和管理。</w:t>
      </w:r>
    </w:p>
    <w:p w14:paraId="567AABE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3.违约责任</w:t>
      </w:r>
    </w:p>
    <w:p w14:paraId="3FCCB68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如因委托人或受托人违约造成安全事故，将依法追究责任。</w:t>
      </w:r>
    </w:p>
    <w:p w14:paraId="3A304CCB">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4.本合同由双方法定代表人或其授权的代理人签署并加盖单</w:t>
      </w:r>
      <w:r>
        <w:rPr>
          <w:rFonts w:hint="eastAsia" w:ascii="宋体" w:hAnsi="宋体" w:cs="宋体"/>
          <w:color w:val="auto"/>
          <w:sz w:val="24"/>
          <w:szCs w:val="24"/>
          <w:highlight w:val="none"/>
          <w:lang w:eastAsia="zh-CN"/>
        </w:rPr>
        <w:t>位公</w:t>
      </w:r>
      <w:r>
        <w:rPr>
          <w:rFonts w:ascii="宋体" w:hAnsi="宋体" w:cs="宋体"/>
          <w:color w:val="auto"/>
          <w:sz w:val="24"/>
          <w:szCs w:val="24"/>
          <w:highlight w:val="none"/>
        </w:rPr>
        <w:t>章后生效，项目验收结束后失效。</w:t>
      </w:r>
    </w:p>
    <w:p w14:paraId="19AE4BE9">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5.本合同正本二份</w:t>
      </w:r>
      <w:r>
        <w:rPr>
          <w:rFonts w:ascii="宋体" w:hAnsi="宋体" w:cs="宋体"/>
          <w:color w:val="auto"/>
          <w:spacing w:val="2"/>
          <w:sz w:val="24"/>
          <w:szCs w:val="24"/>
          <w:highlight w:val="none"/>
        </w:rPr>
        <w:t>、</w:t>
      </w:r>
      <w:r>
        <w:rPr>
          <w:rFonts w:ascii="宋体" w:hAnsi="宋体" w:cs="宋体"/>
          <w:color w:val="auto"/>
          <w:sz w:val="24"/>
          <w:szCs w:val="24"/>
          <w:highlight w:val="none"/>
        </w:rPr>
        <w:t>副</w:t>
      </w:r>
      <w:r>
        <w:rPr>
          <w:rFonts w:ascii="宋体" w:hAnsi="宋体" w:cs="宋体"/>
          <w:color w:val="auto"/>
          <w:spacing w:val="2"/>
          <w:sz w:val="24"/>
          <w:szCs w:val="24"/>
          <w:highlight w:val="none"/>
        </w:rPr>
        <w:t>本</w:t>
      </w:r>
      <w:r>
        <w:rPr>
          <w:rFonts w:ascii="宋体" w:hAnsi="宋体" w:cs="宋体"/>
          <w:color w:val="auto"/>
          <w:spacing w:val="2"/>
          <w:sz w:val="24"/>
          <w:szCs w:val="24"/>
          <w:highlight w:val="none"/>
          <w:u w:val="single"/>
        </w:rPr>
        <w:t xml:space="preserve"> </w:t>
      </w:r>
      <w:r>
        <w:rPr>
          <w:rFonts w:ascii="宋体" w:hAnsi="宋体" w:cs="宋体"/>
          <w:color w:val="auto"/>
          <w:spacing w:val="2"/>
          <w:sz w:val="24"/>
          <w:szCs w:val="24"/>
          <w:highlight w:val="none"/>
          <w:u w:val="single"/>
        </w:rPr>
        <w:tab/>
      </w:r>
      <w:r>
        <w:rPr>
          <w:rFonts w:ascii="宋体" w:hAnsi="宋体" w:cs="宋体"/>
          <w:color w:val="auto"/>
          <w:sz w:val="24"/>
          <w:szCs w:val="24"/>
          <w:highlight w:val="none"/>
        </w:rPr>
        <w:t>份，合同双</w:t>
      </w:r>
      <w:r>
        <w:rPr>
          <w:rFonts w:ascii="宋体" w:hAnsi="宋体" w:cs="宋体"/>
          <w:color w:val="auto"/>
          <w:spacing w:val="2"/>
          <w:sz w:val="24"/>
          <w:szCs w:val="24"/>
          <w:highlight w:val="none"/>
        </w:rPr>
        <w:t>方</w:t>
      </w:r>
      <w:r>
        <w:rPr>
          <w:rFonts w:ascii="宋体" w:hAnsi="宋体" w:cs="宋体"/>
          <w:color w:val="auto"/>
          <w:sz w:val="24"/>
          <w:szCs w:val="24"/>
          <w:highlight w:val="none"/>
        </w:rPr>
        <w:t>各执正本一份，副</w:t>
      </w:r>
      <w:r>
        <w:rPr>
          <w:rFonts w:ascii="宋体" w:hAnsi="宋体" w:cs="宋体"/>
          <w:color w:val="auto"/>
          <w:spacing w:val="5"/>
          <w:sz w:val="24"/>
          <w:szCs w:val="24"/>
          <w:highlight w:val="none"/>
        </w:rPr>
        <w:t>本</w:t>
      </w:r>
      <w:r>
        <w:rPr>
          <w:rFonts w:ascii="宋体" w:hAnsi="宋体" w:cs="宋体"/>
          <w:color w:val="auto"/>
          <w:spacing w:val="5"/>
          <w:sz w:val="24"/>
          <w:szCs w:val="24"/>
          <w:highlight w:val="none"/>
          <w:u w:val="single"/>
        </w:rPr>
        <w:t xml:space="preserve"> </w:t>
      </w:r>
      <w:r>
        <w:rPr>
          <w:rFonts w:ascii="宋体" w:hAnsi="宋体" w:cs="宋体"/>
          <w:color w:val="auto"/>
          <w:spacing w:val="5"/>
          <w:sz w:val="24"/>
          <w:szCs w:val="24"/>
          <w:highlight w:val="none"/>
          <w:u w:val="single"/>
        </w:rPr>
        <w:tab/>
      </w:r>
      <w:r>
        <w:rPr>
          <w:rFonts w:ascii="宋体" w:hAnsi="宋体" w:cs="宋体"/>
          <w:color w:val="auto"/>
          <w:sz w:val="24"/>
          <w:szCs w:val="24"/>
          <w:highlight w:val="none"/>
        </w:rPr>
        <w:t>份，当正本与副本的内容不一致时，以正本为准。</w:t>
      </w:r>
    </w:p>
    <w:p w14:paraId="646283B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p>
    <w:p w14:paraId="1F5A7E6A">
      <w:pPr>
        <w:keepNext w:val="0"/>
        <w:keepLines w:val="0"/>
        <w:pageBreakBefore w:val="0"/>
        <w:widowControl w:val="0"/>
        <w:tabs>
          <w:tab w:val="left" w:pos="3151"/>
          <w:tab w:val="left" w:pos="4934"/>
          <w:tab w:val="left" w:pos="4965"/>
          <w:tab w:val="left" w:pos="8205"/>
        </w:tabs>
        <w:kinsoku/>
        <w:wordWrap/>
        <w:overflowPunct/>
        <w:topLinePunct w:val="0"/>
        <w:autoSpaceDE/>
        <w:autoSpaceDN/>
        <w:bidi w:val="0"/>
        <w:adjustRightInd w:val="0"/>
        <w:snapToGrid w:val="0"/>
        <w:spacing w:line="360" w:lineRule="auto"/>
        <w:ind w:right="0"/>
        <w:jc w:val="left"/>
        <w:textAlignment w:val="auto"/>
        <w:rPr>
          <w:rFonts w:ascii="宋体" w:hAnsi="宋体" w:cs="宋体"/>
          <w:color w:val="auto"/>
          <w:sz w:val="24"/>
          <w:szCs w:val="24"/>
          <w:highlight w:val="none"/>
        </w:rPr>
      </w:pPr>
      <w:r>
        <w:rPr>
          <w:rFonts w:ascii="宋体" w:hAnsi="宋体" w:cs="宋体"/>
          <w:color w:val="auto"/>
          <w:sz w:val="24"/>
          <w:szCs w:val="24"/>
          <w:highlight w:val="none"/>
        </w:rPr>
        <w:t>委托人</w:t>
      </w:r>
      <w:r>
        <w:rPr>
          <w:rFonts w:ascii="宋体" w:hAnsi="宋体" w:cs="宋体"/>
          <w:color w:val="auto"/>
          <w:spacing w:val="-17"/>
          <w:sz w:val="24"/>
          <w:szCs w:val="24"/>
          <w:highlight w:val="none"/>
        </w:rPr>
        <w:t>：</w:t>
      </w:r>
      <w:r>
        <w:rPr>
          <w:rFonts w:ascii="宋体" w:hAnsi="宋体" w:cs="宋体"/>
          <w:color w:val="auto"/>
          <w:spacing w:val="-17"/>
          <w:sz w:val="24"/>
          <w:szCs w:val="24"/>
          <w:highlight w:val="none"/>
          <w:u w:val="single"/>
        </w:rPr>
        <w:t xml:space="preserve"> </w:t>
      </w:r>
      <w:r>
        <w:rPr>
          <w:rFonts w:hint="eastAsia" w:ascii="宋体" w:hAnsi="宋体" w:cs="宋体"/>
          <w:color w:val="auto"/>
          <w:spacing w:val="-17"/>
          <w:sz w:val="24"/>
          <w:szCs w:val="24"/>
          <w:highlight w:val="none"/>
          <w:u w:val="single"/>
          <w:lang w:val="en-US" w:eastAsia="zh-CN"/>
        </w:rPr>
        <w:t xml:space="preserve">                  </w:t>
      </w:r>
      <w:r>
        <w:rPr>
          <w:rFonts w:ascii="宋体" w:hAnsi="宋体" w:cs="宋体"/>
          <w:color w:val="auto"/>
          <w:sz w:val="24"/>
          <w:szCs w:val="24"/>
          <w:highlight w:val="none"/>
        </w:rPr>
        <w:t>（盖章）</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受托人</w:t>
      </w:r>
      <w:r>
        <w:rPr>
          <w:rFonts w:ascii="宋体" w:hAnsi="宋体" w:cs="宋体"/>
          <w:color w:val="auto"/>
          <w:spacing w:val="-17"/>
          <w:sz w:val="24"/>
          <w:szCs w:val="24"/>
          <w:highlight w:val="none"/>
        </w:rPr>
        <w:t>：</w:t>
      </w:r>
      <w:r>
        <w:rPr>
          <w:rFonts w:hint="eastAsia" w:ascii="宋体" w:hAnsi="宋体" w:cs="宋体"/>
          <w:color w:val="auto"/>
          <w:spacing w:val="-17"/>
          <w:sz w:val="24"/>
          <w:szCs w:val="24"/>
          <w:highlight w:val="none"/>
          <w:u w:val="single"/>
          <w:lang w:val="en-US" w:eastAsia="zh-CN"/>
        </w:rPr>
        <w:t xml:space="preserve">                </w:t>
      </w:r>
      <w:r>
        <w:rPr>
          <w:rFonts w:ascii="宋体" w:hAnsi="宋体" w:cs="宋体"/>
          <w:color w:val="auto"/>
          <w:sz w:val="24"/>
          <w:szCs w:val="24"/>
          <w:highlight w:val="none"/>
        </w:rPr>
        <w:t xml:space="preserve">（盖章） </w:t>
      </w:r>
    </w:p>
    <w:p w14:paraId="4805BDB3">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ascii="宋体" w:hAnsi="宋体" w:cs="宋体"/>
          <w:color w:val="auto"/>
          <w:sz w:val="24"/>
          <w:szCs w:val="24"/>
          <w:highlight w:val="none"/>
        </w:rPr>
      </w:pPr>
      <w:r>
        <w:rPr>
          <w:rFonts w:ascii="宋体" w:hAnsi="宋体" w:cs="宋体"/>
          <w:color w:val="auto"/>
          <w:sz w:val="24"/>
          <w:szCs w:val="24"/>
          <w:highlight w:val="none"/>
        </w:rPr>
        <w:t>法定代表人                         法定代表人</w:t>
      </w:r>
    </w:p>
    <w:p w14:paraId="1264B424">
      <w:pPr>
        <w:keepNext w:val="0"/>
        <w:keepLines w:val="0"/>
        <w:pageBreakBefore w:val="0"/>
        <w:widowControl w:val="0"/>
        <w:tabs>
          <w:tab w:val="left" w:pos="3151"/>
          <w:tab w:val="left" w:pos="4934"/>
          <w:tab w:val="left" w:pos="5174"/>
          <w:tab w:val="left" w:pos="7781"/>
        </w:tabs>
        <w:kinsoku/>
        <w:wordWrap/>
        <w:overflowPunct/>
        <w:topLinePunct w:val="0"/>
        <w:autoSpaceDE/>
        <w:autoSpaceDN/>
        <w:bidi w:val="0"/>
        <w:adjustRightInd w:val="0"/>
        <w:snapToGrid w:val="0"/>
        <w:spacing w:line="360" w:lineRule="auto"/>
        <w:ind w:right="0"/>
        <w:textAlignment w:val="auto"/>
        <w:rPr>
          <w:rFonts w:ascii="宋体" w:hAnsi="宋体" w:cs="宋体"/>
          <w:color w:val="auto"/>
          <w:sz w:val="24"/>
          <w:szCs w:val="24"/>
          <w:highlight w:val="none"/>
        </w:rPr>
      </w:pPr>
      <w:r>
        <w:rPr>
          <w:rFonts w:ascii="宋体" w:hAnsi="宋体" w:cs="宋体"/>
          <w:color w:val="auto"/>
          <w:sz w:val="24"/>
          <w:szCs w:val="24"/>
          <w:highlight w:val="none"/>
        </w:rPr>
        <w:t>或其委托代理人</w:t>
      </w:r>
      <w:r>
        <w:rPr>
          <w:rFonts w:ascii="宋体" w:hAnsi="宋体" w:cs="宋体"/>
          <w:color w:val="auto"/>
          <w:spacing w:val="-17"/>
          <w:sz w:val="24"/>
          <w:szCs w:val="24"/>
          <w:highlight w:val="none"/>
        </w:rPr>
        <w:t>：</w:t>
      </w:r>
      <w:r>
        <w:rPr>
          <w:rFonts w:ascii="宋体" w:hAnsi="宋体" w:cs="宋体"/>
          <w:color w:val="auto"/>
          <w:spacing w:val="-17"/>
          <w:sz w:val="24"/>
          <w:szCs w:val="24"/>
          <w:highlight w:val="none"/>
          <w:u w:val="single"/>
        </w:rPr>
        <w:t xml:space="preserve">       </w:t>
      </w:r>
      <w:r>
        <w:rPr>
          <w:rFonts w:ascii="宋体" w:hAnsi="宋体" w:cs="宋体"/>
          <w:i/>
          <w:color w:val="auto"/>
          <w:sz w:val="24"/>
          <w:szCs w:val="24"/>
          <w:highlight w:val="none"/>
        </w:rPr>
        <w:t>（</w:t>
      </w:r>
      <w:r>
        <w:rPr>
          <w:rFonts w:ascii="宋体" w:hAnsi="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ascii="宋体" w:hAnsi="宋体" w:cs="宋体"/>
          <w:color w:val="auto"/>
          <w:sz w:val="24"/>
          <w:szCs w:val="24"/>
          <w:highlight w:val="none"/>
        </w:rPr>
        <w:t>）或其委托代理人</w:t>
      </w:r>
      <w:r>
        <w:rPr>
          <w:rFonts w:ascii="宋体" w:hAnsi="宋体" w:cs="宋体"/>
          <w:color w:val="auto"/>
          <w:spacing w:val="-16"/>
          <w:sz w:val="24"/>
          <w:szCs w:val="24"/>
          <w:highlight w:val="none"/>
        </w:rPr>
        <w:t>：</w:t>
      </w:r>
      <w:r>
        <w:rPr>
          <w:rFonts w:ascii="宋体" w:hAnsi="宋体" w:cs="宋体"/>
          <w:color w:val="auto"/>
          <w:spacing w:val="-1"/>
          <w:sz w:val="24"/>
          <w:szCs w:val="24"/>
          <w:highlight w:val="none"/>
          <w:u w:val="single"/>
        </w:rPr>
        <w:t xml:space="preserve">    </w:t>
      </w:r>
      <w:r>
        <w:rPr>
          <w:rFonts w:ascii="宋体" w:hAnsi="宋体" w:cs="宋体"/>
          <w:i/>
          <w:color w:val="auto"/>
          <w:sz w:val="24"/>
          <w:szCs w:val="24"/>
          <w:highlight w:val="none"/>
        </w:rPr>
        <w:t>（</w:t>
      </w:r>
      <w:r>
        <w:rPr>
          <w:rFonts w:ascii="宋体" w:hAnsi="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ascii="宋体" w:hAnsi="宋体" w:cs="宋体"/>
          <w:color w:val="auto"/>
          <w:sz w:val="24"/>
          <w:szCs w:val="24"/>
          <w:highlight w:val="none"/>
        </w:rPr>
        <w:t>）</w:t>
      </w:r>
    </w:p>
    <w:p w14:paraId="083B9D66">
      <w:pPr>
        <w:keepNext w:val="0"/>
        <w:keepLines w:val="0"/>
        <w:pageBreakBefore w:val="0"/>
        <w:widowControl w:val="0"/>
        <w:tabs>
          <w:tab w:val="left" w:pos="1920"/>
          <w:tab w:val="left" w:pos="2130"/>
          <w:tab w:val="left" w:pos="2760"/>
          <w:tab w:val="left" w:pos="5945"/>
          <w:tab w:val="left" w:pos="7025"/>
          <w:tab w:val="left" w:pos="7865"/>
          <w:tab w:val="left" w:pos="8705"/>
        </w:tabs>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single"/>
        </w:rPr>
        <w:tab/>
      </w:r>
      <w:r>
        <w:rPr>
          <w:rFonts w:ascii="宋体" w:hAnsi="宋体" w:cs="宋体"/>
          <w:color w:val="auto"/>
          <w:sz w:val="24"/>
          <w:szCs w:val="24"/>
          <w:highlight w:val="none"/>
        </w:rPr>
        <w:t>日</w:t>
      </w:r>
    </w:p>
    <w:p w14:paraId="15005B4D">
      <w:pPr>
        <w:rPr>
          <w:rFonts w:hint="eastAsia" w:ascii="宋体" w:hAnsi="宋体" w:eastAsia="宋体" w:cs="宋体"/>
          <w:b/>
          <w:bCs/>
          <w:color w:val="auto"/>
          <w:sz w:val="36"/>
          <w:szCs w:val="36"/>
          <w:highlight w:val="none"/>
        </w:rPr>
      </w:pPr>
      <w:r>
        <w:rPr>
          <w:rFonts w:ascii="宋体" w:hAnsi="宋体" w:cs="宋体"/>
          <w:color w:val="auto"/>
          <w:sz w:val="24"/>
          <w:szCs w:val="24"/>
          <w:highlight w:val="none"/>
        </w:rPr>
        <w:br w:type="page"/>
      </w:r>
    </w:p>
    <w:bookmarkEnd w:id="109"/>
    <w:bookmarkEnd w:id="110"/>
    <w:p w14:paraId="19F09E65">
      <w:pPr>
        <w:keepNext w:val="0"/>
        <w:keepLines w:val="0"/>
        <w:pageBreakBefore w:val="0"/>
        <w:spacing w:line="360" w:lineRule="auto"/>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第六部分  投标文件组成</w:t>
      </w:r>
    </w:p>
    <w:p w14:paraId="53240AFF">
      <w:pPr>
        <w:adjustRightInd w:val="0"/>
        <w:snapToGrid w:val="0"/>
        <w:spacing w:line="360" w:lineRule="auto"/>
        <w:ind w:firstLine="482" w:firstLineChars="200"/>
        <w:jc w:val="left"/>
        <w:rPr>
          <w:rFonts w:ascii="宋体" w:hAnsi="宋体"/>
          <w:b/>
          <w:color w:val="auto"/>
          <w:sz w:val="24"/>
          <w:highlight w:val="none"/>
        </w:rPr>
      </w:pPr>
      <w:r>
        <w:rPr>
          <w:rFonts w:ascii="宋体" w:hAnsi="宋体"/>
          <w:b/>
          <w:color w:val="auto"/>
          <w:sz w:val="24"/>
          <w:highlight w:val="none"/>
        </w:rPr>
        <w:t>投标文件由资格审查证明材料、商务技术标、价格标</w:t>
      </w:r>
      <w:r>
        <w:rPr>
          <w:rFonts w:hint="eastAsia" w:ascii="宋体" w:hAnsi="宋体"/>
          <w:b/>
          <w:color w:val="auto"/>
          <w:sz w:val="24"/>
          <w:highlight w:val="none"/>
          <w:lang w:eastAsia="zh-CN"/>
        </w:rPr>
        <w:t>、</w:t>
      </w:r>
      <w:r>
        <w:rPr>
          <w:rFonts w:hint="eastAsia" w:ascii="宋体" w:hAnsi="宋体"/>
          <w:b/>
          <w:color w:val="auto"/>
          <w:sz w:val="24"/>
          <w:highlight w:val="none"/>
        </w:rPr>
        <w:t>电子投标文件</w:t>
      </w:r>
      <w:r>
        <w:rPr>
          <w:rFonts w:hint="eastAsia" w:ascii="宋体" w:hAnsi="宋体"/>
          <w:b/>
          <w:color w:val="auto"/>
          <w:sz w:val="24"/>
          <w:highlight w:val="none"/>
          <w:lang w:val="en-US" w:eastAsia="zh-CN"/>
        </w:rPr>
        <w:t>四</w:t>
      </w:r>
      <w:r>
        <w:rPr>
          <w:rFonts w:ascii="宋体" w:hAnsi="宋体"/>
          <w:b/>
          <w:color w:val="auto"/>
          <w:sz w:val="24"/>
          <w:highlight w:val="none"/>
        </w:rPr>
        <w:t>部分组成。</w:t>
      </w:r>
    </w:p>
    <w:p w14:paraId="2226CFDC">
      <w:pPr>
        <w:adjustRightInd w:val="0"/>
        <w:snapToGrid w:val="0"/>
        <w:spacing w:line="360" w:lineRule="auto"/>
        <w:ind w:firstLine="482" w:firstLineChars="200"/>
        <w:rPr>
          <w:rFonts w:ascii="宋体" w:hAnsi="宋体"/>
          <w:b/>
          <w:bCs/>
          <w:color w:val="auto"/>
          <w:kern w:val="0"/>
          <w:sz w:val="24"/>
          <w:highlight w:val="none"/>
          <w:lang w:val="zh-CN"/>
        </w:rPr>
      </w:pPr>
      <w:r>
        <w:rPr>
          <w:rFonts w:ascii="宋体" w:hAnsi="宋体"/>
          <w:b/>
          <w:bCs/>
          <w:color w:val="auto"/>
          <w:kern w:val="0"/>
          <w:sz w:val="24"/>
          <w:highlight w:val="none"/>
          <w:lang w:val="zh-CN"/>
        </w:rPr>
        <w:t>一、资格审查证明材料（</w:t>
      </w:r>
      <w:r>
        <w:rPr>
          <w:rFonts w:hint="eastAsia" w:ascii="宋体" w:hAnsi="宋体" w:cs="宋体"/>
          <w:b/>
          <w:bCs/>
          <w:color w:val="auto"/>
          <w:sz w:val="24"/>
          <w:highlight w:val="none"/>
        </w:rPr>
        <w:t>单独装订密封，</w:t>
      </w:r>
      <w:r>
        <w:rPr>
          <w:rFonts w:ascii="宋体" w:hAnsi="宋体"/>
          <w:b/>
          <w:bCs/>
          <w:color w:val="auto"/>
          <w:kern w:val="0"/>
          <w:sz w:val="24"/>
          <w:highlight w:val="none"/>
          <w:lang w:val="zh-CN"/>
        </w:rPr>
        <w:t>不能出现价格标</w:t>
      </w:r>
      <w:r>
        <w:rPr>
          <w:rFonts w:hint="eastAsia" w:ascii="宋体" w:hAnsi="宋体"/>
          <w:b/>
          <w:bCs/>
          <w:color w:val="auto"/>
          <w:kern w:val="0"/>
          <w:sz w:val="24"/>
          <w:highlight w:val="none"/>
          <w:lang w:val="zh-CN"/>
        </w:rPr>
        <w:t>。</w:t>
      </w:r>
      <w:r>
        <w:rPr>
          <w:rFonts w:ascii="宋体" w:hAnsi="宋体"/>
          <w:b/>
          <w:bCs/>
          <w:color w:val="auto"/>
          <w:kern w:val="0"/>
          <w:sz w:val="24"/>
          <w:highlight w:val="none"/>
          <w:lang w:val="zh-CN"/>
        </w:rPr>
        <w:t>）</w:t>
      </w:r>
    </w:p>
    <w:p w14:paraId="44C175B5">
      <w:pPr>
        <w:adjustRightInd w:val="0"/>
        <w:snapToGrid w:val="0"/>
        <w:spacing w:line="360" w:lineRule="auto"/>
        <w:ind w:firstLine="480" w:firstLineChars="200"/>
        <w:rPr>
          <w:rFonts w:ascii="宋体" w:hAnsi="宋体"/>
          <w:color w:val="auto"/>
          <w:kern w:val="0"/>
          <w:sz w:val="24"/>
          <w:highlight w:val="none"/>
          <w:lang w:val="zh-CN"/>
        </w:rPr>
      </w:pPr>
      <w:r>
        <w:rPr>
          <w:rFonts w:ascii="宋体" w:hAnsi="宋体"/>
          <w:color w:val="auto"/>
          <w:kern w:val="0"/>
          <w:sz w:val="24"/>
          <w:highlight w:val="none"/>
          <w:lang w:val="zh-CN"/>
        </w:rPr>
        <w:t>1</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投标人符合《中华人民共和国政府采购法》第二</w:t>
      </w:r>
      <w:r>
        <w:rPr>
          <w:rFonts w:hint="eastAsia" w:ascii="宋体" w:hAnsi="宋体" w:cs="宋体"/>
          <w:color w:val="auto"/>
          <w:kern w:val="0"/>
          <w:sz w:val="24"/>
          <w:highlight w:val="none"/>
          <w:lang w:val="zh-CN"/>
        </w:rPr>
        <w:t>十二条规定条件的声明函（格式见附件）；</w:t>
      </w:r>
    </w:p>
    <w:p w14:paraId="1FA0B6A2">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olor w:val="auto"/>
          <w:sz w:val="24"/>
          <w:highlight w:val="none"/>
        </w:rPr>
        <w:t>2.提供法定代表人身份证明</w:t>
      </w:r>
      <w:r>
        <w:rPr>
          <w:rFonts w:hint="eastAsia" w:ascii="宋体" w:hAnsi="宋体" w:cs="宋体"/>
          <w:color w:val="auto"/>
          <w:kern w:val="0"/>
          <w:sz w:val="24"/>
          <w:highlight w:val="none"/>
        </w:rPr>
        <w:t>原件</w:t>
      </w:r>
      <w:r>
        <w:rPr>
          <w:rFonts w:hint="eastAsia" w:ascii="宋体" w:hAnsi="宋体" w:cs="宋体"/>
          <w:color w:val="auto"/>
          <w:kern w:val="0"/>
          <w:sz w:val="24"/>
          <w:highlight w:val="none"/>
          <w:lang w:val="zh-CN"/>
        </w:rPr>
        <w:t>（格式见附件）；</w:t>
      </w:r>
    </w:p>
    <w:p w14:paraId="5F13B039">
      <w:pPr>
        <w:adjustRightInd w:val="0"/>
        <w:snapToGrid w:val="0"/>
        <w:spacing w:line="360" w:lineRule="auto"/>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zh-CN"/>
        </w:rPr>
        <w:t>法定代表人授权委托书原件，投标代表本人身份证复印件（格式见附件）；</w:t>
      </w:r>
    </w:p>
    <w:p w14:paraId="4A3EC30A">
      <w:pPr>
        <w:adjustRightInd w:val="0"/>
        <w:snapToGri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按</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lang w:val="zh-CN"/>
        </w:rPr>
        <w:t>公告资格要求提供相应的佐证材料（以下佐证材料须提供复印件（或扫描件）并加盖投标</w:t>
      </w:r>
      <w:r>
        <w:rPr>
          <w:rFonts w:hint="eastAsia" w:ascii="宋体" w:hAnsi="宋体" w:cs="宋体"/>
          <w:color w:val="auto"/>
          <w:kern w:val="0"/>
          <w:sz w:val="24"/>
          <w:szCs w:val="24"/>
          <w:highlight w:val="none"/>
          <w:lang w:val="en-US" w:eastAsia="zh-CN"/>
        </w:rPr>
        <w:t>人</w:t>
      </w:r>
      <w:r>
        <w:rPr>
          <w:rFonts w:hint="eastAsia" w:ascii="宋体" w:hAnsi="宋体" w:cs="宋体"/>
          <w:color w:val="auto"/>
          <w:kern w:val="0"/>
          <w:sz w:val="24"/>
          <w:szCs w:val="24"/>
          <w:highlight w:val="none"/>
          <w:lang w:val="zh-CN"/>
        </w:rPr>
        <w:t>公章）：</w:t>
      </w:r>
    </w:p>
    <w:p w14:paraId="1230F454">
      <w:pPr>
        <w:adjustRightInd w:val="0"/>
        <w:snapToGrid w:val="0"/>
        <w:spacing w:line="360" w:lineRule="auto"/>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sz w:val="24"/>
          <w:szCs w:val="21"/>
          <w:highlight w:val="none"/>
          <w:lang w:val="en-US" w:eastAsia="zh-CN"/>
        </w:rPr>
        <w:t>（1）</w:t>
      </w:r>
      <w:r>
        <w:rPr>
          <w:rFonts w:hint="eastAsia" w:ascii="宋体" w:hAnsi="宋体" w:eastAsia="宋体" w:cs="宋体"/>
          <w:color w:val="auto"/>
          <w:sz w:val="24"/>
          <w:szCs w:val="21"/>
          <w:highlight w:val="none"/>
          <w:lang w:val="en-US" w:eastAsia="zh-CN"/>
        </w:rPr>
        <w:t>提供法人或者其他组织的营业执照等证明文件，自然人的身份证明</w:t>
      </w:r>
      <w:r>
        <w:rPr>
          <w:rFonts w:hint="eastAsia" w:ascii="宋体" w:hAnsi="宋体" w:cs="宋体"/>
          <w:color w:val="auto"/>
          <w:kern w:val="0"/>
          <w:sz w:val="24"/>
          <w:szCs w:val="24"/>
          <w:highlight w:val="none"/>
          <w:lang w:val="zh-CN"/>
        </w:rPr>
        <w:t>；</w:t>
      </w:r>
    </w:p>
    <w:p w14:paraId="4DA123E2">
      <w:pPr>
        <w:adjustRightInd w:val="0"/>
        <w:snapToGrid w:val="0"/>
        <w:spacing w:line="360" w:lineRule="auto"/>
        <w:ind w:firstLine="480" w:firstLineChars="200"/>
        <w:rPr>
          <w:rFonts w:ascii="宋体" w:hAnsi="宋体"/>
          <w:color w:val="auto"/>
          <w:kern w:val="0"/>
          <w:sz w:val="24"/>
          <w:highlight w:val="none"/>
          <w:lang w:val="zh-CN"/>
        </w:rPr>
      </w:pPr>
      <w:r>
        <w:rPr>
          <w:rFonts w:hint="eastAsia" w:ascii="宋体" w:hAnsi="宋体"/>
          <w:color w:val="auto"/>
          <w:kern w:val="0"/>
          <w:sz w:val="24"/>
          <w:highlight w:val="none"/>
          <w:lang w:val="zh-CN"/>
        </w:rPr>
        <w:t>5</w:t>
      </w:r>
      <w:r>
        <w:rPr>
          <w:rFonts w:ascii="宋体" w:hAnsi="宋体"/>
          <w:color w:val="auto"/>
          <w:kern w:val="0"/>
          <w:sz w:val="24"/>
          <w:highlight w:val="none"/>
          <w:lang w:val="zh-CN"/>
        </w:rPr>
        <w:t>.</w:t>
      </w:r>
      <w:r>
        <w:rPr>
          <w:rFonts w:hint="eastAsia" w:ascii="宋体" w:hAnsi="宋体"/>
          <w:color w:val="auto"/>
          <w:kern w:val="0"/>
          <w:sz w:val="24"/>
          <w:highlight w:val="none"/>
          <w:lang w:val="zh-CN"/>
        </w:rPr>
        <w:t>其他</w:t>
      </w:r>
      <w:r>
        <w:rPr>
          <w:rFonts w:ascii="宋体" w:hAnsi="宋体"/>
          <w:color w:val="auto"/>
          <w:kern w:val="0"/>
          <w:sz w:val="24"/>
          <w:highlight w:val="none"/>
          <w:lang w:val="zh-CN"/>
        </w:rPr>
        <w:t>需要提交的资格审查证明材料。</w:t>
      </w:r>
    </w:p>
    <w:p w14:paraId="4BB92EB9">
      <w:pPr>
        <w:adjustRightInd w:val="0"/>
        <w:snapToGrid w:val="0"/>
        <w:spacing w:line="360" w:lineRule="auto"/>
        <w:ind w:firstLine="482" w:firstLineChars="200"/>
        <w:rPr>
          <w:rFonts w:ascii="宋体" w:hAnsi="宋体"/>
          <w:b/>
          <w:bCs/>
          <w:color w:val="auto"/>
          <w:kern w:val="0"/>
          <w:sz w:val="24"/>
          <w:highlight w:val="none"/>
          <w:lang w:val="zh-CN"/>
        </w:rPr>
      </w:pPr>
      <w:r>
        <w:rPr>
          <w:rFonts w:ascii="宋体" w:hAnsi="宋体"/>
          <w:b/>
          <w:bCs/>
          <w:color w:val="auto"/>
          <w:kern w:val="0"/>
          <w:sz w:val="24"/>
          <w:highlight w:val="none"/>
          <w:lang w:val="zh-CN"/>
        </w:rPr>
        <w:t>二、商务技术标（</w:t>
      </w:r>
      <w:r>
        <w:rPr>
          <w:rFonts w:hint="eastAsia" w:ascii="宋体" w:hAnsi="宋体" w:cs="宋体"/>
          <w:b/>
          <w:bCs/>
          <w:color w:val="auto"/>
          <w:sz w:val="24"/>
          <w:highlight w:val="none"/>
        </w:rPr>
        <w:t>单独装订密封，</w:t>
      </w:r>
      <w:r>
        <w:rPr>
          <w:rFonts w:ascii="宋体" w:hAnsi="宋体"/>
          <w:b/>
          <w:bCs/>
          <w:color w:val="auto"/>
          <w:kern w:val="0"/>
          <w:sz w:val="24"/>
          <w:highlight w:val="none"/>
          <w:lang w:val="zh-CN"/>
        </w:rPr>
        <w:t>不能出现价格标）</w:t>
      </w:r>
    </w:p>
    <w:p w14:paraId="686E372A">
      <w:pPr>
        <w:adjustRightInd w:val="0"/>
        <w:snapToGrid w:val="0"/>
        <w:spacing w:line="360" w:lineRule="auto"/>
        <w:ind w:firstLine="480" w:firstLineChars="200"/>
        <w:rPr>
          <w:rFonts w:ascii="宋体" w:hAnsi="宋体"/>
          <w:bCs/>
          <w:color w:val="auto"/>
          <w:kern w:val="0"/>
          <w:sz w:val="24"/>
          <w:highlight w:val="none"/>
          <w:lang w:val="zh-CN"/>
        </w:rPr>
      </w:pPr>
      <w:r>
        <w:rPr>
          <w:rFonts w:ascii="宋体" w:hAnsi="宋体"/>
          <w:bCs/>
          <w:color w:val="auto"/>
          <w:kern w:val="0"/>
          <w:sz w:val="24"/>
          <w:highlight w:val="none"/>
          <w:lang w:val="zh-CN"/>
        </w:rPr>
        <w:t>1.</w:t>
      </w:r>
      <w:r>
        <w:rPr>
          <w:rFonts w:hint="eastAsia" w:ascii="宋体" w:hAnsi="宋体"/>
          <w:bCs/>
          <w:color w:val="auto"/>
          <w:kern w:val="0"/>
          <w:sz w:val="24"/>
          <w:highlight w:val="none"/>
          <w:lang w:val="zh-CN"/>
        </w:rPr>
        <w:t>投标人</w:t>
      </w:r>
      <w:r>
        <w:rPr>
          <w:rFonts w:ascii="宋体" w:hAnsi="宋体"/>
          <w:bCs/>
          <w:color w:val="auto"/>
          <w:kern w:val="0"/>
          <w:sz w:val="24"/>
          <w:highlight w:val="none"/>
          <w:lang w:val="zh-CN"/>
        </w:rPr>
        <w:t>情况一览表；（格式见附件）</w:t>
      </w:r>
    </w:p>
    <w:p w14:paraId="2846A74A">
      <w:pPr>
        <w:adjustRightInd w:val="0"/>
        <w:snapToGrid w:val="0"/>
        <w:spacing w:line="360" w:lineRule="auto"/>
        <w:ind w:firstLine="480" w:firstLineChars="200"/>
        <w:rPr>
          <w:rFonts w:ascii="宋体" w:hAnsi="宋体"/>
          <w:bCs/>
          <w:color w:val="auto"/>
          <w:kern w:val="0"/>
          <w:sz w:val="24"/>
          <w:highlight w:val="none"/>
          <w:lang w:val="zh-CN"/>
        </w:rPr>
      </w:pPr>
      <w:r>
        <w:rPr>
          <w:rFonts w:hint="eastAsia" w:ascii="宋体" w:hAnsi="宋体"/>
          <w:bCs/>
          <w:color w:val="auto"/>
          <w:kern w:val="0"/>
          <w:sz w:val="24"/>
          <w:highlight w:val="none"/>
          <w:lang w:val="en-US" w:eastAsia="zh-CN"/>
        </w:rPr>
        <w:t>2</w:t>
      </w:r>
      <w:r>
        <w:rPr>
          <w:rFonts w:ascii="宋体" w:hAnsi="宋体"/>
          <w:bCs/>
          <w:color w:val="auto"/>
          <w:kern w:val="0"/>
          <w:sz w:val="24"/>
          <w:highlight w:val="none"/>
          <w:lang w:val="zh-CN"/>
        </w:rPr>
        <w:t>.</w:t>
      </w:r>
      <w:r>
        <w:rPr>
          <w:rFonts w:hint="eastAsia" w:ascii="宋体" w:hAnsi="宋体"/>
          <w:bCs/>
          <w:color w:val="auto"/>
          <w:kern w:val="0"/>
          <w:sz w:val="24"/>
          <w:highlight w:val="none"/>
          <w:lang w:val="zh-CN"/>
        </w:rPr>
        <w:t>评标办法中所涉及的事项需提供的所有资料；</w:t>
      </w:r>
    </w:p>
    <w:p w14:paraId="7ADB7536">
      <w:pPr>
        <w:adjustRightInd w:val="0"/>
        <w:snapToGrid w:val="0"/>
        <w:spacing w:line="360" w:lineRule="auto"/>
        <w:ind w:firstLine="480" w:firstLineChars="200"/>
        <w:rPr>
          <w:rFonts w:ascii="宋体" w:hAnsi="宋体"/>
          <w:bCs/>
          <w:color w:val="auto"/>
          <w:kern w:val="0"/>
          <w:sz w:val="24"/>
          <w:highlight w:val="none"/>
          <w:lang w:val="zh-CN"/>
        </w:rPr>
      </w:pPr>
      <w:r>
        <w:rPr>
          <w:rFonts w:hint="eastAsia" w:ascii="宋体" w:hAnsi="宋体"/>
          <w:bCs/>
          <w:color w:val="auto"/>
          <w:kern w:val="0"/>
          <w:sz w:val="24"/>
          <w:highlight w:val="none"/>
          <w:lang w:val="en-US" w:eastAsia="zh-CN"/>
        </w:rPr>
        <w:t>3</w:t>
      </w:r>
      <w:r>
        <w:rPr>
          <w:rFonts w:ascii="宋体" w:hAnsi="宋体"/>
          <w:bCs/>
          <w:color w:val="auto"/>
          <w:kern w:val="0"/>
          <w:sz w:val="24"/>
          <w:highlight w:val="none"/>
          <w:lang w:val="zh-CN"/>
        </w:rPr>
        <w:t>.</w:t>
      </w:r>
      <w:r>
        <w:rPr>
          <w:rFonts w:hint="eastAsia" w:ascii="宋体" w:hAnsi="宋体"/>
          <w:bCs/>
          <w:color w:val="auto"/>
          <w:kern w:val="0"/>
          <w:sz w:val="24"/>
          <w:highlight w:val="none"/>
          <w:lang w:val="zh-CN"/>
        </w:rPr>
        <w:t>评标办法中未涉及的事项，投标人认为需要提交的其他资料；</w:t>
      </w:r>
    </w:p>
    <w:p w14:paraId="2258509A">
      <w:pPr>
        <w:adjustRightInd w:val="0"/>
        <w:snapToGrid w:val="0"/>
        <w:spacing w:line="360" w:lineRule="auto"/>
        <w:ind w:firstLine="480" w:firstLineChars="200"/>
        <w:rPr>
          <w:rFonts w:ascii="宋体" w:hAnsi="宋体"/>
          <w:color w:val="auto"/>
          <w:kern w:val="0"/>
          <w:sz w:val="24"/>
          <w:highlight w:val="none"/>
          <w:lang w:val="zh-CN"/>
        </w:rPr>
      </w:pPr>
      <w:r>
        <w:rPr>
          <w:rFonts w:hint="eastAsia" w:ascii="宋体" w:hAnsi="宋体"/>
          <w:color w:val="auto"/>
          <w:kern w:val="0"/>
          <w:sz w:val="24"/>
          <w:highlight w:val="none"/>
          <w:lang w:val="en-US" w:eastAsia="zh-CN"/>
        </w:rPr>
        <w:t>4</w:t>
      </w:r>
      <w:r>
        <w:rPr>
          <w:rFonts w:ascii="宋体" w:hAnsi="宋体"/>
          <w:color w:val="auto"/>
          <w:kern w:val="0"/>
          <w:sz w:val="24"/>
          <w:highlight w:val="none"/>
          <w:lang w:val="zh-CN"/>
        </w:rPr>
        <w:t>.招标文件中要求提供的其他材料。</w:t>
      </w:r>
    </w:p>
    <w:p w14:paraId="5810EEFA">
      <w:pPr>
        <w:adjustRightInd w:val="0"/>
        <w:snapToGrid w:val="0"/>
        <w:spacing w:line="360" w:lineRule="auto"/>
        <w:ind w:firstLine="480" w:firstLineChars="200"/>
        <w:rPr>
          <w:rFonts w:ascii="宋体" w:hAnsi="宋体"/>
          <w:color w:val="auto"/>
          <w:kern w:val="0"/>
          <w:sz w:val="24"/>
          <w:highlight w:val="none"/>
          <w:lang w:val="zh-CN"/>
        </w:rPr>
      </w:pPr>
      <w:r>
        <w:rPr>
          <w:rFonts w:ascii="宋体" w:hAnsi="宋体"/>
          <w:color w:val="auto"/>
          <w:kern w:val="0"/>
          <w:sz w:val="24"/>
          <w:highlight w:val="none"/>
          <w:lang w:val="zh-CN"/>
        </w:rPr>
        <w:t>注：以上证明材料如为复印件均需加盖投标单位公章。为方便评委评审，请投标人按评标办法中所涉及的事项顺序进行编制，可以补充相关材料。</w:t>
      </w:r>
    </w:p>
    <w:p w14:paraId="75E34AE4">
      <w:pPr>
        <w:adjustRightInd w:val="0"/>
        <w:snapToGrid w:val="0"/>
        <w:spacing w:line="360" w:lineRule="auto"/>
        <w:ind w:firstLine="482" w:firstLineChars="200"/>
        <w:rPr>
          <w:rFonts w:ascii="宋体" w:hAnsi="宋体"/>
          <w:b/>
          <w:bCs/>
          <w:color w:val="auto"/>
          <w:kern w:val="0"/>
          <w:sz w:val="24"/>
          <w:highlight w:val="none"/>
          <w:lang w:val="zh-CN"/>
        </w:rPr>
      </w:pPr>
      <w:r>
        <w:rPr>
          <w:rFonts w:ascii="宋体" w:hAnsi="宋体"/>
          <w:b/>
          <w:bCs/>
          <w:color w:val="auto"/>
          <w:kern w:val="0"/>
          <w:sz w:val="24"/>
          <w:highlight w:val="none"/>
          <w:lang w:val="zh-CN"/>
        </w:rPr>
        <w:t>三、价格标（</w:t>
      </w:r>
      <w:r>
        <w:rPr>
          <w:rFonts w:hint="eastAsia" w:ascii="宋体" w:hAnsi="宋体" w:cs="宋体"/>
          <w:b/>
          <w:bCs/>
          <w:color w:val="auto"/>
          <w:sz w:val="24"/>
          <w:highlight w:val="none"/>
        </w:rPr>
        <w:t>单独装订密封</w:t>
      </w:r>
      <w:r>
        <w:rPr>
          <w:rFonts w:ascii="宋体" w:hAnsi="宋体"/>
          <w:b/>
          <w:bCs/>
          <w:color w:val="auto"/>
          <w:kern w:val="0"/>
          <w:sz w:val="24"/>
          <w:highlight w:val="none"/>
          <w:lang w:val="zh-CN"/>
        </w:rPr>
        <w:t>）</w:t>
      </w:r>
    </w:p>
    <w:p w14:paraId="0A0389BE">
      <w:pPr>
        <w:adjustRightInd w:val="0"/>
        <w:snapToGrid w:val="0"/>
        <w:spacing w:line="360" w:lineRule="auto"/>
        <w:ind w:firstLine="480" w:firstLineChars="200"/>
        <w:rPr>
          <w:rFonts w:ascii="宋体" w:hAnsi="宋体"/>
          <w:color w:val="auto"/>
          <w:kern w:val="0"/>
          <w:sz w:val="24"/>
          <w:highlight w:val="none"/>
          <w:lang w:val="zh-CN"/>
        </w:rPr>
      </w:pPr>
      <w:r>
        <w:rPr>
          <w:rFonts w:hint="eastAsia" w:ascii="宋体" w:hAnsi="宋体"/>
          <w:color w:val="auto"/>
          <w:kern w:val="0"/>
          <w:sz w:val="24"/>
          <w:highlight w:val="none"/>
          <w:lang w:val="zh-CN"/>
        </w:rPr>
        <w:t>1.</w:t>
      </w:r>
      <w:r>
        <w:rPr>
          <w:rFonts w:ascii="宋体" w:hAnsi="宋体"/>
          <w:color w:val="auto"/>
          <w:kern w:val="0"/>
          <w:sz w:val="24"/>
          <w:highlight w:val="none"/>
          <w:lang w:val="zh-CN"/>
        </w:rPr>
        <w:t>开标一览表（格式见附件）</w:t>
      </w:r>
      <w:r>
        <w:rPr>
          <w:rFonts w:hint="eastAsia" w:ascii="宋体" w:hAnsi="宋体"/>
          <w:color w:val="auto"/>
          <w:kern w:val="0"/>
          <w:sz w:val="24"/>
          <w:highlight w:val="none"/>
          <w:lang w:val="zh-CN"/>
        </w:rPr>
        <w:t>；</w:t>
      </w:r>
    </w:p>
    <w:p w14:paraId="0EEC59E0">
      <w:pPr>
        <w:adjustRightInd w:val="0"/>
        <w:snapToGrid w:val="0"/>
        <w:spacing w:line="360" w:lineRule="auto"/>
        <w:ind w:firstLine="480" w:firstLineChars="200"/>
        <w:rPr>
          <w:rFonts w:ascii="宋体" w:hAnsi="宋体" w:cs="Times New Roman"/>
          <w:color w:val="auto"/>
          <w:kern w:val="0"/>
          <w:sz w:val="24"/>
          <w:highlight w:val="none"/>
          <w:lang w:val="zh-CN"/>
        </w:rPr>
      </w:pPr>
      <w:r>
        <w:rPr>
          <w:rFonts w:hint="eastAsia" w:ascii="宋体" w:hAnsi="宋体"/>
          <w:color w:val="auto"/>
          <w:kern w:val="0"/>
          <w:sz w:val="24"/>
          <w:highlight w:val="none"/>
          <w:lang w:val="zh-CN"/>
        </w:rPr>
        <w:t>2.</w:t>
      </w:r>
      <w:r>
        <w:rPr>
          <w:rFonts w:hint="eastAsia" w:ascii="宋体" w:hAnsi="宋体" w:cs="Times New Roman"/>
          <w:color w:val="auto"/>
          <w:kern w:val="0"/>
          <w:sz w:val="24"/>
          <w:highlight w:val="none"/>
          <w:lang w:val="en-US" w:eastAsia="zh-CN"/>
        </w:rPr>
        <w:t>投标分项报价表</w:t>
      </w:r>
      <w:r>
        <w:rPr>
          <w:rFonts w:ascii="宋体" w:hAnsi="宋体" w:cs="Times New Roman"/>
          <w:color w:val="auto"/>
          <w:kern w:val="0"/>
          <w:sz w:val="24"/>
          <w:highlight w:val="none"/>
          <w:lang w:val="zh-CN"/>
        </w:rPr>
        <w:t>（格式见附件）</w:t>
      </w:r>
      <w:r>
        <w:rPr>
          <w:rFonts w:hint="eastAsia" w:ascii="宋体" w:hAnsi="宋体" w:cs="Times New Roman"/>
          <w:color w:val="auto"/>
          <w:kern w:val="0"/>
          <w:sz w:val="24"/>
          <w:highlight w:val="none"/>
          <w:lang w:val="zh-CN"/>
        </w:rPr>
        <w:t>；</w:t>
      </w:r>
    </w:p>
    <w:p w14:paraId="57638A1C">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3.中小企业声明函</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如符合需提供，</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zh-CN" w:eastAsia="zh-CN"/>
        </w:rPr>
        <w:t>；</w:t>
      </w:r>
    </w:p>
    <w:p w14:paraId="7AA7DA73">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4.监狱企业证明函（如符合监狱企业的需提供，</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w:t>
      </w:r>
    </w:p>
    <w:p w14:paraId="7649BC8E">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5.残疾人福利性单位声明函（如符合残疾人福利性单位的需提供，</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w:t>
      </w:r>
    </w:p>
    <w:p w14:paraId="4876067D">
      <w:pPr>
        <w:adjustRightInd w:val="0"/>
        <w:snapToGrid w:val="0"/>
        <w:spacing w:line="360" w:lineRule="auto"/>
        <w:ind w:firstLine="482" w:firstLineChars="200"/>
        <w:rPr>
          <w:rFonts w:ascii="宋体" w:hAnsi="宋体"/>
          <w:b/>
          <w:bCs/>
          <w:color w:val="auto"/>
          <w:kern w:val="0"/>
          <w:sz w:val="24"/>
          <w:highlight w:val="none"/>
          <w:lang w:val="zh-CN"/>
        </w:rPr>
      </w:pPr>
      <w:r>
        <w:rPr>
          <w:rFonts w:hint="eastAsia" w:ascii="宋体" w:hAnsi="宋体"/>
          <w:b/>
          <w:bCs/>
          <w:color w:val="auto"/>
          <w:kern w:val="0"/>
          <w:sz w:val="24"/>
          <w:highlight w:val="none"/>
          <w:lang w:val="en-US" w:eastAsia="zh-CN"/>
        </w:rPr>
        <w:t>四、</w:t>
      </w:r>
      <w:r>
        <w:rPr>
          <w:rFonts w:hint="eastAsia" w:ascii="宋体" w:hAnsi="宋体"/>
          <w:b/>
          <w:bCs/>
          <w:color w:val="auto"/>
          <w:kern w:val="0"/>
          <w:sz w:val="24"/>
          <w:highlight w:val="none"/>
          <w:lang w:val="zh-CN"/>
        </w:rPr>
        <w:t>电子投标文件</w:t>
      </w:r>
    </w:p>
    <w:p w14:paraId="3680D894">
      <w:pPr>
        <w:tabs>
          <w:tab w:val="left" w:pos="3375"/>
        </w:tabs>
        <w:autoSpaceDE w:val="0"/>
        <w:autoSpaceDN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电子版投标文件（包括</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资格审查证明材料</w:t>
      </w:r>
      <w:r>
        <w:rPr>
          <w:rFonts w:hint="eastAsia" w:ascii="宋体" w:hAnsi="宋体" w:cs="宋体"/>
          <w:color w:val="auto"/>
          <w:sz w:val="24"/>
          <w:highlight w:val="none"/>
          <w:lang w:val="zh-CN"/>
        </w:rPr>
        <w:t>、</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rPr>
        <w:t>商务技术标</w:t>
      </w:r>
      <w:r>
        <w:rPr>
          <w:rFonts w:hint="eastAsia" w:ascii="宋体" w:hAnsi="宋体" w:cs="宋体"/>
          <w:color w:val="auto"/>
          <w:sz w:val="24"/>
          <w:highlight w:val="none"/>
          <w:lang w:val="zh-CN"/>
        </w:rPr>
        <w:t>、③</w:t>
      </w:r>
      <w:r>
        <w:rPr>
          <w:rFonts w:hint="eastAsia" w:ascii="宋体" w:hAnsi="宋体" w:cs="宋体"/>
          <w:color w:val="auto"/>
          <w:sz w:val="24"/>
          <w:highlight w:val="none"/>
        </w:rPr>
        <w:t>价格标</w:t>
      </w:r>
      <w:r>
        <w:rPr>
          <w:rFonts w:hint="eastAsia" w:ascii="宋体" w:hAnsi="宋体" w:cs="宋体"/>
          <w:b/>
          <w:color w:val="auto"/>
          <w:sz w:val="24"/>
          <w:highlight w:val="none"/>
        </w:rPr>
        <w:t>，所有盖章后纸质版投标文件的扫描件内容均存入一份U盘即可）</w:t>
      </w:r>
      <w:r>
        <w:rPr>
          <w:rFonts w:hint="eastAsia" w:ascii="宋体" w:hAnsi="宋体" w:cs="宋体"/>
          <w:color w:val="auto"/>
          <w:sz w:val="24"/>
          <w:highlight w:val="none"/>
        </w:rPr>
        <w:t>。</w:t>
      </w:r>
    </w:p>
    <w:p w14:paraId="7EC1556C">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highlight w:val="none"/>
        </w:rPr>
        <w:t>电子版投标文件不得设置密码并保证无病毒。</w:t>
      </w:r>
    </w:p>
    <w:p w14:paraId="221C004F">
      <w:pPr>
        <w:rPr>
          <w:rFonts w:hint="eastAsia" w:ascii="宋体" w:hAnsi="宋体" w:eastAsia="宋体" w:cs="宋体"/>
          <w:b/>
          <w:bCs/>
          <w:i w:val="0"/>
          <w:iCs w:val="0"/>
          <w:color w:val="auto"/>
          <w:sz w:val="30"/>
          <w:szCs w:val="30"/>
          <w:highlight w:val="none"/>
          <w:u w:val="none"/>
          <w:lang w:val="en-US" w:eastAsia="en-US"/>
        </w:rPr>
      </w:pPr>
      <w:r>
        <w:rPr>
          <w:rFonts w:hint="eastAsia" w:ascii="宋体" w:hAnsi="宋体" w:eastAsia="宋体" w:cs="宋体"/>
          <w:b/>
          <w:bCs/>
          <w:i w:val="0"/>
          <w:iCs w:val="0"/>
          <w:color w:val="auto"/>
          <w:sz w:val="30"/>
          <w:szCs w:val="30"/>
          <w:highlight w:val="none"/>
          <w:u w:val="none"/>
          <w:lang w:val="en-US" w:eastAsia="en-US"/>
        </w:rPr>
        <w:br w:type="page"/>
      </w:r>
    </w:p>
    <w:p w14:paraId="4BDC43FE">
      <w:pPr>
        <w:jc w:val="both"/>
        <w:rPr>
          <w:rFonts w:hint="eastAsia" w:ascii="宋体" w:hAnsi="宋体" w:eastAsia="宋体" w:cs="宋体"/>
          <w:b/>
          <w:bCs/>
          <w:i w:val="0"/>
          <w:iCs w:val="0"/>
          <w:color w:val="auto"/>
          <w:sz w:val="30"/>
          <w:szCs w:val="30"/>
          <w:highlight w:val="none"/>
          <w:u w:val="none"/>
          <w:lang w:val="en-US" w:eastAsia="en-US"/>
        </w:rPr>
      </w:pPr>
      <w:r>
        <w:rPr>
          <w:rFonts w:hint="eastAsia" w:ascii="宋体" w:hAnsi="宋体" w:eastAsia="宋体" w:cs="宋体"/>
          <w:b/>
          <w:bCs/>
          <w:i w:val="0"/>
          <w:iCs w:val="0"/>
          <w:color w:val="auto"/>
          <w:sz w:val="30"/>
          <w:szCs w:val="30"/>
          <w:highlight w:val="none"/>
          <w:u w:val="none"/>
          <w:lang w:val="en-US" w:eastAsia="en-US"/>
        </w:rPr>
        <w:t>格式附件如下：</w:t>
      </w:r>
    </w:p>
    <w:p w14:paraId="5F5EC09A">
      <w:pPr>
        <w:pStyle w:val="17"/>
        <w:rPr>
          <w:rFonts w:hint="eastAsia"/>
          <w:color w:val="auto"/>
          <w:highlight w:val="none"/>
          <w:lang w:val="en-US" w:eastAsia="en-US"/>
        </w:rPr>
      </w:pPr>
    </w:p>
    <w:p w14:paraId="018A07ED">
      <w:pPr>
        <w:ind w:firstLine="480"/>
        <w:jc w:val="center"/>
        <w:rPr>
          <w:rFonts w:ascii="宋体" w:hAnsi="宋体"/>
          <w:b/>
          <w:color w:val="auto"/>
          <w:sz w:val="30"/>
          <w:szCs w:val="30"/>
          <w:highlight w:val="none"/>
        </w:rPr>
      </w:pPr>
      <w:r>
        <w:rPr>
          <w:rFonts w:hint="eastAsia" w:ascii="宋体" w:hAnsi="宋体" w:eastAsia="宋体" w:cs="Times New Roman"/>
          <w:b/>
          <w:color w:val="auto"/>
          <w:sz w:val="30"/>
          <w:szCs w:val="30"/>
          <w:highlight w:val="none"/>
          <w:lang w:val="en-US" w:eastAsia="zh-CN"/>
        </w:rPr>
        <w:t>投标人符合《中华人民共和国政府采购法》第二</w:t>
      </w:r>
      <w:r>
        <w:rPr>
          <w:rFonts w:hint="eastAsia" w:ascii="宋体" w:hAnsi="宋体"/>
          <w:b/>
          <w:color w:val="auto"/>
          <w:sz w:val="30"/>
          <w:szCs w:val="30"/>
          <w:highlight w:val="none"/>
        </w:rPr>
        <w:t>十二条规定条件的声明函</w:t>
      </w:r>
    </w:p>
    <w:p w14:paraId="1896BFA3">
      <w:pPr>
        <w:spacing w:line="460" w:lineRule="exact"/>
        <w:rPr>
          <w:rFonts w:ascii="宋体" w:hAnsi="宋体"/>
          <w:b/>
          <w:bCs/>
          <w:color w:val="auto"/>
          <w:sz w:val="44"/>
          <w:szCs w:val="44"/>
          <w:highlight w:val="none"/>
        </w:rPr>
      </w:pPr>
      <w:r>
        <w:rPr>
          <w:rFonts w:hint="eastAsia" w:ascii="宋体" w:hAnsi="宋体"/>
          <w:b/>
          <w:bCs/>
          <w:color w:val="auto"/>
          <w:sz w:val="24"/>
          <w:szCs w:val="21"/>
          <w:highlight w:val="none"/>
        </w:rPr>
        <w:t xml:space="preserve">                       </w:t>
      </w:r>
      <w:r>
        <w:rPr>
          <w:rFonts w:hint="eastAsia" w:ascii="宋体" w:hAnsi="宋体"/>
          <w:b/>
          <w:bCs/>
          <w:color w:val="auto"/>
          <w:sz w:val="44"/>
          <w:szCs w:val="44"/>
          <w:highlight w:val="none"/>
        </w:rPr>
        <w:t xml:space="preserve">   </w:t>
      </w:r>
    </w:p>
    <w:p w14:paraId="4C95E8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color w:val="auto"/>
          <w:sz w:val="24"/>
          <w:highlight w:val="none"/>
        </w:rPr>
      </w:pPr>
      <w:r>
        <w:rPr>
          <w:rFonts w:hint="eastAsia" w:ascii="宋体" w:hAnsi="宋体"/>
          <w:bCs/>
          <w:color w:val="auto"/>
          <w:sz w:val="24"/>
          <w:highlight w:val="none"/>
        </w:rPr>
        <w:t>我单位参加</w:t>
      </w:r>
      <w:r>
        <w:rPr>
          <w:rFonts w:hint="eastAsia" w:ascii="宋体" w:hAnsi="宋体"/>
          <w:bCs/>
          <w:color w:val="auto"/>
          <w:sz w:val="24"/>
          <w:szCs w:val="21"/>
          <w:highlight w:val="none"/>
        </w:rPr>
        <w:t>________________（项目名称）投标活动。针对《中华人民共和国政府采购法》第二十二条规定做出如下声明：</w:t>
      </w:r>
    </w:p>
    <w:p w14:paraId="695F2922">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2B4BF6B4">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2F1BD020">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45074B80">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37EF21C5">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5.我单位参加政府采购活动前三年内，在经营活动中没有重大违法记录；（1.</w:t>
      </w:r>
      <w:r>
        <w:rPr>
          <w:rFonts w:hint="eastAsia" w:ascii="宋体" w:hAnsi="宋体"/>
          <w:color w:val="auto"/>
          <w:sz w:val="24"/>
          <w:highlight w:val="none"/>
          <w:lang w:eastAsia="zh-CN"/>
        </w:rPr>
        <w:t>投标人</w:t>
      </w:r>
      <w:r>
        <w:rPr>
          <w:rFonts w:hint="eastAsia" w:ascii="宋体" w:hAnsi="宋体"/>
          <w:color w:val="auto"/>
          <w:sz w:val="24"/>
          <w:highlight w:val="none"/>
        </w:rPr>
        <w:t>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F2818BF">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宋体" w:hAnsi="宋体"/>
          <w:color w:val="auto"/>
          <w:sz w:val="24"/>
          <w:highlight w:val="none"/>
        </w:rPr>
      </w:pPr>
      <w:r>
        <w:rPr>
          <w:rFonts w:hint="eastAsia" w:ascii="宋体" w:hAnsi="宋体"/>
          <w:color w:val="auto"/>
          <w:sz w:val="24"/>
          <w:highlight w:val="none"/>
        </w:rPr>
        <w:t>6.我单位满足法律、行政法规规定的其他条件。</w:t>
      </w:r>
    </w:p>
    <w:p w14:paraId="57B98F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bCs/>
          <w:color w:val="auto"/>
          <w:sz w:val="24"/>
          <w:szCs w:val="21"/>
          <w:highlight w:val="none"/>
        </w:rPr>
      </w:pPr>
    </w:p>
    <w:p w14:paraId="1D9323B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Cs/>
          <w:color w:val="auto"/>
          <w:sz w:val="24"/>
          <w:szCs w:val="21"/>
          <w:highlight w:val="none"/>
        </w:rPr>
      </w:pPr>
      <w:r>
        <w:rPr>
          <w:rFonts w:hint="eastAsia" w:ascii="宋体" w:hAnsi="宋体"/>
          <w:bCs/>
          <w:color w:val="auto"/>
          <w:sz w:val="24"/>
          <w:szCs w:val="21"/>
          <w:highlight w:val="none"/>
        </w:rPr>
        <w:t xml:space="preserve">                        承诺人名称（公章）：</w:t>
      </w:r>
    </w:p>
    <w:p w14:paraId="07CEC9A5">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ascii="宋体" w:hAnsi="宋体"/>
          <w:bCs/>
          <w:color w:val="auto"/>
          <w:sz w:val="24"/>
          <w:szCs w:val="21"/>
          <w:highlight w:val="none"/>
        </w:rPr>
      </w:pPr>
      <w:r>
        <w:rPr>
          <w:rFonts w:hint="eastAsia" w:ascii="宋体" w:hAnsi="宋体"/>
          <w:bCs/>
          <w:color w:val="auto"/>
          <w:sz w:val="24"/>
          <w:szCs w:val="21"/>
          <w:highlight w:val="none"/>
        </w:rPr>
        <w:t xml:space="preserve">    </w:t>
      </w:r>
    </w:p>
    <w:p w14:paraId="5E997A7A">
      <w:pPr>
        <w:keepNext w:val="0"/>
        <w:keepLines w:val="0"/>
        <w:pageBreakBefore w:val="0"/>
        <w:widowControl w:val="0"/>
        <w:kinsoku/>
        <w:wordWrap/>
        <w:overflowPunct/>
        <w:topLinePunct w:val="0"/>
        <w:autoSpaceDE/>
        <w:autoSpaceDN/>
        <w:bidi w:val="0"/>
        <w:adjustRightInd w:val="0"/>
        <w:snapToGrid w:val="0"/>
        <w:spacing w:line="360" w:lineRule="auto"/>
        <w:ind w:firstLine="540"/>
        <w:contextualSpacing/>
        <w:textAlignment w:val="auto"/>
        <w:rPr>
          <w:rFonts w:hint="eastAsia" w:ascii="宋体" w:hAnsi="宋体" w:eastAsia="宋体" w:cs="宋体"/>
          <w:b/>
          <w:color w:val="auto"/>
          <w:sz w:val="21"/>
          <w:szCs w:val="21"/>
          <w:highlight w:val="none"/>
          <w:lang w:val="zh-CN"/>
        </w:rPr>
      </w:pPr>
      <w:r>
        <w:rPr>
          <w:rFonts w:hint="eastAsia" w:ascii="宋体" w:hAnsi="宋体"/>
          <w:bCs/>
          <w:color w:val="auto"/>
          <w:sz w:val="24"/>
          <w:szCs w:val="21"/>
          <w:highlight w:val="none"/>
        </w:rPr>
        <w:t xml:space="preserve">                                 日期：</w:t>
      </w:r>
      <w:r>
        <w:rPr>
          <w:rFonts w:hint="eastAsia" w:ascii="宋体" w:hAnsi="宋体"/>
          <w:bCs/>
          <w:color w:val="auto"/>
          <w:sz w:val="24"/>
          <w:szCs w:val="21"/>
          <w:highlight w:val="none"/>
          <w:u w:val="single"/>
        </w:rPr>
        <w:t>______</w:t>
      </w:r>
      <w:r>
        <w:rPr>
          <w:rFonts w:hint="eastAsia" w:ascii="宋体" w:hAnsi="宋体"/>
          <w:bCs/>
          <w:color w:val="auto"/>
          <w:sz w:val="24"/>
          <w:szCs w:val="21"/>
          <w:highlight w:val="none"/>
        </w:rPr>
        <w:t>年</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日</w:t>
      </w:r>
    </w:p>
    <w:p w14:paraId="7335BEAF">
      <w:pPr>
        <w:rPr>
          <w:rFonts w:hint="eastAsia" w:ascii="宋体" w:hAnsi="宋体" w:eastAsia="宋体" w:cs="宋体"/>
          <w:b/>
          <w:bCs/>
          <w:i w:val="0"/>
          <w:iCs w:val="0"/>
          <w:color w:val="auto"/>
          <w:sz w:val="30"/>
          <w:szCs w:val="30"/>
          <w:highlight w:val="none"/>
          <w:u w:val="none"/>
          <w:lang w:val="en-US" w:eastAsia="en-US"/>
        </w:rPr>
      </w:pPr>
      <w:r>
        <w:rPr>
          <w:rFonts w:hint="eastAsia" w:ascii="宋体" w:hAnsi="宋体" w:eastAsia="宋体" w:cs="宋体"/>
          <w:b/>
          <w:bCs/>
          <w:i w:val="0"/>
          <w:iCs w:val="0"/>
          <w:color w:val="auto"/>
          <w:sz w:val="30"/>
          <w:szCs w:val="30"/>
          <w:highlight w:val="none"/>
          <w:u w:val="none"/>
          <w:lang w:val="en-US" w:eastAsia="en-US"/>
        </w:rPr>
        <w:br w:type="page"/>
      </w:r>
    </w:p>
    <w:p w14:paraId="5F6EB1BB">
      <w:pPr>
        <w:adjustRightInd w:val="0"/>
        <w:snapToGrid w:val="0"/>
        <w:spacing w:line="360" w:lineRule="auto"/>
        <w:ind w:firstLine="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64E85FFB">
      <w:pPr>
        <w:adjustRightInd w:val="0"/>
        <w:snapToGrid w:val="0"/>
        <w:spacing w:line="360" w:lineRule="auto"/>
        <w:ind w:firstLine="200"/>
        <w:rPr>
          <w:rFonts w:ascii="宋体" w:hAnsi="宋体" w:cs="宋体"/>
          <w:color w:val="auto"/>
          <w:sz w:val="24"/>
          <w:szCs w:val="24"/>
          <w:highlight w:val="none"/>
        </w:rPr>
      </w:pPr>
    </w:p>
    <w:p w14:paraId="2666AF0C">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先生/女士： 现任我单位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职务，为法定代表人，特此证明。</w:t>
      </w:r>
    </w:p>
    <w:p w14:paraId="607FF0FD">
      <w:pPr>
        <w:adjustRightInd w:val="0"/>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14:paraId="2FBEDFE5">
      <w:pPr>
        <w:adjustRightInd w:val="0"/>
        <w:snapToGrid w:val="0"/>
        <w:spacing w:line="360" w:lineRule="auto"/>
        <w:rPr>
          <w:rFonts w:hint="eastAsia" w:ascii="宋体" w:hAnsi="宋体" w:cs="宋体"/>
          <w:color w:val="auto"/>
          <w:sz w:val="24"/>
          <w:szCs w:val="24"/>
          <w:highlight w:val="none"/>
        </w:rPr>
      </w:pPr>
    </w:p>
    <w:p w14:paraId="4996128E">
      <w:pPr>
        <w:adjustRightInd w:val="0"/>
        <w:snapToGrid w:val="0"/>
        <w:spacing w:line="360" w:lineRule="auto"/>
        <w:rPr>
          <w:rFonts w:ascii="宋体" w:hAnsi="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投标人</w:t>
      </w:r>
      <w:r>
        <w:rPr>
          <w:rFonts w:hint="eastAsia" w:ascii="宋体" w:hAnsi="宋体"/>
          <w:color w:val="auto"/>
          <w:sz w:val="24"/>
          <w:szCs w:val="24"/>
          <w:highlight w:val="none"/>
        </w:rPr>
        <w:t>（盖公章）：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05131A3F">
      <w:pPr>
        <w:adjustRightInd w:val="0"/>
        <w:snapToGrid w:val="0"/>
        <w:spacing w:line="360" w:lineRule="auto"/>
        <w:ind w:firstLine="480" w:firstLineChars="200"/>
        <w:rPr>
          <w:rFonts w:ascii="宋体" w:hAnsi="宋体" w:cs="宋体"/>
          <w:color w:val="auto"/>
          <w:sz w:val="24"/>
          <w:szCs w:val="24"/>
          <w:highlight w:val="none"/>
        </w:rPr>
      </w:pPr>
    </w:p>
    <w:p w14:paraId="308DC1A6">
      <w:pPr>
        <w:spacing w:line="360" w:lineRule="auto"/>
        <w:ind w:firstLine="482"/>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注：提供法定代表人的身份证复印件（或扫描件</w:t>
      </w:r>
      <w:r>
        <w:rPr>
          <w:rFonts w:hint="eastAsia" w:ascii="宋体" w:hAnsi="宋体" w:cs="宋体"/>
          <w:b/>
          <w:color w:val="auto"/>
          <w:kern w:val="0"/>
          <w:sz w:val="24"/>
          <w:szCs w:val="24"/>
          <w:highlight w:val="none"/>
          <w:lang w:eastAsia="zh-CN"/>
        </w:rPr>
        <w:t>）加</w:t>
      </w:r>
      <w:r>
        <w:rPr>
          <w:rFonts w:hint="eastAsia" w:ascii="宋体" w:hAnsi="宋体" w:cs="宋体"/>
          <w:b/>
          <w:color w:val="auto"/>
          <w:kern w:val="0"/>
          <w:sz w:val="24"/>
          <w:szCs w:val="24"/>
          <w:highlight w:val="none"/>
        </w:rPr>
        <w:t>盖公章；</w:t>
      </w:r>
    </w:p>
    <w:p w14:paraId="5C49E7AF">
      <w:pPr>
        <w:rPr>
          <w:rFonts w:hint="eastAsia" w:ascii="宋体" w:hAnsi="宋体" w:eastAsia="宋体" w:cs="宋体"/>
          <w:b/>
          <w:bCs/>
          <w:i w:val="0"/>
          <w:iCs w:val="0"/>
          <w:color w:val="auto"/>
          <w:sz w:val="30"/>
          <w:szCs w:val="30"/>
          <w:highlight w:val="none"/>
          <w:u w:val="none"/>
          <w:lang w:val="en-US" w:eastAsia="en-US"/>
        </w:rPr>
      </w:pPr>
      <w:r>
        <w:rPr>
          <w:rFonts w:hint="eastAsia" w:ascii="宋体" w:hAnsi="宋体" w:eastAsia="宋体" w:cs="宋体"/>
          <w:b/>
          <w:bCs/>
          <w:i w:val="0"/>
          <w:iCs w:val="0"/>
          <w:color w:val="auto"/>
          <w:sz w:val="30"/>
          <w:szCs w:val="30"/>
          <w:highlight w:val="none"/>
          <w:u w:val="none"/>
          <w:lang w:val="en-US" w:eastAsia="en-US"/>
        </w:rPr>
        <w:br w:type="page"/>
      </w:r>
    </w:p>
    <w:p w14:paraId="29F17B9F">
      <w:pPr>
        <w:adjustRightInd w:val="0"/>
        <w:snapToGrid w:val="0"/>
        <w:spacing w:line="360" w:lineRule="auto"/>
        <w:ind w:firstLine="200"/>
        <w:jc w:val="center"/>
        <w:rPr>
          <w:rFonts w:ascii="宋体" w:hAnsi="宋体" w:cs="宋体"/>
          <w:b/>
          <w:color w:val="auto"/>
          <w:sz w:val="30"/>
          <w:szCs w:val="30"/>
          <w:highlight w:val="none"/>
        </w:rPr>
      </w:pPr>
      <w:r>
        <w:rPr>
          <w:rFonts w:hint="eastAsia" w:ascii="宋体" w:hAnsi="宋体" w:cs="宋体"/>
          <w:b/>
          <w:color w:val="auto"/>
          <w:sz w:val="30"/>
          <w:szCs w:val="30"/>
          <w:highlight w:val="none"/>
        </w:rPr>
        <w:t>法定代表人授权委托书</w:t>
      </w:r>
    </w:p>
    <w:p w14:paraId="61D7BCE8">
      <w:pPr>
        <w:adjustRightInd w:val="0"/>
        <w:snapToGrid w:val="0"/>
        <w:spacing w:line="360" w:lineRule="auto"/>
        <w:ind w:firstLine="200"/>
        <w:rPr>
          <w:rFonts w:ascii="宋体" w:hAnsi="宋体" w:cs="宋体"/>
          <w:color w:val="auto"/>
          <w:sz w:val="32"/>
          <w:szCs w:val="32"/>
          <w:highlight w:val="none"/>
        </w:rPr>
      </w:pPr>
    </w:p>
    <w:p w14:paraId="46D2201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（授权单位名称）的法定代表人，现委托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（姓名）（身份证号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）为我方代理人，以我方名义全权处理与本次采购项目（编号：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）有关的一切事务，其法律后果由我方承担。</w:t>
      </w:r>
    </w:p>
    <w:p w14:paraId="09D6212E">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本授权书于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日起生效。代理人无转委托权。</w:t>
      </w:r>
    </w:p>
    <w:p w14:paraId="34A21FFE">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被授权人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274DCE8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授权单位名称（盖章）：</w:t>
      </w:r>
    </w:p>
    <w:p w14:paraId="26A02FE0">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授权单位法定代表人（签字或盖章）：</w:t>
      </w:r>
    </w:p>
    <w:p w14:paraId="503158F0">
      <w:pPr>
        <w:adjustRightInd w:val="0"/>
        <w:snapToGrid w:val="0"/>
        <w:spacing w:line="360" w:lineRule="auto"/>
        <w:ind w:firstLine="200"/>
        <w:jc w:val="right"/>
        <w:rPr>
          <w:rFonts w:ascii="宋体" w:hAnsi="宋体" w:cs="宋体"/>
          <w:color w:val="auto"/>
          <w:sz w:val="24"/>
          <w:szCs w:val="24"/>
          <w:highlight w:val="none"/>
        </w:rPr>
      </w:pPr>
    </w:p>
    <w:p w14:paraId="647D32A0">
      <w:pPr>
        <w:adjustRightInd w:val="0"/>
        <w:snapToGrid w:val="0"/>
        <w:spacing w:line="360" w:lineRule="auto"/>
        <w:ind w:firstLine="200"/>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9850802">
      <w:pPr>
        <w:adjustRightInd w:val="0"/>
        <w:snapToGrid w:val="0"/>
        <w:spacing w:line="360" w:lineRule="auto"/>
        <w:ind w:firstLine="463" w:firstLineChars="192"/>
        <w:rPr>
          <w:rFonts w:ascii="宋体" w:hAnsi="宋体" w:cs="宋体"/>
          <w:b/>
          <w:color w:val="auto"/>
          <w:kern w:val="0"/>
          <w:sz w:val="24"/>
          <w:szCs w:val="24"/>
          <w:highlight w:val="none"/>
        </w:rPr>
      </w:pPr>
    </w:p>
    <w:p w14:paraId="4A714B4F">
      <w:pPr>
        <w:spacing w:line="360" w:lineRule="auto"/>
        <w:ind w:firstLine="463"/>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注：提供投标代表本人身份证复印件（或扫描件</w:t>
      </w:r>
      <w:r>
        <w:rPr>
          <w:rFonts w:hint="eastAsia" w:ascii="宋体" w:hAnsi="宋体" w:cs="宋体"/>
          <w:b/>
          <w:color w:val="auto"/>
          <w:kern w:val="0"/>
          <w:sz w:val="24"/>
          <w:szCs w:val="24"/>
          <w:highlight w:val="none"/>
          <w:lang w:eastAsia="zh-CN"/>
        </w:rPr>
        <w:t>）加</w:t>
      </w:r>
      <w:r>
        <w:rPr>
          <w:rFonts w:hint="eastAsia" w:ascii="宋体" w:hAnsi="宋体" w:cs="宋体"/>
          <w:b/>
          <w:color w:val="auto"/>
          <w:kern w:val="0"/>
          <w:sz w:val="24"/>
          <w:szCs w:val="24"/>
          <w:highlight w:val="none"/>
        </w:rPr>
        <w:t>盖公章；</w:t>
      </w:r>
    </w:p>
    <w:p w14:paraId="4BE03263">
      <w:pPr>
        <w:pStyle w:val="43"/>
        <w:keepNext w:val="0"/>
        <w:keepLines w:val="0"/>
        <w:pageBreakBefore w:val="0"/>
        <w:widowControl/>
        <w:suppressLineNumbers w:val="0"/>
        <w:kinsoku/>
        <w:wordWrap/>
        <w:overflowPunct/>
        <w:topLinePunct w:val="0"/>
        <w:autoSpaceDE/>
        <w:autoSpaceDN/>
        <w:bidi w:val="0"/>
        <w:adjustRightInd w:val="0"/>
        <w:snapToGrid/>
        <w:spacing w:line="360" w:lineRule="auto"/>
        <w:ind w:firstLine="602" w:firstLineChars="200"/>
        <w:textAlignment w:val="auto"/>
        <w:rPr>
          <w:rFonts w:hint="eastAsia" w:ascii="宋体" w:hAnsi="宋体" w:eastAsia="宋体" w:cs="宋体"/>
          <w:i w:val="0"/>
          <w:iCs w:val="0"/>
          <w:color w:val="auto"/>
          <w:sz w:val="21"/>
          <w:szCs w:val="21"/>
          <w:highlight w:val="none"/>
        </w:rPr>
      </w:pPr>
      <w:r>
        <w:rPr>
          <w:rFonts w:hint="eastAsia" w:ascii="宋体" w:hAnsi="宋体"/>
          <w:b/>
          <w:color w:val="auto"/>
          <w:sz w:val="30"/>
          <w:szCs w:val="30"/>
          <w:highlight w:val="none"/>
        </w:rPr>
        <w:br w:type="page"/>
      </w:r>
    </w:p>
    <w:p w14:paraId="1C3CC5BE">
      <w:pPr>
        <w:jc w:val="center"/>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投标人</w:t>
      </w:r>
      <w:r>
        <w:rPr>
          <w:rFonts w:hint="eastAsia" w:ascii="宋体" w:hAnsi="宋体" w:cs="宋体"/>
          <w:b/>
          <w:color w:val="auto"/>
          <w:sz w:val="30"/>
          <w:szCs w:val="30"/>
          <w:highlight w:val="none"/>
        </w:rPr>
        <w:t>情况一览表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61B7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14:paraId="1AC4096F">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7923" w:type="dxa"/>
            <w:gridSpan w:val="10"/>
            <w:tcBorders>
              <w:top w:val="double" w:color="auto" w:sz="4" w:space="0"/>
              <w:right w:val="double" w:color="auto" w:sz="4" w:space="0"/>
            </w:tcBorders>
            <w:noWrap w:val="0"/>
            <w:vAlign w:val="center"/>
          </w:tcPr>
          <w:p w14:paraId="30D2C20F">
            <w:pPr>
              <w:tabs>
                <w:tab w:val="left" w:pos="4320"/>
              </w:tabs>
              <w:adjustRightInd w:val="0"/>
              <w:snapToGrid w:val="0"/>
              <w:rPr>
                <w:rFonts w:ascii="宋体" w:hAnsi="宋体" w:cs="宋体"/>
                <w:color w:val="auto"/>
                <w:sz w:val="24"/>
                <w:szCs w:val="24"/>
                <w:highlight w:val="none"/>
              </w:rPr>
            </w:pPr>
          </w:p>
        </w:tc>
      </w:tr>
      <w:tr w14:paraId="5AAA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14:paraId="3AA7271A">
            <w:pPr>
              <w:tabs>
                <w:tab w:val="left" w:pos="4320"/>
              </w:tabs>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单位优势及特长</w:t>
            </w:r>
          </w:p>
        </w:tc>
        <w:tc>
          <w:tcPr>
            <w:tcW w:w="7072" w:type="dxa"/>
            <w:gridSpan w:val="9"/>
            <w:tcBorders>
              <w:left w:val="single" w:color="auto" w:sz="4" w:space="0"/>
              <w:right w:val="double" w:color="auto" w:sz="4" w:space="0"/>
            </w:tcBorders>
            <w:noWrap w:val="0"/>
            <w:vAlign w:val="center"/>
          </w:tcPr>
          <w:p w14:paraId="7288FFA6">
            <w:pPr>
              <w:tabs>
                <w:tab w:val="left" w:pos="4320"/>
              </w:tabs>
              <w:adjustRightInd w:val="0"/>
              <w:snapToGrid w:val="0"/>
              <w:rPr>
                <w:rFonts w:ascii="宋体" w:hAnsi="宋体" w:cs="宋体"/>
                <w:color w:val="auto"/>
                <w:sz w:val="24"/>
                <w:szCs w:val="24"/>
                <w:highlight w:val="none"/>
              </w:rPr>
            </w:pPr>
          </w:p>
        </w:tc>
      </w:tr>
      <w:tr w14:paraId="6092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27ABAAB9">
            <w:pPr>
              <w:tabs>
                <w:tab w:val="left" w:pos="4320"/>
              </w:tabs>
              <w:adjustRightInd w:val="0"/>
              <w:snapToGrid w:val="0"/>
              <w:ind w:left="266" w:hanging="266" w:hangingChars="111"/>
              <w:rPr>
                <w:rFonts w:ascii="宋体" w:hAnsi="宋体" w:cs="宋体"/>
                <w:color w:val="auto"/>
                <w:sz w:val="24"/>
                <w:szCs w:val="24"/>
                <w:highlight w:val="none"/>
              </w:rPr>
            </w:pPr>
            <w:r>
              <w:rPr>
                <w:rFonts w:hint="eastAsia" w:ascii="宋体" w:hAnsi="宋体" w:cs="宋体"/>
                <w:color w:val="auto"/>
                <w:sz w:val="24"/>
                <w:szCs w:val="24"/>
                <w:highlight w:val="none"/>
              </w:rPr>
              <w:t>单位</w:t>
            </w:r>
          </w:p>
          <w:p w14:paraId="51033D62">
            <w:pPr>
              <w:tabs>
                <w:tab w:val="left" w:pos="4320"/>
              </w:tabs>
              <w:adjustRightInd w:val="0"/>
              <w:snapToGrid w:val="0"/>
              <w:ind w:left="266" w:hanging="266" w:hangingChars="111"/>
              <w:rPr>
                <w:rFonts w:ascii="宋体" w:hAnsi="宋体" w:cs="宋体"/>
                <w:color w:val="auto"/>
                <w:sz w:val="24"/>
                <w:szCs w:val="24"/>
                <w:highlight w:val="none"/>
              </w:rPr>
            </w:pPr>
            <w:r>
              <w:rPr>
                <w:rFonts w:hint="eastAsia" w:ascii="宋体" w:hAnsi="宋体" w:cs="宋体"/>
                <w:color w:val="auto"/>
                <w:sz w:val="24"/>
                <w:szCs w:val="24"/>
                <w:highlight w:val="none"/>
              </w:rPr>
              <w:t>概况</w:t>
            </w:r>
          </w:p>
        </w:tc>
        <w:tc>
          <w:tcPr>
            <w:tcW w:w="1276" w:type="dxa"/>
            <w:gridSpan w:val="2"/>
            <w:noWrap w:val="0"/>
            <w:vAlign w:val="center"/>
          </w:tcPr>
          <w:p w14:paraId="4222346C">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职工总数</w:t>
            </w:r>
          </w:p>
        </w:tc>
        <w:tc>
          <w:tcPr>
            <w:tcW w:w="1417" w:type="dxa"/>
            <w:gridSpan w:val="2"/>
            <w:noWrap w:val="0"/>
            <w:vAlign w:val="center"/>
          </w:tcPr>
          <w:p w14:paraId="4E9CEE16">
            <w:pPr>
              <w:tabs>
                <w:tab w:val="left" w:pos="4320"/>
              </w:tabs>
              <w:adjustRightInd w:val="0"/>
              <w:snapToGrid w:val="0"/>
              <w:jc w:val="right"/>
              <w:rPr>
                <w:rFonts w:ascii="宋体" w:hAnsi="宋体" w:cs="宋体"/>
                <w:color w:val="auto"/>
                <w:sz w:val="24"/>
                <w:szCs w:val="24"/>
                <w:highlight w:val="none"/>
              </w:rPr>
            </w:pPr>
            <w:r>
              <w:rPr>
                <w:rFonts w:hint="eastAsia" w:ascii="宋体" w:hAnsi="宋体" w:cs="宋体"/>
                <w:color w:val="auto"/>
                <w:sz w:val="24"/>
                <w:szCs w:val="24"/>
                <w:highlight w:val="none"/>
              </w:rPr>
              <w:t>人</w:t>
            </w:r>
          </w:p>
        </w:tc>
        <w:tc>
          <w:tcPr>
            <w:tcW w:w="567" w:type="dxa"/>
            <w:vMerge w:val="restart"/>
            <w:noWrap w:val="0"/>
            <w:vAlign w:val="center"/>
          </w:tcPr>
          <w:p w14:paraId="3053998F">
            <w:pPr>
              <w:tabs>
                <w:tab w:val="left" w:pos="4320"/>
              </w:tabs>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上一年主要经济指标</w:t>
            </w:r>
          </w:p>
        </w:tc>
        <w:tc>
          <w:tcPr>
            <w:tcW w:w="946" w:type="dxa"/>
            <w:noWrap w:val="0"/>
            <w:vAlign w:val="center"/>
          </w:tcPr>
          <w:p w14:paraId="0AB3D516">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营业额</w:t>
            </w:r>
          </w:p>
        </w:tc>
        <w:tc>
          <w:tcPr>
            <w:tcW w:w="1414" w:type="dxa"/>
            <w:gridSpan w:val="2"/>
            <w:noWrap w:val="0"/>
            <w:vAlign w:val="center"/>
          </w:tcPr>
          <w:p w14:paraId="06DCFA13">
            <w:pPr>
              <w:tabs>
                <w:tab w:val="left" w:pos="4320"/>
              </w:tabs>
              <w:adjustRightInd w:val="0"/>
              <w:snapToGrid w:val="0"/>
              <w:rPr>
                <w:rFonts w:ascii="宋体" w:hAnsi="宋体" w:cs="宋体"/>
                <w:color w:val="auto"/>
                <w:sz w:val="24"/>
                <w:szCs w:val="24"/>
                <w:highlight w:val="none"/>
              </w:rPr>
            </w:pPr>
          </w:p>
        </w:tc>
        <w:tc>
          <w:tcPr>
            <w:tcW w:w="1184" w:type="dxa"/>
            <w:gridSpan w:val="2"/>
            <w:noWrap w:val="0"/>
            <w:vAlign w:val="center"/>
          </w:tcPr>
          <w:p w14:paraId="0384A89D">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实现利润</w:t>
            </w:r>
          </w:p>
        </w:tc>
        <w:tc>
          <w:tcPr>
            <w:tcW w:w="1544" w:type="dxa"/>
            <w:tcBorders>
              <w:right w:val="double" w:color="auto" w:sz="4" w:space="0"/>
            </w:tcBorders>
            <w:noWrap w:val="0"/>
            <w:vAlign w:val="center"/>
          </w:tcPr>
          <w:p w14:paraId="5A13A002">
            <w:pPr>
              <w:tabs>
                <w:tab w:val="left" w:pos="4320"/>
              </w:tabs>
              <w:adjustRightInd w:val="0"/>
              <w:snapToGrid w:val="0"/>
              <w:rPr>
                <w:rFonts w:ascii="宋体" w:hAnsi="宋体" w:cs="宋体"/>
                <w:color w:val="auto"/>
                <w:sz w:val="24"/>
                <w:szCs w:val="24"/>
                <w:highlight w:val="none"/>
              </w:rPr>
            </w:pPr>
          </w:p>
        </w:tc>
      </w:tr>
      <w:tr w14:paraId="6E92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2116D9F5">
            <w:pPr>
              <w:tabs>
                <w:tab w:val="left" w:pos="4320"/>
              </w:tabs>
              <w:adjustRightInd w:val="0"/>
              <w:snapToGrid w:val="0"/>
              <w:ind w:left="266" w:hanging="266" w:hangingChars="111"/>
              <w:rPr>
                <w:rFonts w:ascii="宋体" w:hAnsi="宋体" w:cs="宋体"/>
                <w:color w:val="auto"/>
                <w:sz w:val="24"/>
                <w:szCs w:val="24"/>
                <w:highlight w:val="none"/>
              </w:rPr>
            </w:pPr>
          </w:p>
        </w:tc>
        <w:tc>
          <w:tcPr>
            <w:tcW w:w="1276" w:type="dxa"/>
            <w:gridSpan w:val="2"/>
            <w:noWrap w:val="0"/>
            <w:vAlign w:val="center"/>
          </w:tcPr>
          <w:p w14:paraId="212B5705">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流动资金</w:t>
            </w:r>
          </w:p>
        </w:tc>
        <w:tc>
          <w:tcPr>
            <w:tcW w:w="1417" w:type="dxa"/>
            <w:gridSpan w:val="2"/>
            <w:noWrap w:val="0"/>
            <w:vAlign w:val="center"/>
          </w:tcPr>
          <w:p w14:paraId="7DEDA1F3">
            <w:pPr>
              <w:tabs>
                <w:tab w:val="left" w:pos="4320"/>
              </w:tabs>
              <w:adjustRightInd w:val="0"/>
              <w:snapToGrid w:val="0"/>
              <w:jc w:val="right"/>
              <w:rPr>
                <w:rFonts w:ascii="宋体" w:hAnsi="宋体" w:cs="宋体"/>
                <w:color w:val="auto"/>
                <w:sz w:val="24"/>
                <w:szCs w:val="24"/>
                <w:highlight w:val="none"/>
              </w:rPr>
            </w:pPr>
            <w:r>
              <w:rPr>
                <w:rFonts w:hint="eastAsia" w:ascii="宋体" w:hAnsi="宋体" w:cs="宋体"/>
                <w:color w:val="auto"/>
                <w:sz w:val="24"/>
                <w:szCs w:val="24"/>
                <w:highlight w:val="none"/>
              </w:rPr>
              <w:t>万元</w:t>
            </w:r>
          </w:p>
        </w:tc>
        <w:tc>
          <w:tcPr>
            <w:tcW w:w="567" w:type="dxa"/>
            <w:vMerge w:val="continue"/>
            <w:noWrap w:val="0"/>
            <w:vAlign w:val="center"/>
          </w:tcPr>
          <w:p w14:paraId="1ADD08B1">
            <w:pPr>
              <w:tabs>
                <w:tab w:val="left" w:pos="4320"/>
              </w:tabs>
              <w:adjustRightInd w:val="0"/>
              <w:snapToGrid w:val="0"/>
              <w:rPr>
                <w:rFonts w:ascii="宋体" w:hAnsi="宋体" w:cs="宋体"/>
                <w:color w:val="auto"/>
                <w:sz w:val="24"/>
                <w:szCs w:val="24"/>
                <w:highlight w:val="none"/>
              </w:rPr>
            </w:pPr>
          </w:p>
        </w:tc>
        <w:tc>
          <w:tcPr>
            <w:tcW w:w="946" w:type="dxa"/>
            <w:vMerge w:val="restart"/>
            <w:noWrap w:val="0"/>
            <w:vAlign w:val="center"/>
          </w:tcPr>
          <w:p w14:paraId="11F4C2DD">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主要</w:t>
            </w:r>
          </w:p>
          <w:p w14:paraId="1444001E">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产品</w:t>
            </w:r>
          </w:p>
        </w:tc>
        <w:tc>
          <w:tcPr>
            <w:tcW w:w="4142" w:type="dxa"/>
            <w:gridSpan w:val="5"/>
            <w:tcBorders>
              <w:right w:val="double" w:color="auto" w:sz="4" w:space="0"/>
            </w:tcBorders>
            <w:noWrap w:val="0"/>
            <w:vAlign w:val="center"/>
          </w:tcPr>
          <w:p w14:paraId="52F99D04">
            <w:pPr>
              <w:tabs>
                <w:tab w:val="left" w:pos="4320"/>
              </w:tabs>
              <w:adjustRightInd w:val="0"/>
              <w:snapToGrid w:val="0"/>
              <w:spacing w:before="120" w:after="120"/>
              <w:rPr>
                <w:rFonts w:ascii="宋体" w:hAnsi="宋体" w:cs="宋体"/>
                <w:color w:val="auto"/>
                <w:sz w:val="24"/>
                <w:szCs w:val="24"/>
                <w:highlight w:val="none"/>
              </w:rPr>
            </w:pPr>
            <w:r>
              <w:rPr>
                <w:rFonts w:hint="eastAsia" w:ascii="宋体" w:hAnsi="宋体" w:cs="宋体"/>
                <w:color w:val="auto"/>
                <w:sz w:val="24"/>
                <w:szCs w:val="24"/>
                <w:highlight w:val="none"/>
              </w:rPr>
              <w:t>1.</w:t>
            </w:r>
          </w:p>
        </w:tc>
      </w:tr>
      <w:tr w14:paraId="21B3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817" w:type="dxa"/>
            <w:vMerge w:val="continue"/>
            <w:tcBorders>
              <w:left w:val="double" w:color="auto" w:sz="4" w:space="0"/>
            </w:tcBorders>
            <w:noWrap w:val="0"/>
            <w:vAlign w:val="center"/>
          </w:tcPr>
          <w:p w14:paraId="53DBA02B">
            <w:pPr>
              <w:tabs>
                <w:tab w:val="left" w:pos="4320"/>
              </w:tabs>
              <w:adjustRightInd w:val="0"/>
              <w:snapToGrid w:val="0"/>
              <w:ind w:left="266" w:hanging="266" w:hangingChars="111"/>
              <w:rPr>
                <w:rFonts w:ascii="宋体" w:hAnsi="宋体" w:cs="宋体"/>
                <w:color w:val="auto"/>
                <w:sz w:val="24"/>
                <w:szCs w:val="24"/>
                <w:highlight w:val="none"/>
              </w:rPr>
            </w:pPr>
          </w:p>
        </w:tc>
        <w:tc>
          <w:tcPr>
            <w:tcW w:w="1276" w:type="dxa"/>
            <w:gridSpan w:val="2"/>
            <w:noWrap w:val="0"/>
            <w:vAlign w:val="center"/>
          </w:tcPr>
          <w:p w14:paraId="1954D288">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固定资产</w:t>
            </w:r>
          </w:p>
          <w:p w14:paraId="1FF9B4CA">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（万元）</w:t>
            </w:r>
          </w:p>
        </w:tc>
        <w:tc>
          <w:tcPr>
            <w:tcW w:w="1417" w:type="dxa"/>
            <w:gridSpan w:val="2"/>
            <w:noWrap w:val="0"/>
            <w:vAlign w:val="center"/>
          </w:tcPr>
          <w:p w14:paraId="267868C2">
            <w:pPr>
              <w:tabs>
                <w:tab w:val="left" w:pos="-48"/>
                <w:tab w:val="left" w:pos="4320"/>
              </w:tabs>
              <w:adjustRightInd w:val="0"/>
              <w:snapToGrid w:val="0"/>
              <w:ind w:right="-133" w:hanging="48"/>
              <w:rPr>
                <w:rFonts w:ascii="宋体" w:hAnsi="宋体" w:cs="宋体"/>
                <w:color w:val="auto"/>
                <w:sz w:val="24"/>
                <w:szCs w:val="24"/>
                <w:highlight w:val="none"/>
              </w:rPr>
            </w:pPr>
            <w:r>
              <w:rPr>
                <w:rFonts w:hint="eastAsia" w:ascii="宋体" w:hAnsi="宋体" w:cs="宋体"/>
                <w:color w:val="auto"/>
                <w:sz w:val="24"/>
                <w:szCs w:val="24"/>
                <w:highlight w:val="none"/>
              </w:rPr>
              <w:t>原值：</w:t>
            </w:r>
          </w:p>
          <w:p w14:paraId="244CB674">
            <w:pPr>
              <w:tabs>
                <w:tab w:val="left" w:pos="-48"/>
                <w:tab w:val="left" w:pos="4320"/>
              </w:tabs>
              <w:adjustRightInd w:val="0"/>
              <w:snapToGrid w:val="0"/>
              <w:ind w:hanging="48"/>
              <w:jc w:val="right"/>
              <w:rPr>
                <w:rFonts w:ascii="宋体" w:hAnsi="宋体" w:cs="宋体"/>
                <w:color w:val="auto"/>
                <w:sz w:val="24"/>
                <w:szCs w:val="24"/>
                <w:highlight w:val="none"/>
              </w:rPr>
            </w:pPr>
          </w:p>
          <w:p w14:paraId="15F9196E">
            <w:pPr>
              <w:tabs>
                <w:tab w:val="left" w:pos="-48"/>
                <w:tab w:val="left" w:pos="4320"/>
              </w:tabs>
              <w:adjustRightInd w:val="0"/>
              <w:snapToGrid w:val="0"/>
              <w:ind w:right="-133" w:hanging="48"/>
              <w:rPr>
                <w:rFonts w:ascii="宋体" w:hAnsi="宋体" w:cs="宋体"/>
                <w:color w:val="auto"/>
                <w:sz w:val="24"/>
                <w:szCs w:val="24"/>
                <w:highlight w:val="none"/>
              </w:rPr>
            </w:pPr>
            <w:r>
              <w:rPr>
                <w:rFonts w:hint="eastAsia" w:ascii="宋体" w:hAnsi="宋体" w:cs="宋体"/>
                <w:color w:val="auto"/>
                <w:sz w:val="24"/>
                <w:szCs w:val="24"/>
                <w:highlight w:val="none"/>
              </w:rPr>
              <w:t>净值：</w:t>
            </w:r>
          </w:p>
          <w:p w14:paraId="0B3E0598">
            <w:pPr>
              <w:tabs>
                <w:tab w:val="left" w:pos="-48"/>
                <w:tab w:val="left" w:pos="4320"/>
              </w:tabs>
              <w:adjustRightInd w:val="0"/>
              <w:snapToGrid w:val="0"/>
              <w:ind w:hanging="48"/>
              <w:jc w:val="right"/>
              <w:rPr>
                <w:rFonts w:ascii="宋体" w:hAnsi="宋体" w:cs="宋体"/>
                <w:color w:val="auto"/>
                <w:sz w:val="24"/>
                <w:szCs w:val="24"/>
                <w:highlight w:val="none"/>
              </w:rPr>
            </w:pPr>
          </w:p>
        </w:tc>
        <w:tc>
          <w:tcPr>
            <w:tcW w:w="567" w:type="dxa"/>
            <w:vMerge w:val="continue"/>
            <w:noWrap w:val="0"/>
            <w:vAlign w:val="center"/>
          </w:tcPr>
          <w:p w14:paraId="1ECEE753">
            <w:pPr>
              <w:tabs>
                <w:tab w:val="left" w:pos="4320"/>
              </w:tabs>
              <w:adjustRightInd w:val="0"/>
              <w:snapToGrid w:val="0"/>
              <w:rPr>
                <w:rFonts w:ascii="宋体" w:hAnsi="宋体" w:cs="宋体"/>
                <w:color w:val="auto"/>
                <w:sz w:val="24"/>
                <w:szCs w:val="24"/>
                <w:highlight w:val="none"/>
              </w:rPr>
            </w:pPr>
          </w:p>
        </w:tc>
        <w:tc>
          <w:tcPr>
            <w:tcW w:w="946" w:type="dxa"/>
            <w:vMerge w:val="continue"/>
            <w:noWrap w:val="0"/>
            <w:vAlign w:val="center"/>
          </w:tcPr>
          <w:p w14:paraId="28450FD2">
            <w:pPr>
              <w:tabs>
                <w:tab w:val="left" w:pos="4320"/>
              </w:tabs>
              <w:adjustRightInd w:val="0"/>
              <w:snapToGrid w:val="0"/>
              <w:jc w:val="center"/>
              <w:rPr>
                <w:rFonts w:ascii="宋体" w:hAnsi="宋体" w:cs="宋体"/>
                <w:color w:val="auto"/>
                <w:sz w:val="24"/>
                <w:szCs w:val="24"/>
                <w:highlight w:val="none"/>
              </w:rPr>
            </w:pPr>
          </w:p>
        </w:tc>
        <w:tc>
          <w:tcPr>
            <w:tcW w:w="4142" w:type="dxa"/>
            <w:gridSpan w:val="5"/>
            <w:tcBorders>
              <w:right w:val="double" w:color="auto" w:sz="4" w:space="0"/>
            </w:tcBorders>
            <w:noWrap w:val="0"/>
            <w:vAlign w:val="center"/>
          </w:tcPr>
          <w:p w14:paraId="65E1D889">
            <w:pPr>
              <w:tabs>
                <w:tab w:val="left" w:pos="4320"/>
              </w:tabs>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2.</w:t>
            </w:r>
          </w:p>
        </w:tc>
      </w:tr>
      <w:tr w14:paraId="42F7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4C1FF9FE">
            <w:pPr>
              <w:tabs>
                <w:tab w:val="left" w:pos="4320"/>
              </w:tabs>
              <w:adjustRightInd w:val="0"/>
              <w:snapToGrid w:val="0"/>
              <w:ind w:left="266" w:hanging="266" w:hangingChars="111"/>
              <w:rPr>
                <w:rFonts w:ascii="宋体" w:hAnsi="宋体" w:cs="宋体"/>
                <w:color w:val="auto"/>
                <w:sz w:val="24"/>
                <w:szCs w:val="24"/>
                <w:highlight w:val="none"/>
              </w:rPr>
            </w:pPr>
          </w:p>
        </w:tc>
        <w:tc>
          <w:tcPr>
            <w:tcW w:w="1276" w:type="dxa"/>
            <w:gridSpan w:val="2"/>
            <w:noWrap w:val="0"/>
            <w:vAlign w:val="center"/>
          </w:tcPr>
          <w:p w14:paraId="6A6D71EF">
            <w:pPr>
              <w:tabs>
                <w:tab w:val="left" w:pos="4320"/>
              </w:tabs>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占地面积</w:t>
            </w:r>
          </w:p>
        </w:tc>
        <w:tc>
          <w:tcPr>
            <w:tcW w:w="1417" w:type="dxa"/>
            <w:gridSpan w:val="2"/>
            <w:noWrap w:val="0"/>
            <w:vAlign w:val="center"/>
          </w:tcPr>
          <w:p w14:paraId="18CD59FF">
            <w:pPr>
              <w:tabs>
                <w:tab w:val="left" w:pos="4320"/>
              </w:tabs>
              <w:adjustRightInd w:val="0"/>
              <w:snapToGrid w:val="0"/>
              <w:jc w:val="right"/>
              <w:rPr>
                <w:rFonts w:ascii="宋体" w:hAnsi="宋体" w:cs="宋体"/>
                <w:color w:val="auto"/>
                <w:sz w:val="24"/>
                <w:szCs w:val="24"/>
                <w:highlight w:val="none"/>
              </w:rPr>
            </w:pPr>
            <w:r>
              <w:rPr>
                <w:rFonts w:hint="eastAsia" w:ascii="宋体" w:hAnsi="宋体" w:cs="宋体"/>
                <w:color w:val="auto"/>
                <w:sz w:val="24"/>
                <w:szCs w:val="24"/>
                <w:highlight w:val="none"/>
              </w:rPr>
              <w:t>M</w:t>
            </w:r>
            <w:r>
              <w:rPr>
                <w:rFonts w:hint="eastAsia" w:ascii="宋体" w:hAnsi="宋体" w:cs="宋体"/>
                <w:color w:val="auto"/>
                <w:sz w:val="24"/>
                <w:szCs w:val="24"/>
                <w:highlight w:val="none"/>
                <w:vertAlign w:val="superscript"/>
              </w:rPr>
              <w:t>2</w:t>
            </w:r>
          </w:p>
        </w:tc>
        <w:tc>
          <w:tcPr>
            <w:tcW w:w="567" w:type="dxa"/>
            <w:vMerge w:val="continue"/>
            <w:noWrap w:val="0"/>
            <w:vAlign w:val="center"/>
          </w:tcPr>
          <w:p w14:paraId="1B3882E5">
            <w:pPr>
              <w:tabs>
                <w:tab w:val="left" w:pos="4320"/>
              </w:tabs>
              <w:adjustRightInd w:val="0"/>
              <w:snapToGrid w:val="0"/>
              <w:rPr>
                <w:rFonts w:ascii="宋体" w:hAnsi="宋体" w:cs="宋体"/>
                <w:color w:val="auto"/>
                <w:sz w:val="24"/>
                <w:szCs w:val="24"/>
                <w:highlight w:val="none"/>
              </w:rPr>
            </w:pPr>
          </w:p>
        </w:tc>
        <w:tc>
          <w:tcPr>
            <w:tcW w:w="946" w:type="dxa"/>
            <w:vMerge w:val="continue"/>
            <w:noWrap w:val="0"/>
            <w:vAlign w:val="center"/>
          </w:tcPr>
          <w:p w14:paraId="1AE792DB">
            <w:pPr>
              <w:tabs>
                <w:tab w:val="left" w:pos="4320"/>
              </w:tabs>
              <w:adjustRightInd w:val="0"/>
              <w:snapToGrid w:val="0"/>
              <w:jc w:val="center"/>
              <w:rPr>
                <w:rFonts w:ascii="宋体" w:hAnsi="宋体" w:cs="宋体"/>
                <w:color w:val="auto"/>
                <w:sz w:val="24"/>
                <w:szCs w:val="24"/>
                <w:highlight w:val="none"/>
              </w:rPr>
            </w:pPr>
          </w:p>
        </w:tc>
        <w:tc>
          <w:tcPr>
            <w:tcW w:w="4142" w:type="dxa"/>
            <w:gridSpan w:val="5"/>
            <w:tcBorders>
              <w:right w:val="double" w:color="auto" w:sz="4" w:space="0"/>
            </w:tcBorders>
            <w:noWrap w:val="0"/>
            <w:vAlign w:val="center"/>
          </w:tcPr>
          <w:p w14:paraId="75E9352A">
            <w:pPr>
              <w:tabs>
                <w:tab w:val="left" w:pos="4320"/>
              </w:tabs>
              <w:adjustRightInd w:val="0"/>
              <w:snapToGrid w:val="0"/>
              <w:spacing w:before="120" w:after="120"/>
              <w:rPr>
                <w:rFonts w:ascii="宋体" w:hAnsi="宋体" w:cs="宋体"/>
                <w:color w:val="auto"/>
                <w:sz w:val="24"/>
                <w:szCs w:val="24"/>
                <w:highlight w:val="none"/>
              </w:rPr>
            </w:pPr>
            <w:r>
              <w:rPr>
                <w:rFonts w:hint="eastAsia" w:ascii="宋体" w:hAnsi="宋体" w:cs="宋体"/>
                <w:color w:val="auto"/>
                <w:sz w:val="24"/>
                <w:szCs w:val="24"/>
                <w:highlight w:val="none"/>
              </w:rPr>
              <w:t>3.</w:t>
            </w:r>
          </w:p>
        </w:tc>
      </w:tr>
      <w:tr w14:paraId="17CD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6F48F43C">
            <w:pPr>
              <w:tabs>
                <w:tab w:val="left" w:pos="4320"/>
              </w:tabs>
              <w:adjustRightInd w:val="0"/>
              <w:snapToGrid w:val="0"/>
              <w:ind w:left="266" w:hanging="266" w:hangingChars="111"/>
              <w:rPr>
                <w:rFonts w:ascii="宋体" w:hAnsi="宋体" w:cs="宋体"/>
                <w:color w:val="auto"/>
                <w:sz w:val="24"/>
                <w:szCs w:val="24"/>
                <w:highlight w:val="none"/>
              </w:rPr>
            </w:pPr>
            <w:r>
              <w:rPr>
                <w:rFonts w:hint="eastAsia" w:ascii="宋体" w:hAnsi="宋体" w:cs="宋体"/>
                <w:color w:val="auto"/>
                <w:sz w:val="24"/>
                <w:szCs w:val="24"/>
                <w:highlight w:val="none"/>
              </w:rPr>
              <w:t>本次</w:t>
            </w:r>
          </w:p>
          <w:p w14:paraId="3862C662">
            <w:pPr>
              <w:tabs>
                <w:tab w:val="left" w:pos="4320"/>
              </w:tabs>
              <w:adjustRightInd w:val="0"/>
              <w:snapToGrid w:val="0"/>
              <w:ind w:left="266" w:hanging="266" w:hangingChars="111"/>
              <w:rPr>
                <w:rFonts w:ascii="宋体" w:hAnsi="宋体" w:cs="宋体"/>
                <w:color w:val="auto"/>
                <w:sz w:val="24"/>
                <w:szCs w:val="24"/>
                <w:highlight w:val="none"/>
              </w:rPr>
            </w:pPr>
            <w:r>
              <w:rPr>
                <w:rFonts w:hint="eastAsia" w:ascii="宋体" w:hAnsi="宋体" w:cs="宋体"/>
                <w:color w:val="auto"/>
                <w:sz w:val="24"/>
                <w:szCs w:val="24"/>
                <w:highlight w:val="none"/>
              </w:rPr>
              <w:t>投标</w:t>
            </w:r>
          </w:p>
          <w:p w14:paraId="3106016A">
            <w:pPr>
              <w:tabs>
                <w:tab w:val="left" w:pos="4320"/>
              </w:tabs>
              <w:adjustRightInd w:val="0"/>
              <w:snapToGrid w:val="0"/>
              <w:ind w:left="266" w:hanging="266" w:hangingChars="111"/>
              <w:rPr>
                <w:rFonts w:ascii="宋体" w:hAnsi="宋体" w:cs="宋体"/>
                <w:color w:val="auto"/>
                <w:sz w:val="24"/>
                <w:szCs w:val="24"/>
                <w:highlight w:val="none"/>
              </w:rPr>
            </w:pPr>
            <w:r>
              <w:rPr>
                <w:rFonts w:hint="eastAsia" w:ascii="宋体" w:hAnsi="宋体" w:cs="宋体"/>
                <w:color w:val="auto"/>
                <w:sz w:val="24"/>
                <w:szCs w:val="24"/>
                <w:highlight w:val="none"/>
              </w:rPr>
              <w:t>产品</w:t>
            </w:r>
          </w:p>
          <w:p w14:paraId="2E106999">
            <w:pPr>
              <w:tabs>
                <w:tab w:val="left" w:pos="4320"/>
              </w:tabs>
              <w:adjustRightInd w:val="0"/>
              <w:snapToGrid w:val="0"/>
              <w:ind w:left="266" w:hanging="266" w:hangingChars="111"/>
              <w:rPr>
                <w:rFonts w:ascii="宋体" w:hAnsi="宋体" w:cs="宋体"/>
                <w:color w:val="auto"/>
                <w:sz w:val="24"/>
                <w:szCs w:val="24"/>
                <w:highlight w:val="none"/>
              </w:rPr>
            </w:pPr>
            <w:r>
              <w:rPr>
                <w:rFonts w:hint="eastAsia" w:ascii="宋体" w:hAnsi="宋体" w:cs="宋体"/>
                <w:color w:val="auto"/>
                <w:sz w:val="24"/>
                <w:szCs w:val="24"/>
                <w:highlight w:val="none"/>
              </w:rPr>
              <w:t>情况</w:t>
            </w:r>
          </w:p>
        </w:tc>
        <w:tc>
          <w:tcPr>
            <w:tcW w:w="1643" w:type="dxa"/>
            <w:gridSpan w:val="3"/>
            <w:noWrap w:val="0"/>
            <w:vAlign w:val="center"/>
          </w:tcPr>
          <w:p w14:paraId="7492A7C6">
            <w:pPr>
              <w:tabs>
                <w:tab w:val="left" w:pos="4320"/>
              </w:tabs>
              <w:adjustRightInd w:val="0"/>
              <w:snapToGrid w:val="0"/>
              <w:spacing w:before="60" w:after="60"/>
              <w:jc w:val="center"/>
              <w:rPr>
                <w:rFonts w:ascii="宋体" w:hAnsi="宋体" w:cs="宋体"/>
                <w:color w:val="auto"/>
                <w:sz w:val="24"/>
                <w:szCs w:val="24"/>
                <w:highlight w:val="none"/>
              </w:rPr>
            </w:pPr>
            <w:r>
              <w:rPr>
                <w:rFonts w:hint="eastAsia" w:ascii="宋体" w:hAnsi="宋体" w:cs="宋体"/>
                <w:color w:val="auto"/>
                <w:sz w:val="24"/>
                <w:szCs w:val="24"/>
                <w:highlight w:val="none"/>
              </w:rPr>
              <w:t>本次投标</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产品名称</w:t>
            </w:r>
          </w:p>
        </w:tc>
        <w:tc>
          <w:tcPr>
            <w:tcW w:w="1617" w:type="dxa"/>
            <w:gridSpan w:val="2"/>
            <w:noWrap w:val="0"/>
            <w:vAlign w:val="center"/>
          </w:tcPr>
          <w:p w14:paraId="7050B01C">
            <w:pPr>
              <w:tabs>
                <w:tab w:val="left" w:pos="4320"/>
              </w:tabs>
              <w:adjustRightInd w:val="0"/>
              <w:snapToGrid w:val="0"/>
              <w:spacing w:before="60" w:after="60"/>
              <w:jc w:val="center"/>
              <w:rPr>
                <w:rFonts w:ascii="宋体" w:hAnsi="宋体" w:cs="宋体"/>
                <w:color w:val="auto"/>
                <w:sz w:val="24"/>
                <w:szCs w:val="24"/>
                <w:highlight w:val="none"/>
              </w:rPr>
            </w:pPr>
            <w:r>
              <w:rPr>
                <w:rFonts w:hint="eastAsia" w:ascii="宋体" w:hAnsi="宋体" w:cs="宋体"/>
                <w:color w:val="auto"/>
                <w:sz w:val="24"/>
                <w:szCs w:val="24"/>
                <w:highlight w:val="none"/>
              </w:rPr>
              <w:t>型    号</w:t>
            </w:r>
          </w:p>
        </w:tc>
        <w:tc>
          <w:tcPr>
            <w:tcW w:w="946" w:type="dxa"/>
            <w:noWrap w:val="0"/>
            <w:vAlign w:val="center"/>
          </w:tcPr>
          <w:p w14:paraId="66446A78">
            <w:pPr>
              <w:tabs>
                <w:tab w:val="left" w:pos="4320"/>
              </w:tabs>
              <w:adjustRightInd w:val="0"/>
              <w:snapToGrid w:val="0"/>
              <w:spacing w:before="60" w:after="60"/>
              <w:jc w:val="center"/>
              <w:rPr>
                <w:rFonts w:ascii="宋体" w:hAnsi="宋体" w:cs="宋体"/>
                <w:color w:val="auto"/>
                <w:sz w:val="24"/>
                <w:szCs w:val="24"/>
                <w:highlight w:val="none"/>
              </w:rPr>
            </w:pPr>
            <w:r>
              <w:rPr>
                <w:rFonts w:hint="eastAsia" w:ascii="宋体" w:hAnsi="宋体" w:cs="宋体"/>
                <w:color w:val="auto"/>
                <w:sz w:val="24"/>
                <w:szCs w:val="24"/>
                <w:highlight w:val="none"/>
              </w:rPr>
              <w:t>上年</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产销量</w:t>
            </w:r>
          </w:p>
        </w:tc>
        <w:tc>
          <w:tcPr>
            <w:tcW w:w="1263" w:type="dxa"/>
            <w:noWrap w:val="0"/>
            <w:vAlign w:val="center"/>
          </w:tcPr>
          <w:p w14:paraId="76368CE3">
            <w:pPr>
              <w:tabs>
                <w:tab w:val="left" w:pos="4320"/>
              </w:tabs>
              <w:adjustRightInd w:val="0"/>
              <w:snapToGrid w:val="0"/>
              <w:spacing w:before="60" w:after="60"/>
              <w:jc w:val="center"/>
              <w:rPr>
                <w:rFonts w:ascii="宋体" w:hAnsi="宋体" w:cs="宋体"/>
                <w:color w:val="auto"/>
                <w:sz w:val="24"/>
                <w:szCs w:val="24"/>
                <w:highlight w:val="none"/>
              </w:rPr>
            </w:pPr>
            <w:r>
              <w:rPr>
                <w:rFonts w:hint="eastAsia" w:ascii="宋体" w:hAnsi="宋体" w:cs="宋体"/>
                <w:color w:val="auto"/>
                <w:sz w:val="24"/>
                <w:szCs w:val="24"/>
                <w:highlight w:val="none"/>
              </w:rPr>
              <w:t>产品技术</w:t>
            </w:r>
          </w:p>
          <w:p w14:paraId="7279632B">
            <w:pPr>
              <w:tabs>
                <w:tab w:val="left" w:pos="4320"/>
              </w:tabs>
              <w:adjustRightInd w:val="0"/>
              <w:snapToGrid w:val="0"/>
              <w:spacing w:before="60" w:after="60"/>
              <w:jc w:val="center"/>
              <w:rPr>
                <w:rFonts w:ascii="宋体" w:hAnsi="宋体" w:cs="宋体"/>
                <w:color w:val="auto"/>
                <w:sz w:val="24"/>
                <w:szCs w:val="24"/>
                <w:highlight w:val="none"/>
              </w:rPr>
            </w:pPr>
            <w:r>
              <w:rPr>
                <w:rFonts w:hint="eastAsia" w:ascii="宋体" w:hAnsi="宋体" w:cs="宋体"/>
                <w:color w:val="auto"/>
                <w:sz w:val="24"/>
                <w:szCs w:val="24"/>
                <w:highlight w:val="none"/>
              </w:rPr>
              <w:t>先进水平</w:t>
            </w:r>
          </w:p>
        </w:tc>
        <w:tc>
          <w:tcPr>
            <w:tcW w:w="1273" w:type="dxa"/>
            <w:gridSpan w:val="2"/>
            <w:noWrap w:val="0"/>
            <w:vAlign w:val="center"/>
          </w:tcPr>
          <w:p w14:paraId="100836B6">
            <w:pPr>
              <w:tabs>
                <w:tab w:val="left" w:pos="4320"/>
              </w:tabs>
              <w:adjustRightInd w:val="0"/>
              <w:snapToGrid w:val="0"/>
              <w:spacing w:before="60" w:after="60"/>
              <w:jc w:val="center"/>
              <w:rPr>
                <w:rFonts w:ascii="宋体" w:hAnsi="宋体" w:cs="宋体"/>
                <w:color w:val="auto"/>
                <w:sz w:val="24"/>
                <w:szCs w:val="24"/>
                <w:highlight w:val="none"/>
              </w:rPr>
            </w:pPr>
            <w:r>
              <w:rPr>
                <w:rFonts w:hint="eastAsia" w:ascii="宋体" w:hAnsi="宋体" w:cs="宋体"/>
                <w:color w:val="auto"/>
                <w:sz w:val="24"/>
                <w:szCs w:val="24"/>
                <w:highlight w:val="none"/>
              </w:rPr>
              <w:t>曾获何级</w:t>
            </w:r>
          </w:p>
          <w:p w14:paraId="26EB37DE">
            <w:pPr>
              <w:tabs>
                <w:tab w:val="left" w:pos="4320"/>
              </w:tabs>
              <w:adjustRightInd w:val="0"/>
              <w:snapToGrid w:val="0"/>
              <w:spacing w:before="60" w:after="60"/>
              <w:jc w:val="center"/>
              <w:rPr>
                <w:rFonts w:ascii="宋体" w:hAnsi="宋体" w:cs="宋体"/>
                <w:color w:val="auto"/>
                <w:sz w:val="24"/>
                <w:szCs w:val="24"/>
                <w:highlight w:val="none"/>
              </w:rPr>
            </w:pPr>
            <w:r>
              <w:rPr>
                <w:rFonts w:hint="eastAsia" w:ascii="宋体" w:hAnsi="宋体" w:cs="宋体"/>
                <w:color w:val="auto"/>
                <w:sz w:val="24"/>
                <w:szCs w:val="24"/>
                <w:highlight w:val="none"/>
              </w:rPr>
              <w:t>何种奖励</w:t>
            </w:r>
          </w:p>
        </w:tc>
        <w:tc>
          <w:tcPr>
            <w:tcW w:w="1606" w:type="dxa"/>
            <w:gridSpan w:val="2"/>
            <w:tcBorders>
              <w:right w:val="double" w:color="auto" w:sz="4" w:space="0"/>
            </w:tcBorders>
            <w:noWrap w:val="0"/>
            <w:vAlign w:val="center"/>
          </w:tcPr>
          <w:p w14:paraId="10289156">
            <w:pPr>
              <w:tabs>
                <w:tab w:val="left" w:pos="4320"/>
              </w:tabs>
              <w:adjustRightInd w:val="0"/>
              <w:snapToGrid w:val="0"/>
              <w:spacing w:before="60" w:after="60"/>
              <w:jc w:val="center"/>
              <w:rPr>
                <w:rFonts w:ascii="宋体" w:hAnsi="宋体" w:cs="宋体"/>
                <w:color w:val="auto"/>
                <w:sz w:val="24"/>
                <w:szCs w:val="24"/>
                <w:highlight w:val="none"/>
              </w:rPr>
            </w:pPr>
            <w:r>
              <w:rPr>
                <w:rFonts w:hint="eastAsia" w:ascii="宋体" w:hAnsi="宋体" w:cs="宋体"/>
                <w:color w:val="auto"/>
                <w:sz w:val="24"/>
                <w:szCs w:val="24"/>
                <w:highlight w:val="none"/>
              </w:rPr>
              <w:t>主要用户</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名称</w:t>
            </w:r>
          </w:p>
        </w:tc>
      </w:tr>
      <w:tr w14:paraId="6894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7AB92BCE">
            <w:pPr>
              <w:tabs>
                <w:tab w:val="left" w:pos="4320"/>
              </w:tabs>
              <w:adjustRightInd w:val="0"/>
              <w:snapToGrid w:val="0"/>
              <w:rPr>
                <w:rFonts w:ascii="宋体" w:hAnsi="宋体" w:cs="宋体"/>
                <w:color w:val="auto"/>
                <w:sz w:val="24"/>
                <w:szCs w:val="24"/>
                <w:highlight w:val="none"/>
              </w:rPr>
            </w:pPr>
          </w:p>
        </w:tc>
        <w:tc>
          <w:tcPr>
            <w:tcW w:w="1643" w:type="dxa"/>
            <w:gridSpan w:val="3"/>
            <w:noWrap w:val="0"/>
            <w:vAlign w:val="center"/>
          </w:tcPr>
          <w:p w14:paraId="4A552D8F">
            <w:pPr>
              <w:tabs>
                <w:tab w:val="left" w:pos="4320"/>
              </w:tabs>
              <w:adjustRightInd w:val="0"/>
              <w:snapToGrid w:val="0"/>
              <w:rPr>
                <w:rFonts w:ascii="宋体" w:hAnsi="宋体" w:cs="宋体"/>
                <w:color w:val="auto"/>
                <w:sz w:val="24"/>
                <w:szCs w:val="24"/>
                <w:highlight w:val="none"/>
              </w:rPr>
            </w:pPr>
          </w:p>
        </w:tc>
        <w:tc>
          <w:tcPr>
            <w:tcW w:w="1617" w:type="dxa"/>
            <w:gridSpan w:val="2"/>
            <w:noWrap w:val="0"/>
            <w:vAlign w:val="center"/>
          </w:tcPr>
          <w:p w14:paraId="0C9CBAEE">
            <w:pPr>
              <w:tabs>
                <w:tab w:val="left" w:pos="4320"/>
              </w:tabs>
              <w:adjustRightInd w:val="0"/>
              <w:snapToGrid w:val="0"/>
              <w:rPr>
                <w:rFonts w:ascii="宋体" w:hAnsi="宋体" w:cs="宋体"/>
                <w:color w:val="auto"/>
                <w:sz w:val="24"/>
                <w:szCs w:val="24"/>
                <w:highlight w:val="none"/>
              </w:rPr>
            </w:pPr>
          </w:p>
        </w:tc>
        <w:tc>
          <w:tcPr>
            <w:tcW w:w="946" w:type="dxa"/>
            <w:noWrap w:val="0"/>
            <w:vAlign w:val="center"/>
          </w:tcPr>
          <w:p w14:paraId="328B086B">
            <w:pPr>
              <w:tabs>
                <w:tab w:val="left" w:pos="4320"/>
              </w:tabs>
              <w:adjustRightInd w:val="0"/>
              <w:snapToGrid w:val="0"/>
              <w:rPr>
                <w:rFonts w:ascii="宋体" w:hAnsi="宋体" w:cs="宋体"/>
                <w:color w:val="auto"/>
                <w:sz w:val="24"/>
                <w:szCs w:val="24"/>
                <w:highlight w:val="none"/>
              </w:rPr>
            </w:pPr>
          </w:p>
        </w:tc>
        <w:tc>
          <w:tcPr>
            <w:tcW w:w="1263" w:type="dxa"/>
            <w:noWrap w:val="0"/>
            <w:vAlign w:val="center"/>
          </w:tcPr>
          <w:p w14:paraId="1E2124D1">
            <w:pPr>
              <w:tabs>
                <w:tab w:val="left" w:pos="4320"/>
              </w:tabs>
              <w:adjustRightInd w:val="0"/>
              <w:snapToGrid w:val="0"/>
              <w:rPr>
                <w:rFonts w:ascii="宋体" w:hAnsi="宋体" w:cs="宋体"/>
                <w:color w:val="auto"/>
                <w:sz w:val="24"/>
                <w:szCs w:val="24"/>
                <w:highlight w:val="none"/>
              </w:rPr>
            </w:pPr>
          </w:p>
        </w:tc>
        <w:tc>
          <w:tcPr>
            <w:tcW w:w="1273" w:type="dxa"/>
            <w:gridSpan w:val="2"/>
            <w:noWrap w:val="0"/>
            <w:vAlign w:val="center"/>
          </w:tcPr>
          <w:p w14:paraId="52C8A206">
            <w:pPr>
              <w:tabs>
                <w:tab w:val="left" w:pos="4320"/>
              </w:tabs>
              <w:adjustRightInd w:val="0"/>
              <w:snapToGrid w:val="0"/>
              <w:rPr>
                <w:rFonts w:ascii="宋体" w:hAnsi="宋体" w:cs="宋体"/>
                <w:color w:val="auto"/>
                <w:sz w:val="24"/>
                <w:szCs w:val="24"/>
                <w:highlight w:val="none"/>
              </w:rPr>
            </w:pPr>
          </w:p>
        </w:tc>
        <w:tc>
          <w:tcPr>
            <w:tcW w:w="1606" w:type="dxa"/>
            <w:gridSpan w:val="2"/>
            <w:tcBorders>
              <w:right w:val="double" w:color="auto" w:sz="4" w:space="0"/>
            </w:tcBorders>
            <w:noWrap w:val="0"/>
            <w:vAlign w:val="center"/>
          </w:tcPr>
          <w:p w14:paraId="3E8711B2">
            <w:pPr>
              <w:tabs>
                <w:tab w:val="left" w:pos="4320"/>
              </w:tabs>
              <w:adjustRightInd w:val="0"/>
              <w:snapToGrid w:val="0"/>
              <w:rPr>
                <w:rFonts w:ascii="宋体" w:hAnsi="宋体" w:cs="宋体"/>
                <w:color w:val="auto"/>
                <w:sz w:val="24"/>
                <w:szCs w:val="24"/>
                <w:highlight w:val="none"/>
              </w:rPr>
            </w:pPr>
          </w:p>
        </w:tc>
      </w:tr>
      <w:tr w14:paraId="545F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23A09640">
            <w:pPr>
              <w:tabs>
                <w:tab w:val="left" w:pos="4320"/>
              </w:tabs>
              <w:adjustRightInd w:val="0"/>
              <w:snapToGrid w:val="0"/>
              <w:rPr>
                <w:rFonts w:ascii="宋体" w:hAnsi="宋体" w:cs="宋体"/>
                <w:color w:val="auto"/>
                <w:sz w:val="24"/>
                <w:szCs w:val="24"/>
                <w:highlight w:val="none"/>
              </w:rPr>
            </w:pPr>
          </w:p>
        </w:tc>
        <w:tc>
          <w:tcPr>
            <w:tcW w:w="1643" w:type="dxa"/>
            <w:gridSpan w:val="3"/>
            <w:noWrap w:val="0"/>
            <w:vAlign w:val="center"/>
          </w:tcPr>
          <w:p w14:paraId="0A751E9F">
            <w:pPr>
              <w:tabs>
                <w:tab w:val="left" w:pos="4320"/>
              </w:tabs>
              <w:adjustRightInd w:val="0"/>
              <w:snapToGrid w:val="0"/>
              <w:rPr>
                <w:rFonts w:ascii="宋体" w:hAnsi="宋体" w:cs="宋体"/>
                <w:color w:val="auto"/>
                <w:sz w:val="24"/>
                <w:szCs w:val="24"/>
                <w:highlight w:val="none"/>
              </w:rPr>
            </w:pPr>
          </w:p>
        </w:tc>
        <w:tc>
          <w:tcPr>
            <w:tcW w:w="1617" w:type="dxa"/>
            <w:gridSpan w:val="2"/>
            <w:noWrap w:val="0"/>
            <w:vAlign w:val="center"/>
          </w:tcPr>
          <w:p w14:paraId="471C22DF">
            <w:pPr>
              <w:tabs>
                <w:tab w:val="left" w:pos="4320"/>
              </w:tabs>
              <w:adjustRightInd w:val="0"/>
              <w:snapToGrid w:val="0"/>
              <w:rPr>
                <w:rFonts w:ascii="宋体" w:hAnsi="宋体" w:cs="宋体"/>
                <w:color w:val="auto"/>
                <w:sz w:val="24"/>
                <w:szCs w:val="24"/>
                <w:highlight w:val="none"/>
              </w:rPr>
            </w:pPr>
          </w:p>
        </w:tc>
        <w:tc>
          <w:tcPr>
            <w:tcW w:w="946" w:type="dxa"/>
            <w:noWrap w:val="0"/>
            <w:vAlign w:val="center"/>
          </w:tcPr>
          <w:p w14:paraId="3E3C9D79">
            <w:pPr>
              <w:tabs>
                <w:tab w:val="left" w:pos="4320"/>
              </w:tabs>
              <w:adjustRightInd w:val="0"/>
              <w:snapToGrid w:val="0"/>
              <w:rPr>
                <w:rFonts w:ascii="宋体" w:hAnsi="宋体" w:cs="宋体"/>
                <w:color w:val="auto"/>
                <w:sz w:val="24"/>
                <w:szCs w:val="24"/>
                <w:highlight w:val="none"/>
              </w:rPr>
            </w:pPr>
          </w:p>
        </w:tc>
        <w:tc>
          <w:tcPr>
            <w:tcW w:w="1263" w:type="dxa"/>
            <w:noWrap w:val="0"/>
            <w:vAlign w:val="center"/>
          </w:tcPr>
          <w:p w14:paraId="5CB4638E">
            <w:pPr>
              <w:tabs>
                <w:tab w:val="left" w:pos="4320"/>
              </w:tabs>
              <w:adjustRightInd w:val="0"/>
              <w:snapToGrid w:val="0"/>
              <w:rPr>
                <w:rFonts w:ascii="宋体" w:hAnsi="宋体" w:cs="宋体"/>
                <w:color w:val="auto"/>
                <w:sz w:val="24"/>
                <w:szCs w:val="24"/>
                <w:highlight w:val="none"/>
              </w:rPr>
            </w:pPr>
          </w:p>
        </w:tc>
        <w:tc>
          <w:tcPr>
            <w:tcW w:w="1273" w:type="dxa"/>
            <w:gridSpan w:val="2"/>
            <w:noWrap w:val="0"/>
            <w:vAlign w:val="center"/>
          </w:tcPr>
          <w:p w14:paraId="40122FBA">
            <w:pPr>
              <w:tabs>
                <w:tab w:val="left" w:pos="4320"/>
              </w:tabs>
              <w:adjustRightInd w:val="0"/>
              <w:snapToGrid w:val="0"/>
              <w:rPr>
                <w:rFonts w:ascii="宋体" w:hAnsi="宋体" w:cs="宋体"/>
                <w:color w:val="auto"/>
                <w:sz w:val="24"/>
                <w:szCs w:val="24"/>
                <w:highlight w:val="none"/>
              </w:rPr>
            </w:pPr>
          </w:p>
        </w:tc>
        <w:tc>
          <w:tcPr>
            <w:tcW w:w="1606" w:type="dxa"/>
            <w:gridSpan w:val="2"/>
            <w:tcBorders>
              <w:right w:val="double" w:color="auto" w:sz="4" w:space="0"/>
            </w:tcBorders>
            <w:noWrap w:val="0"/>
            <w:vAlign w:val="center"/>
          </w:tcPr>
          <w:p w14:paraId="22404455">
            <w:pPr>
              <w:tabs>
                <w:tab w:val="left" w:pos="4320"/>
              </w:tabs>
              <w:adjustRightInd w:val="0"/>
              <w:snapToGrid w:val="0"/>
              <w:rPr>
                <w:rFonts w:ascii="宋体" w:hAnsi="宋体" w:cs="宋体"/>
                <w:color w:val="auto"/>
                <w:sz w:val="24"/>
                <w:szCs w:val="24"/>
                <w:highlight w:val="none"/>
              </w:rPr>
            </w:pPr>
          </w:p>
        </w:tc>
      </w:tr>
      <w:tr w14:paraId="62D3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78EB68F8">
            <w:pPr>
              <w:tabs>
                <w:tab w:val="left" w:pos="4320"/>
              </w:tabs>
              <w:adjustRightInd w:val="0"/>
              <w:snapToGrid w:val="0"/>
              <w:rPr>
                <w:rFonts w:ascii="宋体" w:hAnsi="宋体" w:cs="宋体"/>
                <w:color w:val="auto"/>
                <w:sz w:val="24"/>
                <w:szCs w:val="24"/>
                <w:highlight w:val="none"/>
              </w:rPr>
            </w:pPr>
          </w:p>
        </w:tc>
        <w:tc>
          <w:tcPr>
            <w:tcW w:w="1643" w:type="dxa"/>
            <w:gridSpan w:val="3"/>
            <w:noWrap w:val="0"/>
            <w:vAlign w:val="center"/>
          </w:tcPr>
          <w:p w14:paraId="69E65E0E">
            <w:pPr>
              <w:tabs>
                <w:tab w:val="left" w:pos="4320"/>
              </w:tabs>
              <w:adjustRightInd w:val="0"/>
              <w:snapToGrid w:val="0"/>
              <w:rPr>
                <w:rFonts w:ascii="宋体" w:hAnsi="宋体" w:cs="宋体"/>
                <w:color w:val="auto"/>
                <w:sz w:val="24"/>
                <w:szCs w:val="24"/>
                <w:highlight w:val="none"/>
              </w:rPr>
            </w:pPr>
          </w:p>
        </w:tc>
        <w:tc>
          <w:tcPr>
            <w:tcW w:w="1617" w:type="dxa"/>
            <w:gridSpan w:val="2"/>
            <w:noWrap w:val="0"/>
            <w:vAlign w:val="center"/>
          </w:tcPr>
          <w:p w14:paraId="3CF4576B">
            <w:pPr>
              <w:tabs>
                <w:tab w:val="left" w:pos="4320"/>
              </w:tabs>
              <w:adjustRightInd w:val="0"/>
              <w:snapToGrid w:val="0"/>
              <w:rPr>
                <w:rFonts w:ascii="宋体" w:hAnsi="宋体" w:cs="宋体"/>
                <w:color w:val="auto"/>
                <w:sz w:val="24"/>
                <w:szCs w:val="24"/>
                <w:highlight w:val="none"/>
              </w:rPr>
            </w:pPr>
          </w:p>
        </w:tc>
        <w:tc>
          <w:tcPr>
            <w:tcW w:w="946" w:type="dxa"/>
            <w:noWrap w:val="0"/>
            <w:vAlign w:val="center"/>
          </w:tcPr>
          <w:p w14:paraId="38813608">
            <w:pPr>
              <w:tabs>
                <w:tab w:val="left" w:pos="4320"/>
              </w:tabs>
              <w:adjustRightInd w:val="0"/>
              <w:snapToGrid w:val="0"/>
              <w:rPr>
                <w:rFonts w:ascii="宋体" w:hAnsi="宋体" w:cs="宋体"/>
                <w:color w:val="auto"/>
                <w:sz w:val="24"/>
                <w:szCs w:val="24"/>
                <w:highlight w:val="none"/>
              </w:rPr>
            </w:pPr>
          </w:p>
        </w:tc>
        <w:tc>
          <w:tcPr>
            <w:tcW w:w="1263" w:type="dxa"/>
            <w:noWrap w:val="0"/>
            <w:vAlign w:val="center"/>
          </w:tcPr>
          <w:p w14:paraId="12692AA6">
            <w:pPr>
              <w:tabs>
                <w:tab w:val="left" w:pos="4320"/>
              </w:tabs>
              <w:adjustRightInd w:val="0"/>
              <w:snapToGrid w:val="0"/>
              <w:rPr>
                <w:rFonts w:ascii="宋体" w:hAnsi="宋体" w:cs="宋体"/>
                <w:color w:val="auto"/>
                <w:sz w:val="24"/>
                <w:szCs w:val="24"/>
                <w:highlight w:val="none"/>
              </w:rPr>
            </w:pPr>
          </w:p>
        </w:tc>
        <w:tc>
          <w:tcPr>
            <w:tcW w:w="1273" w:type="dxa"/>
            <w:gridSpan w:val="2"/>
            <w:noWrap w:val="0"/>
            <w:vAlign w:val="center"/>
          </w:tcPr>
          <w:p w14:paraId="1502A90E">
            <w:pPr>
              <w:tabs>
                <w:tab w:val="left" w:pos="4320"/>
              </w:tabs>
              <w:adjustRightInd w:val="0"/>
              <w:snapToGrid w:val="0"/>
              <w:rPr>
                <w:rFonts w:ascii="宋体" w:hAnsi="宋体" w:cs="宋体"/>
                <w:color w:val="auto"/>
                <w:sz w:val="24"/>
                <w:szCs w:val="24"/>
                <w:highlight w:val="none"/>
              </w:rPr>
            </w:pPr>
          </w:p>
        </w:tc>
        <w:tc>
          <w:tcPr>
            <w:tcW w:w="1606" w:type="dxa"/>
            <w:gridSpan w:val="2"/>
            <w:tcBorders>
              <w:right w:val="double" w:color="auto" w:sz="4" w:space="0"/>
            </w:tcBorders>
            <w:noWrap w:val="0"/>
            <w:vAlign w:val="center"/>
          </w:tcPr>
          <w:p w14:paraId="0402B605">
            <w:pPr>
              <w:tabs>
                <w:tab w:val="left" w:pos="4320"/>
              </w:tabs>
              <w:adjustRightInd w:val="0"/>
              <w:snapToGrid w:val="0"/>
              <w:rPr>
                <w:rFonts w:ascii="宋体" w:hAnsi="宋体" w:cs="宋体"/>
                <w:color w:val="auto"/>
                <w:sz w:val="24"/>
                <w:szCs w:val="24"/>
                <w:highlight w:val="none"/>
              </w:rPr>
            </w:pPr>
          </w:p>
        </w:tc>
      </w:tr>
      <w:tr w14:paraId="4A14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69CDDB66">
            <w:pPr>
              <w:tabs>
                <w:tab w:val="left" w:pos="4320"/>
              </w:tabs>
              <w:adjustRightInd w:val="0"/>
              <w:snapToGrid w:val="0"/>
              <w:rPr>
                <w:rFonts w:ascii="宋体" w:hAnsi="宋体" w:cs="宋体"/>
                <w:color w:val="auto"/>
                <w:sz w:val="24"/>
                <w:szCs w:val="24"/>
                <w:highlight w:val="none"/>
              </w:rPr>
            </w:pPr>
          </w:p>
        </w:tc>
        <w:tc>
          <w:tcPr>
            <w:tcW w:w="1643" w:type="dxa"/>
            <w:gridSpan w:val="3"/>
            <w:noWrap w:val="0"/>
            <w:vAlign w:val="center"/>
          </w:tcPr>
          <w:p w14:paraId="49F54C4A">
            <w:pPr>
              <w:tabs>
                <w:tab w:val="left" w:pos="4320"/>
              </w:tabs>
              <w:adjustRightInd w:val="0"/>
              <w:snapToGrid w:val="0"/>
              <w:rPr>
                <w:rFonts w:ascii="宋体" w:hAnsi="宋体" w:cs="宋体"/>
                <w:color w:val="auto"/>
                <w:sz w:val="24"/>
                <w:szCs w:val="24"/>
                <w:highlight w:val="none"/>
              </w:rPr>
            </w:pPr>
          </w:p>
        </w:tc>
        <w:tc>
          <w:tcPr>
            <w:tcW w:w="1617" w:type="dxa"/>
            <w:gridSpan w:val="2"/>
            <w:noWrap w:val="0"/>
            <w:vAlign w:val="center"/>
          </w:tcPr>
          <w:p w14:paraId="447B99BB">
            <w:pPr>
              <w:tabs>
                <w:tab w:val="left" w:pos="4320"/>
              </w:tabs>
              <w:adjustRightInd w:val="0"/>
              <w:snapToGrid w:val="0"/>
              <w:rPr>
                <w:rFonts w:ascii="宋体" w:hAnsi="宋体" w:cs="宋体"/>
                <w:color w:val="auto"/>
                <w:sz w:val="24"/>
                <w:szCs w:val="24"/>
                <w:highlight w:val="none"/>
              </w:rPr>
            </w:pPr>
          </w:p>
        </w:tc>
        <w:tc>
          <w:tcPr>
            <w:tcW w:w="946" w:type="dxa"/>
            <w:noWrap w:val="0"/>
            <w:vAlign w:val="center"/>
          </w:tcPr>
          <w:p w14:paraId="71745115">
            <w:pPr>
              <w:tabs>
                <w:tab w:val="left" w:pos="4320"/>
              </w:tabs>
              <w:adjustRightInd w:val="0"/>
              <w:snapToGrid w:val="0"/>
              <w:rPr>
                <w:rFonts w:ascii="宋体" w:hAnsi="宋体" w:cs="宋体"/>
                <w:color w:val="auto"/>
                <w:sz w:val="24"/>
                <w:szCs w:val="24"/>
                <w:highlight w:val="none"/>
              </w:rPr>
            </w:pPr>
          </w:p>
        </w:tc>
        <w:tc>
          <w:tcPr>
            <w:tcW w:w="1263" w:type="dxa"/>
            <w:noWrap w:val="0"/>
            <w:vAlign w:val="center"/>
          </w:tcPr>
          <w:p w14:paraId="2A0AFF8B">
            <w:pPr>
              <w:tabs>
                <w:tab w:val="left" w:pos="4320"/>
              </w:tabs>
              <w:adjustRightInd w:val="0"/>
              <w:snapToGrid w:val="0"/>
              <w:rPr>
                <w:rFonts w:ascii="宋体" w:hAnsi="宋体" w:cs="宋体"/>
                <w:color w:val="auto"/>
                <w:sz w:val="24"/>
                <w:szCs w:val="24"/>
                <w:highlight w:val="none"/>
              </w:rPr>
            </w:pPr>
          </w:p>
        </w:tc>
        <w:tc>
          <w:tcPr>
            <w:tcW w:w="1273" w:type="dxa"/>
            <w:gridSpan w:val="2"/>
            <w:noWrap w:val="0"/>
            <w:vAlign w:val="center"/>
          </w:tcPr>
          <w:p w14:paraId="067F5EB8">
            <w:pPr>
              <w:tabs>
                <w:tab w:val="left" w:pos="4320"/>
              </w:tabs>
              <w:adjustRightInd w:val="0"/>
              <w:snapToGrid w:val="0"/>
              <w:rPr>
                <w:rFonts w:ascii="宋体" w:hAnsi="宋体" w:cs="宋体"/>
                <w:color w:val="auto"/>
                <w:sz w:val="24"/>
                <w:szCs w:val="24"/>
                <w:highlight w:val="none"/>
              </w:rPr>
            </w:pPr>
          </w:p>
        </w:tc>
        <w:tc>
          <w:tcPr>
            <w:tcW w:w="1606" w:type="dxa"/>
            <w:gridSpan w:val="2"/>
            <w:tcBorders>
              <w:right w:val="double" w:color="auto" w:sz="4" w:space="0"/>
            </w:tcBorders>
            <w:noWrap w:val="0"/>
            <w:vAlign w:val="center"/>
          </w:tcPr>
          <w:p w14:paraId="26BC864E">
            <w:pPr>
              <w:tabs>
                <w:tab w:val="left" w:pos="4320"/>
              </w:tabs>
              <w:adjustRightInd w:val="0"/>
              <w:snapToGrid w:val="0"/>
              <w:rPr>
                <w:rFonts w:ascii="宋体" w:hAnsi="宋体" w:cs="宋体"/>
                <w:color w:val="auto"/>
                <w:sz w:val="24"/>
                <w:szCs w:val="24"/>
                <w:highlight w:val="none"/>
              </w:rPr>
            </w:pPr>
          </w:p>
        </w:tc>
      </w:tr>
      <w:tr w14:paraId="25FC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7F5A926C">
            <w:pPr>
              <w:tabs>
                <w:tab w:val="left" w:pos="4320"/>
              </w:tabs>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lang w:eastAsia="zh-CN"/>
              </w:rPr>
              <w:t>其他</w:t>
            </w:r>
          </w:p>
        </w:tc>
        <w:tc>
          <w:tcPr>
            <w:tcW w:w="4206" w:type="dxa"/>
            <w:gridSpan w:val="6"/>
            <w:noWrap w:val="0"/>
            <w:vAlign w:val="center"/>
          </w:tcPr>
          <w:p w14:paraId="21762EEB">
            <w:pPr>
              <w:tabs>
                <w:tab w:val="left" w:pos="4320"/>
              </w:tabs>
              <w:adjustRightInd w:val="0"/>
              <w:snapToGrid w:val="0"/>
              <w:spacing w:before="60" w:after="60"/>
              <w:rPr>
                <w:rFonts w:ascii="宋体" w:hAnsi="宋体" w:cs="宋体"/>
                <w:color w:val="auto"/>
                <w:sz w:val="24"/>
                <w:szCs w:val="24"/>
                <w:highlight w:val="none"/>
              </w:rPr>
            </w:pPr>
            <w:r>
              <w:rPr>
                <w:rFonts w:hint="eastAsia" w:ascii="宋体" w:hAnsi="宋体" w:cs="宋体"/>
                <w:color w:val="auto"/>
                <w:sz w:val="24"/>
                <w:szCs w:val="24"/>
                <w:highlight w:val="none"/>
              </w:rPr>
              <w:t>近3年完成及正在执行的合同中发生的由于投标</w:t>
            </w:r>
            <w:r>
              <w:rPr>
                <w:rFonts w:hint="eastAsia" w:ascii="宋体" w:hAnsi="宋体" w:cs="宋体"/>
                <w:color w:val="auto"/>
                <w:sz w:val="24"/>
                <w:szCs w:val="24"/>
                <w:highlight w:val="none"/>
                <w:lang w:val="en-US" w:eastAsia="zh-CN"/>
              </w:rPr>
              <w:t>人</w:t>
            </w:r>
            <w:r>
              <w:rPr>
                <w:rFonts w:hint="eastAsia" w:ascii="宋体" w:hAnsi="宋体" w:cs="宋体"/>
                <w:color w:val="auto"/>
                <w:sz w:val="24"/>
                <w:szCs w:val="24"/>
                <w:highlight w:val="none"/>
              </w:rPr>
              <w:t>违约或部分违约而引起诉讼和受到索赔的案件具体情况及结果（须如实填写，若对此进行隐瞒，</w:t>
            </w:r>
            <w:r>
              <w:rPr>
                <w:rFonts w:hint="eastAsia" w:ascii="宋体" w:hAnsi="宋体" w:cs="宋体"/>
                <w:color w:val="auto"/>
                <w:sz w:val="24"/>
                <w:szCs w:val="24"/>
                <w:highlight w:val="none"/>
                <w:lang w:eastAsia="zh-CN"/>
              </w:rPr>
              <w:t>而后</w:t>
            </w:r>
            <w:r>
              <w:rPr>
                <w:rFonts w:hint="eastAsia" w:ascii="宋体" w:hAnsi="宋体" w:cs="宋体"/>
                <w:color w:val="auto"/>
                <w:sz w:val="24"/>
                <w:szCs w:val="24"/>
                <w:highlight w:val="none"/>
              </w:rPr>
              <w:t>又被采购人或采购代理机构发现，或被</w:t>
            </w:r>
            <w:r>
              <w:rPr>
                <w:rFonts w:hint="eastAsia" w:ascii="宋体" w:hAnsi="宋体" w:cs="宋体"/>
                <w:color w:val="auto"/>
                <w:sz w:val="24"/>
                <w:szCs w:val="24"/>
                <w:highlight w:val="none"/>
                <w:lang w:eastAsia="zh-CN"/>
              </w:rPr>
              <w:t>他人</w:t>
            </w:r>
            <w:r>
              <w:rPr>
                <w:rFonts w:hint="eastAsia" w:ascii="宋体" w:hAnsi="宋体" w:cs="宋体"/>
                <w:color w:val="auto"/>
                <w:sz w:val="24"/>
                <w:szCs w:val="24"/>
                <w:highlight w:val="none"/>
              </w:rPr>
              <w:t>举证成立，其投标资格将被取消）。</w:t>
            </w:r>
          </w:p>
        </w:tc>
        <w:tc>
          <w:tcPr>
            <w:tcW w:w="4142" w:type="dxa"/>
            <w:gridSpan w:val="5"/>
            <w:tcBorders>
              <w:right w:val="double" w:color="auto" w:sz="4" w:space="0"/>
            </w:tcBorders>
            <w:noWrap w:val="0"/>
            <w:vAlign w:val="center"/>
          </w:tcPr>
          <w:p w14:paraId="3611E674">
            <w:pPr>
              <w:tabs>
                <w:tab w:val="left" w:pos="4320"/>
              </w:tabs>
              <w:adjustRightInd w:val="0"/>
              <w:snapToGrid w:val="0"/>
              <w:spacing w:before="60" w:after="60"/>
              <w:rPr>
                <w:rFonts w:ascii="宋体" w:hAnsi="宋体" w:cs="宋体"/>
                <w:color w:val="auto"/>
                <w:sz w:val="24"/>
                <w:szCs w:val="24"/>
                <w:highlight w:val="none"/>
              </w:rPr>
            </w:pPr>
            <w:r>
              <w:rPr>
                <w:rFonts w:hint="eastAsia" w:ascii="宋体" w:hAnsi="宋体" w:cs="宋体"/>
                <w:color w:val="auto"/>
                <w:sz w:val="24"/>
                <w:szCs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23BA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0"/>
            <w:vAlign w:val="center"/>
          </w:tcPr>
          <w:p w14:paraId="36F4554A">
            <w:pPr>
              <w:tabs>
                <w:tab w:val="left" w:pos="4320"/>
              </w:tabs>
              <w:adjustRightInd w:val="0"/>
              <w:snapToGrid w:val="0"/>
              <w:rPr>
                <w:rFonts w:ascii="宋体" w:hAnsi="宋体" w:cs="宋体"/>
                <w:color w:val="auto"/>
                <w:sz w:val="24"/>
                <w:szCs w:val="24"/>
                <w:highlight w:val="none"/>
              </w:rPr>
            </w:pPr>
          </w:p>
        </w:tc>
        <w:tc>
          <w:tcPr>
            <w:tcW w:w="4206" w:type="dxa"/>
            <w:gridSpan w:val="6"/>
            <w:tcBorders>
              <w:bottom w:val="double" w:color="auto" w:sz="4" w:space="0"/>
            </w:tcBorders>
            <w:noWrap w:val="0"/>
            <w:vAlign w:val="center"/>
          </w:tcPr>
          <w:p w14:paraId="412187B0">
            <w:pPr>
              <w:tabs>
                <w:tab w:val="left" w:pos="4320"/>
              </w:tabs>
              <w:adjustRightInd w:val="0"/>
              <w:snapToGrid w:val="0"/>
              <w:rPr>
                <w:rFonts w:ascii="宋体" w:hAnsi="宋体" w:cs="宋体"/>
                <w:color w:val="auto"/>
                <w:sz w:val="24"/>
                <w:szCs w:val="24"/>
                <w:highlight w:val="none"/>
              </w:rPr>
            </w:pPr>
          </w:p>
        </w:tc>
        <w:tc>
          <w:tcPr>
            <w:tcW w:w="4142" w:type="dxa"/>
            <w:gridSpan w:val="5"/>
            <w:tcBorders>
              <w:bottom w:val="double" w:color="auto" w:sz="4" w:space="0"/>
              <w:right w:val="double" w:color="auto" w:sz="4" w:space="0"/>
            </w:tcBorders>
            <w:noWrap w:val="0"/>
            <w:vAlign w:val="center"/>
          </w:tcPr>
          <w:p w14:paraId="2DBC2E37">
            <w:pPr>
              <w:tabs>
                <w:tab w:val="left" w:pos="4320"/>
              </w:tabs>
              <w:adjustRightInd w:val="0"/>
              <w:snapToGrid w:val="0"/>
              <w:rPr>
                <w:rFonts w:ascii="宋体" w:hAnsi="宋体" w:cs="宋体"/>
                <w:color w:val="auto"/>
                <w:sz w:val="24"/>
                <w:szCs w:val="24"/>
                <w:highlight w:val="none"/>
              </w:rPr>
            </w:pPr>
          </w:p>
        </w:tc>
      </w:tr>
    </w:tbl>
    <w:p w14:paraId="0D87D688">
      <w:pPr>
        <w:spacing w:line="400" w:lineRule="exact"/>
        <w:ind w:firstLine="540"/>
        <w:contextualSpacing/>
        <w:rPr>
          <w:rFonts w:hint="eastAsia" w:ascii="宋体" w:hAnsi="宋体" w:eastAsia="宋体" w:cs="宋体"/>
          <w:b/>
          <w:bCs/>
          <w:color w:val="auto"/>
          <w:sz w:val="21"/>
          <w:szCs w:val="21"/>
          <w:highlight w:val="none"/>
          <w:lang w:val="en-US" w:eastAsia="zh-CN"/>
        </w:rPr>
      </w:pPr>
    </w:p>
    <w:p w14:paraId="0497EA95">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401F2596">
      <w:pPr>
        <w:jc w:val="center"/>
        <w:rPr>
          <w:rFonts w:hint="eastAsia" w:ascii="宋体" w:hAnsi="宋体" w:eastAsia="宋体" w:cs="宋体"/>
          <w:b/>
          <w:bCs/>
          <w:i w:val="0"/>
          <w:iCs w:val="0"/>
          <w:color w:val="auto"/>
          <w:sz w:val="30"/>
          <w:szCs w:val="30"/>
          <w:highlight w:val="none"/>
          <w:u w:val="none"/>
          <w:lang w:val="en-US" w:eastAsia="en-US"/>
        </w:rPr>
      </w:pPr>
      <w:r>
        <w:rPr>
          <w:rFonts w:hint="eastAsia" w:ascii="宋体" w:hAnsi="宋体" w:eastAsia="宋体" w:cs="宋体"/>
          <w:b/>
          <w:bCs/>
          <w:i w:val="0"/>
          <w:iCs w:val="0"/>
          <w:color w:val="auto"/>
          <w:sz w:val="30"/>
          <w:szCs w:val="30"/>
          <w:highlight w:val="none"/>
          <w:u w:val="none"/>
          <w:lang w:val="en-US" w:eastAsia="en-US"/>
        </w:rPr>
        <w:t>开标一览表</w:t>
      </w:r>
    </w:p>
    <w:p w14:paraId="50217F60">
      <w:pPr>
        <w:jc w:val="center"/>
        <w:rPr>
          <w:rFonts w:hint="eastAsia" w:ascii="宋体" w:hAnsi="宋体" w:eastAsia="宋体" w:cs="宋体"/>
          <w:b/>
          <w:bCs/>
          <w:i w:val="0"/>
          <w:iCs w:val="0"/>
          <w:color w:val="auto"/>
          <w:sz w:val="30"/>
          <w:szCs w:val="30"/>
          <w:highlight w:val="none"/>
          <w:u w:val="none"/>
          <w:lang w:val="en-US" w:eastAsia="en-US"/>
        </w:rPr>
      </w:pPr>
    </w:p>
    <w:p w14:paraId="2170B1B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南通市客运行业年度发展报告（2025年）项目</w:t>
      </w:r>
      <w:r>
        <w:rPr>
          <w:rFonts w:hint="eastAsia" w:ascii="宋体" w:hAnsi="宋体" w:eastAsia="宋体" w:cs="宋体"/>
          <w:color w:val="auto"/>
          <w:sz w:val="24"/>
          <w:szCs w:val="24"/>
          <w:highlight w:val="none"/>
        </w:rPr>
        <w:t xml:space="preserve">                               </w:t>
      </w:r>
    </w:p>
    <w:tbl>
      <w:tblPr>
        <w:tblStyle w:val="4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79811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8206" w:type="dxa"/>
            <w:noWrap w:val="0"/>
            <w:vAlign w:val="center"/>
          </w:tcPr>
          <w:p w14:paraId="510B351C">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投标总报价</w:t>
            </w:r>
          </w:p>
        </w:tc>
      </w:tr>
      <w:tr w14:paraId="02E23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noWrap w:val="0"/>
            <w:vAlign w:val="center"/>
          </w:tcPr>
          <w:p w14:paraId="132988FE">
            <w:pPr>
              <w:pStyle w:val="262"/>
              <w:keepNext w:val="0"/>
              <w:keepLines w:val="0"/>
              <w:pageBreakBefore w:val="0"/>
              <w:kinsoku/>
              <w:wordWrap/>
              <w:overflowPunct/>
              <w:topLinePunct w:val="0"/>
              <w:autoSpaceDE/>
              <w:autoSpaceDN/>
              <w:bidi w:val="0"/>
              <w:adjustRightInd w:val="0"/>
              <w:snapToGrid/>
              <w:spacing w:before="0" w:after="0" w:line="360" w:lineRule="auto"/>
              <w:ind w:firstLine="1200" w:firstLineChars="5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大写：人民币</w:t>
            </w:r>
          </w:p>
          <w:p w14:paraId="6DAD6857">
            <w:pPr>
              <w:pStyle w:val="262"/>
              <w:keepNext w:val="0"/>
              <w:keepLines w:val="0"/>
              <w:pageBreakBefore w:val="0"/>
              <w:kinsoku/>
              <w:wordWrap/>
              <w:overflowPunct/>
              <w:topLinePunct w:val="0"/>
              <w:autoSpaceDE/>
              <w:autoSpaceDN/>
              <w:bidi w:val="0"/>
              <w:adjustRightInd w:val="0"/>
              <w:snapToGrid/>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                             （人民币：元）</w:t>
            </w:r>
          </w:p>
        </w:tc>
      </w:tr>
    </w:tbl>
    <w:p w14:paraId="08A2905D">
      <w:pPr>
        <w:pStyle w:val="43"/>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p>
    <w:p w14:paraId="424B4A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319"/>
          <w:rFonts w:hint="eastAsia" w:ascii="宋体" w:hAnsi="宋体" w:eastAsia="宋体" w:cs="宋体"/>
          <w:color w:val="auto"/>
          <w:sz w:val="24"/>
          <w:szCs w:val="24"/>
          <w:highlight w:val="none"/>
        </w:rPr>
      </w:pPr>
      <w:r>
        <w:rPr>
          <w:rStyle w:val="319"/>
          <w:rFonts w:hint="eastAsia" w:ascii="宋体" w:hAnsi="宋体" w:cs="宋体"/>
          <w:color w:val="auto"/>
          <w:sz w:val="24"/>
          <w:szCs w:val="24"/>
          <w:highlight w:val="none"/>
          <w:lang w:val="en-US" w:eastAsia="zh-CN"/>
        </w:rPr>
        <w:t xml:space="preserve">                               </w:t>
      </w:r>
      <w:r>
        <w:rPr>
          <w:rStyle w:val="319"/>
          <w:rFonts w:hint="eastAsia" w:ascii="宋体" w:hAnsi="宋体" w:eastAsia="宋体" w:cs="宋体"/>
          <w:color w:val="auto"/>
          <w:sz w:val="24"/>
          <w:szCs w:val="24"/>
          <w:highlight w:val="none"/>
          <w:lang w:val="en-US" w:eastAsia="zh-CN"/>
        </w:rPr>
        <w:t>投标</w:t>
      </w:r>
      <w:r>
        <w:rPr>
          <w:rStyle w:val="319"/>
          <w:rFonts w:hint="eastAsia" w:ascii="宋体" w:hAnsi="宋体" w:eastAsia="宋体" w:cs="宋体"/>
          <w:color w:val="auto"/>
          <w:sz w:val="24"/>
          <w:szCs w:val="24"/>
          <w:highlight w:val="none"/>
        </w:rPr>
        <w:t>人：</w:t>
      </w:r>
      <w:r>
        <w:rPr>
          <w:rFonts w:hint="eastAsia" w:ascii="宋体" w:hAnsi="宋体" w:eastAsia="宋体" w:cs="宋体"/>
          <w:b w:val="0"/>
          <w:bCs w:val="0"/>
          <w:color w:val="auto"/>
          <w:sz w:val="24"/>
          <w:szCs w:val="24"/>
          <w:highlight w:val="none"/>
        </w:rPr>
        <w:t>（</w:t>
      </w:r>
      <w:r>
        <w:rPr>
          <w:rFonts w:hint="eastAsia" w:ascii="宋体" w:hAnsi="宋体"/>
          <w:color w:val="auto"/>
          <w:sz w:val="24"/>
          <w:szCs w:val="24"/>
          <w:highlight w:val="none"/>
        </w:rPr>
        <w:t>盖章</w:t>
      </w:r>
      <w:r>
        <w:rPr>
          <w:rFonts w:hint="eastAsia" w:ascii="宋体" w:hAnsi="宋体" w:eastAsia="宋体" w:cs="宋体"/>
          <w:b w:val="0"/>
          <w:bCs w:val="0"/>
          <w:color w:val="auto"/>
          <w:sz w:val="24"/>
          <w:szCs w:val="24"/>
          <w:highlight w:val="none"/>
        </w:rPr>
        <w:t>）</w:t>
      </w:r>
    </w:p>
    <w:p w14:paraId="6DE7E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日期：  年  月  日</w:t>
      </w:r>
    </w:p>
    <w:p w14:paraId="32264D70">
      <w:pPr>
        <w:rPr>
          <w:rFonts w:hint="eastAsia" w:ascii="宋体" w:hAnsi="宋体" w:eastAsia="宋体" w:cs="宋体"/>
          <w:b/>
          <w:bCs/>
          <w:i w:val="0"/>
          <w:iCs w:val="0"/>
          <w:color w:val="auto"/>
          <w:sz w:val="30"/>
          <w:szCs w:val="30"/>
          <w:highlight w:val="none"/>
          <w:u w:val="none"/>
          <w:lang w:val="en-US" w:eastAsia="zh-CN"/>
        </w:rPr>
      </w:pPr>
      <w:r>
        <w:rPr>
          <w:rFonts w:hint="eastAsia" w:ascii="宋体" w:hAnsi="宋体" w:eastAsia="宋体" w:cs="宋体"/>
          <w:b/>
          <w:bCs/>
          <w:i w:val="0"/>
          <w:iCs w:val="0"/>
          <w:color w:val="auto"/>
          <w:sz w:val="30"/>
          <w:szCs w:val="30"/>
          <w:highlight w:val="none"/>
          <w:u w:val="none"/>
          <w:lang w:val="en-US" w:eastAsia="zh-CN"/>
        </w:rPr>
        <w:br w:type="page"/>
      </w:r>
    </w:p>
    <w:p w14:paraId="1AE855F8">
      <w:pPr>
        <w:numPr>
          <w:ilvl w:val="0"/>
          <w:numId w:val="0"/>
        </w:numPr>
        <w:jc w:val="center"/>
        <w:rPr>
          <w:rFonts w:hint="eastAsia" w:ascii="宋体" w:hAnsi="宋体" w:eastAsia="宋体" w:cs="宋体"/>
          <w:b/>
          <w:bCs/>
          <w:i w:val="0"/>
          <w:iCs w:val="0"/>
          <w:color w:val="auto"/>
          <w:sz w:val="30"/>
          <w:szCs w:val="30"/>
          <w:highlight w:val="none"/>
          <w:u w:val="none"/>
          <w:lang w:val="en-US" w:eastAsia="zh-CN"/>
        </w:rPr>
      </w:pPr>
      <w:r>
        <w:rPr>
          <w:rFonts w:hint="eastAsia" w:ascii="宋体" w:hAnsi="宋体" w:eastAsia="宋体" w:cs="宋体"/>
          <w:b/>
          <w:bCs/>
          <w:i w:val="0"/>
          <w:iCs w:val="0"/>
          <w:color w:val="auto"/>
          <w:sz w:val="30"/>
          <w:szCs w:val="30"/>
          <w:highlight w:val="none"/>
          <w:u w:val="none"/>
          <w:lang w:val="en-US" w:eastAsia="zh-CN"/>
        </w:rPr>
        <w:t>投标分项报价表</w:t>
      </w:r>
    </w:p>
    <w:p w14:paraId="691E4F8C">
      <w:pPr>
        <w:jc w:val="center"/>
        <w:rPr>
          <w:rFonts w:hint="eastAsia" w:ascii="宋体" w:hAnsi="宋体" w:eastAsia="宋体" w:cs="宋体"/>
          <w:b/>
          <w:color w:val="auto"/>
          <w:sz w:val="30"/>
          <w:szCs w:val="30"/>
          <w:highlight w:val="none"/>
        </w:rPr>
      </w:pPr>
    </w:p>
    <w:p w14:paraId="30BE27E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南通市客运行业年度发展报告（2025年）项目</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2108"/>
        <w:gridCol w:w="1080"/>
        <w:gridCol w:w="1172"/>
        <w:gridCol w:w="1771"/>
        <w:gridCol w:w="1724"/>
        <w:gridCol w:w="838"/>
      </w:tblGrid>
      <w:tr w14:paraId="2F1C0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723" w:type="dxa"/>
            <w:noWrap w:val="0"/>
            <w:vAlign w:val="center"/>
          </w:tcPr>
          <w:p w14:paraId="5F7694DF">
            <w:pPr>
              <w:autoSpaceDE w:val="0"/>
              <w:autoSpaceDN w:val="0"/>
              <w:jc w:val="center"/>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序号</w:t>
            </w:r>
          </w:p>
        </w:tc>
        <w:tc>
          <w:tcPr>
            <w:tcW w:w="2108" w:type="dxa"/>
            <w:noWrap w:val="0"/>
            <w:vAlign w:val="center"/>
          </w:tcPr>
          <w:p w14:paraId="1DCE506B">
            <w:pPr>
              <w:autoSpaceDE w:val="0"/>
              <w:autoSpaceDN w:val="0"/>
              <w:jc w:val="center"/>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名称</w:t>
            </w:r>
          </w:p>
        </w:tc>
        <w:tc>
          <w:tcPr>
            <w:tcW w:w="1080" w:type="dxa"/>
            <w:noWrap w:val="0"/>
            <w:vAlign w:val="center"/>
          </w:tcPr>
          <w:p w14:paraId="6322656C">
            <w:pPr>
              <w:autoSpaceDE w:val="0"/>
              <w:autoSpaceDN w:val="0"/>
              <w:jc w:val="center"/>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单位</w:t>
            </w:r>
          </w:p>
        </w:tc>
        <w:tc>
          <w:tcPr>
            <w:tcW w:w="1172" w:type="dxa"/>
            <w:noWrap w:val="0"/>
            <w:vAlign w:val="center"/>
          </w:tcPr>
          <w:p w14:paraId="56B25AE7">
            <w:pPr>
              <w:autoSpaceDE w:val="0"/>
              <w:autoSpaceDN w:val="0"/>
              <w:jc w:val="center"/>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数量</w:t>
            </w:r>
          </w:p>
        </w:tc>
        <w:tc>
          <w:tcPr>
            <w:tcW w:w="1771" w:type="dxa"/>
            <w:noWrap w:val="0"/>
            <w:vAlign w:val="center"/>
          </w:tcPr>
          <w:p w14:paraId="60C7CBE5">
            <w:pPr>
              <w:autoSpaceDE w:val="0"/>
              <w:autoSpaceDN w:val="0"/>
              <w:jc w:val="center"/>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单价（</w:t>
            </w:r>
            <w:r>
              <w:rPr>
                <w:rFonts w:hint="eastAsia" w:ascii="宋体" w:hAnsi="宋体" w:eastAsia="宋体" w:cs="宋体"/>
                <w:b/>
                <w:color w:val="auto"/>
                <w:kern w:val="0"/>
                <w:sz w:val="24"/>
                <w:szCs w:val="24"/>
                <w:highlight w:val="none"/>
                <w:lang w:bidi="zh-CN"/>
              </w:rPr>
              <w:t>元</w:t>
            </w:r>
            <w:r>
              <w:rPr>
                <w:rFonts w:hint="eastAsia" w:ascii="宋体" w:hAnsi="宋体" w:eastAsia="宋体" w:cs="宋体"/>
                <w:b/>
                <w:color w:val="auto"/>
                <w:kern w:val="0"/>
                <w:sz w:val="24"/>
                <w:szCs w:val="24"/>
                <w:highlight w:val="none"/>
                <w:lang w:val="zh-CN" w:bidi="zh-CN"/>
              </w:rPr>
              <w:t>）</w:t>
            </w:r>
          </w:p>
        </w:tc>
        <w:tc>
          <w:tcPr>
            <w:tcW w:w="1724" w:type="dxa"/>
            <w:noWrap w:val="0"/>
            <w:vAlign w:val="center"/>
          </w:tcPr>
          <w:p w14:paraId="1E8F77F8">
            <w:pPr>
              <w:autoSpaceDE w:val="0"/>
              <w:autoSpaceDN w:val="0"/>
              <w:jc w:val="center"/>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金额（</w:t>
            </w:r>
            <w:r>
              <w:rPr>
                <w:rFonts w:hint="eastAsia" w:ascii="宋体" w:hAnsi="宋体" w:eastAsia="宋体" w:cs="宋体"/>
                <w:b/>
                <w:color w:val="auto"/>
                <w:kern w:val="0"/>
                <w:sz w:val="24"/>
                <w:szCs w:val="24"/>
                <w:highlight w:val="none"/>
                <w:lang w:bidi="zh-CN"/>
              </w:rPr>
              <w:t>元</w:t>
            </w:r>
            <w:r>
              <w:rPr>
                <w:rFonts w:hint="eastAsia" w:ascii="宋体" w:hAnsi="宋体" w:eastAsia="宋体" w:cs="宋体"/>
                <w:b/>
                <w:color w:val="auto"/>
                <w:kern w:val="0"/>
                <w:sz w:val="24"/>
                <w:szCs w:val="24"/>
                <w:highlight w:val="none"/>
                <w:lang w:val="zh-CN" w:bidi="zh-CN"/>
              </w:rPr>
              <w:t>）</w:t>
            </w:r>
          </w:p>
        </w:tc>
        <w:tc>
          <w:tcPr>
            <w:tcW w:w="838" w:type="dxa"/>
            <w:noWrap w:val="0"/>
            <w:vAlign w:val="center"/>
          </w:tcPr>
          <w:p w14:paraId="4F34F89F">
            <w:pPr>
              <w:autoSpaceDE w:val="0"/>
              <w:autoSpaceDN w:val="0"/>
              <w:jc w:val="center"/>
              <w:rPr>
                <w:rFonts w:hint="eastAsia" w:ascii="宋体" w:hAnsi="宋体" w:eastAsia="宋体" w:cs="宋体"/>
                <w:b/>
                <w:color w:val="auto"/>
                <w:kern w:val="0"/>
                <w:sz w:val="24"/>
                <w:szCs w:val="24"/>
                <w:highlight w:val="none"/>
                <w:lang w:val="zh-CN" w:bidi="zh-CN"/>
              </w:rPr>
            </w:pPr>
            <w:r>
              <w:rPr>
                <w:rFonts w:hint="eastAsia" w:ascii="宋体" w:hAnsi="宋体" w:eastAsia="宋体" w:cs="宋体"/>
                <w:b/>
                <w:color w:val="auto"/>
                <w:kern w:val="0"/>
                <w:sz w:val="24"/>
                <w:szCs w:val="24"/>
                <w:highlight w:val="none"/>
                <w:lang w:val="zh-CN" w:bidi="zh-CN"/>
              </w:rPr>
              <w:t>备注</w:t>
            </w:r>
          </w:p>
        </w:tc>
      </w:tr>
      <w:tr w14:paraId="54041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723" w:type="dxa"/>
            <w:noWrap w:val="0"/>
            <w:vAlign w:val="center"/>
          </w:tcPr>
          <w:p w14:paraId="0D7D6CA1">
            <w:pPr>
              <w:autoSpaceDE w:val="0"/>
              <w:autoSpaceDN w:val="0"/>
              <w:ind w:left="8"/>
              <w:jc w:val="center"/>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1</w:t>
            </w:r>
          </w:p>
        </w:tc>
        <w:tc>
          <w:tcPr>
            <w:tcW w:w="2108" w:type="dxa"/>
            <w:noWrap w:val="0"/>
            <w:vAlign w:val="center"/>
          </w:tcPr>
          <w:p w14:paraId="62414F4E">
            <w:pPr>
              <w:autoSpaceDE w:val="0"/>
              <w:autoSpaceDN w:val="0"/>
              <w:jc w:val="center"/>
              <w:rPr>
                <w:rFonts w:hint="eastAsia" w:ascii="宋体" w:hAnsi="宋体" w:eastAsia="宋体" w:cs="宋体"/>
                <w:color w:val="auto"/>
                <w:kern w:val="0"/>
                <w:sz w:val="24"/>
                <w:szCs w:val="24"/>
                <w:highlight w:val="none"/>
                <w:lang w:val="zh-CN" w:bidi="zh-CN"/>
              </w:rPr>
            </w:pPr>
          </w:p>
        </w:tc>
        <w:tc>
          <w:tcPr>
            <w:tcW w:w="1080" w:type="dxa"/>
            <w:noWrap w:val="0"/>
            <w:vAlign w:val="center"/>
          </w:tcPr>
          <w:p w14:paraId="284637DA">
            <w:pPr>
              <w:autoSpaceDE w:val="0"/>
              <w:autoSpaceDN w:val="0"/>
              <w:jc w:val="center"/>
              <w:rPr>
                <w:rFonts w:hint="eastAsia" w:ascii="宋体" w:hAnsi="宋体" w:eastAsia="宋体" w:cs="宋体"/>
                <w:color w:val="auto"/>
                <w:kern w:val="0"/>
                <w:sz w:val="24"/>
                <w:szCs w:val="24"/>
                <w:highlight w:val="none"/>
                <w:lang w:val="zh-CN" w:bidi="zh-CN"/>
              </w:rPr>
            </w:pPr>
          </w:p>
        </w:tc>
        <w:tc>
          <w:tcPr>
            <w:tcW w:w="1172" w:type="dxa"/>
            <w:noWrap w:val="0"/>
            <w:vAlign w:val="center"/>
          </w:tcPr>
          <w:p w14:paraId="7ECD9354">
            <w:pPr>
              <w:autoSpaceDE w:val="0"/>
              <w:autoSpaceDN w:val="0"/>
              <w:jc w:val="center"/>
              <w:rPr>
                <w:rFonts w:hint="eastAsia" w:ascii="宋体" w:hAnsi="宋体" w:eastAsia="宋体" w:cs="宋体"/>
                <w:color w:val="auto"/>
                <w:kern w:val="0"/>
                <w:sz w:val="24"/>
                <w:szCs w:val="24"/>
                <w:highlight w:val="none"/>
                <w:lang w:val="zh-CN" w:bidi="zh-CN"/>
              </w:rPr>
            </w:pPr>
          </w:p>
        </w:tc>
        <w:tc>
          <w:tcPr>
            <w:tcW w:w="1771" w:type="dxa"/>
            <w:noWrap w:val="0"/>
            <w:vAlign w:val="center"/>
          </w:tcPr>
          <w:p w14:paraId="11163DC7">
            <w:pPr>
              <w:autoSpaceDE w:val="0"/>
              <w:autoSpaceDN w:val="0"/>
              <w:jc w:val="center"/>
              <w:rPr>
                <w:rFonts w:hint="eastAsia" w:ascii="宋体" w:hAnsi="宋体" w:eastAsia="宋体" w:cs="宋体"/>
                <w:color w:val="auto"/>
                <w:kern w:val="0"/>
                <w:sz w:val="24"/>
                <w:szCs w:val="24"/>
                <w:highlight w:val="none"/>
                <w:lang w:val="zh-CN" w:bidi="zh-CN"/>
              </w:rPr>
            </w:pPr>
          </w:p>
        </w:tc>
        <w:tc>
          <w:tcPr>
            <w:tcW w:w="1724" w:type="dxa"/>
            <w:noWrap w:val="0"/>
            <w:vAlign w:val="center"/>
          </w:tcPr>
          <w:p w14:paraId="4EE10151">
            <w:pPr>
              <w:autoSpaceDE w:val="0"/>
              <w:autoSpaceDN w:val="0"/>
              <w:jc w:val="center"/>
              <w:rPr>
                <w:rFonts w:hint="eastAsia" w:ascii="宋体" w:hAnsi="宋体" w:eastAsia="宋体" w:cs="宋体"/>
                <w:color w:val="auto"/>
                <w:kern w:val="0"/>
                <w:sz w:val="24"/>
                <w:szCs w:val="24"/>
                <w:highlight w:val="none"/>
                <w:lang w:val="zh-CN" w:bidi="zh-CN"/>
              </w:rPr>
            </w:pPr>
          </w:p>
        </w:tc>
        <w:tc>
          <w:tcPr>
            <w:tcW w:w="838" w:type="dxa"/>
            <w:noWrap w:val="0"/>
            <w:vAlign w:val="center"/>
          </w:tcPr>
          <w:p w14:paraId="61F4A801">
            <w:pPr>
              <w:autoSpaceDE w:val="0"/>
              <w:autoSpaceDN w:val="0"/>
              <w:jc w:val="center"/>
              <w:rPr>
                <w:rFonts w:hint="eastAsia" w:ascii="宋体" w:hAnsi="宋体" w:eastAsia="宋体" w:cs="宋体"/>
                <w:color w:val="auto"/>
                <w:kern w:val="0"/>
                <w:sz w:val="24"/>
                <w:szCs w:val="24"/>
                <w:highlight w:val="none"/>
                <w:lang w:val="zh-CN" w:bidi="zh-CN"/>
              </w:rPr>
            </w:pPr>
          </w:p>
        </w:tc>
      </w:tr>
      <w:tr w14:paraId="6F165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723" w:type="dxa"/>
            <w:noWrap w:val="0"/>
            <w:vAlign w:val="center"/>
          </w:tcPr>
          <w:p w14:paraId="01103F61">
            <w:pPr>
              <w:autoSpaceDE w:val="0"/>
              <w:autoSpaceDN w:val="0"/>
              <w:ind w:left="8"/>
              <w:jc w:val="center"/>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2</w:t>
            </w:r>
          </w:p>
        </w:tc>
        <w:tc>
          <w:tcPr>
            <w:tcW w:w="2108" w:type="dxa"/>
            <w:noWrap w:val="0"/>
            <w:vAlign w:val="center"/>
          </w:tcPr>
          <w:p w14:paraId="03DC63B8">
            <w:pPr>
              <w:autoSpaceDE w:val="0"/>
              <w:autoSpaceDN w:val="0"/>
              <w:jc w:val="center"/>
              <w:rPr>
                <w:rFonts w:hint="eastAsia" w:ascii="宋体" w:hAnsi="宋体" w:eastAsia="宋体" w:cs="宋体"/>
                <w:color w:val="auto"/>
                <w:kern w:val="0"/>
                <w:sz w:val="24"/>
                <w:szCs w:val="24"/>
                <w:highlight w:val="none"/>
                <w:lang w:val="zh-CN" w:bidi="zh-CN"/>
              </w:rPr>
            </w:pPr>
          </w:p>
        </w:tc>
        <w:tc>
          <w:tcPr>
            <w:tcW w:w="1080" w:type="dxa"/>
            <w:noWrap w:val="0"/>
            <w:vAlign w:val="center"/>
          </w:tcPr>
          <w:p w14:paraId="5712D6ED">
            <w:pPr>
              <w:autoSpaceDE w:val="0"/>
              <w:autoSpaceDN w:val="0"/>
              <w:jc w:val="center"/>
              <w:rPr>
                <w:rFonts w:hint="eastAsia" w:ascii="宋体" w:hAnsi="宋体" w:eastAsia="宋体" w:cs="宋体"/>
                <w:color w:val="auto"/>
                <w:kern w:val="0"/>
                <w:sz w:val="24"/>
                <w:szCs w:val="24"/>
                <w:highlight w:val="none"/>
                <w:lang w:val="zh-CN" w:bidi="zh-CN"/>
              </w:rPr>
            </w:pPr>
          </w:p>
        </w:tc>
        <w:tc>
          <w:tcPr>
            <w:tcW w:w="1172" w:type="dxa"/>
            <w:noWrap w:val="0"/>
            <w:vAlign w:val="center"/>
          </w:tcPr>
          <w:p w14:paraId="70487C39">
            <w:pPr>
              <w:autoSpaceDE w:val="0"/>
              <w:autoSpaceDN w:val="0"/>
              <w:jc w:val="center"/>
              <w:rPr>
                <w:rFonts w:hint="eastAsia" w:ascii="宋体" w:hAnsi="宋体" w:eastAsia="宋体" w:cs="宋体"/>
                <w:color w:val="auto"/>
                <w:kern w:val="0"/>
                <w:sz w:val="24"/>
                <w:szCs w:val="24"/>
                <w:highlight w:val="none"/>
                <w:lang w:val="zh-CN" w:bidi="zh-CN"/>
              </w:rPr>
            </w:pPr>
          </w:p>
        </w:tc>
        <w:tc>
          <w:tcPr>
            <w:tcW w:w="1771" w:type="dxa"/>
            <w:noWrap w:val="0"/>
            <w:vAlign w:val="center"/>
          </w:tcPr>
          <w:p w14:paraId="54879D26">
            <w:pPr>
              <w:autoSpaceDE w:val="0"/>
              <w:autoSpaceDN w:val="0"/>
              <w:jc w:val="center"/>
              <w:rPr>
                <w:rFonts w:hint="eastAsia" w:ascii="宋体" w:hAnsi="宋体" w:eastAsia="宋体" w:cs="宋体"/>
                <w:color w:val="auto"/>
                <w:kern w:val="0"/>
                <w:sz w:val="24"/>
                <w:szCs w:val="24"/>
                <w:highlight w:val="none"/>
                <w:lang w:val="zh-CN" w:bidi="zh-CN"/>
              </w:rPr>
            </w:pPr>
          </w:p>
        </w:tc>
        <w:tc>
          <w:tcPr>
            <w:tcW w:w="1724" w:type="dxa"/>
            <w:noWrap w:val="0"/>
            <w:vAlign w:val="center"/>
          </w:tcPr>
          <w:p w14:paraId="1D2B50BA">
            <w:pPr>
              <w:autoSpaceDE w:val="0"/>
              <w:autoSpaceDN w:val="0"/>
              <w:jc w:val="center"/>
              <w:rPr>
                <w:rFonts w:hint="eastAsia" w:ascii="宋体" w:hAnsi="宋体" w:eastAsia="宋体" w:cs="宋体"/>
                <w:color w:val="auto"/>
                <w:kern w:val="0"/>
                <w:sz w:val="24"/>
                <w:szCs w:val="24"/>
                <w:highlight w:val="none"/>
                <w:lang w:val="zh-CN" w:bidi="zh-CN"/>
              </w:rPr>
            </w:pPr>
          </w:p>
        </w:tc>
        <w:tc>
          <w:tcPr>
            <w:tcW w:w="838" w:type="dxa"/>
            <w:noWrap w:val="0"/>
            <w:vAlign w:val="center"/>
          </w:tcPr>
          <w:p w14:paraId="60B33DF5">
            <w:pPr>
              <w:autoSpaceDE w:val="0"/>
              <w:autoSpaceDN w:val="0"/>
              <w:jc w:val="center"/>
              <w:rPr>
                <w:rFonts w:hint="eastAsia" w:ascii="宋体" w:hAnsi="宋体" w:eastAsia="宋体" w:cs="宋体"/>
                <w:color w:val="auto"/>
                <w:kern w:val="0"/>
                <w:sz w:val="24"/>
                <w:szCs w:val="24"/>
                <w:highlight w:val="none"/>
                <w:lang w:val="zh-CN" w:bidi="zh-CN"/>
              </w:rPr>
            </w:pPr>
          </w:p>
        </w:tc>
      </w:tr>
      <w:tr w14:paraId="066EB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noWrap w:val="0"/>
            <w:vAlign w:val="center"/>
          </w:tcPr>
          <w:p w14:paraId="6E031681">
            <w:pPr>
              <w:autoSpaceDE w:val="0"/>
              <w:autoSpaceDN w:val="0"/>
              <w:ind w:left="8"/>
              <w:jc w:val="center"/>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3</w:t>
            </w:r>
          </w:p>
        </w:tc>
        <w:tc>
          <w:tcPr>
            <w:tcW w:w="2108" w:type="dxa"/>
            <w:noWrap w:val="0"/>
            <w:vAlign w:val="center"/>
          </w:tcPr>
          <w:p w14:paraId="448F0F86">
            <w:pPr>
              <w:autoSpaceDE w:val="0"/>
              <w:autoSpaceDN w:val="0"/>
              <w:jc w:val="center"/>
              <w:rPr>
                <w:rFonts w:hint="eastAsia" w:ascii="宋体" w:hAnsi="宋体" w:eastAsia="宋体" w:cs="宋体"/>
                <w:color w:val="auto"/>
                <w:kern w:val="0"/>
                <w:sz w:val="24"/>
                <w:szCs w:val="24"/>
                <w:highlight w:val="none"/>
                <w:lang w:val="zh-CN" w:bidi="zh-CN"/>
              </w:rPr>
            </w:pPr>
          </w:p>
        </w:tc>
        <w:tc>
          <w:tcPr>
            <w:tcW w:w="1080" w:type="dxa"/>
            <w:noWrap w:val="0"/>
            <w:vAlign w:val="center"/>
          </w:tcPr>
          <w:p w14:paraId="6C74396E">
            <w:pPr>
              <w:autoSpaceDE w:val="0"/>
              <w:autoSpaceDN w:val="0"/>
              <w:jc w:val="center"/>
              <w:rPr>
                <w:rFonts w:hint="eastAsia" w:ascii="宋体" w:hAnsi="宋体" w:eastAsia="宋体" w:cs="宋体"/>
                <w:color w:val="auto"/>
                <w:kern w:val="0"/>
                <w:sz w:val="24"/>
                <w:szCs w:val="24"/>
                <w:highlight w:val="none"/>
                <w:lang w:val="zh-CN" w:bidi="zh-CN"/>
              </w:rPr>
            </w:pPr>
          </w:p>
        </w:tc>
        <w:tc>
          <w:tcPr>
            <w:tcW w:w="1172" w:type="dxa"/>
            <w:noWrap w:val="0"/>
            <w:vAlign w:val="center"/>
          </w:tcPr>
          <w:p w14:paraId="67975D29">
            <w:pPr>
              <w:autoSpaceDE w:val="0"/>
              <w:autoSpaceDN w:val="0"/>
              <w:jc w:val="center"/>
              <w:rPr>
                <w:rFonts w:hint="eastAsia" w:ascii="宋体" w:hAnsi="宋体" w:eastAsia="宋体" w:cs="宋体"/>
                <w:color w:val="auto"/>
                <w:kern w:val="0"/>
                <w:sz w:val="24"/>
                <w:szCs w:val="24"/>
                <w:highlight w:val="none"/>
                <w:lang w:val="zh-CN" w:bidi="zh-CN"/>
              </w:rPr>
            </w:pPr>
          </w:p>
        </w:tc>
        <w:tc>
          <w:tcPr>
            <w:tcW w:w="1771" w:type="dxa"/>
            <w:noWrap w:val="0"/>
            <w:vAlign w:val="center"/>
          </w:tcPr>
          <w:p w14:paraId="3CCF38C6">
            <w:pPr>
              <w:autoSpaceDE w:val="0"/>
              <w:autoSpaceDN w:val="0"/>
              <w:jc w:val="center"/>
              <w:rPr>
                <w:rFonts w:hint="eastAsia" w:ascii="宋体" w:hAnsi="宋体" w:eastAsia="宋体" w:cs="宋体"/>
                <w:color w:val="auto"/>
                <w:kern w:val="0"/>
                <w:sz w:val="24"/>
                <w:szCs w:val="24"/>
                <w:highlight w:val="none"/>
                <w:lang w:val="zh-CN" w:bidi="zh-CN"/>
              </w:rPr>
            </w:pPr>
          </w:p>
        </w:tc>
        <w:tc>
          <w:tcPr>
            <w:tcW w:w="1724" w:type="dxa"/>
            <w:noWrap w:val="0"/>
            <w:vAlign w:val="center"/>
          </w:tcPr>
          <w:p w14:paraId="679FDB46">
            <w:pPr>
              <w:autoSpaceDE w:val="0"/>
              <w:autoSpaceDN w:val="0"/>
              <w:jc w:val="center"/>
              <w:rPr>
                <w:rFonts w:hint="eastAsia" w:ascii="宋体" w:hAnsi="宋体" w:eastAsia="宋体" w:cs="宋体"/>
                <w:color w:val="auto"/>
                <w:kern w:val="0"/>
                <w:sz w:val="24"/>
                <w:szCs w:val="24"/>
                <w:highlight w:val="none"/>
                <w:lang w:val="zh-CN" w:bidi="zh-CN"/>
              </w:rPr>
            </w:pPr>
          </w:p>
        </w:tc>
        <w:tc>
          <w:tcPr>
            <w:tcW w:w="838" w:type="dxa"/>
            <w:noWrap w:val="0"/>
            <w:vAlign w:val="center"/>
          </w:tcPr>
          <w:p w14:paraId="17E20AAA">
            <w:pPr>
              <w:autoSpaceDE w:val="0"/>
              <w:autoSpaceDN w:val="0"/>
              <w:jc w:val="center"/>
              <w:rPr>
                <w:rFonts w:hint="eastAsia" w:ascii="宋体" w:hAnsi="宋体" w:eastAsia="宋体" w:cs="宋体"/>
                <w:color w:val="auto"/>
                <w:kern w:val="0"/>
                <w:sz w:val="24"/>
                <w:szCs w:val="24"/>
                <w:highlight w:val="none"/>
                <w:lang w:val="zh-CN" w:bidi="zh-CN"/>
              </w:rPr>
            </w:pPr>
          </w:p>
        </w:tc>
      </w:tr>
      <w:tr w14:paraId="5740A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723" w:type="dxa"/>
            <w:noWrap w:val="0"/>
            <w:vAlign w:val="center"/>
          </w:tcPr>
          <w:p w14:paraId="107C92A4">
            <w:pPr>
              <w:autoSpaceDE w:val="0"/>
              <w:autoSpaceDN w:val="0"/>
              <w:ind w:left="8"/>
              <w:jc w:val="center"/>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4</w:t>
            </w:r>
          </w:p>
        </w:tc>
        <w:tc>
          <w:tcPr>
            <w:tcW w:w="2108" w:type="dxa"/>
            <w:noWrap w:val="0"/>
            <w:vAlign w:val="center"/>
          </w:tcPr>
          <w:p w14:paraId="5FBC8DCE">
            <w:pPr>
              <w:autoSpaceDE w:val="0"/>
              <w:autoSpaceDN w:val="0"/>
              <w:jc w:val="center"/>
              <w:rPr>
                <w:rFonts w:hint="eastAsia" w:ascii="宋体" w:hAnsi="宋体" w:eastAsia="宋体" w:cs="宋体"/>
                <w:color w:val="auto"/>
                <w:kern w:val="0"/>
                <w:sz w:val="24"/>
                <w:szCs w:val="24"/>
                <w:highlight w:val="none"/>
                <w:lang w:val="zh-CN" w:bidi="zh-CN"/>
              </w:rPr>
            </w:pPr>
          </w:p>
        </w:tc>
        <w:tc>
          <w:tcPr>
            <w:tcW w:w="1080" w:type="dxa"/>
            <w:noWrap w:val="0"/>
            <w:vAlign w:val="center"/>
          </w:tcPr>
          <w:p w14:paraId="03CAC5F1">
            <w:pPr>
              <w:autoSpaceDE w:val="0"/>
              <w:autoSpaceDN w:val="0"/>
              <w:jc w:val="center"/>
              <w:rPr>
                <w:rFonts w:hint="eastAsia" w:ascii="宋体" w:hAnsi="宋体" w:eastAsia="宋体" w:cs="宋体"/>
                <w:color w:val="auto"/>
                <w:kern w:val="0"/>
                <w:sz w:val="24"/>
                <w:szCs w:val="24"/>
                <w:highlight w:val="none"/>
                <w:lang w:val="zh-CN" w:bidi="zh-CN"/>
              </w:rPr>
            </w:pPr>
          </w:p>
        </w:tc>
        <w:tc>
          <w:tcPr>
            <w:tcW w:w="1172" w:type="dxa"/>
            <w:noWrap w:val="0"/>
            <w:vAlign w:val="center"/>
          </w:tcPr>
          <w:p w14:paraId="2837A7FD">
            <w:pPr>
              <w:autoSpaceDE w:val="0"/>
              <w:autoSpaceDN w:val="0"/>
              <w:jc w:val="center"/>
              <w:rPr>
                <w:rFonts w:hint="eastAsia" w:ascii="宋体" w:hAnsi="宋体" w:eastAsia="宋体" w:cs="宋体"/>
                <w:color w:val="auto"/>
                <w:kern w:val="0"/>
                <w:sz w:val="24"/>
                <w:szCs w:val="24"/>
                <w:highlight w:val="none"/>
                <w:lang w:val="zh-CN" w:bidi="zh-CN"/>
              </w:rPr>
            </w:pPr>
          </w:p>
        </w:tc>
        <w:tc>
          <w:tcPr>
            <w:tcW w:w="1771" w:type="dxa"/>
            <w:noWrap w:val="0"/>
            <w:vAlign w:val="center"/>
          </w:tcPr>
          <w:p w14:paraId="33C5EE81">
            <w:pPr>
              <w:autoSpaceDE w:val="0"/>
              <w:autoSpaceDN w:val="0"/>
              <w:jc w:val="center"/>
              <w:rPr>
                <w:rFonts w:hint="eastAsia" w:ascii="宋体" w:hAnsi="宋体" w:eastAsia="宋体" w:cs="宋体"/>
                <w:color w:val="auto"/>
                <w:kern w:val="0"/>
                <w:sz w:val="24"/>
                <w:szCs w:val="24"/>
                <w:highlight w:val="none"/>
                <w:lang w:val="zh-CN" w:bidi="zh-CN"/>
              </w:rPr>
            </w:pPr>
          </w:p>
        </w:tc>
        <w:tc>
          <w:tcPr>
            <w:tcW w:w="1724" w:type="dxa"/>
            <w:noWrap w:val="0"/>
            <w:vAlign w:val="center"/>
          </w:tcPr>
          <w:p w14:paraId="1477FF45">
            <w:pPr>
              <w:autoSpaceDE w:val="0"/>
              <w:autoSpaceDN w:val="0"/>
              <w:jc w:val="center"/>
              <w:rPr>
                <w:rFonts w:hint="eastAsia" w:ascii="宋体" w:hAnsi="宋体" w:eastAsia="宋体" w:cs="宋体"/>
                <w:color w:val="auto"/>
                <w:kern w:val="0"/>
                <w:sz w:val="24"/>
                <w:szCs w:val="24"/>
                <w:highlight w:val="none"/>
                <w:lang w:val="zh-CN" w:bidi="zh-CN"/>
              </w:rPr>
            </w:pPr>
          </w:p>
        </w:tc>
        <w:tc>
          <w:tcPr>
            <w:tcW w:w="838" w:type="dxa"/>
            <w:noWrap w:val="0"/>
            <w:vAlign w:val="center"/>
          </w:tcPr>
          <w:p w14:paraId="5BE544CE">
            <w:pPr>
              <w:autoSpaceDE w:val="0"/>
              <w:autoSpaceDN w:val="0"/>
              <w:jc w:val="center"/>
              <w:rPr>
                <w:rFonts w:hint="eastAsia" w:ascii="宋体" w:hAnsi="宋体" w:eastAsia="宋体" w:cs="宋体"/>
                <w:color w:val="auto"/>
                <w:kern w:val="0"/>
                <w:sz w:val="24"/>
                <w:szCs w:val="24"/>
                <w:highlight w:val="none"/>
                <w:lang w:val="zh-CN" w:bidi="zh-CN"/>
              </w:rPr>
            </w:pPr>
          </w:p>
        </w:tc>
      </w:tr>
      <w:tr w14:paraId="4807E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3" w:type="dxa"/>
            <w:noWrap w:val="0"/>
            <w:vAlign w:val="center"/>
          </w:tcPr>
          <w:p w14:paraId="15B3CE14">
            <w:pPr>
              <w:autoSpaceDE w:val="0"/>
              <w:autoSpaceDN w:val="0"/>
              <w:jc w:val="center"/>
              <w:rPr>
                <w:rFonts w:hint="eastAsia" w:ascii="宋体" w:hAnsi="宋体" w:eastAsia="宋体" w:cs="宋体"/>
                <w:color w:val="auto"/>
                <w:kern w:val="0"/>
                <w:sz w:val="24"/>
                <w:szCs w:val="24"/>
                <w:highlight w:val="none"/>
                <w:lang w:bidi="zh-CN"/>
              </w:rPr>
            </w:pPr>
            <w:r>
              <w:rPr>
                <w:rFonts w:hint="eastAsia" w:ascii="宋体" w:hAnsi="宋体" w:eastAsia="宋体" w:cs="宋体"/>
                <w:color w:val="auto"/>
                <w:kern w:val="0"/>
                <w:sz w:val="24"/>
                <w:szCs w:val="24"/>
                <w:highlight w:val="none"/>
                <w:lang w:bidi="zh-CN"/>
              </w:rPr>
              <w:t>...</w:t>
            </w:r>
          </w:p>
        </w:tc>
        <w:tc>
          <w:tcPr>
            <w:tcW w:w="2108" w:type="dxa"/>
            <w:noWrap w:val="0"/>
            <w:vAlign w:val="center"/>
          </w:tcPr>
          <w:p w14:paraId="53BDD841">
            <w:pPr>
              <w:autoSpaceDE w:val="0"/>
              <w:autoSpaceDN w:val="0"/>
              <w:jc w:val="center"/>
              <w:rPr>
                <w:rFonts w:hint="eastAsia" w:ascii="宋体" w:hAnsi="宋体" w:eastAsia="宋体" w:cs="宋体"/>
                <w:color w:val="auto"/>
                <w:kern w:val="0"/>
                <w:sz w:val="24"/>
                <w:szCs w:val="24"/>
                <w:highlight w:val="none"/>
                <w:lang w:val="zh-CN" w:bidi="zh-CN"/>
              </w:rPr>
            </w:pPr>
          </w:p>
        </w:tc>
        <w:tc>
          <w:tcPr>
            <w:tcW w:w="1080" w:type="dxa"/>
            <w:noWrap w:val="0"/>
            <w:vAlign w:val="center"/>
          </w:tcPr>
          <w:p w14:paraId="3C44603F">
            <w:pPr>
              <w:autoSpaceDE w:val="0"/>
              <w:autoSpaceDN w:val="0"/>
              <w:jc w:val="center"/>
              <w:rPr>
                <w:rFonts w:hint="eastAsia" w:ascii="宋体" w:hAnsi="宋体" w:eastAsia="宋体" w:cs="宋体"/>
                <w:color w:val="auto"/>
                <w:kern w:val="0"/>
                <w:sz w:val="24"/>
                <w:szCs w:val="24"/>
                <w:highlight w:val="none"/>
                <w:lang w:val="zh-CN" w:bidi="zh-CN"/>
              </w:rPr>
            </w:pPr>
          </w:p>
        </w:tc>
        <w:tc>
          <w:tcPr>
            <w:tcW w:w="1172" w:type="dxa"/>
            <w:noWrap w:val="0"/>
            <w:vAlign w:val="center"/>
          </w:tcPr>
          <w:p w14:paraId="2273BD1C">
            <w:pPr>
              <w:autoSpaceDE w:val="0"/>
              <w:autoSpaceDN w:val="0"/>
              <w:jc w:val="center"/>
              <w:rPr>
                <w:rFonts w:hint="eastAsia" w:ascii="宋体" w:hAnsi="宋体" w:eastAsia="宋体" w:cs="宋体"/>
                <w:color w:val="auto"/>
                <w:kern w:val="0"/>
                <w:sz w:val="24"/>
                <w:szCs w:val="24"/>
                <w:highlight w:val="none"/>
                <w:lang w:val="zh-CN" w:bidi="zh-CN"/>
              </w:rPr>
            </w:pPr>
          </w:p>
        </w:tc>
        <w:tc>
          <w:tcPr>
            <w:tcW w:w="1771" w:type="dxa"/>
            <w:tcBorders>
              <w:right w:val="single" w:color="auto" w:sz="4" w:space="0"/>
            </w:tcBorders>
            <w:noWrap w:val="0"/>
            <w:vAlign w:val="center"/>
          </w:tcPr>
          <w:p w14:paraId="475B21A1">
            <w:pPr>
              <w:autoSpaceDE w:val="0"/>
              <w:autoSpaceDN w:val="0"/>
              <w:jc w:val="center"/>
              <w:rPr>
                <w:rFonts w:hint="eastAsia" w:ascii="宋体" w:hAnsi="宋体" w:eastAsia="宋体" w:cs="宋体"/>
                <w:color w:val="auto"/>
                <w:kern w:val="0"/>
                <w:sz w:val="24"/>
                <w:szCs w:val="24"/>
                <w:highlight w:val="none"/>
                <w:lang w:val="zh-CN" w:bidi="zh-CN"/>
              </w:rPr>
            </w:pPr>
          </w:p>
        </w:tc>
        <w:tc>
          <w:tcPr>
            <w:tcW w:w="1724" w:type="dxa"/>
            <w:tcBorders>
              <w:left w:val="single" w:color="auto" w:sz="4" w:space="0"/>
              <w:right w:val="single" w:color="auto" w:sz="4" w:space="0"/>
            </w:tcBorders>
            <w:noWrap w:val="0"/>
            <w:vAlign w:val="center"/>
          </w:tcPr>
          <w:p w14:paraId="6092B31C">
            <w:pPr>
              <w:autoSpaceDE w:val="0"/>
              <w:autoSpaceDN w:val="0"/>
              <w:jc w:val="center"/>
              <w:rPr>
                <w:rFonts w:hint="eastAsia" w:ascii="宋体" w:hAnsi="宋体" w:eastAsia="宋体" w:cs="宋体"/>
                <w:color w:val="auto"/>
                <w:kern w:val="0"/>
                <w:sz w:val="24"/>
                <w:szCs w:val="24"/>
                <w:highlight w:val="none"/>
                <w:lang w:val="zh-CN" w:bidi="zh-CN"/>
              </w:rPr>
            </w:pPr>
          </w:p>
        </w:tc>
        <w:tc>
          <w:tcPr>
            <w:tcW w:w="838" w:type="dxa"/>
            <w:tcBorders>
              <w:left w:val="single" w:color="auto" w:sz="4" w:space="0"/>
            </w:tcBorders>
            <w:noWrap w:val="0"/>
            <w:vAlign w:val="center"/>
          </w:tcPr>
          <w:p w14:paraId="3CA42CE6">
            <w:pPr>
              <w:autoSpaceDE w:val="0"/>
              <w:autoSpaceDN w:val="0"/>
              <w:jc w:val="center"/>
              <w:rPr>
                <w:rFonts w:hint="eastAsia" w:ascii="宋体" w:hAnsi="宋体" w:eastAsia="宋体" w:cs="宋体"/>
                <w:color w:val="auto"/>
                <w:kern w:val="0"/>
                <w:sz w:val="24"/>
                <w:szCs w:val="24"/>
                <w:highlight w:val="none"/>
                <w:lang w:val="zh-CN" w:bidi="zh-CN"/>
              </w:rPr>
            </w:pPr>
          </w:p>
        </w:tc>
      </w:tr>
      <w:tr w14:paraId="05654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6854" w:type="dxa"/>
            <w:gridSpan w:val="5"/>
            <w:tcBorders>
              <w:right w:val="single" w:color="auto" w:sz="4" w:space="0"/>
            </w:tcBorders>
            <w:noWrap w:val="0"/>
            <w:vAlign w:val="center"/>
          </w:tcPr>
          <w:p w14:paraId="6604E4E8">
            <w:pPr>
              <w:autoSpaceDE w:val="0"/>
              <w:autoSpaceDN w:val="0"/>
              <w:jc w:val="center"/>
              <w:rPr>
                <w:rFonts w:hint="eastAsia" w:ascii="宋体" w:hAnsi="宋体" w:eastAsia="宋体" w:cs="宋体"/>
                <w:color w:val="auto"/>
                <w:kern w:val="0"/>
                <w:sz w:val="24"/>
                <w:szCs w:val="24"/>
                <w:highlight w:val="none"/>
                <w:lang w:bidi="zh-CN"/>
              </w:rPr>
            </w:pPr>
            <w:r>
              <w:rPr>
                <w:rFonts w:hint="eastAsia" w:ascii="宋体" w:hAnsi="宋体" w:eastAsia="宋体" w:cs="宋体"/>
                <w:color w:val="auto"/>
                <w:kern w:val="0"/>
                <w:sz w:val="24"/>
                <w:szCs w:val="24"/>
                <w:highlight w:val="none"/>
                <w:lang w:bidi="zh-CN"/>
              </w:rPr>
              <w:t>合计（元）</w:t>
            </w:r>
          </w:p>
        </w:tc>
        <w:tc>
          <w:tcPr>
            <w:tcW w:w="1724" w:type="dxa"/>
            <w:tcBorders>
              <w:left w:val="single" w:color="auto" w:sz="4" w:space="0"/>
              <w:right w:val="single" w:color="auto" w:sz="4" w:space="0"/>
            </w:tcBorders>
            <w:noWrap w:val="0"/>
            <w:vAlign w:val="center"/>
          </w:tcPr>
          <w:p w14:paraId="63F48A74">
            <w:pPr>
              <w:autoSpaceDE w:val="0"/>
              <w:autoSpaceDN w:val="0"/>
              <w:jc w:val="center"/>
              <w:rPr>
                <w:rFonts w:hint="eastAsia" w:ascii="宋体" w:hAnsi="宋体" w:eastAsia="宋体" w:cs="宋体"/>
                <w:color w:val="auto"/>
                <w:kern w:val="0"/>
                <w:sz w:val="24"/>
                <w:szCs w:val="24"/>
                <w:highlight w:val="none"/>
                <w:lang w:val="zh-CN" w:bidi="zh-CN"/>
              </w:rPr>
            </w:pPr>
          </w:p>
        </w:tc>
        <w:tc>
          <w:tcPr>
            <w:tcW w:w="838" w:type="dxa"/>
            <w:tcBorders>
              <w:left w:val="single" w:color="auto" w:sz="4" w:space="0"/>
            </w:tcBorders>
            <w:noWrap w:val="0"/>
            <w:vAlign w:val="center"/>
          </w:tcPr>
          <w:p w14:paraId="04C52DFB">
            <w:pPr>
              <w:autoSpaceDE w:val="0"/>
              <w:autoSpaceDN w:val="0"/>
              <w:jc w:val="center"/>
              <w:rPr>
                <w:rFonts w:hint="eastAsia" w:ascii="宋体" w:hAnsi="宋体" w:eastAsia="宋体" w:cs="宋体"/>
                <w:color w:val="auto"/>
                <w:kern w:val="0"/>
                <w:sz w:val="24"/>
                <w:szCs w:val="24"/>
                <w:highlight w:val="none"/>
                <w:lang w:val="zh-CN" w:bidi="zh-CN"/>
              </w:rPr>
            </w:pPr>
          </w:p>
        </w:tc>
      </w:tr>
    </w:tbl>
    <w:p w14:paraId="6BCC9421">
      <w:pPr>
        <w:snapToGrid w:val="0"/>
        <w:spacing w:line="360" w:lineRule="auto"/>
        <w:ind w:left="840" w:hanging="843" w:hangingChars="350"/>
        <w:jc w:val="right"/>
        <w:rPr>
          <w:rFonts w:hint="eastAsia" w:ascii="宋体" w:hAnsi="宋体" w:eastAsia="宋体" w:cs="宋体"/>
          <w:b/>
          <w:color w:val="auto"/>
          <w:sz w:val="24"/>
          <w:szCs w:val="24"/>
          <w:highlight w:val="none"/>
        </w:rPr>
      </w:pPr>
    </w:p>
    <w:p w14:paraId="5B28531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319"/>
          <w:rFonts w:hint="eastAsia" w:ascii="宋体" w:hAnsi="宋体" w:eastAsia="宋体" w:cs="宋体"/>
          <w:color w:val="auto"/>
          <w:sz w:val="24"/>
          <w:szCs w:val="24"/>
          <w:highlight w:val="none"/>
        </w:rPr>
      </w:pPr>
      <w:r>
        <w:rPr>
          <w:rStyle w:val="319"/>
          <w:rFonts w:hint="eastAsia" w:ascii="宋体" w:hAnsi="宋体" w:cs="宋体"/>
          <w:color w:val="auto"/>
          <w:sz w:val="24"/>
          <w:szCs w:val="24"/>
          <w:highlight w:val="none"/>
          <w:lang w:val="en-US" w:eastAsia="zh-CN"/>
        </w:rPr>
        <w:t xml:space="preserve">                                </w:t>
      </w:r>
      <w:r>
        <w:rPr>
          <w:rStyle w:val="319"/>
          <w:rFonts w:hint="eastAsia" w:ascii="宋体" w:hAnsi="宋体" w:eastAsia="宋体" w:cs="宋体"/>
          <w:color w:val="auto"/>
          <w:sz w:val="24"/>
          <w:szCs w:val="24"/>
          <w:highlight w:val="none"/>
          <w:lang w:val="en-US" w:eastAsia="zh-CN"/>
        </w:rPr>
        <w:t>投标</w:t>
      </w:r>
      <w:r>
        <w:rPr>
          <w:rStyle w:val="319"/>
          <w:rFonts w:hint="eastAsia" w:ascii="宋体" w:hAnsi="宋体" w:eastAsia="宋体" w:cs="宋体"/>
          <w:color w:val="auto"/>
          <w:sz w:val="24"/>
          <w:szCs w:val="24"/>
          <w:highlight w:val="none"/>
        </w:rPr>
        <w:t>人：</w:t>
      </w:r>
      <w:r>
        <w:rPr>
          <w:rFonts w:hint="eastAsia" w:ascii="宋体" w:hAnsi="宋体" w:eastAsia="宋体" w:cs="宋体"/>
          <w:b w:val="0"/>
          <w:bCs w:val="0"/>
          <w:color w:val="auto"/>
          <w:sz w:val="24"/>
          <w:szCs w:val="24"/>
          <w:highlight w:val="none"/>
        </w:rPr>
        <w:t>（</w:t>
      </w:r>
      <w:r>
        <w:rPr>
          <w:rFonts w:hint="eastAsia" w:ascii="宋体" w:hAnsi="宋体"/>
          <w:color w:val="auto"/>
          <w:sz w:val="24"/>
          <w:szCs w:val="24"/>
          <w:highlight w:val="none"/>
        </w:rPr>
        <w:t>盖章</w:t>
      </w:r>
      <w:r>
        <w:rPr>
          <w:rFonts w:hint="eastAsia" w:ascii="宋体" w:hAnsi="宋体" w:eastAsia="宋体" w:cs="宋体"/>
          <w:b w:val="0"/>
          <w:bCs w:val="0"/>
          <w:color w:val="auto"/>
          <w:sz w:val="24"/>
          <w:szCs w:val="24"/>
          <w:highlight w:val="none"/>
        </w:rPr>
        <w:t>）</w:t>
      </w:r>
    </w:p>
    <w:p w14:paraId="7BB8DA6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日期：  年  月  日</w:t>
      </w:r>
    </w:p>
    <w:p w14:paraId="02A43EA0">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0F887C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color w:val="auto"/>
          <w:sz w:val="30"/>
          <w:szCs w:val="30"/>
          <w:highlight w:val="none"/>
        </w:rPr>
      </w:pPr>
      <w:r>
        <w:rPr>
          <w:rFonts w:hint="eastAsia" w:ascii="宋体" w:hAnsi="宋体"/>
          <w:b/>
          <w:color w:val="auto"/>
          <w:sz w:val="30"/>
          <w:szCs w:val="30"/>
          <w:highlight w:val="none"/>
        </w:rPr>
        <w:t>中小企业声明函（工程、服务）</w:t>
      </w:r>
    </w:p>
    <w:p w14:paraId="584E7DD4">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 （联合体）参加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采购活动，工程的施工单位全部为符合政策要求的中小企业（或者：服务部由符合政策要求的中小企业承接）。相关企业（含联合体中的中小企业、签订分包意向协议的中小企业）的具体情 况如下：</w:t>
      </w:r>
    </w:p>
    <w:p w14:paraId="1C8E46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1. </w:t>
      </w:r>
      <w:r>
        <w:rPr>
          <w:rFonts w:hint="eastAsia" w:ascii="宋体" w:hAnsi="宋体" w:cs="宋体"/>
          <w:color w:val="auto"/>
          <w:sz w:val="24"/>
          <w:szCs w:val="24"/>
          <w:highlight w:val="none"/>
          <w:u w:val="single"/>
        </w:rPr>
        <w:t xml:space="preserve">（标的名称） </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招标</w:t>
      </w:r>
      <w:r>
        <w:rPr>
          <w:rFonts w:hint="eastAsia" w:ascii="宋体" w:hAnsi="宋体" w:cs="宋体"/>
          <w:color w:val="auto"/>
          <w:sz w:val="24"/>
          <w:szCs w:val="24"/>
          <w:highlight w:val="none"/>
          <w:u w:val="single"/>
        </w:rPr>
        <w:t>文件中明确的所属行业）</w:t>
      </w:r>
      <w:r>
        <w:rPr>
          <w:rFonts w:hint="eastAsia" w:ascii="宋体" w:hAnsi="宋体" w:cs="宋体"/>
          <w:color w:val="auto"/>
          <w:sz w:val="24"/>
          <w:szCs w:val="24"/>
          <w:highlight w:val="none"/>
        </w:rPr>
        <w:t>； 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 xml:space="preserve">； </w:t>
      </w:r>
    </w:p>
    <w:p w14:paraId="21CC8A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2. </w:t>
      </w:r>
      <w:r>
        <w:rPr>
          <w:rFonts w:hint="eastAsia" w:ascii="宋体" w:hAnsi="宋体" w:cs="宋体"/>
          <w:color w:val="auto"/>
          <w:sz w:val="24"/>
          <w:szCs w:val="24"/>
          <w:highlight w:val="none"/>
          <w:u w:val="single"/>
        </w:rPr>
        <w:t xml:space="preserve">（标的名称） </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招标</w:t>
      </w:r>
      <w:r>
        <w:rPr>
          <w:rFonts w:hint="eastAsia" w:ascii="宋体" w:hAnsi="宋体" w:cs="宋体"/>
          <w:color w:val="auto"/>
          <w:sz w:val="24"/>
          <w:szCs w:val="24"/>
          <w:highlight w:val="none"/>
          <w:u w:val="single"/>
        </w:rPr>
        <w:t>文件中明确的所属行业）</w:t>
      </w:r>
      <w:r>
        <w:rPr>
          <w:rFonts w:hint="eastAsia" w:ascii="宋体" w:hAnsi="宋体" w:cs="宋体"/>
          <w:color w:val="auto"/>
          <w:sz w:val="24"/>
          <w:szCs w:val="24"/>
          <w:highlight w:val="none"/>
        </w:rPr>
        <w:t>； 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14:paraId="09F530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p>
    <w:p w14:paraId="3CBDB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2C30FE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本企业对上述声明内容的真实性负责。如有虚假，将依法承担相应责任。 </w:t>
      </w:r>
    </w:p>
    <w:p w14:paraId="2B1A02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p>
    <w:p w14:paraId="5AD2F1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企业名称（盖章）： </w:t>
      </w:r>
    </w:p>
    <w:p w14:paraId="2A0A7A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p>
    <w:p w14:paraId="73B2BF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日 期： </w:t>
      </w:r>
    </w:p>
    <w:p w14:paraId="4CB0D1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1 </w:t>
      </w:r>
      <w:r>
        <w:rPr>
          <w:rFonts w:hint="eastAsia" w:ascii="宋体" w:hAnsi="宋体" w:cs="宋体"/>
          <w:color w:val="auto"/>
          <w:sz w:val="24"/>
          <w:szCs w:val="24"/>
          <w:highlight w:val="none"/>
        </w:rPr>
        <w:t>从业人员、营业收入、资产总额填报上一年度数据，无上一年度数据的新成立企业可不填报。</w:t>
      </w:r>
    </w:p>
    <w:p w14:paraId="5862E10F">
      <w:pPr>
        <w:spacing w:line="560" w:lineRule="exact"/>
        <w:rPr>
          <w:rFonts w:ascii="宋体" w:hAnsi="宋体" w:cs="宋体"/>
          <w:b/>
          <w:bCs/>
          <w:color w:val="auto"/>
          <w:sz w:val="32"/>
          <w:szCs w:val="32"/>
          <w:highlight w:val="none"/>
        </w:rPr>
      </w:pPr>
    </w:p>
    <w:p w14:paraId="38FA49E5">
      <w:pPr>
        <w:widowControl/>
        <w:adjustRightInd w:val="0"/>
        <w:snapToGrid w:val="0"/>
        <w:spacing w:line="400" w:lineRule="exact"/>
        <w:ind w:left="141" w:leftChars="67"/>
        <w:rPr>
          <w:rFonts w:ascii="宋体" w:hAnsi="宋体" w:cs="宋体"/>
          <w:color w:val="auto"/>
          <w:kern w:val="0"/>
          <w:szCs w:val="21"/>
          <w:highlight w:val="none"/>
        </w:rPr>
      </w:pPr>
    </w:p>
    <w:p w14:paraId="229AE75E">
      <w:pPr>
        <w:widowControl/>
        <w:jc w:val="center"/>
        <w:rPr>
          <w:rFonts w:ascii="宋体" w:hAnsi="宋体"/>
          <w:b/>
          <w:color w:val="auto"/>
          <w:sz w:val="30"/>
          <w:szCs w:val="30"/>
          <w:highlight w:val="none"/>
        </w:rPr>
      </w:pPr>
      <w:r>
        <w:rPr>
          <w:rFonts w:ascii="宋体" w:hAnsi="宋体"/>
          <w:b/>
          <w:color w:val="auto"/>
          <w:szCs w:val="21"/>
          <w:highlight w:val="none"/>
        </w:rPr>
        <w:br w:type="page"/>
      </w:r>
      <w:r>
        <w:rPr>
          <w:rFonts w:hint="eastAsia" w:ascii="宋体" w:hAnsi="宋体"/>
          <w:b/>
          <w:color w:val="auto"/>
          <w:sz w:val="30"/>
          <w:szCs w:val="30"/>
          <w:highlight w:val="none"/>
        </w:rPr>
        <w:t>残疾人福利性单位声明函</w:t>
      </w:r>
    </w:p>
    <w:p w14:paraId="61FAF5D5">
      <w:pPr>
        <w:spacing w:line="400" w:lineRule="exact"/>
        <w:rPr>
          <w:rFonts w:ascii="宋体" w:hAnsi="宋体"/>
          <w:b/>
          <w:color w:val="auto"/>
          <w:spacing w:val="6"/>
          <w:szCs w:val="21"/>
          <w:highlight w:val="none"/>
        </w:rPr>
      </w:pPr>
    </w:p>
    <w:p w14:paraId="500358F1">
      <w:pPr>
        <w:keepNext w:val="0"/>
        <w:keepLines w:val="0"/>
        <w:pageBreakBefore w:val="0"/>
        <w:widowControl/>
        <w:kinsoku/>
        <w:wordWrap/>
        <w:overflowPunct/>
        <w:topLinePunct w:val="0"/>
        <w:autoSpaceDE/>
        <w:autoSpaceDN/>
        <w:bidi w:val="0"/>
        <w:adjustRightInd w:val="0"/>
        <w:snapToGrid w:val="0"/>
        <w:spacing w:line="360" w:lineRule="auto"/>
        <w:ind w:left="142"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本单位郑重声明，根据《财政部</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民政部</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中国残疾人联合会关于促进残疾人就业政府采购政策的通知》（财库〔</w:t>
      </w:r>
      <w:r>
        <w:rPr>
          <w:rFonts w:ascii="宋体" w:hAnsi="宋体" w:cs="宋体"/>
          <w:color w:val="auto"/>
          <w:kern w:val="0"/>
          <w:sz w:val="24"/>
          <w:szCs w:val="24"/>
          <w:highlight w:val="none"/>
        </w:rPr>
        <w:t>2017</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 xml:space="preserve"> 141</w:t>
      </w:r>
      <w:r>
        <w:rPr>
          <w:rFonts w:hint="eastAsia" w:ascii="宋体" w:hAnsi="宋体" w:cs="宋体"/>
          <w:color w:val="auto"/>
          <w:kern w:val="0"/>
          <w:sz w:val="24"/>
          <w:szCs w:val="24"/>
          <w:highlight w:val="none"/>
        </w:rPr>
        <w:t>号）的规定，本单位为符合条件的残疾人福利性单位，且本单位参加</w:t>
      </w:r>
      <w:r>
        <w:rPr>
          <w:rFonts w:ascii="宋体" w:hAnsi="宋体" w:cs="宋体"/>
          <w:color w:val="auto"/>
          <w:kern w:val="0"/>
          <w:sz w:val="24"/>
          <w:szCs w:val="24"/>
          <w:highlight w:val="none"/>
        </w:rPr>
        <w:t>______</w:t>
      </w:r>
      <w:r>
        <w:rPr>
          <w:rFonts w:hint="eastAsia" w:ascii="宋体" w:hAnsi="宋体" w:cs="宋体"/>
          <w:color w:val="auto"/>
          <w:kern w:val="0"/>
          <w:sz w:val="24"/>
          <w:szCs w:val="24"/>
          <w:highlight w:val="none"/>
        </w:rPr>
        <w:t>单位的</w:t>
      </w:r>
      <w:r>
        <w:rPr>
          <w:rFonts w:ascii="宋体" w:hAnsi="宋体" w:cs="宋体"/>
          <w:color w:val="auto"/>
          <w:kern w:val="0"/>
          <w:sz w:val="24"/>
          <w:szCs w:val="24"/>
          <w:highlight w:val="none"/>
        </w:rPr>
        <w:t>______</w:t>
      </w:r>
      <w:r>
        <w:rPr>
          <w:rFonts w:hint="eastAsia" w:ascii="宋体" w:hAnsi="宋体" w:cs="宋体"/>
          <w:color w:val="auto"/>
          <w:kern w:val="0"/>
          <w:sz w:val="24"/>
          <w:szCs w:val="24"/>
          <w:highlight w:val="none"/>
        </w:rPr>
        <w:t>项目采购活动提供本单位制造的货物（由本单位承担工程</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提供服务），或者提供其他残疾人福利性单位制造的货物（不包括使用非残疾人福利性单位注册商标的货物）。</w:t>
      </w:r>
    </w:p>
    <w:p w14:paraId="07CC6EE6">
      <w:pPr>
        <w:keepNext w:val="0"/>
        <w:keepLines w:val="0"/>
        <w:pageBreakBefore w:val="0"/>
        <w:widowControl/>
        <w:kinsoku/>
        <w:wordWrap/>
        <w:overflowPunct/>
        <w:topLinePunct w:val="0"/>
        <w:autoSpaceDE/>
        <w:autoSpaceDN/>
        <w:bidi w:val="0"/>
        <w:adjustRightInd w:val="0"/>
        <w:snapToGrid w:val="0"/>
        <w:spacing w:line="360" w:lineRule="auto"/>
        <w:ind w:left="142"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本单位对上述声明的真实性负责。如有虚假，将依法承担相应责任。</w:t>
      </w:r>
    </w:p>
    <w:p w14:paraId="43D34368">
      <w:pPr>
        <w:keepNext w:val="0"/>
        <w:keepLines w:val="0"/>
        <w:pageBreakBefore w:val="0"/>
        <w:widowControl/>
        <w:kinsoku/>
        <w:wordWrap/>
        <w:overflowPunct/>
        <w:topLinePunct w:val="0"/>
        <w:autoSpaceDE/>
        <w:autoSpaceDN/>
        <w:bidi w:val="0"/>
        <w:adjustRightInd w:val="0"/>
        <w:snapToGrid w:val="0"/>
        <w:spacing w:line="360" w:lineRule="auto"/>
        <w:ind w:left="142" w:firstLine="480" w:firstLineChars="200"/>
        <w:textAlignment w:val="auto"/>
        <w:rPr>
          <w:rFonts w:ascii="宋体" w:hAnsi="宋体" w:cs="宋体"/>
          <w:color w:val="auto"/>
          <w:kern w:val="0"/>
          <w:sz w:val="24"/>
          <w:szCs w:val="24"/>
          <w:highlight w:val="none"/>
        </w:rPr>
      </w:pPr>
    </w:p>
    <w:p w14:paraId="25FD9FAE">
      <w:pPr>
        <w:keepNext w:val="0"/>
        <w:keepLines w:val="0"/>
        <w:pageBreakBefore w:val="0"/>
        <w:kinsoku/>
        <w:wordWrap/>
        <w:overflowPunct/>
        <w:topLinePunct w:val="0"/>
        <w:autoSpaceDE/>
        <w:autoSpaceDN/>
        <w:bidi w:val="0"/>
        <w:adjustRightInd w:val="0"/>
        <w:snapToGrid w:val="0"/>
        <w:spacing w:line="360" w:lineRule="auto"/>
        <w:ind w:firstLine="480" w:firstLineChars="200"/>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潜在</w:t>
      </w:r>
      <w:r>
        <w:rPr>
          <w:rFonts w:hint="eastAsia" w:ascii="宋体" w:hAnsi="宋体"/>
          <w:color w:val="auto"/>
          <w:sz w:val="24"/>
          <w:szCs w:val="24"/>
          <w:highlight w:val="none"/>
          <w:lang w:eastAsia="zh-CN"/>
        </w:rPr>
        <w:t>投标人</w:t>
      </w:r>
      <w:r>
        <w:rPr>
          <w:rFonts w:hint="eastAsia" w:ascii="宋体" w:hAnsi="宋体" w:cs="宋体"/>
          <w:color w:val="auto"/>
          <w:kern w:val="0"/>
          <w:sz w:val="24"/>
          <w:szCs w:val="24"/>
          <w:highlight w:val="none"/>
        </w:rPr>
        <w:t>公章：</w:t>
      </w:r>
    </w:p>
    <w:p w14:paraId="2A1055F2">
      <w:pPr>
        <w:keepNext w:val="0"/>
        <w:keepLines w:val="0"/>
        <w:pageBreakBefore w:val="0"/>
        <w:kinsoku/>
        <w:wordWrap/>
        <w:overflowPunct/>
        <w:topLinePunct w:val="0"/>
        <w:autoSpaceDE/>
        <w:autoSpaceDN/>
        <w:bidi w:val="0"/>
        <w:adjustRightInd w:val="0"/>
        <w:snapToGrid w:val="0"/>
        <w:spacing w:line="360" w:lineRule="auto"/>
        <w:ind w:firstLine="480" w:firstLineChars="200"/>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日期：</w:t>
      </w:r>
    </w:p>
    <w:p w14:paraId="1F1FD6BB">
      <w:pPr>
        <w:keepNext w:val="0"/>
        <w:keepLines w:val="0"/>
        <w:pageBreakBefore w:val="0"/>
        <w:kinsoku/>
        <w:wordWrap/>
        <w:overflowPunct/>
        <w:topLinePunct w:val="0"/>
        <w:autoSpaceDE/>
        <w:autoSpaceDN/>
        <w:bidi w:val="0"/>
        <w:adjustRightInd w:val="0"/>
        <w:snapToGrid w:val="0"/>
        <w:spacing w:line="360" w:lineRule="auto"/>
        <w:ind w:firstLine="482" w:firstLineChars="200"/>
        <w:rPr>
          <w:rFonts w:ascii="宋体" w:hAnsi="宋体"/>
          <w:b/>
          <w:color w:val="auto"/>
          <w:sz w:val="24"/>
          <w:szCs w:val="24"/>
          <w:highlight w:val="none"/>
        </w:rPr>
      </w:pPr>
    </w:p>
    <w:p w14:paraId="2DCF2CD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享受政府采购支持政策的残疾人福利性单位应当同时满足以下条件：</w:t>
      </w:r>
    </w:p>
    <w:p w14:paraId="45DA129E">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（一）安置的残疾人占本单位在职职工人数的比例不低于</w:t>
      </w:r>
      <w:r>
        <w:rPr>
          <w:rFonts w:ascii="宋体" w:hAnsi="宋体" w:cs="宋体"/>
          <w:color w:val="auto"/>
          <w:kern w:val="0"/>
          <w:sz w:val="24"/>
          <w:szCs w:val="24"/>
          <w:highlight w:val="none"/>
        </w:rPr>
        <w:t>25%</w:t>
      </w:r>
      <w:r>
        <w:rPr>
          <w:rFonts w:hint="eastAsia" w:ascii="宋体" w:hAnsi="宋体" w:cs="宋体"/>
          <w:color w:val="auto"/>
          <w:kern w:val="0"/>
          <w:sz w:val="24"/>
          <w:szCs w:val="24"/>
          <w:highlight w:val="none"/>
        </w:rPr>
        <w:t>（含</w:t>
      </w:r>
      <w:r>
        <w:rPr>
          <w:rFonts w:ascii="宋体" w:hAnsi="宋体" w:cs="宋体"/>
          <w:color w:val="auto"/>
          <w:kern w:val="0"/>
          <w:sz w:val="24"/>
          <w:szCs w:val="24"/>
          <w:highlight w:val="none"/>
        </w:rPr>
        <w:t>25%</w:t>
      </w:r>
      <w:r>
        <w:rPr>
          <w:rFonts w:hint="eastAsia" w:ascii="宋体" w:hAnsi="宋体" w:cs="宋体"/>
          <w:color w:val="auto"/>
          <w:kern w:val="0"/>
          <w:sz w:val="24"/>
          <w:szCs w:val="24"/>
          <w:highlight w:val="none"/>
        </w:rPr>
        <w:t>），并且安置的残疾人人数不少于</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人（含</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人）；</w:t>
      </w:r>
    </w:p>
    <w:p w14:paraId="47F9389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（二）依法与安置的每位残疾人签订了一年以上（含一年）的劳动合同或服务协议；</w:t>
      </w:r>
    </w:p>
    <w:p w14:paraId="5FBD3C5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（三）为安置的每位残疾人按月足额缴纳了基本养老保险、基本医疗保险、失业保险、工伤保险和生育保险等社会保险费；</w:t>
      </w:r>
    </w:p>
    <w:p w14:paraId="2E82062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（四）通过银行等金融机构向安置的每位残疾人，按月支付了不低于单位所在区县适用的经省级人民政府批准的月最低工资标准的工资；</w:t>
      </w:r>
    </w:p>
    <w:p w14:paraId="294513B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（五）提供本单位制造的货物、承担的工程或者服务（以下简称产品），或者提供其他残疾人福利性单位制造的货物（不包括使用非残疾人福利性单位注册商标的货物）。</w:t>
      </w:r>
    </w:p>
    <w:p w14:paraId="74929CB7">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80" w:firstLineChars="200"/>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前款所称残疾人是指法定劳动年龄内，持有《中华人民共和国残疾人证》或者《中华人民共和国残疾军人证（</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至</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级）》的自然人，包括具有劳动条件和劳动意愿的精神残疾人。在职职工人数是指与残疾人福利性单位建立劳动关系并依法签订劳动合同或者服务协议的雇员人数。</w:t>
      </w:r>
    </w:p>
    <w:p w14:paraId="2D2F9189">
      <w:pPr>
        <w:widowControl/>
        <w:shd w:val="clear" w:color="auto" w:fill="FFFFFF"/>
        <w:spacing w:line="400" w:lineRule="exact"/>
        <w:ind w:firstLine="480"/>
        <w:jc w:val="left"/>
        <w:textAlignment w:val="baseline"/>
        <w:rPr>
          <w:rFonts w:ascii="宋体" w:hAnsi="宋体" w:cs="宋体"/>
          <w:color w:val="auto"/>
          <w:kern w:val="0"/>
          <w:sz w:val="24"/>
          <w:szCs w:val="24"/>
          <w:highlight w:val="none"/>
        </w:rPr>
      </w:pPr>
    </w:p>
    <w:p w14:paraId="47778E8F">
      <w:pPr>
        <w:pageBreakBefore w:val="0"/>
        <w:widowControl/>
        <w:kinsoku/>
        <w:wordWrap/>
        <w:topLinePunct w:val="0"/>
        <w:autoSpaceDE/>
        <w:autoSpaceDN/>
        <w:bidi w:val="0"/>
        <w:adjustRightInd w:val="0"/>
        <w:snapToGrid w:val="0"/>
        <w:spacing w:line="360" w:lineRule="auto"/>
        <w:ind w:firstLine="482" w:firstLineChars="200"/>
        <w:jc w:val="center"/>
        <w:rPr>
          <w:rFonts w:hint="eastAsia" w:ascii="宋体" w:hAnsi="宋体"/>
          <w:b/>
          <w:color w:val="auto"/>
          <w:sz w:val="30"/>
          <w:szCs w:val="30"/>
          <w:highlight w:val="none"/>
        </w:rPr>
      </w:pPr>
      <w:r>
        <w:rPr>
          <w:rFonts w:ascii="宋体" w:hAnsi="宋体"/>
          <w:b/>
          <w:color w:val="auto"/>
          <w:sz w:val="24"/>
          <w:szCs w:val="24"/>
          <w:highlight w:val="none"/>
        </w:rPr>
        <w:br w:type="page"/>
      </w:r>
      <w:r>
        <w:rPr>
          <w:rFonts w:hint="eastAsia" w:ascii="宋体" w:hAnsi="宋体"/>
          <w:b/>
          <w:color w:val="auto"/>
          <w:sz w:val="30"/>
          <w:szCs w:val="30"/>
          <w:highlight w:val="none"/>
        </w:rPr>
        <w:t>监狱企业证明函</w:t>
      </w:r>
    </w:p>
    <w:p w14:paraId="029E25BA">
      <w:pPr>
        <w:pageBreakBefore w:val="0"/>
        <w:widowControl/>
        <w:kinsoku/>
        <w:wordWrap/>
        <w:topLinePunct w:val="0"/>
        <w:autoSpaceDE/>
        <w:autoSpaceDN/>
        <w:bidi w:val="0"/>
        <w:adjustRightInd w:val="0"/>
        <w:snapToGrid w:val="0"/>
        <w:spacing w:line="360" w:lineRule="auto"/>
        <w:ind w:firstLine="482" w:firstLineChars="200"/>
        <w:jc w:val="center"/>
        <w:rPr>
          <w:rFonts w:hint="eastAsia" w:ascii="宋体" w:hAnsi="宋体"/>
          <w:b/>
          <w:color w:val="auto"/>
          <w:sz w:val="24"/>
          <w:szCs w:val="24"/>
          <w:highlight w:val="none"/>
        </w:rPr>
      </w:pPr>
    </w:p>
    <w:p w14:paraId="6643FE95">
      <w:pPr>
        <w:pageBreakBefore w:val="0"/>
        <w:widowControl/>
        <w:kinsoku/>
        <w:wordWrap/>
        <w:topLinePunct w:val="0"/>
        <w:autoSpaceDE/>
        <w:autoSpaceDN/>
        <w:bidi w:val="0"/>
        <w:adjustRightInd w:val="0"/>
        <w:snapToGrid w:val="0"/>
        <w:spacing w:line="360" w:lineRule="auto"/>
        <w:ind w:firstLine="480" w:firstLineChars="200"/>
        <w:jc w:val="left"/>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根据《财政部</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司法部关于政府采购支持监狱企业发展有关问题的通知》（财库</w:t>
      </w:r>
      <w:r>
        <w:rPr>
          <w:rFonts w:ascii="宋体" w:hAnsi="宋体" w:cs="宋体"/>
          <w:color w:val="auto"/>
          <w:kern w:val="0"/>
          <w:sz w:val="24"/>
          <w:szCs w:val="24"/>
          <w:highlight w:val="none"/>
        </w:rPr>
        <w:t>[2014]68</w:t>
      </w:r>
      <w:r>
        <w:rPr>
          <w:rFonts w:hint="eastAsia" w:ascii="宋体" w:hAnsi="宋体" w:cs="宋体"/>
          <w:color w:val="auto"/>
          <w:kern w:val="0"/>
          <w:sz w:val="24"/>
          <w:szCs w:val="24"/>
          <w:highlight w:val="none"/>
        </w:rPr>
        <w:t>号）的规定，</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（填写</w:t>
      </w:r>
      <w:r>
        <w:rPr>
          <w:rFonts w:hint="eastAsia" w:ascii="宋体" w:hAnsi="宋体"/>
          <w:color w:val="auto"/>
          <w:sz w:val="24"/>
          <w:szCs w:val="24"/>
          <w:highlight w:val="none"/>
          <w:lang w:eastAsia="zh-CN"/>
        </w:rPr>
        <w:t>投标人</w:t>
      </w:r>
      <w:r>
        <w:rPr>
          <w:rFonts w:hint="eastAsia" w:ascii="宋体" w:hAnsi="宋体" w:cs="宋体"/>
          <w:color w:val="auto"/>
          <w:kern w:val="0"/>
          <w:sz w:val="24"/>
          <w:szCs w:val="24"/>
          <w:highlight w:val="none"/>
        </w:rPr>
        <w:t>法定全称）为监狱企业。</w:t>
      </w:r>
    </w:p>
    <w:p w14:paraId="2E7491AF">
      <w:pPr>
        <w:pageBreakBefore w:val="0"/>
        <w:widowControl/>
        <w:kinsoku/>
        <w:wordWrap/>
        <w:topLinePunct w:val="0"/>
        <w:autoSpaceDE/>
        <w:autoSpaceDN/>
        <w:bidi w:val="0"/>
        <w:adjustRightInd w:val="0"/>
        <w:snapToGrid w:val="0"/>
        <w:spacing w:line="360" w:lineRule="auto"/>
        <w:ind w:firstLine="480" w:firstLineChars="200"/>
        <w:jc w:val="left"/>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14:paraId="3C6128A4">
      <w:pPr>
        <w:pageBreakBefore w:val="0"/>
        <w:kinsoku/>
        <w:wordWrap/>
        <w:topLinePunct w:val="0"/>
        <w:autoSpaceDE/>
        <w:autoSpaceDN/>
        <w:bidi w:val="0"/>
        <w:adjustRightInd w:val="0"/>
        <w:snapToGrid w:val="0"/>
        <w:spacing w:line="360" w:lineRule="auto"/>
        <w:ind w:firstLine="480" w:firstLineChars="200"/>
        <w:rPr>
          <w:rFonts w:ascii="宋体" w:hAnsi="宋体"/>
          <w:color w:val="auto"/>
          <w:sz w:val="24"/>
          <w:szCs w:val="24"/>
          <w:highlight w:val="none"/>
        </w:rPr>
      </w:pPr>
    </w:p>
    <w:p w14:paraId="199481E8">
      <w:pPr>
        <w:pageBreakBefore w:val="0"/>
        <w:widowControl/>
        <w:kinsoku/>
        <w:wordWrap/>
        <w:topLinePunct w:val="0"/>
        <w:autoSpaceDE/>
        <w:autoSpaceDN/>
        <w:bidi w:val="0"/>
        <w:adjustRightInd w:val="0"/>
        <w:snapToGrid w:val="0"/>
        <w:spacing w:line="360" w:lineRule="auto"/>
        <w:ind w:firstLine="480" w:firstLineChars="200"/>
        <w:jc w:val="left"/>
        <w:outlineLvl w:val="2"/>
        <w:rPr>
          <w:rFonts w:ascii="宋体" w:hAnsi="宋体"/>
          <w:color w:val="auto"/>
          <w:sz w:val="24"/>
          <w:szCs w:val="24"/>
          <w:highlight w:val="none"/>
        </w:rPr>
      </w:pPr>
      <w:r>
        <w:rPr>
          <w:rFonts w:hint="eastAsia" w:ascii="宋体" w:hAnsi="宋体" w:cs="宋体"/>
          <w:color w:val="auto"/>
          <w:kern w:val="0"/>
          <w:sz w:val="24"/>
          <w:szCs w:val="24"/>
          <w:highlight w:val="none"/>
        </w:rPr>
        <w:t>省级以上监狱管理局、戒毒管理局（含新疆生产建设兵团）（盖章）：</w:t>
      </w:r>
    </w:p>
    <w:p w14:paraId="110F15B2">
      <w:pPr>
        <w:keepNext/>
        <w:keepLines/>
        <w:pageBreakBefore w:val="0"/>
        <w:kinsoku/>
        <w:wordWrap/>
        <w:overflowPunct w:val="0"/>
        <w:topLinePunct w:val="0"/>
        <w:autoSpaceDE/>
        <w:autoSpaceDN/>
        <w:bidi w:val="0"/>
        <w:adjustRightInd w:val="0"/>
        <w:snapToGrid w:val="0"/>
        <w:spacing w:line="360" w:lineRule="auto"/>
        <w:ind w:firstLine="480" w:firstLineChars="200"/>
        <w:jc w:val="center"/>
        <w:textAlignment w:val="baseline"/>
        <w:outlineLvl w:val="1"/>
        <w:rPr>
          <w:rFonts w:ascii="宋体" w:hAnsi="宋体"/>
          <w:bCs/>
          <w:color w:val="auto"/>
          <w:sz w:val="24"/>
          <w:szCs w:val="24"/>
          <w:highlight w:val="none"/>
        </w:rPr>
      </w:pPr>
      <w:r>
        <w:rPr>
          <w:rFonts w:hint="eastAsia" w:ascii="宋体" w:hAnsi="宋体" w:cs="宋体"/>
          <w:bCs/>
          <w:color w:val="auto"/>
          <w:kern w:val="0"/>
          <w:sz w:val="24"/>
          <w:szCs w:val="24"/>
          <w:highlight w:val="none"/>
        </w:rPr>
        <w:t>日期：</w:t>
      </w:r>
    </w:p>
    <w:p w14:paraId="320EF8C3">
      <w:pPr>
        <w:pageBreakBefore w:val="0"/>
        <w:kinsoku/>
        <w:wordWrap/>
        <w:topLinePunct w:val="0"/>
        <w:autoSpaceDE/>
        <w:autoSpaceDN/>
        <w:bidi w:val="0"/>
        <w:adjustRightInd w:val="0"/>
        <w:snapToGrid w:val="0"/>
        <w:spacing w:line="360" w:lineRule="auto"/>
        <w:ind w:firstLine="482" w:firstLineChars="200"/>
        <w:jc w:val="center"/>
        <w:rPr>
          <w:rFonts w:hint="eastAsia" w:ascii="宋体" w:hAnsi="宋体" w:eastAsia="宋体" w:cs="宋体"/>
          <w:b/>
          <w:bCs/>
          <w:i w:val="0"/>
          <w:iCs w:val="0"/>
          <w:color w:val="auto"/>
          <w:sz w:val="24"/>
          <w:szCs w:val="24"/>
          <w:highlight w:val="none"/>
          <w:u w:val="none"/>
          <w:lang w:val="en-US" w:eastAsia="zh-CN"/>
        </w:rPr>
      </w:pPr>
    </w:p>
    <w:p w14:paraId="7173571D">
      <w:pPr>
        <w:pageBreakBefore w:val="0"/>
        <w:kinsoku/>
        <w:wordWrap/>
        <w:topLinePunct w:val="0"/>
        <w:autoSpaceDE/>
        <w:autoSpaceDN/>
        <w:bidi w:val="0"/>
        <w:adjustRightInd w:val="0"/>
        <w:snapToGrid w:val="0"/>
        <w:spacing w:line="360" w:lineRule="auto"/>
        <w:ind w:firstLine="482" w:firstLineChars="200"/>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br w:type="page"/>
      </w:r>
    </w:p>
    <w:p w14:paraId="52BFFF22">
      <w:pPr>
        <w:pStyle w:val="17"/>
        <w:spacing w:line="360" w:lineRule="auto"/>
        <w:ind w:right="415"/>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质疑函范本</w:t>
      </w:r>
    </w:p>
    <w:p w14:paraId="2B7612D5">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bCs/>
          <w:color w:val="auto"/>
          <w:sz w:val="24"/>
          <w:szCs w:val="24"/>
          <w:highlight w:val="none"/>
        </w:rPr>
      </w:pPr>
      <w:r>
        <w:rPr>
          <w:rFonts w:hint="eastAsia" w:ascii="宋体" w:hAnsi="宋体" w:cs="仿宋"/>
          <w:bCs/>
          <w:color w:val="auto"/>
          <w:sz w:val="24"/>
          <w:szCs w:val="24"/>
          <w:highlight w:val="none"/>
        </w:rPr>
        <w:t>一、质疑供应商基本信息</w:t>
      </w:r>
    </w:p>
    <w:p w14:paraId="346B51E3">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rPr>
        <w:t>质疑供应商：</w:t>
      </w:r>
      <w:r>
        <w:rPr>
          <w:rFonts w:hint="eastAsia" w:ascii="宋体" w:hAnsi="宋体" w:cs="仿宋"/>
          <w:color w:val="auto"/>
          <w:sz w:val="24"/>
          <w:szCs w:val="24"/>
          <w:highlight w:val="none"/>
          <w:u w:val="dotted"/>
        </w:rPr>
        <w:t xml:space="preserve">                                                              </w:t>
      </w:r>
    </w:p>
    <w:p w14:paraId="030715E1">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rPr>
        <w:t>地址：</w:t>
      </w:r>
      <w:r>
        <w:rPr>
          <w:rFonts w:hint="eastAsia" w:ascii="宋体" w:hAnsi="宋体" w:cs="仿宋"/>
          <w:color w:val="auto"/>
          <w:sz w:val="24"/>
          <w:szCs w:val="24"/>
          <w:highlight w:val="none"/>
          <w:u w:val="none"/>
          <w:lang w:val="en-US" w:eastAsia="zh-CN"/>
        </w:rPr>
        <w:t xml:space="preserve">                        </w:t>
      </w:r>
      <w:r>
        <w:rPr>
          <w:rFonts w:hint="eastAsia" w:ascii="宋体" w:hAnsi="宋体" w:cs="仿宋"/>
          <w:color w:val="auto"/>
          <w:sz w:val="24"/>
          <w:szCs w:val="24"/>
          <w:highlight w:val="none"/>
        </w:rPr>
        <w:t>邮编：</w:t>
      </w:r>
      <w:r>
        <w:rPr>
          <w:rFonts w:hint="eastAsia" w:ascii="宋体" w:hAnsi="宋体" w:cs="仿宋"/>
          <w:color w:val="auto"/>
          <w:sz w:val="24"/>
          <w:szCs w:val="24"/>
          <w:highlight w:val="none"/>
          <w:u w:val="dotted"/>
        </w:rPr>
        <w:t xml:space="preserve">                                    </w:t>
      </w:r>
    </w:p>
    <w:p w14:paraId="7E72E342">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rPr>
        <w:t>联系人：</w:t>
      </w:r>
      <w:r>
        <w:rPr>
          <w:rFonts w:hint="eastAsia" w:ascii="宋体" w:hAnsi="宋体" w:cs="仿宋"/>
          <w:color w:val="auto"/>
          <w:sz w:val="24"/>
          <w:szCs w:val="24"/>
          <w:highlight w:val="none"/>
          <w:u w:val="none"/>
        </w:rPr>
        <w:t xml:space="preserve">                      </w:t>
      </w:r>
      <w:r>
        <w:rPr>
          <w:rFonts w:hint="eastAsia" w:ascii="宋体" w:hAnsi="宋体" w:cs="仿宋"/>
          <w:color w:val="auto"/>
          <w:sz w:val="24"/>
          <w:szCs w:val="24"/>
          <w:highlight w:val="none"/>
        </w:rPr>
        <w:t>联系电话：</w:t>
      </w:r>
      <w:r>
        <w:rPr>
          <w:rFonts w:hint="eastAsia" w:ascii="宋体" w:hAnsi="宋体" w:cs="仿宋"/>
          <w:color w:val="auto"/>
          <w:sz w:val="24"/>
          <w:szCs w:val="24"/>
          <w:highlight w:val="none"/>
          <w:u w:val="dotted"/>
        </w:rPr>
        <w:t xml:space="preserve">                                       </w:t>
      </w:r>
    </w:p>
    <w:p w14:paraId="12509F67">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rPr>
        <w:t>授权代表：</w:t>
      </w:r>
      <w:r>
        <w:rPr>
          <w:rFonts w:hint="eastAsia" w:ascii="宋体" w:hAnsi="宋体" w:cs="仿宋"/>
          <w:color w:val="auto"/>
          <w:sz w:val="24"/>
          <w:szCs w:val="24"/>
          <w:highlight w:val="none"/>
          <w:u w:val="dotted"/>
        </w:rPr>
        <w:t xml:space="preserve">                                                                 </w:t>
      </w:r>
    </w:p>
    <w:p w14:paraId="41FD1245">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rPr>
        <w:t>联系电话：</w:t>
      </w:r>
      <w:r>
        <w:rPr>
          <w:rFonts w:hint="eastAsia" w:ascii="宋体" w:hAnsi="宋体" w:cs="仿宋"/>
          <w:color w:val="auto"/>
          <w:sz w:val="24"/>
          <w:szCs w:val="24"/>
          <w:highlight w:val="none"/>
          <w:u w:val="dotted"/>
        </w:rPr>
        <w:t xml:space="preserve">                                                                </w:t>
      </w:r>
    </w:p>
    <w:p w14:paraId="0DB0D432">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rPr>
        <w:t>地址：</w:t>
      </w:r>
      <w:r>
        <w:rPr>
          <w:rFonts w:hint="eastAsia" w:ascii="宋体" w:hAnsi="宋体" w:cs="仿宋"/>
          <w:color w:val="auto"/>
          <w:sz w:val="24"/>
          <w:szCs w:val="24"/>
          <w:highlight w:val="none"/>
          <w:lang w:val="en-US" w:eastAsia="zh-CN"/>
        </w:rPr>
        <w:t xml:space="preserve">                        </w:t>
      </w:r>
      <w:r>
        <w:rPr>
          <w:rFonts w:hint="eastAsia" w:ascii="宋体" w:hAnsi="宋体" w:cs="仿宋"/>
          <w:color w:val="auto"/>
          <w:sz w:val="24"/>
          <w:szCs w:val="24"/>
          <w:highlight w:val="none"/>
        </w:rPr>
        <w:t>邮编：</w:t>
      </w:r>
      <w:r>
        <w:rPr>
          <w:rFonts w:hint="eastAsia" w:ascii="宋体" w:hAnsi="宋体" w:cs="仿宋"/>
          <w:color w:val="auto"/>
          <w:sz w:val="24"/>
          <w:szCs w:val="24"/>
          <w:highlight w:val="none"/>
          <w:u w:val="dotted"/>
        </w:rPr>
        <w:t xml:space="preserve">                                     </w:t>
      </w:r>
    </w:p>
    <w:p w14:paraId="15ED98EA">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bCs/>
          <w:color w:val="auto"/>
          <w:sz w:val="24"/>
          <w:szCs w:val="24"/>
          <w:highlight w:val="none"/>
        </w:rPr>
      </w:pPr>
      <w:r>
        <w:rPr>
          <w:rFonts w:hint="eastAsia" w:ascii="宋体" w:hAnsi="宋体" w:cs="仿宋"/>
          <w:bCs/>
          <w:color w:val="auto"/>
          <w:sz w:val="24"/>
          <w:szCs w:val="24"/>
          <w:highlight w:val="none"/>
        </w:rPr>
        <w:t>二、质疑项目基本情况</w:t>
      </w:r>
    </w:p>
    <w:p w14:paraId="5D5B5AF4">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rPr>
        <w:t>质疑项目的名称：</w:t>
      </w:r>
      <w:r>
        <w:rPr>
          <w:rFonts w:hint="eastAsia" w:ascii="宋体" w:hAnsi="宋体" w:cs="仿宋"/>
          <w:color w:val="auto"/>
          <w:sz w:val="24"/>
          <w:szCs w:val="24"/>
          <w:highlight w:val="none"/>
          <w:u w:val="dotted"/>
        </w:rPr>
        <w:t xml:space="preserve">                                                          </w:t>
      </w:r>
    </w:p>
    <w:p w14:paraId="5CF33D2C">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rPr>
        <w:t>质疑项目的编号：</w:t>
      </w:r>
      <w:r>
        <w:rPr>
          <w:rFonts w:hint="eastAsia" w:ascii="宋体" w:hAnsi="宋体" w:cs="仿宋"/>
          <w:color w:val="auto"/>
          <w:sz w:val="24"/>
          <w:szCs w:val="24"/>
          <w:highlight w:val="none"/>
          <w:u w:val="none"/>
        </w:rPr>
        <w:t xml:space="preserve">              </w:t>
      </w:r>
      <w:r>
        <w:rPr>
          <w:rFonts w:hint="eastAsia" w:ascii="宋体" w:hAnsi="宋体" w:cs="仿宋"/>
          <w:color w:val="auto"/>
          <w:sz w:val="24"/>
          <w:szCs w:val="24"/>
          <w:highlight w:val="none"/>
        </w:rPr>
        <w:t>包号：</w:t>
      </w:r>
      <w:r>
        <w:rPr>
          <w:rFonts w:hint="eastAsia" w:ascii="宋体" w:hAnsi="宋体" w:cs="仿宋"/>
          <w:color w:val="auto"/>
          <w:sz w:val="24"/>
          <w:szCs w:val="24"/>
          <w:highlight w:val="none"/>
          <w:u w:val="dotted"/>
        </w:rPr>
        <w:t xml:space="preserve">                           </w:t>
      </w:r>
    </w:p>
    <w:p w14:paraId="6C10F4D1">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rPr>
        <w:t>采购人名称：</w:t>
      </w:r>
      <w:r>
        <w:rPr>
          <w:rFonts w:hint="eastAsia" w:ascii="宋体" w:hAnsi="宋体" w:cs="仿宋"/>
          <w:color w:val="auto"/>
          <w:sz w:val="24"/>
          <w:szCs w:val="24"/>
          <w:highlight w:val="none"/>
          <w:u w:val="dotted"/>
        </w:rPr>
        <w:t xml:space="preserve">                                                              </w:t>
      </w:r>
    </w:p>
    <w:p w14:paraId="13B3F6F7">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lang w:val="en-US" w:eastAsia="zh-CN"/>
        </w:rPr>
        <w:t>招标</w:t>
      </w:r>
      <w:r>
        <w:rPr>
          <w:rFonts w:hint="eastAsia" w:ascii="宋体" w:hAnsi="宋体" w:cs="仿宋"/>
          <w:color w:val="auto"/>
          <w:sz w:val="24"/>
          <w:szCs w:val="24"/>
          <w:highlight w:val="none"/>
        </w:rPr>
        <w:t>文件获取日期：</w:t>
      </w:r>
      <w:r>
        <w:rPr>
          <w:rFonts w:hint="eastAsia" w:ascii="宋体" w:hAnsi="宋体" w:cs="仿宋"/>
          <w:color w:val="auto"/>
          <w:sz w:val="24"/>
          <w:szCs w:val="24"/>
          <w:highlight w:val="none"/>
          <w:u w:val="dotted"/>
        </w:rPr>
        <w:t xml:space="preserve">                                                        </w:t>
      </w:r>
    </w:p>
    <w:p w14:paraId="52CA2330">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bCs/>
          <w:color w:val="auto"/>
          <w:sz w:val="24"/>
          <w:szCs w:val="24"/>
          <w:highlight w:val="none"/>
        </w:rPr>
      </w:pPr>
      <w:r>
        <w:rPr>
          <w:rFonts w:hint="eastAsia" w:ascii="宋体" w:hAnsi="宋体" w:cs="仿宋"/>
          <w:bCs/>
          <w:color w:val="auto"/>
          <w:sz w:val="24"/>
          <w:szCs w:val="24"/>
          <w:highlight w:val="none"/>
        </w:rPr>
        <w:t>三、质疑事项具体内容</w:t>
      </w:r>
    </w:p>
    <w:p w14:paraId="7C0A6EA2">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rPr>
        <w:t>质疑事项1：</w:t>
      </w:r>
      <w:r>
        <w:rPr>
          <w:rFonts w:hint="eastAsia" w:ascii="宋体" w:hAnsi="宋体" w:cs="仿宋"/>
          <w:color w:val="auto"/>
          <w:sz w:val="24"/>
          <w:szCs w:val="24"/>
          <w:highlight w:val="none"/>
          <w:u w:val="dotted"/>
        </w:rPr>
        <w:t xml:space="preserve">                                                              </w:t>
      </w:r>
    </w:p>
    <w:p w14:paraId="2806FC42">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rPr>
        <w:t>事实依据：</w:t>
      </w:r>
      <w:r>
        <w:rPr>
          <w:rFonts w:hint="eastAsia" w:ascii="宋体" w:hAnsi="宋体" w:cs="仿宋"/>
          <w:color w:val="auto"/>
          <w:sz w:val="24"/>
          <w:szCs w:val="24"/>
          <w:highlight w:val="none"/>
          <w:u w:val="dotted"/>
        </w:rPr>
        <w:t xml:space="preserve">                                                                </w:t>
      </w:r>
    </w:p>
    <w:p w14:paraId="797B49E1">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u w:val="dotted"/>
        </w:rPr>
        <w:t xml:space="preserve">                                                                           </w:t>
      </w:r>
    </w:p>
    <w:p w14:paraId="63793245">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rPr>
        <w:t>法律依据：</w:t>
      </w:r>
      <w:r>
        <w:rPr>
          <w:rFonts w:hint="eastAsia" w:ascii="宋体" w:hAnsi="宋体" w:cs="仿宋"/>
          <w:color w:val="auto"/>
          <w:sz w:val="24"/>
          <w:szCs w:val="24"/>
          <w:highlight w:val="none"/>
          <w:u w:val="dotted"/>
        </w:rPr>
        <w:t xml:space="preserve">                                                                 </w:t>
      </w:r>
    </w:p>
    <w:p w14:paraId="61DC6BB1">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u w:val="dotted"/>
        </w:rPr>
        <w:t xml:space="preserve">                                                                           </w:t>
      </w:r>
    </w:p>
    <w:p w14:paraId="4D4BF99F">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rPr>
        <w:t>质疑事项2</w:t>
      </w:r>
    </w:p>
    <w:p w14:paraId="23AEE5EC">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rPr>
      </w:pPr>
      <w:r>
        <w:rPr>
          <w:rFonts w:hint="eastAsia" w:ascii="宋体" w:hAnsi="宋体" w:cs="仿宋"/>
          <w:color w:val="auto"/>
          <w:sz w:val="24"/>
          <w:szCs w:val="24"/>
          <w:highlight w:val="none"/>
        </w:rPr>
        <w:t>……</w:t>
      </w:r>
    </w:p>
    <w:p w14:paraId="3909406B">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bCs/>
          <w:color w:val="auto"/>
          <w:sz w:val="24"/>
          <w:szCs w:val="24"/>
          <w:highlight w:val="none"/>
        </w:rPr>
      </w:pPr>
      <w:r>
        <w:rPr>
          <w:rFonts w:hint="eastAsia" w:ascii="宋体" w:hAnsi="宋体" w:cs="仿宋"/>
          <w:bCs/>
          <w:color w:val="auto"/>
          <w:sz w:val="24"/>
          <w:szCs w:val="24"/>
          <w:highlight w:val="none"/>
        </w:rPr>
        <w:t>四、与质疑事项相关的质疑请求</w:t>
      </w:r>
    </w:p>
    <w:p w14:paraId="5E0B6DC4">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s="仿宋"/>
          <w:color w:val="auto"/>
          <w:sz w:val="24"/>
          <w:szCs w:val="24"/>
          <w:highlight w:val="none"/>
          <w:u w:val="dotted"/>
        </w:rPr>
      </w:pPr>
      <w:r>
        <w:rPr>
          <w:rFonts w:hint="eastAsia" w:ascii="宋体" w:hAnsi="宋体" w:cs="仿宋"/>
          <w:color w:val="auto"/>
          <w:sz w:val="24"/>
          <w:szCs w:val="24"/>
          <w:highlight w:val="none"/>
        </w:rPr>
        <w:t>请求：</w:t>
      </w:r>
      <w:r>
        <w:rPr>
          <w:rFonts w:hint="eastAsia" w:ascii="宋体" w:hAnsi="宋体" w:cs="仿宋"/>
          <w:color w:val="auto"/>
          <w:sz w:val="24"/>
          <w:szCs w:val="24"/>
          <w:highlight w:val="none"/>
          <w:u w:val="dotted"/>
        </w:rPr>
        <w:t xml:space="preserve">                                                                     </w:t>
      </w:r>
    </w:p>
    <w:p w14:paraId="5585734A">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签字</w:t>
      </w:r>
      <w:r>
        <w:rPr>
          <w:rFonts w:hint="eastAsia" w:ascii="宋体" w:hAnsi="宋体"/>
          <w:color w:val="auto"/>
          <w:sz w:val="24"/>
          <w:szCs w:val="24"/>
          <w:highlight w:val="none"/>
          <w:lang w:eastAsia="zh-CN"/>
        </w:rPr>
        <w:t>（</w:t>
      </w:r>
      <w:r>
        <w:rPr>
          <w:rFonts w:hint="eastAsia" w:ascii="宋体" w:hAnsi="宋体"/>
          <w:color w:val="auto"/>
          <w:sz w:val="24"/>
          <w:szCs w:val="24"/>
          <w:highlight w:val="none"/>
        </w:rPr>
        <w:t>签章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公章：                      </w:t>
      </w:r>
    </w:p>
    <w:p w14:paraId="6C13FEE1">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日期：    </w:t>
      </w:r>
    </w:p>
    <w:p w14:paraId="6997AD86">
      <w:pPr>
        <w:keepNext w:val="0"/>
        <w:keepLines w:val="0"/>
        <w:pageBreakBefore w:val="0"/>
        <w:kinsoku/>
        <w:wordWrap/>
        <w:overflowPunct/>
        <w:topLinePunct w:val="0"/>
        <w:autoSpaceDE/>
        <w:autoSpaceDN/>
        <w:bidi w:val="0"/>
        <w:adjustRightInd w:val="0"/>
        <w:snapToGrid w:val="0"/>
        <w:spacing w:line="360" w:lineRule="auto"/>
        <w:textAlignment w:val="auto"/>
        <w:rPr>
          <w:rFonts w:ascii="宋体" w:hAnsi="宋体"/>
          <w:b/>
          <w:color w:val="auto"/>
          <w:sz w:val="24"/>
          <w:szCs w:val="24"/>
          <w:highlight w:val="none"/>
        </w:rPr>
      </w:pPr>
      <w:r>
        <w:rPr>
          <w:rFonts w:hint="eastAsia" w:ascii="宋体" w:hAnsi="宋体"/>
          <w:b/>
          <w:color w:val="auto"/>
          <w:sz w:val="24"/>
          <w:szCs w:val="24"/>
          <w:highlight w:val="none"/>
        </w:rPr>
        <w:br w:type="page"/>
      </w:r>
      <w:r>
        <w:rPr>
          <w:rFonts w:hint="eastAsia" w:ascii="宋体" w:hAnsi="宋体"/>
          <w:b/>
          <w:color w:val="auto"/>
          <w:sz w:val="24"/>
          <w:szCs w:val="24"/>
          <w:highlight w:val="none"/>
        </w:rPr>
        <w:t>质疑函制作说明：</w:t>
      </w:r>
    </w:p>
    <w:p w14:paraId="506B812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1.供应商提出质疑时，应提交质疑函和必要的证明材料。</w:t>
      </w:r>
    </w:p>
    <w:p w14:paraId="1E0923F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szCs w:val="24"/>
          <w:highlight w:val="none"/>
        </w:rPr>
        <w:t>供应商签署的授权委托书。授权委托书应载明代理人的姓名或者名称、代理事项、具体权限、期限和相关事项。</w:t>
      </w:r>
    </w:p>
    <w:p w14:paraId="4121CFE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3.质疑供应商若对项目的某一分包进行质疑，质疑函中应列明具体标段。</w:t>
      </w:r>
    </w:p>
    <w:p w14:paraId="0E260A9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4.质疑函的质疑事项应具体、明确，并有必要的事实依据和法律依据。</w:t>
      </w:r>
    </w:p>
    <w:p w14:paraId="7440708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5.质疑函的质疑请求应与质疑事项相关。</w:t>
      </w:r>
    </w:p>
    <w:p w14:paraId="2B1984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765C8175">
      <w:pPr>
        <w:keepNext w:val="0"/>
        <w:keepLines w:val="0"/>
        <w:pageBreakBefore w:val="0"/>
        <w:widowControl/>
        <w:kinsoku/>
        <w:wordWrap/>
        <w:overflowPunct/>
        <w:topLinePunct w:val="0"/>
        <w:autoSpaceDE/>
        <w:autoSpaceDN/>
        <w:bidi w:val="0"/>
        <w:adjustRightInd w:val="0"/>
        <w:snapToGrid w:val="0"/>
        <w:spacing w:line="360" w:lineRule="auto"/>
        <w:ind w:firstLine="640"/>
        <w:jc w:val="left"/>
        <w:textAlignment w:val="auto"/>
        <w:rPr>
          <w:rFonts w:hint="eastAsia" w:ascii="宋体" w:hAnsi="宋体" w:eastAsia="宋体" w:cs="宋体"/>
          <w:color w:val="auto"/>
          <w:sz w:val="21"/>
          <w:szCs w:val="21"/>
          <w:highlight w:val="none"/>
        </w:rPr>
      </w:pPr>
    </w:p>
    <w:sectPr>
      <w:type w:val="continuous"/>
      <w:pgSz w:w="11906" w:h="16838"/>
      <w:pgMar w:top="1440" w:right="1797" w:bottom="1440" w:left="179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464DE769-23C4-4890-BF2D-DA21FE8FA20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D466E013-925A-47C8-B330-4632EAD78426}"/>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auto"/>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Helvetica-Light">
    <w:altName w:val="DejaVu Math TeX Gyre"/>
    <w:panose1 w:val="020B0503020202020204"/>
    <w:charset w:val="00"/>
    <w:family w:val="auto"/>
    <w:pitch w:val="default"/>
    <w:sig w:usb0="00000000" w:usb1="00000000" w:usb2="00000000" w:usb3="00000000" w:csb0="00000000" w:csb1="00000000"/>
  </w:font>
  <w:font w:name="方正仿宋简体">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创艺简仿宋">
    <w:altName w:val="方正舒体"/>
    <w:panose1 w:val="020B0503020202020204"/>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59DB7">
    <w:pPr>
      <w:pStyle w:val="29"/>
      <w:jc w:val="center"/>
    </w:pPr>
    <w:r>
      <w:fldChar w:fldCharType="begin"/>
    </w:r>
    <w:r>
      <w:instrText xml:space="preserve">PAGE \* MERGEFORMAT</w:instrText>
    </w:r>
    <w:r>
      <w:fldChar w:fldCharType="separate"/>
    </w:r>
    <w:r>
      <w:t>1</w:t>
    </w:r>
    <w:r>
      <w:fldChar w:fldCharType="end"/>
    </w:r>
  </w:p>
  <w:p w14:paraId="0B92F7D9">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612F">
    <w:pPr>
      <w:pStyle w:val="3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3F93"/>
    <w:multiLevelType w:val="singleLevel"/>
    <w:tmpl w:val="C12E3F93"/>
    <w:lvl w:ilvl="0" w:tentative="0">
      <w:start w:val="1"/>
      <w:numFmt w:val="decimal"/>
      <w:suff w:val="nothing"/>
      <w:lvlText w:val="%1、"/>
      <w:lvlJc w:val="left"/>
    </w:lvl>
  </w:abstractNum>
  <w:abstractNum w:abstractNumId="1">
    <w:nsid w:val="0053208E"/>
    <w:multiLevelType w:val="multilevel"/>
    <w:tmpl w:val="0053208E"/>
    <w:lvl w:ilvl="0" w:tentative="0">
      <w:start w:val="1"/>
      <w:numFmt w:val="bullet"/>
      <w:pStyle w:val="303"/>
      <w:lvlText w:val=""/>
      <w:lvlJc w:val="left"/>
      <w:pPr>
        <w:tabs>
          <w:tab w:val="left" w:pos="480"/>
        </w:tabs>
        <w:ind w:left="480" w:hanging="480"/>
      </w:pPr>
      <w:rPr>
        <w:rFonts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6F204EC7"/>
    <w:multiLevelType w:val="singleLevel"/>
    <w:tmpl w:val="6F204EC7"/>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NTFmN2NlZTk0MGQ1OTkxM2M1ZDNhNDkyN2Q1NDcifQ=="/>
  </w:docVars>
  <w:rsids>
    <w:rsidRoot w:val="00000000"/>
    <w:rsid w:val="002E23A7"/>
    <w:rsid w:val="00E7366B"/>
    <w:rsid w:val="01065DB3"/>
    <w:rsid w:val="0173619F"/>
    <w:rsid w:val="035B751F"/>
    <w:rsid w:val="04B05649"/>
    <w:rsid w:val="04C904B8"/>
    <w:rsid w:val="078828AD"/>
    <w:rsid w:val="08435F0C"/>
    <w:rsid w:val="093F7D8B"/>
    <w:rsid w:val="09C74FB8"/>
    <w:rsid w:val="09E75FE1"/>
    <w:rsid w:val="0A8F22BC"/>
    <w:rsid w:val="0AA66A18"/>
    <w:rsid w:val="0AF85FB6"/>
    <w:rsid w:val="0B282299"/>
    <w:rsid w:val="0D270472"/>
    <w:rsid w:val="0D8B0A01"/>
    <w:rsid w:val="0DA335E0"/>
    <w:rsid w:val="0F680533"/>
    <w:rsid w:val="0FB86539"/>
    <w:rsid w:val="10501A8E"/>
    <w:rsid w:val="106A0826"/>
    <w:rsid w:val="10A818CA"/>
    <w:rsid w:val="1241376B"/>
    <w:rsid w:val="134D3BB6"/>
    <w:rsid w:val="13B54A2A"/>
    <w:rsid w:val="15977F8D"/>
    <w:rsid w:val="16BA5EB3"/>
    <w:rsid w:val="16EB42BE"/>
    <w:rsid w:val="17250A3C"/>
    <w:rsid w:val="185F4F64"/>
    <w:rsid w:val="18DE232D"/>
    <w:rsid w:val="19C2405F"/>
    <w:rsid w:val="1ACF03B6"/>
    <w:rsid w:val="1B016DFD"/>
    <w:rsid w:val="1B532B3E"/>
    <w:rsid w:val="1C3B6584"/>
    <w:rsid w:val="1F180A8E"/>
    <w:rsid w:val="1F6435E0"/>
    <w:rsid w:val="20A01302"/>
    <w:rsid w:val="22347BF8"/>
    <w:rsid w:val="23566043"/>
    <w:rsid w:val="23645B24"/>
    <w:rsid w:val="26753BA5"/>
    <w:rsid w:val="26AB75C6"/>
    <w:rsid w:val="27BF5A1F"/>
    <w:rsid w:val="280671AA"/>
    <w:rsid w:val="281309A6"/>
    <w:rsid w:val="28151638"/>
    <w:rsid w:val="2A0B0BE7"/>
    <w:rsid w:val="2A0E0E8B"/>
    <w:rsid w:val="2AE34CB8"/>
    <w:rsid w:val="2BEA2138"/>
    <w:rsid w:val="2C1D30CB"/>
    <w:rsid w:val="2D1C7470"/>
    <w:rsid w:val="2DEC7868"/>
    <w:rsid w:val="2E143CAB"/>
    <w:rsid w:val="2E5C79B3"/>
    <w:rsid w:val="2E8505C1"/>
    <w:rsid w:val="2EB8253C"/>
    <w:rsid w:val="2ED578D6"/>
    <w:rsid w:val="2EE858F4"/>
    <w:rsid w:val="2F3542F6"/>
    <w:rsid w:val="30AD43A4"/>
    <w:rsid w:val="31B821B1"/>
    <w:rsid w:val="33166F26"/>
    <w:rsid w:val="343A71E6"/>
    <w:rsid w:val="34EA2EB6"/>
    <w:rsid w:val="35551771"/>
    <w:rsid w:val="37405B09"/>
    <w:rsid w:val="375A02D5"/>
    <w:rsid w:val="37957501"/>
    <w:rsid w:val="37C56B6C"/>
    <w:rsid w:val="38211DDE"/>
    <w:rsid w:val="38A038FA"/>
    <w:rsid w:val="38A945A5"/>
    <w:rsid w:val="38C7769E"/>
    <w:rsid w:val="39900D5E"/>
    <w:rsid w:val="39C56140"/>
    <w:rsid w:val="39D30EB6"/>
    <w:rsid w:val="3A9F6F1C"/>
    <w:rsid w:val="3B3616FD"/>
    <w:rsid w:val="3C334F54"/>
    <w:rsid w:val="3C6F58C4"/>
    <w:rsid w:val="3C782375"/>
    <w:rsid w:val="3CCA284C"/>
    <w:rsid w:val="3CED228F"/>
    <w:rsid w:val="3DA81B6D"/>
    <w:rsid w:val="3E52518D"/>
    <w:rsid w:val="3EEF22EE"/>
    <w:rsid w:val="3F1B30E3"/>
    <w:rsid w:val="40026051"/>
    <w:rsid w:val="40B32809"/>
    <w:rsid w:val="41287D39"/>
    <w:rsid w:val="41E579D9"/>
    <w:rsid w:val="429E0697"/>
    <w:rsid w:val="432804C5"/>
    <w:rsid w:val="433D71E5"/>
    <w:rsid w:val="43E231BC"/>
    <w:rsid w:val="445B14BB"/>
    <w:rsid w:val="45FD2076"/>
    <w:rsid w:val="46844F52"/>
    <w:rsid w:val="46ED3C55"/>
    <w:rsid w:val="493059DD"/>
    <w:rsid w:val="49834DA9"/>
    <w:rsid w:val="49B91113"/>
    <w:rsid w:val="49EE3C94"/>
    <w:rsid w:val="4A8F0E29"/>
    <w:rsid w:val="4B2C72E0"/>
    <w:rsid w:val="4BF57306"/>
    <w:rsid w:val="4BF66718"/>
    <w:rsid w:val="4C60533D"/>
    <w:rsid w:val="4C861952"/>
    <w:rsid w:val="4DC64B62"/>
    <w:rsid w:val="4DEA4CF4"/>
    <w:rsid w:val="4DED7C58"/>
    <w:rsid w:val="4E5C1022"/>
    <w:rsid w:val="4E600B13"/>
    <w:rsid w:val="4E9F4991"/>
    <w:rsid w:val="4FB22660"/>
    <w:rsid w:val="52BD4A04"/>
    <w:rsid w:val="52D018D4"/>
    <w:rsid w:val="533D44A5"/>
    <w:rsid w:val="540D3E2D"/>
    <w:rsid w:val="54173089"/>
    <w:rsid w:val="54F138EC"/>
    <w:rsid w:val="550975A9"/>
    <w:rsid w:val="550F33CA"/>
    <w:rsid w:val="5827444F"/>
    <w:rsid w:val="597638E0"/>
    <w:rsid w:val="59FE66D0"/>
    <w:rsid w:val="5A236E98"/>
    <w:rsid w:val="5A581576"/>
    <w:rsid w:val="5AA24261"/>
    <w:rsid w:val="5B694D7F"/>
    <w:rsid w:val="5DA271A0"/>
    <w:rsid w:val="5F8A1E93"/>
    <w:rsid w:val="5FF2209D"/>
    <w:rsid w:val="5FFA1A80"/>
    <w:rsid w:val="607E0110"/>
    <w:rsid w:val="613227E3"/>
    <w:rsid w:val="616A3BC2"/>
    <w:rsid w:val="61CE196F"/>
    <w:rsid w:val="63AC1FBF"/>
    <w:rsid w:val="650A312E"/>
    <w:rsid w:val="653D52B2"/>
    <w:rsid w:val="65E31721"/>
    <w:rsid w:val="667C7355"/>
    <w:rsid w:val="66EF082E"/>
    <w:rsid w:val="67C44A12"/>
    <w:rsid w:val="67EB7697"/>
    <w:rsid w:val="68525518"/>
    <w:rsid w:val="688558EE"/>
    <w:rsid w:val="68DD74D8"/>
    <w:rsid w:val="6933182A"/>
    <w:rsid w:val="6B55414D"/>
    <w:rsid w:val="6B9424AE"/>
    <w:rsid w:val="6C0E79A8"/>
    <w:rsid w:val="6C477A6C"/>
    <w:rsid w:val="6C5D623A"/>
    <w:rsid w:val="6C8E7995"/>
    <w:rsid w:val="6CF05300"/>
    <w:rsid w:val="6F861AE4"/>
    <w:rsid w:val="6F8E4B6A"/>
    <w:rsid w:val="713C4679"/>
    <w:rsid w:val="724539F8"/>
    <w:rsid w:val="725A53EC"/>
    <w:rsid w:val="73F531FC"/>
    <w:rsid w:val="748975DE"/>
    <w:rsid w:val="75970A0E"/>
    <w:rsid w:val="77672662"/>
    <w:rsid w:val="79AB77D5"/>
    <w:rsid w:val="7CFD71E7"/>
    <w:rsid w:val="7DA27FCE"/>
    <w:rsid w:val="7E3160A4"/>
    <w:rsid w:val="7E355268"/>
    <w:rsid w:val="7F20035F"/>
    <w:rsid w:val="7F86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rPr>
  </w:style>
  <w:style w:type="paragraph" w:styleId="2">
    <w:name w:val="heading 1"/>
    <w:basedOn w:val="1"/>
    <w:next w:val="1"/>
    <w:link w:val="232"/>
    <w:qFormat/>
    <w:uiPriority w:val="0"/>
    <w:pPr>
      <w:keepNext/>
      <w:keepLines/>
      <w:spacing w:before="340" w:after="330" w:line="578" w:lineRule="auto"/>
      <w:outlineLvl w:val="0"/>
    </w:pPr>
    <w:rPr>
      <w:b/>
      <w:bCs/>
      <w:sz w:val="44"/>
      <w:szCs w:val="44"/>
    </w:rPr>
  </w:style>
  <w:style w:type="paragraph" w:styleId="3">
    <w:name w:val="heading 2"/>
    <w:basedOn w:val="1"/>
    <w:next w:val="1"/>
    <w:link w:val="23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34"/>
    <w:qFormat/>
    <w:uiPriority w:val="0"/>
    <w:pPr>
      <w:keepNext/>
      <w:keepLines/>
      <w:spacing w:before="260" w:after="260" w:line="416" w:lineRule="auto"/>
      <w:outlineLvl w:val="2"/>
    </w:pPr>
    <w:rPr>
      <w:b/>
      <w:bCs/>
      <w:sz w:val="32"/>
      <w:szCs w:val="32"/>
    </w:rPr>
  </w:style>
  <w:style w:type="paragraph" w:styleId="5">
    <w:name w:val="heading 4"/>
    <w:basedOn w:val="1"/>
    <w:next w:val="1"/>
    <w:link w:val="235"/>
    <w:qFormat/>
    <w:uiPriority w:val="0"/>
    <w:pPr>
      <w:keepNext/>
      <w:jc w:val="center"/>
      <w:outlineLvl w:val="3"/>
    </w:pPr>
    <w:rPr>
      <w:rFonts w:eastAsia="新宋体"/>
      <w:sz w:val="30"/>
      <w:szCs w:val="21"/>
    </w:rPr>
  </w:style>
  <w:style w:type="paragraph" w:styleId="6">
    <w:name w:val="heading 5"/>
    <w:basedOn w:val="1"/>
    <w:next w:val="1"/>
    <w:link w:val="236"/>
    <w:qFormat/>
    <w:uiPriority w:val="0"/>
    <w:pPr>
      <w:keepNext/>
      <w:keepLines/>
      <w:spacing w:before="280" w:after="290" w:line="376" w:lineRule="auto"/>
      <w:outlineLvl w:val="4"/>
    </w:pPr>
    <w:rPr>
      <w:b/>
      <w:bCs/>
      <w:sz w:val="28"/>
      <w:szCs w:val="28"/>
    </w:rPr>
  </w:style>
  <w:style w:type="paragraph" w:styleId="7">
    <w:name w:val="heading 6"/>
    <w:basedOn w:val="1"/>
    <w:next w:val="8"/>
    <w:link w:val="237"/>
    <w:qFormat/>
    <w:uiPriority w:val="0"/>
    <w:pPr>
      <w:keepNext/>
      <w:jc w:val="center"/>
      <w:outlineLvl w:val="5"/>
    </w:pPr>
    <w:rPr>
      <w:b/>
      <w:sz w:val="44"/>
      <w:szCs w:val="20"/>
    </w:rPr>
  </w:style>
  <w:style w:type="paragraph" w:styleId="9">
    <w:name w:val="heading 7"/>
    <w:basedOn w:val="1"/>
    <w:next w:val="1"/>
    <w:link w:val="239"/>
    <w:qFormat/>
    <w:uiPriority w:val="0"/>
    <w:pPr>
      <w:keepNext/>
      <w:keepLines/>
      <w:spacing w:before="240" w:after="64" w:line="320" w:lineRule="auto"/>
      <w:outlineLvl w:val="6"/>
    </w:pPr>
    <w:rPr>
      <w:b/>
      <w:bCs/>
      <w:sz w:val="24"/>
    </w:rPr>
  </w:style>
  <w:style w:type="paragraph" w:styleId="10">
    <w:name w:val="heading 8"/>
    <w:basedOn w:val="1"/>
    <w:next w:val="1"/>
    <w:link w:val="240"/>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241"/>
    <w:qFormat/>
    <w:uiPriority w:val="0"/>
    <w:pPr>
      <w:keepNext/>
      <w:keepLines/>
      <w:spacing w:before="240" w:after="64" w:line="320" w:lineRule="auto"/>
      <w:outlineLvl w:val="8"/>
    </w:pPr>
    <w:rPr>
      <w:rFonts w:ascii="Arial" w:hAnsi="Arial" w:eastAsia="黑体"/>
      <w:sz w:val="24"/>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238"/>
    <w:qFormat/>
    <w:uiPriority w:val="0"/>
    <w:pPr>
      <w:ind w:firstLine="420"/>
    </w:pPr>
    <w:rPr>
      <w:sz w:val="20"/>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Document Map"/>
    <w:basedOn w:val="1"/>
    <w:link w:val="242"/>
    <w:semiHidden/>
    <w:qFormat/>
    <w:uiPriority w:val="0"/>
    <w:pPr>
      <w:shd w:val="clear" w:color="auto" w:fill="000080"/>
    </w:pPr>
    <w:rPr>
      <w:sz w:val="20"/>
    </w:rPr>
  </w:style>
  <w:style w:type="paragraph" w:styleId="15">
    <w:name w:val="annotation text"/>
    <w:basedOn w:val="1"/>
    <w:semiHidden/>
    <w:unhideWhenUsed/>
    <w:qFormat/>
    <w:uiPriority w:val="99"/>
    <w:pPr>
      <w:jc w:val="left"/>
    </w:pPr>
  </w:style>
  <w:style w:type="paragraph" w:styleId="16">
    <w:name w:val="Body Text 3"/>
    <w:basedOn w:val="1"/>
    <w:link w:val="243"/>
    <w:qFormat/>
    <w:uiPriority w:val="0"/>
    <w:pPr>
      <w:spacing w:after="120"/>
    </w:pPr>
    <w:rPr>
      <w:sz w:val="16"/>
      <w:szCs w:val="16"/>
    </w:rPr>
  </w:style>
  <w:style w:type="paragraph" w:styleId="17">
    <w:name w:val="Body Text"/>
    <w:basedOn w:val="1"/>
    <w:next w:val="1"/>
    <w:link w:val="244"/>
    <w:qFormat/>
    <w:uiPriority w:val="0"/>
    <w:rPr>
      <w:rFonts w:ascii="仿宋_GB2312" w:eastAsia="仿宋_GB2312"/>
      <w:sz w:val="24"/>
      <w:szCs w:val="20"/>
    </w:rPr>
  </w:style>
  <w:style w:type="paragraph" w:styleId="18">
    <w:name w:val="Body Text Indent"/>
    <w:basedOn w:val="1"/>
    <w:next w:val="19"/>
    <w:link w:val="245"/>
    <w:qFormat/>
    <w:uiPriority w:val="0"/>
    <w:pPr>
      <w:ind w:left="765"/>
    </w:pPr>
    <w:rPr>
      <w:rFonts w:ascii="仿宋_GB2312" w:eastAsia="仿宋_GB2312"/>
      <w:sz w:val="28"/>
      <w:szCs w:val="20"/>
    </w:rPr>
  </w:style>
  <w:style w:type="paragraph" w:styleId="19">
    <w:name w:val="envelope return"/>
    <w:basedOn w:val="1"/>
    <w:unhideWhenUsed/>
    <w:qFormat/>
    <w:uiPriority w:val="99"/>
    <w:rPr>
      <w:rFonts w:ascii="Arial" w:hAnsi="Arial"/>
    </w:rPr>
  </w:style>
  <w:style w:type="paragraph" w:styleId="20">
    <w:name w:val="index 4"/>
    <w:basedOn w:val="1"/>
    <w:next w:val="1"/>
    <w:unhideWhenUsed/>
    <w:qFormat/>
    <w:uiPriority w:val="99"/>
    <w:pPr>
      <w:ind w:left="600"/>
    </w:pPr>
  </w:style>
  <w:style w:type="paragraph" w:styleId="21">
    <w:name w:val="toc 5"/>
    <w:basedOn w:val="1"/>
    <w:next w:val="1"/>
    <w:unhideWhenUsed/>
    <w:qFormat/>
    <w:uiPriority w:val="39"/>
    <w:pPr>
      <w:spacing w:after="57"/>
      <w:ind w:left="1134"/>
    </w:pPr>
  </w:style>
  <w:style w:type="paragraph" w:styleId="22">
    <w:name w:val="toc 3"/>
    <w:basedOn w:val="1"/>
    <w:next w:val="1"/>
    <w:unhideWhenUsed/>
    <w:qFormat/>
    <w:uiPriority w:val="39"/>
    <w:pPr>
      <w:spacing w:after="57"/>
      <w:ind w:left="567"/>
    </w:pPr>
  </w:style>
  <w:style w:type="paragraph" w:styleId="23">
    <w:name w:val="Plain Text"/>
    <w:basedOn w:val="1"/>
    <w:link w:val="246"/>
    <w:qFormat/>
    <w:uiPriority w:val="0"/>
    <w:rPr>
      <w:rFonts w:ascii="宋体" w:hAnsi="Courier New"/>
      <w:sz w:val="20"/>
      <w:szCs w:val="21"/>
    </w:rPr>
  </w:style>
  <w:style w:type="paragraph" w:styleId="24">
    <w:name w:val="toc 8"/>
    <w:basedOn w:val="1"/>
    <w:next w:val="1"/>
    <w:unhideWhenUsed/>
    <w:qFormat/>
    <w:uiPriority w:val="39"/>
    <w:pPr>
      <w:spacing w:after="57"/>
      <w:ind w:left="1984"/>
    </w:pPr>
  </w:style>
  <w:style w:type="paragraph" w:styleId="25">
    <w:name w:val="Date"/>
    <w:basedOn w:val="1"/>
    <w:next w:val="1"/>
    <w:link w:val="247"/>
    <w:qFormat/>
    <w:uiPriority w:val="0"/>
    <w:rPr>
      <w:sz w:val="24"/>
      <w:szCs w:val="20"/>
    </w:rPr>
  </w:style>
  <w:style w:type="paragraph" w:styleId="26">
    <w:name w:val="Body Text Indent 2"/>
    <w:basedOn w:val="1"/>
    <w:link w:val="248"/>
    <w:qFormat/>
    <w:uiPriority w:val="0"/>
    <w:pPr>
      <w:spacing w:line="500" w:lineRule="exact"/>
      <w:ind w:firstLine="560"/>
    </w:pPr>
    <w:rPr>
      <w:rFonts w:eastAsia="仿宋_GB2312"/>
      <w:sz w:val="28"/>
      <w:szCs w:val="20"/>
    </w:rPr>
  </w:style>
  <w:style w:type="paragraph" w:styleId="27">
    <w:name w:val="endnote text"/>
    <w:basedOn w:val="1"/>
    <w:link w:val="230"/>
    <w:semiHidden/>
    <w:unhideWhenUsed/>
    <w:qFormat/>
    <w:uiPriority w:val="99"/>
    <w:rPr>
      <w:sz w:val="20"/>
    </w:rPr>
  </w:style>
  <w:style w:type="paragraph" w:styleId="28">
    <w:name w:val="Balloon Text"/>
    <w:basedOn w:val="1"/>
    <w:link w:val="249"/>
    <w:semiHidden/>
    <w:qFormat/>
    <w:uiPriority w:val="0"/>
    <w:rPr>
      <w:sz w:val="18"/>
      <w:szCs w:val="18"/>
    </w:rPr>
  </w:style>
  <w:style w:type="paragraph" w:styleId="29">
    <w:name w:val="footer"/>
    <w:basedOn w:val="1"/>
    <w:link w:val="250"/>
    <w:qFormat/>
    <w:uiPriority w:val="99"/>
    <w:pPr>
      <w:tabs>
        <w:tab w:val="center" w:pos="4153"/>
        <w:tab w:val="right" w:pos="8306"/>
      </w:tabs>
      <w:jc w:val="left"/>
    </w:pPr>
    <w:rPr>
      <w:sz w:val="18"/>
      <w:szCs w:val="20"/>
    </w:rPr>
  </w:style>
  <w:style w:type="paragraph" w:styleId="30">
    <w:name w:val="header"/>
    <w:basedOn w:val="1"/>
    <w:link w:val="251"/>
    <w:qFormat/>
    <w:uiPriority w:val="0"/>
    <w:pPr>
      <w:pBdr>
        <w:bottom w:val="single" w:color="000000" w:sz="6" w:space="1"/>
      </w:pBdr>
      <w:tabs>
        <w:tab w:val="center" w:pos="4153"/>
        <w:tab w:val="right" w:pos="8306"/>
      </w:tabs>
      <w:jc w:val="center"/>
    </w:pPr>
    <w:rPr>
      <w:sz w:val="18"/>
      <w:szCs w:val="18"/>
    </w:rPr>
  </w:style>
  <w:style w:type="paragraph" w:styleId="31">
    <w:name w:val="toc 1"/>
    <w:basedOn w:val="1"/>
    <w:next w:val="1"/>
    <w:unhideWhenUsed/>
    <w:qFormat/>
    <w:uiPriority w:val="39"/>
    <w:pPr>
      <w:spacing w:after="57"/>
    </w:pPr>
  </w:style>
  <w:style w:type="paragraph" w:styleId="32">
    <w:name w:val="toc 4"/>
    <w:basedOn w:val="1"/>
    <w:next w:val="1"/>
    <w:unhideWhenUsed/>
    <w:qFormat/>
    <w:uiPriority w:val="39"/>
    <w:pPr>
      <w:spacing w:after="57"/>
      <w:ind w:left="850"/>
    </w:pPr>
  </w:style>
  <w:style w:type="paragraph" w:styleId="33">
    <w:name w:val="Subtitle"/>
    <w:basedOn w:val="1"/>
    <w:next w:val="1"/>
    <w:link w:val="96"/>
    <w:qFormat/>
    <w:uiPriority w:val="11"/>
    <w:pPr>
      <w:spacing w:before="200" w:after="200"/>
    </w:pPr>
    <w:rPr>
      <w:sz w:val="24"/>
    </w:rPr>
  </w:style>
  <w:style w:type="paragraph" w:styleId="34">
    <w:name w:val="List"/>
    <w:basedOn w:val="1"/>
    <w:qFormat/>
    <w:uiPriority w:val="0"/>
    <w:pPr>
      <w:ind w:left="200" w:hanging="200"/>
    </w:pPr>
  </w:style>
  <w:style w:type="paragraph" w:styleId="35">
    <w:name w:val="footnote text"/>
    <w:basedOn w:val="1"/>
    <w:link w:val="229"/>
    <w:semiHidden/>
    <w:unhideWhenUsed/>
    <w:qFormat/>
    <w:uiPriority w:val="99"/>
    <w:pPr>
      <w:spacing w:after="40"/>
    </w:pPr>
    <w:rPr>
      <w:sz w:val="18"/>
    </w:rPr>
  </w:style>
  <w:style w:type="paragraph" w:styleId="36">
    <w:name w:val="toc 6"/>
    <w:basedOn w:val="1"/>
    <w:next w:val="1"/>
    <w:unhideWhenUsed/>
    <w:qFormat/>
    <w:uiPriority w:val="39"/>
    <w:pPr>
      <w:spacing w:after="57"/>
      <w:ind w:left="1417"/>
    </w:pPr>
  </w:style>
  <w:style w:type="paragraph" w:styleId="37">
    <w:name w:val="Body Text Indent 3"/>
    <w:basedOn w:val="1"/>
    <w:link w:val="253"/>
    <w:qFormat/>
    <w:uiPriority w:val="0"/>
    <w:pPr>
      <w:spacing w:after="120"/>
      <w:ind w:left="420"/>
    </w:pPr>
    <w:rPr>
      <w:sz w:val="16"/>
      <w:szCs w:val="16"/>
    </w:rPr>
  </w:style>
  <w:style w:type="paragraph" w:styleId="38">
    <w:name w:val="table of figures"/>
    <w:basedOn w:val="1"/>
    <w:next w:val="1"/>
    <w:unhideWhenUsed/>
    <w:qFormat/>
    <w:uiPriority w:val="99"/>
  </w:style>
  <w:style w:type="paragraph" w:styleId="39">
    <w:name w:val="toc 2"/>
    <w:basedOn w:val="1"/>
    <w:next w:val="1"/>
    <w:unhideWhenUsed/>
    <w:qFormat/>
    <w:uiPriority w:val="39"/>
    <w:pPr>
      <w:spacing w:after="57"/>
      <w:ind w:left="283"/>
    </w:pPr>
  </w:style>
  <w:style w:type="paragraph" w:styleId="40">
    <w:name w:val="toc 9"/>
    <w:basedOn w:val="1"/>
    <w:next w:val="1"/>
    <w:unhideWhenUsed/>
    <w:qFormat/>
    <w:uiPriority w:val="39"/>
    <w:pPr>
      <w:spacing w:after="57"/>
      <w:ind w:left="2268"/>
    </w:pPr>
  </w:style>
  <w:style w:type="paragraph" w:styleId="41">
    <w:name w:val="Body Text 2"/>
    <w:basedOn w:val="1"/>
    <w:link w:val="254"/>
    <w:qFormat/>
    <w:uiPriority w:val="0"/>
    <w:rPr>
      <w:b/>
      <w:bCs/>
      <w:sz w:val="18"/>
    </w:rPr>
  </w:style>
  <w:style w:type="paragraph" w:styleId="42">
    <w:name w:val="HTML Preformatted"/>
    <w:basedOn w:val="1"/>
    <w:link w:val="2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等线 Light" w:hAnsi="等线 Light" w:eastAsia="幼圆" w:cs="等线 Light"/>
      <w:sz w:val="24"/>
      <w:szCs w:val="22"/>
    </w:rPr>
  </w:style>
  <w:style w:type="paragraph" w:styleId="43">
    <w:name w:val="Normal (Web)"/>
    <w:basedOn w:val="1"/>
    <w:qFormat/>
    <w:uiPriority w:val="0"/>
    <w:pPr>
      <w:widowControl/>
      <w:spacing w:before="100" w:beforeAutospacing="1" w:after="100" w:afterAutospacing="1"/>
      <w:jc w:val="left"/>
    </w:pPr>
    <w:rPr>
      <w:rFonts w:ascii="宋体" w:hAnsi="宋体"/>
      <w:color w:val="000000"/>
      <w:sz w:val="24"/>
    </w:rPr>
  </w:style>
  <w:style w:type="paragraph" w:styleId="44">
    <w:name w:val="Title"/>
    <w:basedOn w:val="1"/>
    <w:next w:val="1"/>
    <w:link w:val="95"/>
    <w:qFormat/>
    <w:uiPriority w:val="10"/>
    <w:pPr>
      <w:spacing w:before="300" w:after="200"/>
      <w:contextualSpacing/>
    </w:pPr>
    <w:rPr>
      <w:sz w:val="48"/>
      <w:szCs w:val="48"/>
    </w:rPr>
  </w:style>
  <w:style w:type="paragraph" w:styleId="45">
    <w:name w:val="Body Text First Indent"/>
    <w:basedOn w:val="17"/>
    <w:qFormat/>
    <w:uiPriority w:val="99"/>
    <w:pPr>
      <w:ind w:firstLine="420"/>
    </w:pPr>
  </w:style>
  <w:style w:type="paragraph" w:styleId="46">
    <w:name w:val="Body Text First Indent 2"/>
    <w:basedOn w:val="18"/>
    <w:qFormat/>
    <w:uiPriority w:val="99"/>
    <w:pPr>
      <w:spacing w:line="240" w:lineRule="auto"/>
      <w:ind w:firstLine="200"/>
    </w:p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semiHidden/>
    <w:unhideWhenUsed/>
    <w:qFormat/>
    <w:uiPriority w:val="99"/>
    <w:rPr>
      <w:vertAlign w:val="superscript"/>
    </w:rPr>
  </w:style>
  <w:style w:type="character" w:styleId="52">
    <w:name w:val="page number"/>
    <w:qFormat/>
    <w:uiPriority w:val="0"/>
  </w:style>
  <w:style w:type="character" w:styleId="53">
    <w:name w:val="Hyperlink"/>
    <w:qFormat/>
    <w:uiPriority w:val="0"/>
    <w:rPr>
      <w:color w:val="0000FF"/>
      <w:u w:val="single"/>
    </w:rPr>
  </w:style>
  <w:style w:type="character" w:styleId="54">
    <w:name w:val="footnote reference"/>
    <w:unhideWhenUsed/>
    <w:qFormat/>
    <w:uiPriority w:val="99"/>
    <w:rPr>
      <w:vertAlign w:val="superscript"/>
    </w:rPr>
  </w:style>
  <w:style w:type="paragraph" w:customStyle="1" w:styleId="55">
    <w:name w:val="Default"/>
    <w:qFormat/>
    <w:uiPriority w:val="0"/>
    <w:pPr>
      <w:widowControl w:val="0"/>
    </w:pPr>
    <w:rPr>
      <w:rFonts w:hint="default" w:ascii="Arial Unicode MS" w:hAnsi="Times New Roman" w:eastAsia="Arial Unicode MS" w:cs="Arial Unicode MS"/>
      <w:color w:val="000000"/>
      <w:sz w:val="24"/>
      <w:szCs w:val="24"/>
      <w:lang w:val="en-US" w:eastAsia="zh-CN" w:bidi="ar-SA"/>
    </w:rPr>
  </w:style>
  <w:style w:type="paragraph" w:customStyle="1" w:styleId="56">
    <w:name w:val="正文首行缩进 21"/>
    <w:basedOn w:val="57"/>
    <w:qFormat/>
    <w:uiPriority w:val="0"/>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table" w:customStyle="1" w:styleId="58">
    <w:name w:val="Plain Table 1"/>
    <w:basedOn w:val="4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47"/>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47"/>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47"/>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47"/>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47"/>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2"/>
    <w:basedOn w:val="4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Grid Table 3"/>
    <w:basedOn w:val="4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Grid Table 4"/>
    <w:basedOn w:val="47"/>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5 Dark"/>
    <w:basedOn w:val="4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8">
    <w:name w:val="Grid Table 6 Colorful"/>
    <w:basedOn w:val="47"/>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9">
    <w:name w:val="Grid Table 7 Colorful"/>
    <w:basedOn w:val="47"/>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0">
    <w:name w:val="List Table 1 Light"/>
    <w:basedOn w:val="47"/>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1">
    <w:name w:val="List Table 2"/>
    <w:basedOn w:val="47"/>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2">
    <w:name w:val="List Table 3"/>
    <w:basedOn w:val="4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3">
    <w:name w:val="List Table 4"/>
    <w:basedOn w:val="4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4">
    <w:name w:val="List Table 5 Dark"/>
    <w:basedOn w:val="47"/>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5">
    <w:name w:val="List Table 6 Colorful"/>
    <w:basedOn w:val="47"/>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6">
    <w:name w:val="List Table 7 Colorful"/>
    <w:basedOn w:val="47"/>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77">
    <w:name w:val="TOC Heading"/>
    <w:unhideWhenUsed/>
    <w:qFormat/>
    <w:uiPriority w:val="39"/>
    <w:rPr>
      <w:rFonts w:hint="default" w:ascii="Times New Roman" w:hAnsi="Times New Roman" w:eastAsia="宋体" w:cs="Times New Roman"/>
    </w:rPr>
  </w:style>
  <w:style w:type="character" w:customStyle="1" w:styleId="78">
    <w:name w:val="Title Char"/>
    <w:basedOn w:val="49"/>
    <w:qFormat/>
    <w:uiPriority w:val="10"/>
    <w:rPr>
      <w:sz w:val="48"/>
      <w:szCs w:val="48"/>
    </w:rPr>
  </w:style>
  <w:style w:type="character" w:customStyle="1" w:styleId="79">
    <w:name w:val="Subtitle Char"/>
    <w:basedOn w:val="49"/>
    <w:qFormat/>
    <w:uiPriority w:val="11"/>
    <w:rPr>
      <w:sz w:val="24"/>
      <w:szCs w:val="24"/>
    </w:rPr>
  </w:style>
  <w:style w:type="character" w:customStyle="1" w:styleId="80">
    <w:name w:val="Quote Char"/>
    <w:qFormat/>
    <w:uiPriority w:val="29"/>
    <w:rPr>
      <w:i/>
    </w:rPr>
  </w:style>
  <w:style w:type="character" w:customStyle="1" w:styleId="81">
    <w:name w:val="Intense Quote Char"/>
    <w:qFormat/>
    <w:uiPriority w:val="30"/>
    <w:rPr>
      <w:i/>
    </w:rPr>
  </w:style>
  <w:style w:type="character" w:customStyle="1" w:styleId="82">
    <w:name w:val="Footnote Text Char"/>
    <w:qFormat/>
    <w:uiPriority w:val="99"/>
    <w:rPr>
      <w:sz w:val="18"/>
    </w:rPr>
  </w:style>
  <w:style w:type="character" w:customStyle="1" w:styleId="83">
    <w:name w:val="Endnote Text Char"/>
    <w:qFormat/>
    <w:uiPriority w:val="99"/>
    <w:rPr>
      <w:sz w:val="20"/>
    </w:rPr>
  </w:style>
  <w:style w:type="character" w:customStyle="1" w:styleId="84">
    <w:name w:val="Heading 1 Char"/>
    <w:qFormat/>
    <w:uiPriority w:val="9"/>
    <w:rPr>
      <w:rFonts w:ascii="Arial" w:hAnsi="Arial" w:eastAsia="Arial" w:cs="Arial"/>
      <w:sz w:val="40"/>
      <w:szCs w:val="40"/>
    </w:rPr>
  </w:style>
  <w:style w:type="character" w:customStyle="1" w:styleId="85">
    <w:name w:val="Heading 2 Char"/>
    <w:qFormat/>
    <w:uiPriority w:val="9"/>
    <w:rPr>
      <w:rFonts w:ascii="Arial" w:hAnsi="Arial" w:eastAsia="Arial" w:cs="Arial"/>
      <w:sz w:val="34"/>
    </w:rPr>
  </w:style>
  <w:style w:type="character" w:customStyle="1" w:styleId="86">
    <w:name w:val="Heading 3 Char"/>
    <w:qFormat/>
    <w:uiPriority w:val="9"/>
    <w:rPr>
      <w:rFonts w:ascii="Arial" w:hAnsi="Arial" w:eastAsia="Arial" w:cs="Arial"/>
      <w:sz w:val="30"/>
      <w:szCs w:val="30"/>
    </w:rPr>
  </w:style>
  <w:style w:type="character" w:customStyle="1" w:styleId="87">
    <w:name w:val="Heading 4 Char"/>
    <w:qFormat/>
    <w:uiPriority w:val="9"/>
    <w:rPr>
      <w:rFonts w:ascii="Arial" w:hAnsi="Arial" w:eastAsia="Arial" w:cs="Arial"/>
      <w:b/>
      <w:bCs/>
      <w:sz w:val="26"/>
      <w:szCs w:val="26"/>
    </w:rPr>
  </w:style>
  <w:style w:type="character" w:customStyle="1" w:styleId="88">
    <w:name w:val="Heading 5 Char"/>
    <w:qFormat/>
    <w:uiPriority w:val="9"/>
    <w:rPr>
      <w:rFonts w:ascii="Arial" w:hAnsi="Arial" w:eastAsia="Arial" w:cs="Arial"/>
      <w:b/>
      <w:bCs/>
      <w:sz w:val="24"/>
      <w:szCs w:val="24"/>
    </w:rPr>
  </w:style>
  <w:style w:type="character" w:customStyle="1" w:styleId="89">
    <w:name w:val="Heading 6 Char"/>
    <w:qFormat/>
    <w:uiPriority w:val="9"/>
    <w:rPr>
      <w:rFonts w:ascii="Arial" w:hAnsi="Arial" w:eastAsia="Arial" w:cs="Arial"/>
      <w:b/>
      <w:bCs/>
      <w:sz w:val="22"/>
      <w:szCs w:val="22"/>
    </w:rPr>
  </w:style>
  <w:style w:type="character" w:customStyle="1" w:styleId="90">
    <w:name w:val="Heading 7 Char"/>
    <w:qFormat/>
    <w:uiPriority w:val="9"/>
    <w:rPr>
      <w:rFonts w:ascii="Arial" w:hAnsi="Arial" w:eastAsia="Arial" w:cs="Arial"/>
      <w:b/>
      <w:bCs/>
      <w:i/>
      <w:iCs/>
      <w:sz w:val="22"/>
      <w:szCs w:val="22"/>
    </w:rPr>
  </w:style>
  <w:style w:type="character" w:customStyle="1" w:styleId="91">
    <w:name w:val="Heading 8 Char"/>
    <w:qFormat/>
    <w:uiPriority w:val="9"/>
    <w:rPr>
      <w:rFonts w:ascii="Arial" w:hAnsi="Arial" w:eastAsia="Arial" w:cs="Arial"/>
      <w:i/>
      <w:iCs/>
      <w:sz w:val="22"/>
      <w:szCs w:val="22"/>
    </w:rPr>
  </w:style>
  <w:style w:type="character" w:customStyle="1" w:styleId="92">
    <w:name w:val="Heading 9 Char"/>
    <w:qFormat/>
    <w:uiPriority w:val="9"/>
    <w:rPr>
      <w:rFonts w:ascii="Arial" w:hAnsi="Arial" w:eastAsia="Arial" w:cs="Arial"/>
      <w:i/>
      <w:iCs/>
      <w:sz w:val="21"/>
      <w:szCs w:val="21"/>
    </w:rPr>
  </w:style>
  <w:style w:type="paragraph" w:styleId="93">
    <w:name w:val="List Paragraph"/>
    <w:basedOn w:val="1"/>
    <w:link w:val="259"/>
    <w:qFormat/>
    <w:uiPriority w:val="34"/>
    <w:pPr>
      <w:ind w:firstLine="420"/>
    </w:pPr>
    <w:rPr>
      <w:sz w:val="20"/>
      <w:szCs w:val="20"/>
    </w:rPr>
  </w:style>
  <w:style w:type="paragraph" w:styleId="94">
    <w:name w:val="No Spacing"/>
    <w:qFormat/>
    <w:uiPriority w:val="1"/>
    <w:rPr>
      <w:rFonts w:hint="default" w:ascii="Times New Roman" w:hAnsi="Times New Roman" w:eastAsia="宋体" w:cs="Times New Roman"/>
    </w:rPr>
  </w:style>
  <w:style w:type="character" w:customStyle="1" w:styleId="95">
    <w:name w:val="标题 字符"/>
    <w:link w:val="44"/>
    <w:qFormat/>
    <w:uiPriority w:val="10"/>
    <w:rPr>
      <w:sz w:val="48"/>
      <w:szCs w:val="48"/>
    </w:rPr>
  </w:style>
  <w:style w:type="character" w:customStyle="1" w:styleId="96">
    <w:name w:val="副标题 字符"/>
    <w:link w:val="33"/>
    <w:qFormat/>
    <w:uiPriority w:val="11"/>
    <w:rPr>
      <w:sz w:val="24"/>
      <w:szCs w:val="24"/>
    </w:rPr>
  </w:style>
  <w:style w:type="paragraph" w:styleId="97">
    <w:name w:val="Quote"/>
    <w:basedOn w:val="1"/>
    <w:next w:val="1"/>
    <w:link w:val="98"/>
    <w:qFormat/>
    <w:uiPriority w:val="29"/>
    <w:pPr>
      <w:ind w:left="720" w:right="720"/>
    </w:pPr>
    <w:rPr>
      <w:i/>
    </w:rPr>
  </w:style>
  <w:style w:type="character" w:customStyle="1" w:styleId="98">
    <w:name w:val="引用 字符"/>
    <w:link w:val="97"/>
    <w:qFormat/>
    <w:uiPriority w:val="29"/>
    <w:rPr>
      <w:i/>
    </w:rPr>
  </w:style>
  <w:style w:type="paragraph" w:styleId="99">
    <w:name w:val="Intense Quote"/>
    <w:basedOn w:val="1"/>
    <w:next w:val="1"/>
    <w:link w:val="10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0">
    <w:name w:val="明显引用 字符"/>
    <w:link w:val="99"/>
    <w:qFormat/>
    <w:uiPriority w:val="30"/>
    <w:rPr>
      <w:i/>
    </w:rPr>
  </w:style>
  <w:style w:type="character" w:customStyle="1" w:styleId="101">
    <w:name w:val="Header Char"/>
    <w:qFormat/>
    <w:uiPriority w:val="99"/>
  </w:style>
  <w:style w:type="character" w:customStyle="1" w:styleId="102">
    <w:name w:val="Footer Char"/>
    <w:qFormat/>
    <w:uiPriority w:val="99"/>
  </w:style>
  <w:style w:type="character" w:customStyle="1" w:styleId="103">
    <w:name w:val="Caption Char"/>
    <w:qFormat/>
    <w:uiPriority w:val="99"/>
  </w:style>
  <w:style w:type="table" w:customStyle="1" w:styleId="104">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5">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06">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107">
    <w:name w:val="无格式表格 31"/>
    <w:qFormat/>
    <w:uiPriority w:val="99"/>
    <w:tblPr>
      <w:tblCellMar>
        <w:top w:w="0" w:type="dxa"/>
        <w:left w:w="0" w:type="dxa"/>
        <w:bottom w:w="0" w:type="dxa"/>
        <w:right w:w="0" w:type="dxa"/>
      </w:tblCellMar>
    </w:tblPr>
  </w:style>
  <w:style w:type="table" w:customStyle="1" w:styleId="108">
    <w:name w:val="无格式表格 41"/>
    <w:qFormat/>
    <w:uiPriority w:val="99"/>
    <w:tblPr>
      <w:tblCellMar>
        <w:top w:w="0" w:type="dxa"/>
        <w:left w:w="0" w:type="dxa"/>
        <w:bottom w:w="0" w:type="dxa"/>
        <w:right w:w="0" w:type="dxa"/>
      </w:tblCellMar>
    </w:tblPr>
  </w:style>
  <w:style w:type="table" w:customStyle="1" w:styleId="109">
    <w:name w:val="无格式表格 51"/>
    <w:qFormat/>
    <w:uiPriority w:val="99"/>
    <w:tblPr>
      <w:tblCellMar>
        <w:top w:w="0" w:type="dxa"/>
        <w:left w:w="0" w:type="dxa"/>
        <w:bottom w:w="0" w:type="dxa"/>
        <w:right w:w="0" w:type="dxa"/>
      </w:tblCellMar>
    </w:tblPr>
  </w:style>
  <w:style w:type="table" w:customStyle="1" w:styleId="110">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111">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12">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13">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14">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15">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16">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17">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8">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9">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0">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1">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2">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3">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4">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25">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26">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7">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8">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9">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0">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31">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32">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33">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34">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35">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36">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37">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38">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9">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0">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1">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2">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3">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4">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45">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46">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7">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8">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9">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50">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51">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52">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53">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54">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55">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56">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57">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58">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59">
    <w:name w:val="清单表 1 浅色1"/>
    <w:qFormat/>
    <w:uiPriority w:val="99"/>
    <w:tblPr>
      <w:tblCellMar>
        <w:top w:w="0" w:type="dxa"/>
        <w:left w:w="0" w:type="dxa"/>
        <w:bottom w:w="0" w:type="dxa"/>
        <w:right w:w="0" w:type="dxa"/>
      </w:tblCellMar>
    </w:tblPr>
  </w:style>
  <w:style w:type="table" w:customStyle="1" w:styleId="160">
    <w:name w:val="List Table 1 Light - Accent 1"/>
    <w:qFormat/>
    <w:uiPriority w:val="99"/>
    <w:tblPr>
      <w:tblCellMar>
        <w:top w:w="0" w:type="dxa"/>
        <w:left w:w="0" w:type="dxa"/>
        <w:bottom w:w="0" w:type="dxa"/>
        <w:right w:w="0" w:type="dxa"/>
      </w:tblCellMar>
    </w:tblPr>
  </w:style>
  <w:style w:type="table" w:customStyle="1" w:styleId="161">
    <w:name w:val="List Table 1 Light - Accent 2"/>
    <w:qFormat/>
    <w:uiPriority w:val="99"/>
    <w:tblPr>
      <w:tblCellMar>
        <w:top w:w="0" w:type="dxa"/>
        <w:left w:w="0" w:type="dxa"/>
        <w:bottom w:w="0" w:type="dxa"/>
        <w:right w:w="0" w:type="dxa"/>
      </w:tblCellMar>
    </w:tblPr>
  </w:style>
  <w:style w:type="table" w:customStyle="1" w:styleId="162">
    <w:name w:val="List Table 1 Light - Accent 3"/>
    <w:qFormat/>
    <w:uiPriority w:val="99"/>
    <w:tblPr>
      <w:tblCellMar>
        <w:top w:w="0" w:type="dxa"/>
        <w:left w:w="0" w:type="dxa"/>
        <w:bottom w:w="0" w:type="dxa"/>
        <w:right w:w="0" w:type="dxa"/>
      </w:tblCellMar>
    </w:tblPr>
  </w:style>
  <w:style w:type="table" w:customStyle="1" w:styleId="163">
    <w:name w:val="List Table 1 Light - Accent 4"/>
    <w:qFormat/>
    <w:uiPriority w:val="99"/>
    <w:tblPr>
      <w:tblCellMar>
        <w:top w:w="0" w:type="dxa"/>
        <w:left w:w="0" w:type="dxa"/>
        <w:bottom w:w="0" w:type="dxa"/>
        <w:right w:w="0" w:type="dxa"/>
      </w:tblCellMar>
    </w:tblPr>
  </w:style>
  <w:style w:type="table" w:customStyle="1" w:styleId="164">
    <w:name w:val="List Table 1 Light - Accent 5"/>
    <w:qFormat/>
    <w:uiPriority w:val="99"/>
    <w:tblPr>
      <w:tblCellMar>
        <w:top w:w="0" w:type="dxa"/>
        <w:left w:w="0" w:type="dxa"/>
        <w:bottom w:w="0" w:type="dxa"/>
        <w:right w:w="0" w:type="dxa"/>
      </w:tblCellMar>
    </w:tblPr>
  </w:style>
  <w:style w:type="table" w:customStyle="1" w:styleId="165">
    <w:name w:val="List Table 1 Light - Accent 6"/>
    <w:qFormat/>
    <w:uiPriority w:val="99"/>
    <w:tblPr>
      <w:tblCellMar>
        <w:top w:w="0" w:type="dxa"/>
        <w:left w:w="0" w:type="dxa"/>
        <w:bottom w:w="0" w:type="dxa"/>
        <w:right w:w="0" w:type="dxa"/>
      </w:tblCellMar>
    </w:tblPr>
  </w:style>
  <w:style w:type="table" w:customStyle="1" w:styleId="166">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67">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68">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69">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70">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71">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72">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73">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74">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75">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76">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77">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78">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79">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80">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81">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82">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83">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84">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85">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86">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87">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88">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89">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90">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91">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92">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93">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94">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95">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96">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97">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98">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99">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200">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201">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202">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203">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204">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205">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206">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207">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208">
    <w:name w:val="Lined - Accent"/>
    <w:qFormat/>
    <w:uiPriority w:val="99"/>
    <w:rPr>
      <w:color w:val="404040"/>
    </w:rPr>
    <w:tblPr>
      <w:tblCellMar>
        <w:top w:w="0" w:type="dxa"/>
        <w:left w:w="0" w:type="dxa"/>
        <w:bottom w:w="0" w:type="dxa"/>
        <w:right w:w="0" w:type="dxa"/>
      </w:tblCellMar>
    </w:tblPr>
  </w:style>
  <w:style w:type="table" w:customStyle="1" w:styleId="209">
    <w:name w:val="Lined - Accent 1"/>
    <w:qFormat/>
    <w:uiPriority w:val="99"/>
    <w:rPr>
      <w:color w:val="404040"/>
    </w:rPr>
    <w:tblPr>
      <w:tblCellMar>
        <w:top w:w="0" w:type="dxa"/>
        <w:left w:w="0" w:type="dxa"/>
        <w:bottom w:w="0" w:type="dxa"/>
        <w:right w:w="0" w:type="dxa"/>
      </w:tblCellMar>
    </w:tblPr>
  </w:style>
  <w:style w:type="table" w:customStyle="1" w:styleId="210">
    <w:name w:val="Lined - Accent 2"/>
    <w:qFormat/>
    <w:uiPriority w:val="99"/>
    <w:rPr>
      <w:color w:val="404040"/>
    </w:rPr>
    <w:tblPr>
      <w:tblCellMar>
        <w:top w:w="0" w:type="dxa"/>
        <w:left w:w="0" w:type="dxa"/>
        <w:bottom w:w="0" w:type="dxa"/>
        <w:right w:w="0" w:type="dxa"/>
      </w:tblCellMar>
    </w:tblPr>
  </w:style>
  <w:style w:type="table" w:customStyle="1" w:styleId="211">
    <w:name w:val="Lined - Accent 3"/>
    <w:qFormat/>
    <w:uiPriority w:val="99"/>
    <w:rPr>
      <w:color w:val="404040"/>
    </w:rPr>
    <w:tblPr>
      <w:tblCellMar>
        <w:top w:w="0" w:type="dxa"/>
        <w:left w:w="0" w:type="dxa"/>
        <w:bottom w:w="0" w:type="dxa"/>
        <w:right w:w="0" w:type="dxa"/>
      </w:tblCellMar>
    </w:tblPr>
  </w:style>
  <w:style w:type="table" w:customStyle="1" w:styleId="212">
    <w:name w:val="Lined - Accent 4"/>
    <w:qFormat/>
    <w:uiPriority w:val="99"/>
    <w:rPr>
      <w:color w:val="404040"/>
    </w:rPr>
    <w:tblPr>
      <w:tblCellMar>
        <w:top w:w="0" w:type="dxa"/>
        <w:left w:w="0" w:type="dxa"/>
        <w:bottom w:w="0" w:type="dxa"/>
        <w:right w:w="0" w:type="dxa"/>
      </w:tblCellMar>
    </w:tblPr>
  </w:style>
  <w:style w:type="table" w:customStyle="1" w:styleId="213">
    <w:name w:val="Lined - Accent 5"/>
    <w:qFormat/>
    <w:uiPriority w:val="99"/>
    <w:rPr>
      <w:color w:val="404040"/>
    </w:rPr>
    <w:tblPr>
      <w:tblCellMar>
        <w:top w:w="0" w:type="dxa"/>
        <w:left w:w="0" w:type="dxa"/>
        <w:bottom w:w="0" w:type="dxa"/>
        <w:right w:w="0" w:type="dxa"/>
      </w:tblCellMar>
    </w:tblPr>
  </w:style>
  <w:style w:type="table" w:customStyle="1" w:styleId="214">
    <w:name w:val="Lined - Accent 6"/>
    <w:qFormat/>
    <w:uiPriority w:val="99"/>
    <w:rPr>
      <w:color w:val="404040"/>
    </w:rPr>
    <w:tblPr>
      <w:tblCellMar>
        <w:top w:w="0" w:type="dxa"/>
        <w:left w:w="0" w:type="dxa"/>
        <w:bottom w:w="0" w:type="dxa"/>
        <w:right w:w="0" w:type="dxa"/>
      </w:tblCellMar>
    </w:tblPr>
  </w:style>
  <w:style w:type="table" w:customStyle="1" w:styleId="215">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16">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17">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18">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19">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20">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21">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22">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23">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24">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25">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26">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27">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28">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29">
    <w:name w:val="脚注文本 字符"/>
    <w:link w:val="35"/>
    <w:qFormat/>
    <w:uiPriority w:val="99"/>
    <w:rPr>
      <w:sz w:val="18"/>
    </w:rPr>
  </w:style>
  <w:style w:type="character" w:customStyle="1" w:styleId="230">
    <w:name w:val="尾注文本 字符"/>
    <w:link w:val="27"/>
    <w:qFormat/>
    <w:uiPriority w:val="99"/>
    <w:rPr>
      <w:sz w:val="20"/>
    </w:rPr>
  </w:style>
  <w:style w:type="paragraph" w:customStyle="1" w:styleId="231">
    <w:name w:val="TOC 标题1"/>
    <w:unhideWhenUsed/>
    <w:qFormat/>
    <w:uiPriority w:val="39"/>
    <w:rPr>
      <w:rFonts w:hint="default" w:ascii="Times New Roman" w:hAnsi="Times New Roman" w:eastAsia="宋体" w:cs="Times New Roman"/>
    </w:rPr>
  </w:style>
  <w:style w:type="character" w:customStyle="1" w:styleId="232">
    <w:name w:val="标题 1 字符"/>
    <w:link w:val="2"/>
    <w:qFormat/>
    <w:uiPriority w:val="0"/>
    <w:rPr>
      <w:rFonts w:ascii="Times New Roman" w:hAnsi="Times New Roman" w:eastAsia="宋体" w:cs="Times New Roman"/>
      <w:b/>
      <w:bCs/>
      <w:sz w:val="44"/>
      <w:szCs w:val="44"/>
    </w:rPr>
  </w:style>
  <w:style w:type="character" w:customStyle="1" w:styleId="233">
    <w:name w:val="标题 2 字符"/>
    <w:link w:val="3"/>
    <w:qFormat/>
    <w:uiPriority w:val="0"/>
    <w:rPr>
      <w:rFonts w:ascii="Arial" w:hAnsi="Arial" w:eastAsia="黑体" w:cs="Times New Roman"/>
      <w:b/>
      <w:bCs/>
      <w:sz w:val="32"/>
      <w:szCs w:val="32"/>
    </w:rPr>
  </w:style>
  <w:style w:type="character" w:customStyle="1" w:styleId="234">
    <w:name w:val="标题 3 字符"/>
    <w:link w:val="4"/>
    <w:qFormat/>
    <w:uiPriority w:val="0"/>
    <w:rPr>
      <w:rFonts w:ascii="Times New Roman" w:hAnsi="Times New Roman" w:eastAsia="宋体" w:cs="Times New Roman"/>
      <w:b/>
      <w:bCs/>
      <w:sz w:val="32"/>
      <w:szCs w:val="32"/>
    </w:rPr>
  </w:style>
  <w:style w:type="character" w:customStyle="1" w:styleId="235">
    <w:name w:val="标题 4 字符"/>
    <w:link w:val="5"/>
    <w:qFormat/>
    <w:uiPriority w:val="0"/>
    <w:rPr>
      <w:rFonts w:ascii="Times New Roman" w:hAnsi="Times New Roman" w:eastAsia="新宋体" w:cs="Times New Roman"/>
      <w:sz w:val="30"/>
      <w:szCs w:val="21"/>
    </w:rPr>
  </w:style>
  <w:style w:type="character" w:customStyle="1" w:styleId="236">
    <w:name w:val="标题 5 字符"/>
    <w:link w:val="6"/>
    <w:qFormat/>
    <w:uiPriority w:val="0"/>
    <w:rPr>
      <w:rFonts w:ascii="Times New Roman" w:hAnsi="Times New Roman" w:eastAsia="宋体" w:cs="Times New Roman"/>
      <w:b/>
      <w:bCs/>
      <w:sz w:val="28"/>
      <w:szCs w:val="28"/>
    </w:rPr>
  </w:style>
  <w:style w:type="character" w:customStyle="1" w:styleId="237">
    <w:name w:val="标题 6 字符"/>
    <w:link w:val="7"/>
    <w:qFormat/>
    <w:uiPriority w:val="0"/>
    <w:rPr>
      <w:rFonts w:ascii="Times New Roman" w:hAnsi="Times New Roman" w:eastAsia="宋体" w:cs="Times New Roman"/>
      <w:b/>
      <w:sz w:val="44"/>
      <w:szCs w:val="20"/>
    </w:rPr>
  </w:style>
  <w:style w:type="character" w:customStyle="1" w:styleId="238">
    <w:name w:val="正文缩进 字符"/>
    <w:link w:val="8"/>
    <w:qFormat/>
    <w:uiPriority w:val="0"/>
    <w:rPr>
      <w:rFonts w:ascii="Times New Roman" w:hAnsi="Times New Roman" w:eastAsia="宋体" w:cs="Times New Roman"/>
      <w:sz w:val="20"/>
      <w:szCs w:val="20"/>
    </w:rPr>
  </w:style>
  <w:style w:type="character" w:customStyle="1" w:styleId="239">
    <w:name w:val="标题 7 字符"/>
    <w:link w:val="9"/>
    <w:qFormat/>
    <w:uiPriority w:val="0"/>
    <w:rPr>
      <w:rFonts w:ascii="Times New Roman" w:hAnsi="Times New Roman" w:eastAsia="宋体" w:cs="Times New Roman"/>
      <w:b/>
      <w:bCs/>
      <w:sz w:val="24"/>
      <w:szCs w:val="24"/>
    </w:rPr>
  </w:style>
  <w:style w:type="character" w:customStyle="1" w:styleId="240">
    <w:name w:val="标题 8 字符"/>
    <w:link w:val="10"/>
    <w:qFormat/>
    <w:uiPriority w:val="0"/>
    <w:rPr>
      <w:rFonts w:ascii="Arial" w:hAnsi="Arial" w:eastAsia="黑体" w:cs="Times New Roman"/>
      <w:sz w:val="24"/>
      <w:szCs w:val="24"/>
    </w:rPr>
  </w:style>
  <w:style w:type="character" w:customStyle="1" w:styleId="241">
    <w:name w:val="标题 9 字符"/>
    <w:link w:val="11"/>
    <w:qFormat/>
    <w:uiPriority w:val="0"/>
    <w:rPr>
      <w:rFonts w:ascii="Arial" w:hAnsi="Arial" w:eastAsia="黑体" w:cs="Times New Roman"/>
      <w:sz w:val="24"/>
      <w:szCs w:val="21"/>
    </w:rPr>
  </w:style>
  <w:style w:type="character" w:customStyle="1" w:styleId="242">
    <w:name w:val="文档结构图 字符"/>
    <w:link w:val="14"/>
    <w:semiHidden/>
    <w:qFormat/>
    <w:uiPriority w:val="0"/>
    <w:rPr>
      <w:szCs w:val="24"/>
      <w:shd w:val="clear" w:color="auto" w:fill="000080"/>
    </w:rPr>
  </w:style>
  <w:style w:type="character" w:customStyle="1" w:styleId="243">
    <w:name w:val="正文文本 3 字符"/>
    <w:link w:val="16"/>
    <w:qFormat/>
    <w:uiPriority w:val="0"/>
    <w:rPr>
      <w:rFonts w:ascii="Times New Roman" w:hAnsi="Times New Roman" w:eastAsia="宋体" w:cs="Times New Roman"/>
      <w:sz w:val="16"/>
      <w:szCs w:val="16"/>
    </w:rPr>
  </w:style>
  <w:style w:type="character" w:customStyle="1" w:styleId="244">
    <w:name w:val="正文文本 字符"/>
    <w:link w:val="17"/>
    <w:qFormat/>
    <w:uiPriority w:val="0"/>
    <w:rPr>
      <w:rFonts w:ascii="仿宋_GB2312" w:hAnsi="Times New Roman" w:eastAsia="仿宋_GB2312" w:cs="Times New Roman"/>
      <w:sz w:val="24"/>
      <w:szCs w:val="20"/>
    </w:rPr>
  </w:style>
  <w:style w:type="character" w:customStyle="1" w:styleId="245">
    <w:name w:val="正文文本缩进 字符"/>
    <w:link w:val="18"/>
    <w:qFormat/>
    <w:uiPriority w:val="0"/>
    <w:rPr>
      <w:rFonts w:ascii="仿宋_GB2312" w:hAnsi="Times New Roman" w:eastAsia="仿宋_GB2312" w:cs="Times New Roman"/>
      <w:sz w:val="28"/>
      <w:szCs w:val="20"/>
    </w:rPr>
  </w:style>
  <w:style w:type="character" w:customStyle="1" w:styleId="246">
    <w:name w:val="纯文本 字符"/>
    <w:link w:val="23"/>
    <w:qFormat/>
    <w:uiPriority w:val="0"/>
    <w:rPr>
      <w:rFonts w:ascii="宋体" w:hAnsi="Courier New" w:eastAsia="宋体" w:cs="Courier New"/>
      <w:szCs w:val="21"/>
    </w:rPr>
  </w:style>
  <w:style w:type="character" w:customStyle="1" w:styleId="247">
    <w:name w:val="日期 字符"/>
    <w:link w:val="25"/>
    <w:qFormat/>
    <w:uiPriority w:val="0"/>
    <w:rPr>
      <w:rFonts w:ascii="Times New Roman" w:hAnsi="Times New Roman" w:eastAsia="宋体" w:cs="Times New Roman"/>
      <w:sz w:val="24"/>
      <w:szCs w:val="20"/>
    </w:rPr>
  </w:style>
  <w:style w:type="character" w:customStyle="1" w:styleId="248">
    <w:name w:val="正文文本缩进 2 字符"/>
    <w:link w:val="26"/>
    <w:qFormat/>
    <w:uiPriority w:val="0"/>
    <w:rPr>
      <w:rFonts w:ascii="Times New Roman" w:hAnsi="Times New Roman" w:eastAsia="仿宋_GB2312" w:cs="Times New Roman"/>
      <w:sz w:val="28"/>
      <w:szCs w:val="20"/>
    </w:rPr>
  </w:style>
  <w:style w:type="character" w:customStyle="1" w:styleId="249">
    <w:name w:val="批注框文本 字符"/>
    <w:link w:val="28"/>
    <w:semiHidden/>
    <w:qFormat/>
    <w:uiPriority w:val="0"/>
    <w:rPr>
      <w:sz w:val="18"/>
      <w:szCs w:val="18"/>
    </w:rPr>
  </w:style>
  <w:style w:type="character" w:customStyle="1" w:styleId="250">
    <w:name w:val="页脚 字符"/>
    <w:link w:val="29"/>
    <w:qFormat/>
    <w:uiPriority w:val="99"/>
    <w:rPr>
      <w:rFonts w:ascii="Times New Roman" w:hAnsi="Times New Roman" w:eastAsia="宋体" w:cs="Times New Roman"/>
      <w:sz w:val="18"/>
      <w:szCs w:val="20"/>
    </w:rPr>
  </w:style>
  <w:style w:type="character" w:customStyle="1" w:styleId="251">
    <w:name w:val="页眉 字符"/>
    <w:link w:val="30"/>
    <w:qFormat/>
    <w:uiPriority w:val="0"/>
    <w:rPr>
      <w:rFonts w:ascii="Times New Roman" w:hAnsi="Times New Roman" w:eastAsia="宋体" w:cs="Times New Roman"/>
      <w:sz w:val="18"/>
      <w:szCs w:val="18"/>
    </w:rPr>
  </w:style>
  <w:style w:type="paragraph" w:customStyle="1" w:styleId="252">
    <w:name w:val="目录 11"/>
    <w:basedOn w:val="1"/>
    <w:next w:val="1"/>
    <w:semiHidden/>
    <w:qFormat/>
    <w:uiPriority w:val="0"/>
    <w:rPr>
      <w:sz w:val="24"/>
    </w:rPr>
  </w:style>
  <w:style w:type="character" w:customStyle="1" w:styleId="253">
    <w:name w:val="正文文本缩进 3 字符"/>
    <w:link w:val="37"/>
    <w:qFormat/>
    <w:uiPriority w:val="0"/>
    <w:rPr>
      <w:rFonts w:ascii="Times New Roman" w:hAnsi="Times New Roman" w:eastAsia="宋体" w:cs="Times New Roman"/>
      <w:sz w:val="16"/>
      <w:szCs w:val="16"/>
    </w:rPr>
  </w:style>
  <w:style w:type="character" w:customStyle="1" w:styleId="254">
    <w:name w:val="正文文本 2 字符"/>
    <w:link w:val="41"/>
    <w:qFormat/>
    <w:uiPriority w:val="0"/>
    <w:rPr>
      <w:rFonts w:ascii="Times New Roman" w:hAnsi="Times New Roman" w:eastAsia="宋体" w:cs="Times New Roman"/>
      <w:b/>
      <w:bCs/>
      <w:sz w:val="18"/>
      <w:szCs w:val="24"/>
    </w:rPr>
  </w:style>
  <w:style w:type="character" w:customStyle="1" w:styleId="255">
    <w:name w:val="HTML 预设格式 字符"/>
    <w:link w:val="42"/>
    <w:qFormat/>
    <w:uiPriority w:val="0"/>
    <w:rPr>
      <w:rFonts w:ascii="等线 Light" w:hAnsi="等线 Light" w:eastAsia="幼圆" w:cs="等线 Light"/>
      <w:sz w:val="24"/>
      <w:szCs w:val="22"/>
    </w:rPr>
  </w:style>
  <w:style w:type="paragraph" w:customStyle="1" w:styleId="256">
    <w:name w:val="正文首行缩进1"/>
    <w:basedOn w:val="17"/>
    <w:link w:val="257"/>
    <w:qFormat/>
    <w:uiPriority w:val="0"/>
    <w:pPr>
      <w:spacing w:after="120"/>
      <w:ind w:firstLine="420"/>
    </w:pPr>
    <w:rPr>
      <w:rFonts w:ascii="Times New Roman" w:eastAsia="宋体"/>
      <w:szCs w:val="24"/>
    </w:rPr>
  </w:style>
  <w:style w:type="character" w:customStyle="1" w:styleId="257">
    <w:name w:val="正文文本首行缩进 字符"/>
    <w:link w:val="256"/>
    <w:qFormat/>
    <w:uiPriority w:val="0"/>
    <w:rPr>
      <w:rFonts w:ascii="Times New Roman" w:hAnsi="Times New Roman" w:eastAsia="宋体" w:cs="Times New Roman"/>
      <w:sz w:val="24"/>
      <w:szCs w:val="24"/>
    </w:rPr>
  </w:style>
  <w:style w:type="character" w:customStyle="1" w:styleId="258">
    <w:name w:val="已访问的超链接1"/>
    <w:qFormat/>
    <w:uiPriority w:val="0"/>
    <w:rPr>
      <w:color w:val="800080"/>
      <w:u w:val="single"/>
    </w:rPr>
  </w:style>
  <w:style w:type="character" w:customStyle="1" w:styleId="259">
    <w:name w:val="列表段落 字符1"/>
    <w:link w:val="93"/>
    <w:qFormat/>
    <w:uiPriority w:val="99"/>
  </w:style>
  <w:style w:type="character" w:customStyle="1" w:styleId="260">
    <w:name w:val="文档结构图 Char1"/>
    <w:semiHidden/>
    <w:qFormat/>
    <w:uiPriority w:val="99"/>
    <w:rPr>
      <w:rFonts w:ascii="宋体" w:hAnsi="Times New Roman" w:eastAsia="宋体" w:cs="Times New Roman"/>
      <w:sz w:val="18"/>
      <w:szCs w:val="18"/>
    </w:rPr>
  </w:style>
  <w:style w:type="character" w:customStyle="1" w:styleId="261">
    <w:name w:val="普通正文 Char"/>
    <w:link w:val="262"/>
    <w:qFormat/>
    <w:uiPriority w:val="0"/>
    <w:rPr>
      <w:rFonts w:ascii="Arial" w:hAnsi="Arial"/>
      <w:sz w:val="24"/>
      <w:szCs w:val="24"/>
    </w:rPr>
  </w:style>
  <w:style w:type="paragraph" w:customStyle="1" w:styleId="262">
    <w:name w:val="普通正文"/>
    <w:basedOn w:val="1"/>
    <w:link w:val="261"/>
    <w:qFormat/>
    <w:uiPriority w:val="0"/>
    <w:pPr>
      <w:spacing w:before="120" w:after="120" w:line="360" w:lineRule="auto"/>
      <w:ind w:left="-2" w:right="120" w:firstLine="480"/>
      <w:jc w:val="center"/>
    </w:pPr>
    <w:rPr>
      <w:rFonts w:ascii="Arial" w:hAnsi="Arial"/>
      <w:sz w:val="24"/>
    </w:rPr>
  </w:style>
  <w:style w:type="character" w:customStyle="1" w:styleId="263">
    <w:name w:val="FA正文 Char"/>
    <w:link w:val="264"/>
    <w:qFormat/>
    <w:uiPriority w:val="0"/>
    <w:rPr>
      <w:rFonts w:ascii="宋体" w:hAnsi="宋体" w:eastAsia="宋体" w:cs="Times New Roman"/>
      <w:sz w:val="28"/>
      <w:szCs w:val="28"/>
    </w:rPr>
  </w:style>
  <w:style w:type="paragraph" w:customStyle="1" w:styleId="264">
    <w:name w:val="FA正文"/>
    <w:basedOn w:val="1"/>
    <w:link w:val="263"/>
    <w:qFormat/>
    <w:uiPriority w:val="0"/>
    <w:pPr>
      <w:tabs>
        <w:tab w:val="left" w:pos="3375"/>
      </w:tabs>
      <w:spacing w:line="440" w:lineRule="atLeast"/>
      <w:ind w:firstLine="538"/>
    </w:pPr>
    <w:rPr>
      <w:rFonts w:ascii="宋体" w:hAnsi="宋体"/>
      <w:sz w:val="28"/>
      <w:szCs w:val="28"/>
    </w:rPr>
  </w:style>
  <w:style w:type="character" w:customStyle="1" w:styleId="265">
    <w:name w:val="正文缩进2格 Char"/>
    <w:link w:val="266"/>
    <w:qFormat/>
    <w:uiPriority w:val="0"/>
    <w:rPr>
      <w:rFonts w:ascii="仿宋_GB2312" w:hAnsi="宋体" w:eastAsia="仿宋_GB2312" w:cs="Times New Roman"/>
      <w:sz w:val="31"/>
      <w:szCs w:val="28"/>
    </w:rPr>
  </w:style>
  <w:style w:type="paragraph" w:customStyle="1" w:styleId="266">
    <w:name w:val="正文缩进2格"/>
    <w:basedOn w:val="1"/>
    <w:link w:val="265"/>
    <w:qFormat/>
    <w:uiPriority w:val="0"/>
    <w:pPr>
      <w:spacing w:line="600" w:lineRule="exact"/>
      <w:ind w:firstLine="639"/>
    </w:pPr>
    <w:rPr>
      <w:rFonts w:ascii="仿宋_GB2312" w:hAnsi="宋体" w:eastAsia="仿宋_GB2312"/>
      <w:sz w:val="31"/>
      <w:szCs w:val="28"/>
    </w:rPr>
  </w:style>
  <w:style w:type="character" w:customStyle="1" w:styleId="267">
    <w:name w:val="cn_text1"/>
    <w:qFormat/>
    <w:uiPriority w:val="0"/>
    <w:rPr>
      <w:rFonts w:ascii="ˎ̥" w:hAnsi="ˎ̥"/>
      <w:color w:val="003399"/>
      <w:spacing w:val="15"/>
      <w:sz w:val="18"/>
      <w:szCs w:val="18"/>
    </w:rPr>
  </w:style>
  <w:style w:type="character" w:customStyle="1" w:styleId="268">
    <w:name w:val="ssss Char"/>
    <w:qFormat/>
    <w:uiPriority w:val="0"/>
    <w:rPr>
      <w:rFonts w:eastAsia="宋体"/>
      <w:sz w:val="24"/>
      <w:szCs w:val="24"/>
      <w:lang w:val="en-US" w:eastAsia="zh-CN" w:bidi="ar-SA"/>
    </w:rPr>
  </w:style>
  <w:style w:type="character" w:customStyle="1" w:styleId="269">
    <w:name w:val="ssss Char1"/>
    <w:link w:val="270"/>
    <w:qFormat/>
    <w:uiPriority w:val="0"/>
    <w:rPr>
      <w:rFonts w:ascii="Times New Roman" w:hAnsi="Times New Roman" w:eastAsia="宋体" w:cs="Times New Roman"/>
      <w:sz w:val="24"/>
      <w:szCs w:val="24"/>
    </w:rPr>
  </w:style>
  <w:style w:type="paragraph" w:customStyle="1" w:styleId="270">
    <w:name w:val="ssss"/>
    <w:basedOn w:val="1"/>
    <w:link w:val="269"/>
    <w:qFormat/>
    <w:uiPriority w:val="0"/>
    <w:pPr>
      <w:spacing w:line="360" w:lineRule="auto"/>
      <w:ind w:firstLine="480"/>
    </w:pPr>
    <w:rPr>
      <w:sz w:val="24"/>
    </w:rPr>
  </w:style>
  <w:style w:type="character" w:customStyle="1" w:styleId="271">
    <w:name w:val="标题 4 Char1"/>
    <w:qFormat/>
    <w:uiPriority w:val="0"/>
    <w:rPr>
      <w:rFonts w:ascii="Arial" w:hAnsi="Arial" w:eastAsia="黑体"/>
      <w:b/>
      <w:bCs/>
      <w:sz w:val="28"/>
      <w:szCs w:val="28"/>
      <w:lang w:val="en-US" w:eastAsia="zh-CN" w:bidi="ar-SA"/>
    </w:rPr>
  </w:style>
  <w:style w:type="character" w:customStyle="1" w:styleId="272">
    <w:name w:val="列表段落 字符"/>
    <w:qFormat/>
    <w:uiPriority w:val="34"/>
    <w:rPr>
      <w:rFonts w:ascii="Calibri" w:hAnsi="Calibri"/>
      <w:sz w:val="21"/>
      <w:szCs w:val="22"/>
    </w:rPr>
  </w:style>
  <w:style w:type="character" w:customStyle="1" w:styleId="273">
    <w:name w:val="批注框文本 Char1"/>
    <w:semiHidden/>
    <w:qFormat/>
    <w:uiPriority w:val="99"/>
    <w:rPr>
      <w:rFonts w:ascii="Times New Roman" w:hAnsi="Times New Roman" w:eastAsia="宋体" w:cs="Times New Roman"/>
      <w:sz w:val="18"/>
      <w:szCs w:val="18"/>
    </w:rPr>
  </w:style>
  <w:style w:type="character" w:customStyle="1" w:styleId="274">
    <w:name w:val="样式 ssss + 宋体 五号1 Char"/>
    <w:link w:val="275"/>
    <w:qFormat/>
    <w:uiPriority w:val="0"/>
    <w:rPr>
      <w:rFonts w:ascii="宋体" w:hAnsi="宋体" w:eastAsia="宋体" w:cs="Times New Roman"/>
      <w:sz w:val="24"/>
      <w:szCs w:val="24"/>
    </w:rPr>
  </w:style>
  <w:style w:type="paragraph" w:customStyle="1" w:styleId="275">
    <w:name w:val="样式 ssss + 宋体 五号1"/>
    <w:basedOn w:val="270"/>
    <w:link w:val="274"/>
    <w:qFormat/>
    <w:uiPriority w:val="0"/>
    <w:rPr>
      <w:rFonts w:ascii="宋体" w:hAnsi="宋体"/>
    </w:rPr>
  </w:style>
  <w:style w:type="character" w:customStyle="1" w:styleId="276">
    <w:name w:val="point_normal1"/>
    <w:qFormat/>
    <w:uiPriority w:val="0"/>
    <w:rPr>
      <w:rFonts w:ascii="Arial" w:hAnsi="Arial" w:cs="Arial"/>
      <w:sz w:val="16"/>
      <w:szCs w:val="16"/>
    </w:rPr>
  </w:style>
  <w:style w:type="paragraph" w:customStyle="1" w:styleId="277">
    <w:name w:val="样式 正文文本缩进 3 + 四号"/>
    <w:basedOn w:val="37"/>
    <w:qFormat/>
    <w:uiPriority w:val="0"/>
    <w:pPr>
      <w:spacing w:after="0" w:line="360" w:lineRule="auto"/>
      <w:ind w:left="0" w:firstLine="437"/>
    </w:pPr>
    <w:rPr>
      <w:sz w:val="24"/>
      <w:szCs w:val="21"/>
    </w:rPr>
  </w:style>
  <w:style w:type="paragraph" w:customStyle="1" w:styleId="278">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279">
    <w:name w:val="ec_msonormal"/>
    <w:basedOn w:val="1"/>
    <w:qFormat/>
    <w:uiPriority w:val="0"/>
    <w:pPr>
      <w:widowControl/>
      <w:spacing w:before="100" w:beforeAutospacing="1" w:after="100" w:afterAutospacing="1"/>
      <w:jc w:val="left"/>
    </w:pPr>
    <w:rPr>
      <w:rFonts w:ascii="宋体" w:hAnsi="宋体"/>
      <w:sz w:val="24"/>
    </w:rPr>
  </w:style>
  <w:style w:type="paragraph" w:customStyle="1" w:styleId="280">
    <w:name w:val="Char Char Char Char"/>
    <w:basedOn w:val="1"/>
    <w:qFormat/>
    <w:uiPriority w:val="0"/>
    <w:rPr>
      <w:rFonts w:ascii="Tahoma" w:hAnsi="Tahoma"/>
      <w:sz w:val="24"/>
      <w:szCs w:val="20"/>
    </w:rPr>
  </w:style>
  <w:style w:type="paragraph" w:customStyle="1" w:styleId="281">
    <w:name w:val="Char Char Char Char Char Char Char Char Char Char Char Char Char"/>
    <w:basedOn w:val="1"/>
    <w:qFormat/>
    <w:uiPriority w:val="0"/>
  </w:style>
  <w:style w:type="paragraph" w:customStyle="1" w:styleId="282">
    <w:name w:val="表格正文"/>
    <w:basedOn w:val="1"/>
    <w:qFormat/>
    <w:uiPriority w:val="0"/>
    <w:pPr>
      <w:spacing w:line="360" w:lineRule="auto"/>
      <w:jc w:val="left"/>
    </w:pPr>
    <w:rPr>
      <w:rFonts w:ascii="Calibri" w:hAnsi="Calibri"/>
      <w:color w:val="000000"/>
      <w:szCs w:val="28"/>
    </w:rPr>
  </w:style>
  <w:style w:type="paragraph" w:customStyle="1" w:styleId="283">
    <w:name w:val="Normal1"/>
    <w:qFormat/>
    <w:uiPriority w:val="0"/>
    <w:pPr>
      <w:widowControl w:val="0"/>
      <w:spacing w:line="315" w:lineRule="atLeast"/>
      <w:jc w:val="both"/>
    </w:pPr>
    <w:rPr>
      <w:rFonts w:hint="default" w:ascii="宋体" w:hAnsi="Times New Roman" w:eastAsia="宋体" w:cs="Times New Roman"/>
      <w:sz w:val="24"/>
    </w:rPr>
  </w:style>
  <w:style w:type="paragraph" w:customStyle="1" w:styleId="284">
    <w:name w:val="Char Char Char Char1"/>
    <w:basedOn w:val="1"/>
    <w:qFormat/>
    <w:uiPriority w:val="0"/>
    <w:rPr>
      <w:rFonts w:ascii="Tahoma" w:hAnsi="Tahoma"/>
      <w:sz w:val="24"/>
      <w:szCs w:val="20"/>
    </w:rPr>
  </w:style>
  <w:style w:type="paragraph" w:customStyle="1" w:styleId="285">
    <w:name w:val="Char Char Char"/>
    <w:basedOn w:val="1"/>
    <w:qFormat/>
    <w:uiPriority w:val="0"/>
    <w:rPr>
      <w:rFonts w:ascii="Tahoma" w:hAnsi="Tahoma"/>
      <w:sz w:val="24"/>
      <w:szCs w:val="20"/>
    </w:rPr>
  </w:style>
  <w:style w:type="paragraph" w:customStyle="1" w:styleId="286">
    <w:name w:val="标题-----3"/>
    <w:basedOn w:val="4"/>
    <w:qFormat/>
    <w:uiPriority w:val="0"/>
    <w:pPr>
      <w:spacing w:before="0" w:after="0" w:line="240" w:lineRule="auto"/>
      <w:outlineLvl w:val="0"/>
    </w:pPr>
    <w:rPr>
      <w:rFonts w:ascii="宋体" w:hAnsi="宋体"/>
      <w:b w:val="0"/>
      <w:bCs w:val="0"/>
      <w:sz w:val="28"/>
      <w:szCs w:val="28"/>
    </w:rPr>
  </w:style>
  <w:style w:type="paragraph" w:customStyle="1" w:styleId="287">
    <w:name w:val="样式 ssss + 居中"/>
    <w:basedOn w:val="270"/>
    <w:qFormat/>
    <w:uiPriority w:val="0"/>
    <w:pPr>
      <w:jc w:val="center"/>
    </w:pPr>
    <w:rPr>
      <w:rFonts w:cs="宋体"/>
      <w:szCs w:val="20"/>
    </w:rPr>
  </w:style>
  <w:style w:type="paragraph" w:customStyle="1" w:styleId="28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289">
    <w:name w:val="样式 样式 ssss + 宋体 五号 + 首行缩进:  2 字符"/>
    <w:basedOn w:val="290"/>
    <w:qFormat/>
    <w:uiPriority w:val="0"/>
    <w:pPr>
      <w:ind w:firstLine="480"/>
    </w:pPr>
  </w:style>
  <w:style w:type="paragraph" w:customStyle="1" w:styleId="290">
    <w:name w:val="样式 ssss + 宋体 五号"/>
    <w:basedOn w:val="270"/>
    <w:qFormat/>
    <w:uiPriority w:val="0"/>
    <w:pPr>
      <w:ind w:firstLine="420"/>
    </w:pPr>
    <w:rPr>
      <w:rFonts w:ascii="宋体" w:hAnsi="宋体" w:cs="宋体"/>
      <w:szCs w:val="20"/>
    </w:rPr>
  </w:style>
  <w:style w:type="paragraph" w:customStyle="1" w:styleId="291">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292">
    <w:name w:val="Char"/>
    <w:basedOn w:val="1"/>
    <w:qFormat/>
    <w:uiPriority w:val="0"/>
    <w:rPr>
      <w:rFonts w:ascii="Tahoma" w:hAnsi="Tahoma"/>
      <w:sz w:val="24"/>
      <w:szCs w:val="20"/>
    </w:rPr>
  </w:style>
  <w:style w:type="paragraph" w:customStyle="1" w:styleId="293">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294">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295">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96">
    <w:name w:val="Char Char Char Char Char Char Char Char Char Char Char Char Char1"/>
    <w:basedOn w:val="1"/>
    <w:qFormat/>
    <w:uiPriority w:val="0"/>
    <w:rPr>
      <w:sz w:val="24"/>
    </w:rPr>
  </w:style>
  <w:style w:type="paragraph" w:customStyle="1" w:styleId="297">
    <w:name w:val="表格"/>
    <w:basedOn w:val="1"/>
    <w:qFormat/>
    <w:uiPriority w:val="0"/>
    <w:rPr>
      <w:rFonts w:ascii="Arial" w:hAnsi="Arial"/>
      <w:sz w:val="24"/>
    </w:rPr>
  </w:style>
  <w:style w:type="paragraph" w:customStyle="1" w:styleId="298">
    <w:name w:val="正文样式1"/>
    <w:basedOn w:val="1"/>
    <w:qFormat/>
    <w:uiPriority w:val="0"/>
    <w:pPr>
      <w:spacing w:before="120" w:after="120" w:line="360" w:lineRule="auto"/>
      <w:ind w:firstLine="480"/>
    </w:pPr>
    <w:rPr>
      <w:sz w:val="24"/>
      <w:szCs w:val="20"/>
    </w:rPr>
  </w:style>
  <w:style w:type="paragraph" w:customStyle="1" w:styleId="299">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00">
    <w:name w:val="Char Char Char Char Char Char Char Char Char Char"/>
    <w:basedOn w:val="1"/>
    <w:qFormat/>
    <w:uiPriority w:val="0"/>
    <w:rPr>
      <w:rFonts w:ascii="Tahoma" w:hAnsi="Tahoma"/>
      <w:sz w:val="24"/>
      <w:szCs w:val="20"/>
    </w:rPr>
  </w:style>
  <w:style w:type="paragraph" w:customStyle="1" w:styleId="301">
    <w:name w:val="Char1"/>
    <w:basedOn w:val="1"/>
    <w:qFormat/>
    <w:uiPriority w:val="0"/>
    <w:pPr>
      <w:tabs>
        <w:tab w:val="left" w:pos="360"/>
      </w:tabs>
    </w:pPr>
    <w:rPr>
      <w:sz w:val="24"/>
    </w:rPr>
  </w:style>
  <w:style w:type="paragraph" w:customStyle="1" w:styleId="302">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303">
    <w:name w:val="Header2"/>
    <w:basedOn w:val="1"/>
    <w:qFormat/>
    <w:uiPriority w:val="0"/>
    <w:pPr>
      <w:numPr>
        <w:ilvl w:val="0"/>
        <w:numId w:val="1"/>
      </w:numPr>
    </w:pPr>
  </w:style>
  <w:style w:type="paragraph" w:customStyle="1" w:styleId="304">
    <w:name w:val="Char Char 字元 字元 字元 Char Char Char Char"/>
    <w:basedOn w:val="1"/>
    <w:qFormat/>
    <w:uiPriority w:val="0"/>
    <w:pPr>
      <w:spacing w:line="360" w:lineRule="auto"/>
    </w:pPr>
    <w:rPr>
      <w:sz w:val="24"/>
      <w:szCs w:val="20"/>
    </w:rPr>
  </w:style>
  <w:style w:type="paragraph" w:customStyle="1" w:styleId="305">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306">
    <w:name w:val="正文_0_0"/>
    <w:qFormat/>
    <w:uiPriority w:val="0"/>
    <w:pPr>
      <w:widowControl w:val="0"/>
      <w:jc w:val="both"/>
    </w:pPr>
    <w:rPr>
      <w:rFonts w:hint="default" w:ascii="Times New Roman" w:hAnsi="Times New Roman" w:eastAsia="宋体" w:cs="Times New Roman"/>
      <w:sz w:val="21"/>
      <w:szCs w:val="24"/>
    </w:rPr>
  </w:style>
  <w:style w:type="paragraph" w:customStyle="1" w:styleId="307">
    <w:name w:val="正文_1_0"/>
    <w:qFormat/>
    <w:uiPriority w:val="0"/>
    <w:pPr>
      <w:widowControl w:val="0"/>
      <w:jc w:val="both"/>
    </w:pPr>
    <w:rPr>
      <w:rFonts w:hint="default" w:ascii="Times New Roman" w:hAnsi="Times New Roman" w:eastAsia="宋体" w:cs="Times New Roman"/>
      <w:sz w:val="21"/>
      <w:szCs w:val="24"/>
    </w:rPr>
  </w:style>
  <w:style w:type="table" w:customStyle="1" w:styleId="308">
    <w:name w:val="网格型1"/>
    <w:basedOn w:val="47"/>
    <w:qFormat/>
    <w:uiPriority w:val="39"/>
    <w:rPr>
      <w:rFonts w:ascii="等线" w:hAnsi="等线" w:eastAsia="等线"/>
      <w:sz w:val="21"/>
      <w:szCs w:val="22"/>
    </w:rPr>
  </w:style>
  <w:style w:type="paragraph" w:customStyle="1" w:styleId="309">
    <w:name w:val="正文_3"/>
    <w:qFormat/>
    <w:uiPriority w:val="0"/>
    <w:pPr>
      <w:widowControl w:val="0"/>
      <w:jc w:val="both"/>
    </w:pPr>
    <w:rPr>
      <w:rFonts w:hint="default" w:ascii="Times New Roman" w:hAnsi="Times New Roman" w:eastAsia="宋体" w:cs="Times New Roman"/>
      <w:sz w:val="21"/>
      <w:szCs w:val="24"/>
    </w:rPr>
  </w:style>
  <w:style w:type="paragraph" w:customStyle="1" w:styleId="310">
    <w:name w:val="修订1"/>
    <w:unhideWhenUsed/>
    <w:qFormat/>
    <w:uiPriority w:val="99"/>
    <w:rPr>
      <w:rFonts w:hint="default" w:ascii="Times New Roman" w:hAnsi="Times New Roman" w:eastAsia="宋体" w:cs="Times New Roman"/>
      <w:sz w:val="21"/>
      <w:szCs w:val="24"/>
    </w:rPr>
  </w:style>
  <w:style w:type="paragraph" w:customStyle="1" w:styleId="311">
    <w:name w:val="列出段落1"/>
    <w:basedOn w:val="1"/>
    <w:qFormat/>
    <w:uiPriority w:val="0"/>
    <w:pPr>
      <w:ind w:firstLine="200"/>
    </w:pPr>
    <w:rPr>
      <w:rFonts w:ascii="Wingdings" w:hAnsi="Wingdings" w:eastAsia="幼圆" w:cs="Helvetica-Light"/>
      <w:szCs w:val="22"/>
    </w:rPr>
  </w:style>
  <w:style w:type="paragraph" w:customStyle="1" w:styleId="312">
    <w:name w:val="Char1 Char Char Char"/>
    <w:basedOn w:val="1"/>
    <w:qFormat/>
    <w:uiPriority w:val="0"/>
    <w:pPr>
      <w:widowControl/>
      <w:spacing w:after="160" w:line="240" w:lineRule="exact"/>
      <w:jc w:val="left"/>
    </w:pPr>
    <w:rPr>
      <w:szCs w:val="20"/>
    </w:rPr>
  </w:style>
  <w:style w:type="paragraph" w:customStyle="1" w:styleId="313">
    <w:name w:val="正文_2"/>
    <w:qFormat/>
    <w:uiPriority w:val="0"/>
    <w:pPr>
      <w:widowControl w:val="0"/>
      <w:jc w:val="both"/>
    </w:pPr>
    <w:rPr>
      <w:rFonts w:hint="default" w:ascii="等线" w:hAnsi="等线" w:eastAsia="等线" w:cs="等线"/>
      <w:sz w:val="21"/>
    </w:rPr>
  </w:style>
  <w:style w:type="paragraph" w:customStyle="1" w:styleId="314">
    <w:name w:val="列表段落4"/>
    <w:basedOn w:val="1"/>
    <w:qFormat/>
    <w:uiPriority w:val="34"/>
    <w:pPr>
      <w:ind w:firstLine="420"/>
    </w:pPr>
    <w:rPr>
      <w:szCs w:val="22"/>
    </w:rPr>
  </w:style>
  <w:style w:type="character" w:customStyle="1" w:styleId="315">
    <w:name w:val="font51"/>
    <w:basedOn w:val="49"/>
    <w:qFormat/>
    <w:uiPriority w:val="0"/>
    <w:rPr>
      <w:rFonts w:hint="eastAsia" w:ascii="宋体" w:hAnsi="宋体" w:eastAsia="宋体" w:cs="宋体"/>
      <w:color w:val="000000"/>
      <w:sz w:val="24"/>
      <w:szCs w:val="24"/>
      <w:u w:val="none"/>
    </w:rPr>
  </w:style>
  <w:style w:type="character" w:customStyle="1" w:styleId="316">
    <w:name w:val="font71"/>
    <w:basedOn w:val="49"/>
    <w:qFormat/>
    <w:uiPriority w:val="0"/>
    <w:rPr>
      <w:rFonts w:hint="eastAsia" w:ascii="宋体" w:hAnsi="宋体" w:eastAsia="宋体" w:cs="宋体"/>
      <w:color w:val="000000"/>
      <w:sz w:val="24"/>
      <w:szCs w:val="24"/>
      <w:u w:val="none"/>
    </w:rPr>
  </w:style>
  <w:style w:type="character" w:customStyle="1" w:styleId="317">
    <w:name w:val="font61"/>
    <w:basedOn w:val="49"/>
    <w:qFormat/>
    <w:uiPriority w:val="0"/>
    <w:rPr>
      <w:rFonts w:hint="eastAsia" w:ascii="宋体" w:hAnsi="宋体" w:eastAsia="宋体" w:cs="宋体"/>
      <w:color w:val="000000"/>
      <w:sz w:val="24"/>
      <w:szCs w:val="24"/>
      <w:u w:val="none"/>
    </w:rPr>
  </w:style>
  <w:style w:type="character" w:customStyle="1" w:styleId="318">
    <w:name w:val="font81"/>
    <w:basedOn w:val="49"/>
    <w:qFormat/>
    <w:uiPriority w:val="0"/>
    <w:rPr>
      <w:rFonts w:hint="eastAsia" w:ascii="宋体" w:hAnsi="宋体" w:eastAsia="宋体" w:cs="宋体"/>
      <w:color w:val="000000"/>
      <w:sz w:val="24"/>
      <w:szCs w:val="24"/>
      <w:u w:val="none"/>
    </w:rPr>
  </w:style>
  <w:style w:type="character" w:customStyle="1" w:styleId="319">
    <w:name w:val="NormalCharacter"/>
    <w:qFormat/>
    <w:uiPriority w:val="0"/>
  </w:style>
  <w:style w:type="paragraph" w:customStyle="1" w:styleId="320">
    <w:name w:val="BodyText1I2"/>
    <w:basedOn w:val="321"/>
    <w:qFormat/>
    <w:uiPriority w:val="0"/>
    <w:pPr>
      <w:ind w:firstLine="420"/>
    </w:pPr>
  </w:style>
  <w:style w:type="paragraph" w:customStyle="1" w:styleId="321">
    <w:name w:val="BodyTextIndent"/>
    <w:basedOn w:val="1"/>
    <w:next w:val="322"/>
    <w:qFormat/>
    <w:uiPriority w:val="0"/>
    <w:pPr>
      <w:spacing w:line="520" w:lineRule="exact"/>
      <w:ind w:left="570"/>
    </w:pPr>
    <w:rPr>
      <w:rFonts w:ascii="方正仿宋简体" w:hAnsi="创艺简仿宋" w:eastAsia="方正仿宋简体"/>
      <w:sz w:val="24"/>
    </w:rPr>
  </w:style>
  <w:style w:type="paragraph" w:customStyle="1" w:styleId="322">
    <w:name w:val="EnvelopeReturn"/>
    <w:basedOn w:val="1"/>
    <w:qFormat/>
    <w:uiPriority w:val="0"/>
    <w:rPr>
      <w:rFonts w:ascii="Arial" w:hAnsi="Arial"/>
    </w:rPr>
  </w:style>
  <w:style w:type="paragraph" w:customStyle="1" w:styleId="323">
    <w:name w:val="Table Paragraph"/>
    <w:basedOn w:val="1"/>
    <w:qFormat/>
    <w:uiPriority w:val="1"/>
    <w:pPr>
      <w:spacing w:before="31"/>
      <w:ind w:left="107"/>
    </w:pPr>
    <w:rPr>
      <w:rFonts w:ascii="微软雅黑" w:hAnsi="微软雅黑" w:eastAsia="微软雅黑" w:cs="微软雅黑"/>
    </w:rPr>
  </w:style>
  <w:style w:type="paragraph" w:customStyle="1" w:styleId="324">
    <w:name w:val="正文文本1"/>
    <w:basedOn w:val="1"/>
    <w:next w:val="1"/>
    <w:qFormat/>
    <w:uiPriority w:val="0"/>
    <w:rPr>
      <w:rFonts w:ascii="仿宋_GB2312" w:eastAsia="仿宋_GB2312"/>
      <w:sz w:val="24"/>
      <w:szCs w:val="20"/>
    </w:rPr>
  </w:style>
  <w:style w:type="paragraph" w:customStyle="1" w:styleId="32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26">
    <w:name w:val="Body text|1"/>
    <w:basedOn w:val="1"/>
    <w:qFormat/>
    <w:uiPriority w:val="0"/>
    <w:pPr>
      <w:widowControl w:val="0"/>
      <w:shd w:val="clear" w:color="auto" w:fill="auto"/>
      <w:spacing w:line="384" w:lineRule="auto"/>
      <w:ind w:firstLine="400"/>
    </w:pPr>
    <w:rPr>
      <w:rFonts w:ascii="宋体" w:hAnsi="宋体" w:eastAsia="宋体" w:cs="宋体"/>
      <w:sz w:val="26"/>
      <w:szCs w:val="26"/>
      <w:u w:val="none"/>
      <w:shd w:val="clear" w:color="auto" w:fill="auto"/>
      <w:lang w:val="zh-TW" w:eastAsia="zh-TW" w:bidi="zh-TW"/>
    </w:rPr>
  </w:style>
  <w:style w:type="paragraph" w:customStyle="1" w:styleId="327">
    <w:name w:val="正文缩进1"/>
    <w:qFormat/>
    <w:uiPriority w:val="99"/>
    <w:pPr>
      <w:widowControl w:val="0"/>
      <w:ind w:firstLine="624"/>
      <w:jc w:val="both"/>
      <w:textAlignment w:val="center"/>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a5d9efa5-5b6e-4dee-83cc-c7ec4582a90c</errorID>
      <errorWord>下午13:30</errorWord>
      <group>L1_Knowledge</group>
      <groupName>知识性问题</groupName>
      <ability>L2_Time</ability>
      <abilityName>日期时间</abilityName>
      <candidateList>
        <item>13:30</item>
      </candidateList>
      <explain>24小时制的时间，不需要强调“下午”。</explain>
      <paraID>61D42B89</paraID>
      <start>50</start>
      <end>57</end>
      <status>unmodified</status>
      <modifiedWord/>
      <trackRevisions>false</trackRevisions>
    </reviewItem>
    <reviewItem>
      <errorID>f1c09b22-a0ba-4719-b12f-b5965e3d4e13</errorID>
      <errorWord>）中</errorWord>
      <group>L1_Word</group>
      <groupName>字词问题</groupName>
      <ability>L2_Typo</ability>
      <abilityName>字词错误</abilityName>
      <candidateList>
        <item>）</item>
      </candidateList>
      <explain/>
      <paraID>3F7E5D40</paraID>
      <start>81</start>
      <end>83</end>
      <status>unmodified</status>
      <modifiedWord/>
      <trackRevisions>false</trackRevisions>
    </reviewItem>
    <reviewItem>
      <errorID>6672d69f-035e-4df2-8596-50a5e43d066c</errorID>
      <errorWord>[2022]</errorWord>
      <group>L1_Punc</group>
      <groupName>标点问题</groupName>
      <ability>L2_Punc</ability>
      <abilityName>标点符号检查</abilityName>
      <candidateList>
        <item>〔2022〕</item>
      </candidateList>
      <explain/>
      <paraID>118F32ED</paraID>
      <start>49</start>
      <end>55</end>
      <status>unmodified</status>
      <modifiedWord/>
      <trackRevisions>false</trackRevisions>
    </reviewItem>
    <reviewItem>
      <errorID>de88a038-8b5c-45b6-84eb-a705574cc509</errorID>
      <errorWord>间</errorWord>
      <group>L1_Word</group>
      <groupName>字词问题</groupName>
      <ability>L2_Typo</ability>
      <abilityName>字词错误</abilityName>
      <candidateList>
        <item>间之</item>
      </candidateList>
      <explain/>
      <paraID> BBE9D11</paraID>
      <start>9</start>
      <end>10</end>
      <status>unmodified</status>
      <modifiedWord/>
      <trackRevisions>false</trackRevisions>
    </reviewItem>
    <reviewItem>
      <errorID>de094c66-6943-4a42-956a-b88ae177a83d</errorID>
      <errorWord>网</errorWord>
      <group>L1_Word</group>
      <groupName>字词问题</groupName>
      <ability>L2_Typo</ability>
      <abilityName>字词错误</abilityName>
      <candidateList>
        <item>网上</item>
      </candidateList>
      <explain/>
      <paraID>610304C2</paraID>
      <start>20</start>
      <end>21</end>
      <status>unmodified</status>
      <modifiedWord/>
      <trackRevisions>false</trackRevisions>
    </reviewItem>
    <reviewItem>
      <errorID>0a7444d5-b42c-499a-994f-3f3dfba55088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147B5E45</paraID>
      <start>46</start>
      <end>49</end>
      <status>unmodified</status>
      <modifiedWord/>
      <trackRevisions>false</trackRevisions>
    </reviewItem>
    <reviewItem>
      <errorID>5c82fd48-5503-4562-ad50-86ea5c20c293</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4ADB1CA9</paraID>
      <start>30</start>
      <end>32</end>
      <status>unmodified</status>
      <modifiedWord/>
      <trackRevisions>false</trackRevisions>
    </reviewItem>
    <reviewItem>
      <errorID>1ec0e7a5-d2c8-41e4-b829-0083cc173e73</errorID>
      <errorWord>，</errorWord>
      <group>L1_Word</group>
      <groupName>字词问题</groupName>
      <ability>L2_Typo</ability>
      <abilityName>字词错误</abilityName>
      <candidateList>
        <item>，在</item>
      </candidateList>
      <explain/>
      <paraID>1DD8C4B2</paraID>
      <start>13</start>
      <end>14</end>
      <status>unmodified</status>
      <modifiedWord/>
      <trackRevisions>false</trackRevisions>
    </reviewItem>
    <reviewItem>
      <errorID>a631d1cc-a981-4756-a0bc-35644ed3c82c</errorID>
      <errorWord>保持通讯畅通</errorWord>
      <group>L1_Word</group>
      <groupName>字词问题</groupName>
      <ability>L2_Typo</ability>
      <abilityName>字词错误</abilityName>
      <candidateList>
        <item>保持通信畅通</item>
      </candidateList>
      <explain/>
      <paraID> 3CC5DCF</paraID>
      <start>16</start>
      <end>22</end>
      <status>unmodified</status>
      <modifiedWord/>
      <trackRevisions>false</trackRevisions>
    </reviewItem>
    <reviewItem>
      <errorID>9199727e-061e-4599-8dba-f340ebb573c5</errorID>
      <errorWord>涉及到</errorWord>
      <group>L1_Grammar</group>
      <groupName>语法问题</groupName>
      <ability>L2_Grammar</ability>
      <abilityName>语法错误</abilityName>
      <candidateList>
        <item>涉及</item>
      </candidateList>
      <explain>〈动〉牵涉到；关联到：案子～好几个人｜这个问题～面很广。</explain>
      <paraID>64A02E97</paraID>
      <start>6</start>
      <end>9</end>
      <status>unmodified</status>
      <modifiedWord/>
      <trackRevisions>false</trackRevisions>
    </reviewItem>
    <reviewItem>
      <errorID>ca9ddcf0-2902-4356-82d5-32610b676cc7</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1D269EB7</paraID>
      <start>49</start>
      <end>53</end>
      <status>unmodified</status>
      <modifiedWord/>
      <trackRevisions>false</trackRevisions>
    </reviewItem>
    <reviewItem>
      <errorID>4d19812a-f1d0-42fc-a35d-ebb18e5ab198</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1D269EB7</paraID>
      <start>68</start>
      <end>72</end>
      <status>unmodified</status>
      <modifiedWord/>
      <trackRevisions>false</trackRevisions>
    </reviewItem>
    <reviewItem>
      <errorID>b38aa39b-1bfa-43d6-9f0d-9993f16ed80a</errorID>
      <errorWord>涉及到</errorWord>
      <group>L1_Grammar</group>
      <groupName>语法问题</groupName>
      <ability>L2_Grammar</ability>
      <abilityName>语法错误</abilityName>
      <candidateList>
        <item>涉及</item>
      </candidateList>
      <explain>〈动〉牵涉到；关联到：案子～好几个人｜这个问题～面很广。</explain>
      <paraID>1D269EB7</paraID>
      <start>73</start>
      <end>76</end>
      <status>unmodified</status>
      <modifiedWord/>
      <trackRevisions>false</trackRevisions>
    </reviewItem>
    <reviewItem>
      <errorID>13efb1e6-2b04-46f3-b60c-fc02972b75d5</errorID>
      <errorWord>[2011]300号</errorWord>
      <group>L1_Knowledge</group>
      <groupName>知识性问题</groupName>
      <ability>L2_Knowledge</ability>
      <abilityName>其他知识</abilityName>
      <candidateList>
        <item>〔2011〕300号</item>
      </candidateList>
      <explain>发文字号格式错误。</explain>
      <paraID>71A9AFE2</paraID>
      <start>36</start>
      <end>46</end>
      <status>unmodified</status>
      <modifiedWord/>
      <trackRevisions>false</trackRevisions>
    </reviewItem>
    <reviewItem>
      <errorID>7a8aa17a-b663-4ccf-8406-79e40043f454</errorID>
      <errorWord>[2014]68号</errorWord>
      <group>L1_Knowledge</group>
      <groupName>知识性问题</groupName>
      <ability>L2_Knowledge</ability>
      <abilityName>其他知识</abilityName>
      <candidateList>
        <item>〔2014〕68号</item>
      </candidateList>
      <explain>发文字号格式错误。</explain>
      <paraID> EF20F3B</paraID>
      <start>38</start>
      <end>47</end>
      <status>unmodified</status>
      <modifiedWord/>
      <trackRevisions>false</trackRevisions>
    </reviewItem>
    <reviewItem>
      <errorID>0ac919da-8706-4ab3-8365-86f0e7844424</errorID>
      <errorWord>&lt;</errorWord>
      <group>L1_Format</group>
      <groupName>格式问题</groupName>
      <ability>L2_HalfPunc</ability>
      <abilityName>全半角检查</abilityName>
      <candidateList>
        <item>〈</item>
      </candidateList>
      <explain>文本全半角错误。</explain>
      <paraID>3333B39E</paraID>
      <start>50</start>
      <end>51</end>
      <status>unmodified</status>
      <modifiedWord/>
      <trackRevisions>false</trackRevisions>
    </reviewItem>
    <reviewItem>
      <errorID>4452e444-b9ca-4fc9-b70f-9f48ad6e6173</errorID>
      <errorWord>&lt;</errorWord>
      <group>L1_Format</group>
      <groupName>格式问题</groupName>
      <ability>L2_HalfPunc</ability>
      <abilityName>全半角检查</abilityName>
      <candidateList>
        <item>〈</item>
      </candidateList>
      <explain>文本全半角错误。</explain>
      <paraID>65041238</paraID>
      <start>50</start>
      <end>51</end>
      <status>unmodified</status>
      <modifiedWord/>
      <trackRevisions>false</trackRevisions>
    </reviewItem>
    <reviewItem>
      <errorID>819de330-4bc3-4528-bd23-76c1771c2b4e</errorID>
      <errorWord>&lt;</errorWord>
      <group>L1_Format</group>
      <groupName>格式问题</groupName>
      <ability>L2_HalfPunc</ability>
      <abilityName>全半角检查</abilityName>
      <candidateList>
        <item>〈</item>
      </candidateList>
      <explain>文本全半角错误。</explain>
      <paraID>62007368</paraID>
      <start>35</start>
      <end>36</end>
      <status>unmodified</status>
      <modifiedWord/>
      <trackRevisions>false</trackRevisions>
    </reviewItem>
    <reviewItem>
      <errorID>3883e58f-826c-461b-8226-3d524662d964</errorID>
      <errorWord>详实</errorWord>
      <group>L1_Word</group>
      <groupName>字词问题</groupName>
      <ability>L2_Typo</ability>
      <abilityName>字词错误</abilityName>
      <candidateList>
        <item>翔实</item>
      </candidateList>
      <explain>存在发音相同字词的误用。</explain>
      <paraID>3C6B23B0</paraID>
      <start>6</start>
      <end>8</end>
      <status>unmodified</status>
      <modifiedWord/>
      <trackRevisions>false</trackRevisions>
    </reviewItem>
    <reviewItem>
      <errorID>cf98dd17-ef7d-406f-a861-9adc51145c19</errorID>
      <errorWord>下</errorWord>
      <group>L1_Word</group>
      <groupName>字词问题</groupName>
      <ability>L2_Typo</ability>
      <abilityName>字词错误</abilityName>
      <candidateList>
        <item>下简</item>
      </candidateList>
      <explain/>
      <paraID> 7D749E0</paraID>
      <start>129</start>
      <end>130</end>
      <status>unmodified</status>
      <modifiedWord/>
      <trackRevisions>false</trackRevisions>
    </reviewItem>
    <reviewItem>
      <errorID>393ffbde-52f2-4585-9f03-b57313b3344a</errorID>
      <errorWord>（</errorWord>
      <group>L1_Punc</group>
      <groupName>标点问题</groupName>
      <ability>L2_Punc</ability>
      <abilityName>标点符号检查</abilityName>
      <candidateList/>
      <explain>同一形式括号套用。</explain>
      <paraID>4A3EC30A</paraID>
      <start>33</start>
      <end>34</end>
      <status>unmodified</status>
      <modifiedWord/>
      <trackRevisions>false</trackRevisions>
    </reviewItem>
    <reviewItem>
      <errorID>95b60bc1-11e4-4da7-ad6d-993f129ee624</errorID>
      <errorWord>）</errorWord>
      <group>L1_Punc</group>
      <groupName>标点问题</groupName>
      <ability>L2_Punc</ability>
      <abilityName>标点符号检查</abilityName>
      <candidateList/>
      <explain>同一形式括号套用。</explain>
      <paraID>4A3EC30A</paraID>
      <start>38</start>
      <end>39</end>
      <status>unmodified</status>
      <modifiedWord/>
      <trackRevisions>false</trackRevisions>
    </reviewItem>
    <reviewItem>
      <errorID>cccccb67-7fae-4220-93a3-880a2295aef8</errorID>
      <errorWord>（</errorWord>
      <group>L1_Punc</group>
      <groupName>标点问题</groupName>
      <ability>L2_Punc</ability>
      <abilityName>标点符号检查</abilityName>
      <candidateList/>
      <explain>同一形式括号套用。</explain>
      <paraID>3611E674</paraID>
      <start>20</start>
      <end>21</end>
      <status>unmodified</status>
      <modifiedWord/>
      <trackRevisions>false</trackRevisions>
    </reviewItem>
    <reviewItem>
      <errorID>aefb5d7b-349f-4179-84bc-93e73e9d3339</errorID>
      <errorWord>）</errorWord>
      <group>L1_Punc</group>
      <groupName>标点问题</groupName>
      <ability>L2_Punc</ability>
      <abilityName>标点符号检查</abilityName>
      <candidateList/>
      <explain>同一形式括号套用。</explain>
      <paraID>3611E674</paraID>
      <start>27</start>
      <end>28</end>
      <status>unmodified</status>
      <modifiedWord/>
      <trackRevisions>false</trackRevisions>
    </reviewItem>
    <reviewItem>
      <errorID>27be962f-9757-4b78-b114-634cb48ab056</errorID>
      <errorWord>〔2017〕 141号</errorWord>
      <group>L1_Knowledge</group>
      <groupName>知识性问题</groupName>
      <ability>L2_Knowledge</ability>
      <abilityName>其他知识</abilityName>
      <candidateList>
        <item>〔2017〕141号</item>
      </candidateList>
      <explain>发文字号格式错误。</explain>
      <paraID>500358F1</paraID>
      <start>49</start>
      <end>60</end>
      <status>unmodified</status>
      <modifiedWord/>
      <trackRevisions>false</trackRevisions>
    </reviewItem>
    <reviewItem>
      <errorID>23efc414-2a56-4a07-9d3a-75259ae1803a</errorID>
      <errorWord>[2014]68号</errorWord>
      <group>L1_Knowledge</group>
      <groupName>知识性问题</groupName>
      <ability>L2_Knowledge</ability>
      <abilityName>其他知识</abilityName>
      <candidateList>
        <item>〔2014〕68号</item>
      </candidateList>
      <explain>发文字号格式错误。</explain>
      <paraID>6643FE95</paraID>
      <start>35</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2127921a-0ebc-47bd-b663-bd15f0a20d5f}">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12231</Words>
  <Characters>12899</Characters>
  <TotalTime>23</TotalTime>
  <ScaleCrop>false</ScaleCrop>
  <LinksUpToDate>false</LinksUpToDate>
  <CharactersWithSpaces>12985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2024-06-03T06:42:00Z</dcterms:created>
  <dc:creator>US</dc:creator>
  <cp:lastModifiedBy>WPS_1542117345</cp:lastModifiedBy>
  <dcterms:modified xsi:type="dcterms:W3CDTF">2026-05-18T07:12:48Z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F82CD4A1765B4F7291C91C55952E8543_13</vt:lpwstr>
  </property>
  <property fmtid="{D5CDD505-2E9C-101B-9397-08002B2CF9AE}" pid="4" name="KSOTemplateDocerSaveRecord">
    <vt:lpwstr>eyJoZGlkIjoiZmMxNTFmN2NlZTk0MGQ1OTkxM2M1ZDNhNDkyN2Q1NDciLCJ1c2VySWQiOiI0Mjc4NTY2NzMifQ==</vt:lpwstr>
  </property>
</Properties>
</file>