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DD273">
      <w:pPr>
        <w:rPr>
          <w:rFonts w:hint="eastAsia" w:ascii="宋体" w:hAnsi="宋体" w:cs="宋体"/>
          <w:b/>
          <w:sz w:val="36"/>
          <w:szCs w:val="36"/>
        </w:rPr>
      </w:pPr>
    </w:p>
    <w:p w14:paraId="23A525A2">
      <w:pPr>
        <w:autoSpaceDE w:val="0"/>
        <w:autoSpaceDN w:val="0"/>
        <w:adjustRightInd w:val="0"/>
        <w:spacing w:line="1000" w:lineRule="exact"/>
        <w:jc w:val="center"/>
        <w:rPr>
          <w:rFonts w:ascii="宋体" w:hAnsi="宋体" w:cs="宋体"/>
          <w:b/>
          <w:sz w:val="44"/>
          <w:szCs w:val="44"/>
        </w:rPr>
      </w:pPr>
      <w:r>
        <w:rPr>
          <w:rFonts w:hint="eastAsia" w:ascii="宋体" w:hAnsi="宋体" w:cs="宋体"/>
          <w:b/>
          <w:sz w:val="44"/>
          <w:szCs w:val="44"/>
        </w:rPr>
        <w:t>204国道通州段周边路网衔接方案研究项目</w:t>
      </w:r>
    </w:p>
    <w:p w14:paraId="2C2F6D1B">
      <w:pPr>
        <w:autoSpaceDE w:val="0"/>
        <w:autoSpaceDN w:val="0"/>
        <w:adjustRightInd w:val="0"/>
        <w:spacing w:line="1000" w:lineRule="exact"/>
        <w:jc w:val="center"/>
        <w:rPr>
          <w:rFonts w:hint="eastAsia" w:ascii="宋体" w:hAnsi="宋体" w:cs="宋体"/>
          <w:b/>
          <w:sz w:val="44"/>
          <w:szCs w:val="44"/>
        </w:rPr>
      </w:pPr>
      <w:r>
        <w:rPr>
          <w:rFonts w:hint="eastAsia" w:ascii="宋体" w:hAnsi="宋体" w:cs="宋体"/>
          <w:b/>
          <w:sz w:val="44"/>
          <w:szCs w:val="44"/>
        </w:rPr>
        <w:t>（政府采购工程）</w:t>
      </w:r>
    </w:p>
    <w:p w14:paraId="32796ACB">
      <w:pPr>
        <w:pStyle w:val="17"/>
        <w:rPr>
          <w:rFonts w:hint="eastAsia" w:ascii="宋体" w:hAnsi="宋体" w:cs="宋体"/>
        </w:rPr>
      </w:pPr>
    </w:p>
    <w:p w14:paraId="7702BA3F">
      <w:pPr>
        <w:pStyle w:val="17"/>
        <w:adjustRightInd w:val="0"/>
        <w:snapToGrid w:val="0"/>
        <w:spacing w:after="0" w:line="360" w:lineRule="auto"/>
        <w:ind w:left="0" w:leftChars="0"/>
        <w:rPr>
          <w:rFonts w:hint="eastAsia" w:ascii="宋体" w:hAnsi="宋体" w:cs="宋体"/>
        </w:rPr>
      </w:pPr>
    </w:p>
    <w:p w14:paraId="3EAFEE2F">
      <w:pPr>
        <w:tabs>
          <w:tab w:val="left" w:pos="6300"/>
        </w:tabs>
        <w:adjustRightInd w:val="0"/>
        <w:snapToGrid w:val="0"/>
        <w:spacing w:line="360" w:lineRule="auto"/>
        <w:jc w:val="center"/>
        <w:rPr>
          <w:rFonts w:hint="eastAsia" w:ascii="宋体" w:hAnsi="宋体" w:cs="宋体"/>
          <w:b/>
          <w:w w:val="80"/>
          <w:sz w:val="96"/>
          <w:szCs w:val="96"/>
        </w:rPr>
      </w:pPr>
      <w:r>
        <w:rPr>
          <w:rFonts w:hint="eastAsia" w:ascii="宋体" w:hAnsi="宋体" w:cs="宋体"/>
          <w:b/>
          <w:w w:val="80"/>
          <w:sz w:val="96"/>
          <w:szCs w:val="96"/>
        </w:rPr>
        <w:t>竞争性磋商文件</w:t>
      </w:r>
    </w:p>
    <w:p w14:paraId="7E515F1B">
      <w:pPr>
        <w:autoSpaceDE w:val="0"/>
        <w:autoSpaceDN w:val="0"/>
        <w:adjustRightInd w:val="0"/>
        <w:snapToGrid w:val="0"/>
        <w:spacing w:line="360" w:lineRule="auto"/>
        <w:jc w:val="center"/>
        <w:rPr>
          <w:rFonts w:hint="eastAsia" w:ascii="宋体" w:hAnsi="宋体" w:cs="宋体"/>
          <w:b/>
          <w:sz w:val="44"/>
          <w:szCs w:val="44"/>
        </w:rPr>
      </w:pPr>
    </w:p>
    <w:p w14:paraId="12BA8D71">
      <w:pPr>
        <w:tabs>
          <w:tab w:val="left" w:pos="6300"/>
        </w:tabs>
        <w:snapToGrid w:val="0"/>
        <w:spacing w:line="300" w:lineRule="auto"/>
        <w:ind w:firstLine="3087" w:firstLineChars="1200"/>
        <w:rPr>
          <w:rFonts w:hint="eastAsia" w:ascii="宋体" w:hAnsi="宋体" w:cs="宋体"/>
          <w:b/>
          <w:w w:val="80"/>
          <w:sz w:val="32"/>
          <w:szCs w:val="32"/>
          <w:highlight w:val="none"/>
        </w:rPr>
      </w:pPr>
      <w:r>
        <w:rPr>
          <w:rFonts w:hint="eastAsia" w:ascii="宋体" w:hAnsi="宋体" w:cs="宋体"/>
          <w:b/>
          <w:w w:val="80"/>
          <w:sz w:val="32"/>
          <w:szCs w:val="32"/>
        </w:rPr>
        <w:t>项目编号：</w:t>
      </w:r>
      <w:r>
        <w:rPr>
          <w:rFonts w:hint="eastAsia" w:ascii="宋体" w:hAnsi="宋体" w:cs="宋体"/>
          <w:b/>
          <w:w w:val="80"/>
          <w:sz w:val="32"/>
          <w:szCs w:val="32"/>
          <w:highlight w:val="none"/>
        </w:rPr>
        <w:t>2026LWXJ</w:t>
      </w:r>
    </w:p>
    <w:p w14:paraId="19D0DAA1">
      <w:pPr>
        <w:tabs>
          <w:tab w:val="left" w:pos="6300"/>
        </w:tabs>
        <w:snapToGrid w:val="0"/>
        <w:spacing w:line="300" w:lineRule="auto"/>
        <w:ind w:firstLine="3087" w:firstLineChars="1200"/>
        <w:rPr>
          <w:rFonts w:hint="eastAsia" w:ascii="宋体" w:hAnsi="宋体" w:cs="宋体"/>
          <w:b/>
          <w:w w:val="80"/>
          <w:sz w:val="32"/>
          <w:szCs w:val="32"/>
          <w:highlight w:val="none"/>
        </w:rPr>
      </w:pPr>
      <w:r>
        <w:rPr>
          <w:rFonts w:hint="eastAsia" w:ascii="宋体" w:hAnsi="宋体" w:cs="宋体"/>
          <w:b/>
          <w:w w:val="80"/>
          <w:sz w:val="32"/>
          <w:szCs w:val="32"/>
          <w:highlight w:val="none"/>
        </w:rPr>
        <w:t>档案编号：20261102</w:t>
      </w:r>
    </w:p>
    <w:p w14:paraId="7C601D43">
      <w:pPr>
        <w:tabs>
          <w:tab w:val="left" w:pos="6300"/>
        </w:tabs>
        <w:snapToGrid w:val="0"/>
        <w:spacing w:line="300" w:lineRule="auto"/>
        <w:ind w:firstLine="2830" w:firstLineChars="1100"/>
        <w:rPr>
          <w:rFonts w:hint="eastAsia" w:ascii="宋体" w:hAnsi="宋体" w:cs="宋体"/>
          <w:b/>
          <w:snapToGrid w:val="0"/>
          <w:w w:val="80"/>
          <w:kern w:val="0"/>
          <w:sz w:val="32"/>
          <w:szCs w:val="32"/>
          <w:highlight w:val="none"/>
        </w:rPr>
      </w:pPr>
    </w:p>
    <w:p w14:paraId="0E4F9E2F">
      <w:pPr>
        <w:autoSpaceDE w:val="0"/>
        <w:autoSpaceDN w:val="0"/>
        <w:adjustRightInd w:val="0"/>
        <w:spacing w:line="360" w:lineRule="auto"/>
        <w:ind w:firstLine="420"/>
        <w:jc w:val="center"/>
        <w:rPr>
          <w:rFonts w:hint="eastAsia" w:ascii="宋体" w:hAnsi="宋体" w:cs="宋体"/>
          <w:szCs w:val="21"/>
          <w:highlight w:val="none"/>
        </w:rPr>
      </w:pPr>
    </w:p>
    <w:p w14:paraId="1F743AE2">
      <w:pPr>
        <w:autoSpaceDE w:val="0"/>
        <w:autoSpaceDN w:val="0"/>
        <w:adjustRightInd w:val="0"/>
        <w:spacing w:line="360" w:lineRule="auto"/>
        <w:ind w:firstLine="420"/>
        <w:jc w:val="center"/>
        <w:rPr>
          <w:rFonts w:hint="eastAsia" w:ascii="宋体" w:hAnsi="宋体" w:cs="宋体"/>
          <w:szCs w:val="21"/>
          <w:highlight w:val="none"/>
        </w:rPr>
      </w:pPr>
    </w:p>
    <w:p w14:paraId="4903A05B">
      <w:pPr>
        <w:autoSpaceDE w:val="0"/>
        <w:autoSpaceDN w:val="0"/>
        <w:adjustRightInd w:val="0"/>
        <w:spacing w:line="360" w:lineRule="auto"/>
        <w:ind w:firstLine="420"/>
        <w:jc w:val="center"/>
        <w:rPr>
          <w:rFonts w:hint="eastAsia" w:ascii="宋体" w:hAnsi="宋体" w:cs="宋体"/>
          <w:szCs w:val="21"/>
          <w:highlight w:val="none"/>
        </w:rPr>
      </w:pPr>
    </w:p>
    <w:p w14:paraId="2B2B9C00">
      <w:pPr>
        <w:autoSpaceDE w:val="0"/>
        <w:autoSpaceDN w:val="0"/>
        <w:adjustRightInd w:val="0"/>
        <w:spacing w:line="360" w:lineRule="auto"/>
        <w:ind w:firstLine="420"/>
        <w:jc w:val="center"/>
        <w:rPr>
          <w:rFonts w:hint="eastAsia" w:ascii="宋体" w:hAnsi="宋体" w:cs="宋体"/>
          <w:szCs w:val="21"/>
          <w:highlight w:val="none"/>
        </w:rPr>
      </w:pPr>
    </w:p>
    <w:p w14:paraId="430C76C7">
      <w:pPr>
        <w:autoSpaceDE w:val="0"/>
        <w:autoSpaceDN w:val="0"/>
        <w:adjustRightInd w:val="0"/>
        <w:spacing w:line="360" w:lineRule="auto"/>
        <w:ind w:firstLine="420"/>
        <w:jc w:val="center"/>
        <w:rPr>
          <w:rFonts w:hint="eastAsia" w:ascii="宋体" w:hAnsi="宋体" w:cs="宋体"/>
          <w:szCs w:val="21"/>
          <w:highlight w:val="none"/>
        </w:rPr>
      </w:pPr>
    </w:p>
    <w:p w14:paraId="503594C5">
      <w:pPr>
        <w:autoSpaceDE w:val="0"/>
        <w:autoSpaceDN w:val="0"/>
        <w:adjustRightInd w:val="0"/>
        <w:spacing w:line="360" w:lineRule="auto"/>
        <w:ind w:firstLine="420"/>
        <w:jc w:val="center"/>
        <w:rPr>
          <w:rFonts w:hint="eastAsia" w:ascii="宋体" w:hAnsi="宋体" w:cs="宋体"/>
          <w:szCs w:val="21"/>
          <w:highlight w:val="none"/>
        </w:rPr>
      </w:pPr>
    </w:p>
    <w:p w14:paraId="329939A9">
      <w:pPr>
        <w:autoSpaceDE w:val="0"/>
        <w:autoSpaceDN w:val="0"/>
        <w:adjustRightInd w:val="0"/>
        <w:spacing w:line="360" w:lineRule="auto"/>
        <w:ind w:firstLine="420"/>
        <w:jc w:val="center"/>
        <w:rPr>
          <w:rFonts w:hint="eastAsia" w:ascii="宋体" w:hAnsi="宋体" w:cs="宋体"/>
          <w:szCs w:val="21"/>
          <w:highlight w:val="none"/>
        </w:rPr>
      </w:pPr>
    </w:p>
    <w:p w14:paraId="3B45D80B">
      <w:pPr>
        <w:autoSpaceDE w:val="0"/>
        <w:autoSpaceDN w:val="0"/>
        <w:adjustRightInd w:val="0"/>
        <w:jc w:val="center"/>
        <w:rPr>
          <w:rFonts w:hint="eastAsia" w:ascii="宋体" w:hAnsi="宋体" w:cs="宋体"/>
          <w:szCs w:val="21"/>
          <w:highlight w:val="none"/>
        </w:rPr>
      </w:pPr>
    </w:p>
    <w:p w14:paraId="017DFB10">
      <w:pPr>
        <w:autoSpaceDE w:val="0"/>
        <w:autoSpaceDN w:val="0"/>
        <w:adjustRightInd w:val="0"/>
        <w:spacing w:line="360" w:lineRule="auto"/>
        <w:ind w:firstLine="420"/>
        <w:jc w:val="center"/>
        <w:rPr>
          <w:rFonts w:hint="eastAsia" w:ascii="宋体" w:hAnsi="宋体" w:cs="宋体"/>
          <w:szCs w:val="21"/>
          <w:highlight w:val="none"/>
        </w:rPr>
      </w:pPr>
    </w:p>
    <w:p w14:paraId="591538DA">
      <w:pPr>
        <w:autoSpaceDE w:val="0"/>
        <w:autoSpaceDN w:val="0"/>
        <w:adjustRightInd w:val="0"/>
        <w:spacing w:line="360" w:lineRule="auto"/>
        <w:ind w:firstLine="420"/>
        <w:jc w:val="center"/>
        <w:rPr>
          <w:rFonts w:hint="eastAsia" w:ascii="宋体" w:hAnsi="宋体" w:cs="宋体"/>
          <w:szCs w:val="21"/>
          <w:highlight w:val="none"/>
        </w:rPr>
      </w:pPr>
    </w:p>
    <w:p w14:paraId="1E32EB33">
      <w:pPr>
        <w:autoSpaceDE w:val="0"/>
        <w:autoSpaceDN w:val="0"/>
        <w:adjustRightInd w:val="0"/>
        <w:spacing w:line="360" w:lineRule="auto"/>
        <w:rPr>
          <w:rFonts w:hint="eastAsia" w:ascii="宋体" w:hAnsi="宋体" w:cs="宋体"/>
          <w:szCs w:val="21"/>
          <w:highlight w:val="none"/>
        </w:rPr>
      </w:pPr>
    </w:p>
    <w:p w14:paraId="2275C6F7">
      <w:pPr>
        <w:adjustRightInd w:val="0"/>
        <w:snapToGrid w:val="0"/>
        <w:spacing w:line="360" w:lineRule="auto"/>
        <w:ind w:firstLine="602" w:firstLineChars="200"/>
        <w:jc w:val="left"/>
        <w:rPr>
          <w:rFonts w:hint="eastAsia" w:ascii="宋体" w:hAnsi="宋体" w:cs="宋体"/>
          <w:b/>
          <w:sz w:val="30"/>
          <w:szCs w:val="30"/>
          <w:highlight w:val="none"/>
        </w:rPr>
      </w:pPr>
      <w:r>
        <w:rPr>
          <w:rFonts w:hint="eastAsia" w:ascii="宋体" w:hAnsi="宋体" w:cs="宋体"/>
          <w:b/>
          <w:sz w:val="30"/>
          <w:szCs w:val="30"/>
          <w:highlight w:val="none"/>
        </w:rPr>
        <w:t>采   购   人：南通市公路事业发展中心</w:t>
      </w:r>
    </w:p>
    <w:p w14:paraId="1B5EB77E">
      <w:pPr>
        <w:adjustRightInd w:val="0"/>
        <w:snapToGrid w:val="0"/>
        <w:spacing w:line="360" w:lineRule="auto"/>
        <w:ind w:firstLine="602" w:firstLineChars="200"/>
        <w:jc w:val="left"/>
        <w:rPr>
          <w:rFonts w:hint="eastAsia" w:ascii="宋体" w:hAnsi="宋体" w:cs="宋体"/>
          <w:b/>
          <w:sz w:val="30"/>
          <w:szCs w:val="30"/>
          <w:highlight w:val="none"/>
        </w:rPr>
      </w:pPr>
      <w:r>
        <w:rPr>
          <w:rFonts w:hint="eastAsia" w:ascii="宋体" w:hAnsi="宋体" w:cs="宋体"/>
          <w:b/>
          <w:sz w:val="30"/>
          <w:szCs w:val="30"/>
          <w:highlight w:val="none"/>
        </w:rPr>
        <w:t>采购代理机构：捷宏润安工程顾问（江苏）有限公司</w:t>
      </w:r>
    </w:p>
    <w:p w14:paraId="1BB2145F">
      <w:pPr>
        <w:adjustRightInd w:val="0"/>
        <w:snapToGrid w:val="0"/>
        <w:spacing w:line="360" w:lineRule="auto"/>
        <w:jc w:val="center"/>
        <w:rPr>
          <w:rFonts w:hint="eastAsia" w:ascii="宋体" w:hAnsi="宋体" w:cs="宋体"/>
          <w:b/>
          <w:bCs/>
          <w:sz w:val="30"/>
          <w:szCs w:val="30"/>
          <w:highlight w:val="none"/>
        </w:rPr>
      </w:pPr>
      <w:r>
        <w:rPr>
          <w:rFonts w:hint="eastAsia" w:ascii="宋体" w:hAnsi="宋体" w:cs="宋体"/>
          <w:b/>
          <w:bCs/>
          <w:sz w:val="30"/>
          <w:szCs w:val="30"/>
          <w:highlight w:val="none"/>
        </w:rPr>
        <w:t>2026年</w:t>
      </w:r>
      <w:r>
        <w:rPr>
          <w:rFonts w:hint="eastAsia" w:ascii="宋体" w:hAnsi="宋体" w:cs="宋体"/>
          <w:b/>
          <w:bCs/>
          <w:sz w:val="30"/>
          <w:szCs w:val="30"/>
          <w:highlight w:val="none"/>
          <w:lang w:val="en-US" w:eastAsia="zh-CN"/>
        </w:rPr>
        <w:t>03</w:t>
      </w:r>
      <w:r>
        <w:rPr>
          <w:rFonts w:hint="eastAsia" w:ascii="宋体" w:hAnsi="宋体" w:cs="宋体"/>
          <w:b/>
          <w:bCs/>
          <w:sz w:val="30"/>
          <w:szCs w:val="30"/>
          <w:highlight w:val="none"/>
        </w:rPr>
        <w:t>月</w:t>
      </w:r>
    </w:p>
    <w:p w14:paraId="19C451D0">
      <w:pPr>
        <w:autoSpaceDE w:val="0"/>
        <w:autoSpaceDN w:val="0"/>
        <w:adjustRightInd w:val="0"/>
        <w:spacing w:line="360" w:lineRule="auto"/>
        <w:jc w:val="center"/>
        <w:outlineLvl w:val="0"/>
        <w:rPr>
          <w:rFonts w:hint="eastAsia" w:ascii="宋体" w:hAnsi="宋体" w:cs="宋体"/>
          <w:b/>
          <w:bCs/>
          <w:sz w:val="44"/>
          <w:szCs w:val="44"/>
          <w:highlight w:val="none"/>
          <w:lang w:val="zh-CN"/>
        </w:rPr>
      </w:pPr>
      <w:r>
        <w:rPr>
          <w:rFonts w:hint="eastAsia" w:ascii="宋体" w:hAnsi="宋体" w:cs="宋体"/>
          <w:b/>
          <w:bCs/>
          <w:sz w:val="44"/>
          <w:szCs w:val="44"/>
          <w:highlight w:val="none"/>
          <w:lang w:val="zh-CN"/>
        </w:rPr>
        <w:br w:type="page"/>
      </w:r>
      <w:r>
        <w:rPr>
          <w:rFonts w:hint="eastAsia" w:ascii="宋体" w:hAnsi="宋体" w:cs="宋体"/>
          <w:b/>
          <w:bCs/>
          <w:sz w:val="44"/>
          <w:szCs w:val="44"/>
          <w:highlight w:val="none"/>
          <w:lang w:val="zh-CN"/>
        </w:rPr>
        <w:t>目   录</w:t>
      </w:r>
    </w:p>
    <w:p w14:paraId="1B834F1D">
      <w:pPr>
        <w:autoSpaceDE w:val="0"/>
        <w:autoSpaceDN w:val="0"/>
        <w:adjustRightInd w:val="0"/>
        <w:spacing w:line="480" w:lineRule="auto"/>
        <w:ind w:firstLine="556"/>
        <w:rPr>
          <w:rFonts w:hint="eastAsia" w:ascii="宋体" w:hAnsi="宋体" w:cs="宋体"/>
          <w:b/>
          <w:bCs/>
          <w:sz w:val="32"/>
          <w:szCs w:val="32"/>
          <w:highlight w:val="none"/>
        </w:rPr>
      </w:pPr>
    </w:p>
    <w:p w14:paraId="177EC801">
      <w:pPr>
        <w:autoSpaceDE w:val="0"/>
        <w:autoSpaceDN w:val="0"/>
        <w:adjustRightInd w:val="0"/>
        <w:spacing w:line="480" w:lineRule="auto"/>
        <w:ind w:firstLine="556"/>
        <w:rPr>
          <w:rFonts w:hint="eastAsia" w:ascii="宋体" w:hAnsi="宋体" w:cs="宋体"/>
          <w:b/>
          <w:bCs/>
          <w:sz w:val="32"/>
          <w:szCs w:val="32"/>
          <w:highlight w:val="none"/>
        </w:rPr>
      </w:pPr>
      <w:r>
        <w:rPr>
          <w:rFonts w:hint="eastAsia" w:ascii="宋体" w:hAnsi="宋体" w:cs="宋体"/>
          <w:b/>
          <w:bCs/>
          <w:sz w:val="32"/>
          <w:szCs w:val="32"/>
          <w:highlight w:val="none"/>
        </w:rPr>
        <w:t>第一部分  竞争性磋商公告</w:t>
      </w:r>
    </w:p>
    <w:p w14:paraId="75CB983D">
      <w:pPr>
        <w:autoSpaceDE w:val="0"/>
        <w:autoSpaceDN w:val="0"/>
        <w:adjustRightInd w:val="0"/>
        <w:spacing w:line="480" w:lineRule="auto"/>
        <w:ind w:firstLine="556"/>
        <w:rPr>
          <w:rFonts w:hint="eastAsia" w:ascii="宋体" w:hAnsi="宋体" w:cs="宋体"/>
          <w:b/>
          <w:bCs/>
          <w:sz w:val="32"/>
          <w:szCs w:val="32"/>
          <w:highlight w:val="none"/>
        </w:rPr>
      </w:pPr>
      <w:r>
        <w:rPr>
          <w:rFonts w:hint="eastAsia" w:ascii="宋体" w:hAnsi="宋体" w:cs="宋体"/>
          <w:b/>
          <w:bCs/>
          <w:sz w:val="32"/>
          <w:szCs w:val="32"/>
          <w:highlight w:val="none"/>
        </w:rPr>
        <w:t>第二部分  磋商须知</w:t>
      </w:r>
    </w:p>
    <w:p w14:paraId="1E9C601C">
      <w:pPr>
        <w:autoSpaceDE w:val="0"/>
        <w:autoSpaceDN w:val="0"/>
        <w:adjustRightInd w:val="0"/>
        <w:spacing w:line="480" w:lineRule="auto"/>
        <w:ind w:firstLine="556"/>
        <w:rPr>
          <w:rFonts w:hint="eastAsia" w:ascii="宋体" w:hAnsi="宋体" w:cs="宋体"/>
          <w:b/>
          <w:bCs/>
          <w:sz w:val="32"/>
          <w:szCs w:val="32"/>
          <w:highlight w:val="none"/>
        </w:rPr>
      </w:pPr>
      <w:r>
        <w:rPr>
          <w:rFonts w:hint="eastAsia" w:ascii="宋体" w:hAnsi="宋体" w:cs="宋体"/>
          <w:b/>
          <w:bCs/>
          <w:sz w:val="32"/>
          <w:szCs w:val="32"/>
          <w:highlight w:val="none"/>
        </w:rPr>
        <w:t>第三部分  项目需求</w:t>
      </w:r>
    </w:p>
    <w:p w14:paraId="701FE710">
      <w:pPr>
        <w:autoSpaceDE w:val="0"/>
        <w:autoSpaceDN w:val="0"/>
        <w:adjustRightInd w:val="0"/>
        <w:spacing w:line="480" w:lineRule="auto"/>
        <w:ind w:firstLine="556"/>
        <w:rPr>
          <w:rFonts w:hint="eastAsia" w:ascii="宋体" w:hAnsi="宋体" w:cs="宋体"/>
          <w:b/>
          <w:bCs/>
          <w:sz w:val="32"/>
          <w:szCs w:val="32"/>
          <w:highlight w:val="none"/>
        </w:rPr>
      </w:pPr>
      <w:r>
        <w:rPr>
          <w:rFonts w:hint="eastAsia" w:ascii="宋体" w:hAnsi="宋体" w:cs="宋体"/>
          <w:b/>
          <w:bCs/>
          <w:sz w:val="32"/>
          <w:szCs w:val="32"/>
          <w:highlight w:val="none"/>
        </w:rPr>
        <w:t>第四部分  磋商程序和内容</w:t>
      </w:r>
    </w:p>
    <w:p w14:paraId="12F0494D">
      <w:pPr>
        <w:autoSpaceDE w:val="0"/>
        <w:autoSpaceDN w:val="0"/>
        <w:adjustRightInd w:val="0"/>
        <w:spacing w:line="480" w:lineRule="auto"/>
        <w:ind w:firstLine="556"/>
        <w:rPr>
          <w:rFonts w:hint="eastAsia" w:ascii="宋体" w:hAnsi="宋体" w:cs="宋体"/>
          <w:b/>
          <w:bCs/>
          <w:sz w:val="32"/>
          <w:szCs w:val="32"/>
          <w:highlight w:val="none"/>
        </w:rPr>
      </w:pPr>
      <w:r>
        <w:rPr>
          <w:rFonts w:hint="eastAsia" w:ascii="宋体" w:hAnsi="宋体" w:cs="宋体"/>
          <w:b/>
          <w:bCs/>
          <w:sz w:val="32"/>
          <w:szCs w:val="32"/>
          <w:highlight w:val="none"/>
        </w:rPr>
        <w:t>第五部分  合同签订与验收付款</w:t>
      </w:r>
    </w:p>
    <w:p w14:paraId="2738C573">
      <w:pPr>
        <w:autoSpaceDE w:val="0"/>
        <w:autoSpaceDN w:val="0"/>
        <w:adjustRightInd w:val="0"/>
        <w:spacing w:line="480" w:lineRule="auto"/>
        <w:ind w:firstLine="556"/>
        <w:rPr>
          <w:rFonts w:hint="eastAsia" w:ascii="宋体" w:hAnsi="宋体" w:cs="宋体"/>
          <w:b/>
          <w:bCs/>
          <w:sz w:val="32"/>
          <w:szCs w:val="32"/>
          <w:highlight w:val="none"/>
        </w:rPr>
      </w:pPr>
      <w:r>
        <w:rPr>
          <w:rFonts w:hint="eastAsia" w:ascii="宋体" w:hAnsi="宋体" w:cs="宋体"/>
          <w:b/>
          <w:bCs/>
          <w:sz w:val="32"/>
          <w:szCs w:val="32"/>
          <w:highlight w:val="none"/>
        </w:rPr>
        <w:t>第六部分  质疑提出和处理</w:t>
      </w:r>
    </w:p>
    <w:p w14:paraId="47FB8247">
      <w:pPr>
        <w:autoSpaceDE w:val="0"/>
        <w:autoSpaceDN w:val="0"/>
        <w:adjustRightInd w:val="0"/>
        <w:spacing w:line="480" w:lineRule="auto"/>
        <w:ind w:firstLine="556"/>
        <w:rPr>
          <w:rFonts w:hint="eastAsia" w:ascii="宋体" w:hAnsi="宋体" w:cs="宋体"/>
          <w:b/>
          <w:bCs/>
          <w:sz w:val="32"/>
          <w:szCs w:val="32"/>
          <w:highlight w:val="none"/>
        </w:rPr>
      </w:pPr>
      <w:r>
        <w:rPr>
          <w:rFonts w:hint="eastAsia" w:ascii="宋体" w:hAnsi="宋体" w:cs="宋体"/>
          <w:b/>
          <w:bCs/>
          <w:sz w:val="32"/>
          <w:szCs w:val="32"/>
          <w:highlight w:val="none"/>
        </w:rPr>
        <w:t>第七部分  响应文件组成</w:t>
      </w:r>
    </w:p>
    <w:p w14:paraId="16C1ABCC">
      <w:pPr>
        <w:tabs>
          <w:tab w:val="left" w:pos="7740"/>
        </w:tabs>
        <w:spacing w:line="500" w:lineRule="exact"/>
        <w:rPr>
          <w:rFonts w:hint="eastAsia" w:ascii="宋体" w:hAnsi="宋体" w:cs="宋体"/>
          <w:b/>
          <w:spacing w:val="2"/>
          <w:sz w:val="32"/>
          <w:szCs w:val="32"/>
          <w:highlight w:val="none"/>
        </w:rPr>
      </w:pPr>
    </w:p>
    <w:p w14:paraId="1EE867F6">
      <w:pPr>
        <w:autoSpaceDE w:val="0"/>
        <w:autoSpaceDN w:val="0"/>
        <w:adjustRightInd w:val="0"/>
        <w:spacing w:line="540" w:lineRule="exact"/>
        <w:jc w:val="center"/>
        <w:rPr>
          <w:rFonts w:hint="eastAsia" w:ascii="宋体" w:hAnsi="宋体" w:cs="宋体"/>
          <w:b/>
          <w:bCs/>
          <w:sz w:val="36"/>
          <w:szCs w:val="36"/>
          <w:highlight w:val="none"/>
          <w:lang w:val="zh-CN"/>
        </w:rPr>
      </w:pPr>
    </w:p>
    <w:p w14:paraId="54E8FA58">
      <w:pPr>
        <w:autoSpaceDE w:val="0"/>
        <w:autoSpaceDN w:val="0"/>
        <w:adjustRightInd w:val="0"/>
        <w:spacing w:line="540" w:lineRule="exact"/>
        <w:rPr>
          <w:rFonts w:hint="eastAsia" w:ascii="宋体" w:hAnsi="宋体" w:cs="宋体"/>
          <w:b/>
          <w:bCs/>
          <w:sz w:val="36"/>
          <w:szCs w:val="36"/>
          <w:highlight w:val="none"/>
          <w:lang w:val="zh-CN"/>
        </w:rPr>
      </w:pPr>
    </w:p>
    <w:p w14:paraId="08D8E1BB">
      <w:pPr>
        <w:autoSpaceDE w:val="0"/>
        <w:autoSpaceDN w:val="0"/>
        <w:adjustRightInd w:val="0"/>
        <w:spacing w:line="540" w:lineRule="exact"/>
        <w:jc w:val="center"/>
        <w:rPr>
          <w:rFonts w:hint="eastAsia" w:ascii="宋体" w:hAnsi="宋体" w:cs="宋体"/>
          <w:b/>
          <w:bCs/>
          <w:sz w:val="36"/>
          <w:szCs w:val="36"/>
          <w:highlight w:val="none"/>
          <w:lang w:val="zh-CN"/>
        </w:rPr>
      </w:pPr>
    </w:p>
    <w:p w14:paraId="03587BA9">
      <w:pPr>
        <w:autoSpaceDE w:val="0"/>
        <w:autoSpaceDN w:val="0"/>
        <w:adjustRightInd w:val="0"/>
        <w:spacing w:line="540" w:lineRule="exact"/>
        <w:jc w:val="center"/>
        <w:rPr>
          <w:rFonts w:hint="eastAsia" w:ascii="宋体" w:hAnsi="宋体" w:cs="宋体"/>
          <w:b/>
          <w:bCs/>
          <w:sz w:val="36"/>
          <w:szCs w:val="36"/>
          <w:highlight w:val="none"/>
          <w:lang w:val="zh-CN"/>
        </w:rPr>
      </w:pPr>
    </w:p>
    <w:p w14:paraId="748CA2C3">
      <w:pPr>
        <w:autoSpaceDE w:val="0"/>
        <w:autoSpaceDN w:val="0"/>
        <w:adjustRightInd w:val="0"/>
        <w:spacing w:line="540" w:lineRule="exact"/>
        <w:jc w:val="center"/>
        <w:rPr>
          <w:rFonts w:hint="eastAsia" w:ascii="宋体" w:hAnsi="宋体" w:cs="宋体"/>
          <w:b/>
          <w:bCs/>
          <w:sz w:val="36"/>
          <w:szCs w:val="36"/>
          <w:highlight w:val="none"/>
          <w:lang w:val="zh-CN"/>
        </w:rPr>
      </w:pPr>
    </w:p>
    <w:p w14:paraId="524CFEA9">
      <w:pPr>
        <w:autoSpaceDE w:val="0"/>
        <w:autoSpaceDN w:val="0"/>
        <w:adjustRightInd w:val="0"/>
        <w:spacing w:line="540" w:lineRule="exact"/>
        <w:jc w:val="center"/>
        <w:rPr>
          <w:rFonts w:hint="eastAsia" w:ascii="宋体" w:hAnsi="宋体" w:cs="宋体"/>
          <w:b/>
          <w:bCs/>
          <w:sz w:val="36"/>
          <w:szCs w:val="36"/>
          <w:highlight w:val="none"/>
          <w:lang w:val="zh-CN"/>
        </w:rPr>
      </w:pPr>
    </w:p>
    <w:p w14:paraId="6ED281EB">
      <w:pPr>
        <w:autoSpaceDE w:val="0"/>
        <w:autoSpaceDN w:val="0"/>
        <w:adjustRightInd w:val="0"/>
        <w:spacing w:line="540" w:lineRule="exact"/>
        <w:rPr>
          <w:rFonts w:hint="eastAsia" w:ascii="宋体" w:hAnsi="宋体" w:cs="宋体"/>
          <w:b/>
          <w:bCs/>
          <w:sz w:val="36"/>
          <w:szCs w:val="36"/>
          <w:highlight w:val="none"/>
          <w:lang w:val="zh-CN"/>
        </w:rPr>
      </w:pPr>
    </w:p>
    <w:p w14:paraId="1CCEFD20">
      <w:pPr>
        <w:autoSpaceDE w:val="0"/>
        <w:autoSpaceDN w:val="0"/>
        <w:adjustRightInd w:val="0"/>
        <w:snapToGrid w:val="0"/>
        <w:spacing w:line="300" w:lineRule="auto"/>
        <w:jc w:val="center"/>
        <w:outlineLvl w:val="0"/>
        <w:rPr>
          <w:rFonts w:hint="eastAsia" w:ascii="宋体" w:hAnsi="宋体" w:cs="宋体"/>
          <w:b/>
          <w:bCs/>
          <w:sz w:val="36"/>
          <w:szCs w:val="36"/>
          <w:highlight w:val="none"/>
          <w:lang w:val="zh-CN"/>
        </w:rPr>
      </w:pPr>
      <w:r>
        <w:rPr>
          <w:rFonts w:hint="eastAsia" w:ascii="宋体" w:hAnsi="宋体" w:cs="宋体"/>
          <w:b/>
          <w:bCs/>
          <w:sz w:val="36"/>
          <w:szCs w:val="36"/>
          <w:highlight w:val="none"/>
          <w:lang w:val="zh-CN"/>
        </w:rPr>
        <w:br w:type="page"/>
      </w:r>
      <w:r>
        <w:rPr>
          <w:rFonts w:hint="eastAsia" w:ascii="宋体" w:hAnsi="宋体" w:cs="宋体"/>
          <w:b/>
          <w:bCs/>
          <w:sz w:val="36"/>
          <w:szCs w:val="36"/>
          <w:highlight w:val="none"/>
          <w:lang w:val="zh-CN"/>
        </w:rPr>
        <w:t xml:space="preserve">第一部分  </w:t>
      </w:r>
      <w:bookmarkStart w:id="0" w:name="_Hlk156306618"/>
      <w:r>
        <w:rPr>
          <w:rFonts w:hint="eastAsia" w:ascii="宋体" w:hAnsi="宋体" w:cs="宋体"/>
          <w:b/>
          <w:bCs/>
          <w:sz w:val="36"/>
          <w:szCs w:val="36"/>
          <w:highlight w:val="none"/>
          <w:lang w:val="zh-CN"/>
        </w:rPr>
        <w:t>竞争性磋商公告</w:t>
      </w:r>
    </w:p>
    <w:p w14:paraId="4BD165B4">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一、项目基本情况</w:t>
      </w:r>
    </w:p>
    <w:p w14:paraId="3B37834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1.项目编号：2026LWXJ</w:t>
      </w:r>
    </w:p>
    <w:p w14:paraId="5BB33EC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2.项目名称：204国道通州段周边路网衔接方案研究项目（政府采购工程）</w:t>
      </w:r>
    </w:p>
    <w:p w14:paraId="067C8DA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3.项目类型：服务</w:t>
      </w:r>
    </w:p>
    <w:p w14:paraId="7351D61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4.所属行业：其他未列明行业</w:t>
      </w:r>
    </w:p>
    <w:p w14:paraId="2590101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5.预算金额：人民币贰拾万元整（¥200000）</w:t>
      </w:r>
    </w:p>
    <w:p w14:paraId="22C54DF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最高投标限价为人民币贰拾万元整（¥200000）</w:t>
      </w:r>
    </w:p>
    <w:p w14:paraId="064DDFB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6.采购需求：收集204国道通州段周边路网既有成果，根据需求，进行补充调查</w:t>
      </w:r>
      <w:r>
        <w:rPr>
          <w:rFonts w:hint="eastAsia" w:ascii="宋体" w:hAnsi="宋体" w:cs="宋体"/>
          <w:sz w:val="24"/>
          <w:highlight w:val="none"/>
          <w:lang w:eastAsia="zh-CN"/>
        </w:rPr>
        <w:t>，同时在</w:t>
      </w:r>
      <w:r>
        <w:rPr>
          <w:rFonts w:hint="eastAsia" w:ascii="宋体" w:hAnsi="宋体" w:cs="宋体"/>
          <w:sz w:val="24"/>
          <w:highlight w:val="none"/>
        </w:rPr>
        <w:t>现有研究成果基础</w:t>
      </w:r>
      <w:r>
        <w:rPr>
          <w:rFonts w:hint="eastAsia" w:ascii="宋体" w:hAnsi="宋体" w:cs="宋体"/>
          <w:sz w:val="24"/>
          <w:highlight w:val="none"/>
          <w:lang w:eastAsia="zh-CN"/>
        </w:rPr>
        <w:t>上提出优化建议</w:t>
      </w:r>
      <w:r>
        <w:rPr>
          <w:rFonts w:hint="eastAsia" w:ascii="宋体" w:hAnsi="宋体" w:cs="宋体"/>
          <w:sz w:val="24"/>
          <w:highlight w:val="none"/>
        </w:rPr>
        <w:t>。具体详见《第三部分项目需求》，请仔细研究。</w:t>
      </w:r>
    </w:p>
    <w:p w14:paraId="748D4706">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7.合同履行期限：</w:t>
      </w:r>
      <w:r>
        <w:rPr>
          <w:rFonts w:hint="eastAsia" w:ascii="宋体" w:hAnsi="宋体" w:cs="宋体"/>
          <w:sz w:val="24"/>
          <w:highlight w:val="none"/>
          <w:lang w:eastAsia="zh-CN"/>
        </w:rPr>
        <w:t>本项目服务期为自合同签订之日起至最终成果通过市级相关部门参加的评审且修改完善之日止。具体要求为：2026年4月底前，完成方案研究大纲评审；2026年5月中旬，形成方案研究中间成果；2026年5月底前，完成并提交方案研究报告；2026年12月底前，完成评审并修改完善。</w:t>
      </w:r>
    </w:p>
    <w:p w14:paraId="6AEAAA9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8.本项目不接受联合体磋商。</w:t>
      </w:r>
    </w:p>
    <w:p w14:paraId="479E3A0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9.本项目不允许分包。</w:t>
      </w:r>
    </w:p>
    <w:p w14:paraId="1C2588D9">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二、供应商资格要求</w:t>
      </w:r>
    </w:p>
    <w:p w14:paraId="5CA87452">
      <w:pP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458358B6">
      <w:pP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响应文件递交截止日当日，供应商在“信用中国”网站（www.creditchina.gov.cn）未被列入失信被执行人名单、重大税收违法失信主体名单、严重失信主体名单及其他不符合《中华人民共和国政府采购法》第二十二条规定条件的信用记录。（响应文件中无需提供证明材料）。</w:t>
      </w:r>
    </w:p>
    <w:p w14:paraId="5AEF1FA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3.本项目的特定资格条件：</w:t>
      </w:r>
    </w:p>
    <w:p w14:paraId="229EF65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进入“全国投资项目在线审批监管平台”中的工程咨询单位名录（咨询专业包含“公路专业”；服务范围包含“项目咨询”）。</w:t>
      </w:r>
    </w:p>
    <w:p w14:paraId="475DD7F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4.落实政府采购政策需满足的资格要求：本项目不专门面向中小微企业采购。</w:t>
      </w:r>
    </w:p>
    <w:p w14:paraId="1FA30B5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与采购人存在利害关系可能影响公正性的单位，单位负责人为同一人或者存在直接控股、管理关系的不同供应商,不得参加同一合同项下的政府采购活动。若同时参加同一合同项下的政府采购活动，则相关供应商的投标均做无效投标处理。</w:t>
      </w:r>
    </w:p>
    <w:p w14:paraId="4CF7C21B">
      <w:pPr>
        <w:pStyle w:val="33"/>
        <w:spacing w:line="360" w:lineRule="auto"/>
        <w:ind w:firstLine="482" w:firstLineChars="200"/>
        <w:rPr>
          <w:rFonts w:hint="eastAsia" w:eastAsia="宋体" w:cs="宋体"/>
          <w:b/>
          <w:bCs/>
          <w:highlight w:val="none"/>
        </w:rPr>
      </w:pPr>
      <w:r>
        <w:rPr>
          <w:rFonts w:hint="eastAsia" w:eastAsia="宋体" w:cs="宋体"/>
          <w:b/>
          <w:kern w:val="0"/>
          <w:highlight w:val="none"/>
        </w:rPr>
        <w:t>注：请供应商认真对照资格要求，如不符合要求，无意或故意参与投标的，所产生的一切后果由供应商承担。对提供虚假材料的供应商作无效标处理，将报相关主管部门后将其列入黑名单，视情形在相关网站上公示。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57DE5F0C">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三、获取磋商文件</w:t>
      </w:r>
    </w:p>
    <w:p w14:paraId="08F13604">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1.申请</w:t>
      </w:r>
    </w:p>
    <w:p w14:paraId="28B1E516">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申请时间：自公告上网发布之日起至</w:t>
      </w:r>
      <w:r>
        <w:rPr>
          <w:rFonts w:hint="eastAsia" w:ascii="宋体" w:hAnsi="宋体" w:cs="宋体"/>
          <w:spacing w:val="7"/>
          <w:kern w:val="0"/>
          <w:sz w:val="24"/>
          <w:highlight w:val="none"/>
          <w:u w:val="single"/>
        </w:rPr>
        <w:t>2026</w:t>
      </w:r>
      <w:r>
        <w:rPr>
          <w:rFonts w:hint="eastAsia" w:ascii="宋体" w:hAnsi="宋体" w:cs="宋体"/>
          <w:spacing w:val="7"/>
          <w:kern w:val="0"/>
          <w:sz w:val="24"/>
          <w:highlight w:val="none"/>
        </w:rPr>
        <w:t>年</w:t>
      </w:r>
      <w:r>
        <w:rPr>
          <w:rFonts w:hint="eastAsia" w:ascii="宋体" w:hAnsi="宋体" w:cs="宋体"/>
          <w:spacing w:val="7"/>
          <w:kern w:val="0"/>
          <w:sz w:val="24"/>
          <w:highlight w:val="none"/>
          <w:u w:val="single"/>
          <w:lang w:val="en-US" w:eastAsia="zh-CN"/>
        </w:rPr>
        <w:t>03</w:t>
      </w:r>
      <w:r>
        <w:rPr>
          <w:rFonts w:hint="eastAsia" w:ascii="宋体" w:hAnsi="宋体" w:cs="宋体"/>
          <w:spacing w:val="7"/>
          <w:kern w:val="0"/>
          <w:sz w:val="24"/>
          <w:highlight w:val="none"/>
        </w:rPr>
        <w:t>月</w:t>
      </w:r>
      <w:r>
        <w:rPr>
          <w:rFonts w:hint="eastAsia" w:ascii="宋体" w:hAnsi="宋体" w:cs="宋体"/>
          <w:spacing w:val="7"/>
          <w:kern w:val="0"/>
          <w:sz w:val="24"/>
          <w:highlight w:val="none"/>
          <w:u w:val="single"/>
          <w:lang w:val="en-US" w:eastAsia="zh-CN"/>
        </w:rPr>
        <w:t>30</w:t>
      </w:r>
      <w:r>
        <w:rPr>
          <w:rFonts w:hint="eastAsia" w:ascii="宋体" w:hAnsi="宋体" w:cs="宋体"/>
          <w:spacing w:val="7"/>
          <w:kern w:val="0"/>
          <w:sz w:val="24"/>
          <w:highlight w:val="none"/>
        </w:rPr>
        <w:t>日，每日工作时间：上午9:00—11:30整，下午13:30—17:30整（节假日除外）。</w:t>
      </w:r>
    </w:p>
    <w:p w14:paraId="4BAE4838">
      <w:pPr>
        <w:snapToGrid w:val="0"/>
        <w:spacing w:line="360" w:lineRule="auto"/>
        <w:ind w:firstLine="480" w:firstLineChars="200"/>
        <w:contextualSpacing/>
        <w:rPr>
          <w:rFonts w:hint="eastAsia" w:ascii="宋体" w:hAnsi="宋体" w:cs="宋体"/>
          <w:spacing w:val="7"/>
          <w:kern w:val="0"/>
          <w:sz w:val="24"/>
          <w:highlight w:val="none"/>
        </w:rPr>
      </w:pPr>
      <w:r>
        <w:rPr>
          <w:rFonts w:hint="eastAsia" w:ascii="宋体" w:hAnsi="宋体" w:cs="宋体"/>
          <w:kern w:val="0"/>
          <w:sz w:val="24"/>
          <w:highlight w:val="none"/>
        </w:rPr>
        <w:t>按照磋商公告下附件《申请函》的形式，回函（加盖单位章）发彩色扫描件至邮箱中（联系人：沙工，联系电话：18551417471），并致电代理机构确认邮件送达，确认是否参与本次投标的相关事宜。</w:t>
      </w:r>
    </w:p>
    <w:p w14:paraId="78157444">
      <w:pPr>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申请提供资料：按附件提供《申请函》</w:t>
      </w:r>
    </w:p>
    <w:p w14:paraId="6A1A526E">
      <w:pPr>
        <w:snapToGrid w:val="0"/>
        <w:spacing w:line="360" w:lineRule="auto"/>
        <w:ind w:firstLine="482" w:firstLineChars="200"/>
        <w:contextualSpacing/>
        <w:rPr>
          <w:rFonts w:hint="eastAsia" w:ascii="宋体" w:hAnsi="宋体" w:cs="宋体"/>
          <w:spacing w:val="7"/>
          <w:kern w:val="0"/>
          <w:sz w:val="24"/>
          <w:highlight w:val="none"/>
        </w:rPr>
      </w:pPr>
      <w:r>
        <w:rPr>
          <w:rFonts w:hint="eastAsia" w:ascii="宋体" w:hAnsi="宋体" w:cs="宋体"/>
          <w:b/>
          <w:bCs/>
          <w:kern w:val="0"/>
          <w:sz w:val="24"/>
          <w:highlight w:val="none"/>
        </w:rPr>
        <w:t>未按要求进行申请的不具备磋商资格。</w:t>
      </w:r>
    </w:p>
    <w:p w14:paraId="0ED93E60">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2.获取磋商文件</w:t>
      </w:r>
    </w:p>
    <w:p w14:paraId="3F3A9861">
      <w:pPr>
        <w:snapToGrid w:val="0"/>
        <w:spacing w:line="360" w:lineRule="auto"/>
        <w:ind w:firstLine="508" w:firstLineChars="200"/>
        <w:contextualSpacing/>
        <w:jc w:val="left"/>
        <w:rPr>
          <w:rFonts w:hint="eastAsia" w:ascii="宋体" w:hAnsi="宋体" w:cs="宋体"/>
          <w:spacing w:val="7"/>
          <w:kern w:val="0"/>
          <w:sz w:val="24"/>
          <w:highlight w:val="none"/>
        </w:rPr>
      </w:pPr>
      <w:r>
        <w:rPr>
          <w:rFonts w:ascii="宋体" w:hAnsi="宋体" w:cs="宋体"/>
          <w:spacing w:val="7"/>
          <w:kern w:val="0"/>
          <w:sz w:val="24"/>
          <w:highlight w:val="none"/>
        </w:rPr>
        <w:t>各申请人</w:t>
      </w:r>
      <w:r>
        <w:rPr>
          <w:rFonts w:hint="eastAsia" w:ascii="宋体" w:cs="宋体"/>
          <w:sz w:val="24"/>
          <w:highlight w:val="none"/>
        </w:rPr>
        <w:t>在南通市交通运输局网站（网址：</w:t>
      </w:r>
      <w:r>
        <w:rPr>
          <w:highlight w:val="none"/>
        </w:rPr>
        <w:fldChar w:fldCharType="begin"/>
      </w:r>
      <w:r>
        <w:rPr>
          <w:highlight w:val="none"/>
        </w:rPr>
        <w:instrText xml:space="preserve"> HYPERLINK "http://jtysj.nantong.gov.cn/）上。南通市交通运输局网站是本项目竞争性谈判公告、补遗书、谈判文件澄清、成交结果公告等采购信息约定的唯一公开发布媒介。" </w:instrText>
      </w:r>
      <w:r>
        <w:rPr>
          <w:highlight w:val="none"/>
        </w:rPr>
        <w:fldChar w:fldCharType="separate"/>
      </w:r>
      <w:r>
        <w:rPr>
          <w:rFonts w:hint="eastAsia" w:ascii="宋体" w:cs="宋体"/>
          <w:sz w:val="24"/>
          <w:highlight w:val="none"/>
        </w:rPr>
        <w:t>http://jtysj.nantong.gov.cn/）本项目</w:t>
      </w:r>
      <w:r>
        <w:rPr>
          <w:rFonts w:hint="eastAsia" w:ascii="宋体" w:cs="宋体"/>
          <w:sz w:val="24"/>
          <w:highlight w:val="none"/>
        </w:rPr>
        <w:fldChar w:fldCharType="end"/>
      </w:r>
      <w:r>
        <w:rPr>
          <w:rFonts w:hint="eastAsia" w:ascii="宋体" w:cs="宋体"/>
          <w:sz w:val="24"/>
          <w:highlight w:val="none"/>
        </w:rPr>
        <w:t>磋商公告下附件自行下载</w:t>
      </w:r>
      <w:r>
        <w:rPr>
          <w:rFonts w:ascii="宋体" w:hAnsi="宋体" w:cs="宋体"/>
          <w:spacing w:val="7"/>
          <w:kern w:val="0"/>
          <w:sz w:val="24"/>
          <w:highlight w:val="none"/>
        </w:rPr>
        <w:t>。</w:t>
      </w:r>
    </w:p>
    <w:p w14:paraId="45F4A139">
      <w:pPr>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磋商文件售价0元/供应商。</w:t>
      </w:r>
    </w:p>
    <w:p w14:paraId="54D9D555">
      <w:pPr>
        <w:snapToGrid w:val="0"/>
        <w:spacing w:line="360" w:lineRule="auto"/>
        <w:ind w:firstLine="480" w:firstLineChars="200"/>
        <w:contextualSpacing/>
        <w:rPr>
          <w:rFonts w:hint="eastAsia" w:ascii="宋体" w:hAnsi="宋体" w:cs="宋体"/>
          <w:spacing w:val="7"/>
          <w:kern w:val="0"/>
          <w:sz w:val="24"/>
          <w:highlight w:val="none"/>
        </w:rPr>
      </w:pPr>
      <w:r>
        <w:rPr>
          <w:rFonts w:hint="eastAsia" w:ascii="宋体" w:hAnsi="宋体" w:cs="宋体"/>
          <w:kern w:val="0"/>
          <w:sz w:val="24"/>
          <w:highlight w:val="none"/>
        </w:rPr>
        <w:t>3.已获取磋商文件的供应商，不得擅自放弃，若因故确需放弃，则须在递交磋商响应文件截止之日3天前书面告知采购人或采购代理机构，如无故不参加磋商而造成参加磋商的供应商不足3家而重新采购的，若重新采购的采购范围、规模和资格要求等未发生改变，采购人可以拒绝其参加重新采购的投标。</w:t>
      </w:r>
    </w:p>
    <w:p w14:paraId="43D9FE9D">
      <w:pPr>
        <w:widowControl/>
        <w:shd w:val="clear" w:color="auto" w:fill="FFFFFF"/>
        <w:spacing w:line="360" w:lineRule="auto"/>
        <w:ind w:firstLine="510" w:firstLineChars="200"/>
        <w:rPr>
          <w:rFonts w:hint="eastAsia" w:ascii="宋体" w:hAnsi="宋体" w:cs="宋体"/>
          <w:b/>
          <w:spacing w:val="7"/>
          <w:kern w:val="0"/>
          <w:sz w:val="24"/>
          <w:highlight w:val="none"/>
        </w:rPr>
      </w:pPr>
      <w:r>
        <w:rPr>
          <w:rFonts w:hint="eastAsia" w:ascii="宋体" w:hAnsi="宋体" w:cs="宋体"/>
          <w:b/>
          <w:spacing w:val="7"/>
          <w:kern w:val="0"/>
          <w:sz w:val="24"/>
          <w:highlight w:val="none"/>
        </w:rPr>
        <w:t>四、磋商响应文件递交</w:t>
      </w:r>
    </w:p>
    <w:p w14:paraId="1D09939F">
      <w:pPr>
        <w:widowControl/>
        <w:shd w:val="clear" w:color="auto" w:fill="FFFFFF"/>
        <w:spacing w:line="360" w:lineRule="auto"/>
        <w:ind w:firstLine="508" w:firstLineChars="200"/>
        <w:rPr>
          <w:rFonts w:hint="eastAsia" w:ascii="宋体" w:hAnsi="宋体" w:cs="宋体"/>
          <w:i/>
          <w:spacing w:val="7"/>
          <w:kern w:val="0"/>
          <w:sz w:val="24"/>
          <w:highlight w:val="none"/>
          <w:u w:val="single"/>
        </w:rPr>
      </w:pPr>
      <w:r>
        <w:rPr>
          <w:rFonts w:hint="eastAsia" w:ascii="宋体" w:hAnsi="宋体" w:cs="宋体"/>
          <w:spacing w:val="7"/>
          <w:kern w:val="0"/>
          <w:sz w:val="24"/>
          <w:highlight w:val="none"/>
        </w:rPr>
        <w:t>截止时间：</w:t>
      </w:r>
      <w:r>
        <w:rPr>
          <w:rFonts w:hint="eastAsia" w:ascii="宋体" w:hAnsi="宋体" w:cs="宋体"/>
          <w:spacing w:val="7"/>
          <w:kern w:val="0"/>
          <w:sz w:val="24"/>
          <w:highlight w:val="none"/>
          <w:u w:val="single"/>
        </w:rPr>
        <w:t>2026</w:t>
      </w:r>
      <w:r>
        <w:rPr>
          <w:rFonts w:hint="eastAsia" w:ascii="宋体" w:hAnsi="宋体" w:cs="宋体"/>
          <w:spacing w:val="7"/>
          <w:kern w:val="0"/>
          <w:sz w:val="24"/>
          <w:highlight w:val="none"/>
        </w:rPr>
        <w:t>年</w:t>
      </w:r>
      <w:r>
        <w:rPr>
          <w:rFonts w:hint="eastAsia" w:ascii="宋体" w:hAnsi="宋体" w:cs="宋体"/>
          <w:spacing w:val="7"/>
          <w:kern w:val="0"/>
          <w:sz w:val="24"/>
          <w:highlight w:val="none"/>
          <w:u w:val="single"/>
          <w:lang w:val="en-US" w:eastAsia="zh-CN"/>
        </w:rPr>
        <w:t>03</w:t>
      </w:r>
      <w:r>
        <w:rPr>
          <w:rFonts w:hint="eastAsia" w:ascii="宋体" w:hAnsi="宋体" w:cs="宋体"/>
          <w:spacing w:val="7"/>
          <w:kern w:val="0"/>
          <w:sz w:val="24"/>
          <w:highlight w:val="none"/>
        </w:rPr>
        <w:t>月</w:t>
      </w:r>
      <w:r>
        <w:rPr>
          <w:rFonts w:hint="eastAsia" w:ascii="宋体" w:hAnsi="宋体" w:cs="宋体"/>
          <w:spacing w:val="7"/>
          <w:kern w:val="0"/>
          <w:sz w:val="24"/>
          <w:highlight w:val="none"/>
          <w:u w:val="single"/>
          <w:lang w:val="en-US" w:eastAsia="zh-CN"/>
        </w:rPr>
        <w:t>30</w:t>
      </w:r>
      <w:r>
        <w:rPr>
          <w:rFonts w:hint="eastAsia" w:ascii="宋体" w:hAnsi="宋体" w:cs="宋体"/>
          <w:spacing w:val="7"/>
          <w:kern w:val="0"/>
          <w:sz w:val="24"/>
          <w:highlight w:val="none"/>
        </w:rPr>
        <w:t>日</w:t>
      </w:r>
      <w:r>
        <w:rPr>
          <w:rFonts w:hint="eastAsia" w:ascii="宋体" w:hAnsi="宋体" w:cs="宋体"/>
          <w:sz w:val="24"/>
          <w:highlight w:val="none"/>
          <w:u w:val="single"/>
        </w:rPr>
        <w:t>9</w:t>
      </w:r>
      <w:r>
        <w:rPr>
          <w:rFonts w:hint="eastAsia" w:ascii="宋体" w:hAnsi="宋体" w:cs="宋体"/>
          <w:spacing w:val="7"/>
          <w:kern w:val="0"/>
          <w:sz w:val="24"/>
          <w:highlight w:val="none"/>
        </w:rPr>
        <w:t>时</w:t>
      </w:r>
      <w:r>
        <w:rPr>
          <w:rFonts w:hint="eastAsia" w:ascii="宋体" w:hAnsi="宋体" w:cs="宋体"/>
          <w:sz w:val="24"/>
          <w:highlight w:val="none"/>
          <w:u w:val="single"/>
        </w:rPr>
        <w:t>00</w:t>
      </w:r>
      <w:r>
        <w:rPr>
          <w:rFonts w:hint="eastAsia" w:ascii="宋体" w:hAnsi="宋体" w:cs="宋体"/>
          <w:spacing w:val="7"/>
          <w:kern w:val="0"/>
          <w:sz w:val="24"/>
          <w:highlight w:val="none"/>
        </w:rPr>
        <w:t>分（北京时间）</w:t>
      </w:r>
    </w:p>
    <w:p w14:paraId="1370F249">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逾时，将不予接收。</w:t>
      </w:r>
      <w:bookmarkStart w:id="2" w:name="_GoBack"/>
      <w:bookmarkEnd w:id="2"/>
    </w:p>
    <w:p w14:paraId="6F0BA4D9">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地点：南通市公路事业发展中心1楼信访接待室（地址：南通市跃龙路4号），如有变动另行通知。</w:t>
      </w:r>
    </w:p>
    <w:p w14:paraId="2CBFF9DE">
      <w:pPr>
        <w:widowControl/>
        <w:shd w:val="clear" w:color="auto" w:fill="FFFFFF"/>
        <w:spacing w:line="360" w:lineRule="auto"/>
        <w:ind w:firstLine="510" w:firstLineChars="200"/>
        <w:rPr>
          <w:rFonts w:hint="eastAsia" w:ascii="宋体" w:hAnsi="宋体" w:cs="宋体"/>
          <w:b/>
          <w:spacing w:val="7"/>
          <w:kern w:val="0"/>
          <w:sz w:val="24"/>
          <w:highlight w:val="none"/>
        </w:rPr>
      </w:pPr>
      <w:r>
        <w:rPr>
          <w:rFonts w:hint="eastAsia" w:ascii="宋体" w:hAnsi="宋体" w:cs="宋体"/>
          <w:b/>
          <w:spacing w:val="7"/>
          <w:kern w:val="0"/>
          <w:sz w:val="24"/>
          <w:highlight w:val="none"/>
        </w:rPr>
        <w:t>五、磋商响应文件开启</w:t>
      </w:r>
    </w:p>
    <w:p w14:paraId="5BE175D1">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时间：</w:t>
      </w:r>
      <w:r>
        <w:rPr>
          <w:rFonts w:hint="eastAsia" w:ascii="宋体" w:hAnsi="宋体" w:cs="宋体"/>
          <w:kern w:val="0"/>
          <w:sz w:val="24"/>
          <w:highlight w:val="none"/>
        </w:rPr>
        <w:t>同磋商响应文件递交截止时间</w:t>
      </w:r>
    </w:p>
    <w:p w14:paraId="7371A74B">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地点：南通市公路事业发展中心1楼信访接待室（地址：南通市跃龙路4号），如有变动另行通知。</w:t>
      </w:r>
    </w:p>
    <w:p w14:paraId="6A2BD650">
      <w:pPr>
        <w:widowControl/>
        <w:shd w:val="clear" w:color="auto" w:fill="FFFFFF"/>
        <w:spacing w:line="360" w:lineRule="auto"/>
        <w:ind w:firstLine="510" w:firstLineChars="200"/>
        <w:rPr>
          <w:rFonts w:hint="eastAsia" w:ascii="宋体" w:hAnsi="宋体" w:cs="宋体"/>
          <w:b/>
          <w:spacing w:val="7"/>
          <w:kern w:val="0"/>
          <w:sz w:val="24"/>
          <w:highlight w:val="none"/>
        </w:rPr>
      </w:pPr>
      <w:r>
        <w:rPr>
          <w:rFonts w:hint="eastAsia" w:ascii="宋体" w:hAnsi="宋体" w:cs="宋体"/>
          <w:b/>
          <w:spacing w:val="7"/>
          <w:kern w:val="0"/>
          <w:sz w:val="24"/>
          <w:highlight w:val="none"/>
        </w:rPr>
        <w:t>六、公告期限</w:t>
      </w:r>
    </w:p>
    <w:p w14:paraId="2EC9B4D3">
      <w:pPr>
        <w:snapToGrid w:val="0"/>
        <w:spacing w:line="360" w:lineRule="auto"/>
        <w:ind w:firstLine="508"/>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自本公告发布之日起10日。</w:t>
      </w:r>
    </w:p>
    <w:p w14:paraId="0B2ABC80">
      <w:pPr>
        <w:spacing w:line="360" w:lineRule="auto"/>
        <w:ind w:firstLine="510" w:firstLineChars="200"/>
        <w:rPr>
          <w:rFonts w:hint="eastAsia" w:ascii="宋体" w:hAnsi="宋体" w:cs="宋体"/>
          <w:kern w:val="0"/>
          <w:sz w:val="24"/>
          <w:highlight w:val="none"/>
        </w:rPr>
      </w:pPr>
      <w:r>
        <w:rPr>
          <w:rFonts w:hint="eastAsia" w:ascii="宋体" w:hAnsi="宋体" w:cs="宋体"/>
          <w:b/>
          <w:spacing w:val="7"/>
          <w:kern w:val="0"/>
          <w:sz w:val="24"/>
          <w:highlight w:val="none"/>
        </w:rPr>
        <w:t>七、</w:t>
      </w:r>
      <w:r>
        <w:rPr>
          <w:rFonts w:hint="eastAsia" w:ascii="宋体" w:hAnsi="宋体" w:cs="宋体"/>
          <w:b/>
          <w:bCs/>
          <w:sz w:val="24"/>
          <w:highlight w:val="none"/>
          <w:lang w:val="zh-CN"/>
        </w:rPr>
        <w:t>支付方式</w:t>
      </w:r>
      <w:r>
        <w:rPr>
          <w:rFonts w:hint="eastAsia" w:ascii="宋体" w:hAnsi="宋体" w:cs="宋体"/>
          <w:b/>
          <w:bCs/>
          <w:sz w:val="24"/>
          <w:highlight w:val="none"/>
        </w:rPr>
        <w:t>：</w:t>
      </w:r>
    </w:p>
    <w:p w14:paraId="018E36AC">
      <w:pPr>
        <w:snapToGrid w:val="0"/>
        <w:spacing w:line="360" w:lineRule="auto"/>
        <w:ind w:firstLine="508"/>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本项目为总价合同，合同签订后15个工作日内支付预付款30%；提交中间成果后15个工作日内，支付合同价的30%；完成最终成果15个工作日内，支付合同价的30%；通过市级部门参加的评审并修改完善后15个工作日内，支付至100%。</w:t>
      </w:r>
    </w:p>
    <w:p w14:paraId="47D4127D">
      <w:pPr>
        <w:snapToGrid w:val="0"/>
        <w:spacing w:line="360" w:lineRule="auto"/>
        <w:ind w:firstLine="508"/>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注：</w:t>
      </w:r>
    </w:p>
    <w:p w14:paraId="2DD6337B">
      <w:pPr>
        <w:snapToGrid w:val="0"/>
        <w:spacing w:line="360" w:lineRule="auto"/>
        <w:ind w:firstLine="508"/>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（1）上述每次付款采购人须按合同要求扣减违约金和赔偿款。</w:t>
      </w:r>
    </w:p>
    <w:p w14:paraId="0D81D479">
      <w:pPr>
        <w:snapToGrid w:val="0"/>
        <w:spacing w:line="360" w:lineRule="auto"/>
        <w:ind w:firstLine="508"/>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（2）每次付款前，供应商须按采购人要求提供等额的合规发票及相关付款申请资料，否则采购人可以拒绝付款。</w:t>
      </w:r>
    </w:p>
    <w:p w14:paraId="48C0D0D1">
      <w:pPr>
        <w:snapToGrid w:val="0"/>
        <w:spacing w:line="360" w:lineRule="auto"/>
        <w:ind w:firstLine="508"/>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（3）以上付款均不计利息。</w:t>
      </w:r>
    </w:p>
    <w:p w14:paraId="2817B7DF">
      <w:pPr>
        <w:spacing w:line="360" w:lineRule="auto"/>
        <w:ind w:firstLine="482" w:firstLineChars="200"/>
        <w:jc w:val="left"/>
        <w:rPr>
          <w:rFonts w:hint="eastAsia" w:ascii="宋体" w:hAnsi="宋体" w:cs="宋体"/>
          <w:b/>
          <w:sz w:val="24"/>
          <w:highlight w:val="none"/>
        </w:rPr>
      </w:pPr>
      <w:r>
        <w:rPr>
          <w:rFonts w:hint="eastAsia" w:ascii="宋体" w:hAnsi="宋体" w:cs="宋体"/>
          <w:b/>
          <w:bCs/>
          <w:sz w:val="24"/>
          <w:highlight w:val="none"/>
          <w:lang w:val="zh-CN"/>
        </w:rPr>
        <w:t>八、</w:t>
      </w:r>
      <w:r>
        <w:rPr>
          <w:rFonts w:hint="eastAsia" w:ascii="宋体" w:hAnsi="宋体" w:cs="宋体"/>
          <w:b/>
          <w:sz w:val="24"/>
          <w:highlight w:val="none"/>
        </w:rPr>
        <w:t>公告媒介</w:t>
      </w:r>
    </w:p>
    <w:p w14:paraId="30F5A69A">
      <w:pPr>
        <w:kinsoku w:val="0"/>
        <w:wordWrap w:val="0"/>
        <w:overflowPunct w:val="0"/>
        <w:autoSpaceDE w:val="0"/>
        <w:autoSpaceDN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次竞争性磋商公告发布在南通市交通运输局网站（网址：http://jtysj.nantong.gov.cn/）上。南通市交通运输局网站是本项目竞争性磋商公告、补遗书、磋商文件澄清、成交结果公告等采购信息约定的唯一公开发布媒介。</w:t>
      </w:r>
    </w:p>
    <w:p w14:paraId="5B052B73">
      <w:pPr>
        <w:widowControl/>
        <w:shd w:val="clear" w:color="auto" w:fill="FFFFFF"/>
        <w:spacing w:line="360" w:lineRule="auto"/>
        <w:ind w:firstLine="510" w:firstLineChars="200"/>
        <w:rPr>
          <w:rFonts w:hint="eastAsia" w:ascii="宋体" w:hAnsi="宋体" w:cs="宋体"/>
          <w:b/>
          <w:spacing w:val="7"/>
          <w:kern w:val="0"/>
          <w:sz w:val="24"/>
          <w:highlight w:val="none"/>
        </w:rPr>
      </w:pPr>
      <w:r>
        <w:rPr>
          <w:rFonts w:hint="eastAsia" w:ascii="宋体" w:hAnsi="宋体" w:cs="宋体"/>
          <w:b/>
          <w:spacing w:val="7"/>
          <w:kern w:val="0"/>
          <w:sz w:val="24"/>
          <w:highlight w:val="none"/>
        </w:rPr>
        <w:t>九、凡对本次采购提出询问，请按以下方式联系。</w:t>
      </w:r>
    </w:p>
    <w:p w14:paraId="7060BBE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1.采购人信息</w:t>
      </w:r>
    </w:p>
    <w:p w14:paraId="4A14B68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名  称：南通市公路事业发展中心 </w:t>
      </w:r>
    </w:p>
    <w:p w14:paraId="17AB226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地  址：江苏省南通市跃龙路4号 </w:t>
      </w:r>
    </w:p>
    <w:p w14:paraId="1B53763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联 系 人：周先生 </w:t>
      </w:r>
    </w:p>
    <w:p w14:paraId="6BEB5A5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联系方式：0513-85524439</w:t>
      </w:r>
    </w:p>
    <w:p w14:paraId="3EF6DD6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2.采购代理机构信息</w:t>
      </w:r>
    </w:p>
    <w:p w14:paraId="1F98B20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名 称：捷宏润安工程顾问（江苏）有限公司</w:t>
      </w:r>
    </w:p>
    <w:p w14:paraId="3FF288D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地  址：南通市崇川区崇川路58号南通产业研究院9号A1303-A1304室</w:t>
      </w:r>
    </w:p>
    <w:p w14:paraId="56777E5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联系人：沙云天、钱舒佳</w:t>
      </w:r>
    </w:p>
    <w:p w14:paraId="41367CD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联系电话：18551417471（沙云天），15162861908（钱舒佳）</w:t>
      </w:r>
    </w:p>
    <w:p w14:paraId="3D3EA470">
      <w:pPr>
        <w:wordWrap w:val="0"/>
        <w:snapToGrid w:val="0"/>
        <w:spacing w:line="360" w:lineRule="auto"/>
        <w:ind w:firstLine="508" w:firstLineChars="200"/>
        <w:contextualSpacing/>
        <w:jc w:val="right"/>
        <w:rPr>
          <w:rFonts w:hint="eastAsia" w:ascii="宋体" w:hAnsi="宋体" w:cs="宋体"/>
          <w:sz w:val="28"/>
          <w:szCs w:val="28"/>
          <w:highlight w:val="none"/>
        </w:rPr>
      </w:pPr>
      <w:r>
        <w:rPr>
          <w:rFonts w:hint="eastAsia" w:ascii="宋体" w:hAnsi="宋体" w:cs="宋体"/>
          <w:spacing w:val="7"/>
          <w:kern w:val="0"/>
          <w:sz w:val="24"/>
          <w:highlight w:val="none"/>
        </w:rPr>
        <w:t xml:space="preserve">   </w:t>
      </w:r>
      <w:r>
        <w:rPr>
          <w:rFonts w:hint="eastAsia" w:ascii="宋体" w:hAnsi="宋体" w:cs="宋体"/>
          <w:spacing w:val="7"/>
          <w:kern w:val="0"/>
          <w:sz w:val="24"/>
          <w:highlight w:val="none"/>
          <w:u w:val="single"/>
        </w:rPr>
        <w:t>2026</w:t>
      </w:r>
      <w:r>
        <w:rPr>
          <w:rFonts w:hint="eastAsia" w:ascii="宋体" w:hAnsi="宋体" w:cs="宋体"/>
          <w:spacing w:val="7"/>
          <w:kern w:val="0"/>
          <w:sz w:val="24"/>
          <w:highlight w:val="none"/>
        </w:rPr>
        <w:t>年</w:t>
      </w:r>
      <w:r>
        <w:rPr>
          <w:rFonts w:hint="eastAsia" w:ascii="宋体" w:hAnsi="宋体" w:cs="宋体"/>
          <w:spacing w:val="7"/>
          <w:kern w:val="0"/>
          <w:sz w:val="24"/>
          <w:highlight w:val="none"/>
          <w:u w:val="single"/>
          <w:lang w:val="en-US" w:eastAsia="zh-CN"/>
        </w:rPr>
        <w:t>03</w:t>
      </w:r>
      <w:r>
        <w:rPr>
          <w:rFonts w:hint="eastAsia" w:ascii="宋体" w:hAnsi="宋体" w:cs="宋体"/>
          <w:spacing w:val="7"/>
          <w:kern w:val="0"/>
          <w:sz w:val="24"/>
          <w:highlight w:val="none"/>
        </w:rPr>
        <w:t>月</w:t>
      </w:r>
      <w:r>
        <w:rPr>
          <w:rFonts w:hint="eastAsia" w:ascii="宋体" w:hAnsi="宋体" w:cs="宋体"/>
          <w:spacing w:val="7"/>
          <w:kern w:val="0"/>
          <w:sz w:val="24"/>
          <w:highlight w:val="none"/>
          <w:u w:val="single"/>
          <w:lang w:val="en-US" w:eastAsia="zh-CN"/>
        </w:rPr>
        <w:t>18</w:t>
      </w:r>
      <w:r>
        <w:rPr>
          <w:rFonts w:hint="eastAsia" w:ascii="宋体" w:hAnsi="宋体" w:cs="宋体"/>
          <w:spacing w:val="7"/>
          <w:kern w:val="0"/>
          <w:sz w:val="24"/>
          <w:highlight w:val="none"/>
        </w:rPr>
        <w:t>日</w:t>
      </w:r>
      <w:bookmarkEnd w:id="0"/>
    </w:p>
    <w:p w14:paraId="769AB5C1">
      <w:pPr>
        <w:rPr>
          <w:rFonts w:hint="eastAsia" w:ascii="宋体" w:hAnsi="宋体" w:cs="宋体"/>
          <w:kern w:val="0"/>
          <w:sz w:val="28"/>
          <w:szCs w:val="28"/>
          <w:highlight w:val="none"/>
        </w:rPr>
      </w:pPr>
      <w:r>
        <w:rPr>
          <w:rFonts w:hint="eastAsia" w:ascii="宋体" w:hAnsi="宋体" w:cs="宋体"/>
          <w:kern w:val="0"/>
          <w:sz w:val="28"/>
          <w:szCs w:val="28"/>
          <w:highlight w:val="none"/>
        </w:rPr>
        <w:br w:type="page"/>
      </w:r>
    </w:p>
    <w:p w14:paraId="7EFD93A5">
      <w:pPr>
        <w:jc w:val="left"/>
        <w:rPr>
          <w:rFonts w:hint="eastAsia" w:ascii="宋体" w:hAnsi="宋体" w:cs="宋体"/>
          <w:kern w:val="0"/>
          <w:sz w:val="28"/>
          <w:szCs w:val="28"/>
          <w:highlight w:val="none"/>
        </w:rPr>
      </w:pPr>
      <w:r>
        <w:rPr>
          <w:rFonts w:hint="eastAsia" w:ascii="宋体" w:hAnsi="宋体" w:cs="宋体"/>
          <w:kern w:val="0"/>
          <w:sz w:val="28"/>
          <w:szCs w:val="28"/>
          <w:highlight w:val="none"/>
        </w:rPr>
        <w:t>附件1</w:t>
      </w:r>
    </w:p>
    <w:p w14:paraId="39350A36">
      <w:pPr>
        <w:spacing w:line="420" w:lineRule="exact"/>
        <w:jc w:val="center"/>
        <w:rPr>
          <w:rFonts w:hint="eastAsia" w:ascii="宋体" w:hAnsi="宋体" w:cs="宋体"/>
          <w:b/>
          <w:kern w:val="0"/>
          <w:sz w:val="32"/>
          <w:szCs w:val="20"/>
          <w:highlight w:val="none"/>
        </w:rPr>
      </w:pPr>
      <w:r>
        <w:rPr>
          <w:rFonts w:hint="eastAsia" w:ascii="宋体" w:hAnsi="宋体" w:cs="宋体"/>
          <w:b/>
          <w:kern w:val="0"/>
          <w:sz w:val="32"/>
          <w:szCs w:val="20"/>
          <w:highlight w:val="none"/>
        </w:rPr>
        <w:t>申请函</w:t>
      </w:r>
    </w:p>
    <w:p w14:paraId="42D5987A">
      <w:pPr>
        <w:spacing w:line="420" w:lineRule="exact"/>
        <w:jc w:val="left"/>
        <w:rPr>
          <w:rFonts w:hint="eastAsia" w:ascii="宋体" w:hAnsi="宋体" w:cs="宋体"/>
          <w:b/>
          <w:kern w:val="0"/>
          <w:sz w:val="32"/>
          <w:szCs w:val="20"/>
          <w:highlight w:val="none"/>
        </w:rPr>
      </w:pPr>
    </w:p>
    <w:p w14:paraId="17475884">
      <w:pPr>
        <w:spacing w:line="360" w:lineRule="auto"/>
        <w:jc w:val="left"/>
        <w:rPr>
          <w:rFonts w:hint="eastAsia" w:ascii="宋体" w:hAnsi="宋体" w:cs="宋体"/>
          <w:b/>
          <w:kern w:val="0"/>
          <w:sz w:val="24"/>
          <w:highlight w:val="none"/>
          <w:u w:val="single"/>
        </w:rPr>
      </w:pPr>
      <w:r>
        <w:rPr>
          <w:rFonts w:hint="eastAsia" w:ascii="宋体" w:hAnsi="宋体" w:cs="宋体"/>
          <w:b/>
          <w:kern w:val="0"/>
          <w:sz w:val="24"/>
          <w:highlight w:val="none"/>
        </w:rPr>
        <w:t>致：</w:t>
      </w:r>
      <w:r>
        <w:rPr>
          <w:rFonts w:hint="eastAsia" w:ascii="宋体" w:hAnsi="宋体" w:cs="宋体"/>
          <w:b/>
          <w:kern w:val="0"/>
          <w:sz w:val="24"/>
          <w:highlight w:val="none"/>
          <w:u w:val="single"/>
        </w:rPr>
        <w:t>南通市公路事业发展中心</w:t>
      </w:r>
    </w:p>
    <w:p w14:paraId="271B6B6A">
      <w:pPr>
        <w:widowControl/>
        <w:shd w:val="clear" w:color="auto" w:fill="FFFFFF"/>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我公司已获悉贵单位发出的</w:t>
      </w:r>
      <w:r>
        <w:rPr>
          <w:rFonts w:hint="eastAsia" w:ascii="宋体" w:hAnsi="宋体" w:cs="宋体"/>
          <w:spacing w:val="7"/>
          <w:kern w:val="0"/>
          <w:sz w:val="24"/>
          <w:highlight w:val="none"/>
          <w:u w:val="single"/>
        </w:rPr>
        <w:t>204国道通州段周边路网衔接方案研究项目（政府采购工程）</w:t>
      </w:r>
      <w:r>
        <w:rPr>
          <w:rFonts w:hint="eastAsia" w:ascii="宋体" w:hAnsi="宋体" w:cs="宋体"/>
          <w:spacing w:val="7"/>
          <w:kern w:val="0"/>
          <w:sz w:val="24"/>
          <w:highlight w:val="none"/>
        </w:rPr>
        <w:t>竞争性磋商公告</w:t>
      </w:r>
      <w:r>
        <w:rPr>
          <w:rFonts w:hint="eastAsia" w:ascii="宋体" w:hAnsi="宋体" w:cs="宋体"/>
          <w:kern w:val="0"/>
          <w:sz w:val="24"/>
          <w:highlight w:val="none"/>
        </w:rPr>
        <w:t>，经研究，我单位拟参加本项目磋商，现申请获取磋商文件。</w:t>
      </w:r>
    </w:p>
    <w:p w14:paraId="61F48278">
      <w:pPr>
        <w:spacing w:line="360" w:lineRule="auto"/>
        <w:ind w:firstLine="480" w:firstLineChars="200"/>
        <w:jc w:val="left"/>
        <w:rPr>
          <w:rFonts w:hint="eastAsia" w:ascii="宋体" w:hAnsi="宋体" w:cs="宋体"/>
          <w:kern w:val="0"/>
          <w:sz w:val="24"/>
          <w:highlight w:val="none"/>
        </w:rPr>
      </w:pPr>
    </w:p>
    <w:p w14:paraId="7C3E21F0">
      <w:pPr>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联系人：</w:t>
      </w:r>
      <w:r>
        <w:rPr>
          <w:rFonts w:hint="eastAsia" w:ascii="宋体" w:hAnsi="宋体" w:cs="宋体"/>
          <w:spacing w:val="7"/>
          <w:kern w:val="0"/>
          <w:sz w:val="24"/>
          <w:highlight w:val="none"/>
          <w:u w:val="single"/>
        </w:rPr>
        <w:t xml:space="preserve">   </w:t>
      </w:r>
    </w:p>
    <w:p w14:paraId="76A8E70D">
      <w:pPr>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联系电话：</w:t>
      </w:r>
      <w:r>
        <w:rPr>
          <w:rFonts w:hint="eastAsia" w:ascii="宋体" w:hAnsi="宋体" w:cs="宋体"/>
          <w:spacing w:val="7"/>
          <w:kern w:val="0"/>
          <w:sz w:val="24"/>
          <w:highlight w:val="none"/>
          <w:u w:val="single"/>
        </w:rPr>
        <w:t xml:space="preserve">   </w:t>
      </w:r>
    </w:p>
    <w:p w14:paraId="48B4C918">
      <w:pPr>
        <w:spacing w:line="360" w:lineRule="auto"/>
        <w:ind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lang w:val="zh-CN"/>
        </w:rPr>
        <w:t>E-MAIL地址：</w:t>
      </w:r>
      <w:r>
        <w:rPr>
          <w:rFonts w:hint="eastAsia" w:ascii="宋体" w:hAnsi="宋体" w:cs="宋体"/>
          <w:spacing w:val="7"/>
          <w:kern w:val="0"/>
          <w:sz w:val="24"/>
          <w:highlight w:val="none"/>
          <w:u w:val="single"/>
        </w:rPr>
        <w:t xml:space="preserve">   </w:t>
      </w:r>
    </w:p>
    <w:p w14:paraId="5A9382CC">
      <w:pPr>
        <w:spacing w:line="360" w:lineRule="auto"/>
        <w:jc w:val="left"/>
        <w:rPr>
          <w:rFonts w:hint="eastAsia" w:ascii="宋体" w:hAnsi="宋体" w:cs="宋体"/>
          <w:kern w:val="0"/>
          <w:sz w:val="24"/>
          <w:highlight w:val="none"/>
          <w:lang w:val="zh-CN"/>
        </w:rPr>
      </w:pPr>
    </w:p>
    <w:p w14:paraId="680DA738">
      <w:pPr>
        <w:spacing w:line="360" w:lineRule="auto"/>
        <w:jc w:val="left"/>
        <w:rPr>
          <w:rFonts w:hint="eastAsia" w:ascii="宋体" w:hAnsi="宋体" w:cs="宋体"/>
          <w:b/>
          <w:kern w:val="0"/>
          <w:sz w:val="24"/>
          <w:highlight w:val="none"/>
          <w:lang w:val="zh-CN"/>
        </w:rPr>
      </w:pPr>
    </w:p>
    <w:p w14:paraId="6ED50AC0">
      <w:pPr>
        <w:spacing w:line="360" w:lineRule="auto"/>
        <w:jc w:val="left"/>
        <w:rPr>
          <w:rFonts w:hint="eastAsia" w:ascii="宋体" w:hAnsi="宋体" w:cs="宋体"/>
          <w:b/>
          <w:kern w:val="0"/>
          <w:sz w:val="24"/>
          <w:highlight w:val="none"/>
          <w:lang w:val="zh-CN"/>
        </w:rPr>
      </w:pPr>
    </w:p>
    <w:p w14:paraId="7E0A47CE">
      <w:pPr>
        <w:spacing w:line="360" w:lineRule="auto"/>
        <w:jc w:val="left"/>
        <w:rPr>
          <w:rFonts w:hint="eastAsia" w:ascii="宋体" w:hAnsi="宋体" w:cs="宋体"/>
          <w:b/>
          <w:kern w:val="0"/>
          <w:sz w:val="24"/>
          <w:highlight w:val="none"/>
          <w:lang w:val="zh-CN"/>
        </w:rPr>
      </w:pPr>
    </w:p>
    <w:p w14:paraId="6B71A4F1">
      <w:pPr>
        <w:spacing w:line="360" w:lineRule="auto"/>
        <w:ind w:firstLine="5280" w:firstLineChars="2200"/>
        <w:jc w:val="left"/>
        <w:rPr>
          <w:rFonts w:hint="eastAsia" w:ascii="宋体" w:hAnsi="宋体" w:cs="宋体"/>
          <w:kern w:val="0"/>
          <w:sz w:val="24"/>
          <w:highlight w:val="none"/>
          <w:u w:val="single"/>
          <w:lang w:val="zh-CN"/>
        </w:rPr>
      </w:pPr>
      <w:r>
        <w:rPr>
          <w:rFonts w:hint="eastAsia" w:ascii="宋体" w:hAnsi="宋体" w:cs="宋体"/>
          <w:kern w:val="0"/>
          <w:sz w:val="24"/>
          <w:highlight w:val="none"/>
          <w:lang w:val="zh-CN"/>
        </w:rPr>
        <w:t>单位：</w:t>
      </w:r>
      <w:r>
        <w:rPr>
          <w:rFonts w:hint="eastAsia" w:ascii="宋体" w:hAnsi="宋体" w:cs="宋体"/>
          <w:kern w:val="0"/>
          <w:sz w:val="24"/>
          <w:highlight w:val="none"/>
          <w:u w:val="single"/>
          <w:lang w:val="zh-CN"/>
        </w:rPr>
        <w:t xml:space="preserve"> （盖章）                 </w:t>
      </w:r>
    </w:p>
    <w:p w14:paraId="01D19C2E">
      <w:pPr>
        <w:spacing w:line="360" w:lineRule="auto"/>
        <w:jc w:val="right"/>
        <w:rPr>
          <w:rFonts w:hint="eastAsia" w:ascii="宋体" w:hAnsi="宋体" w:cs="宋体"/>
          <w:kern w:val="0"/>
          <w:sz w:val="24"/>
          <w:highlight w:val="none"/>
        </w:rPr>
      </w:pPr>
      <w:r>
        <w:rPr>
          <w:rFonts w:hint="eastAsia" w:ascii="宋体" w:hAnsi="宋体" w:cs="宋体"/>
          <w:spacing w:val="7"/>
          <w:kern w:val="0"/>
          <w:sz w:val="24"/>
          <w:highlight w:val="none"/>
          <w:u w:val="single"/>
        </w:rPr>
        <w:t xml:space="preserve">   </w:t>
      </w:r>
      <w:r>
        <w:rPr>
          <w:rFonts w:hint="eastAsia" w:ascii="宋体" w:hAnsi="宋体" w:cs="宋体"/>
          <w:kern w:val="0"/>
          <w:sz w:val="24"/>
          <w:highlight w:val="none"/>
          <w:lang w:val="zh-CN"/>
        </w:rPr>
        <w:t>年</w:t>
      </w:r>
      <w:r>
        <w:rPr>
          <w:rFonts w:hint="eastAsia" w:ascii="宋体" w:hAnsi="宋体" w:cs="宋体"/>
          <w:spacing w:val="7"/>
          <w:kern w:val="0"/>
          <w:sz w:val="24"/>
          <w:highlight w:val="none"/>
          <w:u w:val="single"/>
        </w:rPr>
        <w:t xml:space="preserve">   </w:t>
      </w:r>
      <w:r>
        <w:rPr>
          <w:rFonts w:hint="eastAsia" w:ascii="宋体" w:hAnsi="宋体" w:cs="宋体"/>
          <w:kern w:val="0"/>
          <w:sz w:val="24"/>
          <w:highlight w:val="none"/>
          <w:lang w:val="zh-CN"/>
        </w:rPr>
        <w:t>月</w:t>
      </w:r>
      <w:r>
        <w:rPr>
          <w:rFonts w:hint="eastAsia" w:ascii="宋体" w:hAnsi="宋体" w:cs="宋体"/>
          <w:spacing w:val="7"/>
          <w:kern w:val="0"/>
          <w:sz w:val="24"/>
          <w:highlight w:val="none"/>
          <w:u w:val="single"/>
        </w:rPr>
        <w:t xml:space="preserve">   </w:t>
      </w:r>
      <w:r>
        <w:rPr>
          <w:rFonts w:hint="eastAsia" w:ascii="宋体" w:hAnsi="宋体" w:cs="宋体"/>
          <w:kern w:val="0"/>
          <w:sz w:val="24"/>
          <w:highlight w:val="none"/>
          <w:lang w:val="zh-CN"/>
        </w:rPr>
        <w:t>日</w:t>
      </w:r>
    </w:p>
    <w:p w14:paraId="6161301B">
      <w:pPr>
        <w:snapToGrid w:val="0"/>
        <w:spacing w:line="300" w:lineRule="auto"/>
        <w:ind w:firstLine="560" w:firstLineChars="200"/>
        <w:contextualSpacing/>
        <w:rPr>
          <w:rFonts w:hint="eastAsia" w:ascii="宋体" w:hAnsi="宋体" w:cs="宋体"/>
          <w:sz w:val="28"/>
          <w:szCs w:val="28"/>
          <w:highlight w:val="none"/>
        </w:rPr>
      </w:pPr>
    </w:p>
    <w:p w14:paraId="687F59C5">
      <w:pPr>
        <w:snapToGrid w:val="0"/>
        <w:spacing w:line="300" w:lineRule="auto"/>
        <w:contextualSpacing/>
        <w:jc w:val="center"/>
        <w:rPr>
          <w:rFonts w:hint="eastAsia" w:ascii="宋体" w:hAnsi="宋体" w:cs="宋体"/>
          <w:b/>
          <w:bCs/>
          <w:sz w:val="36"/>
          <w:szCs w:val="36"/>
          <w:highlight w:val="none"/>
          <w:lang w:val="zh-CN"/>
        </w:rPr>
      </w:pPr>
      <w:r>
        <w:rPr>
          <w:rFonts w:hint="eastAsia" w:ascii="宋体" w:hAnsi="宋体" w:cs="宋体"/>
          <w:b/>
          <w:sz w:val="28"/>
          <w:szCs w:val="28"/>
          <w:highlight w:val="none"/>
        </w:rPr>
        <w:br w:type="page"/>
      </w:r>
      <w:r>
        <w:rPr>
          <w:rFonts w:hint="eastAsia" w:ascii="宋体" w:hAnsi="宋体" w:cs="宋体"/>
          <w:b/>
          <w:bCs/>
          <w:sz w:val="36"/>
          <w:szCs w:val="36"/>
          <w:highlight w:val="none"/>
          <w:lang w:val="zh-CN"/>
        </w:rPr>
        <w:t>第二部分 磋商须知</w:t>
      </w:r>
    </w:p>
    <w:p w14:paraId="78A3C2DD">
      <w:pPr>
        <w:autoSpaceDE w:val="0"/>
        <w:autoSpaceDN w:val="0"/>
        <w:adjustRightInd w:val="0"/>
        <w:spacing w:line="360" w:lineRule="auto"/>
        <w:ind w:firstLine="482" w:firstLineChars="200"/>
        <w:outlineLvl w:val="1"/>
        <w:rPr>
          <w:rFonts w:hint="eastAsia" w:ascii="宋体" w:hAnsi="宋体" w:cs="宋体"/>
          <w:b/>
          <w:sz w:val="24"/>
          <w:highlight w:val="none"/>
          <w:lang w:val="zh-CN"/>
        </w:rPr>
      </w:pPr>
      <w:r>
        <w:rPr>
          <w:rFonts w:hint="eastAsia" w:ascii="宋体" w:hAnsi="宋体" w:cs="宋体"/>
          <w:b/>
          <w:sz w:val="24"/>
          <w:highlight w:val="none"/>
          <w:lang w:val="zh-CN"/>
        </w:rPr>
        <w:t>一、说明</w:t>
      </w:r>
    </w:p>
    <w:p w14:paraId="3D77927E">
      <w:p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zh-CN"/>
        </w:rPr>
        <w:t>.</w:t>
      </w:r>
      <w:r>
        <w:rPr>
          <w:rFonts w:hint="eastAsia" w:ascii="宋体" w:hAnsi="宋体" w:cs="宋体"/>
          <w:sz w:val="24"/>
          <w:highlight w:val="none"/>
        </w:rPr>
        <w:t>本竞争性磋商文件仅适用于采购人组织的竞争性磋商采购活动。</w:t>
      </w:r>
    </w:p>
    <w:p w14:paraId="2F3BCF81">
      <w:p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竞争性磋商活动及因本次磋商产生的合同受中国法律制约和保护。</w:t>
      </w:r>
    </w:p>
    <w:p w14:paraId="249458A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w:t>
      </w:r>
      <w:r>
        <w:rPr>
          <w:rFonts w:hint="eastAsia" w:ascii="宋体" w:hAnsi="宋体" w:cs="宋体"/>
          <w:sz w:val="24"/>
          <w:highlight w:val="none"/>
          <w:lang w:val="zh-CN"/>
        </w:rPr>
        <w:t>.</w:t>
      </w:r>
      <w:r>
        <w:rPr>
          <w:rFonts w:hint="eastAsia" w:ascii="宋体" w:hAnsi="宋体" w:cs="宋体"/>
          <w:bCs/>
          <w:sz w:val="24"/>
          <w:highlight w:val="none"/>
        </w:rPr>
        <w:t>竞争性磋商文件的解释权属于采购人。</w:t>
      </w:r>
    </w:p>
    <w:p w14:paraId="6A1937B5">
      <w:pPr>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4</w:t>
      </w:r>
      <w:r>
        <w:rPr>
          <w:rFonts w:hint="eastAsia" w:ascii="宋体" w:hAnsi="宋体" w:cs="宋体"/>
          <w:sz w:val="24"/>
          <w:highlight w:val="none"/>
          <w:lang w:val="zh-CN"/>
        </w:rPr>
        <w:t>.</w:t>
      </w:r>
      <w:r>
        <w:rPr>
          <w:rFonts w:hint="eastAsia" w:ascii="宋体" w:hAnsi="宋体" w:cs="宋体"/>
          <w:sz w:val="24"/>
          <w:highlight w:val="none"/>
        </w:rPr>
        <w:t>供应商下载磋商文件后，应仔细检查磋商文件的所有内容。如内容中有页码短缺、资格要求以及任何设置有不合理的条件对供应商实行差别待遇或者歧视待遇的，</w:t>
      </w:r>
      <w:r>
        <w:rPr>
          <w:rFonts w:hint="eastAsia" w:ascii="宋体" w:hAnsi="宋体" w:cs="宋体"/>
          <w:sz w:val="24"/>
          <w:highlight w:val="none"/>
          <w:lang w:val="zh-CN"/>
        </w:rPr>
        <w:t>供应商下载磋商</w:t>
      </w:r>
      <w:r>
        <w:rPr>
          <w:rFonts w:hint="eastAsia" w:ascii="宋体" w:hAnsi="宋体" w:cs="宋体"/>
          <w:sz w:val="24"/>
          <w:highlight w:val="none"/>
        </w:rPr>
        <w:t>文件后，应在磋商文件发布后的</w:t>
      </w:r>
      <w:r>
        <w:rPr>
          <w:rFonts w:hint="eastAsia" w:ascii="宋体" w:hAnsi="宋体" w:cs="宋体"/>
          <w:b/>
          <w:sz w:val="24"/>
          <w:highlight w:val="none"/>
          <w:lang w:val="zh-CN"/>
        </w:rPr>
        <w:t>3日内以书面形式向采购人或代理单位提出询问或疑问</w:t>
      </w:r>
      <w:r>
        <w:rPr>
          <w:rFonts w:hint="eastAsia" w:ascii="宋体" w:hAnsi="宋体" w:cs="宋体"/>
          <w:sz w:val="24"/>
          <w:highlight w:val="none"/>
          <w:lang w:val="zh-CN"/>
        </w:rPr>
        <w:t>，未在规定的3日内提出询问或疑问的，视同供应商理解并接受本磋商文件所有内容，并由此引起的损失自负。</w:t>
      </w:r>
      <w:r>
        <w:rPr>
          <w:rFonts w:hint="eastAsia" w:ascii="宋体" w:hAnsi="宋体" w:cs="宋体"/>
          <w:b/>
          <w:sz w:val="24"/>
          <w:highlight w:val="none"/>
        </w:rPr>
        <w:t>非书面形式的不作为日后质疑提出的依据。</w:t>
      </w:r>
    </w:p>
    <w:p w14:paraId="647B1A6E">
      <w:pPr>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5.供应商应认真审阅磋商文件中所有的事项、格式、条款和规范要求等，如果供应商没有按照磋商文件要求提交响应文件，或者响应文件没有对磋商文件做出实质性响应，其投标将被拒绝，供应商自行承担责任。</w:t>
      </w:r>
    </w:p>
    <w:p w14:paraId="61B1DB94">
      <w:pPr>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6.</w:t>
      </w:r>
      <w:r>
        <w:rPr>
          <w:rFonts w:hint="eastAsia" w:ascii="宋体" w:hAnsi="宋体" w:cs="宋体"/>
          <w:sz w:val="24"/>
          <w:highlight w:val="none"/>
        </w:rPr>
        <w:t>供应商在磋商开始前自行踏勘现场，供应商务必自行认真踏勘现场条件，进一步获取所需信息，一旦成交不得对现场条件提出额外要求，不得要求增加费用，采购人可视情组织答疑会。</w:t>
      </w:r>
    </w:p>
    <w:p w14:paraId="7F41B300">
      <w:pPr>
        <w:snapToGrid w:val="0"/>
        <w:spacing w:line="360" w:lineRule="auto"/>
        <w:ind w:firstLine="482" w:firstLineChars="200"/>
        <w:contextualSpacing/>
        <w:rPr>
          <w:rFonts w:hint="eastAsia" w:ascii="宋体" w:hAnsi="宋体" w:cs="宋体"/>
          <w:b/>
          <w:sz w:val="24"/>
          <w:highlight w:val="none"/>
        </w:rPr>
      </w:pPr>
      <w:r>
        <w:rPr>
          <w:rFonts w:hint="eastAsia" w:ascii="宋体" w:hAnsi="宋体" w:cs="宋体"/>
          <w:b/>
          <w:sz w:val="24"/>
          <w:highlight w:val="none"/>
        </w:rPr>
        <w:t>二、磋商文件的澄清、修改、答疑</w:t>
      </w:r>
    </w:p>
    <w:p w14:paraId="167CF8F8">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zh-CN"/>
        </w:rPr>
        <w:t>.</w:t>
      </w:r>
      <w:r>
        <w:rPr>
          <w:rFonts w:hint="eastAsia" w:ascii="宋体" w:hAnsi="宋体" w:cs="宋体"/>
          <w:sz w:val="24"/>
          <w:highlight w:val="none"/>
        </w:rPr>
        <w:t>采购人有权对发出的磋商文件进行必要的澄清、修改或补充。</w:t>
      </w:r>
    </w:p>
    <w:p w14:paraId="53680035">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磋商文件的澄清、修改、补充等内容均以书面明确的形式发布，并以</w:t>
      </w:r>
      <w:r>
        <w:rPr>
          <w:rFonts w:hint="eastAsia" w:ascii="宋体" w:hAnsi="宋体" w:cs="宋体"/>
          <w:spacing w:val="7"/>
          <w:kern w:val="0"/>
          <w:sz w:val="24"/>
          <w:highlight w:val="none"/>
        </w:rPr>
        <w:t>南通市交通运输局—公共资源交易栏目</w:t>
      </w:r>
      <w:r>
        <w:rPr>
          <w:rFonts w:hint="eastAsia" w:ascii="宋体" w:hAnsi="宋体" w:cs="宋体"/>
          <w:sz w:val="24"/>
          <w:highlight w:val="none"/>
        </w:rPr>
        <w:t>发布的信息为准。</w:t>
      </w:r>
    </w:p>
    <w:p w14:paraId="57DCE158">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zh-CN"/>
        </w:rPr>
        <w:t>.</w:t>
      </w:r>
      <w:r>
        <w:rPr>
          <w:rFonts w:hint="eastAsia" w:ascii="宋体" w:hAnsi="宋体" w:cs="宋体"/>
          <w:sz w:val="24"/>
          <w:highlight w:val="none"/>
        </w:rPr>
        <w:t>采购人对磋商文件的澄清、修改将构成磋商文件的一部分，对响应磋商的供应商具有约束力。</w:t>
      </w:r>
    </w:p>
    <w:p w14:paraId="4FBDE2FB">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val="zh-CN"/>
        </w:rPr>
        <w:t>.</w:t>
      </w:r>
      <w:r>
        <w:rPr>
          <w:rFonts w:hint="eastAsia" w:ascii="宋体" w:hAnsi="宋体" w:cs="宋体"/>
          <w:sz w:val="24"/>
          <w:highlight w:val="none"/>
        </w:rPr>
        <w:t>澄清或者修改的内容可能影响到响应文件编制的，采购人将在提交响应文件接收截止之日5日前，发布澄清或者修改公告，不足5日的，当顺延提交响应文件接收截止时间。</w:t>
      </w:r>
    </w:p>
    <w:p w14:paraId="42B9943F">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5</w:t>
      </w:r>
      <w:r>
        <w:rPr>
          <w:rFonts w:hint="eastAsia" w:ascii="宋体" w:hAnsi="宋体" w:cs="宋体"/>
          <w:sz w:val="24"/>
          <w:highlight w:val="none"/>
          <w:lang w:val="zh-CN"/>
        </w:rPr>
        <w:t>.</w:t>
      </w:r>
      <w:r>
        <w:rPr>
          <w:rFonts w:hint="eastAsia" w:ascii="宋体" w:hAnsi="宋体" w:cs="宋体"/>
          <w:sz w:val="24"/>
          <w:highlight w:val="none"/>
        </w:rPr>
        <w:t>除非采购人以书面的形式对磋商文件作出澄清、修改及补充，供应商由于对磋商文件的任何推论和误解以及采购人对有关问题的口头解释所造成的后果，均由供应商自负。</w:t>
      </w:r>
    </w:p>
    <w:p w14:paraId="6478FF4A">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6</w:t>
      </w:r>
      <w:r>
        <w:rPr>
          <w:rFonts w:hint="eastAsia" w:ascii="宋体" w:hAnsi="宋体" w:cs="宋体"/>
          <w:sz w:val="24"/>
          <w:highlight w:val="none"/>
          <w:lang w:val="zh-CN"/>
        </w:rPr>
        <w:t>.</w:t>
      </w:r>
      <w:r>
        <w:rPr>
          <w:rFonts w:hint="eastAsia" w:ascii="宋体" w:hAnsi="宋体" w:cs="宋体"/>
          <w:sz w:val="24"/>
          <w:highlight w:val="none"/>
        </w:rPr>
        <w:t>采购人视情况组织答疑会。如有产生答疑且对磋商文件内容有修改，采购人将按照本须知有关规定，以书面方式发出。</w:t>
      </w:r>
    </w:p>
    <w:p w14:paraId="10E6A1E3">
      <w:pPr>
        <w:snapToGrid w:val="0"/>
        <w:spacing w:line="360" w:lineRule="auto"/>
        <w:ind w:firstLine="482" w:firstLineChars="200"/>
        <w:contextualSpacing/>
        <w:rPr>
          <w:rFonts w:hint="eastAsia" w:ascii="宋体" w:hAnsi="宋体" w:cs="宋体"/>
          <w:b/>
          <w:sz w:val="24"/>
          <w:highlight w:val="none"/>
        </w:rPr>
      </w:pPr>
      <w:r>
        <w:rPr>
          <w:rFonts w:hint="eastAsia" w:ascii="宋体" w:hAnsi="宋体" w:cs="宋体"/>
          <w:b/>
          <w:sz w:val="24"/>
          <w:highlight w:val="none"/>
        </w:rPr>
        <w:t>三、磋商项目涉及到的现场勘察</w:t>
      </w:r>
    </w:p>
    <w:p w14:paraId="7ADD396F">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zh-CN"/>
        </w:rPr>
        <w:t>.</w:t>
      </w:r>
      <w:r>
        <w:rPr>
          <w:rFonts w:hint="eastAsia" w:ascii="宋体" w:hAnsi="宋体" w:cs="宋体"/>
          <w:sz w:val="24"/>
          <w:highlight w:val="none"/>
        </w:rPr>
        <w:t>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13F14B77">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采购人向供应商提供的有关现场的资料和数据，是采购人现有的并认为能使供应商可利用的资料。采购人对供应商由此而做出的推论、理解和结论概不负责。</w:t>
      </w:r>
    </w:p>
    <w:p w14:paraId="2AE8DCB0">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zh-CN"/>
        </w:rPr>
        <w:t>.</w:t>
      </w:r>
      <w:r>
        <w:rPr>
          <w:rFonts w:hint="eastAsia" w:ascii="宋体" w:hAnsi="宋体" w:cs="宋体"/>
          <w:sz w:val="24"/>
          <w:highlight w:val="none"/>
        </w:rPr>
        <w:t>经采购人允许，供应商可为勘察目的进入采购人的项目现场，但供应商不得因此使采购人承担有关的责任和蒙受损失。供应商应承担勘察现场的责任和风险。</w:t>
      </w:r>
    </w:p>
    <w:p w14:paraId="42671837">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val="zh-CN"/>
        </w:rPr>
        <w:t>.</w:t>
      </w:r>
      <w:r>
        <w:rPr>
          <w:rFonts w:hint="eastAsia" w:ascii="宋体" w:hAnsi="宋体" w:cs="宋体"/>
          <w:sz w:val="24"/>
          <w:highlight w:val="none"/>
        </w:rPr>
        <w:t>供应商应认真踏勘现场。在现场勘察时，熟悉现场、现场周围交通道路等情况，以获得一切可能影响其投标的直接资料。供应商成交后，不得以不完全了解现场情况为理由而向采购人提出任何索赔的要求，对此采购人不承担任何责任并将不作任何答复与考虑。</w:t>
      </w:r>
    </w:p>
    <w:p w14:paraId="0818CC60">
      <w:pPr>
        <w:autoSpaceDE w:val="0"/>
        <w:autoSpaceDN w:val="0"/>
        <w:adjustRightInd w:val="0"/>
        <w:snapToGrid w:val="0"/>
        <w:spacing w:line="360" w:lineRule="auto"/>
        <w:ind w:firstLine="482" w:firstLineChars="200"/>
        <w:contextualSpacing/>
        <w:rPr>
          <w:rFonts w:hint="eastAsia" w:ascii="宋体" w:hAnsi="宋体" w:cs="宋体"/>
          <w:b/>
          <w:bCs/>
          <w:sz w:val="24"/>
          <w:highlight w:val="none"/>
        </w:rPr>
      </w:pPr>
      <w:r>
        <w:rPr>
          <w:rFonts w:hint="eastAsia" w:ascii="宋体" w:hAnsi="宋体" w:cs="宋体"/>
          <w:b/>
          <w:bCs/>
          <w:sz w:val="24"/>
          <w:highlight w:val="none"/>
          <w:lang w:val="zh-CN"/>
        </w:rPr>
        <w:t>四、响应文件的编写、密封及标记</w:t>
      </w:r>
    </w:p>
    <w:p w14:paraId="3A6542E9">
      <w:pPr>
        <w:autoSpaceDE w:val="0"/>
        <w:autoSpaceDN w:val="0"/>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（一）响应文件的编写</w:t>
      </w:r>
    </w:p>
    <w:p w14:paraId="59C4BBC9">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1.供应商按“第七部分 响应文件组成”要求编写响应文件。但表格可以按同样格式扩展。除另有规定者外，磋商响应人不得修改。</w:t>
      </w:r>
    </w:p>
    <w:p w14:paraId="6B64F15F">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2.响应文件规格幅面A4纸（图纸等除外）。</w:t>
      </w:r>
    </w:p>
    <w:p w14:paraId="1A8CC42C">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3.按照磋商文件所规定的内容顺序，统一编制目录，逐页编码，由于编排混乱导致投标</w:t>
      </w:r>
      <w:r>
        <w:rPr>
          <w:rFonts w:hint="eastAsia" w:ascii="宋体" w:hAnsi="宋体" w:cs="宋体"/>
          <w:sz w:val="24"/>
          <w:highlight w:val="none"/>
        </w:rPr>
        <w:t>响应</w:t>
      </w:r>
      <w:r>
        <w:rPr>
          <w:rFonts w:hint="eastAsia" w:ascii="宋体" w:hAnsi="宋体" w:cs="宋体"/>
          <w:sz w:val="24"/>
          <w:highlight w:val="none"/>
          <w:lang w:val="zh-CN"/>
        </w:rPr>
        <w:t>文件被误读或查找不到，其责任应当由供应商承担；牢固装订成册，不允许使用活页夹、拉杆夹、文件夹、塑料方便式书脊（插入式或穿孔式）装订。</w:t>
      </w:r>
    </w:p>
    <w:p w14:paraId="254E8CCD">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4.响应文件不得行间插字、涂改、增删，如修改错漏处，须经响应文件签署人签字并加盖公章。</w:t>
      </w:r>
    </w:p>
    <w:p w14:paraId="517C4C85">
      <w:pPr>
        <w:autoSpaceDE w:val="0"/>
        <w:autoSpaceDN w:val="0"/>
        <w:adjustRightInd w:val="0"/>
        <w:snapToGrid w:val="0"/>
        <w:spacing w:line="360" w:lineRule="auto"/>
        <w:ind w:firstLine="482" w:firstLineChars="200"/>
        <w:contextualSpacing/>
        <w:rPr>
          <w:rFonts w:hint="eastAsia" w:ascii="宋体" w:hAnsi="宋体" w:cs="宋体"/>
          <w:b/>
          <w:bCs/>
          <w:sz w:val="24"/>
          <w:highlight w:val="none"/>
          <w:lang w:val="zh-CN"/>
        </w:rPr>
      </w:pPr>
      <w:r>
        <w:rPr>
          <w:rFonts w:hint="eastAsia" w:ascii="宋体" w:hAnsi="宋体" w:cs="宋体"/>
          <w:b/>
          <w:bCs/>
          <w:sz w:val="24"/>
          <w:highlight w:val="none"/>
          <w:lang w:val="zh-CN"/>
        </w:rPr>
        <w:t>（二）响应文件的份数和签署</w:t>
      </w:r>
    </w:p>
    <w:p w14:paraId="28905F10">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1.响应文件由：</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lang w:val="zh-CN"/>
        </w:rPr>
        <w:t>资格审查、</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lang w:val="zh-CN"/>
        </w:rPr>
        <w:t>商务技术响应文件、③价格响应文件、④电子</w:t>
      </w:r>
      <w:r>
        <w:rPr>
          <w:rFonts w:hint="eastAsia" w:ascii="宋体" w:hAnsi="宋体" w:cs="宋体"/>
          <w:sz w:val="24"/>
          <w:highlight w:val="none"/>
        </w:rPr>
        <w:t>版响应</w:t>
      </w:r>
      <w:r>
        <w:rPr>
          <w:rFonts w:hint="eastAsia" w:ascii="宋体" w:hAnsi="宋体" w:cs="宋体"/>
          <w:sz w:val="24"/>
          <w:highlight w:val="none"/>
          <w:lang w:val="zh-CN"/>
        </w:rPr>
        <w:t>文件共4部分组成（以下由文件序号代称）。</w:t>
      </w:r>
    </w:p>
    <w:p w14:paraId="459BACFF">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2.纸质响应文件（</w:t>
      </w:r>
      <w:r>
        <w:rPr>
          <w:rFonts w:hint="eastAsia" w:ascii="宋体" w:hAnsi="宋体" w:cs="宋体"/>
          <w:sz w:val="24"/>
          <w:highlight w:val="none"/>
        </w:rPr>
        <w:t>即</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lang w:val="zh-CN"/>
        </w:rPr>
        <w:t>资格审查、</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lang w:val="zh-CN"/>
        </w:rPr>
        <w:t>商务技术文件、③价格响应文件，</w:t>
      </w:r>
      <w:r>
        <w:rPr>
          <w:rFonts w:hint="eastAsia" w:ascii="宋体" w:hAnsi="宋体" w:cs="宋体"/>
          <w:sz w:val="24"/>
          <w:highlight w:val="none"/>
        </w:rPr>
        <w:t>下同</w:t>
      </w:r>
      <w:r>
        <w:rPr>
          <w:rFonts w:hint="eastAsia" w:ascii="宋体" w:hAnsi="宋体" w:cs="宋体"/>
          <w:sz w:val="24"/>
          <w:highlight w:val="none"/>
          <w:lang w:val="zh-CN"/>
        </w:rPr>
        <w:t>）均为一式叁份，其中“正本”壹份和“副本”贰份。电子</w:t>
      </w:r>
      <w:r>
        <w:rPr>
          <w:rFonts w:hint="eastAsia" w:ascii="宋体" w:hAnsi="宋体" w:cs="宋体"/>
          <w:sz w:val="24"/>
          <w:highlight w:val="none"/>
        </w:rPr>
        <w:t>版响应</w:t>
      </w:r>
      <w:r>
        <w:rPr>
          <w:rFonts w:hint="eastAsia" w:ascii="宋体" w:hAnsi="宋体" w:cs="宋体"/>
          <w:sz w:val="24"/>
          <w:highlight w:val="none"/>
          <w:lang w:val="zh-CN"/>
        </w:rPr>
        <w:t>文件1份（具体要求详见第七部分响应文件组成）。</w:t>
      </w:r>
    </w:p>
    <w:p w14:paraId="004897B8">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3.在每份纸质响应文件上要明确标注项目名称、对应的响应文件名称、供应商的全称、日期、“正本”、“副本”字样。“正本”和“副本”若有差异，概以“正本”为准。</w:t>
      </w:r>
    </w:p>
    <w:p w14:paraId="7BF12297">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4.响应文件中的所有“正本”，其正文内容须按磋商文件要求由供应商法定代表人或被授权人签字（或盖章）并加盖单位公章。“副本”可复印，但须加盖单位公章。</w:t>
      </w:r>
    </w:p>
    <w:p w14:paraId="6CC8F643">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5.电子版响应文件</w:t>
      </w:r>
    </w:p>
    <w:p w14:paraId="749C56DB">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电子版响应文件即为上述</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lang w:val="zh-CN"/>
        </w:rPr>
        <w:t>资格审查、</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lang w:val="zh-CN"/>
        </w:rPr>
        <w:t>商务技术文件、③价格响应文件签字盖章后纸质版响应文件的扫描件，全部内容均存入一份U盘即可。</w:t>
      </w:r>
    </w:p>
    <w:p w14:paraId="2CBD0CC4">
      <w:pPr>
        <w:autoSpaceDE w:val="0"/>
        <w:autoSpaceDN w:val="0"/>
        <w:adjustRightInd w:val="0"/>
        <w:snapToGrid w:val="0"/>
        <w:spacing w:line="360" w:lineRule="auto"/>
        <w:ind w:firstLine="482" w:firstLineChars="200"/>
        <w:contextualSpacing/>
        <w:jc w:val="left"/>
        <w:rPr>
          <w:rFonts w:hint="eastAsia" w:ascii="宋体" w:hAnsi="宋体" w:cs="宋体"/>
          <w:b/>
          <w:bCs/>
          <w:sz w:val="24"/>
          <w:highlight w:val="none"/>
          <w:lang w:val="zh-CN"/>
        </w:rPr>
      </w:pPr>
      <w:r>
        <w:rPr>
          <w:rFonts w:hint="eastAsia" w:ascii="宋体" w:hAnsi="宋体" w:cs="宋体"/>
          <w:b/>
          <w:bCs/>
          <w:sz w:val="24"/>
          <w:highlight w:val="none"/>
          <w:lang w:val="zh-CN"/>
        </w:rPr>
        <w:t>（三）响应文件的密封及标记</w:t>
      </w:r>
    </w:p>
    <w:p w14:paraId="6B9F82C2">
      <w:pPr>
        <w:autoSpaceDE w:val="0"/>
        <w:autoSpaceDN w:val="0"/>
        <w:adjustRightInd w:val="0"/>
        <w:snapToGrid w:val="0"/>
        <w:spacing w:line="360" w:lineRule="auto"/>
        <w:ind w:firstLine="480" w:firstLineChars="200"/>
        <w:contextualSpacing/>
        <w:jc w:val="left"/>
        <w:rPr>
          <w:rFonts w:hint="eastAsia" w:ascii="宋体" w:hAnsi="宋体" w:cs="宋体"/>
          <w:b/>
          <w:bCs/>
          <w:sz w:val="24"/>
          <w:highlight w:val="none"/>
          <w:u w:val="double"/>
          <w:lang w:val="zh-CN"/>
        </w:rPr>
      </w:pPr>
      <w:r>
        <w:rPr>
          <w:rFonts w:hint="eastAsia" w:ascii="宋体" w:hAnsi="宋体" w:cs="宋体"/>
          <w:sz w:val="24"/>
          <w:highlight w:val="none"/>
          <w:lang w:val="zh-CN"/>
        </w:rPr>
        <w:t>1.供应商须将本项目响应文件：</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1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①</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2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②</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、③单独密封；④密封至③的封袋内。</w:t>
      </w:r>
    </w:p>
    <w:p w14:paraId="61683839">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2.供应商可将响应文件正副本统一密封或分别密封，如正本和副本分别密封的，应在封袋或封箱上标明正、副本字样。</w:t>
      </w:r>
    </w:p>
    <w:p w14:paraId="7641C456">
      <w:pPr>
        <w:autoSpaceDE w:val="0"/>
        <w:autoSpaceDN w:val="0"/>
        <w:adjustRightInd w:val="0"/>
        <w:snapToGrid w:val="0"/>
        <w:spacing w:line="360" w:lineRule="auto"/>
        <w:ind w:firstLine="480" w:firstLineChars="200"/>
        <w:contextualSpacing/>
        <w:jc w:val="left"/>
        <w:rPr>
          <w:rFonts w:hint="eastAsia" w:ascii="宋体" w:hAnsi="宋体" w:cs="宋体"/>
          <w:b/>
          <w:bCs/>
          <w:sz w:val="24"/>
          <w:highlight w:val="none"/>
          <w:u w:val="double"/>
          <w:lang w:val="zh-CN"/>
        </w:rPr>
      </w:pPr>
      <w:r>
        <w:rPr>
          <w:rFonts w:hint="eastAsia" w:ascii="宋体" w:hAnsi="宋体" w:cs="宋体"/>
          <w:sz w:val="24"/>
          <w:highlight w:val="none"/>
          <w:lang w:val="zh-CN"/>
        </w:rPr>
        <w:t>3.密封后，应在封袋或封箱上明确标注</w:t>
      </w:r>
      <w:r>
        <w:rPr>
          <w:rFonts w:hint="eastAsia" w:ascii="宋体" w:hAnsi="宋体" w:cs="宋体"/>
          <w:b/>
          <w:bCs/>
          <w:sz w:val="24"/>
          <w:highlight w:val="none"/>
          <w:u w:val="double"/>
          <w:lang w:val="zh-CN"/>
        </w:rPr>
        <w:t>磋商项目名称、响应文件各自对应的名称、供应商的全称及日期。</w:t>
      </w:r>
    </w:p>
    <w:p w14:paraId="54160B15">
      <w:pPr>
        <w:autoSpaceDE w:val="0"/>
        <w:autoSpaceDN w:val="0"/>
        <w:adjustRightInd w:val="0"/>
        <w:snapToGrid w:val="0"/>
        <w:spacing w:line="360" w:lineRule="auto"/>
        <w:ind w:firstLine="480" w:firstLineChars="200"/>
        <w:contextualSpacing/>
        <w:jc w:val="left"/>
        <w:rPr>
          <w:rFonts w:hint="eastAsia" w:ascii="宋体" w:hAnsi="宋体" w:cs="宋体"/>
          <w:b/>
          <w:bCs/>
          <w:sz w:val="24"/>
          <w:highlight w:val="none"/>
          <w:u w:val="double"/>
          <w:lang w:val="zh-CN"/>
        </w:rPr>
      </w:pPr>
      <w:r>
        <w:rPr>
          <w:rFonts w:hint="eastAsia" w:ascii="宋体" w:hAnsi="宋体" w:cs="宋体"/>
          <w:sz w:val="24"/>
          <w:highlight w:val="none"/>
          <w:lang w:val="zh-CN"/>
        </w:rPr>
        <w:t>4.</w:t>
      </w:r>
      <w:r>
        <w:rPr>
          <w:rFonts w:hint="eastAsia" w:ascii="宋体" w:hAnsi="宋体" w:cs="宋体"/>
          <w:b/>
          <w:bCs/>
          <w:sz w:val="24"/>
          <w:highlight w:val="none"/>
          <w:u w:val="double"/>
          <w:lang w:val="zh-CN"/>
        </w:rPr>
        <w:t>在边缝处加盖供应商公章或骑缝签字。</w:t>
      </w:r>
    </w:p>
    <w:p w14:paraId="6CB3F792">
      <w:pPr>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5.采购人将拒绝接收未按照磋商文件要求密封的响应文件。</w:t>
      </w:r>
    </w:p>
    <w:p w14:paraId="4F2D9F2A">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【特别提醒】响应文件中</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lang w:val="zh-CN"/>
        </w:rPr>
        <w:t>的“正本”或“副本”中，</w:t>
      </w:r>
      <w:r>
        <w:rPr>
          <w:rFonts w:hint="eastAsia" w:ascii="宋体" w:hAnsi="宋体" w:cs="宋体"/>
          <w:b/>
          <w:bCs/>
          <w:sz w:val="24"/>
          <w:highlight w:val="none"/>
          <w:u w:val="double"/>
          <w:lang w:val="zh-CN"/>
        </w:rPr>
        <w:t>均不得含有价格响应文件中报价表（报价单）内的任何项目价格，否则作无效响应处理</w:t>
      </w:r>
      <w:r>
        <w:rPr>
          <w:rFonts w:hint="eastAsia" w:ascii="宋体" w:hAnsi="宋体" w:cs="宋体"/>
          <w:sz w:val="24"/>
          <w:highlight w:val="none"/>
          <w:lang w:val="zh-CN"/>
        </w:rPr>
        <w:t>。</w:t>
      </w:r>
    </w:p>
    <w:p w14:paraId="243FE34E">
      <w:pPr>
        <w:autoSpaceDE w:val="0"/>
        <w:autoSpaceDN w:val="0"/>
        <w:adjustRightInd w:val="0"/>
        <w:snapToGrid w:val="0"/>
        <w:spacing w:line="360" w:lineRule="auto"/>
        <w:ind w:firstLine="482" w:firstLineChars="200"/>
        <w:contextualSpacing/>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四</w:t>
      </w:r>
      <w:r>
        <w:rPr>
          <w:rFonts w:hint="eastAsia" w:ascii="宋体" w:hAnsi="宋体" w:cs="宋体"/>
          <w:b/>
          <w:bCs/>
          <w:sz w:val="24"/>
          <w:highlight w:val="none"/>
          <w:lang w:val="zh-CN"/>
        </w:rPr>
        <w:t>）磋商响应有效期</w:t>
      </w:r>
    </w:p>
    <w:p w14:paraId="41FFE108">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磋商响应有效期为采购代理机构规定的响应文件提交截止时间后</w:t>
      </w:r>
      <w:r>
        <w:rPr>
          <w:rFonts w:hint="eastAsia" w:ascii="宋体" w:hAnsi="宋体" w:cs="宋体"/>
          <w:b/>
          <w:sz w:val="24"/>
          <w:highlight w:val="none"/>
          <w:u w:val="single"/>
          <w:lang w:val="zh-CN"/>
        </w:rPr>
        <w:t>四十五（45）天</w:t>
      </w:r>
      <w:r>
        <w:rPr>
          <w:rFonts w:hint="eastAsia" w:ascii="宋体" w:hAnsi="宋体" w:cs="宋体"/>
          <w:sz w:val="24"/>
          <w:highlight w:val="none"/>
          <w:lang w:val="zh-CN"/>
        </w:rPr>
        <w:t>。磋商响应有效期比规定短的将被视为非实质性响应而予以拒绝。</w:t>
      </w:r>
    </w:p>
    <w:p w14:paraId="1068C481">
      <w:pPr>
        <w:autoSpaceDE w:val="0"/>
        <w:autoSpaceDN w:val="0"/>
        <w:adjustRightInd w:val="0"/>
        <w:snapToGrid w:val="0"/>
        <w:spacing w:line="360" w:lineRule="auto"/>
        <w:ind w:firstLine="482" w:firstLineChars="200"/>
        <w:contextualSpacing/>
        <w:jc w:val="left"/>
        <w:rPr>
          <w:rFonts w:hint="eastAsia" w:ascii="宋体" w:hAnsi="宋体" w:cs="宋体"/>
          <w:b/>
          <w:bCs/>
          <w:sz w:val="24"/>
          <w:highlight w:val="none"/>
          <w:lang w:val="zh-CN"/>
        </w:rPr>
      </w:pPr>
      <w:r>
        <w:rPr>
          <w:rFonts w:hint="eastAsia" w:ascii="宋体" w:hAnsi="宋体" w:cs="宋体"/>
          <w:b/>
          <w:bCs/>
          <w:sz w:val="24"/>
          <w:highlight w:val="none"/>
          <w:lang w:val="zh-CN"/>
        </w:rPr>
        <w:t>五、磋商报价</w:t>
      </w:r>
    </w:p>
    <w:p w14:paraId="1E473F1D">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1.本项目不接受任何有选择的报价。</w:t>
      </w:r>
    </w:p>
    <w:p w14:paraId="2E4D027E">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2.磋商报价均以人民币为报价的币种。</w:t>
      </w:r>
    </w:p>
    <w:p w14:paraId="5B657623">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3.磋商报价出现前后不一致的，按照下列规定修正：</w:t>
      </w:r>
    </w:p>
    <w:p w14:paraId="5E71F8CD">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（1）响应文件中开标一览表（报价表）内容与响应文件中相应内容不一致的，以开标一览表（报价表）为准；</w:t>
      </w:r>
    </w:p>
    <w:p w14:paraId="5562B361">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（2）大写金额和小写金额不一致的，以大写金额为准；</w:t>
      </w:r>
    </w:p>
    <w:p w14:paraId="46886116">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（3）单价金额小数点或者百分比有明显错位的，以开标一览表（报价表）的总价为准，并修改单价；</w:t>
      </w:r>
    </w:p>
    <w:p w14:paraId="79016274">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（4）总价金额与按单价汇总金额不一致的，以单价金额计算结果为准。</w:t>
      </w:r>
    </w:p>
    <w:p w14:paraId="452AF7B3">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同时出现两种以上不一致的，按照前款规定的顺序修正。修正后的报价经供应商确认后产生约束力，供应商不确认的，其投标无效。</w:t>
      </w:r>
    </w:p>
    <w:p w14:paraId="1C6D55BC">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4.报价方式及要求：</w:t>
      </w:r>
    </w:p>
    <w:p w14:paraId="3FA37DDB">
      <w:pPr>
        <w:autoSpaceDE w:val="0"/>
        <w:autoSpaceDN w:val="0"/>
        <w:spacing w:line="360" w:lineRule="auto"/>
        <w:ind w:firstLine="480" w:firstLineChars="200"/>
        <w:jc w:val="left"/>
        <w:rPr>
          <w:rFonts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本项目采用固定总价的方式，报价包括供应商完成本项目的所有工作内容的全部费用，</w:t>
      </w:r>
      <w:r>
        <w:rPr>
          <w:rFonts w:hint="eastAsia" w:ascii="宋体" w:hAnsi="宋体" w:eastAsia="宋体" w:cs="宋体"/>
          <w:bCs/>
          <w:color w:val="auto"/>
          <w:sz w:val="24"/>
          <w:highlight w:val="none"/>
        </w:rPr>
        <w:t>包含但不限于调研费、报告编制费、人员劳务费、专家咨询费（如有）、交通费（汽油费、过路费、驾驶员工资等）、活动组织费（会务费、咨询费、活动场地费、资料印刷费、人工费等）、企业管理费、税金、利润等费用。</w:t>
      </w:r>
      <w:r>
        <w:rPr>
          <w:rFonts w:hint="eastAsia" w:ascii="宋体" w:hAnsi="宋体" w:eastAsia="宋体" w:cs="宋体"/>
          <w:bCs/>
          <w:color w:val="auto"/>
          <w:sz w:val="24"/>
          <w:highlight w:val="none"/>
          <w:lang w:val="en-US" w:eastAsia="zh-CN"/>
        </w:rPr>
        <w:t>供应商</w:t>
      </w:r>
      <w:r>
        <w:rPr>
          <w:rFonts w:hint="eastAsia" w:ascii="宋体" w:hAnsi="宋体" w:eastAsia="宋体" w:cs="宋体"/>
          <w:bCs/>
          <w:color w:val="auto"/>
          <w:sz w:val="24"/>
          <w:highlight w:val="none"/>
        </w:rPr>
        <w:t>应根据本项目相应标段情况和有关规范制订必要、合理的人员投入计划，其拟投入现场人员数量应能满足本标段工作的要求</w:t>
      </w:r>
      <w:r>
        <w:rPr>
          <w:rFonts w:hint="eastAsia" w:ascii="宋体" w:hAnsi="宋体" w:eastAsia="宋体" w:cs="宋体"/>
          <w:color w:val="auto"/>
          <w:sz w:val="24"/>
          <w:highlight w:val="none"/>
          <w:lang w:val="zh-CN"/>
        </w:rPr>
        <w:t>。</w:t>
      </w:r>
    </w:p>
    <w:p w14:paraId="484EA9F0">
      <w:pPr>
        <w:autoSpaceDE w:val="0"/>
        <w:autoSpaceDN w:val="0"/>
        <w:spacing w:line="360" w:lineRule="auto"/>
        <w:ind w:firstLine="480" w:firstLineChars="200"/>
        <w:jc w:val="left"/>
        <w:rPr>
          <w:rFonts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供应商在投标时应主动查阅本项目的有关文件、技术经济等资料。作为一个有经验的供应商，应充分考虑到采购人提供的相关资料和数据与合同实施过程中存有偏差。供应商应综合考虑到报价中，采购人对供应商的合同价不因此而进行调整。</w:t>
      </w:r>
    </w:p>
    <w:p w14:paraId="465B4591">
      <w:pPr>
        <w:autoSpaceDE w:val="0"/>
        <w:autoSpaceDN w:val="0"/>
        <w:adjustRightInd w:val="0"/>
        <w:snapToGrid w:val="0"/>
        <w:spacing w:line="360" w:lineRule="auto"/>
        <w:ind w:firstLine="480" w:firstLineChars="200"/>
        <w:contextualSpacing/>
        <w:jc w:val="left"/>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rPr>
        <w:t>）在合同执行期间，采购人不提供完成本合同所需的其它任何生活（含食宿）、办公设施、交通、通讯工具等，相关费用应充分考虑到报价中。</w:t>
      </w:r>
    </w:p>
    <w:p w14:paraId="12588117">
      <w:pPr>
        <w:autoSpaceDE w:val="0"/>
        <w:autoSpaceDN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应详细阅读谈判文件的全部内容，根据项目需求，准确制定相关工作方案等，必须对本项目全部进行报价，若有漏项，视同对本项目的优惠。不按谈判文件的要求提供响应文件，导致报价无效，按无效响应处理。供应商的任何错漏、优惠、竞争性报价不得作为减轻责任、减少服务、增加收费、降低服务质量的理由。</w:t>
      </w:r>
      <w:r>
        <w:rPr>
          <w:rFonts w:hint="eastAsia" w:ascii="宋体" w:hAnsi="宋体" w:eastAsia="宋体" w:cs="宋体"/>
          <w:b/>
          <w:bCs/>
          <w:color w:val="auto"/>
          <w:sz w:val="24"/>
          <w:highlight w:val="none"/>
        </w:rPr>
        <w:t>供应商报价除包含谈判文件中列明的项目外，还应包括谈判文件中未列明但在合同履行过程中须完成的项目。</w:t>
      </w:r>
    </w:p>
    <w:p w14:paraId="5C001CFC">
      <w:pPr>
        <w:autoSpaceDE w:val="0"/>
        <w:autoSpaceDN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）供应商应承担其响应文件编制与递交所涉及的一切费用，不管结果如何，采购人对上述费用不负任何责任。</w:t>
      </w:r>
    </w:p>
    <w:p w14:paraId="2E635B47">
      <w:pPr>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6</w:t>
      </w:r>
      <w:r>
        <w:rPr>
          <w:rFonts w:hint="eastAsia" w:ascii="宋体" w:hAnsi="宋体" w:cs="宋体"/>
          <w:sz w:val="24"/>
          <w:highlight w:val="none"/>
          <w:lang w:val="zh-CN"/>
        </w:rPr>
        <w:t>）投标</w:t>
      </w:r>
      <w:r>
        <w:rPr>
          <w:rFonts w:hint="eastAsia" w:ascii="宋体" w:hAnsi="宋体" w:cs="宋体"/>
          <w:sz w:val="24"/>
          <w:highlight w:val="none"/>
        </w:rPr>
        <w:t>响应</w:t>
      </w:r>
      <w:r>
        <w:rPr>
          <w:rFonts w:hint="eastAsia" w:ascii="宋体" w:hAnsi="宋体" w:cs="宋体"/>
          <w:sz w:val="24"/>
          <w:highlight w:val="none"/>
          <w:lang w:val="zh-CN"/>
        </w:rPr>
        <w:t>文件中只允许有一个报价，</w:t>
      </w:r>
      <w:r>
        <w:rPr>
          <w:rFonts w:hint="eastAsia" w:ascii="宋体" w:hAnsi="宋体" w:cs="宋体"/>
          <w:sz w:val="24"/>
          <w:highlight w:val="none"/>
        </w:rPr>
        <w:t>采购</w:t>
      </w:r>
      <w:r>
        <w:rPr>
          <w:rFonts w:hint="eastAsia" w:ascii="宋体" w:hAnsi="宋体" w:cs="宋体"/>
          <w:sz w:val="24"/>
          <w:highlight w:val="none"/>
          <w:lang w:val="zh-CN"/>
        </w:rPr>
        <w:t>人不接受选择性报价。</w:t>
      </w:r>
    </w:p>
    <w:p w14:paraId="25121C89">
      <w:pPr>
        <w:autoSpaceDE w:val="0"/>
        <w:autoSpaceDN w:val="0"/>
        <w:adjustRightInd w:val="0"/>
        <w:snapToGrid w:val="0"/>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7</w:t>
      </w:r>
      <w:r>
        <w:rPr>
          <w:rFonts w:hint="eastAsia" w:ascii="宋体" w:hAnsi="宋体" w:cs="宋体"/>
          <w:sz w:val="24"/>
          <w:highlight w:val="none"/>
          <w:lang w:val="zh-CN"/>
        </w:rPr>
        <w:t>）本项目不接受调价函。</w:t>
      </w:r>
    </w:p>
    <w:p w14:paraId="42DD7CD3">
      <w:pPr>
        <w:autoSpaceDE w:val="0"/>
        <w:autoSpaceDN w:val="0"/>
        <w:adjustRightInd w:val="0"/>
        <w:snapToGrid w:val="0"/>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8</w:t>
      </w:r>
      <w:r>
        <w:rPr>
          <w:rFonts w:hint="eastAsia" w:ascii="宋体" w:hAnsi="宋体" w:cs="宋体"/>
          <w:sz w:val="24"/>
          <w:highlight w:val="none"/>
          <w:lang w:val="zh-CN"/>
        </w:rPr>
        <w:t>）竞争性磋商的最终报价为预期成交价。</w:t>
      </w:r>
    </w:p>
    <w:p w14:paraId="460A8850">
      <w:pPr>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9</w:t>
      </w:r>
      <w:r>
        <w:rPr>
          <w:rFonts w:hint="eastAsia" w:ascii="宋体" w:hAnsi="宋体" w:cs="宋体"/>
          <w:sz w:val="24"/>
          <w:highlight w:val="none"/>
          <w:lang w:val="zh-CN"/>
        </w:rPr>
        <w:t>）</w:t>
      </w:r>
      <w:r>
        <w:rPr>
          <w:rFonts w:hint="eastAsia" w:ascii="宋体" w:hAnsi="宋体" w:cs="宋体"/>
          <w:b/>
          <w:bCs/>
          <w:sz w:val="24"/>
          <w:highlight w:val="none"/>
          <w:lang w:val="zh-CN"/>
        </w:rPr>
        <w:t>本项目首轮磋商报价最高投标限价为人民币</w:t>
      </w:r>
      <w:r>
        <w:rPr>
          <w:rFonts w:hint="eastAsia" w:ascii="宋体" w:hAnsi="宋体" w:cs="宋体"/>
          <w:b/>
          <w:bCs/>
          <w:sz w:val="24"/>
          <w:highlight w:val="none"/>
        </w:rPr>
        <w:t>贰拾万元整</w:t>
      </w:r>
      <w:r>
        <w:rPr>
          <w:rFonts w:hint="eastAsia" w:ascii="宋体" w:hAnsi="宋体" w:cs="宋体"/>
          <w:b/>
          <w:bCs/>
          <w:sz w:val="24"/>
          <w:highlight w:val="none"/>
          <w:lang w:val="zh-CN"/>
        </w:rPr>
        <w:t>（¥</w:t>
      </w:r>
      <w:r>
        <w:rPr>
          <w:rFonts w:hint="eastAsia" w:ascii="宋体" w:hAnsi="宋体" w:cs="宋体"/>
          <w:b/>
          <w:bCs/>
          <w:sz w:val="24"/>
          <w:highlight w:val="none"/>
        </w:rPr>
        <w:t>200000</w:t>
      </w:r>
      <w:r>
        <w:rPr>
          <w:rFonts w:hint="eastAsia" w:ascii="宋体" w:hAnsi="宋体" w:cs="宋体"/>
          <w:b/>
          <w:bCs/>
          <w:sz w:val="24"/>
          <w:highlight w:val="none"/>
          <w:lang w:val="zh-CN"/>
        </w:rPr>
        <w:t>），</w:t>
      </w:r>
      <w:r>
        <w:rPr>
          <w:rFonts w:hint="eastAsia" w:ascii="宋体" w:hAnsi="宋体" w:cs="宋体"/>
          <w:sz w:val="24"/>
          <w:highlight w:val="none"/>
          <w:lang w:val="zh-CN"/>
        </w:rPr>
        <w:t>投标总价超过最高投标限价的为无效响应文件。</w:t>
      </w:r>
    </w:p>
    <w:p w14:paraId="1D1C40DA">
      <w:pPr>
        <w:autoSpaceDE w:val="0"/>
        <w:autoSpaceDN w:val="0"/>
        <w:adjustRightInd w:val="0"/>
        <w:snapToGrid w:val="0"/>
        <w:spacing w:line="360" w:lineRule="auto"/>
        <w:ind w:firstLine="482" w:firstLineChars="200"/>
        <w:contextualSpacing/>
        <w:jc w:val="left"/>
        <w:rPr>
          <w:rFonts w:hint="eastAsia" w:ascii="宋体" w:hAnsi="宋体" w:cs="宋体"/>
          <w:b/>
          <w:bCs/>
          <w:sz w:val="24"/>
          <w:highlight w:val="none"/>
          <w:lang w:val="zh-CN"/>
        </w:rPr>
      </w:pPr>
      <w:r>
        <w:rPr>
          <w:rFonts w:hint="eastAsia" w:ascii="宋体" w:hAnsi="宋体" w:cs="宋体"/>
          <w:b/>
          <w:bCs/>
          <w:sz w:val="24"/>
          <w:highlight w:val="none"/>
          <w:lang w:val="zh-CN"/>
        </w:rPr>
        <w:t>六、响应文件及磋商费用</w:t>
      </w:r>
    </w:p>
    <w:p w14:paraId="5FF0B23A">
      <w:pPr>
        <w:pStyle w:val="30"/>
        <w:snapToGrid w:val="0"/>
        <w:spacing w:line="360" w:lineRule="auto"/>
        <w:ind w:firstLine="494"/>
        <w:contextualSpacing/>
        <w:rPr>
          <w:rFonts w:hint="eastAsia" w:ascii="宋体" w:eastAsia="宋体" w:cs="宋体"/>
          <w:sz w:val="24"/>
          <w:szCs w:val="24"/>
          <w:highlight w:val="none"/>
        </w:rPr>
      </w:pPr>
      <w:r>
        <w:rPr>
          <w:rFonts w:hint="eastAsia" w:ascii="宋体" w:eastAsia="宋体" w:cs="宋体"/>
          <w:sz w:val="24"/>
          <w:szCs w:val="24"/>
          <w:highlight w:val="none"/>
        </w:rPr>
        <w:t>1</w:t>
      </w:r>
      <w:r>
        <w:rPr>
          <w:rFonts w:hint="eastAsia" w:ascii="宋体" w:eastAsia="宋体" w:cs="宋体"/>
          <w:sz w:val="24"/>
          <w:highlight w:val="none"/>
          <w:lang w:val="zh-CN"/>
        </w:rPr>
        <w:t>.</w:t>
      </w:r>
      <w:r>
        <w:rPr>
          <w:rFonts w:hint="eastAsia" w:ascii="宋体" w:eastAsia="宋体" w:cs="宋体"/>
          <w:sz w:val="24"/>
          <w:szCs w:val="24"/>
          <w:highlight w:val="none"/>
        </w:rPr>
        <w:t>磋商程序顺利进行后，除供应商的原件可退回外，其余所有的响应文件都将作为档案保存，不论成交与否，均不退回（未拆封的除外）。</w:t>
      </w:r>
    </w:p>
    <w:p w14:paraId="2FF23C67">
      <w:pPr>
        <w:pStyle w:val="30"/>
        <w:snapToGrid w:val="0"/>
        <w:spacing w:line="360" w:lineRule="auto"/>
        <w:ind w:firstLine="494"/>
        <w:contextualSpacing/>
        <w:rPr>
          <w:rFonts w:hint="eastAsia" w:ascii="宋体" w:eastAsia="宋体" w:cs="宋体"/>
          <w:sz w:val="24"/>
          <w:szCs w:val="24"/>
          <w:highlight w:val="none"/>
        </w:rPr>
      </w:pPr>
      <w:r>
        <w:rPr>
          <w:rFonts w:hint="eastAsia" w:ascii="宋体" w:eastAsia="宋体" w:cs="宋体"/>
          <w:sz w:val="24"/>
          <w:szCs w:val="24"/>
          <w:highlight w:val="none"/>
        </w:rPr>
        <w:t>2</w:t>
      </w:r>
      <w:r>
        <w:rPr>
          <w:rFonts w:hint="eastAsia" w:ascii="宋体" w:eastAsia="宋体" w:cs="宋体"/>
          <w:sz w:val="24"/>
          <w:highlight w:val="none"/>
          <w:lang w:val="zh-CN"/>
        </w:rPr>
        <w:t>.</w:t>
      </w:r>
      <w:r>
        <w:rPr>
          <w:rFonts w:hint="eastAsia" w:ascii="宋体" w:eastAsia="宋体" w:cs="宋体"/>
          <w:sz w:val="24"/>
          <w:szCs w:val="24"/>
          <w:highlight w:val="none"/>
        </w:rPr>
        <w:t>供应商承担参与磋商可能发生的全部费用，参加项目磋商的供应商自行承担与本次项目磋商有关的全部费用，采购人在任何情况下均无义务和责任承担这些费用。</w:t>
      </w:r>
    </w:p>
    <w:p w14:paraId="7B041361">
      <w:pPr>
        <w:snapToGrid w:val="0"/>
        <w:spacing w:line="360" w:lineRule="auto"/>
        <w:ind w:firstLine="463" w:firstLineChars="192"/>
        <w:rPr>
          <w:rFonts w:hint="eastAsia" w:ascii="宋体" w:hAnsi="宋体" w:cs="宋体"/>
          <w:b/>
          <w:sz w:val="24"/>
          <w:highlight w:val="none"/>
        </w:rPr>
      </w:pPr>
      <w:r>
        <w:rPr>
          <w:rFonts w:hint="eastAsia" w:ascii="宋体" w:hAnsi="宋体" w:cs="宋体"/>
          <w:b/>
          <w:bCs/>
          <w:sz w:val="24"/>
          <w:highlight w:val="none"/>
        </w:rPr>
        <w:t>七、</w:t>
      </w:r>
      <w:r>
        <w:rPr>
          <w:rFonts w:hint="eastAsia" w:ascii="宋体" w:hAnsi="宋体" w:cs="宋体"/>
          <w:b/>
          <w:sz w:val="24"/>
          <w:highlight w:val="none"/>
        </w:rPr>
        <w:t>保证金</w:t>
      </w:r>
    </w:p>
    <w:p w14:paraId="666879E1">
      <w:pPr>
        <w:snapToGrid w:val="0"/>
        <w:spacing w:line="360" w:lineRule="auto"/>
        <w:ind w:firstLine="463" w:firstLineChars="192"/>
        <w:rPr>
          <w:rFonts w:hint="eastAsia" w:ascii="宋体" w:hAnsi="宋体" w:cs="宋体"/>
          <w:b/>
          <w:bCs/>
          <w:sz w:val="24"/>
          <w:highlight w:val="none"/>
        </w:rPr>
      </w:pPr>
      <w:r>
        <w:rPr>
          <w:rFonts w:hint="eastAsia" w:ascii="宋体" w:hAnsi="宋体" w:cs="宋体"/>
          <w:b/>
          <w:bCs/>
          <w:sz w:val="24"/>
          <w:highlight w:val="none"/>
        </w:rPr>
        <w:t>1.本项目不设磋商保证金。</w:t>
      </w:r>
    </w:p>
    <w:p w14:paraId="5118A080">
      <w:pPr>
        <w:snapToGrid w:val="0"/>
        <w:spacing w:line="360" w:lineRule="auto"/>
        <w:ind w:firstLine="463" w:firstLineChars="192"/>
        <w:rPr>
          <w:rFonts w:hint="eastAsia" w:ascii="宋体" w:hAnsi="宋体" w:cs="宋体"/>
          <w:b/>
          <w:bCs/>
          <w:sz w:val="24"/>
          <w:highlight w:val="none"/>
        </w:rPr>
      </w:pPr>
      <w:r>
        <w:rPr>
          <w:rFonts w:hint="eastAsia" w:ascii="宋体" w:hAnsi="宋体" w:cs="宋体"/>
          <w:b/>
          <w:bCs/>
          <w:sz w:val="24"/>
          <w:highlight w:val="none"/>
        </w:rPr>
        <w:t>2.</w:t>
      </w:r>
      <w:r>
        <w:rPr>
          <w:rFonts w:hint="eastAsia" w:ascii="宋体" w:hAnsi="宋体" w:cs="宋体"/>
          <w:b/>
          <w:sz w:val="24"/>
          <w:highlight w:val="none"/>
        </w:rPr>
        <w:t>本项目不设履约保证金。</w:t>
      </w:r>
    </w:p>
    <w:p w14:paraId="38D240B1">
      <w:pPr>
        <w:snapToGrid w:val="0"/>
        <w:spacing w:line="360" w:lineRule="auto"/>
        <w:ind w:firstLine="482" w:firstLineChars="200"/>
        <w:contextualSpacing/>
        <w:rPr>
          <w:rFonts w:hint="eastAsia" w:ascii="宋体" w:hAnsi="宋体" w:cs="宋体"/>
          <w:b/>
          <w:sz w:val="24"/>
          <w:highlight w:val="none"/>
        </w:rPr>
      </w:pPr>
      <w:r>
        <w:rPr>
          <w:rFonts w:hint="eastAsia" w:ascii="宋体" w:hAnsi="宋体" w:cs="宋体"/>
          <w:b/>
          <w:sz w:val="24"/>
          <w:highlight w:val="none"/>
        </w:rPr>
        <w:t>八、分包</w:t>
      </w:r>
    </w:p>
    <w:p w14:paraId="7508993E">
      <w:pPr>
        <w:snapToGrid w:val="0"/>
        <w:spacing w:line="360" w:lineRule="auto"/>
        <w:ind w:firstLine="460" w:firstLineChars="192"/>
        <w:rPr>
          <w:rFonts w:hint="eastAsia" w:ascii="宋体" w:hAnsi="宋体" w:cs="宋体"/>
          <w:sz w:val="24"/>
          <w:highlight w:val="none"/>
        </w:rPr>
      </w:pPr>
      <w:r>
        <w:rPr>
          <w:rFonts w:hint="eastAsia" w:ascii="宋体" w:hAnsi="宋体" w:cs="宋体"/>
          <w:sz w:val="24"/>
          <w:highlight w:val="none"/>
        </w:rPr>
        <w:t>本项目</w:t>
      </w:r>
      <w:r>
        <w:rPr>
          <w:rFonts w:hint="eastAsia" w:ascii="宋体" w:hAnsi="宋体" w:cs="宋体"/>
          <w:spacing w:val="7"/>
          <w:kern w:val="0"/>
          <w:sz w:val="24"/>
          <w:highlight w:val="none"/>
          <w:u w:val="single"/>
        </w:rPr>
        <w:t>不允许</w:t>
      </w:r>
      <w:r>
        <w:rPr>
          <w:rFonts w:hint="eastAsia" w:ascii="宋体" w:hAnsi="宋体" w:cs="宋体"/>
          <w:spacing w:val="7"/>
          <w:kern w:val="0"/>
          <w:sz w:val="24"/>
          <w:highlight w:val="none"/>
        </w:rPr>
        <w:t>分包。</w:t>
      </w:r>
    </w:p>
    <w:p w14:paraId="65EBE2A5">
      <w:pPr>
        <w:snapToGrid w:val="0"/>
        <w:spacing w:line="360" w:lineRule="auto"/>
        <w:ind w:firstLine="482" w:firstLineChars="200"/>
        <w:contextualSpacing/>
        <w:rPr>
          <w:rFonts w:hint="eastAsia" w:ascii="宋体" w:hAnsi="宋体" w:cs="宋体"/>
          <w:b/>
          <w:sz w:val="24"/>
          <w:highlight w:val="none"/>
        </w:rPr>
      </w:pPr>
      <w:r>
        <w:rPr>
          <w:rFonts w:hint="eastAsia" w:ascii="宋体" w:hAnsi="宋体" w:cs="宋体"/>
          <w:b/>
          <w:sz w:val="24"/>
          <w:highlight w:val="none"/>
        </w:rPr>
        <w:t>九、未尽事宜</w:t>
      </w:r>
    </w:p>
    <w:p w14:paraId="2562CF5A">
      <w:pPr>
        <w:snapToGrid w:val="0"/>
        <w:spacing w:line="360" w:lineRule="auto"/>
        <w:ind w:firstLine="460" w:firstLineChars="192"/>
        <w:rPr>
          <w:rFonts w:hint="eastAsia" w:ascii="宋体" w:hAnsi="宋体" w:cs="宋体"/>
          <w:sz w:val="24"/>
          <w:highlight w:val="none"/>
        </w:rPr>
      </w:pPr>
      <w:r>
        <w:rPr>
          <w:rFonts w:hint="eastAsia" w:ascii="宋体" w:hAnsi="宋体" w:cs="宋体"/>
          <w:sz w:val="24"/>
          <w:highlight w:val="none"/>
        </w:rPr>
        <w:t>参照《中华人民共和国政府采购法》、《政府采购竞争性磋商采购方式管理暂行办法》及其他有关法律法规和规范性文件的规定执行。</w:t>
      </w:r>
    </w:p>
    <w:p w14:paraId="5AB96964">
      <w:pPr>
        <w:autoSpaceDE w:val="0"/>
        <w:autoSpaceDN w:val="0"/>
        <w:adjustRightInd w:val="0"/>
        <w:snapToGrid w:val="0"/>
        <w:spacing w:line="300" w:lineRule="auto"/>
        <w:jc w:val="center"/>
        <w:outlineLvl w:val="0"/>
        <w:rPr>
          <w:rFonts w:hint="eastAsia" w:ascii="宋体" w:hAnsi="宋体" w:cs="宋体"/>
          <w:b/>
          <w:bCs/>
          <w:sz w:val="36"/>
          <w:szCs w:val="36"/>
          <w:highlight w:val="none"/>
          <w:lang w:val="zh-CN"/>
        </w:rPr>
      </w:pPr>
      <w:r>
        <w:rPr>
          <w:rFonts w:hint="eastAsia" w:ascii="宋体" w:hAnsi="宋体" w:cs="宋体"/>
          <w:b/>
          <w:bCs/>
          <w:sz w:val="36"/>
          <w:szCs w:val="36"/>
          <w:highlight w:val="none"/>
          <w:lang w:val="zh-CN"/>
        </w:rPr>
        <w:br w:type="page"/>
      </w:r>
      <w:r>
        <w:rPr>
          <w:rFonts w:hint="eastAsia" w:ascii="宋体" w:hAnsi="宋体" w:cs="宋体"/>
          <w:b/>
          <w:bCs/>
          <w:sz w:val="36"/>
          <w:szCs w:val="36"/>
          <w:highlight w:val="none"/>
          <w:lang w:val="zh-CN"/>
        </w:rPr>
        <w:t>第三部分 项目需求</w:t>
      </w:r>
    </w:p>
    <w:p w14:paraId="160CF5ED">
      <w:pPr>
        <w:pStyle w:val="30"/>
        <w:adjustRightInd w:val="0"/>
        <w:snapToGrid w:val="0"/>
        <w:spacing w:line="360" w:lineRule="auto"/>
        <w:ind w:firstLine="480" w:firstLineChars="200"/>
        <w:rPr>
          <w:rFonts w:hint="eastAsia" w:ascii="宋体" w:eastAsia="宋体" w:cs="宋体"/>
          <w:sz w:val="24"/>
          <w:szCs w:val="24"/>
          <w:highlight w:val="none"/>
        </w:rPr>
      </w:pPr>
      <w:r>
        <w:rPr>
          <w:rFonts w:hint="eastAsia" w:ascii="宋体" w:eastAsia="宋体" w:cs="宋体"/>
          <w:sz w:val="24"/>
          <w:szCs w:val="24"/>
          <w:highlight w:val="none"/>
        </w:rPr>
        <w:t>请供应商在申请获取磋商文件前和制作响应文件时仔细研究项目需求说明。供应商不能简单照搬照抄采购人项目需求说明中的技术、商务要求，必须作实事求是的响应。如照搬照抄项目需求说明中的技术、商务要求的，成交后供应商在同采购人签订合同和履约环节中不得提出异议，一切后果和损失由成交供应商承担。</w:t>
      </w:r>
    </w:p>
    <w:p w14:paraId="7F0348C0">
      <w:pPr>
        <w:snapToGrid w:val="0"/>
        <w:spacing w:line="360" w:lineRule="auto"/>
        <w:ind w:firstLine="508"/>
        <w:contextualSpacing/>
        <w:rPr>
          <w:rFonts w:hint="eastAsia" w:ascii="宋体" w:hAnsi="宋体" w:cs="宋体"/>
          <w:b/>
          <w:bCs/>
          <w:sz w:val="24"/>
          <w:highlight w:val="none"/>
        </w:rPr>
      </w:pPr>
      <w:r>
        <w:rPr>
          <w:rFonts w:hint="eastAsia" w:ascii="宋体" w:hAnsi="宋体" w:cs="宋体"/>
          <w:b/>
          <w:bCs/>
          <w:sz w:val="24"/>
          <w:highlight w:val="none"/>
        </w:rPr>
        <w:t>一、采购范围</w:t>
      </w:r>
    </w:p>
    <w:p w14:paraId="5009232B">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1.收集周边道路既有成果，根据需求，进行补充调查。</w:t>
      </w:r>
    </w:p>
    <w:p w14:paraId="40397556">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2.在现有研究成果基础上对重点项目进行深化研究。</w:t>
      </w:r>
    </w:p>
    <w:p w14:paraId="2C026B01">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3.提出优化建议。</w:t>
      </w:r>
    </w:p>
    <w:p w14:paraId="411558FE">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204国道及周边道路（包含但不限于以下道路）概况如下：</w:t>
      </w:r>
    </w:p>
    <w:p w14:paraId="0C58C0CF">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204国道通州段路线起于通州如皋交界，终点至九圩港大桥，路线全长约7.7公里，路基宽度约28m，双向四车道一级公路标准，2009年完成改扩建。</w:t>
      </w:r>
    </w:p>
    <w:p w14:paraId="246183C0">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新丁平线起于通皋大道与新丁平线交叉口，终于G204交叉口，路线全长约2公里，现状路基宽度约14m。</w:t>
      </w:r>
    </w:p>
    <w:p w14:paraId="76BD1DA1">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通皋大道通州段二期工程，始于一期已建K23+020处，终点距G204约500m，全长4.4公里，总投资约12亿元，施工图取得批复，2022年开工建设，2023年下半年停止施工；</w:t>
      </w:r>
    </w:p>
    <w:p w14:paraId="5B1E0E30">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西站大道二期北延，南起港平路北至与通皋大道设计交界，路线全长约2.3公里，总投资约10亿元，目前处于勘察设计阶段。</w:t>
      </w:r>
    </w:p>
    <w:p w14:paraId="59C0A984">
      <w:pPr>
        <w:snapToGrid w:val="0"/>
        <w:spacing w:line="360" w:lineRule="auto"/>
        <w:ind w:firstLine="508"/>
        <w:contextualSpacing/>
        <w:rPr>
          <w:rFonts w:hint="eastAsia" w:ascii="宋体" w:hAnsi="宋体" w:cs="宋体"/>
          <w:b/>
          <w:bCs/>
          <w:sz w:val="24"/>
          <w:highlight w:val="none"/>
        </w:rPr>
      </w:pPr>
      <w:r>
        <w:rPr>
          <w:rFonts w:hint="eastAsia" w:ascii="宋体" w:hAnsi="宋体" w:cs="宋体"/>
          <w:b/>
          <w:bCs/>
          <w:sz w:val="24"/>
          <w:highlight w:val="none"/>
        </w:rPr>
        <w:t>二、采购内容</w:t>
      </w:r>
    </w:p>
    <w:p w14:paraId="4F1CF742">
      <w:pPr>
        <w:snapToGrid w:val="0"/>
        <w:spacing w:line="360" w:lineRule="auto"/>
        <w:ind w:firstLine="508"/>
        <w:contextualSpacing/>
        <w:rPr>
          <w:rFonts w:ascii="宋体" w:hAnsi="宋体" w:cs="宋体"/>
          <w:sz w:val="24"/>
          <w:highlight w:val="none"/>
        </w:rPr>
      </w:pPr>
      <w:r>
        <w:rPr>
          <w:rFonts w:hint="eastAsia" w:ascii="宋体" w:hAnsi="宋体" w:cs="宋体"/>
          <w:sz w:val="24"/>
          <w:highlight w:val="none"/>
        </w:rPr>
        <w:t>拟将本项目划分为1个合同段，即2026JTGS2026LWXJ标，采购范围与内容如下：</w:t>
      </w:r>
    </w:p>
    <w:p w14:paraId="47B554D2">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主要研究内容：</w:t>
      </w:r>
    </w:p>
    <w:p w14:paraId="3D4A69AA">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1.收集G204、通皋大道、西站大道、新丁平线等周边道路既有成果，根据需求，进行补充调查。</w:t>
      </w:r>
    </w:p>
    <w:p w14:paraId="3BE9CFF7">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2.在现有研究成果基础上对重点项目进行深化研究。研究内容包含总体方案、建设规模、技术标准、投资估算、建设时机、建设时序等。</w:t>
      </w:r>
    </w:p>
    <w:p w14:paraId="083BF78A">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3.提出优化建议。</w:t>
      </w:r>
    </w:p>
    <w:p w14:paraId="5A493FA0">
      <w:pPr>
        <w:snapToGrid w:val="0"/>
        <w:spacing w:line="360" w:lineRule="auto"/>
        <w:ind w:firstLine="508"/>
        <w:contextualSpacing/>
        <w:rPr>
          <w:rFonts w:hint="eastAsia" w:ascii="宋体" w:hAnsi="宋体" w:cs="宋体"/>
          <w:b/>
          <w:bCs/>
          <w:sz w:val="24"/>
          <w:highlight w:val="none"/>
        </w:rPr>
      </w:pPr>
      <w:r>
        <w:rPr>
          <w:rFonts w:hint="eastAsia" w:ascii="宋体" w:hAnsi="宋体" w:cs="宋体"/>
          <w:b/>
          <w:bCs/>
          <w:sz w:val="24"/>
          <w:highlight w:val="none"/>
        </w:rPr>
        <w:t>三、成果要求</w:t>
      </w:r>
    </w:p>
    <w:p w14:paraId="7F5751B9">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1.编制《204国道通州段周边路网衔接方案研究报告》及附表、附图、附件，提供报告文件纸质版8套。所有研究成果的电子版一份（图纸要求为无加密的CAD格式）。</w:t>
      </w:r>
    </w:p>
    <w:p w14:paraId="525A6762">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2.所有成果文件必须满足相关规范要求，且成果须通过市级相关部门参加的评审。</w:t>
      </w:r>
    </w:p>
    <w:p w14:paraId="16BE64C3">
      <w:pPr>
        <w:snapToGrid w:val="0"/>
        <w:spacing w:line="360" w:lineRule="auto"/>
        <w:ind w:firstLine="508"/>
        <w:contextualSpacing/>
        <w:rPr>
          <w:rFonts w:hint="eastAsia" w:ascii="宋体" w:hAnsi="宋体" w:cs="宋体"/>
          <w:b/>
          <w:bCs/>
          <w:sz w:val="24"/>
          <w:highlight w:val="none"/>
        </w:rPr>
      </w:pPr>
      <w:r>
        <w:rPr>
          <w:rFonts w:hint="eastAsia" w:ascii="宋体" w:hAnsi="宋体" w:cs="宋体"/>
          <w:b/>
          <w:bCs/>
          <w:sz w:val="24"/>
          <w:highlight w:val="none"/>
        </w:rPr>
        <w:t>四、服务期</w:t>
      </w:r>
    </w:p>
    <w:p w14:paraId="7F772C77">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本项目服务期为自合同签订之日起至最终成果通过市级相关部门参加的评审且修改完善之日止。具体要求为：</w:t>
      </w:r>
    </w:p>
    <w:p w14:paraId="1167FAE4">
      <w:pPr>
        <w:snapToGrid w:val="0"/>
        <w:spacing w:line="360" w:lineRule="auto"/>
        <w:ind w:firstLine="508"/>
        <w:contextualSpacing/>
        <w:rPr>
          <w:rFonts w:ascii="宋体" w:hAnsi="宋体" w:cs="宋体"/>
          <w:sz w:val="24"/>
          <w:highlight w:val="none"/>
        </w:rPr>
      </w:pPr>
      <w:r>
        <w:rPr>
          <w:rFonts w:hint="eastAsia" w:ascii="宋体" w:hAnsi="宋体" w:cs="宋体"/>
          <w:sz w:val="24"/>
          <w:highlight w:val="none"/>
        </w:rPr>
        <w:t>2026年4月底前，完成方案研究大纲评审；2026年5月中旬，形成方案研究中间成果；2026年5月底前，完成并提交方案研究报告；2026年12月底前，完成评审并修改完善。</w:t>
      </w:r>
    </w:p>
    <w:p w14:paraId="098EC3C1">
      <w:pPr>
        <w:snapToGrid w:val="0"/>
        <w:spacing w:line="360" w:lineRule="auto"/>
        <w:ind w:firstLine="508"/>
        <w:contextualSpacing/>
        <w:rPr>
          <w:rFonts w:hint="eastAsia" w:ascii="宋体" w:hAnsi="宋体" w:cs="宋体"/>
          <w:b/>
          <w:bCs/>
          <w:sz w:val="24"/>
          <w:highlight w:val="none"/>
        </w:rPr>
      </w:pPr>
      <w:r>
        <w:rPr>
          <w:rFonts w:hint="eastAsia" w:ascii="宋体" w:hAnsi="宋体" w:cs="宋体"/>
          <w:b/>
          <w:bCs/>
          <w:sz w:val="24"/>
          <w:highlight w:val="none"/>
        </w:rPr>
        <w:t>五、支付方式</w:t>
      </w:r>
    </w:p>
    <w:p w14:paraId="44F86654">
      <w:pPr>
        <w:snapToGrid w:val="0"/>
        <w:spacing w:line="360" w:lineRule="auto"/>
        <w:ind w:firstLine="508"/>
        <w:contextualSpacing/>
        <w:rPr>
          <w:rFonts w:hint="eastAsia" w:ascii="宋体" w:hAnsi="宋体" w:cs="宋体"/>
          <w:sz w:val="24"/>
          <w:highlight w:val="none"/>
        </w:rPr>
      </w:pPr>
      <w:r>
        <w:rPr>
          <w:rFonts w:hint="eastAsia" w:ascii="宋体" w:hAnsi="宋体" w:cs="宋体"/>
          <w:spacing w:val="7"/>
          <w:kern w:val="0"/>
          <w:sz w:val="24"/>
          <w:highlight w:val="none"/>
        </w:rPr>
        <w:t>本项目为总价合同，合同签订后15个工作日内支付预付款30%；提交中间成果后15个工作日内，支付合同价的30%；完成最终成果15个工作日内，支付合同价的30%；通过市级部门参加的评审并修改完善后15个工作日内，支付至100%。</w:t>
      </w:r>
    </w:p>
    <w:p w14:paraId="087A8C98">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注：（1）上述每次付款采购人须按合同要求扣减违约金和赔偿款；</w:t>
      </w:r>
    </w:p>
    <w:p w14:paraId="60706228">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（2）每次付款前，供应商须按采购人要求提供等额的合规发票及相关付款申请资料，否则采购人可以拒付；</w:t>
      </w:r>
    </w:p>
    <w:p w14:paraId="265729A5">
      <w:pPr>
        <w:snapToGrid w:val="0"/>
        <w:spacing w:line="360" w:lineRule="auto"/>
        <w:ind w:firstLine="508"/>
        <w:contextualSpacing/>
        <w:rPr>
          <w:rFonts w:ascii="宋体" w:hAnsi="宋体" w:cs="宋体"/>
          <w:sz w:val="24"/>
          <w:highlight w:val="none"/>
        </w:rPr>
      </w:pPr>
      <w:r>
        <w:rPr>
          <w:rFonts w:hint="eastAsia" w:ascii="宋体" w:hAnsi="宋体" w:cs="宋体"/>
          <w:sz w:val="24"/>
          <w:highlight w:val="none"/>
        </w:rPr>
        <w:t>（3）上述付款均不计利息。</w:t>
      </w:r>
    </w:p>
    <w:p w14:paraId="236908BE">
      <w:pPr>
        <w:snapToGrid w:val="0"/>
        <w:spacing w:line="360" w:lineRule="auto"/>
        <w:ind w:firstLine="508"/>
        <w:contextualSpacing/>
        <w:rPr>
          <w:rFonts w:hint="eastAsia" w:ascii="宋体" w:hAnsi="宋体" w:cs="宋体"/>
          <w:sz w:val="24"/>
          <w:highlight w:val="none"/>
        </w:rPr>
        <w:sectPr>
          <w:headerReference r:id="rId5" w:type="first"/>
          <w:footerReference r:id="rId8" w:type="first"/>
          <w:headerReference r:id="rId3" w:type="default"/>
          <w:footerReference r:id="rId6" w:type="default"/>
          <w:headerReference r:id="rId4" w:type="even"/>
          <w:footerReference r:id="rId7" w:type="even"/>
          <w:pgSz w:w="11907" w:h="16839"/>
          <w:pgMar w:top="1429" w:right="1429" w:bottom="1429" w:left="1429" w:header="720" w:footer="720" w:gutter="0"/>
          <w:cols w:space="720" w:num="1"/>
          <w:docGrid w:linePitch="286" w:charSpace="0"/>
        </w:sectPr>
      </w:pPr>
    </w:p>
    <w:p w14:paraId="268728D2">
      <w:pPr>
        <w:autoSpaceDE w:val="0"/>
        <w:autoSpaceDN w:val="0"/>
        <w:adjustRightInd w:val="0"/>
        <w:snapToGrid w:val="0"/>
        <w:spacing w:line="360" w:lineRule="auto"/>
        <w:jc w:val="center"/>
        <w:outlineLvl w:val="0"/>
        <w:rPr>
          <w:rFonts w:hint="eastAsia" w:ascii="宋体" w:hAnsi="宋体" w:cs="宋体"/>
          <w:b/>
          <w:bCs/>
          <w:sz w:val="36"/>
          <w:szCs w:val="36"/>
          <w:highlight w:val="none"/>
          <w:lang w:val="zh-CN"/>
        </w:rPr>
      </w:pPr>
      <w:r>
        <w:rPr>
          <w:rFonts w:hint="eastAsia" w:ascii="宋体" w:hAnsi="宋体" w:cs="宋体"/>
          <w:b/>
          <w:bCs/>
          <w:sz w:val="36"/>
          <w:szCs w:val="36"/>
          <w:highlight w:val="none"/>
          <w:lang w:val="zh-CN"/>
        </w:rPr>
        <w:t>第四部分  评审程序和内容</w:t>
      </w:r>
    </w:p>
    <w:p w14:paraId="2A35BD82">
      <w:pPr>
        <w:autoSpaceDE w:val="0"/>
        <w:autoSpaceDN w:val="0"/>
        <w:adjustRightInd w:val="0"/>
        <w:snapToGrid w:val="0"/>
        <w:spacing w:line="360" w:lineRule="auto"/>
        <w:ind w:right="210" w:firstLine="482" w:firstLineChars="200"/>
        <w:rPr>
          <w:rFonts w:hint="eastAsia" w:ascii="宋体" w:hAnsi="宋体" w:cs="宋体"/>
          <w:b/>
          <w:sz w:val="24"/>
          <w:highlight w:val="none"/>
          <w:lang w:val="zh-CN"/>
        </w:rPr>
      </w:pPr>
      <w:r>
        <w:rPr>
          <w:rFonts w:hint="eastAsia" w:ascii="宋体" w:hAnsi="宋体" w:cs="宋体"/>
          <w:b/>
          <w:sz w:val="24"/>
          <w:highlight w:val="none"/>
          <w:lang w:val="zh-CN"/>
        </w:rPr>
        <w:t>一、采购人组织磋商活动</w:t>
      </w:r>
    </w:p>
    <w:p w14:paraId="6AB3E70F">
      <w:pPr>
        <w:pStyle w:val="30"/>
        <w:snapToGrid w:val="0"/>
        <w:spacing w:line="360" w:lineRule="auto"/>
        <w:ind w:firstLine="482" w:firstLineChars="200"/>
        <w:contextualSpacing/>
        <w:rPr>
          <w:rFonts w:hint="eastAsia" w:ascii="宋体" w:eastAsia="宋体" w:cs="宋体"/>
          <w:b/>
          <w:kern w:val="0"/>
          <w:sz w:val="24"/>
          <w:szCs w:val="24"/>
          <w:highlight w:val="none"/>
          <w:lang w:val="zh-CN"/>
        </w:rPr>
      </w:pPr>
      <w:r>
        <w:rPr>
          <w:rFonts w:hint="eastAsia" w:ascii="宋体" w:eastAsia="宋体" w:cs="宋体"/>
          <w:b/>
          <w:kern w:val="0"/>
          <w:sz w:val="24"/>
          <w:szCs w:val="24"/>
          <w:highlight w:val="none"/>
          <w:lang w:val="zh-CN"/>
        </w:rPr>
        <w:t>1.成立竞争性磋商小组。</w:t>
      </w:r>
    </w:p>
    <w:p w14:paraId="12B42B8E">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rPr>
        <w:t>磋商小组由</w:t>
      </w:r>
      <w:r>
        <w:rPr>
          <w:rFonts w:hint="eastAsia" w:ascii="宋体" w:eastAsia="宋体" w:cs="宋体"/>
          <w:sz w:val="24"/>
          <w:szCs w:val="24"/>
          <w:highlight w:val="none"/>
        </w:rPr>
        <w:t>有关专家</w:t>
      </w:r>
      <w:r>
        <w:rPr>
          <w:rFonts w:hint="eastAsia" w:ascii="宋体" w:eastAsia="宋体" w:cs="宋体"/>
          <w:kern w:val="0"/>
          <w:sz w:val="24"/>
          <w:szCs w:val="24"/>
          <w:highlight w:val="none"/>
        </w:rPr>
        <w:t>共3人或以上单数组成。采购代理机构人员不得参加本机构代理的采购项目的评审。</w:t>
      </w:r>
    </w:p>
    <w:p w14:paraId="24F798CA">
      <w:pPr>
        <w:spacing w:line="360" w:lineRule="auto"/>
        <w:ind w:firstLine="482" w:firstLineChars="200"/>
        <w:rPr>
          <w:rFonts w:hint="eastAsia" w:ascii="宋体" w:hAnsi="宋体" w:cs="宋体"/>
          <w:b/>
          <w:kern w:val="0"/>
          <w:sz w:val="24"/>
          <w:highlight w:val="none"/>
          <w:lang w:val="zh-CN"/>
        </w:rPr>
      </w:pPr>
      <w:r>
        <w:rPr>
          <w:rFonts w:hint="eastAsia" w:ascii="宋体" w:hAnsi="宋体" w:cs="宋体"/>
          <w:b/>
          <w:kern w:val="0"/>
          <w:sz w:val="24"/>
          <w:highlight w:val="none"/>
          <w:lang w:val="zh-CN"/>
        </w:rPr>
        <w:t>2.竞争性磋商小组的职责：</w:t>
      </w:r>
    </w:p>
    <w:p w14:paraId="49AD4BAF">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评审专家应当遵守评审工作纪律，不得泄露评审情况和评审中获悉的商业秘密。</w:t>
      </w:r>
    </w:p>
    <w:p w14:paraId="183D4B4C">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磋商小组在评审过程中发现供应商有行贿、提供虚假材料或者串通等违法行为的，应当及时向主管部门报告。</w:t>
      </w:r>
    </w:p>
    <w:p w14:paraId="027E6A78">
      <w:pPr>
        <w:pStyle w:val="30"/>
        <w:snapToGrid w:val="0"/>
        <w:spacing w:line="360" w:lineRule="auto"/>
        <w:ind w:firstLine="480" w:firstLineChars="200"/>
        <w:contextualSpacing/>
        <w:rPr>
          <w:rFonts w:hint="eastAsia" w:ascii="宋体" w:eastAsia="宋体" w:cs="宋体"/>
          <w:kern w:val="0"/>
          <w:sz w:val="24"/>
          <w:szCs w:val="24"/>
          <w:highlight w:val="none"/>
        </w:rPr>
      </w:pPr>
      <w:r>
        <w:rPr>
          <w:rFonts w:hint="eastAsia" w:ascii="宋体" w:eastAsia="宋体" w:cs="宋体"/>
          <w:kern w:val="0"/>
          <w:sz w:val="24"/>
          <w:szCs w:val="24"/>
          <w:highlight w:val="none"/>
          <w:lang w:val="zh-CN"/>
        </w:rPr>
        <w:t>评审专家在评审过程中受到非法干涉的，应当及时向相关主管部门举报。</w:t>
      </w:r>
    </w:p>
    <w:p w14:paraId="46C7387D">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3CEE468">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磋商文件内容违反国家有关强制性规定的，磋商小组应当停止评审并向采购人或者采购代理机构说明情况。</w:t>
      </w:r>
    </w:p>
    <w:p w14:paraId="131D6830">
      <w:pPr>
        <w:pStyle w:val="30"/>
        <w:snapToGrid w:val="0"/>
        <w:spacing w:line="360" w:lineRule="auto"/>
        <w:ind w:firstLine="482" w:firstLineChars="200"/>
        <w:contextualSpacing/>
        <w:rPr>
          <w:rFonts w:hint="eastAsia" w:ascii="宋体" w:eastAsia="宋体" w:cs="宋体"/>
          <w:b/>
          <w:kern w:val="0"/>
          <w:sz w:val="24"/>
          <w:szCs w:val="24"/>
          <w:highlight w:val="none"/>
          <w:lang w:val="zh-CN"/>
        </w:rPr>
      </w:pPr>
      <w:r>
        <w:rPr>
          <w:rFonts w:hint="eastAsia" w:ascii="宋体" w:eastAsia="宋体" w:cs="宋体"/>
          <w:b/>
          <w:kern w:val="0"/>
          <w:sz w:val="24"/>
          <w:szCs w:val="24"/>
          <w:highlight w:val="none"/>
          <w:lang w:val="zh-CN"/>
        </w:rPr>
        <w:t>3.竞争性磋商小组成员的义务：</w:t>
      </w:r>
    </w:p>
    <w:p w14:paraId="6A32BD52">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遵纪守法，客观、公正、廉洁地履行职责；根据采购文件的规定独立进行评审，对个人的评审意见承担法律责任；参与评审报告的起草；配合采购人、采购代理机构答复供应商提出的质疑；配合主管部门的投诉处理和监督检查工作。</w:t>
      </w:r>
    </w:p>
    <w:p w14:paraId="3795E25C">
      <w:pPr>
        <w:pStyle w:val="30"/>
        <w:snapToGrid w:val="0"/>
        <w:spacing w:line="360" w:lineRule="auto"/>
        <w:ind w:firstLine="482" w:firstLineChars="200"/>
        <w:contextualSpacing/>
        <w:rPr>
          <w:rFonts w:hint="eastAsia" w:ascii="宋体" w:eastAsia="宋体" w:cs="宋体"/>
          <w:b/>
          <w:kern w:val="0"/>
          <w:sz w:val="24"/>
          <w:szCs w:val="24"/>
          <w:highlight w:val="none"/>
          <w:lang w:val="zh-CN"/>
        </w:rPr>
      </w:pPr>
      <w:r>
        <w:rPr>
          <w:rFonts w:hint="eastAsia" w:ascii="宋体" w:eastAsia="宋体" w:cs="宋体"/>
          <w:b/>
          <w:kern w:val="0"/>
          <w:sz w:val="24"/>
          <w:szCs w:val="24"/>
          <w:highlight w:val="none"/>
          <w:lang w:val="zh-CN"/>
        </w:rPr>
        <w:t>二、供应商参加磋商活动</w:t>
      </w:r>
    </w:p>
    <w:p w14:paraId="0C19A8A9">
      <w:pPr>
        <w:autoSpaceDE w:val="0"/>
        <w:autoSpaceDN w:val="0"/>
        <w:adjustRightInd w:val="0"/>
        <w:snapToGrid w:val="0"/>
        <w:spacing w:line="360" w:lineRule="auto"/>
        <w:ind w:right="210" w:firstLine="482" w:firstLineChars="200"/>
        <w:rPr>
          <w:rFonts w:hint="eastAsia" w:ascii="宋体" w:hAnsi="宋体" w:cs="宋体"/>
          <w:b/>
          <w:sz w:val="24"/>
          <w:highlight w:val="none"/>
          <w:lang w:val="zh-CN"/>
        </w:rPr>
      </w:pPr>
      <w:r>
        <w:rPr>
          <w:rFonts w:hint="eastAsia" w:ascii="宋体" w:hAnsi="宋体" w:cs="宋体"/>
          <w:b/>
          <w:sz w:val="24"/>
          <w:highlight w:val="none"/>
          <w:lang w:val="zh-CN"/>
        </w:rPr>
        <w:t>供应商的法定代表人或被授权人须持身份证准时参加磋商。</w:t>
      </w:r>
    </w:p>
    <w:p w14:paraId="4F680893">
      <w:pPr>
        <w:autoSpaceDE w:val="0"/>
        <w:autoSpaceDN w:val="0"/>
        <w:adjustRightInd w:val="0"/>
        <w:snapToGrid w:val="0"/>
        <w:spacing w:line="360" w:lineRule="auto"/>
        <w:ind w:right="210" w:firstLine="482" w:firstLineChars="200"/>
        <w:rPr>
          <w:rFonts w:hint="eastAsia" w:ascii="宋体" w:hAnsi="宋体" w:cs="宋体"/>
          <w:b/>
          <w:sz w:val="24"/>
          <w:highlight w:val="none"/>
        </w:rPr>
      </w:pPr>
      <w:r>
        <w:rPr>
          <w:rFonts w:hint="eastAsia" w:ascii="宋体" w:hAnsi="宋体" w:cs="宋体"/>
          <w:b/>
          <w:sz w:val="24"/>
          <w:highlight w:val="none"/>
        </w:rPr>
        <w:t>三、磋商的原则及方法</w:t>
      </w:r>
    </w:p>
    <w:p w14:paraId="651DDD8C">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1</w:t>
      </w:r>
      <w:r>
        <w:rPr>
          <w:rFonts w:hint="eastAsia" w:ascii="宋体" w:eastAsia="宋体" w:cs="宋体"/>
          <w:bCs/>
          <w:kern w:val="0"/>
          <w:sz w:val="24"/>
          <w:szCs w:val="24"/>
          <w:highlight w:val="none"/>
          <w:lang w:val="zh-CN"/>
        </w:rPr>
        <w:t>.</w:t>
      </w:r>
      <w:r>
        <w:rPr>
          <w:rFonts w:hint="eastAsia" w:ascii="宋体" w:eastAsia="宋体" w:cs="宋体"/>
          <w:kern w:val="0"/>
          <w:sz w:val="24"/>
          <w:szCs w:val="24"/>
          <w:highlight w:val="none"/>
          <w:lang w:val="zh-CN"/>
        </w:rPr>
        <w:t>磋商小组成员应当按照客观、公正、审慎的原则，根据磋商文件规定的评审程序、评审方法和评审标准进行独立评审。未实质性响应磋</w:t>
      </w:r>
      <w:r>
        <w:rPr>
          <w:rFonts w:hint="eastAsia" w:ascii="宋体" w:eastAsia="宋体" w:cs="宋体"/>
          <w:kern w:val="0"/>
          <w:sz w:val="24"/>
          <w:szCs w:val="24"/>
          <w:highlight w:val="none"/>
        </w:rPr>
        <w:t>商文件的响应文件按无效响应处理，磋商小组应当告知提交响应文件的供应商。</w:t>
      </w:r>
    </w:p>
    <w:p w14:paraId="45C91E26">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966CEC">
      <w:pPr>
        <w:pStyle w:val="30"/>
        <w:snapToGrid w:val="0"/>
        <w:spacing w:line="360" w:lineRule="auto"/>
        <w:ind w:firstLine="480" w:firstLineChars="200"/>
        <w:contextualSpacing/>
        <w:rPr>
          <w:rFonts w:hint="eastAsia" w:ascii="宋体" w:eastAsia="宋体" w:cs="宋体"/>
          <w:kern w:val="0"/>
          <w:sz w:val="24"/>
          <w:szCs w:val="24"/>
          <w:highlight w:val="none"/>
        </w:rPr>
      </w:pPr>
      <w:r>
        <w:rPr>
          <w:rFonts w:hint="eastAsia" w:ascii="宋体" w:eastAsia="宋体" w:cs="宋体"/>
          <w:kern w:val="0"/>
          <w:sz w:val="24"/>
          <w:szCs w:val="24"/>
          <w:highlight w:val="none"/>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8DD80C2">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2.磋商小组将按照竞争性磋商文件的规定，独立对每个进入打分程序的有效供应商的响应文件的商务技术部分以打分的形式进行评估和评价。商务技术分是所有评委打分的算术平均值（计算结果均四舍五入保留两位小数）。</w:t>
      </w:r>
    </w:p>
    <w:p w14:paraId="44A18950">
      <w:pPr>
        <w:pStyle w:val="30"/>
        <w:snapToGrid w:val="0"/>
        <w:spacing w:line="360" w:lineRule="auto"/>
        <w:ind w:firstLine="480" w:firstLineChars="200"/>
        <w:contextualSpacing/>
        <w:rPr>
          <w:rFonts w:hint="eastAsia" w:ascii="宋体" w:eastAsia="宋体" w:cs="宋体"/>
          <w:kern w:val="0"/>
          <w:sz w:val="24"/>
          <w:szCs w:val="24"/>
          <w:highlight w:val="none"/>
        </w:rPr>
      </w:pPr>
      <w:r>
        <w:rPr>
          <w:rFonts w:hint="eastAsia" w:ascii="宋体" w:eastAsia="宋体" w:cs="宋体"/>
          <w:kern w:val="0"/>
          <w:sz w:val="24"/>
          <w:szCs w:val="24"/>
          <w:highlight w:val="none"/>
          <w:lang w:val="zh-CN"/>
        </w:rPr>
        <w:t>3.</w:t>
      </w:r>
      <w:r>
        <w:rPr>
          <w:rStyle w:val="35"/>
          <w:rFonts w:hint="default" w:cs="宋体"/>
          <w:color w:val="auto"/>
          <w:highlight w:val="none"/>
        </w:rPr>
        <w:t>磋商小组根据磋商文件规定的程序、评定成交的标准等事项与实质性响应磋商文件要求的供应商进行磋商。未实质性响应磋商文件要求的响应文件按无效处理，磋商小组应当告知提交响应文件的供应商。</w:t>
      </w:r>
    </w:p>
    <w:p w14:paraId="041D9F0D">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bCs/>
          <w:kern w:val="0"/>
          <w:sz w:val="24"/>
          <w:szCs w:val="24"/>
          <w:highlight w:val="none"/>
          <w:lang w:val="zh-CN"/>
        </w:rPr>
        <w:t>4.</w:t>
      </w:r>
      <w:r>
        <w:rPr>
          <w:rFonts w:hint="eastAsia" w:ascii="宋体" w:eastAsia="宋体" w:cs="宋体"/>
          <w:kern w:val="0"/>
          <w:sz w:val="24"/>
          <w:szCs w:val="24"/>
          <w:highlight w:val="none"/>
          <w:lang w:val="zh-CN"/>
        </w:rPr>
        <w:t>磋商小组</w:t>
      </w:r>
      <w:r>
        <w:rPr>
          <w:rStyle w:val="35"/>
          <w:rFonts w:hint="default" w:cs="宋体"/>
          <w:color w:val="auto"/>
          <w:highlight w:val="none"/>
          <w:lang w:val="zh-CN"/>
        </w:rPr>
        <w:t>所有</w:t>
      </w:r>
      <w:r>
        <w:rPr>
          <w:rFonts w:hint="eastAsia" w:ascii="宋体" w:eastAsia="宋体" w:cs="宋体"/>
          <w:kern w:val="0"/>
          <w:sz w:val="24"/>
          <w:szCs w:val="24"/>
          <w:highlight w:val="none"/>
          <w:lang w:val="zh-CN"/>
        </w:rPr>
        <w:t>成员应当集中与单一供应商分别进行磋商，并给予所有参加磋商的供应商平等的磋商机会。</w:t>
      </w:r>
    </w:p>
    <w:p w14:paraId="7F6B7928">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5</w:t>
      </w:r>
      <w:r>
        <w:rPr>
          <w:rFonts w:hint="eastAsia" w:ascii="宋体" w:eastAsia="宋体" w:cs="宋体"/>
          <w:b/>
          <w:kern w:val="0"/>
          <w:sz w:val="24"/>
          <w:szCs w:val="24"/>
          <w:highlight w:val="none"/>
          <w:lang w:val="zh-CN"/>
        </w:rPr>
        <w:t>.</w:t>
      </w:r>
      <w:r>
        <w:rPr>
          <w:rFonts w:hint="eastAsia" w:ascii="宋体" w:eastAsia="宋体" w:cs="宋体"/>
          <w:kern w:val="0"/>
          <w:sz w:val="24"/>
          <w:szCs w:val="24"/>
          <w:highlight w:val="none"/>
          <w:lang w:val="zh-CN"/>
        </w:rPr>
        <w:t>在磋商过程中，磋商小组可以根据磋商文件和磋商情况实质性变动采购需求中的技术、服务要求以及合同草案条款，但不得变动磋商文件中的其他内容。实质性变动的内容，须经采购人代表确认。</w:t>
      </w:r>
    </w:p>
    <w:p w14:paraId="5913DFA7">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对磋商文件作出的实质性变动是磋商文件的有效组成部分，磋商小组应当及时以书面形式同时通知所有参加磋商的供应商。</w:t>
      </w:r>
    </w:p>
    <w:p w14:paraId="6A77E7B3">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500BCA9">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6.磋商文件能够详细列明采购标的的技术、服务要求的，磋商结束后，磋商小组应当要求所有实质性响应的供应商在规定时间内提交最后报价，提交最后报价的供应商不得少于3家。</w:t>
      </w:r>
    </w:p>
    <w:p w14:paraId="585251D2">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磋商文件不能详细列明采购标的技术、服务要求，需经磋商由供应商提供最终设计方案或解决方案的，磋商结束后，磋商小组应当按照少数服从多数的原则投票推荐3家及以上供应商的设计方案或者解决方案，并要求其在规定时间内提交最后报价。</w:t>
      </w:r>
    </w:p>
    <w:p w14:paraId="6919C87E">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市场竞争不充分的科研项目，以及需要扶持的科技成果转化项目，提交最后报价的供应商可以是2家。</w:t>
      </w:r>
    </w:p>
    <w:p w14:paraId="1D2D767F">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7.最后报价是供应商响应文件的有效组成部分。</w:t>
      </w:r>
    </w:p>
    <w:p w14:paraId="7427AF1D">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8.对于在磋商顺利开始后至最终报价前，根据磋商情况退出磋商的供应商，须以书面形式说明退出磋商的原因，经磋商小组同意可以退出磋商。</w:t>
      </w:r>
    </w:p>
    <w:p w14:paraId="3175E897">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9.磋商时间由磋商小组掌握。</w:t>
      </w:r>
    </w:p>
    <w:p w14:paraId="1368C8D7">
      <w:pPr>
        <w:autoSpaceDE w:val="0"/>
        <w:autoSpaceDN w:val="0"/>
        <w:adjustRightInd w:val="0"/>
        <w:snapToGrid w:val="0"/>
        <w:spacing w:line="360" w:lineRule="auto"/>
        <w:ind w:right="210" w:firstLine="482" w:firstLineChars="200"/>
        <w:rPr>
          <w:rFonts w:hint="eastAsia" w:ascii="宋体" w:hAnsi="宋体" w:cs="宋体"/>
          <w:b/>
          <w:sz w:val="24"/>
          <w:highlight w:val="none"/>
        </w:rPr>
      </w:pPr>
      <w:r>
        <w:rPr>
          <w:rFonts w:hint="eastAsia" w:ascii="宋体" w:hAnsi="宋体" w:cs="宋体"/>
          <w:b/>
          <w:sz w:val="24"/>
          <w:highlight w:val="none"/>
        </w:rPr>
        <w:t>四、评审步骤</w:t>
      </w:r>
    </w:p>
    <w:p w14:paraId="35EDADBB">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1.评审步骤规定：</w:t>
      </w:r>
    </w:p>
    <w:p w14:paraId="7A2EBFAA">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本次资格审查采用资格后审，各供应商资格审查通过后方能进入商务技术响应文件和报价响应文件评审。</w:t>
      </w:r>
    </w:p>
    <w:p w14:paraId="6E7BC9B3">
      <w:pPr>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第一阶段：</w:t>
      </w:r>
      <w:r>
        <w:rPr>
          <w:rFonts w:hint="eastAsia" w:ascii="宋体" w:hAnsi="宋体" w:cs="宋体"/>
          <w:sz w:val="24"/>
          <w:highlight w:val="none"/>
        </w:rPr>
        <w:t>磋商小组</w:t>
      </w:r>
      <w:r>
        <w:rPr>
          <w:rFonts w:hint="eastAsia" w:ascii="宋体" w:hAnsi="宋体" w:cs="宋体"/>
          <w:color w:val="000000" w:themeColor="text1"/>
          <w:sz w:val="24"/>
          <w:highlight w:val="none"/>
          <w14:textFill>
            <w14:solidFill>
              <w14:schemeClr w14:val="tx1"/>
            </w14:solidFill>
          </w14:textFill>
        </w:rPr>
        <w:t>一并</w:t>
      </w:r>
      <w:r>
        <w:rPr>
          <w:rFonts w:hint="eastAsia" w:ascii="宋体" w:hAnsi="宋体" w:cs="宋体"/>
          <w:sz w:val="24"/>
          <w:highlight w:val="none"/>
          <w:lang w:val="zh-CN"/>
        </w:rPr>
        <w:t>对每个供应商的资格进行审查。</w:t>
      </w:r>
    </w:p>
    <w:p w14:paraId="1DF5DC6E">
      <w:pPr>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第二阶段：磋商小组对每个符合资格要求的供应商的商务技术标进行评审。</w:t>
      </w:r>
    </w:p>
    <w:p w14:paraId="7C1619EF">
      <w:pPr>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第三阶段：以供应商提交的报价响应文件（即首次报价）为基础，磋商小组与供应商单一分别进行磋商：内容主要是对竞争性磋商响应文件中的项目方案的澄清、修正、补充、确认以及价格调整等。</w:t>
      </w:r>
      <w:r>
        <w:rPr>
          <w:rFonts w:hint="eastAsia" w:ascii="宋体" w:hAnsi="宋体" w:cs="宋体"/>
          <w:sz w:val="24"/>
          <w:highlight w:val="none"/>
        </w:rPr>
        <w:t>磋商</w:t>
      </w:r>
      <w:r>
        <w:rPr>
          <w:rFonts w:hint="eastAsia" w:ascii="宋体" w:hAnsi="宋体" w:cs="宋体"/>
          <w:sz w:val="24"/>
          <w:highlight w:val="none"/>
          <w:lang w:val="zh-CN"/>
        </w:rPr>
        <w:t>明确各供应商符合并满足</w:t>
      </w:r>
      <w:r>
        <w:rPr>
          <w:rFonts w:hint="eastAsia" w:ascii="宋体" w:hAnsi="宋体" w:cs="宋体"/>
          <w:sz w:val="24"/>
          <w:highlight w:val="none"/>
        </w:rPr>
        <w:t>磋商</w:t>
      </w:r>
      <w:r>
        <w:rPr>
          <w:rFonts w:hint="eastAsia" w:ascii="宋体" w:hAnsi="宋体" w:cs="宋体"/>
          <w:sz w:val="24"/>
          <w:highlight w:val="none"/>
          <w:lang w:val="zh-CN"/>
        </w:rPr>
        <w:t>文件要求，并能完全响应</w:t>
      </w:r>
      <w:r>
        <w:rPr>
          <w:rFonts w:hint="eastAsia" w:ascii="宋体" w:hAnsi="宋体" w:cs="宋体"/>
          <w:sz w:val="24"/>
          <w:highlight w:val="none"/>
        </w:rPr>
        <w:t>磋商</w:t>
      </w:r>
      <w:r>
        <w:rPr>
          <w:rFonts w:hint="eastAsia" w:ascii="宋体" w:hAnsi="宋体" w:cs="宋体"/>
          <w:sz w:val="24"/>
          <w:highlight w:val="none"/>
          <w:lang w:val="zh-CN"/>
        </w:rPr>
        <w:t>内容后，要求所有作出实质性响应的有效供应商在规定的时间内，在</w:t>
      </w:r>
      <w:r>
        <w:rPr>
          <w:rFonts w:hint="eastAsia" w:ascii="宋体" w:hAnsi="宋体" w:cs="宋体"/>
          <w:sz w:val="24"/>
          <w:highlight w:val="none"/>
        </w:rPr>
        <w:t>磋商</w:t>
      </w:r>
      <w:r>
        <w:rPr>
          <w:rFonts w:hint="eastAsia" w:ascii="宋体" w:hAnsi="宋体" w:cs="宋体"/>
          <w:sz w:val="24"/>
          <w:highlight w:val="none"/>
          <w:lang w:val="zh-CN"/>
        </w:rPr>
        <w:t>现场给出二次报价（即</w:t>
      </w:r>
      <w:r>
        <w:rPr>
          <w:rFonts w:hint="eastAsia" w:ascii="宋体" w:hAnsi="宋体" w:cs="宋体"/>
          <w:sz w:val="24"/>
          <w:highlight w:val="none"/>
        </w:rPr>
        <w:t>最终报价）</w:t>
      </w:r>
      <w:r>
        <w:rPr>
          <w:rFonts w:hint="eastAsia" w:ascii="宋体" w:hAnsi="宋体" w:cs="宋体"/>
          <w:sz w:val="24"/>
          <w:highlight w:val="none"/>
          <w:lang w:val="zh-CN"/>
        </w:rPr>
        <w:t>。同时最终报价中可包括但不限于如最终澄清方案、有关优惠承诺等。如</w:t>
      </w:r>
      <w:r>
        <w:rPr>
          <w:rFonts w:hint="eastAsia" w:ascii="宋体" w:hAnsi="宋体" w:cs="宋体"/>
          <w:sz w:val="24"/>
          <w:highlight w:val="none"/>
        </w:rPr>
        <w:t>磋商</w:t>
      </w:r>
      <w:r>
        <w:rPr>
          <w:rFonts w:hint="eastAsia" w:ascii="宋体" w:hAnsi="宋体" w:cs="宋体"/>
          <w:sz w:val="24"/>
          <w:highlight w:val="none"/>
          <w:lang w:val="zh-CN"/>
        </w:rPr>
        <w:t>内容导致</w:t>
      </w:r>
      <w:r>
        <w:rPr>
          <w:rFonts w:hint="eastAsia" w:ascii="宋体" w:hAnsi="宋体" w:cs="宋体"/>
          <w:sz w:val="24"/>
          <w:highlight w:val="none"/>
        </w:rPr>
        <w:t>竞争性磋商</w:t>
      </w:r>
      <w:r>
        <w:rPr>
          <w:rFonts w:hint="eastAsia" w:ascii="宋体" w:hAnsi="宋体" w:cs="宋体"/>
          <w:sz w:val="24"/>
          <w:highlight w:val="none"/>
          <w:lang w:val="zh-CN"/>
        </w:rPr>
        <w:t>文件有实质性变动的，</w:t>
      </w:r>
      <w:r>
        <w:rPr>
          <w:rFonts w:hint="eastAsia" w:ascii="宋体" w:hAnsi="宋体" w:cs="宋体"/>
          <w:sz w:val="24"/>
          <w:highlight w:val="none"/>
        </w:rPr>
        <w:t>磋商小组</w:t>
      </w:r>
      <w:r>
        <w:rPr>
          <w:rFonts w:hint="eastAsia" w:ascii="宋体" w:hAnsi="宋体" w:cs="宋体"/>
          <w:sz w:val="24"/>
          <w:highlight w:val="none"/>
          <w:lang w:val="zh-CN"/>
        </w:rPr>
        <w:t xml:space="preserve">应当以书面形式通知所有供应商。 </w:t>
      </w:r>
    </w:p>
    <w:p w14:paraId="76EDEBF1">
      <w:pPr>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若无须对项目方案进行澄清、修正、补充等，则磋商小组将要求所有作出实质性响应的有效供应商在规定的时间内，在磋商现场集体给出二次报价（即</w:t>
      </w:r>
      <w:r>
        <w:rPr>
          <w:rFonts w:hint="eastAsia" w:ascii="宋体" w:hAnsi="宋体" w:cs="宋体"/>
          <w:sz w:val="24"/>
          <w:highlight w:val="none"/>
        </w:rPr>
        <w:t>最终报价）。</w:t>
      </w:r>
    </w:p>
    <w:p w14:paraId="20818226">
      <w:pPr>
        <w:snapToGrid w:val="0"/>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除非在磋商中磋商小组对采购人需求内容作了调整增加，或对采购内容作了实质性变更，否则采购人不接受供应商高于自己前一轮的磋商报价。</w:t>
      </w:r>
    </w:p>
    <w:p w14:paraId="236AC08D">
      <w:pPr>
        <w:snapToGrid w:val="0"/>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第二轮报价只需报总价，除暂列金额、暂估价（其具体金额或比例）外各子目按第二轮报价较首轮报价下浮率同比例下浮。</w:t>
      </w:r>
    </w:p>
    <w:p w14:paraId="5169A568">
      <w:pPr>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第四阶段：磋商小组对供应商的最终报价进行评议和比较（</w:t>
      </w:r>
      <w:r>
        <w:rPr>
          <w:rFonts w:hint="eastAsia" w:ascii="宋体" w:hAnsi="宋体"/>
          <w:bCs/>
          <w:sz w:val="24"/>
          <w:highlight w:val="none"/>
        </w:rPr>
        <w:t>磋商小组认为投标供应商的报价明显低于其他通过符合性审查投标供应商的报价，有可能影响产品质量或者不能诚信履约的其他情形</w:t>
      </w:r>
      <w:r>
        <w:rPr>
          <w:rFonts w:hint="eastAsia" w:ascii="宋体" w:hAnsi="宋体" w:cs="宋体"/>
          <w:kern w:val="0"/>
          <w:sz w:val="24"/>
          <w:highlight w:val="none"/>
        </w:rPr>
        <w:t>，</w:t>
      </w:r>
      <w:r>
        <w:rPr>
          <w:rFonts w:hint="eastAsia" w:ascii="宋体" w:hAnsi="宋体"/>
          <w:bCs/>
          <w:sz w:val="24"/>
          <w:highlight w:val="none"/>
        </w:rPr>
        <w:t>磋商小组已启动异常低价投标（响应）审查程序，供应商不提供书面说明、证明材料，或者提供的书面说明、证明材料不能证明其报价合理性的</w:t>
      </w:r>
      <w:r>
        <w:rPr>
          <w:rFonts w:hint="eastAsia" w:ascii="宋体" w:hAnsi="宋体" w:cs="宋体"/>
          <w:kern w:val="0"/>
          <w:sz w:val="24"/>
          <w:highlight w:val="none"/>
        </w:rPr>
        <w:t>报价除外）。磋商小组按照综合得分推荐预成交供应商并出具评审磋商报告。</w:t>
      </w:r>
    </w:p>
    <w:p w14:paraId="5CFB6BDC">
      <w:pPr>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2.在磋商过程中，供应商提交的澄清文件和最终报价响应文件，由供应商法定代表人或被授权人签字后生效，供应商受其约束。</w:t>
      </w:r>
    </w:p>
    <w:p w14:paraId="3465B209">
      <w:pPr>
        <w:snapToGrid w:val="0"/>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五、评审方法-综合评分法</w:t>
      </w:r>
    </w:p>
    <w:p w14:paraId="3C6BD850">
      <w:pPr>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经磋商确定最终采购需求和提交最后报价的供应商后，由磋商小组采用综合评分法对提交最后报价的供应商的响应文件和最后报价进行综合评分。</w:t>
      </w:r>
    </w:p>
    <w:p w14:paraId="10565520">
      <w:pPr>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综合评分法，是指响应文件满足磋商文件全部实质性要求且按评审因素的量化指标评审得分最高的供应商为成交候选供应商的评审方法。</w:t>
      </w:r>
    </w:p>
    <w:p w14:paraId="5B0C5AD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评审时，磋商小组各成员应当独立对每个有效响应的文件进行评价、打分，然后汇总每个供应商每项评分因素的得分（计算结果均四舍五入保留两位小数）。</w:t>
      </w:r>
    </w:p>
    <w:p w14:paraId="0406602D">
      <w:pPr>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（一）审查响应文件的有效性、完整性、响应程度</w:t>
      </w:r>
    </w:p>
    <w:p w14:paraId="03A43EF2">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kern w:val="0"/>
          <w:sz w:val="24"/>
          <w:highlight w:val="none"/>
          <w:lang w:val="zh-CN"/>
        </w:rPr>
        <w:t>.</w:t>
      </w:r>
      <w:r>
        <w:rPr>
          <w:rFonts w:hint="eastAsia" w:ascii="宋体" w:hAnsi="宋体" w:cs="宋体"/>
          <w:sz w:val="24"/>
          <w:highlight w:val="none"/>
        </w:rPr>
        <w:t>要求的保证金是否已提供；</w:t>
      </w:r>
    </w:p>
    <w:p w14:paraId="4F0F7DEA">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kern w:val="0"/>
          <w:sz w:val="24"/>
          <w:highlight w:val="none"/>
          <w:lang w:val="zh-CN"/>
        </w:rPr>
        <w:t>.</w:t>
      </w:r>
      <w:r>
        <w:rPr>
          <w:rFonts w:hint="eastAsia" w:ascii="宋体" w:hAnsi="宋体" w:cs="宋体"/>
          <w:sz w:val="24"/>
          <w:highlight w:val="none"/>
        </w:rPr>
        <w:t>响应文件是否按磋商文件要求装订、密封、签署、盖章的；</w:t>
      </w:r>
    </w:p>
    <w:p w14:paraId="205E5619">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kern w:val="0"/>
          <w:sz w:val="24"/>
          <w:highlight w:val="none"/>
          <w:lang w:val="zh-CN"/>
        </w:rPr>
        <w:t>.</w:t>
      </w:r>
      <w:r>
        <w:rPr>
          <w:rFonts w:hint="eastAsia" w:ascii="宋体" w:hAnsi="宋体" w:cs="宋体"/>
          <w:sz w:val="24"/>
          <w:highlight w:val="none"/>
        </w:rPr>
        <w:t>供应商资格是否符合；</w:t>
      </w:r>
    </w:p>
    <w:p w14:paraId="5E19B99F">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kern w:val="0"/>
          <w:sz w:val="24"/>
          <w:highlight w:val="none"/>
          <w:lang w:val="zh-CN"/>
        </w:rPr>
        <w:t>.</w:t>
      </w:r>
      <w:r>
        <w:rPr>
          <w:rFonts w:hint="eastAsia" w:ascii="宋体" w:hAnsi="宋体" w:cs="宋体"/>
          <w:sz w:val="24"/>
          <w:highlight w:val="none"/>
        </w:rPr>
        <w:t>响应文件是否完整；</w:t>
      </w:r>
    </w:p>
    <w:p w14:paraId="1BF2FFFA">
      <w:pPr>
        <w:snapToGrid w:val="0"/>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5</w:t>
      </w:r>
      <w:r>
        <w:rPr>
          <w:rFonts w:hint="eastAsia" w:ascii="宋体" w:hAnsi="宋体" w:cs="宋体"/>
          <w:kern w:val="0"/>
          <w:sz w:val="24"/>
          <w:highlight w:val="none"/>
          <w:lang w:val="zh-CN"/>
        </w:rPr>
        <w:t>.</w:t>
      </w:r>
      <w:r>
        <w:rPr>
          <w:rFonts w:hint="eastAsia" w:ascii="宋体" w:hAnsi="宋体" w:cs="宋体"/>
          <w:sz w:val="24"/>
          <w:highlight w:val="none"/>
        </w:rPr>
        <w:t>是否作出实质性响应（</w:t>
      </w:r>
      <w:r>
        <w:rPr>
          <w:rFonts w:hint="eastAsia" w:ascii="宋体" w:hAnsi="宋体" w:cs="宋体"/>
          <w:b/>
          <w:sz w:val="24"/>
          <w:highlight w:val="none"/>
        </w:rPr>
        <w:t>是否有实质性响应，只根据响应文件本身，而不寻求外部证据）；</w:t>
      </w:r>
    </w:p>
    <w:p w14:paraId="5452CCEC">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w:t>
      </w:r>
      <w:r>
        <w:rPr>
          <w:rFonts w:hint="eastAsia" w:ascii="宋体" w:hAnsi="宋体" w:cs="宋体"/>
          <w:bCs/>
          <w:kern w:val="0"/>
          <w:sz w:val="24"/>
          <w:highlight w:val="none"/>
          <w:lang w:val="zh-CN"/>
        </w:rPr>
        <w:t>.</w:t>
      </w:r>
      <w:r>
        <w:rPr>
          <w:rFonts w:hint="eastAsia" w:ascii="宋体" w:hAnsi="宋体" w:cs="宋体"/>
          <w:sz w:val="24"/>
          <w:highlight w:val="none"/>
        </w:rPr>
        <w:t>是否有计算错误。</w:t>
      </w:r>
    </w:p>
    <w:p w14:paraId="078C4EEE">
      <w:pPr>
        <w:autoSpaceDE w:val="0"/>
        <w:autoSpaceDN w:val="0"/>
        <w:adjustRightInd w:val="0"/>
        <w:snapToGrid w:val="0"/>
        <w:spacing w:line="360" w:lineRule="auto"/>
        <w:ind w:firstLine="482" w:firstLineChars="200"/>
        <w:contextualSpacing/>
        <w:jc w:val="left"/>
        <w:rPr>
          <w:rFonts w:hint="eastAsia" w:ascii="宋体" w:hAnsi="宋体" w:cs="宋体"/>
          <w:b/>
          <w:bCs/>
          <w:sz w:val="24"/>
          <w:highlight w:val="none"/>
        </w:rPr>
      </w:pPr>
      <w:r>
        <w:rPr>
          <w:rFonts w:hint="eastAsia" w:ascii="宋体" w:hAnsi="宋体" w:cs="宋体"/>
          <w:b/>
          <w:bCs/>
          <w:sz w:val="24"/>
          <w:highlight w:val="none"/>
        </w:rPr>
        <w:t>（二）误差纠正</w:t>
      </w:r>
    </w:p>
    <w:p w14:paraId="2CBCC818">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kern w:val="0"/>
          <w:sz w:val="24"/>
          <w:highlight w:val="none"/>
          <w:lang w:val="zh-CN"/>
        </w:rPr>
        <w:t>.</w:t>
      </w:r>
      <w:r>
        <w:rPr>
          <w:rFonts w:hint="eastAsia" w:ascii="宋体" w:hAnsi="宋体" w:cs="宋体"/>
          <w:sz w:val="24"/>
          <w:highlight w:val="none"/>
          <w:lang w:val="zh-CN"/>
        </w:rPr>
        <w:t>报价表中的大写金额与小写金额、总价金额与按单价汇总金额，若有差异，按照下列规定修正：</w:t>
      </w:r>
    </w:p>
    <w:p w14:paraId="61550D12">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响应</w:t>
      </w:r>
      <w:r>
        <w:rPr>
          <w:rFonts w:hint="eastAsia" w:ascii="宋体" w:hAnsi="宋体" w:cs="宋体"/>
          <w:sz w:val="24"/>
          <w:highlight w:val="none"/>
          <w:lang w:val="zh-CN"/>
        </w:rPr>
        <w:t>文件中开标一览表（报价表）内容与</w:t>
      </w:r>
      <w:r>
        <w:rPr>
          <w:rFonts w:hint="eastAsia" w:ascii="宋体" w:hAnsi="宋体" w:cs="宋体"/>
          <w:sz w:val="24"/>
          <w:highlight w:val="none"/>
        </w:rPr>
        <w:t>响应</w:t>
      </w:r>
      <w:r>
        <w:rPr>
          <w:rFonts w:hint="eastAsia" w:ascii="宋体" w:hAnsi="宋体" w:cs="宋体"/>
          <w:sz w:val="24"/>
          <w:highlight w:val="none"/>
          <w:lang w:val="zh-CN"/>
        </w:rPr>
        <w:t>文件中相应内容不一致的，以开标一览表（报价表）为准；</w:t>
      </w:r>
    </w:p>
    <w:p w14:paraId="16E348E7">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（2）大写金额和小写金额不一致的，以大写金额为准；</w:t>
      </w:r>
    </w:p>
    <w:p w14:paraId="287085D5">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（3）单价金额小数点或者百分比有明显错位的，以开标一览表（报价表）的总价为准，并修改单价；</w:t>
      </w:r>
    </w:p>
    <w:p w14:paraId="7FCB13E4">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（4）总价金额与按单价汇总金额不一致的，以单价金额计算结果为准。</w:t>
      </w:r>
    </w:p>
    <w:p w14:paraId="2CC71807">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同时出现两种以上不一致的，按照前款规定的顺序修正。修正后的报价经</w:t>
      </w:r>
      <w:r>
        <w:rPr>
          <w:rFonts w:hint="eastAsia" w:ascii="宋体" w:hAnsi="宋体" w:cs="宋体"/>
          <w:sz w:val="24"/>
          <w:highlight w:val="none"/>
        </w:rPr>
        <w:t>供应商</w:t>
      </w:r>
      <w:r>
        <w:rPr>
          <w:rFonts w:hint="eastAsia" w:ascii="宋体" w:hAnsi="宋体" w:cs="宋体"/>
          <w:sz w:val="24"/>
          <w:highlight w:val="none"/>
          <w:lang w:val="zh-CN"/>
        </w:rPr>
        <w:t>确认后产生约束力，</w:t>
      </w:r>
      <w:r>
        <w:rPr>
          <w:rFonts w:hint="eastAsia" w:ascii="宋体" w:hAnsi="宋体" w:cs="宋体"/>
          <w:sz w:val="24"/>
          <w:highlight w:val="none"/>
        </w:rPr>
        <w:t>供应商</w:t>
      </w:r>
      <w:r>
        <w:rPr>
          <w:rFonts w:hint="eastAsia" w:ascii="宋体" w:hAnsi="宋体" w:cs="宋体"/>
          <w:sz w:val="24"/>
          <w:highlight w:val="none"/>
          <w:lang w:val="zh-CN"/>
        </w:rPr>
        <w:t>不确认的，其投标无效。</w:t>
      </w:r>
    </w:p>
    <w:p w14:paraId="6CF1844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kern w:val="0"/>
          <w:sz w:val="24"/>
          <w:highlight w:val="none"/>
          <w:lang w:val="zh-CN"/>
        </w:rPr>
        <w:t>.</w:t>
      </w:r>
      <w:r>
        <w:rPr>
          <w:rFonts w:hint="eastAsia" w:ascii="宋体" w:hAnsi="宋体" w:cs="宋体"/>
          <w:sz w:val="24"/>
          <w:highlight w:val="none"/>
        </w:rPr>
        <w:t>正本与副本有矛盾的，以正本为准；</w:t>
      </w:r>
    </w:p>
    <w:p w14:paraId="086D9448">
      <w:pPr>
        <w:tabs>
          <w:tab w:val="left" w:pos="6555"/>
          <w:tab w:val="right" w:pos="8306"/>
        </w:tabs>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（三）出现下列情形之一的，作无效响应处理</w:t>
      </w:r>
      <w:r>
        <w:rPr>
          <w:rFonts w:hint="eastAsia" w:ascii="宋体" w:hAnsi="宋体" w:cs="宋体"/>
          <w:b/>
          <w:sz w:val="24"/>
          <w:highlight w:val="none"/>
        </w:rPr>
        <w:tab/>
      </w:r>
      <w:r>
        <w:rPr>
          <w:rFonts w:hint="eastAsia" w:ascii="宋体" w:hAnsi="宋体" w:cs="宋体"/>
          <w:b/>
          <w:sz w:val="24"/>
          <w:highlight w:val="none"/>
        </w:rPr>
        <w:tab/>
      </w:r>
    </w:p>
    <w:p w14:paraId="6EDE5004">
      <w:pPr>
        <w:snapToGrid w:val="0"/>
        <w:spacing w:line="360" w:lineRule="auto"/>
        <w:ind w:firstLine="57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kern w:val="0"/>
          <w:sz w:val="24"/>
          <w:highlight w:val="none"/>
          <w:lang w:val="zh-CN"/>
        </w:rPr>
        <w:t>.</w:t>
      </w:r>
      <w:r>
        <w:rPr>
          <w:rFonts w:hint="eastAsia" w:ascii="宋体" w:hAnsi="宋体" w:cs="宋体"/>
          <w:sz w:val="24"/>
          <w:highlight w:val="none"/>
        </w:rPr>
        <w:t>响应文件未按照磋商文件规定要求装订、密封、签署、盖章的；</w:t>
      </w:r>
    </w:p>
    <w:p w14:paraId="61B09CB1">
      <w:pPr>
        <w:snapToGrid w:val="0"/>
        <w:spacing w:line="360" w:lineRule="auto"/>
        <w:ind w:firstLine="57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kern w:val="0"/>
          <w:sz w:val="24"/>
          <w:highlight w:val="none"/>
          <w:lang w:val="zh-CN"/>
        </w:rPr>
        <w:t>.</w:t>
      </w:r>
      <w:r>
        <w:rPr>
          <w:rFonts w:hint="eastAsia" w:ascii="宋体" w:hAnsi="宋体" w:cs="宋体"/>
          <w:sz w:val="24"/>
          <w:highlight w:val="none"/>
        </w:rPr>
        <w:t>响应文件不完整的；</w:t>
      </w:r>
    </w:p>
    <w:p w14:paraId="4F781A3A">
      <w:pPr>
        <w:snapToGrid w:val="0"/>
        <w:spacing w:line="360" w:lineRule="auto"/>
        <w:ind w:firstLine="570"/>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kern w:val="0"/>
          <w:sz w:val="24"/>
          <w:highlight w:val="none"/>
          <w:lang w:val="zh-CN"/>
        </w:rPr>
        <w:t>.</w:t>
      </w:r>
      <w:r>
        <w:rPr>
          <w:rFonts w:hint="eastAsia" w:ascii="宋体" w:hAnsi="宋体" w:cs="宋体"/>
          <w:sz w:val="24"/>
          <w:highlight w:val="none"/>
        </w:rPr>
        <w:t>不具备磋商文件中规定的资格要求的；</w:t>
      </w:r>
    </w:p>
    <w:p w14:paraId="4D92FA70">
      <w:pPr>
        <w:snapToGrid w:val="0"/>
        <w:spacing w:line="360" w:lineRule="auto"/>
        <w:ind w:firstLine="570"/>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kern w:val="0"/>
          <w:sz w:val="24"/>
          <w:highlight w:val="none"/>
          <w:lang w:val="zh-CN"/>
        </w:rPr>
        <w:t>.</w:t>
      </w:r>
      <w:r>
        <w:rPr>
          <w:rFonts w:hint="eastAsia" w:ascii="宋体" w:hAnsi="宋体" w:cs="宋体"/>
          <w:sz w:val="24"/>
          <w:highlight w:val="none"/>
        </w:rPr>
        <w:t>响应报价超出预算（最高投标限价）的；</w:t>
      </w:r>
    </w:p>
    <w:p w14:paraId="1A9E6C96">
      <w:pPr>
        <w:snapToGrid w:val="0"/>
        <w:spacing w:line="360" w:lineRule="auto"/>
        <w:ind w:firstLine="570"/>
        <w:rPr>
          <w:rFonts w:hint="eastAsia" w:ascii="宋体" w:hAnsi="宋体" w:cs="宋体"/>
          <w:sz w:val="24"/>
          <w:highlight w:val="none"/>
        </w:rPr>
      </w:pPr>
      <w:r>
        <w:rPr>
          <w:rFonts w:hint="eastAsia" w:ascii="宋体" w:hAnsi="宋体" w:cs="宋体"/>
          <w:sz w:val="24"/>
          <w:highlight w:val="none"/>
        </w:rPr>
        <w:t>5</w:t>
      </w:r>
      <w:r>
        <w:rPr>
          <w:rFonts w:hint="eastAsia" w:ascii="宋体" w:hAnsi="宋体" w:cs="宋体"/>
          <w:kern w:val="0"/>
          <w:sz w:val="24"/>
          <w:highlight w:val="none"/>
          <w:lang w:val="zh-CN"/>
        </w:rPr>
        <w:t>.</w:t>
      </w:r>
      <w:r>
        <w:rPr>
          <w:rFonts w:hint="eastAsia" w:ascii="宋体" w:hAnsi="宋体" w:cs="宋体"/>
          <w:sz w:val="24"/>
          <w:highlight w:val="none"/>
        </w:rPr>
        <w:t>不符合法律、法规和磋商文件中规定的其他实质性要求的；</w:t>
      </w:r>
    </w:p>
    <w:p w14:paraId="4AB87E6C">
      <w:pPr>
        <w:snapToGrid w:val="0"/>
        <w:spacing w:line="360" w:lineRule="auto"/>
        <w:ind w:firstLine="57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投标供应商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2D6DD76">
      <w:pPr>
        <w:snapToGrid w:val="0"/>
        <w:spacing w:line="360" w:lineRule="auto"/>
        <w:ind w:firstLine="570"/>
        <w:rPr>
          <w:rFonts w:hint="eastAsia" w:ascii="宋体" w:hAnsi="宋体"/>
          <w:bCs/>
          <w:sz w:val="24"/>
          <w:highlight w:val="none"/>
        </w:rPr>
      </w:pPr>
      <w:r>
        <w:rPr>
          <w:rFonts w:hint="eastAsia" w:ascii="宋体" w:hAnsi="宋体" w:cs="宋体"/>
          <w:color w:val="000000" w:themeColor="text1"/>
          <w:sz w:val="24"/>
          <w:highlight w:val="none"/>
          <w14:textFill>
            <w14:solidFill>
              <w14:schemeClr w14:val="tx1"/>
            </w14:solidFill>
          </w14:textFill>
        </w:rPr>
        <w:t>7.</w:t>
      </w:r>
      <w:r>
        <w:rPr>
          <w:rFonts w:hint="eastAsia" w:ascii="宋体" w:hAnsi="宋体"/>
          <w:bCs/>
          <w:sz w:val="24"/>
          <w:highlight w:val="none"/>
        </w:rPr>
        <w:t>磋商小组认为投标供应商的报价明显低于其他通过符合性审查投标供应商的报价，有可能影响产品质量或者不能诚信履约的其他情形。磋商小组将启动异常低价投标（响应）审查程序。磋商小组要求相关供应商在评标现场合理的时间内，提供项目具体成本测算等与报价合理性相关的书面说明及相关证明材料，对投标（响应）价格作出解释，由磋商小组结合同类产品在主要电商平台的价格、该行业当地薪资水平等情况，依据专业经验对供应商报价合理性进行判断。投标（响应）供应商不提供书面说明、证明材料，或者提供的书面说明、证明材料不能证明其报价合理性的，磋商小组应当将其作为无效投标（响应）处理。</w:t>
      </w:r>
    </w:p>
    <w:p w14:paraId="27FAC4BF">
      <w:pPr>
        <w:snapToGrid w:val="0"/>
        <w:spacing w:line="360" w:lineRule="auto"/>
        <w:ind w:firstLine="570"/>
        <w:rPr>
          <w:rFonts w:hint="eastAsia" w:ascii="宋体" w:hAnsi="宋体" w:cs="宋体"/>
          <w:b/>
          <w:sz w:val="24"/>
          <w:highlight w:val="none"/>
        </w:rPr>
      </w:pPr>
      <w:r>
        <w:rPr>
          <w:rFonts w:hint="eastAsia" w:ascii="宋体" w:hAnsi="宋体" w:cs="宋体"/>
          <w:b/>
          <w:sz w:val="24"/>
          <w:highlight w:val="none"/>
        </w:rPr>
        <w:t>（四）出现下列情形之一的，磋商失败</w:t>
      </w:r>
    </w:p>
    <w:p w14:paraId="5A5A94CC">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1.符合条件的供应商或者对磋商文件作实质响应的供应商不足3家的（市场竞争不充分的科研项目，以及需要扶持的科技成果转化项目可以是2家）；</w:t>
      </w:r>
    </w:p>
    <w:p w14:paraId="600B45E7">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2.出现影响采购公正的违法违规行为的；</w:t>
      </w:r>
    </w:p>
    <w:p w14:paraId="2B85890F">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3.供应商的最后报价均超过了采购预算，采购人不能支付的；</w:t>
      </w:r>
    </w:p>
    <w:p w14:paraId="3CE7CBA2">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4.因重大变故，采购任务取消的。</w:t>
      </w:r>
    </w:p>
    <w:p w14:paraId="237BCEC2">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主管部门。</w:t>
      </w:r>
    </w:p>
    <w:p w14:paraId="5FB7B833">
      <w:pPr>
        <w:snapToGrid w:val="0"/>
        <w:spacing w:line="360" w:lineRule="auto"/>
        <w:ind w:firstLine="555"/>
        <w:rPr>
          <w:rFonts w:hint="eastAsia" w:ascii="宋体" w:hAnsi="宋体" w:cs="宋体"/>
          <w:b/>
          <w:bCs/>
          <w:sz w:val="24"/>
          <w:highlight w:val="none"/>
        </w:rPr>
      </w:pPr>
      <w:r>
        <w:rPr>
          <w:rFonts w:hint="eastAsia" w:ascii="宋体" w:hAnsi="宋体" w:cs="宋体"/>
          <w:b/>
          <w:bCs/>
          <w:sz w:val="24"/>
          <w:highlight w:val="none"/>
        </w:rPr>
        <w:t xml:space="preserve">（五）本次项目磋商的商务技术响应文件和报价响应文件评审总分值为100分。两部分评审因素比重如下： </w:t>
      </w:r>
    </w:p>
    <w:p w14:paraId="2622608F">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商务技术</w:t>
      </w:r>
      <w:r>
        <w:rPr>
          <w:rFonts w:hint="eastAsia" w:ascii="宋体" w:hAnsi="宋体" w:cs="宋体"/>
          <w:kern w:val="0"/>
          <w:sz w:val="24"/>
          <w:highlight w:val="none"/>
        </w:rPr>
        <w:t>响应文件</w:t>
      </w:r>
      <w:r>
        <w:rPr>
          <w:rFonts w:hint="eastAsia" w:ascii="宋体" w:hAnsi="宋体" w:cs="宋体"/>
          <w:sz w:val="24"/>
          <w:highlight w:val="none"/>
        </w:rPr>
        <w:t>分值占总分值的比重为</w:t>
      </w:r>
      <w:r>
        <w:rPr>
          <w:rFonts w:hint="eastAsia" w:ascii="宋体" w:hAnsi="宋体" w:cs="宋体"/>
          <w:b/>
          <w:sz w:val="24"/>
          <w:highlight w:val="none"/>
          <w:u w:val="single"/>
        </w:rPr>
        <w:t>90%（权重）</w:t>
      </w:r>
      <w:r>
        <w:rPr>
          <w:rFonts w:hint="eastAsia" w:ascii="宋体" w:hAnsi="宋体" w:cs="宋体"/>
          <w:sz w:val="24"/>
          <w:highlight w:val="none"/>
        </w:rPr>
        <w:t>（四舍五入保留两位小数）；</w:t>
      </w:r>
    </w:p>
    <w:p w14:paraId="0FDF143C">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报价</w:t>
      </w:r>
      <w:r>
        <w:rPr>
          <w:rFonts w:hint="eastAsia" w:ascii="宋体" w:hAnsi="宋体" w:cs="宋体"/>
          <w:kern w:val="0"/>
          <w:sz w:val="24"/>
          <w:highlight w:val="none"/>
        </w:rPr>
        <w:t>响应文件</w:t>
      </w:r>
      <w:r>
        <w:rPr>
          <w:rFonts w:hint="eastAsia" w:ascii="宋体" w:hAnsi="宋体" w:cs="宋体"/>
          <w:sz w:val="24"/>
          <w:highlight w:val="none"/>
        </w:rPr>
        <w:t>分值占总分值的比重为</w:t>
      </w:r>
      <w:r>
        <w:rPr>
          <w:rFonts w:hint="eastAsia" w:ascii="宋体" w:hAnsi="宋体" w:cs="宋体"/>
          <w:b/>
          <w:sz w:val="24"/>
          <w:highlight w:val="none"/>
          <w:u w:val="single"/>
        </w:rPr>
        <w:t>10%（权重）</w:t>
      </w:r>
      <w:r>
        <w:rPr>
          <w:rFonts w:hint="eastAsia" w:ascii="宋体" w:hAnsi="宋体" w:cs="宋体"/>
          <w:sz w:val="24"/>
          <w:highlight w:val="none"/>
        </w:rPr>
        <w:t>（四舍五入保留两位小数）。</w:t>
      </w:r>
    </w:p>
    <w:p w14:paraId="7C1803C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商务技术响应文件分值为所有磋商小组成员打分的算术平均值，计算结果均四舍五入保留两位小数。 </w:t>
      </w:r>
    </w:p>
    <w:p w14:paraId="4056F703">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报价响应文件分值统一采用低价优先法计算直接取得，与商务技术响应文件分值相加为供应商的综合得分（四舍五入保留两位小数）。</w:t>
      </w:r>
    </w:p>
    <w:p w14:paraId="634F0D9F">
      <w:pPr>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（六）磋商小组推荐综合得分最高的供应商为项目预成交供应商，并出具评审磋商报告。</w:t>
      </w:r>
    </w:p>
    <w:p w14:paraId="6ACA7D4D">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如成交供应商拒绝与采购人签订合同的，采购人可以按照评审报告推荐的成交候选人名单排序，确定下一候选人为成交供应商，也可以重新开展采购活动。</w:t>
      </w:r>
    </w:p>
    <w:p w14:paraId="7535EC6E">
      <w:pPr>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（七）确定成交候选人的特殊情况处理：</w:t>
      </w:r>
    </w:p>
    <w:p w14:paraId="30BC22BC">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1.若总分相同，则按最终报价得分高者优先。</w:t>
      </w:r>
    </w:p>
    <w:p w14:paraId="3C8D59F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2.若总分且最终报价得分均相同的，则采取评委票决的方式确定。</w:t>
      </w:r>
    </w:p>
    <w:p w14:paraId="15C23AFF">
      <w:pPr>
        <w:snapToGrid w:val="0"/>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w:t>
      </w:r>
      <w:r>
        <w:rPr>
          <w:rFonts w:hint="eastAsia" w:ascii="宋体" w:hAnsi="宋体" w:cs="宋体"/>
          <w:b/>
          <w:sz w:val="24"/>
          <w:highlight w:val="none"/>
        </w:rPr>
        <w:t>八）磋商评审时，磋商小组成员对评审的细则若有争议，由磋商小组集体讨论确定，并对未尽情况有最终解释权。</w:t>
      </w:r>
    </w:p>
    <w:p w14:paraId="575DF452">
      <w:pPr>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（九）对落标的供应商不做落标原因的解释。</w:t>
      </w:r>
    </w:p>
    <w:p w14:paraId="4A72C3A8">
      <w:pPr>
        <w:snapToGrid w:val="0"/>
        <w:spacing w:line="360" w:lineRule="auto"/>
        <w:ind w:left="568"/>
        <w:rPr>
          <w:rFonts w:hint="eastAsia" w:ascii="宋体" w:hAnsi="宋体" w:cs="宋体"/>
          <w:b/>
          <w:sz w:val="24"/>
          <w:highlight w:val="none"/>
          <w:lang w:val="zh-CN"/>
        </w:rPr>
      </w:pPr>
      <w:r>
        <w:rPr>
          <w:rFonts w:hint="eastAsia" w:ascii="宋体" w:hAnsi="宋体" w:cs="宋体"/>
          <w:b/>
          <w:sz w:val="24"/>
          <w:highlight w:val="none"/>
          <w:lang w:val="zh-CN"/>
        </w:rPr>
        <w:t>六、评审标准</w:t>
      </w:r>
    </w:p>
    <w:p w14:paraId="2FC8E404">
      <w:pPr>
        <w:snapToGrid w:val="0"/>
        <w:spacing w:line="360" w:lineRule="auto"/>
        <w:ind w:left="568"/>
        <w:rPr>
          <w:rFonts w:hint="eastAsia" w:ascii="宋体" w:hAnsi="宋体" w:cs="宋体"/>
          <w:b/>
          <w:sz w:val="24"/>
          <w:highlight w:val="none"/>
        </w:rPr>
      </w:pPr>
      <w:r>
        <w:rPr>
          <w:rFonts w:hint="eastAsia" w:ascii="宋体" w:hAnsi="宋体" w:cs="宋体"/>
          <w:b/>
          <w:sz w:val="24"/>
          <w:highlight w:val="none"/>
        </w:rPr>
        <w:t>（一）</w:t>
      </w:r>
      <w:r>
        <w:rPr>
          <w:rFonts w:hint="eastAsia" w:ascii="宋体" w:hAnsi="宋体" w:cs="宋体"/>
          <w:b/>
          <w:sz w:val="24"/>
          <w:highlight w:val="none"/>
          <w:lang w:val="zh-CN"/>
        </w:rPr>
        <w:t>商务技术分（</w:t>
      </w:r>
      <w:r>
        <w:rPr>
          <w:rFonts w:hint="eastAsia" w:ascii="宋体" w:hAnsi="宋体" w:cs="宋体"/>
          <w:b/>
          <w:sz w:val="24"/>
          <w:highlight w:val="none"/>
        </w:rPr>
        <w:t>9</w:t>
      </w:r>
      <w:r>
        <w:rPr>
          <w:rFonts w:hint="eastAsia" w:ascii="宋体" w:hAnsi="宋体" w:cs="宋体"/>
          <w:b/>
          <w:sz w:val="24"/>
          <w:highlight w:val="none"/>
          <w:lang w:val="zh-CN"/>
        </w:rPr>
        <w:t>0分）</w:t>
      </w:r>
    </w:p>
    <w:p w14:paraId="48E03B14">
      <w:pPr>
        <w:snapToGrid w:val="0"/>
        <w:spacing w:line="360" w:lineRule="auto"/>
        <w:ind w:firstLine="480"/>
        <w:contextualSpacing/>
        <w:jc w:val="left"/>
        <w:rPr>
          <w:rFonts w:hint="eastAsia" w:ascii="宋体" w:hAnsi="宋体" w:cs="宋体"/>
          <w:sz w:val="24"/>
          <w:highlight w:val="none"/>
        </w:rPr>
      </w:pPr>
      <w:r>
        <w:rPr>
          <w:rFonts w:hint="eastAsia" w:ascii="宋体" w:hAnsi="宋体" w:cs="宋体"/>
          <w:sz w:val="24"/>
          <w:highlight w:val="none"/>
        </w:rPr>
        <w:t>供应商得分为磋商小组成员评分的算术平均分,分值四舍五入保留小数点后两位。</w:t>
      </w:r>
    </w:p>
    <w:tbl>
      <w:tblPr>
        <w:tblStyle w:val="18"/>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298"/>
        <w:gridCol w:w="655"/>
        <w:gridCol w:w="1309"/>
        <w:gridCol w:w="5767"/>
        <w:gridCol w:w="339"/>
        <w:gridCol w:w="339"/>
        <w:gridCol w:w="350"/>
      </w:tblGrid>
      <w:tr w14:paraId="67DB11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30" w:hRule="atLeast"/>
        </w:trPr>
        <w:tc>
          <w:tcPr>
            <w:tcW w:w="0" w:type="auto"/>
            <w:vAlign w:val="center"/>
          </w:tcPr>
          <w:p w14:paraId="5D474EFF">
            <w:pPr>
              <w:snapToGrid w:val="0"/>
              <w:jc w:val="center"/>
              <w:rPr>
                <w:sz w:val="24"/>
                <w:highlight w:val="none"/>
              </w:rPr>
            </w:pPr>
            <w:r>
              <w:rPr>
                <w:sz w:val="24"/>
                <w:highlight w:val="none"/>
              </w:rPr>
              <w:t>序号</w:t>
            </w:r>
          </w:p>
        </w:tc>
        <w:tc>
          <w:tcPr>
            <w:tcW w:w="0" w:type="auto"/>
            <w:gridSpan w:val="2"/>
            <w:vAlign w:val="center"/>
          </w:tcPr>
          <w:p w14:paraId="13AE7996">
            <w:pPr>
              <w:snapToGrid w:val="0"/>
              <w:jc w:val="center"/>
              <w:rPr>
                <w:sz w:val="24"/>
                <w:highlight w:val="none"/>
              </w:rPr>
            </w:pPr>
            <w:r>
              <w:rPr>
                <w:sz w:val="24"/>
                <w:highlight w:val="none"/>
              </w:rPr>
              <w:t>评分内容</w:t>
            </w:r>
          </w:p>
        </w:tc>
        <w:tc>
          <w:tcPr>
            <w:tcW w:w="0" w:type="auto"/>
            <w:vAlign w:val="center"/>
          </w:tcPr>
          <w:p w14:paraId="277B2704">
            <w:pPr>
              <w:snapToGrid w:val="0"/>
              <w:jc w:val="center"/>
              <w:rPr>
                <w:sz w:val="24"/>
                <w:highlight w:val="none"/>
              </w:rPr>
            </w:pPr>
            <w:r>
              <w:rPr>
                <w:sz w:val="24"/>
                <w:highlight w:val="none"/>
              </w:rPr>
              <w:t>评分标准</w:t>
            </w:r>
          </w:p>
        </w:tc>
        <w:tc>
          <w:tcPr>
            <w:tcW w:w="0" w:type="auto"/>
            <w:vAlign w:val="center"/>
          </w:tcPr>
          <w:p w14:paraId="3A948EC8">
            <w:pPr>
              <w:snapToGrid w:val="0"/>
              <w:jc w:val="center"/>
              <w:rPr>
                <w:sz w:val="24"/>
                <w:highlight w:val="none"/>
              </w:rPr>
            </w:pPr>
            <w:r>
              <w:rPr>
                <w:sz w:val="24"/>
                <w:highlight w:val="none"/>
              </w:rPr>
              <w:t>最高分</w:t>
            </w:r>
          </w:p>
        </w:tc>
        <w:tc>
          <w:tcPr>
            <w:tcW w:w="0" w:type="auto"/>
            <w:vAlign w:val="center"/>
          </w:tcPr>
          <w:p w14:paraId="70366FB0">
            <w:pPr>
              <w:snapToGrid w:val="0"/>
              <w:jc w:val="center"/>
              <w:rPr>
                <w:sz w:val="24"/>
                <w:highlight w:val="none"/>
              </w:rPr>
            </w:pPr>
            <w:r>
              <w:rPr>
                <w:sz w:val="24"/>
                <w:highlight w:val="none"/>
              </w:rPr>
              <w:t>最低分</w:t>
            </w:r>
          </w:p>
        </w:tc>
        <w:tc>
          <w:tcPr>
            <w:tcW w:w="0" w:type="auto"/>
            <w:vAlign w:val="center"/>
          </w:tcPr>
          <w:p w14:paraId="73679564">
            <w:pPr>
              <w:snapToGrid w:val="0"/>
              <w:jc w:val="center"/>
              <w:rPr>
                <w:sz w:val="24"/>
                <w:highlight w:val="none"/>
              </w:rPr>
            </w:pPr>
            <w:r>
              <w:rPr>
                <w:sz w:val="24"/>
                <w:highlight w:val="none"/>
              </w:rPr>
              <w:t>主/客观</w:t>
            </w:r>
          </w:p>
        </w:tc>
      </w:tr>
      <w:tr w14:paraId="66E3AB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99" w:hRule="atLeast"/>
        </w:trPr>
        <w:tc>
          <w:tcPr>
            <w:tcW w:w="0" w:type="auto"/>
            <w:vAlign w:val="center"/>
          </w:tcPr>
          <w:p w14:paraId="5A31515C">
            <w:pPr>
              <w:snapToGrid w:val="0"/>
              <w:jc w:val="center"/>
              <w:rPr>
                <w:sz w:val="24"/>
                <w:highlight w:val="none"/>
              </w:rPr>
            </w:pPr>
            <w:r>
              <w:rPr>
                <w:sz w:val="24"/>
                <w:highlight w:val="none"/>
              </w:rPr>
              <w:t>1</w:t>
            </w:r>
          </w:p>
        </w:tc>
        <w:tc>
          <w:tcPr>
            <w:tcW w:w="0" w:type="auto"/>
            <w:gridSpan w:val="2"/>
            <w:vAlign w:val="center"/>
          </w:tcPr>
          <w:p w14:paraId="67891AA7">
            <w:pPr>
              <w:snapToGrid w:val="0"/>
              <w:rPr>
                <w:rFonts w:hint="eastAsia" w:ascii="Times New Roman" w:hAnsi="宋体" w:eastAsia="宋体" w:cs="Times New Roman"/>
                <w:szCs w:val="21"/>
                <w:highlight w:val="none"/>
              </w:rPr>
            </w:pPr>
            <w:r>
              <w:rPr>
                <w:rFonts w:hint="eastAsia" w:ascii="Times New Roman" w:hAnsi="宋体" w:eastAsia="宋体" w:cs="Times New Roman"/>
                <w:szCs w:val="21"/>
                <w:highlight w:val="none"/>
              </w:rPr>
              <w:t>供应商业绩</w:t>
            </w:r>
          </w:p>
          <w:p w14:paraId="26D4C02D">
            <w:pPr>
              <w:snapToGrid w:val="0"/>
              <w:rPr>
                <w:rFonts w:hint="eastAsia" w:ascii="Times New Roman" w:hAnsi="宋体" w:eastAsia="宋体" w:cs="Times New Roman"/>
                <w:szCs w:val="21"/>
                <w:highlight w:val="none"/>
              </w:rPr>
            </w:pPr>
            <w:r>
              <w:rPr>
                <w:rFonts w:hint="eastAsia" w:ascii="Times New Roman" w:hAnsi="宋体" w:eastAsia="宋体" w:cs="Times New Roman"/>
                <w:szCs w:val="21"/>
                <w:highlight w:val="none"/>
              </w:rPr>
              <w:t>（30分）</w:t>
            </w:r>
          </w:p>
        </w:tc>
        <w:tc>
          <w:tcPr>
            <w:tcW w:w="0" w:type="auto"/>
            <w:vAlign w:val="center"/>
          </w:tcPr>
          <w:p w14:paraId="75D62A40">
            <w:pPr>
              <w:snapToGrid w:val="0"/>
              <w:rPr>
                <w:rFonts w:hint="eastAsia" w:ascii="Times New Roman" w:hAnsi="宋体" w:eastAsia="宋体" w:cs="Times New Roman"/>
                <w:szCs w:val="21"/>
                <w:highlight w:val="none"/>
              </w:rPr>
            </w:pPr>
            <w:r>
              <w:rPr>
                <w:rFonts w:hint="eastAsia" w:ascii="Times New Roman" w:hAnsi="宋体" w:eastAsia="宋体" w:cs="Times New Roman"/>
                <w:szCs w:val="21"/>
                <w:highlight w:val="none"/>
                <w:lang w:val="en-US" w:eastAsia="zh-CN"/>
              </w:rPr>
              <w:t>1、</w:t>
            </w:r>
            <w:r>
              <w:rPr>
                <w:rFonts w:hint="eastAsia" w:ascii="Times New Roman" w:hAnsi="宋体" w:eastAsia="宋体" w:cs="Times New Roman"/>
                <w:szCs w:val="21"/>
                <w:highlight w:val="none"/>
              </w:rPr>
              <w:t>供应商自202</w:t>
            </w:r>
            <w:r>
              <w:rPr>
                <w:rFonts w:hint="eastAsia" w:ascii="Times New Roman" w:hAnsi="宋体" w:eastAsia="宋体" w:cs="Times New Roman"/>
                <w:szCs w:val="21"/>
                <w:highlight w:val="none"/>
                <w:lang w:val="en-US" w:eastAsia="zh-CN"/>
              </w:rPr>
              <w:t>1</w:t>
            </w:r>
            <w:r>
              <w:rPr>
                <w:rFonts w:hint="eastAsia" w:ascii="Times New Roman" w:hAnsi="宋体" w:eastAsia="宋体" w:cs="Times New Roman"/>
                <w:szCs w:val="21"/>
                <w:highlight w:val="none"/>
              </w:rPr>
              <w:t>年1月1日以来（以合同签订时间为准）完成过</w:t>
            </w:r>
            <w:r>
              <w:rPr>
                <w:rFonts w:hint="eastAsia" w:ascii="Times New Roman" w:hAnsi="宋体" w:eastAsia="宋体" w:cs="Times New Roman"/>
                <w:szCs w:val="21"/>
                <w:highlight w:val="none"/>
                <w:lang w:val="en-US" w:eastAsia="zh-CN"/>
              </w:rPr>
              <w:t>高速公路或快速路</w:t>
            </w:r>
            <w:r>
              <w:rPr>
                <w:rFonts w:hint="eastAsia" w:ascii="Times New Roman" w:hAnsi="宋体" w:eastAsia="宋体" w:cs="Times New Roman"/>
                <w:szCs w:val="21"/>
                <w:highlight w:val="none"/>
              </w:rPr>
              <w:t>新建（或改建或扩建）</w:t>
            </w:r>
            <w:r>
              <w:rPr>
                <w:rFonts w:hint="eastAsia" w:ascii="Times New Roman" w:hAnsi="宋体" w:eastAsia="宋体" w:cs="Times New Roman"/>
                <w:szCs w:val="21"/>
                <w:highlight w:val="none"/>
                <w:lang w:eastAsia="zh-CN"/>
              </w:rPr>
              <w:t>的</w:t>
            </w:r>
            <w:r>
              <w:rPr>
                <w:rFonts w:hint="eastAsia" w:ascii="Times New Roman" w:hAnsi="宋体" w:eastAsia="宋体" w:cs="Times New Roman"/>
                <w:szCs w:val="21"/>
                <w:highlight w:val="none"/>
              </w:rPr>
              <w:t>方案研究（或预可行性研究或可行性研究）项目。每提供一个得</w:t>
            </w:r>
            <w:r>
              <w:rPr>
                <w:rFonts w:hint="eastAsia" w:ascii="Times New Roman" w:hAnsi="宋体" w:eastAsia="宋体" w:cs="Times New Roman"/>
                <w:szCs w:val="21"/>
                <w:highlight w:val="none"/>
                <w:lang w:val="en-US" w:eastAsia="zh-CN"/>
              </w:rPr>
              <w:t>6</w:t>
            </w:r>
            <w:r>
              <w:rPr>
                <w:rFonts w:hint="eastAsia" w:ascii="Times New Roman" w:hAnsi="宋体" w:eastAsia="宋体" w:cs="Times New Roman"/>
                <w:szCs w:val="21"/>
                <w:highlight w:val="none"/>
              </w:rPr>
              <w:t>分，最高得</w:t>
            </w:r>
            <w:r>
              <w:rPr>
                <w:rFonts w:hint="eastAsia" w:ascii="Times New Roman" w:hAnsi="宋体" w:eastAsia="宋体" w:cs="Times New Roman"/>
                <w:szCs w:val="21"/>
                <w:highlight w:val="none"/>
                <w:lang w:val="en-US" w:eastAsia="zh-CN"/>
              </w:rPr>
              <w:t>18</w:t>
            </w:r>
            <w:r>
              <w:rPr>
                <w:rFonts w:hint="eastAsia" w:ascii="Times New Roman" w:hAnsi="宋体" w:eastAsia="宋体" w:cs="Times New Roman"/>
                <w:szCs w:val="21"/>
                <w:highlight w:val="none"/>
              </w:rPr>
              <w:t>分。</w:t>
            </w:r>
          </w:p>
          <w:p w14:paraId="67CC2ABB">
            <w:pPr>
              <w:snapToGrid w:val="0"/>
              <w:rPr>
                <w:rFonts w:hint="eastAsia" w:ascii="Times New Roman" w:hAnsi="宋体" w:eastAsia="宋体" w:cs="Times New Roman"/>
                <w:szCs w:val="21"/>
                <w:highlight w:val="none"/>
              </w:rPr>
            </w:pPr>
            <w:r>
              <w:rPr>
                <w:rFonts w:hint="eastAsia" w:ascii="Times New Roman" w:hAnsi="宋体" w:eastAsia="宋体" w:cs="Times New Roman"/>
                <w:szCs w:val="21"/>
                <w:highlight w:val="none"/>
                <w:lang w:val="en-US" w:eastAsia="zh-CN"/>
              </w:rPr>
              <w:t>2、</w:t>
            </w:r>
            <w:r>
              <w:rPr>
                <w:rFonts w:hint="eastAsia" w:ascii="Times New Roman" w:hAnsi="宋体" w:eastAsia="宋体" w:cs="Times New Roman"/>
                <w:szCs w:val="21"/>
                <w:highlight w:val="none"/>
              </w:rPr>
              <w:t>供应商自202</w:t>
            </w:r>
            <w:r>
              <w:rPr>
                <w:rFonts w:hint="eastAsia" w:ascii="Times New Roman" w:hAnsi="宋体" w:eastAsia="宋体" w:cs="Times New Roman"/>
                <w:szCs w:val="21"/>
                <w:highlight w:val="none"/>
                <w:lang w:val="en-US" w:eastAsia="zh-CN"/>
              </w:rPr>
              <w:t>1</w:t>
            </w:r>
            <w:r>
              <w:rPr>
                <w:rFonts w:hint="eastAsia" w:ascii="Times New Roman" w:hAnsi="宋体" w:eastAsia="宋体" w:cs="Times New Roman"/>
                <w:szCs w:val="21"/>
                <w:highlight w:val="none"/>
              </w:rPr>
              <w:t>年1月1日以来（以合同签订时间为准）完成过一级公路新建（或改建或扩建）的方案研究（或预可行性研究或可行性研究）项目。每提供一个得</w:t>
            </w:r>
            <w:r>
              <w:rPr>
                <w:rFonts w:hint="eastAsia" w:ascii="Times New Roman" w:hAnsi="宋体" w:eastAsia="宋体" w:cs="Times New Roman"/>
                <w:szCs w:val="21"/>
                <w:highlight w:val="none"/>
                <w:lang w:val="en-US" w:eastAsia="zh-CN"/>
              </w:rPr>
              <w:t>4</w:t>
            </w:r>
            <w:r>
              <w:rPr>
                <w:rFonts w:hint="eastAsia" w:ascii="Times New Roman" w:hAnsi="宋体" w:eastAsia="宋体" w:cs="Times New Roman"/>
                <w:szCs w:val="21"/>
                <w:highlight w:val="none"/>
              </w:rPr>
              <w:t>分，最高得</w:t>
            </w:r>
            <w:r>
              <w:rPr>
                <w:rFonts w:hint="eastAsia" w:ascii="Times New Roman" w:hAnsi="宋体" w:eastAsia="宋体" w:cs="Times New Roman"/>
                <w:szCs w:val="21"/>
                <w:highlight w:val="none"/>
                <w:lang w:val="en-US" w:eastAsia="zh-CN"/>
              </w:rPr>
              <w:t>12</w:t>
            </w:r>
            <w:r>
              <w:rPr>
                <w:rFonts w:hint="eastAsia" w:ascii="Times New Roman" w:hAnsi="宋体" w:eastAsia="宋体" w:cs="Times New Roman"/>
                <w:szCs w:val="21"/>
                <w:highlight w:val="none"/>
              </w:rPr>
              <w:t>分。</w:t>
            </w:r>
          </w:p>
          <w:p w14:paraId="104FA3D8">
            <w:pPr>
              <w:snapToGrid w:val="0"/>
              <w:rPr>
                <w:rFonts w:hint="eastAsia" w:ascii="Times New Roman" w:hAnsi="宋体" w:eastAsia="宋体" w:cs="Times New Roman"/>
                <w:szCs w:val="21"/>
                <w:highlight w:val="none"/>
              </w:rPr>
            </w:pPr>
            <w:r>
              <w:rPr>
                <w:rFonts w:hint="eastAsia" w:ascii="Times New Roman" w:hAnsi="宋体" w:eastAsia="宋体" w:cs="Times New Roman"/>
                <w:szCs w:val="21"/>
                <w:highlight w:val="none"/>
              </w:rPr>
              <w:t>注：1、须同时提供中标通知书、与项目业主单位直接签订的合同上述材料须同时提供且信息一致，否则不得分。</w:t>
            </w:r>
          </w:p>
          <w:p w14:paraId="2A1421E1">
            <w:pPr>
              <w:snapToGrid w:val="0"/>
              <w:rPr>
                <w:rFonts w:hint="eastAsia" w:ascii="Times New Roman" w:hAnsi="宋体" w:eastAsia="宋体" w:cs="Times New Roman"/>
                <w:szCs w:val="21"/>
                <w:highlight w:val="none"/>
              </w:rPr>
            </w:pPr>
            <w:r>
              <w:rPr>
                <w:rFonts w:hint="eastAsia" w:ascii="Times New Roman" w:hAnsi="宋体" w:eastAsia="宋体" w:cs="Times New Roman"/>
                <w:szCs w:val="21"/>
                <w:highlight w:val="none"/>
                <w:lang w:val="en-US" w:eastAsia="zh-CN"/>
              </w:rPr>
              <w:t>2</w:t>
            </w:r>
            <w:r>
              <w:rPr>
                <w:rFonts w:hint="eastAsia" w:ascii="Times New Roman" w:hAnsi="宋体" w:eastAsia="宋体" w:cs="Times New Roman"/>
                <w:szCs w:val="21"/>
                <w:highlight w:val="none"/>
              </w:rPr>
              <w:t>、</w:t>
            </w:r>
            <w:r>
              <w:rPr>
                <w:rFonts w:hint="eastAsia" w:ascii="Times New Roman" w:hAnsi="宋体" w:eastAsia="宋体" w:cs="Times New Roman"/>
                <w:szCs w:val="21"/>
                <w:highlight w:val="none"/>
                <w:lang w:eastAsia="zh-CN"/>
              </w:rPr>
              <w:t>须提供</w:t>
            </w:r>
            <w:r>
              <w:rPr>
                <w:rFonts w:hint="eastAsia" w:ascii="Times New Roman" w:hAnsi="宋体" w:eastAsia="宋体" w:cs="Times New Roman"/>
                <w:szCs w:val="21"/>
                <w:highlight w:val="none"/>
              </w:rPr>
              <w:t>项目验收</w:t>
            </w:r>
            <w:r>
              <w:rPr>
                <w:rFonts w:hint="eastAsia" w:ascii="Times New Roman" w:hAnsi="宋体" w:eastAsia="宋体" w:cs="Times New Roman"/>
                <w:szCs w:val="21"/>
                <w:highlight w:val="none"/>
                <w:lang w:eastAsia="zh-CN"/>
              </w:rPr>
              <w:t>材料或项目</w:t>
            </w:r>
            <w:r>
              <w:rPr>
                <w:rFonts w:hint="eastAsia" w:ascii="Times New Roman" w:hAnsi="宋体" w:eastAsia="宋体" w:cs="Times New Roman"/>
                <w:szCs w:val="21"/>
                <w:highlight w:val="none"/>
              </w:rPr>
              <w:t>业主单位加盖公章的</w:t>
            </w:r>
            <w:r>
              <w:rPr>
                <w:rFonts w:hint="eastAsia" w:ascii="Times New Roman" w:hAnsi="宋体" w:eastAsia="宋体" w:cs="Times New Roman"/>
                <w:szCs w:val="21"/>
                <w:highlight w:val="none"/>
                <w:lang w:eastAsia="zh-CN"/>
              </w:rPr>
              <w:t>完工</w:t>
            </w:r>
            <w:r>
              <w:rPr>
                <w:rFonts w:hint="eastAsia" w:ascii="Times New Roman" w:hAnsi="宋体" w:eastAsia="宋体" w:cs="Times New Roman"/>
                <w:szCs w:val="21"/>
                <w:highlight w:val="none"/>
              </w:rPr>
              <w:t>证明材料的复印件或扫描件</w:t>
            </w:r>
            <w:r>
              <w:rPr>
                <w:rFonts w:hint="eastAsia" w:ascii="Times New Roman" w:hAnsi="宋体" w:eastAsia="宋体" w:cs="Times New Roman"/>
                <w:szCs w:val="21"/>
                <w:highlight w:val="none"/>
                <w:lang w:eastAsia="zh-CN"/>
              </w:rPr>
              <w:t>。</w:t>
            </w:r>
          </w:p>
          <w:p w14:paraId="0D101D4E">
            <w:pPr>
              <w:snapToGrid w:val="0"/>
              <w:rPr>
                <w:rFonts w:hint="eastAsia" w:ascii="Times New Roman" w:hAnsi="宋体" w:eastAsia="宋体" w:cs="Times New Roman"/>
                <w:szCs w:val="21"/>
                <w:highlight w:val="none"/>
              </w:rPr>
            </w:pPr>
            <w:r>
              <w:rPr>
                <w:rFonts w:hint="eastAsia" w:ascii="Times New Roman" w:hAnsi="宋体" w:eastAsia="宋体" w:cs="Times New Roman"/>
                <w:szCs w:val="21"/>
                <w:highlight w:val="none"/>
                <w:lang w:val="en-US" w:eastAsia="zh-CN"/>
              </w:rPr>
              <w:t>3</w:t>
            </w:r>
            <w:r>
              <w:rPr>
                <w:rFonts w:hint="eastAsia" w:ascii="Times New Roman" w:hAnsi="宋体" w:eastAsia="宋体" w:cs="Times New Roman"/>
                <w:szCs w:val="21"/>
                <w:highlight w:val="none"/>
              </w:rPr>
              <w:t>、上述材料提供不全或未提供的不得分。</w:t>
            </w:r>
          </w:p>
        </w:tc>
        <w:tc>
          <w:tcPr>
            <w:tcW w:w="0" w:type="auto"/>
            <w:vAlign w:val="center"/>
          </w:tcPr>
          <w:p w14:paraId="0B978D1D">
            <w:pPr>
              <w:snapToGrid w:val="0"/>
              <w:jc w:val="center"/>
              <w:rPr>
                <w:sz w:val="24"/>
                <w:highlight w:val="none"/>
              </w:rPr>
            </w:pPr>
            <w:r>
              <w:rPr>
                <w:rFonts w:hint="eastAsia"/>
                <w:sz w:val="24"/>
                <w:highlight w:val="none"/>
              </w:rPr>
              <w:t>30</w:t>
            </w:r>
            <w:r>
              <w:rPr>
                <w:sz w:val="24"/>
                <w:highlight w:val="none"/>
              </w:rPr>
              <w:t>分</w:t>
            </w:r>
          </w:p>
        </w:tc>
        <w:tc>
          <w:tcPr>
            <w:tcW w:w="0" w:type="auto"/>
            <w:vAlign w:val="center"/>
          </w:tcPr>
          <w:p w14:paraId="500D47DC">
            <w:pPr>
              <w:snapToGrid w:val="0"/>
              <w:jc w:val="center"/>
              <w:rPr>
                <w:sz w:val="24"/>
                <w:highlight w:val="none"/>
              </w:rPr>
            </w:pPr>
            <w:r>
              <w:rPr>
                <w:sz w:val="24"/>
                <w:highlight w:val="none"/>
              </w:rPr>
              <w:t>0分</w:t>
            </w:r>
          </w:p>
        </w:tc>
        <w:tc>
          <w:tcPr>
            <w:tcW w:w="0" w:type="auto"/>
            <w:vAlign w:val="center"/>
          </w:tcPr>
          <w:p w14:paraId="288A90D9">
            <w:pPr>
              <w:snapToGrid w:val="0"/>
              <w:jc w:val="center"/>
              <w:rPr>
                <w:sz w:val="24"/>
                <w:highlight w:val="none"/>
              </w:rPr>
            </w:pPr>
            <w:r>
              <w:rPr>
                <w:rFonts w:hint="eastAsia"/>
                <w:sz w:val="24"/>
                <w:highlight w:val="none"/>
              </w:rPr>
              <w:t>客</w:t>
            </w:r>
            <w:r>
              <w:rPr>
                <w:sz w:val="24"/>
                <w:highlight w:val="none"/>
              </w:rPr>
              <w:t>观</w:t>
            </w:r>
          </w:p>
        </w:tc>
      </w:tr>
      <w:tr w14:paraId="1B7BD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559" w:hRule="atLeast"/>
        </w:trPr>
        <w:tc>
          <w:tcPr>
            <w:tcW w:w="0" w:type="auto"/>
            <w:vMerge w:val="restart"/>
            <w:vAlign w:val="center"/>
          </w:tcPr>
          <w:p w14:paraId="4726D45D">
            <w:pPr>
              <w:snapToGrid w:val="0"/>
              <w:jc w:val="center"/>
              <w:rPr>
                <w:sz w:val="24"/>
                <w:highlight w:val="none"/>
              </w:rPr>
            </w:pPr>
            <w:r>
              <w:rPr>
                <w:sz w:val="24"/>
                <w:highlight w:val="none"/>
              </w:rPr>
              <w:t>2</w:t>
            </w:r>
          </w:p>
        </w:tc>
        <w:tc>
          <w:tcPr>
            <w:tcW w:w="0" w:type="auto"/>
            <w:gridSpan w:val="2"/>
            <w:vMerge w:val="restart"/>
            <w:vAlign w:val="center"/>
          </w:tcPr>
          <w:p w14:paraId="05182F8B">
            <w:pPr>
              <w:ind w:left="42" w:leftChars="20" w:right="42" w:rightChars="20"/>
              <w:jc w:val="center"/>
              <w:rPr>
                <w:szCs w:val="21"/>
                <w:highlight w:val="none"/>
              </w:rPr>
            </w:pPr>
            <w:r>
              <w:rPr>
                <w:rFonts w:hAnsi="宋体"/>
                <w:szCs w:val="21"/>
                <w:highlight w:val="none"/>
              </w:rPr>
              <w:t>项目负责人</w:t>
            </w:r>
          </w:p>
          <w:p w14:paraId="2FC5CF3B">
            <w:pPr>
              <w:ind w:left="42" w:leftChars="20" w:right="42" w:rightChars="20"/>
              <w:jc w:val="center"/>
              <w:rPr>
                <w:sz w:val="24"/>
                <w:highlight w:val="none"/>
              </w:rPr>
            </w:pPr>
            <w:r>
              <w:rPr>
                <w:rFonts w:hAnsi="宋体"/>
                <w:szCs w:val="21"/>
                <w:highlight w:val="none"/>
              </w:rPr>
              <w:t>（</w:t>
            </w:r>
            <w:r>
              <w:rPr>
                <w:rFonts w:hint="eastAsia"/>
                <w:szCs w:val="21"/>
                <w:highlight w:val="none"/>
              </w:rPr>
              <w:t>18</w:t>
            </w:r>
            <w:r>
              <w:rPr>
                <w:rFonts w:hAnsi="宋体"/>
                <w:szCs w:val="21"/>
                <w:highlight w:val="none"/>
              </w:rPr>
              <w:t>分）</w:t>
            </w:r>
          </w:p>
        </w:tc>
        <w:tc>
          <w:tcPr>
            <w:tcW w:w="0" w:type="auto"/>
            <w:vAlign w:val="center"/>
          </w:tcPr>
          <w:p w14:paraId="0DA4B403">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rPr>
              <w:t>拟投入的项目负责人具有公路工程相关专业中级职称的得</w:t>
            </w:r>
            <w:r>
              <w:rPr>
                <w:rFonts w:hint="eastAsia" w:ascii="Calibri" w:hAnsi="宋体" w:eastAsia="宋体" w:cs="宋体"/>
                <w:kern w:val="2"/>
                <w:szCs w:val="21"/>
                <w:highlight w:val="none"/>
                <w:lang w:val="en-US" w:eastAsia="zh-CN"/>
              </w:rPr>
              <w:t>3</w:t>
            </w:r>
            <w:r>
              <w:rPr>
                <w:rFonts w:hint="eastAsia" w:ascii="Calibri" w:hAnsi="宋体" w:eastAsia="宋体" w:cs="宋体"/>
                <w:kern w:val="2"/>
                <w:szCs w:val="21"/>
                <w:highlight w:val="none"/>
              </w:rPr>
              <w:t>分；具有公路工程相关专业高级或以上职称得</w:t>
            </w:r>
            <w:r>
              <w:rPr>
                <w:rFonts w:hint="eastAsia" w:ascii="Calibri" w:hAnsi="宋体" w:eastAsia="宋体" w:cs="宋体"/>
                <w:kern w:val="2"/>
                <w:szCs w:val="21"/>
                <w:highlight w:val="none"/>
                <w:lang w:val="en-US" w:eastAsia="zh-CN"/>
              </w:rPr>
              <w:t>6</w:t>
            </w:r>
            <w:r>
              <w:rPr>
                <w:rFonts w:hint="eastAsia" w:ascii="Calibri" w:hAnsi="宋体" w:eastAsia="宋体" w:cs="宋体"/>
                <w:kern w:val="2"/>
                <w:szCs w:val="21"/>
                <w:highlight w:val="none"/>
              </w:rPr>
              <w:t>分。</w:t>
            </w:r>
            <w:r>
              <w:rPr>
                <w:rFonts w:hint="eastAsia" w:ascii="Calibri" w:hAnsi="宋体" w:eastAsia="宋体" w:cs="宋体"/>
                <w:kern w:val="2"/>
                <w:szCs w:val="21"/>
                <w:highlight w:val="none"/>
                <w:lang w:eastAsia="zh-CN"/>
              </w:rPr>
              <w:t>本项仅计分一次，最高得</w:t>
            </w:r>
            <w:r>
              <w:rPr>
                <w:rFonts w:hint="eastAsia" w:ascii="Calibri" w:hAnsi="宋体" w:eastAsia="宋体" w:cs="宋体"/>
                <w:kern w:val="2"/>
                <w:szCs w:val="21"/>
                <w:highlight w:val="none"/>
                <w:lang w:val="en-US" w:eastAsia="zh-CN"/>
              </w:rPr>
              <w:t>6分。</w:t>
            </w:r>
          </w:p>
          <w:p w14:paraId="28EAFAA7">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rPr>
              <w:t>注：</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拟投入的项目负责人须为供应商自有员工，出具供应商为其缴纳的近三个月中一个月的社保缴纳证明的社保缴费清单的复印件或扫描件（缴费清单须由社保机构盖章或为社保机构网站下载的带有社保机构电子印章的缴费清单，供应商下属不具备独立法人资格的分支机构缴纳的社保视为本单位）。未提供或未按要求提供社保的，则上述</w:t>
            </w:r>
            <w:r>
              <w:rPr>
                <w:rFonts w:hint="eastAsia" w:ascii="Calibri" w:hAnsi="宋体" w:eastAsia="宋体" w:cs="宋体"/>
                <w:kern w:val="2"/>
                <w:szCs w:val="21"/>
                <w:highlight w:val="none"/>
                <w:lang w:eastAsia="zh-CN"/>
              </w:rPr>
              <w:t>打分项</w:t>
            </w:r>
            <w:r>
              <w:rPr>
                <w:rFonts w:hint="eastAsia" w:ascii="Calibri" w:hAnsi="宋体" w:eastAsia="宋体" w:cs="宋体"/>
                <w:kern w:val="2"/>
                <w:szCs w:val="21"/>
                <w:highlight w:val="none"/>
              </w:rPr>
              <w:t>不得分。</w:t>
            </w:r>
          </w:p>
          <w:p w14:paraId="58FF44EA">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2、</w:t>
            </w:r>
            <w:r>
              <w:rPr>
                <w:rFonts w:hint="eastAsia" w:ascii="Calibri" w:hAnsi="宋体" w:eastAsia="宋体" w:cs="宋体"/>
                <w:kern w:val="2"/>
                <w:szCs w:val="21"/>
                <w:highlight w:val="none"/>
                <w:lang w:eastAsia="zh-CN"/>
              </w:rPr>
              <w:t>须</w:t>
            </w:r>
            <w:r>
              <w:rPr>
                <w:rFonts w:hint="eastAsia" w:ascii="Calibri" w:hAnsi="宋体" w:eastAsia="宋体" w:cs="宋体"/>
                <w:kern w:val="2"/>
                <w:szCs w:val="21"/>
                <w:highlight w:val="none"/>
              </w:rPr>
              <w:t>提供证书原件的扫描件</w:t>
            </w:r>
            <w:r>
              <w:rPr>
                <w:rFonts w:hint="eastAsia" w:ascii="Calibri" w:hAnsi="宋体" w:eastAsia="宋体" w:cs="宋体"/>
                <w:kern w:val="2"/>
                <w:szCs w:val="21"/>
                <w:highlight w:val="none"/>
                <w:lang w:eastAsia="zh-CN"/>
              </w:rPr>
              <w:t>，</w:t>
            </w:r>
            <w:r>
              <w:rPr>
                <w:rFonts w:hint="eastAsia" w:ascii="Calibri" w:hAnsi="宋体" w:eastAsia="宋体" w:cs="宋体"/>
                <w:kern w:val="2"/>
                <w:szCs w:val="21"/>
                <w:highlight w:val="none"/>
              </w:rPr>
              <w:t>若为电子证书则还须提供查询渠道。</w:t>
            </w:r>
          </w:p>
          <w:p w14:paraId="7CA9257A">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3、</w:t>
            </w:r>
            <w:r>
              <w:rPr>
                <w:rFonts w:hint="eastAsia" w:ascii="Calibri" w:hAnsi="宋体" w:eastAsia="宋体" w:cs="宋体"/>
                <w:kern w:val="2"/>
                <w:szCs w:val="21"/>
                <w:highlight w:val="none"/>
              </w:rPr>
              <w:t>上述材料提供不全或未提供的不得分。</w:t>
            </w:r>
          </w:p>
          <w:p w14:paraId="151003C9">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4、</w:t>
            </w:r>
            <w:r>
              <w:rPr>
                <w:rFonts w:hint="eastAsia" w:ascii="Calibri" w:hAnsi="宋体" w:eastAsia="宋体" w:cs="宋体"/>
                <w:kern w:val="2"/>
                <w:szCs w:val="21"/>
                <w:highlight w:val="none"/>
              </w:rPr>
              <w:t>公路工程相关专业包括公路工程、桥梁工程、公路与桥梁工程、交通土建、隧道（地下结构）工程、交通工程专业职称。</w:t>
            </w:r>
          </w:p>
        </w:tc>
        <w:tc>
          <w:tcPr>
            <w:tcW w:w="0" w:type="auto"/>
            <w:vAlign w:val="center"/>
          </w:tcPr>
          <w:p w14:paraId="3AFDA84D">
            <w:pPr>
              <w:snapToGrid w:val="0"/>
              <w:jc w:val="center"/>
              <w:rPr>
                <w:sz w:val="24"/>
                <w:highlight w:val="none"/>
              </w:rPr>
            </w:pPr>
            <w:r>
              <w:rPr>
                <w:rFonts w:hint="eastAsia"/>
                <w:sz w:val="24"/>
                <w:highlight w:val="none"/>
              </w:rPr>
              <w:t>9</w:t>
            </w:r>
            <w:r>
              <w:rPr>
                <w:sz w:val="24"/>
                <w:highlight w:val="none"/>
              </w:rPr>
              <w:t>分</w:t>
            </w:r>
          </w:p>
        </w:tc>
        <w:tc>
          <w:tcPr>
            <w:tcW w:w="0" w:type="auto"/>
            <w:vAlign w:val="center"/>
          </w:tcPr>
          <w:p w14:paraId="302E67D7">
            <w:pPr>
              <w:snapToGrid w:val="0"/>
              <w:jc w:val="center"/>
              <w:rPr>
                <w:sz w:val="24"/>
                <w:highlight w:val="none"/>
              </w:rPr>
            </w:pPr>
            <w:r>
              <w:rPr>
                <w:sz w:val="24"/>
                <w:highlight w:val="none"/>
              </w:rPr>
              <w:t>0分</w:t>
            </w:r>
          </w:p>
        </w:tc>
        <w:tc>
          <w:tcPr>
            <w:tcW w:w="0" w:type="auto"/>
            <w:vAlign w:val="center"/>
          </w:tcPr>
          <w:p w14:paraId="7F528316">
            <w:pPr>
              <w:snapToGrid w:val="0"/>
              <w:jc w:val="center"/>
              <w:rPr>
                <w:sz w:val="24"/>
                <w:highlight w:val="none"/>
              </w:rPr>
            </w:pPr>
            <w:r>
              <w:rPr>
                <w:rFonts w:hint="eastAsia"/>
                <w:sz w:val="24"/>
                <w:highlight w:val="none"/>
              </w:rPr>
              <w:t>客</w:t>
            </w:r>
            <w:r>
              <w:rPr>
                <w:sz w:val="24"/>
                <w:highlight w:val="none"/>
              </w:rPr>
              <w:t>观</w:t>
            </w:r>
          </w:p>
        </w:tc>
      </w:tr>
      <w:tr w14:paraId="2960CB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558" w:hRule="atLeast"/>
        </w:trPr>
        <w:tc>
          <w:tcPr>
            <w:tcW w:w="0" w:type="auto"/>
            <w:vMerge w:val="continue"/>
            <w:vAlign w:val="center"/>
          </w:tcPr>
          <w:p w14:paraId="3E9E38A5">
            <w:pPr>
              <w:snapToGrid w:val="0"/>
              <w:jc w:val="center"/>
              <w:rPr>
                <w:sz w:val="24"/>
                <w:highlight w:val="none"/>
              </w:rPr>
            </w:pPr>
          </w:p>
        </w:tc>
        <w:tc>
          <w:tcPr>
            <w:tcW w:w="0" w:type="auto"/>
            <w:gridSpan w:val="2"/>
            <w:vMerge w:val="continue"/>
            <w:vAlign w:val="center"/>
          </w:tcPr>
          <w:p w14:paraId="56EFE9AE">
            <w:pPr>
              <w:ind w:left="42" w:leftChars="20" w:right="42" w:rightChars="20"/>
              <w:jc w:val="center"/>
              <w:rPr>
                <w:sz w:val="24"/>
                <w:highlight w:val="none"/>
              </w:rPr>
            </w:pPr>
          </w:p>
        </w:tc>
        <w:tc>
          <w:tcPr>
            <w:tcW w:w="0" w:type="auto"/>
            <w:vAlign w:val="center"/>
          </w:tcPr>
          <w:p w14:paraId="35106B64">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拟投入的项目负责人自202</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年1月1日以来（以合同签订时间为准），</w:t>
            </w:r>
            <w:r>
              <w:rPr>
                <w:rFonts w:hint="eastAsia" w:ascii="Calibri" w:hAnsi="宋体" w:eastAsia="宋体" w:cs="宋体"/>
                <w:kern w:val="2"/>
                <w:szCs w:val="21"/>
                <w:highlight w:val="none"/>
                <w:lang w:eastAsia="zh-CN"/>
              </w:rPr>
              <w:t>担任过已完成的</w:t>
            </w:r>
            <w:r>
              <w:rPr>
                <w:rFonts w:hint="eastAsia" w:ascii="Calibri" w:hAnsi="宋体" w:eastAsia="宋体" w:cs="宋体"/>
                <w:kern w:val="2"/>
                <w:szCs w:val="21"/>
                <w:highlight w:val="none"/>
                <w:lang w:val="en-US" w:eastAsia="zh-CN"/>
              </w:rPr>
              <w:t>高速公路或快速路</w:t>
            </w:r>
            <w:r>
              <w:rPr>
                <w:rFonts w:hint="eastAsia" w:ascii="Calibri" w:hAnsi="宋体" w:eastAsia="宋体" w:cs="宋体"/>
                <w:kern w:val="2"/>
                <w:szCs w:val="21"/>
                <w:highlight w:val="none"/>
              </w:rPr>
              <w:t>新建（或改建或扩建）</w:t>
            </w:r>
            <w:r>
              <w:rPr>
                <w:rFonts w:hint="eastAsia" w:ascii="Calibri" w:hAnsi="宋体" w:eastAsia="宋体" w:cs="宋体"/>
                <w:kern w:val="2"/>
                <w:szCs w:val="21"/>
                <w:highlight w:val="none"/>
                <w:lang w:eastAsia="zh-CN"/>
              </w:rPr>
              <w:t>的</w:t>
            </w:r>
            <w:r>
              <w:rPr>
                <w:rFonts w:hint="eastAsia" w:ascii="Calibri" w:hAnsi="宋体" w:eastAsia="宋体" w:cs="宋体"/>
                <w:kern w:val="2"/>
                <w:szCs w:val="21"/>
                <w:highlight w:val="none"/>
              </w:rPr>
              <w:t>方案研究（或预可行性研究或可行性研究）项目</w:t>
            </w:r>
            <w:r>
              <w:rPr>
                <w:rFonts w:hint="eastAsia" w:ascii="Calibri" w:hAnsi="宋体" w:eastAsia="宋体" w:cs="宋体"/>
                <w:kern w:val="2"/>
                <w:szCs w:val="21"/>
                <w:highlight w:val="none"/>
                <w:lang w:eastAsia="zh-CN"/>
              </w:rPr>
              <w:t>的</w:t>
            </w:r>
            <w:r>
              <w:rPr>
                <w:rFonts w:hint="eastAsia" w:ascii="Calibri" w:hAnsi="宋体" w:eastAsia="宋体" w:cs="宋体"/>
                <w:kern w:val="2"/>
                <w:szCs w:val="21"/>
                <w:highlight w:val="none"/>
              </w:rPr>
              <w:t>项目负责人。每提供一个业绩得</w:t>
            </w:r>
            <w:r>
              <w:rPr>
                <w:rFonts w:hint="eastAsia" w:ascii="Calibri" w:hAnsi="宋体" w:eastAsia="宋体" w:cs="宋体"/>
                <w:kern w:val="2"/>
                <w:szCs w:val="21"/>
                <w:highlight w:val="none"/>
                <w:lang w:val="en-US" w:eastAsia="zh-CN"/>
              </w:rPr>
              <w:t>2</w:t>
            </w:r>
            <w:r>
              <w:rPr>
                <w:rFonts w:hint="eastAsia" w:ascii="Calibri" w:hAnsi="宋体" w:eastAsia="宋体" w:cs="宋体"/>
                <w:kern w:val="2"/>
                <w:szCs w:val="21"/>
                <w:highlight w:val="none"/>
              </w:rPr>
              <w:t>分，最高得</w:t>
            </w:r>
            <w:r>
              <w:rPr>
                <w:rFonts w:hint="eastAsia" w:ascii="Calibri" w:hAnsi="宋体" w:eastAsia="宋体" w:cs="宋体"/>
                <w:kern w:val="2"/>
                <w:szCs w:val="21"/>
                <w:highlight w:val="none"/>
                <w:lang w:val="en-US" w:eastAsia="zh-CN"/>
              </w:rPr>
              <w:t>6</w:t>
            </w:r>
            <w:r>
              <w:rPr>
                <w:rFonts w:hint="eastAsia" w:ascii="Calibri" w:hAnsi="宋体" w:eastAsia="宋体" w:cs="宋体"/>
                <w:kern w:val="2"/>
                <w:szCs w:val="21"/>
                <w:highlight w:val="none"/>
              </w:rPr>
              <w:t>分。</w:t>
            </w:r>
          </w:p>
          <w:p w14:paraId="7CBA24D9">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2、</w:t>
            </w:r>
            <w:r>
              <w:rPr>
                <w:rFonts w:hint="eastAsia" w:ascii="Calibri" w:hAnsi="宋体" w:eastAsia="宋体" w:cs="宋体"/>
                <w:kern w:val="2"/>
                <w:szCs w:val="21"/>
                <w:highlight w:val="none"/>
              </w:rPr>
              <w:t>拟投入的项目负责人自202</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年1月1日以来（以合同签订时间为准），担任过</w:t>
            </w:r>
            <w:r>
              <w:rPr>
                <w:rFonts w:hint="eastAsia" w:ascii="Calibri" w:hAnsi="宋体" w:eastAsia="宋体" w:cs="宋体"/>
                <w:kern w:val="2"/>
                <w:szCs w:val="21"/>
                <w:highlight w:val="none"/>
                <w:lang w:eastAsia="zh-CN"/>
              </w:rPr>
              <w:t>已完成的</w:t>
            </w:r>
            <w:r>
              <w:rPr>
                <w:rFonts w:hint="eastAsia" w:ascii="Calibri" w:hAnsi="宋体" w:eastAsia="宋体" w:cs="宋体"/>
                <w:kern w:val="2"/>
                <w:szCs w:val="21"/>
                <w:highlight w:val="none"/>
              </w:rPr>
              <w:t>一级公路新建（或改建或扩建）</w:t>
            </w:r>
            <w:r>
              <w:rPr>
                <w:rFonts w:hint="eastAsia" w:ascii="Calibri" w:hAnsi="宋体" w:eastAsia="宋体" w:cs="宋体"/>
                <w:kern w:val="2"/>
                <w:szCs w:val="21"/>
                <w:highlight w:val="none"/>
                <w:lang w:eastAsia="zh-CN"/>
              </w:rPr>
              <w:t>的</w:t>
            </w:r>
            <w:r>
              <w:rPr>
                <w:rFonts w:hint="eastAsia" w:ascii="Calibri" w:hAnsi="宋体" w:eastAsia="宋体" w:cs="宋体"/>
                <w:kern w:val="2"/>
                <w:szCs w:val="21"/>
                <w:highlight w:val="none"/>
              </w:rPr>
              <w:t>方案研究（或预可行性研究或可行性研究）项目的项目负责人。每提供一个业绩得</w:t>
            </w:r>
            <w:r>
              <w:rPr>
                <w:rFonts w:hint="eastAsia" w:ascii="Calibri" w:hAnsi="宋体" w:eastAsia="宋体" w:cs="宋体"/>
                <w:kern w:val="2"/>
                <w:szCs w:val="21"/>
                <w:highlight w:val="none"/>
                <w:lang w:val="en-US" w:eastAsia="zh-CN"/>
              </w:rPr>
              <w:t>2</w:t>
            </w:r>
            <w:r>
              <w:rPr>
                <w:rFonts w:hint="eastAsia" w:ascii="Calibri" w:hAnsi="宋体" w:eastAsia="宋体" w:cs="宋体"/>
                <w:kern w:val="2"/>
                <w:szCs w:val="21"/>
                <w:highlight w:val="none"/>
              </w:rPr>
              <w:t>分，最高得</w:t>
            </w:r>
            <w:r>
              <w:rPr>
                <w:rFonts w:hint="eastAsia" w:ascii="Calibri" w:hAnsi="宋体" w:eastAsia="宋体" w:cs="宋体"/>
                <w:kern w:val="2"/>
                <w:szCs w:val="21"/>
                <w:highlight w:val="none"/>
                <w:lang w:val="en-US" w:eastAsia="zh-CN"/>
              </w:rPr>
              <w:t>6</w:t>
            </w:r>
            <w:r>
              <w:rPr>
                <w:rFonts w:hint="eastAsia" w:ascii="Calibri" w:hAnsi="宋体" w:eastAsia="宋体" w:cs="宋体"/>
                <w:kern w:val="2"/>
                <w:szCs w:val="21"/>
                <w:highlight w:val="none"/>
              </w:rPr>
              <w:t>分。</w:t>
            </w:r>
          </w:p>
          <w:p w14:paraId="26A6D353">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rPr>
              <w:t>注：</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拟投入的项目负责人须为供应商自有员工，出具供应商为其缴纳的近三个月中一个月的社保缴纳证明的社保缴费清单的复印件或扫描件（缴费清单须由社保机构盖章或为社保机构网站下载的带有社保机构电子印章的缴费清单，供应商下属不具备独立法人资格的分支机构缴纳的社保视为本单位）。未提供或未按要求提供社保的，则上述1~2点均不得分。</w:t>
            </w:r>
          </w:p>
          <w:p w14:paraId="3908778F">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2、</w:t>
            </w:r>
            <w:r>
              <w:rPr>
                <w:rFonts w:hint="eastAsia" w:ascii="Calibri" w:hAnsi="宋体" w:eastAsia="宋体" w:cs="宋体"/>
                <w:kern w:val="2"/>
                <w:szCs w:val="21"/>
                <w:highlight w:val="none"/>
              </w:rPr>
              <w:t>须同时提供中标通知书、与项目业主单位直接签订的合同</w:t>
            </w:r>
            <w:r>
              <w:rPr>
                <w:rFonts w:hint="eastAsia" w:ascii="Calibri" w:hAnsi="宋体" w:eastAsia="宋体" w:cs="宋体"/>
                <w:kern w:val="2"/>
                <w:szCs w:val="21"/>
                <w:highlight w:val="none"/>
                <w:lang w:eastAsia="zh-CN"/>
              </w:rPr>
              <w:t>（若合同中未体现项目负责人姓名及岗位的不予认可）</w:t>
            </w:r>
            <w:r>
              <w:rPr>
                <w:rFonts w:hint="eastAsia" w:ascii="Calibri" w:hAnsi="宋体" w:eastAsia="宋体" w:cs="宋体"/>
                <w:kern w:val="2"/>
                <w:szCs w:val="21"/>
                <w:highlight w:val="none"/>
              </w:rPr>
              <w:t>上述材料须同时提供且信息一致，否则不得分。</w:t>
            </w:r>
          </w:p>
          <w:p w14:paraId="1E23CC00">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3、</w:t>
            </w:r>
            <w:r>
              <w:rPr>
                <w:rFonts w:hint="eastAsia" w:ascii="Calibri" w:hAnsi="宋体" w:eastAsia="宋体" w:cs="宋体"/>
                <w:kern w:val="2"/>
                <w:szCs w:val="21"/>
                <w:highlight w:val="none"/>
                <w:lang w:eastAsia="zh-CN"/>
              </w:rPr>
              <w:t>须提供</w:t>
            </w:r>
            <w:r>
              <w:rPr>
                <w:rFonts w:hint="eastAsia" w:ascii="Calibri" w:hAnsi="宋体" w:eastAsia="宋体" w:cs="宋体"/>
                <w:kern w:val="2"/>
                <w:szCs w:val="21"/>
                <w:highlight w:val="none"/>
              </w:rPr>
              <w:t>项目验收</w:t>
            </w:r>
            <w:r>
              <w:rPr>
                <w:rFonts w:hint="eastAsia" w:ascii="Calibri" w:hAnsi="宋体" w:eastAsia="宋体" w:cs="宋体"/>
                <w:kern w:val="2"/>
                <w:szCs w:val="21"/>
                <w:highlight w:val="none"/>
                <w:lang w:eastAsia="zh-CN"/>
              </w:rPr>
              <w:t>材料或项目</w:t>
            </w:r>
            <w:r>
              <w:rPr>
                <w:rFonts w:hint="eastAsia" w:ascii="Calibri" w:hAnsi="宋体" w:eastAsia="宋体" w:cs="宋体"/>
                <w:kern w:val="2"/>
                <w:szCs w:val="21"/>
                <w:highlight w:val="none"/>
              </w:rPr>
              <w:t>业主单位加盖公章的</w:t>
            </w:r>
            <w:r>
              <w:rPr>
                <w:rFonts w:hint="eastAsia" w:ascii="Calibri" w:hAnsi="宋体" w:eastAsia="宋体" w:cs="宋体"/>
                <w:kern w:val="2"/>
                <w:szCs w:val="21"/>
                <w:highlight w:val="none"/>
                <w:lang w:eastAsia="zh-CN"/>
              </w:rPr>
              <w:t>完工</w:t>
            </w:r>
            <w:r>
              <w:rPr>
                <w:rFonts w:hint="eastAsia" w:ascii="Calibri" w:hAnsi="宋体" w:eastAsia="宋体" w:cs="宋体"/>
                <w:kern w:val="2"/>
                <w:szCs w:val="21"/>
                <w:highlight w:val="none"/>
              </w:rPr>
              <w:t>证明材料的复印件或扫描件</w:t>
            </w:r>
            <w:r>
              <w:rPr>
                <w:rFonts w:hint="eastAsia" w:ascii="Calibri" w:hAnsi="宋体" w:eastAsia="宋体" w:cs="宋体"/>
                <w:kern w:val="2"/>
                <w:szCs w:val="21"/>
                <w:highlight w:val="none"/>
                <w:lang w:eastAsia="zh-CN"/>
              </w:rPr>
              <w:t>。</w:t>
            </w:r>
          </w:p>
          <w:p w14:paraId="519DB220">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4</w:t>
            </w:r>
            <w:r>
              <w:rPr>
                <w:rFonts w:hint="eastAsia" w:ascii="Calibri" w:hAnsi="宋体" w:eastAsia="宋体" w:cs="宋体"/>
                <w:kern w:val="2"/>
                <w:szCs w:val="21"/>
                <w:highlight w:val="none"/>
              </w:rPr>
              <w:t>、上述材料提供不全或未提供的不得分。</w:t>
            </w:r>
          </w:p>
        </w:tc>
        <w:tc>
          <w:tcPr>
            <w:tcW w:w="0" w:type="auto"/>
            <w:vAlign w:val="center"/>
          </w:tcPr>
          <w:p w14:paraId="7BCBBFF7">
            <w:pPr>
              <w:snapToGrid w:val="0"/>
              <w:jc w:val="center"/>
              <w:rPr>
                <w:sz w:val="24"/>
                <w:highlight w:val="none"/>
              </w:rPr>
            </w:pPr>
            <w:r>
              <w:rPr>
                <w:rFonts w:hint="eastAsia"/>
                <w:sz w:val="24"/>
                <w:highlight w:val="none"/>
              </w:rPr>
              <w:t>9</w:t>
            </w:r>
            <w:r>
              <w:rPr>
                <w:sz w:val="24"/>
                <w:highlight w:val="none"/>
              </w:rPr>
              <w:t>分</w:t>
            </w:r>
          </w:p>
        </w:tc>
        <w:tc>
          <w:tcPr>
            <w:tcW w:w="0" w:type="auto"/>
            <w:vAlign w:val="center"/>
          </w:tcPr>
          <w:p w14:paraId="529050D4">
            <w:pPr>
              <w:snapToGrid w:val="0"/>
              <w:jc w:val="center"/>
              <w:rPr>
                <w:sz w:val="24"/>
                <w:highlight w:val="none"/>
              </w:rPr>
            </w:pPr>
            <w:r>
              <w:rPr>
                <w:sz w:val="24"/>
                <w:highlight w:val="none"/>
              </w:rPr>
              <w:t>0分</w:t>
            </w:r>
          </w:p>
        </w:tc>
        <w:tc>
          <w:tcPr>
            <w:tcW w:w="0" w:type="auto"/>
            <w:vAlign w:val="center"/>
          </w:tcPr>
          <w:p w14:paraId="0579B6A7">
            <w:pPr>
              <w:snapToGrid w:val="0"/>
              <w:jc w:val="center"/>
              <w:rPr>
                <w:sz w:val="24"/>
                <w:highlight w:val="none"/>
              </w:rPr>
            </w:pPr>
            <w:r>
              <w:rPr>
                <w:rFonts w:hint="eastAsia"/>
                <w:sz w:val="24"/>
                <w:highlight w:val="none"/>
              </w:rPr>
              <w:t>客</w:t>
            </w:r>
            <w:r>
              <w:rPr>
                <w:sz w:val="24"/>
                <w:highlight w:val="none"/>
              </w:rPr>
              <w:t>观</w:t>
            </w:r>
          </w:p>
        </w:tc>
      </w:tr>
      <w:tr w14:paraId="3DC461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572" w:hRule="atLeast"/>
        </w:trPr>
        <w:tc>
          <w:tcPr>
            <w:tcW w:w="0" w:type="auto"/>
            <w:vMerge w:val="restart"/>
            <w:vAlign w:val="center"/>
          </w:tcPr>
          <w:p w14:paraId="78F33BEA">
            <w:pPr>
              <w:snapToGrid w:val="0"/>
              <w:jc w:val="center"/>
              <w:rPr>
                <w:sz w:val="24"/>
                <w:highlight w:val="none"/>
              </w:rPr>
            </w:pPr>
            <w:r>
              <w:rPr>
                <w:sz w:val="24"/>
                <w:highlight w:val="none"/>
              </w:rPr>
              <w:t>3</w:t>
            </w:r>
          </w:p>
        </w:tc>
        <w:tc>
          <w:tcPr>
            <w:tcW w:w="0" w:type="auto"/>
            <w:gridSpan w:val="2"/>
            <w:vMerge w:val="restart"/>
            <w:vAlign w:val="center"/>
          </w:tcPr>
          <w:p w14:paraId="2C6E45C2">
            <w:pPr>
              <w:jc w:val="center"/>
              <w:rPr>
                <w:szCs w:val="21"/>
                <w:highlight w:val="none"/>
              </w:rPr>
            </w:pPr>
            <w:r>
              <w:rPr>
                <w:rFonts w:hAnsi="宋体"/>
                <w:szCs w:val="21"/>
                <w:highlight w:val="none"/>
              </w:rPr>
              <w:t>项目组其他成员</w:t>
            </w:r>
          </w:p>
          <w:p w14:paraId="29B6AAAD">
            <w:pPr>
              <w:snapToGrid w:val="0"/>
              <w:jc w:val="center"/>
              <w:rPr>
                <w:sz w:val="24"/>
                <w:highlight w:val="none"/>
              </w:rPr>
            </w:pPr>
            <w:r>
              <w:rPr>
                <w:rFonts w:hAnsi="宋体"/>
                <w:szCs w:val="21"/>
                <w:highlight w:val="none"/>
              </w:rPr>
              <w:t>（</w:t>
            </w:r>
            <w:r>
              <w:rPr>
                <w:szCs w:val="21"/>
                <w:highlight w:val="none"/>
              </w:rPr>
              <w:t>1</w:t>
            </w:r>
            <w:r>
              <w:rPr>
                <w:rFonts w:hint="eastAsia"/>
                <w:szCs w:val="21"/>
                <w:highlight w:val="none"/>
              </w:rPr>
              <w:t>2</w:t>
            </w:r>
            <w:r>
              <w:rPr>
                <w:rFonts w:hAnsi="宋体"/>
                <w:szCs w:val="21"/>
                <w:highlight w:val="none"/>
              </w:rPr>
              <w:t>分）</w:t>
            </w:r>
          </w:p>
        </w:tc>
        <w:tc>
          <w:tcPr>
            <w:tcW w:w="0" w:type="auto"/>
            <w:vAlign w:val="center"/>
          </w:tcPr>
          <w:p w14:paraId="7610EBD3">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rPr>
              <w:t>项目组其他成员（除项目负责人以外）具有公路工程相关专业中级或以上技术职称的，有一人得</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分，最多得</w:t>
            </w:r>
            <w:r>
              <w:rPr>
                <w:rFonts w:hint="eastAsia" w:ascii="Calibri" w:hAnsi="宋体" w:eastAsia="宋体" w:cs="宋体"/>
                <w:kern w:val="2"/>
                <w:szCs w:val="21"/>
                <w:highlight w:val="none"/>
                <w:lang w:val="en-US" w:eastAsia="zh-CN"/>
              </w:rPr>
              <w:t>3</w:t>
            </w:r>
            <w:r>
              <w:rPr>
                <w:rFonts w:hint="eastAsia" w:ascii="Calibri" w:hAnsi="宋体" w:eastAsia="宋体" w:cs="宋体"/>
                <w:kern w:val="2"/>
                <w:szCs w:val="21"/>
                <w:highlight w:val="none"/>
              </w:rPr>
              <w:t>分。</w:t>
            </w:r>
          </w:p>
          <w:p w14:paraId="61239E58">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rPr>
              <w:t>注：</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同一人有多种证书的，仅计分一次。</w:t>
            </w:r>
          </w:p>
          <w:p w14:paraId="04EB2963">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2、须</w:t>
            </w:r>
            <w:r>
              <w:rPr>
                <w:rFonts w:hint="eastAsia" w:ascii="Calibri" w:hAnsi="宋体" w:eastAsia="宋体" w:cs="宋体"/>
                <w:kern w:val="2"/>
                <w:szCs w:val="21"/>
                <w:highlight w:val="none"/>
              </w:rPr>
              <w:t>提供证书原件的扫描件，若为电子证书则还须提供查询渠道。</w:t>
            </w:r>
          </w:p>
          <w:p w14:paraId="39BE2528">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3、</w:t>
            </w:r>
            <w:r>
              <w:rPr>
                <w:rFonts w:hint="eastAsia" w:ascii="Calibri" w:hAnsi="宋体" w:eastAsia="宋体" w:cs="宋体"/>
                <w:kern w:val="2"/>
                <w:szCs w:val="21"/>
                <w:highlight w:val="none"/>
              </w:rPr>
              <w:t>提供上述证书的人员须为供应商自有员工，出具供应商为其缴纳的近三个月内任意一个月的社保缴费清单原件的扫描件（缴费清单须由社保机构盖章或为社保机构网站下载的带有社保机构电子印章的缴费清单，供应商下属不具备独立法人资格的分支机构缴纳的社保视为本单位）。</w:t>
            </w:r>
          </w:p>
          <w:p w14:paraId="3793D5DB">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4、</w:t>
            </w:r>
            <w:r>
              <w:rPr>
                <w:rFonts w:hint="eastAsia" w:ascii="Calibri" w:hAnsi="宋体" w:eastAsia="宋体" w:cs="宋体"/>
                <w:kern w:val="2"/>
                <w:szCs w:val="21"/>
                <w:highlight w:val="none"/>
              </w:rPr>
              <w:t>上述材料须同时提供且信息一致，否则不得分。</w:t>
            </w:r>
          </w:p>
          <w:p w14:paraId="7CAC30D9">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5、</w:t>
            </w:r>
            <w:r>
              <w:rPr>
                <w:rFonts w:hint="eastAsia" w:ascii="Calibri" w:hAnsi="宋体" w:eastAsia="宋体" w:cs="宋体"/>
                <w:kern w:val="2"/>
                <w:szCs w:val="21"/>
                <w:highlight w:val="none"/>
              </w:rPr>
              <w:t>公路工程相关专业包括公路工程、桥梁工程、公路与桥梁工程、交通土建、隧道（地下结构）工程、交通工程专业职称。</w:t>
            </w:r>
          </w:p>
        </w:tc>
        <w:tc>
          <w:tcPr>
            <w:tcW w:w="0" w:type="auto"/>
            <w:vAlign w:val="center"/>
          </w:tcPr>
          <w:p w14:paraId="145E42E9">
            <w:pPr>
              <w:snapToGrid w:val="0"/>
              <w:jc w:val="center"/>
              <w:rPr>
                <w:sz w:val="24"/>
                <w:highlight w:val="none"/>
              </w:rPr>
            </w:pPr>
            <w:r>
              <w:rPr>
                <w:rFonts w:hint="eastAsia"/>
                <w:sz w:val="24"/>
                <w:highlight w:val="none"/>
              </w:rPr>
              <w:t>6</w:t>
            </w:r>
            <w:r>
              <w:rPr>
                <w:sz w:val="24"/>
                <w:highlight w:val="none"/>
              </w:rPr>
              <w:t>分</w:t>
            </w:r>
          </w:p>
        </w:tc>
        <w:tc>
          <w:tcPr>
            <w:tcW w:w="0" w:type="auto"/>
            <w:vAlign w:val="center"/>
          </w:tcPr>
          <w:p w14:paraId="7F399E30">
            <w:pPr>
              <w:snapToGrid w:val="0"/>
              <w:jc w:val="center"/>
              <w:rPr>
                <w:sz w:val="24"/>
                <w:highlight w:val="none"/>
              </w:rPr>
            </w:pPr>
            <w:r>
              <w:rPr>
                <w:sz w:val="24"/>
                <w:highlight w:val="none"/>
              </w:rPr>
              <w:t>0分</w:t>
            </w:r>
          </w:p>
        </w:tc>
        <w:tc>
          <w:tcPr>
            <w:tcW w:w="0" w:type="auto"/>
            <w:vAlign w:val="center"/>
          </w:tcPr>
          <w:p w14:paraId="60768475">
            <w:pPr>
              <w:snapToGrid w:val="0"/>
              <w:jc w:val="center"/>
              <w:rPr>
                <w:sz w:val="24"/>
                <w:highlight w:val="none"/>
              </w:rPr>
            </w:pPr>
            <w:r>
              <w:rPr>
                <w:rFonts w:hint="eastAsia"/>
                <w:sz w:val="24"/>
                <w:highlight w:val="none"/>
              </w:rPr>
              <w:t>客</w:t>
            </w:r>
            <w:r>
              <w:rPr>
                <w:sz w:val="24"/>
                <w:highlight w:val="none"/>
              </w:rPr>
              <w:t>观</w:t>
            </w:r>
          </w:p>
        </w:tc>
      </w:tr>
      <w:tr w14:paraId="517D48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572" w:hRule="atLeast"/>
        </w:trPr>
        <w:tc>
          <w:tcPr>
            <w:tcW w:w="0" w:type="auto"/>
            <w:vMerge w:val="continue"/>
            <w:vAlign w:val="center"/>
          </w:tcPr>
          <w:p w14:paraId="5A743F54">
            <w:pPr>
              <w:snapToGrid w:val="0"/>
              <w:jc w:val="center"/>
              <w:rPr>
                <w:sz w:val="24"/>
                <w:highlight w:val="none"/>
              </w:rPr>
            </w:pPr>
          </w:p>
        </w:tc>
        <w:tc>
          <w:tcPr>
            <w:tcW w:w="0" w:type="auto"/>
            <w:gridSpan w:val="2"/>
            <w:vMerge w:val="continue"/>
            <w:vAlign w:val="center"/>
          </w:tcPr>
          <w:p w14:paraId="38AE645D">
            <w:pPr>
              <w:snapToGrid w:val="0"/>
              <w:jc w:val="center"/>
              <w:rPr>
                <w:sz w:val="24"/>
                <w:highlight w:val="none"/>
              </w:rPr>
            </w:pPr>
          </w:p>
        </w:tc>
        <w:tc>
          <w:tcPr>
            <w:tcW w:w="0" w:type="auto"/>
            <w:vAlign w:val="center"/>
          </w:tcPr>
          <w:p w14:paraId="45FEE0F6">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项目组其他成员（项目负责人以外）自202</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年1月1日以来（以合同签订时间为准）参与过</w:t>
            </w:r>
            <w:r>
              <w:rPr>
                <w:rFonts w:hint="eastAsia" w:ascii="Calibri" w:hAnsi="宋体" w:eastAsia="宋体" w:cs="宋体"/>
                <w:kern w:val="2"/>
                <w:szCs w:val="21"/>
                <w:highlight w:val="none"/>
                <w:lang w:eastAsia="zh-CN"/>
              </w:rPr>
              <w:t>已完成的</w:t>
            </w:r>
            <w:r>
              <w:rPr>
                <w:rFonts w:hint="eastAsia" w:ascii="Calibri" w:hAnsi="宋体" w:eastAsia="宋体" w:cs="宋体"/>
                <w:kern w:val="2"/>
                <w:szCs w:val="21"/>
                <w:highlight w:val="none"/>
              </w:rPr>
              <w:t>高速公路或快速路新建（或改建或扩建）的方案研究（或预可行性研究或可行性研究）项目。每人每提供一个合同的得2分，同一合同中包含多个本次拟投入项目组其他成员（除项目负责人以外）的可重复得分，最多得6分。</w:t>
            </w:r>
          </w:p>
          <w:p w14:paraId="6F0A56C0">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2、</w:t>
            </w:r>
            <w:r>
              <w:rPr>
                <w:rFonts w:hint="eastAsia" w:ascii="Calibri" w:hAnsi="宋体" w:eastAsia="宋体" w:cs="宋体"/>
                <w:kern w:val="2"/>
                <w:szCs w:val="21"/>
                <w:highlight w:val="none"/>
              </w:rPr>
              <w:t>项目组其他成员（项目负责人以外）自202</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年1月1日以来（以合同签订时间为准）参与过</w:t>
            </w:r>
            <w:r>
              <w:rPr>
                <w:rFonts w:hint="eastAsia" w:ascii="Calibri" w:hAnsi="宋体" w:eastAsia="宋体" w:cs="宋体"/>
                <w:kern w:val="2"/>
                <w:szCs w:val="21"/>
                <w:highlight w:val="none"/>
                <w:lang w:eastAsia="zh-CN"/>
              </w:rPr>
              <w:t>已完成的</w:t>
            </w:r>
            <w:r>
              <w:rPr>
                <w:rFonts w:hint="eastAsia" w:ascii="Calibri" w:hAnsi="宋体" w:eastAsia="宋体" w:cs="宋体"/>
                <w:kern w:val="2"/>
                <w:szCs w:val="21"/>
                <w:highlight w:val="none"/>
              </w:rPr>
              <w:t>一级公路新建（或改建或扩建）</w:t>
            </w:r>
            <w:r>
              <w:rPr>
                <w:rFonts w:hint="eastAsia" w:ascii="Calibri" w:hAnsi="宋体" w:eastAsia="宋体" w:cs="宋体"/>
                <w:kern w:val="2"/>
                <w:szCs w:val="21"/>
                <w:highlight w:val="none"/>
                <w:lang w:eastAsia="zh-CN"/>
              </w:rPr>
              <w:t>的</w:t>
            </w:r>
            <w:r>
              <w:rPr>
                <w:rFonts w:hint="eastAsia" w:ascii="Calibri" w:hAnsi="宋体" w:eastAsia="宋体" w:cs="宋体"/>
                <w:kern w:val="2"/>
                <w:szCs w:val="21"/>
                <w:highlight w:val="none"/>
              </w:rPr>
              <w:t>方案研究（或预可行性研究或可行性研究）项目。每人每提供一个合同的得</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分，同一合同中包含多个本次拟投入项目组其他成员（除项目负责人以外）的可重复得分，最多得</w:t>
            </w:r>
            <w:r>
              <w:rPr>
                <w:rFonts w:hint="eastAsia" w:ascii="Calibri" w:hAnsi="宋体" w:eastAsia="宋体" w:cs="宋体"/>
                <w:kern w:val="2"/>
                <w:szCs w:val="21"/>
                <w:highlight w:val="none"/>
                <w:lang w:val="en-US" w:eastAsia="zh-CN"/>
              </w:rPr>
              <w:t>3</w:t>
            </w:r>
            <w:r>
              <w:rPr>
                <w:rFonts w:hint="eastAsia" w:ascii="Calibri" w:hAnsi="宋体" w:eastAsia="宋体" w:cs="宋体"/>
                <w:kern w:val="2"/>
                <w:szCs w:val="21"/>
                <w:highlight w:val="none"/>
              </w:rPr>
              <w:t>分。</w:t>
            </w:r>
          </w:p>
          <w:p w14:paraId="0906762E">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rPr>
              <w:t>注：</w:t>
            </w:r>
            <w:r>
              <w:rPr>
                <w:rFonts w:hint="eastAsia" w:ascii="Calibri" w:hAnsi="宋体" w:eastAsia="宋体" w:cs="宋体"/>
                <w:kern w:val="2"/>
                <w:szCs w:val="21"/>
                <w:highlight w:val="none"/>
                <w:lang w:val="en-US" w:eastAsia="zh-CN"/>
              </w:rPr>
              <w:t>1</w:t>
            </w:r>
            <w:r>
              <w:rPr>
                <w:rFonts w:hint="eastAsia" w:ascii="Calibri" w:hAnsi="宋体" w:eastAsia="宋体" w:cs="宋体"/>
                <w:kern w:val="2"/>
                <w:szCs w:val="21"/>
                <w:highlight w:val="none"/>
              </w:rPr>
              <w:t>、拟投入</w:t>
            </w:r>
            <w:r>
              <w:rPr>
                <w:rFonts w:hint="eastAsia" w:ascii="Calibri" w:hAnsi="宋体" w:eastAsia="宋体" w:cs="宋体"/>
                <w:kern w:val="2"/>
                <w:szCs w:val="21"/>
                <w:highlight w:val="none"/>
                <w:lang w:eastAsia="zh-CN"/>
              </w:rPr>
              <w:t>人员</w:t>
            </w:r>
            <w:r>
              <w:rPr>
                <w:rFonts w:hint="eastAsia" w:ascii="Calibri" w:hAnsi="宋体" w:eastAsia="宋体" w:cs="宋体"/>
                <w:kern w:val="2"/>
                <w:szCs w:val="21"/>
                <w:highlight w:val="none"/>
              </w:rPr>
              <w:t>须为供应商自有员工，出具供应商为其缴纳的近三个月中一个月的社保缴纳证明的社保缴费清单的复印件或扫描件（缴费清单须由社保机构盖章或为社保机构网站下载的带有社保机构电子印章的缴费清单，供应商下属不具备独立法人资格的分支机构缴纳的社保视为本单位）。未提供或未按要求提供社保的，则上述1~2点均不得分。</w:t>
            </w:r>
          </w:p>
          <w:p w14:paraId="03AFEB34">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2、</w:t>
            </w:r>
            <w:r>
              <w:rPr>
                <w:rFonts w:hint="eastAsia" w:ascii="Calibri" w:hAnsi="宋体" w:eastAsia="宋体" w:cs="宋体"/>
                <w:kern w:val="2"/>
                <w:szCs w:val="21"/>
                <w:highlight w:val="none"/>
              </w:rPr>
              <w:t>须同时提供中标通知书、与项目业主单位直接签订的合同</w:t>
            </w:r>
            <w:r>
              <w:rPr>
                <w:rFonts w:hint="eastAsia" w:ascii="Calibri" w:hAnsi="宋体" w:eastAsia="宋体" w:cs="宋体"/>
                <w:kern w:val="2"/>
                <w:szCs w:val="21"/>
                <w:highlight w:val="none"/>
                <w:lang w:eastAsia="zh-CN"/>
              </w:rPr>
              <w:t>（若合同中未体现姓名的不予认可）</w:t>
            </w:r>
            <w:r>
              <w:rPr>
                <w:rFonts w:hint="eastAsia" w:ascii="Calibri" w:hAnsi="宋体" w:eastAsia="宋体" w:cs="宋体"/>
                <w:kern w:val="2"/>
                <w:szCs w:val="21"/>
                <w:highlight w:val="none"/>
              </w:rPr>
              <w:t>上述材料须同时提供且信息一致，否则不得分。</w:t>
            </w:r>
          </w:p>
          <w:p w14:paraId="55FA96B4">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3、</w:t>
            </w:r>
            <w:r>
              <w:rPr>
                <w:rFonts w:hint="eastAsia" w:ascii="Calibri" w:hAnsi="宋体" w:eastAsia="宋体" w:cs="宋体"/>
                <w:kern w:val="2"/>
                <w:szCs w:val="21"/>
                <w:highlight w:val="none"/>
                <w:lang w:eastAsia="zh-CN"/>
              </w:rPr>
              <w:t>须提供</w:t>
            </w:r>
            <w:r>
              <w:rPr>
                <w:rFonts w:hint="eastAsia" w:ascii="Calibri" w:hAnsi="宋体" w:eastAsia="宋体" w:cs="宋体"/>
                <w:kern w:val="2"/>
                <w:szCs w:val="21"/>
                <w:highlight w:val="none"/>
              </w:rPr>
              <w:t>项目验收</w:t>
            </w:r>
            <w:r>
              <w:rPr>
                <w:rFonts w:hint="eastAsia" w:ascii="Calibri" w:hAnsi="宋体" w:eastAsia="宋体" w:cs="宋体"/>
                <w:kern w:val="2"/>
                <w:szCs w:val="21"/>
                <w:highlight w:val="none"/>
                <w:lang w:eastAsia="zh-CN"/>
              </w:rPr>
              <w:t>材料或项目</w:t>
            </w:r>
            <w:r>
              <w:rPr>
                <w:rFonts w:hint="eastAsia" w:ascii="Calibri" w:hAnsi="宋体" w:eastAsia="宋体" w:cs="宋体"/>
                <w:kern w:val="2"/>
                <w:szCs w:val="21"/>
                <w:highlight w:val="none"/>
              </w:rPr>
              <w:t>业主单位加盖公章的</w:t>
            </w:r>
            <w:r>
              <w:rPr>
                <w:rFonts w:hint="eastAsia" w:ascii="Calibri" w:hAnsi="宋体" w:eastAsia="宋体" w:cs="宋体"/>
                <w:kern w:val="2"/>
                <w:szCs w:val="21"/>
                <w:highlight w:val="none"/>
                <w:lang w:eastAsia="zh-CN"/>
              </w:rPr>
              <w:t>完工</w:t>
            </w:r>
            <w:r>
              <w:rPr>
                <w:rFonts w:hint="eastAsia" w:ascii="Calibri" w:hAnsi="宋体" w:eastAsia="宋体" w:cs="宋体"/>
                <w:kern w:val="2"/>
                <w:szCs w:val="21"/>
                <w:highlight w:val="none"/>
              </w:rPr>
              <w:t>证明材料的复印件或扫描件</w:t>
            </w:r>
            <w:r>
              <w:rPr>
                <w:rFonts w:hint="eastAsia" w:ascii="Calibri" w:hAnsi="宋体" w:eastAsia="宋体" w:cs="宋体"/>
                <w:kern w:val="2"/>
                <w:szCs w:val="21"/>
                <w:highlight w:val="none"/>
                <w:lang w:eastAsia="zh-CN"/>
              </w:rPr>
              <w:t>。</w:t>
            </w:r>
          </w:p>
          <w:p w14:paraId="2B923B8A">
            <w:pPr>
              <w:ind w:right="42" w:rightChars="20"/>
              <w:rPr>
                <w:rFonts w:hint="eastAsia" w:ascii="Calibri" w:hAnsi="宋体" w:eastAsia="宋体" w:cs="宋体"/>
                <w:kern w:val="2"/>
                <w:szCs w:val="21"/>
                <w:highlight w:val="none"/>
              </w:rPr>
            </w:pPr>
            <w:r>
              <w:rPr>
                <w:rFonts w:hint="eastAsia" w:ascii="Calibri" w:hAnsi="宋体" w:eastAsia="宋体" w:cs="宋体"/>
                <w:kern w:val="2"/>
                <w:szCs w:val="21"/>
                <w:highlight w:val="none"/>
                <w:lang w:val="en-US" w:eastAsia="zh-CN"/>
              </w:rPr>
              <w:t>4</w:t>
            </w:r>
            <w:r>
              <w:rPr>
                <w:rFonts w:hint="eastAsia" w:ascii="Calibri" w:hAnsi="宋体" w:eastAsia="宋体" w:cs="宋体"/>
                <w:kern w:val="2"/>
                <w:szCs w:val="21"/>
                <w:highlight w:val="none"/>
              </w:rPr>
              <w:t>、上述材料提供不全或未提供的不得分。</w:t>
            </w:r>
          </w:p>
        </w:tc>
        <w:tc>
          <w:tcPr>
            <w:tcW w:w="0" w:type="auto"/>
            <w:vAlign w:val="center"/>
          </w:tcPr>
          <w:p w14:paraId="4A931381">
            <w:pPr>
              <w:snapToGrid w:val="0"/>
              <w:jc w:val="center"/>
              <w:rPr>
                <w:sz w:val="24"/>
                <w:highlight w:val="none"/>
              </w:rPr>
            </w:pPr>
            <w:r>
              <w:rPr>
                <w:rFonts w:hint="eastAsia"/>
                <w:sz w:val="24"/>
                <w:highlight w:val="none"/>
              </w:rPr>
              <w:t>6</w:t>
            </w:r>
            <w:r>
              <w:rPr>
                <w:sz w:val="24"/>
                <w:highlight w:val="none"/>
              </w:rPr>
              <w:t>分</w:t>
            </w:r>
          </w:p>
        </w:tc>
        <w:tc>
          <w:tcPr>
            <w:tcW w:w="0" w:type="auto"/>
            <w:vAlign w:val="center"/>
          </w:tcPr>
          <w:p w14:paraId="07601269">
            <w:pPr>
              <w:snapToGrid w:val="0"/>
              <w:jc w:val="center"/>
              <w:rPr>
                <w:sz w:val="24"/>
                <w:highlight w:val="none"/>
              </w:rPr>
            </w:pPr>
            <w:r>
              <w:rPr>
                <w:sz w:val="24"/>
                <w:highlight w:val="none"/>
              </w:rPr>
              <w:t>0分</w:t>
            </w:r>
          </w:p>
        </w:tc>
        <w:tc>
          <w:tcPr>
            <w:tcW w:w="0" w:type="auto"/>
            <w:vAlign w:val="center"/>
          </w:tcPr>
          <w:p w14:paraId="0BAEF1C2">
            <w:pPr>
              <w:snapToGrid w:val="0"/>
              <w:jc w:val="center"/>
              <w:rPr>
                <w:sz w:val="24"/>
                <w:highlight w:val="none"/>
              </w:rPr>
            </w:pPr>
            <w:r>
              <w:rPr>
                <w:rFonts w:hint="eastAsia"/>
                <w:sz w:val="24"/>
                <w:highlight w:val="none"/>
              </w:rPr>
              <w:t>客</w:t>
            </w:r>
            <w:r>
              <w:rPr>
                <w:sz w:val="24"/>
                <w:highlight w:val="none"/>
              </w:rPr>
              <w:t>观</w:t>
            </w:r>
          </w:p>
        </w:tc>
      </w:tr>
      <w:tr w14:paraId="713225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572" w:hRule="atLeast"/>
        </w:trPr>
        <w:tc>
          <w:tcPr>
            <w:tcW w:w="0" w:type="auto"/>
            <w:vMerge w:val="restart"/>
            <w:vAlign w:val="center"/>
          </w:tcPr>
          <w:p w14:paraId="31DAAC80">
            <w:pPr>
              <w:snapToGrid w:val="0"/>
              <w:jc w:val="center"/>
              <w:rPr>
                <w:sz w:val="24"/>
                <w:highlight w:val="none"/>
              </w:rPr>
            </w:pPr>
            <w:r>
              <w:rPr>
                <w:sz w:val="24"/>
                <w:highlight w:val="none"/>
              </w:rPr>
              <w:t>4</w:t>
            </w:r>
          </w:p>
        </w:tc>
        <w:tc>
          <w:tcPr>
            <w:tcW w:w="0" w:type="auto"/>
            <w:vMerge w:val="restart"/>
            <w:vAlign w:val="center"/>
          </w:tcPr>
          <w:p w14:paraId="655F6BEF">
            <w:pPr>
              <w:snapToGrid w:val="0"/>
              <w:jc w:val="center"/>
              <w:rPr>
                <w:sz w:val="24"/>
                <w:highlight w:val="none"/>
              </w:rPr>
            </w:pPr>
            <w:r>
              <w:rPr>
                <w:rFonts w:hAnsi="宋体"/>
                <w:szCs w:val="21"/>
                <w:highlight w:val="none"/>
              </w:rPr>
              <w:t>技术方案（</w:t>
            </w:r>
            <w:r>
              <w:rPr>
                <w:rFonts w:hint="eastAsia" w:hAnsi="宋体"/>
                <w:szCs w:val="21"/>
                <w:highlight w:val="none"/>
              </w:rPr>
              <w:t>30</w:t>
            </w:r>
            <w:r>
              <w:rPr>
                <w:rFonts w:hAnsi="宋体"/>
                <w:szCs w:val="21"/>
                <w:highlight w:val="none"/>
              </w:rPr>
              <w:t>分）</w:t>
            </w:r>
          </w:p>
        </w:tc>
        <w:tc>
          <w:tcPr>
            <w:tcW w:w="0" w:type="auto"/>
            <w:vAlign w:val="center"/>
          </w:tcPr>
          <w:p w14:paraId="211E0955">
            <w:pPr>
              <w:widowControl/>
              <w:jc w:val="center"/>
              <w:rPr>
                <w:sz w:val="24"/>
                <w:highlight w:val="none"/>
              </w:rPr>
            </w:pPr>
            <w:r>
              <w:rPr>
                <w:rFonts w:hint="eastAsia" w:hAnsi="宋体"/>
                <w:szCs w:val="21"/>
                <w:highlight w:val="none"/>
              </w:rPr>
              <w:t>对项目的理解和总体思路</w:t>
            </w:r>
            <w:r>
              <w:rPr>
                <w:rFonts w:hAnsi="宋体"/>
                <w:szCs w:val="21"/>
                <w:highlight w:val="none"/>
              </w:rPr>
              <w:t>（</w:t>
            </w:r>
            <w:r>
              <w:rPr>
                <w:rFonts w:hint="eastAsia"/>
                <w:szCs w:val="21"/>
                <w:highlight w:val="none"/>
              </w:rPr>
              <w:t>8</w:t>
            </w:r>
            <w:r>
              <w:rPr>
                <w:rFonts w:hAnsi="宋体"/>
                <w:szCs w:val="21"/>
                <w:highlight w:val="none"/>
              </w:rPr>
              <w:t>分）</w:t>
            </w:r>
          </w:p>
        </w:tc>
        <w:tc>
          <w:tcPr>
            <w:tcW w:w="0" w:type="auto"/>
            <w:vAlign w:val="center"/>
          </w:tcPr>
          <w:p w14:paraId="05A20596">
            <w:pPr>
              <w:widowControl/>
              <w:rPr>
                <w:rFonts w:hint="eastAsia" w:hAnsi="宋体"/>
                <w:szCs w:val="21"/>
                <w:highlight w:val="none"/>
              </w:rPr>
            </w:pPr>
            <w:r>
              <w:rPr>
                <w:rFonts w:hint="eastAsia" w:hAnsi="宋体"/>
                <w:szCs w:val="21"/>
                <w:highlight w:val="none"/>
              </w:rPr>
              <w:t>根据供应商提供的实施方案进行评分，内容至少包括：</w:t>
            </w:r>
          </w:p>
          <w:p w14:paraId="20E7A02D">
            <w:pPr>
              <w:widowControl/>
              <w:rPr>
                <w:rFonts w:hint="eastAsia" w:hAnsi="宋体"/>
                <w:szCs w:val="21"/>
                <w:highlight w:val="none"/>
              </w:rPr>
            </w:pPr>
            <w:r>
              <w:rPr>
                <w:rFonts w:hint="eastAsia" w:hAnsi="宋体"/>
                <w:szCs w:val="21"/>
                <w:highlight w:val="none"/>
              </w:rPr>
              <w:t>①对整个项目的情况、范围、内容的理解；</w:t>
            </w:r>
          </w:p>
          <w:p w14:paraId="2C6C69CD">
            <w:pPr>
              <w:widowControl/>
              <w:rPr>
                <w:rFonts w:hint="eastAsia" w:hAnsi="宋体"/>
                <w:szCs w:val="21"/>
                <w:highlight w:val="none"/>
              </w:rPr>
            </w:pPr>
            <w:r>
              <w:rPr>
                <w:rFonts w:hint="eastAsia" w:hAnsi="宋体"/>
                <w:szCs w:val="21"/>
                <w:highlight w:val="none"/>
              </w:rPr>
              <w:t>②对项目总体思路。</w:t>
            </w:r>
          </w:p>
          <w:p w14:paraId="086B570C">
            <w:pPr>
              <w:widowControl/>
              <w:rPr>
                <w:rFonts w:hint="eastAsia" w:hAnsi="宋体"/>
                <w:szCs w:val="21"/>
                <w:highlight w:val="none"/>
              </w:rPr>
            </w:pPr>
            <w:r>
              <w:rPr>
                <w:rFonts w:hint="eastAsia" w:hAnsi="宋体"/>
                <w:szCs w:val="21"/>
                <w:highlight w:val="none"/>
              </w:rPr>
              <w:t>未提供或未完整提供①②项方案的不得分；</w:t>
            </w:r>
          </w:p>
          <w:p w14:paraId="1342D85B">
            <w:pPr>
              <w:widowControl/>
              <w:rPr>
                <w:rFonts w:hint="eastAsia" w:hAnsi="宋体"/>
                <w:szCs w:val="21"/>
                <w:highlight w:val="none"/>
              </w:rPr>
            </w:pPr>
            <w:r>
              <w:rPr>
                <w:rFonts w:hint="eastAsia" w:hAnsi="宋体"/>
                <w:szCs w:val="21"/>
                <w:highlight w:val="none"/>
              </w:rPr>
              <w:t>按上述①②项要求提供方案且阐述一般的，得4分；</w:t>
            </w:r>
          </w:p>
          <w:p w14:paraId="5171D6E6">
            <w:pPr>
              <w:widowControl/>
              <w:rPr>
                <w:rFonts w:hint="eastAsia" w:hAnsi="宋体"/>
                <w:szCs w:val="21"/>
                <w:highlight w:val="none"/>
              </w:rPr>
            </w:pPr>
            <w:r>
              <w:rPr>
                <w:rFonts w:hint="eastAsia" w:hAnsi="宋体"/>
                <w:szCs w:val="21"/>
                <w:highlight w:val="none"/>
              </w:rPr>
              <w:t>按上述①②项要求提供方案且比较全面、清晰、合理的，得6分；</w:t>
            </w:r>
          </w:p>
          <w:p w14:paraId="3891AC9F">
            <w:pPr>
              <w:widowControl/>
              <w:rPr>
                <w:sz w:val="24"/>
                <w:highlight w:val="none"/>
              </w:rPr>
            </w:pPr>
            <w:r>
              <w:rPr>
                <w:rFonts w:hint="eastAsia" w:hAnsi="宋体"/>
                <w:szCs w:val="21"/>
                <w:highlight w:val="none"/>
              </w:rPr>
              <w:t>按上述①②项要求提供方案且全面、清晰、合理的，得8分</w:t>
            </w:r>
            <w:r>
              <w:rPr>
                <w:rFonts w:hint="eastAsia"/>
                <w:highlight w:val="none"/>
              </w:rPr>
              <w:t>。</w:t>
            </w:r>
          </w:p>
        </w:tc>
        <w:tc>
          <w:tcPr>
            <w:tcW w:w="0" w:type="auto"/>
            <w:vAlign w:val="center"/>
          </w:tcPr>
          <w:p w14:paraId="351AF402">
            <w:pPr>
              <w:snapToGrid w:val="0"/>
              <w:jc w:val="center"/>
              <w:rPr>
                <w:sz w:val="24"/>
                <w:highlight w:val="none"/>
              </w:rPr>
            </w:pPr>
            <w:r>
              <w:rPr>
                <w:rFonts w:hint="eastAsia"/>
                <w:sz w:val="24"/>
                <w:highlight w:val="none"/>
              </w:rPr>
              <w:t>8</w:t>
            </w:r>
            <w:r>
              <w:rPr>
                <w:sz w:val="24"/>
                <w:highlight w:val="none"/>
              </w:rPr>
              <w:t>分</w:t>
            </w:r>
          </w:p>
        </w:tc>
        <w:tc>
          <w:tcPr>
            <w:tcW w:w="0" w:type="auto"/>
            <w:vAlign w:val="center"/>
          </w:tcPr>
          <w:p w14:paraId="660FB1D6">
            <w:pPr>
              <w:snapToGrid w:val="0"/>
              <w:jc w:val="center"/>
              <w:rPr>
                <w:sz w:val="24"/>
                <w:highlight w:val="none"/>
              </w:rPr>
            </w:pPr>
            <w:r>
              <w:rPr>
                <w:sz w:val="24"/>
                <w:highlight w:val="none"/>
              </w:rPr>
              <w:t>0</w:t>
            </w:r>
            <w:r>
              <w:rPr>
                <w:rFonts w:hint="eastAsia"/>
                <w:sz w:val="24"/>
                <w:highlight w:val="none"/>
              </w:rPr>
              <w:t>分</w:t>
            </w:r>
          </w:p>
        </w:tc>
        <w:tc>
          <w:tcPr>
            <w:tcW w:w="0" w:type="auto"/>
            <w:vAlign w:val="center"/>
          </w:tcPr>
          <w:p w14:paraId="03265907">
            <w:pPr>
              <w:snapToGrid w:val="0"/>
              <w:jc w:val="center"/>
              <w:rPr>
                <w:sz w:val="24"/>
                <w:highlight w:val="none"/>
              </w:rPr>
            </w:pPr>
            <w:r>
              <w:rPr>
                <w:sz w:val="24"/>
                <w:highlight w:val="none"/>
              </w:rPr>
              <w:t>主观</w:t>
            </w:r>
          </w:p>
        </w:tc>
      </w:tr>
      <w:tr w14:paraId="69ACF5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16" w:hRule="atLeast"/>
        </w:trPr>
        <w:tc>
          <w:tcPr>
            <w:tcW w:w="0" w:type="auto"/>
            <w:vMerge w:val="continue"/>
            <w:vAlign w:val="center"/>
          </w:tcPr>
          <w:p w14:paraId="76EF7226">
            <w:pPr>
              <w:snapToGrid w:val="0"/>
              <w:jc w:val="center"/>
              <w:rPr>
                <w:sz w:val="24"/>
                <w:highlight w:val="none"/>
              </w:rPr>
            </w:pPr>
          </w:p>
        </w:tc>
        <w:tc>
          <w:tcPr>
            <w:tcW w:w="0" w:type="auto"/>
            <w:vMerge w:val="continue"/>
            <w:vAlign w:val="center"/>
          </w:tcPr>
          <w:p w14:paraId="31CA22AC">
            <w:pPr>
              <w:snapToGrid w:val="0"/>
              <w:jc w:val="center"/>
              <w:rPr>
                <w:sz w:val="24"/>
                <w:highlight w:val="none"/>
              </w:rPr>
            </w:pPr>
          </w:p>
        </w:tc>
        <w:tc>
          <w:tcPr>
            <w:tcW w:w="0" w:type="auto"/>
            <w:vAlign w:val="center"/>
          </w:tcPr>
          <w:p w14:paraId="5AFB115E">
            <w:pPr>
              <w:widowControl/>
              <w:jc w:val="center"/>
              <w:rPr>
                <w:sz w:val="24"/>
                <w:highlight w:val="none"/>
              </w:rPr>
            </w:pPr>
            <w:r>
              <w:rPr>
                <w:rFonts w:hint="eastAsia" w:hAnsi="宋体"/>
                <w:szCs w:val="21"/>
                <w:highlight w:val="none"/>
              </w:rPr>
              <w:t>采购项目的特点、关键技术问题的认识及其对策措施</w:t>
            </w:r>
            <w:r>
              <w:rPr>
                <w:rFonts w:hAnsi="宋体"/>
                <w:szCs w:val="21"/>
                <w:highlight w:val="none"/>
              </w:rPr>
              <w:t>（</w:t>
            </w:r>
            <w:r>
              <w:rPr>
                <w:rFonts w:hint="eastAsia"/>
                <w:szCs w:val="21"/>
                <w:highlight w:val="none"/>
              </w:rPr>
              <w:t>10</w:t>
            </w:r>
            <w:r>
              <w:rPr>
                <w:rFonts w:hAnsi="宋体"/>
                <w:szCs w:val="21"/>
                <w:highlight w:val="none"/>
              </w:rPr>
              <w:t>分）</w:t>
            </w:r>
          </w:p>
        </w:tc>
        <w:tc>
          <w:tcPr>
            <w:tcW w:w="0" w:type="auto"/>
            <w:vAlign w:val="center"/>
          </w:tcPr>
          <w:p w14:paraId="51C77760">
            <w:pPr>
              <w:widowControl/>
              <w:rPr>
                <w:rFonts w:hint="eastAsia" w:hAnsi="宋体"/>
                <w:szCs w:val="21"/>
                <w:highlight w:val="none"/>
              </w:rPr>
            </w:pPr>
            <w:r>
              <w:rPr>
                <w:rFonts w:hint="eastAsia" w:hAnsi="宋体"/>
                <w:szCs w:val="21"/>
                <w:highlight w:val="none"/>
              </w:rPr>
              <w:t>根据供应商提供的实施方案进行评分，内容至少包括：</w:t>
            </w:r>
          </w:p>
          <w:p w14:paraId="098E77D8">
            <w:pPr>
              <w:widowControl/>
              <w:rPr>
                <w:rFonts w:hint="eastAsia" w:hAnsi="宋体"/>
                <w:szCs w:val="21"/>
                <w:highlight w:val="none"/>
              </w:rPr>
            </w:pPr>
            <w:r>
              <w:rPr>
                <w:rFonts w:hint="eastAsia" w:hAnsi="宋体"/>
                <w:szCs w:val="21"/>
                <w:highlight w:val="none"/>
              </w:rPr>
              <w:t>①对项目的特点、重点、难点及关键性技术问题把握；</w:t>
            </w:r>
          </w:p>
          <w:p w14:paraId="758C4C72">
            <w:pPr>
              <w:widowControl/>
              <w:rPr>
                <w:rFonts w:hint="eastAsia" w:hAnsi="宋体"/>
                <w:szCs w:val="21"/>
                <w:highlight w:val="none"/>
              </w:rPr>
            </w:pPr>
            <w:r>
              <w:rPr>
                <w:rFonts w:hint="eastAsia" w:hAnsi="宋体"/>
                <w:szCs w:val="21"/>
                <w:highlight w:val="none"/>
              </w:rPr>
              <w:t>②项目关键技术问题的对策措施。</w:t>
            </w:r>
          </w:p>
          <w:p w14:paraId="6C8449C3">
            <w:pPr>
              <w:widowControl/>
              <w:rPr>
                <w:rFonts w:hint="eastAsia" w:hAnsi="宋体"/>
                <w:szCs w:val="21"/>
                <w:highlight w:val="none"/>
              </w:rPr>
            </w:pPr>
            <w:r>
              <w:rPr>
                <w:rFonts w:hint="eastAsia" w:hAnsi="宋体"/>
                <w:szCs w:val="21"/>
                <w:highlight w:val="none"/>
              </w:rPr>
              <w:t>未提供或未完整提供①②项方案的不得分；</w:t>
            </w:r>
          </w:p>
          <w:p w14:paraId="799DD4CB">
            <w:pPr>
              <w:widowControl/>
              <w:rPr>
                <w:rFonts w:hint="eastAsia" w:hAnsi="宋体"/>
                <w:szCs w:val="21"/>
                <w:highlight w:val="none"/>
              </w:rPr>
            </w:pPr>
            <w:r>
              <w:rPr>
                <w:rFonts w:hint="eastAsia" w:hAnsi="宋体"/>
                <w:szCs w:val="21"/>
                <w:highlight w:val="none"/>
              </w:rPr>
              <w:t>按上述①②项要求提供方案且阐述一般的，得6分；</w:t>
            </w:r>
          </w:p>
          <w:p w14:paraId="11C5A0B2">
            <w:pPr>
              <w:widowControl/>
              <w:rPr>
                <w:rFonts w:hint="eastAsia" w:hAnsi="宋体"/>
                <w:szCs w:val="21"/>
                <w:highlight w:val="none"/>
              </w:rPr>
            </w:pPr>
            <w:r>
              <w:rPr>
                <w:rFonts w:hint="eastAsia" w:hAnsi="宋体"/>
                <w:szCs w:val="21"/>
                <w:highlight w:val="none"/>
              </w:rPr>
              <w:t>按上述①②项要求提供方案且比较全面、清晰、合理的，得8分；</w:t>
            </w:r>
          </w:p>
          <w:p w14:paraId="3E059DF6">
            <w:pPr>
              <w:widowControl/>
              <w:rPr>
                <w:sz w:val="24"/>
                <w:highlight w:val="none"/>
              </w:rPr>
            </w:pPr>
            <w:r>
              <w:rPr>
                <w:rFonts w:hint="eastAsia" w:hAnsi="宋体"/>
                <w:szCs w:val="21"/>
                <w:highlight w:val="none"/>
              </w:rPr>
              <w:t>按上述①②项要求提供方案且全面、清晰、合理的，得10分</w:t>
            </w:r>
            <w:r>
              <w:rPr>
                <w:rFonts w:hint="eastAsia"/>
                <w:highlight w:val="none"/>
              </w:rPr>
              <w:t>。</w:t>
            </w:r>
          </w:p>
        </w:tc>
        <w:tc>
          <w:tcPr>
            <w:tcW w:w="0" w:type="auto"/>
            <w:vAlign w:val="center"/>
          </w:tcPr>
          <w:p w14:paraId="6D1D27D7">
            <w:pPr>
              <w:snapToGrid w:val="0"/>
              <w:jc w:val="center"/>
              <w:rPr>
                <w:sz w:val="24"/>
                <w:highlight w:val="none"/>
              </w:rPr>
            </w:pPr>
            <w:r>
              <w:rPr>
                <w:rFonts w:hint="eastAsia"/>
                <w:sz w:val="24"/>
                <w:highlight w:val="none"/>
              </w:rPr>
              <w:t>10</w:t>
            </w:r>
            <w:r>
              <w:rPr>
                <w:sz w:val="24"/>
                <w:highlight w:val="none"/>
              </w:rPr>
              <w:t>分</w:t>
            </w:r>
          </w:p>
        </w:tc>
        <w:tc>
          <w:tcPr>
            <w:tcW w:w="0" w:type="auto"/>
            <w:vAlign w:val="center"/>
          </w:tcPr>
          <w:p w14:paraId="128E44BD">
            <w:pPr>
              <w:snapToGrid w:val="0"/>
              <w:jc w:val="center"/>
              <w:rPr>
                <w:sz w:val="24"/>
                <w:highlight w:val="none"/>
              </w:rPr>
            </w:pPr>
            <w:r>
              <w:rPr>
                <w:sz w:val="24"/>
                <w:highlight w:val="none"/>
              </w:rPr>
              <w:t>0</w:t>
            </w:r>
            <w:r>
              <w:rPr>
                <w:rFonts w:hint="eastAsia"/>
                <w:sz w:val="24"/>
                <w:highlight w:val="none"/>
              </w:rPr>
              <w:t>分</w:t>
            </w:r>
          </w:p>
        </w:tc>
        <w:tc>
          <w:tcPr>
            <w:tcW w:w="0" w:type="auto"/>
            <w:vAlign w:val="center"/>
          </w:tcPr>
          <w:p w14:paraId="76EFD435">
            <w:pPr>
              <w:snapToGrid w:val="0"/>
              <w:jc w:val="center"/>
              <w:rPr>
                <w:sz w:val="24"/>
                <w:highlight w:val="none"/>
              </w:rPr>
            </w:pPr>
            <w:r>
              <w:rPr>
                <w:sz w:val="24"/>
                <w:highlight w:val="none"/>
              </w:rPr>
              <w:t>主观</w:t>
            </w:r>
          </w:p>
        </w:tc>
      </w:tr>
      <w:tr w14:paraId="4053E9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8" w:hRule="atLeast"/>
        </w:trPr>
        <w:tc>
          <w:tcPr>
            <w:tcW w:w="0" w:type="auto"/>
            <w:vMerge w:val="continue"/>
            <w:vAlign w:val="center"/>
          </w:tcPr>
          <w:p w14:paraId="68F7A800">
            <w:pPr>
              <w:snapToGrid w:val="0"/>
              <w:jc w:val="center"/>
              <w:rPr>
                <w:sz w:val="24"/>
                <w:highlight w:val="none"/>
              </w:rPr>
            </w:pPr>
          </w:p>
        </w:tc>
        <w:tc>
          <w:tcPr>
            <w:tcW w:w="0" w:type="auto"/>
            <w:vMerge w:val="continue"/>
            <w:vAlign w:val="center"/>
          </w:tcPr>
          <w:p w14:paraId="3BE3392F">
            <w:pPr>
              <w:snapToGrid w:val="0"/>
              <w:jc w:val="center"/>
              <w:rPr>
                <w:sz w:val="24"/>
                <w:highlight w:val="none"/>
              </w:rPr>
            </w:pPr>
          </w:p>
        </w:tc>
        <w:tc>
          <w:tcPr>
            <w:tcW w:w="0" w:type="auto"/>
            <w:vAlign w:val="center"/>
          </w:tcPr>
          <w:p w14:paraId="7FF4EF19">
            <w:pPr>
              <w:widowControl/>
              <w:jc w:val="center"/>
              <w:rPr>
                <w:sz w:val="24"/>
                <w:highlight w:val="none"/>
              </w:rPr>
            </w:pPr>
            <w:r>
              <w:rPr>
                <w:rFonts w:hint="eastAsia" w:hAnsi="宋体"/>
                <w:szCs w:val="21"/>
                <w:highlight w:val="none"/>
              </w:rPr>
              <w:t>工作量、计划安排及质量进度保证措施</w:t>
            </w:r>
            <w:r>
              <w:rPr>
                <w:rFonts w:hAnsi="宋体"/>
                <w:szCs w:val="21"/>
                <w:highlight w:val="none"/>
              </w:rPr>
              <w:t>（</w:t>
            </w:r>
            <w:r>
              <w:rPr>
                <w:rFonts w:hint="eastAsia"/>
                <w:szCs w:val="21"/>
                <w:highlight w:val="none"/>
              </w:rPr>
              <w:t>6</w:t>
            </w:r>
            <w:r>
              <w:rPr>
                <w:rFonts w:hAnsi="宋体"/>
                <w:szCs w:val="21"/>
                <w:highlight w:val="none"/>
              </w:rPr>
              <w:t>分）</w:t>
            </w:r>
          </w:p>
        </w:tc>
        <w:tc>
          <w:tcPr>
            <w:tcW w:w="0" w:type="auto"/>
            <w:vAlign w:val="center"/>
          </w:tcPr>
          <w:p w14:paraId="2D4FF743">
            <w:pPr>
              <w:widowControl/>
              <w:rPr>
                <w:rFonts w:hint="eastAsia" w:hAnsi="宋体"/>
                <w:szCs w:val="21"/>
                <w:highlight w:val="none"/>
              </w:rPr>
            </w:pPr>
            <w:r>
              <w:rPr>
                <w:rFonts w:hint="eastAsia" w:hAnsi="宋体"/>
                <w:szCs w:val="21"/>
                <w:highlight w:val="none"/>
              </w:rPr>
              <w:t>根据供应商提供的实施方案进行评分，内容至少包括：</w:t>
            </w:r>
          </w:p>
          <w:p w14:paraId="2B9BEEDF">
            <w:pPr>
              <w:widowControl/>
              <w:rPr>
                <w:rFonts w:hint="eastAsia" w:hAnsi="宋体"/>
                <w:szCs w:val="21"/>
                <w:highlight w:val="none"/>
              </w:rPr>
            </w:pPr>
            <w:r>
              <w:rPr>
                <w:rFonts w:hint="eastAsia" w:hAnsi="宋体"/>
                <w:szCs w:val="21"/>
                <w:highlight w:val="none"/>
              </w:rPr>
              <w:t>①设计工作量及计划安排</w:t>
            </w:r>
          </w:p>
          <w:p w14:paraId="1DFF2052">
            <w:pPr>
              <w:widowControl/>
              <w:rPr>
                <w:rFonts w:hint="eastAsia" w:hAnsi="宋体"/>
                <w:szCs w:val="21"/>
                <w:highlight w:val="none"/>
              </w:rPr>
            </w:pPr>
            <w:r>
              <w:rPr>
                <w:rFonts w:hint="eastAsia" w:hAnsi="宋体"/>
                <w:szCs w:val="21"/>
                <w:highlight w:val="none"/>
              </w:rPr>
              <w:t>②质量进度</w:t>
            </w:r>
          </w:p>
          <w:p w14:paraId="456622E9">
            <w:pPr>
              <w:widowControl/>
              <w:rPr>
                <w:rFonts w:hint="eastAsia" w:hAnsi="宋体"/>
                <w:szCs w:val="21"/>
                <w:highlight w:val="none"/>
              </w:rPr>
            </w:pPr>
            <w:r>
              <w:rPr>
                <w:rFonts w:hint="eastAsia" w:hAnsi="宋体"/>
                <w:szCs w:val="21"/>
                <w:highlight w:val="none"/>
              </w:rPr>
              <w:t>③保证措施。</w:t>
            </w:r>
          </w:p>
          <w:p w14:paraId="02BBAD16">
            <w:pPr>
              <w:widowControl/>
              <w:rPr>
                <w:rFonts w:hint="eastAsia" w:hAnsi="宋体"/>
                <w:szCs w:val="21"/>
                <w:highlight w:val="none"/>
              </w:rPr>
            </w:pPr>
            <w:r>
              <w:rPr>
                <w:rFonts w:hint="eastAsia" w:hAnsi="宋体"/>
                <w:szCs w:val="21"/>
                <w:highlight w:val="none"/>
              </w:rPr>
              <w:t>未提供或未完整提供①②③项方案的不得分；</w:t>
            </w:r>
          </w:p>
          <w:p w14:paraId="01A4A269">
            <w:pPr>
              <w:widowControl/>
              <w:rPr>
                <w:rFonts w:hint="eastAsia" w:hAnsi="宋体"/>
                <w:szCs w:val="21"/>
                <w:highlight w:val="none"/>
              </w:rPr>
            </w:pPr>
            <w:r>
              <w:rPr>
                <w:rFonts w:hint="eastAsia" w:hAnsi="宋体"/>
                <w:szCs w:val="21"/>
                <w:highlight w:val="none"/>
              </w:rPr>
              <w:t>按上述①②③项要求提供方案且阐述一般的，得2分；</w:t>
            </w:r>
          </w:p>
          <w:p w14:paraId="5F0D60A9">
            <w:pPr>
              <w:widowControl/>
              <w:rPr>
                <w:rFonts w:hint="eastAsia" w:hAnsi="宋体"/>
                <w:szCs w:val="21"/>
                <w:highlight w:val="none"/>
              </w:rPr>
            </w:pPr>
            <w:r>
              <w:rPr>
                <w:rFonts w:hint="eastAsia" w:hAnsi="宋体"/>
                <w:szCs w:val="21"/>
                <w:highlight w:val="none"/>
              </w:rPr>
              <w:t>按上述①②③项要求提供方案且比较全面、清晰、合理的，得4分；</w:t>
            </w:r>
          </w:p>
          <w:p w14:paraId="433D3FA2">
            <w:pPr>
              <w:widowControl/>
              <w:rPr>
                <w:sz w:val="24"/>
                <w:highlight w:val="none"/>
              </w:rPr>
            </w:pPr>
            <w:r>
              <w:rPr>
                <w:rFonts w:hint="eastAsia" w:hAnsi="宋体"/>
                <w:szCs w:val="21"/>
                <w:highlight w:val="none"/>
              </w:rPr>
              <w:t>按上述①②③项要求提供方案且全面、清晰、合理的，得6分</w:t>
            </w:r>
            <w:r>
              <w:rPr>
                <w:rFonts w:hint="eastAsia"/>
                <w:highlight w:val="none"/>
              </w:rPr>
              <w:t>。</w:t>
            </w:r>
          </w:p>
        </w:tc>
        <w:tc>
          <w:tcPr>
            <w:tcW w:w="0" w:type="auto"/>
            <w:vAlign w:val="center"/>
          </w:tcPr>
          <w:p w14:paraId="08EDD069">
            <w:pPr>
              <w:snapToGrid w:val="0"/>
              <w:jc w:val="center"/>
              <w:rPr>
                <w:sz w:val="24"/>
                <w:highlight w:val="none"/>
              </w:rPr>
            </w:pPr>
            <w:r>
              <w:rPr>
                <w:rFonts w:hint="eastAsia"/>
                <w:sz w:val="24"/>
                <w:highlight w:val="none"/>
              </w:rPr>
              <w:t>6</w:t>
            </w:r>
            <w:r>
              <w:rPr>
                <w:sz w:val="24"/>
                <w:highlight w:val="none"/>
              </w:rPr>
              <w:t>分</w:t>
            </w:r>
          </w:p>
        </w:tc>
        <w:tc>
          <w:tcPr>
            <w:tcW w:w="0" w:type="auto"/>
            <w:vAlign w:val="center"/>
          </w:tcPr>
          <w:p w14:paraId="2660F0A3">
            <w:pPr>
              <w:snapToGrid w:val="0"/>
              <w:jc w:val="center"/>
              <w:rPr>
                <w:sz w:val="24"/>
                <w:highlight w:val="none"/>
              </w:rPr>
            </w:pPr>
            <w:r>
              <w:rPr>
                <w:sz w:val="24"/>
                <w:highlight w:val="none"/>
              </w:rPr>
              <w:t>0</w:t>
            </w:r>
            <w:r>
              <w:rPr>
                <w:rFonts w:hint="eastAsia"/>
                <w:sz w:val="24"/>
                <w:highlight w:val="none"/>
              </w:rPr>
              <w:t>分</w:t>
            </w:r>
          </w:p>
        </w:tc>
        <w:tc>
          <w:tcPr>
            <w:tcW w:w="0" w:type="auto"/>
            <w:vAlign w:val="center"/>
          </w:tcPr>
          <w:p w14:paraId="6FFC624C">
            <w:pPr>
              <w:snapToGrid w:val="0"/>
              <w:jc w:val="center"/>
              <w:rPr>
                <w:sz w:val="24"/>
                <w:highlight w:val="none"/>
              </w:rPr>
            </w:pPr>
            <w:r>
              <w:rPr>
                <w:sz w:val="24"/>
                <w:highlight w:val="none"/>
              </w:rPr>
              <w:t>主观</w:t>
            </w:r>
          </w:p>
        </w:tc>
      </w:tr>
      <w:tr w14:paraId="227815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8" w:hRule="atLeast"/>
        </w:trPr>
        <w:tc>
          <w:tcPr>
            <w:tcW w:w="0" w:type="auto"/>
            <w:vMerge w:val="continue"/>
            <w:vAlign w:val="center"/>
          </w:tcPr>
          <w:p w14:paraId="7B3B7FB2">
            <w:pPr>
              <w:snapToGrid w:val="0"/>
              <w:jc w:val="center"/>
              <w:rPr>
                <w:sz w:val="24"/>
                <w:highlight w:val="none"/>
              </w:rPr>
            </w:pPr>
          </w:p>
        </w:tc>
        <w:tc>
          <w:tcPr>
            <w:tcW w:w="0" w:type="auto"/>
            <w:vMerge w:val="continue"/>
            <w:vAlign w:val="center"/>
          </w:tcPr>
          <w:p w14:paraId="5806F3AB">
            <w:pPr>
              <w:snapToGrid w:val="0"/>
              <w:jc w:val="center"/>
              <w:rPr>
                <w:sz w:val="24"/>
                <w:highlight w:val="none"/>
              </w:rPr>
            </w:pPr>
          </w:p>
        </w:tc>
        <w:tc>
          <w:tcPr>
            <w:tcW w:w="0" w:type="auto"/>
            <w:vAlign w:val="center"/>
          </w:tcPr>
          <w:p w14:paraId="349EDBDB">
            <w:pPr>
              <w:widowControl/>
              <w:jc w:val="center"/>
              <w:rPr>
                <w:sz w:val="24"/>
                <w:highlight w:val="none"/>
              </w:rPr>
            </w:pPr>
            <w:r>
              <w:rPr>
                <w:rFonts w:hint="eastAsia" w:hAnsi="宋体"/>
                <w:szCs w:val="21"/>
                <w:highlight w:val="none"/>
              </w:rPr>
              <w:t>后续服务的安排及保证措施</w:t>
            </w:r>
            <w:r>
              <w:rPr>
                <w:rFonts w:hAnsi="宋体"/>
                <w:szCs w:val="21"/>
                <w:highlight w:val="none"/>
              </w:rPr>
              <w:t>（</w:t>
            </w:r>
            <w:r>
              <w:rPr>
                <w:rFonts w:hint="eastAsia" w:hAnsi="宋体"/>
                <w:szCs w:val="21"/>
                <w:highlight w:val="none"/>
              </w:rPr>
              <w:t>6</w:t>
            </w:r>
            <w:r>
              <w:rPr>
                <w:rFonts w:hAnsi="宋体"/>
                <w:szCs w:val="21"/>
                <w:highlight w:val="none"/>
              </w:rPr>
              <w:t>分）</w:t>
            </w:r>
          </w:p>
        </w:tc>
        <w:tc>
          <w:tcPr>
            <w:tcW w:w="0" w:type="auto"/>
            <w:vAlign w:val="center"/>
          </w:tcPr>
          <w:p w14:paraId="30C805A8">
            <w:pPr>
              <w:widowControl/>
              <w:rPr>
                <w:rFonts w:hint="eastAsia" w:hAnsi="宋体"/>
                <w:szCs w:val="21"/>
                <w:highlight w:val="none"/>
              </w:rPr>
            </w:pPr>
            <w:r>
              <w:rPr>
                <w:rFonts w:hint="eastAsia" w:hAnsi="宋体"/>
                <w:szCs w:val="21"/>
                <w:highlight w:val="none"/>
              </w:rPr>
              <w:t>根据供应商提供的实施方案进行评分，内容至少包括：</w:t>
            </w:r>
          </w:p>
          <w:p w14:paraId="6847ED51">
            <w:pPr>
              <w:widowControl/>
              <w:rPr>
                <w:rFonts w:hint="eastAsia" w:hAnsi="宋体"/>
                <w:szCs w:val="21"/>
                <w:highlight w:val="none"/>
              </w:rPr>
            </w:pPr>
            <w:r>
              <w:rPr>
                <w:rFonts w:hint="eastAsia" w:hAnsi="宋体"/>
                <w:szCs w:val="21"/>
                <w:highlight w:val="none"/>
              </w:rPr>
              <w:t>①后续服务的安排；</w:t>
            </w:r>
          </w:p>
          <w:p w14:paraId="12F75545">
            <w:pPr>
              <w:widowControl/>
              <w:rPr>
                <w:rFonts w:hint="eastAsia" w:hAnsi="宋体"/>
                <w:szCs w:val="21"/>
                <w:highlight w:val="none"/>
              </w:rPr>
            </w:pPr>
            <w:r>
              <w:rPr>
                <w:rFonts w:hint="eastAsia" w:hAnsi="宋体"/>
                <w:szCs w:val="21"/>
                <w:highlight w:val="none"/>
              </w:rPr>
              <w:t>②后续服务保障。</w:t>
            </w:r>
          </w:p>
          <w:p w14:paraId="188DEE18">
            <w:pPr>
              <w:widowControl/>
              <w:rPr>
                <w:rFonts w:hint="eastAsia" w:hAnsi="宋体"/>
                <w:szCs w:val="21"/>
                <w:highlight w:val="none"/>
              </w:rPr>
            </w:pPr>
            <w:r>
              <w:rPr>
                <w:rFonts w:hint="eastAsia" w:hAnsi="宋体"/>
                <w:szCs w:val="21"/>
                <w:highlight w:val="none"/>
              </w:rPr>
              <w:t>未提供或未完整提供①②项方案的不得分；</w:t>
            </w:r>
          </w:p>
          <w:p w14:paraId="693805B4">
            <w:pPr>
              <w:widowControl/>
              <w:rPr>
                <w:rFonts w:hint="eastAsia" w:hAnsi="宋体"/>
                <w:szCs w:val="21"/>
                <w:highlight w:val="none"/>
              </w:rPr>
            </w:pPr>
            <w:r>
              <w:rPr>
                <w:rFonts w:hint="eastAsia" w:hAnsi="宋体"/>
                <w:szCs w:val="21"/>
                <w:highlight w:val="none"/>
              </w:rPr>
              <w:t>按上述①②项要求提供方案且阐述一般的，得2分；</w:t>
            </w:r>
          </w:p>
          <w:p w14:paraId="2C51D8D8">
            <w:pPr>
              <w:widowControl/>
              <w:rPr>
                <w:rFonts w:hint="eastAsia" w:hAnsi="宋体"/>
                <w:szCs w:val="21"/>
                <w:highlight w:val="none"/>
              </w:rPr>
            </w:pPr>
            <w:r>
              <w:rPr>
                <w:rFonts w:hint="eastAsia" w:hAnsi="宋体"/>
                <w:szCs w:val="21"/>
                <w:highlight w:val="none"/>
              </w:rPr>
              <w:t>按上述①②项要求提供方案且比较全面、清晰、合理的，得4分；</w:t>
            </w:r>
          </w:p>
          <w:p w14:paraId="3DBC9655">
            <w:pPr>
              <w:widowControl/>
              <w:rPr>
                <w:sz w:val="24"/>
                <w:highlight w:val="none"/>
              </w:rPr>
            </w:pPr>
            <w:r>
              <w:rPr>
                <w:rFonts w:hint="eastAsia" w:hAnsi="宋体"/>
                <w:szCs w:val="21"/>
                <w:highlight w:val="none"/>
              </w:rPr>
              <w:t>按上述①②项要求提供方案且全面、清晰、合理的，得6分。。</w:t>
            </w:r>
          </w:p>
        </w:tc>
        <w:tc>
          <w:tcPr>
            <w:tcW w:w="0" w:type="auto"/>
            <w:vAlign w:val="center"/>
          </w:tcPr>
          <w:p w14:paraId="3EA3B68E">
            <w:pPr>
              <w:snapToGrid w:val="0"/>
              <w:jc w:val="center"/>
              <w:rPr>
                <w:sz w:val="24"/>
                <w:highlight w:val="none"/>
              </w:rPr>
            </w:pPr>
            <w:r>
              <w:rPr>
                <w:rFonts w:hint="eastAsia"/>
                <w:sz w:val="24"/>
                <w:highlight w:val="none"/>
              </w:rPr>
              <w:t>6</w:t>
            </w:r>
            <w:r>
              <w:rPr>
                <w:sz w:val="24"/>
                <w:highlight w:val="none"/>
              </w:rPr>
              <w:t>分</w:t>
            </w:r>
          </w:p>
        </w:tc>
        <w:tc>
          <w:tcPr>
            <w:tcW w:w="0" w:type="auto"/>
            <w:vAlign w:val="center"/>
          </w:tcPr>
          <w:p w14:paraId="299F4545">
            <w:pPr>
              <w:snapToGrid w:val="0"/>
              <w:jc w:val="center"/>
              <w:rPr>
                <w:sz w:val="24"/>
                <w:highlight w:val="none"/>
              </w:rPr>
            </w:pPr>
            <w:r>
              <w:rPr>
                <w:sz w:val="24"/>
                <w:highlight w:val="none"/>
              </w:rPr>
              <w:t>0</w:t>
            </w:r>
            <w:r>
              <w:rPr>
                <w:rFonts w:hint="eastAsia"/>
                <w:sz w:val="24"/>
                <w:highlight w:val="none"/>
              </w:rPr>
              <w:t>分</w:t>
            </w:r>
          </w:p>
        </w:tc>
        <w:tc>
          <w:tcPr>
            <w:tcW w:w="0" w:type="auto"/>
            <w:vAlign w:val="center"/>
          </w:tcPr>
          <w:p w14:paraId="5E31402E">
            <w:pPr>
              <w:snapToGrid w:val="0"/>
              <w:jc w:val="center"/>
              <w:rPr>
                <w:sz w:val="24"/>
                <w:highlight w:val="none"/>
              </w:rPr>
            </w:pPr>
            <w:r>
              <w:rPr>
                <w:sz w:val="24"/>
                <w:highlight w:val="none"/>
              </w:rPr>
              <w:t>主观</w:t>
            </w:r>
          </w:p>
        </w:tc>
      </w:tr>
    </w:tbl>
    <w:p w14:paraId="30805965">
      <w:pPr>
        <w:autoSpaceDE w:val="0"/>
        <w:autoSpaceDN w:val="0"/>
        <w:adjustRightInd w:val="0"/>
        <w:snapToGrid w:val="0"/>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（二）价格分（10分）</w:t>
      </w:r>
    </w:p>
    <w:p w14:paraId="46F2580D">
      <w:pPr>
        <w:autoSpaceDE w:val="0"/>
        <w:autoSpaceDN w:val="0"/>
        <w:adjustRightInd w:val="0"/>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价格分统一采用低价优先法计算，即满足磋商文件要求且最后报价最低的供应商的价格为磋商基准价，其价格分为满分。其他供应商的价格分统一按照下列公式计算：</w:t>
      </w:r>
    </w:p>
    <w:p w14:paraId="5A28B4D3">
      <w:pPr>
        <w:autoSpaceDE w:val="0"/>
        <w:autoSpaceDN w:val="0"/>
        <w:adjustRightInd w:val="0"/>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磋商报</w:t>
      </w:r>
      <w:r>
        <w:rPr>
          <w:rFonts w:hint="eastAsia" w:ascii="宋体" w:hAnsi="宋体" w:cs="宋体"/>
          <w:sz w:val="24"/>
          <w:highlight w:val="none"/>
          <w:lang w:val="zh-CN"/>
        </w:rPr>
        <w:t>价得分=（磋商基准价/最后磋商报价）×</w:t>
      </w:r>
      <w:r>
        <w:rPr>
          <w:rFonts w:hint="eastAsia" w:ascii="宋体" w:hAnsi="宋体" w:cs="宋体"/>
          <w:sz w:val="24"/>
          <w:highlight w:val="none"/>
        </w:rPr>
        <w:t>10%</w:t>
      </w:r>
      <w:r>
        <w:rPr>
          <w:rFonts w:hint="eastAsia" w:ascii="宋体" w:hAnsi="宋体" w:cs="宋体"/>
          <w:sz w:val="24"/>
          <w:highlight w:val="none"/>
          <w:lang w:val="zh-CN"/>
        </w:rPr>
        <w:t>×100</w:t>
      </w:r>
    </w:p>
    <w:p w14:paraId="66ADF524">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项目评审过程中，不得去掉最后报价中的最高报价和最低报价，分值采用四舍五入法保留小数点后两位。</w:t>
      </w:r>
    </w:p>
    <w:p w14:paraId="3AA254E6">
      <w:pPr>
        <w:autoSpaceDE w:val="0"/>
        <w:autoSpaceDN w:val="0"/>
        <w:adjustRightInd w:val="0"/>
        <w:snapToGrid w:val="0"/>
        <w:spacing w:line="360" w:lineRule="auto"/>
        <w:ind w:firstLine="482" w:firstLineChars="200"/>
        <w:rPr>
          <w:rFonts w:hint="eastAsia" w:ascii="宋体" w:hAnsi="宋体" w:cs="宋体"/>
          <w:b/>
          <w:sz w:val="24"/>
          <w:highlight w:val="none"/>
          <w:lang w:val="zh-CN"/>
        </w:rPr>
      </w:pPr>
      <w:r>
        <w:rPr>
          <w:rFonts w:hint="eastAsia" w:ascii="宋体" w:hAnsi="宋体" w:cs="宋体"/>
          <w:b/>
          <w:sz w:val="24"/>
          <w:highlight w:val="none"/>
          <w:lang w:val="zh-CN"/>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009FC7D6">
      <w:pPr>
        <w:autoSpaceDE w:val="0"/>
        <w:autoSpaceDN w:val="0"/>
        <w:adjustRightInd w:val="0"/>
        <w:snapToGrid w:val="0"/>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lang w:val="zh-CN"/>
        </w:rPr>
        <w:t>（</w:t>
      </w:r>
      <w:r>
        <w:rPr>
          <w:rFonts w:hint="eastAsia" w:ascii="宋体" w:hAnsi="宋体" w:cs="宋体"/>
          <w:b/>
          <w:bCs/>
          <w:sz w:val="24"/>
          <w:highlight w:val="none"/>
        </w:rPr>
        <w:t>三</w:t>
      </w:r>
      <w:r>
        <w:rPr>
          <w:rFonts w:hint="eastAsia" w:ascii="宋体" w:hAnsi="宋体" w:cs="宋体"/>
          <w:b/>
          <w:bCs/>
          <w:sz w:val="24"/>
          <w:highlight w:val="none"/>
          <w:lang w:val="zh-CN"/>
        </w:rPr>
        <w:t>）</w:t>
      </w:r>
      <w:r>
        <w:rPr>
          <w:rFonts w:hint="eastAsia" w:ascii="宋体" w:hAnsi="宋体" w:cs="宋体"/>
          <w:b/>
          <w:bCs/>
          <w:sz w:val="24"/>
          <w:highlight w:val="none"/>
        </w:rPr>
        <w:t>评审过程异常低价的审查</w:t>
      </w:r>
    </w:p>
    <w:p w14:paraId="0CC20CC6">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1、评审过程中出现下列情形之一的，磋商小组应当启动异常低价投标（响应）审查程序：</w:t>
      </w:r>
    </w:p>
    <w:p w14:paraId="4254F0F7">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（1）投标（响应）报价低于全部通过符合性审查供应商投标（响应）报价平均值50%的，即投标（响应）报价&lt;全部通过符合性审查供应商投标（响应）报价平均值×50%；</w:t>
      </w:r>
    </w:p>
    <w:p w14:paraId="3C7E50C1">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（2）投标（响应）报价低于通过符合性审查的次低报价供应商投标（响应）报价50%的，即投标（响应）报价&lt;通过符合性审查的次低报价供应商投标（响应）报价×50%；</w:t>
      </w:r>
    </w:p>
    <w:p w14:paraId="1DDE578C">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（3）投标（响应）报价低于采购项目最高限价45%的，即投标（响应）报价&lt;采购项目最高限价×45%；</w:t>
      </w:r>
    </w:p>
    <w:p w14:paraId="75D15180">
      <w:pPr>
        <w:autoSpaceDE w:val="0"/>
        <w:autoSpaceDN w:val="0"/>
        <w:adjustRightInd w:val="0"/>
        <w:snapToGrid w:val="0"/>
        <w:spacing w:line="360" w:lineRule="auto"/>
        <w:ind w:firstLine="480" w:firstLineChars="200"/>
        <w:rPr>
          <w:rFonts w:ascii="宋体" w:hAnsi="宋体" w:cs="宋体"/>
          <w:sz w:val="24"/>
          <w:highlight w:val="none"/>
        </w:rPr>
      </w:pPr>
    </w:p>
    <w:p w14:paraId="1ACE1F85">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（4）磋商小组基于专业判断，认为供应商报价过低，有可能影响产品质量或者不能诚信履约的其他情形。</w:t>
      </w:r>
    </w:p>
    <w:p w14:paraId="709BDFA8">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2、启动异常低价投标（响应）审查</w:t>
      </w:r>
    </w:p>
    <w:p w14:paraId="6EF6C4DB">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D6673C5">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77516834">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26E035C8">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异常低价投标（响应）审查的启动原因、审查意见和审查结果应当在评审报告中记录，并随供应商提供的相关书面说明及证明材料，以及磋商小组有关互联网浏览、查询历史一并归档。</w:t>
      </w:r>
    </w:p>
    <w:p w14:paraId="027BF5FA">
      <w:pPr>
        <w:snapToGrid w:val="0"/>
        <w:spacing w:line="360" w:lineRule="auto"/>
        <w:ind w:firstLine="555"/>
        <w:rPr>
          <w:rFonts w:hint="eastAsia" w:ascii="宋体" w:hAnsi="宋体" w:cs="宋体"/>
          <w:b/>
          <w:sz w:val="24"/>
          <w:highlight w:val="none"/>
        </w:rPr>
      </w:pPr>
      <w:r>
        <w:rPr>
          <w:rFonts w:hint="eastAsia" w:ascii="宋体" w:hAnsi="宋体" w:cs="宋体"/>
          <w:b/>
          <w:sz w:val="24"/>
          <w:highlight w:val="none"/>
        </w:rPr>
        <w:t>七、政府采购政策功能落实</w:t>
      </w:r>
    </w:p>
    <w:p w14:paraId="689833C3">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1.小微型企业价格扣除</w:t>
      </w:r>
    </w:p>
    <w:p w14:paraId="3206A5AC">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（1）本项目对小型和微型企业产品给予20%的扣除价格，用扣除后的价格参与评审。</w:t>
      </w:r>
    </w:p>
    <w:p w14:paraId="440E7C32">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（2）供应商需按照采购文件的要求提供相应的《小型、微型企业声明函》。</w:t>
      </w:r>
    </w:p>
    <w:p w14:paraId="7ABF534A">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（3）企业标准请参照《关于印发中小企业划型标准规定的通知》（工信部联企业[2011]300号）文件规定自行填写。</w:t>
      </w:r>
    </w:p>
    <w:p w14:paraId="18EB48E1">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2.残疾人福利单位价格扣除</w:t>
      </w:r>
    </w:p>
    <w:p w14:paraId="1557911E">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（1）本项目对残疾人福利性单位视同小型、微型企业，给予20%的价格扣除，用扣除后的价格参与评审。</w:t>
      </w:r>
    </w:p>
    <w:p w14:paraId="5B66FA46">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（2）残疾人福利单位需按照采购文件的要求提供《残疾人福利性单位声明函》。</w:t>
      </w:r>
    </w:p>
    <w:p w14:paraId="189C291F">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（3）残疾人福利单位标准请参照《关于促进残疾人就业政府采购政策的通知》（财库〔2017〕141号）。</w:t>
      </w:r>
    </w:p>
    <w:p w14:paraId="39E24DFF">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3.监狱和戒毒企业价格扣除</w:t>
      </w:r>
    </w:p>
    <w:p w14:paraId="39D71145">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（1）本项目对监狱和戒毒企业（简称监狱企业）视同小型、微型企业，给予20%的价格扣除，用扣除后的价格参与评审。</w:t>
      </w:r>
    </w:p>
    <w:p w14:paraId="0ABE518C">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424B144B">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（3）监狱企业标准请参照《关于政府采购支持监狱企业发展有关问题的通知》（财库[2014]68号）。</w:t>
      </w:r>
    </w:p>
    <w:p w14:paraId="55565012">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4、残疾人福利单位、监狱企业属于小型、微型企业的，不重复享受政策。</w:t>
      </w:r>
    </w:p>
    <w:p w14:paraId="6B4A9FAC">
      <w:pPr>
        <w:snapToGrid w:val="0"/>
        <w:spacing w:line="360" w:lineRule="auto"/>
        <w:ind w:firstLine="555"/>
        <w:rPr>
          <w:rFonts w:hint="eastAsia" w:ascii="宋体" w:hAnsi="宋体" w:cs="宋体"/>
          <w:b/>
          <w:bCs/>
          <w:sz w:val="24"/>
          <w:highlight w:val="none"/>
        </w:rPr>
      </w:pPr>
      <w:r>
        <w:rPr>
          <w:rFonts w:hint="eastAsia" w:ascii="宋体" w:hAnsi="宋体" w:cs="宋体"/>
          <w:b/>
          <w:bCs/>
          <w:sz w:val="24"/>
          <w:highlight w:val="none"/>
        </w:rPr>
        <w:t>5、专门面向中小企业采购的项目或者采购包，不再执行价格评审优惠的扶持政策。</w:t>
      </w:r>
    </w:p>
    <w:p w14:paraId="28DC8139">
      <w:pPr>
        <w:snapToGrid w:val="0"/>
        <w:spacing w:line="360" w:lineRule="auto"/>
        <w:ind w:firstLine="555"/>
        <w:rPr>
          <w:rFonts w:hint="eastAsia" w:ascii="宋体" w:hAnsi="宋体" w:cs="宋体"/>
          <w:b/>
          <w:sz w:val="24"/>
          <w:highlight w:val="none"/>
        </w:rPr>
      </w:pPr>
      <w:r>
        <w:rPr>
          <w:rFonts w:hint="eastAsia" w:ascii="宋体" w:hAnsi="宋体" w:cs="宋体"/>
          <w:b/>
          <w:sz w:val="24"/>
          <w:highlight w:val="none"/>
        </w:rPr>
        <w:t>八、变更为其他方式采购的情形</w:t>
      </w:r>
    </w:p>
    <w:p w14:paraId="2E562560">
      <w:pPr>
        <w:autoSpaceDE w:val="0"/>
        <w:autoSpaceDN w:val="0"/>
        <w:adjustRightInd w:val="0"/>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提交响应文件截止时间时参加磋商的供应商不足3家的，及磋商中出现符合专业条件的供应商或对磋商文件作实质响应的供应商不足3家（规定可以2家的情形除外），除采购任务取消外，采购人视情采取其他方式采购。</w:t>
      </w:r>
      <w:r>
        <w:rPr>
          <w:rFonts w:hint="eastAsia" w:ascii="宋体" w:hAnsi="宋体" w:cs="宋体"/>
          <w:sz w:val="24"/>
          <w:highlight w:val="none"/>
          <w:lang w:val="zh-CN"/>
        </w:rPr>
        <w:t>磋商文件中对供应商资质、技术等要求，将作为</w:t>
      </w:r>
      <w:r>
        <w:rPr>
          <w:rFonts w:hint="eastAsia" w:ascii="宋体" w:hAnsi="宋体" w:cs="宋体"/>
          <w:sz w:val="24"/>
          <w:highlight w:val="none"/>
        </w:rPr>
        <w:t>其他</w:t>
      </w:r>
      <w:r>
        <w:rPr>
          <w:rFonts w:hint="eastAsia" w:ascii="宋体" w:hAnsi="宋体" w:cs="宋体"/>
          <w:sz w:val="24"/>
          <w:highlight w:val="none"/>
          <w:lang w:val="zh-CN"/>
        </w:rPr>
        <w:t>方式采购的基本要求和依据。原已经参加磋商并符合要求的供应商，根据自愿原则，参加</w:t>
      </w:r>
      <w:r>
        <w:rPr>
          <w:rFonts w:hint="eastAsia" w:ascii="宋体" w:hAnsi="宋体" w:cs="宋体"/>
          <w:sz w:val="24"/>
          <w:highlight w:val="none"/>
        </w:rPr>
        <w:t>其他</w:t>
      </w:r>
      <w:r>
        <w:rPr>
          <w:rFonts w:hint="eastAsia" w:ascii="宋体" w:hAnsi="宋体" w:cs="宋体"/>
          <w:sz w:val="24"/>
          <w:highlight w:val="none"/>
          <w:lang w:val="zh-CN"/>
        </w:rPr>
        <w:t>方式采购。</w:t>
      </w:r>
    </w:p>
    <w:p w14:paraId="39E49A29">
      <w:pPr>
        <w:autoSpaceDE w:val="0"/>
        <w:autoSpaceDN w:val="0"/>
        <w:adjustRightInd w:val="0"/>
        <w:snapToGrid w:val="0"/>
        <w:spacing w:line="360" w:lineRule="auto"/>
        <w:ind w:left="-178" w:right="210" w:firstLine="636"/>
        <w:rPr>
          <w:rFonts w:hint="eastAsia" w:ascii="宋体" w:hAnsi="宋体" w:cs="宋体"/>
          <w:b/>
          <w:sz w:val="24"/>
          <w:highlight w:val="none"/>
          <w:lang w:val="zh-CN"/>
        </w:rPr>
      </w:pPr>
      <w:r>
        <w:rPr>
          <w:rFonts w:hint="eastAsia" w:ascii="宋体" w:hAnsi="宋体" w:cs="宋体"/>
          <w:b/>
          <w:sz w:val="24"/>
          <w:highlight w:val="none"/>
          <w:lang w:val="zh-CN"/>
        </w:rPr>
        <w:t>九、出现下列情形之一的，竞争性磋商采购活动终止，重新开展采购活动：</w:t>
      </w:r>
    </w:p>
    <w:p w14:paraId="11FAD8E9">
      <w:pPr>
        <w:pStyle w:val="30"/>
        <w:snapToGrid w:val="0"/>
        <w:spacing w:line="360" w:lineRule="auto"/>
        <w:ind w:firstLine="494"/>
        <w:contextualSpacing/>
        <w:rPr>
          <w:rFonts w:hint="eastAsia" w:ascii="宋体" w:eastAsia="宋体" w:cs="宋体"/>
          <w:sz w:val="24"/>
          <w:szCs w:val="24"/>
          <w:highlight w:val="none"/>
        </w:rPr>
      </w:pPr>
      <w:r>
        <w:rPr>
          <w:rFonts w:hint="eastAsia" w:ascii="宋体" w:eastAsia="宋体" w:cs="宋体"/>
          <w:sz w:val="24"/>
          <w:szCs w:val="24"/>
          <w:highlight w:val="none"/>
        </w:rPr>
        <w:t>（一）因情况变化，不再符合规定的竞争性磋商采购方式适用情形的；</w:t>
      </w:r>
    </w:p>
    <w:p w14:paraId="5F601718">
      <w:pPr>
        <w:pStyle w:val="30"/>
        <w:snapToGrid w:val="0"/>
        <w:spacing w:line="360" w:lineRule="auto"/>
        <w:ind w:firstLine="494"/>
        <w:contextualSpacing/>
        <w:rPr>
          <w:rFonts w:hint="eastAsia" w:ascii="宋体" w:eastAsia="宋体" w:cs="宋体"/>
          <w:sz w:val="24"/>
          <w:szCs w:val="24"/>
          <w:highlight w:val="none"/>
        </w:rPr>
      </w:pPr>
      <w:r>
        <w:rPr>
          <w:rFonts w:hint="eastAsia" w:ascii="宋体" w:eastAsia="宋体" w:cs="宋体"/>
          <w:sz w:val="24"/>
          <w:szCs w:val="24"/>
          <w:highlight w:val="none"/>
        </w:rPr>
        <w:t>（二）出现影响采购公正的违法、违规行为的；</w:t>
      </w:r>
    </w:p>
    <w:p w14:paraId="0462D342">
      <w:pPr>
        <w:pStyle w:val="30"/>
        <w:snapToGrid w:val="0"/>
        <w:spacing w:line="360" w:lineRule="auto"/>
        <w:ind w:firstLine="480" w:firstLineChars="200"/>
        <w:contextualSpacing/>
        <w:rPr>
          <w:rFonts w:hint="eastAsia" w:ascii="宋体" w:eastAsia="宋体" w:cs="宋体"/>
          <w:sz w:val="24"/>
          <w:szCs w:val="24"/>
          <w:highlight w:val="none"/>
        </w:rPr>
      </w:pPr>
      <w:r>
        <w:rPr>
          <w:rFonts w:hint="eastAsia" w:ascii="宋体" w:eastAsia="宋体" w:cs="宋体"/>
          <w:sz w:val="24"/>
          <w:szCs w:val="24"/>
          <w:highlight w:val="none"/>
        </w:rPr>
        <w:t>（三）在采购过程中符合要求的供应商或者报价未超过采购预算的供应商不足3家的（市场竞争不充分的科研项目，以及需要扶持的科技成果转化项目除外）。</w:t>
      </w:r>
    </w:p>
    <w:p w14:paraId="5E4F2ECA">
      <w:pPr>
        <w:autoSpaceDE w:val="0"/>
        <w:autoSpaceDN w:val="0"/>
        <w:adjustRightInd w:val="0"/>
        <w:snapToGrid w:val="0"/>
        <w:spacing w:line="360" w:lineRule="auto"/>
        <w:ind w:left="-178" w:right="210" w:firstLine="636"/>
        <w:rPr>
          <w:rFonts w:hint="eastAsia" w:ascii="宋体" w:hAnsi="宋体" w:cs="宋体"/>
          <w:b/>
          <w:sz w:val="24"/>
          <w:highlight w:val="none"/>
          <w:lang w:val="zh-CN"/>
        </w:rPr>
      </w:pPr>
      <w:r>
        <w:rPr>
          <w:rFonts w:hint="eastAsia" w:ascii="宋体" w:hAnsi="宋体" w:cs="宋体"/>
          <w:b/>
          <w:sz w:val="24"/>
          <w:highlight w:val="none"/>
        </w:rPr>
        <w:t>十、</w:t>
      </w:r>
      <w:r>
        <w:rPr>
          <w:rFonts w:hint="eastAsia" w:ascii="宋体" w:hAnsi="宋体" w:cs="宋体"/>
          <w:b/>
          <w:sz w:val="24"/>
          <w:highlight w:val="none"/>
          <w:lang w:val="zh-CN"/>
        </w:rPr>
        <w:t>若有充分证据证明，</w:t>
      </w:r>
      <w:r>
        <w:rPr>
          <w:rFonts w:hint="eastAsia" w:ascii="宋体" w:hAnsi="宋体" w:cs="宋体"/>
          <w:b/>
          <w:sz w:val="24"/>
          <w:highlight w:val="none"/>
        </w:rPr>
        <w:t>成交供应商</w:t>
      </w:r>
      <w:r>
        <w:rPr>
          <w:rFonts w:hint="eastAsia" w:ascii="宋体" w:hAnsi="宋体" w:cs="宋体"/>
          <w:b/>
          <w:sz w:val="24"/>
          <w:highlight w:val="none"/>
          <w:lang w:val="zh-CN"/>
        </w:rPr>
        <w:t>出现下列情况之一的，一经查实，将被取消</w:t>
      </w:r>
      <w:r>
        <w:rPr>
          <w:rFonts w:hint="eastAsia" w:ascii="宋体" w:hAnsi="宋体" w:cs="宋体"/>
          <w:b/>
          <w:sz w:val="24"/>
          <w:highlight w:val="none"/>
        </w:rPr>
        <w:t>成交</w:t>
      </w:r>
      <w:r>
        <w:rPr>
          <w:rFonts w:hint="eastAsia" w:ascii="宋体" w:hAnsi="宋体" w:cs="宋体"/>
          <w:b/>
          <w:sz w:val="24"/>
          <w:highlight w:val="none"/>
          <w:lang w:val="zh-CN"/>
        </w:rPr>
        <w:t>资格：</w:t>
      </w:r>
    </w:p>
    <w:p w14:paraId="1EC2F4D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1、提供虚假材料谋取成交的。</w:t>
      </w:r>
    </w:p>
    <w:p w14:paraId="3837C6CE">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2、向采购人、采购代理机构行贿或者提供其他不正当利益的。</w:t>
      </w:r>
    </w:p>
    <w:p w14:paraId="4ED2997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3、恶意竞争，投标总报价明显低于其自身合理成本且又无法提供证明的。</w:t>
      </w:r>
    </w:p>
    <w:p w14:paraId="0057234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4、属于本文件规定的无效条件，但在评标过程中又未被评委会发现的。</w:t>
      </w:r>
    </w:p>
    <w:p w14:paraId="29F156F3">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5、与采购人或者其他投标人恶意串通的。</w:t>
      </w:r>
    </w:p>
    <w:p w14:paraId="2AA1814C">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6、采取不正当手段诋毁、排挤其他投标供应商的。</w:t>
      </w:r>
    </w:p>
    <w:p w14:paraId="10E9FA62">
      <w:pPr>
        <w:autoSpaceDE w:val="0"/>
        <w:autoSpaceDN w:val="0"/>
        <w:adjustRightInd w:val="0"/>
        <w:snapToGrid w:val="0"/>
        <w:spacing w:line="360" w:lineRule="auto"/>
        <w:ind w:left="-178" w:right="210" w:firstLine="636"/>
        <w:rPr>
          <w:rFonts w:hint="eastAsia" w:ascii="宋体" w:hAnsi="宋体" w:cs="宋体"/>
          <w:b/>
          <w:sz w:val="24"/>
          <w:highlight w:val="none"/>
          <w:lang w:val="zh-CN"/>
        </w:rPr>
      </w:pPr>
      <w:r>
        <w:rPr>
          <w:rFonts w:hint="eastAsia" w:ascii="宋体" w:hAnsi="宋体" w:cs="宋体"/>
          <w:b/>
          <w:sz w:val="24"/>
          <w:highlight w:val="none"/>
        </w:rPr>
        <w:t>十一、</w:t>
      </w:r>
      <w:r>
        <w:rPr>
          <w:rFonts w:hint="eastAsia" w:ascii="宋体" w:hAnsi="宋体" w:cs="宋体"/>
          <w:b/>
          <w:sz w:val="24"/>
          <w:highlight w:val="none"/>
          <w:lang w:val="zh-CN"/>
        </w:rPr>
        <w:t>有下列情形之一的，视为投标</w:t>
      </w:r>
      <w:r>
        <w:rPr>
          <w:rFonts w:hint="eastAsia" w:ascii="宋体" w:hAnsi="宋体" w:cs="宋体"/>
          <w:b/>
          <w:sz w:val="24"/>
          <w:highlight w:val="none"/>
        </w:rPr>
        <w:t>供应商</w:t>
      </w:r>
      <w:r>
        <w:rPr>
          <w:rFonts w:hint="eastAsia" w:ascii="宋体" w:hAnsi="宋体" w:cs="宋体"/>
          <w:b/>
          <w:sz w:val="24"/>
          <w:highlight w:val="none"/>
          <w:lang w:val="zh-CN"/>
        </w:rPr>
        <w:t>串通投标，投标无效：</w:t>
      </w:r>
    </w:p>
    <w:p w14:paraId="7B3736CC">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1、不同投标供应商的投标响应文件由同一单位或者个人编制；</w:t>
      </w:r>
    </w:p>
    <w:p w14:paraId="103E2EF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2、不同投标供应商委托同一单位或者个人办理投标事宜；</w:t>
      </w:r>
    </w:p>
    <w:p w14:paraId="3C9C8123">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3、不同投标供应商的投标响应文件载明的项目管理成员或者联系人员为同一人；</w:t>
      </w:r>
    </w:p>
    <w:p w14:paraId="5B12F986">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4、不同投标供应商的投标响应文件异常一致或者投标报价呈规律性差异；</w:t>
      </w:r>
    </w:p>
    <w:p w14:paraId="01FB736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5、不同投标供应商的投标响应文件相互混装。</w:t>
      </w:r>
    </w:p>
    <w:p w14:paraId="26871B93">
      <w:pPr>
        <w:autoSpaceDE w:val="0"/>
        <w:autoSpaceDN w:val="0"/>
        <w:adjustRightInd w:val="0"/>
        <w:snapToGrid w:val="0"/>
        <w:spacing w:line="360" w:lineRule="auto"/>
        <w:ind w:left="-178" w:right="210" w:firstLine="636"/>
        <w:rPr>
          <w:rFonts w:hint="eastAsia" w:ascii="宋体" w:hAnsi="宋体" w:cs="宋体"/>
          <w:b/>
          <w:sz w:val="24"/>
          <w:highlight w:val="none"/>
          <w:lang w:val="zh-CN"/>
        </w:rPr>
      </w:pPr>
      <w:r>
        <w:rPr>
          <w:rFonts w:hint="eastAsia" w:ascii="宋体" w:hAnsi="宋体" w:cs="宋体"/>
          <w:b/>
          <w:sz w:val="24"/>
          <w:highlight w:val="none"/>
          <w:lang w:val="zh-CN"/>
        </w:rPr>
        <w:t>十</w:t>
      </w:r>
      <w:r>
        <w:rPr>
          <w:rFonts w:hint="eastAsia" w:ascii="宋体" w:hAnsi="宋体" w:cs="宋体"/>
          <w:b/>
          <w:sz w:val="24"/>
          <w:highlight w:val="none"/>
        </w:rPr>
        <w:t>二</w:t>
      </w:r>
      <w:r>
        <w:rPr>
          <w:rFonts w:hint="eastAsia" w:ascii="宋体" w:hAnsi="宋体" w:cs="宋体"/>
          <w:b/>
          <w:sz w:val="24"/>
          <w:highlight w:val="none"/>
          <w:lang w:val="zh-CN"/>
        </w:rPr>
        <w:t>、成交通知</w:t>
      </w:r>
    </w:p>
    <w:p w14:paraId="28399220">
      <w:pPr>
        <w:snapToGrid w:val="0"/>
        <w:spacing w:line="360" w:lineRule="auto"/>
        <w:ind w:firstLine="480" w:firstLineChars="200"/>
        <w:rPr>
          <w:rFonts w:hint="eastAsia" w:ascii="宋体" w:hAnsi="宋体" w:cs="宋体"/>
          <w:b/>
          <w:sz w:val="36"/>
          <w:szCs w:val="36"/>
          <w:highlight w:val="none"/>
        </w:rPr>
      </w:pPr>
      <w:r>
        <w:rPr>
          <w:rFonts w:hint="eastAsia" w:ascii="宋体" w:hAnsi="宋体" w:cs="宋体"/>
          <w:sz w:val="24"/>
          <w:highlight w:val="none"/>
        </w:rPr>
        <w:t>成交结果在南通市交通运输局网站公告，公告期限为1个工作日。《成交通知书》一经发出，采购人改变成交结果，或者成交供应商放弃成交的，各自承担相应的法律责任。《成交通知书》是采购合同的组成部分。</w:t>
      </w:r>
      <w:r>
        <w:rPr>
          <w:rFonts w:hint="eastAsia" w:ascii="宋体" w:hAnsi="宋体" w:cs="宋体"/>
          <w:b/>
          <w:sz w:val="36"/>
          <w:szCs w:val="36"/>
          <w:highlight w:val="none"/>
        </w:rPr>
        <w:br w:type="page"/>
      </w:r>
    </w:p>
    <w:p w14:paraId="43A79730">
      <w:pPr>
        <w:snapToGrid w:val="0"/>
        <w:spacing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第五部分  合同签订与验收付款</w:t>
      </w:r>
    </w:p>
    <w:p w14:paraId="0F5FE3CF">
      <w:pPr>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一、成交供应商在《成交通知书》发出之日起30日内和采购人签订合同。合同签订后成交供应商方可履约，否则引起的一切后果由成交供应商自行承担。所签合同不得对采购文件作实质性修改。采购人不得向成交供应商提出不合理的要求作为签订合同的条件，不得与成交供应商私下订立背离采购文件实质性内容的协议。</w:t>
      </w:r>
    </w:p>
    <w:p w14:paraId="6CB327B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w:t>
      </w:r>
      <w:r>
        <w:rPr>
          <w:rFonts w:hint="eastAsia" w:ascii="宋体" w:hAnsi="宋体" w:cs="宋体"/>
          <w:sz w:val="24"/>
          <w:highlight w:val="none"/>
          <w:lang w:val="zh-CN"/>
        </w:rPr>
        <w:t>签订合同后，</w:t>
      </w:r>
      <w:r>
        <w:rPr>
          <w:rFonts w:hint="eastAsia" w:ascii="宋体" w:hAnsi="宋体" w:cs="宋体"/>
          <w:sz w:val="24"/>
          <w:highlight w:val="none"/>
        </w:rPr>
        <w:t>成交供应商不</w:t>
      </w:r>
      <w:r>
        <w:rPr>
          <w:rFonts w:hint="eastAsia" w:ascii="宋体" w:hAnsi="宋体" w:cs="宋体"/>
          <w:sz w:val="24"/>
          <w:highlight w:val="none"/>
          <w:lang w:val="zh-CN"/>
        </w:rPr>
        <w:t>得将合同标的进行转包。未经采购人同意，</w:t>
      </w:r>
      <w:r>
        <w:rPr>
          <w:rFonts w:hint="eastAsia" w:ascii="宋体" w:hAnsi="宋体" w:cs="宋体"/>
          <w:sz w:val="24"/>
          <w:highlight w:val="none"/>
        </w:rPr>
        <w:t>成交供应商</w:t>
      </w:r>
      <w:r>
        <w:rPr>
          <w:rFonts w:hint="eastAsia" w:ascii="宋体" w:hAnsi="宋体" w:cs="宋体"/>
          <w:sz w:val="24"/>
          <w:highlight w:val="none"/>
          <w:lang w:val="zh-CN"/>
        </w:rPr>
        <w:t>也不得采用分包的形式履行合同，否则采购人有权终止合同。采购合同分包履行的，</w:t>
      </w:r>
      <w:r>
        <w:rPr>
          <w:rFonts w:hint="eastAsia" w:ascii="宋体" w:hAnsi="宋体" w:cs="宋体"/>
          <w:sz w:val="24"/>
          <w:highlight w:val="none"/>
        </w:rPr>
        <w:t>成交供应商</w:t>
      </w:r>
      <w:r>
        <w:rPr>
          <w:rFonts w:hint="eastAsia" w:ascii="宋体" w:hAnsi="宋体" w:cs="宋体"/>
          <w:sz w:val="24"/>
          <w:highlight w:val="none"/>
          <w:lang w:val="zh-CN"/>
        </w:rPr>
        <w:t>就采购项目和分包项目向采购人负责，分包供应商就分包项目承担责任。转包或分包造成采购人损失的，</w:t>
      </w:r>
      <w:r>
        <w:rPr>
          <w:rFonts w:hint="eastAsia" w:ascii="宋体" w:hAnsi="宋体" w:cs="宋体"/>
          <w:sz w:val="24"/>
          <w:highlight w:val="none"/>
        </w:rPr>
        <w:t>成交供应商</w:t>
      </w:r>
      <w:r>
        <w:rPr>
          <w:rFonts w:hint="eastAsia" w:ascii="宋体" w:hAnsi="宋体" w:cs="宋体"/>
          <w:sz w:val="24"/>
          <w:highlight w:val="none"/>
          <w:lang w:val="zh-CN"/>
        </w:rPr>
        <w:t>应承担相应赔偿责任。</w:t>
      </w:r>
    </w:p>
    <w:p w14:paraId="30081F3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采购人与成交供应商串通或要求成交供应商通过减少货物数量或降低服务标准的，或在履行合同中采取更改配置、调换物品等手段的，或要求成交供应商出具虚假发票或任意更改销售发票的，或谋取不正当利益的，采购人应承担相应的法律责任。</w:t>
      </w:r>
    </w:p>
    <w:p w14:paraId="42A2DC4C">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四、货物和服务的追加、减少和添购。</w:t>
      </w:r>
    </w:p>
    <w:p w14:paraId="7CEA1C7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4.1采购合同履行中，采购人需追加与合同标的相同的货物和服务的，在不改变合同其他条款的前提下，可以与成交供应商协商签订补充合同，但所有补充合同的采购金额不超过原合同金额10%。</w:t>
      </w:r>
    </w:p>
    <w:p w14:paraId="3C53A8D3">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4.2采购结束后，采购人若由于各种客观原因，必须对采购项目所牵涉的货物和服务进行适当的减少时，在双方协商一致的前提下，可以按照招标采购时的价格水平做相应的调减，并据此签订补充合同。</w:t>
      </w:r>
    </w:p>
    <w:p w14:paraId="70807028">
      <w:pPr>
        <w:pStyle w:val="30"/>
        <w:numPr>
          <w:ilvl w:val="0"/>
          <w:numId w:val="1"/>
        </w:numPr>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履约验收：</w:t>
      </w:r>
    </w:p>
    <w:p w14:paraId="02244DE1">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验收实施主体：工程科</w:t>
      </w:r>
    </w:p>
    <w:p w14:paraId="45CC7107">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验收时间：由工程科通知具体成果的评审时间为准。</w:t>
      </w:r>
    </w:p>
    <w:p w14:paraId="4F18ED8A">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验收方式：采用书面审核的方式。</w:t>
      </w:r>
    </w:p>
    <w:p w14:paraId="0A5DA95E">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验收内容：由验收小组对供应商服务情况按验收标准执行。</w:t>
      </w:r>
    </w:p>
    <w:p w14:paraId="32A762CD">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验收标准：最终成果文件通过专家评审。</w:t>
      </w:r>
    </w:p>
    <w:p w14:paraId="69531FBD">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六、成交供应商出现违约情形，应当及时纠正或补偿；造成损失的，按合同约定追究违约责任；发现有假冒、伪劣、走私产品、商业贿赂等违法情形的，应由采购人移交工商、质监、公安等行政执法部门依法查处。</w:t>
      </w:r>
    </w:p>
    <w:p w14:paraId="2A622930">
      <w:pPr>
        <w:pStyle w:val="3"/>
        <w:kinsoku w:val="0"/>
        <w:topLinePunct/>
        <w:autoSpaceDE w:val="0"/>
        <w:autoSpaceDN w:val="0"/>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七、</w:t>
      </w:r>
      <w:r>
        <w:rPr>
          <w:rFonts w:hint="eastAsia" w:ascii="宋体" w:hAnsi="宋体" w:cs="宋体"/>
          <w:sz w:val="24"/>
          <w:szCs w:val="24"/>
          <w:highlight w:val="none"/>
        </w:rPr>
        <w:t>合同条款内容</w:t>
      </w:r>
      <w:r>
        <w:rPr>
          <w:rFonts w:hint="eastAsia" w:ascii="宋体" w:hAnsi="宋体" w:cs="宋体"/>
          <w:sz w:val="24"/>
          <w:szCs w:val="24"/>
          <w:highlight w:val="none"/>
        </w:rPr>
        <w:br w:type="page"/>
      </w:r>
    </w:p>
    <w:p w14:paraId="4F2A83EC">
      <w:pPr>
        <w:spacing w:line="360" w:lineRule="auto"/>
        <w:ind w:firstLine="0"/>
        <w:jc w:val="center"/>
        <w:outlineLvl w:val="0"/>
        <w:rPr>
          <w:ins w:id="0" w:author="钱舒佳" w:date="2026-03-12T17:03:42Z"/>
          <w:rFonts w:hint="eastAsia" w:ascii="宋体" w:hAnsi="宋体" w:cs="宋体"/>
          <w:b/>
          <w:sz w:val="30"/>
          <w:szCs w:val="21"/>
          <w:highlight w:val="none"/>
        </w:rPr>
      </w:pPr>
      <w:r>
        <w:rPr>
          <w:rFonts w:hint="eastAsia" w:ascii="宋体" w:hAnsi="宋体" w:cs="宋体"/>
          <w:b/>
          <w:sz w:val="30"/>
          <w:szCs w:val="21"/>
          <w:highlight w:val="none"/>
        </w:rPr>
        <w:t>204国道通州段周边路网衔接方案研究项目（政府采购工程）</w:t>
      </w:r>
    </w:p>
    <w:p w14:paraId="12D2EA6F">
      <w:pPr>
        <w:spacing w:line="360" w:lineRule="auto"/>
        <w:ind w:firstLine="0"/>
        <w:jc w:val="center"/>
        <w:outlineLvl w:val="0"/>
        <w:rPr>
          <w:rFonts w:hint="eastAsia" w:ascii="宋体" w:hAnsi="宋体" w:cs="宋体"/>
          <w:b/>
          <w:bCs/>
          <w:sz w:val="30"/>
          <w:szCs w:val="20"/>
          <w:highlight w:val="none"/>
        </w:rPr>
      </w:pPr>
      <w:r>
        <w:rPr>
          <w:rFonts w:hint="eastAsia" w:ascii="宋体" w:hAnsi="宋体" w:cs="宋体"/>
          <w:b/>
          <w:sz w:val="30"/>
          <w:szCs w:val="21"/>
          <w:highlight w:val="none"/>
        </w:rPr>
        <w:t>合同协议书</w:t>
      </w:r>
    </w:p>
    <w:p w14:paraId="40786F8D">
      <w:pPr>
        <w:tabs>
          <w:tab w:val="left" w:pos="9360"/>
        </w:tabs>
        <w:spacing w:line="360" w:lineRule="auto"/>
        <w:ind w:firstLine="471"/>
        <w:rPr>
          <w:rFonts w:hint="eastAsia" w:ascii="宋体" w:hAnsi="宋体" w:cs="宋体"/>
          <w:sz w:val="24"/>
          <w:highlight w:val="none"/>
        </w:rPr>
      </w:pPr>
      <w:r>
        <w:rPr>
          <w:rFonts w:hint="eastAsia" w:ascii="宋体" w:hAnsi="宋体" w:cs="宋体"/>
          <w:sz w:val="24"/>
          <w:highlight w:val="none"/>
        </w:rPr>
        <w:t>甲方(采购人)：</w:t>
      </w:r>
    </w:p>
    <w:p w14:paraId="675C5C25">
      <w:pPr>
        <w:tabs>
          <w:tab w:val="left" w:pos="9360"/>
        </w:tabs>
        <w:spacing w:line="360" w:lineRule="auto"/>
        <w:ind w:firstLine="471"/>
        <w:rPr>
          <w:rFonts w:hint="eastAsia" w:ascii="宋体" w:hAnsi="宋体" w:cs="宋体"/>
          <w:sz w:val="24"/>
          <w:highlight w:val="none"/>
        </w:rPr>
      </w:pPr>
      <w:r>
        <w:rPr>
          <w:rFonts w:hint="eastAsia" w:ascii="宋体" w:hAnsi="宋体" w:cs="宋体"/>
          <w:sz w:val="24"/>
          <w:highlight w:val="none"/>
        </w:rPr>
        <w:t>乙方(成交供应商)：</w:t>
      </w:r>
    </w:p>
    <w:p w14:paraId="5D47F52B">
      <w:pPr>
        <w:spacing w:line="360" w:lineRule="auto"/>
        <w:ind w:firstLine="471"/>
        <w:rPr>
          <w:rFonts w:hint="eastAsia" w:ascii="宋体" w:hAnsi="宋体" w:cs="宋体"/>
          <w:sz w:val="24"/>
          <w:highlight w:val="none"/>
        </w:rPr>
      </w:pPr>
      <w:r>
        <w:rPr>
          <w:rFonts w:hint="eastAsia" w:ascii="宋体" w:hAnsi="宋体" w:cs="宋体"/>
          <w:sz w:val="24"/>
          <w:highlight w:val="none"/>
        </w:rPr>
        <w:t>甲乙双方根据</w:t>
      </w:r>
      <w:r>
        <w:rPr>
          <w:rFonts w:hint="eastAsia" w:ascii="宋体" w:hAnsi="宋体" w:cs="宋体"/>
          <w:sz w:val="24"/>
          <w:highlight w:val="none"/>
          <w:u w:val="single"/>
        </w:rPr>
        <w:t>《中华人民共和国政府采购法》、《中华人民共和国招标投标法》、《中华人民共和国民法典》及204国道通州段周边路网衔接方案研究项目（政府采购工程）采购文件(项目编号:2026LWXJ)</w:t>
      </w:r>
      <w:r>
        <w:rPr>
          <w:rFonts w:hint="eastAsia" w:ascii="宋体" w:hAnsi="宋体" w:cs="宋体"/>
          <w:sz w:val="24"/>
          <w:highlight w:val="none"/>
        </w:rPr>
        <w:t>，按照平等、自愿的原则，协商签订此合同。</w:t>
      </w:r>
    </w:p>
    <w:p w14:paraId="2C956AE2">
      <w:pPr>
        <w:tabs>
          <w:tab w:val="left" w:pos="0"/>
          <w:tab w:val="left" w:pos="993"/>
          <w:tab w:val="left" w:pos="1134"/>
        </w:tabs>
        <w:spacing w:line="360" w:lineRule="auto"/>
        <w:ind w:firstLine="472"/>
        <w:rPr>
          <w:rFonts w:hint="eastAsia" w:ascii="宋体" w:hAnsi="宋体" w:cs="宋体"/>
          <w:b/>
          <w:sz w:val="24"/>
          <w:highlight w:val="none"/>
        </w:rPr>
      </w:pPr>
      <w:r>
        <w:rPr>
          <w:rFonts w:hint="eastAsia" w:ascii="宋体" w:hAnsi="宋体" w:cs="宋体"/>
          <w:b/>
          <w:sz w:val="24"/>
          <w:highlight w:val="none"/>
        </w:rPr>
        <w:t>一、说明</w:t>
      </w:r>
    </w:p>
    <w:p w14:paraId="7B322808">
      <w:pPr>
        <w:tabs>
          <w:tab w:val="left" w:pos="0"/>
          <w:tab w:val="left" w:pos="993"/>
          <w:tab w:val="left" w:pos="1134"/>
        </w:tabs>
        <w:spacing w:line="360" w:lineRule="auto"/>
        <w:ind w:firstLine="480"/>
        <w:rPr>
          <w:rFonts w:hint="eastAsia" w:ascii="宋体" w:hAnsi="宋体" w:cs="宋体"/>
          <w:sz w:val="24"/>
          <w:highlight w:val="none"/>
        </w:rPr>
      </w:pPr>
      <w:r>
        <w:rPr>
          <w:rFonts w:hint="eastAsia" w:ascii="宋体" w:hAnsi="宋体" w:cs="宋体"/>
          <w:sz w:val="24"/>
          <w:highlight w:val="none"/>
        </w:rPr>
        <w:t>204国道通州段周边路网衔接方案研究项目（政府采购工程）于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日组织了</w:t>
      </w:r>
      <w:r>
        <w:rPr>
          <w:rFonts w:hint="eastAsia" w:ascii="宋体" w:hAnsi="宋体" w:cs="宋体"/>
          <w:sz w:val="24"/>
          <w:highlight w:val="none"/>
          <w:u w:val="single"/>
        </w:rPr>
        <w:t xml:space="preserve"> 竞争性磋商 </w:t>
      </w:r>
      <w:r>
        <w:rPr>
          <w:rFonts w:hint="eastAsia" w:ascii="宋体" w:hAnsi="宋体" w:cs="宋体"/>
          <w:sz w:val="24"/>
          <w:highlight w:val="none"/>
        </w:rPr>
        <w:t>，经认真严格的评审，确定由乙方承包本项目。</w:t>
      </w:r>
    </w:p>
    <w:p w14:paraId="4E36A322">
      <w:pPr>
        <w:spacing w:line="360" w:lineRule="auto"/>
        <w:ind w:firstLine="472"/>
        <w:rPr>
          <w:rFonts w:hint="eastAsia" w:ascii="宋体" w:hAnsi="宋体" w:cs="宋体"/>
          <w:b/>
          <w:sz w:val="24"/>
          <w:highlight w:val="none"/>
        </w:rPr>
      </w:pPr>
      <w:r>
        <w:rPr>
          <w:rFonts w:hint="eastAsia" w:ascii="宋体" w:hAnsi="宋体" w:cs="宋体"/>
          <w:b/>
          <w:sz w:val="24"/>
          <w:highlight w:val="none"/>
        </w:rPr>
        <w:t>二</w:t>
      </w:r>
      <w:r>
        <w:rPr>
          <w:rFonts w:hint="eastAsia" w:ascii="宋体" w:hAnsi="宋体" w:cs="宋体"/>
          <w:sz w:val="24"/>
          <w:highlight w:val="none"/>
        </w:rPr>
        <w:t>、</w:t>
      </w:r>
      <w:r>
        <w:rPr>
          <w:rFonts w:hint="eastAsia" w:ascii="宋体" w:hAnsi="宋体" w:cs="宋体"/>
          <w:b/>
          <w:sz w:val="24"/>
          <w:highlight w:val="none"/>
        </w:rPr>
        <w:t>项目基本情况</w:t>
      </w:r>
    </w:p>
    <w:p w14:paraId="211D1C4E">
      <w:pPr>
        <w:spacing w:line="360" w:lineRule="auto"/>
        <w:ind w:firstLine="472"/>
        <w:rPr>
          <w:rFonts w:hint="eastAsia" w:ascii="宋体" w:hAnsi="宋体" w:cs="宋体"/>
          <w:bCs/>
          <w:sz w:val="24"/>
          <w:highlight w:val="none"/>
          <w:u w:val="single"/>
        </w:rPr>
      </w:pPr>
      <w:r>
        <w:rPr>
          <w:rFonts w:hint="eastAsia" w:ascii="宋体" w:hAnsi="宋体" w:cs="宋体"/>
          <w:bCs/>
          <w:sz w:val="24"/>
          <w:highlight w:val="none"/>
        </w:rPr>
        <w:t>1、项目名称：</w:t>
      </w:r>
      <w:r>
        <w:rPr>
          <w:rFonts w:hint="eastAsia" w:ascii="宋体" w:hAnsi="宋体" w:cs="宋体"/>
          <w:sz w:val="24"/>
          <w:highlight w:val="none"/>
        </w:rPr>
        <w:t>204国道通州段周边路网衔接方案研究项目（政府采购工程）</w:t>
      </w:r>
    </w:p>
    <w:p w14:paraId="74D3A4B7">
      <w:pPr>
        <w:spacing w:line="360" w:lineRule="auto"/>
        <w:ind w:firstLine="472"/>
        <w:rPr>
          <w:rFonts w:hint="eastAsia" w:ascii="宋体" w:hAnsi="宋体" w:cs="宋体"/>
          <w:b/>
          <w:sz w:val="24"/>
          <w:highlight w:val="none"/>
          <w:u w:val="single"/>
        </w:rPr>
      </w:pPr>
      <w:r>
        <w:rPr>
          <w:rFonts w:hint="eastAsia" w:ascii="宋体" w:hAnsi="宋体" w:cs="宋体"/>
          <w:bCs/>
          <w:sz w:val="24"/>
          <w:highlight w:val="none"/>
        </w:rPr>
        <w:t>2、项目地点：南通市</w:t>
      </w:r>
    </w:p>
    <w:p w14:paraId="3EDDD7A8">
      <w:pPr>
        <w:spacing w:line="360" w:lineRule="auto"/>
        <w:ind w:firstLine="471"/>
        <w:rPr>
          <w:rFonts w:hint="eastAsia" w:ascii="宋体" w:hAnsi="宋体" w:cs="宋体"/>
          <w:sz w:val="24"/>
          <w:highlight w:val="none"/>
        </w:rPr>
      </w:pPr>
      <w:r>
        <w:rPr>
          <w:rFonts w:hint="eastAsia" w:ascii="宋体" w:hAnsi="宋体" w:cs="宋体"/>
          <w:sz w:val="24"/>
          <w:highlight w:val="none"/>
        </w:rPr>
        <w:t>3、工作内容：（1）收集G204、通皋大道、西站大道、新丁平线等周边道路既有成果，根据需求，进行补充调查。</w:t>
      </w:r>
    </w:p>
    <w:p w14:paraId="5FA723E4">
      <w:pPr>
        <w:spacing w:line="360" w:lineRule="auto"/>
        <w:ind w:firstLine="471"/>
        <w:rPr>
          <w:rFonts w:hint="eastAsia" w:ascii="宋体" w:hAnsi="宋体" w:cs="宋体"/>
          <w:sz w:val="24"/>
          <w:highlight w:val="none"/>
        </w:rPr>
      </w:pPr>
      <w:r>
        <w:rPr>
          <w:rFonts w:hint="eastAsia" w:ascii="宋体" w:hAnsi="宋体" w:cs="宋体"/>
          <w:sz w:val="24"/>
          <w:highlight w:val="none"/>
        </w:rPr>
        <w:t>（2）在现有研究成果基础上对重点项目进行深化研究。研究内容包含总体方案、建设规模、技术标准、投资估算、建设时机、建设时序等。</w:t>
      </w:r>
    </w:p>
    <w:p w14:paraId="4747D32E">
      <w:pPr>
        <w:spacing w:line="360" w:lineRule="auto"/>
        <w:ind w:firstLine="471"/>
        <w:rPr>
          <w:rFonts w:hint="eastAsia" w:ascii="宋体" w:hAnsi="宋体" w:cs="宋体"/>
          <w:sz w:val="24"/>
          <w:highlight w:val="none"/>
        </w:rPr>
      </w:pPr>
      <w:r>
        <w:rPr>
          <w:rFonts w:hint="eastAsia" w:ascii="宋体" w:hAnsi="宋体" w:cs="宋体"/>
          <w:sz w:val="24"/>
          <w:highlight w:val="none"/>
        </w:rPr>
        <w:t>（3）提出优化建议。</w:t>
      </w:r>
    </w:p>
    <w:p w14:paraId="297D6939">
      <w:pPr>
        <w:spacing w:line="360" w:lineRule="auto"/>
        <w:ind w:firstLine="471"/>
        <w:rPr>
          <w:rFonts w:hint="eastAsia" w:ascii="宋体" w:hAnsi="宋体" w:cs="宋体"/>
          <w:b/>
          <w:sz w:val="24"/>
          <w:highlight w:val="none"/>
        </w:rPr>
      </w:pPr>
      <w:r>
        <w:rPr>
          <w:rFonts w:hint="eastAsia" w:ascii="宋体" w:hAnsi="宋体" w:cs="宋体"/>
          <w:b/>
          <w:sz w:val="24"/>
          <w:highlight w:val="none"/>
        </w:rPr>
        <w:t>三、合同文件构成</w:t>
      </w:r>
    </w:p>
    <w:p w14:paraId="4B3A7D8F">
      <w:pPr>
        <w:spacing w:line="360" w:lineRule="auto"/>
        <w:ind w:firstLine="471"/>
        <w:rPr>
          <w:rFonts w:hint="eastAsia" w:ascii="宋体" w:hAnsi="宋体" w:cs="宋体"/>
          <w:bCs/>
          <w:sz w:val="24"/>
          <w:highlight w:val="none"/>
        </w:rPr>
      </w:pPr>
      <w:r>
        <w:rPr>
          <w:rFonts w:hint="eastAsia" w:ascii="宋体" w:hAnsi="宋体" w:cs="宋体"/>
          <w:bCs/>
          <w:sz w:val="24"/>
          <w:highlight w:val="none"/>
        </w:rPr>
        <w:t>本协议书与下列文件一起构成合同文件：</w:t>
      </w:r>
    </w:p>
    <w:p w14:paraId="1DEFA63A">
      <w:pPr>
        <w:spacing w:line="360" w:lineRule="auto"/>
        <w:ind w:firstLine="471"/>
        <w:rPr>
          <w:rFonts w:hint="eastAsia" w:ascii="宋体" w:hAnsi="宋体" w:cs="宋体"/>
          <w:bCs/>
          <w:sz w:val="24"/>
          <w:highlight w:val="none"/>
        </w:rPr>
      </w:pPr>
      <w:r>
        <w:rPr>
          <w:rFonts w:hint="eastAsia" w:ascii="宋体" w:hAnsi="宋体" w:cs="宋体"/>
          <w:bCs/>
          <w:sz w:val="24"/>
          <w:highlight w:val="none"/>
        </w:rPr>
        <w:t>（1）中标（成交）通知书；</w:t>
      </w:r>
    </w:p>
    <w:p w14:paraId="0DC8B94B">
      <w:pPr>
        <w:spacing w:line="360" w:lineRule="auto"/>
        <w:ind w:firstLine="471"/>
        <w:rPr>
          <w:rFonts w:hint="eastAsia" w:ascii="宋体" w:hAnsi="宋体" w:cs="宋体"/>
          <w:bCs/>
          <w:sz w:val="24"/>
          <w:highlight w:val="none"/>
        </w:rPr>
      </w:pPr>
      <w:r>
        <w:rPr>
          <w:rFonts w:hint="eastAsia" w:ascii="宋体" w:hAnsi="宋体" w:cs="宋体"/>
          <w:bCs/>
          <w:sz w:val="24"/>
          <w:highlight w:val="none"/>
        </w:rPr>
        <w:t>（2）投标承诺/服务承诺（如有）；</w:t>
      </w:r>
    </w:p>
    <w:p w14:paraId="68792AE4">
      <w:pPr>
        <w:spacing w:line="360" w:lineRule="auto"/>
        <w:ind w:firstLine="471"/>
        <w:rPr>
          <w:rFonts w:hint="eastAsia" w:ascii="宋体" w:hAnsi="宋体" w:cs="宋体"/>
          <w:bCs/>
          <w:sz w:val="24"/>
          <w:highlight w:val="none"/>
        </w:rPr>
      </w:pPr>
      <w:r>
        <w:rPr>
          <w:rFonts w:hint="eastAsia" w:ascii="宋体" w:hAnsi="宋体" w:cs="宋体"/>
          <w:bCs/>
          <w:sz w:val="24"/>
          <w:highlight w:val="none"/>
        </w:rPr>
        <w:t>（3）磋商文件；</w:t>
      </w:r>
    </w:p>
    <w:p w14:paraId="0B6F52F5">
      <w:pPr>
        <w:spacing w:line="360" w:lineRule="auto"/>
        <w:ind w:firstLine="471"/>
        <w:rPr>
          <w:rFonts w:hint="eastAsia" w:ascii="宋体" w:hAnsi="宋体" w:cs="宋体"/>
          <w:bCs/>
          <w:sz w:val="24"/>
          <w:highlight w:val="none"/>
        </w:rPr>
      </w:pPr>
      <w:r>
        <w:rPr>
          <w:rFonts w:hint="eastAsia" w:ascii="宋体" w:hAnsi="宋体" w:cs="宋体"/>
          <w:bCs/>
          <w:sz w:val="24"/>
          <w:highlight w:val="none"/>
        </w:rPr>
        <w:t>（4）其他合同文件。</w:t>
      </w:r>
    </w:p>
    <w:p w14:paraId="48CE4A95">
      <w:pPr>
        <w:spacing w:line="360" w:lineRule="auto"/>
        <w:ind w:firstLine="471"/>
        <w:rPr>
          <w:rFonts w:hint="eastAsia" w:ascii="宋体" w:hAnsi="宋体" w:cs="宋体"/>
          <w:bCs/>
          <w:sz w:val="24"/>
          <w:highlight w:val="none"/>
        </w:rPr>
      </w:pPr>
      <w:r>
        <w:rPr>
          <w:rFonts w:hint="eastAsia" w:ascii="宋体" w:hAnsi="宋体" w:cs="宋体"/>
          <w:bCs/>
          <w:sz w:val="24"/>
          <w:highlight w:val="none"/>
        </w:rPr>
        <w:t>（5）响应文件及评标过程中形成的文字资料、澄清资料均作为本合同的组成部分，具有同等效力。</w:t>
      </w:r>
    </w:p>
    <w:p w14:paraId="2D101E35">
      <w:pPr>
        <w:spacing w:line="360" w:lineRule="auto"/>
        <w:ind w:firstLine="471"/>
        <w:rPr>
          <w:rFonts w:hint="eastAsia" w:ascii="宋体" w:hAnsi="宋体" w:cs="宋体"/>
          <w:bCs/>
          <w:sz w:val="24"/>
          <w:highlight w:val="none"/>
        </w:rPr>
      </w:pPr>
      <w:r>
        <w:rPr>
          <w:rFonts w:hint="eastAsia" w:ascii="宋体" w:hAnsi="宋体" w:cs="宋体"/>
          <w:bCs/>
          <w:sz w:val="24"/>
          <w:highlight w:val="none"/>
        </w:rPr>
        <w:t>上述各项合同文件包括合同当事人就该项合同文件所作出的补充和修改，属于同一类内容的文件，应以最新签署的为准。</w:t>
      </w:r>
    </w:p>
    <w:p w14:paraId="5E639631">
      <w:pPr>
        <w:spacing w:line="360" w:lineRule="auto"/>
        <w:ind w:firstLine="471"/>
        <w:rPr>
          <w:rFonts w:hint="eastAsia" w:ascii="宋体" w:hAnsi="宋体" w:cs="宋体"/>
          <w:sz w:val="24"/>
          <w:highlight w:val="none"/>
        </w:rPr>
      </w:pPr>
      <w:r>
        <w:rPr>
          <w:rFonts w:hint="eastAsia" w:ascii="宋体" w:hAnsi="宋体" w:cs="宋体"/>
          <w:b/>
          <w:sz w:val="24"/>
          <w:highlight w:val="none"/>
        </w:rPr>
        <w:t>四、人员要求</w:t>
      </w:r>
    </w:p>
    <w:p w14:paraId="2D85C5D2">
      <w:pPr>
        <w:spacing w:line="360" w:lineRule="auto"/>
        <w:ind w:firstLine="471"/>
        <w:rPr>
          <w:rFonts w:hint="eastAsia" w:ascii="宋体" w:hAnsi="宋体" w:cs="宋体"/>
          <w:sz w:val="24"/>
          <w:highlight w:val="none"/>
        </w:rPr>
      </w:pPr>
      <w:r>
        <w:rPr>
          <w:rFonts w:hint="eastAsia" w:ascii="宋体" w:hAnsi="宋体" w:cs="宋体"/>
          <w:sz w:val="24"/>
          <w:highlight w:val="none"/>
        </w:rPr>
        <w:t>项目负责人：</w:t>
      </w:r>
      <w:r>
        <w:rPr>
          <w:rFonts w:hint="eastAsia" w:ascii="宋体" w:hAnsi="宋体" w:cs="宋体"/>
          <w:sz w:val="24"/>
          <w:highlight w:val="none"/>
          <w:u w:val="single"/>
        </w:rPr>
        <w:t xml:space="preserve">             </w:t>
      </w:r>
      <w:r>
        <w:rPr>
          <w:rFonts w:hint="eastAsia" w:ascii="宋体" w:hAnsi="宋体" w:cs="宋体"/>
          <w:sz w:val="24"/>
          <w:highlight w:val="none"/>
        </w:rPr>
        <w:t>，联系电话：</w:t>
      </w:r>
      <w:r>
        <w:rPr>
          <w:rFonts w:hint="eastAsia" w:ascii="宋体" w:hAnsi="宋体" w:cs="宋体"/>
          <w:sz w:val="24"/>
          <w:highlight w:val="none"/>
          <w:u w:val="single"/>
        </w:rPr>
        <w:t xml:space="preserve">             </w:t>
      </w:r>
      <w:r>
        <w:rPr>
          <w:rFonts w:hint="eastAsia" w:ascii="宋体" w:hAnsi="宋体" w:cs="宋体"/>
          <w:sz w:val="24"/>
          <w:highlight w:val="none"/>
        </w:rPr>
        <w:t>投入本项目其他人员见本合同协议书附件1。</w:t>
      </w:r>
    </w:p>
    <w:p w14:paraId="0002D1F9">
      <w:pPr>
        <w:spacing w:line="360" w:lineRule="auto"/>
        <w:ind w:firstLine="480"/>
        <w:rPr>
          <w:rFonts w:hint="eastAsia" w:ascii="宋体" w:hAnsi="宋体" w:cs="宋体"/>
          <w:b/>
          <w:sz w:val="24"/>
          <w:highlight w:val="none"/>
        </w:rPr>
      </w:pPr>
      <w:r>
        <w:rPr>
          <w:rFonts w:hint="eastAsia" w:ascii="宋体" w:hAnsi="宋体" w:cs="宋体"/>
          <w:b/>
          <w:sz w:val="24"/>
          <w:highlight w:val="none"/>
        </w:rPr>
        <w:t>五、合同服务期</w:t>
      </w:r>
    </w:p>
    <w:p w14:paraId="073DF848">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lang w:eastAsia="zh-CN"/>
        </w:rPr>
        <w:t>本项目服务期为自合同签订之日起至最终成果通过市级相关部门参加的评审且修改完善之日止。具体要求为：2026年4月底前，完成方案研究大纲评审；2026年5月中旬，形成方案研究中间成果；2026年5月底前，完成并提交方案研究报告；2026年12月底前，完成评审并修改完善。</w:t>
      </w:r>
    </w:p>
    <w:p w14:paraId="6F6A85D2">
      <w:pPr>
        <w:pStyle w:val="58"/>
        <w:spacing w:before="0"/>
        <w:ind w:firstLine="472"/>
        <w:rPr>
          <w:rFonts w:hint="eastAsia" w:ascii="宋体" w:hAnsi="宋体" w:cs="宋体"/>
          <w:b/>
          <w:szCs w:val="24"/>
          <w:highlight w:val="none"/>
        </w:rPr>
      </w:pPr>
      <w:r>
        <w:rPr>
          <w:rFonts w:hint="eastAsia" w:ascii="宋体" w:hAnsi="宋体" w:cs="宋体"/>
          <w:b/>
          <w:szCs w:val="24"/>
          <w:highlight w:val="none"/>
        </w:rPr>
        <w:t>六、合同价款及付款方式</w:t>
      </w:r>
    </w:p>
    <w:p w14:paraId="649CC2A5">
      <w:pPr>
        <w:spacing w:line="360" w:lineRule="auto"/>
        <w:ind w:firstLine="471"/>
        <w:rPr>
          <w:rFonts w:ascii="宋体" w:hAnsi="宋体" w:cs="宋体"/>
          <w:sz w:val="24"/>
          <w:highlight w:val="none"/>
        </w:rPr>
      </w:pPr>
      <w:r>
        <w:rPr>
          <w:rFonts w:hint="eastAsia" w:ascii="宋体" w:hAnsi="宋体" w:cs="宋体"/>
          <w:sz w:val="24"/>
          <w:highlight w:val="none"/>
        </w:rPr>
        <w:t>1、本项目为总价合同，合同价为人民币</w:t>
      </w:r>
      <w:r>
        <w:rPr>
          <w:rFonts w:hint="eastAsia" w:ascii="宋体" w:hAnsi="宋体" w:cs="宋体"/>
          <w:sz w:val="24"/>
          <w:highlight w:val="none"/>
          <w:u w:val="single"/>
        </w:rPr>
        <w:t xml:space="preserve">          （¥       ）</w:t>
      </w:r>
      <w:r>
        <w:rPr>
          <w:rFonts w:hint="eastAsia" w:ascii="宋体" w:hAnsi="宋体" w:cs="宋体"/>
          <w:sz w:val="24"/>
          <w:highlight w:val="none"/>
        </w:rPr>
        <w:t>。</w:t>
      </w:r>
    </w:p>
    <w:p w14:paraId="0F48AE6C">
      <w:pPr>
        <w:spacing w:line="360" w:lineRule="auto"/>
        <w:ind w:firstLine="471"/>
        <w:rPr>
          <w:rFonts w:hint="eastAsia" w:ascii="宋体" w:hAnsi="宋体" w:cs="宋体"/>
          <w:sz w:val="24"/>
          <w:highlight w:val="none"/>
          <w:u w:val="single"/>
        </w:rPr>
      </w:pPr>
      <w:r>
        <w:rPr>
          <w:rFonts w:hint="eastAsia" w:ascii="宋体" w:hAnsi="宋体" w:cs="宋体"/>
          <w:bCs/>
          <w:sz w:val="24"/>
          <w:highlight w:val="none"/>
        </w:rPr>
        <w:t>合同价款</w:t>
      </w:r>
      <w:r>
        <w:rPr>
          <w:rFonts w:hint="eastAsia" w:ascii="宋体" w:hAnsi="宋体" w:cs="宋体"/>
          <w:sz w:val="24"/>
          <w:highlight w:val="none"/>
        </w:rPr>
        <w:t>为</w:t>
      </w:r>
      <w:r>
        <w:rPr>
          <w:rFonts w:hint="eastAsia" w:ascii="宋体" w:hAnsi="宋体" w:cs="宋体"/>
          <w:bCs/>
          <w:sz w:val="24"/>
          <w:highlight w:val="none"/>
        </w:rPr>
        <w:t>乙方完成本项目的全部工作所需的全部费用，包含但不限于调研费、报告编制费、人员劳务费、专家咨询费（如有）、交通费（汽油费、过路费、驾驶员工资等）、活动组织费（会务费、咨询费、活动场地费、资料印刷费、人工费等）、企业管理费、税金、利润等费用。乙方应根据本项目相应标段情况和有关规范制订必要、合理的人员投入计划，其拟投入现场人员数量应能满足本标段工作的要求。</w:t>
      </w:r>
    </w:p>
    <w:p w14:paraId="6CE41053">
      <w:pPr>
        <w:spacing w:line="360" w:lineRule="auto"/>
        <w:ind w:firstLine="471"/>
        <w:rPr>
          <w:rFonts w:hint="eastAsia" w:ascii="宋体" w:hAnsi="宋体" w:cs="宋体"/>
          <w:sz w:val="24"/>
          <w:highlight w:val="none"/>
        </w:rPr>
      </w:pPr>
      <w:r>
        <w:rPr>
          <w:rFonts w:hint="eastAsia" w:ascii="宋体" w:hAnsi="宋体" w:cs="宋体"/>
          <w:sz w:val="24"/>
          <w:highlight w:val="none"/>
        </w:rPr>
        <w:t>2、付款方式：</w:t>
      </w:r>
    </w:p>
    <w:p w14:paraId="36A74D2C">
      <w:pPr>
        <w:spacing w:line="360" w:lineRule="auto"/>
        <w:ind w:firstLine="471"/>
        <w:rPr>
          <w:rFonts w:hint="eastAsia" w:ascii="宋体" w:hAnsi="宋体" w:cs="宋体"/>
          <w:spacing w:val="7"/>
          <w:kern w:val="0"/>
          <w:sz w:val="24"/>
          <w:highlight w:val="none"/>
        </w:rPr>
      </w:pPr>
      <w:r>
        <w:rPr>
          <w:rFonts w:hint="eastAsia" w:ascii="宋体" w:hAnsi="宋体" w:cs="宋体"/>
          <w:spacing w:val="7"/>
          <w:kern w:val="0"/>
          <w:sz w:val="24"/>
          <w:highlight w:val="none"/>
        </w:rPr>
        <w:t>本项目为总价合同，合同签订后15个工作日内支付预付款30%；提交中间成果后15个工作日内，支付合同价的30%；完成最终成果15个工作日内，支付合同价的30%；通过市级部门参加的评审并修改完善后15个工作日内，支付至100%。</w:t>
      </w:r>
    </w:p>
    <w:p w14:paraId="4B486E7F">
      <w:pPr>
        <w:spacing w:line="360" w:lineRule="auto"/>
        <w:ind w:firstLine="471"/>
        <w:rPr>
          <w:rFonts w:hint="eastAsia" w:ascii="宋体" w:hAnsi="宋体" w:cs="宋体"/>
          <w:spacing w:val="7"/>
          <w:kern w:val="0"/>
          <w:sz w:val="24"/>
          <w:highlight w:val="none"/>
        </w:rPr>
      </w:pPr>
      <w:r>
        <w:rPr>
          <w:rFonts w:hint="eastAsia" w:ascii="宋体" w:hAnsi="宋体" w:cs="宋体"/>
          <w:spacing w:val="7"/>
          <w:kern w:val="0"/>
          <w:sz w:val="24"/>
          <w:highlight w:val="none"/>
        </w:rPr>
        <w:t>注：（1）上述每次付款采购人须按合同要求扣减违约金和赔偿款；</w:t>
      </w:r>
    </w:p>
    <w:p w14:paraId="34C3CBFD">
      <w:pPr>
        <w:spacing w:line="360" w:lineRule="auto"/>
        <w:ind w:firstLine="471"/>
        <w:rPr>
          <w:rFonts w:hint="eastAsia" w:ascii="宋体" w:hAnsi="宋体" w:cs="宋体"/>
          <w:spacing w:val="7"/>
          <w:kern w:val="0"/>
          <w:sz w:val="24"/>
          <w:highlight w:val="none"/>
        </w:rPr>
      </w:pPr>
      <w:r>
        <w:rPr>
          <w:rFonts w:hint="eastAsia" w:ascii="宋体" w:hAnsi="宋体" w:cs="宋体"/>
          <w:spacing w:val="7"/>
          <w:kern w:val="0"/>
          <w:sz w:val="24"/>
          <w:highlight w:val="none"/>
        </w:rPr>
        <w:t>（2）每次付款前，供应商须按采购人要求提供等额的合规发票及相关付款申请资料，否则采购人可以拒付；</w:t>
      </w:r>
    </w:p>
    <w:p w14:paraId="6A2079FA">
      <w:pPr>
        <w:spacing w:line="360" w:lineRule="auto"/>
        <w:ind w:firstLine="471"/>
        <w:rPr>
          <w:rFonts w:hint="eastAsia" w:ascii="宋体" w:hAnsi="宋体" w:cs="宋体"/>
          <w:kern w:val="0"/>
          <w:sz w:val="24"/>
          <w:highlight w:val="none"/>
        </w:rPr>
      </w:pPr>
      <w:r>
        <w:rPr>
          <w:rFonts w:hint="eastAsia" w:ascii="宋体" w:hAnsi="宋体" w:cs="宋体"/>
          <w:spacing w:val="7"/>
          <w:kern w:val="0"/>
          <w:sz w:val="24"/>
          <w:highlight w:val="none"/>
        </w:rPr>
        <w:t>（3）上述付款均不计利息。</w:t>
      </w:r>
    </w:p>
    <w:p w14:paraId="7AF46606">
      <w:pPr>
        <w:spacing w:line="360" w:lineRule="auto"/>
        <w:ind w:firstLine="472"/>
        <w:rPr>
          <w:rFonts w:hint="eastAsia" w:ascii="宋体" w:hAnsi="宋体" w:cs="宋体"/>
          <w:sz w:val="24"/>
          <w:highlight w:val="none"/>
        </w:rPr>
      </w:pPr>
      <w:r>
        <w:rPr>
          <w:rFonts w:hint="eastAsia" w:ascii="宋体" w:hAnsi="宋体" w:cs="宋体"/>
          <w:b/>
          <w:sz w:val="24"/>
          <w:highlight w:val="none"/>
        </w:rPr>
        <w:t>七、履约保证金</w:t>
      </w:r>
    </w:p>
    <w:p w14:paraId="0CFAFE33">
      <w:pPr>
        <w:spacing w:line="360" w:lineRule="auto"/>
        <w:ind w:firstLine="471"/>
        <w:rPr>
          <w:rFonts w:hint="eastAsia" w:ascii="宋体" w:hAnsi="宋体" w:cs="宋体"/>
          <w:sz w:val="24"/>
          <w:highlight w:val="none"/>
        </w:rPr>
      </w:pPr>
      <w:r>
        <w:rPr>
          <w:rFonts w:hint="eastAsia" w:ascii="宋体" w:hAnsi="宋体" w:cs="宋体"/>
          <w:sz w:val="24"/>
          <w:highlight w:val="none"/>
        </w:rPr>
        <w:t>本项目免收履约保证金。</w:t>
      </w:r>
    </w:p>
    <w:p w14:paraId="13F6B47C">
      <w:pPr>
        <w:widowControl/>
        <w:numPr>
          <w:ilvl w:val="0"/>
          <w:numId w:val="2"/>
        </w:numPr>
        <w:spacing w:line="360" w:lineRule="auto"/>
        <w:ind w:firstLine="474"/>
        <w:jc w:val="left"/>
        <w:rPr>
          <w:rFonts w:ascii="宋体" w:hAnsi="宋体" w:cs="宋体"/>
          <w:b/>
          <w:spacing w:val="-2"/>
          <w:sz w:val="24"/>
          <w:highlight w:val="none"/>
        </w:rPr>
      </w:pPr>
      <w:r>
        <w:rPr>
          <w:rFonts w:hint="eastAsia" w:ascii="宋体" w:hAnsi="宋体" w:cs="宋体"/>
          <w:b/>
          <w:spacing w:val="-2"/>
          <w:sz w:val="24"/>
          <w:highlight w:val="none"/>
        </w:rPr>
        <w:t>其他相关重要条约</w:t>
      </w:r>
    </w:p>
    <w:p w14:paraId="16015C51">
      <w:pPr>
        <w:spacing w:line="360" w:lineRule="auto"/>
        <w:ind w:firstLine="471"/>
        <w:rPr>
          <w:rFonts w:hint="eastAsia" w:ascii="宋体" w:hAnsi="宋体" w:cs="宋体"/>
          <w:sz w:val="24"/>
          <w:highlight w:val="none"/>
        </w:rPr>
      </w:pPr>
      <w:r>
        <w:rPr>
          <w:rFonts w:hint="eastAsia" w:ascii="宋体" w:hAnsi="宋体" w:cs="宋体"/>
          <w:sz w:val="24"/>
          <w:highlight w:val="none"/>
        </w:rPr>
        <w:t>1、咨询单位应保证不会侵犯任何第三方知识产权（含因开发需要采购的中间件、操作系统等平台软件）。若</w:t>
      </w:r>
      <w:r>
        <w:rPr>
          <w:rFonts w:hint="eastAsia" w:ascii="宋体" w:hAnsi="宋体" w:cs="宋体"/>
          <w:sz w:val="24"/>
          <w:highlight w:val="none"/>
          <w:lang w:val="en-US" w:eastAsia="zh-CN"/>
        </w:rPr>
        <w:t>由此产生争议</w:t>
      </w:r>
      <w:r>
        <w:rPr>
          <w:rFonts w:hint="eastAsia" w:ascii="宋体" w:hAnsi="宋体" w:cs="宋体"/>
          <w:sz w:val="24"/>
          <w:highlight w:val="none"/>
        </w:rPr>
        <w:t>，一律由咨询单位承担全部责任，</w:t>
      </w:r>
      <w:r>
        <w:rPr>
          <w:rFonts w:hint="eastAsia" w:ascii="宋体" w:hAnsi="宋体" w:cs="宋体"/>
          <w:sz w:val="24"/>
          <w:highlight w:val="none"/>
          <w:lang w:val="en-US" w:eastAsia="zh-CN"/>
        </w:rPr>
        <w:t>并承担由此给甲方造成的一切经济损失</w:t>
      </w:r>
      <w:r>
        <w:rPr>
          <w:rFonts w:hint="eastAsia" w:ascii="宋体" w:hAnsi="宋体" w:cs="宋体"/>
          <w:sz w:val="24"/>
          <w:highlight w:val="none"/>
        </w:rPr>
        <w:t>。</w:t>
      </w:r>
    </w:p>
    <w:p w14:paraId="4D3F508A">
      <w:pPr>
        <w:spacing w:line="360" w:lineRule="auto"/>
        <w:ind w:firstLine="471"/>
        <w:rPr>
          <w:rFonts w:hint="eastAsia" w:ascii="宋体" w:hAnsi="宋体" w:cs="宋体"/>
          <w:sz w:val="24"/>
          <w:highlight w:val="none"/>
        </w:rPr>
      </w:pPr>
      <w:r>
        <w:rPr>
          <w:rFonts w:hint="eastAsia" w:ascii="宋体" w:hAnsi="宋体" w:cs="宋体"/>
          <w:sz w:val="24"/>
          <w:highlight w:val="none"/>
        </w:rPr>
        <w:t>2、本项目服务内容所涉的所有的成果文件获得批准实施前，任何单位和个人未经同意都无权以任何形式向第三方和社会公开展示成果。</w:t>
      </w:r>
    </w:p>
    <w:p w14:paraId="09679ADF">
      <w:pPr>
        <w:spacing w:line="360" w:lineRule="auto"/>
        <w:ind w:firstLine="471"/>
        <w:rPr>
          <w:rFonts w:hint="eastAsia" w:ascii="宋体" w:hAnsi="宋体" w:cs="宋体"/>
          <w:sz w:val="24"/>
          <w:highlight w:val="none"/>
        </w:rPr>
      </w:pPr>
      <w:r>
        <w:rPr>
          <w:rFonts w:hint="eastAsia" w:ascii="宋体" w:hAnsi="宋体" w:cs="宋体"/>
          <w:sz w:val="24"/>
          <w:highlight w:val="none"/>
        </w:rPr>
        <w:t>3、本项目所有成果的知识产权归采购人所有，研究单位享受署名权。</w:t>
      </w:r>
    </w:p>
    <w:p w14:paraId="3F3782D1">
      <w:pPr>
        <w:widowControl/>
        <w:spacing w:line="360" w:lineRule="auto"/>
        <w:ind w:firstLine="474"/>
        <w:jc w:val="left"/>
        <w:rPr>
          <w:rFonts w:hint="eastAsia" w:ascii="宋体" w:hAnsi="宋体" w:cs="宋体"/>
          <w:b/>
          <w:spacing w:val="-2"/>
          <w:sz w:val="24"/>
          <w:highlight w:val="none"/>
        </w:rPr>
      </w:pPr>
      <w:r>
        <w:rPr>
          <w:rFonts w:hint="eastAsia" w:ascii="宋体" w:hAnsi="宋体" w:cs="宋体"/>
          <w:b/>
          <w:spacing w:val="-2"/>
          <w:sz w:val="24"/>
          <w:highlight w:val="none"/>
        </w:rPr>
        <w:t>九、验收标准与要求</w:t>
      </w:r>
    </w:p>
    <w:p w14:paraId="4FA262C4">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1、甲方按合同约定积极配合乙方履约，对照磋商文件及时组织项目验收，乙方满足所有服务要求视为验收合格，履约验收合格单将作为支付款项的依据。</w:t>
      </w:r>
    </w:p>
    <w:p w14:paraId="23B3E70D">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2、验收标准</w:t>
      </w:r>
    </w:p>
    <w:p w14:paraId="541464A0">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验收实施主体：工程科</w:t>
      </w:r>
    </w:p>
    <w:p w14:paraId="2D6536CD">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验收时间：由工程科通知具体成果的评审时间为准。</w:t>
      </w:r>
    </w:p>
    <w:p w14:paraId="1EF426CC">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验收方式：采用书面审核的方式。</w:t>
      </w:r>
    </w:p>
    <w:p w14:paraId="17812F29">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验收内容：由验收小组对供应商服务情况按验收标准执行。</w:t>
      </w:r>
    </w:p>
    <w:p w14:paraId="38F4325C">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验收标准：最终成果文件通过专家评审。</w:t>
      </w:r>
    </w:p>
    <w:p w14:paraId="00F8AF39">
      <w:pPr>
        <w:spacing w:line="360" w:lineRule="auto"/>
        <w:ind w:firstLine="471"/>
        <w:rPr>
          <w:rFonts w:hint="eastAsia" w:ascii="宋体" w:hAnsi="宋体" w:cs="宋体"/>
          <w:b/>
          <w:sz w:val="24"/>
          <w:highlight w:val="none"/>
        </w:rPr>
      </w:pPr>
      <w:r>
        <w:rPr>
          <w:rFonts w:hint="eastAsia" w:ascii="宋体" w:hAnsi="宋体" w:cs="宋体"/>
          <w:b/>
          <w:sz w:val="24"/>
          <w:highlight w:val="none"/>
        </w:rPr>
        <w:t>十、合同生效和终止</w:t>
      </w:r>
    </w:p>
    <w:p w14:paraId="5F66C724">
      <w:pPr>
        <w:spacing w:line="360" w:lineRule="auto"/>
        <w:ind w:firstLine="471"/>
        <w:rPr>
          <w:rFonts w:hint="eastAsia" w:ascii="宋体" w:hAnsi="宋体" w:cs="宋体"/>
          <w:sz w:val="24"/>
          <w:highlight w:val="none"/>
        </w:rPr>
      </w:pPr>
      <w:r>
        <w:rPr>
          <w:rFonts w:hint="eastAsia" w:ascii="宋体" w:hAnsi="宋体" w:cs="宋体"/>
          <w:sz w:val="24"/>
          <w:highlight w:val="none"/>
        </w:rPr>
        <w:t>本合同经双方签字并加盖公章后生效，至双方按照合同的规定履行完各自的义务和责任后</w:t>
      </w:r>
      <w:r>
        <w:rPr>
          <w:rFonts w:hint="eastAsia" w:ascii="宋体" w:hAnsi="宋体" w:cs="宋体"/>
          <w:sz w:val="24"/>
          <w:highlight w:val="none"/>
          <w:lang w:val="en-US" w:eastAsia="zh-CN"/>
        </w:rPr>
        <w:t>终止</w:t>
      </w:r>
      <w:r>
        <w:rPr>
          <w:rFonts w:hint="eastAsia" w:ascii="宋体" w:hAnsi="宋体" w:cs="宋体"/>
          <w:sz w:val="24"/>
          <w:highlight w:val="none"/>
        </w:rPr>
        <w:t>。</w:t>
      </w:r>
    </w:p>
    <w:p w14:paraId="04F29B15">
      <w:pPr>
        <w:spacing w:line="360" w:lineRule="auto"/>
        <w:ind w:firstLine="471"/>
        <w:rPr>
          <w:rFonts w:hint="eastAsia" w:ascii="宋体" w:hAnsi="宋体" w:cs="宋体"/>
          <w:b/>
          <w:sz w:val="24"/>
          <w:highlight w:val="none"/>
        </w:rPr>
      </w:pPr>
      <w:r>
        <w:rPr>
          <w:rFonts w:hint="eastAsia" w:ascii="宋体" w:hAnsi="宋体" w:cs="宋体"/>
          <w:b/>
          <w:sz w:val="24"/>
          <w:highlight w:val="none"/>
        </w:rPr>
        <w:t>十一、违约责任</w:t>
      </w:r>
    </w:p>
    <w:p w14:paraId="5585AA9D">
      <w:pPr>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1.由于甲方提供的资料、文件错误、不准确，造成工期延误或返工时，除合同履行期顺延外，甲方应向乙方支付</w:t>
      </w:r>
      <w:r>
        <w:rPr>
          <w:rFonts w:hint="eastAsia" w:ascii="宋体" w:hAnsi="宋体" w:cs="宋体"/>
          <w:sz w:val="24"/>
          <w:highlight w:val="none"/>
        </w:rPr>
        <w:t>付款总额1‰的违约金</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如因此</w:t>
      </w:r>
      <w:r>
        <w:rPr>
          <w:rFonts w:hint="eastAsia" w:ascii="宋体" w:hAnsi="宋体" w:cs="宋体"/>
          <w:bCs/>
          <w:sz w:val="24"/>
          <w:highlight w:val="none"/>
        </w:rPr>
        <w:t>造成质量、安全事故时，由甲方承担</w:t>
      </w:r>
      <w:r>
        <w:rPr>
          <w:rFonts w:hint="eastAsia" w:ascii="宋体" w:hAnsi="宋体" w:cs="宋体"/>
          <w:bCs/>
          <w:sz w:val="24"/>
          <w:highlight w:val="none"/>
          <w:lang w:val="en-US" w:eastAsia="zh-CN"/>
        </w:rPr>
        <w:t>相应</w:t>
      </w:r>
      <w:r>
        <w:rPr>
          <w:rFonts w:hint="eastAsia" w:ascii="宋体" w:hAnsi="宋体" w:cs="宋体"/>
          <w:bCs/>
          <w:sz w:val="24"/>
          <w:highlight w:val="none"/>
        </w:rPr>
        <w:t>责任。</w:t>
      </w:r>
    </w:p>
    <w:p w14:paraId="03EF1B76">
      <w:pPr>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2.乙方未按合同约定的时间和质量标准提供服务，但未给甲方造成损失的，甲方可要求乙方整改，乙方在双方协定期限内达到甲方项目需求中的要求后，甲方应支付相应的服务费用。</w:t>
      </w:r>
    </w:p>
    <w:p w14:paraId="06FD29DB">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3.当乙方发生以下约定的违约情况时，甲方有权要求乙方支付违约金；如违约金不足以弥补甲方损失的，甲方有权要求乙方赔偿损失。具体如下：</w:t>
      </w:r>
    </w:p>
    <w:p w14:paraId="74F8E20E">
      <w:pPr>
        <w:spacing w:line="360" w:lineRule="auto"/>
        <w:ind w:firstLine="471"/>
        <w:rPr>
          <w:rFonts w:hint="eastAsia" w:ascii="宋体" w:hAnsi="宋体" w:cs="宋体"/>
          <w:bCs/>
          <w:sz w:val="24"/>
          <w:highlight w:val="none"/>
        </w:rPr>
      </w:pPr>
      <w:r>
        <w:rPr>
          <w:rFonts w:hint="eastAsia" w:ascii="宋体" w:hAnsi="宋体" w:cs="宋体"/>
          <w:bCs/>
          <w:sz w:val="24"/>
          <w:highlight w:val="none"/>
        </w:rPr>
        <w:t>乙方未按合同约定的时间和质量标准提供服务，</w:t>
      </w:r>
      <w:r>
        <w:rPr>
          <w:rFonts w:hint="eastAsia" w:ascii="宋体" w:hAnsi="宋体" w:cs="宋体"/>
          <w:sz w:val="24"/>
          <w:highlight w:val="none"/>
        </w:rPr>
        <w:t>乙方应按逾期交付合同总额每日6‰向甲方支付违约金，由甲方从待付合同款项中扣除。逾期超过约定日期10个工作日不能交付合同标的的，甲方可解除本合同。乙方因逾期交付合同标的或因其他违约行为导致甲方解除合同的，乙方应向甲方支付合同价款总额</w:t>
      </w:r>
      <w:r>
        <w:rPr>
          <w:rFonts w:hint="eastAsia" w:ascii="宋体" w:hAnsi="宋体" w:cs="宋体"/>
          <w:sz w:val="24"/>
          <w:highlight w:val="none"/>
          <w:u w:val="single"/>
        </w:rPr>
        <w:t>5%</w:t>
      </w:r>
      <w:r>
        <w:rPr>
          <w:rFonts w:hint="eastAsia" w:ascii="宋体" w:hAnsi="宋体" w:cs="宋体"/>
          <w:sz w:val="24"/>
          <w:highlight w:val="none"/>
        </w:rPr>
        <w:t>的违约金，如造成甲方损失超过违约金的，超出部分由乙方继续承担赔偿责任。</w:t>
      </w:r>
    </w:p>
    <w:p w14:paraId="0B052402">
      <w:pPr>
        <w:spacing w:line="360" w:lineRule="auto"/>
        <w:ind w:firstLine="482"/>
        <w:rPr>
          <w:rFonts w:hint="eastAsia" w:ascii="宋体" w:hAnsi="宋体" w:cs="宋体"/>
          <w:b/>
          <w:sz w:val="24"/>
          <w:highlight w:val="none"/>
        </w:rPr>
      </w:pPr>
      <w:r>
        <w:rPr>
          <w:rFonts w:hint="eastAsia" w:ascii="宋体" w:hAnsi="宋体" w:cs="宋体"/>
          <w:b/>
          <w:sz w:val="24"/>
          <w:highlight w:val="none"/>
        </w:rPr>
        <w:t>十二、不可抗力事件处理</w:t>
      </w:r>
    </w:p>
    <w:p w14:paraId="5F430A03">
      <w:pPr>
        <w:tabs>
          <w:tab w:val="left" w:pos="360"/>
        </w:tabs>
        <w:spacing w:line="360" w:lineRule="auto"/>
        <w:ind w:firstLine="480"/>
        <w:rPr>
          <w:rFonts w:hint="eastAsia" w:ascii="宋体" w:hAnsi="宋体" w:cs="宋体"/>
          <w:bCs/>
          <w:sz w:val="24"/>
          <w:highlight w:val="none"/>
        </w:rPr>
      </w:pPr>
      <w:r>
        <w:rPr>
          <w:rFonts w:hint="eastAsia" w:ascii="宋体" w:hAnsi="宋体" w:cs="宋体"/>
          <w:bCs/>
          <w:sz w:val="24"/>
          <w:highlight w:val="none"/>
        </w:rPr>
        <w:t>1、由于不可抗力因素（指火灾、地震、洪水、战争等）使乙方不能在合同规定的期限内完成服务时，乙方必须立即以书面形式通知甲方，并以书面形式向甲方提供有关政府机关所出具的不可抗力因素证明。</w:t>
      </w:r>
    </w:p>
    <w:p w14:paraId="29E3F227">
      <w:pPr>
        <w:spacing w:line="360" w:lineRule="auto"/>
        <w:ind w:firstLine="480"/>
        <w:rPr>
          <w:rFonts w:hint="eastAsia" w:ascii="宋体" w:hAnsi="宋体" w:cs="宋体"/>
          <w:sz w:val="24"/>
          <w:highlight w:val="none"/>
        </w:rPr>
      </w:pPr>
      <w:r>
        <w:rPr>
          <w:rFonts w:hint="eastAsia" w:ascii="宋体" w:hAnsi="宋体" w:cs="宋体"/>
          <w:bCs/>
          <w:sz w:val="24"/>
          <w:highlight w:val="none"/>
        </w:rPr>
        <w:t>2、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30天内不能恢复履约，则任何一方可提出终止合同。在这种情况下，双方应协商解决合同终止以前双方应得的利益问题。</w:t>
      </w:r>
    </w:p>
    <w:p w14:paraId="28CD8C93">
      <w:pPr>
        <w:spacing w:line="360" w:lineRule="auto"/>
        <w:ind w:firstLine="471"/>
        <w:jc w:val="left"/>
        <w:rPr>
          <w:rFonts w:hint="eastAsia" w:ascii="宋体" w:hAnsi="宋体" w:cs="宋体"/>
          <w:b/>
          <w:sz w:val="24"/>
          <w:highlight w:val="none"/>
          <w:lang w:val="zh-CN"/>
        </w:rPr>
      </w:pPr>
      <w:r>
        <w:rPr>
          <w:rFonts w:hint="eastAsia" w:ascii="宋体" w:hAnsi="宋体" w:cs="宋体"/>
          <w:b/>
          <w:sz w:val="24"/>
          <w:highlight w:val="none"/>
        </w:rPr>
        <w:t>十三、</w:t>
      </w:r>
      <w:r>
        <w:rPr>
          <w:rFonts w:hint="eastAsia" w:ascii="宋体" w:hAnsi="宋体" w:cs="宋体"/>
          <w:b/>
          <w:sz w:val="24"/>
          <w:highlight w:val="none"/>
          <w:lang w:val="zh-CN"/>
        </w:rPr>
        <w:t>争议处理</w:t>
      </w:r>
    </w:p>
    <w:p w14:paraId="7096A509">
      <w:pPr>
        <w:spacing w:line="360" w:lineRule="auto"/>
        <w:ind w:firstLine="471"/>
        <w:jc w:val="left"/>
        <w:rPr>
          <w:rFonts w:hint="eastAsia" w:ascii="宋体" w:hAnsi="宋体" w:cs="宋体"/>
          <w:sz w:val="24"/>
          <w:highlight w:val="none"/>
          <w:lang w:val="zh-CN"/>
        </w:rPr>
      </w:pPr>
      <w:r>
        <w:rPr>
          <w:rFonts w:hint="eastAsia" w:ascii="宋体" w:hAnsi="宋体" w:cs="宋体"/>
          <w:sz w:val="24"/>
          <w:highlight w:val="none"/>
          <w:lang w:val="zh-CN"/>
        </w:rPr>
        <w:t xml:space="preserve">争议的最终解决方式：仲裁 </w:t>
      </w:r>
    </w:p>
    <w:p w14:paraId="5E464EF7">
      <w:pPr>
        <w:spacing w:line="360" w:lineRule="auto"/>
        <w:ind w:firstLine="471"/>
        <w:jc w:val="left"/>
        <w:rPr>
          <w:rFonts w:hint="eastAsia" w:ascii="宋体" w:hAnsi="宋体" w:cs="宋体"/>
          <w:b/>
          <w:sz w:val="24"/>
          <w:highlight w:val="none"/>
        </w:rPr>
      </w:pPr>
      <w:r>
        <w:rPr>
          <w:rFonts w:hint="eastAsia" w:ascii="宋体" w:hAnsi="宋体" w:cs="宋体"/>
          <w:sz w:val="24"/>
          <w:highlight w:val="none"/>
          <w:lang w:val="zh-CN"/>
        </w:rPr>
        <w:t>如采用仲裁，向南通仲裁委员会提起仲裁。</w:t>
      </w:r>
    </w:p>
    <w:p w14:paraId="4A504DF2">
      <w:pPr>
        <w:spacing w:line="360" w:lineRule="auto"/>
        <w:ind w:firstLine="471"/>
        <w:jc w:val="left"/>
        <w:rPr>
          <w:rFonts w:hint="eastAsia" w:ascii="宋体" w:hAnsi="宋体" w:cs="宋体"/>
          <w:b/>
          <w:sz w:val="24"/>
          <w:highlight w:val="none"/>
          <w:lang w:val="zh-CN"/>
        </w:rPr>
      </w:pPr>
      <w:r>
        <w:rPr>
          <w:rFonts w:hint="eastAsia" w:ascii="宋体" w:hAnsi="宋体" w:cs="宋体"/>
          <w:b/>
          <w:sz w:val="24"/>
          <w:highlight w:val="none"/>
        </w:rPr>
        <w:t>十四、</w:t>
      </w:r>
      <w:r>
        <w:rPr>
          <w:rFonts w:hint="eastAsia" w:ascii="宋体" w:hAnsi="宋体" w:cs="宋体"/>
          <w:b/>
          <w:sz w:val="24"/>
          <w:highlight w:val="none"/>
          <w:lang w:val="zh-CN"/>
        </w:rPr>
        <w:t>其他</w:t>
      </w:r>
    </w:p>
    <w:p w14:paraId="05CB0C31">
      <w:pPr>
        <w:spacing w:line="360" w:lineRule="auto"/>
        <w:ind w:firstLine="471"/>
        <w:jc w:val="left"/>
        <w:rPr>
          <w:rFonts w:hint="eastAsia" w:ascii="宋体" w:hAnsi="宋体" w:cs="宋体"/>
          <w:sz w:val="24"/>
          <w:highlight w:val="none"/>
          <w:lang w:val="zh-CN"/>
        </w:rPr>
      </w:pPr>
      <w:r>
        <w:rPr>
          <w:rFonts w:hint="eastAsia" w:ascii="宋体" w:hAnsi="宋体" w:cs="宋体"/>
          <w:color w:val="000000"/>
          <w:sz w:val="24"/>
          <w:highlight w:val="none"/>
        </w:rPr>
        <w:t>1、</w:t>
      </w:r>
      <w:r>
        <w:rPr>
          <w:rFonts w:hint="eastAsia" w:ascii="宋体" w:hAnsi="宋体" w:cs="宋体"/>
          <w:sz w:val="24"/>
          <w:highlight w:val="none"/>
          <w:lang w:val="zh-CN"/>
        </w:rPr>
        <w:t>未经过甲方的书面同意，乙方不得转让其应履行的合同项下的义务，</w:t>
      </w:r>
      <w:r>
        <w:rPr>
          <w:rFonts w:hint="eastAsia" w:ascii="宋体" w:hAnsi="宋体" w:cs="宋体"/>
          <w:sz w:val="24"/>
          <w:highlight w:val="none"/>
        </w:rPr>
        <w:t>或</w:t>
      </w:r>
      <w:r>
        <w:rPr>
          <w:rFonts w:hint="eastAsia" w:ascii="宋体" w:hAnsi="宋体" w:cs="宋体"/>
          <w:sz w:val="24"/>
          <w:highlight w:val="none"/>
          <w:lang w:val="zh-CN"/>
        </w:rPr>
        <w:t>将部分合同项下的义务分包给其他单位完成。</w:t>
      </w:r>
    </w:p>
    <w:p w14:paraId="599F6E05">
      <w:pPr>
        <w:spacing w:line="360" w:lineRule="auto"/>
        <w:ind w:firstLine="471"/>
        <w:jc w:val="left"/>
        <w:rPr>
          <w:rFonts w:hint="eastAsia" w:ascii="宋体" w:hAnsi="宋体" w:cs="宋体"/>
          <w:sz w:val="24"/>
          <w:highlight w:val="none"/>
        </w:rPr>
      </w:pPr>
      <w:r>
        <w:rPr>
          <w:rFonts w:hint="eastAsia" w:ascii="宋体" w:hAnsi="宋体" w:cs="宋体"/>
          <w:sz w:val="24"/>
          <w:highlight w:val="none"/>
        </w:rPr>
        <w:t>2、合同履行期内甲乙双方均不得随意变更或解除合同。合同若有未尽事宜，需经双方共同协商，订立补充协议，补充协议条款与本合同条款有冲突的，以补充协议条款为准，补充协议与本合同有同等法律效力。</w:t>
      </w:r>
    </w:p>
    <w:p w14:paraId="544C94D3">
      <w:pPr>
        <w:spacing w:line="360" w:lineRule="auto"/>
        <w:ind w:firstLine="471"/>
        <w:rPr>
          <w:rFonts w:hint="eastAsia" w:ascii="宋体" w:hAnsi="宋体" w:cs="宋体"/>
          <w:sz w:val="24"/>
          <w:highlight w:val="none"/>
        </w:rPr>
      </w:pPr>
      <w:r>
        <w:rPr>
          <w:rFonts w:hint="eastAsia" w:ascii="宋体" w:hAnsi="宋体" w:cs="宋体"/>
          <w:sz w:val="24"/>
          <w:highlight w:val="none"/>
        </w:rPr>
        <w:t>3、本合同</w:t>
      </w:r>
      <w:r>
        <w:rPr>
          <w:rFonts w:hint="eastAsia" w:ascii="宋体" w:hAnsi="宋体" w:cs="宋体"/>
          <w:sz w:val="24"/>
          <w:highlight w:val="none"/>
          <w:u w:val="single"/>
        </w:rPr>
        <w:t>一式陆份</w:t>
      </w:r>
      <w:r>
        <w:rPr>
          <w:rFonts w:hint="eastAsia" w:ascii="宋体" w:hAnsi="宋体" w:cs="宋体"/>
          <w:sz w:val="24"/>
          <w:highlight w:val="none"/>
        </w:rPr>
        <w:t>，双方各执叁份，自签订之日起生效。</w:t>
      </w:r>
    </w:p>
    <w:p w14:paraId="18F648C8">
      <w:pPr>
        <w:spacing w:line="360" w:lineRule="auto"/>
        <w:ind w:firstLine="471"/>
        <w:rPr>
          <w:rFonts w:hint="eastAsia" w:ascii="宋体" w:hAnsi="宋体" w:cs="宋体"/>
          <w:sz w:val="24"/>
          <w:highlight w:val="none"/>
        </w:rPr>
      </w:pPr>
      <w:r>
        <w:rPr>
          <w:rFonts w:hint="eastAsia" w:ascii="宋体" w:hAnsi="宋体" w:cs="宋体"/>
          <w:sz w:val="24"/>
          <w:highlight w:val="none"/>
        </w:rPr>
        <w:t>4、本合同未尽事宜，遵照《中华人民共和国民法典》有关条文执行。</w:t>
      </w:r>
    </w:p>
    <w:p w14:paraId="3B52EA3D">
      <w:pPr>
        <w:spacing w:line="360" w:lineRule="auto"/>
        <w:rPr>
          <w:rFonts w:hint="eastAsia" w:ascii="宋体" w:hAnsi="宋体" w:cs="宋体"/>
          <w:sz w:val="24"/>
          <w:highlight w:val="none"/>
        </w:rPr>
      </w:pPr>
    </w:p>
    <w:p w14:paraId="76F0E7DF">
      <w:pPr>
        <w:spacing w:line="360" w:lineRule="auto"/>
        <w:jc w:val="left"/>
        <w:rPr>
          <w:rFonts w:hint="eastAsia" w:ascii="宋体" w:hAnsi="宋体" w:cs="宋体"/>
          <w:sz w:val="24"/>
          <w:highlight w:val="none"/>
        </w:rPr>
      </w:pPr>
      <w:r>
        <w:rPr>
          <w:rFonts w:hint="eastAsia" w:ascii="宋体" w:hAnsi="宋体" w:cs="宋体"/>
          <w:sz w:val="24"/>
          <w:highlight w:val="none"/>
        </w:rPr>
        <w:t>甲方：</w:t>
      </w:r>
      <w:r>
        <w:rPr>
          <w:rFonts w:hint="eastAsia" w:ascii="宋体" w:hAnsi="宋体" w:cs="宋体"/>
          <w:sz w:val="24"/>
          <w:highlight w:val="none"/>
        </w:rPr>
        <w:tab/>
      </w:r>
      <w:r>
        <w:rPr>
          <w:rFonts w:hint="eastAsia" w:ascii="宋体" w:hAnsi="宋体" w:cs="宋体"/>
          <w:sz w:val="24"/>
          <w:highlight w:val="none"/>
        </w:rPr>
        <w:t>（盖单位章）                  乙方：（盖单位章）</w:t>
      </w:r>
    </w:p>
    <w:p w14:paraId="12FC3B51">
      <w:pPr>
        <w:spacing w:line="360" w:lineRule="auto"/>
        <w:jc w:val="left"/>
        <w:rPr>
          <w:rFonts w:hint="eastAsia" w:ascii="宋体" w:hAnsi="宋体" w:cs="宋体"/>
          <w:sz w:val="24"/>
          <w:highlight w:val="none"/>
        </w:rPr>
      </w:pPr>
      <w:r>
        <w:rPr>
          <w:rFonts w:hint="eastAsia" w:ascii="宋体" w:hAnsi="宋体" w:cs="宋体"/>
          <w:sz w:val="24"/>
          <w:highlight w:val="none"/>
        </w:rPr>
        <w:t>法定代表人                           法定代表人</w:t>
      </w:r>
    </w:p>
    <w:p w14:paraId="717C5C14">
      <w:pPr>
        <w:spacing w:line="360" w:lineRule="auto"/>
        <w:jc w:val="left"/>
        <w:rPr>
          <w:rFonts w:hint="eastAsia" w:ascii="宋体" w:hAnsi="宋体" w:cs="宋体"/>
          <w:sz w:val="24"/>
          <w:highlight w:val="none"/>
        </w:rPr>
      </w:pPr>
      <w:r>
        <w:rPr>
          <w:rFonts w:hint="eastAsia" w:ascii="宋体" w:hAnsi="宋体" w:cs="宋体"/>
          <w:sz w:val="24"/>
          <w:highlight w:val="none"/>
        </w:rPr>
        <w:t>或其委托代理人：（签字或盖章）       或其委托代理人：（签字或盖章）</w:t>
      </w:r>
    </w:p>
    <w:p w14:paraId="4AE55A4F">
      <w:pPr>
        <w:spacing w:line="360" w:lineRule="auto"/>
        <w:jc w:val="left"/>
        <w:rPr>
          <w:rFonts w:hint="eastAsia" w:ascii="宋体" w:hAnsi="宋体" w:cs="宋体"/>
          <w:sz w:val="24"/>
          <w:highlight w:val="none"/>
        </w:rPr>
      </w:pPr>
    </w:p>
    <w:p w14:paraId="5BC66A08">
      <w:pPr>
        <w:spacing w:line="360" w:lineRule="auto"/>
        <w:ind w:firstLine="480"/>
        <w:rPr>
          <w:rFonts w:hint="eastAsia"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 xml:space="preserve">年  </w:t>
      </w:r>
      <w:r>
        <w:rPr>
          <w:rFonts w:hint="eastAsia" w:ascii="宋体" w:hAnsi="宋体" w:cs="宋体"/>
          <w:sz w:val="24"/>
          <w:highlight w:val="none"/>
        </w:rPr>
        <w:tab/>
      </w:r>
      <w:r>
        <w:rPr>
          <w:rFonts w:hint="eastAsia" w:ascii="宋体" w:hAnsi="宋体" w:cs="宋体"/>
          <w:sz w:val="24"/>
          <w:highlight w:val="none"/>
        </w:rPr>
        <w:t>月</w:t>
      </w:r>
      <w:r>
        <w:rPr>
          <w:rFonts w:hint="eastAsia" w:ascii="宋体" w:hAnsi="宋体" w:cs="宋体"/>
          <w:sz w:val="24"/>
          <w:highlight w:val="none"/>
        </w:rPr>
        <w:tab/>
      </w:r>
      <w:r>
        <w:rPr>
          <w:rFonts w:hint="eastAsia" w:ascii="宋体" w:hAnsi="宋体" w:cs="宋体"/>
          <w:sz w:val="24"/>
          <w:highlight w:val="none"/>
        </w:rPr>
        <w:t>日</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 xml:space="preserve">             年 </w:t>
      </w:r>
      <w:r>
        <w:rPr>
          <w:rFonts w:hint="eastAsia" w:ascii="宋体" w:hAnsi="宋体" w:cs="宋体"/>
          <w:sz w:val="24"/>
          <w:highlight w:val="none"/>
        </w:rPr>
        <w:tab/>
      </w:r>
      <w:r>
        <w:rPr>
          <w:rFonts w:hint="eastAsia" w:ascii="宋体" w:hAnsi="宋体" w:cs="宋体"/>
          <w:sz w:val="24"/>
          <w:highlight w:val="none"/>
        </w:rPr>
        <w:t xml:space="preserve">  月 </w:t>
      </w:r>
      <w:r>
        <w:rPr>
          <w:rFonts w:hint="eastAsia" w:ascii="宋体" w:hAnsi="宋体" w:cs="宋体"/>
          <w:sz w:val="24"/>
          <w:highlight w:val="none"/>
        </w:rPr>
        <w:tab/>
      </w:r>
      <w:r>
        <w:rPr>
          <w:rFonts w:hint="eastAsia" w:ascii="宋体" w:hAnsi="宋体" w:cs="宋体"/>
          <w:sz w:val="24"/>
          <w:highlight w:val="none"/>
        </w:rPr>
        <w:t xml:space="preserve">  日</w:t>
      </w:r>
    </w:p>
    <w:p w14:paraId="65DE8CDF">
      <w:pPr>
        <w:spacing w:line="360" w:lineRule="auto"/>
        <w:ind w:firstLine="5250"/>
        <w:rPr>
          <w:rFonts w:hint="eastAsia" w:ascii="宋体" w:hAnsi="宋体" w:cs="宋体"/>
          <w:highlight w:val="none"/>
        </w:rPr>
      </w:pPr>
    </w:p>
    <w:p w14:paraId="25CF2A4B">
      <w:pPr>
        <w:rPr>
          <w:rFonts w:hint="eastAsia" w:ascii="宋体" w:hAnsi="宋体" w:cs="宋体"/>
          <w:sz w:val="36"/>
          <w:szCs w:val="36"/>
          <w:highlight w:val="none"/>
        </w:rPr>
        <w:sectPr>
          <w:footerReference r:id="rId9" w:type="default"/>
          <w:pgSz w:w="11905" w:h="16838"/>
          <w:pgMar w:top="1429" w:right="1429" w:bottom="1429" w:left="1429" w:header="850" w:footer="992" w:gutter="0"/>
          <w:cols w:space="0" w:num="1"/>
          <w:docGrid w:linePitch="360" w:charSpace="0"/>
        </w:sectPr>
      </w:pPr>
    </w:p>
    <w:p w14:paraId="17964C93">
      <w:pPr>
        <w:spacing w:line="360" w:lineRule="auto"/>
        <w:rPr>
          <w:rFonts w:hint="eastAsia" w:ascii="宋体" w:hAnsi="宋体" w:cs="宋体"/>
          <w:b/>
          <w:sz w:val="24"/>
          <w:szCs w:val="20"/>
          <w:highlight w:val="none"/>
        </w:rPr>
      </w:pPr>
      <w:r>
        <w:rPr>
          <w:rFonts w:hint="eastAsia" w:ascii="宋体" w:hAnsi="宋体" w:cs="宋体"/>
          <w:b/>
          <w:sz w:val="24"/>
          <w:szCs w:val="20"/>
          <w:highlight w:val="none"/>
        </w:rPr>
        <w:t>附件1</w:t>
      </w:r>
    </w:p>
    <w:p w14:paraId="7C046842">
      <w:pPr>
        <w:spacing w:line="300" w:lineRule="auto"/>
        <w:jc w:val="center"/>
        <w:rPr>
          <w:rFonts w:hint="eastAsia" w:ascii="宋体" w:hAnsi="宋体"/>
          <w:bCs/>
          <w:color w:val="000000" w:themeColor="text1"/>
          <w:sz w:val="32"/>
          <w:szCs w:val="32"/>
          <w:highlight w:val="none"/>
          <w14:textFill>
            <w14:solidFill>
              <w14:schemeClr w14:val="tx1"/>
            </w14:solidFill>
          </w14:textFill>
        </w:rPr>
      </w:pPr>
      <w:r>
        <w:rPr>
          <w:rFonts w:hint="eastAsia" w:ascii="宋体" w:hAnsi="宋体"/>
          <w:bCs/>
          <w:color w:val="000000" w:themeColor="text1"/>
          <w:sz w:val="32"/>
          <w:szCs w:val="32"/>
          <w:highlight w:val="none"/>
          <w14:textFill>
            <w14:solidFill>
              <w14:schemeClr w14:val="tx1"/>
            </w14:solidFill>
          </w14:textFill>
        </w:rPr>
        <w:t>投入本项目主要人员情况汇总表</w:t>
      </w:r>
    </w:p>
    <w:tbl>
      <w:tblPr>
        <w:tblStyle w:val="1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024"/>
        <w:gridCol w:w="900"/>
        <w:gridCol w:w="540"/>
        <w:gridCol w:w="900"/>
        <w:gridCol w:w="720"/>
        <w:gridCol w:w="900"/>
        <w:gridCol w:w="1260"/>
        <w:gridCol w:w="1800"/>
        <w:gridCol w:w="720"/>
        <w:gridCol w:w="720"/>
      </w:tblGrid>
      <w:tr w14:paraId="479C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16" w:type="dxa"/>
            <w:vMerge w:val="restart"/>
            <w:noWrap/>
            <w:vAlign w:val="center"/>
          </w:tcPr>
          <w:p w14:paraId="5020A968">
            <w:pPr>
              <w:widowControl/>
              <w:jc w:val="center"/>
              <w:textAlignment w:val="bottom"/>
              <w:rPr>
                <w:rFonts w:ascii="Arial" w:hAnsi="Arial" w:cs="Arial"/>
                <w:color w:val="000000" w:themeColor="text1"/>
                <w:sz w:val="20"/>
                <w:highlight w:val="none"/>
                <w14:textFill>
                  <w14:solidFill>
                    <w14:schemeClr w14:val="tx1"/>
                  </w14:solidFill>
                </w14:textFill>
              </w:rPr>
            </w:pPr>
            <w:r>
              <w:rPr>
                <w:rFonts w:ascii="Arial" w:hAnsi="Arial" w:cs="Arial"/>
                <w:color w:val="000000" w:themeColor="text1"/>
                <w:kern w:val="0"/>
                <w:sz w:val="20"/>
                <w:highlight w:val="none"/>
                <w14:textFill>
                  <w14:solidFill>
                    <w14:schemeClr w14:val="tx1"/>
                  </w14:solidFill>
                </w14:textFill>
              </w:rPr>
              <w:t>序号</w:t>
            </w:r>
          </w:p>
        </w:tc>
        <w:tc>
          <w:tcPr>
            <w:tcW w:w="1024" w:type="dxa"/>
            <w:vMerge w:val="restart"/>
            <w:noWrap/>
            <w:vAlign w:val="center"/>
          </w:tcPr>
          <w:p w14:paraId="100FD752">
            <w:pPr>
              <w:widowControl/>
              <w:jc w:val="center"/>
              <w:textAlignment w:val="bottom"/>
              <w:rPr>
                <w:rFonts w:ascii="Arial" w:hAnsi="Arial" w:cs="Arial"/>
                <w:color w:val="000000" w:themeColor="text1"/>
                <w:sz w:val="20"/>
                <w:highlight w:val="none"/>
                <w14:textFill>
                  <w14:solidFill>
                    <w14:schemeClr w14:val="tx1"/>
                  </w14:solidFill>
                </w14:textFill>
              </w:rPr>
            </w:pPr>
            <w:r>
              <w:rPr>
                <w:rFonts w:ascii="Arial" w:hAnsi="Arial" w:cs="Arial"/>
                <w:color w:val="000000" w:themeColor="text1"/>
                <w:kern w:val="0"/>
                <w:sz w:val="20"/>
                <w:highlight w:val="none"/>
                <w14:textFill>
                  <w14:solidFill>
                    <w14:schemeClr w14:val="tx1"/>
                  </w14:solidFill>
                </w14:textFill>
              </w:rPr>
              <w:t>在本</w:t>
            </w:r>
            <w:r>
              <w:rPr>
                <w:rFonts w:hint="eastAsia" w:ascii="Arial" w:hAnsi="Arial" w:cs="Arial"/>
                <w:color w:val="000000" w:themeColor="text1"/>
                <w:kern w:val="0"/>
                <w:sz w:val="20"/>
                <w:highlight w:val="none"/>
                <w14:textFill>
                  <w14:solidFill>
                    <w14:schemeClr w14:val="tx1"/>
                  </w14:solidFill>
                </w14:textFill>
              </w:rPr>
              <w:t>项目</w:t>
            </w:r>
            <w:r>
              <w:rPr>
                <w:rFonts w:ascii="Arial" w:hAnsi="Arial" w:cs="Arial"/>
                <w:color w:val="000000" w:themeColor="text1"/>
                <w:kern w:val="0"/>
                <w:sz w:val="20"/>
                <w:highlight w:val="none"/>
                <w14:textFill>
                  <w14:solidFill>
                    <w14:schemeClr w14:val="tx1"/>
                  </w14:solidFill>
                </w14:textFill>
              </w:rPr>
              <w:t>任职</w:t>
            </w:r>
          </w:p>
        </w:tc>
        <w:tc>
          <w:tcPr>
            <w:tcW w:w="900" w:type="dxa"/>
            <w:vMerge w:val="restart"/>
            <w:noWrap/>
            <w:vAlign w:val="center"/>
          </w:tcPr>
          <w:p w14:paraId="4AC424C7">
            <w:pPr>
              <w:widowControl/>
              <w:jc w:val="center"/>
              <w:textAlignment w:val="bottom"/>
              <w:rPr>
                <w:rFonts w:ascii="Arial" w:hAnsi="Arial" w:cs="Arial"/>
                <w:color w:val="000000" w:themeColor="text1"/>
                <w:sz w:val="20"/>
                <w:highlight w:val="none"/>
                <w14:textFill>
                  <w14:solidFill>
                    <w14:schemeClr w14:val="tx1"/>
                  </w14:solidFill>
                </w14:textFill>
              </w:rPr>
            </w:pPr>
            <w:r>
              <w:rPr>
                <w:rFonts w:ascii="Arial" w:hAnsi="Arial" w:cs="Arial"/>
                <w:color w:val="000000" w:themeColor="text1"/>
                <w:kern w:val="0"/>
                <w:sz w:val="20"/>
                <w:highlight w:val="none"/>
                <w14:textFill>
                  <w14:solidFill>
                    <w14:schemeClr w14:val="tx1"/>
                  </w14:solidFill>
                </w14:textFill>
              </w:rPr>
              <w:t>姓名</w:t>
            </w:r>
          </w:p>
        </w:tc>
        <w:tc>
          <w:tcPr>
            <w:tcW w:w="540" w:type="dxa"/>
            <w:vMerge w:val="restart"/>
            <w:noWrap/>
            <w:vAlign w:val="center"/>
          </w:tcPr>
          <w:p w14:paraId="61C3C4C7">
            <w:pPr>
              <w:widowControl/>
              <w:jc w:val="center"/>
              <w:textAlignment w:val="bottom"/>
              <w:rPr>
                <w:rFonts w:ascii="Arial" w:hAnsi="Arial" w:cs="Arial"/>
                <w:color w:val="000000" w:themeColor="text1"/>
                <w:sz w:val="20"/>
                <w:highlight w:val="none"/>
                <w14:textFill>
                  <w14:solidFill>
                    <w14:schemeClr w14:val="tx1"/>
                  </w14:solidFill>
                </w14:textFill>
              </w:rPr>
            </w:pPr>
            <w:r>
              <w:rPr>
                <w:rFonts w:ascii="Arial" w:hAnsi="Arial" w:cs="Arial"/>
                <w:color w:val="000000" w:themeColor="text1"/>
                <w:kern w:val="0"/>
                <w:sz w:val="20"/>
                <w:highlight w:val="none"/>
                <w14:textFill>
                  <w14:solidFill>
                    <w14:schemeClr w14:val="tx1"/>
                  </w14:solidFill>
                </w14:textFill>
              </w:rPr>
              <w:t>学历</w:t>
            </w:r>
          </w:p>
        </w:tc>
        <w:tc>
          <w:tcPr>
            <w:tcW w:w="900" w:type="dxa"/>
            <w:vMerge w:val="restart"/>
            <w:noWrap/>
            <w:vAlign w:val="center"/>
          </w:tcPr>
          <w:p w14:paraId="2E60E202">
            <w:pPr>
              <w:widowControl/>
              <w:jc w:val="center"/>
              <w:textAlignment w:val="bottom"/>
              <w:rPr>
                <w:rFonts w:ascii="Arial" w:hAnsi="Arial" w:cs="Arial"/>
                <w:color w:val="000000" w:themeColor="text1"/>
                <w:kern w:val="0"/>
                <w:sz w:val="20"/>
                <w:highlight w:val="none"/>
                <w14:textFill>
                  <w14:solidFill>
                    <w14:schemeClr w14:val="tx1"/>
                  </w14:solidFill>
                </w14:textFill>
              </w:rPr>
            </w:pPr>
            <w:r>
              <w:rPr>
                <w:rFonts w:ascii="Arial" w:hAnsi="Arial" w:cs="Arial"/>
                <w:color w:val="000000" w:themeColor="text1"/>
                <w:kern w:val="0"/>
                <w:sz w:val="20"/>
                <w:highlight w:val="none"/>
                <w14:textFill>
                  <w14:solidFill>
                    <w14:schemeClr w14:val="tx1"/>
                  </w14:solidFill>
                </w14:textFill>
              </w:rPr>
              <w:t>技术</w:t>
            </w:r>
          </w:p>
          <w:p w14:paraId="55CB26CA">
            <w:pPr>
              <w:widowControl/>
              <w:jc w:val="center"/>
              <w:textAlignment w:val="bottom"/>
              <w:rPr>
                <w:rFonts w:ascii="Arial" w:hAnsi="Arial" w:cs="Arial"/>
                <w:color w:val="000000" w:themeColor="text1"/>
                <w:sz w:val="20"/>
                <w:highlight w:val="none"/>
                <w14:textFill>
                  <w14:solidFill>
                    <w14:schemeClr w14:val="tx1"/>
                  </w14:solidFill>
                </w14:textFill>
              </w:rPr>
            </w:pPr>
            <w:r>
              <w:rPr>
                <w:rFonts w:ascii="Arial" w:hAnsi="Arial" w:cs="Arial"/>
                <w:color w:val="000000" w:themeColor="text1"/>
                <w:kern w:val="0"/>
                <w:sz w:val="20"/>
                <w:highlight w:val="none"/>
                <w14:textFill>
                  <w14:solidFill>
                    <w14:schemeClr w14:val="tx1"/>
                  </w14:solidFill>
                </w14:textFill>
              </w:rPr>
              <w:t>职称</w:t>
            </w:r>
          </w:p>
        </w:tc>
        <w:tc>
          <w:tcPr>
            <w:tcW w:w="720" w:type="dxa"/>
            <w:vMerge w:val="restart"/>
            <w:noWrap/>
            <w:vAlign w:val="center"/>
          </w:tcPr>
          <w:p w14:paraId="6D9BF8D5">
            <w:pPr>
              <w:widowControl/>
              <w:jc w:val="center"/>
              <w:textAlignment w:val="bottom"/>
              <w:rPr>
                <w:rFonts w:ascii="Arial" w:hAnsi="Arial" w:cs="Arial"/>
                <w:color w:val="000000" w:themeColor="text1"/>
                <w:sz w:val="20"/>
                <w:highlight w:val="none"/>
                <w14:textFill>
                  <w14:solidFill>
                    <w14:schemeClr w14:val="tx1"/>
                  </w14:solidFill>
                </w14:textFill>
              </w:rPr>
            </w:pPr>
            <w:r>
              <w:rPr>
                <w:rFonts w:ascii="Arial" w:hAnsi="Arial" w:cs="Arial"/>
                <w:color w:val="000000" w:themeColor="text1"/>
                <w:kern w:val="0"/>
                <w:sz w:val="20"/>
                <w:highlight w:val="none"/>
                <w14:textFill>
                  <w14:solidFill>
                    <w14:schemeClr w14:val="tx1"/>
                  </w14:solidFill>
                </w14:textFill>
              </w:rPr>
              <w:t>专业</w:t>
            </w:r>
          </w:p>
        </w:tc>
        <w:tc>
          <w:tcPr>
            <w:tcW w:w="2160" w:type="dxa"/>
            <w:gridSpan w:val="2"/>
            <w:noWrap/>
            <w:vAlign w:val="center"/>
          </w:tcPr>
          <w:p w14:paraId="13A60156">
            <w:pPr>
              <w:widowControl/>
              <w:jc w:val="center"/>
              <w:textAlignment w:val="bottom"/>
              <w:rPr>
                <w:rFonts w:ascii="Arial" w:hAnsi="Arial" w:cs="Arial"/>
                <w:color w:val="000000" w:themeColor="text1"/>
                <w:kern w:val="0"/>
                <w:sz w:val="20"/>
                <w:highlight w:val="none"/>
                <w14:textFill>
                  <w14:solidFill>
                    <w14:schemeClr w14:val="tx1"/>
                  </w14:solidFill>
                </w14:textFill>
              </w:rPr>
            </w:pPr>
            <w:r>
              <w:rPr>
                <w:rFonts w:hint="eastAsia" w:ascii="Arial" w:hAnsi="Arial" w:cs="Arial"/>
                <w:color w:val="000000" w:themeColor="text1"/>
                <w:kern w:val="0"/>
                <w:sz w:val="20"/>
                <w:highlight w:val="none"/>
                <w14:textFill>
                  <w14:solidFill>
                    <w14:schemeClr w14:val="tx1"/>
                  </w14:solidFill>
                </w14:textFill>
              </w:rPr>
              <w:t>执业或职业资格证明</w:t>
            </w:r>
          </w:p>
        </w:tc>
        <w:tc>
          <w:tcPr>
            <w:tcW w:w="1800" w:type="dxa"/>
            <w:vMerge w:val="restart"/>
            <w:noWrap/>
            <w:vAlign w:val="center"/>
          </w:tcPr>
          <w:p w14:paraId="628E00C1">
            <w:pPr>
              <w:widowControl/>
              <w:jc w:val="center"/>
              <w:textAlignment w:val="bottom"/>
              <w:rPr>
                <w:rFonts w:ascii="Arial" w:hAnsi="Arial" w:cs="Arial"/>
                <w:color w:val="000000" w:themeColor="text1"/>
                <w:sz w:val="20"/>
                <w:highlight w:val="none"/>
                <w14:textFill>
                  <w14:solidFill>
                    <w14:schemeClr w14:val="tx1"/>
                  </w14:solidFill>
                </w14:textFill>
              </w:rPr>
            </w:pPr>
            <w:r>
              <w:rPr>
                <w:rFonts w:hint="eastAsia" w:ascii="Arial" w:hAnsi="Arial" w:cs="Arial"/>
                <w:color w:val="000000" w:themeColor="text1"/>
                <w:kern w:val="0"/>
                <w:sz w:val="20"/>
                <w:highlight w:val="none"/>
                <w14:textFill>
                  <w14:solidFill>
                    <w14:schemeClr w14:val="tx1"/>
                  </w14:solidFill>
                </w14:textFill>
              </w:rPr>
              <w:t>身份证号</w:t>
            </w:r>
          </w:p>
        </w:tc>
        <w:tc>
          <w:tcPr>
            <w:tcW w:w="720" w:type="dxa"/>
            <w:vMerge w:val="restart"/>
            <w:noWrap/>
            <w:vAlign w:val="center"/>
          </w:tcPr>
          <w:p w14:paraId="7CBFD502">
            <w:pPr>
              <w:widowControl/>
              <w:jc w:val="center"/>
              <w:textAlignment w:val="bottom"/>
              <w:rPr>
                <w:rFonts w:ascii="Arial" w:hAnsi="Arial" w:cs="Arial"/>
                <w:color w:val="000000" w:themeColor="text1"/>
                <w:sz w:val="20"/>
                <w:highlight w:val="none"/>
                <w14:textFill>
                  <w14:solidFill>
                    <w14:schemeClr w14:val="tx1"/>
                  </w14:solidFill>
                </w14:textFill>
              </w:rPr>
            </w:pPr>
            <w:r>
              <w:rPr>
                <w:rFonts w:hint="eastAsia" w:ascii="Arial" w:hAnsi="Arial" w:cs="Arial"/>
                <w:color w:val="000000" w:themeColor="text1"/>
                <w:sz w:val="20"/>
                <w:highlight w:val="none"/>
                <w14:textFill>
                  <w14:solidFill>
                    <w14:schemeClr w14:val="tx1"/>
                  </w14:solidFill>
                </w14:textFill>
              </w:rPr>
              <w:t>社保</w:t>
            </w:r>
          </w:p>
          <w:p w14:paraId="665BB951">
            <w:pPr>
              <w:widowControl/>
              <w:jc w:val="center"/>
              <w:textAlignment w:val="bottom"/>
              <w:rPr>
                <w:rFonts w:ascii="Arial" w:hAnsi="Arial" w:cs="Arial"/>
                <w:color w:val="000000" w:themeColor="text1"/>
                <w:sz w:val="20"/>
                <w:highlight w:val="none"/>
                <w14:textFill>
                  <w14:solidFill>
                    <w14:schemeClr w14:val="tx1"/>
                  </w14:solidFill>
                </w14:textFill>
              </w:rPr>
            </w:pPr>
            <w:r>
              <w:rPr>
                <w:rFonts w:hint="eastAsia" w:ascii="Arial" w:hAnsi="Arial" w:cs="Arial"/>
                <w:color w:val="000000" w:themeColor="text1"/>
                <w:sz w:val="20"/>
                <w:highlight w:val="none"/>
                <w14:textFill>
                  <w14:solidFill>
                    <w14:schemeClr w14:val="tx1"/>
                  </w14:solidFill>
                </w14:textFill>
              </w:rPr>
              <w:t>缴费单位</w:t>
            </w:r>
          </w:p>
        </w:tc>
        <w:tc>
          <w:tcPr>
            <w:tcW w:w="720" w:type="dxa"/>
            <w:vMerge w:val="restart"/>
            <w:noWrap/>
            <w:vAlign w:val="center"/>
          </w:tcPr>
          <w:p w14:paraId="67E1418C">
            <w:pPr>
              <w:widowControl/>
              <w:jc w:val="center"/>
              <w:textAlignment w:val="bottom"/>
              <w:rPr>
                <w:rFonts w:ascii="Arial" w:hAnsi="Arial" w:cs="Arial"/>
                <w:color w:val="000000" w:themeColor="text1"/>
                <w:sz w:val="20"/>
                <w:highlight w:val="none"/>
                <w14:textFill>
                  <w14:solidFill>
                    <w14:schemeClr w14:val="tx1"/>
                  </w14:solidFill>
                </w14:textFill>
              </w:rPr>
            </w:pPr>
            <w:r>
              <w:rPr>
                <w:rFonts w:hint="eastAsia" w:ascii="Arial" w:hAnsi="Arial" w:cs="Arial"/>
                <w:color w:val="000000" w:themeColor="text1"/>
                <w:sz w:val="20"/>
                <w:highlight w:val="none"/>
                <w14:textFill>
                  <w14:solidFill>
                    <w14:schemeClr w14:val="tx1"/>
                  </w14:solidFill>
                </w14:textFill>
              </w:rPr>
              <w:t>备注</w:t>
            </w:r>
          </w:p>
        </w:tc>
      </w:tr>
      <w:tr w14:paraId="3AAB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16" w:type="dxa"/>
            <w:vMerge w:val="continue"/>
            <w:noWrap/>
            <w:vAlign w:val="center"/>
          </w:tcPr>
          <w:p w14:paraId="5C9999F5">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vMerge w:val="continue"/>
            <w:noWrap/>
            <w:vAlign w:val="center"/>
          </w:tcPr>
          <w:p w14:paraId="0BB4404C">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vMerge w:val="continue"/>
            <w:noWrap/>
            <w:vAlign w:val="center"/>
          </w:tcPr>
          <w:p w14:paraId="1D13537E">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vMerge w:val="continue"/>
            <w:noWrap/>
            <w:vAlign w:val="center"/>
          </w:tcPr>
          <w:p w14:paraId="0976BEE0">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vMerge w:val="continue"/>
            <w:noWrap/>
            <w:vAlign w:val="center"/>
          </w:tcPr>
          <w:p w14:paraId="2B855066">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vMerge w:val="continue"/>
            <w:noWrap/>
            <w:vAlign w:val="center"/>
          </w:tcPr>
          <w:p w14:paraId="346A154C">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64BFDFF2">
            <w:pPr>
              <w:jc w:val="center"/>
              <w:rPr>
                <w:rFonts w:ascii="Arial" w:hAnsi="Arial" w:cs="Arial"/>
                <w:color w:val="000000" w:themeColor="text1"/>
                <w:kern w:val="0"/>
                <w:sz w:val="20"/>
                <w:highlight w:val="none"/>
                <w14:textFill>
                  <w14:solidFill>
                    <w14:schemeClr w14:val="tx1"/>
                  </w14:solidFill>
                </w14:textFill>
              </w:rPr>
            </w:pPr>
            <w:r>
              <w:rPr>
                <w:rFonts w:hint="eastAsia" w:ascii="Arial" w:hAnsi="Arial" w:cs="Arial"/>
                <w:color w:val="000000" w:themeColor="text1"/>
                <w:kern w:val="0"/>
                <w:sz w:val="20"/>
                <w:highlight w:val="none"/>
                <w14:textFill>
                  <w14:solidFill>
                    <w14:schemeClr w14:val="tx1"/>
                  </w14:solidFill>
                </w14:textFill>
              </w:rPr>
              <w:t>证书</w:t>
            </w:r>
          </w:p>
          <w:p w14:paraId="2FFF30DD">
            <w:pPr>
              <w:jc w:val="center"/>
              <w:rPr>
                <w:rFonts w:ascii="Arial" w:hAnsi="Arial" w:cs="Arial"/>
                <w:color w:val="000000" w:themeColor="text1"/>
                <w:kern w:val="0"/>
                <w:sz w:val="20"/>
                <w:highlight w:val="none"/>
                <w14:textFill>
                  <w14:solidFill>
                    <w14:schemeClr w14:val="tx1"/>
                  </w14:solidFill>
                </w14:textFill>
              </w:rPr>
            </w:pPr>
            <w:r>
              <w:rPr>
                <w:rFonts w:hint="eastAsia" w:ascii="Arial" w:hAnsi="Arial" w:cs="Arial"/>
                <w:color w:val="000000" w:themeColor="text1"/>
                <w:kern w:val="0"/>
                <w:sz w:val="20"/>
                <w:highlight w:val="none"/>
                <w14:textFill>
                  <w14:solidFill>
                    <w14:schemeClr w14:val="tx1"/>
                  </w14:solidFill>
                </w14:textFill>
              </w:rPr>
              <w:t>名称</w:t>
            </w:r>
          </w:p>
        </w:tc>
        <w:tc>
          <w:tcPr>
            <w:tcW w:w="1260" w:type="dxa"/>
            <w:noWrap/>
            <w:vAlign w:val="center"/>
          </w:tcPr>
          <w:p w14:paraId="6C0261FA">
            <w:pPr>
              <w:spacing w:line="300" w:lineRule="auto"/>
              <w:jc w:val="center"/>
              <w:rPr>
                <w:rFonts w:ascii="Arial" w:hAnsi="Arial" w:cs="Arial"/>
                <w:color w:val="000000" w:themeColor="text1"/>
                <w:kern w:val="0"/>
                <w:sz w:val="20"/>
                <w:highlight w:val="none"/>
                <w14:textFill>
                  <w14:solidFill>
                    <w14:schemeClr w14:val="tx1"/>
                  </w14:solidFill>
                </w14:textFill>
              </w:rPr>
            </w:pPr>
            <w:r>
              <w:rPr>
                <w:rFonts w:hint="eastAsia" w:ascii="Arial" w:hAnsi="Arial" w:cs="Arial"/>
                <w:color w:val="000000" w:themeColor="text1"/>
                <w:kern w:val="0"/>
                <w:sz w:val="20"/>
                <w:highlight w:val="none"/>
                <w14:textFill>
                  <w14:solidFill>
                    <w14:schemeClr w14:val="tx1"/>
                  </w14:solidFill>
                </w14:textFill>
              </w:rPr>
              <w:t>证 号</w:t>
            </w:r>
          </w:p>
        </w:tc>
        <w:tc>
          <w:tcPr>
            <w:tcW w:w="1800" w:type="dxa"/>
            <w:vMerge w:val="continue"/>
            <w:noWrap/>
            <w:vAlign w:val="center"/>
          </w:tcPr>
          <w:p w14:paraId="3275AFE7">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vMerge w:val="continue"/>
            <w:noWrap/>
            <w:vAlign w:val="center"/>
          </w:tcPr>
          <w:p w14:paraId="67EA02F6">
            <w:pPr>
              <w:widowControl/>
              <w:jc w:val="center"/>
              <w:textAlignment w:val="bottom"/>
              <w:rPr>
                <w:rFonts w:ascii="黑体" w:eastAsia="黑体"/>
                <w:b/>
                <w:color w:val="000000" w:themeColor="text1"/>
                <w:sz w:val="24"/>
                <w:highlight w:val="none"/>
                <w14:textFill>
                  <w14:solidFill>
                    <w14:schemeClr w14:val="tx1"/>
                  </w14:solidFill>
                </w14:textFill>
              </w:rPr>
            </w:pPr>
          </w:p>
        </w:tc>
        <w:tc>
          <w:tcPr>
            <w:tcW w:w="720" w:type="dxa"/>
            <w:vMerge w:val="continue"/>
            <w:noWrap/>
            <w:vAlign w:val="center"/>
          </w:tcPr>
          <w:p w14:paraId="1780939A">
            <w:pPr>
              <w:spacing w:line="300" w:lineRule="auto"/>
              <w:jc w:val="center"/>
              <w:rPr>
                <w:rFonts w:ascii="黑体" w:eastAsia="黑体"/>
                <w:b/>
                <w:color w:val="000000" w:themeColor="text1"/>
                <w:sz w:val="24"/>
                <w:highlight w:val="none"/>
                <w14:textFill>
                  <w14:solidFill>
                    <w14:schemeClr w14:val="tx1"/>
                  </w14:solidFill>
                </w14:textFill>
              </w:rPr>
            </w:pPr>
          </w:p>
        </w:tc>
      </w:tr>
      <w:tr w14:paraId="3266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550C6C4D">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58A3A6B4">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193F3457">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28C7A521">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0E16AD52">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1703DD76">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0A53B3F7">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482BB1C5">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4F4F9E65">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3C7C5BA3">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09D458FB">
            <w:pPr>
              <w:spacing w:line="300" w:lineRule="auto"/>
              <w:jc w:val="center"/>
              <w:rPr>
                <w:rFonts w:ascii="黑体" w:eastAsia="黑体"/>
                <w:b/>
                <w:color w:val="000000" w:themeColor="text1"/>
                <w:sz w:val="24"/>
                <w:highlight w:val="none"/>
                <w14:textFill>
                  <w14:solidFill>
                    <w14:schemeClr w14:val="tx1"/>
                  </w14:solidFill>
                </w14:textFill>
              </w:rPr>
            </w:pPr>
          </w:p>
        </w:tc>
      </w:tr>
      <w:tr w14:paraId="73F8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1840959B">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00B811C9">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308F0185">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793A1951">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44EA2123">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650622BD">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376FA37F">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50E01C1F">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40A3BB10">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644C1A92">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56A43100">
            <w:pPr>
              <w:spacing w:line="300" w:lineRule="auto"/>
              <w:jc w:val="center"/>
              <w:rPr>
                <w:rFonts w:ascii="黑体" w:eastAsia="黑体"/>
                <w:b/>
                <w:color w:val="000000" w:themeColor="text1"/>
                <w:sz w:val="24"/>
                <w:highlight w:val="none"/>
                <w14:textFill>
                  <w14:solidFill>
                    <w14:schemeClr w14:val="tx1"/>
                  </w14:solidFill>
                </w14:textFill>
              </w:rPr>
            </w:pPr>
          </w:p>
        </w:tc>
      </w:tr>
      <w:tr w14:paraId="7088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23DDA686">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094A1F27">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7B99BEAE">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54351D29">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14AC82CB">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39225181">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749D9EB2">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5DDE14E3">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2BD43CFB">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08342DF9">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54D45331">
            <w:pPr>
              <w:spacing w:line="300" w:lineRule="auto"/>
              <w:jc w:val="center"/>
              <w:rPr>
                <w:rFonts w:ascii="黑体" w:eastAsia="黑体"/>
                <w:b/>
                <w:color w:val="000000" w:themeColor="text1"/>
                <w:sz w:val="24"/>
                <w:highlight w:val="none"/>
                <w14:textFill>
                  <w14:solidFill>
                    <w14:schemeClr w14:val="tx1"/>
                  </w14:solidFill>
                </w14:textFill>
              </w:rPr>
            </w:pPr>
          </w:p>
        </w:tc>
      </w:tr>
      <w:tr w14:paraId="4A80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3ABD31BE">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072A09FD">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72CDD8B8">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5DFFF251">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3F0007C9">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7F37753E">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0D99D9D1">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6245D801">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2C7C773B">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3DF6D63F">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4185F120">
            <w:pPr>
              <w:spacing w:line="300" w:lineRule="auto"/>
              <w:jc w:val="center"/>
              <w:rPr>
                <w:rFonts w:ascii="黑体" w:eastAsia="黑体"/>
                <w:b/>
                <w:color w:val="000000" w:themeColor="text1"/>
                <w:sz w:val="24"/>
                <w:highlight w:val="none"/>
                <w14:textFill>
                  <w14:solidFill>
                    <w14:schemeClr w14:val="tx1"/>
                  </w14:solidFill>
                </w14:textFill>
              </w:rPr>
            </w:pPr>
          </w:p>
        </w:tc>
      </w:tr>
      <w:tr w14:paraId="184C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30A46D5B">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2F04075D">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489B4351">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07724DAD">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471A91C1">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615683E2">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4F0E6F16">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77C86DBD">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5F26E830">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72A67571">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76F4617D">
            <w:pPr>
              <w:spacing w:line="300" w:lineRule="auto"/>
              <w:jc w:val="center"/>
              <w:rPr>
                <w:rFonts w:ascii="黑体" w:eastAsia="黑体"/>
                <w:b/>
                <w:color w:val="000000" w:themeColor="text1"/>
                <w:sz w:val="24"/>
                <w:highlight w:val="none"/>
                <w14:textFill>
                  <w14:solidFill>
                    <w14:schemeClr w14:val="tx1"/>
                  </w14:solidFill>
                </w14:textFill>
              </w:rPr>
            </w:pPr>
          </w:p>
        </w:tc>
      </w:tr>
      <w:tr w14:paraId="264F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5BF5F043">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050F3095">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32C7695F">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27221F8E">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63214D58">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0FA1231B">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33CC7922">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464FDB47">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009C090A">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7D137ABA">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6F583751">
            <w:pPr>
              <w:spacing w:line="300" w:lineRule="auto"/>
              <w:jc w:val="center"/>
              <w:rPr>
                <w:rFonts w:ascii="黑体" w:eastAsia="黑体"/>
                <w:b/>
                <w:color w:val="000000" w:themeColor="text1"/>
                <w:sz w:val="24"/>
                <w:highlight w:val="none"/>
                <w14:textFill>
                  <w14:solidFill>
                    <w14:schemeClr w14:val="tx1"/>
                  </w14:solidFill>
                </w14:textFill>
              </w:rPr>
            </w:pPr>
          </w:p>
        </w:tc>
      </w:tr>
      <w:tr w14:paraId="331A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41A4F746">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70AF1065">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0714D5FA">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45617EDC">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484C89C0">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3B4D5DB2">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2210526D">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6736F47D">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424E57E5">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528EC907">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4AC2ED68">
            <w:pPr>
              <w:spacing w:line="300" w:lineRule="auto"/>
              <w:jc w:val="center"/>
              <w:rPr>
                <w:rFonts w:ascii="黑体" w:eastAsia="黑体"/>
                <w:b/>
                <w:color w:val="000000" w:themeColor="text1"/>
                <w:sz w:val="24"/>
                <w:highlight w:val="none"/>
                <w14:textFill>
                  <w14:solidFill>
                    <w14:schemeClr w14:val="tx1"/>
                  </w14:solidFill>
                </w14:textFill>
              </w:rPr>
            </w:pPr>
          </w:p>
        </w:tc>
      </w:tr>
      <w:tr w14:paraId="0CD0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1A31E1DF">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06B2D9FE">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16619EAC">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3A10E535">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3535E8FD">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7037F75E">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2E19B99A">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2BF20484">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7EA3FEEF">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747825DC">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40515FAF">
            <w:pPr>
              <w:spacing w:line="300" w:lineRule="auto"/>
              <w:jc w:val="center"/>
              <w:rPr>
                <w:rFonts w:ascii="黑体" w:eastAsia="黑体"/>
                <w:b/>
                <w:color w:val="000000" w:themeColor="text1"/>
                <w:sz w:val="24"/>
                <w:highlight w:val="none"/>
                <w14:textFill>
                  <w14:solidFill>
                    <w14:schemeClr w14:val="tx1"/>
                  </w14:solidFill>
                </w14:textFill>
              </w:rPr>
            </w:pPr>
          </w:p>
        </w:tc>
      </w:tr>
    </w:tbl>
    <w:p w14:paraId="389778A6">
      <w:pPr>
        <w:rPr>
          <w:rFonts w:hint="eastAsia" w:ascii="宋体" w:hAnsi="宋体" w:cs="宋体"/>
          <w:b/>
          <w:sz w:val="24"/>
          <w:szCs w:val="20"/>
          <w:highlight w:val="none"/>
        </w:rPr>
      </w:pPr>
      <w:r>
        <w:rPr>
          <w:rFonts w:hint="eastAsia" w:ascii="宋体" w:hAnsi="宋体" w:cs="宋体"/>
          <w:b/>
          <w:sz w:val="24"/>
          <w:szCs w:val="20"/>
          <w:highlight w:val="none"/>
        </w:rPr>
        <w:br w:type="page"/>
      </w:r>
    </w:p>
    <w:p w14:paraId="25FC3992">
      <w:pPr>
        <w:spacing w:line="360" w:lineRule="auto"/>
        <w:rPr>
          <w:rFonts w:hint="eastAsia" w:ascii="宋体" w:hAnsi="宋体" w:cs="宋体"/>
          <w:b/>
          <w:sz w:val="24"/>
          <w:szCs w:val="20"/>
          <w:highlight w:val="none"/>
        </w:rPr>
      </w:pPr>
      <w:r>
        <w:rPr>
          <w:rFonts w:hint="eastAsia" w:ascii="宋体" w:hAnsi="宋体" w:cs="宋体"/>
          <w:b/>
          <w:sz w:val="24"/>
          <w:szCs w:val="20"/>
          <w:highlight w:val="none"/>
        </w:rPr>
        <w:t>附件2</w:t>
      </w:r>
    </w:p>
    <w:p w14:paraId="58395188">
      <w:pPr>
        <w:tabs>
          <w:tab w:val="left" w:pos="7155"/>
        </w:tabs>
        <w:spacing w:line="360" w:lineRule="auto"/>
        <w:jc w:val="center"/>
        <w:rPr>
          <w:rFonts w:hint="eastAsia" w:ascii="宋体" w:hAnsi="宋体" w:cs="宋体"/>
          <w:b/>
          <w:sz w:val="24"/>
          <w:highlight w:val="none"/>
        </w:rPr>
      </w:pPr>
      <w:r>
        <w:rPr>
          <w:rFonts w:hint="eastAsia" w:ascii="宋体" w:hAnsi="宋体" w:cs="宋体"/>
          <w:b/>
          <w:sz w:val="24"/>
          <w:highlight w:val="none"/>
        </w:rPr>
        <w:t>供应商二次报价单</w:t>
      </w:r>
    </w:p>
    <w:p w14:paraId="29F9B0CA">
      <w:pPr>
        <w:jc w:val="left"/>
        <w:rPr>
          <w:rFonts w:hint="eastAsia" w:ascii="宋体" w:hAnsi="宋体" w:cs="宋体"/>
          <w:b/>
          <w:sz w:val="24"/>
        </w:rPr>
      </w:pPr>
      <w:r>
        <w:rPr>
          <w:rFonts w:hint="eastAsia" w:ascii="宋体" w:hAnsi="宋体" w:cs="宋体"/>
          <w:b/>
          <w:sz w:val="24"/>
        </w:rPr>
        <w:br w:type="page"/>
      </w:r>
    </w:p>
    <w:p w14:paraId="6AFFFBD0">
      <w:pPr>
        <w:spacing w:line="360" w:lineRule="auto"/>
        <w:rPr>
          <w:rFonts w:hint="eastAsia" w:ascii="宋体" w:hAnsi="宋体" w:cs="宋体"/>
          <w:b/>
          <w:sz w:val="24"/>
          <w:szCs w:val="20"/>
        </w:rPr>
      </w:pPr>
      <w:r>
        <w:rPr>
          <w:rFonts w:hint="eastAsia" w:ascii="宋体" w:hAnsi="宋体" w:cs="宋体"/>
          <w:b/>
          <w:sz w:val="24"/>
          <w:szCs w:val="20"/>
        </w:rPr>
        <w:t>附件3</w:t>
      </w:r>
    </w:p>
    <w:p w14:paraId="796C50DF">
      <w:pPr>
        <w:tabs>
          <w:tab w:val="left" w:pos="7155"/>
        </w:tabs>
        <w:spacing w:line="360" w:lineRule="auto"/>
        <w:jc w:val="center"/>
        <w:rPr>
          <w:rFonts w:hint="eastAsia" w:ascii="宋体" w:hAnsi="宋体" w:cs="宋体"/>
          <w:b/>
          <w:sz w:val="24"/>
        </w:rPr>
      </w:pPr>
      <w:r>
        <w:rPr>
          <w:rFonts w:hint="eastAsia" w:ascii="宋体" w:hAnsi="宋体" w:cs="宋体"/>
          <w:b/>
          <w:sz w:val="24"/>
        </w:rPr>
        <w:t>供应商分项报价明细表</w:t>
      </w:r>
    </w:p>
    <w:p w14:paraId="4B677405">
      <w:pPr>
        <w:spacing w:line="360" w:lineRule="auto"/>
        <w:rPr>
          <w:rFonts w:hint="eastAsia" w:ascii="宋体" w:hAnsi="宋体" w:cs="宋体"/>
          <w:b/>
          <w:sz w:val="24"/>
        </w:rPr>
      </w:pPr>
      <w:r>
        <w:rPr>
          <w:rFonts w:hint="eastAsia" w:ascii="宋体" w:hAnsi="宋体" w:cs="宋体"/>
          <w:sz w:val="24"/>
        </w:rPr>
        <w:br w:type="page"/>
      </w:r>
    </w:p>
    <w:p w14:paraId="71B8A2A9">
      <w:pPr>
        <w:spacing w:line="360" w:lineRule="auto"/>
        <w:jc w:val="center"/>
        <w:rPr>
          <w:ins w:id="1" w:author="钱舒佳" w:date="2026-03-12T17:05:34Z"/>
          <w:rFonts w:hint="eastAsia" w:ascii="宋体" w:hAnsi="宋体" w:cs="宋体"/>
          <w:b/>
          <w:sz w:val="32"/>
          <w:szCs w:val="32"/>
        </w:rPr>
      </w:pPr>
      <w:r>
        <w:rPr>
          <w:rFonts w:hint="eastAsia" w:ascii="宋体" w:hAnsi="宋体" w:cs="宋体"/>
          <w:b/>
          <w:sz w:val="32"/>
          <w:szCs w:val="32"/>
        </w:rPr>
        <w:t>204国道通州段周边路网衔接方案研究项目（政府采购工程）</w:t>
      </w:r>
    </w:p>
    <w:p w14:paraId="5ADACB24">
      <w:pPr>
        <w:spacing w:line="360" w:lineRule="auto"/>
        <w:jc w:val="center"/>
        <w:rPr>
          <w:rFonts w:hint="eastAsia" w:ascii="宋体" w:hAnsi="宋体" w:cs="宋体"/>
          <w:b/>
          <w:sz w:val="32"/>
          <w:szCs w:val="32"/>
        </w:rPr>
      </w:pPr>
      <w:r>
        <w:rPr>
          <w:rFonts w:hint="eastAsia" w:ascii="宋体" w:hAnsi="宋体" w:cs="宋体"/>
          <w:b/>
          <w:sz w:val="32"/>
          <w:szCs w:val="32"/>
        </w:rPr>
        <w:t>廉政合同</w:t>
      </w:r>
    </w:p>
    <w:p w14:paraId="16B0106D">
      <w:pPr>
        <w:spacing w:line="360" w:lineRule="auto"/>
        <w:ind w:firstLine="480"/>
        <w:rPr>
          <w:rFonts w:hint="eastAsia" w:ascii="宋体" w:hAnsi="宋体" w:cs="宋体"/>
          <w:sz w:val="24"/>
        </w:rPr>
      </w:pPr>
      <w:r>
        <w:rPr>
          <w:rFonts w:hint="eastAsia" w:ascii="宋体" w:hAnsi="宋体" w:cs="宋体"/>
          <w:sz w:val="24"/>
        </w:rPr>
        <w:t>根据交通运输部《关于在交通基础设施建设中加强廉政建设的若干意见》以及有关工程建设、廉政建设的规定，为做好工程建设中的党风廉政建设，保证工程建设高效优质，保证建设资金的安全和有效使用以及投资效益，甲方</w:t>
      </w:r>
      <w:r>
        <w:rPr>
          <w:rFonts w:hint="eastAsia" w:ascii="宋体" w:hAnsi="宋体" w:cs="宋体"/>
          <w:sz w:val="24"/>
          <w:u w:val="single"/>
        </w:rPr>
        <w:t xml:space="preserve">     （全称）      </w:t>
      </w:r>
      <w:r>
        <w:rPr>
          <w:rFonts w:hint="eastAsia" w:ascii="宋体" w:hAnsi="宋体" w:cs="宋体"/>
          <w:sz w:val="24"/>
        </w:rPr>
        <w:t>与乙方</w:t>
      </w:r>
      <w:r>
        <w:rPr>
          <w:rFonts w:hint="eastAsia" w:ascii="宋体" w:hAnsi="宋体" w:cs="宋体"/>
          <w:sz w:val="24"/>
          <w:u w:val="single"/>
        </w:rPr>
        <w:t xml:space="preserve"> （全称）   </w:t>
      </w:r>
      <w:r>
        <w:rPr>
          <w:rFonts w:hint="eastAsia" w:ascii="宋体" w:hAnsi="宋体" w:cs="宋体"/>
          <w:sz w:val="24"/>
        </w:rPr>
        <w:t>特订立如下合同。</w:t>
      </w:r>
    </w:p>
    <w:p w14:paraId="7B72F219">
      <w:pPr>
        <w:spacing w:line="360" w:lineRule="auto"/>
        <w:ind w:firstLine="480"/>
        <w:rPr>
          <w:rFonts w:hint="eastAsia" w:ascii="宋体" w:hAnsi="宋体" w:cs="宋体"/>
          <w:sz w:val="24"/>
        </w:rPr>
      </w:pPr>
      <w:r>
        <w:rPr>
          <w:rFonts w:hint="eastAsia" w:ascii="宋体" w:hAnsi="宋体" w:cs="宋体"/>
          <w:bCs/>
          <w:sz w:val="24"/>
        </w:rPr>
        <w:t>第一条</w:t>
      </w:r>
      <w:r>
        <w:rPr>
          <w:rFonts w:hint="eastAsia" w:ascii="宋体" w:hAnsi="宋体" w:cs="宋体"/>
          <w:sz w:val="24"/>
        </w:rPr>
        <w:t>甲乙双方的权利和义务</w:t>
      </w:r>
    </w:p>
    <w:p w14:paraId="03BE9462">
      <w:pPr>
        <w:spacing w:line="360" w:lineRule="auto"/>
        <w:ind w:firstLine="480"/>
        <w:rPr>
          <w:rFonts w:hint="eastAsia" w:ascii="宋体" w:hAnsi="宋体" w:cs="宋体"/>
          <w:sz w:val="24"/>
        </w:rPr>
      </w:pPr>
      <w:r>
        <w:rPr>
          <w:rFonts w:hint="eastAsia" w:ascii="宋体" w:hAnsi="宋体" w:cs="宋体"/>
          <w:sz w:val="24"/>
        </w:rPr>
        <w:t>（一）严格遵守国家有关法律法规及交通运输部的有关规定。</w:t>
      </w:r>
    </w:p>
    <w:p w14:paraId="414F2B46">
      <w:pPr>
        <w:spacing w:line="360" w:lineRule="auto"/>
        <w:ind w:firstLine="480"/>
        <w:rPr>
          <w:rFonts w:hint="eastAsia" w:ascii="宋体" w:hAnsi="宋体" w:cs="宋体"/>
          <w:sz w:val="24"/>
        </w:rPr>
      </w:pPr>
      <w:r>
        <w:rPr>
          <w:rFonts w:hint="eastAsia" w:ascii="宋体" w:hAnsi="宋体" w:cs="宋体"/>
          <w:sz w:val="24"/>
        </w:rPr>
        <w:t>（二）严格执行</w:t>
      </w:r>
      <w:r>
        <w:rPr>
          <w:rFonts w:hint="eastAsia" w:ascii="宋体" w:hAnsi="宋体" w:cs="宋体"/>
          <w:sz w:val="24"/>
          <w:u w:val="single"/>
        </w:rPr>
        <w:t xml:space="preserve">              </w:t>
      </w:r>
      <w:r>
        <w:rPr>
          <w:rFonts w:hint="eastAsia" w:ascii="宋体" w:hAnsi="宋体" w:cs="宋体"/>
          <w:sz w:val="24"/>
        </w:rPr>
        <w:t>的合同文件，自觉按合同办事。</w:t>
      </w:r>
    </w:p>
    <w:p w14:paraId="153BF4B3">
      <w:pPr>
        <w:spacing w:line="360" w:lineRule="auto"/>
        <w:ind w:firstLine="480"/>
        <w:rPr>
          <w:rFonts w:hint="eastAsia" w:ascii="宋体" w:hAnsi="宋体" w:cs="宋体"/>
          <w:sz w:val="24"/>
        </w:rPr>
      </w:pPr>
      <w:r>
        <w:rPr>
          <w:rFonts w:hint="eastAsia" w:ascii="宋体" w:hAnsi="宋体" w:cs="宋体"/>
          <w:sz w:val="24"/>
        </w:rPr>
        <w:t>（三）双方的业务活动坚持公开、公正、诚信、透明的原则（除法律认定的商业秘密和合同文件另有规定之外），不得损害国家和集体利益，违反工程建设管理规章制度。</w:t>
      </w:r>
    </w:p>
    <w:p w14:paraId="38272974">
      <w:pPr>
        <w:spacing w:line="360" w:lineRule="auto"/>
        <w:ind w:firstLine="480"/>
        <w:rPr>
          <w:rFonts w:hint="eastAsia" w:ascii="宋体" w:hAnsi="宋体" w:cs="宋体"/>
          <w:sz w:val="24"/>
        </w:rPr>
      </w:pPr>
      <w:r>
        <w:rPr>
          <w:rFonts w:hint="eastAsia" w:ascii="宋体" w:hAnsi="宋体" w:cs="宋体"/>
          <w:sz w:val="24"/>
        </w:rPr>
        <w:t>（四）建立健全廉政制度，开展廉政教育，设立廉政告示牌，公布举报电话，监督并认真查处违法违纪行为。</w:t>
      </w:r>
    </w:p>
    <w:p w14:paraId="516E2A58">
      <w:pPr>
        <w:spacing w:line="360" w:lineRule="auto"/>
        <w:ind w:firstLine="480"/>
        <w:rPr>
          <w:rFonts w:hint="eastAsia" w:ascii="宋体" w:hAnsi="宋体" w:cs="宋体"/>
          <w:sz w:val="24"/>
        </w:rPr>
      </w:pPr>
      <w:r>
        <w:rPr>
          <w:rFonts w:hint="eastAsia" w:ascii="宋体" w:hAnsi="宋体" w:cs="宋体"/>
          <w:sz w:val="24"/>
        </w:rPr>
        <w:t>（五）发现对方在业务活动中有违反廉政规定的行为，有及时提醒对方纠正的权利和义务。</w:t>
      </w:r>
    </w:p>
    <w:p w14:paraId="0A5B5EB1">
      <w:pPr>
        <w:spacing w:line="360" w:lineRule="auto"/>
        <w:ind w:firstLine="480"/>
        <w:rPr>
          <w:rFonts w:hint="eastAsia" w:ascii="宋体" w:hAnsi="宋体" w:cs="宋体"/>
          <w:sz w:val="24"/>
        </w:rPr>
      </w:pPr>
      <w:r>
        <w:rPr>
          <w:rFonts w:hint="eastAsia" w:ascii="宋体" w:hAnsi="宋体" w:cs="宋体"/>
          <w:sz w:val="24"/>
        </w:rPr>
        <w:t>（六）发现对方严重违反本合同义务条款的行为，有向其上级有关部门举报、建议给予处理并要求告知处理结果的权利。影响合同履行的，可按照合同中关于合同解除的约定处理。</w:t>
      </w:r>
    </w:p>
    <w:p w14:paraId="6E4C7547">
      <w:pPr>
        <w:spacing w:line="360" w:lineRule="auto"/>
        <w:ind w:firstLine="480"/>
        <w:rPr>
          <w:rFonts w:hint="eastAsia" w:ascii="宋体" w:hAnsi="宋体" w:cs="宋体"/>
          <w:sz w:val="24"/>
        </w:rPr>
      </w:pPr>
      <w:r>
        <w:rPr>
          <w:rFonts w:hint="eastAsia" w:ascii="宋体" w:hAnsi="宋体" w:cs="宋体"/>
          <w:bCs/>
          <w:sz w:val="24"/>
        </w:rPr>
        <w:t>第二条</w:t>
      </w:r>
      <w:r>
        <w:rPr>
          <w:rFonts w:hint="eastAsia" w:ascii="宋体" w:hAnsi="宋体" w:cs="宋体"/>
          <w:sz w:val="24"/>
        </w:rPr>
        <w:t>甲方的义务</w:t>
      </w:r>
    </w:p>
    <w:p w14:paraId="063C21DA">
      <w:pPr>
        <w:spacing w:line="360" w:lineRule="auto"/>
        <w:ind w:firstLine="480"/>
        <w:rPr>
          <w:rFonts w:hint="eastAsia" w:ascii="宋体" w:hAnsi="宋体" w:cs="宋体"/>
          <w:sz w:val="24"/>
        </w:rPr>
      </w:pPr>
      <w:r>
        <w:rPr>
          <w:rFonts w:hint="eastAsia" w:ascii="宋体" w:hAnsi="宋体" w:cs="宋体"/>
          <w:sz w:val="24"/>
        </w:rPr>
        <w:t>（一）甲方作为工程项目的建设单位，认真履行合同规定的甲方责任。</w:t>
      </w:r>
    </w:p>
    <w:p w14:paraId="4BEB61D1">
      <w:pPr>
        <w:spacing w:line="360" w:lineRule="auto"/>
        <w:ind w:firstLine="480"/>
        <w:rPr>
          <w:rFonts w:hint="eastAsia" w:ascii="宋体" w:hAnsi="宋体" w:cs="宋体"/>
          <w:sz w:val="24"/>
        </w:rPr>
      </w:pPr>
      <w:r>
        <w:rPr>
          <w:rFonts w:hint="eastAsia" w:ascii="宋体" w:hAnsi="宋体" w:cs="宋体"/>
          <w:sz w:val="24"/>
        </w:rPr>
        <w:t>（二）甲方及其工作人员不得索要或接受乙方的礼金、有价证券和贵重物品，不得在乙方报销任何应由甲方或个人支付的费用等。</w:t>
      </w:r>
    </w:p>
    <w:p w14:paraId="20145C8E">
      <w:pPr>
        <w:spacing w:line="360" w:lineRule="auto"/>
        <w:ind w:firstLine="480"/>
        <w:rPr>
          <w:rFonts w:hint="eastAsia" w:ascii="宋体" w:hAnsi="宋体" w:cs="宋体"/>
          <w:sz w:val="24"/>
        </w:rPr>
      </w:pPr>
      <w:r>
        <w:rPr>
          <w:rFonts w:hint="eastAsia" w:ascii="宋体" w:hAnsi="宋体" w:cs="宋体"/>
          <w:sz w:val="24"/>
        </w:rPr>
        <w:t>（三）甲方工作人员不得参加乙方安排的超标准宴请和娱乐活动；不得接受乙方提供的通讯工具、交通工具和高档办公用品等。</w:t>
      </w:r>
    </w:p>
    <w:p w14:paraId="482F6DF4">
      <w:pPr>
        <w:spacing w:line="360" w:lineRule="auto"/>
        <w:ind w:firstLine="480"/>
        <w:rPr>
          <w:rFonts w:hint="eastAsia" w:ascii="宋体" w:hAnsi="宋体" w:cs="宋体"/>
          <w:sz w:val="24"/>
        </w:rPr>
      </w:pPr>
      <w:r>
        <w:rPr>
          <w:rFonts w:hint="eastAsia" w:ascii="宋体" w:hAnsi="宋体" w:cs="宋体"/>
          <w:sz w:val="24"/>
        </w:rPr>
        <w:t>（四）甲方及其工作人员不得要求或者接受乙方为其住房装修、婚丧嫁娶活动、配偶子女的工作安排以及出国出境、旅游等提供方便等。</w:t>
      </w:r>
    </w:p>
    <w:p w14:paraId="5E9A1696">
      <w:pPr>
        <w:spacing w:line="360" w:lineRule="auto"/>
        <w:ind w:firstLine="480"/>
        <w:rPr>
          <w:rFonts w:hint="eastAsia" w:ascii="宋体" w:hAnsi="宋体" w:cs="宋体"/>
          <w:sz w:val="24"/>
        </w:rPr>
      </w:pPr>
      <w:r>
        <w:rPr>
          <w:rFonts w:hint="eastAsia" w:ascii="宋体" w:hAnsi="宋体" w:cs="宋体"/>
          <w:sz w:val="24"/>
        </w:rPr>
        <w:t>（五）甲方工作人员的配偶、子女不得从事与甲方工程有关的项目。</w:t>
      </w:r>
    </w:p>
    <w:p w14:paraId="58615660">
      <w:pPr>
        <w:spacing w:line="360" w:lineRule="auto"/>
        <w:ind w:firstLine="480"/>
        <w:rPr>
          <w:rFonts w:hint="eastAsia" w:ascii="宋体" w:hAnsi="宋体" w:cs="宋体"/>
          <w:sz w:val="24"/>
        </w:rPr>
      </w:pPr>
      <w:r>
        <w:rPr>
          <w:rFonts w:hint="eastAsia" w:ascii="宋体" w:hAnsi="宋体" w:cs="宋体"/>
          <w:bCs/>
          <w:sz w:val="24"/>
        </w:rPr>
        <w:t>第三条</w:t>
      </w:r>
      <w:r>
        <w:rPr>
          <w:rFonts w:hint="eastAsia" w:ascii="宋体" w:hAnsi="宋体" w:cs="宋体"/>
          <w:sz w:val="24"/>
        </w:rPr>
        <w:t>乙方的义务</w:t>
      </w:r>
    </w:p>
    <w:p w14:paraId="293B9192">
      <w:pPr>
        <w:spacing w:line="360" w:lineRule="auto"/>
        <w:ind w:firstLine="480"/>
        <w:rPr>
          <w:rFonts w:hint="eastAsia" w:ascii="宋体" w:hAnsi="宋体" w:cs="宋体"/>
          <w:sz w:val="24"/>
        </w:rPr>
      </w:pPr>
      <w:r>
        <w:rPr>
          <w:rFonts w:hint="eastAsia" w:ascii="宋体" w:hAnsi="宋体" w:cs="宋体"/>
          <w:sz w:val="24"/>
        </w:rPr>
        <w:t>（一）乙方不得以任何理由向甲方及其工作人员行贿或馈赠礼金、有价证券、贵重礼品。</w:t>
      </w:r>
    </w:p>
    <w:p w14:paraId="6D4C48B5">
      <w:pPr>
        <w:spacing w:line="360" w:lineRule="auto"/>
        <w:ind w:firstLine="480"/>
        <w:rPr>
          <w:rFonts w:hint="eastAsia" w:ascii="宋体" w:hAnsi="宋体" w:cs="宋体"/>
          <w:sz w:val="24"/>
        </w:rPr>
      </w:pPr>
      <w:r>
        <w:rPr>
          <w:rFonts w:hint="eastAsia" w:ascii="宋体" w:hAnsi="宋体" w:cs="宋体"/>
          <w:sz w:val="24"/>
        </w:rPr>
        <w:t>（二）乙方不得以任何名义为甲方及其工作人员报销应由甲方单位或个人支付的任何费用。</w:t>
      </w:r>
    </w:p>
    <w:p w14:paraId="228E2A36">
      <w:pPr>
        <w:spacing w:line="360" w:lineRule="auto"/>
        <w:ind w:firstLine="480"/>
        <w:rPr>
          <w:rFonts w:hint="eastAsia" w:ascii="宋体" w:hAnsi="宋体" w:cs="宋体"/>
          <w:sz w:val="24"/>
        </w:rPr>
      </w:pPr>
      <w:r>
        <w:rPr>
          <w:rFonts w:hint="eastAsia" w:ascii="宋体" w:hAnsi="宋体" w:cs="宋体"/>
          <w:sz w:val="24"/>
        </w:rPr>
        <w:t>（三）乙方不得以任何理由安排甲方工作人员参加超标准宴请及娱乐活动。</w:t>
      </w:r>
    </w:p>
    <w:p w14:paraId="42F6272B">
      <w:pPr>
        <w:spacing w:line="360" w:lineRule="auto"/>
        <w:ind w:firstLine="480"/>
        <w:rPr>
          <w:rFonts w:hint="eastAsia" w:ascii="宋体" w:hAnsi="宋体" w:cs="宋体"/>
          <w:sz w:val="24"/>
        </w:rPr>
      </w:pPr>
      <w:r>
        <w:rPr>
          <w:rFonts w:hint="eastAsia" w:ascii="宋体" w:hAnsi="宋体" w:cs="宋体"/>
          <w:sz w:val="24"/>
        </w:rPr>
        <w:t>（四）乙方不得为甲方单位和个人购置或提供通讯工具、交通工具和高档办公用品等。</w:t>
      </w:r>
    </w:p>
    <w:p w14:paraId="78497662">
      <w:pPr>
        <w:spacing w:line="360" w:lineRule="auto"/>
        <w:ind w:firstLine="480"/>
        <w:rPr>
          <w:rFonts w:hint="eastAsia" w:ascii="宋体" w:hAnsi="宋体" w:cs="宋体"/>
          <w:sz w:val="24"/>
        </w:rPr>
      </w:pPr>
      <w:r>
        <w:rPr>
          <w:rFonts w:hint="eastAsia" w:ascii="宋体" w:hAnsi="宋体" w:cs="宋体"/>
          <w:sz w:val="24"/>
        </w:rPr>
        <w:t>（五）乙方及其工作人员不得索取或接受工作关系单位的礼金、有价证券和贵重物品，不得在工作关系报销任何应由乙方或个人支付的费用。</w:t>
      </w:r>
    </w:p>
    <w:p w14:paraId="354F7EAB">
      <w:pPr>
        <w:spacing w:line="360" w:lineRule="auto"/>
        <w:ind w:firstLine="480"/>
        <w:rPr>
          <w:rFonts w:hint="eastAsia" w:ascii="宋体" w:hAnsi="宋体" w:cs="宋体"/>
          <w:sz w:val="24"/>
        </w:rPr>
      </w:pPr>
      <w:r>
        <w:rPr>
          <w:rFonts w:hint="eastAsia" w:ascii="宋体" w:hAnsi="宋体" w:cs="宋体"/>
          <w:sz w:val="24"/>
        </w:rPr>
        <w:t>（六）乙方及其工作人员必须严格按照规程办事，不得损害甲方利益。</w:t>
      </w:r>
    </w:p>
    <w:p w14:paraId="45BB43B5">
      <w:pPr>
        <w:spacing w:line="360" w:lineRule="auto"/>
        <w:ind w:firstLine="480"/>
        <w:rPr>
          <w:rFonts w:hint="eastAsia" w:ascii="宋体" w:hAnsi="宋体" w:cs="宋体"/>
          <w:sz w:val="24"/>
        </w:rPr>
      </w:pPr>
      <w:r>
        <w:rPr>
          <w:rFonts w:hint="eastAsia" w:ascii="宋体" w:hAnsi="宋体" w:cs="宋体"/>
          <w:bCs/>
          <w:sz w:val="24"/>
        </w:rPr>
        <w:t>第四条</w:t>
      </w:r>
      <w:r>
        <w:rPr>
          <w:rFonts w:hint="eastAsia" w:ascii="宋体" w:hAnsi="宋体" w:cs="宋体"/>
          <w:sz w:val="24"/>
        </w:rPr>
        <w:t>违约责任</w:t>
      </w:r>
    </w:p>
    <w:p w14:paraId="3C214B93">
      <w:pPr>
        <w:spacing w:line="360" w:lineRule="auto"/>
        <w:ind w:firstLine="480"/>
        <w:rPr>
          <w:rFonts w:hint="eastAsia" w:ascii="宋体" w:hAnsi="宋体" w:cs="宋体"/>
          <w:sz w:val="24"/>
        </w:rPr>
      </w:pPr>
      <w:r>
        <w:rPr>
          <w:rFonts w:hint="eastAsia" w:ascii="宋体" w:hAnsi="宋体" w:cs="宋体"/>
          <w:sz w:val="24"/>
        </w:rPr>
        <w:t>（一）甲方及其工作人员违反本合同第一、二条；按管理权限，依据有关规定给予党纪、政纪或组织处理；涉嫌犯罪的，移交司法机关追究刑事责任；给乙方单位造成经济损失的，应予以赔偿。</w:t>
      </w:r>
    </w:p>
    <w:p w14:paraId="645D118E">
      <w:pPr>
        <w:spacing w:line="360" w:lineRule="auto"/>
        <w:ind w:firstLine="480"/>
        <w:rPr>
          <w:rFonts w:hint="eastAsia" w:ascii="宋体" w:hAnsi="宋体" w:cs="宋体"/>
          <w:sz w:val="24"/>
        </w:rPr>
      </w:pPr>
      <w:r>
        <w:rPr>
          <w:rFonts w:hint="eastAsia" w:ascii="宋体" w:hAnsi="宋体" w:cs="宋体"/>
          <w:sz w:val="24"/>
        </w:rPr>
        <w:t>（二）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6177558B">
      <w:pPr>
        <w:spacing w:line="360" w:lineRule="auto"/>
        <w:ind w:firstLine="480"/>
        <w:rPr>
          <w:rFonts w:hint="eastAsia" w:ascii="宋体" w:hAnsi="宋体" w:cs="宋体"/>
          <w:sz w:val="24"/>
        </w:rPr>
      </w:pPr>
      <w:r>
        <w:rPr>
          <w:rFonts w:hint="eastAsia" w:ascii="宋体" w:hAnsi="宋体" w:cs="宋体"/>
          <w:bCs/>
          <w:sz w:val="24"/>
        </w:rPr>
        <w:t>第五条</w:t>
      </w:r>
      <w:r>
        <w:rPr>
          <w:rFonts w:hint="eastAsia" w:ascii="宋体" w:hAnsi="宋体" w:cs="宋体"/>
          <w:sz w:val="24"/>
        </w:rPr>
        <w:t>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3A1990FC">
      <w:pPr>
        <w:spacing w:line="360" w:lineRule="auto"/>
        <w:ind w:firstLine="480"/>
        <w:rPr>
          <w:rFonts w:hint="eastAsia" w:ascii="宋体" w:hAnsi="宋体" w:cs="宋体"/>
          <w:sz w:val="24"/>
        </w:rPr>
      </w:pPr>
      <w:r>
        <w:rPr>
          <w:rFonts w:hint="eastAsia" w:ascii="宋体" w:hAnsi="宋体" w:cs="宋体"/>
          <w:bCs/>
          <w:sz w:val="24"/>
        </w:rPr>
        <w:t>第六条</w:t>
      </w:r>
      <w:r>
        <w:rPr>
          <w:rFonts w:hint="eastAsia" w:ascii="宋体" w:hAnsi="宋体" w:cs="宋体"/>
          <w:sz w:val="24"/>
        </w:rPr>
        <w:t>本合同有效期为甲乙双方签署之日起至该工程项目所有工作内容完成并经甲方验收合格后止。</w:t>
      </w:r>
    </w:p>
    <w:p w14:paraId="01DBE513">
      <w:pPr>
        <w:spacing w:line="360" w:lineRule="auto"/>
        <w:ind w:firstLine="480"/>
        <w:rPr>
          <w:rFonts w:hint="eastAsia" w:ascii="宋体" w:hAnsi="宋体" w:cs="宋体"/>
          <w:sz w:val="24"/>
        </w:rPr>
      </w:pPr>
      <w:r>
        <w:rPr>
          <w:rFonts w:hint="eastAsia" w:ascii="宋体" w:hAnsi="宋体" w:cs="宋体"/>
          <w:bCs/>
          <w:sz w:val="24"/>
        </w:rPr>
        <w:t>第七条</w:t>
      </w:r>
      <w:r>
        <w:rPr>
          <w:rFonts w:hint="eastAsia" w:ascii="宋体" w:hAnsi="宋体" w:cs="宋体"/>
          <w:sz w:val="24"/>
        </w:rPr>
        <w:t>本合同作为204国道通州段周边路网衔接方案研究项目（政府采购工程）合同的附件，与204国道通州段周边路网衔接方案研究项目（政府采购工程）合同具有同等的法律效力，经合同双方签署立即生效。</w:t>
      </w:r>
    </w:p>
    <w:p w14:paraId="6BEFAEFD">
      <w:pPr>
        <w:spacing w:line="360" w:lineRule="auto"/>
        <w:ind w:firstLine="480"/>
        <w:rPr>
          <w:rFonts w:hint="eastAsia" w:ascii="宋体" w:hAnsi="宋体" w:cs="宋体"/>
          <w:sz w:val="24"/>
        </w:rPr>
      </w:pPr>
      <w:r>
        <w:rPr>
          <w:rFonts w:hint="eastAsia" w:ascii="宋体" w:hAnsi="宋体" w:cs="宋体"/>
          <w:bCs/>
          <w:sz w:val="24"/>
        </w:rPr>
        <w:t>第八条</w:t>
      </w:r>
      <w:r>
        <w:rPr>
          <w:rFonts w:hint="eastAsia" w:ascii="宋体" w:hAnsi="宋体" w:cs="宋体"/>
          <w:sz w:val="24"/>
        </w:rPr>
        <w:t>本合同一式六份，双方各执三份。</w:t>
      </w:r>
    </w:p>
    <w:p w14:paraId="65191CBE">
      <w:pPr>
        <w:spacing w:line="360" w:lineRule="auto"/>
        <w:rPr>
          <w:rFonts w:hint="eastAsia" w:ascii="宋体" w:hAnsi="宋体" w:cs="宋体"/>
          <w:sz w:val="24"/>
        </w:rPr>
      </w:pPr>
    </w:p>
    <w:p w14:paraId="0F70871C">
      <w:pPr>
        <w:spacing w:line="360" w:lineRule="auto"/>
        <w:rPr>
          <w:rFonts w:hint="eastAsia" w:ascii="宋体" w:hAnsi="宋体" w:cs="宋体"/>
          <w:sz w:val="24"/>
        </w:rPr>
      </w:pPr>
    </w:p>
    <w:p w14:paraId="6AFBE7BB">
      <w:pPr>
        <w:spacing w:line="360" w:lineRule="auto"/>
        <w:jc w:val="left"/>
        <w:rPr>
          <w:rFonts w:hint="eastAsia" w:ascii="宋体" w:hAnsi="宋体" w:cs="宋体"/>
          <w:sz w:val="24"/>
        </w:rPr>
      </w:pPr>
      <w:r>
        <w:rPr>
          <w:rFonts w:hint="eastAsia" w:ascii="宋体" w:hAnsi="宋体" w:cs="宋体"/>
          <w:sz w:val="24"/>
        </w:rPr>
        <w:t>甲方：</w:t>
      </w:r>
      <w:r>
        <w:rPr>
          <w:rFonts w:hint="eastAsia" w:ascii="宋体" w:hAnsi="宋体" w:cs="宋体"/>
          <w:sz w:val="24"/>
        </w:rPr>
        <w:tab/>
      </w:r>
      <w:r>
        <w:rPr>
          <w:rFonts w:hint="eastAsia" w:ascii="宋体" w:hAnsi="宋体" w:cs="宋体"/>
          <w:sz w:val="24"/>
        </w:rPr>
        <w:t>（盖单位章）                     乙方：（盖单位章）</w:t>
      </w:r>
    </w:p>
    <w:p w14:paraId="5CF5D15D">
      <w:pPr>
        <w:spacing w:line="360" w:lineRule="auto"/>
        <w:jc w:val="left"/>
        <w:rPr>
          <w:rFonts w:hint="eastAsia" w:ascii="宋体" w:hAnsi="宋体" w:cs="宋体"/>
          <w:sz w:val="24"/>
        </w:rPr>
      </w:pPr>
      <w:r>
        <w:rPr>
          <w:rFonts w:hint="eastAsia" w:ascii="宋体" w:hAnsi="宋体" w:cs="宋体"/>
          <w:sz w:val="24"/>
        </w:rPr>
        <w:t>法定代表人                              法定代表人</w:t>
      </w:r>
    </w:p>
    <w:p w14:paraId="5D6DD44B">
      <w:pPr>
        <w:spacing w:line="360" w:lineRule="auto"/>
        <w:jc w:val="left"/>
        <w:rPr>
          <w:rFonts w:hint="eastAsia" w:ascii="宋体" w:hAnsi="宋体" w:cs="宋体"/>
          <w:sz w:val="24"/>
        </w:rPr>
      </w:pPr>
      <w:r>
        <w:rPr>
          <w:rFonts w:hint="eastAsia" w:ascii="宋体" w:hAnsi="宋体" w:cs="宋体"/>
          <w:sz w:val="24"/>
        </w:rPr>
        <w:t>或其委托代理人：（签字或盖章）          或其委托代理人：（签字或盖章）</w:t>
      </w:r>
    </w:p>
    <w:p w14:paraId="59763695">
      <w:pPr>
        <w:spacing w:line="360" w:lineRule="auto"/>
        <w:jc w:val="left"/>
        <w:rPr>
          <w:rFonts w:hint="eastAsia" w:ascii="宋体" w:hAnsi="宋体" w:cs="宋体"/>
          <w:sz w:val="24"/>
        </w:rPr>
      </w:pPr>
    </w:p>
    <w:p w14:paraId="7FEADD04">
      <w:pPr>
        <w:spacing w:line="360" w:lineRule="auto"/>
        <w:ind w:firstLine="480"/>
        <w:rPr>
          <w:rFonts w:hint="eastAsia" w:ascii="宋体" w:hAnsi="宋体" w:cs="宋体"/>
          <w:sz w:val="24"/>
        </w:rPr>
        <w:sectPr>
          <w:pgSz w:w="11905" w:h="16838"/>
          <w:pgMar w:top="1429" w:right="1429" w:bottom="1429" w:left="1429" w:header="850" w:footer="992" w:gutter="0"/>
          <w:cols w:space="0" w:num="1"/>
          <w:docGrid w:linePitch="360" w:charSpace="0"/>
        </w:sectPr>
      </w:pPr>
      <w:r>
        <w:rPr>
          <w:rFonts w:hint="eastAsia" w:ascii="宋体" w:hAnsi="宋体" w:cs="宋体"/>
          <w:sz w:val="24"/>
        </w:rPr>
        <w:tab/>
      </w:r>
      <w:r>
        <w:rPr>
          <w:rFonts w:hint="eastAsia" w:ascii="宋体" w:hAnsi="宋体" w:cs="宋体"/>
          <w:sz w:val="24"/>
        </w:rPr>
        <w:t xml:space="preserve">年  </w:t>
      </w:r>
      <w:r>
        <w:rPr>
          <w:rFonts w:hint="eastAsia" w:ascii="宋体" w:hAnsi="宋体" w:cs="宋体"/>
          <w:sz w:val="24"/>
        </w:rPr>
        <w:tab/>
      </w:r>
      <w:r>
        <w:rPr>
          <w:rFonts w:hint="eastAsia" w:ascii="宋体" w:hAnsi="宋体" w:cs="宋体"/>
          <w:sz w:val="24"/>
        </w:rPr>
        <w:t>月</w:t>
      </w:r>
      <w:r>
        <w:rPr>
          <w:rFonts w:hint="eastAsia" w:ascii="宋体" w:hAnsi="宋体" w:cs="宋体"/>
          <w:sz w:val="24"/>
        </w:rPr>
        <w:tab/>
      </w:r>
      <w:r>
        <w:rPr>
          <w:rFonts w:hint="eastAsia" w:ascii="宋体" w:hAnsi="宋体" w:cs="宋体"/>
          <w:sz w:val="24"/>
        </w:rPr>
        <w:t>日</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年 </w:t>
      </w:r>
      <w:r>
        <w:rPr>
          <w:rFonts w:hint="eastAsia" w:ascii="宋体" w:hAnsi="宋体" w:cs="宋体"/>
          <w:sz w:val="24"/>
        </w:rPr>
        <w:tab/>
      </w:r>
      <w:r>
        <w:rPr>
          <w:rFonts w:hint="eastAsia" w:ascii="宋体" w:hAnsi="宋体" w:cs="宋体"/>
          <w:sz w:val="24"/>
        </w:rPr>
        <w:t xml:space="preserve">  月 </w:t>
      </w:r>
      <w:r>
        <w:rPr>
          <w:rFonts w:hint="eastAsia" w:ascii="宋体" w:hAnsi="宋体" w:cs="宋体"/>
          <w:sz w:val="24"/>
        </w:rPr>
        <w:tab/>
      </w:r>
      <w:r>
        <w:rPr>
          <w:rFonts w:hint="eastAsia" w:ascii="宋体" w:hAnsi="宋体" w:cs="宋体"/>
          <w:sz w:val="24"/>
        </w:rPr>
        <w:t xml:space="preserve">  日</w:t>
      </w:r>
    </w:p>
    <w:p w14:paraId="027A40DA">
      <w:pPr>
        <w:adjustRightInd w:val="0"/>
        <w:snapToGrid w:val="0"/>
        <w:spacing w:line="360" w:lineRule="auto"/>
        <w:ind w:firstLine="723" w:firstLineChars="200"/>
        <w:jc w:val="center"/>
        <w:rPr>
          <w:rFonts w:hint="eastAsia" w:ascii="宋体" w:hAnsi="宋体" w:cs="宋体"/>
          <w:sz w:val="28"/>
          <w:szCs w:val="28"/>
        </w:rPr>
      </w:pPr>
      <w:r>
        <w:rPr>
          <w:rFonts w:hint="eastAsia" w:ascii="宋体" w:hAnsi="宋体" w:cs="宋体"/>
          <w:b/>
          <w:sz w:val="36"/>
          <w:szCs w:val="36"/>
        </w:rPr>
        <w:t>第六部分  质疑提出和处理</w:t>
      </w:r>
    </w:p>
    <w:p w14:paraId="2716A87D">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一、质疑的提出</w:t>
      </w:r>
    </w:p>
    <w:p w14:paraId="2B4A8D38">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(一)质疑人的身份要求</w:t>
      </w:r>
    </w:p>
    <w:p w14:paraId="66186499">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1.提出质疑的供应商应当是参与所质疑项目采购活动的供应商。</w:t>
      </w:r>
    </w:p>
    <w:p w14:paraId="50D837D1">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val="zh-CN"/>
        </w:rPr>
        <w:t>2.潜在供应商已依法获取其可质疑的采购文件的，可以对该文件提出质疑。对采购文件提出质疑的，应当在获取采购文件或者采购文件公告期限届满之日起7个工作日内提出。</w:t>
      </w:r>
    </w:p>
    <w:p w14:paraId="11E23EE5">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 xml:space="preserve"> (二)质疑提出的格式要求   </w:t>
      </w:r>
    </w:p>
    <w:p w14:paraId="2F93953C">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1.质疑</w:t>
      </w:r>
      <w:r>
        <w:rPr>
          <w:rFonts w:hint="eastAsia" w:ascii="宋体" w:hAnsi="宋体" w:cs="宋体"/>
          <w:kern w:val="0"/>
          <w:sz w:val="24"/>
        </w:rPr>
        <w:t>应</w:t>
      </w:r>
      <w:r>
        <w:rPr>
          <w:rFonts w:hint="eastAsia" w:ascii="宋体" w:hAnsi="宋体" w:cs="宋体"/>
          <w:kern w:val="0"/>
          <w:sz w:val="24"/>
          <w:lang w:val="zh-CN"/>
        </w:rPr>
        <w:t>参照《中华人民共和国政府采购法》、《中华人民共和国政府采购法实施条例》及《江苏省政府采购供应商监督管理暂行办法》的相关规定提交，质疑实行实名制，不得进行虚假、恶意质疑，未按上述要求提交的质疑函，采购人有权不予受理。</w:t>
      </w:r>
    </w:p>
    <w:p w14:paraId="4BD0E18F">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2.质疑函应包括：</w:t>
      </w:r>
    </w:p>
    <w:p w14:paraId="2769FEB9">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（1）质疑供应商的名称、地址、邮编、联系人及联系电话；</w:t>
      </w:r>
    </w:p>
    <w:p w14:paraId="285DB588">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（2）具体、明确的质疑事项及明确的请求；</w:t>
      </w:r>
    </w:p>
    <w:p w14:paraId="2E09F055">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（3）质疑的事实依据和必要的法律依据；</w:t>
      </w:r>
    </w:p>
    <w:p w14:paraId="4E55C31F">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（4）提起质疑的日期；</w:t>
      </w:r>
    </w:p>
    <w:p w14:paraId="4B2B58B9">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（5）认为自己合法权益受到损害或可能受到损害的相关证据材料；</w:t>
      </w:r>
    </w:p>
    <w:p w14:paraId="58F79097">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（6）质疑函应当署名：质疑人为自然人的，应当由本人签字并附有效身份证明；质疑人为法人或其他组织的，应当由法定代表人签字并加盖单位公章，未按要求签字和盖章的为无效质疑，</w:t>
      </w:r>
      <w:r>
        <w:rPr>
          <w:rFonts w:hint="eastAsia" w:ascii="宋体" w:hAnsi="宋体" w:cs="宋体"/>
          <w:kern w:val="0"/>
          <w:sz w:val="24"/>
        </w:rPr>
        <w:t>采购人</w:t>
      </w:r>
      <w:r>
        <w:rPr>
          <w:rFonts w:hint="eastAsia" w:ascii="宋体" w:hAnsi="宋体" w:cs="宋体"/>
          <w:kern w:val="0"/>
          <w:sz w:val="24"/>
          <w:lang w:val="zh-CN"/>
        </w:rPr>
        <w:t>将不予受理。质疑人委托代理质疑的，应当向采购人提交授权委托书，并载明委托代理的具体权限和事项。</w:t>
      </w:r>
    </w:p>
    <w:p w14:paraId="2C72D376">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3.质疑函需遵循的原则：</w:t>
      </w:r>
    </w:p>
    <w:p w14:paraId="4C273134">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提出质疑时，必须坚持“谁主张，谁举证”、“实事求是”的原则，不能臆测。属于须由法定部门调查、侦查或先行作出相关认定的事项，质疑人应当依法申请具有法定职权的部门查清、认定，并将相关结果提供给</w:t>
      </w:r>
      <w:r>
        <w:rPr>
          <w:rFonts w:hint="eastAsia" w:ascii="宋体" w:hAnsi="宋体" w:cs="宋体"/>
          <w:kern w:val="0"/>
          <w:sz w:val="24"/>
        </w:rPr>
        <w:t>采购</w:t>
      </w:r>
      <w:r>
        <w:rPr>
          <w:rFonts w:hint="eastAsia" w:ascii="宋体" w:hAnsi="宋体" w:cs="宋体"/>
          <w:kern w:val="0"/>
          <w:sz w:val="24"/>
          <w:lang w:val="zh-CN"/>
        </w:rPr>
        <w:t>人。</w:t>
      </w:r>
      <w:r>
        <w:rPr>
          <w:rFonts w:hint="eastAsia" w:ascii="宋体" w:hAnsi="宋体" w:cs="宋体"/>
          <w:kern w:val="0"/>
          <w:sz w:val="24"/>
        </w:rPr>
        <w:t>采购</w:t>
      </w:r>
      <w:r>
        <w:rPr>
          <w:rFonts w:hint="eastAsia" w:ascii="宋体" w:hAnsi="宋体" w:cs="宋体"/>
          <w:kern w:val="0"/>
          <w:sz w:val="24"/>
          <w:lang w:val="zh-CN"/>
        </w:rPr>
        <w:t>人不具有法定调查、认定权限。</w:t>
      </w:r>
    </w:p>
    <w:p w14:paraId="169781D8">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（三）质疑提出的时效要求</w:t>
      </w:r>
    </w:p>
    <w:p w14:paraId="4D5CE8CD">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 xml:space="preserve">1.供应商认为采购文件、采购过程和采购结果使自己的权益受到损害的，可以在知道或应知其权益受到损害之日起七个工作日内，以书面形式向采购人或采购人提出质疑。上述应知其权益受到损害之日，是指：                       </w:t>
      </w:r>
    </w:p>
    <w:p w14:paraId="005BD632">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（1）对可以质疑的采购文件提出质疑的，为收到采购文件之日或者采购文件公告期限届满之日；</w:t>
      </w:r>
    </w:p>
    <w:p w14:paraId="5E34E7D9">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（2）对采购过程提出质疑的，为各采购程序环节结束之日；</w:t>
      </w:r>
    </w:p>
    <w:p w14:paraId="2EAF45B4">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（3）对成交或者成交结果提出质疑的，为成交或者成交结果公告期限届满之日。</w:t>
      </w:r>
    </w:p>
    <w:p w14:paraId="1511D266">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供应商认为采购文件使自己的权益受到损害的，可以按照</w:t>
      </w:r>
      <w:r>
        <w:rPr>
          <w:rFonts w:hint="eastAsia" w:ascii="宋体" w:hAnsi="宋体" w:cs="宋体"/>
          <w:kern w:val="0"/>
          <w:sz w:val="24"/>
        </w:rPr>
        <w:t>采购</w:t>
      </w:r>
      <w:r>
        <w:rPr>
          <w:rFonts w:hint="eastAsia" w:ascii="宋体" w:hAnsi="宋体" w:cs="宋体"/>
          <w:kern w:val="0"/>
          <w:sz w:val="24"/>
          <w:lang w:val="zh-CN"/>
        </w:rPr>
        <w:t>公告第八项要求向采购人提出质疑；供应商认为采购过程和采购结果使自己的权益受到损害的，可以以书面形式向采购人或采购人提出质疑。</w:t>
      </w:r>
    </w:p>
    <w:p w14:paraId="67C15BE2">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2.供应商应在法定质疑期一次性提出针对同一采购程序环节的质疑。</w:t>
      </w:r>
    </w:p>
    <w:p w14:paraId="7FEEDC37">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二、《质疑函》的受理和答复</w:t>
      </w:r>
    </w:p>
    <w:p w14:paraId="0983387F">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 采购人收到质疑函后，将对质疑的形式和内容进行审查，如质疑函内容、格式不符合规定，采购人将告知质疑人进行补正。</w:t>
      </w:r>
    </w:p>
    <w:p w14:paraId="0A1B2633">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 质疑人应当在法定质疑期限内进行补正并重新提交质疑函，拒不补正或者在法定期限内未重新提交质疑函的，为无效质疑，采购人将不予受理。</w:t>
      </w:r>
    </w:p>
    <w:p w14:paraId="4E951FA2">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3.采购人或采购代理机构答复供应商质疑应当采用书面方式并依法送达，质疑供应商或其委托代理人拒绝签收的视为已经送达。</w:t>
      </w:r>
    </w:p>
    <w:p w14:paraId="49EB7107">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三、质疑处理</w:t>
      </w:r>
    </w:p>
    <w:p w14:paraId="685BF7F3">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 质疑成立的处理</w:t>
      </w:r>
    </w:p>
    <w:p w14:paraId="2B442063">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（1）对于内容、格式符合规定的质疑函，采购人在收到磋商供应商的书面质疑后七个工作日内作出书面答复，但答复的内容不得涉及商业秘密。</w:t>
      </w:r>
    </w:p>
    <w:p w14:paraId="6F9B3A26">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（2）对采购文件提出的质疑，依法通过澄清或者修改可以继续开展采购活动的，澄清或者修改采购文件后继续开展采购活动；否则应当修改采购文件后重新开展采购活动。</w:t>
      </w:r>
    </w:p>
    <w:p w14:paraId="3112A8E2">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（3）对采购过程、成交或者成交结果提出的质疑，合格供应商符合法定数量时，可以从合格的成交候选人中另行确定成交、成交供应商的，应当依法另行确定成交供应商；否则应当重新开展采购活动。</w:t>
      </w:r>
    </w:p>
    <w:p w14:paraId="33E5C14A">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质疑答复导致成交、成交结果改变的，采购人或者采购代理机构应当将有关情况书面报告本级财政部门。</w:t>
      </w:r>
    </w:p>
    <w:p w14:paraId="10350FE6">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2.质疑不成立的处理</w:t>
      </w:r>
    </w:p>
    <w:p w14:paraId="5EAFA020">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若质疑不成立，或者成立未对成交、成交结果构成影响的，继续开展采购活动。</w:t>
      </w:r>
    </w:p>
    <w:p w14:paraId="129EE6F6">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3.虚假质疑的处理</w:t>
      </w:r>
    </w:p>
    <w:p w14:paraId="750F1E17">
      <w:pPr>
        <w:pStyle w:val="7"/>
        <w:adjustRightInd w:val="0"/>
        <w:snapToGrid w:val="0"/>
        <w:spacing w:after="0" w:line="360" w:lineRule="auto"/>
        <w:ind w:left="0" w:leftChars="0" w:firstLine="480" w:firstLineChars="200"/>
        <w:rPr>
          <w:rFonts w:hint="eastAsia" w:ascii="宋体" w:hAnsi="宋体" w:cs="宋体"/>
          <w:sz w:val="24"/>
          <w:lang w:val="zh-CN"/>
        </w:rPr>
      </w:pPr>
      <w:r>
        <w:rPr>
          <w:rFonts w:hint="eastAsia" w:ascii="宋体" w:hAnsi="宋体" w:cs="宋体"/>
          <w:sz w:val="24"/>
          <w:lang w:val="zh-CN"/>
        </w:rPr>
        <w:t>供应商提出书面质疑必须有理、有据，不得恶意质疑或提交虚假质疑。否则，一经查实，采购人有权依据相关规定，报请主管部门对该供应商进行相应的处罚。</w:t>
      </w:r>
    </w:p>
    <w:p w14:paraId="6002576F">
      <w:pPr>
        <w:autoSpaceDE w:val="0"/>
        <w:autoSpaceDN w:val="0"/>
        <w:adjustRightInd w:val="0"/>
        <w:snapToGrid w:val="0"/>
        <w:spacing w:line="300" w:lineRule="auto"/>
        <w:contextualSpacing/>
        <w:rPr>
          <w:rFonts w:hint="eastAsia" w:ascii="宋体" w:hAnsi="宋体" w:cs="宋体"/>
          <w:sz w:val="28"/>
          <w:szCs w:val="28"/>
          <w:lang w:val="zh-CN"/>
        </w:rPr>
      </w:pPr>
    </w:p>
    <w:p w14:paraId="54E1198F">
      <w:pPr>
        <w:autoSpaceDE w:val="0"/>
        <w:autoSpaceDN w:val="0"/>
        <w:adjustRightInd w:val="0"/>
        <w:snapToGrid w:val="0"/>
        <w:spacing w:line="300" w:lineRule="auto"/>
        <w:ind w:left="3630" w:right="210" w:hanging="3092"/>
        <w:outlineLvl w:val="0"/>
        <w:rPr>
          <w:rFonts w:hint="eastAsia" w:ascii="宋体" w:hAnsi="宋体" w:cs="宋体"/>
          <w:sz w:val="28"/>
          <w:szCs w:val="28"/>
          <w:lang w:val="zh-CN"/>
        </w:rPr>
      </w:pPr>
    </w:p>
    <w:p w14:paraId="5A9E73CA">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0BCCFB5B">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51D385E9">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3AC509CC">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34159BE5">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3C0A704A">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7782A763">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6A5C7F5E">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798F2378">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0350A922">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48753E9D">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54EFEEE5">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13AC9A37">
      <w:pPr>
        <w:widowControl/>
        <w:jc w:val="center"/>
        <w:rPr>
          <w:rFonts w:hint="eastAsia" w:ascii="宋体" w:hAnsi="宋体" w:cs="宋体"/>
          <w:bCs/>
          <w:sz w:val="44"/>
          <w:szCs w:val="44"/>
        </w:rPr>
      </w:pPr>
      <w:r>
        <w:rPr>
          <w:rFonts w:hint="eastAsia" w:ascii="宋体" w:hAnsi="宋体" w:cs="宋体"/>
          <w:b/>
          <w:bCs/>
          <w:sz w:val="36"/>
          <w:szCs w:val="36"/>
          <w:lang w:val="zh-CN"/>
        </w:rPr>
        <w:br w:type="page"/>
      </w:r>
      <w:r>
        <w:rPr>
          <w:rFonts w:hint="eastAsia" w:ascii="宋体" w:hAnsi="宋体" w:cs="宋体"/>
          <w:bCs/>
          <w:sz w:val="44"/>
          <w:szCs w:val="44"/>
        </w:rPr>
        <w:t>质疑函范本</w:t>
      </w:r>
    </w:p>
    <w:p w14:paraId="5FA4ED58">
      <w:pPr>
        <w:adjustRightInd w:val="0"/>
        <w:snapToGrid w:val="0"/>
        <w:spacing w:line="360" w:lineRule="auto"/>
        <w:rPr>
          <w:rFonts w:hint="eastAsia" w:ascii="宋体" w:hAnsi="宋体" w:cs="宋体"/>
          <w:bCs/>
          <w:sz w:val="24"/>
        </w:rPr>
      </w:pPr>
      <w:r>
        <w:rPr>
          <w:rFonts w:hint="eastAsia" w:ascii="宋体" w:hAnsi="宋体" w:cs="宋体"/>
          <w:bCs/>
          <w:sz w:val="24"/>
        </w:rPr>
        <w:t>一、质疑供应商基本信息</w:t>
      </w:r>
    </w:p>
    <w:p w14:paraId="5532401B">
      <w:pPr>
        <w:adjustRightInd w:val="0"/>
        <w:snapToGrid w:val="0"/>
        <w:spacing w:line="360" w:lineRule="auto"/>
        <w:rPr>
          <w:rFonts w:hint="eastAsia" w:ascii="宋体" w:hAnsi="宋体" w:cs="宋体"/>
          <w:sz w:val="24"/>
          <w:u w:val="dotted"/>
        </w:rPr>
      </w:pPr>
      <w:r>
        <w:rPr>
          <w:rFonts w:hint="eastAsia" w:ascii="宋体" w:hAnsi="宋体" w:cs="宋体"/>
          <w:sz w:val="24"/>
        </w:rPr>
        <w:t>质疑供应商：</w:t>
      </w:r>
    </w:p>
    <w:p w14:paraId="03D21E4F">
      <w:pPr>
        <w:adjustRightInd w:val="0"/>
        <w:snapToGrid w:val="0"/>
        <w:spacing w:line="360" w:lineRule="auto"/>
        <w:rPr>
          <w:rFonts w:hint="eastAsia" w:ascii="宋体" w:hAnsi="宋体" w:cs="宋体"/>
          <w:sz w:val="24"/>
        </w:rPr>
      </w:pPr>
      <w:r>
        <w:rPr>
          <w:rFonts w:hint="eastAsia" w:ascii="宋体" w:hAnsi="宋体" w:cs="宋体"/>
          <w:sz w:val="24"/>
        </w:rPr>
        <w:t>地址：               邮编：</w:t>
      </w:r>
    </w:p>
    <w:p w14:paraId="2EE16FA7">
      <w:pPr>
        <w:adjustRightInd w:val="0"/>
        <w:snapToGrid w:val="0"/>
        <w:spacing w:line="360" w:lineRule="auto"/>
        <w:rPr>
          <w:rFonts w:hint="eastAsia" w:ascii="宋体" w:hAnsi="宋体" w:cs="宋体"/>
          <w:sz w:val="24"/>
        </w:rPr>
      </w:pPr>
      <w:r>
        <w:rPr>
          <w:rFonts w:hint="eastAsia" w:ascii="宋体" w:hAnsi="宋体" w:cs="宋体"/>
          <w:sz w:val="24"/>
        </w:rPr>
        <w:t>联系人：             联系电话：</w:t>
      </w:r>
    </w:p>
    <w:p w14:paraId="198520ED">
      <w:pPr>
        <w:adjustRightInd w:val="0"/>
        <w:snapToGrid w:val="0"/>
        <w:spacing w:line="360" w:lineRule="auto"/>
        <w:rPr>
          <w:rFonts w:hint="eastAsia" w:ascii="宋体" w:hAnsi="宋体" w:cs="宋体"/>
          <w:sz w:val="24"/>
          <w:u w:val="dotted"/>
        </w:rPr>
      </w:pPr>
      <w:r>
        <w:rPr>
          <w:rFonts w:hint="eastAsia" w:ascii="宋体" w:hAnsi="宋体" w:cs="宋体"/>
          <w:sz w:val="24"/>
        </w:rPr>
        <w:t>授权代表：</w:t>
      </w:r>
    </w:p>
    <w:p w14:paraId="234CF3F9">
      <w:pPr>
        <w:adjustRightInd w:val="0"/>
        <w:snapToGrid w:val="0"/>
        <w:spacing w:line="360" w:lineRule="auto"/>
        <w:rPr>
          <w:rFonts w:hint="eastAsia" w:ascii="宋体" w:hAnsi="宋体" w:cs="宋体"/>
          <w:sz w:val="24"/>
        </w:rPr>
      </w:pPr>
      <w:r>
        <w:rPr>
          <w:rFonts w:hint="eastAsia" w:ascii="宋体" w:hAnsi="宋体" w:cs="宋体"/>
          <w:sz w:val="24"/>
        </w:rPr>
        <w:t>联系电话：</w:t>
      </w:r>
    </w:p>
    <w:p w14:paraId="5A38630F">
      <w:pPr>
        <w:adjustRightInd w:val="0"/>
        <w:snapToGrid w:val="0"/>
        <w:spacing w:line="360" w:lineRule="auto"/>
        <w:rPr>
          <w:rFonts w:hint="eastAsia" w:ascii="宋体" w:hAnsi="宋体" w:cs="宋体"/>
          <w:sz w:val="24"/>
        </w:rPr>
      </w:pPr>
      <w:r>
        <w:rPr>
          <w:rFonts w:hint="eastAsia" w:ascii="宋体" w:hAnsi="宋体" w:cs="宋体"/>
          <w:sz w:val="24"/>
        </w:rPr>
        <w:t>地址：               邮编：</w:t>
      </w:r>
    </w:p>
    <w:p w14:paraId="403D1ADA">
      <w:pPr>
        <w:adjustRightInd w:val="0"/>
        <w:snapToGrid w:val="0"/>
        <w:spacing w:line="360" w:lineRule="auto"/>
        <w:rPr>
          <w:rFonts w:hint="eastAsia" w:ascii="宋体" w:hAnsi="宋体" w:cs="宋体"/>
          <w:bCs/>
          <w:sz w:val="24"/>
        </w:rPr>
      </w:pPr>
      <w:r>
        <w:rPr>
          <w:rFonts w:hint="eastAsia" w:ascii="宋体" w:hAnsi="宋体" w:cs="宋体"/>
          <w:bCs/>
          <w:sz w:val="24"/>
        </w:rPr>
        <w:t>二、质疑项目基本情况</w:t>
      </w:r>
    </w:p>
    <w:p w14:paraId="033C0653">
      <w:pPr>
        <w:adjustRightInd w:val="0"/>
        <w:snapToGrid w:val="0"/>
        <w:spacing w:line="360" w:lineRule="auto"/>
        <w:rPr>
          <w:rFonts w:hint="eastAsia" w:ascii="宋体" w:hAnsi="宋体" w:cs="宋体"/>
          <w:sz w:val="24"/>
        </w:rPr>
      </w:pPr>
      <w:r>
        <w:rPr>
          <w:rFonts w:hint="eastAsia" w:ascii="宋体" w:hAnsi="宋体" w:cs="宋体"/>
          <w:sz w:val="24"/>
        </w:rPr>
        <w:t>质疑项目的名称：</w:t>
      </w:r>
    </w:p>
    <w:p w14:paraId="30CB4B8F">
      <w:pPr>
        <w:adjustRightInd w:val="0"/>
        <w:snapToGrid w:val="0"/>
        <w:spacing w:line="360" w:lineRule="auto"/>
        <w:rPr>
          <w:rFonts w:hint="eastAsia" w:ascii="宋体" w:hAnsi="宋体" w:cs="宋体"/>
          <w:sz w:val="24"/>
        </w:rPr>
      </w:pPr>
      <w:r>
        <w:rPr>
          <w:rFonts w:hint="eastAsia" w:ascii="宋体" w:hAnsi="宋体" w:cs="宋体"/>
          <w:sz w:val="24"/>
        </w:rPr>
        <w:t>质疑项目的编号：     包号：</w:t>
      </w:r>
    </w:p>
    <w:p w14:paraId="021E89A4">
      <w:pPr>
        <w:adjustRightInd w:val="0"/>
        <w:snapToGrid w:val="0"/>
        <w:spacing w:line="360" w:lineRule="auto"/>
        <w:rPr>
          <w:rFonts w:hint="eastAsia" w:ascii="宋体" w:hAnsi="宋体" w:cs="宋体"/>
          <w:sz w:val="24"/>
          <w:u w:val="dotted"/>
        </w:rPr>
      </w:pPr>
      <w:r>
        <w:rPr>
          <w:rFonts w:hint="eastAsia" w:ascii="宋体" w:hAnsi="宋体" w:cs="宋体"/>
          <w:sz w:val="24"/>
        </w:rPr>
        <w:t>采购人名称：</w:t>
      </w:r>
    </w:p>
    <w:p w14:paraId="68931724">
      <w:pPr>
        <w:adjustRightInd w:val="0"/>
        <w:snapToGrid w:val="0"/>
        <w:spacing w:line="360" w:lineRule="auto"/>
        <w:rPr>
          <w:rFonts w:hint="eastAsia" w:ascii="宋体" w:hAnsi="宋体" w:cs="宋体"/>
          <w:sz w:val="24"/>
        </w:rPr>
      </w:pPr>
      <w:r>
        <w:rPr>
          <w:rFonts w:hint="eastAsia" w:ascii="宋体" w:hAnsi="宋体" w:cs="宋体"/>
          <w:sz w:val="24"/>
        </w:rPr>
        <w:t>采购文件获取日期：</w:t>
      </w:r>
    </w:p>
    <w:p w14:paraId="6DEBB39E">
      <w:pPr>
        <w:adjustRightInd w:val="0"/>
        <w:snapToGrid w:val="0"/>
        <w:spacing w:line="360" w:lineRule="auto"/>
        <w:rPr>
          <w:rFonts w:hint="eastAsia" w:ascii="宋体" w:hAnsi="宋体" w:cs="宋体"/>
          <w:bCs/>
          <w:sz w:val="24"/>
        </w:rPr>
      </w:pPr>
      <w:r>
        <w:rPr>
          <w:rFonts w:hint="eastAsia" w:ascii="宋体" w:hAnsi="宋体" w:cs="宋体"/>
          <w:bCs/>
          <w:sz w:val="24"/>
        </w:rPr>
        <w:t>三、质疑事项具体内容</w:t>
      </w:r>
    </w:p>
    <w:p w14:paraId="0656A8B1">
      <w:pPr>
        <w:adjustRightInd w:val="0"/>
        <w:snapToGrid w:val="0"/>
        <w:spacing w:line="360" w:lineRule="auto"/>
        <w:rPr>
          <w:rFonts w:hint="eastAsia" w:ascii="宋体" w:hAnsi="宋体" w:cs="宋体"/>
          <w:sz w:val="24"/>
          <w:u w:val="dotted"/>
        </w:rPr>
      </w:pPr>
      <w:r>
        <w:rPr>
          <w:rFonts w:hint="eastAsia" w:ascii="宋体" w:hAnsi="宋体" w:cs="宋体"/>
          <w:sz w:val="24"/>
        </w:rPr>
        <w:t>质疑事项1：</w:t>
      </w:r>
    </w:p>
    <w:p w14:paraId="45923E2E">
      <w:pPr>
        <w:adjustRightInd w:val="0"/>
        <w:snapToGrid w:val="0"/>
        <w:spacing w:line="360" w:lineRule="auto"/>
        <w:rPr>
          <w:rFonts w:hint="eastAsia" w:ascii="宋体" w:hAnsi="宋体" w:cs="宋体"/>
          <w:sz w:val="24"/>
          <w:u w:val="dotted"/>
        </w:rPr>
      </w:pPr>
      <w:r>
        <w:rPr>
          <w:rFonts w:hint="eastAsia" w:ascii="宋体" w:hAnsi="宋体" w:cs="宋体"/>
          <w:sz w:val="24"/>
        </w:rPr>
        <w:t>事实依据：</w:t>
      </w:r>
    </w:p>
    <w:p w14:paraId="1668472D">
      <w:pPr>
        <w:adjustRightInd w:val="0"/>
        <w:snapToGrid w:val="0"/>
        <w:spacing w:line="360" w:lineRule="auto"/>
        <w:rPr>
          <w:rFonts w:hint="eastAsia" w:ascii="宋体" w:hAnsi="宋体" w:cs="宋体"/>
          <w:sz w:val="24"/>
        </w:rPr>
      </w:pPr>
    </w:p>
    <w:p w14:paraId="397F425E">
      <w:pPr>
        <w:adjustRightInd w:val="0"/>
        <w:snapToGrid w:val="0"/>
        <w:spacing w:line="360" w:lineRule="auto"/>
        <w:rPr>
          <w:rFonts w:hint="eastAsia" w:ascii="宋体" w:hAnsi="宋体" w:cs="宋体"/>
          <w:sz w:val="24"/>
          <w:u w:val="dotted"/>
        </w:rPr>
      </w:pPr>
      <w:r>
        <w:rPr>
          <w:rFonts w:hint="eastAsia" w:ascii="宋体" w:hAnsi="宋体" w:cs="宋体"/>
          <w:sz w:val="24"/>
        </w:rPr>
        <w:t>法律依据：</w:t>
      </w:r>
    </w:p>
    <w:p w14:paraId="6221F2C1">
      <w:pPr>
        <w:adjustRightInd w:val="0"/>
        <w:snapToGrid w:val="0"/>
        <w:spacing w:line="360" w:lineRule="auto"/>
        <w:rPr>
          <w:rFonts w:hint="eastAsia" w:ascii="宋体" w:hAnsi="宋体" w:cs="宋体"/>
          <w:sz w:val="24"/>
          <w:u w:val="dotted"/>
        </w:rPr>
      </w:pPr>
    </w:p>
    <w:p w14:paraId="4B6AB173">
      <w:pPr>
        <w:adjustRightInd w:val="0"/>
        <w:snapToGrid w:val="0"/>
        <w:spacing w:line="360" w:lineRule="auto"/>
        <w:rPr>
          <w:rFonts w:hint="eastAsia" w:ascii="宋体" w:hAnsi="宋体" w:cs="宋体"/>
          <w:sz w:val="24"/>
          <w:u w:val="dotted"/>
        </w:rPr>
      </w:pPr>
      <w:r>
        <w:rPr>
          <w:rFonts w:hint="eastAsia" w:ascii="宋体" w:hAnsi="宋体" w:cs="宋体"/>
          <w:sz w:val="24"/>
        </w:rPr>
        <w:t>质疑事项2</w:t>
      </w:r>
    </w:p>
    <w:p w14:paraId="572672BA">
      <w:pPr>
        <w:adjustRightInd w:val="0"/>
        <w:snapToGrid w:val="0"/>
        <w:spacing w:line="360" w:lineRule="auto"/>
        <w:rPr>
          <w:rFonts w:hint="eastAsia" w:ascii="宋体" w:hAnsi="宋体" w:cs="宋体"/>
          <w:sz w:val="24"/>
        </w:rPr>
      </w:pPr>
      <w:r>
        <w:rPr>
          <w:rFonts w:hint="eastAsia" w:ascii="宋体" w:hAnsi="宋体" w:cs="宋体"/>
          <w:sz w:val="24"/>
        </w:rPr>
        <w:t>……</w:t>
      </w:r>
    </w:p>
    <w:p w14:paraId="790C1D43">
      <w:pPr>
        <w:adjustRightInd w:val="0"/>
        <w:snapToGrid w:val="0"/>
        <w:spacing w:line="360" w:lineRule="auto"/>
        <w:rPr>
          <w:rFonts w:hint="eastAsia" w:ascii="宋体" w:hAnsi="宋体" w:cs="宋体"/>
          <w:bCs/>
          <w:sz w:val="24"/>
        </w:rPr>
      </w:pPr>
      <w:r>
        <w:rPr>
          <w:rFonts w:hint="eastAsia" w:ascii="宋体" w:hAnsi="宋体" w:cs="宋体"/>
          <w:bCs/>
          <w:sz w:val="24"/>
        </w:rPr>
        <w:t>四、与质疑事项相关的质疑请求</w:t>
      </w:r>
    </w:p>
    <w:p w14:paraId="60CB8F6B">
      <w:pPr>
        <w:adjustRightInd w:val="0"/>
        <w:snapToGrid w:val="0"/>
        <w:spacing w:line="360" w:lineRule="auto"/>
        <w:rPr>
          <w:rFonts w:hint="eastAsia" w:ascii="宋体" w:hAnsi="宋体" w:cs="宋体"/>
          <w:sz w:val="24"/>
          <w:u w:val="dotted"/>
        </w:rPr>
      </w:pPr>
      <w:r>
        <w:rPr>
          <w:rFonts w:hint="eastAsia" w:ascii="宋体" w:hAnsi="宋体" w:cs="宋体"/>
          <w:sz w:val="24"/>
        </w:rPr>
        <w:t>请求：</w:t>
      </w:r>
    </w:p>
    <w:p w14:paraId="7C49F447">
      <w:pPr>
        <w:adjustRightInd w:val="0"/>
        <w:snapToGrid w:val="0"/>
        <w:spacing w:line="360" w:lineRule="auto"/>
        <w:rPr>
          <w:rFonts w:hint="eastAsia" w:ascii="宋体" w:hAnsi="宋体" w:cs="宋体"/>
          <w:sz w:val="24"/>
        </w:rPr>
      </w:pPr>
      <w:r>
        <w:rPr>
          <w:rFonts w:hint="eastAsia" w:ascii="宋体" w:hAnsi="宋体" w:cs="宋体"/>
          <w:sz w:val="24"/>
        </w:rPr>
        <w:t xml:space="preserve">签字(签章)：                   公章：                      </w:t>
      </w:r>
    </w:p>
    <w:p w14:paraId="3C2D4406">
      <w:pPr>
        <w:adjustRightInd w:val="0"/>
        <w:snapToGrid w:val="0"/>
        <w:spacing w:line="360" w:lineRule="auto"/>
        <w:rPr>
          <w:rFonts w:hint="eastAsia" w:ascii="宋体" w:hAnsi="宋体" w:cs="宋体"/>
          <w:sz w:val="24"/>
        </w:rPr>
      </w:pPr>
      <w:r>
        <w:rPr>
          <w:rFonts w:hint="eastAsia" w:ascii="宋体" w:hAnsi="宋体" w:cs="宋体"/>
          <w:sz w:val="24"/>
        </w:rPr>
        <w:t xml:space="preserve">日期：    </w:t>
      </w:r>
    </w:p>
    <w:p w14:paraId="2F977A50">
      <w:pPr>
        <w:adjustRightInd w:val="0"/>
        <w:snapToGrid w:val="0"/>
        <w:spacing w:line="360" w:lineRule="auto"/>
        <w:rPr>
          <w:rFonts w:hint="eastAsia" w:ascii="宋体" w:hAnsi="宋体" w:cs="宋体"/>
          <w:sz w:val="32"/>
          <w:szCs w:val="32"/>
        </w:rPr>
      </w:pPr>
    </w:p>
    <w:p w14:paraId="613C2AA0">
      <w:pPr>
        <w:adjustRightInd w:val="0"/>
        <w:snapToGrid w:val="0"/>
        <w:spacing w:line="360" w:lineRule="auto"/>
        <w:rPr>
          <w:rFonts w:hint="eastAsia" w:ascii="宋体" w:hAnsi="宋体" w:cs="宋体"/>
          <w:b/>
          <w:sz w:val="32"/>
          <w:szCs w:val="32"/>
        </w:rPr>
      </w:pPr>
    </w:p>
    <w:p w14:paraId="5C3C149D">
      <w:pPr>
        <w:adjustRightInd w:val="0"/>
        <w:snapToGrid w:val="0"/>
        <w:spacing w:line="360" w:lineRule="auto"/>
        <w:rPr>
          <w:rFonts w:hint="eastAsia" w:ascii="宋体" w:hAnsi="宋体" w:cs="宋体"/>
          <w:b/>
          <w:sz w:val="32"/>
          <w:szCs w:val="32"/>
        </w:rPr>
      </w:pPr>
      <w:r>
        <w:rPr>
          <w:rFonts w:hint="eastAsia" w:ascii="宋体" w:hAnsi="宋体" w:cs="宋体"/>
          <w:b/>
          <w:sz w:val="32"/>
          <w:szCs w:val="32"/>
        </w:rPr>
        <w:br w:type="page"/>
      </w:r>
    </w:p>
    <w:p w14:paraId="07EFB8BC">
      <w:pPr>
        <w:adjustRightInd w:val="0"/>
        <w:snapToGrid w:val="0"/>
        <w:spacing w:line="360" w:lineRule="auto"/>
        <w:rPr>
          <w:rFonts w:hint="eastAsia" w:ascii="宋体" w:hAnsi="宋体" w:cs="宋体"/>
          <w:b/>
          <w:sz w:val="32"/>
          <w:szCs w:val="32"/>
        </w:rPr>
      </w:pPr>
      <w:r>
        <w:rPr>
          <w:rFonts w:hint="eastAsia" w:ascii="宋体" w:hAnsi="宋体" w:cs="宋体"/>
          <w:b/>
          <w:sz w:val="32"/>
          <w:szCs w:val="32"/>
        </w:rPr>
        <w:t>质疑函制作说明：</w:t>
      </w:r>
    </w:p>
    <w:p w14:paraId="128EB4C7">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1.供应商提出质疑时，应提交质疑函和必要的证明材料。</w:t>
      </w:r>
    </w:p>
    <w:p w14:paraId="07B9FDC7">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054979B6">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3.质疑供应商若对项目的某一分包进行质疑，质疑函中应列明具体分包号。</w:t>
      </w:r>
    </w:p>
    <w:p w14:paraId="6ECEFA5B">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4.质疑函的质疑事项应具体、明确，并有必要的事实依据和法律依据。</w:t>
      </w:r>
    </w:p>
    <w:p w14:paraId="15675A97">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5.质疑函的质疑请求应与质疑事项相关。</w:t>
      </w:r>
    </w:p>
    <w:p w14:paraId="390B0B21">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77B6B445">
      <w:pPr>
        <w:widowControl/>
        <w:jc w:val="left"/>
        <w:rPr>
          <w:rFonts w:hint="eastAsia" w:ascii="宋体" w:hAnsi="宋体" w:cs="宋体"/>
          <w:b/>
          <w:bCs/>
          <w:sz w:val="36"/>
          <w:szCs w:val="36"/>
        </w:rPr>
      </w:pPr>
      <w:r>
        <w:rPr>
          <w:rFonts w:hint="eastAsia" w:ascii="宋体" w:hAnsi="宋体" w:cs="宋体"/>
          <w:b/>
          <w:bCs/>
          <w:sz w:val="36"/>
          <w:szCs w:val="36"/>
        </w:rPr>
        <w:br w:type="page"/>
      </w:r>
    </w:p>
    <w:p w14:paraId="372EBF9E">
      <w:pPr>
        <w:autoSpaceDE w:val="0"/>
        <w:autoSpaceDN w:val="0"/>
        <w:adjustRightInd w:val="0"/>
        <w:snapToGrid w:val="0"/>
        <w:ind w:left="4513" w:right="210" w:hanging="4513"/>
        <w:jc w:val="center"/>
        <w:rPr>
          <w:rFonts w:hint="eastAsia" w:ascii="宋体" w:hAnsi="宋体" w:cs="宋体"/>
          <w:b/>
          <w:bCs/>
          <w:sz w:val="36"/>
          <w:szCs w:val="36"/>
          <w:lang w:val="zh-CN"/>
        </w:rPr>
      </w:pPr>
      <w:r>
        <w:rPr>
          <w:rFonts w:hint="eastAsia" w:ascii="宋体" w:hAnsi="宋体" w:cs="宋体"/>
          <w:b/>
          <w:bCs/>
          <w:sz w:val="36"/>
          <w:szCs w:val="36"/>
          <w:lang w:val="zh-CN"/>
        </w:rPr>
        <w:t>第七部分  响应文件组成</w:t>
      </w:r>
    </w:p>
    <w:p w14:paraId="1779D051">
      <w:pPr>
        <w:snapToGrid w:val="0"/>
        <w:spacing w:line="440" w:lineRule="exact"/>
        <w:ind w:firstLine="458" w:firstLineChars="200"/>
        <w:jc w:val="left"/>
        <w:rPr>
          <w:rFonts w:hint="eastAsia" w:ascii="宋体" w:hAnsi="宋体" w:cs="宋体"/>
          <w:b/>
          <w:spacing w:val="-6"/>
          <w:sz w:val="24"/>
        </w:rPr>
      </w:pPr>
      <w:r>
        <w:rPr>
          <w:rFonts w:hint="eastAsia" w:ascii="宋体" w:hAnsi="宋体" w:cs="宋体"/>
          <w:b/>
          <w:spacing w:val="-6"/>
          <w:sz w:val="24"/>
        </w:rPr>
        <w:t>响应文件由资格审查、商务技术文件、价格响应文件、电子版响应文件四</w:t>
      </w:r>
      <w:r>
        <w:rPr>
          <w:rFonts w:hint="eastAsia" w:ascii="宋体" w:hAnsi="宋体" w:cs="宋体"/>
          <w:b/>
          <w:sz w:val="24"/>
        </w:rPr>
        <w:t>部分组成</w:t>
      </w:r>
      <w:r>
        <w:rPr>
          <w:rFonts w:hint="eastAsia" w:ascii="宋体" w:hAnsi="宋体" w:cs="宋体"/>
          <w:b/>
          <w:spacing w:val="-6"/>
          <w:sz w:val="24"/>
        </w:rPr>
        <w:t>。</w:t>
      </w:r>
    </w:p>
    <w:p w14:paraId="37396494">
      <w:pPr>
        <w:snapToGrid w:val="0"/>
        <w:spacing w:line="440" w:lineRule="exact"/>
        <w:ind w:firstLine="482" w:firstLineChars="200"/>
        <w:contextualSpacing/>
        <w:rPr>
          <w:rFonts w:hint="eastAsia" w:ascii="宋体" w:hAnsi="宋体" w:cs="宋体"/>
          <w:b/>
          <w:sz w:val="24"/>
        </w:rPr>
      </w:pPr>
      <w:r>
        <w:rPr>
          <w:rFonts w:hint="eastAsia" w:ascii="宋体" w:hAnsi="宋体" w:cs="宋体"/>
          <w:b/>
          <w:sz w:val="24"/>
        </w:rPr>
        <w:t>一、资格审查</w:t>
      </w:r>
    </w:p>
    <w:p w14:paraId="2FD4619A">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1.资格声明函原件；</w:t>
      </w:r>
    </w:p>
    <w:p w14:paraId="01B110A3">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2.授权委托书或法定代表人身份证明原件；</w:t>
      </w:r>
    </w:p>
    <w:p w14:paraId="00D7FFD5">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3.供应商信用承诺书原件；</w:t>
      </w:r>
    </w:p>
    <w:p w14:paraId="797E2DD9">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4.《中小企业声明函》等原件（如有）</w:t>
      </w:r>
      <w:r>
        <w:rPr>
          <w:rFonts w:hint="eastAsia" w:ascii="宋体" w:hAnsi="宋体" w:cs="宋体"/>
          <w:sz w:val="24"/>
          <w:lang w:val="zh-CN"/>
        </w:rPr>
        <w:t>；</w:t>
      </w:r>
    </w:p>
    <w:p w14:paraId="78B1D9C1">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5.供应商基本情况表及按竞争性磋商公告资格要求提供相应的佐证材料（以下材料均须提供复印件（或扫描件）并加盖公章）；</w:t>
      </w:r>
    </w:p>
    <w:p w14:paraId="59FBBEEB">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（1）企业法人营业执照或事业单位法人登记证明或社会组织或其他组织或自然人证明材料；</w:t>
      </w:r>
    </w:p>
    <w:p w14:paraId="29D81650">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（2）提供进入“全国投资项目在线审批监管平台”中的工程咨询单位名录查询截图；</w:t>
      </w:r>
    </w:p>
    <w:p w14:paraId="6D9EAD95">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（3）提供《拟投入本项目主要人员情况汇总表》；</w:t>
      </w:r>
    </w:p>
    <w:p w14:paraId="7D4BE35A">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6.其它需要提交的资格审查材料。</w:t>
      </w:r>
    </w:p>
    <w:p w14:paraId="635DF731">
      <w:pPr>
        <w:snapToGrid w:val="0"/>
        <w:spacing w:line="440" w:lineRule="exact"/>
        <w:ind w:firstLine="482" w:firstLineChars="200"/>
        <w:contextualSpacing/>
        <w:rPr>
          <w:rFonts w:hint="eastAsia" w:ascii="宋体" w:hAnsi="宋体" w:cs="宋体"/>
          <w:b/>
          <w:sz w:val="24"/>
        </w:rPr>
      </w:pPr>
      <w:r>
        <w:rPr>
          <w:rFonts w:hint="eastAsia" w:ascii="宋体" w:hAnsi="宋体" w:cs="宋体"/>
          <w:b/>
          <w:sz w:val="24"/>
        </w:rPr>
        <w:t>二、商务技术文件</w:t>
      </w:r>
    </w:p>
    <w:p w14:paraId="26E10A9D">
      <w:pPr>
        <w:pStyle w:val="30"/>
        <w:spacing w:line="440" w:lineRule="exact"/>
        <w:ind w:firstLine="494"/>
        <w:rPr>
          <w:rFonts w:hint="eastAsia" w:ascii="宋体" w:eastAsia="宋体" w:cs="宋体"/>
          <w:sz w:val="24"/>
          <w:szCs w:val="24"/>
        </w:rPr>
      </w:pPr>
      <w:r>
        <w:rPr>
          <w:rFonts w:hint="eastAsia" w:ascii="宋体" w:eastAsia="宋体" w:cs="宋体"/>
          <w:sz w:val="24"/>
          <w:szCs w:val="24"/>
        </w:rPr>
        <w:t>为方便评委评审，请供应商按评审办法中所涉及的事项顺序进行编制，可以补充相关材料。（以下均须提供扫描件（或复印件）并加盖公章。）</w:t>
      </w:r>
    </w:p>
    <w:p w14:paraId="2260ED86">
      <w:pPr>
        <w:pStyle w:val="30"/>
        <w:spacing w:line="440" w:lineRule="exact"/>
        <w:ind w:firstLine="494"/>
        <w:rPr>
          <w:rFonts w:hint="eastAsia" w:ascii="宋体" w:eastAsia="宋体" w:cs="宋体"/>
          <w:sz w:val="24"/>
          <w:szCs w:val="24"/>
        </w:rPr>
      </w:pPr>
      <w:r>
        <w:rPr>
          <w:rFonts w:hint="eastAsia" w:ascii="宋体" w:eastAsia="宋体" w:cs="宋体"/>
          <w:sz w:val="24"/>
          <w:szCs w:val="24"/>
        </w:rPr>
        <w:t>1.竞争性磋商响应函；</w:t>
      </w:r>
    </w:p>
    <w:p w14:paraId="7B84E1E7">
      <w:pPr>
        <w:pStyle w:val="30"/>
        <w:spacing w:line="440" w:lineRule="exact"/>
        <w:ind w:firstLine="494"/>
        <w:rPr>
          <w:rFonts w:hint="eastAsia" w:ascii="宋体" w:eastAsia="宋体" w:cs="宋体"/>
          <w:sz w:val="24"/>
          <w:szCs w:val="24"/>
        </w:rPr>
      </w:pPr>
      <w:r>
        <w:rPr>
          <w:rFonts w:hint="eastAsia" w:ascii="宋体" w:eastAsia="宋体" w:cs="宋体"/>
          <w:sz w:val="24"/>
          <w:szCs w:val="24"/>
        </w:rPr>
        <w:t>2.评标办法中所涉及的事项需提供的所有资料；</w:t>
      </w:r>
    </w:p>
    <w:p w14:paraId="33DB4BE9">
      <w:pPr>
        <w:pStyle w:val="30"/>
        <w:spacing w:line="440" w:lineRule="exact"/>
        <w:ind w:firstLine="494"/>
        <w:rPr>
          <w:rFonts w:hint="eastAsia" w:ascii="宋体" w:eastAsia="宋体" w:cs="宋体"/>
          <w:sz w:val="24"/>
          <w:szCs w:val="24"/>
        </w:rPr>
      </w:pPr>
      <w:r>
        <w:rPr>
          <w:rFonts w:hint="eastAsia" w:ascii="宋体" w:eastAsia="宋体" w:cs="宋体"/>
          <w:sz w:val="24"/>
          <w:szCs w:val="24"/>
        </w:rPr>
        <w:t>3.评标办法中未涉及的事项，供应商认为需要提交的其他资料；</w:t>
      </w:r>
    </w:p>
    <w:p w14:paraId="7EFC002F">
      <w:pPr>
        <w:pStyle w:val="30"/>
        <w:spacing w:line="440" w:lineRule="exact"/>
        <w:ind w:firstLine="494"/>
        <w:rPr>
          <w:rFonts w:hint="eastAsia" w:ascii="宋体" w:eastAsia="宋体" w:cs="宋体"/>
          <w:sz w:val="24"/>
          <w:szCs w:val="24"/>
        </w:rPr>
      </w:pPr>
      <w:r>
        <w:rPr>
          <w:rFonts w:hint="eastAsia" w:ascii="宋体" w:eastAsia="宋体" w:cs="宋体"/>
          <w:sz w:val="24"/>
          <w:szCs w:val="24"/>
        </w:rPr>
        <w:t>4.竞争性磋商文件中要求提供的其他材料。</w:t>
      </w:r>
    </w:p>
    <w:p w14:paraId="24A00369">
      <w:pPr>
        <w:snapToGrid w:val="0"/>
        <w:spacing w:line="440" w:lineRule="exact"/>
        <w:ind w:firstLine="482" w:firstLineChars="200"/>
        <w:contextualSpacing/>
        <w:rPr>
          <w:rFonts w:hint="eastAsia" w:ascii="宋体" w:hAnsi="宋体" w:cs="宋体"/>
          <w:b/>
          <w:sz w:val="24"/>
        </w:rPr>
      </w:pPr>
      <w:r>
        <w:rPr>
          <w:rFonts w:hint="eastAsia" w:ascii="宋体" w:hAnsi="宋体" w:cs="宋体"/>
          <w:b/>
          <w:sz w:val="24"/>
        </w:rPr>
        <w:t>三、价格响应文件</w:t>
      </w:r>
    </w:p>
    <w:p w14:paraId="29AFA232">
      <w:pPr>
        <w:pStyle w:val="30"/>
        <w:adjustRightInd w:val="0"/>
        <w:snapToGrid w:val="0"/>
        <w:spacing w:line="360" w:lineRule="auto"/>
        <w:ind w:firstLine="480" w:firstLineChars="200"/>
        <w:rPr>
          <w:rFonts w:hint="eastAsia" w:ascii="宋体" w:eastAsia="宋体" w:cs="宋体"/>
          <w:sz w:val="24"/>
          <w:szCs w:val="24"/>
        </w:rPr>
      </w:pPr>
      <w:r>
        <w:rPr>
          <w:rFonts w:hint="eastAsia" w:ascii="宋体" w:eastAsia="宋体" w:cs="宋体"/>
          <w:sz w:val="24"/>
          <w:szCs w:val="24"/>
        </w:rPr>
        <w:t>1.磋商报价总表；</w:t>
      </w:r>
    </w:p>
    <w:p w14:paraId="51EE23D7">
      <w:pPr>
        <w:pStyle w:val="30"/>
        <w:adjustRightInd w:val="0"/>
        <w:snapToGrid w:val="0"/>
        <w:spacing w:line="360" w:lineRule="auto"/>
        <w:ind w:firstLine="480" w:firstLineChars="200"/>
        <w:rPr>
          <w:rFonts w:hint="eastAsia" w:ascii="宋体" w:eastAsia="宋体" w:cs="宋体"/>
          <w:sz w:val="24"/>
          <w:szCs w:val="24"/>
        </w:rPr>
      </w:pPr>
      <w:r>
        <w:rPr>
          <w:rFonts w:hint="eastAsia" w:ascii="宋体" w:eastAsia="宋体" w:cs="宋体"/>
          <w:sz w:val="24"/>
          <w:szCs w:val="24"/>
        </w:rPr>
        <w:t>2.分项报价明细表。</w:t>
      </w:r>
    </w:p>
    <w:p w14:paraId="37E1DA7B">
      <w:pPr>
        <w:adjustRightInd w:val="0"/>
        <w:snapToGrid w:val="0"/>
        <w:spacing w:line="360" w:lineRule="auto"/>
        <w:ind w:firstLine="482" w:firstLineChars="200"/>
        <w:rPr>
          <w:rFonts w:hint="eastAsia" w:ascii="宋体" w:hAnsi="宋体" w:cs="宋体"/>
          <w:b/>
          <w:kern w:val="0"/>
          <w:sz w:val="24"/>
          <w:lang w:val="zh-CN"/>
        </w:rPr>
      </w:pPr>
      <w:r>
        <w:rPr>
          <w:rFonts w:hint="eastAsia" w:ascii="宋体" w:hAnsi="宋体" w:cs="宋体"/>
          <w:b/>
          <w:kern w:val="0"/>
          <w:sz w:val="24"/>
          <w:lang w:val="zh-CN"/>
        </w:rPr>
        <w:t>注：本表各分项报价合计应当与磋商报价总表报价合计相等。请各供应商务必按照以上要求填报，否则作为无效投标处理。</w:t>
      </w:r>
    </w:p>
    <w:p w14:paraId="6E875F52">
      <w:pPr>
        <w:tabs>
          <w:tab w:val="left" w:pos="3375"/>
        </w:tabs>
        <w:adjustRightInd w:val="0"/>
        <w:snapToGrid w:val="0"/>
        <w:spacing w:line="360" w:lineRule="auto"/>
        <w:ind w:firstLine="482" w:firstLineChars="200"/>
        <w:rPr>
          <w:rFonts w:hint="eastAsia" w:ascii="宋体" w:hAnsi="宋体" w:cs="宋体"/>
          <w:sz w:val="24"/>
        </w:rPr>
      </w:pPr>
      <w:r>
        <w:rPr>
          <w:rFonts w:hint="eastAsia" w:ascii="宋体" w:hAnsi="宋体" w:cs="宋体"/>
          <w:b/>
          <w:kern w:val="0"/>
          <w:sz w:val="24"/>
          <w:lang w:val="zh-CN"/>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5A60C74C">
      <w:pPr>
        <w:tabs>
          <w:tab w:val="left" w:pos="3375"/>
        </w:tabs>
        <w:autoSpaceDE w:val="0"/>
        <w:autoSpaceDN w:val="0"/>
        <w:adjustRightInd w:val="0"/>
        <w:snapToGrid w:val="0"/>
        <w:spacing w:line="440" w:lineRule="exact"/>
        <w:ind w:firstLine="482" w:firstLineChars="200"/>
        <w:rPr>
          <w:rFonts w:hint="eastAsia" w:ascii="宋体" w:hAnsi="宋体" w:cs="宋体"/>
          <w:b/>
          <w:sz w:val="24"/>
        </w:rPr>
      </w:pPr>
      <w:r>
        <w:rPr>
          <w:rFonts w:hint="eastAsia" w:ascii="宋体" w:hAnsi="宋体" w:cs="宋体"/>
          <w:b/>
          <w:sz w:val="24"/>
        </w:rPr>
        <w:t>四、电子版响应文件</w:t>
      </w:r>
    </w:p>
    <w:p w14:paraId="4DCA87D9">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电子版响应文件（</w:t>
      </w:r>
      <w:r>
        <w:rPr>
          <w:rFonts w:hint="eastAsia" w:ascii="宋体" w:hAnsi="宋体" w:cs="宋体"/>
          <w:b/>
          <w:bCs/>
          <w:sz w:val="24"/>
        </w:rPr>
        <w:t>按“第二部分 磋商须知”中电子版响应文件要求</w:t>
      </w:r>
      <w:r>
        <w:rPr>
          <w:rFonts w:hint="eastAsia" w:ascii="宋体" w:hAnsi="宋体" w:cs="宋体"/>
          <w:b/>
          <w:bCs/>
          <w:sz w:val="24"/>
          <w:lang w:val="zh-CN"/>
        </w:rPr>
        <w:t>提供</w:t>
      </w:r>
      <w:r>
        <w:rPr>
          <w:rFonts w:hint="eastAsia" w:ascii="宋体" w:hAnsi="宋体" w:cs="宋体"/>
          <w:b/>
          <w:sz w:val="24"/>
        </w:rPr>
        <w:t>）</w:t>
      </w:r>
      <w:r>
        <w:rPr>
          <w:rFonts w:hint="eastAsia" w:ascii="宋体" w:hAnsi="宋体" w:cs="宋体"/>
          <w:sz w:val="24"/>
        </w:rPr>
        <w:t>。</w:t>
      </w:r>
    </w:p>
    <w:p w14:paraId="6DCA767B">
      <w:pPr>
        <w:tabs>
          <w:tab w:val="left" w:pos="3375"/>
        </w:tabs>
        <w:autoSpaceDE w:val="0"/>
        <w:autoSpaceDN w:val="0"/>
        <w:adjustRightInd w:val="0"/>
        <w:snapToGrid w:val="0"/>
        <w:spacing w:line="440" w:lineRule="exact"/>
        <w:ind w:firstLine="480" w:firstLineChars="200"/>
        <w:contextualSpacing/>
        <w:rPr>
          <w:rFonts w:hint="eastAsia" w:ascii="宋体" w:hAnsi="宋体" w:cs="宋体"/>
          <w:sz w:val="24"/>
        </w:rPr>
      </w:pPr>
      <w:r>
        <w:rPr>
          <w:rFonts w:hint="eastAsia" w:ascii="宋体" w:hAnsi="宋体" w:cs="宋体"/>
          <w:sz w:val="24"/>
        </w:rPr>
        <w:t>电子版响应文件不得设置密码并保证无病毒。</w:t>
      </w:r>
    </w:p>
    <w:p w14:paraId="0B30470C">
      <w:pPr>
        <w:tabs>
          <w:tab w:val="left" w:pos="3375"/>
        </w:tabs>
        <w:autoSpaceDE w:val="0"/>
        <w:autoSpaceDN w:val="0"/>
        <w:adjustRightInd w:val="0"/>
        <w:snapToGrid w:val="0"/>
        <w:spacing w:line="440" w:lineRule="exact"/>
        <w:contextualSpacing/>
        <w:rPr>
          <w:rFonts w:hint="eastAsia" w:ascii="宋体" w:hAnsi="宋体" w:cs="宋体"/>
          <w:sz w:val="28"/>
          <w:szCs w:val="28"/>
        </w:rPr>
      </w:pPr>
      <w:r>
        <w:rPr>
          <w:rFonts w:hint="eastAsia" w:ascii="宋体" w:hAnsi="宋体" w:cs="宋体"/>
          <w:sz w:val="24"/>
        </w:rPr>
        <w:br w:type="page"/>
      </w:r>
      <w:r>
        <w:rPr>
          <w:rFonts w:hint="eastAsia" w:ascii="宋体" w:hAnsi="宋体" w:cs="宋体"/>
          <w:sz w:val="28"/>
          <w:szCs w:val="28"/>
        </w:rPr>
        <w:t>第一部分格式：</w:t>
      </w:r>
    </w:p>
    <w:p w14:paraId="56223C4C">
      <w:pPr>
        <w:tabs>
          <w:tab w:val="left" w:pos="159"/>
        </w:tabs>
        <w:rPr>
          <w:rFonts w:hint="eastAsia" w:ascii="宋体" w:hAnsi="宋体" w:cs="宋体"/>
          <w:sz w:val="28"/>
          <w:szCs w:val="28"/>
        </w:rPr>
      </w:pPr>
    </w:p>
    <w:p w14:paraId="7A701E80">
      <w:pPr>
        <w:snapToGrid w:val="0"/>
        <w:spacing w:line="300" w:lineRule="auto"/>
        <w:ind w:firstLine="906" w:firstLineChars="206"/>
        <w:contextualSpacing/>
        <w:rPr>
          <w:rFonts w:hint="eastAsia" w:ascii="宋体" w:hAnsi="宋体" w:cs="宋体"/>
          <w:sz w:val="44"/>
          <w:szCs w:val="44"/>
        </w:rPr>
      </w:pPr>
    </w:p>
    <w:p w14:paraId="3A4F0E1C">
      <w:pPr>
        <w:autoSpaceDE w:val="0"/>
        <w:autoSpaceDN w:val="0"/>
        <w:adjustRightInd w:val="0"/>
        <w:jc w:val="center"/>
        <w:rPr>
          <w:rFonts w:hint="eastAsia" w:ascii="宋体" w:hAnsi="宋体" w:cs="宋体"/>
          <w:b/>
          <w:sz w:val="44"/>
          <w:szCs w:val="44"/>
        </w:rPr>
      </w:pPr>
      <w:r>
        <w:rPr>
          <w:rFonts w:hint="eastAsia" w:ascii="宋体" w:hAnsi="宋体" w:cs="宋体"/>
          <w:b/>
          <w:sz w:val="44"/>
          <w:szCs w:val="44"/>
        </w:rPr>
        <w:t>204国道通州段周边路网衔接方案研究项目（政府采购工程）</w:t>
      </w:r>
    </w:p>
    <w:p w14:paraId="05DD1A86">
      <w:pPr>
        <w:tabs>
          <w:tab w:val="left" w:pos="6300"/>
        </w:tabs>
        <w:snapToGrid w:val="0"/>
        <w:spacing w:line="300" w:lineRule="auto"/>
        <w:jc w:val="center"/>
        <w:rPr>
          <w:rFonts w:hint="eastAsia" w:ascii="宋体" w:hAnsi="宋体" w:cs="宋体"/>
          <w:b/>
          <w:w w:val="80"/>
          <w:sz w:val="32"/>
          <w:szCs w:val="32"/>
        </w:rPr>
      </w:pPr>
    </w:p>
    <w:p w14:paraId="0E4F2BB3">
      <w:pPr>
        <w:tabs>
          <w:tab w:val="left" w:pos="6300"/>
        </w:tabs>
        <w:snapToGrid w:val="0"/>
        <w:spacing w:line="300" w:lineRule="auto"/>
        <w:ind w:firstLine="3087" w:firstLineChars="1200"/>
        <w:rPr>
          <w:rFonts w:hint="eastAsia" w:ascii="宋体" w:hAnsi="宋体" w:cs="宋体"/>
          <w:b/>
          <w:w w:val="80"/>
          <w:sz w:val="32"/>
          <w:szCs w:val="32"/>
        </w:rPr>
      </w:pPr>
      <w:r>
        <w:rPr>
          <w:rFonts w:hint="eastAsia" w:ascii="宋体" w:hAnsi="宋体" w:cs="宋体"/>
          <w:b/>
          <w:w w:val="80"/>
          <w:sz w:val="32"/>
          <w:szCs w:val="32"/>
        </w:rPr>
        <w:t>项目编号：2026LWXJ</w:t>
      </w:r>
    </w:p>
    <w:p w14:paraId="0E4C1B2B">
      <w:pPr>
        <w:tabs>
          <w:tab w:val="left" w:pos="6300"/>
        </w:tabs>
        <w:snapToGrid w:val="0"/>
        <w:spacing w:line="300" w:lineRule="auto"/>
        <w:ind w:firstLine="3087" w:firstLineChars="1200"/>
        <w:rPr>
          <w:rFonts w:hint="eastAsia" w:ascii="宋体" w:hAnsi="宋体" w:cs="宋体"/>
          <w:b/>
          <w:w w:val="80"/>
          <w:sz w:val="32"/>
          <w:szCs w:val="32"/>
        </w:rPr>
      </w:pPr>
      <w:r>
        <w:rPr>
          <w:rFonts w:hint="eastAsia" w:ascii="宋体" w:hAnsi="宋体" w:cs="宋体"/>
          <w:b/>
          <w:w w:val="80"/>
          <w:sz w:val="32"/>
          <w:szCs w:val="32"/>
        </w:rPr>
        <w:t>档案编号：20261102</w:t>
      </w:r>
    </w:p>
    <w:p w14:paraId="18BAE963">
      <w:pPr>
        <w:tabs>
          <w:tab w:val="left" w:pos="6300"/>
        </w:tabs>
        <w:snapToGrid w:val="0"/>
        <w:spacing w:line="300" w:lineRule="auto"/>
        <w:jc w:val="center"/>
        <w:rPr>
          <w:rFonts w:hint="eastAsia" w:ascii="宋体" w:hAnsi="宋体" w:cs="宋体"/>
          <w:b/>
          <w:w w:val="80"/>
          <w:sz w:val="32"/>
          <w:szCs w:val="32"/>
        </w:rPr>
      </w:pPr>
    </w:p>
    <w:p w14:paraId="5598273F">
      <w:pPr>
        <w:spacing w:after="60" w:line="360" w:lineRule="auto"/>
        <w:ind w:firstLine="0" w:firstLineChars="0"/>
        <w:jc w:val="center"/>
        <w:rPr>
          <w:rFonts w:hint="eastAsia" w:ascii="宋体" w:hAnsi="宋体" w:cs="宋体"/>
          <w:b/>
          <w:bCs/>
          <w:sz w:val="32"/>
          <w:szCs w:val="32"/>
        </w:rPr>
      </w:pPr>
      <w:r>
        <w:rPr>
          <w:rFonts w:hint="eastAsia" w:ascii="宋体" w:hAnsi="宋体" w:cs="宋体"/>
          <w:b/>
          <w:bCs/>
          <w:sz w:val="32"/>
          <w:szCs w:val="32"/>
        </w:rPr>
        <w:t>响应文件</w:t>
      </w:r>
    </w:p>
    <w:p w14:paraId="49268323">
      <w:pPr>
        <w:spacing w:after="60" w:line="360" w:lineRule="auto"/>
        <w:jc w:val="center"/>
        <w:rPr>
          <w:rFonts w:hint="eastAsia" w:ascii="宋体" w:hAnsi="宋体" w:cs="宋体"/>
          <w:b/>
          <w:bCs/>
          <w:sz w:val="32"/>
          <w:szCs w:val="32"/>
        </w:rPr>
      </w:pPr>
      <w:r>
        <w:rPr>
          <w:rFonts w:hint="eastAsia" w:ascii="宋体" w:hAnsi="宋体" w:cs="宋体"/>
          <w:b/>
          <w:bCs/>
          <w:sz w:val="32"/>
          <w:szCs w:val="32"/>
        </w:rPr>
        <w:t>（资格审查文件）</w:t>
      </w:r>
    </w:p>
    <w:p w14:paraId="6581BB17">
      <w:pPr>
        <w:spacing w:after="60"/>
        <w:jc w:val="center"/>
        <w:rPr>
          <w:rFonts w:hint="eastAsia" w:ascii="宋体" w:hAnsi="宋体" w:cs="宋体"/>
          <w:b/>
          <w:bCs/>
          <w:sz w:val="72"/>
          <w:szCs w:val="72"/>
        </w:rPr>
      </w:pPr>
    </w:p>
    <w:p w14:paraId="3CF35858">
      <w:pPr>
        <w:spacing w:after="60"/>
        <w:jc w:val="center"/>
        <w:rPr>
          <w:rFonts w:hint="eastAsia" w:ascii="宋体" w:hAnsi="宋体" w:cs="宋体"/>
          <w:b/>
          <w:bCs/>
          <w:sz w:val="72"/>
          <w:szCs w:val="72"/>
        </w:rPr>
      </w:pPr>
    </w:p>
    <w:p w14:paraId="5E90EC87">
      <w:pPr>
        <w:spacing w:after="60"/>
        <w:jc w:val="center"/>
        <w:rPr>
          <w:rFonts w:hint="eastAsia" w:ascii="宋体" w:hAnsi="宋体" w:cs="宋体"/>
          <w:b/>
          <w:bCs/>
          <w:sz w:val="72"/>
          <w:szCs w:val="72"/>
        </w:rPr>
      </w:pPr>
    </w:p>
    <w:p w14:paraId="78CED899">
      <w:pPr>
        <w:spacing w:after="60"/>
        <w:jc w:val="center"/>
        <w:rPr>
          <w:rFonts w:hint="eastAsia" w:ascii="宋体" w:hAnsi="宋体" w:cs="宋体"/>
          <w:b/>
          <w:bCs/>
          <w:sz w:val="72"/>
          <w:szCs w:val="72"/>
        </w:rPr>
      </w:pPr>
    </w:p>
    <w:p w14:paraId="32585274">
      <w:pPr>
        <w:pStyle w:val="17"/>
        <w:ind w:left="0" w:leftChars="0" w:firstLine="0" w:firstLineChars="0"/>
        <w:rPr>
          <w:rFonts w:hint="eastAsia" w:ascii="宋体" w:hAnsi="宋体" w:cs="宋体"/>
          <w:b/>
          <w:bCs/>
          <w:sz w:val="72"/>
          <w:szCs w:val="72"/>
        </w:rPr>
      </w:pPr>
    </w:p>
    <w:p w14:paraId="01600323">
      <w:pPr>
        <w:spacing w:after="60"/>
        <w:jc w:val="center"/>
        <w:rPr>
          <w:rFonts w:hint="eastAsia" w:ascii="宋体" w:hAnsi="宋体" w:cs="宋体"/>
          <w:b/>
          <w:bCs/>
          <w:sz w:val="72"/>
          <w:szCs w:val="72"/>
        </w:rPr>
      </w:pPr>
    </w:p>
    <w:p w14:paraId="5B6504C5">
      <w:pPr>
        <w:spacing w:line="480" w:lineRule="auto"/>
        <w:ind w:firstLine="482" w:firstLineChars="200"/>
        <w:rPr>
          <w:rFonts w:hint="eastAsia" w:ascii="宋体" w:hAnsi="宋体" w:cs="宋体"/>
          <w:b/>
          <w:sz w:val="24"/>
        </w:rPr>
      </w:pPr>
      <w:r>
        <w:rPr>
          <w:rFonts w:hint="eastAsia" w:ascii="宋体" w:hAnsi="宋体" w:cs="宋体"/>
          <w:b/>
          <w:sz w:val="24"/>
        </w:rPr>
        <w:t>供应商（盖公章）：</w:t>
      </w:r>
      <w:r>
        <w:rPr>
          <w:rFonts w:hint="eastAsia" w:ascii="宋体" w:hAnsi="宋体" w:cs="宋体"/>
          <w:b/>
          <w:sz w:val="24"/>
          <w:u w:val="single"/>
        </w:rPr>
        <w:t xml:space="preserve">                            </w:t>
      </w:r>
    </w:p>
    <w:p w14:paraId="4D74D61B">
      <w:pPr>
        <w:spacing w:line="480" w:lineRule="auto"/>
        <w:ind w:firstLine="482" w:firstLineChars="200"/>
        <w:rPr>
          <w:rFonts w:hint="eastAsia" w:ascii="宋体" w:hAnsi="宋体" w:cs="宋体"/>
          <w:b/>
          <w:sz w:val="24"/>
          <w:u w:val="single"/>
        </w:rPr>
      </w:pPr>
      <w:r>
        <w:rPr>
          <w:rFonts w:hint="eastAsia" w:ascii="宋体" w:hAnsi="宋体" w:cs="宋体"/>
          <w:b/>
          <w:sz w:val="24"/>
        </w:rPr>
        <w:t>法定代表人（或其委托代理人）（签字或盖章）：</w:t>
      </w:r>
      <w:r>
        <w:rPr>
          <w:rFonts w:hint="eastAsia" w:ascii="宋体" w:hAnsi="宋体" w:cs="宋体"/>
          <w:b/>
          <w:sz w:val="24"/>
          <w:u w:val="single"/>
        </w:rPr>
        <w:t xml:space="preserve">                  </w:t>
      </w:r>
    </w:p>
    <w:p w14:paraId="16469544">
      <w:pPr>
        <w:spacing w:line="480" w:lineRule="auto"/>
        <w:ind w:firstLine="482" w:firstLineChars="200"/>
        <w:rPr>
          <w:rFonts w:hint="eastAsia" w:ascii="宋体" w:hAnsi="宋体" w:cs="宋体"/>
          <w:b/>
          <w:sz w:val="24"/>
        </w:rPr>
      </w:pPr>
      <w:r>
        <w:rPr>
          <w:rFonts w:hint="eastAsia" w:ascii="宋体" w:hAnsi="宋体" w:cs="宋体"/>
          <w:b/>
          <w:sz w:val="24"/>
        </w:rPr>
        <w:t>日    期：</w:t>
      </w:r>
      <w:r>
        <w:rPr>
          <w:rFonts w:hint="eastAsia" w:ascii="宋体" w:hAnsi="宋体" w:cs="宋体"/>
          <w:b/>
          <w:sz w:val="24"/>
          <w:u w:val="single"/>
        </w:rPr>
        <w:t xml:space="preserve">                                                  </w:t>
      </w:r>
    </w:p>
    <w:p w14:paraId="2CD901CF">
      <w:pPr>
        <w:snapToGrid w:val="0"/>
        <w:spacing w:line="360" w:lineRule="auto"/>
        <w:contextualSpacing/>
        <w:jc w:val="left"/>
        <w:rPr>
          <w:rFonts w:hint="eastAsia" w:ascii="宋体" w:hAnsi="宋体" w:cs="宋体"/>
          <w:sz w:val="24"/>
        </w:rPr>
      </w:pPr>
      <w:r>
        <w:rPr>
          <w:rFonts w:hint="eastAsia" w:ascii="宋体" w:hAnsi="宋体" w:cs="宋体"/>
          <w:sz w:val="28"/>
          <w:szCs w:val="28"/>
        </w:rPr>
        <w:t>（一）资格审查文件</w:t>
      </w:r>
    </w:p>
    <w:p w14:paraId="1C272D34">
      <w:pPr>
        <w:snapToGrid w:val="0"/>
        <w:spacing w:line="360" w:lineRule="auto"/>
        <w:contextualSpacing/>
        <w:jc w:val="left"/>
        <w:rPr>
          <w:rFonts w:hint="eastAsia" w:ascii="宋体" w:hAnsi="宋体" w:cs="宋体"/>
          <w:sz w:val="28"/>
          <w:szCs w:val="28"/>
        </w:rPr>
      </w:pPr>
      <w:r>
        <w:rPr>
          <w:rFonts w:hint="eastAsia" w:ascii="宋体" w:hAnsi="宋体" w:cs="宋体"/>
          <w:sz w:val="28"/>
          <w:szCs w:val="28"/>
        </w:rPr>
        <w:t>附件1：</w:t>
      </w:r>
    </w:p>
    <w:p w14:paraId="25FDF6EA">
      <w:pPr>
        <w:snapToGrid w:val="0"/>
        <w:spacing w:line="300" w:lineRule="auto"/>
        <w:contextualSpacing/>
        <w:jc w:val="center"/>
        <w:rPr>
          <w:rFonts w:hint="eastAsia" w:ascii="宋体" w:hAnsi="宋体" w:cs="宋体"/>
          <w:b/>
          <w:sz w:val="32"/>
          <w:szCs w:val="32"/>
        </w:rPr>
      </w:pPr>
      <w:r>
        <w:rPr>
          <w:rFonts w:hint="eastAsia" w:ascii="宋体" w:hAnsi="宋体" w:cs="宋体"/>
          <w:b/>
          <w:sz w:val="32"/>
          <w:szCs w:val="32"/>
        </w:rPr>
        <w:t>资格声明函</w:t>
      </w:r>
    </w:p>
    <w:p w14:paraId="1AF62C60">
      <w:pPr>
        <w:spacing w:line="360" w:lineRule="auto"/>
        <w:jc w:val="center"/>
        <w:rPr>
          <w:rFonts w:hint="eastAsia" w:ascii="宋体" w:hAnsi="宋体" w:cs="宋体"/>
          <w:b/>
          <w:sz w:val="24"/>
        </w:rPr>
      </w:pPr>
    </w:p>
    <w:p w14:paraId="71112FA5">
      <w:pPr>
        <w:snapToGrid w:val="0"/>
        <w:spacing w:line="300" w:lineRule="auto"/>
        <w:contextualSpacing/>
        <w:rPr>
          <w:rFonts w:hint="eastAsia" w:ascii="宋体" w:hAnsi="宋体" w:cs="宋体"/>
          <w:b/>
          <w:sz w:val="24"/>
        </w:rPr>
      </w:pPr>
      <w:r>
        <w:rPr>
          <w:rFonts w:hint="eastAsia" w:ascii="宋体" w:hAnsi="宋体" w:cs="宋体"/>
          <w:b/>
          <w:sz w:val="24"/>
          <w:u w:val="single"/>
        </w:rPr>
        <w:t>南通市公路事业发展中心</w:t>
      </w:r>
      <w:r>
        <w:rPr>
          <w:rFonts w:hint="eastAsia" w:ascii="宋体" w:hAnsi="宋体" w:cs="宋体"/>
          <w:b/>
          <w:sz w:val="24"/>
        </w:rPr>
        <w:t>：</w:t>
      </w:r>
    </w:p>
    <w:p w14:paraId="3B5DC5CD">
      <w:pPr>
        <w:snapToGrid w:val="0"/>
        <w:spacing w:line="360" w:lineRule="auto"/>
        <w:ind w:firstLine="480" w:firstLineChars="200"/>
        <w:contextualSpacing/>
        <w:rPr>
          <w:rFonts w:hint="eastAsia" w:ascii="宋体" w:hAnsi="宋体" w:cs="宋体"/>
          <w:sz w:val="24"/>
        </w:rPr>
      </w:pPr>
      <w:r>
        <w:rPr>
          <w:rFonts w:hint="eastAsia" w:ascii="宋体" w:hAnsi="宋体" w:cs="宋体"/>
          <w:sz w:val="24"/>
        </w:rPr>
        <w:t>我单位</w:t>
      </w:r>
      <w:r>
        <w:rPr>
          <w:rFonts w:hint="eastAsia" w:ascii="宋体" w:hAnsi="宋体" w:cs="宋体"/>
          <w:sz w:val="24"/>
          <w:u w:val="single"/>
        </w:rPr>
        <w:t xml:space="preserve">                              </w:t>
      </w:r>
      <w:r>
        <w:rPr>
          <w:rFonts w:hint="eastAsia" w:ascii="宋体" w:hAnsi="宋体" w:cs="宋体"/>
          <w:spacing w:val="-5"/>
          <w:sz w:val="24"/>
        </w:rPr>
        <w:t>（单位名称）</w:t>
      </w:r>
      <w:r>
        <w:rPr>
          <w:rFonts w:hint="eastAsia" w:ascii="宋体" w:hAnsi="宋体" w:cs="宋体"/>
          <w:sz w:val="24"/>
        </w:rPr>
        <w:t>认真对照</w:t>
      </w:r>
      <w:r>
        <w:rPr>
          <w:rFonts w:hint="eastAsia" w:ascii="宋体" w:hAnsi="宋体" w:cs="宋体"/>
          <w:sz w:val="24"/>
          <w:u w:val="single"/>
        </w:rPr>
        <w:t xml:space="preserve">     （项目名称）                   项目</w:t>
      </w:r>
      <w:r>
        <w:rPr>
          <w:rFonts w:hint="eastAsia" w:ascii="宋体" w:hAnsi="宋体" w:cs="宋体"/>
          <w:sz w:val="24"/>
        </w:rPr>
        <w:t>磋商文件（含所有澄清、修改文件），符合贵方提出的资格要求，自愿报名参加响应，并郑重声明：</w:t>
      </w:r>
    </w:p>
    <w:p w14:paraId="177A22DD">
      <w:pPr>
        <w:snapToGrid w:val="0"/>
        <w:spacing w:line="360" w:lineRule="auto"/>
        <w:ind w:firstLine="480" w:firstLineChars="200"/>
        <w:contextualSpacing/>
        <w:rPr>
          <w:rFonts w:hint="eastAsia" w:ascii="宋体" w:hAnsi="宋体" w:cs="宋体"/>
          <w:sz w:val="24"/>
        </w:rPr>
      </w:pPr>
      <w:r>
        <w:rPr>
          <w:rFonts w:hint="eastAsia" w:ascii="宋体" w:hAnsi="宋体" w:cs="宋体"/>
          <w:sz w:val="24"/>
        </w:rPr>
        <w:t>1、我单位具有独立承担民事责任的能力；</w:t>
      </w:r>
    </w:p>
    <w:p w14:paraId="43984683">
      <w:pPr>
        <w:snapToGrid w:val="0"/>
        <w:spacing w:line="360" w:lineRule="auto"/>
        <w:ind w:firstLine="480" w:firstLineChars="200"/>
        <w:contextualSpacing/>
        <w:rPr>
          <w:rFonts w:hint="eastAsia" w:ascii="宋体" w:hAnsi="宋体" w:cs="宋体"/>
          <w:sz w:val="24"/>
        </w:rPr>
      </w:pPr>
      <w:r>
        <w:rPr>
          <w:rFonts w:hint="eastAsia" w:ascii="宋体" w:hAnsi="宋体" w:cs="宋体"/>
          <w:sz w:val="24"/>
        </w:rPr>
        <w:t>我单位具有良好的商业信誉和健全的财务会计制度；</w:t>
      </w:r>
    </w:p>
    <w:p w14:paraId="43D5DB58">
      <w:pPr>
        <w:snapToGrid w:val="0"/>
        <w:spacing w:line="360" w:lineRule="auto"/>
        <w:ind w:firstLine="480" w:firstLineChars="200"/>
        <w:contextualSpacing/>
        <w:rPr>
          <w:rFonts w:hint="eastAsia" w:ascii="宋体" w:hAnsi="宋体" w:cs="宋体"/>
          <w:sz w:val="24"/>
        </w:rPr>
      </w:pPr>
      <w:r>
        <w:rPr>
          <w:rFonts w:hint="eastAsia" w:ascii="宋体" w:hAnsi="宋体" w:cs="宋体"/>
          <w:sz w:val="24"/>
        </w:rPr>
        <w:t>我单位具有履行合同所必需的设备和专业技术能力；</w:t>
      </w:r>
    </w:p>
    <w:p w14:paraId="7E4C8AF1">
      <w:pPr>
        <w:snapToGrid w:val="0"/>
        <w:spacing w:line="360" w:lineRule="auto"/>
        <w:ind w:firstLine="480" w:firstLineChars="200"/>
        <w:contextualSpacing/>
        <w:rPr>
          <w:rFonts w:hint="eastAsia" w:ascii="宋体" w:hAnsi="宋体" w:cs="宋体"/>
          <w:sz w:val="24"/>
        </w:rPr>
      </w:pPr>
      <w:r>
        <w:rPr>
          <w:rFonts w:hint="eastAsia" w:ascii="宋体" w:hAnsi="宋体" w:cs="宋体"/>
          <w:sz w:val="24"/>
        </w:rPr>
        <w:t>我单位有依法缴纳税收和社会保障资金的良好记录；</w:t>
      </w:r>
    </w:p>
    <w:p w14:paraId="597B46CC">
      <w:pPr>
        <w:snapToGrid w:val="0"/>
        <w:spacing w:line="360" w:lineRule="auto"/>
        <w:ind w:firstLine="480" w:firstLineChars="200"/>
        <w:contextualSpacing/>
        <w:rPr>
          <w:rFonts w:hint="eastAsia" w:ascii="宋体" w:hAnsi="宋体" w:cs="宋体"/>
          <w:sz w:val="24"/>
        </w:rPr>
      </w:pPr>
      <w:r>
        <w:rPr>
          <w:rFonts w:hint="eastAsia" w:ascii="宋体" w:hAnsi="宋体" w:cs="宋体"/>
          <w:sz w:val="24"/>
        </w:rPr>
        <w:t>2、我单位参加政府采购活动前3年内在经营活动中</w:t>
      </w:r>
      <w:r>
        <w:rPr>
          <w:rFonts w:hint="eastAsia" w:ascii="宋体" w:hAnsi="宋体" w:cs="宋体"/>
          <w:sz w:val="24"/>
          <w:u w:val="single"/>
        </w:rPr>
        <w:t xml:space="preserve">        </w:t>
      </w:r>
      <w:r>
        <w:rPr>
          <w:rFonts w:hint="eastAsia" w:ascii="宋体" w:hAnsi="宋体" w:cs="宋体"/>
          <w:sz w:val="24"/>
        </w:rPr>
        <w:t>（在下划线上如实填写：有或没有）重大违法记录（说明：政府采购法第二十二条第一款第五项所称重大违法记录，是指供应商因违法经营受到刑事处罚或者责令停产停业、吊销许可证或者执照、较大数额罚款等行政处罚。）</w:t>
      </w:r>
    </w:p>
    <w:p w14:paraId="6957D4B4">
      <w:pPr>
        <w:snapToGrid w:val="0"/>
        <w:spacing w:line="300" w:lineRule="auto"/>
        <w:ind w:firstLine="420"/>
        <w:contextualSpacing/>
        <w:rPr>
          <w:rFonts w:hint="eastAsia" w:ascii="宋体" w:hAnsi="宋体" w:cs="宋体"/>
          <w:sz w:val="28"/>
          <w:szCs w:val="28"/>
        </w:rPr>
      </w:pPr>
    </w:p>
    <w:p w14:paraId="6987DA00">
      <w:pPr>
        <w:snapToGrid w:val="0"/>
        <w:spacing w:line="360" w:lineRule="auto"/>
        <w:ind w:firstLine="4440" w:firstLineChars="1850"/>
        <w:contextualSpacing/>
        <w:rPr>
          <w:rFonts w:hint="eastAsia" w:ascii="宋体" w:hAnsi="宋体" w:cs="宋体"/>
          <w:sz w:val="24"/>
        </w:rPr>
      </w:pPr>
    </w:p>
    <w:p w14:paraId="1BC31F53">
      <w:pPr>
        <w:snapToGrid w:val="0"/>
        <w:spacing w:line="360" w:lineRule="auto"/>
        <w:ind w:firstLine="4440" w:firstLineChars="1850"/>
        <w:contextualSpacing/>
        <w:rPr>
          <w:rFonts w:hint="eastAsia" w:ascii="宋体" w:hAnsi="宋体" w:cs="宋体"/>
          <w:sz w:val="24"/>
        </w:rPr>
      </w:pPr>
    </w:p>
    <w:p w14:paraId="27956728">
      <w:pPr>
        <w:snapToGrid w:val="0"/>
        <w:spacing w:line="360" w:lineRule="auto"/>
        <w:ind w:firstLine="4440" w:firstLineChars="1850"/>
        <w:contextualSpacing/>
        <w:rPr>
          <w:rFonts w:hint="eastAsia" w:ascii="宋体" w:hAnsi="宋体" w:cs="宋体"/>
          <w:sz w:val="24"/>
        </w:rPr>
      </w:pPr>
      <w:r>
        <w:rPr>
          <w:rFonts w:hint="eastAsia" w:ascii="宋体" w:hAnsi="宋体" w:cs="宋体"/>
          <w:sz w:val="24"/>
        </w:rPr>
        <w:t>响应供应商（盖单位公章）</w:t>
      </w:r>
    </w:p>
    <w:p w14:paraId="29A31F42">
      <w:pPr>
        <w:snapToGrid w:val="0"/>
        <w:spacing w:line="360" w:lineRule="auto"/>
        <w:contextualSpacing/>
        <w:rPr>
          <w:rFonts w:hint="eastAsia" w:ascii="宋体" w:hAnsi="宋体" w:cs="宋体"/>
          <w:sz w:val="24"/>
        </w:rPr>
      </w:pPr>
    </w:p>
    <w:p w14:paraId="71F2E384">
      <w:pPr>
        <w:snapToGrid w:val="0"/>
        <w:spacing w:line="360" w:lineRule="auto"/>
        <w:ind w:firstLine="4440" w:firstLineChars="1850"/>
        <w:contextualSpacing/>
        <w:rPr>
          <w:rFonts w:hint="eastAsia" w:ascii="宋体" w:hAnsi="宋体" w:cs="宋体"/>
          <w:bCs/>
          <w:sz w:val="24"/>
        </w:rPr>
      </w:pPr>
      <w:r>
        <w:rPr>
          <w:rFonts w:hint="eastAsia" w:ascii="宋体" w:hAnsi="宋体" w:cs="宋体"/>
          <w:bCs/>
          <w:sz w:val="24"/>
        </w:rPr>
        <w:t>年    月    日</w:t>
      </w:r>
    </w:p>
    <w:p w14:paraId="0E0F362B">
      <w:pPr>
        <w:spacing w:line="600" w:lineRule="exact"/>
        <w:ind w:firstLine="576" w:firstLineChars="206"/>
        <w:rPr>
          <w:rFonts w:hint="eastAsia" w:ascii="宋体" w:hAnsi="宋体" w:cs="宋体"/>
          <w:sz w:val="28"/>
          <w:szCs w:val="28"/>
        </w:rPr>
      </w:pPr>
    </w:p>
    <w:p w14:paraId="789DC2CB">
      <w:pPr>
        <w:spacing w:line="600" w:lineRule="exact"/>
        <w:ind w:firstLine="576" w:firstLineChars="206"/>
        <w:rPr>
          <w:rFonts w:hint="eastAsia" w:ascii="宋体" w:hAnsi="宋体" w:cs="宋体"/>
          <w:sz w:val="28"/>
          <w:szCs w:val="28"/>
        </w:rPr>
      </w:pPr>
    </w:p>
    <w:p w14:paraId="5746E845">
      <w:pPr>
        <w:spacing w:line="600" w:lineRule="exact"/>
        <w:ind w:firstLine="576" w:firstLineChars="206"/>
        <w:rPr>
          <w:rFonts w:hint="eastAsia" w:ascii="宋体" w:hAnsi="宋体" w:cs="宋体"/>
          <w:sz w:val="28"/>
          <w:szCs w:val="28"/>
        </w:rPr>
      </w:pPr>
    </w:p>
    <w:p w14:paraId="56498917">
      <w:pPr>
        <w:spacing w:line="600" w:lineRule="exact"/>
        <w:ind w:firstLine="576" w:firstLineChars="206"/>
        <w:rPr>
          <w:rFonts w:hint="eastAsia" w:ascii="宋体" w:hAnsi="宋体" w:cs="宋体"/>
          <w:sz w:val="28"/>
          <w:szCs w:val="28"/>
        </w:rPr>
      </w:pPr>
    </w:p>
    <w:p w14:paraId="5E1D1204">
      <w:pPr>
        <w:snapToGrid w:val="0"/>
        <w:spacing w:line="300" w:lineRule="auto"/>
        <w:contextualSpacing/>
        <w:rPr>
          <w:rFonts w:hint="eastAsia" w:ascii="宋体" w:hAnsi="宋体" w:cs="宋体"/>
          <w:sz w:val="28"/>
          <w:szCs w:val="28"/>
        </w:rPr>
      </w:pPr>
      <w:r>
        <w:rPr>
          <w:rFonts w:hint="eastAsia" w:ascii="宋体" w:hAnsi="宋体" w:cs="宋体"/>
          <w:b/>
          <w:bCs/>
          <w:sz w:val="72"/>
          <w:szCs w:val="72"/>
        </w:rPr>
        <w:br w:type="page"/>
      </w:r>
      <w:r>
        <w:rPr>
          <w:rFonts w:hint="eastAsia" w:ascii="宋体" w:hAnsi="宋体" w:cs="宋体"/>
          <w:sz w:val="28"/>
          <w:szCs w:val="28"/>
        </w:rPr>
        <w:t>附件2：</w:t>
      </w:r>
    </w:p>
    <w:p w14:paraId="1C491B6A">
      <w:pPr>
        <w:spacing w:before="120" w:beforeLines="50" w:after="120" w:afterLines="50"/>
        <w:jc w:val="center"/>
        <w:rPr>
          <w:rFonts w:hint="eastAsia" w:ascii="宋体" w:hAnsi="宋体" w:cs="宋体"/>
          <w:sz w:val="28"/>
          <w:szCs w:val="28"/>
        </w:rPr>
      </w:pPr>
      <w:r>
        <w:rPr>
          <w:rFonts w:hint="eastAsia" w:ascii="宋体" w:hAnsi="宋体" w:cs="宋体"/>
          <w:sz w:val="28"/>
          <w:szCs w:val="28"/>
        </w:rPr>
        <w:t>授权委托书或法定代表人身份证明</w:t>
      </w:r>
    </w:p>
    <w:p w14:paraId="3BAD83EE">
      <w:pPr>
        <w:topLinePunct/>
        <w:spacing w:before="120" w:beforeLines="50" w:after="120" w:afterLines="50"/>
        <w:jc w:val="center"/>
        <w:rPr>
          <w:rFonts w:hint="eastAsia" w:ascii="宋体" w:hAnsi="宋体" w:cs="宋体"/>
          <w:b/>
          <w:sz w:val="28"/>
          <w:szCs w:val="28"/>
        </w:rPr>
      </w:pPr>
      <w:r>
        <w:rPr>
          <w:rFonts w:hint="eastAsia" w:ascii="宋体" w:hAnsi="宋体" w:cs="宋体"/>
          <w:b/>
          <w:sz w:val="28"/>
          <w:szCs w:val="28"/>
        </w:rPr>
        <w:t>（一）授权委托书</w:t>
      </w:r>
    </w:p>
    <w:p w14:paraId="0AAB13D0">
      <w:pPr>
        <w:topLinePunct/>
        <w:spacing w:before="120" w:beforeLines="50" w:line="400" w:lineRule="exact"/>
        <w:ind w:firstLine="561"/>
        <w:rPr>
          <w:rFonts w:hint="eastAsia" w:ascii="宋体" w:hAnsi="宋体" w:cs="宋体"/>
          <w:sz w:val="24"/>
          <w:u w:val="single"/>
        </w:rPr>
      </w:pPr>
      <w:r>
        <w:rPr>
          <w:rFonts w:hint="eastAsia" w:ascii="宋体" w:hAnsi="宋体" w:cs="宋体"/>
          <w:sz w:val="24"/>
        </w:rPr>
        <w:t>本人</w:t>
      </w:r>
      <w:r>
        <w:rPr>
          <w:rFonts w:hint="eastAsia" w:ascii="宋体" w:hAnsi="宋体" w:cs="宋体"/>
          <w:sz w:val="24"/>
          <w:u w:val="single"/>
        </w:rPr>
        <w:t xml:space="preserve">     (姓名)</w:t>
      </w: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的法定代表人，现委托</w:t>
      </w:r>
      <w:r>
        <w:rPr>
          <w:rFonts w:hint="eastAsia" w:ascii="宋体" w:hAnsi="宋体" w:cs="宋体"/>
          <w:sz w:val="24"/>
          <w:u w:val="single"/>
        </w:rPr>
        <w:t xml:space="preserve">    (姓名)</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w:t>
      </w:r>
      <w:r>
        <w:rPr>
          <w:rFonts w:hint="eastAsia" w:ascii="宋体" w:hAnsi="宋体" w:cs="宋体"/>
          <w:sz w:val="24"/>
        </w:rPr>
        <w:t>响应文件、签订合同和处理有关事宜，其法律后果由我方承担。</w:t>
      </w:r>
    </w:p>
    <w:p w14:paraId="6023B793">
      <w:pPr>
        <w:topLinePunct/>
        <w:spacing w:line="400" w:lineRule="exact"/>
        <w:rPr>
          <w:rFonts w:hint="eastAsia" w:ascii="宋体" w:hAnsi="宋体" w:cs="宋体"/>
          <w:sz w:val="24"/>
        </w:rPr>
      </w:pPr>
    </w:p>
    <w:p w14:paraId="55467843">
      <w:pPr>
        <w:topLinePunct/>
        <w:spacing w:line="400" w:lineRule="exact"/>
        <w:ind w:firstLine="480" w:firstLineChars="200"/>
        <w:rPr>
          <w:rFonts w:hint="eastAsia" w:ascii="宋体" w:hAnsi="宋体" w:cs="宋体"/>
          <w:sz w:val="24"/>
          <w:u w:val="single"/>
        </w:rPr>
      </w:pPr>
      <w:r>
        <w:rPr>
          <w:rFonts w:hint="eastAsia" w:ascii="宋体" w:hAnsi="宋体" w:cs="宋体"/>
          <w:sz w:val="24"/>
        </w:rPr>
        <w:t>委托期限：自本委托书签署之日起至投标有效期期满。</w:t>
      </w:r>
    </w:p>
    <w:p w14:paraId="0B8097D5">
      <w:pPr>
        <w:topLinePunct/>
        <w:spacing w:line="400" w:lineRule="exact"/>
        <w:rPr>
          <w:rFonts w:hint="eastAsia" w:ascii="宋体" w:hAnsi="宋体" w:cs="宋体"/>
          <w:sz w:val="24"/>
        </w:rPr>
      </w:pPr>
    </w:p>
    <w:p w14:paraId="5F4D72A9">
      <w:pPr>
        <w:topLinePunct/>
        <w:spacing w:line="400" w:lineRule="exact"/>
        <w:ind w:firstLine="480" w:firstLineChars="200"/>
        <w:rPr>
          <w:rFonts w:hint="eastAsia" w:ascii="宋体" w:hAnsi="宋体" w:cs="宋体"/>
          <w:sz w:val="24"/>
        </w:rPr>
      </w:pPr>
      <w:r>
        <w:rPr>
          <w:rFonts w:hint="eastAsia" w:ascii="宋体" w:hAnsi="宋体" w:cs="宋体"/>
          <w:sz w:val="24"/>
        </w:rPr>
        <w:t>代理人无转委托权。</w:t>
      </w:r>
    </w:p>
    <w:p w14:paraId="3934A4A5">
      <w:pPr>
        <w:topLinePunct/>
        <w:spacing w:line="400" w:lineRule="exact"/>
        <w:rPr>
          <w:rFonts w:hint="eastAsia" w:ascii="宋体" w:hAnsi="宋体" w:cs="宋体"/>
          <w:sz w:val="24"/>
        </w:rPr>
      </w:pPr>
    </w:p>
    <w:p w14:paraId="339D3352">
      <w:pPr>
        <w:topLinePunct/>
        <w:spacing w:line="400" w:lineRule="exact"/>
        <w:ind w:firstLine="480" w:firstLineChars="200"/>
        <w:rPr>
          <w:rFonts w:hint="eastAsia" w:ascii="宋体" w:hAnsi="宋体" w:cs="宋体"/>
          <w:sz w:val="24"/>
        </w:rPr>
      </w:pPr>
      <w:r>
        <w:rPr>
          <w:rFonts w:hint="eastAsia" w:ascii="宋体" w:hAnsi="宋体" w:cs="宋体"/>
          <w:sz w:val="24"/>
        </w:rPr>
        <w:t>附：法定代表人身份证明及委托代理人身份证复印件。</w:t>
      </w:r>
    </w:p>
    <w:p w14:paraId="30C6A16A">
      <w:pPr>
        <w:topLinePunct/>
        <w:ind w:firstLine="480" w:firstLineChars="200"/>
        <w:rPr>
          <w:rFonts w:hint="eastAsia" w:ascii="宋体" w:hAnsi="宋体" w:cs="宋体"/>
          <w:sz w:val="24"/>
        </w:rPr>
      </w:pPr>
    </w:p>
    <w:p w14:paraId="4F2B2411">
      <w:pPr>
        <w:topLinePunct/>
        <w:rPr>
          <w:rFonts w:hint="eastAsia" w:ascii="宋体" w:hAnsi="宋体" w:cs="宋体"/>
          <w:sz w:val="24"/>
        </w:rPr>
      </w:pPr>
    </w:p>
    <w:p w14:paraId="451381BC">
      <w:pPr>
        <w:snapToGrid w:val="0"/>
        <w:spacing w:line="360" w:lineRule="auto"/>
        <w:contextualSpacing/>
        <w:rPr>
          <w:rFonts w:hint="eastAsia" w:ascii="宋体" w:hAnsi="宋体" w:cs="宋体"/>
          <w:sz w:val="24"/>
        </w:rPr>
      </w:pPr>
      <w:r>
        <w:rPr>
          <w:rFonts w:hint="eastAsia" w:ascii="宋体" w:hAnsi="宋体" w:cs="宋体"/>
          <w:sz w:val="24"/>
        </w:rPr>
        <w:t>响应供应商（盖单位公章）：</w:t>
      </w:r>
    </w:p>
    <w:p w14:paraId="1864CFCF">
      <w:pPr>
        <w:topLinePunct/>
        <w:rPr>
          <w:rFonts w:hint="eastAsia" w:ascii="宋体" w:hAnsi="宋体" w:cs="宋体"/>
          <w:sz w:val="24"/>
        </w:rPr>
      </w:pPr>
    </w:p>
    <w:p w14:paraId="6E84E8C0">
      <w:pPr>
        <w:wordWrap w:val="0"/>
        <w:topLinePunct/>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(签字或盖章)</w:t>
      </w:r>
      <w:r>
        <w:rPr>
          <w:rFonts w:hint="eastAsia" w:ascii="宋体" w:hAnsi="宋体" w:cs="宋体"/>
          <w:sz w:val="24"/>
        </w:rPr>
        <w:t>：</w:t>
      </w:r>
    </w:p>
    <w:p w14:paraId="7BE2028F">
      <w:pPr>
        <w:topLinePunct/>
        <w:rPr>
          <w:rFonts w:hint="eastAsia" w:ascii="宋体" w:hAnsi="宋体" w:cs="宋体"/>
          <w:sz w:val="24"/>
        </w:rPr>
      </w:pPr>
    </w:p>
    <w:p w14:paraId="28892F0C">
      <w:pPr>
        <w:wordWrap w:val="0"/>
        <w:topLinePunct/>
        <w:rPr>
          <w:rFonts w:hint="eastAsia" w:ascii="宋体" w:hAnsi="宋体" w:cs="宋体"/>
          <w:sz w:val="24"/>
          <w:u w:val="single"/>
        </w:rPr>
      </w:pPr>
      <w:r>
        <w:rPr>
          <w:rFonts w:hint="eastAsia" w:ascii="宋体" w:hAnsi="宋体" w:cs="宋体"/>
          <w:sz w:val="24"/>
        </w:rPr>
        <w:t>身份证号码：</w:t>
      </w:r>
    </w:p>
    <w:p w14:paraId="31DEA605">
      <w:pPr>
        <w:topLinePunct/>
        <w:rPr>
          <w:rFonts w:hint="eastAsia" w:ascii="宋体" w:hAnsi="宋体" w:cs="宋体"/>
          <w:sz w:val="24"/>
        </w:rPr>
      </w:pPr>
    </w:p>
    <w:p w14:paraId="4593CC4E">
      <w:pPr>
        <w:topLinePunct/>
        <w:jc w:val="left"/>
        <w:rPr>
          <w:rFonts w:hint="eastAsia" w:ascii="宋体" w:hAnsi="宋体" w:cs="宋体"/>
          <w:sz w:val="24"/>
        </w:rPr>
      </w:pPr>
      <w:r>
        <w:rPr>
          <w:rFonts w:hint="eastAsia" w:ascii="宋体" w:hAnsi="宋体" w:cs="宋体"/>
          <w:sz w:val="24"/>
        </w:rPr>
        <w:t>委托代理人</w:t>
      </w:r>
      <w:r>
        <w:rPr>
          <w:rFonts w:hint="eastAsia" w:ascii="宋体" w:hAnsi="宋体" w:cs="宋体"/>
          <w:sz w:val="24"/>
          <w:u w:val="single"/>
        </w:rPr>
        <w:t>(签字或盖章)</w:t>
      </w:r>
      <w:r>
        <w:rPr>
          <w:rFonts w:hint="eastAsia" w:ascii="宋体" w:hAnsi="宋体" w:cs="宋体"/>
          <w:sz w:val="24"/>
        </w:rPr>
        <w:t>：</w:t>
      </w:r>
    </w:p>
    <w:p w14:paraId="5211B8E8">
      <w:pPr>
        <w:topLinePunct/>
        <w:rPr>
          <w:rFonts w:hint="eastAsia" w:ascii="宋体" w:hAnsi="宋体" w:cs="宋体"/>
          <w:sz w:val="24"/>
        </w:rPr>
      </w:pPr>
    </w:p>
    <w:p w14:paraId="0CEF7DB1">
      <w:pPr>
        <w:wordWrap w:val="0"/>
        <w:topLinePunct/>
        <w:rPr>
          <w:rFonts w:hint="eastAsia" w:ascii="宋体" w:hAnsi="宋体" w:cs="宋体"/>
          <w:sz w:val="24"/>
        </w:rPr>
      </w:pPr>
      <w:r>
        <w:rPr>
          <w:rFonts w:hint="eastAsia" w:ascii="宋体" w:hAnsi="宋体" w:cs="宋体"/>
          <w:sz w:val="24"/>
        </w:rPr>
        <w:t>身份证号码：</w:t>
      </w:r>
    </w:p>
    <w:p w14:paraId="5AB5A7DF">
      <w:pPr>
        <w:topLinePunct/>
        <w:spacing w:before="120" w:beforeLines="50" w:after="120" w:afterLines="50"/>
        <w:jc w:val="center"/>
        <w:rPr>
          <w:rFonts w:hint="eastAsia" w:ascii="宋体" w:hAnsi="宋体" w:cs="宋体"/>
          <w:sz w:val="24"/>
        </w:rPr>
      </w:pPr>
      <w:r>
        <w:rPr>
          <w:rFonts w:hint="eastAsia" w:ascii="宋体" w:hAnsi="宋体" w:cs="宋体"/>
          <w:sz w:val="24"/>
        </w:rPr>
        <w:t xml:space="preserve">                       年    月     日</w:t>
      </w:r>
    </w:p>
    <w:p w14:paraId="05F5F52D">
      <w:pPr>
        <w:topLinePunct/>
        <w:spacing w:before="120" w:beforeLines="50" w:after="120" w:afterLines="50"/>
        <w:jc w:val="center"/>
        <w:rPr>
          <w:rFonts w:hint="eastAsia" w:ascii="宋体" w:hAnsi="宋体" w:cs="宋体"/>
          <w:sz w:val="36"/>
          <w:szCs w:val="36"/>
        </w:rPr>
      </w:pPr>
    </w:p>
    <w:p w14:paraId="47CB66AF">
      <w:pPr>
        <w:topLinePunct/>
        <w:spacing w:line="400" w:lineRule="exact"/>
        <w:ind w:firstLine="560" w:firstLineChars="200"/>
        <w:rPr>
          <w:rFonts w:hint="eastAsia" w:ascii="宋体" w:hAnsi="宋体" w:cs="宋体"/>
          <w:sz w:val="28"/>
          <w:szCs w:val="28"/>
        </w:rPr>
      </w:pPr>
    </w:p>
    <w:p w14:paraId="612F2F46">
      <w:pPr>
        <w:topLinePunct/>
        <w:spacing w:line="400" w:lineRule="exact"/>
        <w:ind w:firstLine="560" w:firstLineChars="200"/>
        <w:rPr>
          <w:rFonts w:hint="eastAsia" w:ascii="宋体" w:hAnsi="宋体" w:cs="宋体"/>
          <w:sz w:val="28"/>
          <w:szCs w:val="28"/>
        </w:rPr>
      </w:pPr>
    </w:p>
    <w:p w14:paraId="6A357941">
      <w:pPr>
        <w:topLinePunct/>
        <w:spacing w:line="400" w:lineRule="exact"/>
        <w:ind w:firstLine="560" w:firstLineChars="200"/>
        <w:rPr>
          <w:rFonts w:hint="eastAsia" w:ascii="宋体" w:hAnsi="宋体" w:cs="宋体"/>
          <w:sz w:val="28"/>
          <w:szCs w:val="28"/>
        </w:rPr>
      </w:pPr>
    </w:p>
    <w:p w14:paraId="207990E0">
      <w:pPr>
        <w:topLinePunct/>
        <w:spacing w:line="400" w:lineRule="exact"/>
        <w:ind w:firstLine="560" w:firstLineChars="200"/>
        <w:rPr>
          <w:rFonts w:hint="eastAsia" w:ascii="宋体" w:hAnsi="宋体" w:cs="宋体"/>
          <w:sz w:val="28"/>
          <w:szCs w:val="28"/>
        </w:rPr>
      </w:pPr>
    </w:p>
    <w:p w14:paraId="72B7A82E">
      <w:pPr>
        <w:topLinePunct/>
        <w:spacing w:line="400" w:lineRule="exact"/>
        <w:ind w:firstLine="560" w:firstLineChars="200"/>
        <w:rPr>
          <w:rFonts w:hint="eastAsia" w:ascii="宋体" w:hAnsi="宋体" w:cs="宋体"/>
          <w:sz w:val="28"/>
          <w:szCs w:val="28"/>
        </w:rPr>
      </w:pPr>
    </w:p>
    <w:p w14:paraId="0ABBDF81">
      <w:pPr>
        <w:spacing w:before="120" w:beforeLines="50" w:after="120" w:afterLines="50"/>
        <w:jc w:val="left"/>
        <w:rPr>
          <w:rFonts w:hint="eastAsia" w:ascii="宋体" w:hAnsi="宋体" w:cs="宋体"/>
          <w:b/>
          <w:bCs/>
        </w:rPr>
      </w:pPr>
      <w:r>
        <w:rPr>
          <w:rFonts w:hint="eastAsia" w:ascii="宋体" w:hAnsi="宋体" w:cs="宋体"/>
          <w:b/>
          <w:bCs/>
        </w:rPr>
        <w:t>注：如果由供应商的法定代表人签署投标响应文件，则无须提交授权委托书。</w:t>
      </w:r>
    </w:p>
    <w:p w14:paraId="647A15D4">
      <w:pPr>
        <w:pStyle w:val="34"/>
        <w:topLinePunct/>
        <w:spacing w:line="400" w:lineRule="exact"/>
        <w:ind w:left="560" w:firstLine="0" w:firstLineChars="0"/>
        <w:rPr>
          <w:rFonts w:hint="eastAsia" w:ascii="宋体" w:hAnsi="宋体" w:cs="宋体"/>
          <w:sz w:val="28"/>
          <w:szCs w:val="28"/>
        </w:rPr>
      </w:pPr>
      <w:r>
        <w:rPr>
          <w:rFonts w:hint="eastAsia" w:ascii="宋体" w:hAnsi="宋体" w:cs="宋体"/>
          <w:sz w:val="27"/>
          <w:szCs w:val="27"/>
        </w:rPr>
        <w:br w:type="page"/>
      </w:r>
    </w:p>
    <w:p w14:paraId="3AA4482C">
      <w:pPr>
        <w:topLinePunct/>
        <w:spacing w:before="120" w:beforeLines="50" w:after="120" w:afterLines="50"/>
        <w:jc w:val="center"/>
        <w:rPr>
          <w:rFonts w:hint="eastAsia" w:ascii="宋体" w:hAnsi="宋体" w:cs="宋体"/>
          <w:b/>
          <w:sz w:val="28"/>
          <w:szCs w:val="28"/>
        </w:rPr>
      </w:pPr>
      <w:r>
        <w:rPr>
          <w:rFonts w:hint="eastAsia" w:ascii="宋体" w:hAnsi="宋体" w:cs="宋体"/>
          <w:b/>
          <w:sz w:val="28"/>
          <w:szCs w:val="28"/>
        </w:rPr>
        <w:t xml:space="preserve"> (二)法定代表人身份证明</w:t>
      </w:r>
    </w:p>
    <w:p w14:paraId="4B7197E0">
      <w:pPr>
        <w:topLinePunct/>
        <w:rPr>
          <w:rFonts w:hint="eastAsia" w:ascii="宋体" w:hAnsi="宋体" w:cs="宋体"/>
          <w:sz w:val="28"/>
          <w:szCs w:val="28"/>
        </w:rPr>
      </w:pPr>
    </w:p>
    <w:p w14:paraId="5FDC48AF">
      <w:pPr>
        <w:topLinePunct/>
        <w:rPr>
          <w:rFonts w:hint="eastAsia" w:ascii="宋体" w:hAnsi="宋体" w:cs="宋体"/>
          <w:sz w:val="28"/>
          <w:szCs w:val="28"/>
        </w:rPr>
      </w:pPr>
    </w:p>
    <w:p w14:paraId="20DD5963">
      <w:pPr>
        <w:topLinePunct/>
        <w:rPr>
          <w:rFonts w:hint="eastAsia"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w:t>
      </w:r>
    </w:p>
    <w:p w14:paraId="66BAEF73">
      <w:pPr>
        <w:topLinePunct/>
        <w:rPr>
          <w:rFonts w:hint="eastAsia" w:ascii="宋体" w:hAnsi="宋体" w:cs="宋体"/>
          <w:sz w:val="24"/>
        </w:rPr>
      </w:pPr>
    </w:p>
    <w:p w14:paraId="2C80E95E">
      <w:pPr>
        <w:topLinePunct/>
        <w:rPr>
          <w:rFonts w:hint="eastAsia"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688585C6">
      <w:pPr>
        <w:topLinePunct/>
        <w:rPr>
          <w:rFonts w:hint="eastAsia" w:ascii="宋体" w:hAnsi="宋体" w:cs="宋体"/>
          <w:sz w:val="24"/>
        </w:rPr>
      </w:pPr>
    </w:p>
    <w:p w14:paraId="6569F9D5">
      <w:pPr>
        <w:topLinePunct/>
        <w:rPr>
          <w:rFonts w:hint="eastAsia" w:ascii="宋体" w:hAnsi="宋体" w:cs="宋体"/>
          <w:sz w:val="24"/>
        </w:rPr>
      </w:pPr>
      <w:r>
        <w:rPr>
          <w:rFonts w:hint="eastAsia" w:ascii="宋体" w:hAnsi="宋体" w:cs="宋体"/>
          <w:sz w:val="24"/>
        </w:rPr>
        <w:t>系</w:t>
      </w:r>
      <w:r>
        <w:rPr>
          <w:rFonts w:hint="eastAsia" w:ascii="宋体" w:hAnsi="宋体" w:cs="宋体"/>
          <w:sz w:val="24"/>
          <w:u w:val="single"/>
        </w:rPr>
        <w:t xml:space="preserve">(供应商名称)           </w:t>
      </w:r>
      <w:r>
        <w:rPr>
          <w:rFonts w:hint="eastAsia" w:ascii="宋体" w:hAnsi="宋体" w:cs="宋体"/>
          <w:sz w:val="24"/>
        </w:rPr>
        <w:t>的法定代表人。</w:t>
      </w:r>
    </w:p>
    <w:p w14:paraId="2DA258B7">
      <w:pPr>
        <w:topLinePunct/>
        <w:rPr>
          <w:rFonts w:hint="eastAsia" w:ascii="宋体" w:hAnsi="宋体" w:cs="宋体"/>
          <w:sz w:val="24"/>
        </w:rPr>
      </w:pPr>
    </w:p>
    <w:p w14:paraId="48323361">
      <w:pPr>
        <w:topLinePunct/>
        <w:rPr>
          <w:rFonts w:hint="eastAsia" w:ascii="宋体" w:hAnsi="宋体" w:cs="宋体"/>
          <w:sz w:val="24"/>
        </w:rPr>
      </w:pPr>
      <w:r>
        <w:rPr>
          <w:rFonts w:hint="eastAsia" w:ascii="宋体" w:hAnsi="宋体" w:cs="宋体"/>
          <w:sz w:val="24"/>
        </w:rPr>
        <w:t>特此证明。</w:t>
      </w:r>
    </w:p>
    <w:p w14:paraId="48E9F458">
      <w:pPr>
        <w:topLinePunct/>
        <w:rPr>
          <w:rFonts w:hint="eastAsia" w:ascii="宋体" w:hAnsi="宋体" w:cs="宋体"/>
          <w:sz w:val="24"/>
        </w:rPr>
      </w:pPr>
    </w:p>
    <w:p w14:paraId="524FA138">
      <w:pPr>
        <w:topLinePunct/>
        <w:rPr>
          <w:rFonts w:hint="eastAsia" w:ascii="宋体" w:hAnsi="宋体" w:cs="宋体"/>
          <w:sz w:val="24"/>
        </w:rPr>
      </w:pPr>
      <w:r>
        <w:rPr>
          <w:rFonts w:hint="eastAsia" w:ascii="宋体" w:hAnsi="宋体" w:cs="宋体"/>
          <w:sz w:val="24"/>
        </w:rPr>
        <w:t>附：法定代表人身份证复印件。</w:t>
      </w:r>
    </w:p>
    <w:p w14:paraId="53E8C599">
      <w:pPr>
        <w:topLinePunct/>
        <w:rPr>
          <w:rFonts w:hint="eastAsia" w:ascii="宋体" w:hAnsi="宋体" w:cs="宋体"/>
          <w:sz w:val="24"/>
        </w:rPr>
      </w:pPr>
    </w:p>
    <w:p w14:paraId="23F159C6">
      <w:pPr>
        <w:topLinePunct/>
        <w:rPr>
          <w:rFonts w:hint="eastAsia" w:ascii="宋体" w:hAnsi="宋体" w:cs="宋体"/>
          <w:sz w:val="24"/>
        </w:rPr>
      </w:pPr>
    </w:p>
    <w:p w14:paraId="7D0DB693">
      <w:pPr>
        <w:snapToGrid w:val="0"/>
        <w:spacing w:line="360" w:lineRule="auto"/>
        <w:contextualSpacing/>
        <w:rPr>
          <w:rFonts w:hint="eastAsia" w:ascii="宋体" w:hAnsi="宋体" w:cs="宋体"/>
          <w:sz w:val="24"/>
        </w:rPr>
      </w:pPr>
      <w:r>
        <w:rPr>
          <w:rFonts w:hint="eastAsia" w:ascii="宋体" w:hAnsi="宋体" w:cs="宋体"/>
          <w:sz w:val="24"/>
        </w:rPr>
        <w:t>响应供应商（盖单位公章）</w:t>
      </w:r>
    </w:p>
    <w:p w14:paraId="122227B5">
      <w:pPr>
        <w:spacing w:line="360" w:lineRule="auto"/>
        <w:rPr>
          <w:rFonts w:hint="eastAsia" w:ascii="宋体" w:hAnsi="宋体" w:cs="宋体"/>
          <w:sz w:val="24"/>
        </w:rPr>
      </w:pPr>
      <w:r>
        <w:rPr>
          <w:rFonts w:hint="eastAsia" w:ascii="宋体" w:hAnsi="宋体" w:cs="宋体"/>
          <w:sz w:val="24"/>
        </w:rPr>
        <w:t>日期：   年   月   日</w:t>
      </w:r>
    </w:p>
    <w:p w14:paraId="4359F96F">
      <w:pPr>
        <w:topLinePunct/>
        <w:rPr>
          <w:rFonts w:hint="eastAsia" w:ascii="宋体" w:hAnsi="宋体" w:cs="宋体"/>
          <w:sz w:val="28"/>
          <w:szCs w:val="28"/>
        </w:rPr>
      </w:pPr>
    </w:p>
    <w:p w14:paraId="6DC2F761">
      <w:pPr>
        <w:topLinePunct/>
        <w:rPr>
          <w:rFonts w:hint="eastAsia" w:ascii="宋体" w:hAnsi="宋体" w:cs="宋体"/>
          <w:sz w:val="28"/>
          <w:szCs w:val="28"/>
        </w:rPr>
      </w:pPr>
    </w:p>
    <w:p w14:paraId="6B993F31">
      <w:pPr>
        <w:topLinePunct/>
        <w:rPr>
          <w:rFonts w:hint="eastAsia" w:ascii="宋体" w:hAnsi="宋体" w:cs="宋体"/>
          <w:sz w:val="28"/>
          <w:szCs w:val="28"/>
        </w:rPr>
      </w:pPr>
    </w:p>
    <w:p w14:paraId="711A3DD9">
      <w:pPr>
        <w:rPr>
          <w:rFonts w:hint="eastAsia" w:ascii="宋体" w:hAnsi="宋体" w:cs="宋体"/>
          <w:b/>
          <w:bCs/>
        </w:rPr>
      </w:pPr>
    </w:p>
    <w:p w14:paraId="16C3A233">
      <w:pPr>
        <w:spacing w:before="120" w:beforeLines="50" w:after="120" w:afterLines="50"/>
        <w:jc w:val="center"/>
        <w:rPr>
          <w:rFonts w:hint="eastAsia" w:ascii="宋体" w:hAnsi="宋体" w:cs="宋体"/>
          <w:b/>
          <w:bCs/>
        </w:rPr>
      </w:pPr>
    </w:p>
    <w:p w14:paraId="6A323573">
      <w:pPr>
        <w:spacing w:before="120" w:beforeLines="50" w:after="120" w:afterLines="50"/>
        <w:jc w:val="center"/>
        <w:rPr>
          <w:rFonts w:hint="eastAsia" w:ascii="宋体" w:hAnsi="宋体" w:cs="宋体"/>
          <w:b/>
          <w:bCs/>
        </w:rPr>
      </w:pPr>
    </w:p>
    <w:p w14:paraId="23395C17">
      <w:pPr>
        <w:spacing w:before="120" w:beforeLines="50" w:after="120" w:afterLines="50"/>
        <w:jc w:val="center"/>
        <w:rPr>
          <w:rFonts w:hint="eastAsia" w:ascii="宋体" w:hAnsi="宋体" w:cs="宋体"/>
          <w:b/>
          <w:bCs/>
        </w:rPr>
      </w:pPr>
    </w:p>
    <w:p w14:paraId="6A8E93A1">
      <w:pPr>
        <w:spacing w:before="120" w:beforeLines="50" w:after="120" w:afterLines="50"/>
        <w:jc w:val="center"/>
        <w:rPr>
          <w:rFonts w:hint="eastAsia" w:ascii="宋体" w:hAnsi="宋体" w:cs="宋体"/>
          <w:b/>
          <w:bCs/>
        </w:rPr>
      </w:pPr>
    </w:p>
    <w:p w14:paraId="7AC266F2">
      <w:pPr>
        <w:spacing w:before="120" w:beforeLines="50" w:after="120" w:afterLines="50"/>
        <w:jc w:val="center"/>
        <w:rPr>
          <w:rFonts w:hint="eastAsia" w:ascii="宋体" w:hAnsi="宋体" w:cs="宋体"/>
          <w:b/>
          <w:bCs/>
        </w:rPr>
      </w:pPr>
    </w:p>
    <w:p w14:paraId="0EF43B7E">
      <w:pPr>
        <w:snapToGrid w:val="0"/>
        <w:spacing w:line="300" w:lineRule="auto"/>
        <w:ind w:firstLine="420"/>
        <w:contextualSpacing/>
        <w:rPr>
          <w:rFonts w:hint="eastAsia" w:ascii="宋体" w:hAnsi="宋体" w:cs="宋体"/>
          <w:b/>
          <w:sz w:val="28"/>
          <w:szCs w:val="28"/>
        </w:rPr>
      </w:pPr>
    </w:p>
    <w:p w14:paraId="4A9B01B4">
      <w:pPr>
        <w:spacing w:before="120" w:beforeLines="50" w:after="120" w:afterLines="50"/>
        <w:rPr>
          <w:rFonts w:hint="eastAsia" w:ascii="宋体" w:hAnsi="宋体" w:cs="宋体"/>
          <w:b/>
          <w:sz w:val="28"/>
          <w:szCs w:val="28"/>
        </w:rPr>
      </w:pPr>
      <w:r>
        <w:rPr>
          <w:rFonts w:hint="eastAsia" w:ascii="宋体" w:hAnsi="宋体" w:cs="宋体"/>
          <w:b/>
          <w:sz w:val="28"/>
          <w:szCs w:val="28"/>
        </w:rPr>
        <w:t xml:space="preserve"> </w:t>
      </w:r>
    </w:p>
    <w:p w14:paraId="379D2152">
      <w:pPr>
        <w:pStyle w:val="17"/>
        <w:rPr>
          <w:rFonts w:hint="eastAsia" w:ascii="宋体" w:hAnsi="宋体" w:cs="宋体"/>
        </w:rPr>
      </w:pPr>
    </w:p>
    <w:p w14:paraId="221412D8">
      <w:pPr>
        <w:pStyle w:val="17"/>
        <w:rPr>
          <w:rFonts w:hint="eastAsia" w:ascii="宋体" w:hAnsi="宋体" w:cs="宋体"/>
        </w:rPr>
      </w:pPr>
    </w:p>
    <w:p w14:paraId="7723A9F4">
      <w:pPr>
        <w:pStyle w:val="17"/>
        <w:rPr>
          <w:rFonts w:hint="eastAsia" w:ascii="宋体" w:hAnsi="宋体" w:cs="宋体"/>
        </w:rPr>
      </w:pPr>
    </w:p>
    <w:p w14:paraId="2E3BEC67">
      <w:pPr>
        <w:pStyle w:val="17"/>
        <w:rPr>
          <w:rFonts w:hint="eastAsia" w:ascii="宋体" w:hAnsi="宋体" w:cs="宋体"/>
        </w:rPr>
      </w:pPr>
    </w:p>
    <w:p w14:paraId="4BE90183">
      <w:pPr>
        <w:pStyle w:val="17"/>
        <w:rPr>
          <w:rFonts w:hint="eastAsia" w:ascii="宋体" w:hAnsi="宋体" w:cs="宋体"/>
        </w:rPr>
      </w:pPr>
    </w:p>
    <w:p w14:paraId="44EBCD1D">
      <w:pPr>
        <w:pStyle w:val="17"/>
        <w:rPr>
          <w:rFonts w:hint="eastAsia" w:ascii="宋体" w:hAnsi="宋体" w:cs="宋体"/>
        </w:rPr>
      </w:pPr>
    </w:p>
    <w:p w14:paraId="2528B92A">
      <w:pPr>
        <w:pStyle w:val="17"/>
        <w:rPr>
          <w:rFonts w:hint="eastAsia" w:ascii="宋体" w:hAnsi="宋体" w:cs="宋体"/>
        </w:rPr>
      </w:pPr>
    </w:p>
    <w:p w14:paraId="26543BC1">
      <w:pPr>
        <w:pStyle w:val="17"/>
        <w:rPr>
          <w:rFonts w:hint="eastAsia" w:ascii="宋体" w:hAnsi="宋体" w:cs="宋体"/>
        </w:rPr>
      </w:pPr>
    </w:p>
    <w:p w14:paraId="08851722">
      <w:pPr>
        <w:pStyle w:val="31"/>
        <w:spacing w:before="120" w:beforeLines="50" w:after="120" w:afterLines="50" w:line="360" w:lineRule="auto"/>
        <w:jc w:val="left"/>
        <w:rPr>
          <w:rFonts w:hint="eastAsia" w:ascii="宋体" w:hAnsi="宋体" w:eastAsia="宋体" w:cs="宋体"/>
          <w:b w:val="0"/>
          <w:sz w:val="28"/>
          <w:szCs w:val="28"/>
        </w:rPr>
      </w:pPr>
      <w:r>
        <w:rPr>
          <w:rFonts w:hint="eastAsia" w:ascii="宋体" w:hAnsi="宋体" w:eastAsia="宋体" w:cs="宋体"/>
          <w:b w:val="0"/>
          <w:sz w:val="28"/>
          <w:szCs w:val="28"/>
        </w:rPr>
        <w:t xml:space="preserve">附件3：                </w:t>
      </w:r>
    </w:p>
    <w:p w14:paraId="74D539C8">
      <w:pPr>
        <w:pStyle w:val="31"/>
        <w:spacing w:before="120" w:beforeLines="50" w:after="120" w:afterLines="50" w:line="360" w:lineRule="auto"/>
        <w:rPr>
          <w:rFonts w:hint="eastAsia" w:ascii="宋体" w:hAnsi="宋体" w:eastAsia="宋体" w:cs="宋体"/>
          <w:sz w:val="28"/>
          <w:szCs w:val="28"/>
        </w:rPr>
      </w:pPr>
      <w:r>
        <w:rPr>
          <w:rFonts w:hint="eastAsia" w:ascii="宋体" w:hAnsi="宋体" w:eastAsia="宋体" w:cs="宋体"/>
          <w:sz w:val="28"/>
          <w:szCs w:val="28"/>
        </w:rPr>
        <w:t>供应商信用承诺书</w:t>
      </w:r>
    </w:p>
    <w:p w14:paraId="3316A3F8">
      <w:pPr>
        <w:spacing w:line="560" w:lineRule="exact"/>
        <w:rPr>
          <w:rFonts w:hint="eastAsia" w:ascii="宋体" w:hAnsi="宋体" w:cs="宋体"/>
          <w:spacing w:val="-5"/>
          <w:sz w:val="24"/>
        </w:rPr>
      </w:pPr>
      <w:r>
        <w:rPr>
          <w:rFonts w:hint="eastAsia" w:ascii="宋体" w:hAnsi="宋体" w:cs="宋体"/>
          <w:spacing w:val="-5"/>
          <w:sz w:val="24"/>
        </w:rPr>
        <w:t>致：</w:t>
      </w:r>
      <w:r>
        <w:rPr>
          <w:rFonts w:hint="eastAsia" w:ascii="宋体" w:hAnsi="宋体" w:cs="宋体"/>
          <w:sz w:val="24"/>
          <w:u w:val="single"/>
        </w:rPr>
        <w:t>南通市公路事业发展中心</w:t>
      </w:r>
    </w:p>
    <w:p w14:paraId="069D33BE">
      <w:pPr>
        <w:spacing w:line="560" w:lineRule="exact"/>
        <w:ind w:firstLine="460" w:firstLineChars="200"/>
        <w:rPr>
          <w:rFonts w:hint="eastAsia" w:ascii="宋体" w:hAnsi="宋体" w:cs="宋体"/>
          <w:spacing w:val="-5"/>
          <w:sz w:val="24"/>
        </w:rPr>
      </w:pPr>
      <w:r>
        <w:rPr>
          <w:rFonts w:hint="eastAsia" w:ascii="宋体" w:hAnsi="宋体" w:cs="宋体"/>
          <w:spacing w:val="-5"/>
          <w:sz w:val="24"/>
        </w:rPr>
        <w:t xml:space="preserve">我单位 </w:t>
      </w:r>
      <w:r>
        <w:rPr>
          <w:rFonts w:hint="eastAsia" w:ascii="宋体" w:hAnsi="宋体" w:cs="宋体"/>
          <w:spacing w:val="-5"/>
          <w:sz w:val="24"/>
          <w:u w:val="single"/>
        </w:rPr>
        <w:t xml:space="preserve">                      </w:t>
      </w:r>
      <w:r>
        <w:rPr>
          <w:rFonts w:hint="eastAsia" w:ascii="宋体" w:hAnsi="宋体" w:cs="宋体"/>
          <w:spacing w:val="-5"/>
          <w:sz w:val="24"/>
        </w:rPr>
        <w:t>（单位名称）自愿参加</w:t>
      </w:r>
      <w:r>
        <w:rPr>
          <w:rFonts w:hint="eastAsia" w:ascii="宋体" w:hAnsi="宋体" w:cs="宋体"/>
          <w:spacing w:val="-5"/>
          <w:sz w:val="24"/>
          <w:u w:val="single"/>
        </w:rPr>
        <w:t xml:space="preserve">             </w:t>
      </w:r>
      <w:r>
        <w:rPr>
          <w:rFonts w:hint="eastAsia" w:ascii="宋体" w:hAnsi="宋体" w:cs="宋体"/>
          <w:spacing w:val="-5"/>
          <w:sz w:val="24"/>
        </w:rPr>
        <w:t xml:space="preserve"> </w:t>
      </w:r>
    </w:p>
    <w:p w14:paraId="57D6C0E9">
      <w:pPr>
        <w:spacing w:line="560" w:lineRule="exact"/>
        <w:rPr>
          <w:rFonts w:hint="eastAsia" w:ascii="宋体" w:hAnsi="宋体" w:cs="宋体"/>
          <w:spacing w:val="-5"/>
          <w:sz w:val="24"/>
        </w:rPr>
      </w:pPr>
      <w:r>
        <w:rPr>
          <w:rFonts w:hint="eastAsia" w:ascii="宋体" w:hAnsi="宋体" w:cs="宋体"/>
          <w:spacing w:val="-5"/>
          <w:sz w:val="24"/>
          <w:u w:val="single"/>
        </w:rPr>
        <w:t xml:space="preserve">                          </w:t>
      </w:r>
      <w:r>
        <w:rPr>
          <w:rFonts w:hint="eastAsia" w:ascii="宋体" w:hAnsi="宋体" w:cs="宋体"/>
          <w:spacing w:val="-5"/>
          <w:sz w:val="24"/>
        </w:rPr>
        <w:t>项目投标活动，并郑重承诺：</w:t>
      </w:r>
    </w:p>
    <w:p w14:paraId="64B39005">
      <w:pPr>
        <w:numPr>
          <w:ilvl w:val="0"/>
          <w:numId w:val="3"/>
        </w:numPr>
        <w:spacing w:line="560" w:lineRule="exact"/>
        <w:ind w:left="0" w:firstLine="460" w:firstLineChars="200"/>
        <w:rPr>
          <w:rFonts w:hint="eastAsia" w:ascii="宋体" w:hAnsi="宋体" w:cs="宋体"/>
          <w:spacing w:val="-5"/>
          <w:sz w:val="24"/>
        </w:rPr>
      </w:pPr>
      <w:r>
        <w:rPr>
          <w:rFonts w:hint="eastAsia" w:ascii="宋体" w:hAnsi="宋体" w:cs="宋体"/>
          <w:spacing w:val="-5"/>
          <w:sz w:val="24"/>
        </w:rPr>
        <w:t>在本项目的投标活动中遵守国家法律法规和有关规定，遵循公开、公平、公正和诚信原则。</w:t>
      </w:r>
    </w:p>
    <w:p w14:paraId="57A906CD">
      <w:pPr>
        <w:numPr>
          <w:ilvl w:val="0"/>
          <w:numId w:val="3"/>
        </w:numPr>
        <w:spacing w:line="560" w:lineRule="exact"/>
        <w:ind w:left="0" w:firstLine="460" w:firstLineChars="200"/>
        <w:rPr>
          <w:rFonts w:hint="eastAsia" w:ascii="宋体" w:hAnsi="宋体" w:cs="宋体"/>
          <w:spacing w:val="-5"/>
          <w:sz w:val="24"/>
        </w:rPr>
      </w:pPr>
      <w:r>
        <w:rPr>
          <w:rFonts w:hint="eastAsia" w:ascii="宋体" w:hAnsi="宋体" w:cs="宋体"/>
          <w:spacing w:val="-5"/>
          <w:sz w:val="24"/>
        </w:rPr>
        <w:t>响应文件中所有内容均为我单位真实意愿表达，相关信息真实有效。</w:t>
      </w:r>
    </w:p>
    <w:p w14:paraId="0A76D166">
      <w:pPr>
        <w:numPr>
          <w:ilvl w:val="0"/>
          <w:numId w:val="3"/>
        </w:numPr>
        <w:spacing w:line="560" w:lineRule="exact"/>
        <w:ind w:left="0" w:firstLine="460" w:firstLineChars="200"/>
        <w:rPr>
          <w:rFonts w:hint="eastAsia" w:ascii="宋体" w:hAnsi="宋体" w:cs="宋体"/>
          <w:spacing w:val="-5"/>
          <w:sz w:val="24"/>
        </w:rPr>
      </w:pPr>
      <w:r>
        <w:rPr>
          <w:rFonts w:hint="eastAsia" w:ascii="宋体" w:hAnsi="宋体" w:cs="宋体"/>
          <w:spacing w:val="-5"/>
          <w:sz w:val="24"/>
        </w:rPr>
        <w:t>无弄虚作假，无围标串标行为。</w:t>
      </w:r>
    </w:p>
    <w:p w14:paraId="0B4BF140">
      <w:pPr>
        <w:numPr>
          <w:ilvl w:val="0"/>
          <w:numId w:val="3"/>
        </w:numPr>
        <w:spacing w:line="560" w:lineRule="exact"/>
        <w:ind w:left="0" w:firstLine="460" w:firstLineChars="200"/>
        <w:rPr>
          <w:rFonts w:hint="eastAsia" w:ascii="宋体" w:hAnsi="宋体" w:cs="宋体"/>
          <w:spacing w:val="-5"/>
          <w:sz w:val="24"/>
        </w:rPr>
      </w:pPr>
      <w:r>
        <w:rPr>
          <w:rFonts w:hint="eastAsia" w:ascii="宋体" w:hAnsi="宋体" w:cs="宋体"/>
          <w:spacing w:val="-5"/>
          <w:sz w:val="24"/>
        </w:rPr>
        <w:t>若我方成交，在合同履行过程中严格执行有关法律、法规、规章和规范性文件的规定，不转包和违法分包。</w:t>
      </w:r>
    </w:p>
    <w:p w14:paraId="7B72EAC1">
      <w:pPr>
        <w:numPr>
          <w:ilvl w:val="0"/>
          <w:numId w:val="3"/>
        </w:numPr>
        <w:spacing w:line="560" w:lineRule="exact"/>
        <w:ind w:left="0" w:firstLine="460" w:firstLineChars="200"/>
        <w:rPr>
          <w:rFonts w:hint="eastAsia" w:ascii="宋体" w:hAnsi="宋体" w:cs="宋体"/>
          <w:spacing w:val="-5"/>
          <w:sz w:val="24"/>
        </w:rPr>
      </w:pPr>
      <w:r>
        <w:rPr>
          <w:rFonts w:hint="eastAsia" w:ascii="宋体" w:hAnsi="宋体" w:cs="宋体"/>
          <w:spacing w:val="-5"/>
          <w:sz w:val="24"/>
        </w:rPr>
        <w:t>我方如有违背承诺，愿意接受国家和相关主管部门依法进行的处罚，并记入相关责任主体和责任人信用档案，同时在相关网站上公开。</w:t>
      </w:r>
    </w:p>
    <w:p w14:paraId="02A4EB66">
      <w:pPr>
        <w:spacing w:line="560" w:lineRule="exact"/>
        <w:ind w:firstLine="4370" w:firstLineChars="1900"/>
        <w:rPr>
          <w:rFonts w:hint="eastAsia" w:ascii="宋体" w:hAnsi="宋体" w:cs="宋体"/>
          <w:spacing w:val="-5"/>
          <w:sz w:val="24"/>
        </w:rPr>
      </w:pPr>
    </w:p>
    <w:p w14:paraId="0BE75025">
      <w:pPr>
        <w:spacing w:line="360" w:lineRule="auto"/>
        <w:rPr>
          <w:rFonts w:hint="eastAsia" w:ascii="宋体" w:hAnsi="宋体" w:cs="宋体"/>
          <w:sz w:val="24"/>
        </w:rPr>
      </w:pPr>
      <w:r>
        <w:rPr>
          <w:rFonts w:hint="eastAsia" w:ascii="宋体" w:hAnsi="宋体" w:cs="宋体"/>
          <w:sz w:val="24"/>
        </w:rPr>
        <w:t>响应供应商：</w:t>
      </w:r>
      <w:r>
        <w:rPr>
          <w:rFonts w:hint="eastAsia" w:ascii="宋体" w:hAnsi="宋体" w:cs="宋体"/>
          <w:b/>
          <w:spacing w:val="-2"/>
          <w:sz w:val="24"/>
          <w:u w:val="single"/>
        </w:rPr>
        <w:t>（盖单位章）</w:t>
      </w:r>
    </w:p>
    <w:p w14:paraId="43FA55BD">
      <w:pPr>
        <w:kinsoku w:val="0"/>
        <w:topLinePunct/>
        <w:snapToGrid w:val="0"/>
        <w:spacing w:line="360" w:lineRule="auto"/>
        <w:rPr>
          <w:rFonts w:hint="eastAsia" w:ascii="宋体" w:hAnsi="宋体" w:cs="宋体"/>
          <w:sz w:val="24"/>
        </w:rPr>
      </w:pPr>
      <w:r>
        <w:rPr>
          <w:rFonts w:hint="eastAsia" w:ascii="宋体" w:hAnsi="宋体" w:cs="宋体"/>
          <w:sz w:val="24"/>
        </w:rPr>
        <w:t>法定代表人或委托代理人（签字或盖章）：</w:t>
      </w:r>
    </w:p>
    <w:p w14:paraId="75B80A44">
      <w:pPr>
        <w:spacing w:line="360" w:lineRule="auto"/>
        <w:ind w:firstLine="3675"/>
        <w:rPr>
          <w:rFonts w:hint="eastAsia" w:ascii="宋体" w:hAnsi="宋体" w:cs="宋体"/>
          <w:sz w:val="24"/>
        </w:rPr>
      </w:pPr>
      <w:r>
        <w:rPr>
          <w:rFonts w:hint="eastAsia" w:ascii="宋体" w:hAnsi="宋体" w:cs="宋体"/>
          <w:sz w:val="24"/>
        </w:rPr>
        <w:t>日期：   年   月   日</w:t>
      </w:r>
    </w:p>
    <w:p w14:paraId="306EC2B9">
      <w:pPr>
        <w:rPr>
          <w:rFonts w:hint="eastAsia" w:ascii="宋体" w:hAnsi="宋体" w:cs="宋体"/>
          <w:sz w:val="28"/>
          <w:szCs w:val="28"/>
        </w:rPr>
      </w:pPr>
      <w:r>
        <w:rPr>
          <w:rFonts w:hint="eastAsia" w:ascii="宋体" w:hAnsi="宋体" w:cs="宋体"/>
          <w:sz w:val="24"/>
        </w:rPr>
        <w:br w:type="page"/>
      </w:r>
    </w:p>
    <w:p w14:paraId="2430FBF7">
      <w:pPr>
        <w:widowControl/>
        <w:spacing w:line="360" w:lineRule="auto"/>
        <w:jc w:val="left"/>
        <w:rPr>
          <w:rFonts w:hint="eastAsia" w:ascii="宋体" w:hAnsi="宋体" w:cs="宋体"/>
          <w:sz w:val="28"/>
          <w:szCs w:val="28"/>
        </w:rPr>
      </w:pPr>
      <w:r>
        <w:rPr>
          <w:rFonts w:hint="eastAsia" w:ascii="宋体" w:hAnsi="宋体" w:cs="宋体"/>
          <w:sz w:val="32"/>
          <w:szCs w:val="32"/>
        </w:rPr>
        <w:t>附件4：</w:t>
      </w:r>
      <w:r>
        <w:rPr>
          <w:rFonts w:hint="eastAsia" w:ascii="宋体" w:hAnsi="宋体" w:cs="宋体"/>
          <w:sz w:val="28"/>
          <w:szCs w:val="28"/>
        </w:rPr>
        <w:t>《中小企业声明函》等（如有）</w:t>
      </w:r>
    </w:p>
    <w:p w14:paraId="063EF485">
      <w:pPr>
        <w:snapToGrid w:val="0"/>
        <w:spacing w:line="300" w:lineRule="auto"/>
        <w:outlineLvl w:val="0"/>
        <w:rPr>
          <w:rFonts w:hint="eastAsia" w:ascii="宋体" w:hAnsi="宋体" w:cs="宋体"/>
          <w:sz w:val="28"/>
          <w:szCs w:val="28"/>
        </w:rPr>
      </w:pPr>
    </w:p>
    <w:p w14:paraId="3837583A">
      <w:pPr>
        <w:spacing w:before="120" w:beforeLines="50" w:after="120" w:afterLines="50" w:line="300" w:lineRule="auto"/>
        <w:jc w:val="center"/>
        <w:outlineLvl w:val="0"/>
        <w:rPr>
          <w:rFonts w:hint="eastAsia" w:ascii="宋体" w:hAnsi="宋体" w:cs="宋体"/>
          <w:b/>
          <w:bCs/>
          <w:sz w:val="28"/>
          <w:szCs w:val="28"/>
          <w:lang w:bidi="zh-CN"/>
        </w:rPr>
      </w:pPr>
      <w:r>
        <w:rPr>
          <w:rFonts w:hint="eastAsia" w:ascii="宋体" w:hAnsi="宋体" w:cs="宋体"/>
          <w:b/>
          <w:bCs/>
          <w:sz w:val="28"/>
          <w:szCs w:val="28"/>
          <w:lang w:bidi="zh-CN"/>
        </w:rPr>
        <w:t>中小企业声明函（工程、服务）</w:t>
      </w:r>
    </w:p>
    <w:p w14:paraId="3E406E9B">
      <w:pPr>
        <w:adjustRightInd w:val="0"/>
        <w:snapToGrid w:val="0"/>
        <w:spacing w:line="360" w:lineRule="auto"/>
        <w:ind w:firstLine="480" w:firstLineChars="200"/>
        <w:outlineLvl w:val="0"/>
        <w:rPr>
          <w:rFonts w:hint="eastAsia" w:ascii="宋体" w:hAnsi="宋体" w:cs="宋体"/>
          <w:sz w:val="24"/>
          <w:lang w:bidi="zh-CN"/>
        </w:rPr>
      </w:pPr>
      <w:r>
        <w:rPr>
          <w:rFonts w:hint="eastAsia" w:ascii="宋体" w:hAnsi="宋体" w:cs="宋体"/>
          <w:sz w:val="24"/>
          <w:lang w:bidi="zh-CN"/>
        </w:rPr>
        <w:t>本公司（联合体）郑重声明，根据《政府采购促进中小企业发展管理办法》（财库﹝2020﹞46 号）的规定，本公司（联合体）参加</w:t>
      </w:r>
      <w:r>
        <w:rPr>
          <w:rFonts w:hint="eastAsia" w:ascii="宋体" w:hAnsi="宋体" w:cs="宋体"/>
          <w:sz w:val="24"/>
          <w:u w:val="single"/>
          <w:lang w:bidi="zh-CN"/>
        </w:rPr>
        <w:t>（单位名称）</w:t>
      </w:r>
      <w:r>
        <w:rPr>
          <w:rFonts w:hint="eastAsia" w:ascii="宋体" w:hAnsi="宋体" w:cs="宋体"/>
          <w:sz w:val="24"/>
          <w:lang w:bidi="zh-CN"/>
        </w:rPr>
        <w:t>的</w:t>
      </w:r>
      <w:r>
        <w:rPr>
          <w:rFonts w:hint="eastAsia" w:ascii="宋体" w:hAnsi="宋体" w:cs="宋体"/>
          <w:sz w:val="24"/>
          <w:u w:val="single"/>
          <w:lang w:bidi="zh-CN"/>
        </w:rPr>
        <w:t>（项目名称）</w:t>
      </w:r>
      <w:r>
        <w:rPr>
          <w:rFonts w:hint="eastAsia" w:ascii="宋体" w:hAnsi="宋体" w:cs="宋体"/>
          <w:sz w:val="24"/>
          <w:lang w:bidi="zh-CN"/>
        </w:rPr>
        <w:t>采购活动，工程的施工单位全部为符合政策要求的中小企业（或者：服务全部由符合政策要求的中小企业承接）。相关企业（含联合体中的中小企业、签订分包意向协议的中小企业）的具体情况如下：</w:t>
      </w:r>
    </w:p>
    <w:p w14:paraId="48DFF95D">
      <w:pPr>
        <w:adjustRightInd w:val="0"/>
        <w:snapToGrid w:val="0"/>
        <w:spacing w:line="360" w:lineRule="auto"/>
        <w:outlineLvl w:val="0"/>
        <w:rPr>
          <w:rFonts w:hint="eastAsia" w:ascii="宋体" w:hAnsi="宋体" w:cs="宋体"/>
          <w:sz w:val="24"/>
          <w:lang w:bidi="zh-CN"/>
        </w:rPr>
      </w:pPr>
      <w:r>
        <w:rPr>
          <w:rFonts w:hint="eastAsia" w:ascii="宋体" w:hAnsi="宋体" w:cs="宋体"/>
          <w:sz w:val="24"/>
          <w:lang w:bidi="zh-CN"/>
        </w:rPr>
        <w:t>1.</w:t>
      </w:r>
      <w:r>
        <w:rPr>
          <w:rFonts w:hint="eastAsia" w:ascii="宋体" w:hAnsi="宋体" w:cs="宋体"/>
          <w:sz w:val="24"/>
          <w:u w:val="single"/>
          <w:lang w:bidi="zh-CN"/>
        </w:rPr>
        <w:t>（标的名称）</w:t>
      </w:r>
      <w:r>
        <w:rPr>
          <w:rFonts w:hint="eastAsia" w:ascii="宋体" w:hAnsi="宋体" w:cs="宋体"/>
          <w:sz w:val="24"/>
          <w:lang w:bidi="zh-CN"/>
        </w:rPr>
        <w:t>，属于（</w:t>
      </w:r>
      <w:r>
        <w:rPr>
          <w:rFonts w:hint="eastAsia" w:ascii="宋体" w:hAnsi="宋体" w:cs="宋体"/>
          <w:sz w:val="24"/>
          <w:u w:val="single"/>
          <w:lang w:bidi="zh-CN"/>
        </w:rPr>
        <w:t>所属行业）</w:t>
      </w:r>
      <w:r>
        <w:rPr>
          <w:rFonts w:hint="eastAsia" w:ascii="宋体" w:hAnsi="宋体" w:cs="宋体"/>
          <w:sz w:val="24"/>
          <w:lang w:bidi="zh-CN"/>
        </w:rPr>
        <w:t>；承建（承接）企业为</w:t>
      </w:r>
      <w:r>
        <w:rPr>
          <w:rFonts w:hint="eastAsia" w:ascii="宋体" w:hAnsi="宋体" w:cs="宋体"/>
          <w:sz w:val="24"/>
          <w:u w:val="single"/>
          <w:lang w:bidi="zh-CN"/>
        </w:rPr>
        <w:t>（企业名称）</w:t>
      </w:r>
      <w:r>
        <w:rPr>
          <w:rFonts w:hint="eastAsia" w:ascii="宋体" w:hAnsi="宋体" w:cs="宋体"/>
          <w:sz w:val="24"/>
          <w:lang w:bidi="zh-CN"/>
        </w:rPr>
        <w:t>，从业人员</w:t>
      </w:r>
      <w:r>
        <w:rPr>
          <w:rFonts w:hint="eastAsia" w:ascii="宋体" w:hAnsi="宋体" w:cs="宋体"/>
          <w:sz w:val="24"/>
          <w:u w:val="single"/>
          <w:lang w:bidi="zh-CN"/>
        </w:rPr>
        <w:tab/>
      </w:r>
      <w:r>
        <w:rPr>
          <w:rFonts w:hint="eastAsia" w:ascii="宋体" w:hAnsi="宋体" w:cs="宋体"/>
          <w:sz w:val="24"/>
          <w:lang w:bidi="zh-CN"/>
        </w:rPr>
        <w:t>人，营业收入为</w:t>
      </w:r>
      <w:r>
        <w:rPr>
          <w:rFonts w:hint="eastAsia" w:ascii="宋体" w:hAnsi="宋体" w:cs="宋体"/>
          <w:sz w:val="24"/>
          <w:u w:val="single"/>
          <w:lang w:bidi="zh-CN"/>
        </w:rPr>
        <w:tab/>
      </w:r>
      <w:r>
        <w:rPr>
          <w:rFonts w:hint="eastAsia" w:ascii="宋体" w:hAnsi="宋体" w:cs="宋体"/>
          <w:sz w:val="24"/>
          <w:lang w:bidi="zh-CN"/>
        </w:rPr>
        <w:t>万元，资产总额为</w:t>
      </w:r>
      <w:r>
        <w:rPr>
          <w:rFonts w:hint="eastAsia" w:ascii="宋体" w:hAnsi="宋体" w:cs="宋体"/>
          <w:sz w:val="24"/>
          <w:u w:val="single"/>
          <w:lang w:bidi="zh-CN"/>
        </w:rPr>
        <w:tab/>
      </w:r>
      <w:r>
        <w:rPr>
          <w:rFonts w:hint="eastAsia" w:ascii="宋体" w:hAnsi="宋体" w:cs="宋体"/>
          <w:sz w:val="24"/>
          <w:lang w:bidi="zh-CN"/>
        </w:rPr>
        <w:t>万元，属于</w:t>
      </w:r>
      <w:r>
        <w:rPr>
          <w:rFonts w:hint="eastAsia" w:ascii="宋体" w:hAnsi="宋体" w:cs="宋体"/>
          <w:sz w:val="24"/>
          <w:u w:val="single"/>
          <w:lang w:bidi="zh-CN"/>
        </w:rPr>
        <w:t>（中型企业、小型企业、微型企业）</w:t>
      </w:r>
      <w:r>
        <w:rPr>
          <w:rFonts w:hint="eastAsia" w:ascii="宋体" w:hAnsi="宋体" w:cs="宋体"/>
          <w:sz w:val="24"/>
          <w:lang w:bidi="zh-CN"/>
        </w:rPr>
        <w:t>；</w:t>
      </w:r>
    </w:p>
    <w:p w14:paraId="536E4272">
      <w:pPr>
        <w:adjustRightInd w:val="0"/>
        <w:snapToGrid w:val="0"/>
        <w:spacing w:line="360" w:lineRule="auto"/>
        <w:outlineLvl w:val="0"/>
        <w:rPr>
          <w:rFonts w:hint="eastAsia" w:ascii="宋体" w:hAnsi="宋体" w:cs="宋体"/>
          <w:sz w:val="24"/>
          <w:lang w:bidi="zh-CN"/>
        </w:rPr>
      </w:pPr>
      <w:r>
        <w:rPr>
          <w:rFonts w:hint="eastAsia" w:ascii="宋体" w:hAnsi="宋体" w:cs="宋体"/>
          <w:sz w:val="24"/>
          <w:lang w:bidi="zh-CN"/>
        </w:rPr>
        <w:t>2.</w:t>
      </w:r>
      <w:r>
        <w:rPr>
          <w:rFonts w:hint="eastAsia" w:ascii="宋体" w:hAnsi="宋体" w:cs="宋体"/>
          <w:sz w:val="24"/>
          <w:u w:val="single"/>
          <w:lang w:bidi="zh-CN"/>
        </w:rPr>
        <w:t>（标的名称）</w:t>
      </w:r>
      <w:r>
        <w:rPr>
          <w:rFonts w:hint="eastAsia" w:ascii="宋体" w:hAnsi="宋体" w:cs="宋体"/>
          <w:sz w:val="24"/>
          <w:lang w:bidi="zh-CN"/>
        </w:rPr>
        <w:t>，属于（</w:t>
      </w:r>
      <w:r>
        <w:rPr>
          <w:rFonts w:hint="eastAsia" w:ascii="宋体" w:hAnsi="宋体" w:cs="宋体"/>
          <w:sz w:val="24"/>
          <w:u w:val="single"/>
          <w:lang w:bidi="zh-CN"/>
        </w:rPr>
        <w:t>所属行业）</w:t>
      </w:r>
      <w:r>
        <w:rPr>
          <w:rFonts w:hint="eastAsia" w:ascii="宋体" w:hAnsi="宋体" w:cs="宋体"/>
          <w:sz w:val="24"/>
          <w:lang w:bidi="zh-CN"/>
        </w:rPr>
        <w:t>；承建（承接）企业为</w:t>
      </w:r>
      <w:r>
        <w:rPr>
          <w:rFonts w:hint="eastAsia" w:ascii="宋体" w:hAnsi="宋体" w:cs="宋体"/>
          <w:sz w:val="24"/>
          <w:u w:val="single"/>
          <w:lang w:bidi="zh-CN"/>
        </w:rPr>
        <w:t>（企业名称）</w:t>
      </w:r>
      <w:r>
        <w:rPr>
          <w:rFonts w:hint="eastAsia" w:ascii="宋体" w:hAnsi="宋体" w:cs="宋体"/>
          <w:sz w:val="24"/>
          <w:lang w:bidi="zh-CN"/>
        </w:rPr>
        <w:t>，从业人员</w:t>
      </w:r>
      <w:r>
        <w:rPr>
          <w:rFonts w:hint="eastAsia" w:ascii="宋体" w:hAnsi="宋体" w:cs="宋体"/>
          <w:sz w:val="24"/>
          <w:u w:val="single"/>
          <w:lang w:bidi="zh-CN"/>
        </w:rPr>
        <w:tab/>
      </w:r>
      <w:r>
        <w:rPr>
          <w:rFonts w:hint="eastAsia" w:ascii="宋体" w:hAnsi="宋体" w:cs="宋体"/>
          <w:sz w:val="24"/>
          <w:lang w:bidi="zh-CN"/>
        </w:rPr>
        <w:t>人，营业收入为</w:t>
      </w:r>
      <w:r>
        <w:rPr>
          <w:rFonts w:hint="eastAsia" w:ascii="宋体" w:hAnsi="宋体" w:cs="宋体"/>
          <w:sz w:val="24"/>
          <w:u w:val="single"/>
          <w:lang w:bidi="zh-CN"/>
        </w:rPr>
        <w:tab/>
      </w:r>
      <w:r>
        <w:rPr>
          <w:rFonts w:hint="eastAsia" w:ascii="宋体" w:hAnsi="宋体" w:cs="宋体"/>
          <w:sz w:val="24"/>
          <w:lang w:bidi="zh-CN"/>
        </w:rPr>
        <w:t>万元，资产总额为</w:t>
      </w:r>
      <w:r>
        <w:rPr>
          <w:rFonts w:hint="eastAsia" w:ascii="宋体" w:hAnsi="宋体" w:cs="宋体"/>
          <w:sz w:val="24"/>
          <w:u w:val="single"/>
          <w:lang w:bidi="zh-CN"/>
        </w:rPr>
        <w:tab/>
      </w:r>
      <w:r>
        <w:rPr>
          <w:rFonts w:hint="eastAsia" w:ascii="宋体" w:hAnsi="宋体" w:cs="宋体"/>
          <w:sz w:val="24"/>
          <w:lang w:bidi="zh-CN"/>
        </w:rPr>
        <w:t>万元，属于</w:t>
      </w:r>
      <w:r>
        <w:rPr>
          <w:rFonts w:hint="eastAsia" w:ascii="宋体" w:hAnsi="宋体" w:cs="宋体"/>
          <w:sz w:val="24"/>
          <w:u w:val="single"/>
          <w:lang w:bidi="zh-CN"/>
        </w:rPr>
        <w:t>（中型企业、小型企业、微型企业）</w:t>
      </w:r>
      <w:r>
        <w:rPr>
          <w:rFonts w:hint="eastAsia" w:ascii="宋体" w:hAnsi="宋体" w:cs="宋体"/>
          <w:sz w:val="24"/>
          <w:lang w:bidi="zh-CN"/>
        </w:rPr>
        <w:t>；</w:t>
      </w:r>
    </w:p>
    <w:p w14:paraId="47F7EB33">
      <w:pPr>
        <w:adjustRightInd w:val="0"/>
        <w:snapToGrid w:val="0"/>
        <w:spacing w:line="360" w:lineRule="auto"/>
        <w:outlineLvl w:val="0"/>
        <w:rPr>
          <w:rFonts w:hint="eastAsia" w:ascii="宋体" w:hAnsi="宋体" w:cs="宋体"/>
          <w:sz w:val="24"/>
          <w:lang w:bidi="zh-CN"/>
        </w:rPr>
      </w:pPr>
      <w:r>
        <w:rPr>
          <w:rFonts w:hint="eastAsia" w:ascii="宋体" w:hAnsi="宋体" w:cs="宋体"/>
          <w:sz w:val="24"/>
          <w:lang w:bidi="zh-CN"/>
        </w:rPr>
        <w:t>……</w:t>
      </w:r>
    </w:p>
    <w:p w14:paraId="0D06F0ED">
      <w:pPr>
        <w:adjustRightInd w:val="0"/>
        <w:snapToGrid w:val="0"/>
        <w:spacing w:line="360" w:lineRule="auto"/>
        <w:ind w:firstLine="480" w:firstLineChars="200"/>
        <w:outlineLvl w:val="0"/>
        <w:rPr>
          <w:rFonts w:hint="eastAsia" w:ascii="宋体" w:hAnsi="宋体" w:cs="宋体"/>
          <w:sz w:val="24"/>
          <w:lang w:bidi="zh-CN"/>
        </w:rPr>
      </w:pPr>
      <w:r>
        <w:rPr>
          <w:rFonts w:hint="eastAsia" w:ascii="宋体" w:hAnsi="宋体" w:cs="宋体"/>
          <w:sz w:val="24"/>
          <w:lang w:bidi="zh-CN"/>
        </w:rPr>
        <w:t>以上企业，不属于大企业的分支机构，不存在控股股东为大企业的情形，也不存在与大企业的负责人为同一人的情形。</w:t>
      </w:r>
    </w:p>
    <w:p w14:paraId="5E556F11">
      <w:pPr>
        <w:adjustRightInd w:val="0"/>
        <w:snapToGrid w:val="0"/>
        <w:spacing w:line="360" w:lineRule="auto"/>
        <w:ind w:firstLine="480" w:firstLineChars="200"/>
        <w:outlineLvl w:val="0"/>
        <w:rPr>
          <w:rFonts w:hint="eastAsia" w:ascii="宋体" w:hAnsi="宋体" w:cs="宋体"/>
          <w:sz w:val="24"/>
          <w:lang w:bidi="zh-CN"/>
        </w:rPr>
      </w:pPr>
      <w:r>
        <w:rPr>
          <w:rFonts w:hint="eastAsia" w:ascii="宋体" w:hAnsi="宋体" w:cs="宋体"/>
          <w:sz w:val="24"/>
          <w:lang w:bidi="zh-CN"/>
        </w:rPr>
        <w:t>本企业对上述声明内容的真实性负责。如有虚假，将依法承担相应责任。</w:t>
      </w:r>
    </w:p>
    <w:p w14:paraId="0E92B72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（备注：1、供应商如不提供此声明函，价格将不做相应扣除。</w:t>
      </w:r>
    </w:p>
    <w:p w14:paraId="2D88C35C">
      <w:pPr>
        <w:adjustRightInd w:val="0"/>
        <w:snapToGrid w:val="0"/>
        <w:spacing w:line="360" w:lineRule="auto"/>
        <w:ind w:firstLine="960" w:firstLineChars="400"/>
        <w:rPr>
          <w:rFonts w:hint="eastAsia" w:ascii="宋体" w:hAnsi="宋体" w:cs="宋体"/>
        </w:rPr>
      </w:pPr>
      <w:r>
        <w:rPr>
          <w:rFonts w:hint="eastAsia" w:ascii="宋体" w:hAnsi="宋体" w:cs="宋体"/>
          <w:sz w:val="24"/>
        </w:rPr>
        <w:t>2、中标或成交供应商为小型、微型单位的，此声明函将随中标或成交结果同时公告，接受社会监督。）</w:t>
      </w:r>
    </w:p>
    <w:p w14:paraId="72BB6DBF">
      <w:pPr>
        <w:adjustRightInd w:val="0"/>
        <w:snapToGrid w:val="0"/>
        <w:spacing w:line="360" w:lineRule="auto"/>
        <w:outlineLvl w:val="0"/>
        <w:rPr>
          <w:rFonts w:hint="eastAsia" w:ascii="宋体" w:hAnsi="宋体" w:cs="宋体"/>
          <w:sz w:val="24"/>
          <w:lang w:bidi="zh-CN"/>
        </w:rPr>
      </w:pPr>
    </w:p>
    <w:p w14:paraId="1B6E239D">
      <w:pPr>
        <w:adjustRightInd w:val="0"/>
        <w:snapToGrid w:val="0"/>
        <w:spacing w:line="360" w:lineRule="auto"/>
        <w:outlineLvl w:val="0"/>
        <w:rPr>
          <w:rFonts w:hint="eastAsia" w:ascii="宋体" w:hAnsi="宋体" w:cs="宋体"/>
          <w:sz w:val="24"/>
          <w:lang w:bidi="zh-CN"/>
        </w:rPr>
      </w:pPr>
    </w:p>
    <w:p w14:paraId="6B58EED0">
      <w:pPr>
        <w:adjustRightInd w:val="0"/>
        <w:snapToGrid w:val="0"/>
        <w:spacing w:line="360" w:lineRule="auto"/>
        <w:ind w:firstLine="4200" w:firstLineChars="1750"/>
        <w:outlineLvl w:val="0"/>
        <w:rPr>
          <w:rFonts w:hint="eastAsia" w:ascii="宋体" w:hAnsi="宋体" w:cs="宋体"/>
          <w:sz w:val="24"/>
          <w:lang w:bidi="zh-CN"/>
        </w:rPr>
      </w:pPr>
      <w:r>
        <w:rPr>
          <w:rFonts w:hint="eastAsia" w:ascii="宋体" w:hAnsi="宋体" w:cs="宋体"/>
          <w:sz w:val="24"/>
          <w:lang w:bidi="zh-CN"/>
        </w:rPr>
        <w:t>企业名称（盖章）：</w:t>
      </w:r>
    </w:p>
    <w:p w14:paraId="4DCE84EB">
      <w:pPr>
        <w:spacing w:line="300" w:lineRule="auto"/>
        <w:ind w:firstLine="4200" w:firstLineChars="1750"/>
        <w:outlineLvl w:val="0"/>
        <w:rPr>
          <w:rFonts w:hint="eastAsia" w:ascii="宋体" w:hAnsi="宋体" w:cs="宋体"/>
          <w:sz w:val="24"/>
          <w:lang w:bidi="zh-CN"/>
        </w:rPr>
      </w:pPr>
      <w:r>
        <w:rPr>
          <w:rFonts w:hint="eastAsia" w:ascii="宋体" w:hAnsi="宋体" w:cs="宋体"/>
          <w:sz w:val="24"/>
          <w:lang w:bidi="zh-CN"/>
        </w:rPr>
        <w:t>日期：</w:t>
      </w:r>
    </w:p>
    <w:p w14:paraId="06CDFFD2">
      <w:pPr>
        <w:spacing w:line="560" w:lineRule="exact"/>
        <w:ind w:firstLine="240" w:firstLineChars="100"/>
        <w:rPr>
          <w:rFonts w:hint="eastAsia" w:ascii="宋体" w:hAnsi="宋体" w:cs="宋体"/>
          <w:sz w:val="24"/>
        </w:rPr>
      </w:pPr>
    </w:p>
    <w:p w14:paraId="27DBC39A">
      <w:pPr>
        <w:spacing w:line="300" w:lineRule="auto"/>
        <w:contextualSpacing/>
        <w:rPr>
          <w:rFonts w:hint="eastAsia" w:ascii="宋体" w:hAnsi="宋体" w:cs="宋体"/>
          <w:sz w:val="24"/>
        </w:rPr>
      </w:pPr>
    </w:p>
    <w:p w14:paraId="34EBBA25">
      <w:pPr>
        <w:spacing w:line="600" w:lineRule="exact"/>
        <w:jc w:val="center"/>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残疾人福利性单位声明函</w:t>
      </w:r>
    </w:p>
    <w:p w14:paraId="5250F70E">
      <w:pPr>
        <w:spacing w:line="588" w:lineRule="exact"/>
        <w:ind w:firstLine="480" w:firstLineChars="2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sz w:val="24"/>
          <w:u w:val="single"/>
        </w:rPr>
        <w:t xml:space="preserve">       </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14:paraId="0722B738">
      <w:pPr>
        <w:spacing w:line="588" w:lineRule="exact"/>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14:paraId="59DB9EBB">
      <w:pPr>
        <w:spacing w:line="588" w:lineRule="exact"/>
        <w:ind w:firstLine="480" w:firstLineChars="200"/>
        <w:rPr>
          <w:rFonts w:hint="eastAsia" w:ascii="宋体" w:hAnsi="宋体" w:cs="宋体"/>
          <w:sz w:val="24"/>
        </w:rPr>
      </w:pPr>
      <w:r>
        <w:rPr>
          <w:rFonts w:hint="eastAsia" w:ascii="宋体" w:hAnsi="宋体" w:cs="宋体"/>
          <w:sz w:val="24"/>
        </w:rPr>
        <w:t>（备注：1、供应商如不提供此声明函，价格将不做相应扣除。</w:t>
      </w:r>
    </w:p>
    <w:p w14:paraId="59655F66">
      <w:pPr>
        <w:spacing w:line="588" w:lineRule="exact"/>
        <w:ind w:firstLine="1440" w:firstLineChars="600"/>
        <w:rPr>
          <w:rFonts w:hint="eastAsia" w:ascii="宋体" w:hAnsi="宋体" w:cs="宋体"/>
          <w:sz w:val="24"/>
        </w:rPr>
      </w:pPr>
      <w:r>
        <w:rPr>
          <w:rFonts w:hint="eastAsia" w:ascii="宋体" w:hAnsi="宋体" w:cs="宋体"/>
          <w:sz w:val="24"/>
        </w:rPr>
        <w:t>2、中标或成交供应商为残疾人福利单位的，此声明函将随中标或成交结果同时公告，接受社会监督）</w:t>
      </w:r>
    </w:p>
    <w:p w14:paraId="2109A260">
      <w:pPr>
        <w:spacing w:line="588" w:lineRule="exact"/>
        <w:ind w:firstLine="480" w:firstLineChars="200"/>
        <w:rPr>
          <w:rFonts w:hint="eastAsia" w:ascii="宋体" w:hAnsi="宋体" w:cs="宋体"/>
          <w:sz w:val="24"/>
        </w:rPr>
      </w:pPr>
    </w:p>
    <w:p w14:paraId="09A6F9F2">
      <w:pPr>
        <w:tabs>
          <w:tab w:val="left" w:pos="4860"/>
        </w:tabs>
        <w:spacing w:line="588" w:lineRule="exact"/>
        <w:ind w:right="1560" w:firstLine="480" w:firstLineChars="200"/>
        <w:jc w:val="center"/>
        <w:rPr>
          <w:rFonts w:hint="eastAsia" w:ascii="宋体" w:hAnsi="宋体" w:cs="宋体"/>
          <w:sz w:val="24"/>
        </w:rPr>
      </w:pPr>
      <w:r>
        <w:rPr>
          <w:rFonts w:hint="eastAsia" w:ascii="宋体" w:hAnsi="宋体" w:cs="宋体"/>
          <w:sz w:val="24"/>
        </w:rPr>
        <w:t xml:space="preserve">                        供应商全称（盖章）：</w:t>
      </w:r>
    </w:p>
    <w:p w14:paraId="65CF6DD0">
      <w:pPr>
        <w:tabs>
          <w:tab w:val="left" w:pos="4860"/>
        </w:tabs>
        <w:spacing w:line="588" w:lineRule="exact"/>
        <w:ind w:right="1560" w:firstLine="480" w:firstLineChars="200"/>
        <w:jc w:val="center"/>
        <w:rPr>
          <w:rFonts w:hint="eastAsia" w:ascii="宋体" w:hAnsi="宋体" w:cs="宋体"/>
          <w:sz w:val="24"/>
        </w:rPr>
      </w:pPr>
      <w:r>
        <w:rPr>
          <w:rFonts w:hint="eastAsia" w:ascii="宋体" w:hAnsi="宋体" w:cs="宋体"/>
          <w:sz w:val="24"/>
        </w:rPr>
        <w:t xml:space="preserve">              日  期：</w:t>
      </w:r>
    </w:p>
    <w:p w14:paraId="61B4A78B">
      <w:pPr>
        <w:spacing w:line="420" w:lineRule="exact"/>
        <w:jc w:val="center"/>
        <w:outlineLvl w:val="2"/>
        <w:rPr>
          <w:rFonts w:hint="eastAsia"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监狱和戒毒企业证明材料</w:t>
      </w:r>
    </w:p>
    <w:p w14:paraId="6A8C574F">
      <w:pPr>
        <w:spacing w:line="420" w:lineRule="exact"/>
        <w:ind w:firstLine="495" w:firstLineChars="177"/>
        <w:rPr>
          <w:rFonts w:hint="eastAsia" w:ascii="宋体" w:hAnsi="宋体" w:cs="宋体"/>
          <w:sz w:val="28"/>
          <w:szCs w:val="28"/>
        </w:rPr>
      </w:pPr>
    </w:p>
    <w:p w14:paraId="24FE6D68">
      <w:pPr>
        <w:spacing w:line="420" w:lineRule="exact"/>
        <w:ind w:firstLine="426" w:firstLineChars="177"/>
        <w:jc w:val="center"/>
        <w:rPr>
          <w:rFonts w:hint="eastAsia" w:ascii="宋体" w:hAnsi="宋体" w:cs="宋体"/>
          <w:b/>
          <w:sz w:val="24"/>
        </w:rPr>
      </w:pPr>
      <w:r>
        <w:rPr>
          <w:rFonts w:hint="eastAsia" w:ascii="宋体" w:hAnsi="宋体" w:cs="宋体"/>
          <w:b/>
          <w:sz w:val="24"/>
        </w:rPr>
        <w:t>（格式自拟）</w:t>
      </w:r>
    </w:p>
    <w:p w14:paraId="4FB80459">
      <w:pPr>
        <w:spacing w:line="420" w:lineRule="exact"/>
        <w:ind w:firstLine="424" w:firstLineChars="177"/>
        <w:rPr>
          <w:rFonts w:hint="eastAsia" w:ascii="宋体" w:hAnsi="宋体" w:cs="宋体"/>
          <w:sz w:val="24"/>
        </w:rPr>
      </w:pPr>
    </w:p>
    <w:p w14:paraId="618BB4CE">
      <w:pPr>
        <w:spacing w:line="420" w:lineRule="exact"/>
        <w:ind w:firstLine="566" w:firstLineChars="236"/>
        <w:rPr>
          <w:rFonts w:hint="eastAsia" w:ascii="宋体" w:hAnsi="宋体" w:cs="宋体"/>
          <w:sz w:val="24"/>
        </w:rPr>
      </w:pPr>
      <w:r>
        <w:rPr>
          <w:rFonts w:hint="eastAsia" w:ascii="宋体" w:hAnsi="宋体" w:cs="宋体"/>
          <w:sz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7A420F2">
      <w:pPr>
        <w:spacing w:line="300" w:lineRule="auto"/>
        <w:contextualSpacing/>
        <w:rPr>
          <w:rFonts w:hint="eastAsia" w:ascii="宋体" w:hAnsi="宋体" w:cs="宋体"/>
          <w:b/>
          <w:bCs/>
          <w:sz w:val="24"/>
        </w:rPr>
      </w:pPr>
    </w:p>
    <w:p w14:paraId="7E90C325">
      <w:pPr>
        <w:kinsoku w:val="0"/>
        <w:topLinePunct/>
        <w:spacing w:line="420" w:lineRule="exact"/>
        <w:jc w:val="center"/>
        <w:rPr>
          <w:rFonts w:hint="eastAsia" w:ascii="宋体" w:hAnsi="宋体" w:cs="宋体"/>
          <w:sz w:val="24"/>
        </w:rPr>
      </w:pPr>
    </w:p>
    <w:p w14:paraId="129B5D7A">
      <w:pPr>
        <w:adjustRightInd w:val="0"/>
        <w:snapToGrid w:val="0"/>
        <w:spacing w:line="360" w:lineRule="auto"/>
        <w:jc w:val="left"/>
        <w:rPr>
          <w:rFonts w:hint="eastAsia" w:ascii="宋体" w:hAnsi="宋体" w:cs="宋体"/>
          <w:sz w:val="24"/>
        </w:rPr>
      </w:pPr>
    </w:p>
    <w:p w14:paraId="6D5DCEAF">
      <w:pPr>
        <w:rPr>
          <w:rFonts w:hint="eastAsia" w:ascii="宋体" w:hAnsi="宋体" w:cs="宋体"/>
          <w:sz w:val="28"/>
          <w:szCs w:val="28"/>
        </w:rPr>
      </w:pPr>
      <w:r>
        <w:rPr>
          <w:rFonts w:hint="eastAsia" w:ascii="宋体" w:hAnsi="宋体" w:cs="宋体"/>
          <w:sz w:val="28"/>
          <w:szCs w:val="28"/>
        </w:rPr>
        <w:br w:type="page"/>
      </w:r>
    </w:p>
    <w:p w14:paraId="42CF06B6">
      <w:pPr>
        <w:rPr>
          <w:rFonts w:hint="eastAsia" w:ascii="宋体" w:hAnsi="宋体" w:cs="宋体"/>
          <w:sz w:val="28"/>
          <w:szCs w:val="28"/>
        </w:rPr>
      </w:pPr>
      <w:r>
        <w:rPr>
          <w:rFonts w:hint="eastAsia" w:ascii="宋体" w:hAnsi="宋体" w:cs="宋体"/>
          <w:sz w:val="28"/>
          <w:szCs w:val="28"/>
        </w:rPr>
        <w:t>附件5：</w:t>
      </w:r>
    </w:p>
    <w:p w14:paraId="1B4146C4">
      <w:pPr>
        <w:snapToGrid w:val="0"/>
        <w:spacing w:line="520" w:lineRule="exact"/>
        <w:jc w:val="center"/>
        <w:outlineLvl w:val="2"/>
        <w:rPr>
          <w:rFonts w:hint="eastAsia" w:ascii="宋体" w:hAnsi="宋体" w:cs="宋体"/>
        </w:rPr>
      </w:pPr>
      <w:r>
        <w:rPr>
          <w:rFonts w:hint="eastAsia" w:ascii="宋体" w:hAnsi="宋体" w:cs="宋体"/>
          <w:b/>
          <w:bCs/>
          <w:sz w:val="28"/>
          <w:szCs w:val="28"/>
        </w:rPr>
        <w:t>供应商基本情况表</w:t>
      </w:r>
    </w:p>
    <w:tbl>
      <w:tblPr>
        <w:tblStyle w:val="18"/>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3036"/>
        <w:gridCol w:w="1536"/>
        <w:gridCol w:w="2287"/>
      </w:tblGrid>
      <w:tr w14:paraId="63AC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708" w:type="dxa"/>
            <w:vAlign w:val="center"/>
          </w:tcPr>
          <w:p w14:paraId="32448E18">
            <w:pPr>
              <w:jc w:val="center"/>
              <w:rPr>
                <w:rFonts w:hint="eastAsia" w:ascii="宋体" w:hAnsi="宋体" w:cs="宋体"/>
                <w:sz w:val="24"/>
              </w:rPr>
            </w:pPr>
            <w:r>
              <w:rPr>
                <w:rFonts w:hint="eastAsia" w:ascii="宋体" w:hAnsi="宋体" w:cs="宋体"/>
                <w:sz w:val="24"/>
              </w:rPr>
              <w:t>供应商全称</w:t>
            </w:r>
          </w:p>
        </w:tc>
        <w:tc>
          <w:tcPr>
            <w:tcW w:w="6859" w:type="dxa"/>
            <w:gridSpan w:val="3"/>
            <w:vAlign w:val="center"/>
          </w:tcPr>
          <w:p w14:paraId="0B0BEDBD">
            <w:pPr>
              <w:jc w:val="center"/>
              <w:rPr>
                <w:rFonts w:hint="eastAsia" w:ascii="宋体" w:hAnsi="宋体" w:cs="宋体"/>
                <w:b/>
                <w:sz w:val="24"/>
              </w:rPr>
            </w:pPr>
          </w:p>
        </w:tc>
      </w:tr>
      <w:tr w14:paraId="790B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708" w:type="dxa"/>
            <w:vAlign w:val="center"/>
          </w:tcPr>
          <w:p w14:paraId="5BD1C34B">
            <w:pPr>
              <w:jc w:val="center"/>
              <w:rPr>
                <w:rFonts w:hint="eastAsia" w:ascii="宋体" w:hAnsi="宋体" w:cs="宋体"/>
                <w:sz w:val="24"/>
              </w:rPr>
            </w:pPr>
            <w:r>
              <w:rPr>
                <w:rFonts w:hint="eastAsia" w:ascii="宋体" w:hAnsi="宋体" w:cs="宋体"/>
                <w:sz w:val="24"/>
              </w:rPr>
              <w:t>主要业务范围</w:t>
            </w:r>
          </w:p>
        </w:tc>
        <w:tc>
          <w:tcPr>
            <w:tcW w:w="6859" w:type="dxa"/>
            <w:gridSpan w:val="3"/>
            <w:vAlign w:val="center"/>
          </w:tcPr>
          <w:p w14:paraId="193DF5CE">
            <w:pPr>
              <w:jc w:val="center"/>
              <w:rPr>
                <w:rFonts w:hint="eastAsia" w:ascii="宋体" w:hAnsi="宋体" w:cs="宋体"/>
                <w:b/>
                <w:sz w:val="24"/>
              </w:rPr>
            </w:pPr>
          </w:p>
        </w:tc>
      </w:tr>
      <w:tr w14:paraId="3318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14:paraId="4EF954E3">
            <w:pPr>
              <w:jc w:val="center"/>
              <w:rPr>
                <w:rFonts w:hint="eastAsia" w:ascii="宋体" w:hAnsi="宋体" w:cs="宋体"/>
                <w:sz w:val="24"/>
              </w:rPr>
            </w:pPr>
            <w:r>
              <w:rPr>
                <w:rFonts w:hint="eastAsia" w:ascii="宋体" w:hAnsi="宋体" w:cs="宋体"/>
                <w:sz w:val="24"/>
              </w:rPr>
              <w:t>法定代表人姓名</w:t>
            </w:r>
          </w:p>
        </w:tc>
        <w:tc>
          <w:tcPr>
            <w:tcW w:w="3036" w:type="dxa"/>
            <w:vAlign w:val="center"/>
          </w:tcPr>
          <w:p w14:paraId="4E3A56EA">
            <w:pPr>
              <w:jc w:val="center"/>
              <w:rPr>
                <w:rFonts w:hint="eastAsia" w:ascii="宋体" w:hAnsi="宋体" w:cs="宋体"/>
                <w:b/>
                <w:sz w:val="24"/>
              </w:rPr>
            </w:pPr>
          </w:p>
        </w:tc>
        <w:tc>
          <w:tcPr>
            <w:tcW w:w="1536" w:type="dxa"/>
            <w:vAlign w:val="center"/>
          </w:tcPr>
          <w:p w14:paraId="2F252FAB">
            <w:pPr>
              <w:jc w:val="center"/>
              <w:rPr>
                <w:rFonts w:hint="eastAsia" w:ascii="宋体" w:hAnsi="宋体" w:cs="宋体"/>
                <w:sz w:val="24"/>
              </w:rPr>
            </w:pPr>
            <w:r>
              <w:rPr>
                <w:rFonts w:hint="eastAsia" w:ascii="宋体" w:hAnsi="宋体" w:cs="宋体"/>
                <w:sz w:val="24"/>
              </w:rPr>
              <w:t>职    务</w:t>
            </w:r>
          </w:p>
        </w:tc>
        <w:tc>
          <w:tcPr>
            <w:tcW w:w="2287" w:type="dxa"/>
          </w:tcPr>
          <w:p w14:paraId="40A272BC">
            <w:pPr>
              <w:rPr>
                <w:rFonts w:hint="eastAsia" w:ascii="宋体" w:hAnsi="宋体" w:cs="宋体"/>
                <w:b/>
                <w:sz w:val="24"/>
              </w:rPr>
            </w:pPr>
          </w:p>
        </w:tc>
      </w:tr>
      <w:tr w14:paraId="0BA9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14:paraId="4CCC124A">
            <w:pPr>
              <w:jc w:val="center"/>
              <w:rPr>
                <w:rFonts w:hint="eastAsia" w:ascii="宋体" w:hAnsi="宋体" w:cs="宋体"/>
                <w:sz w:val="24"/>
              </w:rPr>
            </w:pPr>
            <w:r>
              <w:rPr>
                <w:rFonts w:hint="eastAsia" w:ascii="宋体" w:hAnsi="宋体" w:cs="宋体"/>
                <w:sz w:val="24"/>
              </w:rPr>
              <w:t>供应商地址</w:t>
            </w:r>
          </w:p>
        </w:tc>
        <w:tc>
          <w:tcPr>
            <w:tcW w:w="3036" w:type="dxa"/>
            <w:vAlign w:val="center"/>
          </w:tcPr>
          <w:p w14:paraId="4BE68570">
            <w:pPr>
              <w:jc w:val="center"/>
              <w:rPr>
                <w:rFonts w:hint="eastAsia" w:ascii="宋体" w:hAnsi="宋体" w:cs="宋体"/>
                <w:b/>
                <w:sz w:val="24"/>
              </w:rPr>
            </w:pPr>
          </w:p>
        </w:tc>
        <w:tc>
          <w:tcPr>
            <w:tcW w:w="1536" w:type="dxa"/>
            <w:vAlign w:val="center"/>
          </w:tcPr>
          <w:p w14:paraId="6599EA62">
            <w:pPr>
              <w:jc w:val="center"/>
              <w:rPr>
                <w:rFonts w:hint="eastAsia" w:ascii="宋体" w:hAnsi="宋体" w:cs="宋体"/>
                <w:sz w:val="24"/>
              </w:rPr>
            </w:pPr>
            <w:r>
              <w:rPr>
                <w:rFonts w:hint="eastAsia" w:ascii="宋体" w:hAnsi="宋体" w:cs="宋体"/>
                <w:sz w:val="24"/>
              </w:rPr>
              <w:t>邮政编码</w:t>
            </w:r>
          </w:p>
        </w:tc>
        <w:tc>
          <w:tcPr>
            <w:tcW w:w="2287" w:type="dxa"/>
          </w:tcPr>
          <w:p w14:paraId="5CC1A37E">
            <w:pPr>
              <w:rPr>
                <w:rFonts w:hint="eastAsia" w:ascii="宋体" w:hAnsi="宋体" w:cs="宋体"/>
                <w:b/>
                <w:sz w:val="24"/>
              </w:rPr>
            </w:pPr>
          </w:p>
        </w:tc>
      </w:tr>
      <w:tr w14:paraId="4EBF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708" w:type="dxa"/>
            <w:vAlign w:val="center"/>
          </w:tcPr>
          <w:p w14:paraId="12573C81">
            <w:pPr>
              <w:jc w:val="center"/>
              <w:rPr>
                <w:rFonts w:hint="eastAsia" w:ascii="宋体" w:hAnsi="宋体" w:cs="宋体"/>
                <w:sz w:val="24"/>
              </w:rPr>
            </w:pPr>
            <w:r>
              <w:rPr>
                <w:rFonts w:hint="eastAsia" w:ascii="宋体" w:hAnsi="宋体" w:cs="宋体"/>
                <w:sz w:val="24"/>
              </w:rPr>
              <w:t>电       话</w:t>
            </w:r>
          </w:p>
        </w:tc>
        <w:tc>
          <w:tcPr>
            <w:tcW w:w="3036" w:type="dxa"/>
            <w:vAlign w:val="center"/>
          </w:tcPr>
          <w:p w14:paraId="37B8CDE5">
            <w:pPr>
              <w:jc w:val="center"/>
              <w:rPr>
                <w:rFonts w:hint="eastAsia" w:ascii="宋体" w:hAnsi="宋体" w:cs="宋体"/>
                <w:b/>
                <w:sz w:val="24"/>
              </w:rPr>
            </w:pPr>
          </w:p>
        </w:tc>
        <w:tc>
          <w:tcPr>
            <w:tcW w:w="1536" w:type="dxa"/>
            <w:vAlign w:val="center"/>
          </w:tcPr>
          <w:p w14:paraId="47BFAA66">
            <w:pPr>
              <w:jc w:val="center"/>
              <w:rPr>
                <w:rFonts w:hint="eastAsia" w:ascii="宋体" w:hAnsi="宋体" w:cs="宋体"/>
                <w:sz w:val="24"/>
              </w:rPr>
            </w:pPr>
            <w:r>
              <w:rPr>
                <w:rFonts w:hint="eastAsia" w:ascii="宋体" w:hAnsi="宋体" w:cs="宋体"/>
                <w:sz w:val="24"/>
              </w:rPr>
              <w:t>传   真</w:t>
            </w:r>
          </w:p>
        </w:tc>
        <w:tc>
          <w:tcPr>
            <w:tcW w:w="2287" w:type="dxa"/>
          </w:tcPr>
          <w:p w14:paraId="1EF8ED96">
            <w:pPr>
              <w:rPr>
                <w:rFonts w:hint="eastAsia" w:ascii="宋体" w:hAnsi="宋体" w:cs="宋体"/>
                <w:b/>
                <w:sz w:val="24"/>
              </w:rPr>
            </w:pPr>
          </w:p>
        </w:tc>
      </w:tr>
      <w:tr w14:paraId="5597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708" w:type="dxa"/>
            <w:vAlign w:val="center"/>
          </w:tcPr>
          <w:p w14:paraId="200050FE">
            <w:pPr>
              <w:jc w:val="center"/>
              <w:rPr>
                <w:rFonts w:hint="eastAsia" w:ascii="宋体" w:hAnsi="宋体" w:cs="宋体"/>
                <w:sz w:val="24"/>
              </w:rPr>
            </w:pPr>
            <w:r>
              <w:rPr>
                <w:rFonts w:hint="eastAsia" w:ascii="宋体" w:hAnsi="宋体" w:cs="宋体"/>
                <w:sz w:val="24"/>
              </w:rPr>
              <w:t>成立日期</w:t>
            </w:r>
          </w:p>
        </w:tc>
        <w:tc>
          <w:tcPr>
            <w:tcW w:w="3036" w:type="dxa"/>
            <w:vAlign w:val="center"/>
          </w:tcPr>
          <w:p w14:paraId="472FF398">
            <w:pPr>
              <w:jc w:val="center"/>
              <w:rPr>
                <w:rFonts w:hint="eastAsia" w:ascii="宋体" w:hAnsi="宋体" w:cs="宋体"/>
                <w:b/>
                <w:sz w:val="24"/>
              </w:rPr>
            </w:pPr>
          </w:p>
        </w:tc>
        <w:tc>
          <w:tcPr>
            <w:tcW w:w="1536" w:type="dxa"/>
            <w:vAlign w:val="center"/>
          </w:tcPr>
          <w:p w14:paraId="15A0E776">
            <w:pPr>
              <w:jc w:val="center"/>
              <w:rPr>
                <w:rFonts w:hint="eastAsia" w:ascii="宋体" w:hAnsi="宋体" w:cs="宋体"/>
                <w:sz w:val="24"/>
              </w:rPr>
            </w:pPr>
            <w:r>
              <w:rPr>
                <w:rFonts w:hint="eastAsia" w:ascii="宋体" w:hAnsi="宋体" w:cs="宋体"/>
                <w:sz w:val="24"/>
              </w:rPr>
              <w:t>现 有 职</w:t>
            </w:r>
          </w:p>
          <w:p w14:paraId="58DC5A28">
            <w:pPr>
              <w:jc w:val="center"/>
              <w:rPr>
                <w:rFonts w:hint="eastAsia" w:ascii="宋体" w:hAnsi="宋体" w:cs="宋体"/>
                <w:sz w:val="24"/>
              </w:rPr>
            </w:pPr>
            <w:r>
              <w:rPr>
                <w:rFonts w:hint="eastAsia" w:ascii="宋体" w:hAnsi="宋体" w:cs="宋体"/>
                <w:sz w:val="24"/>
              </w:rPr>
              <w:t>工 人 数</w:t>
            </w:r>
          </w:p>
        </w:tc>
        <w:tc>
          <w:tcPr>
            <w:tcW w:w="2287" w:type="dxa"/>
          </w:tcPr>
          <w:p w14:paraId="187B8487">
            <w:pPr>
              <w:rPr>
                <w:rFonts w:hint="eastAsia" w:ascii="宋体" w:hAnsi="宋体" w:cs="宋体"/>
                <w:b/>
                <w:sz w:val="24"/>
              </w:rPr>
            </w:pPr>
          </w:p>
        </w:tc>
      </w:tr>
      <w:tr w14:paraId="5DC2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708" w:type="dxa"/>
            <w:vAlign w:val="center"/>
          </w:tcPr>
          <w:p w14:paraId="426910FE">
            <w:pPr>
              <w:pStyle w:val="11"/>
              <w:jc w:val="center"/>
              <w:rPr>
                <w:rFonts w:hint="eastAsia" w:ascii="宋体" w:hAnsi="宋体" w:cs="宋体"/>
                <w:sz w:val="24"/>
                <w:szCs w:val="24"/>
              </w:rPr>
            </w:pPr>
            <w:r>
              <w:rPr>
                <w:rFonts w:hint="eastAsia" w:ascii="宋体" w:hAnsi="宋体" w:cs="宋体"/>
                <w:sz w:val="24"/>
                <w:szCs w:val="24"/>
              </w:rPr>
              <w:t>资质等级证书（如有）</w:t>
            </w:r>
          </w:p>
        </w:tc>
        <w:tc>
          <w:tcPr>
            <w:tcW w:w="6859" w:type="dxa"/>
            <w:gridSpan w:val="3"/>
          </w:tcPr>
          <w:p w14:paraId="53BDB7A4">
            <w:pPr>
              <w:rPr>
                <w:rFonts w:hint="eastAsia" w:ascii="宋体" w:hAnsi="宋体" w:cs="宋体"/>
                <w:b/>
                <w:sz w:val="24"/>
              </w:rPr>
            </w:pPr>
          </w:p>
          <w:p w14:paraId="303AE07A">
            <w:pPr>
              <w:rPr>
                <w:rFonts w:hint="eastAsia" w:ascii="宋体" w:hAnsi="宋体" w:cs="宋体"/>
                <w:sz w:val="24"/>
              </w:rPr>
            </w:pPr>
            <w:r>
              <w:rPr>
                <w:rFonts w:hint="eastAsia" w:ascii="宋体" w:hAnsi="宋体" w:cs="宋体"/>
                <w:sz w:val="24"/>
              </w:rPr>
              <w:t>等 级：                   证书号：</w:t>
            </w:r>
          </w:p>
        </w:tc>
      </w:tr>
      <w:tr w14:paraId="4035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567" w:type="dxa"/>
            <w:gridSpan w:val="4"/>
            <w:tcBorders>
              <w:bottom w:val="single" w:color="auto" w:sz="4" w:space="0"/>
            </w:tcBorders>
          </w:tcPr>
          <w:p w14:paraId="07592F7B">
            <w:pPr>
              <w:rPr>
                <w:rFonts w:hint="eastAsia" w:ascii="宋体" w:hAnsi="宋体" w:cs="宋体"/>
                <w:sz w:val="24"/>
              </w:rPr>
            </w:pPr>
            <w:r>
              <w:rPr>
                <w:rFonts w:hint="eastAsia" w:ascii="宋体" w:hAnsi="宋体" w:cs="宋体"/>
                <w:sz w:val="24"/>
              </w:rPr>
              <w:t>单位简介：</w:t>
            </w:r>
          </w:p>
          <w:p w14:paraId="037F2833">
            <w:pPr>
              <w:rPr>
                <w:rFonts w:hint="eastAsia" w:ascii="宋体" w:hAnsi="宋体" w:cs="宋体"/>
                <w:sz w:val="24"/>
              </w:rPr>
            </w:pPr>
            <w:r>
              <w:rPr>
                <w:rFonts w:hint="eastAsia" w:ascii="宋体" w:hAnsi="宋体" w:cs="宋体"/>
                <w:sz w:val="24"/>
              </w:rPr>
              <w:t xml:space="preserve">技术人员总数：      </w:t>
            </w:r>
            <w:r>
              <w:rPr>
                <w:rFonts w:hint="eastAsia" w:ascii="宋体" w:hAnsi="宋体" w:cs="宋体"/>
                <w:sz w:val="24"/>
                <w:u w:val="single"/>
              </w:rPr>
              <w:t xml:space="preserve">          </w:t>
            </w:r>
            <w:r>
              <w:rPr>
                <w:rFonts w:hint="eastAsia" w:ascii="宋体" w:hAnsi="宋体" w:cs="宋体"/>
                <w:sz w:val="24"/>
              </w:rPr>
              <w:t>人</w:t>
            </w:r>
          </w:p>
        </w:tc>
      </w:tr>
    </w:tbl>
    <w:p w14:paraId="6FF5FFFA">
      <w:pPr>
        <w:snapToGrid w:val="0"/>
        <w:spacing w:line="360" w:lineRule="auto"/>
        <w:rPr>
          <w:rFonts w:hint="eastAsia" w:ascii="宋体" w:hAnsi="宋体" w:cs="宋体"/>
          <w:sz w:val="24"/>
        </w:rPr>
      </w:pPr>
      <w:r>
        <w:rPr>
          <w:rFonts w:hint="eastAsia" w:ascii="宋体" w:hAnsi="宋体" w:cs="宋体"/>
          <w:sz w:val="24"/>
        </w:rPr>
        <w:t>供应商（盖单位公章）：</w:t>
      </w:r>
      <w:r>
        <w:rPr>
          <w:rFonts w:hint="eastAsia" w:ascii="宋体" w:hAnsi="宋体" w:cs="宋体"/>
          <w:sz w:val="24"/>
          <w:u w:val="single"/>
        </w:rPr>
        <w:t xml:space="preserve">                    </w:t>
      </w:r>
    </w:p>
    <w:p w14:paraId="4B6A1A52">
      <w:pPr>
        <w:kinsoku w:val="0"/>
        <w:topLinePunct/>
        <w:snapToGrid w:val="0"/>
        <w:spacing w:line="360" w:lineRule="auto"/>
        <w:rPr>
          <w:rFonts w:hint="eastAsia" w:ascii="宋体" w:hAnsi="宋体" w:cs="宋体"/>
          <w:sz w:val="24"/>
        </w:rPr>
      </w:pPr>
      <w:r>
        <w:rPr>
          <w:rFonts w:hint="eastAsia" w:ascii="宋体" w:hAnsi="宋体" w:cs="宋体"/>
          <w:sz w:val="24"/>
        </w:rPr>
        <w:t>法定代表人或委托代理人（签字或盖章）：</w:t>
      </w:r>
    </w:p>
    <w:p w14:paraId="4080A969">
      <w:pPr>
        <w:snapToGrid w:val="0"/>
        <w:spacing w:line="360" w:lineRule="auto"/>
        <w:ind w:firstLine="1200" w:firstLineChars="500"/>
        <w:rPr>
          <w:rFonts w:hint="eastAsia" w:ascii="宋体" w:hAnsi="宋体" w:cs="宋体"/>
          <w:sz w:val="24"/>
        </w:rPr>
      </w:pPr>
      <w:r>
        <w:rPr>
          <w:rFonts w:hint="eastAsia" w:ascii="宋体" w:hAnsi="宋体" w:cs="宋体"/>
          <w:sz w:val="24"/>
        </w:rPr>
        <w:t>年    月    日</w:t>
      </w:r>
    </w:p>
    <w:p w14:paraId="22EFF105">
      <w:pPr>
        <w:widowControl/>
        <w:jc w:val="left"/>
        <w:rPr>
          <w:rFonts w:hint="eastAsia" w:ascii="宋体" w:hAnsi="宋体" w:cs="宋体"/>
          <w:sz w:val="24"/>
        </w:rPr>
      </w:pPr>
      <w:r>
        <w:rPr>
          <w:rFonts w:hint="eastAsia" w:ascii="宋体" w:hAnsi="宋体" w:cs="宋体"/>
          <w:sz w:val="24"/>
        </w:rPr>
        <w:br w:type="page"/>
      </w:r>
    </w:p>
    <w:p w14:paraId="69FE186B">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注：本表后附竞争性磋商公告资格要求提供相应的佐证材料（以下材料均须提供复印件（或扫描件）并加盖公章）；</w:t>
      </w:r>
    </w:p>
    <w:p w14:paraId="0A6D0D53">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（1）企业法人营业执照或事业单位法人登记证明或社会组织或其他组织或自然人证明材料；</w:t>
      </w:r>
    </w:p>
    <w:p w14:paraId="14A4EE9D">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（2）提供进入“全国投资项目在线审批监管平台”中的工程咨询单位名录查询截图；</w:t>
      </w:r>
    </w:p>
    <w:p w14:paraId="5459360D">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（3）提供《拟投入本项目主要人员情况汇总表》；</w:t>
      </w:r>
    </w:p>
    <w:p w14:paraId="7D7B8515">
      <w:pPr>
        <w:spacing w:line="300" w:lineRule="auto"/>
        <w:jc w:val="center"/>
        <w:rPr>
          <w:rFonts w:hint="eastAsia" w:ascii="宋体" w:hAnsi="宋体"/>
          <w:bCs/>
          <w:color w:val="000000" w:themeColor="text1"/>
          <w:sz w:val="32"/>
          <w:szCs w:val="32"/>
          <w14:textFill>
            <w14:solidFill>
              <w14:schemeClr w14:val="tx1"/>
            </w14:solidFill>
          </w14:textFill>
        </w:rPr>
      </w:pPr>
    </w:p>
    <w:p w14:paraId="06AD7A35">
      <w:pPr>
        <w:spacing w:line="300" w:lineRule="auto"/>
        <w:jc w:val="center"/>
        <w:rPr>
          <w:rFonts w:hint="eastAsia" w:ascii="宋体" w:hAnsi="宋体"/>
          <w:bCs/>
          <w:color w:val="000000" w:themeColor="text1"/>
          <w:sz w:val="32"/>
          <w:szCs w:val="32"/>
          <w14:textFill>
            <w14:solidFill>
              <w14:schemeClr w14:val="tx1"/>
            </w14:solidFill>
          </w14:textFill>
        </w:rPr>
      </w:pPr>
    </w:p>
    <w:p w14:paraId="4835F53B">
      <w:pPr>
        <w:spacing w:line="300" w:lineRule="auto"/>
        <w:jc w:val="center"/>
        <w:rPr>
          <w:rFonts w:hint="eastAsia" w:ascii="宋体" w:hAnsi="宋体"/>
          <w:bCs/>
          <w:color w:val="000000" w:themeColor="text1"/>
          <w:sz w:val="32"/>
          <w:szCs w:val="32"/>
          <w14:textFill>
            <w14:solidFill>
              <w14:schemeClr w14:val="tx1"/>
            </w14:solidFill>
          </w14:textFill>
        </w:rPr>
      </w:pPr>
    </w:p>
    <w:p w14:paraId="590DB831">
      <w:pPr>
        <w:spacing w:line="300" w:lineRule="auto"/>
        <w:jc w:val="center"/>
        <w:rPr>
          <w:rFonts w:hint="eastAsia" w:ascii="宋体" w:hAnsi="宋体"/>
          <w:bCs/>
          <w:color w:val="000000" w:themeColor="text1"/>
          <w:sz w:val="32"/>
          <w:szCs w:val="32"/>
          <w14:textFill>
            <w14:solidFill>
              <w14:schemeClr w14:val="tx1"/>
            </w14:solidFill>
          </w14:textFill>
        </w:rPr>
      </w:pPr>
    </w:p>
    <w:p w14:paraId="7E600EE2">
      <w:pPr>
        <w:spacing w:line="300" w:lineRule="auto"/>
        <w:jc w:val="center"/>
        <w:rPr>
          <w:rFonts w:hint="eastAsia" w:ascii="宋体" w:hAnsi="宋体"/>
          <w:bCs/>
          <w:color w:val="000000" w:themeColor="text1"/>
          <w:sz w:val="32"/>
          <w:szCs w:val="32"/>
          <w14:textFill>
            <w14:solidFill>
              <w14:schemeClr w14:val="tx1"/>
            </w14:solidFill>
          </w14:textFill>
        </w:rPr>
      </w:pPr>
    </w:p>
    <w:p w14:paraId="4627E132">
      <w:pPr>
        <w:rPr>
          <w:rFonts w:hint="eastAsia"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br w:type="page"/>
      </w:r>
    </w:p>
    <w:p w14:paraId="02F726FD">
      <w:pPr>
        <w:spacing w:line="300" w:lineRule="auto"/>
        <w:rPr>
          <w:rFonts w:hint="eastAsia" w:ascii="宋体" w:hAnsi="宋体"/>
          <w:bCs/>
          <w:color w:val="000000" w:themeColor="text1"/>
          <w:sz w:val="32"/>
          <w:szCs w:val="32"/>
          <w14:textFill>
            <w14:solidFill>
              <w14:schemeClr w14:val="tx1"/>
            </w14:solidFill>
          </w14:textFill>
        </w:rPr>
      </w:pPr>
      <w:r>
        <w:rPr>
          <w:rFonts w:hint="eastAsia" w:ascii="宋体" w:hAnsi="宋体" w:cs="宋体"/>
          <w:sz w:val="28"/>
          <w:szCs w:val="28"/>
        </w:rPr>
        <w:t>附件6：</w:t>
      </w:r>
    </w:p>
    <w:p w14:paraId="5E9F79FF">
      <w:pPr>
        <w:spacing w:line="300" w:lineRule="auto"/>
        <w:jc w:val="center"/>
        <w:rPr>
          <w:rFonts w:hint="eastAsia"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拟投入本项目主要人员情况汇总表</w:t>
      </w:r>
    </w:p>
    <w:tbl>
      <w:tblPr>
        <w:tblStyle w:val="1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024"/>
        <w:gridCol w:w="900"/>
        <w:gridCol w:w="540"/>
        <w:gridCol w:w="900"/>
        <w:gridCol w:w="720"/>
        <w:gridCol w:w="900"/>
        <w:gridCol w:w="1260"/>
        <w:gridCol w:w="1800"/>
        <w:gridCol w:w="720"/>
        <w:gridCol w:w="720"/>
      </w:tblGrid>
      <w:tr w14:paraId="1795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16" w:type="dxa"/>
            <w:vMerge w:val="restart"/>
            <w:noWrap/>
            <w:vAlign w:val="center"/>
          </w:tcPr>
          <w:p w14:paraId="27180D6C">
            <w:pPr>
              <w:widowControl/>
              <w:jc w:val="center"/>
              <w:textAlignment w:val="bottom"/>
              <w:rPr>
                <w:rFonts w:ascii="Arial" w:hAnsi="Arial" w:cs="Arial"/>
                <w:color w:val="000000" w:themeColor="text1"/>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序号</w:t>
            </w:r>
          </w:p>
        </w:tc>
        <w:tc>
          <w:tcPr>
            <w:tcW w:w="1024" w:type="dxa"/>
            <w:vMerge w:val="restart"/>
            <w:noWrap/>
            <w:vAlign w:val="center"/>
          </w:tcPr>
          <w:p w14:paraId="60C7B449">
            <w:pPr>
              <w:widowControl/>
              <w:jc w:val="center"/>
              <w:textAlignment w:val="bottom"/>
              <w:rPr>
                <w:rFonts w:ascii="Arial" w:hAnsi="Arial" w:cs="Arial"/>
                <w:color w:val="000000" w:themeColor="text1"/>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在本</w:t>
            </w:r>
            <w:r>
              <w:rPr>
                <w:rFonts w:hint="eastAsia" w:ascii="Arial" w:hAnsi="Arial" w:cs="Arial"/>
                <w:color w:val="000000" w:themeColor="text1"/>
                <w:kern w:val="0"/>
                <w:sz w:val="20"/>
                <w14:textFill>
                  <w14:solidFill>
                    <w14:schemeClr w14:val="tx1"/>
                  </w14:solidFill>
                </w14:textFill>
              </w:rPr>
              <w:t>项目</w:t>
            </w:r>
            <w:r>
              <w:rPr>
                <w:rFonts w:ascii="Arial" w:hAnsi="Arial" w:cs="Arial"/>
                <w:color w:val="000000" w:themeColor="text1"/>
                <w:kern w:val="0"/>
                <w:sz w:val="20"/>
                <w14:textFill>
                  <w14:solidFill>
                    <w14:schemeClr w14:val="tx1"/>
                  </w14:solidFill>
                </w14:textFill>
              </w:rPr>
              <w:t>任职</w:t>
            </w:r>
          </w:p>
        </w:tc>
        <w:tc>
          <w:tcPr>
            <w:tcW w:w="900" w:type="dxa"/>
            <w:vMerge w:val="restart"/>
            <w:noWrap/>
            <w:vAlign w:val="center"/>
          </w:tcPr>
          <w:p w14:paraId="685C3C5E">
            <w:pPr>
              <w:widowControl/>
              <w:jc w:val="center"/>
              <w:textAlignment w:val="bottom"/>
              <w:rPr>
                <w:rFonts w:ascii="Arial" w:hAnsi="Arial" w:cs="Arial"/>
                <w:color w:val="000000" w:themeColor="text1"/>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姓名</w:t>
            </w:r>
          </w:p>
        </w:tc>
        <w:tc>
          <w:tcPr>
            <w:tcW w:w="540" w:type="dxa"/>
            <w:vMerge w:val="restart"/>
            <w:noWrap/>
            <w:vAlign w:val="center"/>
          </w:tcPr>
          <w:p w14:paraId="3584D8E9">
            <w:pPr>
              <w:widowControl/>
              <w:jc w:val="center"/>
              <w:textAlignment w:val="bottom"/>
              <w:rPr>
                <w:rFonts w:ascii="Arial" w:hAnsi="Arial" w:cs="Arial"/>
                <w:color w:val="000000" w:themeColor="text1"/>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学历</w:t>
            </w:r>
          </w:p>
        </w:tc>
        <w:tc>
          <w:tcPr>
            <w:tcW w:w="900" w:type="dxa"/>
            <w:vMerge w:val="restart"/>
            <w:noWrap/>
            <w:vAlign w:val="center"/>
          </w:tcPr>
          <w:p w14:paraId="448238AA">
            <w:pPr>
              <w:widowControl/>
              <w:jc w:val="center"/>
              <w:textAlignment w:val="bottom"/>
              <w:rPr>
                <w:rFonts w:ascii="Arial" w:hAnsi="Arial" w:cs="Arial"/>
                <w:color w:val="000000" w:themeColor="text1"/>
                <w:kern w:val="0"/>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技术</w:t>
            </w:r>
          </w:p>
          <w:p w14:paraId="52C49950">
            <w:pPr>
              <w:widowControl/>
              <w:jc w:val="center"/>
              <w:textAlignment w:val="bottom"/>
              <w:rPr>
                <w:rFonts w:ascii="Arial" w:hAnsi="Arial" w:cs="Arial"/>
                <w:color w:val="000000" w:themeColor="text1"/>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职称</w:t>
            </w:r>
          </w:p>
        </w:tc>
        <w:tc>
          <w:tcPr>
            <w:tcW w:w="720" w:type="dxa"/>
            <w:vMerge w:val="restart"/>
            <w:noWrap/>
            <w:vAlign w:val="center"/>
          </w:tcPr>
          <w:p w14:paraId="5B3A7DCF">
            <w:pPr>
              <w:widowControl/>
              <w:jc w:val="center"/>
              <w:textAlignment w:val="bottom"/>
              <w:rPr>
                <w:rFonts w:ascii="Arial" w:hAnsi="Arial" w:cs="Arial"/>
                <w:color w:val="000000" w:themeColor="text1"/>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专业</w:t>
            </w:r>
          </w:p>
        </w:tc>
        <w:tc>
          <w:tcPr>
            <w:tcW w:w="2160" w:type="dxa"/>
            <w:gridSpan w:val="2"/>
            <w:noWrap/>
            <w:vAlign w:val="center"/>
          </w:tcPr>
          <w:p w14:paraId="6DF94FAE">
            <w:pPr>
              <w:widowControl/>
              <w:jc w:val="center"/>
              <w:textAlignment w:val="bottom"/>
              <w:rPr>
                <w:rFonts w:ascii="Arial" w:hAnsi="Arial" w:cs="Arial"/>
                <w:color w:val="000000" w:themeColor="text1"/>
                <w:kern w:val="0"/>
                <w:sz w:val="20"/>
                <w14:textFill>
                  <w14:solidFill>
                    <w14:schemeClr w14:val="tx1"/>
                  </w14:solidFill>
                </w14:textFill>
              </w:rPr>
            </w:pPr>
            <w:r>
              <w:rPr>
                <w:rFonts w:hint="eastAsia" w:ascii="Arial" w:hAnsi="Arial" w:cs="Arial"/>
                <w:color w:val="000000" w:themeColor="text1"/>
                <w:kern w:val="0"/>
                <w:sz w:val="20"/>
                <w14:textFill>
                  <w14:solidFill>
                    <w14:schemeClr w14:val="tx1"/>
                  </w14:solidFill>
                </w14:textFill>
              </w:rPr>
              <w:t>执业或职业资格证明</w:t>
            </w:r>
          </w:p>
        </w:tc>
        <w:tc>
          <w:tcPr>
            <w:tcW w:w="1800" w:type="dxa"/>
            <w:vMerge w:val="restart"/>
            <w:noWrap/>
            <w:vAlign w:val="center"/>
          </w:tcPr>
          <w:p w14:paraId="1072AC1E">
            <w:pPr>
              <w:widowControl/>
              <w:jc w:val="center"/>
              <w:textAlignment w:val="bottom"/>
              <w:rPr>
                <w:rFonts w:ascii="Arial" w:hAnsi="Arial" w:cs="Arial"/>
                <w:color w:val="000000" w:themeColor="text1"/>
                <w:sz w:val="20"/>
                <w14:textFill>
                  <w14:solidFill>
                    <w14:schemeClr w14:val="tx1"/>
                  </w14:solidFill>
                </w14:textFill>
              </w:rPr>
            </w:pPr>
            <w:r>
              <w:rPr>
                <w:rFonts w:hint="eastAsia" w:ascii="Arial" w:hAnsi="Arial" w:cs="Arial"/>
                <w:color w:val="000000" w:themeColor="text1"/>
                <w:kern w:val="0"/>
                <w:sz w:val="20"/>
                <w14:textFill>
                  <w14:solidFill>
                    <w14:schemeClr w14:val="tx1"/>
                  </w14:solidFill>
                </w14:textFill>
              </w:rPr>
              <w:t>身份证号</w:t>
            </w:r>
          </w:p>
        </w:tc>
        <w:tc>
          <w:tcPr>
            <w:tcW w:w="720" w:type="dxa"/>
            <w:vMerge w:val="restart"/>
            <w:noWrap/>
            <w:vAlign w:val="center"/>
          </w:tcPr>
          <w:p w14:paraId="1A41AF93">
            <w:pPr>
              <w:widowControl/>
              <w:jc w:val="center"/>
              <w:textAlignment w:val="bottom"/>
              <w:rPr>
                <w:rFonts w:ascii="Arial" w:hAnsi="Arial" w:cs="Arial"/>
                <w:color w:val="000000" w:themeColor="text1"/>
                <w:sz w:val="20"/>
                <w14:textFill>
                  <w14:solidFill>
                    <w14:schemeClr w14:val="tx1"/>
                  </w14:solidFill>
                </w14:textFill>
              </w:rPr>
            </w:pPr>
            <w:r>
              <w:rPr>
                <w:rFonts w:hint="eastAsia" w:ascii="Arial" w:hAnsi="Arial" w:cs="Arial"/>
                <w:color w:val="000000" w:themeColor="text1"/>
                <w:sz w:val="20"/>
                <w14:textFill>
                  <w14:solidFill>
                    <w14:schemeClr w14:val="tx1"/>
                  </w14:solidFill>
                </w14:textFill>
              </w:rPr>
              <w:t>社保</w:t>
            </w:r>
          </w:p>
          <w:p w14:paraId="64F9687A">
            <w:pPr>
              <w:widowControl/>
              <w:jc w:val="center"/>
              <w:textAlignment w:val="bottom"/>
              <w:rPr>
                <w:rFonts w:ascii="Arial" w:hAnsi="Arial" w:cs="Arial"/>
                <w:color w:val="000000" w:themeColor="text1"/>
                <w:sz w:val="20"/>
                <w14:textFill>
                  <w14:solidFill>
                    <w14:schemeClr w14:val="tx1"/>
                  </w14:solidFill>
                </w14:textFill>
              </w:rPr>
            </w:pPr>
            <w:r>
              <w:rPr>
                <w:rFonts w:hint="eastAsia" w:ascii="Arial" w:hAnsi="Arial" w:cs="Arial"/>
                <w:color w:val="000000" w:themeColor="text1"/>
                <w:sz w:val="20"/>
                <w14:textFill>
                  <w14:solidFill>
                    <w14:schemeClr w14:val="tx1"/>
                  </w14:solidFill>
                </w14:textFill>
              </w:rPr>
              <w:t>缴费单位</w:t>
            </w:r>
          </w:p>
        </w:tc>
        <w:tc>
          <w:tcPr>
            <w:tcW w:w="720" w:type="dxa"/>
            <w:vMerge w:val="restart"/>
            <w:noWrap/>
            <w:vAlign w:val="center"/>
          </w:tcPr>
          <w:p w14:paraId="4F29F480">
            <w:pPr>
              <w:widowControl/>
              <w:jc w:val="center"/>
              <w:textAlignment w:val="bottom"/>
              <w:rPr>
                <w:rFonts w:ascii="Arial" w:hAnsi="Arial" w:cs="Arial"/>
                <w:color w:val="000000" w:themeColor="text1"/>
                <w:sz w:val="20"/>
                <w14:textFill>
                  <w14:solidFill>
                    <w14:schemeClr w14:val="tx1"/>
                  </w14:solidFill>
                </w14:textFill>
              </w:rPr>
            </w:pPr>
            <w:r>
              <w:rPr>
                <w:rFonts w:hint="eastAsia" w:ascii="Arial" w:hAnsi="Arial" w:cs="Arial"/>
                <w:color w:val="000000" w:themeColor="text1"/>
                <w:sz w:val="20"/>
                <w14:textFill>
                  <w14:solidFill>
                    <w14:schemeClr w14:val="tx1"/>
                  </w14:solidFill>
                </w14:textFill>
              </w:rPr>
              <w:t>备注</w:t>
            </w:r>
          </w:p>
        </w:tc>
      </w:tr>
      <w:tr w14:paraId="790A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16" w:type="dxa"/>
            <w:vMerge w:val="continue"/>
            <w:noWrap/>
            <w:vAlign w:val="center"/>
          </w:tcPr>
          <w:p w14:paraId="6329C0FA">
            <w:pPr>
              <w:spacing w:line="300" w:lineRule="auto"/>
              <w:jc w:val="center"/>
              <w:rPr>
                <w:rFonts w:ascii="黑体" w:eastAsia="黑体"/>
                <w:b/>
                <w:color w:val="000000" w:themeColor="text1"/>
                <w:sz w:val="24"/>
                <w14:textFill>
                  <w14:solidFill>
                    <w14:schemeClr w14:val="tx1"/>
                  </w14:solidFill>
                </w14:textFill>
              </w:rPr>
            </w:pPr>
          </w:p>
        </w:tc>
        <w:tc>
          <w:tcPr>
            <w:tcW w:w="1024" w:type="dxa"/>
            <w:vMerge w:val="continue"/>
            <w:noWrap/>
            <w:vAlign w:val="center"/>
          </w:tcPr>
          <w:p w14:paraId="53DD1262">
            <w:pPr>
              <w:spacing w:line="300" w:lineRule="auto"/>
              <w:jc w:val="center"/>
              <w:rPr>
                <w:rFonts w:ascii="黑体" w:eastAsia="黑体"/>
                <w:b/>
                <w:color w:val="000000" w:themeColor="text1"/>
                <w:sz w:val="24"/>
                <w14:textFill>
                  <w14:solidFill>
                    <w14:schemeClr w14:val="tx1"/>
                  </w14:solidFill>
                </w14:textFill>
              </w:rPr>
            </w:pPr>
          </w:p>
        </w:tc>
        <w:tc>
          <w:tcPr>
            <w:tcW w:w="900" w:type="dxa"/>
            <w:vMerge w:val="continue"/>
            <w:noWrap/>
            <w:vAlign w:val="center"/>
          </w:tcPr>
          <w:p w14:paraId="63171217">
            <w:pPr>
              <w:spacing w:line="300" w:lineRule="auto"/>
              <w:jc w:val="center"/>
              <w:rPr>
                <w:rFonts w:ascii="黑体" w:eastAsia="黑体"/>
                <w:b/>
                <w:color w:val="000000" w:themeColor="text1"/>
                <w:sz w:val="24"/>
                <w14:textFill>
                  <w14:solidFill>
                    <w14:schemeClr w14:val="tx1"/>
                  </w14:solidFill>
                </w14:textFill>
              </w:rPr>
            </w:pPr>
          </w:p>
        </w:tc>
        <w:tc>
          <w:tcPr>
            <w:tcW w:w="540" w:type="dxa"/>
            <w:vMerge w:val="continue"/>
            <w:noWrap/>
            <w:vAlign w:val="center"/>
          </w:tcPr>
          <w:p w14:paraId="071DEA0E">
            <w:pPr>
              <w:spacing w:line="300" w:lineRule="auto"/>
              <w:jc w:val="center"/>
              <w:rPr>
                <w:rFonts w:ascii="黑体" w:eastAsia="黑体"/>
                <w:b/>
                <w:color w:val="000000" w:themeColor="text1"/>
                <w:sz w:val="24"/>
                <w14:textFill>
                  <w14:solidFill>
                    <w14:schemeClr w14:val="tx1"/>
                  </w14:solidFill>
                </w14:textFill>
              </w:rPr>
            </w:pPr>
          </w:p>
        </w:tc>
        <w:tc>
          <w:tcPr>
            <w:tcW w:w="900" w:type="dxa"/>
            <w:vMerge w:val="continue"/>
            <w:noWrap/>
            <w:vAlign w:val="center"/>
          </w:tcPr>
          <w:p w14:paraId="21A8CB91">
            <w:pPr>
              <w:spacing w:line="300" w:lineRule="auto"/>
              <w:jc w:val="center"/>
              <w:rPr>
                <w:rFonts w:ascii="黑体" w:eastAsia="黑体"/>
                <w:b/>
                <w:color w:val="000000" w:themeColor="text1"/>
                <w:sz w:val="24"/>
                <w14:textFill>
                  <w14:solidFill>
                    <w14:schemeClr w14:val="tx1"/>
                  </w14:solidFill>
                </w14:textFill>
              </w:rPr>
            </w:pPr>
          </w:p>
        </w:tc>
        <w:tc>
          <w:tcPr>
            <w:tcW w:w="720" w:type="dxa"/>
            <w:vMerge w:val="continue"/>
            <w:noWrap/>
            <w:vAlign w:val="center"/>
          </w:tcPr>
          <w:p w14:paraId="63964128">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164E8050">
            <w:pPr>
              <w:jc w:val="center"/>
              <w:rPr>
                <w:rFonts w:ascii="Arial" w:hAnsi="Arial" w:cs="Arial"/>
                <w:color w:val="000000" w:themeColor="text1"/>
                <w:kern w:val="0"/>
                <w:sz w:val="20"/>
                <w14:textFill>
                  <w14:solidFill>
                    <w14:schemeClr w14:val="tx1"/>
                  </w14:solidFill>
                </w14:textFill>
              </w:rPr>
            </w:pPr>
            <w:r>
              <w:rPr>
                <w:rFonts w:hint="eastAsia" w:ascii="Arial" w:hAnsi="Arial" w:cs="Arial"/>
                <w:color w:val="000000" w:themeColor="text1"/>
                <w:kern w:val="0"/>
                <w:sz w:val="20"/>
                <w14:textFill>
                  <w14:solidFill>
                    <w14:schemeClr w14:val="tx1"/>
                  </w14:solidFill>
                </w14:textFill>
              </w:rPr>
              <w:t>证书</w:t>
            </w:r>
          </w:p>
          <w:p w14:paraId="5C9D3C4D">
            <w:pPr>
              <w:jc w:val="center"/>
              <w:rPr>
                <w:rFonts w:ascii="Arial" w:hAnsi="Arial" w:cs="Arial"/>
                <w:color w:val="000000" w:themeColor="text1"/>
                <w:kern w:val="0"/>
                <w:sz w:val="20"/>
                <w14:textFill>
                  <w14:solidFill>
                    <w14:schemeClr w14:val="tx1"/>
                  </w14:solidFill>
                </w14:textFill>
              </w:rPr>
            </w:pPr>
            <w:r>
              <w:rPr>
                <w:rFonts w:hint="eastAsia" w:ascii="Arial" w:hAnsi="Arial" w:cs="Arial"/>
                <w:color w:val="000000" w:themeColor="text1"/>
                <w:kern w:val="0"/>
                <w:sz w:val="20"/>
                <w14:textFill>
                  <w14:solidFill>
                    <w14:schemeClr w14:val="tx1"/>
                  </w14:solidFill>
                </w14:textFill>
              </w:rPr>
              <w:t>名称</w:t>
            </w:r>
          </w:p>
        </w:tc>
        <w:tc>
          <w:tcPr>
            <w:tcW w:w="1260" w:type="dxa"/>
            <w:noWrap/>
            <w:vAlign w:val="center"/>
          </w:tcPr>
          <w:p w14:paraId="171F3B81">
            <w:pPr>
              <w:spacing w:line="300" w:lineRule="auto"/>
              <w:jc w:val="center"/>
              <w:rPr>
                <w:rFonts w:ascii="Arial" w:hAnsi="Arial" w:cs="Arial"/>
                <w:color w:val="000000" w:themeColor="text1"/>
                <w:kern w:val="0"/>
                <w:sz w:val="20"/>
                <w14:textFill>
                  <w14:solidFill>
                    <w14:schemeClr w14:val="tx1"/>
                  </w14:solidFill>
                </w14:textFill>
              </w:rPr>
            </w:pPr>
            <w:r>
              <w:rPr>
                <w:rFonts w:hint="eastAsia" w:ascii="Arial" w:hAnsi="Arial" w:cs="Arial"/>
                <w:color w:val="000000" w:themeColor="text1"/>
                <w:kern w:val="0"/>
                <w:sz w:val="20"/>
                <w14:textFill>
                  <w14:solidFill>
                    <w14:schemeClr w14:val="tx1"/>
                  </w14:solidFill>
                </w14:textFill>
              </w:rPr>
              <w:t>证 号</w:t>
            </w:r>
          </w:p>
        </w:tc>
        <w:tc>
          <w:tcPr>
            <w:tcW w:w="1800" w:type="dxa"/>
            <w:vMerge w:val="continue"/>
            <w:noWrap/>
            <w:vAlign w:val="center"/>
          </w:tcPr>
          <w:p w14:paraId="243A7C10">
            <w:pPr>
              <w:spacing w:line="300" w:lineRule="auto"/>
              <w:jc w:val="center"/>
              <w:rPr>
                <w:rFonts w:ascii="黑体" w:eastAsia="黑体"/>
                <w:b/>
                <w:color w:val="000000" w:themeColor="text1"/>
                <w:sz w:val="24"/>
                <w14:textFill>
                  <w14:solidFill>
                    <w14:schemeClr w14:val="tx1"/>
                  </w14:solidFill>
                </w14:textFill>
              </w:rPr>
            </w:pPr>
          </w:p>
        </w:tc>
        <w:tc>
          <w:tcPr>
            <w:tcW w:w="720" w:type="dxa"/>
            <w:vMerge w:val="continue"/>
            <w:noWrap/>
            <w:vAlign w:val="center"/>
          </w:tcPr>
          <w:p w14:paraId="72B62E21">
            <w:pPr>
              <w:widowControl/>
              <w:jc w:val="center"/>
              <w:textAlignment w:val="bottom"/>
              <w:rPr>
                <w:rFonts w:ascii="黑体" w:eastAsia="黑体"/>
                <w:b/>
                <w:color w:val="000000" w:themeColor="text1"/>
                <w:sz w:val="24"/>
                <w14:textFill>
                  <w14:solidFill>
                    <w14:schemeClr w14:val="tx1"/>
                  </w14:solidFill>
                </w14:textFill>
              </w:rPr>
            </w:pPr>
          </w:p>
        </w:tc>
        <w:tc>
          <w:tcPr>
            <w:tcW w:w="720" w:type="dxa"/>
            <w:vMerge w:val="continue"/>
            <w:noWrap/>
            <w:vAlign w:val="center"/>
          </w:tcPr>
          <w:p w14:paraId="52148A4B">
            <w:pPr>
              <w:spacing w:line="300" w:lineRule="auto"/>
              <w:jc w:val="center"/>
              <w:rPr>
                <w:rFonts w:ascii="黑体" w:eastAsia="黑体"/>
                <w:b/>
                <w:color w:val="000000" w:themeColor="text1"/>
                <w:sz w:val="24"/>
                <w14:textFill>
                  <w14:solidFill>
                    <w14:schemeClr w14:val="tx1"/>
                  </w14:solidFill>
                </w14:textFill>
              </w:rPr>
            </w:pPr>
          </w:p>
        </w:tc>
      </w:tr>
      <w:tr w14:paraId="1B76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1A08BDF9">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5C6CCBCD">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54D36936">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4D78327B">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173567D0">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76DC42D8">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7AFD3FB7">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60825B5F">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03F82A26">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6275B717">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58FDCB8A">
            <w:pPr>
              <w:spacing w:line="300" w:lineRule="auto"/>
              <w:jc w:val="center"/>
              <w:rPr>
                <w:rFonts w:ascii="黑体" w:eastAsia="黑体"/>
                <w:b/>
                <w:color w:val="000000" w:themeColor="text1"/>
                <w:sz w:val="24"/>
                <w14:textFill>
                  <w14:solidFill>
                    <w14:schemeClr w14:val="tx1"/>
                  </w14:solidFill>
                </w14:textFill>
              </w:rPr>
            </w:pPr>
          </w:p>
        </w:tc>
      </w:tr>
      <w:tr w14:paraId="1872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2567DACB">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1C415B57">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1259D7EC">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1BBD3EDF">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4621A516">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13C7200D">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59254B24">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06C09BAB">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26209EB4">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4C751FFA">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4458A9B0">
            <w:pPr>
              <w:spacing w:line="300" w:lineRule="auto"/>
              <w:jc w:val="center"/>
              <w:rPr>
                <w:rFonts w:ascii="黑体" w:eastAsia="黑体"/>
                <w:b/>
                <w:color w:val="000000" w:themeColor="text1"/>
                <w:sz w:val="24"/>
                <w14:textFill>
                  <w14:solidFill>
                    <w14:schemeClr w14:val="tx1"/>
                  </w14:solidFill>
                </w14:textFill>
              </w:rPr>
            </w:pPr>
          </w:p>
        </w:tc>
      </w:tr>
      <w:tr w14:paraId="23C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0158DD6D">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49334184">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4E653128">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1B1BA66C">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0ECC3D60">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4C5B51EF">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6663114B">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019B516D">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3E8F7AA5">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2160E0B0">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1C988F97">
            <w:pPr>
              <w:spacing w:line="300" w:lineRule="auto"/>
              <w:jc w:val="center"/>
              <w:rPr>
                <w:rFonts w:ascii="黑体" w:eastAsia="黑体"/>
                <w:b/>
                <w:color w:val="000000" w:themeColor="text1"/>
                <w:sz w:val="24"/>
                <w14:textFill>
                  <w14:solidFill>
                    <w14:schemeClr w14:val="tx1"/>
                  </w14:solidFill>
                </w14:textFill>
              </w:rPr>
            </w:pPr>
          </w:p>
        </w:tc>
      </w:tr>
      <w:tr w14:paraId="5283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7C3DF3FD">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6FC618E8">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1DB680FB">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7D7EEB08">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090B878C">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1A5BC03B">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4CEA5E04">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56259D56">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7C11DCEE">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54559DDB">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7395BD16">
            <w:pPr>
              <w:spacing w:line="300" w:lineRule="auto"/>
              <w:jc w:val="center"/>
              <w:rPr>
                <w:rFonts w:ascii="黑体" w:eastAsia="黑体"/>
                <w:b/>
                <w:color w:val="000000" w:themeColor="text1"/>
                <w:sz w:val="24"/>
                <w14:textFill>
                  <w14:solidFill>
                    <w14:schemeClr w14:val="tx1"/>
                  </w14:solidFill>
                </w14:textFill>
              </w:rPr>
            </w:pPr>
          </w:p>
        </w:tc>
      </w:tr>
      <w:tr w14:paraId="6F51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2A907A6E">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03B588DC">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66500A8E">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27B1D0FD">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6BAB46DC">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24CA54AB">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011EE995">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19F3BB38">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36620EC4">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6ADD35C0">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43640647">
            <w:pPr>
              <w:spacing w:line="300" w:lineRule="auto"/>
              <w:jc w:val="center"/>
              <w:rPr>
                <w:rFonts w:ascii="黑体" w:eastAsia="黑体"/>
                <w:b/>
                <w:color w:val="000000" w:themeColor="text1"/>
                <w:sz w:val="24"/>
                <w14:textFill>
                  <w14:solidFill>
                    <w14:schemeClr w14:val="tx1"/>
                  </w14:solidFill>
                </w14:textFill>
              </w:rPr>
            </w:pPr>
          </w:p>
        </w:tc>
      </w:tr>
      <w:tr w14:paraId="6FDF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2C182D2E">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368A0079">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6740F5BA">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421FBD42">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56AC5AE7">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2D282629">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784CCF5A">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35BBB571">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7D2C92BA">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3205F23E">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292AF3FD">
            <w:pPr>
              <w:spacing w:line="300" w:lineRule="auto"/>
              <w:jc w:val="center"/>
              <w:rPr>
                <w:rFonts w:ascii="黑体" w:eastAsia="黑体"/>
                <w:b/>
                <w:color w:val="000000" w:themeColor="text1"/>
                <w:sz w:val="24"/>
                <w14:textFill>
                  <w14:solidFill>
                    <w14:schemeClr w14:val="tx1"/>
                  </w14:solidFill>
                </w14:textFill>
              </w:rPr>
            </w:pPr>
          </w:p>
        </w:tc>
      </w:tr>
      <w:tr w14:paraId="5C3B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59CEE361">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70F5E41D">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243D319C">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5AA4F7ED">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05C8192A">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687A2078">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303C8EFC">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1E4628E6">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049BC0BF">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663E13E9">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768EB825">
            <w:pPr>
              <w:spacing w:line="300" w:lineRule="auto"/>
              <w:jc w:val="center"/>
              <w:rPr>
                <w:rFonts w:ascii="黑体" w:eastAsia="黑体"/>
                <w:b/>
                <w:color w:val="000000" w:themeColor="text1"/>
                <w:sz w:val="24"/>
                <w14:textFill>
                  <w14:solidFill>
                    <w14:schemeClr w14:val="tx1"/>
                  </w14:solidFill>
                </w14:textFill>
              </w:rPr>
            </w:pPr>
          </w:p>
        </w:tc>
      </w:tr>
      <w:tr w14:paraId="293E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6A73A4D4">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71874728">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6DC1CA2E">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3E764245">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59D918C6">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7898373F">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028C6B7E">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60048123">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27DAF6AF">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16364F53">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3C8DDC06">
            <w:pPr>
              <w:spacing w:line="300" w:lineRule="auto"/>
              <w:jc w:val="center"/>
              <w:rPr>
                <w:rFonts w:ascii="黑体" w:eastAsia="黑体"/>
                <w:b/>
                <w:color w:val="000000" w:themeColor="text1"/>
                <w:sz w:val="24"/>
                <w14:textFill>
                  <w14:solidFill>
                    <w14:schemeClr w14:val="tx1"/>
                  </w14:solidFill>
                </w14:textFill>
              </w:rPr>
            </w:pPr>
          </w:p>
        </w:tc>
      </w:tr>
    </w:tbl>
    <w:p w14:paraId="6393B669">
      <w:pPr>
        <w:tabs>
          <w:tab w:val="left" w:pos="3375"/>
        </w:tabs>
        <w:autoSpaceDE w:val="0"/>
        <w:autoSpaceDN w:val="0"/>
        <w:adjustRightInd w:val="0"/>
        <w:snapToGrid w:val="0"/>
        <w:spacing w:line="440" w:lineRule="exact"/>
        <w:ind w:firstLine="480" w:firstLineChars="200"/>
        <w:rPr>
          <w:rFonts w:hint="eastAsia" w:ascii="宋体" w:hAnsi="宋体" w:cs="宋体"/>
          <w:sz w:val="24"/>
        </w:rPr>
      </w:pPr>
    </w:p>
    <w:p w14:paraId="34C9C358">
      <w:pPr>
        <w:tabs>
          <w:tab w:val="left" w:pos="3375"/>
        </w:tabs>
        <w:autoSpaceDE w:val="0"/>
        <w:autoSpaceDN w:val="0"/>
        <w:adjustRightInd w:val="0"/>
        <w:snapToGrid w:val="0"/>
        <w:spacing w:line="440" w:lineRule="exact"/>
        <w:ind w:firstLine="480" w:firstLineChars="200"/>
        <w:rPr>
          <w:rFonts w:hint="eastAsia" w:ascii="宋体" w:hAnsi="宋体" w:cs="宋体"/>
          <w:sz w:val="24"/>
        </w:rPr>
      </w:pPr>
    </w:p>
    <w:p w14:paraId="3B57E1B5">
      <w:pPr>
        <w:snapToGrid w:val="0"/>
        <w:spacing w:line="360" w:lineRule="auto"/>
        <w:contextualSpacing/>
        <w:rPr>
          <w:rFonts w:hint="eastAsia" w:ascii="宋体" w:hAnsi="宋体" w:cs="宋体"/>
        </w:rPr>
      </w:pPr>
      <w:r>
        <w:rPr>
          <w:rFonts w:hint="eastAsia" w:ascii="宋体" w:hAnsi="宋体" w:cs="宋体"/>
          <w:sz w:val="24"/>
        </w:rPr>
        <w:br w:type="page"/>
      </w:r>
    </w:p>
    <w:p w14:paraId="357AB552">
      <w:pPr>
        <w:pStyle w:val="17"/>
        <w:rPr>
          <w:rFonts w:hint="eastAsia" w:ascii="宋体" w:hAnsi="宋体" w:cs="宋体"/>
        </w:rPr>
      </w:pPr>
    </w:p>
    <w:p w14:paraId="3F8AD917">
      <w:pPr>
        <w:tabs>
          <w:tab w:val="left" w:pos="3375"/>
        </w:tabs>
        <w:spacing w:line="360" w:lineRule="auto"/>
        <w:rPr>
          <w:rFonts w:hint="eastAsia" w:ascii="宋体" w:hAnsi="宋体" w:cs="宋体"/>
          <w:sz w:val="24"/>
        </w:rPr>
      </w:pPr>
      <w:r>
        <w:rPr>
          <w:rFonts w:hint="eastAsia" w:ascii="宋体" w:hAnsi="宋体" w:cs="宋体"/>
          <w:sz w:val="28"/>
          <w:szCs w:val="28"/>
        </w:rPr>
        <w:t>附件7：</w:t>
      </w:r>
      <w:r>
        <w:rPr>
          <w:rFonts w:hint="eastAsia" w:ascii="宋体" w:hAnsi="宋体" w:cs="宋体"/>
          <w:sz w:val="24"/>
        </w:rPr>
        <w:t xml:space="preserve">                  其它需要提交的资格审查材料</w:t>
      </w:r>
    </w:p>
    <w:p w14:paraId="4CB71A13">
      <w:pPr>
        <w:spacing w:after="120" w:line="360" w:lineRule="auto"/>
        <w:ind w:left="420" w:leftChars="200" w:firstLine="400" w:firstLineChars="200"/>
        <w:rPr>
          <w:rFonts w:hint="eastAsia" w:ascii="宋体" w:hAnsi="宋体" w:cs="宋体"/>
          <w:kern w:val="0"/>
          <w:sz w:val="20"/>
        </w:rPr>
      </w:pPr>
    </w:p>
    <w:p w14:paraId="27703920">
      <w:pPr>
        <w:tabs>
          <w:tab w:val="left" w:pos="3375"/>
        </w:tabs>
        <w:autoSpaceDE w:val="0"/>
        <w:autoSpaceDN w:val="0"/>
        <w:adjustRightInd w:val="0"/>
        <w:snapToGrid w:val="0"/>
        <w:spacing w:line="360" w:lineRule="auto"/>
        <w:contextualSpacing/>
        <w:rPr>
          <w:rFonts w:hint="eastAsia" w:ascii="宋体" w:hAnsi="宋体" w:cs="宋体"/>
          <w:sz w:val="24"/>
        </w:rPr>
      </w:pPr>
      <w:r>
        <w:rPr>
          <w:rFonts w:hint="eastAsia" w:ascii="宋体" w:hAnsi="宋体" w:cs="宋体"/>
          <w:sz w:val="24"/>
        </w:rPr>
        <w:t>①其他</w:t>
      </w:r>
    </w:p>
    <w:p w14:paraId="174C3B85">
      <w:pPr>
        <w:pStyle w:val="17"/>
        <w:ind w:firstLine="480"/>
        <w:rPr>
          <w:rFonts w:hint="eastAsia" w:ascii="宋体" w:hAnsi="宋体" w:cs="宋体"/>
        </w:rPr>
      </w:pPr>
      <w:r>
        <w:rPr>
          <w:rFonts w:hint="eastAsia" w:ascii="宋体" w:hAnsi="宋体" w:cs="宋体"/>
          <w:sz w:val="24"/>
        </w:rPr>
        <w:t>...</w:t>
      </w:r>
      <w:r>
        <w:rPr>
          <w:rFonts w:hint="eastAsia" w:ascii="宋体" w:hAnsi="宋体" w:cs="宋体"/>
        </w:rPr>
        <w:br w:type="page"/>
      </w:r>
    </w:p>
    <w:p w14:paraId="62942E50">
      <w:pPr>
        <w:tabs>
          <w:tab w:val="left" w:pos="3375"/>
        </w:tabs>
        <w:autoSpaceDE w:val="0"/>
        <w:autoSpaceDN w:val="0"/>
        <w:adjustRightInd w:val="0"/>
        <w:snapToGrid w:val="0"/>
        <w:spacing w:line="440" w:lineRule="exact"/>
        <w:contextualSpacing/>
        <w:rPr>
          <w:rFonts w:hint="eastAsia" w:ascii="宋体" w:hAnsi="宋体" w:cs="宋体"/>
          <w:sz w:val="28"/>
          <w:szCs w:val="28"/>
        </w:rPr>
      </w:pPr>
      <w:r>
        <w:rPr>
          <w:rFonts w:hint="eastAsia" w:ascii="宋体" w:hAnsi="宋体" w:cs="宋体"/>
          <w:sz w:val="28"/>
          <w:szCs w:val="28"/>
        </w:rPr>
        <w:t>第二部分格式：</w:t>
      </w:r>
    </w:p>
    <w:p w14:paraId="69C19A76">
      <w:pPr>
        <w:snapToGrid w:val="0"/>
        <w:spacing w:line="300" w:lineRule="auto"/>
        <w:contextualSpacing/>
        <w:rPr>
          <w:rFonts w:hint="eastAsia" w:ascii="宋体" w:hAnsi="宋体" w:cs="宋体"/>
          <w:sz w:val="32"/>
          <w:szCs w:val="32"/>
        </w:rPr>
      </w:pPr>
    </w:p>
    <w:p w14:paraId="434F942F">
      <w:pPr>
        <w:autoSpaceDE w:val="0"/>
        <w:autoSpaceDN w:val="0"/>
        <w:adjustRightInd w:val="0"/>
        <w:jc w:val="center"/>
        <w:rPr>
          <w:rFonts w:hint="eastAsia" w:ascii="宋体" w:hAnsi="宋体" w:cs="宋体"/>
          <w:b/>
          <w:sz w:val="32"/>
          <w:szCs w:val="32"/>
        </w:rPr>
      </w:pPr>
    </w:p>
    <w:p w14:paraId="5EF49774">
      <w:pPr>
        <w:autoSpaceDE w:val="0"/>
        <w:autoSpaceDN w:val="0"/>
        <w:adjustRightInd w:val="0"/>
        <w:jc w:val="center"/>
        <w:rPr>
          <w:rFonts w:hint="eastAsia" w:ascii="宋体" w:hAnsi="宋体" w:cs="宋体"/>
          <w:b/>
          <w:sz w:val="44"/>
          <w:szCs w:val="44"/>
        </w:rPr>
      </w:pPr>
      <w:r>
        <w:rPr>
          <w:rFonts w:hint="eastAsia" w:ascii="宋体" w:hAnsi="宋体" w:cs="宋体"/>
          <w:b/>
          <w:sz w:val="44"/>
          <w:szCs w:val="44"/>
        </w:rPr>
        <w:t>204国道通州段周边路网衔接方案研究项目（政府采购工程）</w:t>
      </w:r>
    </w:p>
    <w:p w14:paraId="686328CF">
      <w:pPr>
        <w:pStyle w:val="17"/>
        <w:rPr>
          <w:rFonts w:hint="eastAsia" w:ascii="宋体" w:hAnsi="宋体" w:cs="宋体"/>
        </w:rPr>
      </w:pPr>
    </w:p>
    <w:p w14:paraId="3F218E14">
      <w:pPr>
        <w:tabs>
          <w:tab w:val="left" w:pos="6300"/>
        </w:tabs>
        <w:snapToGrid w:val="0"/>
        <w:spacing w:line="300" w:lineRule="auto"/>
        <w:ind w:firstLine="3087" w:firstLineChars="1200"/>
        <w:rPr>
          <w:rFonts w:hint="eastAsia" w:ascii="宋体" w:hAnsi="宋体" w:cs="宋体"/>
          <w:b/>
          <w:w w:val="80"/>
          <w:sz w:val="32"/>
          <w:szCs w:val="32"/>
        </w:rPr>
      </w:pPr>
      <w:r>
        <w:rPr>
          <w:rFonts w:hint="eastAsia" w:ascii="宋体" w:hAnsi="宋体" w:cs="宋体"/>
          <w:b/>
          <w:w w:val="80"/>
          <w:sz w:val="32"/>
          <w:szCs w:val="32"/>
        </w:rPr>
        <w:t>项目编号：2026LWXJ</w:t>
      </w:r>
    </w:p>
    <w:p w14:paraId="055458EE">
      <w:pPr>
        <w:tabs>
          <w:tab w:val="left" w:pos="6300"/>
        </w:tabs>
        <w:snapToGrid w:val="0"/>
        <w:spacing w:line="300" w:lineRule="auto"/>
        <w:ind w:firstLine="3087" w:firstLineChars="1200"/>
        <w:rPr>
          <w:rFonts w:hint="eastAsia" w:ascii="宋体" w:hAnsi="宋体" w:cs="宋体"/>
          <w:b/>
          <w:w w:val="80"/>
          <w:sz w:val="32"/>
          <w:szCs w:val="32"/>
        </w:rPr>
      </w:pPr>
      <w:r>
        <w:rPr>
          <w:rFonts w:hint="eastAsia" w:ascii="宋体" w:hAnsi="宋体" w:cs="宋体"/>
          <w:b/>
          <w:w w:val="80"/>
          <w:sz w:val="32"/>
          <w:szCs w:val="32"/>
        </w:rPr>
        <w:t>档案编号：20261102</w:t>
      </w:r>
    </w:p>
    <w:p w14:paraId="0FE456C4">
      <w:pPr>
        <w:tabs>
          <w:tab w:val="left" w:pos="6300"/>
        </w:tabs>
        <w:snapToGrid w:val="0"/>
        <w:spacing w:line="300" w:lineRule="auto"/>
        <w:jc w:val="center"/>
        <w:rPr>
          <w:rFonts w:hint="eastAsia" w:ascii="宋体" w:hAnsi="宋体" w:cs="宋体"/>
          <w:b/>
          <w:w w:val="80"/>
          <w:sz w:val="32"/>
          <w:szCs w:val="32"/>
        </w:rPr>
      </w:pPr>
    </w:p>
    <w:p w14:paraId="45E14870">
      <w:pPr>
        <w:tabs>
          <w:tab w:val="left" w:pos="6300"/>
        </w:tabs>
        <w:snapToGrid w:val="0"/>
        <w:spacing w:line="300" w:lineRule="auto"/>
        <w:jc w:val="center"/>
        <w:rPr>
          <w:rFonts w:hint="eastAsia" w:ascii="宋体" w:hAnsi="宋体" w:cs="宋体"/>
          <w:b/>
          <w:w w:val="80"/>
          <w:sz w:val="32"/>
          <w:szCs w:val="32"/>
        </w:rPr>
      </w:pPr>
    </w:p>
    <w:p w14:paraId="6EA4C31B">
      <w:pPr>
        <w:spacing w:after="60" w:line="360" w:lineRule="auto"/>
        <w:ind w:firstLine="0" w:firstLineChars="0"/>
        <w:jc w:val="center"/>
        <w:rPr>
          <w:rFonts w:hint="eastAsia" w:ascii="宋体" w:hAnsi="宋体" w:cs="宋体"/>
          <w:b/>
          <w:bCs/>
          <w:sz w:val="32"/>
          <w:szCs w:val="32"/>
        </w:rPr>
      </w:pPr>
      <w:r>
        <w:rPr>
          <w:rFonts w:hint="eastAsia" w:ascii="宋体" w:hAnsi="宋体" w:cs="宋体"/>
          <w:b/>
          <w:bCs/>
          <w:sz w:val="32"/>
          <w:szCs w:val="32"/>
        </w:rPr>
        <w:t>响应文件</w:t>
      </w:r>
    </w:p>
    <w:p w14:paraId="41DDDB85">
      <w:pPr>
        <w:spacing w:after="60" w:line="360" w:lineRule="auto"/>
        <w:jc w:val="center"/>
        <w:rPr>
          <w:rFonts w:hint="eastAsia" w:ascii="宋体" w:hAnsi="宋体" w:cs="宋体"/>
          <w:b/>
          <w:bCs/>
          <w:sz w:val="32"/>
          <w:szCs w:val="32"/>
        </w:rPr>
      </w:pPr>
      <w:r>
        <w:rPr>
          <w:rFonts w:hint="eastAsia" w:ascii="宋体" w:hAnsi="宋体" w:cs="宋体"/>
          <w:b/>
          <w:bCs/>
          <w:sz w:val="32"/>
          <w:szCs w:val="32"/>
        </w:rPr>
        <w:t>（商务技术响应文件）</w:t>
      </w:r>
    </w:p>
    <w:p w14:paraId="773B48C4">
      <w:pPr>
        <w:spacing w:after="60"/>
        <w:jc w:val="center"/>
        <w:rPr>
          <w:rFonts w:hint="eastAsia" w:ascii="宋体" w:hAnsi="宋体" w:cs="宋体"/>
          <w:b/>
          <w:bCs/>
          <w:sz w:val="72"/>
          <w:szCs w:val="72"/>
        </w:rPr>
      </w:pPr>
    </w:p>
    <w:p w14:paraId="38638409">
      <w:pPr>
        <w:spacing w:after="60"/>
        <w:jc w:val="center"/>
        <w:rPr>
          <w:rFonts w:hint="eastAsia" w:ascii="宋体" w:hAnsi="宋体" w:cs="宋体"/>
          <w:b/>
          <w:bCs/>
          <w:sz w:val="72"/>
          <w:szCs w:val="72"/>
        </w:rPr>
      </w:pPr>
    </w:p>
    <w:p w14:paraId="5CCD186C">
      <w:pPr>
        <w:spacing w:after="60"/>
        <w:jc w:val="center"/>
        <w:rPr>
          <w:rFonts w:hint="eastAsia" w:ascii="宋体" w:hAnsi="宋体" w:cs="宋体"/>
          <w:b/>
          <w:bCs/>
          <w:sz w:val="72"/>
          <w:szCs w:val="72"/>
        </w:rPr>
      </w:pPr>
    </w:p>
    <w:p w14:paraId="432EC831">
      <w:pPr>
        <w:spacing w:after="60"/>
        <w:jc w:val="center"/>
        <w:rPr>
          <w:rFonts w:hint="eastAsia" w:ascii="宋体" w:hAnsi="宋体" w:cs="宋体"/>
          <w:b/>
          <w:bCs/>
          <w:sz w:val="72"/>
          <w:szCs w:val="72"/>
        </w:rPr>
      </w:pPr>
    </w:p>
    <w:p w14:paraId="74C2DB49">
      <w:pPr>
        <w:pStyle w:val="17"/>
        <w:ind w:left="0" w:leftChars="0" w:firstLine="0" w:firstLineChars="0"/>
        <w:rPr>
          <w:rFonts w:hint="eastAsia" w:ascii="宋体" w:hAnsi="宋体" w:cs="宋体"/>
          <w:b/>
          <w:bCs/>
          <w:sz w:val="72"/>
          <w:szCs w:val="72"/>
        </w:rPr>
      </w:pPr>
    </w:p>
    <w:p w14:paraId="72637767">
      <w:pPr>
        <w:spacing w:after="60"/>
        <w:jc w:val="center"/>
        <w:rPr>
          <w:rFonts w:hint="eastAsia" w:ascii="宋体" w:hAnsi="宋体" w:cs="宋体"/>
          <w:b/>
          <w:bCs/>
          <w:sz w:val="72"/>
          <w:szCs w:val="72"/>
        </w:rPr>
      </w:pPr>
    </w:p>
    <w:p w14:paraId="6CE89C3B">
      <w:pPr>
        <w:spacing w:line="480" w:lineRule="auto"/>
        <w:ind w:firstLine="482" w:firstLineChars="200"/>
        <w:rPr>
          <w:rFonts w:hint="eastAsia" w:ascii="宋体" w:hAnsi="宋体" w:cs="宋体"/>
          <w:b/>
          <w:sz w:val="24"/>
        </w:rPr>
      </w:pPr>
      <w:r>
        <w:rPr>
          <w:rFonts w:hint="eastAsia" w:ascii="宋体" w:hAnsi="宋体" w:cs="宋体"/>
          <w:b/>
          <w:sz w:val="24"/>
        </w:rPr>
        <w:t>供应商（盖公章）：</w:t>
      </w:r>
      <w:r>
        <w:rPr>
          <w:rFonts w:hint="eastAsia" w:ascii="宋体" w:hAnsi="宋体" w:cs="宋体"/>
          <w:b/>
          <w:sz w:val="24"/>
          <w:u w:val="single"/>
        </w:rPr>
        <w:t xml:space="preserve">                            </w:t>
      </w:r>
    </w:p>
    <w:p w14:paraId="32BE8057">
      <w:pPr>
        <w:spacing w:line="480" w:lineRule="auto"/>
        <w:ind w:firstLine="482" w:firstLineChars="200"/>
        <w:rPr>
          <w:rFonts w:hint="eastAsia" w:ascii="宋体" w:hAnsi="宋体" w:cs="宋体"/>
          <w:b/>
          <w:sz w:val="24"/>
          <w:u w:val="single"/>
        </w:rPr>
      </w:pPr>
      <w:r>
        <w:rPr>
          <w:rFonts w:hint="eastAsia" w:ascii="宋体" w:hAnsi="宋体" w:cs="宋体"/>
          <w:b/>
          <w:sz w:val="24"/>
        </w:rPr>
        <w:t>法定代表人（或其委托代理人）（签字或盖章）：</w:t>
      </w:r>
      <w:r>
        <w:rPr>
          <w:rFonts w:hint="eastAsia" w:ascii="宋体" w:hAnsi="宋体" w:cs="宋体"/>
          <w:b/>
          <w:sz w:val="24"/>
          <w:u w:val="single"/>
        </w:rPr>
        <w:t xml:space="preserve">                  </w:t>
      </w:r>
    </w:p>
    <w:p w14:paraId="514E5BA7">
      <w:pPr>
        <w:spacing w:line="480" w:lineRule="auto"/>
        <w:ind w:firstLine="482" w:firstLineChars="200"/>
        <w:rPr>
          <w:rFonts w:hint="eastAsia" w:ascii="宋体" w:hAnsi="宋体" w:cs="宋体"/>
          <w:b/>
          <w:sz w:val="24"/>
        </w:rPr>
      </w:pPr>
      <w:r>
        <w:rPr>
          <w:rFonts w:hint="eastAsia" w:ascii="宋体" w:hAnsi="宋体" w:cs="宋体"/>
          <w:b/>
          <w:sz w:val="24"/>
        </w:rPr>
        <w:t>日    期：</w:t>
      </w:r>
      <w:r>
        <w:rPr>
          <w:rFonts w:hint="eastAsia" w:ascii="宋体" w:hAnsi="宋体" w:cs="宋体"/>
          <w:b/>
          <w:sz w:val="24"/>
          <w:u w:val="single"/>
        </w:rPr>
        <w:t xml:space="preserve">                                                  </w:t>
      </w:r>
    </w:p>
    <w:p w14:paraId="461EEB89">
      <w:pPr>
        <w:pStyle w:val="30"/>
        <w:spacing w:line="440" w:lineRule="exact"/>
        <w:ind w:firstLine="494"/>
        <w:rPr>
          <w:rFonts w:hint="eastAsia" w:ascii="宋体" w:eastAsia="宋体" w:cs="宋体"/>
          <w:sz w:val="24"/>
          <w:szCs w:val="24"/>
        </w:rPr>
      </w:pPr>
      <w:r>
        <w:rPr>
          <w:rFonts w:hint="eastAsia" w:ascii="宋体" w:eastAsia="宋体" w:cs="宋体"/>
          <w:sz w:val="24"/>
          <w:szCs w:val="24"/>
        </w:rPr>
        <w:t>为方便评委评审，请供应商按评审办法中所涉及的事项顺序进行编制，可以补充相关材料。（以下均须提供扫描件（或复印件）并加盖公章。）</w:t>
      </w:r>
    </w:p>
    <w:p w14:paraId="2B3EC6C1">
      <w:pPr>
        <w:pStyle w:val="30"/>
        <w:spacing w:line="440" w:lineRule="exact"/>
        <w:ind w:firstLine="494"/>
        <w:rPr>
          <w:rFonts w:hint="eastAsia" w:ascii="宋体" w:eastAsia="宋体" w:cs="宋体"/>
          <w:sz w:val="24"/>
          <w:szCs w:val="24"/>
        </w:rPr>
      </w:pPr>
      <w:r>
        <w:rPr>
          <w:rFonts w:hint="eastAsia" w:ascii="宋体" w:eastAsia="宋体" w:cs="宋体"/>
          <w:sz w:val="24"/>
          <w:szCs w:val="24"/>
        </w:rPr>
        <w:t>1.竞争性磋商响应函；</w:t>
      </w:r>
    </w:p>
    <w:p w14:paraId="225BA7BE">
      <w:pPr>
        <w:pStyle w:val="30"/>
        <w:spacing w:line="440" w:lineRule="exact"/>
        <w:ind w:firstLine="494"/>
        <w:rPr>
          <w:rFonts w:hint="eastAsia" w:ascii="宋体" w:eastAsia="宋体" w:cs="宋体"/>
          <w:sz w:val="24"/>
          <w:szCs w:val="24"/>
        </w:rPr>
      </w:pPr>
      <w:r>
        <w:rPr>
          <w:rFonts w:hint="eastAsia" w:ascii="宋体" w:eastAsia="宋体" w:cs="宋体"/>
          <w:sz w:val="24"/>
          <w:szCs w:val="24"/>
        </w:rPr>
        <w:t>2.评标办法中所涉及的事项需提供的所有资料；</w:t>
      </w:r>
    </w:p>
    <w:p w14:paraId="313EDE65">
      <w:pPr>
        <w:pStyle w:val="30"/>
        <w:spacing w:line="440" w:lineRule="exact"/>
        <w:ind w:firstLine="494"/>
        <w:rPr>
          <w:rFonts w:hint="eastAsia" w:ascii="宋体" w:eastAsia="宋体" w:cs="宋体"/>
          <w:sz w:val="24"/>
          <w:szCs w:val="24"/>
        </w:rPr>
      </w:pPr>
      <w:r>
        <w:rPr>
          <w:rFonts w:hint="eastAsia" w:ascii="宋体" w:eastAsia="宋体" w:cs="宋体"/>
          <w:sz w:val="24"/>
          <w:szCs w:val="24"/>
        </w:rPr>
        <w:t>3.评标办法中未涉及的事项，供应商认为需要提交的其他资料；</w:t>
      </w:r>
    </w:p>
    <w:p w14:paraId="53E68F46">
      <w:pPr>
        <w:pStyle w:val="30"/>
        <w:spacing w:line="440" w:lineRule="exact"/>
        <w:ind w:firstLine="494"/>
        <w:rPr>
          <w:rFonts w:hint="eastAsia" w:ascii="宋体" w:eastAsia="宋体" w:cs="宋体"/>
          <w:sz w:val="24"/>
          <w:szCs w:val="24"/>
        </w:rPr>
      </w:pPr>
      <w:r>
        <w:rPr>
          <w:rFonts w:hint="eastAsia" w:ascii="宋体" w:eastAsia="宋体" w:cs="宋体"/>
          <w:sz w:val="24"/>
          <w:szCs w:val="24"/>
        </w:rPr>
        <w:t>4.竞争性磋商文件中要求提供的其他材料。</w:t>
      </w:r>
    </w:p>
    <w:p w14:paraId="4F134E50">
      <w:pPr>
        <w:snapToGrid w:val="0"/>
        <w:spacing w:line="300" w:lineRule="auto"/>
        <w:contextualSpacing/>
        <w:rPr>
          <w:rFonts w:hint="eastAsia" w:ascii="宋体" w:hAnsi="宋体" w:cs="宋体"/>
          <w:sz w:val="32"/>
          <w:szCs w:val="32"/>
        </w:rPr>
      </w:pPr>
    </w:p>
    <w:p w14:paraId="32B043C1">
      <w:pPr>
        <w:pStyle w:val="17"/>
        <w:rPr>
          <w:rFonts w:hint="eastAsia" w:ascii="宋体" w:hAnsi="宋体" w:cs="宋体"/>
        </w:rPr>
      </w:pPr>
    </w:p>
    <w:p w14:paraId="2F242426">
      <w:pPr>
        <w:pStyle w:val="17"/>
        <w:rPr>
          <w:rFonts w:hint="eastAsia" w:ascii="宋体" w:hAnsi="宋体" w:cs="宋体"/>
        </w:rPr>
      </w:pPr>
    </w:p>
    <w:p w14:paraId="188B81E6">
      <w:pPr>
        <w:pStyle w:val="17"/>
        <w:rPr>
          <w:rFonts w:hint="eastAsia" w:ascii="宋体" w:hAnsi="宋体" w:cs="宋体"/>
        </w:rPr>
      </w:pPr>
    </w:p>
    <w:p w14:paraId="3B0321F5">
      <w:pPr>
        <w:pStyle w:val="17"/>
        <w:rPr>
          <w:rFonts w:hint="eastAsia" w:ascii="宋体" w:hAnsi="宋体" w:cs="宋体"/>
        </w:rPr>
      </w:pPr>
    </w:p>
    <w:p w14:paraId="023A7FD6">
      <w:pPr>
        <w:pStyle w:val="17"/>
        <w:rPr>
          <w:rFonts w:hint="eastAsia" w:ascii="宋体" w:hAnsi="宋体" w:cs="宋体"/>
        </w:rPr>
      </w:pPr>
    </w:p>
    <w:p w14:paraId="1946E154">
      <w:pPr>
        <w:pStyle w:val="17"/>
        <w:rPr>
          <w:rFonts w:hint="eastAsia" w:ascii="宋体" w:hAnsi="宋体" w:cs="宋体"/>
        </w:rPr>
      </w:pPr>
    </w:p>
    <w:p w14:paraId="4F3F09EA">
      <w:pPr>
        <w:pStyle w:val="17"/>
        <w:rPr>
          <w:rFonts w:hint="eastAsia" w:ascii="宋体" w:hAnsi="宋体" w:cs="宋体"/>
        </w:rPr>
      </w:pPr>
    </w:p>
    <w:p w14:paraId="406C41E8">
      <w:pPr>
        <w:pStyle w:val="17"/>
        <w:rPr>
          <w:rFonts w:hint="eastAsia" w:ascii="宋体" w:hAnsi="宋体" w:cs="宋体"/>
        </w:rPr>
      </w:pPr>
    </w:p>
    <w:p w14:paraId="14292A57">
      <w:pPr>
        <w:pStyle w:val="17"/>
        <w:rPr>
          <w:rFonts w:hint="eastAsia" w:ascii="宋体" w:hAnsi="宋体" w:cs="宋体"/>
        </w:rPr>
      </w:pPr>
    </w:p>
    <w:p w14:paraId="0A4A02E8">
      <w:pPr>
        <w:pStyle w:val="17"/>
        <w:rPr>
          <w:rFonts w:hint="eastAsia" w:ascii="宋体" w:hAnsi="宋体" w:cs="宋体"/>
        </w:rPr>
      </w:pPr>
    </w:p>
    <w:p w14:paraId="545E33B4">
      <w:pPr>
        <w:pStyle w:val="17"/>
        <w:rPr>
          <w:rFonts w:hint="eastAsia" w:ascii="宋体" w:hAnsi="宋体" w:cs="宋体"/>
        </w:rPr>
      </w:pPr>
    </w:p>
    <w:p w14:paraId="3CF26DC9">
      <w:pPr>
        <w:pStyle w:val="17"/>
        <w:rPr>
          <w:rFonts w:hint="eastAsia" w:ascii="宋体" w:hAnsi="宋体" w:cs="宋体"/>
        </w:rPr>
      </w:pPr>
    </w:p>
    <w:p w14:paraId="3B6A995A">
      <w:pPr>
        <w:pStyle w:val="17"/>
        <w:rPr>
          <w:rFonts w:hint="eastAsia" w:ascii="宋体" w:hAnsi="宋体" w:cs="宋体"/>
        </w:rPr>
      </w:pPr>
    </w:p>
    <w:p w14:paraId="0389E9AA">
      <w:pPr>
        <w:pStyle w:val="17"/>
        <w:rPr>
          <w:rFonts w:hint="eastAsia" w:ascii="宋体" w:hAnsi="宋体" w:cs="宋体"/>
        </w:rPr>
      </w:pPr>
    </w:p>
    <w:p w14:paraId="5CD5DBAC">
      <w:pPr>
        <w:pStyle w:val="17"/>
        <w:rPr>
          <w:rFonts w:hint="eastAsia" w:ascii="宋体" w:hAnsi="宋体" w:cs="宋体"/>
        </w:rPr>
      </w:pPr>
    </w:p>
    <w:p w14:paraId="1359492D">
      <w:pPr>
        <w:pStyle w:val="17"/>
        <w:rPr>
          <w:rFonts w:hint="eastAsia" w:ascii="宋体" w:hAnsi="宋体" w:cs="宋体"/>
        </w:rPr>
      </w:pPr>
    </w:p>
    <w:p w14:paraId="63590834">
      <w:pPr>
        <w:pStyle w:val="17"/>
        <w:rPr>
          <w:rFonts w:hint="eastAsia" w:ascii="宋体" w:hAnsi="宋体" w:cs="宋体"/>
        </w:rPr>
      </w:pPr>
    </w:p>
    <w:p w14:paraId="699CB052">
      <w:pPr>
        <w:pStyle w:val="17"/>
        <w:rPr>
          <w:rFonts w:hint="eastAsia" w:ascii="宋体" w:hAnsi="宋体" w:cs="宋体"/>
        </w:rPr>
      </w:pPr>
    </w:p>
    <w:p w14:paraId="3B25162D">
      <w:pPr>
        <w:pStyle w:val="17"/>
        <w:rPr>
          <w:rFonts w:hint="eastAsia" w:ascii="宋体" w:hAnsi="宋体" w:cs="宋体"/>
        </w:rPr>
      </w:pPr>
    </w:p>
    <w:p w14:paraId="18D094C4">
      <w:pPr>
        <w:pStyle w:val="17"/>
        <w:rPr>
          <w:rFonts w:hint="eastAsia" w:ascii="宋体" w:hAnsi="宋体" w:cs="宋体"/>
        </w:rPr>
      </w:pPr>
    </w:p>
    <w:p w14:paraId="14E7E392">
      <w:pPr>
        <w:pStyle w:val="17"/>
        <w:rPr>
          <w:rFonts w:hint="eastAsia" w:ascii="宋体" w:hAnsi="宋体" w:cs="宋体"/>
        </w:rPr>
      </w:pPr>
    </w:p>
    <w:p w14:paraId="1F120CA4">
      <w:pPr>
        <w:pStyle w:val="17"/>
        <w:rPr>
          <w:rFonts w:hint="eastAsia" w:ascii="宋体" w:hAnsi="宋体" w:cs="宋体"/>
        </w:rPr>
      </w:pPr>
    </w:p>
    <w:p w14:paraId="127BB6B0">
      <w:pPr>
        <w:pStyle w:val="17"/>
        <w:rPr>
          <w:rFonts w:hint="eastAsia" w:ascii="宋体" w:hAnsi="宋体" w:cs="宋体"/>
        </w:rPr>
      </w:pPr>
    </w:p>
    <w:p w14:paraId="2F1C3FE0">
      <w:pPr>
        <w:pStyle w:val="17"/>
        <w:rPr>
          <w:rFonts w:hint="eastAsia" w:ascii="宋体" w:hAnsi="宋体" w:cs="宋体"/>
        </w:rPr>
      </w:pPr>
    </w:p>
    <w:p w14:paraId="69CB4838">
      <w:pPr>
        <w:pStyle w:val="17"/>
        <w:rPr>
          <w:rFonts w:hint="eastAsia" w:ascii="宋体" w:hAnsi="宋体" w:cs="宋体"/>
        </w:rPr>
      </w:pPr>
    </w:p>
    <w:p w14:paraId="369E7000">
      <w:pPr>
        <w:pStyle w:val="17"/>
        <w:rPr>
          <w:rFonts w:hint="eastAsia" w:ascii="宋体" w:hAnsi="宋体" w:cs="宋体"/>
        </w:rPr>
      </w:pPr>
    </w:p>
    <w:p w14:paraId="773B79CD">
      <w:pPr>
        <w:pStyle w:val="17"/>
        <w:rPr>
          <w:rFonts w:hint="eastAsia" w:ascii="宋体" w:hAnsi="宋体" w:cs="宋体"/>
        </w:rPr>
      </w:pPr>
    </w:p>
    <w:p w14:paraId="3FBCAA74">
      <w:pPr>
        <w:snapToGrid w:val="0"/>
        <w:spacing w:line="360" w:lineRule="auto"/>
        <w:jc w:val="center"/>
        <w:outlineLvl w:val="3"/>
        <w:rPr>
          <w:rFonts w:hint="eastAsia" w:ascii="宋体" w:hAnsi="宋体" w:cs="宋体"/>
          <w:bCs/>
          <w:sz w:val="28"/>
          <w:szCs w:val="28"/>
        </w:rPr>
      </w:pPr>
      <w:r>
        <w:rPr>
          <w:rFonts w:hint="eastAsia" w:ascii="宋体" w:hAnsi="宋体" w:cs="宋体"/>
          <w:bCs/>
          <w:sz w:val="28"/>
          <w:szCs w:val="28"/>
        </w:rPr>
        <w:t>竞争性磋商响应函</w:t>
      </w:r>
    </w:p>
    <w:p w14:paraId="43E3FD15">
      <w:pPr>
        <w:snapToGrid w:val="0"/>
        <w:spacing w:line="360" w:lineRule="auto"/>
        <w:rPr>
          <w:rFonts w:hint="eastAsia" w:ascii="宋体" w:hAnsi="宋体" w:cs="宋体"/>
          <w:sz w:val="24"/>
        </w:rPr>
      </w:pPr>
      <w:r>
        <w:rPr>
          <w:rFonts w:hint="eastAsia" w:ascii="宋体" w:hAnsi="宋体" w:cs="宋体"/>
          <w:sz w:val="24"/>
          <w:u w:val="single"/>
        </w:rPr>
        <w:t xml:space="preserve">       （采购人）       </w:t>
      </w:r>
      <w:r>
        <w:rPr>
          <w:rFonts w:hint="eastAsia" w:ascii="宋体" w:hAnsi="宋体" w:cs="宋体"/>
          <w:sz w:val="24"/>
        </w:rPr>
        <w:t>：</w:t>
      </w:r>
    </w:p>
    <w:p w14:paraId="1C70D969">
      <w:pPr>
        <w:snapToGrid w:val="0"/>
        <w:spacing w:line="360" w:lineRule="auto"/>
        <w:ind w:firstLine="480" w:firstLineChars="200"/>
        <w:rPr>
          <w:rFonts w:hint="eastAsia" w:ascii="宋体" w:hAnsi="宋体" w:cs="宋体"/>
          <w:sz w:val="24"/>
        </w:rPr>
      </w:pPr>
      <w:r>
        <w:rPr>
          <w:rFonts w:hint="eastAsia" w:ascii="宋体" w:hAnsi="宋体" w:cs="宋体"/>
          <w:sz w:val="24"/>
        </w:rPr>
        <w:t>依据贵单位</w:t>
      </w:r>
      <w:r>
        <w:rPr>
          <w:rFonts w:hint="eastAsia" w:ascii="宋体" w:hAnsi="宋体" w:cs="宋体"/>
          <w:sz w:val="24"/>
          <w:u w:val="single"/>
        </w:rPr>
        <w:t xml:space="preserve">        </w:t>
      </w:r>
      <w:r>
        <w:rPr>
          <w:rFonts w:hint="eastAsia" w:ascii="宋体" w:hAnsi="宋体" w:cs="宋体"/>
          <w:sz w:val="24"/>
        </w:rPr>
        <w:t>（项目名称)项目竞争性磋商的邀请，我方授权</w:t>
      </w:r>
      <w:r>
        <w:rPr>
          <w:rFonts w:hint="eastAsia" w:ascii="宋体" w:hAnsi="宋体" w:cs="宋体"/>
          <w:sz w:val="24"/>
          <w:u w:val="single"/>
        </w:rPr>
        <w:t xml:space="preserve">    </w:t>
      </w: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（职务）为全权代表参加该项目的磋商响应工作，全权处理本次磋商的有关事宜。同时，我公司声明如下：</w:t>
      </w:r>
    </w:p>
    <w:p w14:paraId="30514F43">
      <w:pPr>
        <w:snapToGrid w:val="0"/>
        <w:spacing w:line="360" w:lineRule="auto"/>
        <w:ind w:firstLine="480" w:firstLineChars="200"/>
        <w:rPr>
          <w:rFonts w:hint="eastAsia" w:ascii="宋体" w:hAnsi="宋体" w:cs="宋体"/>
          <w:sz w:val="24"/>
          <w:lang w:val="zh-CN"/>
        </w:rPr>
      </w:pPr>
      <w:r>
        <w:rPr>
          <w:rFonts w:hint="eastAsia" w:ascii="宋体" w:hAnsi="宋体" w:cs="宋体"/>
          <w:sz w:val="24"/>
        </w:rPr>
        <w:t>（1）我方愿意按照磋商文件的一切要求，提供完成该项目的全部内容</w:t>
      </w:r>
      <w:r>
        <w:rPr>
          <w:rFonts w:hint="eastAsia" w:ascii="宋体" w:hAnsi="宋体" w:cs="宋体"/>
          <w:sz w:val="24"/>
          <w:lang w:val="zh-CN"/>
        </w:rPr>
        <w:t>。</w:t>
      </w:r>
    </w:p>
    <w:p w14:paraId="3A5A8712">
      <w:pPr>
        <w:snapToGrid w:val="0"/>
        <w:spacing w:line="360" w:lineRule="auto"/>
        <w:ind w:firstLine="480" w:firstLineChars="200"/>
        <w:rPr>
          <w:rFonts w:hint="eastAsia" w:ascii="宋体" w:hAnsi="宋体" w:cs="宋体"/>
          <w:sz w:val="24"/>
        </w:rPr>
      </w:pPr>
      <w:r>
        <w:rPr>
          <w:rFonts w:hint="eastAsia" w:ascii="宋体" w:hAnsi="宋体" w:cs="宋体"/>
          <w:sz w:val="24"/>
        </w:rPr>
        <w:t>（2）我方已经详细审查了全部磋商文件，我方已完全清晰理解磋商文件的要求，不存在任何含糊不清和误解之处，同意放弃对这些文件所提出的异议和质疑的权利。</w:t>
      </w:r>
    </w:p>
    <w:p w14:paraId="3DFC8D30">
      <w:pPr>
        <w:snapToGrid w:val="0"/>
        <w:spacing w:line="360" w:lineRule="auto"/>
        <w:ind w:firstLine="480" w:firstLineChars="200"/>
        <w:rPr>
          <w:rFonts w:hint="eastAsia" w:ascii="宋体" w:hAnsi="宋体" w:cs="宋体"/>
          <w:sz w:val="24"/>
        </w:rPr>
      </w:pPr>
      <w:r>
        <w:rPr>
          <w:rFonts w:hint="eastAsia" w:ascii="宋体" w:hAnsi="宋体" w:cs="宋体"/>
          <w:sz w:val="24"/>
        </w:rPr>
        <w:t>（3）我方承诺提供的磋商响应文件的有效期，从磋商响应文件接收截止之日算起，45个“日历天”内保持有效。</w:t>
      </w:r>
    </w:p>
    <w:p w14:paraId="1CC14780">
      <w:pPr>
        <w:snapToGrid w:val="0"/>
        <w:spacing w:line="360" w:lineRule="auto"/>
        <w:ind w:firstLine="480" w:firstLineChars="200"/>
        <w:rPr>
          <w:rFonts w:hint="eastAsia" w:ascii="宋体" w:hAnsi="宋体" w:cs="宋体"/>
          <w:sz w:val="24"/>
        </w:rPr>
      </w:pPr>
      <w:r>
        <w:rPr>
          <w:rFonts w:hint="eastAsia" w:ascii="宋体" w:hAnsi="宋体" w:cs="宋体"/>
          <w:sz w:val="24"/>
        </w:rPr>
        <w:t>（4）我方愿意提供采购人在磋商文件中要求的所有资料。</w:t>
      </w:r>
    </w:p>
    <w:p w14:paraId="3DE0C3E7">
      <w:pPr>
        <w:snapToGrid w:val="0"/>
        <w:spacing w:line="360" w:lineRule="auto"/>
        <w:ind w:firstLine="480" w:firstLineChars="200"/>
        <w:rPr>
          <w:rFonts w:hint="eastAsia" w:ascii="宋体" w:hAnsi="宋体" w:cs="宋体"/>
          <w:sz w:val="24"/>
        </w:rPr>
      </w:pPr>
      <w:r>
        <w:rPr>
          <w:rFonts w:hint="eastAsia" w:ascii="宋体" w:hAnsi="宋体" w:cs="宋体"/>
          <w:sz w:val="24"/>
        </w:rPr>
        <w:t>（5）我方承诺在本次磋商响应中提供的一切文件，无论是原件还是复印件均真实有效，绝无任何虚假、伪造和夸大的成份。否则，愿承担相应的后果和法律责任。</w:t>
      </w:r>
    </w:p>
    <w:p w14:paraId="72C85CEA">
      <w:pPr>
        <w:snapToGrid w:val="0"/>
        <w:spacing w:line="360" w:lineRule="auto"/>
        <w:ind w:firstLine="480" w:firstLineChars="200"/>
        <w:rPr>
          <w:rFonts w:hint="eastAsia" w:ascii="宋体" w:hAnsi="宋体" w:cs="宋体"/>
          <w:sz w:val="24"/>
        </w:rPr>
      </w:pPr>
      <w:r>
        <w:rPr>
          <w:rFonts w:hint="eastAsia" w:ascii="宋体" w:hAnsi="宋体" w:cs="宋体"/>
          <w:sz w:val="24"/>
        </w:rPr>
        <w:t>（6）我方尊重评审小组所作评定结果，同时也清楚理解到磋商报价最低并非意味着必定获得中标或成交资格。</w:t>
      </w:r>
    </w:p>
    <w:p w14:paraId="0BA181B6">
      <w:pPr>
        <w:snapToGrid w:val="0"/>
        <w:spacing w:line="360" w:lineRule="auto"/>
        <w:ind w:firstLine="480" w:firstLineChars="200"/>
        <w:rPr>
          <w:rFonts w:hint="eastAsia" w:ascii="宋体" w:hAnsi="宋体" w:cs="宋体"/>
          <w:sz w:val="24"/>
        </w:rPr>
      </w:pPr>
      <w:r>
        <w:rPr>
          <w:rFonts w:hint="eastAsia" w:ascii="宋体" w:hAnsi="宋体" w:cs="宋体"/>
          <w:sz w:val="24"/>
        </w:rPr>
        <w:t>（7）一旦我方成交，我方将根据磋商文件的规定，严格履行磋商文件中规定的每一项要求，按期、按质、按量履行合同的义务。</w:t>
      </w:r>
    </w:p>
    <w:p w14:paraId="4DF9CA9B">
      <w:pPr>
        <w:snapToGrid w:val="0"/>
        <w:spacing w:line="360" w:lineRule="auto"/>
        <w:ind w:firstLine="2400" w:firstLineChars="1000"/>
        <w:jc w:val="right"/>
        <w:rPr>
          <w:rFonts w:hint="eastAsia" w:ascii="宋体" w:hAnsi="宋体" w:cs="宋体"/>
          <w:sz w:val="24"/>
        </w:rPr>
      </w:pPr>
      <w:r>
        <w:rPr>
          <w:rFonts w:hint="eastAsia" w:ascii="宋体" w:hAnsi="宋体" w:cs="宋体"/>
          <w:sz w:val="24"/>
        </w:rPr>
        <w:t>磋商响应供应商：（盖单位公章）</w:t>
      </w:r>
    </w:p>
    <w:p w14:paraId="02DE6B96">
      <w:pPr>
        <w:snapToGrid w:val="0"/>
        <w:spacing w:line="360" w:lineRule="auto"/>
        <w:ind w:firstLine="2400" w:firstLineChars="1000"/>
        <w:jc w:val="right"/>
        <w:rPr>
          <w:rFonts w:hint="eastAsia" w:ascii="宋体" w:hAnsi="宋体" w:cs="宋体"/>
          <w:sz w:val="24"/>
        </w:rPr>
      </w:pPr>
      <w:r>
        <w:rPr>
          <w:rFonts w:hint="eastAsia" w:ascii="宋体" w:hAnsi="宋体" w:cs="宋体"/>
          <w:sz w:val="24"/>
        </w:rPr>
        <w:t>法定代表人或委托代理人：</w:t>
      </w:r>
      <w:r>
        <w:rPr>
          <w:rFonts w:hint="eastAsia" w:ascii="宋体" w:hAnsi="宋体" w:cs="宋体"/>
          <w:bCs/>
          <w:sz w:val="24"/>
        </w:rPr>
        <w:t>（签字或盖章）</w:t>
      </w:r>
    </w:p>
    <w:p w14:paraId="29D213B7">
      <w:pPr>
        <w:snapToGrid w:val="0"/>
        <w:spacing w:line="360" w:lineRule="auto"/>
        <w:ind w:firstLine="2400" w:firstLineChars="1000"/>
        <w:jc w:val="right"/>
        <w:rPr>
          <w:rFonts w:hint="eastAsia" w:ascii="宋体" w:hAnsi="宋体" w:cs="宋体"/>
          <w:sz w:val="24"/>
        </w:rPr>
      </w:pPr>
      <w:r>
        <w:rPr>
          <w:rFonts w:hint="eastAsia" w:ascii="宋体" w:hAnsi="宋体" w:cs="宋体"/>
          <w:sz w:val="24"/>
        </w:rPr>
        <w:t xml:space="preserve">   年      月     日</w:t>
      </w:r>
    </w:p>
    <w:p w14:paraId="7B4B0C20">
      <w:pPr>
        <w:pStyle w:val="17"/>
        <w:rPr>
          <w:rFonts w:hint="eastAsia" w:ascii="宋体" w:hAnsi="宋体" w:cs="宋体"/>
        </w:rPr>
      </w:pPr>
    </w:p>
    <w:p w14:paraId="091D24C2">
      <w:pPr>
        <w:widowControl/>
        <w:jc w:val="left"/>
        <w:rPr>
          <w:rFonts w:hint="eastAsia" w:ascii="宋体" w:hAnsi="宋体" w:cs="宋体"/>
          <w:sz w:val="28"/>
          <w:szCs w:val="28"/>
        </w:rPr>
      </w:pPr>
      <w:r>
        <w:rPr>
          <w:rFonts w:hint="eastAsia" w:ascii="宋体" w:hAnsi="宋体" w:cs="宋体"/>
          <w:sz w:val="28"/>
          <w:szCs w:val="28"/>
        </w:rPr>
        <w:br w:type="page"/>
      </w:r>
    </w:p>
    <w:p w14:paraId="3E17E724">
      <w:pPr>
        <w:tabs>
          <w:tab w:val="left" w:pos="3375"/>
        </w:tabs>
        <w:autoSpaceDE w:val="0"/>
        <w:autoSpaceDN w:val="0"/>
        <w:adjustRightInd w:val="0"/>
        <w:snapToGrid w:val="0"/>
        <w:spacing w:line="440" w:lineRule="exact"/>
        <w:contextualSpacing/>
        <w:rPr>
          <w:rFonts w:hint="eastAsia" w:ascii="宋体" w:hAnsi="宋体" w:cs="宋体"/>
          <w:sz w:val="28"/>
          <w:szCs w:val="28"/>
        </w:rPr>
      </w:pPr>
      <w:r>
        <w:rPr>
          <w:rFonts w:hint="eastAsia" w:ascii="宋体" w:hAnsi="宋体" w:cs="宋体"/>
          <w:sz w:val="28"/>
          <w:szCs w:val="28"/>
        </w:rPr>
        <w:t>第三部分格式：</w:t>
      </w:r>
    </w:p>
    <w:p w14:paraId="360B208D">
      <w:pPr>
        <w:snapToGrid w:val="0"/>
        <w:spacing w:line="300" w:lineRule="auto"/>
        <w:contextualSpacing/>
        <w:rPr>
          <w:rFonts w:hint="eastAsia" w:ascii="宋体" w:hAnsi="宋体" w:cs="宋体"/>
          <w:sz w:val="32"/>
          <w:szCs w:val="32"/>
        </w:rPr>
      </w:pPr>
    </w:p>
    <w:p w14:paraId="63EC9E35">
      <w:pPr>
        <w:autoSpaceDE w:val="0"/>
        <w:autoSpaceDN w:val="0"/>
        <w:adjustRightInd w:val="0"/>
        <w:jc w:val="center"/>
        <w:rPr>
          <w:rFonts w:hint="eastAsia" w:ascii="宋体" w:hAnsi="宋体" w:cs="宋体"/>
          <w:b/>
          <w:sz w:val="32"/>
          <w:szCs w:val="32"/>
        </w:rPr>
      </w:pPr>
    </w:p>
    <w:p w14:paraId="077E410E">
      <w:pPr>
        <w:autoSpaceDE w:val="0"/>
        <w:autoSpaceDN w:val="0"/>
        <w:adjustRightInd w:val="0"/>
        <w:jc w:val="center"/>
        <w:rPr>
          <w:rFonts w:hint="eastAsia" w:ascii="宋体" w:hAnsi="宋体" w:cs="宋体"/>
          <w:b/>
          <w:sz w:val="44"/>
          <w:szCs w:val="44"/>
        </w:rPr>
      </w:pPr>
      <w:r>
        <w:rPr>
          <w:rFonts w:hint="eastAsia" w:ascii="宋体" w:hAnsi="宋体" w:cs="宋体"/>
          <w:b/>
          <w:sz w:val="44"/>
          <w:szCs w:val="44"/>
        </w:rPr>
        <w:t>204国道通州段周边路网衔接方案研究项目（政府采购工程）</w:t>
      </w:r>
    </w:p>
    <w:p w14:paraId="11927BD9">
      <w:pPr>
        <w:pStyle w:val="17"/>
        <w:rPr>
          <w:rFonts w:hint="eastAsia" w:ascii="宋体" w:hAnsi="宋体" w:cs="宋体"/>
        </w:rPr>
      </w:pPr>
    </w:p>
    <w:p w14:paraId="3BA5EB6E">
      <w:pPr>
        <w:tabs>
          <w:tab w:val="left" w:pos="6300"/>
        </w:tabs>
        <w:snapToGrid w:val="0"/>
        <w:spacing w:line="300" w:lineRule="auto"/>
        <w:ind w:firstLine="3087" w:firstLineChars="1200"/>
        <w:rPr>
          <w:rFonts w:hint="eastAsia" w:ascii="宋体" w:hAnsi="宋体" w:cs="宋体"/>
          <w:b/>
          <w:w w:val="80"/>
          <w:sz w:val="32"/>
          <w:szCs w:val="32"/>
        </w:rPr>
      </w:pPr>
      <w:r>
        <w:rPr>
          <w:rFonts w:hint="eastAsia" w:ascii="宋体" w:hAnsi="宋体" w:cs="宋体"/>
          <w:b/>
          <w:w w:val="80"/>
          <w:sz w:val="32"/>
          <w:szCs w:val="32"/>
        </w:rPr>
        <w:t>项目编号：2026LWXJ</w:t>
      </w:r>
    </w:p>
    <w:p w14:paraId="6745AC42">
      <w:pPr>
        <w:tabs>
          <w:tab w:val="left" w:pos="6300"/>
        </w:tabs>
        <w:snapToGrid w:val="0"/>
        <w:spacing w:line="300" w:lineRule="auto"/>
        <w:ind w:firstLine="3087" w:firstLineChars="1200"/>
        <w:rPr>
          <w:rFonts w:hint="eastAsia" w:ascii="宋体" w:hAnsi="宋体" w:cs="宋体"/>
          <w:b/>
          <w:w w:val="80"/>
          <w:sz w:val="32"/>
          <w:szCs w:val="32"/>
        </w:rPr>
      </w:pPr>
      <w:r>
        <w:rPr>
          <w:rFonts w:hint="eastAsia" w:ascii="宋体" w:hAnsi="宋体" w:cs="宋体"/>
          <w:b/>
          <w:w w:val="80"/>
          <w:sz w:val="32"/>
          <w:szCs w:val="32"/>
        </w:rPr>
        <w:t>档案编号：20261102</w:t>
      </w:r>
    </w:p>
    <w:p w14:paraId="76EE3CE2">
      <w:pPr>
        <w:tabs>
          <w:tab w:val="left" w:pos="6300"/>
        </w:tabs>
        <w:snapToGrid w:val="0"/>
        <w:spacing w:line="300" w:lineRule="auto"/>
        <w:jc w:val="center"/>
        <w:rPr>
          <w:rFonts w:hint="eastAsia" w:ascii="宋体" w:hAnsi="宋体" w:cs="宋体"/>
          <w:b/>
          <w:w w:val="80"/>
          <w:sz w:val="32"/>
          <w:szCs w:val="32"/>
        </w:rPr>
      </w:pPr>
    </w:p>
    <w:p w14:paraId="2CA2B34C">
      <w:pPr>
        <w:tabs>
          <w:tab w:val="left" w:pos="6300"/>
        </w:tabs>
        <w:snapToGrid w:val="0"/>
        <w:spacing w:line="300" w:lineRule="auto"/>
        <w:jc w:val="center"/>
        <w:rPr>
          <w:rFonts w:hint="eastAsia" w:ascii="宋体" w:hAnsi="宋体" w:cs="宋体"/>
          <w:b/>
          <w:w w:val="80"/>
          <w:sz w:val="32"/>
          <w:szCs w:val="32"/>
        </w:rPr>
      </w:pPr>
    </w:p>
    <w:p w14:paraId="78C5348F">
      <w:pPr>
        <w:spacing w:after="60" w:line="360" w:lineRule="auto"/>
        <w:ind w:firstLine="0" w:firstLineChars="0"/>
        <w:jc w:val="center"/>
        <w:rPr>
          <w:rFonts w:hint="eastAsia" w:ascii="宋体" w:hAnsi="宋体" w:cs="宋体"/>
          <w:b/>
          <w:bCs/>
          <w:sz w:val="32"/>
          <w:szCs w:val="32"/>
        </w:rPr>
      </w:pPr>
      <w:r>
        <w:rPr>
          <w:rFonts w:hint="eastAsia" w:ascii="宋体" w:hAnsi="宋体" w:cs="宋体"/>
          <w:b/>
          <w:bCs/>
          <w:sz w:val="32"/>
          <w:szCs w:val="32"/>
        </w:rPr>
        <w:t>响应文件</w:t>
      </w:r>
    </w:p>
    <w:p w14:paraId="407E5CDE">
      <w:pPr>
        <w:spacing w:after="60" w:line="360" w:lineRule="auto"/>
        <w:jc w:val="center"/>
        <w:rPr>
          <w:rFonts w:hint="eastAsia" w:ascii="宋体" w:hAnsi="宋体" w:cs="宋体"/>
          <w:b/>
          <w:bCs/>
          <w:sz w:val="32"/>
          <w:szCs w:val="32"/>
        </w:rPr>
      </w:pPr>
      <w:r>
        <w:rPr>
          <w:rFonts w:hint="eastAsia" w:ascii="宋体" w:hAnsi="宋体" w:cs="宋体"/>
          <w:b/>
          <w:bCs/>
          <w:sz w:val="32"/>
          <w:szCs w:val="32"/>
        </w:rPr>
        <w:t>（价格响应文件）</w:t>
      </w:r>
    </w:p>
    <w:p w14:paraId="4ABD817F">
      <w:pPr>
        <w:spacing w:after="60"/>
        <w:jc w:val="center"/>
        <w:rPr>
          <w:rFonts w:hint="eastAsia" w:ascii="宋体" w:hAnsi="宋体" w:cs="宋体"/>
          <w:b/>
          <w:bCs/>
          <w:sz w:val="72"/>
          <w:szCs w:val="72"/>
        </w:rPr>
      </w:pPr>
    </w:p>
    <w:p w14:paraId="631DBE99">
      <w:pPr>
        <w:spacing w:after="60"/>
        <w:jc w:val="center"/>
        <w:rPr>
          <w:rFonts w:hint="eastAsia" w:ascii="宋体" w:hAnsi="宋体" w:cs="宋体"/>
          <w:b/>
          <w:bCs/>
          <w:sz w:val="72"/>
          <w:szCs w:val="72"/>
        </w:rPr>
      </w:pPr>
    </w:p>
    <w:p w14:paraId="0725EF24">
      <w:pPr>
        <w:spacing w:after="60"/>
        <w:jc w:val="center"/>
        <w:rPr>
          <w:rFonts w:hint="eastAsia" w:ascii="宋体" w:hAnsi="宋体" w:cs="宋体"/>
          <w:b/>
          <w:bCs/>
          <w:sz w:val="72"/>
          <w:szCs w:val="72"/>
        </w:rPr>
      </w:pPr>
    </w:p>
    <w:p w14:paraId="5553FFB5">
      <w:pPr>
        <w:spacing w:after="60"/>
        <w:jc w:val="center"/>
        <w:rPr>
          <w:rFonts w:hint="eastAsia" w:ascii="宋体" w:hAnsi="宋体" w:cs="宋体"/>
          <w:b/>
          <w:bCs/>
          <w:sz w:val="72"/>
          <w:szCs w:val="72"/>
        </w:rPr>
      </w:pPr>
    </w:p>
    <w:p w14:paraId="1285B579">
      <w:pPr>
        <w:pStyle w:val="17"/>
        <w:ind w:left="0" w:leftChars="0" w:firstLine="0" w:firstLineChars="0"/>
        <w:rPr>
          <w:rFonts w:hint="eastAsia" w:ascii="宋体" w:hAnsi="宋体" w:cs="宋体"/>
          <w:b/>
          <w:bCs/>
          <w:sz w:val="72"/>
          <w:szCs w:val="72"/>
        </w:rPr>
      </w:pPr>
    </w:p>
    <w:p w14:paraId="2E8F99F5">
      <w:pPr>
        <w:spacing w:after="60"/>
        <w:jc w:val="center"/>
        <w:rPr>
          <w:rFonts w:hint="eastAsia" w:ascii="宋体" w:hAnsi="宋体" w:cs="宋体"/>
          <w:b/>
          <w:bCs/>
          <w:sz w:val="72"/>
          <w:szCs w:val="72"/>
        </w:rPr>
      </w:pPr>
    </w:p>
    <w:p w14:paraId="56120BEB">
      <w:pPr>
        <w:spacing w:line="480" w:lineRule="auto"/>
        <w:ind w:firstLine="482" w:firstLineChars="200"/>
        <w:rPr>
          <w:rFonts w:hint="eastAsia" w:ascii="宋体" w:hAnsi="宋体" w:cs="宋体"/>
          <w:b/>
          <w:sz w:val="24"/>
        </w:rPr>
      </w:pPr>
      <w:r>
        <w:rPr>
          <w:rFonts w:hint="eastAsia" w:ascii="宋体" w:hAnsi="宋体" w:cs="宋体"/>
          <w:b/>
          <w:sz w:val="24"/>
        </w:rPr>
        <w:t>供应商（盖公章）：</w:t>
      </w:r>
      <w:r>
        <w:rPr>
          <w:rFonts w:hint="eastAsia" w:ascii="宋体" w:hAnsi="宋体" w:cs="宋体"/>
          <w:b/>
          <w:sz w:val="24"/>
          <w:u w:val="single"/>
        </w:rPr>
        <w:t xml:space="preserve">                            </w:t>
      </w:r>
    </w:p>
    <w:p w14:paraId="0D600DE4">
      <w:pPr>
        <w:spacing w:line="480" w:lineRule="auto"/>
        <w:ind w:firstLine="482" w:firstLineChars="200"/>
        <w:rPr>
          <w:rFonts w:hint="eastAsia" w:ascii="宋体" w:hAnsi="宋体" w:cs="宋体"/>
          <w:b/>
          <w:sz w:val="24"/>
          <w:u w:val="single"/>
        </w:rPr>
      </w:pPr>
      <w:r>
        <w:rPr>
          <w:rFonts w:hint="eastAsia" w:ascii="宋体" w:hAnsi="宋体" w:cs="宋体"/>
          <w:b/>
          <w:sz w:val="24"/>
        </w:rPr>
        <w:t>法定代表人（或其委托代理人）（签字或盖章）：</w:t>
      </w:r>
      <w:r>
        <w:rPr>
          <w:rFonts w:hint="eastAsia" w:ascii="宋体" w:hAnsi="宋体" w:cs="宋体"/>
          <w:b/>
          <w:sz w:val="24"/>
          <w:u w:val="single"/>
        </w:rPr>
        <w:t xml:space="preserve">                  </w:t>
      </w:r>
    </w:p>
    <w:p w14:paraId="39019D4D">
      <w:pPr>
        <w:spacing w:line="480" w:lineRule="auto"/>
        <w:ind w:firstLine="482" w:firstLineChars="200"/>
        <w:rPr>
          <w:rFonts w:hint="eastAsia" w:ascii="宋体" w:hAnsi="宋体" w:cs="宋体"/>
          <w:b/>
          <w:sz w:val="24"/>
        </w:rPr>
      </w:pPr>
      <w:r>
        <w:rPr>
          <w:rFonts w:hint="eastAsia" w:ascii="宋体" w:hAnsi="宋体" w:cs="宋体"/>
          <w:b/>
          <w:sz w:val="24"/>
        </w:rPr>
        <w:t>日    期：</w:t>
      </w:r>
      <w:r>
        <w:rPr>
          <w:rFonts w:hint="eastAsia" w:ascii="宋体" w:hAnsi="宋体" w:cs="宋体"/>
          <w:b/>
          <w:sz w:val="24"/>
          <w:u w:val="single"/>
        </w:rPr>
        <w:t xml:space="preserve">                                                  </w:t>
      </w:r>
    </w:p>
    <w:p w14:paraId="0DFC52AA">
      <w:pPr>
        <w:widowControl/>
        <w:jc w:val="left"/>
        <w:rPr>
          <w:rFonts w:hint="eastAsia" w:ascii="宋体" w:hAnsi="宋体" w:cs="宋体"/>
          <w:sz w:val="32"/>
          <w:szCs w:val="32"/>
        </w:rPr>
      </w:pPr>
    </w:p>
    <w:p w14:paraId="23FC065F">
      <w:pPr>
        <w:snapToGrid w:val="0"/>
        <w:spacing w:line="300" w:lineRule="auto"/>
        <w:contextualSpacing/>
        <w:rPr>
          <w:rFonts w:hint="eastAsia" w:ascii="宋体" w:hAnsi="宋体" w:cs="宋体"/>
          <w:sz w:val="32"/>
          <w:szCs w:val="32"/>
        </w:rPr>
      </w:pPr>
      <w:r>
        <w:rPr>
          <w:rFonts w:hint="eastAsia" w:ascii="宋体" w:hAnsi="宋体" w:cs="宋体"/>
          <w:sz w:val="32"/>
          <w:szCs w:val="32"/>
        </w:rPr>
        <w:t>附件1：</w:t>
      </w:r>
    </w:p>
    <w:p w14:paraId="168D3059">
      <w:pPr>
        <w:snapToGrid w:val="0"/>
        <w:jc w:val="center"/>
        <w:rPr>
          <w:rFonts w:hint="eastAsia" w:ascii="宋体" w:hAnsi="宋体" w:cs="宋体"/>
          <w:b/>
          <w:sz w:val="36"/>
          <w:szCs w:val="36"/>
        </w:rPr>
      </w:pPr>
      <w:r>
        <w:rPr>
          <w:rFonts w:hint="eastAsia" w:ascii="宋体" w:hAnsi="宋体" w:cs="宋体"/>
          <w:b/>
          <w:sz w:val="36"/>
          <w:szCs w:val="36"/>
        </w:rPr>
        <w:t>磋商报价总表</w:t>
      </w:r>
    </w:p>
    <w:tbl>
      <w:tblPr>
        <w:tblStyle w:val="18"/>
        <w:tblW w:w="9597" w:type="dxa"/>
        <w:tblInd w:w="95" w:type="dxa"/>
        <w:tblLayout w:type="fixed"/>
        <w:tblCellMar>
          <w:top w:w="0" w:type="dxa"/>
          <w:left w:w="108" w:type="dxa"/>
          <w:bottom w:w="0" w:type="dxa"/>
          <w:right w:w="108" w:type="dxa"/>
        </w:tblCellMar>
      </w:tblPr>
      <w:tblGrid>
        <w:gridCol w:w="2990"/>
        <w:gridCol w:w="3638"/>
        <w:gridCol w:w="236"/>
        <w:gridCol w:w="1513"/>
        <w:gridCol w:w="980"/>
        <w:gridCol w:w="240"/>
      </w:tblGrid>
      <w:tr w14:paraId="03456BCC">
        <w:tblPrEx>
          <w:tblCellMar>
            <w:top w:w="0" w:type="dxa"/>
            <w:left w:w="108" w:type="dxa"/>
            <w:bottom w:w="0" w:type="dxa"/>
            <w:right w:w="108" w:type="dxa"/>
          </w:tblCellMar>
        </w:tblPrEx>
        <w:trPr>
          <w:trHeight w:val="405" w:hRule="atLeast"/>
        </w:trPr>
        <w:tc>
          <w:tcPr>
            <w:tcW w:w="2990" w:type="dxa"/>
            <w:tcBorders>
              <w:top w:val="nil"/>
              <w:left w:val="nil"/>
              <w:bottom w:val="nil"/>
              <w:right w:val="nil"/>
            </w:tcBorders>
            <w:noWrap/>
            <w:vAlign w:val="center"/>
          </w:tcPr>
          <w:p w14:paraId="418484E6">
            <w:pPr>
              <w:snapToGrid w:val="0"/>
              <w:spacing w:line="360" w:lineRule="auto"/>
              <w:rPr>
                <w:rFonts w:hint="eastAsia" w:ascii="宋体" w:hAnsi="宋体" w:cs="宋体"/>
                <w:sz w:val="24"/>
              </w:rPr>
            </w:pPr>
            <w:r>
              <w:rPr>
                <w:rFonts w:hint="eastAsia" w:ascii="宋体" w:hAnsi="宋体" w:cs="宋体"/>
                <w:sz w:val="24"/>
              </w:rPr>
              <w:t>项目名称：</w:t>
            </w:r>
          </w:p>
        </w:tc>
        <w:tc>
          <w:tcPr>
            <w:tcW w:w="3638" w:type="dxa"/>
            <w:tcBorders>
              <w:top w:val="nil"/>
              <w:left w:val="nil"/>
              <w:bottom w:val="nil"/>
              <w:right w:val="nil"/>
            </w:tcBorders>
            <w:noWrap/>
            <w:vAlign w:val="center"/>
          </w:tcPr>
          <w:p w14:paraId="13EB38BC">
            <w:pPr>
              <w:widowControl/>
              <w:spacing w:line="240" w:lineRule="exact"/>
              <w:jc w:val="left"/>
              <w:rPr>
                <w:rFonts w:hint="eastAsia" w:ascii="宋体" w:hAnsi="宋体" w:cs="宋体"/>
                <w:kern w:val="0"/>
                <w:sz w:val="24"/>
              </w:rPr>
            </w:pPr>
          </w:p>
        </w:tc>
        <w:tc>
          <w:tcPr>
            <w:tcW w:w="236" w:type="dxa"/>
            <w:tcBorders>
              <w:top w:val="nil"/>
              <w:left w:val="nil"/>
              <w:bottom w:val="nil"/>
              <w:right w:val="nil"/>
            </w:tcBorders>
            <w:noWrap/>
            <w:vAlign w:val="center"/>
          </w:tcPr>
          <w:p w14:paraId="41EC3B38">
            <w:pPr>
              <w:widowControl/>
              <w:spacing w:line="240" w:lineRule="exact"/>
              <w:jc w:val="left"/>
              <w:rPr>
                <w:rFonts w:hint="eastAsia" w:ascii="宋体" w:hAnsi="宋体" w:cs="宋体"/>
                <w:kern w:val="0"/>
                <w:sz w:val="24"/>
              </w:rPr>
            </w:pPr>
          </w:p>
        </w:tc>
        <w:tc>
          <w:tcPr>
            <w:tcW w:w="2493" w:type="dxa"/>
            <w:gridSpan w:val="2"/>
            <w:tcBorders>
              <w:top w:val="nil"/>
              <w:left w:val="nil"/>
              <w:bottom w:val="nil"/>
              <w:right w:val="nil"/>
            </w:tcBorders>
            <w:noWrap/>
            <w:vAlign w:val="center"/>
          </w:tcPr>
          <w:p w14:paraId="1EA8B2A8">
            <w:pPr>
              <w:widowControl/>
              <w:spacing w:line="240" w:lineRule="exact"/>
              <w:jc w:val="left"/>
              <w:rPr>
                <w:rFonts w:hint="eastAsia" w:ascii="宋体" w:hAnsi="宋体" w:cs="宋体"/>
                <w:kern w:val="0"/>
                <w:sz w:val="24"/>
              </w:rPr>
            </w:pPr>
          </w:p>
        </w:tc>
        <w:tc>
          <w:tcPr>
            <w:tcW w:w="240" w:type="dxa"/>
            <w:tcBorders>
              <w:top w:val="nil"/>
              <w:left w:val="nil"/>
              <w:bottom w:val="nil"/>
              <w:right w:val="nil"/>
            </w:tcBorders>
            <w:noWrap/>
            <w:vAlign w:val="center"/>
          </w:tcPr>
          <w:p w14:paraId="48DA8C4E">
            <w:pPr>
              <w:widowControl/>
              <w:spacing w:line="240" w:lineRule="exact"/>
              <w:jc w:val="left"/>
              <w:rPr>
                <w:rFonts w:hint="eastAsia" w:ascii="宋体" w:hAnsi="宋体" w:cs="宋体"/>
                <w:kern w:val="0"/>
                <w:sz w:val="24"/>
              </w:rPr>
            </w:pPr>
          </w:p>
        </w:tc>
      </w:tr>
      <w:tr w14:paraId="55980C79">
        <w:tblPrEx>
          <w:tblCellMar>
            <w:top w:w="0" w:type="dxa"/>
            <w:left w:w="108" w:type="dxa"/>
            <w:bottom w:w="0" w:type="dxa"/>
            <w:right w:w="108" w:type="dxa"/>
          </w:tblCellMar>
        </w:tblPrEx>
        <w:trPr>
          <w:trHeight w:val="420" w:hRule="atLeast"/>
        </w:trPr>
        <w:tc>
          <w:tcPr>
            <w:tcW w:w="2990" w:type="dxa"/>
            <w:tcBorders>
              <w:top w:val="nil"/>
              <w:left w:val="nil"/>
              <w:bottom w:val="nil"/>
              <w:right w:val="nil"/>
            </w:tcBorders>
            <w:noWrap/>
            <w:vAlign w:val="center"/>
          </w:tcPr>
          <w:p w14:paraId="19453453">
            <w:pPr>
              <w:snapToGrid w:val="0"/>
              <w:spacing w:line="360" w:lineRule="auto"/>
              <w:rPr>
                <w:rFonts w:hint="eastAsia" w:ascii="宋体" w:hAnsi="宋体" w:cs="宋体"/>
                <w:sz w:val="24"/>
              </w:rPr>
            </w:pPr>
            <w:r>
              <w:rPr>
                <w:rFonts w:hint="eastAsia" w:ascii="宋体" w:hAnsi="宋体" w:cs="宋体"/>
                <w:sz w:val="24"/>
              </w:rPr>
              <w:t>项目编号：</w:t>
            </w:r>
          </w:p>
        </w:tc>
        <w:tc>
          <w:tcPr>
            <w:tcW w:w="3638" w:type="dxa"/>
            <w:tcBorders>
              <w:top w:val="nil"/>
              <w:left w:val="nil"/>
              <w:bottom w:val="nil"/>
              <w:right w:val="nil"/>
            </w:tcBorders>
            <w:noWrap/>
            <w:vAlign w:val="center"/>
          </w:tcPr>
          <w:p w14:paraId="0EF50503">
            <w:pPr>
              <w:widowControl/>
              <w:spacing w:line="240" w:lineRule="exact"/>
              <w:jc w:val="left"/>
              <w:rPr>
                <w:rFonts w:hint="eastAsia" w:ascii="宋体" w:hAnsi="宋体" w:cs="宋体"/>
                <w:kern w:val="0"/>
                <w:sz w:val="24"/>
              </w:rPr>
            </w:pPr>
          </w:p>
        </w:tc>
        <w:tc>
          <w:tcPr>
            <w:tcW w:w="236" w:type="dxa"/>
            <w:tcBorders>
              <w:top w:val="nil"/>
              <w:left w:val="nil"/>
              <w:bottom w:val="nil"/>
              <w:right w:val="nil"/>
            </w:tcBorders>
            <w:noWrap/>
            <w:vAlign w:val="center"/>
          </w:tcPr>
          <w:p w14:paraId="68CDF8B0">
            <w:pPr>
              <w:widowControl/>
              <w:spacing w:line="240" w:lineRule="exact"/>
              <w:jc w:val="left"/>
              <w:rPr>
                <w:rFonts w:hint="eastAsia" w:ascii="宋体" w:hAnsi="宋体" w:cs="宋体"/>
                <w:kern w:val="0"/>
                <w:sz w:val="24"/>
              </w:rPr>
            </w:pPr>
          </w:p>
        </w:tc>
        <w:tc>
          <w:tcPr>
            <w:tcW w:w="2493" w:type="dxa"/>
            <w:gridSpan w:val="2"/>
            <w:tcBorders>
              <w:top w:val="nil"/>
              <w:left w:val="nil"/>
              <w:bottom w:val="nil"/>
              <w:right w:val="nil"/>
            </w:tcBorders>
            <w:noWrap/>
            <w:vAlign w:val="center"/>
          </w:tcPr>
          <w:p w14:paraId="40CA6568">
            <w:pPr>
              <w:widowControl/>
              <w:spacing w:line="240" w:lineRule="exact"/>
              <w:jc w:val="left"/>
              <w:rPr>
                <w:rFonts w:hint="eastAsia" w:ascii="宋体" w:hAnsi="宋体" w:cs="宋体"/>
                <w:kern w:val="0"/>
                <w:sz w:val="24"/>
              </w:rPr>
            </w:pPr>
          </w:p>
        </w:tc>
        <w:tc>
          <w:tcPr>
            <w:tcW w:w="240" w:type="dxa"/>
            <w:tcBorders>
              <w:top w:val="nil"/>
              <w:left w:val="nil"/>
              <w:bottom w:val="nil"/>
              <w:right w:val="nil"/>
            </w:tcBorders>
            <w:noWrap/>
            <w:vAlign w:val="center"/>
          </w:tcPr>
          <w:p w14:paraId="2FA12F15">
            <w:pPr>
              <w:widowControl/>
              <w:spacing w:line="240" w:lineRule="exact"/>
              <w:jc w:val="left"/>
              <w:rPr>
                <w:rFonts w:hint="eastAsia" w:ascii="宋体" w:hAnsi="宋体" w:cs="宋体"/>
                <w:kern w:val="0"/>
                <w:sz w:val="24"/>
              </w:rPr>
            </w:pPr>
          </w:p>
        </w:tc>
      </w:tr>
      <w:tr w14:paraId="21A247BA">
        <w:tblPrEx>
          <w:tblCellMar>
            <w:top w:w="0" w:type="dxa"/>
            <w:left w:w="108" w:type="dxa"/>
            <w:bottom w:w="0" w:type="dxa"/>
            <w:right w:w="108" w:type="dxa"/>
          </w:tblCellMar>
        </w:tblPrEx>
        <w:trPr>
          <w:gridAfter w:val="2"/>
          <w:wAfter w:w="1220" w:type="dxa"/>
          <w:trHeight w:val="383" w:hRule="atLeast"/>
        </w:trPr>
        <w:tc>
          <w:tcPr>
            <w:tcW w:w="2990" w:type="dxa"/>
            <w:vMerge w:val="restart"/>
            <w:tcBorders>
              <w:top w:val="single" w:color="auto" w:sz="4" w:space="0"/>
              <w:left w:val="single" w:color="auto" w:sz="4" w:space="0"/>
              <w:bottom w:val="single" w:color="auto" w:sz="4" w:space="0"/>
              <w:right w:val="single" w:color="auto" w:sz="4" w:space="0"/>
            </w:tcBorders>
            <w:noWrap/>
            <w:vAlign w:val="center"/>
          </w:tcPr>
          <w:p w14:paraId="4523619D">
            <w:pPr>
              <w:widowControl/>
              <w:spacing w:line="240" w:lineRule="exact"/>
              <w:jc w:val="center"/>
              <w:rPr>
                <w:rFonts w:hint="eastAsia" w:ascii="宋体" w:hAnsi="宋体" w:cs="宋体"/>
                <w:kern w:val="0"/>
                <w:sz w:val="24"/>
              </w:rPr>
            </w:pPr>
            <w:r>
              <w:rPr>
                <w:rFonts w:hint="eastAsia" w:ascii="宋体" w:hAnsi="宋体" w:cs="宋体"/>
                <w:kern w:val="0"/>
                <w:sz w:val="24"/>
              </w:rPr>
              <w:t>投标总报价</w:t>
            </w:r>
          </w:p>
        </w:tc>
        <w:tc>
          <w:tcPr>
            <w:tcW w:w="5387" w:type="dxa"/>
            <w:gridSpan w:val="3"/>
            <w:tcBorders>
              <w:top w:val="single" w:color="auto" w:sz="4" w:space="0"/>
              <w:left w:val="nil"/>
              <w:bottom w:val="single" w:color="auto" w:sz="4" w:space="0"/>
              <w:right w:val="single" w:color="auto" w:sz="4" w:space="0"/>
            </w:tcBorders>
            <w:noWrap/>
            <w:vAlign w:val="center"/>
          </w:tcPr>
          <w:p w14:paraId="79648DD6">
            <w:pPr>
              <w:widowControl/>
              <w:spacing w:line="240" w:lineRule="exact"/>
              <w:jc w:val="left"/>
              <w:rPr>
                <w:rFonts w:hint="eastAsia" w:ascii="宋体" w:hAnsi="宋体" w:cs="宋体"/>
                <w:kern w:val="0"/>
                <w:sz w:val="24"/>
              </w:rPr>
            </w:pPr>
            <w:r>
              <w:rPr>
                <w:rFonts w:hint="eastAsia" w:ascii="宋体" w:hAnsi="宋体" w:cs="宋体"/>
                <w:kern w:val="0"/>
                <w:sz w:val="24"/>
              </w:rPr>
              <w:t>大写：</w:t>
            </w:r>
          </w:p>
        </w:tc>
      </w:tr>
      <w:tr w14:paraId="588A499B">
        <w:tblPrEx>
          <w:tblCellMar>
            <w:top w:w="0" w:type="dxa"/>
            <w:left w:w="108" w:type="dxa"/>
            <w:bottom w:w="0" w:type="dxa"/>
            <w:right w:w="108" w:type="dxa"/>
          </w:tblCellMar>
        </w:tblPrEx>
        <w:trPr>
          <w:gridAfter w:val="2"/>
          <w:wAfter w:w="1220" w:type="dxa"/>
          <w:trHeight w:val="417" w:hRule="atLeast"/>
        </w:trPr>
        <w:tc>
          <w:tcPr>
            <w:tcW w:w="2990" w:type="dxa"/>
            <w:vMerge w:val="continue"/>
            <w:tcBorders>
              <w:top w:val="single" w:color="auto" w:sz="4" w:space="0"/>
              <w:left w:val="single" w:color="auto" w:sz="4" w:space="0"/>
              <w:bottom w:val="single" w:color="auto" w:sz="4" w:space="0"/>
              <w:right w:val="single" w:color="auto" w:sz="4" w:space="0"/>
            </w:tcBorders>
            <w:vAlign w:val="center"/>
          </w:tcPr>
          <w:p w14:paraId="69A65D25">
            <w:pPr>
              <w:widowControl/>
              <w:spacing w:line="240" w:lineRule="exact"/>
              <w:jc w:val="center"/>
              <w:rPr>
                <w:rFonts w:hint="eastAsia" w:ascii="宋体" w:hAnsi="宋体" w:cs="宋体"/>
                <w:kern w:val="0"/>
                <w:sz w:val="24"/>
              </w:rPr>
            </w:pPr>
          </w:p>
        </w:tc>
        <w:tc>
          <w:tcPr>
            <w:tcW w:w="5387" w:type="dxa"/>
            <w:gridSpan w:val="3"/>
            <w:tcBorders>
              <w:top w:val="single" w:color="auto" w:sz="4" w:space="0"/>
              <w:left w:val="nil"/>
              <w:bottom w:val="single" w:color="auto" w:sz="4" w:space="0"/>
              <w:right w:val="single" w:color="auto" w:sz="4" w:space="0"/>
            </w:tcBorders>
            <w:noWrap/>
            <w:vAlign w:val="center"/>
          </w:tcPr>
          <w:p w14:paraId="2E504596">
            <w:pPr>
              <w:widowControl/>
              <w:spacing w:line="240" w:lineRule="exact"/>
              <w:jc w:val="left"/>
              <w:rPr>
                <w:rFonts w:hint="eastAsia" w:ascii="宋体" w:hAnsi="宋体" w:cs="宋体"/>
                <w:kern w:val="0"/>
                <w:sz w:val="24"/>
              </w:rPr>
            </w:pPr>
            <w:r>
              <w:rPr>
                <w:rFonts w:hint="eastAsia" w:ascii="宋体" w:hAnsi="宋体" w:cs="宋体"/>
                <w:kern w:val="0"/>
                <w:sz w:val="24"/>
              </w:rPr>
              <w:t>小写：</w:t>
            </w:r>
          </w:p>
        </w:tc>
      </w:tr>
    </w:tbl>
    <w:p w14:paraId="4C36AF67">
      <w:pPr>
        <w:snapToGrid w:val="0"/>
        <w:spacing w:line="360" w:lineRule="auto"/>
        <w:ind w:firstLine="480" w:firstLineChars="200"/>
        <w:contextualSpacing/>
        <w:jc w:val="left"/>
        <w:rPr>
          <w:rFonts w:hint="eastAsia" w:ascii="宋体" w:hAnsi="宋体" w:cs="宋体"/>
          <w:sz w:val="24"/>
        </w:rPr>
      </w:pPr>
    </w:p>
    <w:p w14:paraId="68F3D211">
      <w:pPr>
        <w:snapToGrid w:val="0"/>
        <w:spacing w:line="360" w:lineRule="auto"/>
        <w:rPr>
          <w:rFonts w:hint="eastAsia" w:ascii="宋体" w:hAnsi="宋体" w:cs="宋体"/>
          <w:sz w:val="24"/>
        </w:rPr>
      </w:pPr>
      <w:r>
        <w:rPr>
          <w:rFonts w:hint="eastAsia" w:ascii="宋体" w:hAnsi="宋体" w:cs="宋体"/>
          <w:sz w:val="24"/>
        </w:rPr>
        <w:t>供应商（盖单位公章）：</w:t>
      </w:r>
      <w:r>
        <w:rPr>
          <w:rFonts w:hint="eastAsia" w:ascii="宋体" w:hAnsi="宋体" w:cs="宋体"/>
          <w:sz w:val="24"/>
          <w:u w:val="single"/>
        </w:rPr>
        <w:t xml:space="preserve">                    </w:t>
      </w:r>
    </w:p>
    <w:p w14:paraId="6CCEB33C">
      <w:pPr>
        <w:kinsoku w:val="0"/>
        <w:topLinePunct/>
        <w:snapToGrid w:val="0"/>
        <w:spacing w:line="360" w:lineRule="auto"/>
        <w:rPr>
          <w:rFonts w:hint="eastAsia" w:ascii="宋体" w:hAnsi="宋体" w:cs="宋体"/>
          <w:sz w:val="24"/>
        </w:rPr>
      </w:pPr>
      <w:r>
        <w:rPr>
          <w:rFonts w:hint="eastAsia" w:ascii="宋体" w:hAnsi="宋体" w:cs="宋体"/>
          <w:sz w:val="24"/>
        </w:rPr>
        <w:t>法定代表人或委托代理人（签字或盖章）：</w:t>
      </w:r>
    </w:p>
    <w:p w14:paraId="50BEF590">
      <w:pPr>
        <w:snapToGrid w:val="0"/>
        <w:spacing w:line="360" w:lineRule="auto"/>
        <w:ind w:firstLine="1200" w:firstLineChars="500"/>
        <w:rPr>
          <w:rFonts w:hint="eastAsia" w:ascii="宋体" w:hAnsi="宋体" w:cs="宋体"/>
          <w:sz w:val="24"/>
        </w:rPr>
      </w:pPr>
      <w:r>
        <w:rPr>
          <w:rFonts w:hint="eastAsia" w:ascii="宋体" w:hAnsi="宋体" w:cs="宋体"/>
          <w:sz w:val="24"/>
        </w:rPr>
        <w:t>年    月    日</w:t>
      </w:r>
    </w:p>
    <w:p w14:paraId="48DF7D63">
      <w:pPr>
        <w:snapToGrid w:val="0"/>
        <w:spacing w:line="360" w:lineRule="auto"/>
        <w:ind w:firstLine="480" w:firstLineChars="200"/>
        <w:contextualSpacing/>
        <w:jc w:val="left"/>
        <w:rPr>
          <w:rFonts w:hint="eastAsia" w:ascii="宋体" w:hAnsi="宋体" w:cs="宋体"/>
          <w:sz w:val="24"/>
        </w:rPr>
      </w:pPr>
    </w:p>
    <w:p w14:paraId="40DA2445">
      <w:pPr>
        <w:pStyle w:val="17"/>
        <w:rPr>
          <w:rFonts w:hint="eastAsia" w:ascii="宋体" w:hAnsi="宋体" w:cs="宋体"/>
        </w:rPr>
      </w:pPr>
    </w:p>
    <w:p w14:paraId="0BAE34B9">
      <w:pPr>
        <w:pStyle w:val="17"/>
        <w:rPr>
          <w:rFonts w:hint="eastAsia" w:ascii="宋体" w:hAnsi="宋体" w:cs="宋体"/>
        </w:rPr>
      </w:pPr>
    </w:p>
    <w:p w14:paraId="352965E3">
      <w:pPr>
        <w:pStyle w:val="17"/>
        <w:rPr>
          <w:rFonts w:hint="eastAsia" w:ascii="宋体" w:hAnsi="宋体" w:cs="宋体"/>
        </w:rPr>
      </w:pPr>
    </w:p>
    <w:p w14:paraId="103696A6">
      <w:pPr>
        <w:pStyle w:val="17"/>
        <w:rPr>
          <w:rFonts w:hint="eastAsia" w:ascii="宋体" w:hAnsi="宋体" w:cs="宋体"/>
        </w:rPr>
      </w:pPr>
    </w:p>
    <w:p w14:paraId="193E2856">
      <w:pPr>
        <w:snapToGrid w:val="0"/>
        <w:spacing w:line="360" w:lineRule="auto"/>
        <w:ind w:firstLine="482" w:firstLineChars="200"/>
        <w:contextualSpacing/>
        <w:jc w:val="left"/>
        <w:rPr>
          <w:rFonts w:hint="eastAsia" w:ascii="宋体" w:hAnsi="宋体" w:cs="宋体"/>
          <w:b/>
          <w:sz w:val="24"/>
        </w:rPr>
      </w:pPr>
      <w:r>
        <w:rPr>
          <w:rFonts w:hint="eastAsia" w:ascii="宋体" w:hAnsi="宋体" w:cs="宋体"/>
          <w:b/>
          <w:sz w:val="24"/>
        </w:rPr>
        <w:t>注：</w:t>
      </w:r>
      <w:r>
        <w:rPr>
          <w:rFonts w:hint="eastAsia" w:ascii="宋体" w:hAnsi="宋体" w:cs="宋体"/>
          <w:b/>
          <w:kern w:val="0"/>
          <w:sz w:val="24"/>
        </w:rPr>
        <w:t>供应商此表为首轮报价，最终报价在磋商现场填写</w:t>
      </w:r>
      <w:r>
        <w:rPr>
          <w:rFonts w:hint="eastAsia" w:ascii="宋体" w:hAnsi="宋体" w:cs="宋体"/>
          <w:sz w:val="24"/>
        </w:rPr>
        <w:t>。</w:t>
      </w:r>
      <w:r>
        <w:rPr>
          <w:rFonts w:hint="eastAsia" w:ascii="宋体" w:hAnsi="宋体" w:cs="宋体"/>
          <w:b/>
          <w:kern w:val="0"/>
          <w:sz w:val="24"/>
        </w:rPr>
        <w:t>响应文件密封提交时只需填写磋商报价总计（首次）的报价。</w:t>
      </w:r>
    </w:p>
    <w:p w14:paraId="009E3068">
      <w:pPr>
        <w:widowControl/>
        <w:jc w:val="left"/>
        <w:rPr>
          <w:rFonts w:hint="eastAsia" w:ascii="宋体" w:hAnsi="宋体" w:cs="宋体"/>
        </w:rPr>
      </w:pPr>
    </w:p>
    <w:p w14:paraId="4FB3ABFE">
      <w:pPr>
        <w:pStyle w:val="17"/>
        <w:rPr>
          <w:rFonts w:hint="eastAsia" w:ascii="宋体" w:hAnsi="宋体" w:cs="宋体"/>
        </w:rPr>
        <w:sectPr>
          <w:footerReference r:id="rId10" w:type="default"/>
          <w:pgSz w:w="11905" w:h="16838"/>
          <w:pgMar w:top="1429" w:right="1429" w:bottom="1429" w:left="1429" w:header="850" w:footer="992" w:gutter="0"/>
          <w:cols w:space="0" w:num="1"/>
          <w:docGrid w:linePitch="286" w:charSpace="0"/>
        </w:sectPr>
      </w:pPr>
      <w:r>
        <w:rPr>
          <w:rFonts w:hint="eastAsia" w:ascii="宋体" w:hAnsi="宋体" w:cs="宋体"/>
        </w:rPr>
        <w:br w:type="page"/>
      </w:r>
    </w:p>
    <w:p w14:paraId="3ADA218A">
      <w:pPr>
        <w:widowControl/>
        <w:spacing w:line="360" w:lineRule="auto"/>
        <w:jc w:val="left"/>
        <w:rPr>
          <w:rFonts w:hint="eastAsia" w:ascii="宋体" w:hAnsi="宋体" w:cs="宋体"/>
          <w:sz w:val="32"/>
          <w:szCs w:val="32"/>
        </w:rPr>
      </w:pPr>
      <w:r>
        <w:rPr>
          <w:rFonts w:hint="eastAsia" w:ascii="宋体" w:hAnsi="宋体" w:cs="宋体"/>
          <w:sz w:val="32"/>
          <w:szCs w:val="32"/>
        </w:rPr>
        <w:t>附件2：</w:t>
      </w:r>
      <w:bookmarkStart w:id="1" w:name="_Toc217446086"/>
    </w:p>
    <w:bookmarkEnd w:id="1"/>
    <w:p w14:paraId="5D459082">
      <w:pPr>
        <w:spacing w:line="360" w:lineRule="auto"/>
        <w:jc w:val="center"/>
        <w:rPr>
          <w:rFonts w:hint="eastAsia" w:ascii="宋体" w:hAnsi="宋体" w:cs="宋体"/>
          <w:b/>
          <w:bCs/>
          <w:sz w:val="32"/>
          <w:szCs w:val="32"/>
        </w:rPr>
      </w:pPr>
      <w:r>
        <w:rPr>
          <w:rFonts w:hint="eastAsia" w:ascii="宋体" w:hAnsi="宋体" w:cs="宋体"/>
          <w:b/>
          <w:bCs/>
          <w:sz w:val="32"/>
          <w:szCs w:val="32"/>
        </w:rPr>
        <w:t>分项报价明细表</w:t>
      </w:r>
    </w:p>
    <w:p w14:paraId="50C5C236">
      <w:pPr>
        <w:spacing w:line="360" w:lineRule="auto"/>
        <w:jc w:val="center"/>
        <w:rPr>
          <w:rFonts w:hint="eastAsia" w:ascii="宋体" w:hAnsi="宋体" w:cs="宋体"/>
          <w:sz w:val="28"/>
          <w:szCs w:val="28"/>
        </w:rPr>
      </w:pPr>
      <w:r>
        <w:rPr>
          <w:rFonts w:hint="eastAsia" w:ascii="宋体" w:hAnsi="宋体" w:cs="宋体"/>
          <w:b/>
          <w:bCs/>
          <w:sz w:val="32"/>
          <w:szCs w:val="32"/>
        </w:rPr>
        <w:t>（格式自拟）</w:t>
      </w:r>
    </w:p>
    <w:p w14:paraId="4DB87C8A">
      <w:pPr>
        <w:snapToGrid w:val="0"/>
        <w:spacing w:line="360" w:lineRule="auto"/>
        <w:outlineLvl w:val="0"/>
        <w:rPr>
          <w:rFonts w:hint="eastAsia" w:ascii="宋体" w:hAnsi="宋体" w:cs="宋体"/>
          <w:sz w:val="24"/>
        </w:rPr>
      </w:pPr>
    </w:p>
    <w:p w14:paraId="398E9BB1">
      <w:pPr>
        <w:snapToGrid w:val="0"/>
        <w:spacing w:line="360" w:lineRule="auto"/>
        <w:rPr>
          <w:rFonts w:hint="eastAsia" w:ascii="宋体" w:hAnsi="宋体" w:cs="宋体"/>
          <w:sz w:val="24"/>
        </w:rPr>
      </w:pPr>
      <w:r>
        <w:rPr>
          <w:rFonts w:hint="eastAsia" w:ascii="宋体" w:hAnsi="宋体" w:cs="宋体"/>
          <w:sz w:val="24"/>
        </w:rPr>
        <w:t>供应商（盖单位公章）：</w:t>
      </w:r>
    </w:p>
    <w:p w14:paraId="2EF79BCF">
      <w:pPr>
        <w:kinsoku w:val="0"/>
        <w:topLinePunct/>
        <w:snapToGrid w:val="0"/>
        <w:spacing w:line="360" w:lineRule="auto"/>
        <w:rPr>
          <w:rFonts w:hint="eastAsia" w:ascii="宋体" w:hAnsi="宋体" w:cs="宋体"/>
          <w:sz w:val="24"/>
        </w:rPr>
      </w:pPr>
      <w:r>
        <w:rPr>
          <w:rFonts w:hint="eastAsia" w:ascii="宋体" w:hAnsi="宋体" w:cs="宋体"/>
          <w:sz w:val="24"/>
        </w:rPr>
        <w:t>法定代表人或委托代理人（亲笔签名）：</w:t>
      </w:r>
    </w:p>
    <w:p w14:paraId="6C212B1D">
      <w:pPr>
        <w:snapToGrid w:val="0"/>
        <w:spacing w:line="360" w:lineRule="auto"/>
        <w:ind w:firstLine="1200" w:firstLineChars="500"/>
        <w:rPr>
          <w:rFonts w:hint="eastAsia" w:ascii="宋体" w:hAnsi="宋体" w:cs="宋体"/>
          <w:sz w:val="24"/>
        </w:rPr>
      </w:pPr>
      <w:r>
        <w:rPr>
          <w:rFonts w:hint="eastAsia" w:ascii="宋体" w:hAnsi="宋体" w:cs="宋体"/>
          <w:sz w:val="24"/>
        </w:rPr>
        <w:t>年    月    日</w:t>
      </w:r>
    </w:p>
    <w:p w14:paraId="4F7FEC59">
      <w:pPr>
        <w:snapToGrid w:val="0"/>
        <w:spacing w:line="360" w:lineRule="auto"/>
        <w:outlineLvl w:val="0"/>
        <w:rPr>
          <w:rFonts w:hint="eastAsia" w:ascii="宋体" w:hAnsi="宋体" w:cs="宋体"/>
          <w:sz w:val="24"/>
        </w:rPr>
      </w:pPr>
    </w:p>
    <w:p w14:paraId="799AF310">
      <w:pPr>
        <w:snapToGrid w:val="0"/>
        <w:spacing w:line="360" w:lineRule="auto"/>
        <w:outlineLvl w:val="0"/>
        <w:rPr>
          <w:rFonts w:hint="eastAsia" w:ascii="宋体" w:hAnsi="宋体" w:cs="宋体"/>
          <w:sz w:val="24"/>
        </w:rPr>
      </w:pPr>
    </w:p>
    <w:p w14:paraId="486B99C2">
      <w:pPr>
        <w:adjustRightInd w:val="0"/>
        <w:snapToGrid w:val="0"/>
        <w:spacing w:line="360" w:lineRule="auto"/>
        <w:ind w:firstLine="482" w:firstLineChars="200"/>
        <w:jc w:val="left"/>
        <w:rPr>
          <w:rFonts w:hint="eastAsia" w:ascii="宋体" w:hAnsi="宋体" w:cs="宋体"/>
          <w:b/>
          <w:bCs/>
          <w:sz w:val="24"/>
        </w:rPr>
      </w:pPr>
      <w:r>
        <w:rPr>
          <w:rFonts w:hint="eastAsia" w:ascii="宋体" w:hAnsi="宋体" w:cs="宋体"/>
          <w:b/>
          <w:sz w:val="24"/>
        </w:rPr>
        <w:t>注：供应商必须详细报出本项目投标总报价各个组成部分的报价。且</w:t>
      </w:r>
      <w:r>
        <w:rPr>
          <w:rFonts w:hint="eastAsia" w:ascii="宋体" w:hAnsi="宋体" w:cs="宋体"/>
          <w:b/>
          <w:bCs/>
          <w:sz w:val="24"/>
        </w:rPr>
        <w:t>本表各分项报价合计应当与</w:t>
      </w:r>
      <w:r>
        <w:rPr>
          <w:rFonts w:hint="eastAsia" w:ascii="宋体" w:hAnsi="宋体" w:cs="宋体"/>
          <w:b/>
          <w:kern w:val="0"/>
          <w:sz w:val="24"/>
          <w:lang w:val="zh-CN"/>
        </w:rPr>
        <w:t>磋商报价总表</w:t>
      </w:r>
      <w:r>
        <w:rPr>
          <w:rFonts w:hint="eastAsia" w:ascii="宋体" w:hAnsi="宋体" w:cs="宋体"/>
          <w:b/>
          <w:bCs/>
          <w:sz w:val="24"/>
        </w:rPr>
        <w:t>报价合计相等。</w:t>
      </w:r>
    </w:p>
    <w:p w14:paraId="62F68582">
      <w:pPr>
        <w:rPr>
          <w:rFonts w:hint="eastAsia" w:ascii="宋体" w:hAnsi="宋体" w:cs="宋体"/>
          <w:b/>
          <w:bCs/>
          <w:sz w:val="24"/>
        </w:rPr>
      </w:pPr>
    </w:p>
    <w:sectPr>
      <w:pgSz w:w="11905" w:h="16838"/>
      <w:pgMar w:top="1429" w:right="1429" w:bottom="1429" w:left="1429" w:header="850" w:footer="992"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F117E">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369"/>
                          </w:sdtPr>
                          <w:sdtContent>
                            <w:p w14:paraId="021C7BAC">
                              <w:pPr>
                                <w:pStyle w:val="12"/>
                                <w:jc w:val="center"/>
                              </w:pPr>
                              <w:r>
                                <w:fldChar w:fldCharType="begin"/>
                              </w:r>
                              <w:r>
                                <w:instrText xml:space="preserve">PAGE   \* MERGEFORMAT</w:instrText>
                              </w:r>
                              <w:r>
                                <w:fldChar w:fldCharType="separate"/>
                              </w:r>
                              <w:r>
                                <w:rPr>
                                  <w:lang w:val="zh-CN"/>
                                </w:rPr>
                                <w:t>3</w:t>
                              </w:r>
                              <w:r>
                                <w:rPr>
                                  <w:lang w:val="zh-CN"/>
                                </w:rPr>
                                <w:fldChar w:fldCharType="end"/>
                              </w:r>
                            </w:p>
                          </w:sdtContent>
                        </w:sdt>
                        <w:p w14:paraId="19C116AE">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78369"/>
                    </w:sdtPr>
                    <w:sdtContent>
                      <w:p w14:paraId="021C7BAC">
                        <w:pPr>
                          <w:pStyle w:val="12"/>
                          <w:jc w:val="center"/>
                        </w:pPr>
                        <w:r>
                          <w:fldChar w:fldCharType="begin"/>
                        </w:r>
                        <w:r>
                          <w:instrText xml:space="preserve">PAGE   \* MERGEFORMAT</w:instrText>
                        </w:r>
                        <w:r>
                          <w:fldChar w:fldCharType="separate"/>
                        </w:r>
                        <w:r>
                          <w:rPr>
                            <w:lang w:val="zh-CN"/>
                          </w:rPr>
                          <w:t>3</w:t>
                        </w:r>
                        <w:r>
                          <w:rPr>
                            <w:lang w:val="zh-CN"/>
                          </w:rPr>
                          <w:fldChar w:fldCharType="end"/>
                        </w:r>
                      </w:p>
                    </w:sdtContent>
                  </w:sdt>
                  <w:p w14:paraId="19C116AE">
                    <w:pPr>
                      <w:pStyle w:val="6"/>
                    </w:pPr>
                  </w:p>
                </w:txbxContent>
              </v:textbox>
            </v:shape>
          </w:pict>
        </mc:Fallback>
      </mc:AlternateContent>
    </w:r>
  </w:p>
  <w:p w14:paraId="101EDDF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B949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48B9">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B903">
    <w:pPr>
      <w:pStyle w:val="60"/>
      <w:jc w:val="center"/>
      <w:rPr>
        <w:b/>
        <w:i/>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87DB3">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C287DB3">
                    <w:pPr>
                      <w:pStyle w:val="12"/>
                    </w:pPr>
                    <w:r>
                      <w:fldChar w:fldCharType="begin"/>
                    </w:r>
                    <w:r>
                      <w:instrText xml:space="preserve"> PAGE  \* MERGEFORMAT </w:instrText>
                    </w:r>
                    <w:r>
                      <w:fldChar w:fldCharType="separate"/>
                    </w:r>
                    <w:r>
                      <w:t>20</w:t>
                    </w:r>
                    <w:r>
                      <w:fldChar w:fldCharType="end"/>
                    </w:r>
                  </w:p>
                </w:txbxContent>
              </v:textbox>
            </v:shape>
          </w:pict>
        </mc:Fallback>
      </mc:AlternateContent>
    </w:r>
    <w:r>
      <w:rPr>
        <w:b/>
        <w:i/>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25720">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041"/>
                          </w:sdtPr>
                          <w:sdtContent>
                            <w:p w14:paraId="75657001">
                              <w:pPr>
                                <w:pStyle w:val="12"/>
                                <w:jc w:val="center"/>
                              </w:pPr>
                              <w:r>
                                <w:fldChar w:fldCharType="begin"/>
                              </w:r>
                              <w:r>
                                <w:instrText xml:space="preserve">PAGE   \* MERGEFORMAT</w:instrText>
                              </w:r>
                              <w:r>
                                <w:fldChar w:fldCharType="separate"/>
                              </w:r>
                              <w:r>
                                <w:rPr>
                                  <w:lang w:val="zh-CN"/>
                                </w:rPr>
                                <w:t>66</w:t>
                              </w:r>
                              <w:r>
                                <w:rPr>
                                  <w:lang w:val="zh-CN"/>
                                </w:rPr>
                                <w:fldChar w:fldCharType="end"/>
                              </w:r>
                            </w:p>
                          </w:sdtContent>
                        </w:sdt>
                        <w:p w14:paraId="4F86D1B2">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76041"/>
                    </w:sdtPr>
                    <w:sdtContent>
                      <w:p w14:paraId="75657001">
                        <w:pPr>
                          <w:pStyle w:val="12"/>
                          <w:jc w:val="center"/>
                        </w:pPr>
                        <w:r>
                          <w:fldChar w:fldCharType="begin"/>
                        </w:r>
                        <w:r>
                          <w:instrText xml:space="preserve">PAGE   \* MERGEFORMAT</w:instrText>
                        </w:r>
                        <w:r>
                          <w:fldChar w:fldCharType="separate"/>
                        </w:r>
                        <w:r>
                          <w:rPr>
                            <w:lang w:val="zh-CN"/>
                          </w:rPr>
                          <w:t>66</w:t>
                        </w:r>
                        <w:r>
                          <w:rPr>
                            <w:lang w:val="zh-CN"/>
                          </w:rPr>
                          <w:fldChar w:fldCharType="end"/>
                        </w:r>
                      </w:p>
                    </w:sdtContent>
                  </w:sdt>
                  <w:p w14:paraId="4F86D1B2">
                    <w:pPr>
                      <w:pStyle w:val="6"/>
                    </w:pPr>
                  </w:p>
                </w:txbxContent>
              </v:textbox>
            </v:shape>
          </w:pict>
        </mc:Fallback>
      </mc:AlternateContent>
    </w:r>
  </w:p>
  <w:p w14:paraId="5735100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84C6E">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3CC6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F3CC4">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0EA4D4"/>
    <w:multiLevelType w:val="singleLevel"/>
    <w:tmpl w:val="160EA4D4"/>
    <w:lvl w:ilvl="0" w:tentative="0">
      <w:start w:val="8"/>
      <w:numFmt w:val="chineseCounting"/>
      <w:suff w:val="nothing"/>
      <w:lvlText w:val="%1、"/>
      <w:lvlJc w:val="left"/>
      <w:rPr>
        <w:rFonts w:hint="eastAsia"/>
      </w:rPr>
    </w:lvl>
  </w:abstractNum>
  <w:abstractNum w:abstractNumId="1">
    <w:nsid w:val="2472CD72"/>
    <w:multiLevelType w:val="singleLevel"/>
    <w:tmpl w:val="2472CD72"/>
    <w:lvl w:ilvl="0" w:tentative="0">
      <w:start w:val="1"/>
      <w:numFmt w:val="decimal"/>
      <w:lvlText w:val="%1."/>
      <w:lvlJc w:val="left"/>
      <w:pPr>
        <w:ind w:left="851" w:hanging="425"/>
      </w:pPr>
      <w:rPr>
        <w:rFonts w:hint="default" w:cs="Times New Roman"/>
      </w:rPr>
    </w:lvl>
  </w:abstractNum>
  <w:abstractNum w:abstractNumId="2">
    <w:nsid w:val="7C30D000"/>
    <w:multiLevelType w:val="singleLevel"/>
    <w:tmpl w:val="7C30D000"/>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钱舒佳">
    <w15:presenceInfo w15:providerId="WPS Office" w15:userId="4041639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xNTFmN2NlZTk0MGQ1OTkxM2M1ZDNhNDkyN2Q1NDcifQ=="/>
    <w:docVar w:name="KSO_WPS_MARK_KEY" w:val="b0289b24-6483-461c-b282-0aac915c9090"/>
  </w:docVars>
  <w:rsids>
    <w:rsidRoot w:val="004E6A01"/>
    <w:rsid w:val="000013E2"/>
    <w:rsid w:val="00004814"/>
    <w:rsid w:val="00004F3A"/>
    <w:rsid w:val="000059C0"/>
    <w:rsid w:val="00007897"/>
    <w:rsid w:val="0002042E"/>
    <w:rsid w:val="00021F9F"/>
    <w:rsid w:val="000251AD"/>
    <w:rsid w:val="000251B3"/>
    <w:rsid w:val="000275F4"/>
    <w:rsid w:val="00033299"/>
    <w:rsid w:val="00035CD1"/>
    <w:rsid w:val="000362E9"/>
    <w:rsid w:val="00037EF2"/>
    <w:rsid w:val="000451EC"/>
    <w:rsid w:val="000451F8"/>
    <w:rsid w:val="0004657F"/>
    <w:rsid w:val="000520D9"/>
    <w:rsid w:val="00057671"/>
    <w:rsid w:val="000713C9"/>
    <w:rsid w:val="00072281"/>
    <w:rsid w:val="00072F28"/>
    <w:rsid w:val="00072F70"/>
    <w:rsid w:val="00076EC5"/>
    <w:rsid w:val="00076F8C"/>
    <w:rsid w:val="000802EA"/>
    <w:rsid w:val="0008732D"/>
    <w:rsid w:val="00091AD9"/>
    <w:rsid w:val="00095D50"/>
    <w:rsid w:val="000A423C"/>
    <w:rsid w:val="000B3772"/>
    <w:rsid w:val="000F0B73"/>
    <w:rsid w:val="000F3FC3"/>
    <w:rsid w:val="00102152"/>
    <w:rsid w:val="00105CE8"/>
    <w:rsid w:val="001116CB"/>
    <w:rsid w:val="00115F3B"/>
    <w:rsid w:val="00122A27"/>
    <w:rsid w:val="001246E8"/>
    <w:rsid w:val="00126723"/>
    <w:rsid w:val="00126FEF"/>
    <w:rsid w:val="00130D3A"/>
    <w:rsid w:val="00131C02"/>
    <w:rsid w:val="00137126"/>
    <w:rsid w:val="001376C9"/>
    <w:rsid w:val="001414F9"/>
    <w:rsid w:val="00146354"/>
    <w:rsid w:val="00147540"/>
    <w:rsid w:val="00151467"/>
    <w:rsid w:val="00157B7C"/>
    <w:rsid w:val="00170721"/>
    <w:rsid w:val="00173FAB"/>
    <w:rsid w:val="00177979"/>
    <w:rsid w:val="00187179"/>
    <w:rsid w:val="00193017"/>
    <w:rsid w:val="0019491F"/>
    <w:rsid w:val="001A6574"/>
    <w:rsid w:val="001A6D4B"/>
    <w:rsid w:val="001B5DC9"/>
    <w:rsid w:val="001C13AE"/>
    <w:rsid w:val="001C1DCE"/>
    <w:rsid w:val="001C3262"/>
    <w:rsid w:val="001C51EF"/>
    <w:rsid w:val="001C77B5"/>
    <w:rsid w:val="001D64B1"/>
    <w:rsid w:val="001D741F"/>
    <w:rsid w:val="001E071B"/>
    <w:rsid w:val="001E2B68"/>
    <w:rsid w:val="001E6DD3"/>
    <w:rsid w:val="001F036F"/>
    <w:rsid w:val="001F6F5C"/>
    <w:rsid w:val="00200979"/>
    <w:rsid w:val="00201938"/>
    <w:rsid w:val="002063F7"/>
    <w:rsid w:val="00213A61"/>
    <w:rsid w:val="00221D3C"/>
    <w:rsid w:val="00223E7F"/>
    <w:rsid w:val="00226261"/>
    <w:rsid w:val="00230635"/>
    <w:rsid w:val="002401BF"/>
    <w:rsid w:val="00244B5D"/>
    <w:rsid w:val="0024628A"/>
    <w:rsid w:val="00246366"/>
    <w:rsid w:val="00246E02"/>
    <w:rsid w:val="0025515D"/>
    <w:rsid w:val="002567A9"/>
    <w:rsid w:val="00257115"/>
    <w:rsid w:val="002703F4"/>
    <w:rsid w:val="00283D52"/>
    <w:rsid w:val="00296C3A"/>
    <w:rsid w:val="00297093"/>
    <w:rsid w:val="002A1591"/>
    <w:rsid w:val="002A1AE3"/>
    <w:rsid w:val="002A2058"/>
    <w:rsid w:val="002B339B"/>
    <w:rsid w:val="002C31BD"/>
    <w:rsid w:val="002C51C5"/>
    <w:rsid w:val="002C72B9"/>
    <w:rsid w:val="002D1B82"/>
    <w:rsid w:val="002D351F"/>
    <w:rsid w:val="002D3954"/>
    <w:rsid w:val="002D7740"/>
    <w:rsid w:val="002F07A0"/>
    <w:rsid w:val="002F492E"/>
    <w:rsid w:val="002F6837"/>
    <w:rsid w:val="00313736"/>
    <w:rsid w:val="00323EA0"/>
    <w:rsid w:val="0033190C"/>
    <w:rsid w:val="0033279E"/>
    <w:rsid w:val="00333502"/>
    <w:rsid w:val="0034337F"/>
    <w:rsid w:val="003437AF"/>
    <w:rsid w:val="00343952"/>
    <w:rsid w:val="003449B5"/>
    <w:rsid w:val="00345F37"/>
    <w:rsid w:val="003552F3"/>
    <w:rsid w:val="00361633"/>
    <w:rsid w:val="00365957"/>
    <w:rsid w:val="00367C8A"/>
    <w:rsid w:val="0037423D"/>
    <w:rsid w:val="00374855"/>
    <w:rsid w:val="003779F2"/>
    <w:rsid w:val="00383624"/>
    <w:rsid w:val="00384813"/>
    <w:rsid w:val="00385790"/>
    <w:rsid w:val="003865A4"/>
    <w:rsid w:val="003869DB"/>
    <w:rsid w:val="00386E22"/>
    <w:rsid w:val="00393094"/>
    <w:rsid w:val="003947AA"/>
    <w:rsid w:val="00396B48"/>
    <w:rsid w:val="003A0035"/>
    <w:rsid w:val="003A7D38"/>
    <w:rsid w:val="003B2F06"/>
    <w:rsid w:val="003B5AA3"/>
    <w:rsid w:val="003B7FBB"/>
    <w:rsid w:val="003C2A41"/>
    <w:rsid w:val="003C6BD4"/>
    <w:rsid w:val="003D2A3D"/>
    <w:rsid w:val="003E170B"/>
    <w:rsid w:val="003E1F92"/>
    <w:rsid w:val="003E46C9"/>
    <w:rsid w:val="003E5033"/>
    <w:rsid w:val="003E5F8F"/>
    <w:rsid w:val="003E727E"/>
    <w:rsid w:val="003F41E2"/>
    <w:rsid w:val="003F4952"/>
    <w:rsid w:val="003F4EE6"/>
    <w:rsid w:val="004055DC"/>
    <w:rsid w:val="00405819"/>
    <w:rsid w:val="0041349D"/>
    <w:rsid w:val="004212D6"/>
    <w:rsid w:val="00421A34"/>
    <w:rsid w:val="00433757"/>
    <w:rsid w:val="00441C87"/>
    <w:rsid w:val="00443D65"/>
    <w:rsid w:val="004444F9"/>
    <w:rsid w:val="0044468D"/>
    <w:rsid w:val="00455FE9"/>
    <w:rsid w:val="004572BC"/>
    <w:rsid w:val="004633D9"/>
    <w:rsid w:val="00472C32"/>
    <w:rsid w:val="0047530F"/>
    <w:rsid w:val="004822C9"/>
    <w:rsid w:val="00490034"/>
    <w:rsid w:val="00490C60"/>
    <w:rsid w:val="00493EC7"/>
    <w:rsid w:val="00495630"/>
    <w:rsid w:val="004A2FCB"/>
    <w:rsid w:val="004A30E5"/>
    <w:rsid w:val="004A4849"/>
    <w:rsid w:val="004A640F"/>
    <w:rsid w:val="004B2F8E"/>
    <w:rsid w:val="004B64BB"/>
    <w:rsid w:val="004C082D"/>
    <w:rsid w:val="004D3837"/>
    <w:rsid w:val="004D3D61"/>
    <w:rsid w:val="004D65F2"/>
    <w:rsid w:val="004D7F0F"/>
    <w:rsid w:val="004E6A01"/>
    <w:rsid w:val="004E736C"/>
    <w:rsid w:val="004F3D25"/>
    <w:rsid w:val="004F7946"/>
    <w:rsid w:val="00505E24"/>
    <w:rsid w:val="00506000"/>
    <w:rsid w:val="00507573"/>
    <w:rsid w:val="005100C6"/>
    <w:rsid w:val="00510BE0"/>
    <w:rsid w:val="00517343"/>
    <w:rsid w:val="005305DD"/>
    <w:rsid w:val="00533E3C"/>
    <w:rsid w:val="00534EC7"/>
    <w:rsid w:val="00535003"/>
    <w:rsid w:val="00537C64"/>
    <w:rsid w:val="00542063"/>
    <w:rsid w:val="005515FF"/>
    <w:rsid w:val="00561692"/>
    <w:rsid w:val="005703CF"/>
    <w:rsid w:val="00572A6D"/>
    <w:rsid w:val="00577732"/>
    <w:rsid w:val="00584CEE"/>
    <w:rsid w:val="0059014C"/>
    <w:rsid w:val="0059209C"/>
    <w:rsid w:val="00593A5D"/>
    <w:rsid w:val="00594458"/>
    <w:rsid w:val="00597576"/>
    <w:rsid w:val="00597599"/>
    <w:rsid w:val="005A0369"/>
    <w:rsid w:val="005A2122"/>
    <w:rsid w:val="005A4338"/>
    <w:rsid w:val="005B5238"/>
    <w:rsid w:val="005B6827"/>
    <w:rsid w:val="005C22D9"/>
    <w:rsid w:val="005C63ED"/>
    <w:rsid w:val="005C6748"/>
    <w:rsid w:val="005D0729"/>
    <w:rsid w:val="005E33DD"/>
    <w:rsid w:val="005E3520"/>
    <w:rsid w:val="005E6254"/>
    <w:rsid w:val="005F1FB7"/>
    <w:rsid w:val="00601B2E"/>
    <w:rsid w:val="006038D8"/>
    <w:rsid w:val="00607020"/>
    <w:rsid w:val="006115C0"/>
    <w:rsid w:val="00611FAF"/>
    <w:rsid w:val="006146AC"/>
    <w:rsid w:val="00622AEA"/>
    <w:rsid w:val="00623DE8"/>
    <w:rsid w:val="006259E2"/>
    <w:rsid w:val="00625D1A"/>
    <w:rsid w:val="00630B3B"/>
    <w:rsid w:val="00635218"/>
    <w:rsid w:val="0065010D"/>
    <w:rsid w:val="00654885"/>
    <w:rsid w:val="00655BB0"/>
    <w:rsid w:val="0066177D"/>
    <w:rsid w:val="0066520D"/>
    <w:rsid w:val="006662CB"/>
    <w:rsid w:val="006671E8"/>
    <w:rsid w:val="00670A13"/>
    <w:rsid w:val="00672395"/>
    <w:rsid w:val="00673093"/>
    <w:rsid w:val="00680C17"/>
    <w:rsid w:val="00697C61"/>
    <w:rsid w:val="006B03C7"/>
    <w:rsid w:val="006B216E"/>
    <w:rsid w:val="006B2FFF"/>
    <w:rsid w:val="006B3A9D"/>
    <w:rsid w:val="006B7F8E"/>
    <w:rsid w:val="006C1F5B"/>
    <w:rsid w:val="006C63F3"/>
    <w:rsid w:val="006D3752"/>
    <w:rsid w:val="006D3B9E"/>
    <w:rsid w:val="006E66D4"/>
    <w:rsid w:val="006E6F24"/>
    <w:rsid w:val="006F027B"/>
    <w:rsid w:val="006F5025"/>
    <w:rsid w:val="006F5117"/>
    <w:rsid w:val="006F7925"/>
    <w:rsid w:val="00700303"/>
    <w:rsid w:val="00704C6C"/>
    <w:rsid w:val="00712B7E"/>
    <w:rsid w:val="00715ECD"/>
    <w:rsid w:val="00725D4E"/>
    <w:rsid w:val="00743BD7"/>
    <w:rsid w:val="00752968"/>
    <w:rsid w:val="00754A9D"/>
    <w:rsid w:val="00757F1A"/>
    <w:rsid w:val="00760578"/>
    <w:rsid w:val="00760F2B"/>
    <w:rsid w:val="00770D84"/>
    <w:rsid w:val="00774376"/>
    <w:rsid w:val="007760B2"/>
    <w:rsid w:val="00781DCA"/>
    <w:rsid w:val="007848A4"/>
    <w:rsid w:val="00785177"/>
    <w:rsid w:val="0079474B"/>
    <w:rsid w:val="0079517C"/>
    <w:rsid w:val="007978A6"/>
    <w:rsid w:val="007A5F0B"/>
    <w:rsid w:val="007B0918"/>
    <w:rsid w:val="007B4BEF"/>
    <w:rsid w:val="007B7AA0"/>
    <w:rsid w:val="007C197C"/>
    <w:rsid w:val="007D2636"/>
    <w:rsid w:val="007D47B9"/>
    <w:rsid w:val="007E51A5"/>
    <w:rsid w:val="007E557B"/>
    <w:rsid w:val="007F0A16"/>
    <w:rsid w:val="007F1EAA"/>
    <w:rsid w:val="007F406D"/>
    <w:rsid w:val="00801979"/>
    <w:rsid w:val="00803B60"/>
    <w:rsid w:val="00814D72"/>
    <w:rsid w:val="008165D1"/>
    <w:rsid w:val="00816E94"/>
    <w:rsid w:val="008228A1"/>
    <w:rsid w:val="00823A9F"/>
    <w:rsid w:val="00830B08"/>
    <w:rsid w:val="00835C0F"/>
    <w:rsid w:val="00866367"/>
    <w:rsid w:val="00871F07"/>
    <w:rsid w:val="00874B88"/>
    <w:rsid w:val="008820E5"/>
    <w:rsid w:val="00893A16"/>
    <w:rsid w:val="00895014"/>
    <w:rsid w:val="00895895"/>
    <w:rsid w:val="008A28B4"/>
    <w:rsid w:val="008B6F6D"/>
    <w:rsid w:val="008B7057"/>
    <w:rsid w:val="008B76B7"/>
    <w:rsid w:val="008C2935"/>
    <w:rsid w:val="008C5CAE"/>
    <w:rsid w:val="008C7382"/>
    <w:rsid w:val="008D3923"/>
    <w:rsid w:val="008D6748"/>
    <w:rsid w:val="008E296E"/>
    <w:rsid w:val="008E3B4C"/>
    <w:rsid w:val="008E5500"/>
    <w:rsid w:val="00904D70"/>
    <w:rsid w:val="00904FB9"/>
    <w:rsid w:val="00906D53"/>
    <w:rsid w:val="009110EA"/>
    <w:rsid w:val="00916A6F"/>
    <w:rsid w:val="00917395"/>
    <w:rsid w:val="00925636"/>
    <w:rsid w:val="00926712"/>
    <w:rsid w:val="0093020C"/>
    <w:rsid w:val="009372F4"/>
    <w:rsid w:val="009433C5"/>
    <w:rsid w:val="00943467"/>
    <w:rsid w:val="00945306"/>
    <w:rsid w:val="00945F8C"/>
    <w:rsid w:val="00947A9E"/>
    <w:rsid w:val="0095059F"/>
    <w:rsid w:val="00950C1D"/>
    <w:rsid w:val="009546A2"/>
    <w:rsid w:val="00954ECC"/>
    <w:rsid w:val="00971B84"/>
    <w:rsid w:val="00971FCC"/>
    <w:rsid w:val="0097200D"/>
    <w:rsid w:val="00974030"/>
    <w:rsid w:val="00977DD7"/>
    <w:rsid w:val="00977E31"/>
    <w:rsid w:val="00982B5D"/>
    <w:rsid w:val="00986643"/>
    <w:rsid w:val="009944D0"/>
    <w:rsid w:val="00994FFE"/>
    <w:rsid w:val="009A0C65"/>
    <w:rsid w:val="009A0F2C"/>
    <w:rsid w:val="009A3861"/>
    <w:rsid w:val="009A53C2"/>
    <w:rsid w:val="009A65F7"/>
    <w:rsid w:val="009B37F3"/>
    <w:rsid w:val="009B4675"/>
    <w:rsid w:val="009B786A"/>
    <w:rsid w:val="009B78C8"/>
    <w:rsid w:val="009D00D1"/>
    <w:rsid w:val="009D069A"/>
    <w:rsid w:val="009D7E74"/>
    <w:rsid w:val="009E0E99"/>
    <w:rsid w:val="009E7F55"/>
    <w:rsid w:val="009F1CF1"/>
    <w:rsid w:val="009F4864"/>
    <w:rsid w:val="009F5583"/>
    <w:rsid w:val="00A05EA2"/>
    <w:rsid w:val="00A1181B"/>
    <w:rsid w:val="00A12828"/>
    <w:rsid w:val="00A174E3"/>
    <w:rsid w:val="00A20419"/>
    <w:rsid w:val="00A33D18"/>
    <w:rsid w:val="00A34093"/>
    <w:rsid w:val="00A34D88"/>
    <w:rsid w:val="00A3744C"/>
    <w:rsid w:val="00A40B79"/>
    <w:rsid w:val="00A41E6A"/>
    <w:rsid w:val="00A4310C"/>
    <w:rsid w:val="00A445ED"/>
    <w:rsid w:val="00A51484"/>
    <w:rsid w:val="00A534AC"/>
    <w:rsid w:val="00A53576"/>
    <w:rsid w:val="00A56DDD"/>
    <w:rsid w:val="00A6282B"/>
    <w:rsid w:val="00A6484D"/>
    <w:rsid w:val="00A76287"/>
    <w:rsid w:val="00A772A9"/>
    <w:rsid w:val="00A805B7"/>
    <w:rsid w:val="00A92BAC"/>
    <w:rsid w:val="00AA13C7"/>
    <w:rsid w:val="00AA6F7C"/>
    <w:rsid w:val="00AA701F"/>
    <w:rsid w:val="00AB3DFB"/>
    <w:rsid w:val="00AB61E5"/>
    <w:rsid w:val="00AB6A73"/>
    <w:rsid w:val="00AB6BBC"/>
    <w:rsid w:val="00AB7845"/>
    <w:rsid w:val="00AC0E0A"/>
    <w:rsid w:val="00AD1FD6"/>
    <w:rsid w:val="00AD2B89"/>
    <w:rsid w:val="00AE0EFC"/>
    <w:rsid w:val="00AE5EA5"/>
    <w:rsid w:val="00AE775C"/>
    <w:rsid w:val="00AF48D5"/>
    <w:rsid w:val="00AF5426"/>
    <w:rsid w:val="00AF6E03"/>
    <w:rsid w:val="00B024FF"/>
    <w:rsid w:val="00B02FD2"/>
    <w:rsid w:val="00B0416E"/>
    <w:rsid w:val="00B1021A"/>
    <w:rsid w:val="00B1368A"/>
    <w:rsid w:val="00B155C1"/>
    <w:rsid w:val="00B17683"/>
    <w:rsid w:val="00B2479A"/>
    <w:rsid w:val="00B30328"/>
    <w:rsid w:val="00B31B08"/>
    <w:rsid w:val="00B41417"/>
    <w:rsid w:val="00B44E67"/>
    <w:rsid w:val="00B452BF"/>
    <w:rsid w:val="00B46525"/>
    <w:rsid w:val="00B4700B"/>
    <w:rsid w:val="00B47DB3"/>
    <w:rsid w:val="00B51278"/>
    <w:rsid w:val="00B55E84"/>
    <w:rsid w:val="00B56CC6"/>
    <w:rsid w:val="00B56F94"/>
    <w:rsid w:val="00B57DAA"/>
    <w:rsid w:val="00B62DC7"/>
    <w:rsid w:val="00B72631"/>
    <w:rsid w:val="00B744D8"/>
    <w:rsid w:val="00B746AF"/>
    <w:rsid w:val="00B747BD"/>
    <w:rsid w:val="00B758C6"/>
    <w:rsid w:val="00B80075"/>
    <w:rsid w:val="00B803B3"/>
    <w:rsid w:val="00B8078C"/>
    <w:rsid w:val="00B81E60"/>
    <w:rsid w:val="00B8659A"/>
    <w:rsid w:val="00B86772"/>
    <w:rsid w:val="00B930A1"/>
    <w:rsid w:val="00BA34DB"/>
    <w:rsid w:val="00BA3E08"/>
    <w:rsid w:val="00BB4DE2"/>
    <w:rsid w:val="00BB7038"/>
    <w:rsid w:val="00BC6105"/>
    <w:rsid w:val="00BC7737"/>
    <w:rsid w:val="00BE1002"/>
    <w:rsid w:val="00BE6DC9"/>
    <w:rsid w:val="00BF1195"/>
    <w:rsid w:val="00C05693"/>
    <w:rsid w:val="00C0573A"/>
    <w:rsid w:val="00C2034D"/>
    <w:rsid w:val="00C21D7D"/>
    <w:rsid w:val="00C228EB"/>
    <w:rsid w:val="00C22E17"/>
    <w:rsid w:val="00C2363A"/>
    <w:rsid w:val="00C2779B"/>
    <w:rsid w:val="00C312B4"/>
    <w:rsid w:val="00C34A9E"/>
    <w:rsid w:val="00C50309"/>
    <w:rsid w:val="00C514AB"/>
    <w:rsid w:val="00C55E09"/>
    <w:rsid w:val="00C56D1C"/>
    <w:rsid w:val="00C61138"/>
    <w:rsid w:val="00C625C7"/>
    <w:rsid w:val="00C63A54"/>
    <w:rsid w:val="00C726A8"/>
    <w:rsid w:val="00C758CA"/>
    <w:rsid w:val="00C77821"/>
    <w:rsid w:val="00C84927"/>
    <w:rsid w:val="00CA06E1"/>
    <w:rsid w:val="00CA22BA"/>
    <w:rsid w:val="00CA5FD7"/>
    <w:rsid w:val="00CB03A7"/>
    <w:rsid w:val="00CB5662"/>
    <w:rsid w:val="00CB6249"/>
    <w:rsid w:val="00CB70CC"/>
    <w:rsid w:val="00CB781E"/>
    <w:rsid w:val="00CD0C84"/>
    <w:rsid w:val="00CD47DF"/>
    <w:rsid w:val="00CE5FF7"/>
    <w:rsid w:val="00CE6246"/>
    <w:rsid w:val="00CE664F"/>
    <w:rsid w:val="00CE7020"/>
    <w:rsid w:val="00CF1470"/>
    <w:rsid w:val="00CF166F"/>
    <w:rsid w:val="00CF1C80"/>
    <w:rsid w:val="00CF4A51"/>
    <w:rsid w:val="00D10900"/>
    <w:rsid w:val="00D11F5E"/>
    <w:rsid w:val="00D126A1"/>
    <w:rsid w:val="00D26B1A"/>
    <w:rsid w:val="00D35ADB"/>
    <w:rsid w:val="00D3697B"/>
    <w:rsid w:val="00D369C8"/>
    <w:rsid w:val="00D37074"/>
    <w:rsid w:val="00D43BC7"/>
    <w:rsid w:val="00D539AD"/>
    <w:rsid w:val="00D5423F"/>
    <w:rsid w:val="00D5594D"/>
    <w:rsid w:val="00D6685A"/>
    <w:rsid w:val="00D70A22"/>
    <w:rsid w:val="00D80F93"/>
    <w:rsid w:val="00D84BAB"/>
    <w:rsid w:val="00D86E6B"/>
    <w:rsid w:val="00D878FD"/>
    <w:rsid w:val="00D945C9"/>
    <w:rsid w:val="00DA0D2A"/>
    <w:rsid w:val="00DA448E"/>
    <w:rsid w:val="00DA4E89"/>
    <w:rsid w:val="00DA63E5"/>
    <w:rsid w:val="00DB16A3"/>
    <w:rsid w:val="00DB3778"/>
    <w:rsid w:val="00DC1FF5"/>
    <w:rsid w:val="00DC5380"/>
    <w:rsid w:val="00DC79E7"/>
    <w:rsid w:val="00DD0022"/>
    <w:rsid w:val="00DD4C4A"/>
    <w:rsid w:val="00DE7B01"/>
    <w:rsid w:val="00DF21CE"/>
    <w:rsid w:val="00DF3859"/>
    <w:rsid w:val="00DF721F"/>
    <w:rsid w:val="00DF75B0"/>
    <w:rsid w:val="00E001B1"/>
    <w:rsid w:val="00E05703"/>
    <w:rsid w:val="00E14BCB"/>
    <w:rsid w:val="00E16E37"/>
    <w:rsid w:val="00E233DD"/>
    <w:rsid w:val="00E32AD6"/>
    <w:rsid w:val="00E406D6"/>
    <w:rsid w:val="00E4427F"/>
    <w:rsid w:val="00E53631"/>
    <w:rsid w:val="00E6001A"/>
    <w:rsid w:val="00E600E8"/>
    <w:rsid w:val="00E602D6"/>
    <w:rsid w:val="00E61716"/>
    <w:rsid w:val="00E66293"/>
    <w:rsid w:val="00E7232F"/>
    <w:rsid w:val="00E72D4F"/>
    <w:rsid w:val="00E7664F"/>
    <w:rsid w:val="00E83B2F"/>
    <w:rsid w:val="00E85FCD"/>
    <w:rsid w:val="00E86056"/>
    <w:rsid w:val="00E86BFD"/>
    <w:rsid w:val="00E86C8F"/>
    <w:rsid w:val="00E87250"/>
    <w:rsid w:val="00E90AD4"/>
    <w:rsid w:val="00E93F70"/>
    <w:rsid w:val="00E9601D"/>
    <w:rsid w:val="00EA133E"/>
    <w:rsid w:val="00EA2A79"/>
    <w:rsid w:val="00EA47F4"/>
    <w:rsid w:val="00EB3BB5"/>
    <w:rsid w:val="00EB6B2E"/>
    <w:rsid w:val="00EB79C2"/>
    <w:rsid w:val="00EC08AC"/>
    <w:rsid w:val="00EC243E"/>
    <w:rsid w:val="00ED4074"/>
    <w:rsid w:val="00EF0651"/>
    <w:rsid w:val="00F00F69"/>
    <w:rsid w:val="00F149FB"/>
    <w:rsid w:val="00F2328A"/>
    <w:rsid w:val="00F24120"/>
    <w:rsid w:val="00F32D1E"/>
    <w:rsid w:val="00F347B7"/>
    <w:rsid w:val="00F34928"/>
    <w:rsid w:val="00F352C8"/>
    <w:rsid w:val="00F374A2"/>
    <w:rsid w:val="00F379DF"/>
    <w:rsid w:val="00F42FE0"/>
    <w:rsid w:val="00F46FD5"/>
    <w:rsid w:val="00F52E32"/>
    <w:rsid w:val="00F544BC"/>
    <w:rsid w:val="00F55A8F"/>
    <w:rsid w:val="00F55EEF"/>
    <w:rsid w:val="00F84B36"/>
    <w:rsid w:val="00F9200F"/>
    <w:rsid w:val="00FA2009"/>
    <w:rsid w:val="00FA4800"/>
    <w:rsid w:val="00FA491D"/>
    <w:rsid w:val="00FB3AFD"/>
    <w:rsid w:val="00FB4C1B"/>
    <w:rsid w:val="00FB54E9"/>
    <w:rsid w:val="00FB5AE8"/>
    <w:rsid w:val="00FB74C5"/>
    <w:rsid w:val="00FC019B"/>
    <w:rsid w:val="00FC67A2"/>
    <w:rsid w:val="00FD3650"/>
    <w:rsid w:val="00FD6FD3"/>
    <w:rsid w:val="00FD76A7"/>
    <w:rsid w:val="00FE1FB6"/>
    <w:rsid w:val="00FE4055"/>
    <w:rsid w:val="00FE632E"/>
    <w:rsid w:val="012E34F5"/>
    <w:rsid w:val="056D2E15"/>
    <w:rsid w:val="06871428"/>
    <w:rsid w:val="07A16AD8"/>
    <w:rsid w:val="08362309"/>
    <w:rsid w:val="099217C1"/>
    <w:rsid w:val="0A5E0C59"/>
    <w:rsid w:val="0AAC3FD4"/>
    <w:rsid w:val="0BA26B08"/>
    <w:rsid w:val="0C3A32A1"/>
    <w:rsid w:val="0C9D4705"/>
    <w:rsid w:val="0E705F0D"/>
    <w:rsid w:val="0EE3398A"/>
    <w:rsid w:val="0FCB26F9"/>
    <w:rsid w:val="104246CD"/>
    <w:rsid w:val="10BF4F03"/>
    <w:rsid w:val="116A00EF"/>
    <w:rsid w:val="120D40DA"/>
    <w:rsid w:val="121865DB"/>
    <w:rsid w:val="1283614B"/>
    <w:rsid w:val="13400FC0"/>
    <w:rsid w:val="13A02D2C"/>
    <w:rsid w:val="13B660AC"/>
    <w:rsid w:val="146137CF"/>
    <w:rsid w:val="14EA425F"/>
    <w:rsid w:val="15DE716E"/>
    <w:rsid w:val="188B4CDC"/>
    <w:rsid w:val="19A30C3C"/>
    <w:rsid w:val="1B5C578B"/>
    <w:rsid w:val="1C53479C"/>
    <w:rsid w:val="1D3249F5"/>
    <w:rsid w:val="1D3A1AFC"/>
    <w:rsid w:val="1EDF44F4"/>
    <w:rsid w:val="1F9F2DD9"/>
    <w:rsid w:val="201872BC"/>
    <w:rsid w:val="20CE2C87"/>
    <w:rsid w:val="226B2757"/>
    <w:rsid w:val="2483022C"/>
    <w:rsid w:val="24B67467"/>
    <w:rsid w:val="256A70DF"/>
    <w:rsid w:val="278653C3"/>
    <w:rsid w:val="27A97396"/>
    <w:rsid w:val="27C33364"/>
    <w:rsid w:val="287E31E4"/>
    <w:rsid w:val="294A5C4F"/>
    <w:rsid w:val="29B6075C"/>
    <w:rsid w:val="2B6B0819"/>
    <w:rsid w:val="2BE9306B"/>
    <w:rsid w:val="2C391C60"/>
    <w:rsid w:val="2CAE1922"/>
    <w:rsid w:val="2CD722CC"/>
    <w:rsid w:val="2DF04237"/>
    <w:rsid w:val="2F0D7070"/>
    <w:rsid w:val="2FBF45F2"/>
    <w:rsid w:val="3098637C"/>
    <w:rsid w:val="30CD4226"/>
    <w:rsid w:val="313244EC"/>
    <w:rsid w:val="31BF2A03"/>
    <w:rsid w:val="32380C07"/>
    <w:rsid w:val="331C0D46"/>
    <w:rsid w:val="33202078"/>
    <w:rsid w:val="349124F1"/>
    <w:rsid w:val="34A75F46"/>
    <w:rsid w:val="35BF5AB3"/>
    <w:rsid w:val="361231BE"/>
    <w:rsid w:val="36603F29"/>
    <w:rsid w:val="36B93A98"/>
    <w:rsid w:val="36F37731"/>
    <w:rsid w:val="37D0630C"/>
    <w:rsid w:val="384462A9"/>
    <w:rsid w:val="38481C7E"/>
    <w:rsid w:val="3848736B"/>
    <w:rsid w:val="38E47094"/>
    <w:rsid w:val="39512A22"/>
    <w:rsid w:val="39747F9D"/>
    <w:rsid w:val="3B0A5163"/>
    <w:rsid w:val="3C3E5289"/>
    <w:rsid w:val="3CCC7501"/>
    <w:rsid w:val="3D536049"/>
    <w:rsid w:val="3E886BC8"/>
    <w:rsid w:val="3FFF22C1"/>
    <w:rsid w:val="425A2175"/>
    <w:rsid w:val="42704534"/>
    <w:rsid w:val="42D24401"/>
    <w:rsid w:val="430A1C61"/>
    <w:rsid w:val="433E3844"/>
    <w:rsid w:val="434370AD"/>
    <w:rsid w:val="44F109D5"/>
    <w:rsid w:val="4554492E"/>
    <w:rsid w:val="45647A48"/>
    <w:rsid w:val="457F1EF2"/>
    <w:rsid w:val="459B6D55"/>
    <w:rsid w:val="45CF4C28"/>
    <w:rsid w:val="46853538"/>
    <w:rsid w:val="46DF28B7"/>
    <w:rsid w:val="470A303D"/>
    <w:rsid w:val="477E4B57"/>
    <w:rsid w:val="47E759F0"/>
    <w:rsid w:val="482D025C"/>
    <w:rsid w:val="4947569E"/>
    <w:rsid w:val="49757894"/>
    <w:rsid w:val="4A840191"/>
    <w:rsid w:val="4BB55C79"/>
    <w:rsid w:val="4E3F014B"/>
    <w:rsid w:val="4EC15329"/>
    <w:rsid w:val="4F457D08"/>
    <w:rsid w:val="4F4A531F"/>
    <w:rsid w:val="4F7853F7"/>
    <w:rsid w:val="519B00B4"/>
    <w:rsid w:val="527B72D6"/>
    <w:rsid w:val="52BC29D7"/>
    <w:rsid w:val="53CF7776"/>
    <w:rsid w:val="53F43EF1"/>
    <w:rsid w:val="54091C4C"/>
    <w:rsid w:val="56AD4788"/>
    <w:rsid w:val="572834F8"/>
    <w:rsid w:val="57AA1988"/>
    <w:rsid w:val="57E80E47"/>
    <w:rsid w:val="59E85E60"/>
    <w:rsid w:val="5A4540E7"/>
    <w:rsid w:val="5A854500"/>
    <w:rsid w:val="5B7E082A"/>
    <w:rsid w:val="5B865931"/>
    <w:rsid w:val="5BF62AB6"/>
    <w:rsid w:val="5D4810F0"/>
    <w:rsid w:val="5D526CAC"/>
    <w:rsid w:val="5D641CA2"/>
    <w:rsid w:val="5DDD4037"/>
    <w:rsid w:val="5E0758EE"/>
    <w:rsid w:val="5FA212DE"/>
    <w:rsid w:val="5FC85532"/>
    <w:rsid w:val="5FD17AC2"/>
    <w:rsid w:val="60026A52"/>
    <w:rsid w:val="60DB227B"/>
    <w:rsid w:val="625B20CE"/>
    <w:rsid w:val="63337B03"/>
    <w:rsid w:val="63412E7D"/>
    <w:rsid w:val="640A23EA"/>
    <w:rsid w:val="65586327"/>
    <w:rsid w:val="6841330B"/>
    <w:rsid w:val="6A246A40"/>
    <w:rsid w:val="6A372C18"/>
    <w:rsid w:val="6B575EFD"/>
    <w:rsid w:val="6BB34520"/>
    <w:rsid w:val="6BF15CBC"/>
    <w:rsid w:val="6C712D2B"/>
    <w:rsid w:val="6C841A18"/>
    <w:rsid w:val="6E81013B"/>
    <w:rsid w:val="70D67B33"/>
    <w:rsid w:val="70F64FF1"/>
    <w:rsid w:val="710F25AA"/>
    <w:rsid w:val="71104394"/>
    <w:rsid w:val="71235CA4"/>
    <w:rsid w:val="71991A38"/>
    <w:rsid w:val="72CD4767"/>
    <w:rsid w:val="72F21378"/>
    <w:rsid w:val="75362644"/>
    <w:rsid w:val="758955BC"/>
    <w:rsid w:val="75C83CC5"/>
    <w:rsid w:val="76DE56C7"/>
    <w:rsid w:val="76E43BB8"/>
    <w:rsid w:val="78D945F3"/>
    <w:rsid w:val="7CB64B7A"/>
    <w:rsid w:val="7DF85FEB"/>
    <w:rsid w:val="7EC24B05"/>
    <w:rsid w:val="7F863357"/>
    <w:rsid w:val="7F961011"/>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6"/>
    <w:qFormat/>
    <w:uiPriority w:val="0"/>
    <w:pPr>
      <w:ind w:firstLine="420"/>
    </w:pPr>
    <w:rPr>
      <w:szCs w:val="20"/>
    </w:rPr>
  </w:style>
  <w:style w:type="paragraph" w:styleId="4">
    <w:name w:val="annotation text"/>
    <w:basedOn w:val="1"/>
    <w:link w:val="42"/>
    <w:semiHidden/>
    <w:unhideWhenUsed/>
    <w:qFormat/>
    <w:uiPriority w:val="99"/>
    <w:pPr>
      <w:jc w:val="left"/>
    </w:pPr>
  </w:style>
  <w:style w:type="paragraph" w:styleId="5">
    <w:name w:val="Body Text 3"/>
    <w:basedOn w:val="1"/>
    <w:link w:val="52"/>
    <w:semiHidden/>
    <w:unhideWhenUsed/>
    <w:qFormat/>
    <w:uiPriority w:val="99"/>
    <w:pPr>
      <w:spacing w:after="120"/>
    </w:pPr>
    <w:rPr>
      <w:sz w:val="16"/>
      <w:szCs w:val="16"/>
    </w:rPr>
  </w:style>
  <w:style w:type="paragraph" w:styleId="6">
    <w:name w:val="Body Text"/>
    <w:basedOn w:val="1"/>
    <w:next w:val="1"/>
    <w:qFormat/>
    <w:uiPriority w:val="0"/>
    <w:pPr>
      <w:spacing w:after="120"/>
    </w:pPr>
  </w:style>
  <w:style w:type="paragraph" w:styleId="7">
    <w:name w:val="Body Text Indent"/>
    <w:basedOn w:val="1"/>
    <w:link w:val="23"/>
    <w:unhideWhenUsed/>
    <w:qFormat/>
    <w:uiPriority w:val="0"/>
    <w:pPr>
      <w:spacing w:after="120"/>
      <w:ind w:left="420" w:leftChars="200"/>
    </w:pPr>
  </w:style>
  <w:style w:type="paragraph" w:styleId="8">
    <w:name w:val="index 4"/>
    <w:basedOn w:val="1"/>
    <w:next w:val="1"/>
    <w:qFormat/>
    <w:uiPriority w:val="99"/>
    <w:pPr>
      <w:ind w:left="600" w:leftChars="600"/>
    </w:pPr>
  </w:style>
  <w:style w:type="paragraph" w:styleId="9">
    <w:name w:val="toc 3"/>
    <w:basedOn w:val="1"/>
    <w:next w:val="1"/>
    <w:qFormat/>
    <w:uiPriority w:val="0"/>
    <w:pPr>
      <w:ind w:left="840" w:leftChars="400"/>
    </w:pPr>
  </w:style>
  <w:style w:type="paragraph" w:styleId="10">
    <w:name w:val="Plain Text"/>
    <w:basedOn w:val="1"/>
    <w:link w:val="50"/>
    <w:qFormat/>
    <w:uiPriority w:val="0"/>
    <w:rPr>
      <w:rFonts w:ascii="宋体" w:hAnsi="Courier New"/>
    </w:rPr>
  </w:style>
  <w:style w:type="paragraph" w:styleId="11">
    <w:name w:val="Balloon Text"/>
    <w:basedOn w:val="1"/>
    <w:link w:val="27"/>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envelope return"/>
    <w:basedOn w:val="1"/>
    <w:unhideWhenUsed/>
    <w:qFormat/>
    <w:uiPriority w:val="99"/>
    <w:pPr>
      <w:snapToGrid w:val="0"/>
    </w:pPr>
    <w:rPr>
      <w:rFonts w:ascii="Arial" w:hAnsi="Arial"/>
    </w:rPr>
  </w:style>
  <w:style w:type="paragraph" w:styleId="14">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6">
    <w:name w:val="annotation subject"/>
    <w:basedOn w:val="4"/>
    <w:next w:val="4"/>
    <w:link w:val="43"/>
    <w:semiHidden/>
    <w:unhideWhenUsed/>
    <w:qFormat/>
    <w:uiPriority w:val="99"/>
    <w:rPr>
      <w:b/>
      <w:bCs/>
    </w:rPr>
  </w:style>
  <w:style w:type="paragraph" w:styleId="17">
    <w:name w:val="Body Text First Indent 2"/>
    <w:basedOn w:val="7"/>
    <w:link w:val="24"/>
    <w:unhideWhenUsed/>
    <w:qFormat/>
    <w:uiPriority w:val="99"/>
    <w:pPr>
      <w:ind w:firstLine="420" w:firstLineChars="200"/>
    </w:p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annotation reference"/>
    <w:unhideWhenUsed/>
    <w:qFormat/>
    <w:uiPriority w:val="0"/>
    <w:rPr>
      <w:sz w:val="21"/>
      <w:szCs w:val="21"/>
    </w:rPr>
  </w:style>
  <w:style w:type="paragraph" w:customStyle="1" w:styleId="22">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23">
    <w:name w:val="正文文本缩进 字符"/>
    <w:basedOn w:val="20"/>
    <w:link w:val="7"/>
    <w:semiHidden/>
    <w:qFormat/>
    <w:uiPriority w:val="99"/>
    <w:rPr>
      <w:rFonts w:ascii="Times New Roman" w:hAnsi="Times New Roman" w:eastAsia="宋体" w:cs="Times New Roman"/>
      <w:szCs w:val="24"/>
    </w:rPr>
  </w:style>
  <w:style w:type="character" w:customStyle="1" w:styleId="24">
    <w:name w:val="正文文本首行缩进 2 字符"/>
    <w:basedOn w:val="23"/>
    <w:link w:val="17"/>
    <w:qFormat/>
    <w:uiPriority w:val="99"/>
    <w:rPr>
      <w:rFonts w:ascii="Times New Roman" w:hAnsi="Times New Roman" w:eastAsia="宋体" w:cs="Times New Roman"/>
      <w:szCs w:val="24"/>
    </w:rPr>
  </w:style>
  <w:style w:type="character" w:customStyle="1" w:styleId="25">
    <w:name w:val="正文文本缩进 Char1"/>
    <w:qFormat/>
    <w:uiPriority w:val="0"/>
    <w:rPr>
      <w:kern w:val="2"/>
      <w:sz w:val="21"/>
      <w:szCs w:val="24"/>
    </w:rPr>
  </w:style>
  <w:style w:type="character" w:customStyle="1" w:styleId="26">
    <w:name w:val="正文缩进 字符"/>
    <w:link w:val="3"/>
    <w:qFormat/>
    <w:uiPriority w:val="0"/>
    <w:rPr>
      <w:rFonts w:ascii="Times New Roman" w:hAnsi="Times New Roman" w:eastAsia="宋体" w:cs="Times New Roman"/>
      <w:szCs w:val="20"/>
    </w:rPr>
  </w:style>
  <w:style w:type="character" w:customStyle="1" w:styleId="27">
    <w:name w:val="批注框文本 字符"/>
    <w:basedOn w:val="20"/>
    <w:link w:val="11"/>
    <w:qFormat/>
    <w:uiPriority w:val="0"/>
    <w:rPr>
      <w:rFonts w:ascii="Times New Roman" w:hAnsi="Times New Roman" w:eastAsia="宋体" w:cs="Times New Roman"/>
      <w:sz w:val="18"/>
      <w:szCs w:val="18"/>
    </w:rPr>
  </w:style>
  <w:style w:type="character" w:customStyle="1" w:styleId="28">
    <w:name w:val="页脚 字符"/>
    <w:basedOn w:val="20"/>
    <w:link w:val="12"/>
    <w:qFormat/>
    <w:uiPriority w:val="99"/>
    <w:rPr>
      <w:rFonts w:ascii="Times New Roman" w:hAnsi="Times New Roman" w:eastAsia="宋体" w:cs="Times New Roman"/>
      <w:sz w:val="18"/>
      <w:szCs w:val="18"/>
    </w:rPr>
  </w:style>
  <w:style w:type="character" w:customStyle="1" w:styleId="29">
    <w:name w:val="正文缩进2格 Char"/>
    <w:link w:val="30"/>
    <w:qFormat/>
    <w:locked/>
    <w:uiPriority w:val="99"/>
    <w:rPr>
      <w:rFonts w:ascii="仿宋_GB2312" w:hAnsi="宋体" w:eastAsia="仿宋_GB2312"/>
      <w:sz w:val="31"/>
      <w:szCs w:val="28"/>
    </w:rPr>
  </w:style>
  <w:style w:type="paragraph" w:customStyle="1" w:styleId="30">
    <w:name w:val="正文缩进2格"/>
    <w:basedOn w:val="1"/>
    <w:link w:val="29"/>
    <w:qFormat/>
    <w:uiPriority w:val="99"/>
    <w:pPr>
      <w:spacing w:line="600" w:lineRule="exact"/>
      <w:ind w:firstLine="639" w:firstLineChars="206"/>
    </w:pPr>
    <w:rPr>
      <w:rFonts w:ascii="仿宋_GB2312" w:hAnsi="宋体" w:eastAsia="仿宋_GB2312" w:cstheme="minorBidi"/>
      <w:sz w:val="31"/>
      <w:szCs w:val="28"/>
    </w:rPr>
  </w:style>
  <w:style w:type="paragraph" w:customStyle="1" w:styleId="31">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b/>
      <w:bCs/>
      <w:sz w:val="32"/>
      <w:szCs w:val="20"/>
    </w:rPr>
  </w:style>
  <w:style w:type="character" w:customStyle="1" w:styleId="32">
    <w:name w:val="我的正文 Char"/>
    <w:link w:val="33"/>
    <w:qFormat/>
    <w:locked/>
    <w:uiPriority w:val="0"/>
    <w:rPr>
      <w:rFonts w:ascii="宋体" w:hAnsi="宋体"/>
      <w:sz w:val="24"/>
      <w:szCs w:val="24"/>
    </w:rPr>
  </w:style>
  <w:style w:type="paragraph" w:customStyle="1" w:styleId="33">
    <w:name w:val="我的正文"/>
    <w:basedOn w:val="1"/>
    <w:link w:val="32"/>
    <w:qFormat/>
    <w:uiPriority w:val="0"/>
    <w:pPr>
      <w:snapToGrid w:val="0"/>
      <w:spacing w:line="300" w:lineRule="auto"/>
      <w:ind w:firstLine="150" w:firstLineChars="150"/>
    </w:pPr>
    <w:rPr>
      <w:rFonts w:ascii="宋体" w:hAnsi="宋体" w:eastAsiaTheme="minorEastAsia" w:cstheme="minorBidi"/>
      <w:sz w:val="24"/>
    </w:rPr>
  </w:style>
  <w:style w:type="paragraph" w:customStyle="1" w:styleId="34">
    <w:name w:val="列出段落1"/>
    <w:basedOn w:val="1"/>
    <w:qFormat/>
    <w:uiPriority w:val="34"/>
    <w:pPr>
      <w:ind w:firstLine="420" w:firstLineChars="200"/>
    </w:pPr>
  </w:style>
  <w:style w:type="character" w:customStyle="1" w:styleId="35">
    <w:name w:val="fontstyle01"/>
    <w:qFormat/>
    <w:uiPriority w:val="0"/>
    <w:rPr>
      <w:rFonts w:hint="eastAsia" w:ascii="宋体" w:hAnsi="宋体" w:eastAsia="宋体"/>
      <w:color w:val="000000"/>
      <w:sz w:val="24"/>
      <w:szCs w:val="24"/>
    </w:rPr>
  </w:style>
  <w:style w:type="paragraph" w:styleId="36">
    <w:name w:val="List Paragraph"/>
    <w:basedOn w:val="1"/>
    <w:qFormat/>
    <w:uiPriority w:val="34"/>
    <w:pPr>
      <w:ind w:firstLine="420" w:firstLineChars="200"/>
    </w:pPr>
  </w:style>
  <w:style w:type="paragraph" w:customStyle="1" w:styleId="37">
    <w:name w:val="xl36"/>
    <w:basedOn w:val="1"/>
    <w:qFormat/>
    <w:uiPriority w:val="0"/>
    <w:pPr>
      <w:widowControl/>
      <w:pBdr>
        <w:left w:val="single" w:color="auto" w:sz="8" w:space="0"/>
        <w:bottom w:val="single" w:color="auto" w:sz="4" w:space="0"/>
        <w:right w:val="single" w:color="auto" w:sz="4" w:space="0"/>
      </w:pBdr>
      <w:adjustRightInd w:val="0"/>
      <w:snapToGrid w:val="0"/>
      <w:spacing w:before="100" w:beforeAutospacing="1" w:after="100" w:afterAutospacing="1"/>
      <w:jc w:val="center"/>
    </w:pPr>
    <w:rPr>
      <w:rFonts w:hint="eastAsia" w:ascii="宋体" w:hAnsi="Tahoma" w:eastAsia="微软雅黑"/>
      <w:kern w:val="0"/>
      <w:sz w:val="24"/>
      <w:szCs w:val="20"/>
    </w:rPr>
  </w:style>
  <w:style w:type="character" w:customStyle="1" w:styleId="38">
    <w:name w:val="页眉 字符"/>
    <w:basedOn w:val="20"/>
    <w:link w:val="14"/>
    <w:qFormat/>
    <w:uiPriority w:val="99"/>
    <w:rPr>
      <w:rFonts w:ascii="Times New Roman" w:hAnsi="Times New Roman" w:eastAsia="宋体" w:cs="Times New Roman"/>
      <w:sz w:val="18"/>
      <w:szCs w:val="18"/>
    </w:rPr>
  </w:style>
  <w:style w:type="character" w:customStyle="1" w:styleId="39">
    <w:name w:val="font61"/>
    <w:basedOn w:val="20"/>
    <w:qFormat/>
    <w:uiPriority w:val="0"/>
    <w:rPr>
      <w:rFonts w:hint="eastAsia" w:ascii="宋体" w:hAnsi="宋体" w:eastAsia="宋体" w:cs="宋体"/>
      <w:color w:val="FF0000"/>
      <w:sz w:val="20"/>
      <w:szCs w:val="20"/>
      <w:u w:val="none"/>
    </w:rPr>
  </w:style>
  <w:style w:type="character" w:customStyle="1" w:styleId="40">
    <w:name w:val="font31"/>
    <w:basedOn w:val="20"/>
    <w:qFormat/>
    <w:uiPriority w:val="0"/>
    <w:rPr>
      <w:rFonts w:hint="eastAsia" w:ascii="宋体" w:hAnsi="宋体" w:eastAsia="宋体" w:cs="宋体"/>
      <w:color w:val="000000"/>
      <w:sz w:val="20"/>
      <w:szCs w:val="20"/>
      <w:u w:val="none"/>
    </w:rPr>
  </w:style>
  <w:style w:type="paragraph" w:customStyle="1" w:styleId="41">
    <w:name w:val="ces正文"/>
    <w:basedOn w:val="1"/>
    <w:qFormat/>
    <w:uiPriority w:val="0"/>
    <w:pPr>
      <w:spacing w:line="360" w:lineRule="auto"/>
      <w:ind w:firstLine="480" w:firstLineChars="200"/>
    </w:pPr>
    <w:rPr>
      <w:rFonts w:ascii="宋体" w:hAnsi="宋体"/>
      <w:sz w:val="24"/>
    </w:rPr>
  </w:style>
  <w:style w:type="character" w:customStyle="1" w:styleId="42">
    <w:name w:val="批注文字 字符"/>
    <w:basedOn w:val="20"/>
    <w:link w:val="4"/>
    <w:semiHidden/>
    <w:qFormat/>
    <w:uiPriority w:val="99"/>
    <w:rPr>
      <w:kern w:val="2"/>
      <w:sz w:val="21"/>
      <w:szCs w:val="24"/>
    </w:rPr>
  </w:style>
  <w:style w:type="character" w:customStyle="1" w:styleId="43">
    <w:name w:val="批注主题 字符"/>
    <w:basedOn w:val="42"/>
    <w:link w:val="16"/>
    <w:semiHidden/>
    <w:qFormat/>
    <w:uiPriority w:val="99"/>
    <w:rPr>
      <w:b/>
      <w:bCs/>
      <w:kern w:val="2"/>
      <w:sz w:val="21"/>
      <w:szCs w:val="24"/>
    </w:rPr>
  </w:style>
  <w:style w:type="paragraph" w:customStyle="1" w:styleId="4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5">
    <w:name w:val="正文缩进 Char"/>
    <w:qFormat/>
    <w:uiPriority w:val="0"/>
    <w:rPr>
      <w:kern w:val="2"/>
      <w:sz w:val="21"/>
    </w:rPr>
  </w:style>
  <w:style w:type="paragraph" w:customStyle="1" w:styleId="46">
    <w:name w:val="_Style 38"/>
    <w:basedOn w:val="7"/>
    <w:next w:val="17"/>
    <w:link w:val="47"/>
    <w:unhideWhenUsed/>
    <w:qFormat/>
    <w:uiPriority w:val="99"/>
    <w:pPr>
      <w:ind w:firstLine="420" w:firstLineChars="200"/>
    </w:pPr>
    <w:rPr>
      <w:kern w:val="0"/>
      <w:sz w:val="20"/>
      <w:szCs w:val="20"/>
    </w:rPr>
  </w:style>
  <w:style w:type="character" w:customStyle="1" w:styleId="47">
    <w:name w:val="正文首行缩进 2 Char"/>
    <w:link w:val="46"/>
    <w:semiHidden/>
    <w:qFormat/>
    <w:uiPriority w:val="99"/>
  </w:style>
  <w:style w:type="paragraph" w:customStyle="1" w:styleId="48">
    <w:name w:val="Default"/>
    <w:next w:val="1"/>
    <w:unhideWhenUsed/>
    <w:qFormat/>
    <w:uiPriority w:val="0"/>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table" w:customStyle="1" w:styleId="49">
    <w:name w:val="网格型1"/>
    <w:basedOn w:val="18"/>
    <w:qFormat/>
    <w:uiPriority w:val="59"/>
    <w:rPr>
      <w:rFonts w:ascii="Arial" w:hAnsi="Arial"/>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0">
    <w:name w:val="纯文本 字符"/>
    <w:basedOn w:val="20"/>
    <w:link w:val="10"/>
    <w:qFormat/>
    <w:uiPriority w:val="0"/>
    <w:rPr>
      <w:rFonts w:ascii="宋体" w:hAnsi="Courier New"/>
      <w:kern w:val="2"/>
      <w:sz w:val="21"/>
      <w:szCs w:val="24"/>
    </w:rPr>
  </w:style>
  <w:style w:type="character" w:customStyle="1" w:styleId="51">
    <w:name w:val="NormalCharacter"/>
    <w:autoRedefine/>
    <w:qFormat/>
    <w:uiPriority w:val="0"/>
  </w:style>
  <w:style w:type="character" w:customStyle="1" w:styleId="52">
    <w:name w:val="正文文本 3 字符"/>
    <w:basedOn w:val="20"/>
    <w:link w:val="5"/>
    <w:semiHidden/>
    <w:qFormat/>
    <w:uiPriority w:val="99"/>
    <w:rPr>
      <w:kern w:val="2"/>
      <w:sz w:val="16"/>
      <w:szCs w:val="16"/>
    </w:rPr>
  </w:style>
  <w:style w:type="paragraph" w:customStyle="1" w:styleId="53">
    <w:name w:val="样式1"/>
    <w:basedOn w:val="1"/>
    <w:qFormat/>
    <w:uiPriority w:val="0"/>
    <w:pPr>
      <w:spacing w:line="520" w:lineRule="exact"/>
      <w:ind w:firstLine="566" w:firstLineChars="236"/>
    </w:pPr>
    <w:rPr>
      <w:sz w:val="24"/>
    </w:rPr>
  </w:style>
  <w:style w:type="character" w:customStyle="1" w:styleId="54">
    <w:name w:val="批注引用1"/>
    <w:basedOn w:val="55"/>
    <w:qFormat/>
    <w:uiPriority w:val="0"/>
    <w:rPr>
      <w:rFonts w:ascii="Times New Roman" w:hAnsi="Times New Roman" w:eastAsia="宋体" w:cs="Times New Roman"/>
      <w:kern w:val="2"/>
      <w:sz w:val="21"/>
      <w:szCs w:val="24"/>
      <w:lang w:val="en-US" w:eastAsia="zh-CN" w:bidi="ar-SA"/>
    </w:rPr>
  </w:style>
  <w:style w:type="character" w:customStyle="1" w:styleId="55">
    <w:name w:val="默认段落字体1"/>
    <w:unhideWhenUsed/>
    <w:qFormat/>
    <w:uiPriority w:val="1"/>
  </w:style>
  <w:style w:type="paragraph" w:customStyle="1" w:styleId="56">
    <w:name w:val="正文首行缩进 21"/>
    <w:basedOn w:val="57"/>
    <w:qFormat/>
    <w:uiPriority w:val="99"/>
    <w:pPr>
      <w:spacing w:after="0" w:line="360" w:lineRule="auto"/>
      <w:ind w:left="0" w:firstLine="420"/>
    </w:pPr>
    <w:rPr>
      <w:rFonts w:ascii="宋体" w:hAnsi="宋体"/>
      <w:sz w:val="20"/>
      <w:szCs w:val="20"/>
    </w:rPr>
  </w:style>
  <w:style w:type="paragraph" w:customStyle="1" w:styleId="57">
    <w:name w:val="正文文本缩进1"/>
    <w:basedOn w:val="1"/>
    <w:unhideWhenUsed/>
    <w:qFormat/>
    <w:uiPriority w:val="99"/>
    <w:pPr>
      <w:spacing w:after="120"/>
      <w:ind w:left="420"/>
    </w:pPr>
  </w:style>
  <w:style w:type="paragraph" w:customStyle="1" w:styleId="58">
    <w:name w:val="正文2"/>
    <w:qFormat/>
    <w:uiPriority w:val="0"/>
    <w:pPr>
      <w:widowControl w:val="0"/>
      <w:spacing w:before="156" w:line="360" w:lineRule="auto"/>
      <w:ind w:firstLine="200"/>
      <w:jc w:val="both"/>
    </w:pPr>
    <w:rPr>
      <w:rFonts w:ascii="Times New Roman" w:hAnsi="Times New Roman" w:eastAsia="宋体" w:cs="Times New Roman"/>
      <w:sz w:val="24"/>
      <w:lang w:val="en-US" w:eastAsia="zh-CN" w:bidi="ar-SA"/>
    </w:rPr>
  </w:style>
  <w:style w:type="paragraph" w:customStyle="1" w:styleId="59">
    <w:name w:val="纯文本1"/>
    <w:basedOn w:val="1"/>
    <w:qFormat/>
    <w:uiPriority w:val="0"/>
    <w:rPr>
      <w:rFonts w:ascii="宋体" w:hAnsi="Courier New" w:cs="Courier New"/>
      <w:szCs w:val="21"/>
    </w:rPr>
  </w:style>
  <w:style w:type="paragraph" w:customStyle="1" w:styleId="60">
    <w:name w:val="页脚1"/>
    <w:basedOn w:val="1"/>
    <w:qFormat/>
    <w:uiPriority w:val="99"/>
    <w:pPr>
      <w:tabs>
        <w:tab w:val="center" w:pos="4153"/>
        <w:tab w:val="right" w:pos="8306"/>
      </w:tabs>
      <w:jc w:val="left"/>
    </w:pPr>
    <w:rPr>
      <w:sz w:val="18"/>
      <w:szCs w:val="18"/>
    </w:rPr>
  </w:style>
  <w:style w:type="character" w:customStyle="1" w:styleId="61">
    <w:name w:val="font21"/>
    <w:basedOn w:val="20"/>
    <w:qFormat/>
    <w:uiPriority w:val="0"/>
    <w:rPr>
      <w:rFonts w:hint="default" w:ascii="仿宋_GB2312" w:eastAsia="仿宋_GB2312" w:cs="仿宋_GB2312"/>
      <w:color w:val="000000"/>
      <w:sz w:val="24"/>
      <w:szCs w:val="24"/>
      <w:u w:val="none"/>
    </w:rPr>
  </w:style>
  <w:style w:type="character" w:customStyle="1" w:styleId="62">
    <w:name w:val="font81"/>
    <w:basedOn w:val="20"/>
    <w:qFormat/>
    <w:uiPriority w:val="0"/>
    <w:rPr>
      <w:rFonts w:hint="default" w:ascii="Times New Roman" w:hAnsi="Times New Roman" w:cs="Times New Roman"/>
      <w:color w:val="000000"/>
      <w:sz w:val="22"/>
      <w:szCs w:val="22"/>
      <w:u w:val="none"/>
    </w:rPr>
  </w:style>
  <w:style w:type="character" w:customStyle="1" w:styleId="63">
    <w:name w:val="font5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61</Pages>
  <Words>11240</Words>
  <Characters>11710</Characters>
  <Lines>1021</Lines>
  <Paragraphs>892</Paragraphs>
  <TotalTime>40</TotalTime>
  <ScaleCrop>false</ScaleCrop>
  <LinksUpToDate>false</LinksUpToDate>
  <CharactersWithSpaces>11796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2026-03-11T05:41:00Z</dcterms:created>
  <dc:creator>吉加兵</dc:creator>
  <cp:lastModifiedBy>沙云天</cp:lastModifiedBy>
  <cp:lastPrinted>2022-03-01T06:57:00Z</cp:lastPrinted>
  <dcterms:modified xsi:type="dcterms:W3CDTF">2026-03-18T05:54:17Z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DE4DE4C3A46547388B816F3182B0BE49_13</vt:lpwstr>
  </property>
  <property fmtid="{D5CDD505-2E9C-101B-9397-08002B2CF9AE}" pid="4" name="KSOTemplateDocerSaveRecord">
    <vt:lpwstr>eyJoZGlkIjoiNDUwMTFkMDI3ZjBmZjczM2Q3M2EwOGI5M2VjYzUzMDkiLCJ1c2VySWQiOiIyNzU0NDQ2MzMifQ==</vt:lpwstr>
  </property>
</Properties>
</file>