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5B720">
      <w:pPr>
        <w:snapToGrid w:val="0"/>
        <w:spacing w:line="360" w:lineRule="auto"/>
        <w:ind w:left="568"/>
        <w:jc w:val="center"/>
        <w:rPr>
          <w:rFonts w:hint="eastAsia" w:ascii="宋体" w:hAnsi="宋体" w:cs="宋体"/>
          <w:b/>
          <w:sz w:val="24"/>
          <w:highlight w:val="none"/>
        </w:rPr>
      </w:pPr>
      <w:bookmarkStart w:id="0" w:name="_GoBack"/>
      <w:r>
        <w:rPr>
          <w:rFonts w:hint="eastAsia" w:ascii="宋体" w:hAnsi="宋体" w:cs="宋体"/>
          <w:b/>
          <w:sz w:val="24"/>
          <w:highlight w:val="none"/>
          <w:lang w:val="zh-CN"/>
        </w:rPr>
        <w:t>商务技术分</w:t>
      </w:r>
      <w:bookmarkEnd w:id="0"/>
      <w:r>
        <w:rPr>
          <w:rFonts w:hint="eastAsia" w:ascii="宋体" w:hAnsi="宋体" w:cs="宋体"/>
          <w:b/>
          <w:sz w:val="24"/>
          <w:highlight w:val="none"/>
          <w:lang w:val="zh-CN"/>
        </w:rPr>
        <w:t>（</w:t>
      </w:r>
      <w:r>
        <w:rPr>
          <w:rFonts w:hint="eastAsia" w:ascii="宋体" w:hAnsi="宋体" w:cs="宋体"/>
          <w:b/>
          <w:sz w:val="24"/>
          <w:highlight w:val="none"/>
        </w:rPr>
        <w:t>9</w:t>
      </w:r>
      <w:r>
        <w:rPr>
          <w:rFonts w:hint="eastAsia" w:ascii="宋体" w:hAnsi="宋体" w:cs="宋体"/>
          <w:b/>
          <w:sz w:val="24"/>
          <w:highlight w:val="none"/>
          <w:lang w:val="zh-CN"/>
        </w:rPr>
        <w:t>0分）</w:t>
      </w:r>
    </w:p>
    <w:p w14:paraId="787C2CF3">
      <w:pPr>
        <w:snapToGrid w:val="0"/>
        <w:spacing w:line="360" w:lineRule="auto"/>
        <w:ind w:firstLine="480"/>
        <w:contextualSpacing/>
        <w:jc w:val="left"/>
        <w:rPr>
          <w:rFonts w:hint="eastAsia" w:ascii="宋体" w:hAnsi="宋体" w:cs="宋体"/>
          <w:sz w:val="24"/>
          <w:highlight w:val="none"/>
        </w:rPr>
      </w:pPr>
      <w:r>
        <w:rPr>
          <w:rFonts w:hint="eastAsia" w:ascii="宋体" w:hAnsi="宋体" w:cs="宋体"/>
          <w:sz w:val="24"/>
          <w:highlight w:val="none"/>
        </w:rPr>
        <w:t>供应商得分为磋商小组成员评分的算术平均分,分值四舍五入保留小数点后两位。</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98"/>
        <w:gridCol w:w="655"/>
        <w:gridCol w:w="1309"/>
        <w:gridCol w:w="5767"/>
        <w:gridCol w:w="339"/>
        <w:gridCol w:w="339"/>
        <w:gridCol w:w="350"/>
      </w:tblGrid>
      <w:tr w14:paraId="6726C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0" w:hRule="atLeast"/>
        </w:trPr>
        <w:tc>
          <w:tcPr>
            <w:tcW w:w="0" w:type="auto"/>
            <w:vAlign w:val="center"/>
          </w:tcPr>
          <w:p w14:paraId="56BE2071">
            <w:pPr>
              <w:snapToGrid w:val="0"/>
              <w:jc w:val="center"/>
              <w:rPr>
                <w:sz w:val="24"/>
                <w:highlight w:val="none"/>
              </w:rPr>
            </w:pPr>
            <w:r>
              <w:rPr>
                <w:sz w:val="24"/>
                <w:highlight w:val="none"/>
              </w:rPr>
              <w:t>序号</w:t>
            </w:r>
          </w:p>
        </w:tc>
        <w:tc>
          <w:tcPr>
            <w:tcW w:w="0" w:type="auto"/>
            <w:gridSpan w:val="2"/>
            <w:vAlign w:val="center"/>
          </w:tcPr>
          <w:p w14:paraId="5CDFC838">
            <w:pPr>
              <w:snapToGrid w:val="0"/>
              <w:jc w:val="center"/>
              <w:rPr>
                <w:sz w:val="24"/>
                <w:highlight w:val="none"/>
              </w:rPr>
            </w:pPr>
            <w:r>
              <w:rPr>
                <w:sz w:val="24"/>
                <w:highlight w:val="none"/>
              </w:rPr>
              <w:t>评分内容</w:t>
            </w:r>
          </w:p>
        </w:tc>
        <w:tc>
          <w:tcPr>
            <w:tcW w:w="0" w:type="auto"/>
            <w:vAlign w:val="center"/>
          </w:tcPr>
          <w:p w14:paraId="5AC528E4">
            <w:pPr>
              <w:snapToGrid w:val="0"/>
              <w:jc w:val="center"/>
              <w:rPr>
                <w:sz w:val="24"/>
                <w:highlight w:val="none"/>
              </w:rPr>
            </w:pPr>
            <w:r>
              <w:rPr>
                <w:sz w:val="24"/>
                <w:highlight w:val="none"/>
              </w:rPr>
              <w:t>评分标准</w:t>
            </w:r>
          </w:p>
        </w:tc>
        <w:tc>
          <w:tcPr>
            <w:tcW w:w="0" w:type="auto"/>
            <w:vAlign w:val="center"/>
          </w:tcPr>
          <w:p w14:paraId="433AA45F">
            <w:pPr>
              <w:snapToGrid w:val="0"/>
              <w:jc w:val="center"/>
              <w:rPr>
                <w:sz w:val="24"/>
                <w:highlight w:val="none"/>
              </w:rPr>
            </w:pPr>
            <w:r>
              <w:rPr>
                <w:sz w:val="24"/>
                <w:highlight w:val="none"/>
              </w:rPr>
              <w:t>最高分</w:t>
            </w:r>
          </w:p>
        </w:tc>
        <w:tc>
          <w:tcPr>
            <w:tcW w:w="0" w:type="auto"/>
            <w:vAlign w:val="center"/>
          </w:tcPr>
          <w:p w14:paraId="65E5E636">
            <w:pPr>
              <w:snapToGrid w:val="0"/>
              <w:jc w:val="center"/>
              <w:rPr>
                <w:sz w:val="24"/>
                <w:highlight w:val="none"/>
              </w:rPr>
            </w:pPr>
            <w:r>
              <w:rPr>
                <w:sz w:val="24"/>
                <w:highlight w:val="none"/>
              </w:rPr>
              <w:t>最低分</w:t>
            </w:r>
          </w:p>
        </w:tc>
        <w:tc>
          <w:tcPr>
            <w:tcW w:w="0" w:type="auto"/>
            <w:vAlign w:val="center"/>
          </w:tcPr>
          <w:p w14:paraId="2B7A0144">
            <w:pPr>
              <w:snapToGrid w:val="0"/>
              <w:jc w:val="center"/>
              <w:rPr>
                <w:sz w:val="24"/>
                <w:highlight w:val="none"/>
              </w:rPr>
            </w:pPr>
            <w:r>
              <w:rPr>
                <w:sz w:val="24"/>
                <w:highlight w:val="none"/>
              </w:rPr>
              <w:t>主/客观</w:t>
            </w:r>
          </w:p>
        </w:tc>
      </w:tr>
      <w:tr w14:paraId="6F647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99" w:hRule="atLeast"/>
        </w:trPr>
        <w:tc>
          <w:tcPr>
            <w:tcW w:w="0" w:type="auto"/>
            <w:vAlign w:val="center"/>
          </w:tcPr>
          <w:p w14:paraId="2F9DBF3F">
            <w:pPr>
              <w:snapToGrid w:val="0"/>
              <w:jc w:val="center"/>
              <w:rPr>
                <w:sz w:val="24"/>
                <w:highlight w:val="none"/>
              </w:rPr>
            </w:pPr>
            <w:r>
              <w:rPr>
                <w:sz w:val="24"/>
                <w:highlight w:val="none"/>
              </w:rPr>
              <w:t>1</w:t>
            </w:r>
          </w:p>
        </w:tc>
        <w:tc>
          <w:tcPr>
            <w:tcW w:w="0" w:type="auto"/>
            <w:gridSpan w:val="2"/>
            <w:vAlign w:val="center"/>
          </w:tcPr>
          <w:p w14:paraId="5F75D441">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供应商业绩</w:t>
            </w:r>
          </w:p>
          <w:p w14:paraId="3ADE1744">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（30分）</w:t>
            </w:r>
          </w:p>
        </w:tc>
        <w:tc>
          <w:tcPr>
            <w:tcW w:w="0" w:type="auto"/>
            <w:vAlign w:val="center"/>
          </w:tcPr>
          <w:p w14:paraId="20DD879A">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供应商自202</w:t>
            </w: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年1月1日以来（以合同签订时间为准）完成过</w:t>
            </w:r>
            <w:r>
              <w:rPr>
                <w:rFonts w:hint="eastAsia" w:ascii="Times New Roman" w:hAnsi="宋体" w:eastAsia="宋体" w:cs="Times New Roman"/>
                <w:szCs w:val="21"/>
                <w:highlight w:val="none"/>
                <w:lang w:val="en-US" w:eastAsia="zh-CN"/>
              </w:rPr>
              <w:t>高速公路或快速路</w:t>
            </w:r>
            <w:r>
              <w:rPr>
                <w:rFonts w:hint="eastAsia" w:ascii="Times New Roman" w:hAnsi="宋体" w:eastAsia="宋体" w:cs="Times New Roman"/>
                <w:szCs w:val="21"/>
                <w:highlight w:val="none"/>
              </w:rPr>
              <w:t>新建（或改建或扩建）</w:t>
            </w:r>
            <w:r>
              <w:rPr>
                <w:rFonts w:hint="eastAsia" w:ascii="Times New Roman" w:hAnsi="宋体" w:eastAsia="宋体" w:cs="Times New Roman"/>
                <w:szCs w:val="21"/>
                <w:highlight w:val="none"/>
                <w:lang w:eastAsia="zh-CN"/>
              </w:rPr>
              <w:t>的</w:t>
            </w:r>
            <w:r>
              <w:rPr>
                <w:rFonts w:hint="eastAsia" w:ascii="Times New Roman" w:hAnsi="宋体" w:eastAsia="宋体" w:cs="Times New Roman"/>
                <w:szCs w:val="21"/>
                <w:highlight w:val="none"/>
              </w:rPr>
              <w:t>方案研究（或预可行性研究或可行性研究）项目。每提供一个得</w:t>
            </w:r>
            <w:r>
              <w:rPr>
                <w:rFonts w:hint="eastAsia" w:ascii="Times New Roman" w:hAnsi="宋体" w:eastAsia="宋体" w:cs="Times New Roman"/>
                <w:szCs w:val="21"/>
                <w:highlight w:val="none"/>
                <w:lang w:val="en-US" w:eastAsia="zh-CN"/>
              </w:rPr>
              <w:t>6</w:t>
            </w:r>
            <w:r>
              <w:rPr>
                <w:rFonts w:hint="eastAsia" w:ascii="Times New Roman" w:hAnsi="宋体" w:eastAsia="宋体" w:cs="Times New Roman"/>
                <w:szCs w:val="21"/>
                <w:highlight w:val="none"/>
              </w:rPr>
              <w:t>分，最高得</w:t>
            </w:r>
            <w:r>
              <w:rPr>
                <w:rFonts w:hint="eastAsia" w:ascii="Times New Roman" w:hAnsi="宋体" w:eastAsia="宋体" w:cs="Times New Roman"/>
                <w:szCs w:val="21"/>
                <w:highlight w:val="none"/>
                <w:lang w:val="en-US" w:eastAsia="zh-CN"/>
              </w:rPr>
              <w:t>18</w:t>
            </w:r>
            <w:r>
              <w:rPr>
                <w:rFonts w:hint="eastAsia" w:ascii="Times New Roman" w:hAnsi="宋体" w:eastAsia="宋体" w:cs="Times New Roman"/>
                <w:szCs w:val="21"/>
                <w:highlight w:val="none"/>
              </w:rPr>
              <w:t>分。</w:t>
            </w:r>
          </w:p>
          <w:p w14:paraId="32413BF9">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2、</w:t>
            </w:r>
            <w:r>
              <w:rPr>
                <w:rFonts w:hint="eastAsia" w:ascii="Times New Roman" w:hAnsi="宋体" w:eastAsia="宋体" w:cs="Times New Roman"/>
                <w:szCs w:val="21"/>
                <w:highlight w:val="none"/>
              </w:rPr>
              <w:t>供应商自202</w:t>
            </w: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年1月1日以来（以合同签订时间为准）完成过一级公路新建（或改建或扩建）的方案研究（或预可行性研究或可行性研究）项目。每提供一个得</w:t>
            </w:r>
            <w:r>
              <w:rPr>
                <w:rFonts w:hint="eastAsia" w:ascii="Times New Roman" w:hAnsi="宋体" w:eastAsia="宋体" w:cs="Times New Roman"/>
                <w:szCs w:val="21"/>
                <w:highlight w:val="none"/>
                <w:lang w:val="en-US" w:eastAsia="zh-CN"/>
              </w:rPr>
              <w:t>4</w:t>
            </w:r>
            <w:r>
              <w:rPr>
                <w:rFonts w:hint="eastAsia" w:ascii="Times New Roman" w:hAnsi="宋体" w:eastAsia="宋体" w:cs="Times New Roman"/>
                <w:szCs w:val="21"/>
                <w:highlight w:val="none"/>
              </w:rPr>
              <w:t>分，最高得</w:t>
            </w:r>
            <w:r>
              <w:rPr>
                <w:rFonts w:hint="eastAsia" w:ascii="Times New Roman" w:hAnsi="宋体" w:eastAsia="宋体" w:cs="Times New Roman"/>
                <w:szCs w:val="21"/>
                <w:highlight w:val="none"/>
                <w:lang w:val="en-US" w:eastAsia="zh-CN"/>
              </w:rPr>
              <w:t>12</w:t>
            </w:r>
            <w:r>
              <w:rPr>
                <w:rFonts w:hint="eastAsia" w:ascii="Times New Roman" w:hAnsi="宋体" w:eastAsia="宋体" w:cs="Times New Roman"/>
                <w:szCs w:val="21"/>
                <w:highlight w:val="none"/>
              </w:rPr>
              <w:t>分。</w:t>
            </w:r>
          </w:p>
          <w:p w14:paraId="595ED1D6">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注：1、须同时提供中标通知书、与项目业主单位直接签订的合同上述材料须同时提供且信息一致，否则不得分。</w:t>
            </w:r>
          </w:p>
          <w:p w14:paraId="3590455E">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2</w:t>
            </w:r>
            <w:r>
              <w:rPr>
                <w:rFonts w:hint="eastAsia" w:ascii="Times New Roman" w:hAnsi="宋体" w:eastAsia="宋体" w:cs="Times New Roman"/>
                <w:szCs w:val="21"/>
                <w:highlight w:val="none"/>
              </w:rPr>
              <w:t>、</w:t>
            </w:r>
            <w:r>
              <w:rPr>
                <w:rFonts w:hint="eastAsia" w:ascii="Times New Roman" w:hAnsi="宋体" w:eastAsia="宋体" w:cs="Times New Roman"/>
                <w:szCs w:val="21"/>
                <w:highlight w:val="none"/>
                <w:lang w:eastAsia="zh-CN"/>
              </w:rPr>
              <w:t>须提供</w:t>
            </w:r>
            <w:r>
              <w:rPr>
                <w:rFonts w:hint="eastAsia" w:ascii="Times New Roman" w:hAnsi="宋体" w:eastAsia="宋体" w:cs="Times New Roman"/>
                <w:szCs w:val="21"/>
                <w:highlight w:val="none"/>
              </w:rPr>
              <w:t>项目验收</w:t>
            </w:r>
            <w:r>
              <w:rPr>
                <w:rFonts w:hint="eastAsia" w:ascii="Times New Roman" w:hAnsi="宋体" w:eastAsia="宋体" w:cs="Times New Roman"/>
                <w:szCs w:val="21"/>
                <w:highlight w:val="none"/>
                <w:lang w:eastAsia="zh-CN"/>
              </w:rPr>
              <w:t>材料或项目</w:t>
            </w:r>
            <w:r>
              <w:rPr>
                <w:rFonts w:hint="eastAsia" w:ascii="Times New Roman" w:hAnsi="宋体" w:eastAsia="宋体" w:cs="Times New Roman"/>
                <w:szCs w:val="21"/>
                <w:highlight w:val="none"/>
              </w:rPr>
              <w:t>业主单位加盖公章的</w:t>
            </w:r>
            <w:r>
              <w:rPr>
                <w:rFonts w:hint="eastAsia" w:ascii="Times New Roman" w:hAnsi="宋体" w:eastAsia="宋体" w:cs="Times New Roman"/>
                <w:szCs w:val="21"/>
                <w:highlight w:val="none"/>
                <w:lang w:eastAsia="zh-CN"/>
              </w:rPr>
              <w:t>完工</w:t>
            </w:r>
            <w:r>
              <w:rPr>
                <w:rFonts w:hint="eastAsia" w:ascii="Times New Roman" w:hAnsi="宋体" w:eastAsia="宋体" w:cs="Times New Roman"/>
                <w:szCs w:val="21"/>
                <w:highlight w:val="none"/>
              </w:rPr>
              <w:t>证明材料的复印件或扫描件</w:t>
            </w:r>
            <w:r>
              <w:rPr>
                <w:rFonts w:hint="eastAsia" w:ascii="Times New Roman" w:hAnsi="宋体" w:eastAsia="宋体" w:cs="Times New Roman"/>
                <w:szCs w:val="21"/>
                <w:highlight w:val="none"/>
                <w:lang w:eastAsia="zh-CN"/>
              </w:rPr>
              <w:t>。</w:t>
            </w:r>
          </w:p>
          <w:p w14:paraId="15F8AC91">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3</w:t>
            </w:r>
            <w:r>
              <w:rPr>
                <w:rFonts w:hint="eastAsia" w:ascii="Times New Roman" w:hAnsi="宋体" w:eastAsia="宋体" w:cs="Times New Roman"/>
                <w:szCs w:val="21"/>
                <w:highlight w:val="none"/>
              </w:rPr>
              <w:t>、上述材料提供不全或未提供的不得分。</w:t>
            </w:r>
          </w:p>
        </w:tc>
        <w:tc>
          <w:tcPr>
            <w:tcW w:w="0" w:type="auto"/>
            <w:vAlign w:val="center"/>
          </w:tcPr>
          <w:p w14:paraId="79EA861A">
            <w:pPr>
              <w:snapToGrid w:val="0"/>
              <w:jc w:val="center"/>
              <w:rPr>
                <w:sz w:val="24"/>
                <w:highlight w:val="none"/>
              </w:rPr>
            </w:pPr>
            <w:r>
              <w:rPr>
                <w:rFonts w:hint="eastAsia"/>
                <w:sz w:val="24"/>
                <w:highlight w:val="none"/>
              </w:rPr>
              <w:t>30</w:t>
            </w:r>
            <w:r>
              <w:rPr>
                <w:sz w:val="24"/>
                <w:highlight w:val="none"/>
              </w:rPr>
              <w:t>分</w:t>
            </w:r>
          </w:p>
        </w:tc>
        <w:tc>
          <w:tcPr>
            <w:tcW w:w="0" w:type="auto"/>
            <w:vAlign w:val="center"/>
          </w:tcPr>
          <w:p w14:paraId="54B4E225">
            <w:pPr>
              <w:snapToGrid w:val="0"/>
              <w:jc w:val="center"/>
              <w:rPr>
                <w:sz w:val="24"/>
                <w:highlight w:val="none"/>
              </w:rPr>
            </w:pPr>
            <w:r>
              <w:rPr>
                <w:sz w:val="24"/>
                <w:highlight w:val="none"/>
              </w:rPr>
              <w:t>0分</w:t>
            </w:r>
          </w:p>
        </w:tc>
        <w:tc>
          <w:tcPr>
            <w:tcW w:w="0" w:type="auto"/>
            <w:vAlign w:val="center"/>
          </w:tcPr>
          <w:p w14:paraId="07326D96">
            <w:pPr>
              <w:snapToGrid w:val="0"/>
              <w:jc w:val="center"/>
              <w:rPr>
                <w:sz w:val="24"/>
                <w:highlight w:val="none"/>
              </w:rPr>
            </w:pPr>
            <w:r>
              <w:rPr>
                <w:rFonts w:hint="eastAsia"/>
                <w:sz w:val="24"/>
                <w:highlight w:val="none"/>
              </w:rPr>
              <w:t>客</w:t>
            </w:r>
            <w:r>
              <w:rPr>
                <w:sz w:val="24"/>
                <w:highlight w:val="none"/>
              </w:rPr>
              <w:t>观</w:t>
            </w:r>
          </w:p>
        </w:tc>
      </w:tr>
      <w:tr w14:paraId="1BC752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59" w:hRule="atLeast"/>
        </w:trPr>
        <w:tc>
          <w:tcPr>
            <w:tcW w:w="0" w:type="auto"/>
            <w:vMerge w:val="restart"/>
            <w:vAlign w:val="center"/>
          </w:tcPr>
          <w:p w14:paraId="7889BD61">
            <w:pPr>
              <w:snapToGrid w:val="0"/>
              <w:jc w:val="center"/>
              <w:rPr>
                <w:sz w:val="24"/>
                <w:highlight w:val="none"/>
              </w:rPr>
            </w:pPr>
            <w:r>
              <w:rPr>
                <w:sz w:val="24"/>
                <w:highlight w:val="none"/>
              </w:rPr>
              <w:t>2</w:t>
            </w:r>
          </w:p>
        </w:tc>
        <w:tc>
          <w:tcPr>
            <w:tcW w:w="0" w:type="auto"/>
            <w:gridSpan w:val="2"/>
            <w:vMerge w:val="restart"/>
            <w:vAlign w:val="center"/>
          </w:tcPr>
          <w:p w14:paraId="4E0A4BA6">
            <w:pPr>
              <w:ind w:left="42" w:leftChars="20" w:right="42" w:rightChars="20"/>
              <w:jc w:val="center"/>
              <w:rPr>
                <w:szCs w:val="21"/>
                <w:highlight w:val="none"/>
              </w:rPr>
            </w:pPr>
            <w:r>
              <w:rPr>
                <w:rFonts w:hAnsi="宋体"/>
                <w:szCs w:val="21"/>
                <w:highlight w:val="none"/>
              </w:rPr>
              <w:t>项目负责人</w:t>
            </w:r>
          </w:p>
          <w:p w14:paraId="30292CC0">
            <w:pPr>
              <w:ind w:left="42" w:leftChars="20" w:right="42" w:rightChars="20"/>
              <w:jc w:val="center"/>
              <w:rPr>
                <w:sz w:val="24"/>
                <w:highlight w:val="none"/>
              </w:rPr>
            </w:pPr>
            <w:r>
              <w:rPr>
                <w:rFonts w:hAnsi="宋体"/>
                <w:szCs w:val="21"/>
                <w:highlight w:val="none"/>
              </w:rPr>
              <w:t>（</w:t>
            </w:r>
            <w:r>
              <w:rPr>
                <w:rFonts w:hint="eastAsia"/>
                <w:szCs w:val="21"/>
                <w:highlight w:val="none"/>
              </w:rPr>
              <w:t>18</w:t>
            </w:r>
            <w:r>
              <w:rPr>
                <w:rFonts w:hAnsi="宋体"/>
                <w:szCs w:val="21"/>
                <w:highlight w:val="none"/>
              </w:rPr>
              <w:t>分）</w:t>
            </w:r>
          </w:p>
        </w:tc>
        <w:tc>
          <w:tcPr>
            <w:tcW w:w="0" w:type="auto"/>
            <w:vAlign w:val="center"/>
          </w:tcPr>
          <w:p w14:paraId="6F6D9801">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拟投入的项目负责人具有公路工程相关专业中级职称的得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分；具有公路工程相关专业高级或以上职称得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r>
              <w:rPr>
                <w:rFonts w:hint="eastAsia" w:ascii="Calibri" w:hAnsi="宋体" w:eastAsia="宋体" w:cs="宋体"/>
                <w:kern w:val="2"/>
                <w:szCs w:val="21"/>
                <w:highlight w:val="none"/>
                <w:lang w:eastAsia="zh-CN"/>
              </w:rPr>
              <w:t>本项仅计分一次，最高得</w:t>
            </w:r>
            <w:r>
              <w:rPr>
                <w:rFonts w:hint="eastAsia" w:ascii="Calibri" w:hAnsi="宋体" w:eastAsia="宋体" w:cs="宋体"/>
                <w:kern w:val="2"/>
                <w:szCs w:val="21"/>
                <w:highlight w:val="none"/>
                <w:lang w:val="en-US" w:eastAsia="zh-CN"/>
              </w:rPr>
              <w:t>6分。</w:t>
            </w:r>
          </w:p>
          <w:p w14:paraId="5391D518">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w:t>
            </w:r>
            <w:r>
              <w:rPr>
                <w:rFonts w:hint="eastAsia" w:ascii="Calibri" w:hAnsi="宋体" w:eastAsia="宋体" w:cs="宋体"/>
                <w:kern w:val="2"/>
                <w:szCs w:val="21"/>
                <w:highlight w:val="none"/>
                <w:lang w:eastAsia="zh-CN"/>
              </w:rPr>
              <w:t>打分项</w:t>
            </w:r>
            <w:r>
              <w:rPr>
                <w:rFonts w:hint="eastAsia" w:ascii="Calibri" w:hAnsi="宋体" w:eastAsia="宋体" w:cs="宋体"/>
                <w:kern w:val="2"/>
                <w:szCs w:val="21"/>
                <w:highlight w:val="none"/>
              </w:rPr>
              <w:t>不得分。</w:t>
            </w:r>
          </w:p>
          <w:p w14:paraId="65E9998E">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lang w:eastAsia="zh-CN"/>
              </w:rPr>
              <w:t>须</w:t>
            </w:r>
            <w:r>
              <w:rPr>
                <w:rFonts w:hint="eastAsia" w:ascii="Calibri" w:hAnsi="宋体" w:eastAsia="宋体" w:cs="宋体"/>
                <w:kern w:val="2"/>
                <w:szCs w:val="21"/>
                <w:highlight w:val="none"/>
              </w:rPr>
              <w:t>提供证书原件的扫描件</w:t>
            </w:r>
            <w:r>
              <w:rPr>
                <w:rFonts w:hint="eastAsia" w:ascii="Calibri" w:hAnsi="宋体" w:eastAsia="宋体" w:cs="宋体"/>
                <w:kern w:val="2"/>
                <w:szCs w:val="21"/>
                <w:highlight w:val="none"/>
                <w:lang w:eastAsia="zh-CN"/>
              </w:rPr>
              <w:t>，</w:t>
            </w:r>
            <w:r>
              <w:rPr>
                <w:rFonts w:hint="eastAsia" w:ascii="Calibri" w:hAnsi="宋体" w:eastAsia="宋体" w:cs="宋体"/>
                <w:kern w:val="2"/>
                <w:szCs w:val="21"/>
                <w:highlight w:val="none"/>
              </w:rPr>
              <w:t>若为电子证书则还须提供查询渠道。</w:t>
            </w:r>
          </w:p>
          <w:p w14:paraId="75CCE825">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上述材料提供不全或未提供的不得分。</w:t>
            </w:r>
          </w:p>
          <w:p w14:paraId="0AD265C0">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公路工程相关专业包括公路工程、桥梁工程、公路与桥梁工程、交通土建、隧道（地下结构）工程、交通工程专业职称。</w:t>
            </w:r>
          </w:p>
        </w:tc>
        <w:tc>
          <w:tcPr>
            <w:tcW w:w="0" w:type="auto"/>
            <w:vAlign w:val="center"/>
          </w:tcPr>
          <w:p w14:paraId="67D1DC05">
            <w:pPr>
              <w:snapToGrid w:val="0"/>
              <w:jc w:val="center"/>
              <w:rPr>
                <w:sz w:val="24"/>
                <w:highlight w:val="none"/>
              </w:rPr>
            </w:pPr>
            <w:r>
              <w:rPr>
                <w:rFonts w:hint="eastAsia" w:ascii="Times New Roman" w:eastAsia="宋体"/>
                <w:sz w:val="24"/>
                <w:highlight w:val="none"/>
                <w:lang w:val="en-US" w:eastAsia="zh-CN"/>
              </w:rPr>
              <w:t>6</w:t>
            </w:r>
            <w:r>
              <w:rPr>
                <w:sz w:val="24"/>
                <w:highlight w:val="none"/>
              </w:rPr>
              <w:t>分</w:t>
            </w:r>
          </w:p>
        </w:tc>
        <w:tc>
          <w:tcPr>
            <w:tcW w:w="0" w:type="auto"/>
            <w:vAlign w:val="center"/>
          </w:tcPr>
          <w:p w14:paraId="0955D6EC">
            <w:pPr>
              <w:snapToGrid w:val="0"/>
              <w:jc w:val="center"/>
              <w:rPr>
                <w:sz w:val="24"/>
                <w:highlight w:val="none"/>
              </w:rPr>
            </w:pPr>
            <w:r>
              <w:rPr>
                <w:sz w:val="24"/>
                <w:highlight w:val="none"/>
              </w:rPr>
              <w:t>0分</w:t>
            </w:r>
          </w:p>
        </w:tc>
        <w:tc>
          <w:tcPr>
            <w:tcW w:w="0" w:type="auto"/>
            <w:vAlign w:val="center"/>
          </w:tcPr>
          <w:p w14:paraId="3AFDA243">
            <w:pPr>
              <w:snapToGrid w:val="0"/>
              <w:jc w:val="center"/>
              <w:rPr>
                <w:sz w:val="24"/>
                <w:highlight w:val="none"/>
              </w:rPr>
            </w:pPr>
            <w:r>
              <w:rPr>
                <w:rFonts w:hint="eastAsia"/>
                <w:sz w:val="24"/>
                <w:highlight w:val="none"/>
              </w:rPr>
              <w:t>客</w:t>
            </w:r>
            <w:r>
              <w:rPr>
                <w:sz w:val="24"/>
                <w:highlight w:val="none"/>
              </w:rPr>
              <w:t>观</w:t>
            </w:r>
          </w:p>
        </w:tc>
      </w:tr>
      <w:tr w14:paraId="17E7A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58" w:hRule="atLeast"/>
        </w:trPr>
        <w:tc>
          <w:tcPr>
            <w:tcW w:w="0" w:type="auto"/>
            <w:vMerge w:val="continue"/>
            <w:vAlign w:val="center"/>
          </w:tcPr>
          <w:p w14:paraId="4BA5A77A">
            <w:pPr>
              <w:snapToGrid w:val="0"/>
              <w:jc w:val="center"/>
              <w:rPr>
                <w:sz w:val="24"/>
                <w:highlight w:val="none"/>
              </w:rPr>
            </w:pPr>
          </w:p>
        </w:tc>
        <w:tc>
          <w:tcPr>
            <w:tcW w:w="0" w:type="auto"/>
            <w:gridSpan w:val="2"/>
            <w:vMerge w:val="continue"/>
            <w:vAlign w:val="center"/>
          </w:tcPr>
          <w:p w14:paraId="69246240">
            <w:pPr>
              <w:ind w:left="42" w:leftChars="20" w:right="42" w:rightChars="20"/>
              <w:jc w:val="center"/>
              <w:rPr>
                <w:sz w:val="24"/>
                <w:highlight w:val="none"/>
              </w:rPr>
            </w:pPr>
          </w:p>
        </w:tc>
        <w:tc>
          <w:tcPr>
            <w:tcW w:w="0" w:type="auto"/>
            <w:vAlign w:val="center"/>
          </w:tcPr>
          <w:p w14:paraId="1EB5D588">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w:t>
            </w:r>
            <w:r>
              <w:rPr>
                <w:rFonts w:hint="eastAsia" w:ascii="Calibri" w:hAnsi="宋体" w:eastAsia="宋体" w:cs="宋体"/>
                <w:kern w:val="2"/>
                <w:szCs w:val="21"/>
                <w:highlight w:val="none"/>
                <w:lang w:eastAsia="zh-CN"/>
              </w:rPr>
              <w:t>担任过已完成的</w:t>
            </w:r>
            <w:r>
              <w:rPr>
                <w:rFonts w:hint="eastAsia" w:ascii="Calibri" w:hAnsi="宋体" w:eastAsia="宋体" w:cs="宋体"/>
                <w:kern w:val="2"/>
                <w:szCs w:val="21"/>
                <w:highlight w:val="none"/>
                <w:lang w:val="en-US" w:eastAsia="zh-CN"/>
              </w:rPr>
              <w:t>高速公路或快速路</w:t>
            </w:r>
            <w:r>
              <w:rPr>
                <w:rFonts w:hint="eastAsia" w:ascii="Calibri" w:hAnsi="宋体" w:eastAsia="宋体" w:cs="宋体"/>
                <w:kern w:val="2"/>
                <w:szCs w:val="21"/>
                <w:highlight w:val="none"/>
              </w:rPr>
              <w:t>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项目负责人。每提供一个业绩得</w:t>
            </w: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分，最高得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p>
          <w:p w14:paraId="2F1B47B1">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拟投入的项目负责人自202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年1月1日以来（以合同签订时间为准），担任过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一级公路新建（或改建或扩建）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方案研究（或预可行性研究或可行性研究）项目的项目负责人。每提供一个业绩得</w:t>
            </w: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分，最高得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p>
          <w:p w14:paraId="600FCEF1">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1~2点均不得分。</w:t>
            </w:r>
          </w:p>
          <w:p w14:paraId="4B2866E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须同时提供中标通知书、与项目业主单位直接签订的合同</w:t>
            </w:r>
            <w:r>
              <w:rPr>
                <w:rFonts w:hint="eastAsia" w:ascii="Calibri" w:hAnsi="宋体" w:eastAsia="宋体" w:cs="宋体"/>
                <w:kern w:val="2"/>
                <w:szCs w:val="21"/>
                <w:highlight w:val="none"/>
                <w:lang w:eastAsia="zh-CN"/>
              </w:rPr>
              <w:t>（若合同中未体现项目负责人姓名及岗位的不予认可）</w:t>
            </w:r>
            <w:r>
              <w:rPr>
                <w:rFonts w:hint="eastAsia" w:ascii="Calibri" w:hAnsi="宋体" w:eastAsia="宋体" w:cs="宋体"/>
                <w:kern w:val="2"/>
                <w:szCs w:val="21"/>
                <w:highlight w:val="none"/>
              </w:rPr>
              <w:t>上述材料须同时提供且信息一致，否则不得分。</w:t>
            </w:r>
          </w:p>
          <w:p w14:paraId="6246D416">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lang w:eastAsia="zh-CN"/>
              </w:rPr>
              <w:t>须提供</w:t>
            </w:r>
            <w:r>
              <w:rPr>
                <w:rFonts w:hint="eastAsia" w:ascii="Calibri" w:hAnsi="宋体" w:eastAsia="宋体" w:cs="宋体"/>
                <w:kern w:val="2"/>
                <w:szCs w:val="21"/>
                <w:highlight w:val="none"/>
              </w:rPr>
              <w:t>项目验收</w:t>
            </w:r>
            <w:r>
              <w:rPr>
                <w:rFonts w:hint="eastAsia" w:ascii="Calibri" w:hAnsi="宋体" w:eastAsia="宋体" w:cs="宋体"/>
                <w:kern w:val="2"/>
                <w:szCs w:val="21"/>
                <w:highlight w:val="none"/>
                <w:lang w:eastAsia="zh-CN"/>
              </w:rPr>
              <w:t>材料或项目</w:t>
            </w:r>
            <w:r>
              <w:rPr>
                <w:rFonts w:hint="eastAsia" w:ascii="Calibri" w:hAnsi="宋体" w:eastAsia="宋体" w:cs="宋体"/>
                <w:kern w:val="2"/>
                <w:szCs w:val="21"/>
                <w:highlight w:val="none"/>
              </w:rPr>
              <w:t>业主单位加盖公章的</w:t>
            </w:r>
            <w:r>
              <w:rPr>
                <w:rFonts w:hint="eastAsia" w:ascii="Calibri" w:hAnsi="宋体" w:eastAsia="宋体" w:cs="宋体"/>
                <w:kern w:val="2"/>
                <w:szCs w:val="21"/>
                <w:highlight w:val="none"/>
                <w:lang w:eastAsia="zh-CN"/>
              </w:rPr>
              <w:t>完工</w:t>
            </w:r>
            <w:r>
              <w:rPr>
                <w:rFonts w:hint="eastAsia" w:ascii="Calibri" w:hAnsi="宋体" w:eastAsia="宋体" w:cs="宋体"/>
                <w:kern w:val="2"/>
                <w:szCs w:val="21"/>
                <w:highlight w:val="none"/>
              </w:rPr>
              <w:t>证明材料的复印件或扫描件</w:t>
            </w:r>
            <w:r>
              <w:rPr>
                <w:rFonts w:hint="eastAsia" w:ascii="Calibri" w:hAnsi="宋体" w:eastAsia="宋体" w:cs="宋体"/>
                <w:kern w:val="2"/>
                <w:szCs w:val="21"/>
                <w:highlight w:val="none"/>
                <w:lang w:eastAsia="zh-CN"/>
              </w:rPr>
              <w:t>。</w:t>
            </w:r>
          </w:p>
          <w:p w14:paraId="10592FB9">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、上述材料提供不全或未提供的不得分。</w:t>
            </w:r>
          </w:p>
        </w:tc>
        <w:tc>
          <w:tcPr>
            <w:tcW w:w="0" w:type="auto"/>
            <w:vAlign w:val="center"/>
          </w:tcPr>
          <w:p w14:paraId="6E77D43B">
            <w:pPr>
              <w:snapToGrid w:val="0"/>
              <w:jc w:val="center"/>
              <w:rPr>
                <w:sz w:val="24"/>
                <w:highlight w:val="none"/>
              </w:rPr>
            </w:pPr>
            <w:r>
              <w:rPr>
                <w:rFonts w:hint="eastAsia" w:ascii="Times New Roman" w:eastAsia="宋体"/>
                <w:sz w:val="24"/>
                <w:highlight w:val="none"/>
                <w:lang w:val="en-US" w:eastAsia="zh-CN"/>
              </w:rPr>
              <w:t>12</w:t>
            </w:r>
            <w:r>
              <w:rPr>
                <w:sz w:val="24"/>
                <w:highlight w:val="none"/>
              </w:rPr>
              <w:t>分</w:t>
            </w:r>
          </w:p>
        </w:tc>
        <w:tc>
          <w:tcPr>
            <w:tcW w:w="0" w:type="auto"/>
            <w:vAlign w:val="center"/>
          </w:tcPr>
          <w:p w14:paraId="530E5AD3">
            <w:pPr>
              <w:snapToGrid w:val="0"/>
              <w:jc w:val="center"/>
              <w:rPr>
                <w:sz w:val="24"/>
                <w:highlight w:val="none"/>
              </w:rPr>
            </w:pPr>
            <w:r>
              <w:rPr>
                <w:sz w:val="24"/>
                <w:highlight w:val="none"/>
              </w:rPr>
              <w:t>0分</w:t>
            </w:r>
          </w:p>
        </w:tc>
        <w:tc>
          <w:tcPr>
            <w:tcW w:w="0" w:type="auto"/>
            <w:vAlign w:val="center"/>
          </w:tcPr>
          <w:p w14:paraId="0AB0F0A9">
            <w:pPr>
              <w:snapToGrid w:val="0"/>
              <w:jc w:val="center"/>
              <w:rPr>
                <w:sz w:val="24"/>
                <w:highlight w:val="none"/>
              </w:rPr>
            </w:pPr>
            <w:r>
              <w:rPr>
                <w:rFonts w:hint="eastAsia"/>
                <w:sz w:val="24"/>
                <w:highlight w:val="none"/>
              </w:rPr>
              <w:t>客</w:t>
            </w:r>
            <w:r>
              <w:rPr>
                <w:sz w:val="24"/>
                <w:highlight w:val="none"/>
              </w:rPr>
              <w:t>观</w:t>
            </w:r>
          </w:p>
        </w:tc>
      </w:tr>
      <w:tr w14:paraId="30FFAE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restart"/>
            <w:vAlign w:val="center"/>
          </w:tcPr>
          <w:p w14:paraId="70A938C6">
            <w:pPr>
              <w:snapToGrid w:val="0"/>
              <w:jc w:val="center"/>
              <w:rPr>
                <w:sz w:val="24"/>
                <w:highlight w:val="none"/>
              </w:rPr>
            </w:pPr>
            <w:r>
              <w:rPr>
                <w:sz w:val="24"/>
                <w:highlight w:val="none"/>
              </w:rPr>
              <w:t>3</w:t>
            </w:r>
          </w:p>
        </w:tc>
        <w:tc>
          <w:tcPr>
            <w:tcW w:w="0" w:type="auto"/>
            <w:gridSpan w:val="2"/>
            <w:vMerge w:val="restart"/>
            <w:vAlign w:val="center"/>
          </w:tcPr>
          <w:p w14:paraId="3ED5D547">
            <w:pPr>
              <w:jc w:val="center"/>
              <w:rPr>
                <w:szCs w:val="21"/>
                <w:highlight w:val="none"/>
              </w:rPr>
            </w:pPr>
            <w:r>
              <w:rPr>
                <w:rFonts w:hAnsi="宋体"/>
                <w:szCs w:val="21"/>
                <w:highlight w:val="none"/>
              </w:rPr>
              <w:t>项目组其他成员</w:t>
            </w:r>
          </w:p>
          <w:p w14:paraId="16F527D5">
            <w:pPr>
              <w:snapToGrid w:val="0"/>
              <w:jc w:val="center"/>
              <w:rPr>
                <w:sz w:val="24"/>
                <w:highlight w:val="none"/>
              </w:rPr>
            </w:pPr>
            <w:r>
              <w:rPr>
                <w:rFonts w:hAnsi="宋体"/>
                <w:szCs w:val="21"/>
                <w:highlight w:val="none"/>
              </w:rPr>
              <w:t>（</w:t>
            </w:r>
            <w:r>
              <w:rPr>
                <w:szCs w:val="21"/>
                <w:highlight w:val="none"/>
              </w:rPr>
              <w:t>1</w:t>
            </w:r>
            <w:r>
              <w:rPr>
                <w:rFonts w:hint="eastAsia"/>
                <w:szCs w:val="21"/>
                <w:highlight w:val="none"/>
              </w:rPr>
              <w:t>2</w:t>
            </w:r>
            <w:r>
              <w:rPr>
                <w:rFonts w:hAnsi="宋体"/>
                <w:szCs w:val="21"/>
                <w:highlight w:val="none"/>
              </w:rPr>
              <w:t>分）</w:t>
            </w:r>
          </w:p>
        </w:tc>
        <w:tc>
          <w:tcPr>
            <w:tcW w:w="0" w:type="auto"/>
            <w:vAlign w:val="center"/>
          </w:tcPr>
          <w:p w14:paraId="6E3CB21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项目组其他成员（除项目负责人以外）具有公路工程相关专业中级或以上技术职称的，有一人得</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分，最多得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w:t>
            </w:r>
          </w:p>
          <w:p w14:paraId="33B1FEA6">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同一人有多种证书的，仅计分一次。</w:t>
            </w:r>
          </w:p>
          <w:p w14:paraId="6212D1D2">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2、须</w:t>
            </w:r>
            <w:r>
              <w:rPr>
                <w:rFonts w:hint="eastAsia" w:ascii="Calibri" w:hAnsi="宋体" w:eastAsia="宋体" w:cs="宋体"/>
                <w:kern w:val="2"/>
                <w:szCs w:val="21"/>
                <w:highlight w:val="none"/>
              </w:rPr>
              <w:t>提供证书原件的扫描件，若为电子证书则还须提供查询渠道。</w:t>
            </w:r>
          </w:p>
          <w:p w14:paraId="1581936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提供上述证书的人员须为供应商自有员工，出具供应商为其缴纳的近三个月内任意一个月的社保缴费清单原件的扫描件（缴费清单须由社保机构盖章或为社保机构网站下载的带有社保机构电子印章的缴费清单，供应商下属不具备独立法人资格的分支机构缴纳的社保视为本单位）。</w:t>
            </w:r>
          </w:p>
          <w:p w14:paraId="3516625C">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上述材料须同时提供且信息一致，否则不得分。</w:t>
            </w:r>
          </w:p>
          <w:p w14:paraId="1124A37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5、</w:t>
            </w:r>
            <w:r>
              <w:rPr>
                <w:rFonts w:hint="eastAsia" w:ascii="Calibri" w:hAnsi="宋体" w:eastAsia="宋体" w:cs="宋体"/>
                <w:kern w:val="2"/>
                <w:szCs w:val="21"/>
                <w:highlight w:val="none"/>
              </w:rPr>
              <w:t>公路工程相关专业包括公路工程、桥梁工程、公路与桥梁工程、交通土建、隧道（地下结构）工程、交通工程专业职称。</w:t>
            </w:r>
          </w:p>
        </w:tc>
        <w:tc>
          <w:tcPr>
            <w:tcW w:w="0" w:type="auto"/>
            <w:vAlign w:val="center"/>
          </w:tcPr>
          <w:p w14:paraId="42ACE2C4">
            <w:pPr>
              <w:snapToGrid w:val="0"/>
              <w:jc w:val="center"/>
              <w:rPr>
                <w:sz w:val="24"/>
                <w:highlight w:val="none"/>
              </w:rPr>
            </w:pPr>
            <w:r>
              <w:rPr>
                <w:rFonts w:hint="eastAsia" w:ascii="Times New Roman" w:eastAsia="宋体"/>
                <w:sz w:val="24"/>
                <w:highlight w:val="none"/>
                <w:lang w:val="en-US" w:eastAsia="zh-CN"/>
              </w:rPr>
              <w:t>3</w:t>
            </w:r>
            <w:r>
              <w:rPr>
                <w:sz w:val="24"/>
                <w:highlight w:val="none"/>
              </w:rPr>
              <w:t>分</w:t>
            </w:r>
          </w:p>
        </w:tc>
        <w:tc>
          <w:tcPr>
            <w:tcW w:w="0" w:type="auto"/>
            <w:vAlign w:val="center"/>
          </w:tcPr>
          <w:p w14:paraId="06FE6AD7">
            <w:pPr>
              <w:snapToGrid w:val="0"/>
              <w:jc w:val="center"/>
              <w:rPr>
                <w:sz w:val="24"/>
                <w:highlight w:val="none"/>
              </w:rPr>
            </w:pPr>
            <w:r>
              <w:rPr>
                <w:sz w:val="24"/>
                <w:highlight w:val="none"/>
              </w:rPr>
              <w:t>0分</w:t>
            </w:r>
          </w:p>
        </w:tc>
        <w:tc>
          <w:tcPr>
            <w:tcW w:w="0" w:type="auto"/>
            <w:vAlign w:val="center"/>
          </w:tcPr>
          <w:p w14:paraId="11554F41">
            <w:pPr>
              <w:snapToGrid w:val="0"/>
              <w:jc w:val="center"/>
              <w:rPr>
                <w:sz w:val="24"/>
                <w:highlight w:val="none"/>
              </w:rPr>
            </w:pPr>
            <w:r>
              <w:rPr>
                <w:rFonts w:hint="eastAsia"/>
                <w:sz w:val="24"/>
                <w:highlight w:val="none"/>
              </w:rPr>
              <w:t>客</w:t>
            </w:r>
            <w:r>
              <w:rPr>
                <w:sz w:val="24"/>
                <w:highlight w:val="none"/>
              </w:rPr>
              <w:t>观</w:t>
            </w:r>
          </w:p>
        </w:tc>
      </w:tr>
      <w:tr w14:paraId="14DC7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continue"/>
            <w:vAlign w:val="center"/>
          </w:tcPr>
          <w:p w14:paraId="78186280">
            <w:pPr>
              <w:snapToGrid w:val="0"/>
              <w:jc w:val="center"/>
              <w:rPr>
                <w:sz w:val="24"/>
                <w:highlight w:val="none"/>
              </w:rPr>
            </w:pPr>
          </w:p>
        </w:tc>
        <w:tc>
          <w:tcPr>
            <w:tcW w:w="0" w:type="auto"/>
            <w:gridSpan w:val="2"/>
            <w:vMerge w:val="continue"/>
            <w:vAlign w:val="center"/>
          </w:tcPr>
          <w:p w14:paraId="1D2B6AC0">
            <w:pPr>
              <w:snapToGrid w:val="0"/>
              <w:jc w:val="center"/>
              <w:rPr>
                <w:sz w:val="24"/>
                <w:highlight w:val="none"/>
              </w:rPr>
            </w:pPr>
          </w:p>
        </w:tc>
        <w:tc>
          <w:tcPr>
            <w:tcW w:w="0" w:type="auto"/>
            <w:vAlign w:val="center"/>
          </w:tcPr>
          <w:p w14:paraId="50FB8B1F">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项目组其他成员（项目负责人以外）自202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年1月1日以来（以合同签订时间为准）参与过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高速公路或快速路新建（或改建或扩建）的方案研究（或预可行性研究或可行性研究）项目。每人每提供一个合同的得2分，同一合同中包含多个本次拟投入项目组其他成员（除项目负责人以外）的可重复得分，最多得6分。</w:t>
            </w:r>
          </w:p>
          <w:p w14:paraId="22DC0EBE">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项目组其他成员（项目负责人以外）自202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年1月1日以来（以合同签订时间为准）参与过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一级公路新建（或改建或扩建）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方案研究（或预可行性研究或可行性研究）项目。每人每提供一个合同的得</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分，同一合同中包含多个本次拟投入项目组其他成员（除项目负责人以外）的可重复得分，最多得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w:t>
            </w:r>
          </w:p>
          <w:p w14:paraId="003A4E44">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w:t>
            </w:r>
            <w:r>
              <w:rPr>
                <w:rFonts w:hint="eastAsia" w:ascii="Calibri" w:hAnsi="宋体" w:eastAsia="宋体" w:cs="宋体"/>
                <w:kern w:val="2"/>
                <w:szCs w:val="21"/>
                <w:highlight w:val="none"/>
                <w:lang w:eastAsia="zh-CN"/>
              </w:rPr>
              <w:t>人员</w:t>
            </w:r>
            <w:r>
              <w:rPr>
                <w:rFonts w:hint="eastAsia" w:ascii="Calibri" w:hAnsi="宋体" w:eastAsia="宋体" w:cs="宋体"/>
                <w:kern w:val="2"/>
                <w:szCs w:val="21"/>
                <w:highlight w:val="none"/>
              </w:rPr>
              <w:t>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1~2点均不得分。</w:t>
            </w:r>
          </w:p>
          <w:p w14:paraId="73C02A6B">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须同时提供中标通知书、与项目业主单位直接签订的合同</w:t>
            </w:r>
            <w:r>
              <w:rPr>
                <w:rFonts w:hint="eastAsia" w:ascii="Calibri" w:hAnsi="宋体" w:eastAsia="宋体" w:cs="宋体"/>
                <w:kern w:val="2"/>
                <w:szCs w:val="21"/>
                <w:highlight w:val="none"/>
                <w:lang w:eastAsia="zh-CN"/>
              </w:rPr>
              <w:t>（若合同中未体现姓名的不予认可）</w:t>
            </w:r>
            <w:r>
              <w:rPr>
                <w:rFonts w:hint="eastAsia" w:ascii="Calibri" w:hAnsi="宋体" w:eastAsia="宋体" w:cs="宋体"/>
                <w:kern w:val="2"/>
                <w:szCs w:val="21"/>
                <w:highlight w:val="none"/>
              </w:rPr>
              <w:t>上述材料须同时提供且信息一致，否则不得分。</w:t>
            </w:r>
          </w:p>
          <w:p w14:paraId="33C4C80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lang w:eastAsia="zh-CN"/>
              </w:rPr>
              <w:t>须提供</w:t>
            </w:r>
            <w:r>
              <w:rPr>
                <w:rFonts w:hint="eastAsia" w:ascii="Calibri" w:hAnsi="宋体" w:eastAsia="宋体" w:cs="宋体"/>
                <w:kern w:val="2"/>
                <w:szCs w:val="21"/>
                <w:highlight w:val="none"/>
              </w:rPr>
              <w:t>项目验收</w:t>
            </w:r>
            <w:r>
              <w:rPr>
                <w:rFonts w:hint="eastAsia" w:ascii="Calibri" w:hAnsi="宋体" w:eastAsia="宋体" w:cs="宋体"/>
                <w:kern w:val="2"/>
                <w:szCs w:val="21"/>
                <w:highlight w:val="none"/>
                <w:lang w:eastAsia="zh-CN"/>
              </w:rPr>
              <w:t>材料或项目</w:t>
            </w:r>
            <w:r>
              <w:rPr>
                <w:rFonts w:hint="eastAsia" w:ascii="Calibri" w:hAnsi="宋体" w:eastAsia="宋体" w:cs="宋体"/>
                <w:kern w:val="2"/>
                <w:szCs w:val="21"/>
                <w:highlight w:val="none"/>
              </w:rPr>
              <w:t>业主单位加盖公章的</w:t>
            </w:r>
            <w:r>
              <w:rPr>
                <w:rFonts w:hint="eastAsia" w:ascii="Calibri" w:hAnsi="宋体" w:eastAsia="宋体" w:cs="宋体"/>
                <w:kern w:val="2"/>
                <w:szCs w:val="21"/>
                <w:highlight w:val="none"/>
                <w:lang w:eastAsia="zh-CN"/>
              </w:rPr>
              <w:t>完工</w:t>
            </w:r>
            <w:r>
              <w:rPr>
                <w:rFonts w:hint="eastAsia" w:ascii="Calibri" w:hAnsi="宋体" w:eastAsia="宋体" w:cs="宋体"/>
                <w:kern w:val="2"/>
                <w:szCs w:val="21"/>
                <w:highlight w:val="none"/>
              </w:rPr>
              <w:t>证明材料的复印件或扫描件</w:t>
            </w:r>
            <w:r>
              <w:rPr>
                <w:rFonts w:hint="eastAsia" w:ascii="Calibri" w:hAnsi="宋体" w:eastAsia="宋体" w:cs="宋体"/>
                <w:kern w:val="2"/>
                <w:szCs w:val="21"/>
                <w:highlight w:val="none"/>
                <w:lang w:eastAsia="zh-CN"/>
              </w:rPr>
              <w:t>。</w:t>
            </w:r>
          </w:p>
          <w:p w14:paraId="0AFC539D">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、上述材料提供不全或未提供的不得分。</w:t>
            </w:r>
          </w:p>
        </w:tc>
        <w:tc>
          <w:tcPr>
            <w:tcW w:w="0" w:type="auto"/>
            <w:vAlign w:val="center"/>
          </w:tcPr>
          <w:p w14:paraId="262943AE">
            <w:pPr>
              <w:snapToGrid w:val="0"/>
              <w:jc w:val="center"/>
              <w:rPr>
                <w:sz w:val="24"/>
                <w:highlight w:val="none"/>
              </w:rPr>
            </w:pPr>
            <w:r>
              <w:rPr>
                <w:rFonts w:hint="eastAsia" w:ascii="Times New Roman" w:eastAsia="宋体"/>
                <w:sz w:val="24"/>
                <w:highlight w:val="none"/>
                <w:lang w:val="en-US" w:eastAsia="zh-CN"/>
              </w:rPr>
              <w:t>9</w:t>
            </w:r>
            <w:r>
              <w:rPr>
                <w:sz w:val="24"/>
                <w:highlight w:val="none"/>
              </w:rPr>
              <w:t>分</w:t>
            </w:r>
          </w:p>
        </w:tc>
        <w:tc>
          <w:tcPr>
            <w:tcW w:w="0" w:type="auto"/>
            <w:vAlign w:val="center"/>
          </w:tcPr>
          <w:p w14:paraId="6CEDC568">
            <w:pPr>
              <w:snapToGrid w:val="0"/>
              <w:jc w:val="center"/>
              <w:rPr>
                <w:sz w:val="24"/>
                <w:highlight w:val="none"/>
              </w:rPr>
            </w:pPr>
            <w:r>
              <w:rPr>
                <w:sz w:val="24"/>
                <w:highlight w:val="none"/>
              </w:rPr>
              <w:t>0分</w:t>
            </w:r>
          </w:p>
        </w:tc>
        <w:tc>
          <w:tcPr>
            <w:tcW w:w="0" w:type="auto"/>
            <w:vAlign w:val="center"/>
          </w:tcPr>
          <w:p w14:paraId="5F91B45E">
            <w:pPr>
              <w:snapToGrid w:val="0"/>
              <w:jc w:val="center"/>
              <w:rPr>
                <w:sz w:val="24"/>
                <w:highlight w:val="none"/>
              </w:rPr>
            </w:pPr>
            <w:r>
              <w:rPr>
                <w:rFonts w:hint="eastAsia"/>
                <w:sz w:val="24"/>
                <w:highlight w:val="none"/>
              </w:rPr>
              <w:t>客</w:t>
            </w:r>
            <w:r>
              <w:rPr>
                <w:sz w:val="24"/>
                <w:highlight w:val="none"/>
              </w:rPr>
              <w:t>观</w:t>
            </w:r>
          </w:p>
        </w:tc>
      </w:tr>
      <w:tr w14:paraId="02811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restart"/>
            <w:vAlign w:val="center"/>
          </w:tcPr>
          <w:p w14:paraId="1CAB0DDC">
            <w:pPr>
              <w:snapToGrid w:val="0"/>
              <w:jc w:val="center"/>
              <w:rPr>
                <w:sz w:val="24"/>
                <w:highlight w:val="none"/>
              </w:rPr>
            </w:pPr>
            <w:r>
              <w:rPr>
                <w:sz w:val="24"/>
                <w:highlight w:val="none"/>
              </w:rPr>
              <w:t>4</w:t>
            </w:r>
          </w:p>
        </w:tc>
        <w:tc>
          <w:tcPr>
            <w:tcW w:w="0" w:type="auto"/>
            <w:vMerge w:val="restart"/>
            <w:vAlign w:val="center"/>
          </w:tcPr>
          <w:p w14:paraId="6E21EFC4">
            <w:pPr>
              <w:snapToGrid w:val="0"/>
              <w:jc w:val="center"/>
              <w:rPr>
                <w:sz w:val="24"/>
                <w:highlight w:val="none"/>
              </w:rPr>
            </w:pPr>
            <w:r>
              <w:rPr>
                <w:rFonts w:hAnsi="宋体"/>
                <w:szCs w:val="21"/>
                <w:highlight w:val="none"/>
              </w:rPr>
              <w:t>技术方案（</w:t>
            </w:r>
            <w:r>
              <w:rPr>
                <w:rFonts w:hint="eastAsia" w:hAnsi="宋体"/>
                <w:szCs w:val="21"/>
                <w:highlight w:val="none"/>
              </w:rPr>
              <w:t>30</w:t>
            </w:r>
            <w:r>
              <w:rPr>
                <w:rFonts w:hAnsi="宋体"/>
                <w:szCs w:val="21"/>
                <w:highlight w:val="none"/>
              </w:rPr>
              <w:t>分）</w:t>
            </w:r>
          </w:p>
        </w:tc>
        <w:tc>
          <w:tcPr>
            <w:tcW w:w="0" w:type="auto"/>
            <w:vAlign w:val="center"/>
          </w:tcPr>
          <w:p w14:paraId="6D10F619">
            <w:pPr>
              <w:widowControl/>
              <w:jc w:val="center"/>
              <w:rPr>
                <w:sz w:val="24"/>
                <w:highlight w:val="none"/>
              </w:rPr>
            </w:pPr>
            <w:r>
              <w:rPr>
                <w:rFonts w:hint="eastAsia" w:hAnsi="宋体"/>
                <w:szCs w:val="21"/>
                <w:highlight w:val="none"/>
              </w:rPr>
              <w:t>对项目的理解和总体思路</w:t>
            </w:r>
            <w:r>
              <w:rPr>
                <w:rFonts w:hAnsi="宋体"/>
                <w:szCs w:val="21"/>
                <w:highlight w:val="none"/>
              </w:rPr>
              <w:t>（</w:t>
            </w:r>
            <w:r>
              <w:rPr>
                <w:rFonts w:hint="eastAsia"/>
                <w:szCs w:val="21"/>
                <w:highlight w:val="none"/>
              </w:rPr>
              <w:t>8</w:t>
            </w:r>
            <w:r>
              <w:rPr>
                <w:rFonts w:hAnsi="宋体"/>
                <w:szCs w:val="21"/>
                <w:highlight w:val="none"/>
              </w:rPr>
              <w:t>分）</w:t>
            </w:r>
          </w:p>
        </w:tc>
        <w:tc>
          <w:tcPr>
            <w:tcW w:w="0" w:type="auto"/>
            <w:vAlign w:val="center"/>
          </w:tcPr>
          <w:p w14:paraId="7315CD62">
            <w:pPr>
              <w:widowControl/>
              <w:rPr>
                <w:rFonts w:hint="eastAsia" w:hAnsi="宋体"/>
                <w:szCs w:val="21"/>
                <w:highlight w:val="none"/>
              </w:rPr>
            </w:pPr>
            <w:r>
              <w:rPr>
                <w:rFonts w:hint="eastAsia" w:hAnsi="宋体"/>
                <w:szCs w:val="21"/>
                <w:highlight w:val="none"/>
              </w:rPr>
              <w:t>根据供应商提供的实施方案进行评分，内容至少包括：</w:t>
            </w:r>
          </w:p>
          <w:p w14:paraId="4368EEF3">
            <w:pPr>
              <w:widowControl/>
              <w:rPr>
                <w:rFonts w:hint="eastAsia" w:hAnsi="宋体"/>
                <w:szCs w:val="21"/>
                <w:highlight w:val="none"/>
              </w:rPr>
            </w:pPr>
            <w:r>
              <w:rPr>
                <w:rFonts w:hint="eastAsia" w:hAnsi="宋体"/>
                <w:szCs w:val="21"/>
                <w:highlight w:val="none"/>
              </w:rPr>
              <w:t>①对整个项目的情况、范围、内容的理解；</w:t>
            </w:r>
          </w:p>
          <w:p w14:paraId="2EC4F8B4">
            <w:pPr>
              <w:widowControl/>
              <w:rPr>
                <w:rFonts w:hint="eastAsia" w:hAnsi="宋体"/>
                <w:szCs w:val="21"/>
                <w:highlight w:val="none"/>
              </w:rPr>
            </w:pPr>
            <w:r>
              <w:rPr>
                <w:rFonts w:hint="eastAsia" w:hAnsi="宋体"/>
                <w:szCs w:val="21"/>
                <w:highlight w:val="none"/>
              </w:rPr>
              <w:t>②对项目总体思路。</w:t>
            </w:r>
          </w:p>
          <w:p w14:paraId="667055B9">
            <w:pPr>
              <w:widowControl/>
              <w:rPr>
                <w:rFonts w:hint="eastAsia" w:hAnsi="宋体"/>
                <w:szCs w:val="21"/>
                <w:highlight w:val="none"/>
              </w:rPr>
            </w:pPr>
            <w:r>
              <w:rPr>
                <w:rFonts w:hint="eastAsia" w:hAnsi="宋体"/>
                <w:szCs w:val="21"/>
                <w:highlight w:val="none"/>
              </w:rPr>
              <w:t>未提供或未完整提供①②项方案的不得分；</w:t>
            </w:r>
          </w:p>
          <w:p w14:paraId="797DED45">
            <w:pPr>
              <w:widowControl/>
              <w:rPr>
                <w:rFonts w:hint="eastAsia" w:hAnsi="宋体"/>
                <w:szCs w:val="21"/>
                <w:highlight w:val="none"/>
              </w:rPr>
            </w:pPr>
            <w:r>
              <w:rPr>
                <w:rFonts w:hint="eastAsia" w:hAnsi="宋体"/>
                <w:szCs w:val="21"/>
                <w:highlight w:val="none"/>
              </w:rPr>
              <w:t>按上述①②项要求提供方案且阐述一般的，得4分；</w:t>
            </w:r>
          </w:p>
          <w:p w14:paraId="4E52099B">
            <w:pPr>
              <w:widowControl/>
              <w:rPr>
                <w:rFonts w:hint="eastAsia" w:hAnsi="宋体"/>
                <w:szCs w:val="21"/>
                <w:highlight w:val="none"/>
              </w:rPr>
            </w:pPr>
            <w:r>
              <w:rPr>
                <w:rFonts w:hint="eastAsia" w:hAnsi="宋体"/>
                <w:szCs w:val="21"/>
                <w:highlight w:val="none"/>
              </w:rPr>
              <w:t>按上述①②项要求提供方案且比较全面、清晰、合理的，得6分；</w:t>
            </w:r>
          </w:p>
          <w:p w14:paraId="0B12D96D">
            <w:pPr>
              <w:widowControl/>
              <w:rPr>
                <w:sz w:val="24"/>
                <w:highlight w:val="none"/>
              </w:rPr>
            </w:pPr>
            <w:r>
              <w:rPr>
                <w:rFonts w:hint="eastAsia" w:hAnsi="宋体"/>
                <w:szCs w:val="21"/>
                <w:highlight w:val="none"/>
              </w:rPr>
              <w:t>按上述①②项要求提供方案且全面、清晰、合理的，得8分</w:t>
            </w:r>
            <w:r>
              <w:rPr>
                <w:rFonts w:hint="eastAsia"/>
                <w:highlight w:val="none"/>
              </w:rPr>
              <w:t>。</w:t>
            </w:r>
          </w:p>
        </w:tc>
        <w:tc>
          <w:tcPr>
            <w:tcW w:w="0" w:type="auto"/>
            <w:vAlign w:val="center"/>
          </w:tcPr>
          <w:p w14:paraId="688BE3B3">
            <w:pPr>
              <w:snapToGrid w:val="0"/>
              <w:jc w:val="center"/>
              <w:rPr>
                <w:sz w:val="24"/>
                <w:highlight w:val="none"/>
              </w:rPr>
            </w:pPr>
            <w:r>
              <w:rPr>
                <w:rFonts w:hint="eastAsia"/>
                <w:sz w:val="24"/>
                <w:highlight w:val="none"/>
              </w:rPr>
              <w:t>8</w:t>
            </w:r>
            <w:r>
              <w:rPr>
                <w:sz w:val="24"/>
                <w:highlight w:val="none"/>
              </w:rPr>
              <w:t>分</w:t>
            </w:r>
          </w:p>
        </w:tc>
        <w:tc>
          <w:tcPr>
            <w:tcW w:w="0" w:type="auto"/>
            <w:vAlign w:val="center"/>
          </w:tcPr>
          <w:p w14:paraId="7ED9F9B5">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7EFAE1CA">
            <w:pPr>
              <w:snapToGrid w:val="0"/>
              <w:jc w:val="center"/>
              <w:rPr>
                <w:sz w:val="24"/>
                <w:highlight w:val="none"/>
              </w:rPr>
            </w:pPr>
            <w:r>
              <w:rPr>
                <w:sz w:val="24"/>
                <w:highlight w:val="none"/>
              </w:rPr>
              <w:t>主观</w:t>
            </w:r>
          </w:p>
        </w:tc>
      </w:tr>
      <w:tr w14:paraId="1B040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16" w:hRule="atLeast"/>
        </w:trPr>
        <w:tc>
          <w:tcPr>
            <w:tcW w:w="0" w:type="auto"/>
            <w:vMerge w:val="continue"/>
            <w:vAlign w:val="center"/>
          </w:tcPr>
          <w:p w14:paraId="7AE10A6B">
            <w:pPr>
              <w:snapToGrid w:val="0"/>
              <w:jc w:val="center"/>
              <w:rPr>
                <w:sz w:val="24"/>
                <w:highlight w:val="none"/>
              </w:rPr>
            </w:pPr>
          </w:p>
        </w:tc>
        <w:tc>
          <w:tcPr>
            <w:tcW w:w="0" w:type="auto"/>
            <w:vMerge w:val="continue"/>
            <w:vAlign w:val="center"/>
          </w:tcPr>
          <w:p w14:paraId="142F8A1E">
            <w:pPr>
              <w:snapToGrid w:val="0"/>
              <w:jc w:val="center"/>
              <w:rPr>
                <w:sz w:val="24"/>
                <w:highlight w:val="none"/>
              </w:rPr>
            </w:pPr>
          </w:p>
        </w:tc>
        <w:tc>
          <w:tcPr>
            <w:tcW w:w="0" w:type="auto"/>
            <w:vAlign w:val="center"/>
          </w:tcPr>
          <w:p w14:paraId="1D081055">
            <w:pPr>
              <w:widowControl/>
              <w:jc w:val="center"/>
              <w:rPr>
                <w:sz w:val="24"/>
                <w:highlight w:val="none"/>
              </w:rPr>
            </w:pPr>
            <w:r>
              <w:rPr>
                <w:rFonts w:hint="eastAsia" w:hAnsi="宋体"/>
                <w:szCs w:val="21"/>
                <w:highlight w:val="none"/>
              </w:rPr>
              <w:t>采购项目的特点、关键技术问题的认识及其对策措施</w:t>
            </w:r>
            <w:r>
              <w:rPr>
                <w:rFonts w:hAnsi="宋体"/>
                <w:szCs w:val="21"/>
                <w:highlight w:val="none"/>
              </w:rPr>
              <w:t>（</w:t>
            </w:r>
            <w:r>
              <w:rPr>
                <w:rFonts w:hint="eastAsia"/>
                <w:szCs w:val="21"/>
                <w:highlight w:val="none"/>
              </w:rPr>
              <w:t>10</w:t>
            </w:r>
            <w:r>
              <w:rPr>
                <w:rFonts w:hAnsi="宋体"/>
                <w:szCs w:val="21"/>
                <w:highlight w:val="none"/>
              </w:rPr>
              <w:t>分）</w:t>
            </w:r>
          </w:p>
        </w:tc>
        <w:tc>
          <w:tcPr>
            <w:tcW w:w="0" w:type="auto"/>
            <w:vAlign w:val="center"/>
          </w:tcPr>
          <w:p w14:paraId="7D74B6A8">
            <w:pPr>
              <w:widowControl/>
              <w:rPr>
                <w:rFonts w:hint="eastAsia" w:hAnsi="宋体"/>
                <w:szCs w:val="21"/>
                <w:highlight w:val="none"/>
              </w:rPr>
            </w:pPr>
            <w:r>
              <w:rPr>
                <w:rFonts w:hint="eastAsia" w:hAnsi="宋体"/>
                <w:szCs w:val="21"/>
                <w:highlight w:val="none"/>
              </w:rPr>
              <w:t>根据供应商提供的实施方案进行评分，内容至少包括：</w:t>
            </w:r>
          </w:p>
          <w:p w14:paraId="5CE0B36A">
            <w:pPr>
              <w:widowControl/>
              <w:rPr>
                <w:rFonts w:hint="eastAsia" w:hAnsi="宋体"/>
                <w:szCs w:val="21"/>
                <w:highlight w:val="none"/>
              </w:rPr>
            </w:pPr>
            <w:r>
              <w:rPr>
                <w:rFonts w:hint="eastAsia" w:hAnsi="宋体"/>
                <w:szCs w:val="21"/>
                <w:highlight w:val="none"/>
              </w:rPr>
              <w:t>①对项目的特点、重点、难点及关键性技术问题把握；</w:t>
            </w:r>
          </w:p>
          <w:p w14:paraId="6A144FEC">
            <w:pPr>
              <w:widowControl/>
              <w:rPr>
                <w:rFonts w:hint="eastAsia" w:hAnsi="宋体"/>
                <w:szCs w:val="21"/>
                <w:highlight w:val="none"/>
              </w:rPr>
            </w:pPr>
            <w:r>
              <w:rPr>
                <w:rFonts w:hint="eastAsia" w:hAnsi="宋体"/>
                <w:szCs w:val="21"/>
                <w:highlight w:val="none"/>
              </w:rPr>
              <w:t>②项目关键技术问题的对策措施。</w:t>
            </w:r>
          </w:p>
          <w:p w14:paraId="1F08D7BE">
            <w:pPr>
              <w:widowControl/>
              <w:rPr>
                <w:rFonts w:hint="eastAsia" w:hAnsi="宋体"/>
                <w:szCs w:val="21"/>
                <w:highlight w:val="none"/>
              </w:rPr>
            </w:pPr>
            <w:r>
              <w:rPr>
                <w:rFonts w:hint="eastAsia" w:hAnsi="宋体"/>
                <w:szCs w:val="21"/>
                <w:highlight w:val="none"/>
              </w:rPr>
              <w:t>未提供或未完整提供①②项方案的不得分；</w:t>
            </w:r>
          </w:p>
          <w:p w14:paraId="639B4DE7">
            <w:pPr>
              <w:widowControl/>
              <w:rPr>
                <w:rFonts w:hint="eastAsia" w:hAnsi="宋体"/>
                <w:szCs w:val="21"/>
                <w:highlight w:val="none"/>
              </w:rPr>
            </w:pPr>
            <w:r>
              <w:rPr>
                <w:rFonts w:hint="eastAsia" w:hAnsi="宋体"/>
                <w:szCs w:val="21"/>
                <w:highlight w:val="none"/>
              </w:rPr>
              <w:t>按上述①②项要求提供方案且阐述一般的，得6分；</w:t>
            </w:r>
          </w:p>
          <w:p w14:paraId="320C2733">
            <w:pPr>
              <w:widowControl/>
              <w:rPr>
                <w:rFonts w:hint="eastAsia" w:hAnsi="宋体"/>
                <w:szCs w:val="21"/>
                <w:highlight w:val="none"/>
              </w:rPr>
            </w:pPr>
            <w:r>
              <w:rPr>
                <w:rFonts w:hint="eastAsia" w:hAnsi="宋体"/>
                <w:szCs w:val="21"/>
                <w:highlight w:val="none"/>
              </w:rPr>
              <w:t>按上述①②项要求提供方案且比较全面、清晰、合理的，得8分；</w:t>
            </w:r>
          </w:p>
          <w:p w14:paraId="71DA2494">
            <w:pPr>
              <w:widowControl/>
              <w:rPr>
                <w:sz w:val="24"/>
                <w:highlight w:val="none"/>
              </w:rPr>
            </w:pPr>
            <w:r>
              <w:rPr>
                <w:rFonts w:hint="eastAsia" w:hAnsi="宋体"/>
                <w:szCs w:val="21"/>
                <w:highlight w:val="none"/>
              </w:rPr>
              <w:t>按上述①②项要求提供方案且全面、清晰、合理的，得10分</w:t>
            </w:r>
            <w:r>
              <w:rPr>
                <w:rFonts w:hint="eastAsia"/>
                <w:highlight w:val="none"/>
              </w:rPr>
              <w:t>。</w:t>
            </w:r>
          </w:p>
        </w:tc>
        <w:tc>
          <w:tcPr>
            <w:tcW w:w="0" w:type="auto"/>
            <w:vAlign w:val="center"/>
          </w:tcPr>
          <w:p w14:paraId="04098F1E">
            <w:pPr>
              <w:snapToGrid w:val="0"/>
              <w:jc w:val="center"/>
              <w:rPr>
                <w:sz w:val="24"/>
                <w:highlight w:val="none"/>
              </w:rPr>
            </w:pPr>
            <w:r>
              <w:rPr>
                <w:rFonts w:hint="eastAsia"/>
                <w:sz w:val="24"/>
                <w:highlight w:val="none"/>
              </w:rPr>
              <w:t>10</w:t>
            </w:r>
            <w:r>
              <w:rPr>
                <w:sz w:val="24"/>
                <w:highlight w:val="none"/>
              </w:rPr>
              <w:t>分</w:t>
            </w:r>
          </w:p>
        </w:tc>
        <w:tc>
          <w:tcPr>
            <w:tcW w:w="0" w:type="auto"/>
            <w:vAlign w:val="center"/>
          </w:tcPr>
          <w:p w14:paraId="6F8B24A6">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116E255A">
            <w:pPr>
              <w:snapToGrid w:val="0"/>
              <w:jc w:val="center"/>
              <w:rPr>
                <w:sz w:val="24"/>
                <w:highlight w:val="none"/>
              </w:rPr>
            </w:pPr>
            <w:r>
              <w:rPr>
                <w:sz w:val="24"/>
                <w:highlight w:val="none"/>
              </w:rPr>
              <w:t>主观</w:t>
            </w:r>
          </w:p>
        </w:tc>
      </w:tr>
      <w:tr w14:paraId="049DC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8" w:hRule="atLeast"/>
        </w:trPr>
        <w:tc>
          <w:tcPr>
            <w:tcW w:w="0" w:type="auto"/>
            <w:vMerge w:val="continue"/>
            <w:vAlign w:val="center"/>
          </w:tcPr>
          <w:p w14:paraId="1C57DC54">
            <w:pPr>
              <w:snapToGrid w:val="0"/>
              <w:jc w:val="center"/>
              <w:rPr>
                <w:sz w:val="24"/>
                <w:highlight w:val="none"/>
              </w:rPr>
            </w:pPr>
          </w:p>
        </w:tc>
        <w:tc>
          <w:tcPr>
            <w:tcW w:w="0" w:type="auto"/>
            <w:vMerge w:val="continue"/>
            <w:vAlign w:val="center"/>
          </w:tcPr>
          <w:p w14:paraId="1CC3A576">
            <w:pPr>
              <w:snapToGrid w:val="0"/>
              <w:jc w:val="center"/>
              <w:rPr>
                <w:sz w:val="24"/>
                <w:highlight w:val="none"/>
              </w:rPr>
            </w:pPr>
          </w:p>
        </w:tc>
        <w:tc>
          <w:tcPr>
            <w:tcW w:w="0" w:type="auto"/>
            <w:vAlign w:val="center"/>
          </w:tcPr>
          <w:p w14:paraId="02CB2FE5">
            <w:pPr>
              <w:widowControl/>
              <w:jc w:val="center"/>
              <w:rPr>
                <w:sz w:val="24"/>
                <w:highlight w:val="none"/>
              </w:rPr>
            </w:pPr>
            <w:r>
              <w:rPr>
                <w:rFonts w:hint="eastAsia" w:hAnsi="宋体"/>
                <w:szCs w:val="21"/>
                <w:highlight w:val="none"/>
              </w:rPr>
              <w:t>工作量、计划安排及质量进度保证措施</w:t>
            </w:r>
            <w:r>
              <w:rPr>
                <w:rFonts w:hAnsi="宋体"/>
                <w:szCs w:val="21"/>
                <w:highlight w:val="none"/>
              </w:rPr>
              <w:t>（</w:t>
            </w:r>
            <w:r>
              <w:rPr>
                <w:rFonts w:hint="eastAsia"/>
                <w:szCs w:val="21"/>
                <w:highlight w:val="none"/>
              </w:rPr>
              <w:t>6</w:t>
            </w:r>
            <w:r>
              <w:rPr>
                <w:rFonts w:hAnsi="宋体"/>
                <w:szCs w:val="21"/>
                <w:highlight w:val="none"/>
              </w:rPr>
              <w:t>分）</w:t>
            </w:r>
          </w:p>
        </w:tc>
        <w:tc>
          <w:tcPr>
            <w:tcW w:w="0" w:type="auto"/>
            <w:vAlign w:val="center"/>
          </w:tcPr>
          <w:p w14:paraId="7B29E52D">
            <w:pPr>
              <w:widowControl/>
              <w:rPr>
                <w:rFonts w:hint="eastAsia" w:hAnsi="宋体"/>
                <w:szCs w:val="21"/>
                <w:highlight w:val="none"/>
              </w:rPr>
            </w:pPr>
            <w:r>
              <w:rPr>
                <w:rFonts w:hint="eastAsia" w:hAnsi="宋体"/>
                <w:szCs w:val="21"/>
                <w:highlight w:val="none"/>
              </w:rPr>
              <w:t>根据供应商提供的实施方案进行评分，内容至少包括：</w:t>
            </w:r>
          </w:p>
          <w:p w14:paraId="310E1237">
            <w:pPr>
              <w:widowControl/>
              <w:rPr>
                <w:rFonts w:hint="eastAsia" w:hAnsi="宋体"/>
                <w:szCs w:val="21"/>
                <w:highlight w:val="none"/>
              </w:rPr>
            </w:pPr>
            <w:r>
              <w:rPr>
                <w:rFonts w:hint="eastAsia" w:hAnsi="宋体"/>
                <w:szCs w:val="21"/>
                <w:highlight w:val="none"/>
              </w:rPr>
              <w:t>①设计工作量及计划安排</w:t>
            </w:r>
          </w:p>
          <w:p w14:paraId="76451CD7">
            <w:pPr>
              <w:widowControl/>
              <w:rPr>
                <w:rFonts w:hint="eastAsia" w:hAnsi="宋体"/>
                <w:szCs w:val="21"/>
                <w:highlight w:val="none"/>
              </w:rPr>
            </w:pPr>
            <w:r>
              <w:rPr>
                <w:rFonts w:hint="eastAsia" w:hAnsi="宋体"/>
                <w:szCs w:val="21"/>
                <w:highlight w:val="none"/>
              </w:rPr>
              <w:t>②质量进度</w:t>
            </w:r>
          </w:p>
          <w:p w14:paraId="6CB8BF31">
            <w:pPr>
              <w:widowControl/>
              <w:rPr>
                <w:rFonts w:hint="eastAsia" w:hAnsi="宋体"/>
                <w:szCs w:val="21"/>
                <w:highlight w:val="none"/>
              </w:rPr>
            </w:pPr>
            <w:r>
              <w:rPr>
                <w:rFonts w:hint="eastAsia" w:hAnsi="宋体"/>
                <w:szCs w:val="21"/>
                <w:highlight w:val="none"/>
              </w:rPr>
              <w:t>③保证措施。</w:t>
            </w:r>
          </w:p>
          <w:p w14:paraId="0C78CA81">
            <w:pPr>
              <w:widowControl/>
              <w:rPr>
                <w:rFonts w:hint="eastAsia" w:hAnsi="宋体"/>
                <w:szCs w:val="21"/>
                <w:highlight w:val="none"/>
              </w:rPr>
            </w:pPr>
            <w:r>
              <w:rPr>
                <w:rFonts w:hint="eastAsia" w:hAnsi="宋体"/>
                <w:szCs w:val="21"/>
                <w:highlight w:val="none"/>
              </w:rPr>
              <w:t>未提供或未完整提供①②③项方案的不得分；</w:t>
            </w:r>
          </w:p>
          <w:p w14:paraId="16B002A0">
            <w:pPr>
              <w:widowControl/>
              <w:rPr>
                <w:rFonts w:hint="eastAsia" w:hAnsi="宋体"/>
                <w:szCs w:val="21"/>
                <w:highlight w:val="none"/>
              </w:rPr>
            </w:pPr>
            <w:r>
              <w:rPr>
                <w:rFonts w:hint="eastAsia" w:hAnsi="宋体"/>
                <w:szCs w:val="21"/>
                <w:highlight w:val="none"/>
              </w:rPr>
              <w:t>按上述①②③项要求提供方案且阐述一般的，得2分；</w:t>
            </w:r>
          </w:p>
          <w:p w14:paraId="218810C1">
            <w:pPr>
              <w:widowControl/>
              <w:rPr>
                <w:rFonts w:hint="eastAsia" w:hAnsi="宋体"/>
                <w:szCs w:val="21"/>
                <w:highlight w:val="none"/>
              </w:rPr>
            </w:pPr>
            <w:r>
              <w:rPr>
                <w:rFonts w:hint="eastAsia" w:hAnsi="宋体"/>
                <w:szCs w:val="21"/>
                <w:highlight w:val="none"/>
              </w:rPr>
              <w:t>按上述①②③项要求提供方案且比较全面、清晰、合理的，得4分；</w:t>
            </w:r>
          </w:p>
          <w:p w14:paraId="62A29409">
            <w:pPr>
              <w:widowControl/>
              <w:rPr>
                <w:sz w:val="24"/>
                <w:highlight w:val="none"/>
              </w:rPr>
            </w:pPr>
            <w:r>
              <w:rPr>
                <w:rFonts w:hint="eastAsia" w:hAnsi="宋体"/>
                <w:szCs w:val="21"/>
                <w:highlight w:val="none"/>
              </w:rPr>
              <w:t>按上述①②③项要求提供方案且全面、清晰、合理的，得6分</w:t>
            </w:r>
            <w:r>
              <w:rPr>
                <w:rFonts w:hint="eastAsia"/>
                <w:highlight w:val="none"/>
              </w:rPr>
              <w:t>。</w:t>
            </w:r>
          </w:p>
        </w:tc>
        <w:tc>
          <w:tcPr>
            <w:tcW w:w="0" w:type="auto"/>
            <w:vAlign w:val="center"/>
          </w:tcPr>
          <w:p w14:paraId="229E2B4A">
            <w:pPr>
              <w:snapToGrid w:val="0"/>
              <w:jc w:val="center"/>
              <w:rPr>
                <w:sz w:val="24"/>
                <w:highlight w:val="none"/>
              </w:rPr>
            </w:pPr>
            <w:r>
              <w:rPr>
                <w:rFonts w:hint="eastAsia"/>
                <w:sz w:val="24"/>
                <w:highlight w:val="none"/>
              </w:rPr>
              <w:t>6</w:t>
            </w:r>
            <w:r>
              <w:rPr>
                <w:sz w:val="24"/>
                <w:highlight w:val="none"/>
              </w:rPr>
              <w:t>分</w:t>
            </w:r>
          </w:p>
        </w:tc>
        <w:tc>
          <w:tcPr>
            <w:tcW w:w="0" w:type="auto"/>
            <w:vAlign w:val="center"/>
          </w:tcPr>
          <w:p w14:paraId="4539AF0E">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382ACF18">
            <w:pPr>
              <w:snapToGrid w:val="0"/>
              <w:jc w:val="center"/>
              <w:rPr>
                <w:sz w:val="24"/>
                <w:highlight w:val="none"/>
              </w:rPr>
            </w:pPr>
            <w:r>
              <w:rPr>
                <w:sz w:val="24"/>
                <w:highlight w:val="none"/>
              </w:rPr>
              <w:t>主观</w:t>
            </w:r>
          </w:p>
        </w:tc>
      </w:tr>
      <w:tr w14:paraId="07481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8" w:hRule="atLeast"/>
        </w:trPr>
        <w:tc>
          <w:tcPr>
            <w:tcW w:w="0" w:type="auto"/>
            <w:vMerge w:val="continue"/>
            <w:vAlign w:val="center"/>
          </w:tcPr>
          <w:p w14:paraId="23B30E67">
            <w:pPr>
              <w:snapToGrid w:val="0"/>
              <w:jc w:val="center"/>
              <w:rPr>
                <w:sz w:val="24"/>
                <w:highlight w:val="none"/>
              </w:rPr>
            </w:pPr>
          </w:p>
        </w:tc>
        <w:tc>
          <w:tcPr>
            <w:tcW w:w="0" w:type="auto"/>
            <w:vMerge w:val="continue"/>
            <w:vAlign w:val="center"/>
          </w:tcPr>
          <w:p w14:paraId="4CAD34F9">
            <w:pPr>
              <w:snapToGrid w:val="0"/>
              <w:jc w:val="center"/>
              <w:rPr>
                <w:sz w:val="24"/>
                <w:highlight w:val="none"/>
              </w:rPr>
            </w:pPr>
          </w:p>
        </w:tc>
        <w:tc>
          <w:tcPr>
            <w:tcW w:w="0" w:type="auto"/>
            <w:vAlign w:val="center"/>
          </w:tcPr>
          <w:p w14:paraId="5C6388D5">
            <w:pPr>
              <w:widowControl/>
              <w:jc w:val="center"/>
              <w:rPr>
                <w:sz w:val="24"/>
                <w:highlight w:val="none"/>
              </w:rPr>
            </w:pPr>
            <w:r>
              <w:rPr>
                <w:rFonts w:hint="eastAsia" w:hAnsi="宋体"/>
                <w:szCs w:val="21"/>
                <w:highlight w:val="none"/>
              </w:rPr>
              <w:t>后续服务的安排及保证措施</w:t>
            </w:r>
            <w:r>
              <w:rPr>
                <w:rFonts w:hAnsi="宋体"/>
                <w:szCs w:val="21"/>
                <w:highlight w:val="none"/>
              </w:rPr>
              <w:t>（</w:t>
            </w:r>
            <w:r>
              <w:rPr>
                <w:rFonts w:hint="eastAsia" w:hAnsi="宋体"/>
                <w:szCs w:val="21"/>
                <w:highlight w:val="none"/>
              </w:rPr>
              <w:t>6</w:t>
            </w:r>
            <w:r>
              <w:rPr>
                <w:rFonts w:hAnsi="宋体"/>
                <w:szCs w:val="21"/>
                <w:highlight w:val="none"/>
              </w:rPr>
              <w:t>分）</w:t>
            </w:r>
          </w:p>
        </w:tc>
        <w:tc>
          <w:tcPr>
            <w:tcW w:w="0" w:type="auto"/>
            <w:vAlign w:val="center"/>
          </w:tcPr>
          <w:p w14:paraId="7B265720">
            <w:pPr>
              <w:widowControl/>
              <w:rPr>
                <w:rFonts w:hint="eastAsia" w:hAnsi="宋体"/>
                <w:szCs w:val="21"/>
                <w:highlight w:val="none"/>
              </w:rPr>
            </w:pPr>
            <w:r>
              <w:rPr>
                <w:rFonts w:hint="eastAsia" w:hAnsi="宋体"/>
                <w:szCs w:val="21"/>
                <w:highlight w:val="none"/>
              </w:rPr>
              <w:t>根据供应商提供的实施方案进行评分，内容至少包括：</w:t>
            </w:r>
          </w:p>
          <w:p w14:paraId="2BBB2110">
            <w:pPr>
              <w:widowControl/>
              <w:rPr>
                <w:rFonts w:hint="eastAsia" w:hAnsi="宋体"/>
                <w:szCs w:val="21"/>
                <w:highlight w:val="none"/>
              </w:rPr>
            </w:pPr>
            <w:r>
              <w:rPr>
                <w:rFonts w:hint="eastAsia" w:hAnsi="宋体"/>
                <w:szCs w:val="21"/>
                <w:highlight w:val="none"/>
              </w:rPr>
              <w:t>①后续服务的安排；</w:t>
            </w:r>
          </w:p>
          <w:p w14:paraId="74D1D4E4">
            <w:pPr>
              <w:widowControl/>
              <w:rPr>
                <w:rFonts w:hint="eastAsia" w:hAnsi="宋体"/>
                <w:szCs w:val="21"/>
                <w:highlight w:val="none"/>
              </w:rPr>
            </w:pPr>
            <w:r>
              <w:rPr>
                <w:rFonts w:hint="eastAsia" w:hAnsi="宋体"/>
                <w:szCs w:val="21"/>
                <w:highlight w:val="none"/>
              </w:rPr>
              <w:t>②后续服务保障。</w:t>
            </w:r>
          </w:p>
          <w:p w14:paraId="2EDAD358">
            <w:pPr>
              <w:widowControl/>
              <w:rPr>
                <w:rFonts w:hint="eastAsia" w:hAnsi="宋体"/>
                <w:szCs w:val="21"/>
                <w:highlight w:val="none"/>
              </w:rPr>
            </w:pPr>
            <w:r>
              <w:rPr>
                <w:rFonts w:hint="eastAsia" w:hAnsi="宋体"/>
                <w:szCs w:val="21"/>
                <w:highlight w:val="none"/>
              </w:rPr>
              <w:t>未提供或未完整提供①②项方案的不得分；</w:t>
            </w:r>
          </w:p>
          <w:p w14:paraId="24AF9603">
            <w:pPr>
              <w:widowControl/>
              <w:rPr>
                <w:rFonts w:hint="eastAsia" w:hAnsi="宋体"/>
                <w:szCs w:val="21"/>
                <w:highlight w:val="none"/>
              </w:rPr>
            </w:pPr>
            <w:r>
              <w:rPr>
                <w:rFonts w:hint="eastAsia" w:hAnsi="宋体"/>
                <w:szCs w:val="21"/>
                <w:highlight w:val="none"/>
              </w:rPr>
              <w:t>按上述①②项要求提供方案且阐述一般的，得2分；</w:t>
            </w:r>
          </w:p>
          <w:p w14:paraId="4828F4C6">
            <w:pPr>
              <w:widowControl/>
              <w:rPr>
                <w:rFonts w:hint="eastAsia" w:hAnsi="宋体"/>
                <w:szCs w:val="21"/>
                <w:highlight w:val="none"/>
              </w:rPr>
            </w:pPr>
            <w:r>
              <w:rPr>
                <w:rFonts w:hint="eastAsia" w:hAnsi="宋体"/>
                <w:szCs w:val="21"/>
                <w:highlight w:val="none"/>
              </w:rPr>
              <w:t>按上述①②项要求提供方案且比较全面、清晰、合理的，得4分；</w:t>
            </w:r>
          </w:p>
          <w:p w14:paraId="158F15E1">
            <w:pPr>
              <w:widowControl/>
              <w:rPr>
                <w:sz w:val="24"/>
                <w:highlight w:val="none"/>
              </w:rPr>
            </w:pPr>
            <w:r>
              <w:rPr>
                <w:rFonts w:hint="eastAsia" w:hAnsi="宋体"/>
                <w:szCs w:val="21"/>
                <w:highlight w:val="none"/>
              </w:rPr>
              <w:t>按上述①②项要求提供方案且全面、清晰、合理的，得6分。。</w:t>
            </w:r>
          </w:p>
        </w:tc>
        <w:tc>
          <w:tcPr>
            <w:tcW w:w="0" w:type="auto"/>
            <w:vAlign w:val="center"/>
          </w:tcPr>
          <w:p w14:paraId="2CDD86DE">
            <w:pPr>
              <w:snapToGrid w:val="0"/>
              <w:jc w:val="center"/>
              <w:rPr>
                <w:sz w:val="24"/>
                <w:highlight w:val="none"/>
              </w:rPr>
            </w:pPr>
            <w:r>
              <w:rPr>
                <w:rFonts w:hint="eastAsia"/>
                <w:sz w:val="24"/>
                <w:highlight w:val="none"/>
              </w:rPr>
              <w:t>6</w:t>
            </w:r>
            <w:r>
              <w:rPr>
                <w:sz w:val="24"/>
                <w:highlight w:val="none"/>
              </w:rPr>
              <w:t>分</w:t>
            </w:r>
          </w:p>
        </w:tc>
        <w:tc>
          <w:tcPr>
            <w:tcW w:w="0" w:type="auto"/>
            <w:vAlign w:val="center"/>
          </w:tcPr>
          <w:p w14:paraId="44BF1A25">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67AB65CD">
            <w:pPr>
              <w:snapToGrid w:val="0"/>
              <w:jc w:val="center"/>
              <w:rPr>
                <w:sz w:val="24"/>
                <w:highlight w:val="none"/>
              </w:rPr>
            </w:pPr>
            <w:r>
              <w:rPr>
                <w:sz w:val="24"/>
                <w:highlight w:val="none"/>
              </w:rPr>
              <w:t>主观</w:t>
            </w:r>
          </w:p>
        </w:tc>
      </w:tr>
    </w:tbl>
    <w:p w14:paraId="5E5FBBE9">
      <w:pPr>
        <w:rPr>
          <w:rFonts w:hint="eastAsia" w:ascii="宋体" w:hAnsi="宋体" w:cs="宋体"/>
          <w:b/>
          <w:bCs/>
          <w:sz w:val="24"/>
        </w:rPr>
      </w:pPr>
    </w:p>
    <w:sectPr>
      <w:headerReference r:id="rId3" w:type="default"/>
      <w:footerReference r:id="rId4" w:type="default"/>
      <w:pgSz w:w="11905" w:h="16838"/>
      <w:pgMar w:top="1429" w:right="1429" w:bottom="1429" w:left="1429" w:header="850" w:footer="992"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5720">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75657001">
                              <w:pPr>
                                <w:pStyle w:val="12"/>
                                <w:jc w:val="center"/>
                              </w:pPr>
                              <w:r>
                                <w:fldChar w:fldCharType="begin"/>
                              </w:r>
                              <w:r>
                                <w:instrText xml:space="preserve">PAGE   \* MERGEFORMAT</w:instrText>
                              </w:r>
                              <w:r>
                                <w:fldChar w:fldCharType="separate"/>
                              </w:r>
                              <w:r>
                                <w:rPr>
                                  <w:lang w:val="zh-CN"/>
                                </w:rPr>
                                <w:t>66</w:t>
                              </w:r>
                              <w:r>
                                <w:rPr>
                                  <w:lang w:val="zh-CN"/>
                                </w:rPr>
                                <w:fldChar w:fldCharType="end"/>
                              </w:r>
                            </w:p>
                          </w:sdtContent>
                        </w:sdt>
                        <w:p w14:paraId="4F86D1B2">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75657001">
                        <w:pPr>
                          <w:pStyle w:val="12"/>
                          <w:jc w:val="center"/>
                        </w:pPr>
                        <w:r>
                          <w:fldChar w:fldCharType="begin"/>
                        </w:r>
                        <w:r>
                          <w:instrText xml:space="preserve">PAGE   \* MERGEFORMAT</w:instrText>
                        </w:r>
                        <w:r>
                          <w:fldChar w:fldCharType="separate"/>
                        </w:r>
                        <w:r>
                          <w:rPr>
                            <w:lang w:val="zh-CN"/>
                          </w:rPr>
                          <w:t>66</w:t>
                        </w:r>
                        <w:r>
                          <w:rPr>
                            <w:lang w:val="zh-CN"/>
                          </w:rPr>
                          <w:fldChar w:fldCharType="end"/>
                        </w:r>
                      </w:p>
                    </w:sdtContent>
                  </w:sdt>
                  <w:p w14:paraId="4F86D1B2">
                    <w:pPr>
                      <w:pStyle w:val="6"/>
                    </w:pPr>
                  </w:p>
                </w:txbxContent>
              </v:textbox>
            </v:shape>
          </w:pict>
        </mc:Fallback>
      </mc:AlternateContent>
    </w:r>
  </w:p>
  <w:p w14:paraId="5735100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4C6E">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EC5"/>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6354"/>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3E7F"/>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05819"/>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17343"/>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3A5D"/>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0B08"/>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59F"/>
    <w:rsid w:val="00950C1D"/>
    <w:rsid w:val="009546A2"/>
    <w:rsid w:val="00954ECC"/>
    <w:rsid w:val="00971B84"/>
    <w:rsid w:val="00971FCC"/>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3D18"/>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C0E0A"/>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4D8"/>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5E09"/>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B781E"/>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6685A"/>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06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08AC"/>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56D2E15"/>
    <w:rsid w:val="06871428"/>
    <w:rsid w:val="07A16AD8"/>
    <w:rsid w:val="08362309"/>
    <w:rsid w:val="099217C1"/>
    <w:rsid w:val="0A5E0C59"/>
    <w:rsid w:val="0AAC3FD4"/>
    <w:rsid w:val="0BA26B08"/>
    <w:rsid w:val="0C3A32A1"/>
    <w:rsid w:val="0C9D4705"/>
    <w:rsid w:val="0E705F0D"/>
    <w:rsid w:val="0EE3398A"/>
    <w:rsid w:val="0FCB26F9"/>
    <w:rsid w:val="104246CD"/>
    <w:rsid w:val="10BF4F03"/>
    <w:rsid w:val="116A00EF"/>
    <w:rsid w:val="120D40DA"/>
    <w:rsid w:val="121865DB"/>
    <w:rsid w:val="1283614B"/>
    <w:rsid w:val="13400FC0"/>
    <w:rsid w:val="13A02D2C"/>
    <w:rsid w:val="13B660AC"/>
    <w:rsid w:val="146137CF"/>
    <w:rsid w:val="14EA425F"/>
    <w:rsid w:val="15DE716E"/>
    <w:rsid w:val="188B4CDC"/>
    <w:rsid w:val="19A30C3C"/>
    <w:rsid w:val="1B5C578B"/>
    <w:rsid w:val="1C53479C"/>
    <w:rsid w:val="1D3249F5"/>
    <w:rsid w:val="1D3A1AFC"/>
    <w:rsid w:val="1EDF44F4"/>
    <w:rsid w:val="1F9F2DD9"/>
    <w:rsid w:val="201872BC"/>
    <w:rsid w:val="20CE2C87"/>
    <w:rsid w:val="226B2757"/>
    <w:rsid w:val="2483022C"/>
    <w:rsid w:val="24B67467"/>
    <w:rsid w:val="256A70DF"/>
    <w:rsid w:val="278653C3"/>
    <w:rsid w:val="27A97396"/>
    <w:rsid w:val="27C33364"/>
    <w:rsid w:val="287E31E4"/>
    <w:rsid w:val="294A5C4F"/>
    <w:rsid w:val="29B6075C"/>
    <w:rsid w:val="2B6B0819"/>
    <w:rsid w:val="2BE9306B"/>
    <w:rsid w:val="2C391C60"/>
    <w:rsid w:val="2CAE1922"/>
    <w:rsid w:val="2CD722CC"/>
    <w:rsid w:val="2DF04237"/>
    <w:rsid w:val="2F0D7070"/>
    <w:rsid w:val="2FBF45F2"/>
    <w:rsid w:val="3098637C"/>
    <w:rsid w:val="30CD4226"/>
    <w:rsid w:val="313244EC"/>
    <w:rsid w:val="31BF2A03"/>
    <w:rsid w:val="32380C07"/>
    <w:rsid w:val="331C0D46"/>
    <w:rsid w:val="33202078"/>
    <w:rsid w:val="349124F1"/>
    <w:rsid w:val="34A75F46"/>
    <w:rsid w:val="35BF5AB3"/>
    <w:rsid w:val="361231BE"/>
    <w:rsid w:val="36603F29"/>
    <w:rsid w:val="36B93A98"/>
    <w:rsid w:val="36F37731"/>
    <w:rsid w:val="37D0630C"/>
    <w:rsid w:val="384462A9"/>
    <w:rsid w:val="38481C7E"/>
    <w:rsid w:val="3848736B"/>
    <w:rsid w:val="38E47094"/>
    <w:rsid w:val="39512A22"/>
    <w:rsid w:val="39747F9D"/>
    <w:rsid w:val="3B0A5163"/>
    <w:rsid w:val="3C3E5289"/>
    <w:rsid w:val="3CCC7501"/>
    <w:rsid w:val="3D536049"/>
    <w:rsid w:val="3E886BC8"/>
    <w:rsid w:val="3FFF22C1"/>
    <w:rsid w:val="425A2175"/>
    <w:rsid w:val="42704534"/>
    <w:rsid w:val="42D24401"/>
    <w:rsid w:val="430A1C61"/>
    <w:rsid w:val="433E3844"/>
    <w:rsid w:val="434370AD"/>
    <w:rsid w:val="44F109D5"/>
    <w:rsid w:val="4554492E"/>
    <w:rsid w:val="45647A48"/>
    <w:rsid w:val="457F1EF2"/>
    <w:rsid w:val="459B6D55"/>
    <w:rsid w:val="45CF4C28"/>
    <w:rsid w:val="46853538"/>
    <w:rsid w:val="46DF28B7"/>
    <w:rsid w:val="470A303D"/>
    <w:rsid w:val="477E4B57"/>
    <w:rsid w:val="47E759F0"/>
    <w:rsid w:val="482D025C"/>
    <w:rsid w:val="4947569E"/>
    <w:rsid w:val="49757894"/>
    <w:rsid w:val="4A840191"/>
    <w:rsid w:val="4BB55C79"/>
    <w:rsid w:val="4E3F014B"/>
    <w:rsid w:val="4EC15329"/>
    <w:rsid w:val="4F457D08"/>
    <w:rsid w:val="4F4A531F"/>
    <w:rsid w:val="4F7853F7"/>
    <w:rsid w:val="519B00B4"/>
    <w:rsid w:val="527B72D6"/>
    <w:rsid w:val="52BC29D7"/>
    <w:rsid w:val="53CF7776"/>
    <w:rsid w:val="53F43EF1"/>
    <w:rsid w:val="54091C4C"/>
    <w:rsid w:val="56AD4788"/>
    <w:rsid w:val="572834F8"/>
    <w:rsid w:val="57AA1988"/>
    <w:rsid w:val="57E80E47"/>
    <w:rsid w:val="59E85E60"/>
    <w:rsid w:val="5A4540E7"/>
    <w:rsid w:val="5A854500"/>
    <w:rsid w:val="5B7E082A"/>
    <w:rsid w:val="5B865931"/>
    <w:rsid w:val="5BF62AB6"/>
    <w:rsid w:val="5D4810F0"/>
    <w:rsid w:val="5D526CAC"/>
    <w:rsid w:val="5D641CA2"/>
    <w:rsid w:val="5DDD4037"/>
    <w:rsid w:val="5E0758EE"/>
    <w:rsid w:val="5FA212DE"/>
    <w:rsid w:val="5FC85532"/>
    <w:rsid w:val="5FD17AC2"/>
    <w:rsid w:val="60026A52"/>
    <w:rsid w:val="60DB227B"/>
    <w:rsid w:val="625B20CE"/>
    <w:rsid w:val="63337B03"/>
    <w:rsid w:val="63412E7D"/>
    <w:rsid w:val="640A23EA"/>
    <w:rsid w:val="65586327"/>
    <w:rsid w:val="6841330B"/>
    <w:rsid w:val="6A246A40"/>
    <w:rsid w:val="6A372C18"/>
    <w:rsid w:val="6B575EFD"/>
    <w:rsid w:val="6BB34520"/>
    <w:rsid w:val="6BF15CBC"/>
    <w:rsid w:val="6C6A6D1A"/>
    <w:rsid w:val="6C712D2B"/>
    <w:rsid w:val="6C841A18"/>
    <w:rsid w:val="6E81013B"/>
    <w:rsid w:val="70D67B33"/>
    <w:rsid w:val="70F64FF1"/>
    <w:rsid w:val="710F25AA"/>
    <w:rsid w:val="71104394"/>
    <w:rsid w:val="71235CA4"/>
    <w:rsid w:val="71991A38"/>
    <w:rsid w:val="72CD4767"/>
    <w:rsid w:val="72F21378"/>
    <w:rsid w:val="75362644"/>
    <w:rsid w:val="758955BC"/>
    <w:rsid w:val="75C83CC5"/>
    <w:rsid w:val="76DE56C7"/>
    <w:rsid w:val="76E43BB8"/>
    <w:rsid w:val="78391FF6"/>
    <w:rsid w:val="78D945F3"/>
    <w:rsid w:val="7CB64B7A"/>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6"/>
    <w:qFormat/>
    <w:uiPriority w:val="0"/>
    <w:pPr>
      <w:ind w:firstLine="420"/>
    </w:pPr>
    <w:rPr>
      <w:szCs w:val="20"/>
    </w:rPr>
  </w:style>
  <w:style w:type="paragraph" w:styleId="4">
    <w:name w:val="annotation text"/>
    <w:basedOn w:val="1"/>
    <w:link w:val="42"/>
    <w:semiHidden/>
    <w:unhideWhenUsed/>
    <w:qFormat/>
    <w:uiPriority w:val="99"/>
    <w:pPr>
      <w:jc w:val="left"/>
    </w:pPr>
  </w:style>
  <w:style w:type="paragraph" w:styleId="5">
    <w:name w:val="Body Text 3"/>
    <w:basedOn w:val="1"/>
    <w:link w:val="52"/>
    <w:semiHidden/>
    <w:unhideWhenUsed/>
    <w:qFormat/>
    <w:uiPriority w:val="99"/>
    <w:pPr>
      <w:spacing w:after="120"/>
    </w:pPr>
    <w:rPr>
      <w:sz w:val="16"/>
      <w:szCs w:val="16"/>
    </w:rPr>
  </w:style>
  <w:style w:type="paragraph" w:styleId="6">
    <w:name w:val="Body Text"/>
    <w:basedOn w:val="1"/>
    <w:next w:val="1"/>
    <w:qFormat/>
    <w:uiPriority w:val="0"/>
    <w:pPr>
      <w:spacing w:after="120"/>
    </w:pPr>
  </w:style>
  <w:style w:type="paragraph" w:styleId="7">
    <w:name w:val="Body Text Indent"/>
    <w:basedOn w:val="1"/>
    <w:link w:val="23"/>
    <w:unhideWhenUsed/>
    <w:qFormat/>
    <w:uiPriority w:val="0"/>
    <w:pPr>
      <w:spacing w:after="120"/>
      <w:ind w:left="420" w:leftChars="200"/>
    </w:pPr>
  </w:style>
  <w:style w:type="paragraph" w:styleId="8">
    <w:name w:val="index 4"/>
    <w:basedOn w:val="1"/>
    <w:next w:val="1"/>
    <w:qFormat/>
    <w:uiPriority w:val="99"/>
    <w:pPr>
      <w:ind w:left="600" w:leftChars="600"/>
    </w:pPr>
  </w:style>
  <w:style w:type="paragraph" w:styleId="9">
    <w:name w:val="toc 3"/>
    <w:basedOn w:val="1"/>
    <w:next w:val="1"/>
    <w:qFormat/>
    <w:uiPriority w:val="0"/>
    <w:pPr>
      <w:ind w:left="840" w:leftChars="400"/>
    </w:pPr>
  </w:style>
  <w:style w:type="paragraph" w:styleId="10">
    <w:name w:val="Plain Text"/>
    <w:basedOn w:val="1"/>
    <w:link w:val="50"/>
    <w:qFormat/>
    <w:uiPriority w:val="0"/>
    <w:rPr>
      <w:rFonts w:ascii="宋体" w:hAnsi="Courier New"/>
    </w:r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Arial" w:hAnsi="Arial"/>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annotation subject"/>
    <w:basedOn w:val="4"/>
    <w:next w:val="4"/>
    <w:link w:val="43"/>
    <w:semiHidden/>
    <w:unhideWhenUsed/>
    <w:qFormat/>
    <w:uiPriority w:val="99"/>
    <w:rPr>
      <w:b/>
      <w:bCs/>
    </w:rPr>
  </w:style>
  <w:style w:type="paragraph" w:styleId="17">
    <w:name w:val="Body Text First Indent 2"/>
    <w:basedOn w:val="7"/>
    <w:link w:val="24"/>
    <w:unhideWhenUsed/>
    <w:qFormat/>
    <w:uiPriority w:val="99"/>
    <w:pPr>
      <w:ind w:firstLine="420" w:firstLineChars="2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annotation reference"/>
    <w:unhideWhenUsed/>
    <w:qFormat/>
    <w:uiPriority w:val="0"/>
    <w:rPr>
      <w:sz w:val="21"/>
      <w:szCs w:val="21"/>
    </w:rPr>
  </w:style>
  <w:style w:type="paragraph" w:customStyle="1" w:styleId="2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3">
    <w:name w:val="正文文本缩进 字符"/>
    <w:basedOn w:val="20"/>
    <w:link w:val="7"/>
    <w:semiHidden/>
    <w:qFormat/>
    <w:uiPriority w:val="99"/>
    <w:rPr>
      <w:rFonts w:ascii="Times New Roman" w:hAnsi="Times New Roman" w:eastAsia="宋体" w:cs="Times New Roman"/>
      <w:szCs w:val="24"/>
    </w:rPr>
  </w:style>
  <w:style w:type="character" w:customStyle="1" w:styleId="24">
    <w:name w:val="正文文本首行缩进 2 字符"/>
    <w:basedOn w:val="23"/>
    <w:link w:val="17"/>
    <w:qFormat/>
    <w:uiPriority w:val="99"/>
    <w:rPr>
      <w:rFonts w:ascii="Times New Roman" w:hAnsi="Times New Roman" w:eastAsia="宋体" w:cs="Times New Roman"/>
      <w:szCs w:val="24"/>
    </w:rPr>
  </w:style>
  <w:style w:type="character" w:customStyle="1" w:styleId="25">
    <w:name w:val="正文文本缩进 Char1"/>
    <w:qFormat/>
    <w:uiPriority w:val="0"/>
    <w:rPr>
      <w:kern w:val="2"/>
      <w:sz w:val="21"/>
      <w:szCs w:val="24"/>
    </w:rPr>
  </w:style>
  <w:style w:type="character" w:customStyle="1" w:styleId="26">
    <w:name w:val="正文缩进 字符"/>
    <w:link w:val="3"/>
    <w:qFormat/>
    <w:uiPriority w:val="0"/>
    <w:rPr>
      <w:rFonts w:ascii="Times New Roman" w:hAnsi="Times New Roman" w:eastAsia="宋体" w:cs="Times New Roman"/>
      <w:szCs w:val="20"/>
    </w:rPr>
  </w:style>
  <w:style w:type="character" w:customStyle="1" w:styleId="27">
    <w:name w:val="批注框文本 字符"/>
    <w:basedOn w:val="20"/>
    <w:link w:val="11"/>
    <w:qFormat/>
    <w:uiPriority w:val="0"/>
    <w:rPr>
      <w:rFonts w:ascii="Times New Roman" w:hAnsi="Times New Roman" w:eastAsia="宋体" w:cs="Times New Roman"/>
      <w:sz w:val="18"/>
      <w:szCs w:val="18"/>
    </w:rPr>
  </w:style>
  <w:style w:type="character" w:customStyle="1" w:styleId="28">
    <w:name w:val="页脚 字符"/>
    <w:basedOn w:val="20"/>
    <w:link w:val="12"/>
    <w:qFormat/>
    <w:uiPriority w:val="99"/>
    <w:rPr>
      <w:rFonts w:ascii="Times New Roman" w:hAnsi="Times New Roman" w:eastAsia="宋体" w:cs="Times New Roman"/>
      <w:sz w:val="18"/>
      <w:szCs w:val="18"/>
    </w:rPr>
  </w:style>
  <w:style w:type="character" w:customStyle="1" w:styleId="29">
    <w:name w:val="正文缩进2格 Char"/>
    <w:link w:val="30"/>
    <w:qFormat/>
    <w:locked/>
    <w:uiPriority w:val="99"/>
    <w:rPr>
      <w:rFonts w:ascii="仿宋_GB2312" w:hAnsi="宋体" w:eastAsia="仿宋_GB2312"/>
      <w:sz w:val="31"/>
      <w:szCs w:val="28"/>
    </w:rPr>
  </w:style>
  <w:style w:type="paragraph" w:customStyle="1" w:styleId="30">
    <w:name w:val="正文缩进2格"/>
    <w:basedOn w:val="1"/>
    <w:link w:val="29"/>
    <w:qFormat/>
    <w:uiPriority w:val="99"/>
    <w:pPr>
      <w:spacing w:line="600" w:lineRule="exact"/>
      <w:ind w:firstLine="639" w:firstLineChars="206"/>
    </w:pPr>
    <w:rPr>
      <w:rFonts w:ascii="仿宋_GB2312" w:hAnsi="宋体" w:eastAsia="仿宋_GB2312" w:cstheme="minorBidi"/>
      <w:sz w:val="31"/>
      <w:szCs w:val="28"/>
    </w:rPr>
  </w:style>
  <w:style w:type="paragraph" w:customStyle="1" w:styleId="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2">
    <w:name w:val="我的正文 Char"/>
    <w:link w:val="33"/>
    <w:qFormat/>
    <w:locked/>
    <w:uiPriority w:val="0"/>
    <w:rPr>
      <w:rFonts w:ascii="宋体" w:hAnsi="宋体"/>
      <w:sz w:val="24"/>
      <w:szCs w:val="24"/>
    </w:rPr>
  </w:style>
  <w:style w:type="paragraph" w:customStyle="1" w:styleId="33">
    <w:name w:val="我的正文"/>
    <w:basedOn w:val="1"/>
    <w:link w:val="32"/>
    <w:qFormat/>
    <w:uiPriority w:val="0"/>
    <w:pPr>
      <w:snapToGrid w:val="0"/>
      <w:spacing w:line="300" w:lineRule="auto"/>
      <w:ind w:firstLine="150" w:firstLineChars="150"/>
    </w:pPr>
    <w:rPr>
      <w:rFonts w:ascii="宋体" w:hAnsi="宋体" w:eastAsiaTheme="minorEastAsia" w:cstheme="minorBidi"/>
      <w:sz w:val="24"/>
    </w:rPr>
  </w:style>
  <w:style w:type="paragraph" w:customStyle="1" w:styleId="34">
    <w:name w:val="列出段落1"/>
    <w:basedOn w:val="1"/>
    <w:qFormat/>
    <w:uiPriority w:val="34"/>
    <w:pPr>
      <w:ind w:firstLine="420" w:firstLineChars="200"/>
    </w:pPr>
  </w:style>
  <w:style w:type="character" w:customStyle="1" w:styleId="35">
    <w:name w:val="fontstyle01"/>
    <w:qFormat/>
    <w:uiPriority w:val="0"/>
    <w:rPr>
      <w:rFonts w:hint="eastAsia" w:ascii="宋体" w:hAnsi="宋体" w:eastAsia="宋体"/>
      <w:color w:val="000000"/>
      <w:sz w:val="24"/>
      <w:szCs w:val="24"/>
    </w:rPr>
  </w:style>
  <w:style w:type="paragraph" w:styleId="36">
    <w:name w:val="List Paragraph"/>
    <w:basedOn w:val="1"/>
    <w:qFormat/>
    <w:uiPriority w:val="34"/>
    <w:pPr>
      <w:ind w:firstLine="420" w:firstLineChars="200"/>
    </w:pPr>
  </w:style>
  <w:style w:type="paragraph" w:customStyle="1" w:styleId="37">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8">
    <w:name w:val="页眉 字符"/>
    <w:basedOn w:val="20"/>
    <w:link w:val="14"/>
    <w:qFormat/>
    <w:uiPriority w:val="99"/>
    <w:rPr>
      <w:rFonts w:ascii="Times New Roman" w:hAnsi="Times New Roman" w:eastAsia="宋体" w:cs="Times New Roman"/>
      <w:sz w:val="18"/>
      <w:szCs w:val="18"/>
    </w:rPr>
  </w:style>
  <w:style w:type="character" w:customStyle="1" w:styleId="39">
    <w:name w:val="font61"/>
    <w:basedOn w:val="20"/>
    <w:qFormat/>
    <w:uiPriority w:val="0"/>
    <w:rPr>
      <w:rFonts w:hint="eastAsia" w:ascii="宋体" w:hAnsi="宋体" w:eastAsia="宋体" w:cs="宋体"/>
      <w:color w:val="FF0000"/>
      <w:sz w:val="20"/>
      <w:szCs w:val="20"/>
      <w:u w:val="none"/>
    </w:rPr>
  </w:style>
  <w:style w:type="character" w:customStyle="1" w:styleId="40">
    <w:name w:val="font31"/>
    <w:basedOn w:val="20"/>
    <w:qFormat/>
    <w:uiPriority w:val="0"/>
    <w:rPr>
      <w:rFonts w:hint="eastAsia" w:ascii="宋体" w:hAnsi="宋体" w:eastAsia="宋体" w:cs="宋体"/>
      <w:color w:val="000000"/>
      <w:sz w:val="20"/>
      <w:szCs w:val="20"/>
      <w:u w:val="none"/>
    </w:rPr>
  </w:style>
  <w:style w:type="paragraph" w:customStyle="1" w:styleId="41">
    <w:name w:val="ces正文"/>
    <w:basedOn w:val="1"/>
    <w:qFormat/>
    <w:uiPriority w:val="0"/>
    <w:pPr>
      <w:spacing w:line="360" w:lineRule="auto"/>
      <w:ind w:firstLine="480" w:firstLineChars="200"/>
    </w:pPr>
    <w:rPr>
      <w:rFonts w:ascii="宋体" w:hAnsi="宋体"/>
      <w:sz w:val="24"/>
    </w:rPr>
  </w:style>
  <w:style w:type="character" w:customStyle="1" w:styleId="42">
    <w:name w:val="批注文字 字符"/>
    <w:basedOn w:val="20"/>
    <w:link w:val="4"/>
    <w:semiHidden/>
    <w:qFormat/>
    <w:uiPriority w:val="99"/>
    <w:rPr>
      <w:kern w:val="2"/>
      <w:sz w:val="21"/>
      <w:szCs w:val="24"/>
    </w:rPr>
  </w:style>
  <w:style w:type="character" w:customStyle="1" w:styleId="43">
    <w:name w:val="批注主题 字符"/>
    <w:basedOn w:val="42"/>
    <w:link w:val="16"/>
    <w:semiHidden/>
    <w:qFormat/>
    <w:uiPriority w:val="99"/>
    <w:rPr>
      <w:b/>
      <w:bCs/>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正文缩进 Char"/>
    <w:qFormat/>
    <w:uiPriority w:val="0"/>
    <w:rPr>
      <w:kern w:val="2"/>
      <w:sz w:val="21"/>
    </w:rPr>
  </w:style>
  <w:style w:type="paragraph" w:customStyle="1" w:styleId="46">
    <w:name w:val="_Style 38"/>
    <w:basedOn w:val="7"/>
    <w:next w:val="17"/>
    <w:link w:val="47"/>
    <w:unhideWhenUsed/>
    <w:qFormat/>
    <w:uiPriority w:val="99"/>
    <w:pPr>
      <w:ind w:firstLine="420" w:firstLineChars="200"/>
    </w:pPr>
    <w:rPr>
      <w:kern w:val="0"/>
      <w:sz w:val="20"/>
      <w:szCs w:val="20"/>
    </w:rPr>
  </w:style>
  <w:style w:type="character" w:customStyle="1" w:styleId="47">
    <w:name w:val="正文首行缩进 2 Char"/>
    <w:link w:val="46"/>
    <w:semiHidden/>
    <w:qFormat/>
    <w:uiPriority w:val="99"/>
  </w:style>
  <w:style w:type="paragraph" w:customStyle="1" w:styleId="48">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49">
    <w:name w:val="网格型1"/>
    <w:basedOn w:val="18"/>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0">
    <w:name w:val="纯文本 字符"/>
    <w:basedOn w:val="20"/>
    <w:link w:val="10"/>
    <w:qFormat/>
    <w:uiPriority w:val="0"/>
    <w:rPr>
      <w:rFonts w:ascii="宋体" w:hAnsi="Courier New"/>
      <w:kern w:val="2"/>
      <w:sz w:val="21"/>
      <w:szCs w:val="24"/>
    </w:rPr>
  </w:style>
  <w:style w:type="character" w:customStyle="1" w:styleId="51">
    <w:name w:val="NormalCharacter"/>
    <w:autoRedefine/>
    <w:qFormat/>
    <w:uiPriority w:val="0"/>
  </w:style>
  <w:style w:type="character" w:customStyle="1" w:styleId="52">
    <w:name w:val="正文文本 3 字符"/>
    <w:basedOn w:val="20"/>
    <w:link w:val="5"/>
    <w:semiHidden/>
    <w:qFormat/>
    <w:uiPriority w:val="99"/>
    <w:rPr>
      <w:kern w:val="2"/>
      <w:sz w:val="16"/>
      <w:szCs w:val="16"/>
    </w:rPr>
  </w:style>
  <w:style w:type="paragraph" w:customStyle="1" w:styleId="53">
    <w:name w:val="样式1"/>
    <w:basedOn w:val="1"/>
    <w:qFormat/>
    <w:uiPriority w:val="0"/>
    <w:pPr>
      <w:spacing w:line="520" w:lineRule="exact"/>
      <w:ind w:firstLine="566" w:firstLineChars="236"/>
    </w:pPr>
    <w:rPr>
      <w:sz w:val="24"/>
    </w:rPr>
  </w:style>
  <w:style w:type="character" w:customStyle="1" w:styleId="54">
    <w:name w:val="批注引用1"/>
    <w:basedOn w:val="55"/>
    <w:qFormat/>
    <w:uiPriority w:val="0"/>
    <w:rPr>
      <w:rFonts w:ascii="Times New Roman" w:hAnsi="Times New Roman" w:eastAsia="宋体" w:cs="Times New Roman"/>
      <w:kern w:val="2"/>
      <w:sz w:val="21"/>
      <w:szCs w:val="24"/>
      <w:lang w:val="en-US" w:eastAsia="zh-CN" w:bidi="ar-SA"/>
    </w:rPr>
  </w:style>
  <w:style w:type="character" w:customStyle="1" w:styleId="55">
    <w:name w:val="默认段落字体1"/>
    <w:unhideWhenUsed/>
    <w:qFormat/>
    <w:uiPriority w:val="1"/>
  </w:style>
  <w:style w:type="paragraph" w:customStyle="1" w:styleId="56">
    <w:name w:val="正文首行缩进 21"/>
    <w:basedOn w:val="57"/>
    <w:qFormat/>
    <w:uiPriority w:val="99"/>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paragraph" w:customStyle="1" w:styleId="58">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59">
    <w:name w:val="纯文本1"/>
    <w:basedOn w:val="1"/>
    <w:qFormat/>
    <w:uiPriority w:val="0"/>
    <w:rPr>
      <w:rFonts w:ascii="宋体" w:hAnsi="Courier New" w:cs="Courier New"/>
      <w:szCs w:val="21"/>
    </w:rPr>
  </w:style>
  <w:style w:type="paragraph" w:customStyle="1" w:styleId="60">
    <w:name w:val="页脚1"/>
    <w:basedOn w:val="1"/>
    <w:qFormat/>
    <w:uiPriority w:val="99"/>
    <w:pPr>
      <w:tabs>
        <w:tab w:val="center" w:pos="4153"/>
        <w:tab w:val="right" w:pos="8306"/>
      </w:tabs>
      <w:jc w:val="left"/>
    </w:pPr>
    <w:rPr>
      <w:sz w:val="18"/>
      <w:szCs w:val="18"/>
    </w:rPr>
  </w:style>
  <w:style w:type="character" w:customStyle="1" w:styleId="61">
    <w:name w:val="font21"/>
    <w:basedOn w:val="20"/>
    <w:qFormat/>
    <w:uiPriority w:val="0"/>
    <w:rPr>
      <w:rFonts w:hint="default" w:ascii="仿宋_GB2312" w:eastAsia="仿宋_GB2312" w:cs="仿宋_GB2312"/>
      <w:color w:val="000000"/>
      <w:sz w:val="24"/>
      <w:szCs w:val="24"/>
      <w:u w:val="none"/>
    </w:rPr>
  </w:style>
  <w:style w:type="character" w:customStyle="1" w:styleId="62">
    <w:name w:val="font81"/>
    <w:basedOn w:val="20"/>
    <w:qFormat/>
    <w:uiPriority w:val="0"/>
    <w:rPr>
      <w:rFonts w:hint="default" w:ascii="Times New Roman" w:hAnsi="Times New Roman" w:cs="Times New Roman"/>
      <w:color w:val="000000"/>
      <w:sz w:val="22"/>
      <w:szCs w:val="22"/>
      <w:u w:val="none"/>
    </w:rPr>
  </w:style>
  <w:style w:type="character" w:customStyle="1" w:styleId="63">
    <w:name w:val="font5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11240</Words>
  <Characters>11710</Characters>
  <Lines>1021</Lines>
  <Paragraphs>892</Paragraphs>
  <TotalTime>0</TotalTime>
  <ScaleCrop>false</ScaleCrop>
  <LinksUpToDate>false</LinksUpToDate>
  <CharactersWithSpaces>11796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2026-03-11T05:41:00Z</dcterms:created>
  <dc:creator>吉加兵</dc:creator>
  <cp:lastModifiedBy>沙云天</cp:lastModifiedBy>
  <cp:lastPrinted>2022-03-01T06:57:00Z</cp:lastPrinted>
  <dcterms:modified xsi:type="dcterms:W3CDTF">2026-03-19T08:41:41Z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DE4DE4C3A46547388B816F3182B0BE49_13</vt:lpwstr>
  </property>
  <property fmtid="{D5CDD505-2E9C-101B-9397-08002B2CF9AE}" pid="4" name="KSOTemplateDocerSaveRecord">
    <vt:lpwstr>eyJoZGlkIjoiNDUwMTFkMDI3ZjBmZjczM2Q3M2EwOGI5M2VjYzUzMDkiLCJ1c2VySWQiOiIyNzU0NDQ2MzMifQ==</vt:lpwstr>
  </property>
</Properties>
</file>