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529CA">
      <w:pPr>
        <w:rPr>
          <w:rFonts w:ascii="宋体" w:hAnsi="宋体" w:cs="宋体"/>
          <w:b/>
          <w:color w:val="auto"/>
          <w:sz w:val="36"/>
          <w:szCs w:val="36"/>
          <w:highlight w:val="none"/>
        </w:rPr>
      </w:pPr>
    </w:p>
    <w:p w14:paraId="1CABD1ED">
      <w:pPr>
        <w:autoSpaceDE w:val="0"/>
        <w:autoSpaceDN w:val="0"/>
        <w:adjustRightInd w:val="0"/>
        <w:spacing w:line="1000" w:lineRule="exact"/>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2026年南通市公路事业发展中心基础环境与安全运维服务项目</w:t>
      </w:r>
    </w:p>
    <w:p w14:paraId="42FAF2FB">
      <w:pPr>
        <w:pStyle w:val="18"/>
        <w:rPr>
          <w:rFonts w:ascii="宋体" w:hAnsi="宋体" w:cs="宋体"/>
          <w:color w:val="auto"/>
          <w:highlight w:val="none"/>
        </w:rPr>
      </w:pPr>
    </w:p>
    <w:p w14:paraId="05AC2C92">
      <w:pPr>
        <w:pStyle w:val="18"/>
        <w:rPr>
          <w:rFonts w:ascii="宋体" w:hAnsi="宋体" w:cs="宋体"/>
          <w:color w:val="auto"/>
          <w:highlight w:val="none"/>
        </w:rPr>
      </w:pPr>
    </w:p>
    <w:p w14:paraId="6C5B0957">
      <w:pPr>
        <w:tabs>
          <w:tab w:val="left" w:pos="6300"/>
        </w:tabs>
        <w:snapToGrid w:val="0"/>
        <w:spacing w:line="300" w:lineRule="auto"/>
        <w:jc w:val="center"/>
        <w:rPr>
          <w:rFonts w:ascii="宋体" w:hAnsi="宋体" w:cs="宋体"/>
          <w:b/>
          <w:color w:val="auto"/>
          <w:w w:val="80"/>
          <w:sz w:val="96"/>
          <w:szCs w:val="96"/>
          <w:highlight w:val="none"/>
        </w:rPr>
      </w:pPr>
      <w:r>
        <w:rPr>
          <w:rFonts w:hint="eastAsia" w:ascii="宋体" w:hAnsi="宋体" w:cs="宋体"/>
          <w:b/>
          <w:color w:val="auto"/>
          <w:w w:val="80"/>
          <w:sz w:val="96"/>
          <w:szCs w:val="96"/>
          <w:highlight w:val="none"/>
        </w:rPr>
        <w:t>竞争性磋商文件</w:t>
      </w:r>
    </w:p>
    <w:p w14:paraId="4D87F24F">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lang w:val="en-US" w:eastAsia="zh-CN"/>
        </w:rPr>
        <w:t>项目编号：2026AQYW</w:t>
      </w:r>
    </w:p>
    <w:p w14:paraId="36959DCD">
      <w:pPr>
        <w:tabs>
          <w:tab w:val="left" w:pos="6300"/>
        </w:tabs>
        <w:snapToGrid w:val="0"/>
        <w:spacing w:line="300" w:lineRule="auto"/>
        <w:ind w:firstLine="3087" w:firstLineChars="1200"/>
        <w:jc w:val="both"/>
        <w:rPr>
          <w:rFonts w:hint="default" w:ascii="宋体" w:hAnsi="宋体" w:eastAsia="宋体" w:cs="宋体"/>
          <w:b/>
          <w:color w:val="auto"/>
          <w:w w:val="80"/>
          <w:sz w:val="32"/>
          <w:szCs w:val="32"/>
          <w:highlight w:val="none"/>
          <w:lang w:val="en-US" w:eastAsia="zh-CN"/>
        </w:rPr>
      </w:pPr>
      <w:r>
        <w:rPr>
          <w:rFonts w:hint="eastAsia" w:ascii="宋体" w:hAnsi="宋体" w:cs="宋体"/>
          <w:b/>
          <w:color w:val="auto"/>
          <w:w w:val="80"/>
          <w:sz w:val="32"/>
          <w:szCs w:val="32"/>
          <w:highlight w:val="none"/>
        </w:rPr>
        <w:t>档案编号：20251122</w:t>
      </w:r>
    </w:p>
    <w:p w14:paraId="4784C0F7">
      <w:pPr>
        <w:tabs>
          <w:tab w:val="left" w:pos="6300"/>
        </w:tabs>
        <w:snapToGrid w:val="0"/>
        <w:spacing w:line="300" w:lineRule="auto"/>
        <w:ind w:firstLine="2830" w:firstLineChars="1100"/>
        <w:rPr>
          <w:rFonts w:ascii="宋体" w:hAnsi="宋体" w:cs="宋体"/>
          <w:b/>
          <w:snapToGrid w:val="0"/>
          <w:color w:val="auto"/>
          <w:w w:val="80"/>
          <w:kern w:val="0"/>
          <w:sz w:val="32"/>
          <w:szCs w:val="32"/>
          <w:highlight w:val="none"/>
        </w:rPr>
      </w:pPr>
    </w:p>
    <w:p w14:paraId="1C272296">
      <w:pPr>
        <w:autoSpaceDE w:val="0"/>
        <w:autoSpaceDN w:val="0"/>
        <w:adjustRightInd w:val="0"/>
        <w:spacing w:line="360" w:lineRule="auto"/>
        <w:ind w:firstLine="420"/>
        <w:jc w:val="center"/>
        <w:rPr>
          <w:rFonts w:ascii="宋体" w:hAnsi="宋体" w:cs="宋体"/>
          <w:color w:val="auto"/>
          <w:szCs w:val="21"/>
          <w:highlight w:val="none"/>
        </w:rPr>
      </w:pPr>
    </w:p>
    <w:p w14:paraId="075DEF2F">
      <w:pPr>
        <w:autoSpaceDE w:val="0"/>
        <w:autoSpaceDN w:val="0"/>
        <w:adjustRightInd w:val="0"/>
        <w:spacing w:line="360" w:lineRule="auto"/>
        <w:ind w:firstLine="420"/>
        <w:jc w:val="center"/>
        <w:rPr>
          <w:rFonts w:ascii="宋体" w:hAnsi="宋体" w:cs="宋体"/>
          <w:color w:val="auto"/>
          <w:szCs w:val="21"/>
          <w:highlight w:val="none"/>
        </w:rPr>
      </w:pPr>
    </w:p>
    <w:p w14:paraId="046A3A87">
      <w:pPr>
        <w:autoSpaceDE w:val="0"/>
        <w:autoSpaceDN w:val="0"/>
        <w:adjustRightInd w:val="0"/>
        <w:spacing w:line="360" w:lineRule="auto"/>
        <w:ind w:firstLine="420"/>
        <w:jc w:val="center"/>
        <w:rPr>
          <w:rFonts w:ascii="宋体" w:hAnsi="宋体" w:cs="宋体"/>
          <w:color w:val="auto"/>
          <w:szCs w:val="21"/>
          <w:highlight w:val="none"/>
        </w:rPr>
      </w:pPr>
    </w:p>
    <w:p w14:paraId="7A2C676B">
      <w:pPr>
        <w:autoSpaceDE w:val="0"/>
        <w:autoSpaceDN w:val="0"/>
        <w:adjustRightInd w:val="0"/>
        <w:spacing w:line="360" w:lineRule="auto"/>
        <w:ind w:firstLine="420"/>
        <w:jc w:val="center"/>
        <w:rPr>
          <w:rFonts w:ascii="宋体" w:hAnsi="宋体" w:cs="宋体"/>
          <w:color w:val="auto"/>
          <w:szCs w:val="21"/>
          <w:highlight w:val="none"/>
        </w:rPr>
      </w:pPr>
    </w:p>
    <w:p w14:paraId="3346916F">
      <w:pPr>
        <w:autoSpaceDE w:val="0"/>
        <w:autoSpaceDN w:val="0"/>
        <w:adjustRightInd w:val="0"/>
        <w:spacing w:line="360" w:lineRule="auto"/>
        <w:ind w:firstLine="420"/>
        <w:jc w:val="center"/>
        <w:rPr>
          <w:rFonts w:ascii="宋体" w:hAnsi="宋体" w:cs="宋体"/>
          <w:color w:val="auto"/>
          <w:szCs w:val="21"/>
          <w:highlight w:val="none"/>
        </w:rPr>
      </w:pPr>
    </w:p>
    <w:p w14:paraId="67C81B8C">
      <w:pPr>
        <w:autoSpaceDE w:val="0"/>
        <w:autoSpaceDN w:val="0"/>
        <w:adjustRightInd w:val="0"/>
        <w:spacing w:line="360" w:lineRule="auto"/>
        <w:ind w:firstLine="420"/>
        <w:jc w:val="center"/>
        <w:rPr>
          <w:rFonts w:ascii="宋体" w:hAnsi="宋体" w:cs="宋体"/>
          <w:color w:val="auto"/>
          <w:szCs w:val="21"/>
          <w:highlight w:val="none"/>
        </w:rPr>
      </w:pPr>
    </w:p>
    <w:p w14:paraId="18802255">
      <w:pPr>
        <w:autoSpaceDE w:val="0"/>
        <w:autoSpaceDN w:val="0"/>
        <w:adjustRightInd w:val="0"/>
        <w:spacing w:line="360" w:lineRule="auto"/>
        <w:ind w:firstLine="420"/>
        <w:jc w:val="center"/>
        <w:rPr>
          <w:rFonts w:ascii="宋体" w:hAnsi="宋体" w:cs="宋体"/>
          <w:color w:val="auto"/>
          <w:szCs w:val="21"/>
          <w:highlight w:val="none"/>
        </w:rPr>
      </w:pPr>
    </w:p>
    <w:p w14:paraId="47AF95AA">
      <w:pPr>
        <w:autoSpaceDE w:val="0"/>
        <w:autoSpaceDN w:val="0"/>
        <w:adjustRightInd w:val="0"/>
        <w:jc w:val="center"/>
        <w:rPr>
          <w:rFonts w:ascii="宋体" w:hAnsi="宋体" w:cs="宋体"/>
          <w:color w:val="auto"/>
          <w:szCs w:val="21"/>
          <w:highlight w:val="none"/>
        </w:rPr>
      </w:pPr>
    </w:p>
    <w:p w14:paraId="7ABA66A7">
      <w:pPr>
        <w:autoSpaceDE w:val="0"/>
        <w:autoSpaceDN w:val="0"/>
        <w:adjustRightInd w:val="0"/>
        <w:spacing w:line="360" w:lineRule="auto"/>
        <w:ind w:firstLine="420"/>
        <w:jc w:val="center"/>
        <w:rPr>
          <w:rFonts w:ascii="宋体" w:hAnsi="宋体" w:cs="宋体"/>
          <w:color w:val="auto"/>
          <w:szCs w:val="21"/>
          <w:highlight w:val="none"/>
        </w:rPr>
      </w:pPr>
    </w:p>
    <w:p w14:paraId="220D0DF3">
      <w:pPr>
        <w:autoSpaceDE w:val="0"/>
        <w:autoSpaceDN w:val="0"/>
        <w:adjustRightInd w:val="0"/>
        <w:spacing w:line="360" w:lineRule="auto"/>
        <w:ind w:firstLine="420"/>
        <w:jc w:val="center"/>
        <w:rPr>
          <w:rFonts w:ascii="宋体" w:hAnsi="宋体" w:cs="宋体"/>
          <w:color w:val="auto"/>
          <w:szCs w:val="21"/>
          <w:highlight w:val="none"/>
        </w:rPr>
      </w:pPr>
    </w:p>
    <w:p w14:paraId="2C27A476">
      <w:pPr>
        <w:autoSpaceDE w:val="0"/>
        <w:autoSpaceDN w:val="0"/>
        <w:adjustRightInd w:val="0"/>
        <w:spacing w:line="360" w:lineRule="auto"/>
        <w:rPr>
          <w:rFonts w:ascii="宋体" w:hAnsi="宋体" w:cs="宋体"/>
          <w:color w:val="auto"/>
          <w:szCs w:val="21"/>
          <w:highlight w:val="none"/>
        </w:rPr>
      </w:pPr>
    </w:p>
    <w:p w14:paraId="57A0D841">
      <w:pPr>
        <w:adjustRightInd w:val="0"/>
        <w:snapToGrid w:val="0"/>
        <w:spacing w:line="360" w:lineRule="auto"/>
        <w:ind w:firstLine="602" w:firstLineChars="200"/>
        <w:jc w:val="left"/>
        <w:rPr>
          <w:rFonts w:ascii="宋体" w:hAnsi="宋体" w:cs="宋体"/>
          <w:b/>
          <w:color w:val="auto"/>
          <w:sz w:val="30"/>
          <w:szCs w:val="30"/>
          <w:highlight w:val="none"/>
        </w:rPr>
      </w:pPr>
      <w:r>
        <w:rPr>
          <w:rFonts w:hint="eastAsia" w:ascii="宋体" w:hAnsi="宋体" w:cs="宋体"/>
          <w:b/>
          <w:color w:val="auto"/>
          <w:sz w:val="30"/>
          <w:szCs w:val="30"/>
          <w:highlight w:val="none"/>
        </w:rPr>
        <w:t>采   购   人：南通市公路事业发展中心</w:t>
      </w:r>
    </w:p>
    <w:p w14:paraId="571CC6FD">
      <w:pPr>
        <w:adjustRightInd w:val="0"/>
        <w:snapToGrid w:val="0"/>
        <w:spacing w:line="360" w:lineRule="auto"/>
        <w:ind w:firstLine="602" w:firstLineChars="200"/>
        <w:jc w:val="lef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采购代理机构：</w:t>
      </w:r>
      <w:r>
        <w:rPr>
          <w:rFonts w:hint="eastAsia" w:ascii="宋体" w:hAnsi="宋体" w:cs="宋体"/>
          <w:b/>
          <w:color w:val="auto"/>
          <w:sz w:val="30"/>
          <w:szCs w:val="30"/>
          <w:highlight w:val="none"/>
          <w:lang w:eastAsia="zh-CN"/>
        </w:rPr>
        <w:t>捷宏润安工程顾问（江苏）有限公司</w:t>
      </w:r>
    </w:p>
    <w:p w14:paraId="023EADAB">
      <w:pPr>
        <w:adjustRightInd w:val="0"/>
        <w:snapToGrid w:val="0"/>
        <w:spacing w:line="360" w:lineRule="auto"/>
        <w:ind w:firstLine="602" w:firstLineChars="20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2025年</w:t>
      </w:r>
      <w:r>
        <w:rPr>
          <w:rFonts w:hint="eastAsia" w:ascii="宋体" w:hAnsi="宋体" w:cs="宋体"/>
          <w:b/>
          <w:color w:val="auto"/>
          <w:sz w:val="30"/>
          <w:szCs w:val="30"/>
          <w:highlight w:val="none"/>
          <w:lang w:val="en-US" w:eastAsia="zh-CN"/>
        </w:rPr>
        <w:tab/>
      </w:r>
      <w:r>
        <w:rPr>
          <w:rFonts w:hint="eastAsia" w:ascii="宋体" w:hAnsi="宋体" w:cs="宋体"/>
          <w:b/>
          <w:color w:val="auto"/>
          <w:sz w:val="30"/>
          <w:szCs w:val="30"/>
          <w:highlight w:val="none"/>
          <w:lang w:val="en-US" w:eastAsia="zh-CN"/>
        </w:rPr>
        <w:t>12</w:t>
      </w:r>
      <w:r>
        <w:rPr>
          <w:rFonts w:hint="eastAsia" w:ascii="宋体" w:hAnsi="宋体" w:cs="宋体"/>
          <w:b/>
          <w:color w:val="auto"/>
          <w:sz w:val="30"/>
          <w:szCs w:val="30"/>
          <w:highlight w:val="none"/>
        </w:rPr>
        <w:t>月</w:t>
      </w:r>
    </w:p>
    <w:p w14:paraId="743EA168">
      <w:pPr>
        <w:autoSpaceDE w:val="0"/>
        <w:autoSpaceDN w:val="0"/>
        <w:adjustRightInd w:val="0"/>
        <w:spacing w:line="360" w:lineRule="auto"/>
        <w:jc w:val="center"/>
        <w:outlineLvl w:val="0"/>
        <w:rPr>
          <w:rFonts w:ascii="宋体" w:hAnsi="宋体" w:cs="宋体"/>
          <w:b/>
          <w:bCs/>
          <w:color w:val="auto"/>
          <w:sz w:val="44"/>
          <w:szCs w:val="44"/>
          <w:highlight w:val="none"/>
          <w:lang w:val="zh-CN"/>
        </w:rPr>
      </w:pPr>
      <w:r>
        <w:rPr>
          <w:rFonts w:hint="eastAsia" w:ascii="宋体" w:hAnsi="宋体" w:cs="宋体"/>
          <w:b/>
          <w:bCs/>
          <w:color w:val="auto"/>
          <w:sz w:val="44"/>
          <w:szCs w:val="44"/>
          <w:highlight w:val="none"/>
          <w:lang w:val="zh-CN"/>
        </w:rPr>
        <w:br w:type="page"/>
      </w:r>
      <w:r>
        <w:rPr>
          <w:rFonts w:hint="eastAsia" w:ascii="宋体" w:hAnsi="宋体" w:cs="宋体"/>
          <w:b/>
          <w:bCs/>
          <w:color w:val="auto"/>
          <w:sz w:val="44"/>
          <w:szCs w:val="44"/>
          <w:highlight w:val="none"/>
          <w:lang w:val="zh-CN"/>
        </w:rPr>
        <w:t>目   录</w:t>
      </w:r>
    </w:p>
    <w:p w14:paraId="45D8E3E1">
      <w:pPr>
        <w:autoSpaceDE w:val="0"/>
        <w:autoSpaceDN w:val="0"/>
        <w:adjustRightInd w:val="0"/>
        <w:spacing w:line="480" w:lineRule="auto"/>
        <w:ind w:firstLine="556"/>
        <w:rPr>
          <w:rFonts w:ascii="宋体" w:hAnsi="宋体" w:cs="宋体"/>
          <w:b/>
          <w:bCs/>
          <w:color w:val="auto"/>
          <w:sz w:val="32"/>
          <w:szCs w:val="32"/>
          <w:highlight w:val="none"/>
        </w:rPr>
      </w:pPr>
    </w:p>
    <w:p w14:paraId="5CF6BA9E">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第一部分  竞争性磋商公告</w:t>
      </w:r>
    </w:p>
    <w:p w14:paraId="5120B71D">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第二部分  磋商须知</w:t>
      </w:r>
    </w:p>
    <w:p w14:paraId="61CFB728">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第三部分  项目需求</w:t>
      </w:r>
    </w:p>
    <w:p w14:paraId="7D7C8609">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第四部分  磋商程序和内容</w:t>
      </w:r>
    </w:p>
    <w:p w14:paraId="01884277">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第五部分  合同签订与验收付款</w:t>
      </w:r>
    </w:p>
    <w:p w14:paraId="330CC46A">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第六部分  质疑提出和处理</w:t>
      </w:r>
    </w:p>
    <w:p w14:paraId="48E188C5">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第七部分  响应文件组成</w:t>
      </w:r>
    </w:p>
    <w:p w14:paraId="7A603905">
      <w:pPr>
        <w:tabs>
          <w:tab w:val="left" w:pos="7740"/>
        </w:tabs>
        <w:spacing w:line="500" w:lineRule="exact"/>
        <w:rPr>
          <w:rFonts w:ascii="宋体" w:hAnsi="宋体" w:cs="宋体"/>
          <w:b/>
          <w:color w:val="auto"/>
          <w:spacing w:val="2"/>
          <w:sz w:val="32"/>
          <w:szCs w:val="32"/>
          <w:highlight w:val="none"/>
        </w:rPr>
      </w:pPr>
    </w:p>
    <w:p w14:paraId="0CE77F72">
      <w:pPr>
        <w:autoSpaceDE w:val="0"/>
        <w:autoSpaceDN w:val="0"/>
        <w:adjustRightInd w:val="0"/>
        <w:spacing w:line="540" w:lineRule="exact"/>
        <w:jc w:val="center"/>
        <w:rPr>
          <w:rFonts w:ascii="宋体" w:hAnsi="宋体" w:cs="宋体"/>
          <w:b/>
          <w:bCs/>
          <w:color w:val="auto"/>
          <w:sz w:val="36"/>
          <w:szCs w:val="36"/>
          <w:highlight w:val="none"/>
          <w:lang w:val="zh-CN"/>
        </w:rPr>
      </w:pPr>
    </w:p>
    <w:p w14:paraId="7EB15FC8">
      <w:pPr>
        <w:autoSpaceDE w:val="0"/>
        <w:autoSpaceDN w:val="0"/>
        <w:adjustRightInd w:val="0"/>
        <w:spacing w:line="540" w:lineRule="exact"/>
        <w:rPr>
          <w:rFonts w:ascii="宋体" w:hAnsi="宋体" w:cs="宋体"/>
          <w:b/>
          <w:bCs/>
          <w:color w:val="auto"/>
          <w:sz w:val="36"/>
          <w:szCs w:val="36"/>
          <w:highlight w:val="none"/>
          <w:lang w:val="zh-CN"/>
        </w:rPr>
      </w:pPr>
    </w:p>
    <w:p w14:paraId="76BFA547">
      <w:pPr>
        <w:autoSpaceDE w:val="0"/>
        <w:autoSpaceDN w:val="0"/>
        <w:adjustRightInd w:val="0"/>
        <w:spacing w:line="540" w:lineRule="exact"/>
        <w:jc w:val="center"/>
        <w:rPr>
          <w:rFonts w:ascii="宋体" w:hAnsi="宋体" w:cs="宋体"/>
          <w:b/>
          <w:bCs/>
          <w:color w:val="auto"/>
          <w:sz w:val="36"/>
          <w:szCs w:val="36"/>
          <w:highlight w:val="none"/>
          <w:lang w:val="zh-CN"/>
        </w:rPr>
      </w:pPr>
    </w:p>
    <w:p w14:paraId="7F345DE2">
      <w:pPr>
        <w:autoSpaceDE w:val="0"/>
        <w:autoSpaceDN w:val="0"/>
        <w:adjustRightInd w:val="0"/>
        <w:spacing w:line="540" w:lineRule="exact"/>
        <w:jc w:val="center"/>
        <w:rPr>
          <w:rFonts w:ascii="宋体" w:hAnsi="宋体" w:cs="宋体"/>
          <w:b/>
          <w:bCs/>
          <w:color w:val="auto"/>
          <w:sz w:val="36"/>
          <w:szCs w:val="36"/>
          <w:highlight w:val="none"/>
          <w:lang w:val="zh-CN"/>
        </w:rPr>
      </w:pPr>
    </w:p>
    <w:p w14:paraId="0B7B5570">
      <w:pPr>
        <w:autoSpaceDE w:val="0"/>
        <w:autoSpaceDN w:val="0"/>
        <w:adjustRightInd w:val="0"/>
        <w:spacing w:line="540" w:lineRule="exact"/>
        <w:jc w:val="center"/>
        <w:rPr>
          <w:rFonts w:ascii="宋体" w:hAnsi="宋体" w:cs="宋体"/>
          <w:b/>
          <w:bCs/>
          <w:color w:val="auto"/>
          <w:sz w:val="36"/>
          <w:szCs w:val="36"/>
          <w:highlight w:val="none"/>
          <w:lang w:val="zh-CN"/>
        </w:rPr>
      </w:pPr>
    </w:p>
    <w:p w14:paraId="266007DB">
      <w:pPr>
        <w:autoSpaceDE w:val="0"/>
        <w:autoSpaceDN w:val="0"/>
        <w:adjustRightInd w:val="0"/>
        <w:spacing w:line="540" w:lineRule="exact"/>
        <w:jc w:val="center"/>
        <w:rPr>
          <w:rFonts w:ascii="宋体" w:hAnsi="宋体" w:cs="宋体"/>
          <w:b/>
          <w:bCs/>
          <w:color w:val="auto"/>
          <w:sz w:val="36"/>
          <w:szCs w:val="36"/>
          <w:highlight w:val="none"/>
          <w:lang w:val="zh-CN"/>
        </w:rPr>
      </w:pPr>
    </w:p>
    <w:p w14:paraId="5F5D402A">
      <w:pPr>
        <w:autoSpaceDE w:val="0"/>
        <w:autoSpaceDN w:val="0"/>
        <w:adjustRightInd w:val="0"/>
        <w:spacing w:line="540" w:lineRule="exact"/>
        <w:rPr>
          <w:rFonts w:ascii="宋体" w:hAnsi="宋体" w:cs="宋体"/>
          <w:b/>
          <w:bCs/>
          <w:color w:val="auto"/>
          <w:sz w:val="36"/>
          <w:szCs w:val="36"/>
          <w:highlight w:val="none"/>
          <w:lang w:val="zh-CN"/>
        </w:rPr>
      </w:pPr>
    </w:p>
    <w:p w14:paraId="0EE00D08">
      <w:pPr>
        <w:autoSpaceDE w:val="0"/>
        <w:autoSpaceDN w:val="0"/>
        <w:adjustRightInd w:val="0"/>
        <w:snapToGrid w:val="0"/>
        <w:spacing w:line="300" w:lineRule="auto"/>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r>
        <w:rPr>
          <w:rFonts w:hint="eastAsia" w:ascii="宋体" w:hAnsi="宋体" w:cs="宋体"/>
          <w:b/>
          <w:bCs/>
          <w:color w:val="auto"/>
          <w:sz w:val="36"/>
          <w:szCs w:val="36"/>
          <w:highlight w:val="none"/>
          <w:lang w:val="zh-CN"/>
        </w:rPr>
        <w:t xml:space="preserve">第一部分  </w:t>
      </w:r>
      <w:bookmarkStart w:id="0" w:name="_Hlk156306618"/>
      <w:r>
        <w:rPr>
          <w:rFonts w:hint="eastAsia" w:ascii="宋体" w:hAnsi="宋体" w:cs="宋体"/>
          <w:b/>
          <w:bCs/>
          <w:color w:val="auto"/>
          <w:sz w:val="36"/>
          <w:szCs w:val="36"/>
          <w:highlight w:val="none"/>
          <w:lang w:val="zh-CN"/>
        </w:rPr>
        <w:t>竞争性磋商公告</w:t>
      </w:r>
    </w:p>
    <w:p w14:paraId="356A4314">
      <w:pPr>
        <w:keepNext w:val="0"/>
        <w:keepLines w:val="0"/>
        <w:pageBreakBefore w:val="0"/>
        <w:topLinePunct w:val="0"/>
        <w:bidi w:val="0"/>
        <w:adjustRightInd w:val="0"/>
        <w:snapToGrid w:val="0"/>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一、项目基本情况</w:t>
      </w:r>
    </w:p>
    <w:p w14:paraId="60F89A2D">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1.项目</w:t>
      </w:r>
      <w:r>
        <w:rPr>
          <w:rFonts w:hint="eastAsia" w:ascii="宋体" w:hAnsi="宋体" w:cs="宋体"/>
          <w:color w:val="auto"/>
          <w:sz w:val="24"/>
          <w:highlight w:val="none"/>
          <w:lang w:eastAsia="zh-CN"/>
        </w:rPr>
        <w:t>编号：</w:t>
      </w:r>
      <w:r>
        <w:rPr>
          <w:rFonts w:hint="eastAsia" w:ascii="宋体" w:hAnsi="宋体" w:cs="宋体"/>
          <w:color w:val="auto"/>
          <w:sz w:val="24"/>
          <w:highlight w:val="none"/>
          <w:lang w:val="en-US" w:eastAsia="zh-CN"/>
        </w:rPr>
        <w:t>2026AQYW</w:t>
      </w:r>
    </w:p>
    <w:p w14:paraId="427437DB">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2026年南通市公路事业发展中心基础环境与安全运维服务项目</w:t>
      </w:r>
    </w:p>
    <w:p w14:paraId="1FE19460">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3.项目类型：服务</w:t>
      </w:r>
    </w:p>
    <w:p w14:paraId="0118130B">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4.所属行业：其他未列明行业</w:t>
      </w:r>
    </w:p>
    <w:p w14:paraId="18B9B0DB">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5.预算金额：人民币</w:t>
      </w:r>
      <w:r>
        <w:rPr>
          <w:rFonts w:hint="eastAsia" w:ascii="宋体" w:hAnsi="宋体" w:cs="宋体"/>
          <w:color w:val="auto"/>
          <w:sz w:val="24"/>
          <w:highlight w:val="none"/>
          <w:lang w:val="en-US" w:eastAsia="zh-CN"/>
        </w:rPr>
        <w:t>肆拾柒万伍仟元整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475000</w:t>
      </w:r>
      <w:r>
        <w:rPr>
          <w:rFonts w:hint="eastAsia" w:ascii="宋体" w:hAnsi="宋体" w:cs="宋体"/>
          <w:color w:val="auto"/>
          <w:sz w:val="24"/>
          <w:highlight w:val="none"/>
        </w:rPr>
        <w:t>）</w:t>
      </w:r>
    </w:p>
    <w:p w14:paraId="6EF9826B">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最高投标限价为人民币</w:t>
      </w:r>
      <w:r>
        <w:rPr>
          <w:rFonts w:hint="eastAsia" w:ascii="宋体" w:hAnsi="宋体" w:cs="宋体"/>
          <w:color w:val="auto"/>
          <w:sz w:val="24"/>
          <w:highlight w:val="none"/>
          <w:lang w:val="en-US" w:eastAsia="zh-CN"/>
        </w:rPr>
        <w:t>肆拾柒万伍仟元整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475000</w:t>
      </w:r>
      <w:r>
        <w:rPr>
          <w:rFonts w:hint="eastAsia" w:ascii="宋体" w:hAnsi="宋体" w:cs="宋体"/>
          <w:color w:val="auto"/>
          <w:sz w:val="24"/>
          <w:highlight w:val="none"/>
        </w:rPr>
        <w:t>）</w:t>
      </w:r>
    </w:p>
    <w:p w14:paraId="2BBDDC3A">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6.采购需求：①对市中心机房开展基础环境运维服务；对市中心及下属8个分中心的安全软硬件产品开展运维服务。②对市中心及分中心开展网络安全运维服务。具体详见《第三部分项目需求》，请仔细研究。</w:t>
      </w:r>
    </w:p>
    <w:p w14:paraId="7C38B835">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7.服务期要求</w:t>
      </w:r>
      <w:r>
        <w:rPr>
          <w:rFonts w:hint="eastAsia" w:ascii="宋体" w:hAnsi="宋体" w:cs="宋体"/>
          <w:color w:val="auto"/>
          <w:sz w:val="24"/>
          <w:highlight w:val="none"/>
        </w:rPr>
        <w:t>：服务期为12个月。2026年1月底前，对市公路中心(包含下属8个分中心)的外网出口防火墙、内网防火墙、服务器区防火墙、中心无线防火墙XDR、探针、中心终端EDR完成软硬件维保服务授权，安全接入服务授权工作。</w:t>
      </w:r>
    </w:p>
    <w:p w14:paraId="187EECD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服务期满，完成当年度基础环境及安全运维服务工作，并提交当年度服务报告。</w:t>
      </w:r>
    </w:p>
    <w:p w14:paraId="4F62FF1B">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8.本项目不接受联合体。</w:t>
      </w:r>
    </w:p>
    <w:p w14:paraId="49B76DCA">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9.</w:t>
      </w:r>
      <w:r>
        <w:rPr>
          <w:rFonts w:hint="eastAsia" w:cs="宋体" w:asciiTheme="minorEastAsia" w:hAnsiTheme="minorEastAsia" w:eastAsiaTheme="minorEastAsia"/>
          <w:color w:val="auto"/>
          <w:sz w:val="24"/>
          <w:highlight w:val="none"/>
        </w:rPr>
        <w:t>本项目</w:t>
      </w:r>
      <w:r>
        <w:rPr>
          <w:rFonts w:hint="eastAsia" w:cs="宋体" w:asciiTheme="minorEastAsia" w:hAnsiTheme="minorEastAsia" w:eastAsiaTheme="minorEastAsia"/>
          <w:color w:val="auto"/>
          <w:sz w:val="24"/>
          <w:highlight w:val="none"/>
          <w:lang w:val="en-US" w:eastAsia="zh-CN"/>
        </w:rPr>
        <w:t>不</w:t>
      </w:r>
      <w:r>
        <w:rPr>
          <w:rFonts w:hint="eastAsia" w:cs="宋体" w:asciiTheme="minorEastAsia" w:hAnsiTheme="minorEastAsia" w:eastAsiaTheme="minorEastAsia"/>
          <w:color w:val="auto"/>
          <w:sz w:val="24"/>
          <w:highlight w:val="none"/>
        </w:rPr>
        <w:t>允许分包。</w:t>
      </w:r>
    </w:p>
    <w:p w14:paraId="2523C3BB">
      <w:pPr>
        <w:keepNext w:val="0"/>
        <w:keepLines w:val="0"/>
        <w:pageBreakBefore w:val="0"/>
        <w:topLinePunct w:val="0"/>
        <w:bidi w:val="0"/>
        <w:adjustRightInd w:val="0"/>
        <w:snapToGrid w:val="0"/>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二、供应商资格要求</w:t>
      </w:r>
    </w:p>
    <w:p w14:paraId="7776A47C">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295942A4">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2.落实政府采购政策需满足的资格要求：本项目专门面向中小微企业采购。</w:t>
      </w:r>
    </w:p>
    <w:p w14:paraId="16BEA7FA">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3.其他资格要求：</w:t>
      </w:r>
    </w:p>
    <w:p w14:paraId="45B3BA62">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信誉要求：响应文件递交截止日当日，供应商未被“信用中国”网站（www.creditchina.gov.cn）列入失信被执行人、重大税收违法案件当事人名单，未被“中国政府采购网”（http://www.ccgp.gov.cn/）列入政府采购严重失信行为记录名单。</w:t>
      </w:r>
    </w:p>
    <w:p w14:paraId="0221ED0E">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.本项目的特定资格要求：</w:t>
      </w:r>
    </w:p>
    <w:p w14:paraId="65C80183">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供应商拟投入本项目的项目负责人须为供应商自有人员，出具供应商为其缴纳的近3个月中任意1个月的社保缴费证明。</w:t>
      </w:r>
    </w:p>
    <w:p w14:paraId="21DC9115">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社保缴纳证明材料需含缴费起止时间、缴费单位、缴费人员姓名并由社保机构加盖缴费证明专用章，社保机构官网上打印件与线下的盖章件具有同等效力，缴费单位须与供应商名称一致（供应商下属不具备独立法人资格的分支机构缴纳的社保视为本单位）。</w:t>
      </w:r>
    </w:p>
    <w:p w14:paraId="45C2331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.与采购人存在利害关系可能影响公正性的单位，单位负责人为同一人或者存在直接控股、管理关系的不同供应商</w:t>
      </w:r>
      <w:r>
        <w:rPr>
          <w:rFonts w:hint="eastAsia" w:ascii="宋体" w:hAnsi="宋体" w:cs="宋体"/>
          <w:color w:val="auto"/>
          <w:sz w:val="24"/>
          <w:highlight w:val="none"/>
          <w:lang w:eastAsia="zh-CN"/>
        </w:rPr>
        <w:t>，</w:t>
      </w:r>
      <w:r>
        <w:rPr>
          <w:rFonts w:hint="eastAsia" w:ascii="宋体" w:hAnsi="宋体" w:cs="宋体"/>
          <w:color w:val="auto"/>
          <w:sz w:val="24"/>
          <w:highlight w:val="none"/>
        </w:rPr>
        <w:t>不得参加同一合同项下的政府采购活动。若同时参加同一合同项下的政府采购活动，则相关供应商的投标均做无效投标处理。</w:t>
      </w:r>
    </w:p>
    <w:p w14:paraId="0573EDA1">
      <w:pPr>
        <w:pStyle w:val="35"/>
        <w:keepNext w:val="0"/>
        <w:keepLines w:val="0"/>
        <w:pageBreakBefore w:val="0"/>
        <w:topLinePunct w:val="0"/>
        <w:bidi w:val="0"/>
        <w:adjustRightInd w:val="0"/>
        <w:snapToGrid w:val="0"/>
        <w:spacing w:line="360" w:lineRule="auto"/>
        <w:ind w:firstLine="482" w:firstLineChars="200"/>
        <w:textAlignment w:val="auto"/>
        <w:rPr>
          <w:rFonts w:eastAsia="宋体" w:cs="宋体"/>
          <w:b/>
          <w:bCs/>
          <w:color w:val="auto"/>
          <w:highlight w:val="none"/>
        </w:rPr>
      </w:pPr>
      <w:r>
        <w:rPr>
          <w:rFonts w:hint="eastAsia" w:eastAsia="宋体" w:cs="宋体"/>
          <w:b/>
          <w:color w:val="auto"/>
          <w:kern w:val="0"/>
          <w:highlight w:val="none"/>
        </w:rPr>
        <w:t>注：请供应商认真对照资格要求，如不符合要求，无意或故意参与投标的，所产生的一切后果由供应商承担。对提供虚假材料的供应商作无效标处理，将报相关主管部门后将其列入黑名单，视情形在相关网站上公示。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3CD1244F">
      <w:pPr>
        <w:keepNext w:val="0"/>
        <w:keepLines w:val="0"/>
        <w:pageBreakBefore w:val="0"/>
        <w:topLinePunct w:val="0"/>
        <w:bidi w:val="0"/>
        <w:adjustRightInd w:val="0"/>
        <w:snapToGrid w:val="0"/>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三、获取磋商文件</w:t>
      </w:r>
    </w:p>
    <w:p w14:paraId="78616546">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1.申请</w:t>
      </w:r>
    </w:p>
    <w:p w14:paraId="2AA113E6">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申请时间：自公告上网发布之日起至</w:t>
      </w:r>
      <w:r>
        <w:rPr>
          <w:rFonts w:hint="eastAsia" w:ascii="宋体" w:hAnsi="宋体" w:cs="宋体"/>
          <w:color w:val="auto"/>
          <w:spacing w:val="7"/>
          <w:kern w:val="0"/>
          <w:sz w:val="24"/>
          <w:highlight w:val="none"/>
          <w:u w:val="single"/>
        </w:rPr>
        <w:t>2025</w:t>
      </w:r>
      <w:r>
        <w:rPr>
          <w:rFonts w:hint="eastAsia" w:ascii="宋体" w:hAnsi="宋体" w:cs="宋体"/>
          <w:color w:val="auto"/>
          <w:spacing w:val="7"/>
          <w:kern w:val="0"/>
          <w:sz w:val="24"/>
          <w:highlight w:val="none"/>
        </w:rPr>
        <w:t>年</w:t>
      </w:r>
      <w:r>
        <w:rPr>
          <w:rFonts w:hint="eastAsia" w:ascii="宋体" w:hAnsi="宋体" w:cs="宋体"/>
          <w:color w:val="auto"/>
          <w:spacing w:val="7"/>
          <w:kern w:val="0"/>
          <w:sz w:val="24"/>
          <w:highlight w:val="none"/>
          <w:u w:val="single"/>
          <w:lang w:val="en-US" w:eastAsia="zh-CN"/>
        </w:rPr>
        <w:t>12</w:t>
      </w:r>
      <w:r>
        <w:rPr>
          <w:rFonts w:hint="eastAsia" w:ascii="宋体" w:hAnsi="宋体" w:cs="宋体"/>
          <w:color w:val="auto"/>
          <w:spacing w:val="7"/>
          <w:kern w:val="0"/>
          <w:sz w:val="24"/>
          <w:highlight w:val="none"/>
        </w:rPr>
        <w:t>月</w:t>
      </w:r>
      <w:r>
        <w:rPr>
          <w:rFonts w:hint="eastAsia" w:ascii="宋体" w:hAnsi="宋体" w:cs="宋体"/>
          <w:color w:val="auto"/>
          <w:spacing w:val="7"/>
          <w:kern w:val="0"/>
          <w:sz w:val="24"/>
          <w:highlight w:val="none"/>
          <w:u w:val="single"/>
          <w:lang w:val="en-US" w:eastAsia="zh-CN"/>
        </w:rPr>
        <w:t>24</w:t>
      </w:r>
      <w:r>
        <w:rPr>
          <w:rFonts w:hint="eastAsia" w:ascii="宋体" w:hAnsi="宋体" w:cs="宋体"/>
          <w:color w:val="auto"/>
          <w:spacing w:val="7"/>
          <w:kern w:val="0"/>
          <w:sz w:val="24"/>
          <w:highlight w:val="none"/>
        </w:rPr>
        <w:t>日，每日工作时间：上午9:00—11:30整，</w:t>
      </w:r>
      <w:r>
        <w:rPr>
          <w:rFonts w:hint="eastAsia" w:ascii="宋体" w:hAnsi="宋体" w:cs="宋体"/>
          <w:color w:val="auto"/>
          <w:spacing w:val="7"/>
          <w:kern w:val="0"/>
          <w:sz w:val="24"/>
          <w:highlight w:val="none"/>
          <w:lang w:eastAsia="zh-CN"/>
        </w:rPr>
        <w:t>13:30</w:t>
      </w:r>
      <w:r>
        <w:rPr>
          <w:rFonts w:hint="eastAsia" w:ascii="宋体" w:hAnsi="宋体" w:cs="宋体"/>
          <w:color w:val="auto"/>
          <w:spacing w:val="7"/>
          <w:kern w:val="0"/>
          <w:sz w:val="24"/>
          <w:highlight w:val="none"/>
        </w:rPr>
        <w:t>—17:30整（节假日除外）。</w:t>
      </w:r>
    </w:p>
    <w:p w14:paraId="4D250A0F">
      <w:pPr>
        <w:keepNext w:val="0"/>
        <w:keepLines w:val="0"/>
        <w:pageBreakBefore w:val="0"/>
        <w:topLinePunct w:val="0"/>
        <w:bidi w:val="0"/>
        <w:adjustRightInd w:val="0"/>
        <w:snapToGrid w:val="0"/>
        <w:spacing w:line="360" w:lineRule="auto"/>
        <w:ind w:firstLine="480" w:firstLineChars="200"/>
        <w:contextualSpacing/>
        <w:textAlignment w:val="auto"/>
        <w:rPr>
          <w:rFonts w:ascii="宋体" w:hAnsi="宋体" w:cs="宋体"/>
          <w:color w:val="auto"/>
          <w:spacing w:val="7"/>
          <w:kern w:val="0"/>
          <w:sz w:val="24"/>
          <w:highlight w:val="none"/>
        </w:rPr>
      </w:pPr>
      <w:r>
        <w:rPr>
          <w:rFonts w:hint="eastAsia" w:ascii="宋体" w:hAnsi="宋体" w:cs="宋体"/>
          <w:color w:val="auto"/>
          <w:kern w:val="0"/>
          <w:sz w:val="24"/>
          <w:highlight w:val="none"/>
        </w:rPr>
        <w:t>按照磋商公告下附件《申请函》的形式，回函（加盖单位章）发彩色扫描件至邮箱中（联系人：</w:t>
      </w:r>
      <w:r>
        <w:rPr>
          <w:rFonts w:hint="eastAsia" w:ascii="宋体" w:hAnsi="宋体" w:cs="宋体"/>
          <w:color w:val="auto"/>
          <w:kern w:val="0"/>
          <w:sz w:val="24"/>
          <w:highlight w:val="none"/>
          <w:lang w:val="en-US" w:eastAsia="zh-CN"/>
        </w:rPr>
        <w:t>沙</w:t>
      </w:r>
      <w:r>
        <w:rPr>
          <w:rFonts w:hint="eastAsia" w:ascii="宋体" w:hAnsi="宋体" w:cs="宋体"/>
          <w:color w:val="auto"/>
          <w:kern w:val="0"/>
          <w:sz w:val="24"/>
          <w:highlight w:val="none"/>
          <w:lang w:eastAsia="zh-CN"/>
        </w:rPr>
        <w:t>工</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lang w:val="en-US" w:eastAsia="zh-CN"/>
        </w:rPr>
        <w:t>18551417471</w:t>
      </w:r>
      <w:r>
        <w:rPr>
          <w:rFonts w:hint="eastAsia" w:ascii="宋体" w:hAnsi="宋体" w:cs="宋体"/>
          <w:color w:val="auto"/>
          <w:kern w:val="0"/>
          <w:sz w:val="24"/>
          <w:highlight w:val="none"/>
        </w:rPr>
        <w:t>），并致电代理机构确认邮件送达，确认是否参与本次投标的相关事宜。</w:t>
      </w:r>
    </w:p>
    <w:p w14:paraId="02C1359E">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申请提供资料：按附件提供《申请函》</w:t>
      </w:r>
    </w:p>
    <w:p w14:paraId="26D52649">
      <w:pPr>
        <w:keepNext w:val="0"/>
        <w:keepLines w:val="0"/>
        <w:pageBreakBefore w:val="0"/>
        <w:topLinePunct w:val="0"/>
        <w:bidi w:val="0"/>
        <w:adjustRightInd w:val="0"/>
        <w:snapToGrid w:val="0"/>
        <w:spacing w:line="360" w:lineRule="auto"/>
        <w:ind w:firstLine="482" w:firstLineChars="200"/>
        <w:contextualSpacing/>
        <w:textAlignment w:val="auto"/>
        <w:rPr>
          <w:rFonts w:ascii="宋体" w:hAnsi="宋体" w:cs="宋体"/>
          <w:color w:val="auto"/>
          <w:spacing w:val="7"/>
          <w:kern w:val="0"/>
          <w:sz w:val="24"/>
          <w:highlight w:val="none"/>
        </w:rPr>
      </w:pPr>
      <w:r>
        <w:rPr>
          <w:rFonts w:hint="eastAsia" w:ascii="宋体" w:hAnsi="宋体" w:cs="宋体"/>
          <w:b/>
          <w:bCs/>
          <w:color w:val="auto"/>
          <w:kern w:val="0"/>
          <w:sz w:val="24"/>
          <w:highlight w:val="none"/>
        </w:rPr>
        <w:t>未按要求进行申请的不具备磋商资格。</w:t>
      </w:r>
    </w:p>
    <w:p w14:paraId="4599E885">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2.获取磋商文件</w:t>
      </w:r>
    </w:p>
    <w:p w14:paraId="4305950B">
      <w:pPr>
        <w:keepNext w:val="0"/>
        <w:keepLines w:val="0"/>
        <w:pageBreakBefore w:val="0"/>
        <w:topLinePunct w:val="0"/>
        <w:bidi w:val="0"/>
        <w:adjustRightInd w:val="0"/>
        <w:snapToGrid w:val="0"/>
        <w:spacing w:line="360" w:lineRule="auto"/>
        <w:ind w:firstLine="508" w:firstLineChars="200"/>
        <w:contextualSpacing/>
        <w:jc w:val="left"/>
        <w:textAlignment w:val="auto"/>
        <w:rPr>
          <w:rFonts w:ascii="宋体" w:hAnsi="宋体" w:cs="宋体"/>
          <w:color w:val="auto"/>
          <w:spacing w:val="7"/>
          <w:kern w:val="0"/>
          <w:sz w:val="24"/>
          <w:highlight w:val="none"/>
        </w:rPr>
      </w:pPr>
      <w:r>
        <w:rPr>
          <w:rFonts w:ascii="宋体" w:hAnsi="宋体" w:cs="宋体"/>
          <w:color w:val="auto"/>
          <w:spacing w:val="7"/>
          <w:kern w:val="0"/>
          <w:sz w:val="24"/>
          <w:highlight w:val="none"/>
        </w:rPr>
        <w:t>各申请人</w:t>
      </w:r>
      <w:r>
        <w:rPr>
          <w:rFonts w:hint="eastAsia" w:ascii="宋体" w:cs="宋体"/>
          <w:color w:val="auto"/>
          <w:sz w:val="24"/>
          <w:highlight w:val="none"/>
        </w:rPr>
        <w:t>在南通市交通运输局网站（网址：</w:t>
      </w:r>
      <w:r>
        <w:rPr>
          <w:rFonts w:hint="eastAsia" w:ascii="宋体" w:hAnsi="Times New Roman" w:eastAsia="宋体" w:cs="宋体"/>
          <w:color w:val="auto"/>
          <w:sz w:val="24"/>
          <w:highlight w:val="none"/>
        </w:rPr>
        <w:fldChar w:fldCharType="begin"/>
      </w:r>
      <w:r>
        <w:rPr>
          <w:rFonts w:hint="eastAsia" w:ascii="宋体" w:hAnsi="Times New Roman" w:eastAsia="宋体" w:cs="宋体"/>
          <w:color w:val="auto"/>
          <w:sz w:val="24"/>
          <w:highlight w:val="none"/>
        </w:rPr>
        <w:instrText xml:space="preserve"> HYPERLINK "http://jtysj.nantong.gov.cn/）上。南通市交通运输局网站是本项目竞争性谈判公告、补遗书、谈判文件澄清、成交结果公告等采购信息约定的唯一公开发布媒介。" </w:instrText>
      </w:r>
      <w:r>
        <w:rPr>
          <w:rFonts w:hint="eastAsia" w:ascii="宋体" w:hAnsi="Times New Roman" w:eastAsia="宋体" w:cs="宋体"/>
          <w:color w:val="auto"/>
          <w:sz w:val="24"/>
          <w:highlight w:val="none"/>
        </w:rPr>
        <w:fldChar w:fldCharType="separate"/>
      </w:r>
      <w:r>
        <w:rPr>
          <w:rFonts w:hint="eastAsia" w:ascii="宋体" w:hAnsi="Times New Roman" w:eastAsia="宋体" w:cs="宋体"/>
          <w:color w:val="auto"/>
          <w:sz w:val="24"/>
          <w:highlight w:val="none"/>
        </w:rPr>
        <w:t>http://jtysj.nantong.gov.cn/）</w:t>
      </w:r>
      <w:r>
        <w:rPr>
          <w:rFonts w:hint="eastAsia" w:ascii="宋体" w:hAnsi="Times New Roman" w:eastAsia="宋体" w:cs="宋体"/>
          <w:color w:val="auto"/>
          <w:sz w:val="24"/>
          <w:highlight w:val="none"/>
          <w:lang w:val="en-US" w:eastAsia="zh-CN"/>
        </w:rPr>
        <w:t>本项目</w:t>
      </w:r>
      <w:r>
        <w:rPr>
          <w:rFonts w:hint="eastAsia" w:ascii="宋体" w:hAnsi="Times New Roman" w:eastAsia="宋体" w:cs="宋体"/>
          <w:color w:val="auto"/>
          <w:sz w:val="24"/>
          <w:highlight w:val="none"/>
        </w:rPr>
        <w:fldChar w:fldCharType="end"/>
      </w:r>
      <w:r>
        <w:rPr>
          <w:rFonts w:hint="eastAsia" w:ascii="宋体" w:cs="宋体"/>
          <w:color w:val="auto"/>
          <w:sz w:val="24"/>
          <w:highlight w:val="none"/>
          <w:lang w:val="en-US" w:eastAsia="zh-CN"/>
        </w:rPr>
        <w:t>磋商公告下附件自行下载</w:t>
      </w:r>
      <w:r>
        <w:rPr>
          <w:rFonts w:ascii="宋体" w:hAnsi="宋体" w:cs="宋体"/>
          <w:color w:val="auto"/>
          <w:spacing w:val="7"/>
          <w:kern w:val="0"/>
          <w:sz w:val="24"/>
          <w:highlight w:val="none"/>
        </w:rPr>
        <w:t>。</w:t>
      </w:r>
    </w:p>
    <w:p w14:paraId="1DF93979">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磋商文件售价</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元/供应商。</w:t>
      </w:r>
    </w:p>
    <w:p w14:paraId="750BC059">
      <w:pPr>
        <w:keepNext w:val="0"/>
        <w:keepLines w:val="0"/>
        <w:pageBreakBefore w:val="0"/>
        <w:topLinePunct w:val="0"/>
        <w:bidi w:val="0"/>
        <w:adjustRightInd w:val="0"/>
        <w:snapToGrid w:val="0"/>
        <w:spacing w:line="360" w:lineRule="auto"/>
        <w:ind w:firstLine="480" w:firstLineChars="200"/>
        <w:contextualSpacing/>
        <w:textAlignment w:val="auto"/>
        <w:rPr>
          <w:rFonts w:ascii="宋体" w:hAnsi="宋体" w:cs="宋体"/>
          <w:color w:val="auto"/>
          <w:spacing w:val="7"/>
          <w:kern w:val="0"/>
          <w:sz w:val="24"/>
          <w:highlight w:val="none"/>
        </w:rPr>
      </w:pPr>
      <w:r>
        <w:rPr>
          <w:rFonts w:hint="eastAsia" w:ascii="宋体" w:hAnsi="宋体" w:cs="宋体"/>
          <w:color w:val="auto"/>
          <w:kern w:val="0"/>
          <w:sz w:val="24"/>
          <w:highlight w:val="none"/>
        </w:rPr>
        <w:t>3.已获取磋商文件的供应商，不得擅自放弃，若因故确需放弃，则须在递交磋商响应文件截止之日3天前书面告知采购人或采购代理机构，如无故不参加磋商而造成参加磋商的供应商不足3家而重新采购的，若重新采购的采购范围、规模和资格要求等未发生改变，采购人可以拒绝其参加重新采购的投标。</w:t>
      </w:r>
    </w:p>
    <w:p w14:paraId="16390A38">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四、磋商响应文件递交</w:t>
      </w:r>
    </w:p>
    <w:p w14:paraId="1807663D">
      <w:pPr>
        <w:keepNext w:val="0"/>
        <w:keepLines w:val="0"/>
        <w:pageBreakBefore w:val="0"/>
        <w:widowControl/>
        <w:shd w:val="clear" w:color="auto" w:fill="FFFFFF"/>
        <w:topLinePunct w:val="0"/>
        <w:bidi w:val="0"/>
        <w:adjustRightInd w:val="0"/>
        <w:snapToGrid w:val="0"/>
        <w:spacing w:line="360" w:lineRule="auto"/>
        <w:ind w:firstLine="508" w:firstLineChars="200"/>
        <w:textAlignment w:val="auto"/>
        <w:rPr>
          <w:rFonts w:ascii="宋体" w:hAnsi="宋体" w:cs="宋体"/>
          <w:i/>
          <w:color w:val="auto"/>
          <w:spacing w:val="7"/>
          <w:kern w:val="0"/>
          <w:sz w:val="24"/>
          <w:highlight w:val="none"/>
          <w:u w:val="single"/>
        </w:rPr>
      </w:pPr>
      <w:r>
        <w:rPr>
          <w:rFonts w:hint="eastAsia" w:ascii="宋体" w:hAnsi="宋体" w:cs="宋体"/>
          <w:color w:val="auto"/>
          <w:spacing w:val="7"/>
          <w:kern w:val="0"/>
          <w:sz w:val="24"/>
          <w:highlight w:val="none"/>
        </w:rPr>
        <w:t>截止时间：</w:t>
      </w:r>
      <w:r>
        <w:rPr>
          <w:rFonts w:hint="eastAsia" w:ascii="宋体" w:hAnsi="宋体" w:cs="宋体"/>
          <w:color w:val="auto"/>
          <w:spacing w:val="7"/>
          <w:kern w:val="0"/>
          <w:sz w:val="24"/>
          <w:highlight w:val="none"/>
          <w:u w:val="single"/>
        </w:rPr>
        <w:t>2025</w:t>
      </w:r>
      <w:r>
        <w:rPr>
          <w:rFonts w:hint="eastAsia" w:ascii="宋体" w:hAnsi="宋体" w:cs="宋体"/>
          <w:color w:val="auto"/>
          <w:spacing w:val="7"/>
          <w:kern w:val="0"/>
          <w:sz w:val="24"/>
          <w:highlight w:val="none"/>
        </w:rPr>
        <w:t>年</w:t>
      </w:r>
      <w:r>
        <w:rPr>
          <w:rFonts w:hint="eastAsia" w:ascii="宋体" w:hAnsi="宋体" w:cs="宋体"/>
          <w:color w:val="auto"/>
          <w:spacing w:val="7"/>
          <w:kern w:val="0"/>
          <w:sz w:val="24"/>
          <w:highlight w:val="none"/>
          <w:u w:val="single"/>
          <w:lang w:val="en-US" w:eastAsia="zh-CN"/>
        </w:rPr>
        <w:t>12</w:t>
      </w:r>
      <w:r>
        <w:rPr>
          <w:rFonts w:hint="eastAsia" w:ascii="宋体" w:hAnsi="宋体" w:cs="宋体"/>
          <w:color w:val="auto"/>
          <w:spacing w:val="7"/>
          <w:kern w:val="0"/>
          <w:sz w:val="24"/>
          <w:highlight w:val="none"/>
        </w:rPr>
        <w:t>月</w:t>
      </w:r>
      <w:r>
        <w:rPr>
          <w:rFonts w:hint="eastAsia" w:ascii="宋体" w:hAnsi="宋体" w:cs="宋体"/>
          <w:color w:val="auto"/>
          <w:spacing w:val="7"/>
          <w:kern w:val="0"/>
          <w:sz w:val="24"/>
          <w:highlight w:val="none"/>
          <w:u w:val="single"/>
          <w:lang w:val="en-US" w:eastAsia="zh-CN"/>
        </w:rPr>
        <w:t>29</w:t>
      </w:r>
      <w:r>
        <w:rPr>
          <w:rFonts w:hint="eastAsia" w:ascii="宋体" w:hAnsi="宋体" w:cs="宋体"/>
          <w:color w:val="auto"/>
          <w:spacing w:val="7"/>
          <w:kern w:val="0"/>
          <w:sz w:val="24"/>
          <w:highlight w:val="none"/>
        </w:rPr>
        <w:t>日</w:t>
      </w:r>
      <w:r>
        <w:rPr>
          <w:rFonts w:hint="eastAsia" w:ascii="宋体" w:hAnsi="宋体" w:cs="宋体"/>
          <w:color w:val="auto"/>
          <w:sz w:val="24"/>
          <w:highlight w:val="none"/>
          <w:u w:val="single"/>
        </w:rPr>
        <w:t>9</w:t>
      </w:r>
      <w:r>
        <w:rPr>
          <w:rFonts w:hint="eastAsia" w:ascii="宋体" w:hAnsi="宋体" w:cs="宋体"/>
          <w:color w:val="auto"/>
          <w:spacing w:val="7"/>
          <w:kern w:val="0"/>
          <w:sz w:val="24"/>
          <w:highlight w:val="none"/>
        </w:rPr>
        <w:t>时</w:t>
      </w:r>
      <w:r>
        <w:rPr>
          <w:rFonts w:hint="eastAsia" w:ascii="宋体" w:hAnsi="宋体" w:cs="宋体"/>
          <w:color w:val="auto"/>
          <w:sz w:val="24"/>
          <w:highlight w:val="none"/>
          <w:u w:val="single"/>
        </w:rPr>
        <w:t>00</w:t>
      </w:r>
      <w:r>
        <w:rPr>
          <w:rFonts w:hint="eastAsia" w:ascii="宋体" w:hAnsi="宋体" w:cs="宋体"/>
          <w:color w:val="auto"/>
          <w:spacing w:val="7"/>
          <w:kern w:val="0"/>
          <w:sz w:val="24"/>
          <w:highlight w:val="none"/>
        </w:rPr>
        <w:t>分（北京时间）</w:t>
      </w:r>
    </w:p>
    <w:p w14:paraId="0F827D5B">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逾时，将不予接收。</w:t>
      </w:r>
    </w:p>
    <w:p w14:paraId="363F2697">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地点：南通市公路事业发展中心1楼信访接待室（地址：南通市跃龙路4号），如有变动另行通知。</w:t>
      </w:r>
    </w:p>
    <w:p w14:paraId="58404184">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五、磋商响应文件开启</w:t>
      </w:r>
    </w:p>
    <w:p w14:paraId="769CE567">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时间：</w:t>
      </w:r>
      <w:r>
        <w:rPr>
          <w:rFonts w:hint="eastAsia" w:ascii="宋体" w:hAnsi="宋体" w:cs="宋体"/>
          <w:color w:val="auto"/>
          <w:kern w:val="0"/>
          <w:sz w:val="24"/>
          <w:highlight w:val="none"/>
        </w:rPr>
        <w:t>同磋商响应文件递交截止时间</w:t>
      </w:r>
    </w:p>
    <w:p w14:paraId="0A5DE407">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地点：南通市公路事业发展中心1楼信访接待室（地址：南通市跃龙路4号），如有变动另行通知。</w:t>
      </w:r>
    </w:p>
    <w:p w14:paraId="03601D4D">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六、公告期限</w:t>
      </w:r>
    </w:p>
    <w:p w14:paraId="6CF2374B">
      <w:pPr>
        <w:keepNext w:val="0"/>
        <w:keepLines w:val="0"/>
        <w:pageBreakBefore w:val="0"/>
        <w:topLinePunct w:val="0"/>
        <w:bidi w:val="0"/>
        <w:adjustRightInd w:val="0"/>
        <w:snapToGrid w:val="0"/>
        <w:spacing w:line="360" w:lineRule="auto"/>
        <w:ind w:firstLine="508"/>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自本公告发布之日起10日。</w:t>
      </w:r>
    </w:p>
    <w:p w14:paraId="4ED8F5A9">
      <w:pPr>
        <w:keepNext w:val="0"/>
        <w:keepLines w:val="0"/>
        <w:pageBreakBefore w:val="0"/>
        <w:topLinePunct w:val="0"/>
        <w:bidi w:val="0"/>
        <w:adjustRightInd w:val="0"/>
        <w:snapToGrid w:val="0"/>
        <w:spacing w:line="360" w:lineRule="auto"/>
        <w:ind w:firstLine="510" w:firstLineChars="200"/>
        <w:textAlignment w:val="auto"/>
        <w:rPr>
          <w:rFonts w:ascii="宋体" w:hAnsi="宋体" w:cs="宋体"/>
          <w:color w:val="auto"/>
          <w:kern w:val="0"/>
          <w:sz w:val="24"/>
          <w:highlight w:val="none"/>
        </w:rPr>
      </w:pPr>
      <w:r>
        <w:rPr>
          <w:rFonts w:hint="eastAsia" w:ascii="宋体" w:hAnsi="宋体" w:cs="宋体"/>
          <w:b/>
          <w:color w:val="auto"/>
          <w:spacing w:val="7"/>
          <w:kern w:val="0"/>
          <w:sz w:val="24"/>
          <w:highlight w:val="none"/>
        </w:rPr>
        <w:t>七、</w:t>
      </w:r>
      <w:r>
        <w:rPr>
          <w:rFonts w:hint="eastAsia" w:ascii="宋体" w:hAnsi="宋体" w:cs="宋体"/>
          <w:b/>
          <w:bCs/>
          <w:color w:val="auto"/>
          <w:sz w:val="24"/>
          <w:highlight w:val="none"/>
          <w:lang w:val="zh-CN"/>
        </w:rPr>
        <w:t>支付方式</w:t>
      </w:r>
      <w:r>
        <w:rPr>
          <w:rFonts w:hint="eastAsia" w:ascii="宋体" w:hAnsi="宋体" w:cs="宋体"/>
          <w:b/>
          <w:bCs/>
          <w:color w:val="auto"/>
          <w:sz w:val="24"/>
          <w:highlight w:val="none"/>
        </w:rPr>
        <w:t>：</w:t>
      </w:r>
    </w:p>
    <w:p w14:paraId="579760F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本项目为总价合同。签订合同15日内支付预付款为签约合同价的30%。2026年6月底前支付签约合同价的30%。服务期满且完成全部服务并通过验收后付清尾款。</w:t>
      </w:r>
    </w:p>
    <w:p w14:paraId="4A6DA67E">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w:t>
      </w:r>
    </w:p>
    <w:p w14:paraId="7AEB2A10">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）每次付款须按合同扣减违约金和赔偿款；</w:t>
      </w:r>
    </w:p>
    <w:p w14:paraId="6B26C93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付款前供应商须提供等额合规发票及相关申请资料，否则采购人可以拒付；</w:t>
      </w:r>
    </w:p>
    <w:p w14:paraId="216F7999">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所有付款均不计利息。</w:t>
      </w:r>
    </w:p>
    <w:p w14:paraId="6D8BA8A2">
      <w:pPr>
        <w:keepNext w:val="0"/>
        <w:keepLines w:val="0"/>
        <w:pageBreakBefore w:val="0"/>
        <w:topLinePunct w:val="0"/>
        <w:bidi w:val="0"/>
        <w:adjustRightInd w:val="0"/>
        <w:snapToGrid w:val="0"/>
        <w:spacing w:line="360" w:lineRule="auto"/>
        <w:ind w:firstLine="482" w:firstLineChars="200"/>
        <w:jc w:val="left"/>
        <w:textAlignment w:val="auto"/>
        <w:rPr>
          <w:rFonts w:ascii="宋体" w:hAnsi="宋体" w:cs="宋体"/>
          <w:b/>
          <w:color w:val="auto"/>
          <w:sz w:val="24"/>
          <w:highlight w:val="none"/>
        </w:rPr>
      </w:pPr>
      <w:r>
        <w:rPr>
          <w:rFonts w:hint="eastAsia" w:ascii="宋体" w:hAnsi="宋体" w:cs="宋体"/>
          <w:b/>
          <w:bCs/>
          <w:color w:val="auto"/>
          <w:sz w:val="24"/>
          <w:highlight w:val="none"/>
          <w:lang w:val="zh-CN"/>
        </w:rPr>
        <w:t>八、</w:t>
      </w:r>
      <w:r>
        <w:rPr>
          <w:rFonts w:hint="eastAsia" w:ascii="宋体" w:hAnsi="宋体" w:cs="宋体"/>
          <w:b/>
          <w:color w:val="auto"/>
          <w:sz w:val="24"/>
          <w:highlight w:val="none"/>
        </w:rPr>
        <w:t>公告媒介</w:t>
      </w:r>
    </w:p>
    <w:p w14:paraId="41CBE7F5">
      <w:pPr>
        <w:keepNext w:val="0"/>
        <w:keepLines w:val="0"/>
        <w:pageBreakBefore w:val="0"/>
        <w:widowControl w:val="0"/>
        <w:kinsoku w:val="0"/>
        <w:wordWrap w:val="0"/>
        <w:overflowPunct w:val="0"/>
        <w:topLinePunct w:val="0"/>
        <w:autoSpaceDE w:val="0"/>
        <w:autoSpaceDN w:val="0"/>
        <w:bidi w:val="0"/>
        <w:adjustRightInd w:val="0"/>
        <w:snapToGrid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本次竞争性磋商公告发布在南通市交通运输局网站（网址：http://jtysj.nantong.gov.cn/）上。南通市交通运输局网站是本项目竞争性磋商公告、补遗书、磋商文件澄清、成交结果公告等采购信息约定的唯一公开发布媒介。</w:t>
      </w:r>
    </w:p>
    <w:p w14:paraId="01B56013">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九、凡对本次采购提出询问，请按以下方式联系。</w:t>
      </w:r>
    </w:p>
    <w:p w14:paraId="32DBE446">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1.采购人信息</w:t>
      </w:r>
    </w:p>
    <w:p w14:paraId="0AFC13B1">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名  称：南通市公路事业发展中心 </w:t>
      </w:r>
    </w:p>
    <w:p w14:paraId="5682FBD2">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地  址：江苏省南通市跃龙路4号 </w:t>
      </w:r>
    </w:p>
    <w:p w14:paraId="7242BAD0">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联 系 人：周先生 </w:t>
      </w:r>
    </w:p>
    <w:p w14:paraId="769BD185">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联系方式：0513-85524439</w:t>
      </w:r>
    </w:p>
    <w:p w14:paraId="7C8398F1">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2.采购代理机构信息</w:t>
      </w:r>
    </w:p>
    <w:p w14:paraId="6806BDB6">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捷宏润安工程顾问（江苏）有限公司</w:t>
      </w:r>
    </w:p>
    <w:p w14:paraId="1D996013">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南通市崇川区崇川路58号南通产业研究院9号A1303室</w:t>
      </w:r>
    </w:p>
    <w:p w14:paraId="6535713A">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沙云天、钱舒佳</w:t>
      </w:r>
    </w:p>
    <w:p w14:paraId="7058A137">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18551417471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沙云天</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15162861908</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钱舒佳</w:t>
      </w:r>
      <w:r>
        <w:rPr>
          <w:rFonts w:hint="eastAsia" w:ascii="宋体" w:hAnsi="宋体" w:cs="宋体"/>
          <w:color w:val="auto"/>
          <w:sz w:val="24"/>
          <w:highlight w:val="none"/>
        </w:rPr>
        <w:t>）</w:t>
      </w:r>
    </w:p>
    <w:p w14:paraId="75B61B57">
      <w:pPr>
        <w:keepNext w:val="0"/>
        <w:keepLines w:val="0"/>
        <w:pageBreakBefore w:val="0"/>
        <w:topLinePunct w:val="0"/>
        <w:bidi w:val="0"/>
        <w:adjustRightInd w:val="0"/>
        <w:snapToGrid w:val="0"/>
        <w:spacing w:line="360" w:lineRule="auto"/>
        <w:ind w:firstLine="560" w:firstLineChars="200"/>
        <w:contextualSpacing/>
        <w:textAlignment w:val="auto"/>
        <w:rPr>
          <w:rFonts w:ascii="宋体" w:hAnsi="宋体" w:cs="宋体"/>
          <w:color w:val="auto"/>
          <w:sz w:val="28"/>
          <w:szCs w:val="28"/>
          <w:highlight w:val="none"/>
        </w:rPr>
      </w:pPr>
    </w:p>
    <w:p w14:paraId="1535F652">
      <w:pPr>
        <w:keepNext w:val="0"/>
        <w:keepLines w:val="0"/>
        <w:pageBreakBefore w:val="0"/>
        <w:wordWrap w:val="0"/>
        <w:topLinePunct w:val="0"/>
        <w:bidi w:val="0"/>
        <w:adjustRightInd w:val="0"/>
        <w:snapToGrid w:val="0"/>
        <w:spacing w:line="360" w:lineRule="auto"/>
        <w:ind w:firstLine="508" w:firstLineChars="200"/>
        <w:contextualSpacing/>
        <w:jc w:val="right"/>
        <w:textAlignment w:val="auto"/>
        <w:rPr>
          <w:rFonts w:ascii="宋体" w:hAnsi="宋体" w:cs="宋体"/>
          <w:color w:val="auto"/>
          <w:sz w:val="28"/>
          <w:szCs w:val="28"/>
          <w:highlight w:val="none"/>
        </w:rPr>
      </w:pPr>
      <w:r>
        <w:rPr>
          <w:rFonts w:hint="eastAsia" w:ascii="宋体" w:hAnsi="宋体" w:cs="宋体"/>
          <w:color w:val="auto"/>
          <w:spacing w:val="7"/>
          <w:kern w:val="0"/>
          <w:sz w:val="24"/>
          <w:highlight w:val="none"/>
        </w:rPr>
        <w:t xml:space="preserve">   </w:t>
      </w:r>
      <w:r>
        <w:rPr>
          <w:rFonts w:hint="eastAsia" w:ascii="宋体" w:hAnsi="宋体" w:cs="宋体"/>
          <w:color w:val="auto"/>
          <w:spacing w:val="7"/>
          <w:kern w:val="0"/>
          <w:sz w:val="24"/>
          <w:highlight w:val="none"/>
          <w:u w:val="single"/>
        </w:rPr>
        <w:t>2025</w:t>
      </w:r>
      <w:r>
        <w:rPr>
          <w:rFonts w:hint="eastAsia" w:ascii="宋体" w:hAnsi="宋体" w:cs="宋体"/>
          <w:color w:val="auto"/>
          <w:spacing w:val="7"/>
          <w:kern w:val="0"/>
          <w:sz w:val="24"/>
          <w:highlight w:val="none"/>
        </w:rPr>
        <w:t>年</w:t>
      </w:r>
      <w:r>
        <w:rPr>
          <w:rFonts w:hint="eastAsia" w:ascii="宋体" w:hAnsi="宋体" w:cs="宋体"/>
          <w:color w:val="auto"/>
          <w:spacing w:val="7"/>
          <w:kern w:val="0"/>
          <w:sz w:val="24"/>
          <w:highlight w:val="none"/>
          <w:u w:val="single"/>
          <w:lang w:val="en-US" w:eastAsia="zh-CN"/>
        </w:rPr>
        <w:t>12</w:t>
      </w:r>
      <w:r>
        <w:rPr>
          <w:rFonts w:hint="eastAsia" w:ascii="宋体" w:hAnsi="宋体" w:cs="宋体"/>
          <w:color w:val="auto"/>
          <w:spacing w:val="7"/>
          <w:kern w:val="0"/>
          <w:sz w:val="24"/>
          <w:highlight w:val="none"/>
        </w:rPr>
        <w:t>月</w:t>
      </w:r>
      <w:r>
        <w:rPr>
          <w:rFonts w:hint="eastAsia" w:ascii="宋体" w:hAnsi="宋体" w:cs="宋体"/>
          <w:color w:val="auto"/>
          <w:spacing w:val="7"/>
          <w:kern w:val="0"/>
          <w:sz w:val="24"/>
          <w:highlight w:val="none"/>
          <w:u w:val="single"/>
          <w:lang w:val="en-US" w:eastAsia="zh-CN"/>
        </w:rPr>
        <w:t>17</w:t>
      </w:r>
      <w:r>
        <w:rPr>
          <w:rFonts w:hint="eastAsia" w:ascii="宋体" w:hAnsi="宋体" w:cs="宋体"/>
          <w:color w:val="auto"/>
          <w:spacing w:val="7"/>
          <w:kern w:val="0"/>
          <w:sz w:val="24"/>
          <w:highlight w:val="none"/>
        </w:rPr>
        <w:t>日</w:t>
      </w:r>
      <w:bookmarkEnd w:id="0"/>
    </w:p>
    <w:p w14:paraId="644D31AD">
      <w:pP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br w:type="page"/>
      </w:r>
    </w:p>
    <w:p w14:paraId="4190C032">
      <w:pPr>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附件1</w:t>
      </w:r>
    </w:p>
    <w:p w14:paraId="27B347C5">
      <w:pPr>
        <w:spacing w:line="420" w:lineRule="exact"/>
        <w:jc w:val="center"/>
        <w:rPr>
          <w:rFonts w:ascii="宋体" w:hAnsi="宋体" w:cs="宋体"/>
          <w:b/>
          <w:color w:val="auto"/>
          <w:kern w:val="0"/>
          <w:sz w:val="32"/>
          <w:szCs w:val="20"/>
          <w:highlight w:val="none"/>
        </w:rPr>
      </w:pPr>
      <w:r>
        <w:rPr>
          <w:rFonts w:hint="eastAsia" w:ascii="宋体" w:hAnsi="宋体" w:cs="宋体"/>
          <w:b/>
          <w:color w:val="auto"/>
          <w:kern w:val="0"/>
          <w:sz w:val="32"/>
          <w:szCs w:val="20"/>
          <w:highlight w:val="none"/>
        </w:rPr>
        <w:t>申请函</w:t>
      </w:r>
    </w:p>
    <w:p w14:paraId="6FC83043">
      <w:pPr>
        <w:spacing w:line="420" w:lineRule="exact"/>
        <w:jc w:val="left"/>
        <w:rPr>
          <w:rFonts w:ascii="宋体" w:hAnsi="宋体" w:cs="宋体"/>
          <w:b/>
          <w:color w:val="auto"/>
          <w:kern w:val="0"/>
          <w:sz w:val="32"/>
          <w:szCs w:val="20"/>
          <w:highlight w:val="none"/>
        </w:rPr>
      </w:pPr>
    </w:p>
    <w:p w14:paraId="2EFD2A6F">
      <w:pPr>
        <w:spacing w:line="360" w:lineRule="auto"/>
        <w:jc w:val="left"/>
        <w:rPr>
          <w:rFonts w:ascii="宋体" w:hAnsi="宋体" w:cs="宋体"/>
          <w:b/>
          <w:color w:val="auto"/>
          <w:kern w:val="0"/>
          <w:sz w:val="24"/>
          <w:highlight w:val="none"/>
          <w:u w:val="single"/>
        </w:rPr>
      </w:pPr>
      <w:r>
        <w:rPr>
          <w:rFonts w:hint="eastAsia" w:ascii="宋体" w:hAnsi="宋体" w:cs="宋体"/>
          <w:b/>
          <w:color w:val="auto"/>
          <w:kern w:val="0"/>
          <w:sz w:val="24"/>
          <w:highlight w:val="none"/>
        </w:rPr>
        <w:t>致：</w:t>
      </w:r>
      <w:r>
        <w:rPr>
          <w:rFonts w:hint="eastAsia" w:ascii="宋体" w:hAnsi="宋体" w:cs="宋体"/>
          <w:b/>
          <w:color w:val="auto"/>
          <w:kern w:val="0"/>
          <w:sz w:val="24"/>
          <w:highlight w:val="none"/>
          <w:u w:val="single"/>
        </w:rPr>
        <w:t>南通市公路事业发展中心</w:t>
      </w:r>
    </w:p>
    <w:p w14:paraId="6B0D611B">
      <w:pPr>
        <w:widowControl/>
        <w:shd w:val="clear" w:color="auto" w:fill="FFFFFF"/>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我公司已获悉贵单位发出的</w:t>
      </w:r>
      <w:r>
        <w:rPr>
          <w:rFonts w:hint="eastAsia" w:ascii="宋体" w:hAnsi="宋体" w:cs="宋体"/>
          <w:color w:val="auto"/>
          <w:spacing w:val="7"/>
          <w:kern w:val="0"/>
          <w:sz w:val="24"/>
          <w:highlight w:val="none"/>
          <w:u w:val="single"/>
          <w:lang w:eastAsia="zh-CN"/>
        </w:rPr>
        <w:t>2026年南通市公路事业发展中心基础环境与安全运维服务项目</w:t>
      </w:r>
      <w:r>
        <w:rPr>
          <w:rFonts w:hint="eastAsia" w:ascii="宋体" w:hAnsi="宋体" w:cs="宋体"/>
          <w:color w:val="auto"/>
          <w:spacing w:val="7"/>
          <w:kern w:val="0"/>
          <w:sz w:val="24"/>
          <w:highlight w:val="none"/>
        </w:rPr>
        <w:t>竞争性磋商公告</w:t>
      </w:r>
      <w:r>
        <w:rPr>
          <w:rFonts w:hint="eastAsia" w:ascii="宋体" w:hAnsi="宋体" w:cs="宋体"/>
          <w:color w:val="auto"/>
          <w:kern w:val="0"/>
          <w:sz w:val="24"/>
          <w:highlight w:val="none"/>
        </w:rPr>
        <w:t>，经研究，我单位拟参加本项目磋商，现申请获取磋商文件。</w:t>
      </w:r>
    </w:p>
    <w:p w14:paraId="514BBC01">
      <w:pPr>
        <w:spacing w:line="360" w:lineRule="auto"/>
        <w:ind w:firstLine="480" w:firstLineChars="200"/>
        <w:jc w:val="left"/>
        <w:rPr>
          <w:rFonts w:ascii="宋体" w:hAnsi="宋体" w:cs="宋体"/>
          <w:color w:val="auto"/>
          <w:kern w:val="0"/>
          <w:sz w:val="24"/>
          <w:highlight w:val="none"/>
        </w:rPr>
      </w:pPr>
    </w:p>
    <w:p w14:paraId="1146575E">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联系人：</w:t>
      </w:r>
      <w:r>
        <w:rPr>
          <w:rFonts w:hint="eastAsia" w:ascii="宋体" w:hAnsi="宋体" w:cs="宋体"/>
          <w:color w:val="auto"/>
          <w:spacing w:val="7"/>
          <w:kern w:val="0"/>
          <w:sz w:val="24"/>
          <w:highlight w:val="none"/>
          <w:u w:val="single"/>
        </w:rPr>
        <w:t xml:space="preserve">   </w:t>
      </w:r>
    </w:p>
    <w:p w14:paraId="472E9D1E">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spacing w:val="7"/>
          <w:kern w:val="0"/>
          <w:sz w:val="24"/>
          <w:highlight w:val="none"/>
          <w:u w:val="single"/>
        </w:rPr>
        <w:t xml:space="preserve">   </w:t>
      </w:r>
    </w:p>
    <w:p w14:paraId="611B9FA1">
      <w:pPr>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E-MAIL地址：</w:t>
      </w:r>
      <w:r>
        <w:rPr>
          <w:rFonts w:hint="eastAsia" w:ascii="宋体" w:hAnsi="宋体" w:cs="宋体"/>
          <w:color w:val="auto"/>
          <w:spacing w:val="7"/>
          <w:kern w:val="0"/>
          <w:sz w:val="24"/>
          <w:highlight w:val="none"/>
          <w:u w:val="single"/>
        </w:rPr>
        <w:t xml:space="preserve">   </w:t>
      </w:r>
    </w:p>
    <w:p w14:paraId="3E0DF138">
      <w:pPr>
        <w:spacing w:line="360" w:lineRule="auto"/>
        <w:jc w:val="left"/>
        <w:rPr>
          <w:rFonts w:ascii="宋体" w:hAnsi="宋体" w:cs="宋体"/>
          <w:color w:val="auto"/>
          <w:kern w:val="0"/>
          <w:sz w:val="24"/>
          <w:highlight w:val="none"/>
          <w:lang w:val="zh-CN"/>
        </w:rPr>
      </w:pPr>
    </w:p>
    <w:p w14:paraId="71109941">
      <w:pPr>
        <w:spacing w:line="360" w:lineRule="auto"/>
        <w:jc w:val="left"/>
        <w:rPr>
          <w:rFonts w:ascii="宋体" w:hAnsi="宋体" w:cs="宋体"/>
          <w:b/>
          <w:color w:val="auto"/>
          <w:kern w:val="0"/>
          <w:sz w:val="24"/>
          <w:highlight w:val="none"/>
          <w:lang w:val="zh-CN"/>
        </w:rPr>
      </w:pPr>
    </w:p>
    <w:p w14:paraId="435D64D7">
      <w:pPr>
        <w:spacing w:line="360" w:lineRule="auto"/>
        <w:jc w:val="left"/>
        <w:rPr>
          <w:rFonts w:ascii="宋体" w:hAnsi="宋体" w:cs="宋体"/>
          <w:b/>
          <w:color w:val="auto"/>
          <w:kern w:val="0"/>
          <w:sz w:val="24"/>
          <w:highlight w:val="none"/>
          <w:lang w:val="zh-CN"/>
        </w:rPr>
      </w:pPr>
    </w:p>
    <w:p w14:paraId="2D2C363E">
      <w:pPr>
        <w:spacing w:line="360" w:lineRule="auto"/>
        <w:jc w:val="left"/>
        <w:rPr>
          <w:rFonts w:ascii="宋体" w:hAnsi="宋体" w:cs="宋体"/>
          <w:b/>
          <w:color w:val="auto"/>
          <w:kern w:val="0"/>
          <w:sz w:val="24"/>
          <w:highlight w:val="none"/>
          <w:lang w:val="zh-CN"/>
        </w:rPr>
      </w:pPr>
    </w:p>
    <w:p w14:paraId="2FE9CEB1">
      <w:pPr>
        <w:spacing w:line="360" w:lineRule="auto"/>
        <w:ind w:firstLine="5280" w:firstLineChars="2200"/>
        <w:jc w:val="left"/>
        <w:rPr>
          <w:rFonts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单位：</w:t>
      </w:r>
      <w:r>
        <w:rPr>
          <w:rFonts w:hint="eastAsia" w:ascii="宋体" w:hAnsi="宋体" w:cs="宋体"/>
          <w:color w:val="auto"/>
          <w:kern w:val="0"/>
          <w:sz w:val="24"/>
          <w:highlight w:val="none"/>
          <w:u w:val="single"/>
          <w:lang w:val="zh-CN"/>
        </w:rPr>
        <w:t xml:space="preserve"> （盖章）                 </w:t>
      </w:r>
    </w:p>
    <w:p w14:paraId="390CCEBB">
      <w:pPr>
        <w:spacing w:line="360" w:lineRule="auto"/>
        <w:jc w:val="right"/>
        <w:rPr>
          <w:rFonts w:ascii="宋体" w:hAnsi="宋体" w:cs="宋体"/>
          <w:color w:val="auto"/>
          <w:kern w:val="0"/>
          <w:sz w:val="24"/>
          <w:highlight w:val="none"/>
        </w:rPr>
      </w:pPr>
      <w:r>
        <w:rPr>
          <w:rFonts w:hint="eastAsia" w:ascii="宋体" w:hAnsi="宋体" w:cs="宋体"/>
          <w:color w:val="auto"/>
          <w:spacing w:val="7"/>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spacing w:val="7"/>
          <w:kern w:val="0"/>
          <w:sz w:val="24"/>
          <w:highlight w:val="none"/>
          <w:u w:val="single"/>
        </w:rPr>
        <w:t xml:space="preserve">   </w:t>
      </w:r>
      <w:r>
        <w:rPr>
          <w:rFonts w:hint="eastAsia" w:ascii="宋体" w:hAnsi="宋体" w:cs="宋体"/>
          <w:color w:val="auto"/>
          <w:kern w:val="0"/>
          <w:sz w:val="24"/>
          <w:highlight w:val="none"/>
          <w:lang w:val="zh-CN"/>
        </w:rPr>
        <w:t>月</w:t>
      </w:r>
      <w:r>
        <w:rPr>
          <w:rFonts w:hint="eastAsia" w:ascii="宋体" w:hAnsi="宋体" w:cs="宋体"/>
          <w:color w:val="auto"/>
          <w:spacing w:val="7"/>
          <w:kern w:val="0"/>
          <w:sz w:val="24"/>
          <w:highlight w:val="none"/>
          <w:u w:val="single"/>
        </w:rPr>
        <w:t xml:space="preserve">   </w:t>
      </w:r>
      <w:r>
        <w:rPr>
          <w:rFonts w:hint="eastAsia" w:ascii="宋体" w:hAnsi="宋体" w:cs="宋体"/>
          <w:color w:val="auto"/>
          <w:kern w:val="0"/>
          <w:sz w:val="24"/>
          <w:highlight w:val="none"/>
          <w:lang w:val="zh-CN"/>
        </w:rPr>
        <w:t>日</w:t>
      </w:r>
    </w:p>
    <w:p w14:paraId="28A5AC4A">
      <w:pPr>
        <w:snapToGrid w:val="0"/>
        <w:spacing w:line="300" w:lineRule="auto"/>
        <w:ind w:firstLine="560" w:firstLineChars="200"/>
        <w:contextualSpacing/>
        <w:rPr>
          <w:rFonts w:ascii="宋体" w:hAnsi="宋体" w:cs="宋体"/>
          <w:color w:val="auto"/>
          <w:sz w:val="28"/>
          <w:szCs w:val="28"/>
          <w:highlight w:val="none"/>
        </w:rPr>
      </w:pPr>
    </w:p>
    <w:p w14:paraId="1D7E7084">
      <w:pPr>
        <w:snapToGrid w:val="0"/>
        <w:spacing w:line="300" w:lineRule="auto"/>
        <w:contextualSpacing/>
        <w:jc w:val="center"/>
        <w:rPr>
          <w:rFonts w:ascii="宋体" w:hAnsi="宋体" w:cs="宋体"/>
          <w:b/>
          <w:bCs/>
          <w:color w:val="auto"/>
          <w:sz w:val="36"/>
          <w:szCs w:val="36"/>
          <w:highlight w:val="none"/>
          <w:lang w:val="zh-CN"/>
        </w:rPr>
      </w:pPr>
      <w:r>
        <w:rPr>
          <w:rFonts w:hint="eastAsia" w:ascii="宋体" w:hAnsi="宋体" w:cs="宋体"/>
          <w:b/>
          <w:color w:val="auto"/>
          <w:sz w:val="28"/>
          <w:szCs w:val="28"/>
          <w:highlight w:val="none"/>
        </w:rPr>
        <w:br w:type="page"/>
      </w:r>
      <w:r>
        <w:rPr>
          <w:rFonts w:hint="eastAsia" w:ascii="宋体" w:hAnsi="宋体" w:cs="宋体"/>
          <w:b/>
          <w:bCs/>
          <w:color w:val="auto"/>
          <w:sz w:val="36"/>
          <w:szCs w:val="36"/>
          <w:highlight w:val="none"/>
          <w:lang w:val="zh-CN"/>
        </w:rPr>
        <w:t>第二部分 磋商须知</w:t>
      </w:r>
    </w:p>
    <w:p w14:paraId="3F74BE90">
      <w:pPr>
        <w:autoSpaceDE w:val="0"/>
        <w:autoSpaceDN w:val="0"/>
        <w:adjustRightInd w:val="0"/>
        <w:spacing w:line="360" w:lineRule="auto"/>
        <w:ind w:firstLine="482" w:firstLineChars="200"/>
        <w:outlineLvl w:val="1"/>
        <w:rPr>
          <w:rFonts w:ascii="宋体" w:hAnsi="宋体" w:cs="宋体"/>
          <w:b/>
          <w:color w:val="auto"/>
          <w:sz w:val="24"/>
          <w:highlight w:val="none"/>
          <w:lang w:val="zh-CN"/>
        </w:rPr>
      </w:pPr>
      <w:r>
        <w:rPr>
          <w:rFonts w:hint="eastAsia" w:ascii="宋体" w:hAnsi="宋体" w:cs="宋体"/>
          <w:b/>
          <w:color w:val="auto"/>
          <w:sz w:val="24"/>
          <w:highlight w:val="none"/>
          <w:lang w:val="zh-CN"/>
        </w:rPr>
        <w:t>一、说明</w:t>
      </w:r>
    </w:p>
    <w:p w14:paraId="16E09B9E">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color w:val="auto"/>
          <w:sz w:val="24"/>
          <w:highlight w:val="none"/>
        </w:rPr>
        <w:t>本竞争性磋商文件仅适用于采购人组织的竞争性磋商采购活动。</w:t>
      </w:r>
    </w:p>
    <w:p w14:paraId="7069155E">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竞争性磋商活动及因本次磋商产生的合同受中国法律制约和保护。</w:t>
      </w:r>
    </w:p>
    <w:p w14:paraId="1DBAA131">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cs="宋体"/>
          <w:color w:val="auto"/>
          <w:sz w:val="24"/>
          <w:highlight w:val="none"/>
          <w:lang w:val="zh-CN"/>
        </w:rPr>
        <w:t>.</w:t>
      </w:r>
      <w:r>
        <w:rPr>
          <w:rFonts w:hint="eastAsia" w:ascii="宋体" w:hAnsi="宋体" w:cs="宋体"/>
          <w:bCs/>
          <w:color w:val="auto"/>
          <w:sz w:val="24"/>
          <w:highlight w:val="none"/>
        </w:rPr>
        <w:t>竞争性磋商文件的解释权属于采购人。</w:t>
      </w:r>
    </w:p>
    <w:p w14:paraId="6174F7BC">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4</w:t>
      </w:r>
      <w:r>
        <w:rPr>
          <w:rFonts w:hint="eastAsia" w:ascii="宋体" w:hAnsi="宋体" w:cs="宋体"/>
          <w:color w:val="auto"/>
          <w:sz w:val="24"/>
          <w:highlight w:val="none"/>
          <w:lang w:val="zh-CN"/>
        </w:rPr>
        <w:t>.</w:t>
      </w:r>
      <w:r>
        <w:rPr>
          <w:rFonts w:hint="eastAsia" w:ascii="宋体" w:hAnsi="宋体" w:cs="宋体"/>
          <w:color w:val="auto"/>
          <w:sz w:val="24"/>
          <w:highlight w:val="none"/>
        </w:rPr>
        <w:t>供应商下载磋商文件后，应仔细检查磋商文件的所有内容。如内容中有页码短缺、资格要求以及任何设置有不合理的条件对供应商实行差别待遇或者歧视待遇的，</w:t>
      </w:r>
      <w:r>
        <w:rPr>
          <w:rFonts w:hint="eastAsia" w:ascii="宋体" w:hAnsi="宋体" w:cs="宋体"/>
          <w:color w:val="auto"/>
          <w:sz w:val="24"/>
          <w:highlight w:val="none"/>
          <w:lang w:val="zh-CN"/>
        </w:rPr>
        <w:t>供应商下载磋商</w:t>
      </w:r>
      <w:r>
        <w:rPr>
          <w:rFonts w:hint="eastAsia" w:ascii="宋体" w:hAnsi="宋体" w:cs="宋体"/>
          <w:color w:val="auto"/>
          <w:sz w:val="24"/>
          <w:highlight w:val="none"/>
        </w:rPr>
        <w:t>文件后，应在磋商文件发布后的</w:t>
      </w:r>
      <w:r>
        <w:rPr>
          <w:rFonts w:hint="eastAsia" w:ascii="宋体" w:hAnsi="宋体" w:cs="宋体"/>
          <w:b/>
          <w:color w:val="auto"/>
          <w:sz w:val="24"/>
          <w:highlight w:val="none"/>
          <w:lang w:val="zh-CN"/>
        </w:rPr>
        <w:t>3日内以书面形式向采购人或代理单位提出询问或疑问</w:t>
      </w:r>
      <w:r>
        <w:rPr>
          <w:rFonts w:hint="eastAsia" w:ascii="宋体" w:hAnsi="宋体" w:cs="宋体"/>
          <w:color w:val="auto"/>
          <w:sz w:val="24"/>
          <w:highlight w:val="none"/>
          <w:lang w:val="zh-CN"/>
        </w:rPr>
        <w:t>，未在规定的3日内提出询问或疑问的，视同供应商理解并接受本磋商文件所有内容，并由此引起的损失自负。</w:t>
      </w:r>
      <w:r>
        <w:rPr>
          <w:rFonts w:hint="eastAsia" w:ascii="宋体" w:hAnsi="宋体" w:cs="宋体"/>
          <w:b/>
          <w:color w:val="auto"/>
          <w:sz w:val="24"/>
          <w:highlight w:val="none"/>
        </w:rPr>
        <w:t>非书面形式的不作为日后质疑提出的依据。</w:t>
      </w:r>
    </w:p>
    <w:p w14:paraId="5D3F4A84">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5.供应商应认真审阅磋商文件中所有的事项、格式、条款和规范要求等，如果供应商没有按照磋商文件要求提交响应文件，或者响应文件没有对磋商文件做出实质性响应，其投标将被拒绝，供应商自行承担责任。</w:t>
      </w:r>
    </w:p>
    <w:p w14:paraId="50875C6C">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6.</w:t>
      </w:r>
      <w:r>
        <w:rPr>
          <w:rFonts w:hint="eastAsia" w:ascii="宋体" w:hAnsi="宋体" w:cs="宋体"/>
          <w:color w:val="auto"/>
          <w:sz w:val="24"/>
          <w:highlight w:val="none"/>
        </w:rPr>
        <w:t>供应商在磋商开始前自行踏勘现场，供应商务必自行认真踏勘现场条件，进一步获取所需信息，一旦成交不得对现场条件提出额外要求，不得要求增加费用，采购人可视情组织答疑会。</w:t>
      </w:r>
    </w:p>
    <w:p w14:paraId="4335C29F">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二、磋商文件的澄清、修改、答疑</w:t>
      </w:r>
    </w:p>
    <w:p w14:paraId="4E59600F">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color w:val="auto"/>
          <w:sz w:val="24"/>
          <w:highlight w:val="none"/>
        </w:rPr>
        <w:t>采购人有权对发出的磋商文件进行必要的澄清、修改或补充。</w:t>
      </w:r>
    </w:p>
    <w:p w14:paraId="79D94935">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磋商文件的澄清、修改、补充等内容均以书面明确的形式发布，并以</w:t>
      </w:r>
      <w:r>
        <w:rPr>
          <w:rFonts w:hint="eastAsia" w:ascii="宋体" w:hAnsi="宋体" w:cs="宋体"/>
          <w:color w:val="auto"/>
          <w:spacing w:val="7"/>
          <w:kern w:val="0"/>
          <w:sz w:val="24"/>
          <w:highlight w:val="none"/>
        </w:rPr>
        <w:t>南通市交通运输局—公共资源交易栏目</w:t>
      </w:r>
      <w:r>
        <w:rPr>
          <w:rFonts w:hint="eastAsia" w:ascii="宋体" w:hAnsi="宋体" w:cs="宋体"/>
          <w:color w:val="auto"/>
          <w:sz w:val="24"/>
          <w:highlight w:val="none"/>
        </w:rPr>
        <w:t>发布的信息为准。</w:t>
      </w:r>
    </w:p>
    <w:p w14:paraId="099222C9">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zh-CN"/>
        </w:rPr>
        <w:t>.</w:t>
      </w:r>
      <w:r>
        <w:rPr>
          <w:rFonts w:hint="eastAsia" w:ascii="宋体" w:hAnsi="宋体" w:cs="宋体"/>
          <w:color w:val="auto"/>
          <w:sz w:val="24"/>
          <w:highlight w:val="none"/>
        </w:rPr>
        <w:t>采购人对磋商文件的澄清、修改将构成磋商文件的一部分，对响应磋商的供应商具有约束力。</w:t>
      </w:r>
    </w:p>
    <w:p w14:paraId="33B0CEFF">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w:t>
      </w:r>
      <w:r>
        <w:rPr>
          <w:rFonts w:hint="eastAsia" w:ascii="宋体" w:hAnsi="宋体" w:cs="宋体"/>
          <w:color w:val="auto"/>
          <w:sz w:val="24"/>
          <w:highlight w:val="none"/>
        </w:rPr>
        <w:t>澄清或者修改的内容可能影响到响应文件编制的，采购人将在提交响应文件接收截止之日5日前，发布澄清或者修改公告，不足5日的，当顺延提交响应文件接收截止时间。</w:t>
      </w:r>
    </w:p>
    <w:p w14:paraId="6299F7C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zh-CN"/>
        </w:rPr>
        <w:t>.</w:t>
      </w:r>
      <w:r>
        <w:rPr>
          <w:rFonts w:hint="eastAsia" w:ascii="宋体" w:hAnsi="宋体" w:cs="宋体"/>
          <w:color w:val="auto"/>
          <w:sz w:val="24"/>
          <w:highlight w:val="none"/>
        </w:rPr>
        <w:t>除非采购人以书面的形式对磋商文件作出澄清、修改及补充，供应商由于对磋商文件的任何推论和误解以及采购人对有关问题的口头解释所造成的后果，均由供应商自负。</w:t>
      </w:r>
    </w:p>
    <w:p w14:paraId="2F01F0F8">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zh-CN"/>
        </w:rPr>
        <w:t>.</w:t>
      </w:r>
      <w:r>
        <w:rPr>
          <w:rFonts w:hint="eastAsia" w:ascii="宋体" w:hAnsi="宋体" w:cs="宋体"/>
          <w:color w:val="auto"/>
          <w:sz w:val="24"/>
          <w:highlight w:val="none"/>
        </w:rPr>
        <w:t>采购人视情况组织答疑会。如有产生答疑且对磋商文件内容有修改，采购人将按照本须知有关规定，以书面方式发出。</w:t>
      </w:r>
    </w:p>
    <w:p w14:paraId="74603044">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三、磋商项目涉及到的现场勘察</w:t>
      </w:r>
    </w:p>
    <w:p w14:paraId="08D5D859">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color w:val="auto"/>
          <w:sz w:val="24"/>
          <w:highlight w:val="none"/>
        </w:rPr>
        <w:t>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5E78E2A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采购人向供应商提供的有关现场的资料和数据，是采购人现有的并认为能使供应商可利用的资料。采购人对供应商由此而做出的推论、理解和结论概不负责。</w:t>
      </w:r>
    </w:p>
    <w:p w14:paraId="565EF636">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zh-CN"/>
        </w:rPr>
        <w:t>.</w:t>
      </w:r>
      <w:r>
        <w:rPr>
          <w:rFonts w:hint="eastAsia" w:ascii="宋体" w:hAnsi="宋体" w:cs="宋体"/>
          <w:color w:val="auto"/>
          <w:sz w:val="24"/>
          <w:highlight w:val="none"/>
        </w:rPr>
        <w:t>经采购人允许，供应商可为勘察目的进入采购人的项目现场，但供应商不得因此使采购人承担有关的责任和蒙受损失。供应商应承担勘察现场的责任和风险。</w:t>
      </w:r>
    </w:p>
    <w:p w14:paraId="6B9399C0">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w:t>
      </w:r>
      <w:r>
        <w:rPr>
          <w:rFonts w:hint="eastAsia" w:ascii="宋体" w:hAnsi="宋体" w:cs="宋体"/>
          <w:color w:val="auto"/>
          <w:sz w:val="24"/>
          <w:highlight w:val="none"/>
        </w:rPr>
        <w:t>供应商应认真踏勘现场。在现场勘察时，熟悉现场、现场周围交通道路等情况，以获得一切可能影响其投标的直接资料。供应商成交后，不得以不完全了解现场情况为理由而向采购人提出任何索赔的要求，对此采购人不承担任何责任并将不作任何答复与考虑。</w:t>
      </w:r>
    </w:p>
    <w:p w14:paraId="2E083565">
      <w:pPr>
        <w:autoSpaceDE w:val="0"/>
        <w:autoSpaceDN w:val="0"/>
        <w:adjustRightInd w:val="0"/>
        <w:snapToGrid w:val="0"/>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lang w:val="zh-CN"/>
        </w:rPr>
        <w:t>四、响应文件的编写、密封及标记</w:t>
      </w:r>
    </w:p>
    <w:p w14:paraId="126ADC15">
      <w:pPr>
        <w:autoSpaceDE w:val="0"/>
        <w:autoSpaceDN w:val="0"/>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（一）响应文件的编写</w:t>
      </w:r>
    </w:p>
    <w:p w14:paraId="0164EE9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1.供应商按“第七部分 响应文件组成”要求编写响应文件。但表格可以按同样格式扩展。除另有规定者外，磋商响应人不得修改。</w:t>
      </w:r>
    </w:p>
    <w:p w14:paraId="0B22A3A5">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2.响应文件规格幅面A4纸（图纸等除外）。</w:t>
      </w:r>
    </w:p>
    <w:p w14:paraId="7069ABD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3.按照磋商文件所规定的内容顺序，统一编制目录，逐页编码，由于编排混乱导致投标</w:t>
      </w:r>
      <w:r>
        <w:rPr>
          <w:rFonts w:hint="eastAsia" w:ascii="宋体" w:hAnsi="宋体" w:cs="宋体"/>
          <w:color w:val="auto"/>
          <w:sz w:val="24"/>
          <w:highlight w:val="none"/>
        </w:rPr>
        <w:t>响应</w:t>
      </w:r>
      <w:r>
        <w:rPr>
          <w:rFonts w:hint="eastAsia" w:ascii="宋体" w:hAnsi="宋体" w:cs="宋体"/>
          <w:color w:val="auto"/>
          <w:sz w:val="24"/>
          <w:highlight w:val="none"/>
          <w:lang w:val="zh-CN"/>
        </w:rPr>
        <w:t>文件被误读或查找不到，其责任应当由供应商承担；牢固装订成册，不允许使用活页夹、拉杆夹、文件夹、塑料方便式书脊（插入式或穿孔式）装订。</w:t>
      </w:r>
    </w:p>
    <w:p w14:paraId="22CF894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4.响应文件不得行间插字、涂改、增删，如修改错漏处，须经响应文件签署人签字并加盖公章。</w:t>
      </w:r>
    </w:p>
    <w:p w14:paraId="458221CE">
      <w:pPr>
        <w:autoSpaceDE w:val="0"/>
        <w:autoSpaceDN w:val="0"/>
        <w:adjustRightInd w:val="0"/>
        <w:snapToGrid w:val="0"/>
        <w:spacing w:line="360" w:lineRule="auto"/>
        <w:ind w:firstLine="482" w:firstLineChars="200"/>
        <w:contextualSpacing/>
        <w:rPr>
          <w:rFonts w:ascii="宋体" w:hAnsi="宋体" w:cs="宋体"/>
          <w:b/>
          <w:bCs/>
          <w:color w:val="auto"/>
          <w:sz w:val="24"/>
          <w:highlight w:val="none"/>
          <w:lang w:val="zh-CN"/>
        </w:rPr>
      </w:pPr>
      <w:r>
        <w:rPr>
          <w:rFonts w:hint="eastAsia" w:ascii="宋体" w:hAnsi="宋体" w:cs="宋体"/>
          <w:b/>
          <w:bCs/>
          <w:color w:val="auto"/>
          <w:sz w:val="24"/>
          <w:highlight w:val="none"/>
          <w:lang w:val="zh-CN"/>
        </w:rPr>
        <w:t>（二）响应文件的份数和签署</w:t>
      </w:r>
    </w:p>
    <w:p w14:paraId="1BC92B6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1.响应文件由：</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商务技术响应文件、③价格响应文件、④电子</w:t>
      </w:r>
      <w:r>
        <w:rPr>
          <w:rFonts w:hint="eastAsia" w:ascii="宋体" w:hAnsi="宋体" w:cs="宋体"/>
          <w:color w:val="auto"/>
          <w:sz w:val="24"/>
          <w:highlight w:val="none"/>
        </w:rPr>
        <w:t>版响应</w:t>
      </w:r>
      <w:r>
        <w:rPr>
          <w:rFonts w:hint="eastAsia" w:ascii="宋体" w:hAnsi="宋体" w:cs="宋体"/>
          <w:color w:val="auto"/>
          <w:sz w:val="24"/>
          <w:highlight w:val="none"/>
          <w:lang w:val="zh-CN"/>
        </w:rPr>
        <w:t>文件共4部分组成（以下由文件序号代称）。</w:t>
      </w:r>
    </w:p>
    <w:p w14:paraId="1480D375">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2.纸质响应文件（</w:t>
      </w:r>
      <w:r>
        <w:rPr>
          <w:rFonts w:hint="eastAsia" w:ascii="宋体" w:hAnsi="宋体" w:cs="宋体"/>
          <w:color w:val="auto"/>
          <w:sz w:val="24"/>
          <w:highlight w:val="none"/>
        </w:rPr>
        <w:t>即</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商务技术文件、③价格响应文件，</w:t>
      </w:r>
      <w:r>
        <w:rPr>
          <w:rFonts w:hint="eastAsia" w:ascii="宋体" w:hAnsi="宋体" w:cs="宋体"/>
          <w:color w:val="auto"/>
          <w:sz w:val="24"/>
          <w:highlight w:val="none"/>
        </w:rPr>
        <w:t>下同</w:t>
      </w:r>
      <w:r>
        <w:rPr>
          <w:rFonts w:hint="eastAsia" w:ascii="宋体" w:hAnsi="宋体" w:cs="宋体"/>
          <w:color w:val="auto"/>
          <w:sz w:val="24"/>
          <w:highlight w:val="none"/>
          <w:lang w:val="zh-CN"/>
        </w:rPr>
        <w:t>）均为一式叁份，其中“正本”壹份和“副本”贰份。电子</w:t>
      </w:r>
      <w:r>
        <w:rPr>
          <w:rFonts w:hint="eastAsia" w:ascii="宋体" w:hAnsi="宋体" w:cs="宋体"/>
          <w:color w:val="auto"/>
          <w:sz w:val="24"/>
          <w:highlight w:val="none"/>
        </w:rPr>
        <w:t>版响应</w:t>
      </w:r>
      <w:r>
        <w:rPr>
          <w:rFonts w:hint="eastAsia" w:ascii="宋体" w:hAnsi="宋体" w:cs="宋体"/>
          <w:color w:val="auto"/>
          <w:sz w:val="24"/>
          <w:highlight w:val="none"/>
          <w:lang w:val="zh-CN"/>
        </w:rPr>
        <w:t>文件1份（具体要求详见第七部分响应文件组成）。</w:t>
      </w:r>
    </w:p>
    <w:p w14:paraId="0CA20AB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3.在每份纸质响应文件上要明确标注项目名称、对应的响应文件名称、供应商的全称、日期、“正本”、“副本”字样。“正本”和“副本”若有差异，概以“正本”为准。</w:t>
      </w:r>
    </w:p>
    <w:p w14:paraId="425CEA5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4.响应文件中的所有“正本”，其正文内容须按磋商文件要求由供应商法定代表人或被授权人签字（或盖章）并加盖单位公章。“副本”可复印，但须加盖单位公章。</w:t>
      </w:r>
    </w:p>
    <w:p w14:paraId="4C8C9A41">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5.电子版响应文件</w:t>
      </w:r>
    </w:p>
    <w:p w14:paraId="23B3A1E8">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电子版响应文件即为上述</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商务技术文件、③价格响应文件签字盖章后纸质版响应文件的扫描件，全部内容均存入一份U盘即可。</w:t>
      </w:r>
    </w:p>
    <w:p w14:paraId="056459C0">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（三）响应文件的密封及标记</w:t>
      </w:r>
    </w:p>
    <w:p w14:paraId="2D13FDB7">
      <w:pPr>
        <w:autoSpaceDE w:val="0"/>
        <w:autoSpaceDN w:val="0"/>
        <w:adjustRightInd w:val="0"/>
        <w:snapToGrid w:val="0"/>
        <w:spacing w:line="360" w:lineRule="auto"/>
        <w:ind w:firstLine="480" w:firstLineChars="200"/>
        <w:contextualSpacing/>
        <w:jc w:val="left"/>
        <w:rPr>
          <w:rFonts w:ascii="宋体" w:hAnsi="宋体" w:cs="宋体"/>
          <w:b/>
          <w:bCs/>
          <w:color w:val="auto"/>
          <w:sz w:val="24"/>
          <w:highlight w:val="none"/>
          <w:u w:val="double"/>
          <w:lang w:val="zh-CN"/>
        </w:rPr>
      </w:pPr>
      <w:r>
        <w:rPr>
          <w:rFonts w:hint="eastAsia" w:ascii="宋体" w:hAnsi="宋体" w:cs="宋体"/>
          <w:color w:val="auto"/>
          <w:sz w:val="24"/>
          <w:highlight w:val="none"/>
          <w:lang w:val="zh-CN"/>
        </w:rPr>
        <w:t>1.供应商须将本项目响应文件：</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1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①</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2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②</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、③单独密封；④密封至③的封袋内。</w:t>
      </w:r>
    </w:p>
    <w:p w14:paraId="0F3498F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2.供应商可将响应文件正副本统一密封或分别密封，如正本和副本分别密封的，应在封袋或封箱上标明正、副本字样。</w:t>
      </w:r>
    </w:p>
    <w:p w14:paraId="037605D9">
      <w:pPr>
        <w:autoSpaceDE w:val="0"/>
        <w:autoSpaceDN w:val="0"/>
        <w:adjustRightInd w:val="0"/>
        <w:snapToGrid w:val="0"/>
        <w:spacing w:line="360" w:lineRule="auto"/>
        <w:ind w:firstLine="480" w:firstLineChars="200"/>
        <w:contextualSpacing/>
        <w:jc w:val="left"/>
        <w:rPr>
          <w:rFonts w:ascii="宋体" w:hAnsi="宋体" w:cs="宋体"/>
          <w:b/>
          <w:bCs/>
          <w:color w:val="auto"/>
          <w:sz w:val="24"/>
          <w:highlight w:val="none"/>
          <w:u w:val="double"/>
          <w:lang w:val="zh-CN"/>
        </w:rPr>
      </w:pPr>
      <w:r>
        <w:rPr>
          <w:rFonts w:hint="eastAsia" w:ascii="宋体" w:hAnsi="宋体" w:cs="宋体"/>
          <w:color w:val="auto"/>
          <w:sz w:val="24"/>
          <w:highlight w:val="none"/>
          <w:lang w:val="zh-CN"/>
        </w:rPr>
        <w:t>3.密封后，应在封袋或封箱上明确标注</w:t>
      </w:r>
      <w:r>
        <w:rPr>
          <w:rFonts w:hint="eastAsia" w:ascii="宋体" w:hAnsi="宋体" w:cs="宋体"/>
          <w:b/>
          <w:bCs/>
          <w:color w:val="auto"/>
          <w:sz w:val="24"/>
          <w:highlight w:val="none"/>
          <w:u w:val="double"/>
          <w:lang w:val="zh-CN"/>
        </w:rPr>
        <w:t>磋商项目名称、响应文件各自对应的名称、供应商的全称及日期。</w:t>
      </w:r>
    </w:p>
    <w:p w14:paraId="09CF111D">
      <w:pPr>
        <w:autoSpaceDE w:val="0"/>
        <w:autoSpaceDN w:val="0"/>
        <w:adjustRightInd w:val="0"/>
        <w:snapToGrid w:val="0"/>
        <w:spacing w:line="360" w:lineRule="auto"/>
        <w:ind w:firstLine="480" w:firstLineChars="200"/>
        <w:contextualSpacing/>
        <w:jc w:val="left"/>
        <w:rPr>
          <w:rFonts w:ascii="宋体" w:hAnsi="宋体" w:cs="宋体"/>
          <w:b/>
          <w:bCs/>
          <w:color w:val="auto"/>
          <w:sz w:val="24"/>
          <w:highlight w:val="none"/>
          <w:u w:val="double"/>
          <w:lang w:val="zh-CN"/>
        </w:rPr>
      </w:pPr>
      <w:r>
        <w:rPr>
          <w:rFonts w:hint="eastAsia" w:ascii="宋体" w:hAnsi="宋体" w:cs="宋体"/>
          <w:color w:val="auto"/>
          <w:sz w:val="24"/>
          <w:highlight w:val="none"/>
          <w:lang w:val="zh-CN"/>
        </w:rPr>
        <w:t>4.</w:t>
      </w:r>
      <w:r>
        <w:rPr>
          <w:rFonts w:hint="eastAsia" w:ascii="宋体" w:hAnsi="宋体" w:cs="宋体"/>
          <w:b/>
          <w:bCs/>
          <w:color w:val="auto"/>
          <w:sz w:val="24"/>
          <w:highlight w:val="none"/>
          <w:u w:val="double"/>
          <w:lang w:val="zh-CN"/>
        </w:rPr>
        <w:t>在边缝处加盖供应商公章或骑缝签字。</w:t>
      </w:r>
    </w:p>
    <w:p w14:paraId="200CD555">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5.采购人将拒绝接收未按照磋商文件要求密封的响应文件。</w:t>
      </w:r>
    </w:p>
    <w:p w14:paraId="283C723B">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【特别提醒】响应文件中</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的“正本”或“副本”中，</w:t>
      </w:r>
      <w:r>
        <w:rPr>
          <w:rFonts w:hint="eastAsia" w:ascii="宋体" w:hAnsi="宋体" w:cs="宋体"/>
          <w:b/>
          <w:bCs/>
          <w:color w:val="auto"/>
          <w:sz w:val="24"/>
          <w:highlight w:val="none"/>
          <w:u w:val="double"/>
          <w:lang w:val="zh-CN"/>
        </w:rPr>
        <w:t>均不得含有价格响应文件中报价表（报价单）内的任何项目价格，否则作无效响应处理</w:t>
      </w:r>
      <w:r>
        <w:rPr>
          <w:rFonts w:hint="eastAsia" w:ascii="宋体" w:hAnsi="宋体" w:cs="宋体"/>
          <w:color w:val="auto"/>
          <w:sz w:val="24"/>
          <w:highlight w:val="none"/>
          <w:lang w:val="zh-CN"/>
        </w:rPr>
        <w:t>。</w:t>
      </w:r>
    </w:p>
    <w:p w14:paraId="626418C4">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w:t>
      </w:r>
      <w:r>
        <w:rPr>
          <w:rFonts w:hint="eastAsia" w:ascii="宋体" w:hAnsi="宋体" w:cs="宋体"/>
          <w:b/>
          <w:bCs/>
          <w:color w:val="auto"/>
          <w:sz w:val="24"/>
          <w:highlight w:val="none"/>
        </w:rPr>
        <w:t>四</w:t>
      </w:r>
      <w:r>
        <w:rPr>
          <w:rFonts w:hint="eastAsia" w:ascii="宋体" w:hAnsi="宋体" w:cs="宋体"/>
          <w:b/>
          <w:bCs/>
          <w:color w:val="auto"/>
          <w:sz w:val="24"/>
          <w:highlight w:val="none"/>
          <w:lang w:val="zh-CN"/>
        </w:rPr>
        <w:t>）磋商响应有效期</w:t>
      </w:r>
    </w:p>
    <w:p w14:paraId="7F46868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磋商响应有效期为采购代理机构规定的响应文件提交截止时间后</w:t>
      </w:r>
      <w:r>
        <w:rPr>
          <w:rFonts w:hint="eastAsia" w:ascii="宋体" w:hAnsi="宋体" w:cs="宋体"/>
          <w:b/>
          <w:color w:val="auto"/>
          <w:sz w:val="24"/>
          <w:highlight w:val="none"/>
          <w:u w:val="single"/>
          <w:lang w:val="zh-CN"/>
        </w:rPr>
        <w:t>四十五（45）天</w:t>
      </w:r>
      <w:r>
        <w:rPr>
          <w:rFonts w:hint="eastAsia" w:ascii="宋体" w:hAnsi="宋体" w:cs="宋体"/>
          <w:color w:val="auto"/>
          <w:sz w:val="24"/>
          <w:highlight w:val="none"/>
          <w:lang w:val="zh-CN"/>
        </w:rPr>
        <w:t>。磋商响应有效期比规定短的将被视为非实质性响应而予以拒绝。</w:t>
      </w:r>
    </w:p>
    <w:p w14:paraId="708947B2">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五、磋商报价</w:t>
      </w:r>
    </w:p>
    <w:p w14:paraId="3D64F22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1.本项目不接受任何有选择的报价。</w:t>
      </w:r>
    </w:p>
    <w:p w14:paraId="66FA41DB">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2.磋商报价均以人民币为报价的币种。</w:t>
      </w:r>
    </w:p>
    <w:p w14:paraId="3AB720C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3.磋商报价出现前后不一致的，按照下列规定修正：</w:t>
      </w:r>
    </w:p>
    <w:p w14:paraId="590FF69D">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（1）响应文件中开标一览表（报价表）内容与响应文件中相应内容不一致的，以开标一览表（报价表）为准；</w:t>
      </w:r>
    </w:p>
    <w:p w14:paraId="34BCA723">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（2）大写金额和小写金额不一致的，以大写金额为准；</w:t>
      </w:r>
    </w:p>
    <w:p w14:paraId="1C822C58">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（3）单价金额小数点或者百分比有明显错位的，以开标一览表（报价表）的总价为准，并修改单价；</w:t>
      </w:r>
    </w:p>
    <w:p w14:paraId="42C30A6F">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（4）总价金额与按单价汇总金额不一致的，以单价金额计算结果为准。</w:t>
      </w:r>
    </w:p>
    <w:p w14:paraId="208F795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同时出现两种以上不一致的，按照前款规定的顺序修正。修正后的报价经供应商确认后产生约束力，供应商不确认的，其投标无效。</w:t>
      </w:r>
    </w:p>
    <w:p w14:paraId="13C0D36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4.报价方式及要求：</w:t>
      </w:r>
    </w:p>
    <w:p w14:paraId="2701DB89">
      <w:pPr>
        <w:snapToGrid w:val="0"/>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（1）本合同为固定总价合同。合同价应包括供应商完成本项目的所有工作的技术服务费用、人员费用（包括人员工资（基本工资、加班费、年终奖金）、</w:t>
      </w:r>
      <w:r>
        <w:rPr>
          <w:rFonts w:hint="eastAsia" w:cs="宋体" w:asciiTheme="minorEastAsia" w:hAnsiTheme="minorEastAsia" w:eastAsiaTheme="minorEastAsia"/>
          <w:color w:val="auto"/>
          <w:sz w:val="24"/>
          <w:highlight w:val="none"/>
          <w:lang w:eastAsia="zh-CN"/>
        </w:rPr>
        <w:t>运维所需备件费用、福利、社保费</w:t>
      </w:r>
      <w:r>
        <w:rPr>
          <w:rFonts w:hint="eastAsia" w:cs="宋体" w:asciiTheme="minorEastAsia" w:hAnsiTheme="minorEastAsia" w:eastAsiaTheme="minorEastAsia"/>
          <w:color w:val="auto"/>
          <w:sz w:val="24"/>
          <w:highlight w:val="none"/>
        </w:rPr>
        <w:t>（五项）及公积金、员工培训费等）、车辆使用一切费用、所需设备仪器使用费用、交通费用、食宿费用、附加服务费用及单位取费（利润、税金、保险费、管理费等）等与履行本合同有关的一切费用以及合同明示或暗示的所有一般风险责任和义务费用。</w:t>
      </w:r>
    </w:p>
    <w:p w14:paraId="13AAD47C">
      <w:pPr>
        <w:autoSpaceDE w:val="0"/>
        <w:autoSpaceDN w:val="0"/>
        <w:adjustRightInd w:val="0"/>
        <w:snapToGrid w:val="0"/>
        <w:spacing w:line="360" w:lineRule="auto"/>
        <w:ind w:firstLine="480" w:firstLineChars="200"/>
        <w:jc w:val="left"/>
        <w:rPr>
          <w:rFonts w:asciiTheme="minorEastAsia" w:hAnsiTheme="minorEastAsia" w:eastAsiaTheme="minorEastAsia"/>
          <w:color w:val="auto"/>
          <w:sz w:val="24"/>
          <w:highlight w:val="none"/>
          <w:lang w:val="zh-CN"/>
        </w:rPr>
      </w:pPr>
      <w:r>
        <w:rPr>
          <w:rFonts w:hint="eastAsia" w:cs="仿宋_GB2312" w:asciiTheme="minorEastAsia" w:hAnsiTheme="minorEastAsia" w:eastAsiaTheme="minorEastAsia"/>
          <w:color w:val="auto"/>
          <w:sz w:val="24"/>
          <w:highlight w:val="none"/>
          <w:lang w:val="zh-CN"/>
        </w:rPr>
        <w:t>（</w:t>
      </w:r>
      <w:r>
        <w:rPr>
          <w:rFonts w:hint="eastAsia" w:cs="仿宋_GB2312" w:asciiTheme="minorEastAsia" w:hAnsiTheme="minorEastAsia" w:eastAsiaTheme="minorEastAsia"/>
          <w:color w:val="auto"/>
          <w:sz w:val="24"/>
          <w:highlight w:val="none"/>
          <w:lang w:val="en-US" w:eastAsia="zh-CN"/>
        </w:rPr>
        <w:t>2</w:t>
      </w:r>
      <w:r>
        <w:rPr>
          <w:rFonts w:hint="eastAsia" w:cs="仿宋_GB2312" w:asciiTheme="minorEastAsia" w:hAnsiTheme="minorEastAsia" w:eastAsiaTheme="minorEastAsia"/>
          <w:color w:val="auto"/>
          <w:sz w:val="24"/>
          <w:highlight w:val="none"/>
          <w:lang w:val="zh-CN"/>
        </w:rPr>
        <w:t>）供应商在投标时应主动查阅本项目的有关文件、技术经济等资料。作为一个有经验的供应商，应充分考虑到采购人提供的相关资料和数据与合同实施过程中存有偏差。供应商应综合考虑到报价中，采购对供应商的投标报价不因此而进行调整。</w:t>
      </w:r>
    </w:p>
    <w:p w14:paraId="343AD225">
      <w:pPr>
        <w:autoSpaceDE w:val="0"/>
        <w:autoSpaceDN w:val="0"/>
        <w:adjustRightInd w:val="0"/>
        <w:snapToGrid w:val="0"/>
        <w:spacing w:line="360" w:lineRule="auto"/>
        <w:ind w:firstLine="480" w:firstLineChars="200"/>
        <w:jc w:val="left"/>
        <w:rPr>
          <w:rFonts w:asciiTheme="minorEastAsia" w:hAnsiTheme="minorEastAsia" w:eastAsiaTheme="minorEastAsia"/>
          <w:color w:val="auto"/>
          <w:sz w:val="24"/>
          <w:highlight w:val="none"/>
          <w:lang w:val="zh-CN"/>
        </w:rPr>
      </w:pPr>
      <w:r>
        <w:rPr>
          <w:rFonts w:hint="eastAsia" w:cs="宋体" w:asciiTheme="minorEastAsia" w:hAnsiTheme="minorEastAsia" w:eastAsiaTheme="minorEastAsia"/>
          <w:color w:val="auto"/>
          <w:sz w:val="24"/>
          <w:highlight w:val="none"/>
          <w:lang w:val="zh-CN"/>
        </w:rPr>
        <w:t>（</w:t>
      </w: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lang w:val="zh-CN"/>
        </w:rPr>
        <w:t>）本项目不接受调价函。</w:t>
      </w:r>
    </w:p>
    <w:p w14:paraId="2DF8DF9F">
      <w:pPr>
        <w:autoSpaceDE w:val="0"/>
        <w:autoSpaceDN w:val="0"/>
        <w:adjustRightInd w:val="0"/>
        <w:snapToGrid w:val="0"/>
        <w:spacing w:line="360" w:lineRule="auto"/>
        <w:ind w:firstLine="480" w:firstLineChars="200"/>
        <w:jc w:val="left"/>
        <w:rPr>
          <w:rFonts w:asciiTheme="minorEastAsia" w:hAnsiTheme="minorEastAsia" w:eastAsiaTheme="minorEastAsia"/>
          <w:color w:val="auto"/>
          <w:sz w:val="24"/>
          <w:highlight w:val="none"/>
          <w:lang w:val="zh-CN"/>
        </w:rPr>
      </w:pPr>
      <w:r>
        <w:rPr>
          <w:rFonts w:hint="eastAsia" w:cs="宋体" w:asciiTheme="minorEastAsia" w:hAnsiTheme="minorEastAsia" w:eastAsiaTheme="minorEastAsia"/>
          <w:color w:val="auto"/>
          <w:sz w:val="24"/>
          <w:highlight w:val="none"/>
          <w:lang w:val="zh-CN"/>
        </w:rPr>
        <w:t>（</w:t>
      </w: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lang w:val="zh-CN"/>
        </w:rPr>
        <w:t>）竞争性磋商的最终报价为预期成交价。</w:t>
      </w:r>
    </w:p>
    <w:p w14:paraId="1B6A8A1F">
      <w:pPr>
        <w:autoSpaceDE w:val="0"/>
        <w:autoSpaceDN w:val="0"/>
        <w:adjustRightInd w:val="0"/>
        <w:spacing w:line="360" w:lineRule="auto"/>
        <w:ind w:firstLine="480" w:firstLineChars="200"/>
        <w:rPr>
          <w:rFonts w:cs="宋体" w:asciiTheme="minorEastAsia" w:hAnsiTheme="minorEastAsia" w:eastAsiaTheme="minorEastAsia"/>
          <w:color w:val="auto"/>
          <w:sz w:val="24"/>
          <w:highlight w:val="none"/>
          <w:lang w:val="zh-CN"/>
        </w:rPr>
      </w:pPr>
      <w:r>
        <w:rPr>
          <w:rFonts w:hint="eastAsia" w:cs="宋体" w:asciiTheme="minorEastAsia" w:hAnsiTheme="minorEastAsia" w:eastAsiaTheme="minorEastAsia"/>
          <w:color w:val="auto"/>
          <w:sz w:val="24"/>
          <w:highlight w:val="none"/>
          <w:lang w:val="zh-CN"/>
        </w:rPr>
        <w:t>（</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lang w:val="zh-CN"/>
        </w:rPr>
        <w:t>）</w:t>
      </w:r>
      <w:r>
        <w:rPr>
          <w:rFonts w:hint="eastAsia" w:cs="宋体" w:asciiTheme="minorEastAsia" w:hAnsiTheme="minorEastAsia" w:eastAsiaTheme="minorEastAsia"/>
          <w:b/>
          <w:bCs/>
          <w:color w:val="auto"/>
          <w:sz w:val="24"/>
          <w:highlight w:val="none"/>
          <w:lang w:val="zh-CN"/>
        </w:rPr>
        <w:t>本项目首轮磋商报价最高投标限价为人民币</w:t>
      </w:r>
      <w:r>
        <w:rPr>
          <w:rFonts w:hint="eastAsia" w:cs="宋体" w:asciiTheme="minorEastAsia" w:hAnsiTheme="minorEastAsia" w:eastAsiaTheme="minorEastAsia"/>
          <w:b/>
          <w:bCs/>
          <w:color w:val="auto"/>
          <w:sz w:val="24"/>
          <w:highlight w:val="none"/>
          <w:lang w:val="en-US" w:eastAsia="zh-CN"/>
        </w:rPr>
        <w:t>肆拾柒万伍仟元整</w:t>
      </w:r>
      <w:r>
        <w:rPr>
          <w:rFonts w:hint="eastAsia" w:cs="宋体" w:asciiTheme="minorEastAsia" w:hAnsiTheme="minorEastAsia" w:eastAsiaTheme="minorEastAsia"/>
          <w:b/>
          <w:bCs/>
          <w:color w:val="auto"/>
          <w:sz w:val="24"/>
          <w:highlight w:val="none"/>
          <w:lang w:val="zh-CN"/>
        </w:rPr>
        <w:t>（¥</w:t>
      </w:r>
      <w:r>
        <w:rPr>
          <w:rFonts w:hint="eastAsia" w:cs="宋体" w:asciiTheme="minorEastAsia" w:hAnsiTheme="minorEastAsia" w:eastAsiaTheme="minorEastAsia"/>
          <w:b/>
          <w:bCs/>
          <w:color w:val="auto"/>
          <w:sz w:val="24"/>
          <w:highlight w:val="none"/>
          <w:lang w:val="en-US" w:eastAsia="zh-CN"/>
        </w:rPr>
        <w:t>475000</w:t>
      </w:r>
      <w:r>
        <w:rPr>
          <w:rFonts w:hint="eastAsia" w:cs="宋体" w:asciiTheme="minorEastAsia" w:hAnsiTheme="minorEastAsia" w:eastAsiaTheme="minorEastAsia"/>
          <w:b/>
          <w:bCs/>
          <w:color w:val="auto"/>
          <w:sz w:val="24"/>
          <w:highlight w:val="none"/>
          <w:lang w:val="zh-CN"/>
        </w:rPr>
        <w:t>）</w:t>
      </w:r>
      <w:r>
        <w:rPr>
          <w:rFonts w:hint="eastAsia" w:cs="宋体" w:asciiTheme="minorEastAsia" w:hAnsiTheme="minorEastAsia" w:eastAsiaTheme="minorEastAsia"/>
          <w:color w:val="auto"/>
          <w:sz w:val="24"/>
          <w:highlight w:val="none"/>
          <w:lang w:val="zh-CN"/>
        </w:rPr>
        <w:t>，投标总价超过最高投标限价的为无效响应文件。</w:t>
      </w:r>
    </w:p>
    <w:p w14:paraId="59754E4A">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六、响应文件及磋商费用</w:t>
      </w:r>
    </w:p>
    <w:p w14:paraId="73001393">
      <w:pPr>
        <w:pStyle w:val="32"/>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1</w:t>
      </w:r>
      <w:r>
        <w:rPr>
          <w:rFonts w:hint="eastAsia" w:ascii="宋体" w:eastAsia="宋体" w:cs="宋体"/>
          <w:color w:val="auto"/>
          <w:sz w:val="24"/>
          <w:highlight w:val="none"/>
          <w:lang w:val="zh-CN"/>
        </w:rPr>
        <w:t>.</w:t>
      </w:r>
      <w:r>
        <w:rPr>
          <w:rFonts w:hint="eastAsia" w:ascii="宋体" w:eastAsia="宋体" w:cs="宋体"/>
          <w:color w:val="auto"/>
          <w:sz w:val="24"/>
          <w:szCs w:val="24"/>
          <w:highlight w:val="none"/>
        </w:rPr>
        <w:t>磋商程序顺利进行后，除供应商的原件可退回外，其余所有的响应文件都将作为档案保存，不论成交与否，均不退回（未拆封的除外）。</w:t>
      </w:r>
    </w:p>
    <w:p w14:paraId="02E08FD5">
      <w:pPr>
        <w:pStyle w:val="32"/>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2</w:t>
      </w:r>
      <w:r>
        <w:rPr>
          <w:rFonts w:hint="eastAsia" w:ascii="宋体" w:eastAsia="宋体" w:cs="宋体"/>
          <w:color w:val="auto"/>
          <w:sz w:val="24"/>
          <w:highlight w:val="none"/>
          <w:lang w:val="zh-CN"/>
        </w:rPr>
        <w:t>.</w:t>
      </w:r>
      <w:r>
        <w:rPr>
          <w:rFonts w:hint="eastAsia" w:ascii="宋体" w:eastAsia="宋体" w:cs="宋体"/>
          <w:color w:val="auto"/>
          <w:sz w:val="24"/>
          <w:szCs w:val="24"/>
          <w:highlight w:val="none"/>
        </w:rPr>
        <w:t>供应商承担参与磋商可能发生的全部费用，参加项目磋商的供应商自行承担与本次项目磋商有关的全部费用，采购人在任何情况下均无义务和责任承担这些费用。</w:t>
      </w:r>
    </w:p>
    <w:p w14:paraId="680D7BF4">
      <w:pPr>
        <w:snapToGrid w:val="0"/>
        <w:spacing w:line="360" w:lineRule="auto"/>
        <w:ind w:firstLine="463" w:firstLineChars="192"/>
        <w:rPr>
          <w:rFonts w:ascii="宋体" w:hAnsi="宋体" w:cs="宋体"/>
          <w:b/>
          <w:color w:val="auto"/>
          <w:sz w:val="24"/>
          <w:highlight w:val="none"/>
        </w:rPr>
      </w:pPr>
      <w:r>
        <w:rPr>
          <w:rFonts w:hint="eastAsia" w:ascii="宋体" w:hAnsi="宋体" w:cs="宋体"/>
          <w:b/>
          <w:bCs/>
          <w:color w:val="auto"/>
          <w:sz w:val="24"/>
          <w:highlight w:val="none"/>
        </w:rPr>
        <w:t>七、</w:t>
      </w:r>
      <w:r>
        <w:rPr>
          <w:rFonts w:hint="eastAsia" w:ascii="宋体" w:hAnsi="宋体" w:cs="宋体"/>
          <w:b/>
          <w:color w:val="auto"/>
          <w:sz w:val="24"/>
          <w:highlight w:val="none"/>
        </w:rPr>
        <w:t>保证金</w:t>
      </w:r>
    </w:p>
    <w:p w14:paraId="509BB367">
      <w:pPr>
        <w:snapToGrid w:val="0"/>
        <w:spacing w:line="360" w:lineRule="auto"/>
        <w:ind w:firstLine="463" w:firstLineChars="192"/>
        <w:rPr>
          <w:rFonts w:ascii="宋体" w:hAnsi="宋体" w:cs="宋体"/>
          <w:b/>
          <w:bCs/>
          <w:color w:val="auto"/>
          <w:sz w:val="24"/>
          <w:highlight w:val="none"/>
        </w:rPr>
      </w:pPr>
      <w:r>
        <w:rPr>
          <w:rFonts w:hint="eastAsia" w:ascii="宋体" w:hAnsi="宋体" w:cs="宋体"/>
          <w:b/>
          <w:bCs/>
          <w:color w:val="auto"/>
          <w:sz w:val="24"/>
          <w:highlight w:val="none"/>
        </w:rPr>
        <w:t>1.本项目不设磋商保证金。</w:t>
      </w:r>
    </w:p>
    <w:p w14:paraId="53F334E1">
      <w:pPr>
        <w:snapToGrid w:val="0"/>
        <w:spacing w:line="360" w:lineRule="auto"/>
        <w:ind w:firstLine="463" w:firstLineChars="192"/>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color w:val="auto"/>
          <w:sz w:val="24"/>
          <w:highlight w:val="none"/>
        </w:rPr>
        <w:t>本项目不设履约保证金。</w:t>
      </w:r>
    </w:p>
    <w:p w14:paraId="5165A777">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八、分包</w:t>
      </w:r>
    </w:p>
    <w:p w14:paraId="3E49D980">
      <w:pPr>
        <w:snapToGrid w:val="0"/>
        <w:spacing w:line="360" w:lineRule="auto"/>
        <w:ind w:firstLine="460" w:firstLineChars="192"/>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本项目</w:t>
      </w:r>
      <w:r>
        <w:rPr>
          <w:rFonts w:hint="eastAsia" w:cs="宋体" w:asciiTheme="minorEastAsia" w:hAnsiTheme="minorEastAsia" w:eastAsiaTheme="minorEastAsia"/>
          <w:color w:val="auto"/>
          <w:spacing w:val="7"/>
          <w:kern w:val="0"/>
          <w:sz w:val="24"/>
          <w:highlight w:val="none"/>
          <w:lang w:val="en-US" w:eastAsia="zh-CN"/>
        </w:rPr>
        <w:t>不允许分包</w:t>
      </w:r>
      <w:r>
        <w:rPr>
          <w:rFonts w:hint="eastAsia" w:cs="宋体" w:asciiTheme="minorEastAsia" w:hAnsiTheme="minorEastAsia" w:eastAsiaTheme="minorEastAsia"/>
          <w:color w:val="auto"/>
          <w:spacing w:val="7"/>
          <w:kern w:val="0"/>
          <w:sz w:val="24"/>
          <w:highlight w:val="none"/>
        </w:rPr>
        <w:t>。</w:t>
      </w:r>
    </w:p>
    <w:p w14:paraId="5E219C25">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九、未尽事宜</w:t>
      </w:r>
    </w:p>
    <w:p w14:paraId="6902AE4E">
      <w:pPr>
        <w:snapToGrid w:val="0"/>
        <w:spacing w:line="360" w:lineRule="auto"/>
        <w:ind w:firstLine="460" w:firstLineChars="192"/>
        <w:rPr>
          <w:rFonts w:ascii="宋体" w:hAnsi="宋体" w:cs="宋体"/>
          <w:color w:val="auto"/>
          <w:sz w:val="24"/>
          <w:highlight w:val="none"/>
        </w:rPr>
      </w:pPr>
      <w:r>
        <w:rPr>
          <w:rFonts w:hint="eastAsia" w:ascii="宋体" w:hAnsi="宋体" w:cs="宋体"/>
          <w:color w:val="auto"/>
          <w:sz w:val="24"/>
          <w:highlight w:val="none"/>
        </w:rPr>
        <w:t>参照《中华人民共和国政府采购法》、《政府采购竞争性磋商采购方式管理暂行办法》及其他有关法律法规和规范性文件的规定执行。</w:t>
      </w:r>
    </w:p>
    <w:p w14:paraId="69184942">
      <w:pPr>
        <w:autoSpaceDE w:val="0"/>
        <w:autoSpaceDN w:val="0"/>
        <w:adjustRightInd w:val="0"/>
        <w:snapToGrid w:val="0"/>
        <w:spacing w:line="300" w:lineRule="auto"/>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r>
        <w:rPr>
          <w:rFonts w:hint="eastAsia" w:ascii="宋体" w:hAnsi="宋体" w:cs="宋体"/>
          <w:b/>
          <w:bCs/>
          <w:color w:val="auto"/>
          <w:sz w:val="36"/>
          <w:szCs w:val="36"/>
          <w:highlight w:val="none"/>
          <w:lang w:val="zh-CN"/>
        </w:rPr>
        <w:t>第三部分 项目需求</w:t>
      </w:r>
    </w:p>
    <w:p w14:paraId="372EAFFE">
      <w:pPr>
        <w:pStyle w:val="32"/>
        <w:adjustRightInd w:val="0"/>
        <w:snapToGrid w:val="0"/>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请供应商在申请获取磋商文件前和制作响应文件时仔细研究项目需求说明。供应商不能简单照搬照抄采购人项目需求说明中的技术、商务要求，必须作实事求是的响应。如照搬照抄项目需求说明中的技术、商务要求的，成交后供应商在同采购人签订合同和履约环节中不得提出异议，一切后果和损失由成交供应商承担。</w:t>
      </w:r>
    </w:p>
    <w:p w14:paraId="24567925">
      <w:pPr>
        <w:adjustRightInd w:val="0"/>
        <w:snapToGrid w:val="0"/>
        <w:spacing w:line="360" w:lineRule="auto"/>
        <w:ind w:firstLine="482" w:firstLineChars="200"/>
        <w:rPr>
          <w:rFonts w:hint="eastAsia" w:ascii="宋体" w:hAnsi="宋体" w:eastAsia="宋体" w:cs="宋体"/>
          <w:b/>
          <w:bCs/>
          <w:color w:val="auto"/>
          <w:kern w:val="0"/>
          <w:sz w:val="24"/>
          <w:highlight w:val="none"/>
          <w:lang w:eastAsia="zh-CN"/>
        </w:rPr>
      </w:pPr>
      <w:r>
        <w:rPr>
          <w:rFonts w:hint="eastAsia" w:ascii="宋体" w:hAnsi="宋体" w:cs="宋体"/>
          <w:b/>
          <w:bCs/>
          <w:color w:val="auto"/>
          <w:sz w:val="24"/>
          <w:highlight w:val="none"/>
        </w:rPr>
        <w:t>一、</w:t>
      </w:r>
      <w:r>
        <w:rPr>
          <w:rFonts w:hint="eastAsia" w:ascii="宋体" w:hAnsi="宋体" w:cs="宋体"/>
          <w:b/>
          <w:bCs/>
          <w:color w:val="auto"/>
          <w:kern w:val="0"/>
          <w:sz w:val="24"/>
          <w:highlight w:val="none"/>
        </w:rPr>
        <w:t>采购项目</w:t>
      </w:r>
      <w:r>
        <w:rPr>
          <w:rFonts w:hint="eastAsia" w:ascii="宋体" w:hAnsi="宋体" w:cs="宋体"/>
          <w:b/>
          <w:bCs/>
          <w:color w:val="auto"/>
          <w:kern w:val="0"/>
          <w:sz w:val="24"/>
          <w:highlight w:val="none"/>
          <w:lang w:val="en-US" w:eastAsia="zh-CN"/>
        </w:rPr>
        <w:t>依据</w:t>
      </w:r>
    </w:p>
    <w:p w14:paraId="2B5B9A4E">
      <w:pPr>
        <w:pStyle w:val="32"/>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《省交通运输厅公路事业发展中心关于印发2025年网络安全工作</w:t>
      </w:r>
      <w:r>
        <w:rPr>
          <w:rFonts w:hint="eastAsia" w:ascii="宋体" w:eastAsia="宋体" w:cs="宋体"/>
          <w:color w:val="auto"/>
          <w:sz w:val="24"/>
          <w:szCs w:val="24"/>
          <w:highlight w:val="none"/>
          <w:lang w:val="en-US" w:eastAsia="zh-CN"/>
        </w:rPr>
        <w:t>检</w:t>
      </w:r>
      <w:r>
        <w:rPr>
          <w:rFonts w:hint="eastAsia" w:ascii="宋体" w:eastAsia="宋体" w:cs="宋体"/>
          <w:color w:val="auto"/>
          <w:sz w:val="24"/>
          <w:szCs w:val="24"/>
          <w:highlight w:val="none"/>
        </w:rPr>
        <w:t>查情况的通知》（苏交公便信[2025]206号）中第三条“针对本次检查中发现的问题，检查组已分别下达了整改通知书，请各单位立即组织整改，将结果书面反馈至厅公路中心，形成工作闭环；要采取有效措施保证网络安全”。</w:t>
      </w:r>
    </w:p>
    <w:p w14:paraId="315617F8">
      <w:pPr>
        <w:pStyle w:val="32"/>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江苏省交通运输厅关于进一步加强交通运输网络和数据安全管理的通知》（苏交技函[2025]59号）中第一条“各单位须定期召开网络安全专题会，加强人国、财力、物力等支持，确保网络和数据安全工作落地落实”。</w:t>
      </w:r>
    </w:p>
    <w:p w14:paraId="3E8FC6F8">
      <w:pPr>
        <w:pStyle w:val="32"/>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为确保我中心各项业务系统和网络环境运行安全、稳定、可靠，有效防范和化解安全风险，现计划对基础环境和安全运维服务实施采购。</w:t>
      </w:r>
    </w:p>
    <w:p w14:paraId="78FDCC42">
      <w:pPr>
        <w:widowControl/>
        <w:numPr>
          <w:ilvl w:val="0"/>
          <w:numId w:val="0"/>
        </w:numPr>
        <w:adjustRightInd w:val="0"/>
        <w:snapToGrid w:val="0"/>
        <w:spacing w:line="360" w:lineRule="auto"/>
        <w:ind w:firstLine="482" w:firstLineChars="200"/>
        <w:textAlignment w:val="baseline"/>
        <w:rPr>
          <w:rFonts w:hint="eastAsia" w:ascii="宋体" w:hAnsi="宋体" w:eastAsia="宋体" w:cs="宋体"/>
          <w:b/>
          <w:bCs/>
          <w:color w:val="auto"/>
          <w:kern w:val="0"/>
          <w:sz w:val="24"/>
          <w:highlight w:val="none"/>
        </w:rPr>
      </w:pPr>
      <w:r>
        <w:rPr>
          <w:rFonts w:hint="eastAsia" w:ascii="宋体" w:hAnsi="宋体" w:cs="宋体"/>
          <w:b/>
          <w:bCs/>
          <w:color w:val="auto"/>
          <w:kern w:val="0"/>
          <w:sz w:val="24"/>
          <w:szCs w:val="24"/>
          <w:highlight w:val="none"/>
          <w:lang w:val="en-US" w:eastAsia="zh-CN" w:bidi="ar-SA"/>
        </w:rPr>
        <w:t>二</w:t>
      </w:r>
      <w:r>
        <w:rPr>
          <w:rFonts w:hint="eastAsia" w:ascii="宋体" w:hAnsi="宋体" w:eastAsia="宋体" w:cs="宋体"/>
          <w:b/>
          <w:bCs/>
          <w:color w:val="auto"/>
          <w:kern w:val="0"/>
          <w:sz w:val="24"/>
          <w:highlight w:val="none"/>
          <w:lang w:val="en-US" w:eastAsia="zh-CN"/>
        </w:rPr>
        <w:t>、</w:t>
      </w:r>
      <w:r>
        <w:rPr>
          <w:rFonts w:hint="eastAsia" w:ascii="宋体" w:hAnsi="宋体" w:eastAsia="宋体" w:cs="宋体"/>
          <w:b/>
          <w:bCs/>
          <w:color w:val="auto"/>
          <w:kern w:val="0"/>
          <w:sz w:val="24"/>
          <w:highlight w:val="none"/>
        </w:rPr>
        <w:t>采购标的数量、采购项目交付或者实施的时间和地点</w:t>
      </w:r>
    </w:p>
    <w:p w14:paraId="4E0C09D0">
      <w:pPr>
        <w:pStyle w:val="32"/>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本项目共划分一个包。</w:t>
      </w:r>
    </w:p>
    <w:p w14:paraId="2B999228">
      <w:pPr>
        <w:pStyle w:val="32"/>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本项目采购内容为</w:t>
      </w:r>
    </w:p>
    <w:p w14:paraId="7A2E1DD6">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①对市中心机房开展基础环境运维服务</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rPr>
        <w:t>对市中心及下属8个分中心的安全软硬件产品开展</w:t>
      </w:r>
      <w:r>
        <w:rPr>
          <w:rFonts w:hint="eastAsia" w:ascii="宋体" w:eastAsia="宋体" w:cs="宋体"/>
          <w:color w:val="auto"/>
          <w:sz w:val="24"/>
          <w:szCs w:val="24"/>
          <w:highlight w:val="none"/>
          <w:lang w:val="en-US" w:eastAsia="zh-CN"/>
        </w:rPr>
        <w:t>运维</w:t>
      </w:r>
      <w:r>
        <w:rPr>
          <w:rFonts w:hint="eastAsia" w:ascii="宋体" w:eastAsia="宋体" w:cs="宋体"/>
          <w:color w:val="auto"/>
          <w:sz w:val="24"/>
          <w:szCs w:val="24"/>
          <w:highlight w:val="none"/>
        </w:rPr>
        <w:t>服务</w:t>
      </w:r>
      <w:r>
        <w:rPr>
          <w:rFonts w:hint="eastAsia" w:ascii="宋体" w:eastAsia="宋体" w:cs="宋体"/>
          <w:color w:val="auto"/>
          <w:sz w:val="24"/>
          <w:szCs w:val="24"/>
          <w:highlight w:val="none"/>
          <w:lang w:eastAsia="zh-CN"/>
        </w:rPr>
        <w:t>。</w:t>
      </w:r>
    </w:p>
    <w:p w14:paraId="3CAD0AC7">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lang w:val="en-US" w:eastAsia="zh-CN"/>
        </w:rPr>
        <w:t>②</w:t>
      </w:r>
      <w:r>
        <w:rPr>
          <w:rFonts w:hint="eastAsia" w:ascii="宋体" w:eastAsia="宋体" w:cs="宋体"/>
          <w:color w:val="auto"/>
          <w:sz w:val="24"/>
          <w:szCs w:val="24"/>
          <w:highlight w:val="none"/>
        </w:rPr>
        <w:t>对市中心及分中心开展网络安全运维服务。</w:t>
      </w:r>
    </w:p>
    <w:p w14:paraId="7D16394A">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本项目服务</w:t>
      </w:r>
      <w:r>
        <w:rPr>
          <w:rFonts w:hint="eastAsia" w:ascii="宋体" w:eastAsia="宋体" w:cs="宋体"/>
          <w:color w:val="auto"/>
          <w:sz w:val="24"/>
          <w:szCs w:val="24"/>
          <w:highlight w:val="none"/>
          <w:lang w:val="en-US" w:eastAsia="zh-CN"/>
        </w:rPr>
        <w:t>内容</w:t>
      </w:r>
      <w:r>
        <w:rPr>
          <w:rFonts w:hint="eastAsia" w:ascii="宋体" w:eastAsia="宋体" w:cs="宋体"/>
          <w:color w:val="auto"/>
          <w:sz w:val="24"/>
          <w:szCs w:val="24"/>
          <w:highlight w:val="none"/>
        </w:rPr>
        <w:t>、要求具体如下：</w:t>
      </w:r>
    </w:p>
    <w:p w14:paraId="6443CD8E">
      <w:pPr>
        <w:keepNext w:val="0"/>
        <w:keepLines w:val="0"/>
        <w:pageBreakBefore w:val="0"/>
        <w:widowControl w:val="0"/>
        <w:numPr>
          <w:ilvl w:val="0"/>
          <w:numId w:val="1"/>
        </w:numPr>
        <w:kinsoku/>
        <w:wordWrap/>
        <w:overflowPunct/>
        <w:topLinePunct w:val="0"/>
        <w:autoSpaceDE/>
        <w:autoSpaceDN/>
        <w:bidi w:val="0"/>
        <w:spacing w:line="360" w:lineRule="auto"/>
        <w:ind w:firstLine="482"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基础环境运维服务及安全软硬件产品维保服务内容及要求</w:t>
      </w:r>
    </w:p>
    <w:p w14:paraId="54306919">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运维设备及软硬件包括但不限于下表所列内容。</w:t>
      </w:r>
    </w:p>
    <w:p w14:paraId="0EFC1B74">
      <w:pPr>
        <w:keepNext w:val="0"/>
        <w:keepLines w:val="0"/>
        <w:pageBreakBefore w:val="0"/>
        <w:widowControl w:val="0"/>
        <w:numPr>
          <w:ilvl w:val="-1"/>
          <w:numId w:val="0"/>
        </w:numPr>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表1</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438"/>
        <w:gridCol w:w="514"/>
        <w:gridCol w:w="468"/>
        <w:gridCol w:w="1394"/>
        <w:gridCol w:w="1973"/>
        <w:gridCol w:w="2976"/>
      </w:tblGrid>
      <w:tr w14:paraId="1404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5ABFAF99">
            <w:pPr>
              <w:snapToGrid w:val="0"/>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793" w:type="pct"/>
            <w:vAlign w:val="center"/>
          </w:tcPr>
          <w:p w14:paraId="385BF2B8">
            <w:pPr>
              <w:snapToGrid w:val="0"/>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设施类型</w:t>
            </w:r>
          </w:p>
        </w:tc>
        <w:tc>
          <w:tcPr>
            <w:tcW w:w="294" w:type="pct"/>
            <w:vAlign w:val="center"/>
          </w:tcPr>
          <w:p w14:paraId="156BCFCB">
            <w:pPr>
              <w:snapToGrid w:val="0"/>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数量</w:t>
            </w:r>
          </w:p>
        </w:tc>
        <w:tc>
          <w:tcPr>
            <w:tcW w:w="269" w:type="pct"/>
            <w:vAlign w:val="center"/>
          </w:tcPr>
          <w:p w14:paraId="49FFFB93">
            <w:pPr>
              <w:snapToGrid w:val="0"/>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769" w:type="pct"/>
            <w:vAlign w:val="center"/>
          </w:tcPr>
          <w:p w14:paraId="1E386361">
            <w:pPr>
              <w:snapToGrid w:val="0"/>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服务要求</w:t>
            </w:r>
          </w:p>
        </w:tc>
        <w:tc>
          <w:tcPr>
            <w:tcW w:w="1081" w:type="pct"/>
            <w:vAlign w:val="center"/>
          </w:tcPr>
          <w:p w14:paraId="31610179">
            <w:pPr>
              <w:snapToGrid w:val="0"/>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维护时间</w:t>
            </w:r>
          </w:p>
        </w:tc>
        <w:tc>
          <w:tcPr>
            <w:tcW w:w="1504" w:type="pct"/>
            <w:vAlign w:val="center"/>
          </w:tcPr>
          <w:p w14:paraId="18DB8C98">
            <w:pPr>
              <w:snapToGrid w:val="0"/>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对应项目</w:t>
            </w:r>
          </w:p>
        </w:tc>
      </w:tr>
      <w:tr w14:paraId="1984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41B93CA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93" w:type="pct"/>
            <w:vAlign w:val="center"/>
          </w:tcPr>
          <w:p w14:paraId="0E17F33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维谛p2040精密空调</w:t>
            </w:r>
          </w:p>
        </w:tc>
        <w:tc>
          <w:tcPr>
            <w:tcW w:w="294" w:type="pct"/>
            <w:vAlign w:val="center"/>
          </w:tcPr>
          <w:p w14:paraId="6D1B341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69" w:type="pct"/>
            <w:vAlign w:val="center"/>
          </w:tcPr>
          <w:p w14:paraId="5782B80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vAlign w:val="center"/>
          </w:tcPr>
          <w:p w14:paraId="56006AF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设备检修、保养服务、每季度巡检一次</w:t>
            </w:r>
          </w:p>
        </w:tc>
        <w:tc>
          <w:tcPr>
            <w:tcW w:w="1081" w:type="pct"/>
            <w:vAlign w:val="center"/>
          </w:tcPr>
          <w:p w14:paraId="31A8148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vMerge w:val="restart"/>
            <w:vAlign w:val="center"/>
          </w:tcPr>
          <w:p w14:paraId="5F17ED5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2018南通市公路管理处数据中心机房升级改造项目采购编号：Z3206011180479（XJ176）、</w:t>
            </w:r>
          </w:p>
          <w:p w14:paraId="7ED12DA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2022年南通市公路事业发展中心UPS机房改造及数据中心维保项目  </w:t>
            </w:r>
          </w:p>
          <w:p w14:paraId="48FCEB7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采购编号：Z320601220330（CS145）</w:t>
            </w:r>
          </w:p>
        </w:tc>
      </w:tr>
      <w:tr w14:paraId="1FB5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2801E72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793" w:type="pct"/>
            <w:vAlign w:val="center"/>
          </w:tcPr>
          <w:p w14:paraId="2D5E88C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维谛DME07精密空调</w:t>
            </w:r>
          </w:p>
        </w:tc>
        <w:tc>
          <w:tcPr>
            <w:tcW w:w="294" w:type="pct"/>
            <w:vAlign w:val="center"/>
          </w:tcPr>
          <w:p w14:paraId="2C558FC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vAlign w:val="center"/>
          </w:tcPr>
          <w:p w14:paraId="00A7FAC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vAlign w:val="center"/>
          </w:tcPr>
          <w:p w14:paraId="5D77B50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设备检修、保养服务、每季度巡检一次</w:t>
            </w:r>
          </w:p>
        </w:tc>
        <w:tc>
          <w:tcPr>
            <w:tcW w:w="1081" w:type="pct"/>
            <w:shd w:val="clear" w:color="auto" w:fill="auto"/>
            <w:vAlign w:val="center"/>
          </w:tcPr>
          <w:p w14:paraId="118B17D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vMerge w:val="continue"/>
            <w:vAlign w:val="center"/>
          </w:tcPr>
          <w:p w14:paraId="0E8E783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tc>
      </w:tr>
      <w:tr w14:paraId="57DA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74AA746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793" w:type="pct"/>
            <w:vAlign w:val="center"/>
          </w:tcPr>
          <w:p w14:paraId="03067EB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维谛 ITA2-30型号UPS主机</w:t>
            </w:r>
          </w:p>
        </w:tc>
        <w:tc>
          <w:tcPr>
            <w:tcW w:w="294" w:type="pct"/>
            <w:vAlign w:val="center"/>
          </w:tcPr>
          <w:p w14:paraId="59DAEB7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69" w:type="pct"/>
            <w:vAlign w:val="center"/>
          </w:tcPr>
          <w:p w14:paraId="7EB4157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vAlign w:val="center"/>
          </w:tcPr>
          <w:p w14:paraId="0910159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设备检修、保养服务、每季度巡检一次</w:t>
            </w:r>
          </w:p>
        </w:tc>
        <w:tc>
          <w:tcPr>
            <w:tcW w:w="1081" w:type="pct"/>
            <w:shd w:val="clear" w:color="auto" w:fill="auto"/>
            <w:vAlign w:val="center"/>
          </w:tcPr>
          <w:p w14:paraId="5B8382A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vMerge w:val="continue"/>
            <w:vAlign w:val="center"/>
          </w:tcPr>
          <w:p w14:paraId="2A33CC5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tc>
      </w:tr>
      <w:tr w14:paraId="596D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4E2A7B8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793" w:type="pct"/>
            <w:vAlign w:val="center"/>
          </w:tcPr>
          <w:p w14:paraId="14A014D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机房环境监控、门禁</w:t>
            </w:r>
          </w:p>
        </w:tc>
        <w:tc>
          <w:tcPr>
            <w:tcW w:w="294" w:type="pct"/>
            <w:vAlign w:val="center"/>
          </w:tcPr>
          <w:p w14:paraId="11DFAE0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vAlign w:val="center"/>
          </w:tcPr>
          <w:p w14:paraId="0C61D70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批</w:t>
            </w:r>
          </w:p>
        </w:tc>
        <w:tc>
          <w:tcPr>
            <w:tcW w:w="769" w:type="pct"/>
            <w:vAlign w:val="center"/>
          </w:tcPr>
          <w:p w14:paraId="1E27561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设备检修、保养服务、每季度巡检一次</w:t>
            </w:r>
          </w:p>
        </w:tc>
        <w:tc>
          <w:tcPr>
            <w:tcW w:w="1081" w:type="pct"/>
            <w:shd w:val="clear" w:color="auto" w:fill="auto"/>
            <w:vAlign w:val="center"/>
          </w:tcPr>
          <w:p w14:paraId="648C26E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vMerge w:val="continue"/>
            <w:vAlign w:val="center"/>
          </w:tcPr>
          <w:p w14:paraId="6B0BDAE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tc>
      </w:tr>
      <w:tr w14:paraId="6883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0872255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793" w:type="pct"/>
            <w:vAlign w:val="center"/>
          </w:tcPr>
          <w:p w14:paraId="5CF201B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中心外网出口防火墙</w:t>
            </w:r>
          </w:p>
        </w:tc>
        <w:tc>
          <w:tcPr>
            <w:tcW w:w="294" w:type="pct"/>
            <w:vAlign w:val="center"/>
          </w:tcPr>
          <w:p w14:paraId="4F9FCD4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vAlign w:val="center"/>
          </w:tcPr>
          <w:p w14:paraId="192B495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vAlign w:val="center"/>
          </w:tcPr>
          <w:p w14:paraId="7326F8A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硬件维保、规则库升级、软件版本升级、每月巡检一次</w:t>
            </w:r>
          </w:p>
        </w:tc>
        <w:tc>
          <w:tcPr>
            <w:tcW w:w="1081" w:type="pct"/>
            <w:shd w:val="clear" w:color="auto" w:fill="auto"/>
            <w:vAlign w:val="center"/>
          </w:tcPr>
          <w:p w14:paraId="35FDD31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vAlign w:val="center"/>
          </w:tcPr>
          <w:p w14:paraId="5BF1C94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2018年南通市公路管理处基层数据中心提升及安全运维升级项目  </w:t>
            </w:r>
          </w:p>
          <w:p w14:paraId="597D681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采购编号:Z32060118083（XJ322）</w:t>
            </w:r>
          </w:p>
        </w:tc>
      </w:tr>
      <w:tr w14:paraId="6539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86" w:type="pct"/>
            <w:shd w:val="clear" w:color="auto" w:fill="auto"/>
            <w:vAlign w:val="center"/>
          </w:tcPr>
          <w:p w14:paraId="0BF394A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793" w:type="pct"/>
            <w:shd w:val="clear" w:color="auto" w:fill="auto"/>
            <w:vAlign w:val="center"/>
          </w:tcPr>
          <w:p w14:paraId="0C1DCE7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XDR</w:t>
            </w:r>
          </w:p>
        </w:tc>
        <w:tc>
          <w:tcPr>
            <w:tcW w:w="294" w:type="pct"/>
            <w:shd w:val="clear" w:color="auto" w:fill="auto"/>
            <w:vAlign w:val="center"/>
          </w:tcPr>
          <w:p w14:paraId="11ACD7B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0D993B3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套</w:t>
            </w:r>
          </w:p>
        </w:tc>
        <w:tc>
          <w:tcPr>
            <w:tcW w:w="769" w:type="pct"/>
            <w:shd w:val="clear" w:color="auto" w:fill="auto"/>
            <w:vAlign w:val="center"/>
          </w:tcPr>
          <w:p w14:paraId="17E0ABD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规则库升级、软件版本升级、每月巡检一次</w:t>
            </w:r>
          </w:p>
        </w:tc>
        <w:tc>
          <w:tcPr>
            <w:tcW w:w="1081" w:type="pct"/>
            <w:shd w:val="clear" w:color="auto" w:fill="auto"/>
            <w:vAlign w:val="center"/>
          </w:tcPr>
          <w:p w14:paraId="68FC6C6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bookmarkStart w:id="153" w:name="_GoBack"/>
            <w:bookmarkEnd w:id="153"/>
          </w:p>
        </w:tc>
        <w:tc>
          <w:tcPr>
            <w:tcW w:w="1504" w:type="pct"/>
            <w:shd w:val="clear" w:color="auto" w:fill="auto"/>
            <w:vAlign w:val="center"/>
          </w:tcPr>
          <w:p w14:paraId="74B7EF6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2021南通市公路事业发展中心数据中心改造及服务项目  采购编号: Z320601210236(ZB064)</w:t>
            </w:r>
          </w:p>
        </w:tc>
      </w:tr>
      <w:tr w14:paraId="1DFA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3072ADB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793" w:type="pct"/>
            <w:shd w:val="clear" w:color="auto" w:fill="auto"/>
            <w:vAlign w:val="center"/>
          </w:tcPr>
          <w:p w14:paraId="2888FA7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中心无线防火墙</w:t>
            </w:r>
          </w:p>
        </w:tc>
        <w:tc>
          <w:tcPr>
            <w:tcW w:w="294" w:type="pct"/>
            <w:shd w:val="clear" w:color="auto" w:fill="auto"/>
            <w:vAlign w:val="center"/>
          </w:tcPr>
          <w:p w14:paraId="0223A24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46A1C7B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336E9CA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硬件维保、规则库升级、软件版本升级、每月巡检一次</w:t>
            </w:r>
          </w:p>
        </w:tc>
        <w:tc>
          <w:tcPr>
            <w:tcW w:w="1081" w:type="pct"/>
            <w:shd w:val="clear" w:color="auto" w:fill="auto"/>
            <w:vAlign w:val="center"/>
          </w:tcPr>
          <w:p w14:paraId="4A72C95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004A375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  采购编号:Z320601200442(XJ143)</w:t>
            </w:r>
          </w:p>
        </w:tc>
      </w:tr>
      <w:tr w14:paraId="7A59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564B68C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793" w:type="pct"/>
            <w:shd w:val="clear" w:color="auto" w:fill="auto"/>
            <w:vAlign w:val="center"/>
          </w:tcPr>
          <w:p w14:paraId="01850B4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中心探针</w:t>
            </w:r>
          </w:p>
        </w:tc>
        <w:tc>
          <w:tcPr>
            <w:tcW w:w="294" w:type="pct"/>
            <w:shd w:val="clear" w:color="auto" w:fill="auto"/>
            <w:vAlign w:val="center"/>
          </w:tcPr>
          <w:p w14:paraId="47CA1B3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69" w:type="pct"/>
            <w:shd w:val="clear" w:color="auto" w:fill="auto"/>
            <w:vAlign w:val="center"/>
          </w:tcPr>
          <w:p w14:paraId="1EC423F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4C99B15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规则库升级、软件版本升级、每月巡检一次</w:t>
            </w:r>
          </w:p>
        </w:tc>
        <w:tc>
          <w:tcPr>
            <w:tcW w:w="1081" w:type="pct"/>
            <w:shd w:val="clear" w:color="auto" w:fill="auto"/>
            <w:vAlign w:val="center"/>
          </w:tcPr>
          <w:p w14:paraId="2E64805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0982788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2020年南通市公路事业发展中心专网安全改造项目项目采购编号：Z320601200442(XJ143)</w:t>
            </w:r>
          </w:p>
          <w:p w14:paraId="608D01E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2021南通市公路事业发展中心数据中心改造及服务项目  采购编号: Z320601210236(ZB064)</w:t>
            </w:r>
          </w:p>
        </w:tc>
      </w:tr>
      <w:tr w14:paraId="73C5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34E8BC3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tc>
        <w:tc>
          <w:tcPr>
            <w:tcW w:w="793" w:type="pct"/>
            <w:shd w:val="clear" w:color="auto" w:fill="auto"/>
            <w:vAlign w:val="center"/>
          </w:tcPr>
          <w:p w14:paraId="6BBE497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中心内外网EDR</w:t>
            </w:r>
          </w:p>
        </w:tc>
        <w:tc>
          <w:tcPr>
            <w:tcW w:w="294" w:type="pct"/>
            <w:shd w:val="clear" w:color="auto" w:fill="auto"/>
            <w:vAlign w:val="center"/>
          </w:tcPr>
          <w:p w14:paraId="57017EB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69" w:type="pct"/>
            <w:shd w:val="clear" w:color="auto" w:fill="auto"/>
            <w:vAlign w:val="center"/>
          </w:tcPr>
          <w:p w14:paraId="6888FE2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套</w:t>
            </w:r>
          </w:p>
        </w:tc>
        <w:tc>
          <w:tcPr>
            <w:tcW w:w="769" w:type="pct"/>
            <w:shd w:val="clear" w:color="auto" w:fill="auto"/>
            <w:vAlign w:val="center"/>
          </w:tcPr>
          <w:p w14:paraId="296B513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规则库升级、软件版本升级、每月巡检一次</w:t>
            </w:r>
          </w:p>
        </w:tc>
        <w:tc>
          <w:tcPr>
            <w:tcW w:w="1081" w:type="pct"/>
            <w:shd w:val="clear" w:color="auto" w:fill="auto"/>
            <w:vAlign w:val="center"/>
          </w:tcPr>
          <w:p w14:paraId="648090F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10DA2C2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2020年南通市公路事业发展中心专网安全改造项目项目采购编号:  Z320601200442(XJ143）</w:t>
            </w:r>
          </w:p>
        </w:tc>
      </w:tr>
      <w:tr w14:paraId="5482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1BF4056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793" w:type="pct"/>
            <w:shd w:val="clear" w:color="auto" w:fill="auto"/>
            <w:vAlign w:val="center"/>
          </w:tcPr>
          <w:p w14:paraId="183CDA4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中心内网专线防火墙</w:t>
            </w:r>
          </w:p>
        </w:tc>
        <w:tc>
          <w:tcPr>
            <w:tcW w:w="294" w:type="pct"/>
            <w:shd w:val="clear" w:color="auto" w:fill="auto"/>
            <w:vAlign w:val="center"/>
          </w:tcPr>
          <w:p w14:paraId="0EA470D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3AB74A9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63473CA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硬件维保、规则库升级、软件版本升级、每月巡检一次</w:t>
            </w:r>
          </w:p>
        </w:tc>
        <w:tc>
          <w:tcPr>
            <w:tcW w:w="1081" w:type="pct"/>
            <w:shd w:val="clear" w:color="auto" w:fill="auto"/>
            <w:vAlign w:val="center"/>
          </w:tcPr>
          <w:p w14:paraId="388A7F1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1D114A0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2020年南通市公路事业发展中心专网安全改造项目项目采购编号:   Z320601200442(XJ143)</w:t>
            </w:r>
          </w:p>
        </w:tc>
      </w:tr>
      <w:tr w14:paraId="1C9C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5C44FF6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w:t>
            </w:r>
          </w:p>
        </w:tc>
        <w:tc>
          <w:tcPr>
            <w:tcW w:w="793" w:type="pct"/>
            <w:shd w:val="clear" w:color="auto" w:fill="auto"/>
            <w:vAlign w:val="center"/>
          </w:tcPr>
          <w:p w14:paraId="4694E30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中心服务器区防火墙</w:t>
            </w:r>
          </w:p>
        </w:tc>
        <w:tc>
          <w:tcPr>
            <w:tcW w:w="294" w:type="pct"/>
            <w:shd w:val="clear" w:color="auto" w:fill="auto"/>
            <w:vAlign w:val="center"/>
          </w:tcPr>
          <w:p w14:paraId="7D1A869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39E5556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15F1293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规则库升级、软件版本升级、每月巡检一次</w:t>
            </w:r>
          </w:p>
        </w:tc>
        <w:tc>
          <w:tcPr>
            <w:tcW w:w="1081" w:type="pct"/>
            <w:shd w:val="clear" w:color="auto" w:fill="auto"/>
            <w:vAlign w:val="center"/>
          </w:tcPr>
          <w:p w14:paraId="5368CD3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6CB3A73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 采购编号：Z320601200442(XJ143）</w:t>
            </w:r>
          </w:p>
        </w:tc>
      </w:tr>
      <w:tr w14:paraId="0C7D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17AE3E5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w:t>
            </w:r>
          </w:p>
        </w:tc>
        <w:tc>
          <w:tcPr>
            <w:tcW w:w="793" w:type="pct"/>
            <w:shd w:val="clear" w:color="auto" w:fill="auto"/>
            <w:vAlign w:val="center"/>
          </w:tcPr>
          <w:p w14:paraId="7122C2B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分中心汇聚防火墙</w:t>
            </w:r>
          </w:p>
        </w:tc>
        <w:tc>
          <w:tcPr>
            <w:tcW w:w="294" w:type="pct"/>
            <w:shd w:val="clear" w:color="auto" w:fill="auto"/>
            <w:vAlign w:val="center"/>
          </w:tcPr>
          <w:p w14:paraId="36E7671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269" w:type="pct"/>
            <w:shd w:val="clear" w:color="auto" w:fill="auto"/>
            <w:vAlign w:val="center"/>
          </w:tcPr>
          <w:p w14:paraId="27DED88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16B3574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规则库升级、软件版本升级、每月巡检一次</w:t>
            </w:r>
          </w:p>
        </w:tc>
        <w:tc>
          <w:tcPr>
            <w:tcW w:w="1081" w:type="pct"/>
            <w:shd w:val="clear" w:color="auto" w:fill="auto"/>
            <w:vAlign w:val="center"/>
          </w:tcPr>
          <w:p w14:paraId="170BDE1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vAlign w:val="center"/>
          </w:tcPr>
          <w:p w14:paraId="57E9802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2020年南通市公路事业发展中心专网安全改造项目项目采购编号:  Z320601200442(XJ143）</w:t>
            </w:r>
          </w:p>
        </w:tc>
      </w:tr>
      <w:tr w14:paraId="0EF1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45D3D46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w:t>
            </w:r>
          </w:p>
        </w:tc>
        <w:tc>
          <w:tcPr>
            <w:tcW w:w="793" w:type="pct"/>
            <w:shd w:val="clear" w:color="auto" w:fill="auto"/>
            <w:vAlign w:val="center"/>
          </w:tcPr>
          <w:p w14:paraId="72F6121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分中心探针</w:t>
            </w:r>
          </w:p>
        </w:tc>
        <w:tc>
          <w:tcPr>
            <w:tcW w:w="294" w:type="pct"/>
            <w:shd w:val="clear" w:color="auto" w:fill="auto"/>
            <w:vAlign w:val="center"/>
          </w:tcPr>
          <w:p w14:paraId="1454C0D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269" w:type="pct"/>
            <w:shd w:val="clear" w:color="auto" w:fill="auto"/>
            <w:vAlign w:val="center"/>
          </w:tcPr>
          <w:p w14:paraId="2F782A0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1F55E8E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软件库升级、特征库更新、每月巡检一次</w:t>
            </w:r>
          </w:p>
        </w:tc>
        <w:tc>
          <w:tcPr>
            <w:tcW w:w="1081" w:type="pct"/>
            <w:shd w:val="clear" w:color="auto" w:fill="auto"/>
            <w:vAlign w:val="center"/>
          </w:tcPr>
          <w:p w14:paraId="4E4668A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73ABF20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2020年南通市公路事业发展中心专网安全改造项目项目采购编号:  Z320601200442(XJ143）</w:t>
            </w:r>
          </w:p>
        </w:tc>
      </w:tr>
      <w:tr w14:paraId="6EF0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7B90DD3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14</w:t>
            </w:r>
          </w:p>
        </w:tc>
        <w:tc>
          <w:tcPr>
            <w:tcW w:w="793" w:type="pct"/>
            <w:shd w:val="clear" w:color="auto" w:fill="auto"/>
            <w:vAlign w:val="center"/>
          </w:tcPr>
          <w:p w14:paraId="260899D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分中心内外网防火墙</w:t>
            </w:r>
          </w:p>
        </w:tc>
        <w:tc>
          <w:tcPr>
            <w:tcW w:w="294" w:type="pct"/>
            <w:shd w:val="clear" w:color="auto" w:fill="auto"/>
            <w:vAlign w:val="center"/>
          </w:tcPr>
          <w:p w14:paraId="204AFFD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15</w:t>
            </w:r>
          </w:p>
        </w:tc>
        <w:tc>
          <w:tcPr>
            <w:tcW w:w="269" w:type="pct"/>
            <w:shd w:val="clear" w:color="auto" w:fill="auto"/>
            <w:vAlign w:val="center"/>
          </w:tcPr>
          <w:p w14:paraId="0266D41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4634B4D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硬件维保、规则库升级、软件版本升级、每月巡检一次</w:t>
            </w:r>
          </w:p>
        </w:tc>
        <w:tc>
          <w:tcPr>
            <w:tcW w:w="1081" w:type="pct"/>
            <w:shd w:val="clear" w:color="auto" w:fill="auto"/>
            <w:vAlign w:val="center"/>
          </w:tcPr>
          <w:p w14:paraId="7C82356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vAlign w:val="center"/>
          </w:tcPr>
          <w:p w14:paraId="504F74D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2020年南通市公路事业发展中心专网安全改造项目项目采购编号:  Z320601200442(XJ143）</w:t>
            </w:r>
          </w:p>
        </w:tc>
      </w:tr>
      <w:tr w14:paraId="5ACC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37060D2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15</w:t>
            </w:r>
          </w:p>
        </w:tc>
        <w:tc>
          <w:tcPr>
            <w:tcW w:w="793" w:type="pct"/>
            <w:shd w:val="clear" w:color="auto" w:fill="auto"/>
            <w:vAlign w:val="center"/>
          </w:tcPr>
          <w:p w14:paraId="76AEA2C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外网超融合</w:t>
            </w:r>
          </w:p>
        </w:tc>
        <w:tc>
          <w:tcPr>
            <w:tcW w:w="294" w:type="pct"/>
            <w:shd w:val="clear" w:color="auto" w:fill="auto"/>
            <w:vAlign w:val="center"/>
          </w:tcPr>
          <w:p w14:paraId="6A8B37D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269" w:type="pct"/>
            <w:shd w:val="clear" w:color="auto" w:fill="auto"/>
            <w:vAlign w:val="center"/>
          </w:tcPr>
          <w:p w14:paraId="04B21DA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67CE52D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0FAAEE6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5CF7903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2021南通市公路事业发展中心数据中心改造及服务项目  采购编号:  Z320601210236(ZB064)</w:t>
            </w:r>
          </w:p>
        </w:tc>
      </w:tr>
      <w:tr w14:paraId="1F72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005DE71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16</w:t>
            </w:r>
          </w:p>
        </w:tc>
        <w:tc>
          <w:tcPr>
            <w:tcW w:w="793" w:type="pct"/>
            <w:shd w:val="clear" w:color="auto" w:fill="auto"/>
            <w:vAlign w:val="center"/>
          </w:tcPr>
          <w:p w14:paraId="31EDBFB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外网数据备份</w:t>
            </w:r>
          </w:p>
        </w:tc>
        <w:tc>
          <w:tcPr>
            <w:tcW w:w="294" w:type="pct"/>
            <w:shd w:val="clear" w:color="auto" w:fill="auto"/>
            <w:vAlign w:val="center"/>
          </w:tcPr>
          <w:p w14:paraId="656C7AC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0DAC8CA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1F378A9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2A6FB4E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607C13E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  采购编号：Z320601200442(XJ143)</w:t>
            </w:r>
          </w:p>
        </w:tc>
      </w:tr>
      <w:tr w14:paraId="50F6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50515DB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w:t>
            </w:r>
          </w:p>
        </w:tc>
        <w:tc>
          <w:tcPr>
            <w:tcW w:w="793" w:type="pct"/>
            <w:shd w:val="clear" w:color="auto" w:fill="auto"/>
            <w:vAlign w:val="center"/>
          </w:tcPr>
          <w:p w14:paraId="0D2F17C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瑞数WAF</w:t>
            </w:r>
          </w:p>
        </w:tc>
        <w:tc>
          <w:tcPr>
            <w:tcW w:w="294" w:type="pct"/>
            <w:shd w:val="clear" w:color="auto" w:fill="auto"/>
            <w:vAlign w:val="center"/>
          </w:tcPr>
          <w:p w14:paraId="25E7C17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385D913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套</w:t>
            </w:r>
          </w:p>
        </w:tc>
        <w:tc>
          <w:tcPr>
            <w:tcW w:w="769" w:type="pct"/>
            <w:shd w:val="clear" w:color="auto" w:fill="auto"/>
            <w:vAlign w:val="center"/>
          </w:tcPr>
          <w:p w14:paraId="17D63E5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2E1D0F2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2914B28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2021南通市公路事业发展中心数据中心改造及服务项目  采购编号: Z320601210236(ZB064)</w:t>
            </w:r>
          </w:p>
        </w:tc>
      </w:tr>
      <w:tr w14:paraId="0AF5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22D0D4F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18</w:t>
            </w:r>
          </w:p>
        </w:tc>
        <w:tc>
          <w:tcPr>
            <w:tcW w:w="793" w:type="pct"/>
            <w:shd w:val="clear" w:color="auto" w:fill="auto"/>
            <w:vAlign w:val="center"/>
          </w:tcPr>
          <w:p w14:paraId="09E6831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信锐无线网络控制中心</w:t>
            </w:r>
          </w:p>
        </w:tc>
        <w:tc>
          <w:tcPr>
            <w:tcW w:w="294" w:type="pct"/>
            <w:shd w:val="clear" w:color="auto" w:fill="auto"/>
            <w:vAlign w:val="center"/>
          </w:tcPr>
          <w:p w14:paraId="2200CE3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1429951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1CF33EC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38643F5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47887F0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2021年南通市公路事业发展中心视频会议室无纸化会议系统及谈话音视频建设项目</w:t>
            </w:r>
          </w:p>
        </w:tc>
      </w:tr>
      <w:tr w14:paraId="42F3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1894876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19</w:t>
            </w:r>
          </w:p>
        </w:tc>
        <w:tc>
          <w:tcPr>
            <w:tcW w:w="793" w:type="pct"/>
            <w:shd w:val="clear" w:color="auto" w:fill="auto"/>
            <w:vAlign w:val="center"/>
          </w:tcPr>
          <w:p w14:paraId="4288765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内网日志审计</w:t>
            </w:r>
          </w:p>
        </w:tc>
        <w:tc>
          <w:tcPr>
            <w:tcW w:w="294" w:type="pct"/>
            <w:shd w:val="clear" w:color="auto" w:fill="auto"/>
            <w:vAlign w:val="center"/>
          </w:tcPr>
          <w:p w14:paraId="5179DD7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3AD20D6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6C88B3F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5A631B4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165B229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2018年南通市公路管理处基层数据中心提升及安全运维升级项目  </w:t>
            </w:r>
          </w:p>
          <w:p w14:paraId="66892BD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采购编号:Z320601180838（XJ322）</w:t>
            </w:r>
          </w:p>
        </w:tc>
      </w:tr>
      <w:tr w14:paraId="6247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3A9E6F8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w:t>
            </w:r>
          </w:p>
        </w:tc>
        <w:tc>
          <w:tcPr>
            <w:tcW w:w="793" w:type="pct"/>
            <w:shd w:val="clear" w:color="auto" w:fill="auto"/>
            <w:vAlign w:val="center"/>
          </w:tcPr>
          <w:p w14:paraId="641FC61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内网数据库审计</w:t>
            </w:r>
          </w:p>
        </w:tc>
        <w:tc>
          <w:tcPr>
            <w:tcW w:w="294" w:type="pct"/>
            <w:shd w:val="clear" w:color="auto" w:fill="auto"/>
            <w:vAlign w:val="center"/>
          </w:tcPr>
          <w:p w14:paraId="62AC4E9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44264D2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374B903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41A39C5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676901E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2019年南通市公路管理处网络安全采购项目  </w:t>
            </w:r>
          </w:p>
          <w:p w14:paraId="1D45C9B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项目编号：Z320601190507(XJ188）</w:t>
            </w:r>
          </w:p>
        </w:tc>
      </w:tr>
      <w:tr w14:paraId="4A65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43549C7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21</w:t>
            </w:r>
          </w:p>
        </w:tc>
        <w:tc>
          <w:tcPr>
            <w:tcW w:w="793" w:type="pct"/>
            <w:shd w:val="clear" w:color="auto" w:fill="auto"/>
            <w:vAlign w:val="center"/>
          </w:tcPr>
          <w:p w14:paraId="33E2156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全景灾备系统</w:t>
            </w:r>
          </w:p>
        </w:tc>
        <w:tc>
          <w:tcPr>
            <w:tcW w:w="294" w:type="pct"/>
            <w:shd w:val="clear" w:color="auto" w:fill="auto"/>
            <w:vAlign w:val="center"/>
          </w:tcPr>
          <w:p w14:paraId="18513B9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4B73ED3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4CEA281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49FE090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6D58B82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2021南通市公路事业发展中心数据中心改造及服务项目 采购编号:  Z320601210236(ZB064)</w:t>
            </w:r>
          </w:p>
        </w:tc>
      </w:tr>
      <w:tr w14:paraId="1CB2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3A80A70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22</w:t>
            </w:r>
          </w:p>
        </w:tc>
        <w:tc>
          <w:tcPr>
            <w:tcW w:w="793" w:type="pct"/>
            <w:shd w:val="clear" w:color="auto" w:fill="auto"/>
            <w:vAlign w:val="center"/>
          </w:tcPr>
          <w:p w14:paraId="2367A5D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内网虚拟化</w:t>
            </w:r>
          </w:p>
        </w:tc>
        <w:tc>
          <w:tcPr>
            <w:tcW w:w="294" w:type="pct"/>
            <w:shd w:val="clear" w:color="auto" w:fill="auto"/>
            <w:vAlign w:val="center"/>
          </w:tcPr>
          <w:p w14:paraId="5A55C05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269" w:type="pct"/>
            <w:shd w:val="clear" w:color="auto" w:fill="auto"/>
            <w:vAlign w:val="center"/>
          </w:tcPr>
          <w:p w14:paraId="2746EE6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0DADE33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69A644E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2301E12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2017年南通市公路管理处虚拟化改造升级项目 </w:t>
            </w:r>
          </w:p>
          <w:p w14:paraId="77E16F6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项目编号：2017XJ4022</w:t>
            </w:r>
          </w:p>
        </w:tc>
      </w:tr>
      <w:tr w14:paraId="4DC8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86" w:type="pct"/>
            <w:shd w:val="clear" w:color="auto" w:fill="auto"/>
            <w:vAlign w:val="center"/>
          </w:tcPr>
          <w:p w14:paraId="3A11A4B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23</w:t>
            </w:r>
          </w:p>
        </w:tc>
        <w:tc>
          <w:tcPr>
            <w:tcW w:w="793" w:type="pct"/>
            <w:shd w:val="clear" w:color="auto" w:fill="auto"/>
            <w:vAlign w:val="center"/>
          </w:tcPr>
          <w:p w14:paraId="40E2FA6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外网日志审计</w:t>
            </w:r>
          </w:p>
        </w:tc>
        <w:tc>
          <w:tcPr>
            <w:tcW w:w="294" w:type="pct"/>
            <w:shd w:val="clear" w:color="auto" w:fill="auto"/>
            <w:vAlign w:val="center"/>
          </w:tcPr>
          <w:p w14:paraId="007B5CD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3B5AF3F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353EA1E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0EF5E1E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7444DA4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2019年南通市公路管理处网络安全采购项目  </w:t>
            </w:r>
          </w:p>
        </w:tc>
      </w:tr>
      <w:tr w14:paraId="6B31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86" w:type="pct"/>
            <w:shd w:val="clear" w:color="auto" w:fill="auto"/>
            <w:vAlign w:val="center"/>
          </w:tcPr>
          <w:p w14:paraId="40BD514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24</w:t>
            </w:r>
          </w:p>
        </w:tc>
        <w:tc>
          <w:tcPr>
            <w:tcW w:w="793" w:type="pct"/>
            <w:shd w:val="clear" w:color="auto" w:fill="auto"/>
            <w:vAlign w:val="center"/>
          </w:tcPr>
          <w:p w14:paraId="1015CA6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零信任</w:t>
            </w:r>
          </w:p>
        </w:tc>
        <w:tc>
          <w:tcPr>
            <w:tcW w:w="294" w:type="pct"/>
            <w:shd w:val="clear" w:color="auto" w:fill="auto"/>
            <w:vAlign w:val="center"/>
          </w:tcPr>
          <w:p w14:paraId="5EBFEFA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69" w:type="pct"/>
            <w:shd w:val="clear" w:color="auto" w:fill="auto"/>
            <w:vAlign w:val="center"/>
          </w:tcPr>
          <w:p w14:paraId="5A95B8C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11B2FE8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37B7331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7870D04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2021年南通公路零信任安全架构体系应用研究</w:t>
            </w:r>
          </w:p>
        </w:tc>
      </w:tr>
      <w:tr w14:paraId="7902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86" w:type="pct"/>
            <w:shd w:val="clear" w:color="auto" w:fill="auto"/>
            <w:vAlign w:val="center"/>
          </w:tcPr>
          <w:p w14:paraId="0BC6F2D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25</w:t>
            </w:r>
          </w:p>
        </w:tc>
        <w:tc>
          <w:tcPr>
            <w:tcW w:w="793" w:type="pct"/>
            <w:shd w:val="clear" w:color="auto" w:fill="auto"/>
            <w:vAlign w:val="center"/>
          </w:tcPr>
          <w:p w14:paraId="148C19B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态势感知平台</w:t>
            </w:r>
          </w:p>
        </w:tc>
        <w:tc>
          <w:tcPr>
            <w:tcW w:w="294" w:type="pct"/>
            <w:shd w:val="clear" w:color="auto" w:fill="auto"/>
            <w:vAlign w:val="center"/>
          </w:tcPr>
          <w:p w14:paraId="23BD6C5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3C31448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7E38686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256EC9F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14562EB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2020年南通市公路事业发展中心专网安全改造项目项目采购编号:  Z320601200442(XJ143)</w:t>
            </w:r>
          </w:p>
        </w:tc>
      </w:tr>
    </w:tbl>
    <w:p w14:paraId="2F0B9F1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（二）网络安全运维服务内容及要求</w:t>
      </w:r>
    </w:p>
    <w:p w14:paraId="23506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网络安全</w:t>
      </w:r>
      <w:r>
        <w:rPr>
          <w:rFonts w:hint="eastAsia" w:ascii="宋体" w:hAnsi="宋体" w:eastAsia="宋体" w:cs="宋体"/>
          <w:sz w:val="24"/>
          <w:szCs w:val="24"/>
          <w:highlight w:val="none"/>
          <w:lang w:val="en-US" w:eastAsia="zh-CN"/>
        </w:rPr>
        <w:t>运维</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en-US" w:eastAsia="zh-CN"/>
        </w:rPr>
        <w:t>内容，详见表2。</w:t>
      </w:r>
    </w:p>
    <w:p w14:paraId="413BE9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表2</w:t>
      </w:r>
    </w:p>
    <w:tbl>
      <w:tblPr>
        <w:tblStyle w:val="20"/>
        <w:tblW w:w="890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7"/>
        <w:gridCol w:w="1542"/>
        <w:gridCol w:w="5965"/>
        <w:gridCol w:w="1001"/>
      </w:tblGrid>
      <w:tr w14:paraId="5236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397" w:type="dxa"/>
            <w:tcBorders>
              <w:top w:val="single" w:color="auto" w:sz="4" w:space="0"/>
              <w:left w:val="single" w:color="auto" w:sz="4" w:space="0"/>
              <w:bottom w:val="single" w:color="auto" w:sz="4" w:space="0"/>
              <w:right w:val="single" w:color="auto" w:sz="4" w:space="0"/>
            </w:tcBorders>
            <w:vAlign w:val="center"/>
          </w:tcPr>
          <w:p w14:paraId="4521F992">
            <w:pPr>
              <w:jc w:val="center"/>
              <w:rPr>
                <w:rFonts w:hint="eastAsia" w:ascii="宋体" w:hAnsi="宋体" w:eastAsia="宋体" w:cs="宋体"/>
                <w:b/>
                <w:bCs/>
                <w:szCs w:val="21"/>
                <w:highlight w:val="none"/>
                <w:u w:val="none"/>
              </w:rPr>
            </w:pPr>
            <w:r>
              <w:rPr>
                <w:rFonts w:hint="eastAsia" w:ascii="宋体" w:hAnsi="宋体" w:eastAsia="宋体" w:cs="宋体"/>
                <w:b/>
                <w:bCs/>
                <w:szCs w:val="21"/>
                <w:highlight w:val="none"/>
                <w:u w:val="none"/>
              </w:rPr>
              <w:t>序号</w:t>
            </w:r>
          </w:p>
        </w:tc>
        <w:tc>
          <w:tcPr>
            <w:tcW w:w="1542" w:type="dxa"/>
            <w:vAlign w:val="center"/>
          </w:tcPr>
          <w:p w14:paraId="60FBAF35">
            <w:pPr>
              <w:jc w:val="center"/>
              <w:rPr>
                <w:rFonts w:hint="eastAsia" w:ascii="宋体" w:hAnsi="宋体" w:eastAsia="宋体" w:cs="宋体"/>
                <w:b/>
                <w:bCs/>
                <w:szCs w:val="21"/>
                <w:highlight w:val="none"/>
                <w:u w:val="none"/>
              </w:rPr>
            </w:pPr>
            <w:r>
              <w:rPr>
                <w:rFonts w:hint="eastAsia" w:ascii="宋体" w:hAnsi="宋体" w:eastAsia="宋体" w:cs="宋体"/>
                <w:b/>
                <w:bCs/>
                <w:szCs w:val="21"/>
                <w:highlight w:val="none"/>
                <w:u w:val="none"/>
              </w:rPr>
              <w:t>服务名称</w:t>
            </w:r>
          </w:p>
        </w:tc>
        <w:tc>
          <w:tcPr>
            <w:tcW w:w="5965" w:type="dxa"/>
            <w:vAlign w:val="center"/>
          </w:tcPr>
          <w:p w14:paraId="6E011071">
            <w:pPr>
              <w:jc w:val="center"/>
              <w:rPr>
                <w:rFonts w:hint="eastAsia" w:ascii="宋体" w:hAnsi="宋体" w:eastAsia="宋体" w:cs="宋体"/>
                <w:b/>
                <w:bCs/>
                <w:szCs w:val="21"/>
                <w:highlight w:val="none"/>
                <w:u w:val="none"/>
              </w:rPr>
            </w:pPr>
            <w:r>
              <w:rPr>
                <w:rFonts w:hint="eastAsia" w:ascii="宋体" w:hAnsi="宋体" w:eastAsia="宋体" w:cs="宋体"/>
                <w:b/>
                <w:bCs/>
                <w:szCs w:val="21"/>
                <w:highlight w:val="none"/>
                <w:u w:val="none"/>
              </w:rPr>
              <w:t>服务内容</w:t>
            </w:r>
          </w:p>
        </w:tc>
        <w:tc>
          <w:tcPr>
            <w:tcW w:w="1001" w:type="dxa"/>
            <w:vAlign w:val="center"/>
          </w:tcPr>
          <w:p w14:paraId="666D4896">
            <w:pPr>
              <w:jc w:val="center"/>
              <w:rPr>
                <w:rFonts w:hint="eastAsia" w:ascii="宋体" w:hAnsi="宋体" w:eastAsia="宋体" w:cs="宋体"/>
                <w:b/>
                <w:bCs/>
                <w:szCs w:val="21"/>
                <w:highlight w:val="none"/>
                <w:u w:val="none"/>
              </w:rPr>
            </w:pPr>
            <w:r>
              <w:rPr>
                <w:rFonts w:hint="eastAsia" w:ascii="宋体" w:hAnsi="宋体" w:eastAsia="宋体" w:cs="宋体"/>
                <w:b/>
                <w:bCs/>
                <w:szCs w:val="21"/>
                <w:highlight w:val="none"/>
                <w:u w:val="none"/>
              </w:rPr>
              <w:t>服务频率</w:t>
            </w:r>
          </w:p>
        </w:tc>
      </w:tr>
      <w:tr w14:paraId="0422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trPr>
        <w:tc>
          <w:tcPr>
            <w:tcW w:w="397" w:type="dxa"/>
            <w:tcBorders>
              <w:top w:val="single" w:color="auto" w:sz="4" w:space="0"/>
              <w:left w:val="single" w:color="auto" w:sz="4" w:space="0"/>
              <w:bottom w:val="single" w:color="auto" w:sz="4" w:space="0"/>
              <w:right w:val="single" w:color="auto" w:sz="4" w:space="0"/>
            </w:tcBorders>
            <w:vAlign w:val="center"/>
          </w:tcPr>
          <w:p w14:paraId="29F09AEB">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1</w:t>
            </w:r>
          </w:p>
        </w:tc>
        <w:tc>
          <w:tcPr>
            <w:tcW w:w="1542" w:type="dxa"/>
            <w:vAlign w:val="center"/>
          </w:tcPr>
          <w:p w14:paraId="0F8A37C8">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主机漏洞/弱口令扫描服务</w:t>
            </w:r>
          </w:p>
        </w:tc>
        <w:tc>
          <w:tcPr>
            <w:tcW w:w="5965" w:type="dxa"/>
            <w:vAlign w:val="center"/>
          </w:tcPr>
          <w:p w14:paraId="0F5E08EC">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对所有主机、网络设备、操作系统、数据库、中间件等进行常态化的漏洞与弱口令扫描，提供漏洞、弱口令扫描结果与整改建议</w:t>
            </w:r>
          </w:p>
        </w:tc>
        <w:tc>
          <w:tcPr>
            <w:tcW w:w="1001" w:type="dxa"/>
            <w:vAlign w:val="center"/>
          </w:tcPr>
          <w:p w14:paraId="52D056FC">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每季度按需</w:t>
            </w:r>
          </w:p>
        </w:tc>
      </w:tr>
      <w:tr w14:paraId="44D4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397" w:type="dxa"/>
            <w:tcBorders>
              <w:top w:val="single" w:color="auto" w:sz="4" w:space="0"/>
              <w:left w:val="single" w:color="auto" w:sz="4" w:space="0"/>
              <w:bottom w:val="single" w:color="auto" w:sz="4" w:space="0"/>
              <w:right w:val="single" w:color="auto" w:sz="4" w:space="0"/>
            </w:tcBorders>
            <w:vAlign w:val="center"/>
          </w:tcPr>
          <w:p w14:paraId="28E69DD0">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2</w:t>
            </w:r>
          </w:p>
        </w:tc>
        <w:tc>
          <w:tcPr>
            <w:tcW w:w="1542" w:type="dxa"/>
            <w:vAlign w:val="center"/>
          </w:tcPr>
          <w:p w14:paraId="68ABCD86">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应急演练</w:t>
            </w:r>
          </w:p>
        </w:tc>
        <w:tc>
          <w:tcPr>
            <w:tcW w:w="5965" w:type="dxa"/>
            <w:vAlign w:val="center"/>
          </w:tcPr>
          <w:p w14:paraId="6D502286">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每年按需提供网络安全应急演练服务，可选“网页挂马、网页篡改、勒索病毒、邮件钓鱼”等多类安全事件的应急演练</w:t>
            </w:r>
          </w:p>
        </w:tc>
        <w:tc>
          <w:tcPr>
            <w:tcW w:w="1001" w:type="dxa"/>
            <w:vAlign w:val="center"/>
          </w:tcPr>
          <w:p w14:paraId="2F766A7B">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1次/年(按需)</w:t>
            </w:r>
          </w:p>
        </w:tc>
      </w:tr>
      <w:tr w14:paraId="40CD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trPr>
        <w:tc>
          <w:tcPr>
            <w:tcW w:w="397" w:type="dxa"/>
            <w:tcBorders>
              <w:top w:val="single" w:color="auto" w:sz="4" w:space="0"/>
              <w:left w:val="single" w:color="auto" w:sz="4" w:space="0"/>
              <w:bottom w:val="single" w:color="auto" w:sz="4" w:space="0"/>
              <w:right w:val="single" w:color="auto" w:sz="4" w:space="0"/>
            </w:tcBorders>
            <w:vAlign w:val="center"/>
          </w:tcPr>
          <w:p w14:paraId="658CBA73">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3</w:t>
            </w:r>
          </w:p>
        </w:tc>
        <w:tc>
          <w:tcPr>
            <w:tcW w:w="1542" w:type="dxa"/>
            <w:vAlign w:val="center"/>
          </w:tcPr>
          <w:p w14:paraId="47ED9449">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内网主机资产测绘与梳理服务</w:t>
            </w:r>
          </w:p>
        </w:tc>
        <w:tc>
          <w:tcPr>
            <w:tcW w:w="5965" w:type="dxa"/>
            <w:vAlign w:val="center"/>
          </w:tcPr>
          <w:p w14:paraId="37B82444">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探测存活的内网资产，包括服务器、终端、网络设备、摄像头等，跟踪资产变更趋势，形成可动态维护的资产台账</w:t>
            </w:r>
          </w:p>
        </w:tc>
        <w:tc>
          <w:tcPr>
            <w:tcW w:w="1001" w:type="dxa"/>
            <w:vAlign w:val="center"/>
          </w:tcPr>
          <w:p w14:paraId="47387884">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1次/年(按需)</w:t>
            </w:r>
          </w:p>
        </w:tc>
      </w:tr>
      <w:tr w14:paraId="701F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8" w:hRule="atLeast"/>
        </w:trPr>
        <w:tc>
          <w:tcPr>
            <w:tcW w:w="397" w:type="dxa"/>
            <w:tcBorders>
              <w:top w:val="single" w:color="auto" w:sz="4" w:space="0"/>
              <w:left w:val="single" w:color="auto" w:sz="4" w:space="0"/>
              <w:bottom w:val="single" w:color="auto" w:sz="4" w:space="0"/>
              <w:right w:val="single" w:color="auto" w:sz="4" w:space="0"/>
            </w:tcBorders>
            <w:vAlign w:val="center"/>
          </w:tcPr>
          <w:p w14:paraId="60890A86">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4</w:t>
            </w:r>
          </w:p>
        </w:tc>
        <w:tc>
          <w:tcPr>
            <w:tcW w:w="1542" w:type="dxa"/>
            <w:vAlign w:val="center"/>
          </w:tcPr>
          <w:p w14:paraId="3E1E4A07">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安全培训</w:t>
            </w:r>
          </w:p>
        </w:tc>
        <w:tc>
          <w:tcPr>
            <w:tcW w:w="5965" w:type="dxa"/>
            <w:vAlign w:val="center"/>
          </w:tcPr>
          <w:p w14:paraId="7AC1CD99">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对技术人员、一般员工、管理人员进行周期性的安全意识、安全技术、安全管理等内容进行选择性培训，加强整体的安全水平</w:t>
            </w:r>
          </w:p>
        </w:tc>
        <w:tc>
          <w:tcPr>
            <w:tcW w:w="1001" w:type="dxa"/>
            <w:vAlign w:val="center"/>
          </w:tcPr>
          <w:p w14:paraId="4C323DAD">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1次/年(按需)</w:t>
            </w:r>
          </w:p>
        </w:tc>
      </w:tr>
      <w:tr w14:paraId="13C2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397" w:type="dxa"/>
            <w:tcBorders>
              <w:top w:val="single" w:color="auto" w:sz="4" w:space="0"/>
              <w:left w:val="single" w:color="auto" w:sz="4" w:space="0"/>
              <w:bottom w:val="single" w:color="auto" w:sz="4" w:space="0"/>
              <w:right w:val="single" w:color="auto" w:sz="4" w:space="0"/>
            </w:tcBorders>
            <w:vAlign w:val="center"/>
          </w:tcPr>
          <w:p w14:paraId="56136923">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5</w:t>
            </w:r>
          </w:p>
        </w:tc>
        <w:tc>
          <w:tcPr>
            <w:tcW w:w="1542" w:type="dxa"/>
            <w:vAlign w:val="center"/>
          </w:tcPr>
          <w:p w14:paraId="48CD32A4">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漏洞加固指导服务</w:t>
            </w:r>
          </w:p>
        </w:tc>
        <w:tc>
          <w:tcPr>
            <w:tcW w:w="5965" w:type="dxa"/>
            <w:vAlign w:val="center"/>
          </w:tcPr>
          <w:p w14:paraId="5D909816">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基于攻防视角评估资产漏洞风险，识别可实际产生风险的漏洞，提供漏洞修复的优先级建议，减少漏洞整改工作量</w:t>
            </w:r>
          </w:p>
        </w:tc>
        <w:tc>
          <w:tcPr>
            <w:tcW w:w="1001" w:type="dxa"/>
            <w:vAlign w:val="center"/>
          </w:tcPr>
          <w:p w14:paraId="38DB4F33">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每年按需</w:t>
            </w:r>
          </w:p>
        </w:tc>
      </w:tr>
      <w:tr w14:paraId="4B1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3" w:hRule="atLeast"/>
        </w:trPr>
        <w:tc>
          <w:tcPr>
            <w:tcW w:w="397" w:type="dxa"/>
            <w:tcBorders>
              <w:top w:val="single" w:color="auto" w:sz="4" w:space="0"/>
              <w:left w:val="single" w:color="auto" w:sz="4" w:space="0"/>
              <w:bottom w:val="single" w:color="auto" w:sz="4" w:space="0"/>
              <w:right w:val="single" w:color="auto" w:sz="4" w:space="0"/>
            </w:tcBorders>
            <w:vAlign w:val="center"/>
          </w:tcPr>
          <w:p w14:paraId="18C4A567">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6</w:t>
            </w:r>
          </w:p>
        </w:tc>
        <w:tc>
          <w:tcPr>
            <w:tcW w:w="1542" w:type="dxa"/>
            <w:vAlign w:val="center"/>
          </w:tcPr>
          <w:p w14:paraId="6FD9058B">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整体安全咨询服务</w:t>
            </w:r>
          </w:p>
        </w:tc>
        <w:tc>
          <w:tcPr>
            <w:tcW w:w="5965" w:type="dxa"/>
            <w:vAlign w:val="center"/>
          </w:tcPr>
          <w:p w14:paraId="088B73F2">
            <w:pPr>
              <w:jc w:val="center"/>
              <w:rPr>
                <w:rFonts w:hint="eastAsia" w:ascii="宋体" w:hAnsi="宋体" w:eastAsia="宋体" w:cs="宋体"/>
                <w:szCs w:val="21"/>
                <w:highlight w:val="none"/>
                <w:u w:val="none"/>
                <w:lang w:val="en-US" w:eastAsia="zh-CN"/>
              </w:rPr>
            </w:pPr>
            <w:r>
              <w:rPr>
                <w:rFonts w:hint="eastAsia" w:ascii="宋体" w:hAnsi="宋体" w:eastAsia="宋体" w:cs="宋体"/>
                <w:szCs w:val="21"/>
                <w:highlight w:val="none"/>
                <w:u w:val="none"/>
              </w:rPr>
              <w:t>依据国家/国际信息安全标准、信息安全策略及行业发展动态，在对用户信息安全现状进行风险评估、差距分析的基础上，从安全技术、安全管理、安全运营三个角度构建短期、中期与长期的信息安全规划，将信息安全的单点风险控制转变为全面的安全规划，进而推动有效的信息安全建设并建立完整的信息安全保障体系</w:t>
            </w:r>
            <w:r>
              <w:rPr>
                <w:rFonts w:hint="eastAsia" w:ascii="宋体" w:hAnsi="宋体" w:eastAsia="宋体" w:cs="宋体"/>
                <w:szCs w:val="21"/>
                <w:highlight w:val="none"/>
                <w:u w:val="none"/>
                <w:lang w:eastAsia="zh-CN"/>
              </w:rPr>
              <w:t>。</w:t>
            </w:r>
            <w:r>
              <w:rPr>
                <w:rFonts w:hint="eastAsia" w:ascii="宋体" w:hAnsi="宋体" w:eastAsia="宋体" w:cs="宋体"/>
                <w:szCs w:val="21"/>
                <w:highlight w:val="none"/>
                <w:u w:val="none"/>
              </w:rPr>
              <w:t>协助梳理</w:t>
            </w:r>
            <w:r>
              <w:rPr>
                <w:rFonts w:hint="eastAsia" w:ascii="宋体" w:hAnsi="宋体" w:eastAsia="宋体" w:cs="宋体"/>
                <w:szCs w:val="21"/>
                <w:highlight w:val="none"/>
                <w:u w:val="none"/>
                <w:lang w:val="en-US" w:eastAsia="zh-CN"/>
              </w:rPr>
              <w:t>完善</w:t>
            </w:r>
            <w:r>
              <w:rPr>
                <w:rFonts w:hint="eastAsia" w:ascii="宋体" w:hAnsi="宋体" w:eastAsia="宋体" w:cs="宋体"/>
                <w:szCs w:val="21"/>
                <w:highlight w:val="none"/>
                <w:u w:val="none"/>
              </w:rPr>
              <w:t>现有信息安全管理制度</w:t>
            </w:r>
            <w:r>
              <w:rPr>
                <w:rFonts w:hint="eastAsia" w:ascii="宋体" w:hAnsi="宋体" w:eastAsia="宋体" w:cs="宋体"/>
                <w:szCs w:val="21"/>
                <w:highlight w:val="none"/>
                <w:u w:val="none"/>
                <w:lang w:eastAsia="zh-CN"/>
              </w:rPr>
              <w:t>。</w:t>
            </w:r>
          </w:p>
        </w:tc>
        <w:tc>
          <w:tcPr>
            <w:tcW w:w="1001" w:type="dxa"/>
            <w:vAlign w:val="center"/>
          </w:tcPr>
          <w:p w14:paraId="2959F259">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每年按需</w:t>
            </w:r>
          </w:p>
        </w:tc>
      </w:tr>
      <w:tr w14:paraId="4D8E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397" w:type="dxa"/>
            <w:tcBorders>
              <w:top w:val="single" w:color="auto" w:sz="4" w:space="0"/>
              <w:left w:val="single" w:color="auto" w:sz="4" w:space="0"/>
              <w:bottom w:val="single" w:color="auto" w:sz="4" w:space="0"/>
              <w:right w:val="single" w:color="auto" w:sz="4" w:space="0"/>
            </w:tcBorders>
            <w:vAlign w:val="center"/>
          </w:tcPr>
          <w:p w14:paraId="04565165">
            <w:pPr>
              <w:jc w:val="center"/>
              <w:rPr>
                <w:rFonts w:hint="eastAsia" w:ascii="宋体" w:hAnsi="宋体" w:eastAsia="宋体" w:cs="宋体"/>
                <w:szCs w:val="21"/>
                <w:highlight w:val="none"/>
                <w:u w:val="none"/>
                <w:lang w:val="en-US" w:eastAsia="zh-CN"/>
              </w:rPr>
            </w:pPr>
            <w:r>
              <w:rPr>
                <w:rFonts w:hint="eastAsia" w:ascii="宋体" w:hAnsi="宋体" w:eastAsia="宋体" w:cs="宋体"/>
                <w:szCs w:val="21"/>
                <w:highlight w:val="none"/>
                <w:u w:val="none"/>
                <w:lang w:val="en-US" w:eastAsia="zh-CN"/>
              </w:rPr>
              <w:t>7</w:t>
            </w:r>
          </w:p>
        </w:tc>
        <w:tc>
          <w:tcPr>
            <w:tcW w:w="1542" w:type="dxa"/>
            <w:vAlign w:val="center"/>
          </w:tcPr>
          <w:p w14:paraId="1EB8225C">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重保值守服务</w:t>
            </w:r>
          </w:p>
        </w:tc>
        <w:tc>
          <w:tcPr>
            <w:tcW w:w="5965" w:type="dxa"/>
            <w:vAlign w:val="center"/>
          </w:tcPr>
          <w:p w14:paraId="1A240C60">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重点时期、节日提供专业团队技术、设备的保障</w:t>
            </w:r>
          </w:p>
        </w:tc>
        <w:tc>
          <w:tcPr>
            <w:tcW w:w="1001" w:type="dxa"/>
            <w:vAlign w:val="center"/>
          </w:tcPr>
          <w:p w14:paraId="1FF7DAD2">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每年按需</w:t>
            </w:r>
          </w:p>
        </w:tc>
      </w:tr>
      <w:tr w14:paraId="5209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397" w:type="dxa"/>
            <w:tcBorders>
              <w:top w:val="single" w:color="auto" w:sz="4" w:space="0"/>
              <w:left w:val="single" w:color="auto" w:sz="4" w:space="0"/>
              <w:bottom w:val="single" w:color="auto" w:sz="4" w:space="0"/>
              <w:right w:val="single" w:color="auto" w:sz="4" w:space="0"/>
            </w:tcBorders>
            <w:vAlign w:val="center"/>
          </w:tcPr>
          <w:p w14:paraId="4321C1DA">
            <w:pPr>
              <w:jc w:val="center"/>
              <w:rPr>
                <w:rFonts w:hint="eastAsia" w:ascii="宋体" w:hAnsi="宋体" w:eastAsia="宋体" w:cs="宋体"/>
                <w:szCs w:val="21"/>
                <w:highlight w:val="none"/>
                <w:u w:val="none"/>
                <w:lang w:val="en-US" w:eastAsia="zh-CN"/>
              </w:rPr>
            </w:pPr>
            <w:r>
              <w:rPr>
                <w:rFonts w:hint="eastAsia" w:ascii="宋体" w:hAnsi="宋体" w:eastAsia="宋体" w:cs="宋体"/>
                <w:szCs w:val="21"/>
                <w:highlight w:val="none"/>
                <w:u w:val="none"/>
                <w:lang w:val="en-US" w:eastAsia="zh-CN"/>
              </w:rPr>
              <w:t>8</w:t>
            </w:r>
          </w:p>
        </w:tc>
        <w:tc>
          <w:tcPr>
            <w:tcW w:w="1542" w:type="dxa"/>
            <w:vAlign w:val="center"/>
          </w:tcPr>
          <w:p w14:paraId="14D0F09B">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设备安全巡检</w:t>
            </w:r>
          </w:p>
        </w:tc>
        <w:tc>
          <w:tcPr>
            <w:tcW w:w="5965" w:type="dxa"/>
            <w:vAlign w:val="center"/>
          </w:tcPr>
          <w:p w14:paraId="1887D828">
            <w:pPr>
              <w:jc w:val="center"/>
              <w:rPr>
                <w:rFonts w:hint="eastAsia" w:ascii="宋体" w:hAnsi="宋体" w:eastAsia="宋体" w:cs="宋体"/>
                <w:szCs w:val="21"/>
                <w:highlight w:val="none"/>
                <w:u w:val="none"/>
                <w:lang w:val="en-US" w:eastAsia="zh-CN"/>
              </w:rPr>
            </w:pPr>
            <w:r>
              <w:rPr>
                <w:rFonts w:hint="eastAsia" w:ascii="宋体" w:hAnsi="宋体" w:eastAsia="宋体" w:cs="宋体"/>
                <w:szCs w:val="21"/>
                <w:highlight w:val="none"/>
                <w:u w:val="none"/>
              </w:rPr>
              <w:t>建设信息安全巡检机制，同时对巡检情况出具专业的巡检报告</w:t>
            </w:r>
          </w:p>
        </w:tc>
        <w:tc>
          <w:tcPr>
            <w:tcW w:w="1001" w:type="dxa"/>
            <w:vAlign w:val="center"/>
          </w:tcPr>
          <w:p w14:paraId="63C0E8FB">
            <w:pPr>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1次/月</w:t>
            </w:r>
          </w:p>
        </w:tc>
      </w:tr>
    </w:tbl>
    <w:p w14:paraId="77A0153E">
      <w:pPr>
        <w:keepNext w:val="0"/>
        <w:keepLines w:val="0"/>
        <w:pageBreakBefore w:val="0"/>
        <w:widowControl w:val="0"/>
        <w:numPr>
          <w:ilvl w:val="255"/>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2、网络安全运维服务要求</w:t>
      </w:r>
    </w:p>
    <w:p w14:paraId="6E67110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提供项目咨询、新增互联网暴露面管理、WEB站点安全监测、漏洞加固辅助、事件告警通告、数据安全咨询、管理体系建设服务等。</w:t>
      </w:r>
    </w:p>
    <w:p w14:paraId="7E5C2D8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提供安全上网dns防护和上网管控服务，防止用户中毒后私联僵尸主机。</w:t>
      </w:r>
    </w:p>
    <w:tbl>
      <w:tblPr>
        <w:tblStyle w:val="20"/>
        <w:tblpPr w:leftFromText="180" w:rightFromText="180" w:vertAnchor="text" w:tblpX="14395" w:tblpY="13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tblGrid>
      <w:tr w14:paraId="233F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511" w:type="dxa"/>
          </w:tcPr>
          <w:p w14:paraId="39F7A245">
            <w:pPr>
              <w:keepNext w:val="0"/>
              <w:keepLines w:val="0"/>
              <w:pageBreakBefore w:val="0"/>
              <w:widowControl w:val="0"/>
              <w:numPr>
                <w:ilvl w:val="255"/>
                <w:numId w:val="0"/>
              </w:numPr>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p>
        </w:tc>
      </w:tr>
    </w:tbl>
    <w:p w14:paraId="0D69F76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巡检要求：对市中心防火墙、探针、内外网应用服务器等设备做好月度安全扫描巡检并出具《巡检报告》。巡检清单详见</w:t>
      </w:r>
      <w:r>
        <w:rPr>
          <w:rFonts w:hint="eastAsia" w:ascii="宋体" w:hAnsi="宋体" w:eastAsia="宋体" w:cs="宋体"/>
          <w:sz w:val="24"/>
          <w:szCs w:val="24"/>
          <w:highlight w:val="none"/>
          <w:lang w:val="en-US" w:eastAsia="zh-CN"/>
        </w:rPr>
        <w:t>表1</w:t>
      </w:r>
      <w:r>
        <w:rPr>
          <w:rFonts w:hint="eastAsia" w:ascii="宋体" w:hAnsi="宋体" w:eastAsia="宋体" w:cs="宋体"/>
          <w:sz w:val="24"/>
          <w:szCs w:val="24"/>
          <w:highlight w:val="none"/>
        </w:rPr>
        <w:t>。</w:t>
      </w:r>
    </w:p>
    <w:p w14:paraId="2822512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提供市中心及8个分中心7×24小时应急响应服务；每年不少于1次网络安全方面的应急演练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每年不少于1次市中心及8个分中心硬件方面的资产梳理；每年不少于1次网络安全技术培训服务。</w:t>
      </w:r>
    </w:p>
    <w:p w14:paraId="3A37E09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eastAsia="宋体" w:cs="宋体"/>
          <w:color w:val="auto"/>
          <w:sz w:val="24"/>
          <w:szCs w:val="24"/>
          <w:highlight w:val="none"/>
        </w:rPr>
      </w:pPr>
      <w:r>
        <w:rPr>
          <w:rFonts w:hint="eastAsia" w:ascii="宋体" w:hAnsi="宋体" w:eastAsia="宋体" w:cs="宋体"/>
          <w:sz w:val="24"/>
          <w:szCs w:val="24"/>
          <w:highlight w:val="none"/>
          <w:lang w:val="en-US" w:eastAsia="zh-CN"/>
        </w:rPr>
        <w:t>（5）2026年</w:t>
      </w:r>
      <w:r>
        <w:rPr>
          <w:rFonts w:hint="eastAsia" w:ascii="宋体" w:hAnsi="宋体" w:eastAsia="宋体" w:cs="宋体"/>
          <w:sz w:val="24"/>
          <w:szCs w:val="24"/>
          <w:highlight w:val="none"/>
        </w:rPr>
        <w:t>12月31 日前，完成当年度服务报告，报告内容包括全年安全运维服务内容和基础环境运维服务内容的汇总和改进优化建议。</w:t>
      </w:r>
    </w:p>
    <w:p w14:paraId="18A37F97">
      <w:pPr>
        <w:widowControl/>
        <w:adjustRightInd w:val="0"/>
        <w:snapToGrid w:val="0"/>
        <w:spacing w:line="360" w:lineRule="auto"/>
        <w:ind w:firstLine="482" w:firstLineChars="200"/>
        <w:textAlignment w:val="baseline"/>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三、采购标的需满足的服务标准、期限、效率等要求</w:t>
      </w:r>
    </w:p>
    <w:p w14:paraId="133D598D">
      <w:pPr>
        <w:widowControl/>
        <w:adjustRightInd w:val="0"/>
        <w:snapToGrid w:val="0"/>
        <w:spacing w:line="360" w:lineRule="auto"/>
        <w:ind w:firstLine="480" w:firstLineChars="200"/>
        <w:textAlignment w:val="baseline"/>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（一）服务期要求</w:t>
      </w:r>
    </w:p>
    <w:p w14:paraId="76AF613D">
      <w:pPr>
        <w:widowControl/>
        <w:adjustRightInd w:val="0"/>
        <w:snapToGrid w:val="0"/>
        <w:spacing w:line="360" w:lineRule="auto"/>
        <w:ind w:firstLine="480" w:firstLineChars="200"/>
        <w:textAlignment w:val="baseline"/>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服务期为12个月。2026年1月底前，对市公路中心(包含下属8个分中心)的外网出口防火墙、内网防火墙、服务器区防火墙、中心无线防火墙XDR、探针、中心终端 EDR 完成软硬件维保服务授权，安全接入服务授权工作。</w:t>
      </w:r>
    </w:p>
    <w:p w14:paraId="41F289F2">
      <w:pPr>
        <w:widowControl/>
        <w:adjustRightInd w:val="0"/>
        <w:snapToGrid w:val="0"/>
        <w:spacing w:line="360" w:lineRule="auto"/>
        <w:ind w:firstLine="480" w:firstLineChars="200"/>
        <w:textAlignment w:val="baseline"/>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服务期满，完成当年度基础环境及安全运维服务工作，并提交当年度服务报告。</w:t>
      </w:r>
    </w:p>
    <w:p w14:paraId="750F6DE6">
      <w:pPr>
        <w:widowControl/>
        <w:adjustRightInd w:val="0"/>
        <w:snapToGrid w:val="0"/>
        <w:spacing w:line="360" w:lineRule="auto"/>
        <w:ind w:firstLine="480" w:firstLineChars="200"/>
        <w:textAlignment w:val="baseline"/>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（二）响应时间要求</w:t>
      </w:r>
    </w:p>
    <w:p w14:paraId="6157D33B">
      <w:pPr>
        <w:widowControl/>
        <w:adjustRightInd w:val="0"/>
        <w:snapToGrid w:val="0"/>
        <w:spacing w:line="360" w:lineRule="auto"/>
        <w:ind w:firstLine="480" w:firstLineChars="200"/>
        <w:textAlignment w:val="baseline"/>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项目服务期内，供应商对采购人反应的问题应10分钟内予以响应，非工作时间30分钟内予以响应，一般问题应在60分钟内排除。提供全天候无间断的远程技术服务，若远程无法解决，应在4小时内到达现场进行解决。</w:t>
      </w:r>
    </w:p>
    <w:p w14:paraId="2476D8DE">
      <w:pPr>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四</w:t>
      </w:r>
      <w:r>
        <w:rPr>
          <w:rFonts w:hint="eastAsia" w:ascii="宋体" w:hAnsi="宋体" w:cs="宋体"/>
          <w:b/>
          <w:bCs/>
          <w:color w:val="auto"/>
          <w:kern w:val="0"/>
          <w:sz w:val="24"/>
          <w:highlight w:val="none"/>
        </w:rPr>
        <w:t>、采购标的验收标准</w:t>
      </w:r>
    </w:p>
    <w:p w14:paraId="7621F8D2">
      <w:pPr>
        <w:widowControl/>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验收实施主体：科技信息科</w:t>
      </w:r>
    </w:p>
    <w:p w14:paraId="778B67FB">
      <w:pPr>
        <w:widowControl/>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验收时间：按采购人约定时间</w:t>
      </w:r>
    </w:p>
    <w:p w14:paraId="3FBE0DE4">
      <w:pPr>
        <w:widowControl/>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验收方式：科技信息科组织验收，采用书面审核的方式。</w:t>
      </w:r>
    </w:p>
    <w:p w14:paraId="0251F7D1">
      <w:pPr>
        <w:widowControl/>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验收内容：由验收小组对中标人服务情况按验收标准执行。 </w:t>
      </w:r>
    </w:p>
    <w:p w14:paraId="2F82955F">
      <w:pPr>
        <w:widowControl/>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验收标准：完成全部服务内容且及时响应采购人需求的则视为通过验收。</w:t>
      </w:r>
    </w:p>
    <w:p w14:paraId="37B47049">
      <w:pPr>
        <w:widowControl/>
        <w:numPr>
          <w:ilvl w:val="0"/>
          <w:numId w:val="2"/>
        </w:numPr>
        <w:adjustRightInd w:val="0"/>
        <w:snapToGrid w:val="0"/>
        <w:spacing w:line="360" w:lineRule="auto"/>
        <w:ind w:firstLine="482" w:firstLineChars="200"/>
        <w:textAlignment w:val="baseline"/>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其他要求</w:t>
      </w:r>
    </w:p>
    <w:p w14:paraId="1987EF18">
      <w:pPr>
        <w:widowControl/>
        <w:adjustRightInd w:val="0"/>
        <w:snapToGrid w:val="0"/>
        <w:spacing w:line="360" w:lineRule="auto"/>
        <w:ind w:firstLine="480" w:firstLineChars="200"/>
        <w:textAlignment w:val="baseline"/>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供应商须提交《服务承诺书》，承诺在签订合同前提供外网出口防火墙、XDR、中心无线防火墙、中心探针、内网EDR、外网EDR、内网防火墙、服务器区防火墙等安全设备厂商及安全特征库厂商出具的项目授权函及质保函原件且注册信息为采购人。</w:t>
      </w:r>
    </w:p>
    <w:p w14:paraId="1DA81BB8">
      <w:pPr>
        <w:widowControl/>
        <w:adjustRightInd w:val="0"/>
        <w:snapToGrid w:val="0"/>
        <w:spacing w:line="360" w:lineRule="auto"/>
        <w:ind w:firstLine="482" w:firstLineChars="200"/>
        <w:textAlignment w:val="baseline"/>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六</w:t>
      </w:r>
      <w:r>
        <w:rPr>
          <w:rFonts w:hint="eastAsia" w:ascii="宋体" w:hAnsi="宋体" w:cs="宋体"/>
          <w:b/>
          <w:bCs/>
          <w:color w:val="auto"/>
          <w:kern w:val="0"/>
          <w:sz w:val="24"/>
          <w:highlight w:val="none"/>
        </w:rPr>
        <w:t>、付款方式</w:t>
      </w:r>
    </w:p>
    <w:p w14:paraId="20C0FA41">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本项目为总价合同。签订合同15日内支付预付款为签约合同价的30%。2026年6月底前支付签约合同价的30%。服务期满且完成全部服务并通过验收后付清尾款。</w:t>
      </w:r>
    </w:p>
    <w:p w14:paraId="0874FB91">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w:t>
      </w:r>
    </w:p>
    <w:p w14:paraId="4F2D076A">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）每次付款须按合同扣减违约金和赔偿款；</w:t>
      </w:r>
    </w:p>
    <w:p w14:paraId="4477036A">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付款前供应商须提供等额合规发票及相关申请资料，否则采购人可以拒付；</w:t>
      </w:r>
    </w:p>
    <w:p w14:paraId="52702377">
      <w:pPr>
        <w:snapToGrid w:val="0"/>
        <w:spacing w:line="360" w:lineRule="auto"/>
        <w:ind w:firstLine="508"/>
        <w:contextualSpacing/>
        <w:rPr>
          <w:rFonts w:hint="eastAsia" w:ascii="宋体" w:hAnsi="宋体" w:eastAsia="宋体" w:cs="宋体"/>
          <w:color w:val="auto"/>
          <w:spacing w:val="7"/>
          <w:kern w:val="0"/>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所有付款均不计利息。</w:t>
      </w:r>
    </w:p>
    <w:p w14:paraId="2787C60A">
      <w:pPr>
        <w:pStyle w:val="32"/>
        <w:adjustRightInd w:val="0"/>
        <w:snapToGrid w:val="0"/>
        <w:spacing w:line="360" w:lineRule="auto"/>
        <w:ind w:firstLine="480" w:firstLineChars="200"/>
        <w:rPr>
          <w:rFonts w:ascii="宋体" w:eastAsia="宋体" w:cs="宋体"/>
          <w:color w:val="auto"/>
          <w:kern w:val="0"/>
          <w:sz w:val="24"/>
          <w:szCs w:val="24"/>
          <w:highlight w:val="none"/>
        </w:rPr>
      </w:pPr>
    </w:p>
    <w:p w14:paraId="44FEBC02">
      <w:pPr>
        <w:rPr>
          <w:rFonts w:ascii="宋体" w:hAnsi="宋体" w:cs="宋体"/>
          <w:color w:val="auto"/>
          <w:kern w:val="0"/>
          <w:sz w:val="24"/>
          <w:highlight w:val="none"/>
        </w:rPr>
      </w:pPr>
      <w:r>
        <w:rPr>
          <w:rFonts w:hint="eastAsia" w:ascii="宋体" w:hAnsi="宋体" w:cs="宋体"/>
          <w:color w:val="auto"/>
          <w:kern w:val="0"/>
          <w:sz w:val="24"/>
          <w:highlight w:val="none"/>
        </w:rPr>
        <w:br w:type="page"/>
      </w:r>
    </w:p>
    <w:p w14:paraId="1EC156F1">
      <w:pPr>
        <w:pStyle w:val="32"/>
        <w:snapToGrid w:val="0"/>
        <w:spacing w:line="360" w:lineRule="auto"/>
        <w:ind w:firstLine="0" w:firstLineChars="0"/>
        <w:contextualSpacing/>
        <w:rPr>
          <w:rFonts w:ascii="宋体" w:eastAsia="宋体" w:cs="宋体"/>
          <w:b/>
          <w:bCs/>
          <w:color w:val="auto"/>
          <w:sz w:val="24"/>
          <w:szCs w:val="24"/>
          <w:highlight w:val="none"/>
        </w:rPr>
        <w:sectPr>
          <w:footerReference r:id="rId3" w:type="default"/>
          <w:pgSz w:w="11907" w:h="16839"/>
          <w:pgMar w:top="1429" w:right="1429" w:bottom="1429" w:left="1429" w:header="720" w:footer="720" w:gutter="0"/>
          <w:cols w:space="720" w:num="1"/>
          <w:docGrid w:linePitch="286" w:charSpace="0"/>
        </w:sectPr>
      </w:pPr>
    </w:p>
    <w:p w14:paraId="595F50C4">
      <w:pPr>
        <w:autoSpaceDE w:val="0"/>
        <w:autoSpaceDN w:val="0"/>
        <w:adjustRightInd w:val="0"/>
        <w:snapToGrid w:val="0"/>
        <w:spacing w:line="360" w:lineRule="auto"/>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第四部分  评审程序和内容</w:t>
      </w:r>
    </w:p>
    <w:p w14:paraId="46D025F6">
      <w:pPr>
        <w:autoSpaceDE w:val="0"/>
        <w:autoSpaceDN w:val="0"/>
        <w:adjustRightInd w:val="0"/>
        <w:snapToGrid w:val="0"/>
        <w:spacing w:line="360" w:lineRule="auto"/>
        <w:ind w:right="210"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一、采购人组织磋商活动</w:t>
      </w:r>
    </w:p>
    <w:p w14:paraId="1A4E11B4">
      <w:pPr>
        <w:pStyle w:val="32"/>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1.成立竞争性磋商小组。</w:t>
      </w:r>
    </w:p>
    <w:p w14:paraId="69A6C0C9">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rPr>
        <w:t>磋商小组由</w:t>
      </w:r>
      <w:r>
        <w:rPr>
          <w:rFonts w:hint="eastAsia" w:ascii="宋体" w:eastAsia="宋体" w:cs="宋体"/>
          <w:color w:val="auto"/>
          <w:sz w:val="24"/>
          <w:szCs w:val="24"/>
          <w:highlight w:val="none"/>
        </w:rPr>
        <w:t>有关专家</w:t>
      </w:r>
      <w:r>
        <w:rPr>
          <w:rFonts w:hint="eastAsia" w:ascii="宋体" w:eastAsia="宋体" w:cs="宋体"/>
          <w:color w:val="auto"/>
          <w:kern w:val="0"/>
          <w:sz w:val="24"/>
          <w:szCs w:val="24"/>
          <w:highlight w:val="none"/>
        </w:rPr>
        <w:t>共3人或以上单数组成。采购代理机构人员不得参加本机构代理的采购项目的评审。</w:t>
      </w:r>
    </w:p>
    <w:p w14:paraId="5E9AD6CF">
      <w:pPr>
        <w:spacing w:line="360" w:lineRule="auto"/>
        <w:ind w:firstLine="482"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2.竞争性磋商小组的职责：</w:t>
      </w:r>
    </w:p>
    <w:p w14:paraId="2178EBCF">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评审专家应当遵守评审工作纪律，不得泄露评审情况和评审中获悉的商业秘密。</w:t>
      </w:r>
    </w:p>
    <w:p w14:paraId="5E09CC07">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磋商小组在评审过程中发现供应商有行贿、提供虚假材料或者串通等违法行为的，应当及时向主管部门报告。</w:t>
      </w:r>
    </w:p>
    <w:p w14:paraId="698417D5">
      <w:pPr>
        <w:pStyle w:val="32"/>
        <w:snapToGrid w:val="0"/>
        <w:spacing w:line="360" w:lineRule="auto"/>
        <w:ind w:firstLine="480" w:firstLineChars="200"/>
        <w:contextualSpacing/>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zh-CN"/>
        </w:rPr>
        <w:t>评审专家在评审过程中受到非法干涉的，应当及时向相关主管部门举报。</w:t>
      </w:r>
    </w:p>
    <w:p w14:paraId="0F200BF6">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5E7E957A">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磋商文件内容违反国家有关强制性规定的，磋商小组应当停止评审并向采购人或者采购代理机构说明情况。</w:t>
      </w:r>
    </w:p>
    <w:p w14:paraId="47F568FE">
      <w:pPr>
        <w:pStyle w:val="32"/>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3.竞争性磋商小组成员的义务：</w:t>
      </w:r>
    </w:p>
    <w:p w14:paraId="4B494198">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遵纪守法，客观、公正、廉洁地履行职责；根据采购文件的规定独立进行评审，对个人的评审意见承担法律责任；参与评审报告的起草；配合采购人、采购代理机构答复供应商提出的质疑；配合主管部门的投诉处理和监督检查工作。</w:t>
      </w:r>
    </w:p>
    <w:p w14:paraId="2B75E5A6">
      <w:pPr>
        <w:pStyle w:val="32"/>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二、供应商参加磋商活动</w:t>
      </w:r>
    </w:p>
    <w:p w14:paraId="1EE8B9A8">
      <w:pPr>
        <w:autoSpaceDE w:val="0"/>
        <w:autoSpaceDN w:val="0"/>
        <w:adjustRightInd w:val="0"/>
        <w:snapToGrid w:val="0"/>
        <w:spacing w:line="360" w:lineRule="auto"/>
        <w:ind w:right="210"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供应商的法定代表人或被授权人须持身份证准时参加磋商。</w:t>
      </w:r>
    </w:p>
    <w:p w14:paraId="7956F210">
      <w:pPr>
        <w:autoSpaceDE w:val="0"/>
        <w:autoSpaceDN w:val="0"/>
        <w:adjustRightInd w:val="0"/>
        <w:snapToGrid w:val="0"/>
        <w:spacing w:line="360" w:lineRule="auto"/>
        <w:ind w:right="210" w:firstLine="482" w:firstLineChars="200"/>
        <w:rPr>
          <w:rFonts w:ascii="宋体" w:hAnsi="宋体" w:cs="宋体"/>
          <w:b/>
          <w:color w:val="auto"/>
          <w:sz w:val="24"/>
          <w:highlight w:val="none"/>
        </w:rPr>
      </w:pPr>
      <w:r>
        <w:rPr>
          <w:rFonts w:hint="eastAsia" w:ascii="宋体" w:hAnsi="宋体" w:cs="宋体"/>
          <w:b/>
          <w:color w:val="auto"/>
          <w:sz w:val="24"/>
          <w:highlight w:val="none"/>
        </w:rPr>
        <w:t>三、磋商的原则及方法</w:t>
      </w:r>
    </w:p>
    <w:p w14:paraId="6529F2BE">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1</w:t>
      </w:r>
      <w:r>
        <w:rPr>
          <w:rFonts w:hint="eastAsia" w:ascii="宋体" w:eastAsia="宋体" w:cs="宋体"/>
          <w:bCs/>
          <w:color w:val="auto"/>
          <w:kern w:val="0"/>
          <w:sz w:val="24"/>
          <w:szCs w:val="24"/>
          <w:highlight w:val="none"/>
          <w:lang w:val="zh-CN"/>
        </w:rPr>
        <w:t>.</w:t>
      </w:r>
      <w:r>
        <w:rPr>
          <w:rFonts w:hint="eastAsia" w:ascii="宋体" w:eastAsia="宋体" w:cs="宋体"/>
          <w:color w:val="auto"/>
          <w:kern w:val="0"/>
          <w:sz w:val="24"/>
          <w:szCs w:val="24"/>
          <w:highlight w:val="none"/>
          <w:lang w:val="zh-CN"/>
        </w:rPr>
        <w:t>磋商小组成员应当按照客观、公正、审慎的原则，根据磋商文件规定的评审程序、评审方法和评审标准进行独立评审。未实质性响应磋</w:t>
      </w:r>
      <w:r>
        <w:rPr>
          <w:rFonts w:hint="eastAsia" w:ascii="宋体" w:eastAsia="宋体" w:cs="宋体"/>
          <w:color w:val="auto"/>
          <w:kern w:val="0"/>
          <w:sz w:val="24"/>
          <w:szCs w:val="24"/>
          <w:highlight w:val="none"/>
        </w:rPr>
        <w:t>商文件的响应文件按无效响应处理，磋商小组应当告知提交响应文件的供应商。</w:t>
      </w:r>
    </w:p>
    <w:p w14:paraId="35AEB083">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30FCC5">
      <w:pPr>
        <w:pStyle w:val="32"/>
        <w:snapToGrid w:val="0"/>
        <w:spacing w:line="360" w:lineRule="auto"/>
        <w:ind w:firstLine="480" w:firstLineChars="200"/>
        <w:contextualSpacing/>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3A9F80B">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2.磋商小组将按照竞争性磋商文件的规定，独立对每个进入打分程序的有效供应商的响应文件的商务技术部分以打分的形式进行评估和评价。商务技术分是所有评委打分的算术平均值（计算结果均四舍五入保留两位小数）。</w:t>
      </w:r>
    </w:p>
    <w:p w14:paraId="3ADBDCD4">
      <w:pPr>
        <w:pStyle w:val="32"/>
        <w:snapToGrid w:val="0"/>
        <w:spacing w:line="360" w:lineRule="auto"/>
        <w:ind w:firstLine="480" w:firstLineChars="200"/>
        <w:contextualSpacing/>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zh-CN"/>
        </w:rPr>
        <w:t>3.</w:t>
      </w:r>
      <w:r>
        <w:rPr>
          <w:rStyle w:val="37"/>
          <w:rFonts w:hint="default" w:cs="宋体"/>
          <w:color w:val="auto"/>
          <w:highlight w:val="none"/>
        </w:rPr>
        <w:t>磋商小组根据磋商文件规定的程序、评定成交的标准等事项与实质性响应磋商文件要求的供应商进行磋商。未实质性响应磋商文件要求的响应文件按无效处理，磋商小组应当告知提交响应文件的供应商。</w:t>
      </w:r>
    </w:p>
    <w:p w14:paraId="4D01F2FB">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bCs/>
          <w:color w:val="auto"/>
          <w:kern w:val="0"/>
          <w:sz w:val="24"/>
          <w:szCs w:val="24"/>
          <w:highlight w:val="none"/>
          <w:lang w:val="zh-CN"/>
        </w:rPr>
        <w:t>4.</w:t>
      </w:r>
      <w:r>
        <w:rPr>
          <w:rFonts w:hint="eastAsia" w:ascii="宋体" w:eastAsia="宋体" w:cs="宋体"/>
          <w:color w:val="auto"/>
          <w:kern w:val="0"/>
          <w:sz w:val="24"/>
          <w:szCs w:val="24"/>
          <w:highlight w:val="none"/>
          <w:lang w:val="zh-CN"/>
        </w:rPr>
        <w:t>磋商小组</w:t>
      </w:r>
      <w:r>
        <w:rPr>
          <w:rStyle w:val="37"/>
          <w:rFonts w:hint="default" w:cs="宋体"/>
          <w:color w:val="auto"/>
          <w:highlight w:val="none"/>
          <w:lang w:val="zh-CN"/>
        </w:rPr>
        <w:t>所有</w:t>
      </w:r>
      <w:r>
        <w:rPr>
          <w:rFonts w:hint="eastAsia" w:ascii="宋体" w:eastAsia="宋体" w:cs="宋体"/>
          <w:color w:val="auto"/>
          <w:kern w:val="0"/>
          <w:sz w:val="24"/>
          <w:szCs w:val="24"/>
          <w:highlight w:val="none"/>
          <w:lang w:val="zh-CN"/>
        </w:rPr>
        <w:t>成员应当集中与单一供应商分别进行磋商，并给予所有参加磋商的供应商平等的磋商机会。</w:t>
      </w:r>
    </w:p>
    <w:p w14:paraId="22572492">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5</w:t>
      </w:r>
      <w:r>
        <w:rPr>
          <w:rFonts w:hint="eastAsia" w:ascii="宋体" w:eastAsia="宋体" w:cs="宋体"/>
          <w:b/>
          <w:color w:val="auto"/>
          <w:kern w:val="0"/>
          <w:sz w:val="24"/>
          <w:szCs w:val="24"/>
          <w:highlight w:val="none"/>
          <w:lang w:val="zh-CN"/>
        </w:rPr>
        <w:t>.</w:t>
      </w:r>
      <w:r>
        <w:rPr>
          <w:rFonts w:hint="eastAsia" w:ascii="宋体" w:eastAsia="宋体" w:cs="宋体"/>
          <w:color w:val="auto"/>
          <w:kern w:val="0"/>
          <w:sz w:val="24"/>
          <w:szCs w:val="24"/>
          <w:highlight w:val="none"/>
          <w:lang w:val="zh-CN"/>
        </w:rPr>
        <w:t>在磋商过程中，磋商小组可以根据磋商文件和磋商情况实质性变动采购需求中的技术、服务要求以及合同草案条款，但不得变动磋商文件中的其他内容。实质性变动的内容，须经采购人代表确认。</w:t>
      </w:r>
    </w:p>
    <w:p w14:paraId="6735E7D6">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对磋商文件作出的实质性变动是磋商文件的有效组成部分，磋商小组应当及时以书面形式同时通知所有参加磋商的供应商。</w:t>
      </w:r>
    </w:p>
    <w:p w14:paraId="246263BF">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776DE080">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6.磋商文件能够详细列明采购标的的技术、服务要求的，磋商结束后，磋商小组应当要求所有实质性响应的供应商在规定时间内提交最后报价，提交最后报价的供应商不得少于3家。</w:t>
      </w:r>
    </w:p>
    <w:p w14:paraId="7849DE2E">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文件不能详细列明采购标的技术、服务要求，需经磋商由供应商提供最终设计方案或解决方案的，磋商结束后，磋商小组应当按照少数服从多数的原则投票推荐3家及以上供应商的设计方案或者解决方案，并要求其在规定时间内提交最后报价。</w:t>
      </w:r>
    </w:p>
    <w:p w14:paraId="19EABA09">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市场竞争不充分的科研项目，以及需要扶持的科技成果转化项目，提交最后报价的供应商可以是2家。</w:t>
      </w:r>
    </w:p>
    <w:p w14:paraId="61022027">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7.最后报价是供应商响应文件的有效组成部分。</w:t>
      </w:r>
    </w:p>
    <w:p w14:paraId="28E4D0F3">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8.对于在磋商顺利开始后至最终报价前，根据磋商情况退出磋商的供应商，须以书面形式说明退出磋商的原因，经磋商小组同意可以退出磋商。</w:t>
      </w:r>
    </w:p>
    <w:p w14:paraId="4D158E07">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9.磋商时间由磋商小组掌握。</w:t>
      </w:r>
    </w:p>
    <w:p w14:paraId="2CE8BC23">
      <w:pPr>
        <w:autoSpaceDE w:val="0"/>
        <w:autoSpaceDN w:val="0"/>
        <w:adjustRightInd w:val="0"/>
        <w:snapToGrid w:val="0"/>
        <w:spacing w:line="360" w:lineRule="auto"/>
        <w:ind w:right="210" w:firstLine="482" w:firstLineChars="200"/>
        <w:rPr>
          <w:rFonts w:ascii="宋体" w:hAnsi="宋体" w:cs="宋体"/>
          <w:b/>
          <w:color w:val="auto"/>
          <w:sz w:val="24"/>
          <w:highlight w:val="none"/>
        </w:rPr>
      </w:pPr>
      <w:r>
        <w:rPr>
          <w:rFonts w:hint="eastAsia" w:ascii="宋体" w:hAnsi="宋体" w:cs="宋体"/>
          <w:b/>
          <w:color w:val="auto"/>
          <w:sz w:val="24"/>
          <w:highlight w:val="none"/>
        </w:rPr>
        <w:t>四、评审步骤</w:t>
      </w:r>
    </w:p>
    <w:p w14:paraId="093C6084">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1.评审步骤规定：</w:t>
      </w:r>
    </w:p>
    <w:p w14:paraId="0A7E526F">
      <w:pPr>
        <w:pStyle w:val="32"/>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本次资格审查采用资格后审，各供应商资格审查通过后方能进入商务技术响应文件和报价响应文件评审。</w:t>
      </w:r>
    </w:p>
    <w:p w14:paraId="5D02B9F3">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第一阶段：</w:t>
      </w:r>
      <w:r>
        <w:rPr>
          <w:rFonts w:hint="eastAsia" w:ascii="宋体" w:hAnsi="宋体" w:cs="宋体"/>
          <w:color w:val="auto"/>
          <w:sz w:val="24"/>
          <w:highlight w:val="none"/>
        </w:rPr>
        <w:t>磋商小组一并</w:t>
      </w:r>
      <w:r>
        <w:rPr>
          <w:rFonts w:hint="eastAsia" w:ascii="宋体" w:hAnsi="宋体" w:cs="宋体"/>
          <w:color w:val="auto"/>
          <w:sz w:val="24"/>
          <w:highlight w:val="none"/>
          <w:lang w:val="zh-CN"/>
        </w:rPr>
        <w:t>对每个供应商的资格进行审查。</w:t>
      </w:r>
    </w:p>
    <w:p w14:paraId="63481DED">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第二阶段：磋商小组对每个符合资格要求的供应商的商务技术标进行评审。</w:t>
      </w:r>
    </w:p>
    <w:p w14:paraId="6490501E">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第三阶段：以供应商提交的报价响应文件（即首次报价）为基础，磋商小组与供应商单一分别进行磋商：内容主要是对竞争性磋商响应文件中的项目方案的澄清、修正、补充、确认以及价格调整等。</w:t>
      </w:r>
      <w:r>
        <w:rPr>
          <w:rFonts w:hint="eastAsia" w:ascii="宋体" w:hAnsi="宋体" w:cs="宋体"/>
          <w:color w:val="auto"/>
          <w:sz w:val="24"/>
          <w:highlight w:val="none"/>
        </w:rPr>
        <w:t>磋商</w:t>
      </w:r>
      <w:r>
        <w:rPr>
          <w:rFonts w:hint="eastAsia" w:ascii="宋体" w:hAnsi="宋体" w:cs="宋体"/>
          <w:color w:val="auto"/>
          <w:sz w:val="24"/>
          <w:highlight w:val="none"/>
          <w:lang w:val="zh-CN"/>
        </w:rPr>
        <w:t>明确各供应商符合并满足</w:t>
      </w:r>
      <w:r>
        <w:rPr>
          <w:rFonts w:hint="eastAsia" w:ascii="宋体" w:hAnsi="宋体" w:cs="宋体"/>
          <w:color w:val="auto"/>
          <w:sz w:val="24"/>
          <w:highlight w:val="none"/>
        </w:rPr>
        <w:t>磋商</w:t>
      </w:r>
      <w:r>
        <w:rPr>
          <w:rFonts w:hint="eastAsia" w:ascii="宋体" w:hAnsi="宋体" w:cs="宋体"/>
          <w:color w:val="auto"/>
          <w:sz w:val="24"/>
          <w:highlight w:val="none"/>
          <w:lang w:val="zh-CN"/>
        </w:rPr>
        <w:t>文件要求，并能完全响应</w:t>
      </w:r>
      <w:r>
        <w:rPr>
          <w:rFonts w:hint="eastAsia" w:ascii="宋体" w:hAnsi="宋体" w:cs="宋体"/>
          <w:color w:val="auto"/>
          <w:sz w:val="24"/>
          <w:highlight w:val="none"/>
        </w:rPr>
        <w:t>磋商</w:t>
      </w:r>
      <w:r>
        <w:rPr>
          <w:rFonts w:hint="eastAsia" w:ascii="宋体" w:hAnsi="宋体" w:cs="宋体"/>
          <w:color w:val="auto"/>
          <w:sz w:val="24"/>
          <w:highlight w:val="none"/>
          <w:lang w:val="zh-CN"/>
        </w:rPr>
        <w:t>内容后，要求所有作出实质性响应的有效供应商在规定的时间内，在</w:t>
      </w:r>
      <w:r>
        <w:rPr>
          <w:rFonts w:hint="eastAsia" w:ascii="宋体" w:hAnsi="宋体" w:cs="宋体"/>
          <w:color w:val="auto"/>
          <w:sz w:val="24"/>
          <w:highlight w:val="none"/>
        </w:rPr>
        <w:t>磋商</w:t>
      </w:r>
      <w:r>
        <w:rPr>
          <w:rFonts w:hint="eastAsia" w:ascii="宋体" w:hAnsi="宋体" w:cs="宋体"/>
          <w:color w:val="auto"/>
          <w:sz w:val="24"/>
          <w:highlight w:val="none"/>
          <w:lang w:val="zh-CN"/>
        </w:rPr>
        <w:t>现场给出二次报价（即</w:t>
      </w:r>
      <w:r>
        <w:rPr>
          <w:rFonts w:hint="eastAsia" w:ascii="宋体" w:hAnsi="宋体" w:cs="宋体"/>
          <w:color w:val="auto"/>
          <w:sz w:val="24"/>
          <w:highlight w:val="none"/>
        </w:rPr>
        <w:t>最终报价）</w:t>
      </w:r>
      <w:r>
        <w:rPr>
          <w:rFonts w:hint="eastAsia" w:ascii="宋体" w:hAnsi="宋体" w:cs="宋体"/>
          <w:color w:val="auto"/>
          <w:sz w:val="24"/>
          <w:highlight w:val="none"/>
          <w:lang w:val="zh-CN"/>
        </w:rPr>
        <w:t>。同时最终报价中可包括但不限于如最终澄清方案、有关优惠承诺等。如</w:t>
      </w:r>
      <w:r>
        <w:rPr>
          <w:rFonts w:hint="eastAsia" w:ascii="宋体" w:hAnsi="宋体" w:cs="宋体"/>
          <w:color w:val="auto"/>
          <w:sz w:val="24"/>
          <w:highlight w:val="none"/>
        </w:rPr>
        <w:t>磋商</w:t>
      </w:r>
      <w:r>
        <w:rPr>
          <w:rFonts w:hint="eastAsia" w:ascii="宋体" w:hAnsi="宋体" w:cs="宋体"/>
          <w:color w:val="auto"/>
          <w:sz w:val="24"/>
          <w:highlight w:val="none"/>
          <w:lang w:val="zh-CN"/>
        </w:rPr>
        <w:t>内容导致</w:t>
      </w:r>
      <w:r>
        <w:rPr>
          <w:rFonts w:hint="eastAsia" w:ascii="宋体" w:hAnsi="宋体" w:cs="宋体"/>
          <w:color w:val="auto"/>
          <w:sz w:val="24"/>
          <w:highlight w:val="none"/>
        </w:rPr>
        <w:t>竞争性磋商</w:t>
      </w:r>
      <w:r>
        <w:rPr>
          <w:rFonts w:hint="eastAsia" w:ascii="宋体" w:hAnsi="宋体" w:cs="宋体"/>
          <w:color w:val="auto"/>
          <w:sz w:val="24"/>
          <w:highlight w:val="none"/>
          <w:lang w:val="zh-CN"/>
        </w:rPr>
        <w:t>文件有实质性变动的，</w:t>
      </w:r>
      <w:r>
        <w:rPr>
          <w:rFonts w:hint="eastAsia" w:ascii="宋体" w:hAnsi="宋体" w:cs="宋体"/>
          <w:color w:val="auto"/>
          <w:sz w:val="24"/>
          <w:highlight w:val="none"/>
        </w:rPr>
        <w:t>磋商小组</w:t>
      </w:r>
      <w:r>
        <w:rPr>
          <w:rFonts w:hint="eastAsia" w:ascii="宋体" w:hAnsi="宋体" w:cs="宋体"/>
          <w:color w:val="auto"/>
          <w:sz w:val="24"/>
          <w:highlight w:val="none"/>
          <w:lang w:val="zh-CN"/>
        </w:rPr>
        <w:t xml:space="preserve">应当以书面形式通知所有供应商。 </w:t>
      </w:r>
    </w:p>
    <w:p w14:paraId="5634C0E7">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若无须对项目方案进行澄清、修正、补充等，则磋商小组将要求所有作出实质性响应的有效供应商在规定的时间内，在磋商现场集体给出二次报价（即</w:t>
      </w:r>
      <w:r>
        <w:rPr>
          <w:rFonts w:hint="eastAsia" w:ascii="宋体" w:hAnsi="宋体" w:cs="宋体"/>
          <w:color w:val="auto"/>
          <w:sz w:val="24"/>
          <w:highlight w:val="none"/>
        </w:rPr>
        <w:t>最终报价）。</w:t>
      </w:r>
    </w:p>
    <w:p w14:paraId="63AAF867">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除非在磋商中磋商小组对采购人需求内容作了调整增加，或对采购内容作了实质性变更，否则采购人不接受供应商高于自己前一轮的磋商报价。</w:t>
      </w:r>
    </w:p>
    <w:p w14:paraId="01882F60">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第二轮报价只需报总价，除暂列金额、暂估价（其具体金额或比例）外各子目按第二轮报价较首轮报价下浮率同比例下浮。</w:t>
      </w:r>
    </w:p>
    <w:p w14:paraId="0CAB48FA">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第四阶段：磋商小组对供应商的最终报价进行评议和比较（</w:t>
      </w:r>
      <w:r>
        <w:rPr>
          <w:rFonts w:hint="eastAsia" w:ascii="宋体" w:hAnsi="宋体"/>
          <w:bCs/>
          <w:color w:val="auto"/>
          <w:sz w:val="24"/>
          <w:highlight w:val="none"/>
          <w:lang w:val="en-US" w:eastAsia="zh-CN"/>
        </w:rPr>
        <w:t>磋商小组</w:t>
      </w:r>
      <w:r>
        <w:rPr>
          <w:rFonts w:hint="eastAsia" w:ascii="宋体" w:hAnsi="宋体"/>
          <w:bCs/>
          <w:color w:val="auto"/>
          <w:sz w:val="24"/>
          <w:highlight w:val="none"/>
        </w:rPr>
        <w:t>认为投标</w:t>
      </w:r>
      <w:r>
        <w:rPr>
          <w:rFonts w:hint="eastAsia" w:ascii="宋体" w:hAnsi="宋体"/>
          <w:bCs/>
          <w:color w:val="auto"/>
          <w:sz w:val="24"/>
          <w:highlight w:val="none"/>
          <w:lang w:val="en-US" w:eastAsia="zh-CN"/>
        </w:rPr>
        <w:t>供应商</w:t>
      </w:r>
      <w:r>
        <w:rPr>
          <w:rFonts w:hint="eastAsia" w:ascii="宋体" w:hAnsi="宋体"/>
          <w:bCs/>
          <w:color w:val="auto"/>
          <w:sz w:val="24"/>
          <w:highlight w:val="none"/>
        </w:rPr>
        <w:t>的报价明显低于其他通过符合性审查投标</w:t>
      </w:r>
      <w:r>
        <w:rPr>
          <w:rFonts w:hint="eastAsia" w:ascii="宋体" w:hAnsi="宋体"/>
          <w:bCs/>
          <w:color w:val="auto"/>
          <w:sz w:val="24"/>
          <w:highlight w:val="none"/>
          <w:lang w:val="en-US" w:eastAsia="zh-CN"/>
        </w:rPr>
        <w:t>供应商</w:t>
      </w:r>
      <w:r>
        <w:rPr>
          <w:rFonts w:hint="eastAsia" w:ascii="宋体" w:hAnsi="宋体"/>
          <w:bCs/>
          <w:color w:val="auto"/>
          <w:sz w:val="24"/>
          <w:highlight w:val="none"/>
        </w:rPr>
        <w:t>的报价，</w:t>
      </w:r>
      <w:r>
        <w:rPr>
          <w:rFonts w:hint="eastAsia" w:ascii="宋体" w:hAnsi="宋体"/>
          <w:bCs/>
          <w:color w:val="auto"/>
          <w:sz w:val="24"/>
          <w:highlight w:val="none"/>
          <w:lang w:val="en-US" w:eastAsia="zh-CN"/>
        </w:rPr>
        <w:t>有可能影响产品质量或者不能诚信履约的其他情形</w:t>
      </w:r>
      <w:r>
        <w:rPr>
          <w:rFonts w:hint="eastAsia" w:ascii="宋体" w:hAnsi="宋体" w:cs="宋体"/>
          <w:color w:val="auto"/>
          <w:kern w:val="0"/>
          <w:sz w:val="24"/>
          <w:highlight w:val="none"/>
          <w:lang w:eastAsia="zh-CN"/>
        </w:rPr>
        <w:t>，</w:t>
      </w:r>
      <w:r>
        <w:rPr>
          <w:rFonts w:hint="eastAsia" w:ascii="宋体" w:hAnsi="宋体"/>
          <w:bCs/>
          <w:color w:val="auto"/>
          <w:sz w:val="24"/>
          <w:highlight w:val="none"/>
          <w:lang w:val="en-US" w:eastAsia="zh-CN"/>
        </w:rPr>
        <w:t>磋商小组已启动异常低价投标（响应）审查程序，</w:t>
      </w:r>
      <w:r>
        <w:rPr>
          <w:rFonts w:hint="eastAsia" w:ascii="宋体" w:hAnsi="宋体"/>
          <w:bCs/>
          <w:color w:val="auto"/>
          <w:sz w:val="24"/>
          <w:highlight w:val="none"/>
        </w:rPr>
        <w:t>供应商不提供书面说明、证明材料，或者提供的书面说明、证明材料不能证明其报价合理性的</w:t>
      </w:r>
      <w:r>
        <w:rPr>
          <w:rFonts w:hint="eastAsia" w:ascii="宋体" w:hAnsi="宋体" w:cs="宋体"/>
          <w:color w:val="auto"/>
          <w:kern w:val="0"/>
          <w:sz w:val="24"/>
          <w:highlight w:val="none"/>
        </w:rPr>
        <w:t>报价除外）。磋商小组按照综合得分推荐预成交供应商并出具评审磋商报告。</w:t>
      </w:r>
    </w:p>
    <w:p w14:paraId="085B99B6">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2.在磋商过程中，供应商提交的澄清文件和最终报价响应文件，由供应商法定代表人或被授权人签字后生效，供应商受其约束。</w:t>
      </w:r>
    </w:p>
    <w:p w14:paraId="55B40499">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五、评审方法-综合评分法</w:t>
      </w:r>
    </w:p>
    <w:p w14:paraId="7B506AAF">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经磋商确定最终采购需求和提交最后报价的供应商后，由磋商小组采用综合评分法对提交最后报价的供应商的响应文件和最后报价进行综合评分。</w:t>
      </w:r>
    </w:p>
    <w:p w14:paraId="430EF3FA">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综合评分法，是指响应文件满足磋商文件全部实质性要求且按评审因素的量化指标评审得分最高的供应商为成交候选供应商的评审方法。</w:t>
      </w:r>
    </w:p>
    <w:p w14:paraId="512B4F7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评审时，磋商小组各成员应当独立对每个有效响应的文件进行评价、打分，然后汇总每个供应商每项评分因素的得分（计算结果均四舍五入保留两位小数）。</w:t>
      </w:r>
    </w:p>
    <w:p w14:paraId="3517531A">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（一）审查响应文件的有效性、完整性、响应程度</w:t>
      </w:r>
    </w:p>
    <w:p w14:paraId="1F363F5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lang w:val="zh-CN"/>
        </w:rPr>
        <w:t>.</w:t>
      </w:r>
      <w:r>
        <w:rPr>
          <w:rFonts w:hint="eastAsia" w:ascii="宋体" w:hAnsi="宋体" w:cs="宋体"/>
          <w:color w:val="auto"/>
          <w:sz w:val="24"/>
          <w:highlight w:val="none"/>
        </w:rPr>
        <w:t>要求的保证金是否已提供；</w:t>
      </w:r>
    </w:p>
    <w:p w14:paraId="6B75F40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响应文件是否按磋商文件要求装订、密封、签署、盖章的；</w:t>
      </w:r>
    </w:p>
    <w:p w14:paraId="773C27D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kern w:val="0"/>
          <w:sz w:val="24"/>
          <w:highlight w:val="none"/>
          <w:lang w:val="zh-CN"/>
        </w:rPr>
        <w:t>.</w:t>
      </w:r>
      <w:r>
        <w:rPr>
          <w:rFonts w:hint="eastAsia" w:ascii="宋体" w:hAnsi="宋体" w:cs="宋体"/>
          <w:color w:val="auto"/>
          <w:sz w:val="24"/>
          <w:highlight w:val="none"/>
        </w:rPr>
        <w:t>供应商资格是否符合；</w:t>
      </w:r>
    </w:p>
    <w:p w14:paraId="780C4E6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响应文件是否完整；</w:t>
      </w:r>
    </w:p>
    <w:p w14:paraId="73EBE5AE">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是否作出实质性响应（</w:t>
      </w:r>
      <w:r>
        <w:rPr>
          <w:rFonts w:hint="eastAsia" w:ascii="宋体" w:hAnsi="宋体" w:cs="宋体"/>
          <w:b/>
          <w:color w:val="auto"/>
          <w:sz w:val="24"/>
          <w:highlight w:val="none"/>
        </w:rPr>
        <w:t>是否有实质性响应，只根据响应文件本身，而不寻求外部证据）；</w:t>
      </w:r>
    </w:p>
    <w:p w14:paraId="0C4D198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kern w:val="0"/>
          <w:sz w:val="24"/>
          <w:highlight w:val="none"/>
          <w:lang w:val="zh-CN"/>
        </w:rPr>
        <w:t>.</w:t>
      </w:r>
      <w:r>
        <w:rPr>
          <w:rFonts w:hint="eastAsia" w:ascii="宋体" w:hAnsi="宋体" w:cs="宋体"/>
          <w:color w:val="auto"/>
          <w:sz w:val="24"/>
          <w:highlight w:val="none"/>
        </w:rPr>
        <w:t>是否有计算错误。</w:t>
      </w:r>
    </w:p>
    <w:p w14:paraId="1B36D9AB">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rPr>
      </w:pPr>
      <w:r>
        <w:rPr>
          <w:rFonts w:hint="eastAsia" w:ascii="宋体" w:hAnsi="宋体" w:cs="宋体"/>
          <w:b/>
          <w:bCs/>
          <w:color w:val="auto"/>
          <w:sz w:val="24"/>
          <w:highlight w:val="none"/>
        </w:rPr>
        <w:t>（二）误差纠正</w:t>
      </w:r>
    </w:p>
    <w:p w14:paraId="3ACF2C34">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w:t>
      </w:r>
      <w:r>
        <w:rPr>
          <w:rFonts w:hint="eastAsia" w:ascii="宋体" w:hAnsi="宋体" w:cs="宋体"/>
          <w:color w:val="auto"/>
          <w:kern w:val="0"/>
          <w:sz w:val="24"/>
          <w:highlight w:val="none"/>
          <w:lang w:val="zh-CN"/>
        </w:rPr>
        <w:t>.</w:t>
      </w:r>
      <w:r>
        <w:rPr>
          <w:rFonts w:hint="eastAsia" w:ascii="宋体" w:hAnsi="宋体" w:cs="宋体"/>
          <w:color w:val="auto"/>
          <w:sz w:val="24"/>
          <w:highlight w:val="none"/>
          <w:lang w:val="zh-CN"/>
        </w:rPr>
        <w:t>报价表中的大写金额与小写金额、总价金额与按单价汇总金额，若有差异，按照下列规定修正：</w:t>
      </w:r>
    </w:p>
    <w:p w14:paraId="2BF2184B">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w:t>
      </w:r>
      <w:r>
        <w:rPr>
          <w:rFonts w:hint="eastAsia" w:ascii="宋体" w:hAnsi="宋体" w:cs="宋体"/>
          <w:color w:val="auto"/>
          <w:sz w:val="24"/>
          <w:highlight w:val="none"/>
        </w:rPr>
        <w:t>响应</w:t>
      </w:r>
      <w:r>
        <w:rPr>
          <w:rFonts w:hint="eastAsia" w:ascii="宋体" w:hAnsi="宋体" w:cs="宋体"/>
          <w:color w:val="auto"/>
          <w:sz w:val="24"/>
          <w:highlight w:val="none"/>
          <w:lang w:val="zh-CN"/>
        </w:rPr>
        <w:t>文件中开标一览表（报价表）内容与</w:t>
      </w:r>
      <w:r>
        <w:rPr>
          <w:rFonts w:hint="eastAsia" w:ascii="宋体" w:hAnsi="宋体" w:cs="宋体"/>
          <w:color w:val="auto"/>
          <w:sz w:val="24"/>
          <w:highlight w:val="none"/>
        </w:rPr>
        <w:t>响应</w:t>
      </w:r>
      <w:r>
        <w:rPr>
          <w:rFonts w:hint="eastAsia" w:ascii="宋体" w:hAnsi="宋体" w:cs="宋体"/>
          <w:color w:val="auto"/>
          <w:sz w:val="24"/>
          <w:highlight w:val="none"/>
          <w:lang w:val="zh-CN"/>
        </w:rPr>
        <w:t>文件中相应内容不一致的，以开标一览表（报价表）为准；</w:t>
      </w:r>
    </w:p>
    <w:p w14:paraId="6117738E">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（2）大写金额和小写金额不一致的，以大写金额为准；</w:t>
      </w:r>
    </w:p>
    <w:p w14:paraId="5B2D5D1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（3）单价金额小数点或者百分比有明显错位的，以开标一览表（报价表）的总价为准，并修改单价；</w:t>
      </w:r>
    </w:p>
    <w:p w14:paraId="2AF9E2C5">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（4）总价金额与按单价汇总金额不一致的，以单价金额计算结果为准。</w:t>
      </w:r>
    </w:p>
    <w:p w14:paraId="28EA77E9">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同时出现两种以上不一致的，按照前款规定的顺序修正。修正后的报价经</w:t>
      </w:r>
      <w:r>
        <w:rPr>
          <w:rFonts w:hint="eastAsia" w:ascii="宋体" w:hAnsi="宋体" w:cs="宋体"/>
          <w:color w:val="auto"/>
          <w:sz w:val="24"/>
          <w:highlight w:val="none"/>
        </w:rPr>
        <w:t>供应商</w:t>
      </w:r>
      <w:r>
        <w:rPr>
          <w:rFonts w:hint="eastAsia" w:ascii="宋体" w:hAnsi="宋体" w:cs="宋体"/>
          <w:color w:val="auto"/>
          <w:sz w:val="24"/>
          <w:highlight w:val="none"/>
          <w:lang w:val="zh-CN"/>
        </w:rPr>
        <w:t>确认后产生约束力，</w:t>
      </w:r>
      <w:r>
        <w:rPr>
          <w:rFonts w:hint="eastAsia" w:ascii="宋体" w:hAnsi="宋体" w:cs="宋体"/>
          <w:color w:val="auto"/>
          <w:sz w:val="24"/>
          <w:highlight w:val="none"/>
        </w:rPr>
        <w:t>供应商</w:t>
      </w:r>
      <w:r>
        <w:rPr>
          <w:rFonts w:hint="eastAsia" w:ascii="宋体" w:hAnsi="宋体" w:cs="宋体"/>
          <w:color w:val="auto"/>
          <w:sz w:val="24"/>
          <w:highlight w:val="none"/>
          <w:lang w:val="zh-CN"/>
        </w:rPr>
        <w:t>不确认的，其投标无效。</w:t>
      </w:r>
    </w:p>
    <w:p w14:paraId="5BE81BB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正本与副本有矛盾的，以正本为准；</w:t>
      </w:r>
    </w:p>
    <w:p w14:paraId="57DDAA14">
      <w:pPr>
        <w:tabs>
          <w:tab w:val="left" w:pos="6555"/>
          <w:tab w:val="right" w:pos="8306"/>
        </w:tabs>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（三）出现下列情形之一的，作无效响应处理</w:t>
      </w:r>
      <w:r>
        <w:rPr>
          <w:rFonts w:hint="eastAsia" w:ascii="宋体" w:hAnsi="宋体" w:cs="宋体"/>
          <w:b/>
          <w:color w:val="auto"/>
          <w:sz w:val="24"/>
          <w:highlight w:val="none"/>
        </w:rPr>
        <w:tab/>
      </w:r>
      <w:r>
        <w:rPr>
          <w:rFonts w:hint="eastAsia" w:ascii="宋体" w:hAnsi="宋体" w:cs="宋体"/>
          <w:b/>
          <w:color w:val="auto"/>
          <w:sz w:val="24"/>
          <w:highlight w:val="none"/>
        </w:rPr>
        <w:tab/>
      </w:r>
    </w:p>
    <w:p w14:paraId="675B12F1">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响应文件未按照磋商文件规定要求装订、密封、签署、盖章的；</w:t>
      </w:r>
    </w:p>
    <w:p w14:paraId="29D959D1">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响应文件不完整的；</w:t>
      </w:r>
    </w:p>
    <w:p w14:paraId="66B3A8AF">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kern w:val="0"/>
          <w:sz w:val="24"/>
          <w:highlight w:val="none"/>
          <w:lang w:val="zh-CN"/>
        </w:rPr>
        <w:t>.</w:t>
      </w:r>
      <w:r>
        <w:rPr>
          <w:rFonts w:hint="eastAsia" w:ascii="宋体" w:hAnsi="宋体" w:cs="宋体"/>
          <w:color w:val="auto"/>
          <w:sz w:val="24"/>
          <w:highlight w:val="none"/>
        </w:rPr>
        <w:t>不具备磋商文件中规定的资格要求的；</w:t>
      </w:r>
    </w:p>
    <w:p w14:paraId="7860FF7C">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响应报价超出预算（最高投标限价）的；</w:t>
      </w:r>
    </w:p>
    <w:p w14:paraId="11F79B3B">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lang w:val="zh-CN"/>
        </w:rPr>
        <w:t>.</w:t>
      </w:r>
      <w:r>
        <w:rPr>
          <w:rFonts w:hint="eastAsia" w:ascii="宋体" w:hAnsi="宋体" w:cs="宋体"/>
          <w:color w:val="auto"/>
          <w:sz w:val="24"/>
          <w:highlight w:val="none"/>
        </w:rPr>
        <w:t>不符合法律、法规和磋商文件中规定的其他实质性要求的；</w:t>
      </w:r>
    </w:p>
    <w:p w14:paraId="0658DA7F">
      <w:pPr>
        <w:snapToGrid w:val="0"/>
        <w:spacing w:line="360" w:lineRule="auto"/>
        <w:ind w:firstLine="570"/>
        <w:rPr>
          <w:rFonts w:hint="eastAsia" w:ascii="宋体" w:hAnsi="宋体" w:cs="宋体"/>
          <w:color w:val="auto"/>
          <w:sz w:val="24"/>
          <w:highlight w:val="none"/>
          <w:lang w:eastAsia="zh-CN"/>
        </w:rPr>
      </w:pPr>
      <w:r>
        <w:rPr>
          <w:rFonts w:hint="eastAsia" w:ascii="宋体" w:hAnsi="宋体" w:cs="宋体"/>
          <w:color w:val="auto"/>
          <w:sz w:val="24"/>
          <w:highlight w:val="none"/>
        </w:rPr>
        <w:t>6.投标</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r>
        <w:rPr>
          <w:rFonts w:hint="eastAsia" w:ascii="宋体" w:hAnsi="宋体" w:cs="宋体"/>
          <w:color w:val="auto"/>
          <w:sz w:val="24"/>
          <w:highlight w:val="none"/>
          <w:lang w:eastAsia="zh-CN"/>
        </w:rPr>
        <w:t>；</w:t>
      </w:r>
    </w:p>
    <w:p w14:paraId="24C31515">
      <w:pPr>
        <w:snapToGrid w:val="0"/>
        <w:spacing w:line="360" w:lineRule="auto"/>
        <w:ind w:firstLine="570"/>
        <w:rPr>
          <w:rFonts w:hint="eastAsia" w:ascii="宋体" w:hAnsi="宋体"/>
          <w:bCs/>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bCs/>
          <w:color w:val="auto"/>
          <w:sz w:val="24"/>
          <w:highlight w:val="none"/>
          <w:lang w:val="en-US" w:eastAsia="zh-CN"/>
        </w:rPr>
        <w:t>磋商小组</w:t>
      </w:r>
      <w:r>
        <w:rPr>
          <w:rFonts w:hint="eastAsia" w:ascii="宋体" w:hAnsi="宋体"/>
          <w:bCs/>
          <w:color w:val="auto"/>
          <w:sz w:val="24"/>
          <w:highlight w:val="none"/>
        </w:rPr>
        <w:t>认为投标</w:t>
      </w:r>
      <w:r>
        <w:rPr>
          <w:rFonts w:hint="eastAsia" w:ascii="宋体" w:hAnsi="宋体"/>
          <w:bCs/>
          <w:color w:val="auto"/>
          <w:sz w:val="24"/>
          <w:highlight w:val="none"/>
          <w:lang w:val="en-US" w:eastAsia="zh-CN"/>
        </w:rPr>
        <w:t>供应商</w:t>
      </w:r>
      <w:r>
        <w:rPr>
          <w:rFonts w:hint="eastAsia" w:ascii="宋体" w:hAnsi="宋体"/>
          <w:bCs/>
          <w:color w:val="auto"/>
          <w:sz w:val="24"/>
          <w:highlight w:val="none"/>
        </w:rPr>
        <w:t>的报价明显低于其他通过符合性审查投标</w:t>
      </w:r>
      <w:r>
        <w:rPr>
          <w:rFonts w:hint="eastAsia" w:ascii="宋体" w:hAnsi="宋体"/>
          <w:bCs/>
          <w:color w:val="auto"/>
          <w:sz w:val="24"/>
          <w:highlight w:val="none"/>
          <w:lang w:val="en-US" w:eastAsia="zh-CN"/>
        </w:rPr>
        <w:t>供应商</w:t>
      </w:r>
      <w:r>
        <w:rPr>
          <w:rFonts w:hint="eastAsia" w:ascii="宋体" w:hAnsi="宋体"/>
          <w:bCs/>
          <w:color w:val="auto"/>
          <w:sz w:val="24"/>
          <w:highlight w:val="none"/>
        </w:rPr>
        <w:t>的报价，</w:t>
      </w:r>
      <w:r>
        <w:rPr>
          <w:rFonts w:hint="eastAsia" w:ascii="宋体" w:hAnsi="宋体"/>
          <w:bCs/>
          <w:color w:val="auto"/>
          <w:sz w:val="24"/>
          <w:highlight w:val="none"/>
          <w:lang w:val="en-US" w:eastAsia="zh-CN"/>
        </w:rPr>
        <w:t>有可能影响产品质量或者不能诚信履约的其他情形。磋商小组将启动异常低价投标（响应）审查程序。磋商小组要求相关供应商在评标现场合理的时间内，提供项目具体成本测算等与报价合理性相关的书面说明及相关证明材料，对投标（响应）价格作出解释，由磋商小组结合同类产品在主要电商平台的价格、该</w:t>
      </w:r>
      <w:r>
        <w:rPr>
          <w:rFonts w:hint="eastAsia" w:ascii="宋体" w:hAnsi="宋体"/>
          <w:bCs/>
          <w:color w:val="auto"/>
          <w:sz w:val="24"/>
          <w:highlight w:val="none"/>
        </w:rPr>
        <w:t>行业当地薪资水平等情况，依据专业经验对供应商报价合理性进行判断。投标（响应）供应商不提供书面说明、证明材料，或者提供的书面说明、证明材料不能证明其报价合理性的，</w:t>
      </w:r>
      <w:r>
        <w:rPr>
          <w:rFonts w:hint="eastAsia" w:ascii="宋体" w:hAnsi="宋体"/>
          <w:bCs/>
          <w:color w:val="auto"/>
          <w:sz w:val="24"/>
          <w:highlight w:val="none"/>
          <w:lang w:val="en-US" w:eastAsia="zh-CN"/>
        </w:rPr>
        <w:t>磋商小组</w:t>
      </w:r>
      <w:r>
        <w:rPr>
          <w:rFonts w:hint="eastAsia" w:ascii="宋体" w:hAnsi="宋体"/>
          <w:bCs/>
          <w:color w:val="auto"/>
          <w:sz w:val="24"/>
          <w:highlight w:val="none"/>
        </w:rPr>
        <w:t>应当将其作为无效投标（响应）处理。</w:t>
      </w:r>
    </w:p>
    <w:p w14:paraId="0C1082D4">
      <w:pPr>
        <w:snapToGrid w:val="0"/>
        <w:spacing w:line="360" w:lineRule="auto"/>
        <w:ind w:firstLine="570"/>
        <w:rPr>
          <w:rFonts w:ascii="宋体" w:hAnsi="宋体" w:cs="宋体"/>
          <w:b/>
          <w:color w:val="auto"/>
          <w:sz w:val="24"/>
          <w:highlight w:val="none"/>
        </w:rPr>
      </w:pPr>
      <w:r>
        <w:rPr>
          <w:rFonts w:hint="eastAsia" w:ascii="宋体" w:hAnsi="宋体" w:cs="宋体"/>
          <w:b/>
          <w:color w:val="auto"/>
          <w:sz w:val="24"/>
          <w:highlight w:val="none"/>
        </w:rPr>
        <w:t>（四）出现下列情形之一的，磋商失败</w:t>
      </w:r>
    </w:p>
    <w:p w14:paraId="086838B9">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1.符合条件的供应商或者对磋商文件作实质响应的供应商不足3家的（市场竞争不充分的科研项目，以及需要扶持的科技成果转化项目可以是2家）；</w:t>
      </w:r>
    </w:p>
    <w:p w14:paraId="2354DBC4">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4CDFD32D">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3.供应商的最后报价均超过了采购预算，采购人不能支付的；</w:t>
      </w:r>
    </w:p>
    <w:p w14:paraId="46009BC5">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4.因重大变故，采购任务取消的。</w:t>
      </w:r>
    </w:p>
    <w:p w14:paraId="79D0D95C">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主管部门。</w:t>
      </w:r>
    </w:p>
    <w:p w14:paraId="1B705092">
      <w:pPr>
        <w:snapToGrid w:val="0"/>
        <w:spacing w:line="360" w:lineRule="auto"/>
        <w:ind w:firstLine="555"/>
        <w:rPr>
          <w:rFonts w:ascii="宋体" w:hAnsi="宋体" w:cs="宋体"/>
          <w:b/>
          <w:bCs/>
          <w:color w:val="auto"/>
          <w:sz w:val="24"/>
          <w:highlight w:val="none"/>
        </w:rPr>
      </w:pPr>
      <w:r>
        <w:rPr>
          <w:rFonts w:hint="eastAsia" w:ascii="宋体" w:hAnsi="宋体" w:cs="宋体"/>
          <w:b/>
          <w:bCs/>
          <w:color w:val="auto"/>
          <w:sz w:val="24"/>
          <w:highlight w:val="none"/>
        </w:rPr>
        <w:t xml:space="preserve">（五）本次项目磋商的商务技术响应文件和报价响应文件评审总分值为100分。两部分评审因素比重如下： </w:t>
      </w:r>
    </w:p>
    <w:p w14:paraId="4B00AED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商务技术</w:t>
      </w:r>
      <w:r>
        <w:rPr>
          <w:rFonts w:hint="eastAsia" w:ascii="宋体" w:hAnsi="宋体" w:cs="宋体"/>
          <w:color w:val="auto"/>
          <w:kern w:val="0"/>
          <w:sz w:val="24"/>
          <w:highlight w:val="none"/>
        </w:rPr>
        <w:t>响应文件</w:t>
      </w:r>
      <w:r>
        <w:rPr>
          <w:rFonts w:hint="eastAsia" w:ascii="宋体" w:hAnsi="宋体" w:cs="宋体"/>
          <w:color w:val="auto"/>
          <w:sz w:val="24"/>
          <w:highlight w:val="none"/>
        </w:rPr>
        <w:t>分值占总分值的比重为</w:t>
      </w:r>
      <w:r>
        <w:rPr>
          <w:rFonts w:hint="eastAsia" w:ascii="宋体" w:hAnsi="宋体" w:cs="宋体"/>
          <w:b/>
          <w:color w:val="auto"/>
          <w:sz w:val="24"/>
          <w:highlight w:val="none"/>
          <w:u w:val="single"/>
          <w:lang w:val="en-US" w:eastAsia="zh-CN"/>
        </w:rPr>
        <w:t>70</w:t>
      </w:r>
      <w:r>
        <w:rPr>
          <w:rFonts w:hint="eastAsia" w:ascii="宋体" w:hAnsi="宋体" w:cs="宋体"/>
          <w:b/>
          <w:color w:val="auto"/>
          <w:sz w:val="24"/>
          <w:highlight w:val="none"/>
          <w:u w:val="single"/>
        </w:rPr>
        <w:t>%（权重）</w:t>
      </w:r>
      <w:r>
        <w:rPr>
          <w:rFonts w:hint="eastAsia" w:ascii="宋体" w:hAnsi="宋体" w:cs="宋体"/>
          <w:color w:val="auto"/>
          <w:sz w:val="24"/>
          <w:highlight w:val="none"/>
        </w:rPr>
        <w:t>（四舍五入保留两位小数）；</w:t>
      </w:r>
    </w:p>
    <w:p w14:paraId="697DEBC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报价</w:t>
      </w:r>
      <w:r>
        <w:rPr>
          <w:rFonts w:hint="eastAsia" w:ascii="宋体" w:hAnsi="宋体" w:cs="宋体"/>
          <w:color w:val="auto"/>
          <w:kern w:val="0"/>
          <w:sz w:val="24"/>
          <w:highlight w:val="none"/>
        </w:rPr>
        <w:t>响应文件</w:t>
      </w:r>
      <w:r>
        <w:rPr>
          <w:rFonts w:hint="eastAsia" w:ascii="宋体" w:hAnsi="宋体" w:cs="宋体"/>
          <w:color w:val="auto"/>
          <w:sz w:val="24"/>
          <w:highlight w:val="none"/>
        </w:rPr>
        <w:t>分值占总分值的比重为</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0%（权重）</w:t>
      </w:r>
      <w:r>
        <w:rPr>
          <w:rFonts w:hint="eastAsia" w:ascii="宋体" w:hAnsi="宋体" w:cs="宋体"/>
          <w:color w:val="auto"/>
          <w:sz w:val="24"/>
          <w:highlight w:val="none"/>
        </w:rPr>
        <w:t>（四舍五入保留两位小数）。</w:t>
      </w:r>
    </w:p>
    <w:p w14:paraId="519E15A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商务技术响应文件分值为所有磋商小组成员打分的算术平均值，计算结果均四舍五入保留两位小数。 </w:t>
      </w:r>
    </w:p>
    <w:p w14:paraId="5DF8679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报价响应文件分值统一采用低价优先法计算直接取得，与商务技术响应文件分值相加为供应商的综合得分（四舍五入保留两位小数）。</w:t>
      </w:r>
    </w:p>
    <w:p w14:paraId="41D13937">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（六）磋商小组推荐综合得分最高的供应商为项目预成交供应商，并出具评审磋商报告。</w:t>
      </w:r>
    </w:p>
    <w:p w14:paraId="190FEA4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如成交供应商拒绝与采购人签订合同的，采购人可以按照评审报告推荐的成交候选人名单排序，确定下一候选人为成交供应商，也可以重新开展采购活动。</w:t>
      </w:r>
    </w:p>
    <w:p w14:paraId="73394C60">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（七）确定成交候选人的特殊情况处理：</w:t>
      </w:r>
    </w:p>
    <w:p w14:paraId="0E56D0E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1.若总分相同，则按最终报价得分高者优先。</w:t>
      </w:r>
    </w:p>
    <w:p w14:paraId="63EB010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2.若总分且最终报价得分均相同的，则采取评委票决的方式确定。</w:t>
      </w:r>
    </w:p>
    <w:p w14:paraId="369EE5AA">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八）磋商评审时，磋商小组成员对评审的细则若有争议，由磋商小组集体讨论确定，并对未尽情况有最终解释权。</w:t>
      </w:r>
    </w:p>
    <w:p w14:paraId="321DBF4C">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（九）对落标的供应商不做落标原因的解释。</w:t>
      </w:r>
    </w:p>
    <w:p w14:paraId="131EC3C5">
      <w:pPr>
        <w:snapToGrid w:val="0"/>
        <w:spacing w:line="360" w:lineRule="auto"/>
        <w:ind w:left="568"/>
        <w:rPr>
          <w:rFonts w:ascii="宋体" w:hAnsi="宋体" w:cs="宋体"/>
          <w:b/>
          <w:color w:val="auto"/>
          <w:sz w:val="24"/>
          <w:highlight w:val="none"/>
          <w:lang w:val="zh-CN"/>
        </w:rPr>
      </w:pPr>
      <w:r>
        <w:rPr>
          <w:rFonts w:hint="eastAsia" w:ascii="宋体" w:hAnsi="宋体" w:cs="宋体"/>
          <w:b/>
          <w:color w:val="auto"/>
          <w:sz w:val="24"/>
          <w:highlight w:val="none"/>
          <w:lang w:val="zh-CN"/>
        </w:rPr>
        <w:t>六、评审标准</w:t>
      </w:r>
    </w:p>
    <w:p w14:paraId="46A9637F">
      <w:pPr>
        <w:snapToGrid w:val="0"/>
        <w:spacing w:line="360" w:lineRule="auto"/>
        <w:ind w:left="568"/>
        <w:rPr>
          <w:rFonts w:ascii="宋体" w:hAnsi="宋体" w:cs="宋体"/>
          <w:b/>
          <w:color w:val="auto"/>
          <w:sz w:val="24"/>
          <w:highlight w:val="none"/>
        </w:rPr>
      </w:pPr>
      <w:r>
        <w:rPr>
          <w:rFonts w:hint="eastAsia" w:ascii="宋体" w:hAnsi="宋体" w:cs="宋体"/>
          <w:b/>
          <w:color w:val="auto"/>
          <w:sz w:val="24"/>
          <w:highlight w:val="none"/>
        </w:rPr>
        <w:t>（一）</w:t>
      </w:r>
      <w:r>
        <w:rPr>
          <w:rFonts w:hint="eastAsia" w:ascii="宋体" w:hAnsi="宋体" w:cs="宋体"/>
          <w:b/>
          <w:color w:val="auto"/>
          <w:sz w:val="24"/>
          <w:highlight w:val="none"/>
          <w:lang w:val="zh-CN"/>
        </w:rPr>
        <w:t>商务技术分（</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lang w:val="zh-CN"/>
        </w:rPr>
        <w:t>0分）</w:t>
      </w:r>
    </w:p>
    <w:p w14:paraId="066016E5">
      <w:pPr>
        <w:snapToGrid w:val="0"/>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供应商得分为磋商小组成员评分的算术平均分</w:t>
      </w:r>
      <w:r>
        <w:rPr>
          <w:rFonts w:hint="eastAsia" w:ascii="宋体" w:hAnsi="宋体" w:cs="宋体"/>
          <w:color w:val="auto"/>
          <w:sz w:val="24"/>
          <w:highlight w:val="none"/>
          <w:lang w:eastAsia="zh-CN"/>
        </w:rPr>
        <w:t>，</w:t>
      </w:r>
      <w:r>
        <w:rPr>
          <w:rFonts w:hint="eastAsia" w:ascii="宋体" w:hAnsi="宋体" w:cs="宋体"/>
          <w:color w:val="auto"/>
          <w:sz w:val="24"/>
          <w:highlight w:val="none"/>
        </w:rPr>
        <w:t>分值四舍五入保留小数点后两位。</w:t>
      </w:r>
    </w:p>
    <w:tbl>
      <w:tblPr>
        <w:tblStyle w:val="19"/>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0"/>
        <w:gridCol w:w="1630"/>
        <w:gridCol w:w="5163"/>
        <w:gridCol w:w="540"/>
        <w:gridCol w:w="540"/>
        <w:gridCol w:w="720"/>
      </w:tblGrid>
      <w:tr w14:paraId="235E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670" w:type="dxa"/>
            <w:tcBorders>
              <w:top w:val="single" w:color="auto" w:sz="8" w:space="0"/>
              <w:left w:val="single" w:color="auto" w:sz="8" w:space="0"/>
              <w:bottom w:val="single" w:color="auto" w:sz="4" w:space="0"/>
              <w:right w:val="single" w:color="auto" w:sz="8" w:space="0"/>
            </w:tcBorders>
            <w:vAlign w:val="center"/>
          </w:tcPr>
          <w:p w14:paraId="16B968DF">
            <w:pPr>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序号</w:t>
            </w:r>
          </w:p>
        </w:tc>
        <w:tc>
          <w:tcPr>
            <w:tcW w:w="1630" w:type="dxa"/>
            <w:tcBorders>
              <w:top w:val="single" w:color="auto" w:sz="8" w:space="0"/>
              <w:left w:val="nil"/>
              <w:bottom w:val="single" w:color="auto" w:sz="8" w:space="0"/>
              <w:right w:val="single" w:color="auto" w:sz="8" w:space="0"/>
            </w:tcBorders>
            <w:vAlign w:val="center"/>
          </w:tcPr>
          <w:p w14:paraId="5B964328">
            <w:pPr>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评分内容</w:t>
            </w:r>
          </w:p>
        </w:tc>
        <w:tc>
          <w:tcPr>
            <w:tcW w:w="5163" w:type="dxa"/>
            <w:tcBorders>
              <w:top w:val="single" w:color="auto" w:sz="8" w:space="0"/>
              <w:left w:val="nil"/>
              <w:bottom w:val="single" w:color="auto" w:sz="8" w:space="0"/>
              <w:right w:val="single" w:color="auto" w:sz="8" w:space="0"/>
            </w:tcBorders>
            <w:vAlign w:val="center"/>
          </w:tcPr>
          <w:p w14:paraId="66A69F63">
            <w:pPr>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评分标准</w:t>
            </w:r>
          </w:p>
        </w:tc>
        <w:tc>
          <w:tcPr>
            <w:tcW w:w="540" w:type="dxa"/>
            <w:tcBorders>
              <w:top w:val="single" w:color="auto" w:sz="8" w:space="0"/>
              <w:left w:val="nil"/>
              <w:bottom w:val="single" w:color="auto" w:sz="4" w:space="0"/>
              <w:right w:val="single" w:color="auto" w:sz="8" w:space="0"/>
            </w:tcBorders>
            <w:vAlign w:val="center"/>
          </w:tcPr>
          <w:p w14:paraId="16EF5DF9">
            <w:pPr>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最高分</w:t>
            </w:r>
          </w:p>
        </w:tc>
        <w:tc>
          <w:tcPr>
            <w:tcW w:w="540" w:type="dxa"/>
            <w:tcBorders>
              <w:top w:val="single" w:color="auto" w:sz="8" w:space="0"/>
              <w:left w:val="nil"/>
              <w:bottom w:val="single" w:color="auto" w:sz="4" w:space="0"/>
              <w:right w:val="single" w:color="auto" w:sz="8" w:space="0"/>
            </w:tcBorders>
            <w:vAlign w:val="center"/>
          </w:tcPr>
          <w:p w14:paraId="44FB4F0C">
            <w:pPr>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最低分</w:t>
            </w:r>
          </w:p>
        </w:tc>
        <w:tc>
          <w:tcPr>
            <w:tcW w:w="720" w:type="dxa"/>
            <w:tcBorders>
              <w:top w:val="single" w:color="auto" w:sz="8" w:space="0"/>
              <w:left w:val="nil"/>
              <w:bottom w:val="single" w:color="auto" w:sz="4" w:space="0"/>
              <w:right w:val="single" w:color="auto" w:sz="8" w:space="0"/>
            </w:tcBorders>
            <w:vAlign w:val="center"/>
          </w:tcPr>
          <w:p w14:paraId="19F2033E">
            <w:pPr>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主/客观</w:t>
            </w:r>
          </w:p>
        </w:tc>
      </w:tr>
      <w:tr w14:paraId="0919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0" w:type="dxa"/>
            <w:tcBorders>
              <w:top w:val="single" w:color="auto" w:sz="8" w:space="0"/>
              <w:left w:val="single" w:color="auto" w:sz="8" w:space="0"/>
              <w:bottom w:val="single" w:color="auto" w:sz="8" w:space="0"/>
              <w:right w:val="single" w:color="auto" w:sz="8" w:space="0"/>
            </w:tcBorders>
            <w:vAlign w:val="center"/>
          </w:tcPr>
          <w:p w14:paraId="794FD70E">
            <w:pPr>
              <w:snapToGrid w:val="0"/>
              <w:spacing w:line="240" w:lineRule="auto"/>
              <w:ind w:left="0" w:leftChars="0" w:right="0" w:rightChars="0"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w:t>
            </w:r>
          </w:p>
        </w:tc>
        <w:tc>
          <w:tcPr>
            <w:tcW w:w="1630" w:type="dxa"/>
            <w:tcBorders>
              <w:top w:val="single" w:color="auto" w:sz="8" w:space="0"/>
              <w:left w:val="nil"/>
              <w:bottom w:val="single" w:color="auto" w:sz="8" w:space="0"/>
              <w:right w:val="single" w:color="auto" w:sz="8" w:space="0"/>
            </w:tcBorders>
            <w:vAlign w:val="center"/>
          </w:tcPr>
          <w:p w14:paraId="1D7EB523">
            <w:pPr>
              <w:snapToGrid w:val="0"/>
              <w:spacing w:line="240" w:lineRule="auto"/>
              <w:ind w:left="0" w:leftChars="0" w:right="0" w:rightChars="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spacing w:val="-4"/>
                <w:kern w:val="0"/>
                <w:sz w:val="24"/>
                <w:szCs w:val="24"/>
                <w:highlight w:val="none"/>
              </w:rPr>
              <w:t>运维方案</w:t>
            </w:r>
          </w:p>
        </w:tc>
        <w:tc>
          <w:tcPr>
            <w:tcW w:w="5163" w:type="dxa"/>
            <w:tcBorders>
              <w:top w:val="single" w:color="auto" w:sz="4" w:space="0"/>
              <w:left w:val="nil"/>
              <w:bottom w:val="single" w:color="auto" w:sz="4" w:space="0"/>
              <w:right w:val="single" w:color="auto" w:sz="8" w:space="0"/>
            </w:tcBorders>
            <w:vAlign w:val="center"/>
          </w:tcPr>
          <w:p w14:paraId="18AB65E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根据供应商提供的运维方案评分，方案应包含以下内容：</w:t>
            </w:r>
          </w:p>
          <w:p w14:paraId="1F48CE1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①整体运维规划及人员安排；</w:t>
            </w:r>
          </w:p>
          <w:p w14:paraId="070AACE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②服务质量保证措施；</w:t>
            </w:r>
          </w:p>
          <w:p w14:paraId="599D833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③针对关键设备的运维方案。</w:t>
            </w:r>
          </w:p>
          <w:p w14:paraId="5D8D596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未提供或未完整提供①②③项方案的不得分；</w:t>
            </w:r>
          </w:p>
          <w:p w14:paraId="6DA97B2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按上述①②③项要求提供方案且阐述一般的，得4分；</w:t>
            </w:r>
          </w:p>
          <w:p w14:paraId="38BDA2D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按上述①②③项要求提供方案且比较全面、清晰、合理的，得8分；</w:t>
            </w:r>
          </w:p>
          <w:p w14:paraId="13DE7AD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按上述①②③项要求提供方案且全面、清晰、合理的，得12分。</w:t>
            </w:r>
          </w:p>
        </w:tc>
        <w:tc>
          <w:tcPr>
            <w:tcW w:w="540" w:type="dxa"/>
            <w:tcBorders>
              <w:top w:val="single" w:color="auto" w:sz="4" w:space="0"/>
              <w:left w:val="nil"/>
              <w:bottom w:val="single" w:color="auto" w:sz="4" w:space="0"/>
              <w:right w:val="single" w:color="auto" w:sz="8" w:space="0"/>
            </w:tcBorders>
            <w:vAlign w:val="center"/>
          </w:tcPr>
          <w:p w14:paraId="7605F721">
            <w:pPr>
              <w:snapToGrid w:val="0"/>
              <w:spacing w:line="240" w:lineRule="auto"/>
              <w:ind w:left="0" w:leftChars="0" w:right="0" w:rightChars="0" w:firstLine="0" w:firstLineChars="0"/>
              <w:jc w:val="center"/>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12</w:t>
            </w:r>
          </w:p>
        </w:tc>
        <w:tc>
          <w:tcPr>
            <w:tcW w:w="540" w:type="dxa"/>
            <w:tcBorders>
              <w:top w:val="single" w:color="auto" w:sz="4" w:space="0"/>
              <w:left w:val="nil"/>
              <w:bottom w:val="single" w:color="auto" w:sz="4" w:space="0"/>
              <w:right w:val="single" w:color="auto" w:sz="8" w:space="0"/>
            </w:tcBorders>
            <w:vAlign w:val="center"/>
          </w:tcPr>
          <w:p w14:paraId="0C828A2A">
            <w:pPr>
              <w:snapToGrid w:val="0"/>
              <w:spacing w:line="240" w:lineRule="auto"/>
              <w:ind w:left="0" w:leftChars="0" w:right="0" w:rightChars="0"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0</w:t>
            </w:r>
          </w:p>
        </w:tc>
        <w:tc>
          <w:tcPr>
            <w:tcW w:w="720" w:type="dxa"/>
            <w:tcBorders>
              <w:top w:val="single" w:color="auto" w:sz="4" w:space="0"/>
              <w:left w:val="nil"/>
              <w:bottom w:val="single" w:color="auto" w:sz="4" w:space="0"/>
              <w:right w:val="single" w:color="auto" w:sz="8" w:space="0"/>
            </w:tcBorders>
            <w:vAlign w:val="center"/>
          </w:tcPr>
          <w:p w14:paraId="7727A525">
            <w:pPr>
              <w:snapToGrid w:val="0"/>
              <w:spacing w:line="240" w:lineRule="auto"/>
              <w:ind w:left="0" w:leftChars="0" w:right="0" w:rightChars="0"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主观</w:t>
            </w:r>
          </w:p>
        </w:tc>
      </w:tr>
      <w:tr w14:paraId="041F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0" w:type="dxa"/>
            <w:tcBorders>
              <w:top w:val="single" w:color="auto" w:sz="8" w:space="0"/>
              <w:left w:val="single" w:color="auto" w:sz="8" w:space="0"/>
              <w:bottom w:val="single" w:color="auto" w:sz="8" w:space="0"/>
              <w:right w:val="single" w:color="auto" w:sz="8" w:space="0"/>
            </w:tcBorders>
            <w:vAlign w:val="center"/>
          </w:tcPr>
          <w:p w14:paraId="36176BA9">
            <w:pPr>
              <w:snapToGrid w:val="0"/>
              <w:spacing w:line="240" w:lineRule="auto"/>
              <w:ind w:left="0" w:leftChars="0" w:right="0" w:rightChars="0"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w:t>
            </w:r>
          </w:p>
        </w:tc>
        <w:tc>
          <w:tcPr>
            <w:tcW w:w="1630" w:type="dxa"/>
            <w:tcBorders>
              <w:top w:val="single" w:color="auto" w:sz="8" w:space="0"/>
              <w:left w:val="nil"/>
              <w:bottom w:val="single" w:color="auto" w:sz="8" w:space="0"/>
              <w:right w:val="single" w:color="auto" w:sz="8" w:space="0"/>
            </w:tcBorders>
            <w:vAlign w:val="center"/>
          </w:tcPr>
          <w:p w14:paraId="67BCF39E">
            <w:pPr>
              <w:snapToGrid w:val="0"/>
              <w:spacing w:line="240" w:lineRule="auto"/>
              <w:ind w:left="0" w:leftChars="0" w:right="0" w:rightChars="0" w:firstLine="0" w:firstLineChars="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应急服务水平</w:t>
            </w:r>
          </w:p>
        </w:tc>
        <w:tc>
          <w:tcPr>
            <w:tcW w:w="5163" w:type="dxa"/>
            <w:tcBorders>
              <w:top w:val="single" w:color="auto" w:sz="4" w:space="0"/>
              <w:left w:val="nil"/>
              <w:bottom w:val="single" w:color="auto" w:sz="4" w:space="0"/>
              <w:right w:val="single" w:color="auto" w:sz="8" w:space="0"/>
            </w:tcBorders>
            <w:vAlign w:val="center"/>
          </w:tcPr>
          <w:p w14:paraId="7CACB3F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根据供应商应急服务方案进行打分，</w:t>
            </w:r>
            <w:r>
              <w:rPr>
                <w:rFonts w:hint="eastAsia" w:ascii="宋体" w:hAnsi="宋体" w:eastAsia="宋体" w:cs="宋体"/>
                <w:color w:val="auto"/>
                <w:kern w:val="0"/>
                <w:sz w:val="24"/>
                <w:szCs w:val="24"/>
                <w:highlight w:val="none"/>
              </w:rPr>
              <w:t>方案应包含以下内容</w:t>
            </w:r>
            <w:r>
              <w:rPr>
                <w:rFonts w:hint="eastAsia" w:ascii="宋体" w:hAnsi="宋体" w:eastAsia="宋体" w:cs="宋体"/>
                <w:bCs/>
                <w:color w:val="auto"/>
                <w:sz w:val="24"/>
                <w:szCs w:val="24"/>
                <w:highlight w:val="none"/>
                <w:lang w:val="zh-CN"/>
              </w:rPr>
              <w:t>：</w:t>
            </w:r>
          </w:p>
          <w:p w14:paraId="685326F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w:t>
            </w:r>
            <w:r>
              <w:rPr>
                <w:rFonts w:hint="eastAsia" w:ascii="宋体" w:hAnsi="宋体" w:eastAsia="宋体" w:cs="宋体"/>
                <w:color w:val="auto"/>
                <w:kern w:val="0"/>
                <w:sz w:val="24"/>
                <w:szCs w:val="24"/>
                <w:highlight w:val="none"/>
                <w:lang w:val="en-US" w:eastAsia="zh-CN"/>
              </w:rPr>
              <w:t>应急</w:t>
            </w:r>
            <w:r>
              <w:rPr>
                <w:rFonts w:hint="eastAsia" w:ascii="宋体" w:hAnsi="宋体" w:eastAsia="宋体" w:cs="宋体"/>
                <w:bCs/>
                <w:color w:val="auto"/>
                <w:sz w:val="24"/>
                <w:szCs w:val="24"/>
                <w:highlight w:val="none"/>
                <w:lang w:val="zh-CN"/>
              </w:rPr>
              <w:t>服务</w:t>
            </w:r>
            <w:r>
              <w:rPr>
                <w:rFonts w:hint="eastAsia" w:ascii="宋体" w:hAnsi="宋体" w:eastAsia="宋体" w:cs="宋体"/>
                <w:color w:val="auto"/>
                <w:kern w:val="0"/>
                <w:sz w:val="24"/>
                <w:szCs w:val="24"/>
                <w:highlight w:val="none"/>
                <w:lang w:val="en-US" w:eastAsia="zh-CN"/>
              </w:rPr>
              <w:t>方案</w:t>
            </w:r>
            <w:r>
              <w:rPr>
                <w:rFonts w:hint="eastAsia" w:ascii="宋体" w:hAnsi="宋体" w:eastAsia="宋体" w:cs="宋体"/>
                <w:bCs/>
                <w:color w:val="auto"/>
                <w:sz w:val="24"/>
                <w:szCs w:val="24"/>
                <w:highlight w:val="none"/>
                <w:lang w:val="zh-CN"/>
              </w:rPr>
              <w:t>；</w:t>
            </w:r>
          </w:p>
          <w:p w14:paraId="31E5BD0B">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w:t>
            </w:r>
            <w:r>
              <w:rPr>
                <w:rFonts w:hint="eastAsia" w:ascii="宋体" w:hAnsi="宋体" w:eastAsia="宋体" w:cs="宋体"/>
                <w:bCs/>
                <w:color w:val="auto"/>
                <w:sz w:val="24"/>
                <w:szCs w:val="24"/>
                <w:highlight w:val="none"/>
                <w:lang w:val="zh-CN"/>
              </w:rPr>
              <w:t>响应时间保障措施</w:t>
            </w:r>
            <w:r>
              <w:rPr>
                <w:rFonts w:hint="eastAsia" w:ascii="宋体" w:hAnsi="宋体" w:eastAsia="宋体" w:cs="宋体"/>
                <w:color w:val="auto"/>
                <w:kern w:val="0"/>
                <w:sz w:val="24"/>
                <w:szCs w:val="24"/>
                <w:highlight w:val="none"/>
              </w:rPr>
              <w:t>；</w:t>
            </w:r>
          </w:p>
          <w:p w14:paraId="05722FA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lang w:val="en-US" w:eastAsia="zh-CN"/>
              </w:rPr>
              <w:t>③</w:t>
            </w:r>
            <w:r>
              <w:rPr>
                <w:rFonts w:hint="eastAsia" w:ascii="宋体" w:hAnsi="宋体" w:eastAsia="宋体" w:cs="宋体"/>
                <w:bCs/>
                <w:color w:val="auto"/>
                <w:sz w:val="24"/>
                <w:szCs w:val="24"/>
                <w:highlight w:val="none"/>
                <w:lang w:val="zh-CN"/>
              </w:rPr>
              <w:t>备品备件管理方案。</w:t>
            </w:r>
          </w:p>
          <w:p w14:paraId="1AEB5F4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未提供或未完整提供①②③项方案的不得分；</w:t>
            </w:r>
          </w:p>
          <w:p w14:paraId="2FA02AA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按上述①②③项要求提供方案且阐述一般的，得3分；</w:t>
            </w:r>
          </w:p>
          <w:p w14:paraId="66667C8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按上述①②③项要求提供方案且比较全面、清晰、合理的，得6分；</w:t>
            </w:r>
          </w:p>
          <w:p w14:paraId="3F93954B">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按上述①②③项要求提供方案且全面、清晰、合理的，得10分。</w:t>
            </w:r>
          </w:p>
        </w:tc>
        <w:tc>
          <w:tcPr>
            <w:tcW w:w="540" w:type="dxa"/>
            <w:tcBorders>
              <w:top w:val="single" w:color="auto" w:sz="4" w:space="0"/>
              <w:left w:val="nil"/>
              <w:bottom w:val="single" w:color="auto" w:sz="4" w:space="0"/>
              <w:right w:val="single" w:color="auto" w:sz="8" w:space="0"/>
            </w:tcBorders>
            <w:vAlign w:val="center"/>
          </w:tcPr>
          <w:p w14:paraId="770FA3A1">
            <w:pPr>
              <w:snapToGrid w:val="0"/>
              <w:spacing w:line="240" w:lineRule="auto"/>
              <w:ind w:left="0" w:leftChars="0" w:right="0" w:rightChars="0" w:firstLine="0" w:firstLineChars="0"/>
              <w:jc w:val="center"/>
              <w:rPr>
                <w:rFonts w:hint="eastAsia" w:ascii="宋体" w:hAnsi="宋体" w:eastAsia="宋体" w:cs="宋体"/>
                <w:color w:val="auto"/>
                <w:spacing w:val="-3"/>
                <w:kern w:val="0"/>
                <w:sz w:val="24"/>
                <w:szCs w:val="24"/>
                <w:highlight w:val="none"/>
              </w:rPr>
            </w:pPr>
            <w:r>
              <w:rPr>
                <w:rFonts w:hint="eastAsia" w:ascii="宋体" w:hAnsi="宋体" w:eastAsia="宋体" w:cs="宋体"/>
                <w:color w:val="auto"/>
                <w:spacing w:val="-3"/>
                <w:kern w:val="0"/>
                <w:sz w:val="24"/>
                <w:szCs w:val="24"/>
                <w:highlight w:val="none"/>
              </w:rPr>
              <w:t>10</w:t>
            </w:r>
          </w:p>
        </w:tc>
        <w:tc>
          <w:tcPr>
            <w:tcW w:w="540" w:type="dxa"/>
            <w:tcBorders>
              <w:top w:val="single" w:color="auto" w:sz="4" w:space="0"/>
              <w:left w:val="nil"/>
              <w:bottom w:val="single" w:color="auto" w:sz="4" w:space="0"/>
              <w:right w:val="single" w:color="auto" w:sz="8" w:space="0"/>
            </w:tcBorders>
            <w:vAlign w:val="center"/>
          </w:tcPr>
          <w:p w14:paraId="3A8059D2">
            <w:pPr>
              <w:snapToGrid w:val="0"/>
              <w:spacing w:line="240" w:lineRule="auto"/>
              <w:ind w:left="0" w:leftChars="0" w:right="0" w:rightChars="0"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0</w:t>
            </w:r>
          </w:p>
        </w:tc>
        <w:tc>
          <w:tcPr>
            <w:tcW w:w="720" w:type="dxa"/>
            <w:tcBorders>
              <w:top w:val="single" w:color="auto" w:sz="4" w:space="0"/>
              <w:left w:val="nil"/>
              <w:bottom w:val="single" w:color="auto" w:sz="4" w:space="0"/>
              <w:right w:val="single" w:color="auto" w:sz="8" w:space="0"/>
            </w:tcBorders>
            <w:vAlign w:val="center"/>
          </w:tcPr>
          <w:p w14:paraId="4C08BA8A">
            <w:pPr>
              <w:snapToGrid w:val="0"/>
              <w:spacing w:line="240" w:lineRule="auto"/>
              <w:ind w:left="0" w:leftChars="0" w:right="0" w:rightChars="0"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主观</w:t>
            </w:r>
          </w:p>
        </w:tc>
      </w:tr>
      <w:tr w14:paraId="63E7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0" w:type="dxa"/>
            <w:tcBorders>
              <w:top w:val="single" w:color="auto" w:sz="8" w:space="0"/>
              <w:left w:val="single" w:color="auto" w:sz="8" w:space="0"/>
              <w:bottom w:val="single" w:color="auto" w:sz="8" w:space="0"/>
              <w:right w:val="single" w:color="auto" w:sz="8" w:space="0"/>
            </w:tcBorders>
            <w:vAlign w:val="center"/>
          </w:tcPr>
          <w:p w14:paraId="3CA47D30">
            <w:pPr>
              <w:snapToGrid w:val="0"/>
              <w:spacing w:line="240" w:lineRule="auto"/>
              <w:ind w:left="0" w:leftChars="0" w:right="0" w:rightChars="0"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w:t>
            </w:r>
          </w:p>
        </w:tc>
        <w:tc>
          <w:tcPr>
            <w:tcW w:w="1630" w:type="dxa"/>
            <w:tcBorders>
              <w:top w:val="single" w:color="auto" w:sz="8" w:space="0"/>
              <w:left w:val="nil"/>
              <w:bottom w:val="single" w:color="auto" w:sz="8" w:space="0"/>
              <w:right w:val="single" w:color="auto" w:sz="8" w:space="0"/>
            </w:tcBorders>
            <w:vAlign w:val="center"/>
          </w:tcPr>
          <w:p w14:paraId="0E296EAD">
            <w:pPr>
              <w:widowControl/>
              <w:snapToGrid w:val="0"/>
              <w:spacing w:line="240" w:lineRule="auto"/>
              <w:ind w:left="0" w:leftChars="0" w:right="0" w:rightChars="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lang w:val="zh-CN"/>
              </w:rPr>
              <w:t>公司</w:t>
            </w:r>
            <w:r>
              <w:rPr>
                <w:rFonts w:hint="eastAsia" w:ascii="宋体" w:hAnsi="宋体" w:eastAsia="宋体" w:cs="宋体"/>
                <w:bCs/>
                <w:color w:val="auto"/>
                <w:kern w:val="0"/>
                <w:sz w:val="24"/>
                <w:szCs w:val="24"/>
                <w:highlight w:val="none"/>
              </w:rPr>
              <w:t>综合实力</w:t>
            </w:r>
          </w:p>
        </w:tc>
        <w:tc>
          <w:tcPr>
            <w:tcW w:w="5163" w:type="dxa"/>
            <w:tcBorders>
              <w:top w:val="single" w:color="auto" w:sz="4" w:space="0"/>
              <w:left w:val="nil"/>
              <w:bottom w:val="single" w:color="auto" w:sz="4" w:space="0"/>
              <w:right w:val="single" w:color="auto" w:sz="8" w:space="0"/>
            </w:tcBorders>
            <w:vAlign w:val="center"/>
          </w:tcPr>
          <w:p w14:paraId="29C911F0">
            <w:pPr>
              <w:snapToGrid w:val="0"/>
              <w:ind w:left="0" w:leftChars="0" w:right="0" w:rightChars="0" w:firstLine="0" w:firstLineChars="0"/>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1、具有中国网络安全审查技术与认证中心（或中国网络安全审查认证和市场监管大数据中心）颁发的有效的信息安全风险评估服务资质得3分。</w:t>
            </w:r>
          </w:p>
          <w:p w14:paraId="3A8BC874">
            <w:pPr>
              <w:snapToGrid w:val="0"/>
              <w:ind w:left="0" w:leftChars="0" w:right="0" w:rightChars="0" w:firstLine="0" w:firstLineChars="0"/>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2、具备具有中国网络安全审查技术与认证中心（或中国网络安全审查认证和市场监管大数据中心）颁发的</w:t>
            </w:r>
            <w:r>
              <w:rPr>
                <w:rFonts w:hint="eastAsia" w:ascii="宋体" w:hAnsi="宋体" w:eastAsia="宋体" w:cs="宋体"/>
                <w:bCs/>
                <w:color w:val="auto"/>
                <w:sz w:val="24"/>
                <w:szCs w:val="24"/>
                <w:highlight w:val="none"/>
              </w:rPr>
              <w:t>有效的</w:t>
            </w:r>
            <w:r>
              <w:rPr>
                <w:rFonts w:hint="eastAsia" w:ascii="宋体" w:hAnsi="宋体" w:eastAsia="宋体" w:cs="宋体"/>
                <w:bCs/>
                <w:color w:val="auto"/>
                <w:sz w:val="24"/>
                <w:szCs w:val="24"/>
                <w:highlight w:val="none"/>
                <w:lang w:val="zh-CN"/>
              </w:rPr>
              <w:t>信息系统安全运维服务资质得3分。</w:t>
            </w:r>
          </w:p>
          <w:p w14:paraId="6814C367">
            <w:pPr>
              <w:widowControl w:val="0"/>
              <w:snapToGrid w:val="0"/>
              <w:ind w:left="0" w:leftChars="0" w:right="0" w:rightChars="0" w:firstLine="0" w:firstLineChars="0"/>
              <w:jc w:val="left"/>
              <w:rPr>
                <w:rFonts w:hint="eastAsia" w:ascii="宋体" w:hAnsi="宋体" w:eastAsia="宋体" w:cs="宋体"/>
                <w:bCs/>
                <w:color w:val="auto"/>
                <w:kern w:val="0"/>
                <w:sz w:val="24"/>
                <w:szCs w:val="24"/>
                <w:highlight w:val="none"/>
                <w:lang w:val="zh-CN" w:eastAsia="zh-CN" w:bidi="ar-SA"/>
              </w:rPr>
            </w:pPr>
            <w:r>
              <w:rPr>
                <w:rFonts w:hint="eastAsia" w:ascii="宋体" w:hAnsi="宋体" w:eastAsia="宋体" w:cs="宋体"/>
                <w:bCs/>
                <w:color w:val="auto"/>
                <w:kern w:val="0"/>
                <w:sz w:val="24"/>
                <w:szCs w:val="24"/>
                <w:highlight w:val="none"/>
                <w:lang w:val="zh-CN" w:eastAsia="zh-CN" w:bidi="ar-SA"/>
              </w:rPr>
              <w:t>3、具备具有中国网络安全审查技术与认证中心（或中国网络安全审查认证和市场监管大数据中心）颁发的</w:t>
            </w:r>
            <w:r>
              <w:rPr>
                <w:rFonts w:hint="eastAsia" w:ascii="宋体" w:hAnsi="宋体" w:eastAsia="宋体" w:cs="宋体"/>
                <w:bCs/>
                <w:color w:val="auto"/>
                <w:kern w:val="0"/>
                <w:sz w:val="24"/>
                <w:szCs w:val="24"/>
                <w:highlight w:val="none"/>
                <w:lang w:val="en-US" w:eastAsia="zh-CN" w:bidi="ar-SA"/>
              </w:rPr>
              <w:t>有效的</w:t>
            </w:r>
            <w:r>
              <w:rPr>
                <w:rFonts w:hint="eastAsia" w:ascii="宋体" w:hAnsi="宋体" w:eastAsia="宋体" w:cs="宋体"/>
                <w:bCs/>
                <w:color w:val="auto"/>
                <w:kern w:val="0"/>
                <w:sz w:val="24"/>
                <w:szCs w:val="24"/>
                <w:highlight w:val="none"/>
                <w:lang w:val="zh-CN" w:eastAsia="zh-CN" w:bidi="ar-SA"/>
              </w:rPr>
              <w:t>信息系统安全集成资质得3分。</w:t>
            </w:r>
          </w:p>
          <w:p w14:paraId="70373908">
            <w:pPr>
              <w:widowControl w:val="0"/>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证明材料：</w:t>
            </w:r>
            <w:r>
              <w:rPr>
                <w:rFonts w:hint="eastAsia" w:ascii="宋体" w:hAnsi="宋体" w:eastAsia="宋体" w:cs="宋体"/>
                <w:bCs/>
                <w:color w:val="auto"/>
                <w:kern w:val="0"/>
                <w:sz w:val="24"/>
                <w:szCs w:val="24"/>
                <w:highlight w:val="none"/>
                <w:lang w:val="zh-CN" w:eastAsia="zh-CN" w:bidi="ar-SA"/>
              </w:rPr>
              <w:t>以上</w:t>
            </w:r>
            <w:r>
              <w:rPr>
                <w:rFonts w:hint="eastAsia" w:ascii="宋体" w:hAnsi="宋体" w:eastAsia="宋体" w:cs="宋体"/>
                <w:bCs/>
                <w:color w:val="auto"/>
                <w:kern w:val="0"/>
                <w:sz w:val="24"/>
                <w:szCs w:val="24"/>
                <w:highlight w:val="none"/>
                <w:lang w:val="en-US" w:eastAsia="zh-CN" w:bidi="ar-SA"/>
              </w:rPr>
              <w:t>1</w:t>
            </w:r>
            <w:r>
              <w:rPr>
                <w:rFonts w:hint="eastAsia" w:ascii="宋体" w:hAnsi="宋体" w:eastAsia="宋体" w:cs="宋体"/>
                <w:bCs/>
                <w:color w:val="auto"/>
                <w:kern w:val="0"/>
                <w:sz w:val="24"/>
                <w:szCs w:val="24"/>
                <w:highlight w:val="none"/>
                <w:lang w:val="zh-CN" w:eastAsia="zh-CN" w:bidi="ar-SA"/>
              </w:rPr>
              <w:t>-</w:t>
            </w:r>
            <w:r>
              <w:rPr>
                <w:rFonts w:hint="eastAsia" w:ascii="宋体" w:hAnsi="宋体" w:eastAsia="宋体" w:cs="宋体"/>
                <w:bCs/>
                <w:color w:val="auto"/>
                <w:kern w:val="0"/>
                <w:sz w:val="24"/>
                <w:szCs w:val="24"/>
                <w:highlight w:val="none"/>
                <w:lang w:val="en-US" w:eastAsia="zh-CN" w:bidi="ar-SA"/>
              </w:rPr>
              <w:t>3</w:t>
            </w:r>
            <w:r>
              <w:rPr>
                <w:rFonts w:hint="eastAsia" w:ascii="宋体" w:hAnsi="宋体" w:eastAsia="宋体" w:cs="宋体"/>
                <w:bCs/>
                <w:color w:val="auto"/>
                <w:kern w:val="0"/>
                <w:sz w:val="24"/>
                <w:szCs w:val="24"/>
                <w:highlight w:val="none"/>
                <w:lang w:val="zh-CN" w:eastAsia="zh-CN" w:bidi="ar-SA"/>
              </w:rPr>
              <w:t>项需提供相关证书的复印件（或扫描件）加盖供应商公章，否则不得分。</w:t>
            </w:r>
          </w:p>
        </w:tc>
        <w:tc>
          <w:tcPr>
            <w:tcW w:w="540" w:type="dxa"/>
            <w:tcBorders>
              <w:top w:val="single" w:color="auto" w:sz="4" w:space="0"/>
              <w:left w:val="nil"/>
              <w:bottom w:val="single" w:color="auto" w:sz="4" w:space="0"/>
              <w:right w:val="single" w:color="auto" w:sz="8" w:space="0"/>
            </w:tcBorders>
            <w:vAlign w:val="center"/>
          </w:tcPr>
          <w:p w14:paraId="44ACC5C2">
            <w:pPr>
              <w:widowControl/>
              <w:snapToGrid w:val="0"/>
              <w:spacing w:line="240" w:lineRule="auto"/>
              <w:ind w:left="0" w:leftChars="0" w:right="0" w:righ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540" w:type="dxa"/>
            <w:tcBorders>
              <w:top w:val="single" w:color="auto" w:sz="4" w:space="0"/>
              <w:left w:val="nil"/>
              <w:bottom w:val="single" w:color="auto" w:sz="4" w:space="0"/>
              <w:right w:val="single" w:color="auto" w:sz="8" w:space="0"/>
            </w:tcBorders>
            <w:vAlign w:val="center"/>
          </w:tcPr>
          <w:p w14:paraId="0BEE8273">
            <w:pPr>
              <w:snapToGrid w:val="0"/>
              <w:spacing w:line="240" w:lineRule="auto"/>
              <w:ind w:left="0" w:leftChars="0" w:right="0" w:rightChars="0"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0</w:t>
            </w:r>
          </w:p>
        </w:tc>
        <w:tc>
          <w:tcPr>
            <w:tcW w:w="720" w:type="dxa"/>
            <w:tcBorders>
              <w:top w:val="single" w:color="auto" w:sz="4" w:space="0"/>
              <w:left w:val="nil"/>
              <w:bottom w:val="single" w:color="auto" w:sz="4" w:space="0"/>
              <w:right w:val="single" w:color="auto" w:sz="8" w:space="0"/>
            </w:tcBorders>
            <w:vAlign w:val="center"/>
          </w:tcPr>
          <w:p w14:paraId="4939E269">
            <w:pPr>
              <w:snapToGrid w:val="0"/>
              <w:spacing w:line="240" w:lineRule="auto"/>
              <w:ind w:left="0" w:leftChars="0" w:right="0" w:rightChars="0"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客观</w:t>
            </w:r>
          </w:p>
        </w:tc>
      </w:tr>
      <w:tr w14:paraId="3AC3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0" w:type="dxa"/>
            <w:tcBorders>
              <w:top w:val="single" w:color="auto" w:sz="8" w:space="0"/>
              <w:left w:val="single" w:color="auto" w:sz="8" w:space="0"/>
              <w:bottom w:val="single" w:color="auto" w:sz="8" w:space="0"/>
              <w:right w:val="single" w:color="auto" w:sz="8" w:space="0"/>
            </w:tcBorders>
            <w:vAlign w:val="center"/>
          </w:tcPr>
          <w:p w14:paraId="0C167CEB">
            <w:pPr>
              <w:snapToGrid w:val="0"/>
              <w:spacing w:line="240" w:lineRule="auto"/>
              <w:ind w:left="0" w:leftChars="0" w:right="0" w:rightChars="0"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w:t>
            </w:r>
          </w:p>
        </w:tc>
        <w:tc>
          <w:tcPr>
            <w:tcW w:w="1630" w:type="dxa"/>
            <w:tcBorders>
              <w:top w:val="single" w:color="auto" w:sz="8" w:space="0"/>
              <w:left w:val="nil"/>
              <w:bottom w:val="single" w:color="auto" w:sz="8" w:space="0"/>
              <w:right w:val="single" w:color="auto" w:sz="8" w:space="0"/>
            </w:tcBorders>
            <w:vAlign w:val="center"/>
          </w:tcPr>
          <w:p w14:paraId="5A066F30">
            <w:pPr>
              <w:widowControl/>
              <w:snapToGrid w:val="0"/>
              <w:spacing w:line="240" w:lineRule="auto"/>
              <w:ind w:left="0" w:leftChars="0" w:right="0" w:rightChars="0" w:firstLine="0" w:firstLineChars="0"/>
              <w:jc w:val="lef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业绩</w:t>
            </w:r>
          </w:p>
        </w:tc>
        <w:tc>
          <w:tcPr>
            <w:tcW w:w="5163" w:type="dxa"/>
            <w:tcBorders>
              <w:top w:val="single" w:color="auto" w:sz="4" w:space="0"/>
              <w:left w:val="nil"/>
              <w:bottom w:val="single" w:color="auto" w:sz="4" w:space="0"/>
              <w:right w:val="single" w:color="auto" w:sz="8" w:space="0"/>
            </w:tcBorders>
            <w:vAlign w:val="center"/>
          </w:tcPr>
          <w:p w14:paraId="6BAC6E1C">
            <w:pPr>
              <w:widowControl w:val="0"/>
              <w:snapToGrid w:val="0"/>
              <w:ind w:left="0" w:leftChars="0" w:right="0" w:rightChars="0" w:firstLine="0" w:firstLineChars="0"/>
              <w:jc w:val="left"/>
              <w:rPr>
                <w:rFonts w:hint="eastAsia" w:ascii="宋体" w:hAnsi="宋体" w:eastAsia="宋体" w:cs="宋体"/>
                <w:bCs/>
                <w:color w:val="auto"/>
                <w:kern w:val="0"/>
                <w:sz w:val="24"/>
                <w:szCs w:val="24"/>
                <w:highlight w:val="none"/>
                <w:lang w:val="en-US" w:eastAsia="zh-CN" w:bidi="en-US"/>
              </w:rPr>
            </w:pPr>
            <w:r>
              <w:rPr>
                <w:rFonts w:hint="eastAsia" w:ascii="宋体" w:hAnsi="宋体" w:eastAsia="宋体" w:cs="宋体"/>
                <w:bCs/>
                <w:color w:val="auto"/>
                <w:kern w:val="0"/>
                <w:sz w:val="24"/>
                <w:szCs w:val="24"/>
                <w:highlight w:val="none"/>
                <w:lang w:val="en-US" w:eastAsia="zh-CN" w:bidi="en-US"/>
              </w:rPr>
              <w:t>供应商自2022年1月1日以来（以合同签订时间为准）完成过项目内容包含网络或信息安全运维的项目，每提供一项得2分，最高10分。</w:t>
            </w:r>
          </w:p>
          <w:p w14:paraId="55C4A6C2">
            <w:pPr>
              <w:widowControl w:val="0"/>
              <w:snapToGrid w:val="0"/>
              <w:ind w:left="0" w:leftChars="0" w:right="0" w:rightChars="0" w:firstLine="0" w:firstLineChars="0"/>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bCs/>
                <w:color w:val="auto"/>
                <w:kern w:val="0"/>
                <w:sz w:val="24"/>
                <w:szCs w:val="24"/>
                <w:highlight w:val="none"/>
                <w:lang w:val="en-US" w:eastAsia="zh-CN" w:bidi="en-US"/>
              </w:rPr>
              <w:t>证明材料：提供合同的复印件（或扫描件）加盖供应商公章，否则不得分。</w:t>
            </w:r>
          </w:p>
        </w:tc>
        <w:tc>
          <w:tcPr>
            <w:tcW w:w="540" w:type="dxa"/>
            <w:tcBorders>
              <w:top w:val="single" w:color="auto" w:sz="4" w:space="0"/>
              <w:left w:val="nil"/>
              <w:bottom w:val="single" w:color="auto" w:sz="4" w:space="0"/>
              <w:right w:val="single" w:color="auto" w:sz="8" w:space="0"/>
            </w:tcBorders>
            <w:vAlign w:val="center"/>
          </w:tcPr>
          <w:p w14:paraId="7D00C4F0">
            <w:pPr>
              <w:widowControl/>
              <w:snapToGrid w:val="0"/>
              <w:spacing w:line="240" w:lineRule="auto"/>
              <w:ind w:left="0" w:leftChars="0" w:right="0" w:righ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10</w:t>
            </w:r>
          </w:p>
        </w:tc>
        <w:tc>
          <w:tcPr>
            <w:tcW w:w="540" w:type="dxa"/>
            <w:tcBorders>
              <w:top w:val="single" w:color="auto" w:sz="4" w:space="0"/>
              <w:left w:val="nil"/>
              <w:bottom w:val="single" w:color="auto" w:sz="4" w:space="0"/>
              <w:right w:val="single" w:color="auto" w:sz="8" w:space="0"/>
            </w:tcBorders>
            <w:vAlign w:val="center"/>
          </w:tcPr>
          <w:p w14:paraId="3C1258C1">
            <w:pPr>
              <w:snapToGrid w:val="0"/>
              <w:spacing w:line="240" w:lineRule="auto"/>
              <w:ind w:left="0" w:leftChars="0" w:right="0" w:rightChars="0"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0</w:t>
            </w:r>
          </w:p>
        </w:tc>
        <w:tc>
          <w:tcPr>
            <w:tcW w:w="720" w:type="dxa"/>
            <w:tcBorders>
              <w:top w:val="single" w:color="auto" w:sz="4" w:space="0"/>
              <w:left w:val="nil"/>
              <w:bottom w:val="single" w:color="auto" w:sz="4" w:space="0"/>
              <w:right w:val="single" w:color="auto" w:sz="8" w:space="0"/>
            </w:tcBorders>
            <w:vAlign w:val="center"/>
          </w:tcPr>
          <w:p w14:paraId="71251BB1">
            <w:pPr>
              <w:snapToGrid w:val="0"/>
              <w:spacing w:line="240" w:lineRule="auto"/>
              <w:ind w:left="0" w:leftChars="0" w:right="0" w:rightChars="0"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客观</w:t>
            </w:r>
          </w:p>
        </w:tc>
      </w:tr>
      <w:tr w14:paraId="3B60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0" w:type="dxa"/>
            <w:tcBorders>
              <w:top w:val="single" w:color="auto" w:sz="8" w:space="0"/>
              <w:left w:val="single" w:color="auto" w:sz="8" w:space="0"/>
              <w:bottom w:val="single" w:color="auto" w:sz="8" w:space="0"/>
              <w:right w:val="single" w:color="auto" w:sz="8" w:space="0"/>
            </w:tcBorders>
            <w:vAlign w:val="center"/>
          </w:tcPr>
          <w:p w14:paraId="4F9842D2">
            <w:pPr>
              <w:snapToGrid w:val="0"/>
              <w:spacing w:line="240" w:lineRule="auto"/>
              <w:ind w:left="0" w:leftChars="0" w:right="0" w:rightChars="0"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w:t>
            </w:r>
          </w:p>
        </w:tc>
        <w:tc>
          <w:tcPr>
            <w:tcW w:w="1630" w:type="dxa"/>
            <w:tcBorders>
              <w:top w:val="single" w:color="auto" w:sz="8" w:space="0"/>
              <w:left w:val="nil"/>
              <w:bottom w:val="single" w:color="auto" w:sz="8" w:space="0"/>
              <w:right w:val="single" w:color="auto" w:sz="8" w:space="0"/>
            </w:tcBorders>
            <w:vAlign w:val="center"/>
          </w:tcPr>
          <w:p w14:paraId="3BCAE91D">
            <w:pPr>
              <w:widowControl/>
              <w:snapToGrid w:val="0"/>
              <w:spacing w:line="240" w:lineRule="auto"/>
              <w:ind w:left="0" w:leftChars="0" w:right="0" w:rightChars="0" w:firstLine="0" w:firstLineChars="0"/>
              <w:jc w:val="lef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项目负责人</w:t>
            </w:r>
          </w:p>
        </w:tc>
        <w:tc>
          <w:tcPr>
            <w:tcW w:w="5163" w:type="dxa"/>
            <w:tcBorders>
              <w:top w:val="single" w:color="auto" w:sz="4" w:space="0"/>
              <w:left w:val="nil"/>
              <w:bottom w:val="single" w:color="auto" w:sz="4" w:space="0"/>
              <w:right w:val="single" w:color="auto" w:sz="8" w:space="0"/>
            </w:tcBorders>
            <w:vAlign w:val="center"/>
          </w:tcPr>
          <w:p w14:paraId="4FC4FCAD">
            <w:pPr>
              <w:widowControl w:val="0"/>
              <w:snapToGrid w:val="0"/>
              <w:ind w:left="0" w:leftChars="0" w:right="0" w:rightChars="0" w:firstLine="0" w:firstLineChars="0"/>
              <w:jc w:val="left"/>
              <w:rPr>
                <w:rFonts w:hint="eastAsia" w:ascii="宋体" w:hAnsi="宋体" w:eastAsia="宋体" w:cs="宋体"/>
                <w:bCs/>
                <w:color w:val="auto"/>
                <w:kern w:val="0"/>
                <w:sz w:val="24"/>
                <w:szCs w:val="24"/>
                <w:highlight w:val="none"/>
                <w:lang w:val="en-US" w:eastAsia="zh-CN" w:bidi="en-US"/>
              </w:rPr>
            </w:pPr>
            <w:r>
              <w:rPr>
                <w:rFonts w:hint="eastAsia" w:ascii="宋体" w:hAnsi="宋体" w:eastAsia="宋体" w:cs="宋体"/>
                <w:bCs/>
                <w:color w:val="auto"/>
                <w:kern w:val="0"/>
                <w:sz w:val="24"/>
                <w:szCs w:val="24"/>
                <w:highlight w:val="none"/>
                <w:lang w:val="en-US" w:eastAsia="zh-CN" w:bidi="en-US"/>
              </w:rPr>
              <w:t>项目负责人具有人社部</w:t>
            </w:r>
            <w:r>
              <w:rPr>
                <w:rFonts w:hint="eastAsia" w:ascii="宋体" w:hAnsi="宋体" w:cs="宋体"/>
                <w:bCs/>
                <w:color w:val="auto"/>
                <w:kern w:val="0"/>
                <w:sz w:val="24"/>
                <w:szCs w:val="24"/>
                <w:highlight w:val="none"/>
                <w:lang w:val="en-US" w:eastAsia="zh-CN" w:bidi="en-US"/>
              </w:rPr>
              <w:t>及</w:t>
            </w:r>
            <w:r>
              <w:rPr>
                <w:rFonts w:hint="eastAsia" w:ascii="宋体" w:hAnsi="宋体" w:eastAsia="宋体" w:cs="宋体"/>
                <w:bCs/>
                <w:color w:val="auto"/>
                <w:kern w:val="0"/>
                <w:sz w:val="24"/>
                <w:szCs w:val="24"/>
                <w:highlight w:val="none"/>
                <w:lang w:val="en-US" w:eastAsia="zh-CN" w:bidi="en-US"/>
              </w:rPr>
              <w:t>工信部联合颁发的信息系统项目管理师证书的得4分</w:t>
            </w:r>
            <w:r>
              <w:rPr>
                <w:rFonts w:hint="eastAsia" w:ascii="宋体" w:hAnsi="宋体" w:cs="宋体"/>
                <w:bCs/>
                <w:color w:val="auto"/>
                <w:kern w:val="0"/>
                <w:sz w:val="24"/>
                <w:szCs w:val="24"/>
                <w:highlight w:val="none"/>
                <w:lang w:val="en-US" w:eastAsia="zh-CN" w:bidi="en-US"/>
              </w:rPr>
              <w:t>、</w:t>
            </w:r>
            <w:r>
              <w:rPr>
                <w:rFonts w:hint="eastAsia" w:ascii="宋体" w:hAnsi="宋体" w:eastAsia="宋体" w:cs="宋体"/>
                <w:bCs/>
                <w:color w:val="auto"/>
                <w:kern w:val="0"/>
                <w:sz w:val="24"/>
                <w:szCs w:val="24"/>
                <w:highlight w:val="none"/>
                <w:lang w:val="en-US" w:eastAsia="zh-CN" w:bidi="en-US"/>
              </w:rPr>
              <w:t>系统集成项目管理工程师证书的得2分</w:t>
            </w:r>
            <w:r>
              <w:rPr>
                <w:rFonts w:hint="eastAsia" w:ascii="宋体" w:hAnsi="宋体" w:cs="宋体"/>
                <w:bCs/>
                <w:color w:val="auto"/>
                <w:kern w:val="0"/>
                <w:sz w:val="24"/>
                <w:szCs w:val="24"/>
                <w:highlight w:val="none"/>
                <w:lang w:val="en-US" w:eastAsia="zh-CN" w:bidi="en-US"/>
              </w:rPr>
              <w:t>；</w:t>
            </w:r>
            <w:r>
              <w:rPr>
                <w:rFonts w:hint="eastAsia" w:ascii="宋体" w:hAnsi="宋体" w:eastAsia="宋体" w:cs="宋体"/>
                <w:bCs/>
                <w:color w:val="auto"/>
                <w:kern w:val="0"/>
                <w:sz w:val="24"/>
                <w:szCs w:val="24"/>
                <w:highlight w:val="none"/>
                <w:lang w:val="en-US" w:eastAsia="zh-CN" w:bidi="en-US"/>
              </w:rPr>
              <w:t>具有中国信息安全测评中心</w:t>
            </w:r>
            <w:r>
              <w:rPr>
                <w:rFonts w:hint="eastAsia" w:ascii="宋体" w:hAnsi="宋体" w:cs="宋体"/>
                <w:bCs/>
                <w:color w:val="auto"/>
                <w:kern w:val="0"/>
                <w:sz w:val="24"/>
                <w:szCs w:val="24"/>
                <w:highlight w:val="none"/>
                <w:lang w:val="en-US" w:eastAsia="zh-CN" w:bidi="en-US"/>
              </w:rPr>
              <w:t>颁发的</w:t>
            </w:r>
            <w:r>
              <w:rPr>
                <w:rFonts w:hint="eastAsia" w:ascii="宋体" w:hAnsi="宋体" w:eastAsia="宋体" w:cs="宋体"/>
                <w:bCs/>
                <w:color w:val="auto"/>
                <w:kern w:val="0"/>
                <w:sz w:val="24"/>
                <w:szCs w:val="24"/>
                <w:highlight w:val="none"/>
                <w:lang w:val="en-US" w:eastAsia="zh-CN" w:bidi="en-US"/>
              </w:rPr>
              <w:t>注册信息安全专业人员CISP或具有人社部、工信部联合颁发的信息安全工程师证书得2分。本项最多6分。</w:t>
            </w:r>
          </w:p>
          <w:p w14:paraId="0FB5B04E">
            <w:pPr>
              <w:widowControl w:val="0"/>
              <w:snapToGrid w:val="0"/>
              <w:ind w:left="0" w:leftChars="0" w:right="0" w:rightChars="0" w:firstLine="0" w:firstLineChars="0"/>
              <w:jc w:val="left"/>
              <w:rPr>
                <w:rFonts w:hint="eastAsia" w:ascii="宋体" w:hAnsi="宋体" w:eastAsia="宋体" w:cs="宋体"/>
                <w:bCs/>
                <w:color w:val="auto"/>
                <w:kern w:val="0"/>
                <w:sz w:val="24"/>
                <w:szCs w:val="24"/>
                <w:highlight w:val="none"/>
                <w:lang w:val="zh-CN" w:eastAsia="zh-CN" w:bidi="en-US"/>
              </w:rPr>
            </w:pPr>
            <w:r>
              <w:rPr>
                <w:rFonts w:hint="eastAsia" w:ascii="宋体" w:hAnsi="宋体" w:eastAsia="宋体" w:cs="宋体"/>
                <w:bCs/>
                <w:color w:val="auto"/>
                <w:kern w:val="0"/>
                <w:sz w:val="24"/>
                <w:szCs w:val="24"/>
                <w:highlight w:val="none"/>
                <w:lang w:val="en-US" w:eastAsia="zh-CN" w:bidi="en-US"/>
              </w:rPr>
              <w:t>证明材料：提供合同的复印件（或扫描件）加盖供应商公章，否则不得分。</w:t>
            </w:r>
          </w:p>
        </w:tc>
        <w:tc>
          <w:tcPr>
            <w:tcW w:w="540" w:type="dxa"/>
            <w:tcBorders>
              <w:top w:val="single" w:color="auto" w:sz="4" w:space="0"/>
              <w:left w:val="nil"/>
              <w:bottom w:val="single" w:color="auto" w:sz="4" w:space="0"/>
              <w:right w:val="single" w:color="auto" w:sz="8" w:space="0"/>
            </w:tcBorders>
            <w:vAlign w:val="center"/>
          </w:tcPr>
          <w:p w14:paraId="4FEB6182">
            <w:pPr>
              <w:snapToGrid w:val="0"/>
              <w:spacing w:line="240" w:lineRule="auto"/>
              <w:ind w:left="0" w:leftChars="0" w:right="0" w:rightChars="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6</w:t>
            </w:r>
          </w:p>
        </w:tc>
        <w:tc>
          <w:tcPr>
            <w:tcW w:w="540" w:type="dxa"/>
            <w:tcBorders>
              <w:top w:val="single" w:color="auto" w:sz="4" w:space="0"/>
              <w:left w:val="nil"/>
              <w:bottom w:val="single" w:color="auto" w:sz="4" w:space="0"/>
              <w:right w:val="single" w:color="auto" w:sz="8" w:space="0"/>
            </w:tcBorders>
            <w:vAlign w:val="center"/>
          </w:tcPr>
          <w:p w14:paraId="42DB5FBD">
            <w:pPr>
              <w:snapToGrid w:val="0"/>
              <w:spacing w:line="240" w:lineRule="auto"/>
              <w:ind w:left="0" w:leftChars="0" w:right="0" w:rightChars="0"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0</w:t>
            </w:r>
          </w:p>
        </w:tc>
        <w:tc>
          <w:tcPr>
            <w:tcW w:w="720" w:type="dxa"/>
            <w:tcBorders>
              <w:top w:val="single" w:color="auto" w:sz="4" w:space="0"/>
              <w:left w:val="nil"/>
              <w:bottom w:val="single" w:color="auto" w:sz="4" w:space="0"/>
              <w:right w:val="single" w:color="auto" w:sz="8" w:space="0"/>
            </w:tcBorders>
            <w:vAlign w:val="center"/>
          </w:tcPr>
          <w:p w14:paraId="4D214FCA">
            <w:pPr>
              <w:snapToGrid w:val="0"/>
              <w:spacing w:line="240" w:lineRule="auto"/>
              <w:ind w:left="0" w:leftChars="0" w:right="0" w:rightChars="0"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客观</w:t>
            </w:r>
          </w:p>
        </w:tc>
      </w:tr>
      <w:tr w14:paraId="3CBD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0" w:type="dxa"/>
            <w:tcBorders>
              <w:top w:val="single" w:color="auto" w:sz="8" w:space="0"/>
              <w:left w:val="single" w:color="auto" w:sz="8" w:space="0"/>
              <w:bottom w:val="single" w:color="auto" w:sz="8" w:space="0"/>
              <w:right w:val="single" w:color="auto" w:sz="8" w:space="0"/>
            </w:tcBorders>
            <w:vAlign w:val="center"/>
          </w:tcPr>
          <w:p w14:paraId="0F98384F">
            <w:pPr>
              <w:snapToGrid w:val="0"/>
              <w:spacing w:line="240" w:lineRule="auto"/>
              <w:ind w:left="0" w:leftChars="0" w:right="0" w:rightChars="0"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w:t>
            </w:r>
          </w:p>
        </w:tc>
        <w:tc>
          <w:tcPr>
            <w:tcW w:w="1630" w:type="dxa"/>
            <w:tcBorders>
              <w:top w:val="single" w:color="auto" w:sz="8" w:space="0"/>
              <w:left w:val="nil"/>
              <w:right w:val="single" w:color="auto" w:sz="8" w:space="0"/>
            </w:tcBorders>
            <w:vAlign w:val="center"/>
          </w:tcPr>
          <w:p w14:paraId="17499358">
            <w:pPr>
              <w:widowControl/>
              <w:snapToGrid w:val="0"/>
              <w:spacing w:line="240" w:lineRule="auto"/>
              <w:ind w:left="0" w:leftChars="0" w:right="0" w:rightChars="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项目团队其他成员实力</w:t>
            </w:r>
          </w:p>
        </w:tc>
        <w:tc>
          <w:tcPr>
            <w:tcW w:w="5163" w:type="dxa"/>
            <w:tcBorders>
              <w:top w:val="single" w:color="auto" w:sz="4" w:space="0"/>
              <w:left w:val="nil"/>
              <w:bottom w:val="single" w:color="auto" w:sz="4" w:space="0"/>
              <w:right w:val="single" w:color="auto" w:sz="8" w:space="0"/>
            </w:tcBorders>
            <w:vAlign w:val="center"/>
          </w:tcPr>
          <w:p w14:paraId="4506758F">
            <w:pPr>
              <w:widowControl w:val="0"/>
              <w:snapToGrid w:val="0"/>
              <w:ind w:left="0" w:leftChars="0" w:right="0" w:rightChars="0" w:firstLine="0" w:firstLineChars="0"/>
              <w:jc w:val="left"/>
              <w:rPr>
                <w:rFonts w:hint="eastAsia" w:ascii="宋体" w:hAnsi="宋体" w:eastAsia="宋体" w:cs="宋体"/>
                <w:bCs/>
                <w:color w:val="auto"/>
                <w:kern w:val="0"/>
                <w:sz w:val="24"/>
                <w:szCs w:val="24"/>
                <w:highlight w:val="none"/>
                <w:lang w:val="en-US" w:eastAsia="zh-CN" w:bidi="en-US"/>
              </w:rPr>
            </w:pPr>
            <w:r>
              <w:rPr>
                <w:rFonts w:hint="eastAsia" w:ascii="宋体" w:hAnsi="宋体" w:eastAsia="宋体" w:cs="宋体"/>
                <w:bCs/>
                <w:color w:val="auto"/>
                <w:kern w:val="0"/>
                <w:sz w:val="24"/>
                <w:szCs w:val="24"/>
                <w:highlight w:val="none"/>
                <w:lang w:val="en-US" w:eastAsia="zh-CN" w:bidi="en-US"/>
              </w:rPr>
              <w:t>除项目负责人外的其他拟投入本项目的团队成员符合如下要求的：</w:t>
            </w:r>
          </w:p>
          <w:p w14:paraId="77DA72FC">
            <w:pPr>
              <w:widowControl w:val="0"/>
              <w:snapToGrid w:val="0"/>
              <w:ind w:left="0" w:leftChars="0" w:right="0" w:rightChars="0" w:firstLine="0" w:firstLineChars="0"/>
              <w:jc w:val="left"/>
              <w:rPr>
                <w:rFonts w:hint="eastAsia" w:ascii="宋体" w:hAnsi="宋体" w:eastAsia="宋体" w:cs="宋体"/>
                <w:bCs/>
                <w:color w:val="auto"/>
                <w:kern w:val="0"/>
                <w:sz w:val="24"/>
                <w:szCs w:val="24"/>
                <w:highlight w:val="none"/>
                <w:lang w:val="zh-CN" w:eastAsia="zh-CN" w:bidi="en-US"/>
              </w:rPr>
            </w:pPr>
            <w:r>
              <w:rPr>
                <w:rFonts w:hint="eastAsia" w:ascii="宋体" w:hAnsi="宋体" w:eastAsia="宋体" w:cs="宋体"/>
                <w:bCs/>
                <w:color w:val="auto"/>
                <w:kern w:val="0"/>
                <w:sz w:val="24"/>
                <w:szCs w:val="24"/>
                <w:highlight w:val="none"/>
                <w:lang w:val="zh-CN" w:eastAsia="zh-CN" w:bidi="en-US"/>
              </w:rPr>
              <w:t>1、具有CISAW信息安全保障人员认证资格（安全运维（专业级），</w:t>
            </w:r>
            <w:r>
              <w:rPr>
                <w:rFonts w:hint="eastAsia" w:ascii="宋体" w:hAnsi="宋体" w:eastAsia="宋体" w:cs="宋体"/>
                <w:bCs/>
                <w:color w:val="auto"/>
                <w:kern w:val="0"/>
                <w:sz w:val="24"/>
                <w:szCs w:val="24"/>
                <w:highlight w:val="none"/>
                <w:lang w:val="en-US" w:eastAsia="zh-CN" w:bidi="en-US"/>
              </w:rPr>
              <w:t>每</w:t>
            </w:r>
            <w:r>
              <w:rPr>
                <w:rFonts w:hint="eastAsia" w:ascii="宋体" w:hAnsi="宋体" w:eastAsia="宋体" w:cs="宋体"/>
                <w:bCs/>
                <w:color w:val="auto"/>
                <w:kern w:val="0"/>
                <w:sz w:val="24"/>
                <w:szCs w:val="24"/>
                <w:highlight w:val="none"/>
                <w:lang w:val="zh-CN" w:eastAsia="zh-CN" w:bidi="en-US"/>
              </w:rPr>
              <w:t>提供一份证书得</w:t>
            </w:r>
            <w:r>
              <w:rPr>
                <w:rFonts w:hint="eastAsia" w:ascii="宋体" w:hAnsi="宋体" w:eastAsia="宋体" w:cs="宋体"/>
                <w:bCs/>
                <w:color w:val="auto"/>
                <w:kern w:val="0"/>
                <w:sz w:val="24"/>
                <w:szCs w:val="24"/>
                <w:highlight w:val="none"/>
                <w:lang w:val="en-US" w:eastAsia="zh-CN" w:bidi="en-US"/>
              </w:rPr>
              <w:t>1</w:t>
            </w:r>
            <w:r>
              <w:rPr>
                <w:rFonts w:hint="eastAsia" w:ascii="宋体" w:hAnsi="宋体" w:eastAsia="宋体" w:cs="宋体"/>
                <w:bCs/>
                <w:color w:val="auto"/>
                <w:kern w:val="0"/>
                <w:sz w:val="24"/>
                <w:szCs w:val="24"/>
                <w:highlight w:val="none"/>
                <w:lang w:val="zh-CN" w:eastAsia="zh-CN" w:bidi="en-US"/>
              </w:rPr>
              <w:t>分，本项最</w:t>
            </w:r>
            <w:r>
              <w:rPr>
                <w:rFonts w:hint="eastAsia" w:ascii="宋体" w:hAnsi="宋体" w:eastAsia="宋体" w:cs="宋体"/>
                <w:bCs/>
                <w:color w:val="auto"/>
                <w:kern w:val="0"/>
                <w:sz w:val="24"/>
                <w:szCs w:val="24"/>
                <w:highlight w:val="none"/>
                <w:lang w:val="en-US" w:eastAsia="zh-CN" w:bidi="en-US"/>
              </w:rPr>
              <w:t>高</w:t>
            </w:r>
            <w:r>
              <w:rPr>
                <w:rFonts w:hint="eastAsia" w:ascii="宋体" w:hAnsi="宋体" w:eastAsia="宋体" w:cs="宋体"/>
                <w:bCs/>
                <w:color w:val="auto"/>
                <w:kern w:val="0"/>
                <w:sz w:val="24"/>
                <w:szCs w:val="24"/>
                <w:highlight w:val="none"/>
                <w:lang w:val="zh-CN" w:eastAsia="zh-CN" w:bidi="en-US"/>
              </w:rPr>
              <w:t>得</w:t>
            </w:r>
            <w:r>
              <w:rPr>
                <w:rFonts w:hint="eastAsia" w:ascii="宋体" w:hAnsi="宋体" w:eastAsia="宋体" w:cs="宋体"/>
                <w:bCs/>
                <w:color w:val="auto"/>
                <w:kern w:val="0"/>
                <w:sz w:val="24"/>
                <w:szCs w:val="24"/>
                <w:highlight w:val="none"/>
                <w:lang w:val="en-US" w:eastAsia="zh-CN" w:bidi="en-US"/>
              </w:rPr>
              <w:t>3</w:t>
            </w:r>
            <w:r>
              <w:rPr>
                <w:rFonts w:hint="eastAsia" w:ascii="宋体" w:hAnsi="宋体" w:eastAsia="宋体" w:cs="宋体"/>
                <w:bCs/>
                <w:color w:val="auto"/>
                <w:kern w:val="0"/>
                <w:sz w:val="24"/>
                <w:szCs w:val="24"/>
                <w:highlight w:val="none"/>
                <w:lang w:val="zh-CN" w:eastAsia="zh-CN" w:bidi="en-US"/>
              </w:rPr>
              <w:t>分；</w:t>
            </w:r>
          </w:p>
          <w:p w14:paraId="56C4D4C8">
            <w:pPr>
              <w:widowControl w:val="0"/>
              <w:snapToGrid w:val="0"/>
              <w:ind w:left="0" w:leftChars="0" w:right="0" w:rightChars="0" w:firstLine="0" w:firstLineChars="0"/>
              <w:jc w:val="left"/>
              <w:rPr>
                <w:rFonts w:hint="eastAsia" w:ascii="宋体" w:hAnsi="宋体" w:eastAsia="宋体" w:cs="宋体"/>
                <w:bCs/>
                <w:color w:val="auto"/>
                <w:kern w:val="0"/>
                <w:sz w:val="24"/>
                <w:szCs w:val="24"/>
                <w:highlight w:val="none"/>
                <w:lang w:val="zh-CN" w:eastAsia="zh-CN" w:bidi="en-US"/>
              </w:rPr>
            </w:pPr>
            <w:r>
              <w:rPr>
                <w:rFonts w:hint="eastAsia" w:ascii="宋体" w:hAnsi="宋体" w:eastAsia="宋体" w:cs="宋体"/>
                <w:bCs/>
                <w:color w:val="auto"/>
                <w:kern w:val="0"/>
                <w:sz w:val="24"/>
                <w:szCs w:val="24"/>
                <w:highlight w:val="none"/>
                <w:lang w:val="zh-CN" w:eastAsia="zh-CN" w:bidi="en-US"/>
              </w:rPr>
              <w:t>2、具有CISAW信息安全保障人员认证资格（风险管理（专业级），</w:t>
            </w:r>
            <w:r>
              <w:rPr>
                <w:rFonts w:hint="eastAsia" w:ascii="宋体" w:hAnsi="宋体" w:eastAsia="宋体" w:cs="宋体"/>
                <w:bCs/>
                <w:color w:val="auto"/>
                <w:kern w:val="0"/>
                <w:sz w:val="24"/>
                <w:szCs w:val="24"/>
                <w:highlight w:val="none"/>
                <w:lang w:val="en-US" w:eastAsia="zh-CN" w:bidi="en-US"/>
              </w:rPr>
              <w:t>每</w:t>
            </w:r>
            <w:r>
              <w:rPr>
                <w:rFonts w:hint="eastAsia" w:ascii="宋体" w:hAnsi="宋体" w:eastAsia="宋体" w:cs="宋体"/>
                <w:bCs/>
                <w:color w:val="auto"/>
                <w:kern w:val="0"/>
                <w:sz w:val="24"/>
                <w:szCs w:val="24"/>
                <w:highlight w:val="none"/>
                <w:lang w:val="zh-CN" w:eastAsia="zh-CN" w:bidi="en-US"/>
              </w:rPr>
              <w:t>提供一份证书得</w:t>
            </w:r>
            <w:r>
              <w:rPr>
                <w:rFonts w:hint="eastAsia" w:ascii="宋体" w:hAnsi="宋体" w:eastAsia="宋体" w:cs="宋体"/>
                <w:bCs/>
                <w:color w:val="auto"/>
                <w:kern w:val="0"/>
                <w:sz w:val="24"/>
                <w:szCs w:val="24"/>
                <w:highlight w:val="none"/>
                <w:lang w:val="en-US" w:eastAsia="zh-CN" w:bidi="en-US"/>
              </w:rPr>
              <w:t>1</w:t>
            </w:r>
            <w:r>
              <w:rPr>
                <w:rFonts w:hint="eastAsia" w:ascii="宋体" w:hAnsi="宋体" w:eastAsia="宋体" w:cs="宋体"/>
                <w:bCs/>
                <w:color w:val="auto"/>
                <w:kern w:val="0"/>
                <w:sz w:val="24"/>
                <w:szCs w:val="24"/>
                <w:highlight w:val="none"/>
                <w:lang w:val="zh-CN" w:eastAsia="zh-CN" w:bidi="en-US"/>
              </w:rPr>
              <w:t>分，本项最</w:t>
            </w:r>
            <w:r>
              <w:rPr>
                <w:rFonts w:hint="eastAsia" w:ascii="宋体" w:hAnsi="宋体" w:eastAsia="宋体" w:cs="宋体"/>
                <w:bCs/>
                <w:color w:val="auto"/>
                <w:kern w:val="0"/>
                <w:sz w:val="24"/>
                <w:szCs w:val="24"/>
                <w:highlight w:val="none"/>
                <w:lang w:val="en-US" w:eastAsia="zh-CN" w:bidi="en-US"/>
              </w:rPr>
              <w:t>高</w:t>
            </w:r>
            <w:r>
              <w:rPr>
                <w:rFonts w:hint="eastAsia" w:ascii="宋体" w:hAnsi="宋体" w:eastAsia="宋体" w:cs="宋体"/>
                <w:bCs/>
                <w:color w:val="auto"/>
                <w:kern w:val="0"/>
                <w:sz w:val="24"/>
                <w:szCs w:val="24"/>
                <w:highlight w:val="none"/>
                <w:lang w:val="zh-CN" w:eastAsia="zh-CN" w:bidi="en-US"/>
              </w:rPr>
              <w:t>得</w:t>
            </w:r>
            <w:r>
              <w:rPr>
                <w:rFonts w:hint="eastAsia" w:ascii="宋体" w:hAnsi="宋体" w:eastAsia="宋体" w:cs="宋体"/>
                <w:bCs/>
                <w:color w:val="auto"/>
                <w:kern w:val="0"/>
                <w:sz w:val="24"/>
                <w:szCs w:val="24"/>
                <w:highlight w:val="none"/>
                <w:lang w:val="en-US" w:eastAsia="zh-CN" w:bidi="en-US"/>
              </w:rPr>
              <w:t>3</w:t>
            </w:r>
            <w:r>
              <w:rPr>
                <w:rFonts w:hint="eastAsia" w:ascii="宋体" w:hAnsi="宋体" w:eastAsia="宋体" w:cs="宋体"/>
                <w:bCs/>
                <w:color w:val="auto"/>
                <w:kern w:val="0"/>
                <w:sz w:val="24"/>
                <w:szCs w:val="24"/>
                <w:highlight w:val="none"/>
                <w:lang w:val="zh-CN" w:eastAsia="zh-CN" w:bidi="en-US"/>
              </w:rPr>
              <w:t>分；</w:t>
            </w:r>
          </w:p>
          <w:p w14:paraId="667A243C">
            <w:pPr>
              <w:widowControl w:val="0"/>
              <w:snapToGrid w:val="0"/>
              <w:ind w:left="0" w:leftChars="0" w:right="0" w:rightChars="0" w:firstLine="0" w:firstLineChars="0"/>
              <w:jc w:val="left"/>
              <w:rPr>
                <w:rFonts w:hint="eastAsia" w:ascii="宋体" w:hAnsi="宋体" w:eastAsia="宋体" w:cs="宋体"/>
                <w:bCs/>
                <w:color w:val="auto"/>
                <w:kern w:val="0"/>
                <w:sz w:val="24"/>
                <w:szCs w:val="24"/>
                <w:highlight w:val="none"/>
                <w:lang w:val="zh-CN" w:eastAsia="zh-CN" w:bidi="en-US"/>
              </w:rPr>
            </w:pPr>
            <w:r>
              <w:rPr>
                <w:rFonts w:hint="eastAsia" w:ascii="宋体" w:hAnsi="宋体" w:eastAsia="宋体" w:cs="宋体"/>
                <w:bCs/>
                <w:color w:val="auto"/>
                <w:kern w:val="0"/>
                <w:sz w:val="24"/>
                <w:szCs w:val="24"/>
                <w:highlight w:val="none"/>
                <w:lang w:val="zh-CN" w:eastAsia="zh-CN" w:bidi="en-US"/>
              </w:rPr>
              <w:t>3、具有CISAW信息安全保障人员认证资格（安全集成（专业级），</w:t>
            </w:r>
            <w:r>
              <w:rPr>
                <w:rFonts w:hint="eastAsia" w:ascii="宋体" w:hAnsi="宋体" w:eastAsia="宋体" w:cs="宋体"/>
                <w:bCs/>
                <w:color w:val="auto"/>
                <w:kern w:val="0"/>
                <w:sz w:val="24"/>
                <w:szCs w:val="24"/>
                <w:highlight w:val="none"/>
                <w:lang w:val="en-US" w:eastAsia="zh-CN" w:bidi="en-US"/>
              </w:rPr>
              <w:t>每</w:t>
            </w:r>
            <w:r>
              <w:rPr>
                <w:rFonts w:hint="eastAsia" w:ascii="宋体" w:hAnsi="宋体" w:eastAsia="宋体" w:cs="宋体"/>
                <w:bCs/>
                <w:color w:val="auto"/>
                <w:kern w:val="0"/>
                <w:sz w:val="24"/>
                <w:szCs w:val="24"/>
                <w:highlight w:val="none"/>
                <w:lang w:val="zh-CN" w:eastAsia="zh-CN" w:bidi="en-US"/>
              </w:rPr>
              <w:t>提供一份证书得</w:t>
            </w:r>
            <w:r>
              <w:rPr>
                <w:rFonts w:hint="eastAsia" w:ascii="宋体" w:hAnsi="宋体" w:eastAsia="宋体" w:cs="宋体"/>
                <w:bCs/>
                <w:color w:val="auto"/>
                <w:kern w:val="0"/>
                <w:sz w:val="24"/>
                <w:szCs w:val="24"/>
                <w:highlight w:val="none"/>
                <w:lang w:val="en-US" w:eastAsia="zh-CN" w:bidi="en-US"/>
              </w:rPr>
              <w:t>1</w:t>
            </w:r>
            <w:r>
              <w:rPr>
                <w:rFonts w:hint="eastAsia" w:ascii="宋体" w:hAnsi="宋体" w:eastAsia="宋体" w:cs="宋体"/>
                <w:bCs/>
                <w:color w:val="auto"/>
                <w:kern w:val="0"/>
                <w:sz w:val="24"/>
                <w:szCs w:val="24"/>
                <w:highlight w:val="none"/>
                <w:lang w:val="zh-CN" w:eastAsia="zh-CN" w:bidi="en-US"/>
              </w:rPr>
              <w:t>分，本项最</w:t>
            </w:r>
            <w:r>
              <w:rPr>
                <w:rFonts w:hint="eastAsia" w:ascii="宋体" w:hAnsi="宋体" w:eastAsia="宋体" w:cs="宋体"/>
                <w:bCs/>
                <w:color w:val="auto"/>
                <w:kern w:val="0"/>
                <w:sz w:val="24"/>
                <w:szCs w:val="24"/>
                <w:highlight w:val="none"/>
                <w:lang w:val="en-US" w:eastAsia="zh-CN" w:bidi="en-US"/>
              </w:rPr>
              <w:t>高</w:t>
            </w:r>
            <w:r>
              <w:rPr>
                <w:rFonts w:hint="eastAsia" w:ascii="宋体" w:hAnsi="宋体" w:eastAsia="宋体" w:cs="宋体"/>
                <w:bCs/>
                <w:color w:val="auto"/>
                <w:kern w:val="0"/>
                <w:sz w:val="24"/>
                <w:szCs w:val="24"/>
                <w:highlight w:val="none"/>
                <w:lang w:val="zh-CN" w:eastAsia="zh-CN" w:bidi="en-US"/>
              </w:rPr>
              <w:t>得</w:t>
            </w:r>
            <w:r>
              <w:rPr>
                <w:rFonts w:hint="eastAsia" w:ascii="宋体" w:hAnsi="宋体" w:eastAsia="宋体" w:cs="宋体"/>
                <w:bCs/>
                <w:color w:val="auto"/>
                <w:kern w:val="0"/>
                <w:sz w:val="24"/>
                <w:szCs w:val="24"/>
                <w:highlight w:val="none"/>
                <w:lang w:val="en-US" w:eastAsia="zh-CN" w:bidi="en-US"/>
              </w:rPr>
              <w:t>3</w:t>
            </w:r>
            <w:r>
              <w:rPr>
                <w:rFonts w:hint="eastAsia" w:ascii="宋体" w:hAnsi="宋体" w:eastAsia="宋体" w:cs="宋体"/>
                <w:bCs/>
                <w:color w:val="auto"/>
                <w:kern w:val="0"/>
                <w:sz w:val="24"/>
                <w:szCs w:val="24"/>
                <w:highlight w:val="none"/>
                <w:lang w:val="zh-CN" w:eastAsia="zh-CN" w:bidi="en-US"/>
              </w:rPr>
              <w:t>分；</w:t>
            </w:r>
          </w:p>
          <w:p w14:paraId="134958E2">
            <w:pPr>
              <w:widowControl w:val="0"/>
              <w:snapToGrid w:val="0"/>
              <w:ind w:left="0" w:leftChars="0" w:right="0" w:rightChars="0" w:firstLine="0" w:firstLineChars="0"/>
              <w:jc w:val="left"/>
              <w:rPr>
                <w:rFonts w:hint="eastAsia" w:ascii="宋体" w:hAnsi="宋体" w:eastAsia="宋体" w:cs="宋体"/>
                <w:bCs/>
                <w:color w:val="auto"/>
                <w:kern w:val="0"/>
                <w:sz w:val="24"/>
                <w:szCs w:val="24"/>
                <w:highlight w:val="none"/>
                <w:lang w:val="zh-CN" w:eastAsia="zh-CN" w:bidi="en-US"/>
              </w:rPr>
            </w:pPr>
            <w:r>
              <w:rPr>
                <w:rFonts w:hint="eastAsia" w:ascii="宋体" w:hAnsi="宋体" w:eastAsia="宋体" w:cs="宋体"/>
                <w:bCs/>
                <w:color w:val="auto"/>
                <w:kern w:val="0"/>
                <w:sz w:val="24"/>
                <w:szCs w:val="24"/>
                <w:highlight w:val="none"/>
                <w:lang w:val="zh-CN" w:eastAsia="zh-CN" w:bidi="en-US"/>
              </w:rPr>
              <w:t>4、具有CISAW信息安全保障人员认证资格（应急服务（专业级），</w:t>
            </w:r>
            <w:r>
              <w:rPr>
                <w:rFonts w:hint="eastAsia" w:ascii="宋体" w:hAnsi="宋体" w:eastAsia="宋体" w:cs="宋体"/>
                <w:bCs/>
                <w:color w:val="auto"/>
                <w:kern w:val="0"/>
                <w:sz w:val="24"/>
                <w:szCs w:val="24"/>
                <w:highlight w:val="none"/>
                <w:lang w:val="en-US" w:eastAsia="zh-CN" w:bidi="en-US"/>
              </w:rPr>
              <w:t>每</w:t>
            </w:r>
            <w:r>
              <w:rPr>
                <w:rFonts w:hint="eastAsia" w:ascii="宋体" w:hAnsi="宋体" w:eastAsia="宋体" w:cs="宋体"/>
                <w:bCs/>
                <w:color w:val="auto"/>
                <w:kern w:val="0"/>
                <w:sz w:val="24"/>
                <w:szCs w:val="24"/>
                <w:highlight w:val="none"/>
                <w:lang w:val="zh-CN" w:eastAsia="zh-CN" w:bidi="en-US"/>
              </w:rPr>
              <w:t>提供一份证书得</w:t>
            </w:r>
            <w:r>
              <w:rPr>
                <w:rFonts w:hint="eastAsia" w:ascii="宋体" w:hAnsi="宋体" w:eastAsia="宋体" w:cs="宋体"/>
                <w:bCs/>
                <w:color w:val="auto"/>
                <w:kern w:val="0"/>
                <w:sz w:val="24"/>
                <w:szCs w:val="24"/>
                <w:highlight w:val="none"/>
                <w:lang w:val="en-US" w:eastAsia="zh-CN" w:bidi="en-US"/>
              </w:rPr>
              <w:t>1</w:t>
            </w:r>
            <w:r>
              <w:rPr>
                <w:rFonts w:hint="eastAsia" w:ascii="宋体" w:hAnsi="宋体" w:eastAsia="宋体" w:cs="宋体"/>
                <w:bCs/>
                <w:color w:val="auto"/>
                <w:kern w:val="0"/>
                <w:sz w:val="24"/>
                <w:szCs w:val="24"/>
                <w:highlight w:val="none"/>
                <w:lang w:val="zh-CN" w:eastAsia="zh-CN" w:bidi="en-US"/>
              </w:rPr>
              <w:t>分，本项最</w:t>
            </w:r>
            <w:r>
              <w:rPr>
                <w:rFonts w:hint="eastAsia" w:ascii="宋体" w:hAnsi="宋体" w:eastAsia="宋体" w:cs="宋体"/>
                <w:bCs/>
                <w:color w:val="auto"/>
                <w:kern w:val="0"/>
                <w:sz w:val="24"/>
                <w:szCs w:val="24"/>
                <w:highlight w:val="none"/>
                <w:lang w:val="en-US" w:eastAsia="zh-CN" w:bidi="en-US"/>
              </w:rPr>
              <w:t>高</w:t>
            </w:r>
            <w:r>
              <w:rPr>
                <w:rFonts w:hint="eastAsia" w:ascii="宋体" w:hAnsi="宋体" w:eastAsia="宋体" w:cs="宋体"/>
                <w:bCs/>
                <w:color w:val="auto"/>
                <w:kern w:val="0"/>
                <w:sz w:val="24"/>
                <w:szCs w:val="24"/>
                <w:highlight w:val="none"/>
                <w:lang w:val="zh-CN" w:eastAsia="zh-CN" w:bidi="en-US"/>
              </w:rPr>
              <w:t>得</w:t>
            </w:r>
            <w:r>
              <w:rPr>
                <w:rFonts w:hint="eastAsia" w:ascii="宋体" w:hAnsi="宋体" w:eastAsia="宋体" w:cs="宋体"/>
                <w:bCs/>
                <w:color w:val="auto"/>
                <w:kern w:val="0"/>
                <w:sz w:val="24"/>
                <w:szCs w:val="24"/>
                <w:highlight w:val="none"/>
                <w:lang w:val="en-US" w:eastAsia="zh-CN" w:bidi="en-US"/>
              </w:rPr>
              <w:t>3</w:t>
            </w:r>
            <w:r>
              <w:rPr>
                <w:rFonts w:hint="eastAsia" w:ascii="宋体" w:hAnsi="宋体" w:eastAsia="宋体" w:cs="宋体"/>
                <w:bCs/>
                <w:color w:val="auto"/>
                <w:kern w:val="0"/>
                <w:sz w:val="24"/>
                <w:szCs w:val="24"/>
                <w:highlight w:val="none"/>
                <w:lang w:val="zh-CN" w:eastAsia="zh-CN" w:bidi="en-US"/>
              </w:rPr>
              <w:t>分；</w:t>
            </w:r>
          </w:p>
          <w:p w14:paraId="70ACA34C">
            <w:pPr>
              <w:widowControl w:val="0"/>
              <w:snapToGrid w:val="0"/>
              <w:ind w:left="0" w:leftChars="0" w:right="0" w:rightChars="0" w:firstLine="0" w:firstLineChars="0"/>
              <w:jc w:val="left"/>
              <w:rPr>
                <w:rFonts w:hint="eastAsia" w:ascii="宋体" w:hAnsi="宋体" w:eastAsia="宋体" w:cs="宋体"/>
                <w:bCs/>
                <w:color w:val="auto"/>
                <w:kern w:val="0"/>
                <w:sz w:val="24"/>
                <w:szCs w:val="24"/>
                <w:highlight w:val="none"/>
                <w:lang w:val="zh-CN" w:eastAsia="zh-CN" w:bidi="en-US"/>
              </w:rPr>
            </w:pPr>
            <w:r>
              <w:rPr>
                <w:rFonts w:hint="eastAsia" w:ascii="宋体" w:hAnsi="宋体" w:eastAsia="宋体" w:cs="宋体"/>
                <w:bCs/>
                <w:color w:val="auto"/>
                <w:kern w:val="0"/>
                <w:sz w:val="24"/>
                <w:szCs w:val="24"/>
                <w:highlight w:val="none"/>
                <w:lang w:val="zh-CN" w:eastAsia="zh-CN" w:bidi="en-US"/>
              </w:rPr>
              <w:t>5、具有国家互联网应急中心颁发的 CCSC网络安全能力认证证书，</w:t>
            </w:r>
            <w:r>
              <w:rPr>
                <w:rFonts w:hint="eastAsia" w:ascii="宋体" w:hAnsi="宋体" w:eastAsia="宋体" w:cs="宋体"/>
                <w:bCs/>
                <w:color w:val="auto"/>
                <w:kern w:val="0"/>
                <w:sz w:val="24"/>
                <w:szCs w:val="24"/>
                <w:highlight w:val="none"/>
                <w:lang w:val="en-US" w:eastAsia="zh-CN" w:bidi="en-US"/>
              </w:rPr>
              <w:t>每</w:t>
            </w:r>
            <w:r>
              <w:rPr>
                <w:rFonts w:hint="eastAsia" w:ascii="宋体" w:hAnsi="宋体" w:eastAsia="宋体" w:cs="宋体"/>
                <w:bCs/>
                <w:color w:val="auto"/>
                <w:kern w:val="0"/>
                <w:sz w:val="24"/>
                <w:szCs w:val="24"/>
                <w:highlight w:val="none"/>
                <w:lang w:val="zh-CN" w:eastAsia="zh-CN" w:bidi="en-US"/>
              </w:rPr>
              <w:t>提供一份证书得</w:t>
            </w:r>
            <w:r>
              <w:rPr>
                <w:rFonts w:hint="eastAsia" w:ascii="宋体" w:hAnsi="宋体" w:eastAsia="宋体" w:cs="宋体"/>
                <w:bCs/>
                <w:color w:val="auto"/>
                <w:kern w:val="0"/>
                <w:sz w:val="24"/>
                <w:szCs w:val="24"/>
                <w:highlight w:val="none"/>
                <w:lang w:val="en-US" w:eastAsia="zh-CN" w:bidi="en-US"/>
              </w:rPr>
              <w:t>1</w:t>
            </w:r>
            <w:r>
              <w:rPr>
                <w:rFonts w:hint="eastAsia" w:ascii="宋体" w:hAnsi="宋体" w:eastAsia="宋体" w:cs="宋体"/>
                <w:bCs/>
                <w:color w:val="auto"/>
                <w:kern w:val="0"/>
                <w:sz w:val="24"/>
                <w:szCs w:val="24"/>
                <w:highlight w:val="none"/>
                <w:lang w:val="zh-CN" w:eastAsia="zh-CN" w:bidi="en-US"/>
              </w:rPr>
              <w:t>分，本项最</w:t>
            </w:r>
            <w:r>
              <w:rPr>
                <w:rFonts w:hint="eastAsia" w:ascii="宋体" w:hAnsi="宋体" w:eastAsia="宋体" w:cs="宋体"/>
                <w:bCs/>
                <w:color w:val="auto"/>
                <w:kern w:val="0"/>
                <w:sz w:val="24"/>
                <w:szCs w:val="24"/>
                <w:highlight w:val="none"/>
                <w:lang w:val="en-US" w:eastAsia="zh-CN" w:bidi="en-US"/>
              </w:rPr>
              <w:t>高</w:t>
            </w:r>
            <w:r>
              <w:rPr>
                <w:rFonts w:hint="eastAsia" w:ascii="宋体" w:hAnsi="宋体" w:eastAsia="宋体" w:cs="宋体"/>
                <w:bCs/>
                <w:color w:val="auto"/>
                <w:kern w:val="0"/>
                <w:sz w:val="24"/>
                <w:szCs w:val="24"/>
                <w:highlight w:val="none"/>
                <w:lang w:val="zh-CN" w:eastAsia="zh-CN" w:bidi="en-US"/>
              </w:rPr>
              <w:t>得</w:t>
            </w:r>
            <w:r>
              <w:rPr>
                <w:rFonts w:hint="eastAsia" w:ascii="宋体" w:hAnsi="宋体" w:eastAsia="宋体" w:cs="宋体"/>
                <w:bCs/>
                <w:color w:val="auto"/>
                <w:kern w:val="0"/>
                <w:sz w:val="24"/>
                <w:szCs w:val="24"/>
                <w:highlight w:val="none"/>
                <w:lang w:val="en-US" w:eastAsia="zh-CN" w:bidi="en-US"/>
              </w:rPr>
              <w:t>3</w:t>
            </w:r>
            <w:r>
              <w:rPr>
                <w:rFonts w:hint="eastAsia" w:ascii="宋体" w:hAnsi="宋体" w:eastAsia="宋体" w:cs="宋体"/>
                <w:bCs/>
                <w:color w:val="auto"/>
                <w:kern w:val="0"/>
                <w:sz w:val="24"/>
                <w:szCs w:val="24"/>
                <w:highlight w:val="none"/>
                <w:lang w:val="zh-CN" w:eastAsia="zh-CN" w:bidi="en-US"/>
              </w:rPr>
              <w:t>分；</w:t>
            </w:r>
          </w:p>
          <w:p w14:paraId="070EA164">
            <w:pPr>
              <w:widowControl w:val="0"/>
              <w:snapToGrid w:val="0"/>
              <w:ind w:left="0" w:leftChars="0" w:right="0" w:rightChars="0" w:firstLine="0" w:firstLineChars="0"/>
              <w:jc w:val="left"/>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6、具备</w:t>
            </w:r>
            <w:r>
              <w:rPr>
                <w:rFonts w:hint="eastAsia" w:ascii="宋体" w:hAnsi="宋体" w:eastAsia="宋体" w:cs="宋体"/>
                <w:bCs/>
                <w:color w:val="auto"/>
                <w:kern w:val="0"/>
                <w:sz w:val="24"/>
                <w:szCs w:val="24"/>
                <w:highlight w:val="none"/>
                <w:lang w:val="en-US" w:eastAsia="zh-CN" w:bidi="en-US"/>
              </w:rPr>
              <w:t>人社部</w:t>
            </w:r>
            <w:r>
              <w:rPr>
                <w:rFonts w:hint="eastAsia" w:ascii="宋体" w:hAnsi="宋体" w:cs="宋体"/>
                <w:bCs/>
                <w:color w:val="auto"/>
                <w:kern w:val="0"/>
                <w:sz w:val="24"/>
                <w:szCs w:val="24"/>
                <w:highlight w:val="none"/>
                <w:lang w:val="en-US" w:eastAsia="zh-CN" w:bidi="en-US"/>
              </w:rPr>
              <w:t>及</w:t>
            </w:r>
            <w:r>
              <w:rPr>
                <w:rFonts w:hint="eastAsia" w:ascii="宋体" w:hAnsi="宋体" w:eastAsia="宋体" w:cs="宋体"/>
                <w:bCs/>
                <w:color w:val="auto"/>
                <w:kern w:val="0"/>
                <w:sz w:val="24"/>
                <w:szCs w:val="24"/>
                <w:highlight w:val="none"/>
                <w:lang w:val="en-US" w:eastAsia="zh-CN" w:bidi="en-US"/>
              </w:rPr>
              <w:t>工信部联合颁发的</w:t>
            </w:r>
            <w:r>
              <w:rPr>
                <w:rFonts w:hint="eastAsia" w:ascii="宋体" w:hAnsi="宋体" w:eastAsia="宋体" w:cs="宋体"/>
                <w:bCs/>
                <w:color w:val="auto"/>
                <w:kern w:val="0"/>
                <w:sz w:val="24"/>
                <w:szCs w:val="24"/>
                <w:highlight w:val="none"/>
                <w:lang w:val="en-US" w:eastAsia="zh-CN" w:bidi="ar-SA"/>
              </w:rPr>
              <w:t>信息系统项目管理师，每提供一份证书得2分；具备</w:t>
            </w:r>
            <w:r>
              <w:rPr>
                <w:rFonts w:hint="eastAsia" w:ascii="宋体" w:hAnsi="宋体" w:eastAsia="宋体" w:cs="宋体"/>
                <w:bCs/>
                <w:color w:val="auto"/>
                <w:kern w:val="0"/>
                <w:sz w:val="24"/>
                <w:szCs w:val="24"/>
                <w:highlight w:val="none"/>
                <w:lang w:val="en-US" w:eastAsia="zh-CN" w:bidi="en-US"/>
              </w:rPr>
              <w:t>人社部</w:t>
            </w:r>
            <w:r>
              <w:rPr>
                <w:rFonts w:hint="eastAsia" w:ascii="宋体" w:hAnsi="宋体" w:cs="宋体"/>
                <w:bCs/>
                <w:color w:val="auto"/>
                <w:kern w:val="0"/>
                <w:sz w:val="24"/>
                <w:szCs w:val="24"/>
                <w:highlight w:val="none"/>
                <w:lang w:val="en-US" w:eastAsia="zh-CN" w:bidi="en-US"/>
              </w:rPr>
              <w:t>及</w:t>
            </w:r>
            <w:r>
              <w:rPr>
                <w:rFonts w:hint="eastAsia" w:ascii="宋体" w:hAnsi="宋体" w:eastAsia="宋体" w:cs="宋体"/>
                <w:bCs/>
                <w:color w:val="auto"/>
                <w:kern w:val="0"/>
                <w:sz w:val="24"/>
                <w:szCs w:val="24"/>
                <w:highlight w:val="none"/>
                <w:lang w:val="en-US" w:eastAsia="zh-CN" w:bidi="en-US"/>
              </w:rPr>
              <w:t>工信部联合颁发的</w:t>
            </w:r>
            <w:r>
              <w:rPr>
                <w:rFonts w:hint="eastAsia" w:ascii="宋体" w:hAnsi="宋体" w:eastAsia="宋体" w:cs="宋体"/>
                <w:bCs/>
                <w:color w:val="auto"/>
                <w:kern w:val="0"/>
                <w:sz w:val="24"/>
                <w:szCs w:val="24"/>
                <w:highlight w:val="none"/>
                <w:lang w:val="en-US" w:eastAsia="zh-CN" w:bidi="ar-SA"/>
              </w:rPr>
              <w:t>系统集成项目管理工程师证书，每提供一份证书得1分</w:t>
            </w:r>
            <w:r>
              <w:rPr>
                <w:rFonts w:hint="eastAsia" w:ascii="宋体" w:hAnsi="宋体" w:cs="宋体"/>
                <w:bCs/>
                <w:color w:val="auto"/>
                <w:kern w:val="0"/>
                <w:sz w:val="24"/>
                <w:szCs w:val="24"/>
                <w:highlight w:val="none"/>
                <w:lang w:val="en-US" w:eastAsia="zh-CN" w:bidi="ar-SA"/>
              </w:rPr>
              <w:t>。</w:t>
            </w:r>
            <w:r>
              <w:rPr>
                <w:rFonts w:hint="eastAsia" w:ascii="宋体" w:hAnsi="宋体" w:eastAsia="宋体" w:cs="宋体"/>
                <w:bCs/>
                <w:color w:val="auto"/>
                <w:kern w:val="0"/>
                <w:sz w:val="24"/>
                <w:szCs w:val="24"/>
                <w:highlight w:val="none"/>
                <w:lang w:val="en-US" w:eastAsia="zh-CN" w:bidi="ar-SA"/>
              </w:rPr>
              <w:t>本项最高得3分；</w:t>
            </w:r>
          </w:p>
          <w:p w14:paraId="4A776690">
            <w:pPr>
              <w:widowControl w:val="0"/>
              <w:numPr>
                <w:ilvl w:val="0"/>
                <w:numId w:val="3"/>
              </w:numPr>
              <w:snapToGrid w:val="0"/>
              <w:ind w:left="0" w:leftChars="0" w:right="0" w:rightChars="0" w:firstLine="0" w:firstLineChars="0"/>
              <w:jc w:val="left"/>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具备</w:t>
            </w:r>
            <w:r>
              <w:rPr>
                <w:rFonts w:hint="eastAsia" w:ascii="宋体" w:hAnsi="宋体" w:eastAsia="宋体" w:cs="宋体"/>
                <w:bCs/>
                <w:color w:val="auto"/>
                <w:kern w:val="0"/>
                <w:sz w:val="24"/>
                <w:szCs w:val="24"/>
                <w:highlight w:val="none"/>
                <w:lang w:val="en-US" w:eastAsia="zh-CN" w:bidi="en-US"/>
              </w:rPr>
              <w:t>中国信息安全测评中心</w:t>
            </w:r>
            <w:r>
              <w:rPr>
                <w:rFonts w:hint="eastAsia" w:ascii="宋体" w:hAnsi="宋体" w:cs="宋体"/>
                <w:bCs/>
                <w:color w:val="auto"/>
                <w:kern w:val="0"/>
                <w:sz w:val="24"/>
                <w:szCs w:val="24"/>
                <w:highlight w:val="none"/>
                <w:lang w:val="en-US" w:eastAsia="zh-CN" w:bidi="en-US"/>
              </w:rPr>
              <w:t>颁发的</w:t>
            </w:r>
            <w:r>
              <w:rPr>
                <w:rFonts w:hint="eastAsia" w:ascii="宋体" w:hAnsi="宋体" w:eastAsia="宋体" w:cs="宋体"/>
                <w:bCs/>
                <w:color w:val="auto"/>
                <w:kern w:val="0"/>
                <w:sz w:val="24"/>
                <w:szCs w:val="24"/>
                <w:highlight w:val="none"/>
                <w:lang w:val="en-US" w:eastAsia="zh-CN" w:bidi="en-US"/>
              </w:rPr>
              <w:t>注册信息安全专业人员CISP</w:t>
            </w:r>
            <w:r>
              <w:rPr>
                <w:rFonts w:hint="eastAsia" w:ascii="宋体" w:hAnsi="宋体" w:cs="宋体"/>
                <w:bCs/>
                <w:color w:val="auto"/>
                <w:kern w:val="0"/>
                <w:sz w:val="24"/>
                <w:szCs w:val="24"/>
                <w:highlight w:val="none"/>
                <w:lang w:val="en-US" w:eastAsia="zh-CN" w:bidi="en-US"/>
              </w:rPr>
              <w:t>，</w:t>
            </w:r>
            <w:r>
              <w:rPr>
                <w:rFonts w:hint="eastAsia" w:ascii="宋体" w:hAnsi="宋体" w:eastAsia="宋体" w:cs="宋体"/>
                <w:bCs/>
                <w:color w:val="auto"/>
                <w:kern w:val="0"/>
                <w:sz w:val="24"/>
                <w:szCs w:val="24"/>
                <w:highlight w:val="none"/>
                <w:lang w:val="en-US" w:eastAsia="zh-CN" w:bidi="ar-SA"/>
              </w:rPr>
              <w:t>每提供一份证书得2分；</w:t>
            </w:r>
            <w:r>
              <w:rPr>
                <w:rFonts w:hint="eastAsia" w:ascii="宋体" w:hAnsi="宋体" w:eastAsia="宋体" w:cs="宋体"/>
                <w:bCs/>
                <w:color w:val="auto"/>
                <w:kern w:val="0"/>
                <w:sz w:val="24"/>
                <w:szCs w:val="24"/>
                <w:highlight w:val="none"/>
                <w:lang w:val="en-US" w:eastAsia="zh-CN" w:bidi="en-US"/>
              </w:rPr>
              <w:t>具备人社部</w:t>
            </w:r>
            <w:r>
              <w:rPr>
                <w:rFonts w:hint="eastAsia" w:ascii="宋体" w:hAnsi="宋体" w:cs="宋体"/>
                <w:bCs/>
                <w:color w:val="auto"/>
                <w:kern w:val="0"/>
                <w:sz w:val="24"/>
                <w:szCs w:val="24"/>
                <w:highlight w:val="none"/>
                <w:lang w:val="en-US" w:eastAsia="zh-CN" w:bidi="en-US"/>
              </w:rPr>
              <w:t>及</w:t>
            </w:r>
            <w:r>
              <w:rPr>
                <w:rFonts w:hint="eastAsia" w:ascii="宋体" w:hAnsi="宋体" w:eastAsia="宋体" w:cs="宋体"/>
                <w:bCs/>
                <w:color w:val="auto"/>
                <w:kern w:val="0"/>
                <w:sz w:val="24"/>
                <w:szCs w:val="24"/>
                <w:highlight w:val="none"/>
                <w:lang w:val="en-US" w:eastAsia="zh-CN" w:bidi="en-US"/>
              </w:rPr>
              <w:t>工信部联合颁发的信息安全工程师证书，</w:t>
            </w:r>
            <w:r>
              <w:rPr>
                <w:rFonts w:hint="eastAsia" w:ascii="宋体" w:hAnsi="宋体" w:eastAsia="宋体" w:cs="宋体"/>
                <w:bCs/>
                <w:color w:val="auto"/>
                <w:kern w:val="0"/>
                <w:sz w:val="24"/>
                <w:szCs w:val="24"/>
                <w:highlight w:val="none"/>
                <w:lang w:val="en-US" w:eastAsia="zh-CN" w:bidi="ar-SA"/>
              </w:rPr>
              <w:t>每提供一份证书得1分</w:t>
            </w:r>
            <w:r>
              <w:rPr>
                <w:rFonts w:hint="eastAsia" w:ascii="宋体" w:hAnsi="宋体" w:cs="宋体"/>
                <w:bCs/>
                <w:color w:val="auto"/>
                <w:kern w:val="0"/>
                <w:sz w:val="24"/>
                <w:szCs w:val="24"/>
                <w:highlight w:val="none"/>
                <w:lang w:val="en-US" w:eastAsia="zh-CN" w:bidi="ar-SA"/>
              </w:rPr>
              <w:t>。</w:t>
            </w:r>
            <w:r>
              <w:rPr>
                <w:rFonts w:hint="eastAsia" w:ascii="宋体" w:hAnsi="宋体" w:eastAsia="宋体" w:cs="宋体"/>
                <w:bCs/>
                <w:color w:val="auto"/>
                <w:kern w:val="0"/>
                <w:sz w:val="24"/>
                <w:szCs w:val="24"/>
                <w:highlight w:val="none"/>
                <w:lang w:val="en-US" w:eastAsia="zh-CN" w:bidi="ar-SA"/>
              </w:rPr>
              <w:t>本项最高得5分。</w:t>
            </w:r>
          </w:p>
          <w:p w14:paraId="23652CD7">
            <w:pPr>
              <w:widowControl w:val="0"/>
              <w:snapToGrid w:val="0"/>
              <w:ind w:left="0" w:leftChars="0" w:right="0" w:rightChars="0" w:firstLine="0" w:firstLineChars="0"/>
              <w:jc w:val="left"/>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en-US"/>
              </w:rPr>
              <w:t>证明材料：</w:t>
            </w:r>
            <w:r>
              <w:rPr>
                <w:rFonts w:hint="eastAsia" w:ascii="宋体" w:hAnsi="宋体" w:eastAsia="宋体" w:cs="宋体"/>
                <w:bCs/>
                <w:color w:val="auto"/>
                <w:kern w:val="0"/>
                <w:sz w:val="24"/>
                <w:szCs w:val="24"/>
                <w:highlight w:val="none"/>
                <w:lang w:val="zh-CN" w:eastAsia="zh-CN" w:bidi="ar-SA"/>
              </w:rPr>
              <w:t>以上</w:t>
            </w:r>
            <w:r>
              <w:rPr>
                <w:rFonts w:hint="eastAsia" w:ascii="宋体" w:hAnsi="宋体" w:eastAsia="宋体" w:cs="宋体"/>
                <w:bCs/>
                <w:color w:val="auto"/>
                <w:kern w:val="0"/>
                <w:sz w:val="24"/>
                <w:szCs w:val="24"/>
                <w:highlight w:val="none"/>
                <w:lang w:val="en-US" w:eastAsia="zh-CN" w:bidi="ar-SA"/>
              </w:rPr>
              <w:t>1</w:t>
            </w:r>
            <w:r>
              <w:rPr>
                <w:rFonts w:hint="eastAsia" w:ascii="宋体" w:hAnsi="宋体" w:eastAsia="宋体" w:cs="宋体"/>
                <w:bCs/>
                <w:color w:val="auto"/>
                <w:kern w:val="0"/>
                <w:sz w:val="24"/>
                <w:szCs w:val="24"/>
                <w:highlight w:val="none"/>
                <w:lang w:val="zh-CN" w:eastAsia="zh-CN" w:bidi="ar-SA"/>
              </w:rPr>
              <w:t>-</w:t>
            </w:r>
            <w:r>
              <w:rPr>
                <w:rFonts w:hint="eastAsia" w:ascii="宋体" w:hAnsi="宋体" w:eastAsia="宋体" w:cs="宋体"/>
                <w:bCs/>
                <w:color w:val="auto"/>
                <w:kern w:val="0"/>
                <w:sz w:val="24"/>
                <w:szCs w:val="24"/>
                <w:highlight w:val="none"/>
                <w:lang w:val="en-US" w:eastAsia="zh-CN" w:bidi="ar-SA"/>
              </w:rPr>
              <w:t>7</w:t>
            </w:r>
            <w:r>
              <w:rPr>
                <w:rFonts w:hint="eastAsia" w:ascii="宋体" w:hAnsi="宋体" w:eastAsia="宋体" w:cs="宋体"/>
                <w:bCs/>
                <w:color w:val="auto"/>
                <w:kern w:val="0"/>
                <w:sz w:val="24"/>
                <w:szCs w:val="24"/>
                <w:highlight w:val="none"/>
                <w:lang w:val="zh-CN" w:eastAsia="zh-CN" w:bidi="ar-SA"/>
              </w:rPr>
              <w:t>项需提供相关证书</w:t>
            </w:r>
            <w:r>
              <w:rPr>
                <w:rFonts w:hint="eastAsia" w:ascii="宋体" w:hAnsi="宋体" w:eastAsia="宋体" w:cs="宋体"/>
                <w:bCs/>
                <w:color w:val="auto"/>
                <w:kern w:val="2"/>
                <w:sz w:val="24"/>
                <w:szCs w:val="24"/>
                <w:highlight w:val="none"/>
                <w:lang w:val="zh-CN" w:eastAsia="zh-CN" w:bidi="ar-SA"/>
              </w:rPr>
              <w:t>的复印件（或扫描件）</w:t>
            </w:r>
            <w:r>
              <w:rPr>
                <w:rFonts w:hint="eastAsia" w:ascii="宋体" w:hAnsi="宋体" w:eastAsia="宋体" w:cs="宋体"/>
                <w:bCs/>
                <w:color w:val="auto"/>
                <w:kern w:val="0"/>
                <w:sz w:val="24"/>
                <w:szCs w:val="24"/>
                <w:highlight w:val="none"/>
                <w:lang w:val="zh-CN" w:eastAsia="zh-CN" w:bidi="ar-SA"/>
              </w:rPr>
              <w:t>加盖供应商公章，否则不得分。</w:t>
            </w:r>
          </w:p>
          <w:p w14:paraId="709734DA">
            <w:pPr>
              <w:widowControl w:val="0"/>
              <w:snapToGrid w:val="0"/>
              <w:ind w:left="0" w:leftChars="0" w:right="0" w:rightChars="0" w:firstLine="0" w:firstLineChars="0"/>
              <w:jc w:val="left"/>
              <w:rPr>
                <w:rFonts w:hint="eastAsia" w:ascii="宋体" w:hAnsi="宋体" w:eastAsia="宋体" w:cs="宋体"/>
                <w:bCs/>
                <w:color w:val="auto"/>
                <w:kern w:val="0"/>
                <w:sz w:val="24"/>
                <w:szCs w:val="24"/>
                <w:highlight w:val="none"/>
                <w:lang w:val="zh-CN" w:eastAsia="zh-CN" w:bidi="en-US"/>
              </w:rPr>
            </w:pPr>
            <w:r>
              <w:rPr>
                <w:rFonts w:hint="eastAsia" w:ascii="宋体" w:hAnsi="宋体" w:eastAsia="宋体" w:cs="宋体"/>
                <w:bCs/>
                <w:color w:val="auto"/>
                <w:kern w:val="0"/>
                <w:sz w:val="24"/>
                <w:szCs w:val="24"/>
                <w:highlight w:val="none"/>
                <w:lang w:val="zh-CN" w:eastAsia="zh-CN" w:bidi="en-US"/>
              </w:rPr>
              <w:t>注：1、上述人员必须为供应商的正式职工，出具</w:t>
            </w:r>
            <w:r>
              <w:rPr>
                <w:rFonts w:hint="eastAsia" w:ascii="宋体" w:hAnsi="宋体" w:eastAsia="宋体" w:cs="宋体"/>
                <w:bCs/>
                <w:color w:val="auto"/>
                <w:kern w:val="0"/>
                <w:sz w:val="24"/>
                <w:szCs w:val="24"/>
                <w:highlight w:val="none"/>
                <w:lang w:val="en-US" w:eastAsia="zh-CN" w:bidi="en-US"/>
              </w:rPr>
              <w:t>供应商</w:t>
            </w:r>
            <w:r>
              <w:rPr>
                <w:rFonts w:hint="eastAsia" w:ascii="宋体" w:hAnsi="宋体" w:eastAsia="宋体" w:cs="宋体"/>
                <w:bCs/>
                <w:color w:val="auto"/>
                <w:kern w:val="0"/>
                <w:sz w:val="24"/>
                <w:szCs w:val="24"/>
                <w:highlight w:val="none"/>
                <w:lang w:val="zh-CN" w:eastAsia="zh-CN" w:bidi="en-US"/>
              </w:rPr>
              <w:t>为其缴纳的</w:t>
            </w:r>
            <w:r>
              <w:rPr>
                <w:rFonts w:hint="eastAsia" w:ascii="宋体" w:hAnsi="宋体" w:eastAsia="宋体" w:cs="宋体"/>
                <w:bCs/>
                <w:color w:val="auto"/>
                <w:kern w:val="0"/>
                <w:sz w:val="24"/>
                <w:szCs w:val="24"/>
                <w:highlight w:val="none"/>
                <w:lang w:val="en-US" w:eastAsia="zh-CN" w:bidi="en-US"/>
              </w:rPr>
              <w:t>近三个月（2025年10月至2025年12月）内任意一个月的</w:t>
            </w:r>
            <w:r>
              <w:rPr>
                <w:rFonts w:hint="eastAsia" w:ascii="宋体" w:hAnsi="宋体" w:eastAsia="宋体" w:cs="宋体"/>
                <w:bCs/>
                <w:color w:val="auto"/>
                <w:kern w:val="0"/>
                <w:sz w:val="24"/>
                <w:szCs w:val="24"/>
                <w:highlight w:val="none"/>
                <w:lang w:val="zh-CN" w:eastAsia="zh-CN" w:bidi="en-US"/>
              </w:rPr>
              <w:t>社保缴费证明，具体要求如下：</w:t>
            </w:r>
          </w:p>
          <w:p w14:paraId="7C9D46A7">
            <w:pPr>
              <w:snapToGrid w:val="0"/>
              <w:ind w:left="0" w:leftChars="0" w:right="0" w:rightChars="0" w:firstLine="0" w:firstLineChars="0"/>
              <w:jc w:val="left"/>
              <w:rPr>
                <w:rFonts w:hint="eastAsia" w:ascii="宋体" w:hAnsi="宋体" w:eastAsia="宋体" w:cs="宋体"/>
                <w:bCs/>
                <w:color w:val="auto"/>
                <w:kern w:val="0"/>
                <w:sz w:val="24"/>
                <w:szCs w:val="24"/>
                <w:highlight w:val="none"/>
                <w:lang w:val="zh-CN" w:bidi="en-US"/>
              </w:rPr>
            </w:pPr>
            <w:r>
              <w:rPr>
                <w:rFonts w:hint="eastAsia" w:ascii="宋体" w:hAnsi="宋体" w:eastAsia="宋体" w:cs="宋体"/>
                <w:bCs/>
                <w:color w:val="auto"/>
                <w:kern w:val="0"/>
                <w:sz w:val="24"/>
                <w:szCs w:val="24"/>
                <w:highlight w:val="none"/>
                <w:lang w:val="zh-CN" w:bidi="en-US"/>
              </w:rPr>
              <w:t>社保缴纳证明材料需含缴费起止时间、缴费单位、缴费人员姓名并由社保机构加盖缴费证明专用章，社保机构官网上打印件与线下的盖章件具有同等效力，缴费单位须与</w:t>
            </w:r>
            <w:r>
              <w:rPr>
                <w:rFonts w:hint="eastAsia" w:ascii="宋体" w:hAnsi="宋体" w:eastAsia="宋体" w:cs="宋体"/>
                <w:bCs/>
                <w:color w:val="auto"/>
                <w:kern w:val="0"/>
                <w:sz w:val="24"/>
                <w:szCs w:val="24"/>
                <w:highlight w:val="none"/>
                <w:lang w:bidi="en-US"/>
              </w:rPr>
              <w:t>供应商</w:t>
            </w:r>
            <w:r>
              <w:rPr>
                <w:rFonts w:hint="eastAsia" w:ascii="宋体" w:hAnsi="宋体" w:eastAsia="宋体" w:cs="宋体"/>
                <w:bCs/>
                <w:color w:val="auto"/>
                <w:kern w:val="0"/>
                <w:sz w:val="24"/>
                <w:szCs w:val="24"/>
                <w:highlight w:val="none"/>
                <w:lang w:val="zh-CN" w:bidi="en-US"/>
              </w:rPr>
              <w:t>名称一致（</w:t>
            </w:r>
            <w:r>
              <w:rPr>
                <w:rFonts w:hint="eastAsia" w:ascii="宋体" w:hAnsi="宋体" w:eastAsia="宋体" w:cs="宋体"/>
                <w:bCs/>
                <w:color w:val="auto"/>
                <w:kern w:val="0"/>
                <w:sz w:val="24"/>
                <w:szCs w:val="24"/>
                <w:highlight w:val="none"/>
                <w:lang w:bidi="en-US"/>
              </w:rPr>
              <w:t>供应商</w:t>
            </w:r>
            <w:r>
              <w:rPr>
                <w:rFonts w:hint="eastAsia" w:ascii="宋体" w:hAnsi="宋体" w:eastAsia="宋体" w:cs="宋体"/>
                <w:bCs/>
                <w:color w:val="auto"/>
                <w:kern w:val="0"/>
                <w:sz w:val="24"/>
                <w:szCs w:val="24"/>
                <w:highlight w:val="none"/>
                <w:lang w:val="zh-CN" w:bidi="en-US"/>
              </w:rPr>
              <w:t>下属不具备独立法人资格的分支机构缴纳的社保视为本单位）。若社保缴费证明材料中体现缴费类别的，则至少包含养老保险。</w:t>
            </w:r>
          </w:p>
          <w:p w14:paraId="3A8FCF4F">
            <w:pPr>
              <w:snapToGrid w:val="0"/>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en-US" w:eastAsia="zh-CN" w:bidi="en-US"/>
              </w:rPr>
              <w:t>8</w:t>
            </w:r>
            <w:r>
              <w:rPr>
                <w:rFonts w:hint="eastAsia" w:ascii="宋体" w:hAnsi="宋体" w:eastAsia="宋体" w:cs="宋体"/>
                <w:bCs/>
                <w:color w:val="auto"/>
                <w:kern w:val="0"/>
                <w:sz w:val="24"/>
                <w:szCs w:val="24"/>
                <w:highlight w:val="none"/>
                <w:lang w:val="zh-CN" w:bidi="en-US"/>
              </w:rPr>
              <w:t>、同一人员具有多类证书的，可分别计分。</w:t>
            </w:r>
          </w:p>
        </w:tc>
        <w:tc>
          <w:tcPr>
            <w:tcW w:w="540" w:type="dxa"/>
            <w:tcBorders>
              <w:top w:val="single" w:color="auto" w:sz="4" w:space="0"/>
              <w:left w:val="nil"/>
              <w:bottom w:val="single" w:color="auto" w:sz="4" w:space="0"/>
              <w:right w:val="single" w:color="auto" w:sz="8" w:space="0"/>
            </w:tcBorders>
            <w:vAlign w:val="center"/>
          </w:tcPr>
          <w:p w14:paraId="08D2BC98">
            <w:pPr>
              <w:snapToGrid w:val="0"/>
              <w:spacing w:line="240" w:lineRule="auto"/>
              <w:ind w:left="0" w:leftChars="0" w:right="0" w:righ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3</w:t>
            </w:r>
          </w:p>
        </w:tc>
        <w:tc>
          <w:tcPr>
            <w:tcW w:w="540" w:type="dxa"/>
            <w:tcBorders>
              <w:top w:val="single" w:color="auto" w:sz="4" w:space="0"/>
              <w:left w:val="nil"/>
              <w:bottom w:val="single" w:color="auto" w:sz="4" w:space="0"/>
              <w:right w:val="single" w:color="auto" w:sz="8" w:space="0"/>
            </w:tcBorders>
            <w:vAlign w:val="center"/>
          </w:tcPr>
          <w:p w14:paraId="4C8B1536">
            <w:pPr>
              <w:snapToGrid w:val="0"/>
              <w:spacing w:line="240" w:lineRule="auto"/>
              <w:ind w:left="0" w:leftChars="0" w:right="0" w:rightChars="0"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0</w:t>
            </w:r>
          </w:p>
        </w:tc>
        <w:tc>
          <w:tcPr>
            <w:tcW w:w="720" w:type="dxa"/>
            <w:tcBorders>
              <w:top w:val="single" w:color="auto" w:sz="4" w:space="0"/>
              <w:left w:val="nil"/>
              <w:bottom w:val="single" w:color="auto" w:sz="4" w:space="0"/>
              <w:right w:val="single" w:color="auto" w:sz="8" w:space="0"/>
            </w:tcBorders>
            <w:vAlign w:val="center"/>
          </w:tcPr>
          <w:p w14:paraId="065CB86F">
            <w:pPr>
              <w:snapToGrid w:val="0"/>
              <w:spacing w:line="240" w:lineRule="auto"/>
              <w:ind w:left="0" w:leftChars="0" w:right="0" w:rightChars="0"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客观</w:t>
            </w:r>
          </w:p>
        </w:tc>
      </w:tr>
    </w:tbl>
    <w:p w14:paraId="321856CD">
      <w:pPr>
        <w:autoSpaceDE w:val="0"/>
        <w:autoSpaceDN w:val="0"/>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（二）价格分（</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0分）</w:t>
      </w:r>
    </w:p>
    <w:p w14:paraId="07201065">
      <w:pPr>
        <w:autoSpaceDE w:val="0"/>
        <w:autoSpaceDN w:val="0"/>
        <w:adjustRightInd w:val="0"/>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价格分统一采用低价优先法计算，即满足磋商文件要求且最后报价最低的供应商的价格为磋商基准价，其价格分为满分。其他供应商的价格分统一按照下列公式计算：</w:t>
      </w:r>
    </w:p>
    <w:p w14:paraId="4169EB1D">
      <w:pPr>
        <w:autoSpaceDE w:val="0"/>
        <w:autoSpaceDN w:val="0"/>
        <w:adjustRightInd w:val="0"/>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磋商报</w:t>
      </w:r>
      <w:r>
        <w:rPr>
          <w:rFonts w:hint="eastAsia" w:ascii="宋体" w:hAnsi="宋体" w:cs="宋体"/>
          <w:color w:val="auto"/>
          <w:sz w:val="24"/>
          <w:highlight w:val="none"/>
          <w:lang w:val="zh-CN"/>
        </w:rPr>
        <w:t>价得分=（磋商基准价/最后磋商报价）×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w:t>
      </w:r>
      <w:r>
        <w:rPr>
          <w:rFonts w:hint="eastAsia" w:ascii="宋体" w:hAnsi="宋体" w:cs="宋体"/>
          <w:color w:val="auto"/>
          <w:sz w:val="24"/>
          <w:highlight w:val="none"/>
          <w:lang w:val="zh-CN"/>
        </w:rPr>
        <w:t>×100</w:t>
      </w:r>
    </w:p>
    <w:p w14:paraId="71C9C07A">
      <w:pPr>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项目评审过程中，不得去掉最后报价中的最高报价和最低报价，分值采用四舍五入法保留小数点后两位。</w:t>
      </w:r>
    </w:p>
    <w:p w14:paraId="37A833FA">
      <w:pPr>
        <w:autoSpaceDE w:val="0"/>
        <w:autoSpaceDN w:val="0"/>
        <w:adjustRightInd w:val="0"/>
        <w:snapToGrid w:val="0"/>
        <w:spacing w:line="360" w:lineRule="auto"/>
        <w:ind w:firstLine="482" w:firstLineChars="200"/>
        <w:rPr>
          <w:rFonts w:hint="eastAsia" w:ascii="宋体" w:hAnsi="宋体" w:cs="宋体"/>
          <w:b/>
          <w:color w:val="auto"/>
          <w:sz w:val="24"/>
          <w:highlight w:val="none"/>
          <w:lang w:val="zh-CN"/>
        </w:rPr>
      </w:pPr>
      <w:r>
        <w:rPr>
          <w:rFonts w:hint="eastAsia" w:ascii="宋体" w:hAnsi="宋体" w:cs="宋体"/>
          <w:b/>
          <w:color w:val="auto"/>
          <w:sz w:val="24"/>
          <w:highlight w:val="none"/>
          <w:lang w:val="zh-CN"/>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449EF003">
      <w:pPr>
        <w:autoSpaceDE w:val="0"/>
        <w:autoSpaceDN w:val="0"/>
        <w:adjustRightInd w:val="0"/>
        <w:snapToGrid w:val="0"/>
        <w:spacing w:line="360" w:lineRule="auto"/>
        <w:ind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zh-CN"/>
        </w:rPr>
        <w:t>（</w:t>
      </w: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lang w:val="zh-CN"/>
        </w:rPr>
        <w:t>）</w:t>
      </w:r>
      <w:r>
        <w:rPr>
          <w:rFonts w:hint="eastAsia" w:ascii="宋体" w:hAnsi="宋体" w:cs="宋体"/>
          <w:b/>
          <w:bCs/>
          <w:color w:val="auto"/>
          <w:sz w:val="24"/>
          <w:highlight w:val="none"/>
          <w:lang w:val="en-US" w:eastAsia="zh-CN"/>
        </w:rPr>
        <w:t>评审过程异常低价的审查</w:t>
      </w:r>
    </w:p>
    <w:p w14:paraId="58CB4E1D">
      <w:pPr>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评审过程中出现下列情形之一的，</w:t>
      </w: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应当启动异常低价投标（响应）审查程序：</w:t>
      </w:r>
    </w:p>
    <w:p w14:paraId="14BC8AB0">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投标（响应）报价低于采购项目预算50%的，即投标（响应）报价&lt;采购项目预算×50%</w:t>
      </w:r>
      <w:r>
        <w:rPr>
          <w:rFonts w:hint="eastAsia" w:ascii="宋体" w:hAnsi="宋体" w:cs="宋体"/>
          <w:color w:val="auto"/>
          <w:sz w:val="24"/>
          <w:highlight w:val="none"/>
          <w:lang w:eastAsia="zh-CN"/>
        </w:rPr>
        <w:t>；</w:t>
      </w:r>
    </w:p>
    <w:p w14:paraId="72B7A558">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投标（响应）报价低于采购项目最高限价45%的，即投标（响应）报价&lt;采购项目最高限价×45%</w:t>
      </w:r>
      <w:r>
        <w:rPr>
          <w:rFonts w:hint="eastAsia" w:ascii="宋体" w:hAnsi="宋体" w:cs="宋体"/>
          <w:color w:val="auto"/>
          <w:sz w:val="24"/>
          <w:highlight w:val="none"/>
          <w:lang w:eastAsia="zh-CN"/>
        </w:rPr>
        <w:t>；</w:t>
      </w:r>
    </w:p>
    <w:p w14:paraId="106E8FCC">
      <w:pPr>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认定的供应商报价过低、有可能影响产品质量或者不能诚信履约的其他情形。</w:t>
      </w:r>
    </w:p>
    <w:p w14:paraId="21D6307D">
      <w:pPr>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启动异常低价投标（响应）审查</w:t>
      </w:r>
    </w:p>
    <w:p w14:paraId="5B8C947A">
      <w:pPr>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应当要求相关供应商在评标现场合理的时间内，提供项目具体成本测算等与报价合理性相关的书面说明及相关证明材料，对投标（响应）价格作出解释，由</w:t>
      </w: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应当将其作为无效投标（响应）处理。审查相关情况应当在评审报告中进行记录。</w:t>
      </w:r>
    </w:p>
    <w:p w14:paraId="77CB9111">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七、政府采购政策功能落实</w:t>
      </w:r>
    </w:p>
    <w:p w14:paraId="4D2B99EA">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1.小微型企业价格扣除</w:t>
      </w:r>
    </w:p>
    <w:p w14:paraId="46E4B76C">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（1）本项目对小型和微型企业产品给予20%的扣除价格，用扣除后的价格参与评审。</w:t>
      </w:r>
    </w:p>
    <w:p w14:paraId="5AAEFE4F">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（2）供应商需按照采购文件的要求提供相应的《小型、微型企业声明函》。</w:t>
      </w:r>
    </w:p>
    <w:p w14:paraId="74B310C6">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（3）企业标准请参照《关于印发中小企业划型标准规定的通知》（工信部联企业[2011]300号）文件规定自行填写。</w:t>
      </w:r>
    </w:p>
    <w:p w14:paraId="7E313071">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2.残疾人福利单位价格扣除</w:t>
      </w:r>
    </w:p>
    <w:p w14:paraId="198301C8">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（1）本项目对残疾人福利性单位视同小型、微型企业，给予20%的价格扣除，用扣除后的价格参与评审。</w:t>
      </w:r>
    </w:p>
    <w:p w14:paraId="37B22FD2">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（2）残疾人福利单位需按照采购文件的要求提供《残疾人福利性单位声明函》。</w:t>
      </w:r>
    </w:p>
    <w:p w14:paraId="40688837">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（3）残疾人福利单位标准请参照《关于促进残疾人就业政府采购政策的通知》（财库〔2017〕141号）。</w:t>
      </w:r>
    </w:p>
    <w:p w14:paraId="0B4FD592">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3.监狱和戒毒企业价格扣除</w:t>
      </w:r>
    </w:p>
    <w:p w14:paraId="5148D338">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（1）本项目对监狱和戒毒企业（简称监狱企业）视同小型、微型企业，给予20%的价格扣除，用扣除后的价格参与评审。</w:t>
      </w:r>
    </w:p>
    <w:p w14:paraId="3C002097">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49D7E265">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（3）监狱企业标准请参照《关于政府采购支持监狱企业发展有关问题的通知》（财库[2014]68号）。</w:t>
      </w:r>
    </w:p>
    <w:p w14:paraId="7172D385">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rPr>
        <w:t>残疾人福利单位、监狱企业属于小型、微型企业的，不重复享受政策。</w:t>
      </w:r>
    </w:p>
    <w:p w14:paraId="7B7B952F">
      <w:pPr>
        <w:snapToGrid w:val="0"/>
        <w:spacing w:line="360" w:lineRule="auto"/>
        <w:ind w:firstLine="555"/>
        <w:rPr>
          <w:rFonts w:ascii="宋体" w:hAnsi="宋体" w:cs="宋体"/>
          <w:b/>
          <w:bCs/>
          <w:color w:val="auto"/>
          <w:sz w:val="24"/>
          <w:highlight w:val="none"/>
        </w:rPr>
      </w:pPr>
      <w:r>
        <w:rPr>
          <w:rFonts w:hint="eastAsia" w:ascii="宋体" w:hAnsi="宋体" w:cs="宋体"/>
          <w:b/>
          <w:bCs/>
          <w:color w:val="auto"/>
          <w:sz w:val="24"/>
          <w:highlight w:val="none"/>
          <w:lang w:eastAsia="zh-CN"/>
        </w:rPr>
        <w:t>5.</w:t>
      </w:r>
      <w:r>
        <w:rPr>
          <w:rFonts w:hint="eastAsia" w:ascii="宋体" w:hAnsi="宋体" w:cs="宋体"/>
          <w:b/>
          <w:bCs/>
          <w:color w:val="auto"/>
          <w:sz w:val="24"/>
          <w:highlight w:val="none"/>
        </w:rPr>
        <w:t>专门面向中小企业采购的项目或者采购包，不再执行价格评审优惠的扶持政策。</w:t>
      </w:r>
    </w:p>
    <w:p w14:paraId="2972A7B4">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八、变更为其他方式采购的情形</w:t>
      </w:r>
    </w:p>
    <w:p w14:paraId="2855ED90">
      <w:pPr>
        <w:autoSpaceDE w:val="0"/>
        <w:autoSpaceDN w:val="0"/>
        <w:adjustRightInd w:val="0"/>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提交响应文件截止时间时参加磋商的供应商不足3家的，及磋商中出现符合专业条件的供应商或对磋商文件作实质响应的供应商不足3家（规定可以2家的情形除外），除采购任务取消外，采购人视情采取其他方式采购。</w:t>
      </w:r>
      <w:r>
        <w:rPr>
          <w:rFonts w:hint="eastAsia" w:ascii="宋体" w:hAnsi="宋体" w:cs="宋体"/>
          <w:color w:val="auto"/>
          <w:sz w:val="24"/>
          <w:highlight w:val="none"/>
          <w:lang w:val="zh-CN"/>
        </w:rPr>
        <w:t>磋商文件中对供应商资质、技术等要求，将作为</w:t>
      </w:r>
      <w:r>
        <w:rPr>
          <w:rFonts w:hint="eastAsia" w:ascii="宋体" w:hAnsi="宋体" w:cs="宋体"/>
          <w:color w:val="auto"/>
          <w:sz w:val="24"/>
          <w:highlight w:val="none"/>
        </w:rPr>
        <w:t>其他</w:t>
      </w:r>
      <w:r>
        <w:rPr>
          <w:rFonts w:hint="eastAsia" w:ascii="宋体" w:hAnsi="宋体" w:cs="宋体"/>
          <w:color w:val="auto"/>
          <w:sz w:val="24"/>
          <w:highlight w:val="none"/>
          <w:lang w:val="zh-CN"/>
        </w:rPr>
        <w:t>方式采购的基本要求和依据。原已经参加磋商并符合要求的供应商，根据自愿原则，参加</w:t>
      </w:r>
      <w:r>
        <w:rPr>
          <w:rFonts w:hint="eastAsia" w:ascii="宋体" w:hAnsi="宋体" w:cs="宋体"/>
          <w:color w:val="auto"/>
          <w:sz w:val="24"/>
          <w:highlight w:val="none"/>
        </w:rPr>
        <w:t>其他</w:t>
      </w:r>
      <w:r>
        <w:rPr>
          <w:rFonts w:hint="eastAsia" w:ascii="宋体" w:hAnsi="宋体" w:cs="宋体"/>
          <w:color w:val="auto"/>
          <w:sz w:val="24"/>
          <w:highlight w:val="none"/>
          <w:lang w:val="zh-CN"/>
        </w:rPr>
        <w:t>方式采购。</w:t>
      </w:r>
    </w:p>
    <w:p w14:paraId="53FD3614">
      <w:pPr>
        <w:autoSpaceDE w:val="0"/>
        <w:autoSpaceDN w:val="0"/>
        <w:adjustRightInd w:val="0"/>
        <w:snapToGrid w:val="0"/>
        <w:spacing w:line="360" w:lineRule="auto"/>
        <w:ind w:left="-178" w:right="210" w:firstLine="636"/>
        <w:rPr>
          <w:rFonts w:ascii="宋体" w:hAnsi="宋体" w:cs="宋体"/>
          <w:b/>
          <w:color w:val="auto"/>
          <w:sz w:val="24"/>
          <w:highlight w:val="none"/>
          <w:lang w:val="zh-CN"/>
        </w:rPr>
      </w:pPr>
      <w:r>
        <w:rPr>
          <w:rFonts w:hint="eastAsia" w:ascii="宋体" w:hAnsi="宋体" w:cs="宋体"/>
          <w:b/>
          <w:color w:val="auto"/>
          <w:sz w:val="24"/>
          <w:highlight w:val="none"/>
          <w:lang w:val="zh-CN"/>
        </w:rPr>
        <w:t>九、出现下列情形之一的，竞争性磋商采购活动终止，重新开展采购活动：</w:t>
      </w:r>
    </w:p>
    <w:p w14:paraId="1D124BF5">
      <w:pPr>
        <w:pStyle w:val="32"/>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（一）因情况变化，不再符合规定的竞争性磋商采购方式适用情形的；</w:t>
      </w:r>
    </w:p>
    <w:p w14:paraId="6FE4A4DC">
      <w:pPr>
        <w:pStyle w:val="32"/>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（二）出现影响采购公正的违法、违规行为的；</w:t>
      </w:r>
    </w:p>
    <w:p w14:paraId="365E5CF1">
      <w:pPr>
        <w:pStyle w:val="32"/>
        <w:snapToGrid w:val="0"/>
        <w:spacing w:line="360" w:lineRule="auto"/>
        <w:ind w:firstLine="480" w:firstLineChars="200"/>
        <w:contextualSpacing/>
        <w:rPr>
          <w:rFonts w:hint="eastAsia" w:ascii="宋体" w:eastAsia="宋体" w:cs="宋体"/>
          <w:color w:val="auto"/>
          <w:sz w:val="24"/>
          <w:szCs w:val="24"/>
          <w:highlight w:val="none"/>
        </w:rPr>
      </w:pPr>
      <w:r>
        <w:rPr>
          <w:rFonts w:hint="eastAsia" w:ascii="宋体" w:eastAsia="宋体" w:cs="宋体"/>
          <w:color w:val="auto"/>
          <w:sz w:val="24"/>
          <w:szCs w:val="24"/>
          <w:highlight w:val="none"/>
        </w:rPr>
        <w:t>（三）在采购过程中符合要求的供应商或者报价未超过采购预算的供应商不足3家的（市场竞争不充分的科研项目，以及需要扶持的科技成果转化项目除外）。</w:t>
      </w:r>
    </w:p>
    <w:p w14:paraId="062019EB">
      <w:pPr>
        <w:autoSpaceDE w:val="0"/>
        <w:autoSpaceDN w:val="0"/>
        <w:adjustRightInd w:val="0"/>
        <w:snapToGrid w:val="0"/>
        <w:spacing w:line="360" w:lineRule="auto"/>
        <w:ind w:left="-178" w:right="210" w:firstLine="636"/>
        <w:rPr>
          <w:rFonts w:hint="eastAsia" w:ascii="宋体" w:hAnsi="宋体" w:cs="宋体"/>
          <w:b/>
          <w:color w:val="auto"/>
          <w:sz w:val="24"/>
          <w:highlight w:val="none"/>
          <w:lang w:val="zh-CN"/>
        </w:rPr>
      </w:pPr>
      <w:r>
        <w:rPr>
          <w:rFonts w:hint="eastAsia" w:ascii="宋体" w:hAnsi="宋体" w:cs="宋体"/>
          <w:b/>
          <w:color w:val="auto"/>
          <w:sz w:val="24"/>
          <w:highlight w:val="none"/>
          <w:lang w:val="en-US" w:eastAsia="zh-CN"/>
        </w:rPr>
        <w:t>十、</w:t>
      </w:r>
      <w:r>
        <w:rPr>
          <w:rFonts w:hint="eastAsia" w:ascii="宋体" w:hAnsi="宋体" w:cs="宋体"/>
          <w:b/>
          <w:color w:val="auto"/>
          <w:sz w:val="24"/>
          <w:highlight w:val="none"/>
          <w:lang w:val="zh-CN"/>
        </w:rPr>
        <w:t>若有充分证据证明，</w:t>
      </w:r>
      <w:r>
        <w:rPr>
          <w:rFonts w:hint="eastAsia" w:ascii="宋体" w:hAnsi="宋体" w:cs="宋体"/>
          <w:b/>
          <w:color w:val="auto"/>
          <w:sz w:val="24"/>
          <w:highlight w:val="none"/>
          <w:lang w:val="en-US" w:eastAsia="zh-CN"/>
        </w:rPr>
        <w:t>成交供应商</w:t>
      </w:r>
      <w:r>
        <w:rPr>
          <w:rFonts w:hint="eastAsia" w:ascii="宋体" w:hAnsi="宋体" w:cs="宋体"/>
          <w:b/>
          <w:color w:val="auto"/>
          <w:sz w:val="24"/>
          <w:highlight w:val="none"/>
          <w:lang w:val="zh-CN"/>
        </w:rPr>
        <w:t>出现下列情况之一的，一经查实，将被取消</w:t>
      </w:r>
      <w:r>
        <w:rPr>
          <w:rFonts w:hint="eastAsia" w:ascii="宋体" w:hAnsi="宋体" w:cs="宋体"/>
          <w:b/>
          <w:color w:val="auto"/>
          <w:sz w:val="24"/>
          <w:highlight w:val="none"/>
          <w:lang w:val="en-US" w:eastAsia="zh-CN"/>
        </w:rPr>
        <w:t>成交</w:t>
      </w:r>
      <w:r>
        <w:rPr>
          <w:rFonts w:hint="eastAsia" w:ascii="宋体" w:hAnsi="宋体" w:cs="宋体"/>
          <w:b/>
          <w:color w:val="auto"/>
          <w:sz w:val="24"/>
          <w:highlight w:val="none"/>
          <w:lang w:val="zh-CN"/>
        </w:rPr>
        <w:t>资格：</w:t>
      </w:r>
    </w:p>
    <w:p w14:paraId="482070C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提供虚假材料谋取</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的。</w:t>
      </w:r>
    </w:p>
    <w:p w14:paraId="7959D23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向采购人、采购代理机构行贿或者提供其他不正当利益的。</w:t>
      </w:r>
    </w:p>
    <w:p w14:paraId="2BA218B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恶意竞争，投标总报价明显低于其自身合理成本且又无法提供证明的。</w:t>
      </w:r>
    </w:p>
    <w:p w14:paraId="0C49D9E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属于本文件规定的无效条件，但在评标过程中又未被评委会发现的。</w:t>
      </w:r>
    </w:p>
    <w:p w14:paraId="08CCBA5B">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与采购人或者其他</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恶意串通的。</w:t>
      </w:r>
    </w:p>
    <w:p w14:paraId="17C6937E">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采取不正当手段诋毁、排挤其他</w:t>
      </w:r>
      <w:r>
        <w:rPr>
          <w:rFonts w:hint="eastAsia" w:ascii="宋体" w:hAnsi="宋体" w:eastAsia="宋体" w:cs="宋体"/>
          <w:color w:val="auto"/>
          <w:sz w:val="24"/>
          <w:szCs w:val="24"/>
          <w:highlight w:val="none"/>
          <w:lang w:val="en-US"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w:t>
      </w:r>
    </w:p>
    <w:p w14:paraId="71CCB7E7">
      <w:pPr>
        <w:autoSpaceDE w:val="0"/>
        <w:autoSpaceDN w:val="0"/>
        <w:adjustRightInd w:val="0"/>
        <w:snapToGrid w:val="0"/>
        <w:spacing w:line="360" w:lineRule="auto"/>
        <w:ind w:left="-178" w:right="210" w:firstLine="636"/>
        <w:rPr>
          <w:rFonts w:hint="eastAsia" w:ascii="宋体" w:hAnsi="宋体" w:cs="宋体"/>
          <w:b/>
          <w:color w:val="auto"/>
          <w:sz w:val="24"/>
          <w:highlight w:val="none"/>
          <w:lang w:val="zh-CN"/>
        </w:rPr>
      </w:pPr>
      <w:r>
        <w:rPr>
          <w:rFonts w:hint="eastAsia" w:ascii="宋体" w:hAnsi="宋体" w:cs="宋体"/>
          <w:b/>
          <w:color w:val="auto"/>
          <w:sz w:val="24"/>
          <w:highlight w:val="none"/>
          <w:lang w:val="en-US" w:eastAsia="zh-CN"/>
        </w:rPr>
        <w:t>十一、</w:t>
      </w:r>
      <w:r>
        <w:rPr>
          <w:rFonts w:hint="eastAsia" w:ascii="宋体" w:hAnsi="宋体" w:cs="宋体"/>
          <w:b/>
          <w:color w:val="auto"/>
          <w:sz w:val="24"/>
          <w:highlight w:val="none"/>
          <w:lang w:val="zh-CN"/>
        </w:rPr>
        <w:t>有下列情形之一的，视为</w:t>
      </w:r>
      <w:r>
        <w:rPr>
          <w:rFonts w:hint="eastAsia" w:ascii="宋体" w:hAnsi="宋体" w:cs="宋体"/>
          <w:b/>
          <w:color w:val="auto"/>
          <w:sz w:val="24"/>
          <w:highlight w:val="none"/>
          <w:lang w:val="zh-CN" w:eastAsia="zh-CN"/>
        </w:rPr>
        <w:t>投标</w:t>
      </w:r>
      <w:r>
        <w:rPr>
          <w:rFonts w:hint="eastAsia" w:ascii="宋体" w:hAnsi="宋体" w:cs="宋体"/>
          <w:b/>
          <w:color w:val="auto"/>
          <w:sz w:val="24"/>
          <w:highlight w:val="none"/>
          <w:lang w:val="en-US" w:eastAsia="zh-CN"/>
        </w:rPr>
        <w:t>供应商</w:t>
      </w:r>
      <w:r>
        <w:rPr>
          <w:rFonts w:hint="eastAsia" w:ascii="宋体" w:hAnsi="宋体" w:cs="宋体"/>
          <w:b/>
          <w:color w:val="auto"/>
          <w:sz w:val="24"/>
          <w:highlight w:val="none"/>
          <w:lang w:val="zh-CN"/>
        </w:rPr>
        <w:t>串通投标，投标无效：</w:t>
      </w:r>
    </w:p>
    <w:p w14:paraId="497B246C">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文件由同一单位或者个人编制；</w:t>
      </w:r>
    </w:p>
    <w:p w14:paraId="79FF476B">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委托同一单位或者个人办理投标事宜；</w:t>
      </w:r>
    </w:p>
    <w:p w14:paraId="6FCDCF7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文件载明的项目管理成员或者联系人员为同一人；</w:t>
      </w:r>
    </w:p>
    <w:p w14:paraId="7041B92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文件异常一致或者投标报价呈规律性差异；</w:t>
      </w:r>
    </w:p>
    <w:p w14:paraId="44BC841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文件相互混装</w:t>
      </w:r>
      <w:r>
        <w:rPr>
          <w:rFonts w:hint="eastAsia" w:ascii="宋体" w:hAnsi="宋体" w:eastAsia="宋体" w:cs="宋体"/>
          <w:color w:val="auto"/>
          <w:sz w:val="24"/>
          <w:szCs w:val="24"/>
          <w:highlight w:val="none"/>
          <w:lang w:eastAsia="zh-CN"/>
        </w:rPr>
        <w:t>。</w:t>
      </w:r>
    </w:p>
    <w:p w14:paraId="7C1452C1">
      <w:pPr>
        <w:autoSpaceDE w:val="0"/>
        <w:autoSpaceDN w:val="0"/>
        <w:adjustRightInd w:val="0"/>
        <w:snapToGrid w:val="0"/>
        <w:spacing w:line="360" w:lineRule="auto"/>
        <w:ind w:left="-178" w:right="210" w:firstLine="636"/>
        <w:rPr>
          <w:rFonts w:ascii="宋体" w:hAnsi="宋体" w:cs="宋体"/>
          <w:b/>
          <w:color w:val="auto"/>
          <w:sz w:val="24"/>
          <w:highlight w:val="none"/>
          <w:lang w:val="zh-CN"/>
        </w:rPr>
      </w:pPr>
      <w:r>
        <w:rPr>
          <w:rFonts w:hint="eastAsia" w:ascii="宋体" w:hAnsi="宋体" w:cs="宋体"/>
          <w:b/>
          <w:color w:val="auto"/>
          <w:sz w:val="24"/>
          <w:highlight w:val="none"/>
          <w:lang w:val="zh-CN"/>
        </w:rPr>
        <w:t>十</w:t>
      </w:r>
      <w:r>
        <w:rPr>
          <w:rFonts w:hint="eastAsia" w:ascii="宋体" w:hAnsi="宋体" w:cs="宋体"/>
          <w:b/>
          <w:color w:val="auto"/>
          <w:sz w:val="24"/>
          <w:highlight w:val="none"/>
          <w:lang w:val="en-US" w:eastAsia="zh-CN"/>
        </w:rPr>
        <w:t>二</w:t>
      </w:r>
      <w:r>
        <w:rPr>
          <w:rFonts w:hint="eastAsia" w:ascii="宋体" w:hAnsi="宋体" w:cs="宋体"/>
          <w:b/>
          <w:color w:val="auto"/>
          <w:sz w:val="24"/>
          <w:highlight w:val="none"/>
          <w:lang w:val="zh-CN"/>
        </w:rPr>
        <w:t>、成交通知</w:t>
      </w:r>
    </w:p>
    <w:p w14:paraId="07CF8DB1">
      <w:pPr>
        <w:snapToGrid w:val="0"/>
        <w:spacing w:line="360" w:lineRule="auto"/>
        <w:ind w:firstLine="480" w:firstLineChars="200"/>
        <w:rPr>
          <w:rFonts w:ascii="宋体" w:hAnsi="宋体" w:cs="宋体"/>
          <w:b/>
          <w:color w:val="auto"/>
          <w:sz w:val="36"/>
          <w:szCs w:val="36"/>
          <w:highlight w:val="none"/>
        </w:rPr>
      </w:pPr>
      <w:r>
        <w:rPr>
          <w:rFonts w:hint="eastAsia" w:ascii="宋体" w:hAnsi="宋体" w:cs="宋体"/>
          <w:color w:val="auto"/>
          <w:sz w:val="24"/>
          <w:highlight w:val="none"/>
        </w:rPr>
        <w:t>成交结果在南通市交通运输局网站公告，公告期限为1个工作日。《成交通知书》一经发出，采购人改变成交结果，或者成交供应商放弃成交的，各自承担相应的法律责任。《成交通知书》是采购合同的组成部分。</w:t>
      </w:r>
      <w:r>
        <w:rPr>
          <w:rFonts w:hint="eastAsia" w:ascii="宋体" w:hAnsi="宋体" w:cs="宋体"/>
          <w:b/>
          <w:color w:val="auto"/>
          <w:sz w:val="36"/>
          <w:szCs w:val="36"/>
          <w:highlight w:val="none"/>
        </w:rPr>
        <w:br w:type="page"/>
      </w:r>
    </w:p>
    <w:p w14:paraId="3E6E27C2">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合同签订与验收付款</w:t>
      </w:r>
    </w:p>
    <w:p w14:paraId="61B67045">
      <w:pPr>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一、成交供应商在《成交通知书》发出之日起30日内和采购人签订合同。合同签订后成交供应商方可履约，否则引起的一切后果由成交供应商自行承担。所签合同不得对采购文件作实质性修改。采购人不得向成交供应商提出不合理的要求作为签订合同的条件，不得与成交供应商私下订立背离采购文件实质性内容的协议。</w:t>
      </w:r>
    </w:p>
    <w:p w14:paraId="7D654DA1">
      <w:pPr>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w:t>
      </w:r>
      <w:r>
        <w:rPr>
          <w:rFonts w:hint="eastAsia" w:ascii="宋体" w:hAnsi="宋体" w:cs="宋体"/>
          <w:color w:val="auto"/>
          <w:sz w:val="24"/>
          <w:highlight w:val="none"/>
          <w:lang w:val="zh-CN"/>
        </w:rPr>
        <w:t>签订合同后，</w:t>
      </w:r>
      <w:r>
        <w:rPr>
          <w:rFonts w:hint="eastAsia" w:ascii="宋体" w:hAnsi="宋体" w:cs="宋体"/>
          <w:color w:val="auto"/>
          <w:sz w:val="24"/>
          <w:highlight w:val="none"/>
          <w:lang w:val="en-US" w:eastAsia="zh-CN"/>
        </w:rPr>
        <w:t>成交供应商不</w:t>
      </w:r>
      <w:r>
        <w:rPr>
          <w:rFonts w:hint="eastAsia" w:ascii="宋体" w:hAnsi="宋体" w:cs="宋体"/>
          <w:color w:val="auto"/>
          <w:sz w:val="24"/>
          <w:highlight w:val="none"/>
          <w:lang w:val="zh-CN"/>
        </w:rPr>
        <w:t>得将合同标的进行转包。未经采购人同意，</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lang w:val="zh-CN"/>
        </w:rPr>
        <w:t>也不得采用分包的形式履行合同，否则采购人有权终止合同。采购合同分包履行的，</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lang w:val="zh-CN"/>
        </w:rPr>
        <w:t>就采购项目和分包项目向采购人负责，分包供应商就分包项目承担责任。转包或分包造成采购人损失的，</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lang w:val="zh-CN"/>
        </w:rPr>
        <w:t>应承担相应赔偿责任。</w:t>
      </w:r>
    </w:p>
    <w:p w14:paraId="2FD5B86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采购人与成交供应商串通或要求成交供应商通过减少货物数量或降低服务标准的，或在履行合同中采取更改配置、调换物品等手段的，或要求成交供应商出具虚假发票或任意更改销售发票的，或谋取不正当利益的，采购人应承担相应的法律责任。</w:t>
      </w:r>
    </w:p>
    <w:p w14:paraId="4EAEA70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货物和服务的追加、减少和添购。</w:t>
      </w:r>
    </w:p>
    <w:p w14:paraId="5E9BDD1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.1采购合同履行中，采购人需追加与合同标的相同的货物和服务的，在不改变合同其他条款的前提下，可以与</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rPr>
        <w:t>协商签订补充合同，但所有补充合同的采购金额不超过原合同金额10%。</w:t>
      </w:r>
    </w:p>
    <w:p w14:paraId="2663BA6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.2采购结束后，采购人若由于各种客观原因，必须对采购项目所牵涉的货物和服务进行适当的减少时，在双方协商一致的前提下，可以按照招标采购时的价格水平做相应的调减，并据此签订补充合同。</w:t>
      </w:r>
    </w:p>
    <w:p w14:paraId="486E5E54">
      <w:pPr>
        <w:pStyle w:val="32"/>
        <w:numPr>
          <w:ilvl w:val="0"/>
          <w:numId w:val="4"/>
        </w:numPr>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履约验收：</w:t>
      </w:r>
    </w:p>
    <w:p w14:paraId="049A727C">
      <w:pPr>
        <w:widowControl/>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验收实施主体：科技信息科</w:t>
      </w:r>
    </w:p>
    <w:p w14:paraId="693DDA0E">
      <w:pPr>
        <w:widowControl/>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验收时间：按采购人约定时间</w:t>
      </w:r>
    </w:p>
    <w:p w14:paraId="2F1E79F3">
      <w:pPr>
        <w:widowControl/>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验收方式：科技信息科组织验收，采用书面审核的方式。</w:t>
      </w:r>
    </w:p>
    <w:p w14:paraId="13FE9955">
      <w:pPr>
        <w:widowControl/>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验收内容：由验收小组对中标人服务情况按验收标准执行。</w:t>
      </w:r>
    </w:p>
    <w:p w14:paraId="64B4215E">
      <w:pPr>
        <w:widowControl/>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验收标准：完成全部服务内容且及时响应采购人需求的则视为通过验收。</w:t>
      </w:r>
    </w:p>
    <w:p w14:paraId="1C061F2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、成交供应商出现违约情形，应当及时纠正或补偿；造成损失的，按合同约定追究违约责任；发现有假冒、伪劣、走私产品、商业贿赂等违法情形的，应由采购人移交工商、质监、公安等行政执法部门依法查处。</w:t>
      </w:r>
    </w:p>
    <w:p w14:paraId="512F5F70">
      <w:pPr>
        <w:pStyle w:val="4"/>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w:t>
      </w:r>
      <w:r>
        <w:rPr>
          <w:rFonts w:hint="eastAsia" w:ascii="宋体" w:hAnsi="宋体" w:cs="宋体"/>
          <w:color w:val="auto"/>
          <w:sz w:val="24"/>
          <w:szCs w:val="24"/>
          <w:highlight w:val="none"/>
        </w:rPr>
        <w:t>合同条款内容</w:t>
      </w:r>
    </w:p>
    <w:p w14:paraId="05F4296E">
      <w:pPr>
        <w:pStyle w:val="4"/>
        <w:kinsoku w:val="0"/>
        <w:topLinePunct/>
        <w:autoSpaceDE w:val="0"/>
        <w:autoSpaceDN w:val="0"/>
        <w:snapToGrid w:val="0"/>
        <w:spacing w:line="360" w:lineRule="auto"/>
        <w:ind w:firstLine="0"/>
        <w:contextualSpacing/>
        <w:rPr>
          <w:rFonts w:ascii="宋体" w:hAnsi="宋体" w:cs="宋体"/>
          <w:color w:val="auto"/>
          <w:sz w:val="24"/>
          <w:highlight w:val="none"/>
        </w:rPr>
      </w:pPr>
      <w:r>
        <w:rPr>
          <w:rFonts w:hint="eastAsia" w:ascii="宋体" w:hAnsi="宋体" w:cs="宋体"/>
          <w:color w:val="auto"/>
          <w:sz w:val="24"/>
          <w:szCs w:val="24"/>
          <w:highlight w:val="none"/>
        </w:rPr>
        <w:br w:type="page"/>
      </w:r>
    </w:p>
    <w:p w14:paraId="698BF239">
      <w:pPr>
        <w:widowControl w:val="0"/>
        <w:kinsoku w:val="0"/>
        <w:topLinePunct/>
        <w:autoSpaceDE w:val="0"/>
        <w:autoSpaceDN w:val="0"/>
        <w:snapToGrid w:val="0"/>
        <w:spacing w:line="360" w:lineRule="auto"/>
        <w:ind w:firstLine="0"/>
        <w:contextualSpacing/>
        <w:jc w:val="center"/>
        <w:rPr>
          <w:rFonts w:hint="eastAsia" w:ascii="宋体" w:hAnsi="宋体" w:eastAsia="宋体" w:cs="宋体"/>
          <w:kern w:val="2"/>
          <w:sz w:val="28"/>
          <w:szCs w:val="28"/>
          <w:lang w:val="en-US" w:eastAsia="zh-CN" w:bidi="ar-SA"/>
        </w:rPr>
      </w:pPr>
      <w:r>
        <w:rPr>
          <w:rFonts w:hint="eastAsia" w:ascii="宋体" w:hAnsi="宋体" w:eastAsia="宋体" w:cs="宋体"/>
          <w:b/>
          <w:bCs/>
          <w:kern w:val="2"/>
          <w:sz w:val="30"/>
          <w:szCs w:val="32"/>
          <w:lang w:val="en-US" w:eastAsia="zh-CN" w:bidi="ar-SA"/>
        </w:rPr>
        <w:t>合同条款</w:t>
      </w:r>
    </w:p>
    <w:p w14:paraId="559DDC62">
      <w:pPr>
        <w:keepNext/>
        <w:keepLines/>
        <w:numPr>
          <w:ilvl w:val="2"/>
          <w:numId w:val="0"/>
        </w:numPr>
        <w:spacing w:line="360" w:lineRule="auto"/>
        <w:jc w:val="center"/>
        <w:outlineLvl w:val="2"/>
        <w:rPr>
          <w:rFonts w:hint="eastAsia" w:ascii="宋体" w:hAnsi="宋体" w:cs="宋体"/>
          <w:b/>
          <w:bCs/>
          <w:sz w:val="30"/>
          <w:szCs w:val="32"/>
        </w:rPr>
      </w:pPr>
      <w:bookmarkStart w:id="1" w:name="_Toc295408754"/>
      <w:bookmarkStart w:id="2" w:name="_Toc275422753"/>
      <w:bookmarkStart w:id="3" w:name="_Toc387773187"/>
      <w:bookmarkStart w:id="4" w:name="_Toc313903287"/>
      <w:bookmarkStart w:id="5" w:name="_Toc40280340"/>
      <w:bookmarkStart w:id="6" w:name="_Toc387768380"/>
      <w:bookmarkStart w:id="7" w:name="_Toc10189308"/>
      <w:bookmarkStart w:id="8" w:name="_Toc14857557"/>
      <w:bookmarkStart w:id="9" w:name="_Toc470619301"/>
      <w:bookmarkStart w:id="10" w:name="_Toc286308342"/>
      <w:bookmarkStart w:id="11" w:name="_Toc390785017"/>
      <w:bookmarkStart w:id="12" w:name="_Toc275422869"/>
      <w:bookmarkStart w:id="13" w:name="_Toc230492376"/>
      <w:bookmarkStart w:id="14" w:name="_Toc381015373"/>
      <w:bookmarkStart w:id="15" w:name="_Toc524689561"/>
      <w:bookmarkStart w:id="16" w:name="_Toc524847255"/>
      <w:bookmarkStart w:id="17" w:name="_Toc524747415"/>
      <w:bookmarkStart w:id="18" w:name="_Toc525200424"/>
      <w:bookmarkStart w:id="19" w:name="_Toc3795462"/>
      <w:bookmarkStart w:id="20" w:name="_Toc524341771"/>
      <w:bookmarkStart w:id="21" w:name="_Toc524491091"/>
      <w:bookmarkStart w:id="22" w:name="_Toc525011390"/>
      <w:bookmarkStart w:id="23" w:name="_Toc524493406"/>
      <w:bookmarkStart w:id="24" w:name="_Toc524516286"/>
      <w:bookmarkStart w:id="25" w:name="_Toc524847441"/>
      <w:bookmarkStart w:id="26" w:name="_Toc524332413"/>
      <w:bookmarkStart w:id="27" w:name="_Toc3796835"/>
      <w:bookmarkStart w:id="28" w:name="_Toc3795977"/>
      <w:bookmarkStart w:id="29" w:name="_Toc524486468"/>
      <w:bookmarkStart w:id="30" w:name="_Toc7867473"/>
      <w:bookmarkStart w:id="31" w:name="_Toc524439711"/>
      <w:bookmarkStart w:id="32" w:name="_Toc524439549"/>
      <w:bookmarkStart w:id="33" w:name="_Toc524404352"/>
      <w:bookmarkStart w:id="34" w:name="_Toc524457359"/>
      <w:bookmarkStart w:id="35" w:name="_Toc524494181"/>
      <w:bookmarkStart w:id="36" w:name="_Toc525376807"/>
      <w:bookmarkStart w:id="37" w:name="_Toc524342334"/>
      <w:bookmarkStart w:id="38" w:name="_Toc524746531"/>
      <w:bookmarkStart w:id="39" w:name="_Toc524404093"/>
      <w:bookmarkStart w:id="40" w:name="_Toc524494797"/>
      <w:bookmarkStart w:id="41" w:name="_Toc524496008"/>
      <w:bookmarkStart w:id="42" w:name="_Toc7599806"/>
      <w:bookmarkStart w:id="43" w:name="_Toc524494403"/>
      <w:bookmarkStart w:id="44" w:name="_Toc524516438"/>
      <w:bookmarkStart w:id="45" w:name="_Toc524342538"/>
      <w:bookmarkStart w:id="46" w:name="_Toc524452544"/>
      <w:bookmarkStart w:id="47" w:name="_Toc524458609"/>
      <w:bookmarkStart w:id="48" w:name="_Toc525397589"/>
      <w:bookmarkStart w:id="49" w:name="_Toc6311299"/>
      <w:bookmarkStart w:id="50" w:name="_Toc7600037"/>
      <w:bookmarkStart w:id="51" w:name="_Toc524342643"/>
      <w:bookmarkStart w:id="52" w:name="_Toc524333057"/>
      <w:bookmarkStart w:id="53" w:name="_Toc524495531"/>
      <w:r>
        <w:rPr>
          <w:rFonts w:hint="eastAsia" w:ascii="宋体" w:hAnsi="宋体" w:cs="宋体"/>
          <w:b/>
          <w:bCs/>
          <w:sz w:val="30"/>
          <w:szCs w:val="32"/>
        </w:rPr>
        <w:t>（一）合同主要条款</w:t>
      </w:r>
    </w:p>
    <w:p w14:paraId="59CBF78D">
      <w:pPr>
        <w:keepNext/>
        <w:keepLines/>
        <w:numPr>
          <w:ilvl w:val="2"/>
          <w:numId w:val="0"/>
        </w:numPr>
        <w:spacing w:line="360" w:lineRule="auto"/>
        <w:jc w:val="center"/>
        <w:outlineLvl w:val="2"/>
        <w:rPr>
          <w:rFonts w:hint="eastAsia" w:ascii="宋体" w:hAnsi="宋体" w:cs="宋体"/>
          <w:b/>
          <w:bCs/>
          <w:sz w:val="24"/>
          <w:szCs w:val="24"/>
        </w:rPr>
      </w:pPr>
      <w:r>
        <w:rPr>
          <w:rFonts w:hint="eastAsia" w:ascii="宋体" w:hAnsi="宋体" w:cs="宋体"/>
          <w:b/>
          <w:bCs/>
          <w:sz w:val="24"/>
          <w:szCs w:val="24"/>
        </w:rPr>
        <w:t>一、定义和解释</w:t>
      </w:r>
      <w:bookmarkEnd w:id="1"/>
      <w:bookmarkEnd w:id="2"/>
      <w:bookmarkEnd w:id="3"/>
      <w:bookmarkEnd w:id="4"/>
      <w:bookmarkEnd w:id="5"/>
      <w:bookmarkEnd w:id="6"/>
      <w:bookmarkEnd w:id="7"/>
      <w:bookmarkEnd w:id="8"/>
      <w:bookmarkEnd w:id="9"/>
      <w:bookmarkEnd w:id="10"/>
      <w:bookmarkEnd w:id="11"/>
      <w:bookmarkEnd w:id="12"/>
      <w:bookmarkEnd w:id="13"/>
      <w:bookmarkEnd w:id="14"/>
    </w:p>
    <w:p w14:paraId="3183D9C2">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1.1采购人：即合同书中的“甲方”，是指本合同条款中指明的执行项目投资计划的单位，或其指定的负责管理项目的代表机构，以及取得该当事人（单位）资格的合法继承人（单位），也即为本项目的采购人。本合同采购人为南通市公路事业发展中心。下称“甲方”。</w:t>
      </w:r>
    </w:p>
    <w:p w14:paraId="321CC110">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1.2服务单位：即合同书中的“乙方”，是指其</w:t>
      </w:r>
      <w:r>
        <w:rPr>
          <w:rFonts w:hint="eastAsia" w:ascii="宋体" w:hAnsi="宋体" w:cs="宋体"/>
          <w:sz w:val="24"/>
          <w:szCs w:val="24"/>
          <w:lang w:val="en-US" w:eastAsia="zh-CN"/>
        </w:rPr>
        <w:t>磋商</w:t>
      </w:r>
      <w:r>
        <w:rPr>
          <w:rFonts w:hint="eastAsia" w:ascii="宋体" w:hAnsi="宋体" w:cs="宋体"/>
          <w:sz w:val="24"/>
          <w:szCs w:val="24"/>
        </w:rPr>
        <w:t>响应文件已为采购人所接受，并与采购人签订了合同书、承担本合同任务的服务单位（公司），以及取得该当事机构资格的合法继承人，但不包括该当事机构的任何受让人（除非采购人同意），也即为本项目的成交供应商。下称“乙方”或“服务单位”。</w:t>
      </w:r>
    </w:p>
    <w:p w14:paraId="1C6CF0F3">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1.3项目负责人：是指</w:t>
      </w:r>
      <w:r>
        <w:rPr>
          <w:rFonts w:hint="eastAsia" w:ascii="宋体" w:hAnsi="宋体" w:cs="宋体"/>
          <w:sz w:val="24"/>
          <w:szCs w:val="24"/>
          <w:lang w:eastAsia="zh-CN"/>
        </w:rPr>
        <w:t>磋商</w:t>
      </w:r>
      <w:r>
        <w:rPr>
          <w:rFonts w:hint="eastAsia" w:ascii="宋体" w:hAnsi="宋体" w:cs="宋体"/>
          <w:sz w:val="24"/>
          <w:szCs w:val="24"/>
        </w:rPr>
        <w:t>响应文件中载明，并由服务单位书面委托的负责本合同项目的组织管理者。</w:t>
      </w:r>
    </w:p>
    <w:p w14:paraId="654A3DC8">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其他主要人员：是指由项目负责人提名，服务单位批准的各专业负责人，并在</w:t>
      </w:r>
      <w:r>
        <w:rPr>
          <w:rFonts w:hint="eastAsia" w:ascii="宋体" w:hAnsi="宋体" w:cs="宋体"/>
          <w:sz w:val="24"/>
          <w:szCs w:val="24"/>
          <w:lang w:eastAsia="zh-CN"/>
        </w:rPr>
        <w:t>磋商</w:t>
      </w:r>
      <w:r>
        <w:rPr>
          <w:rFonts w:hint="eastAsia" w:ascii="宋体" w:hAnsi="宋体" w:cs="宋体"/>
          <w:sz w:val="24"/>
          <w:szCs w:val="24"/>
        </w:rPr>
        <w:t>响应文件中载明。</w:t>
      </w:r>
    </w:p>
    <w:p w14:paraId="528FCB8A">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1.4合同：由合同条款、技术规范、</w:t>
      </w:r>
      <w:r>
        <w:rPr>
          <w:rFonts w:hint="eastAsia" w:ascii="宋体" w:hAnsi="宋体" w:cs="宋体"/>
          <w:sz w:val="24"/>
          <w:szCs w:val="24"/>
          <w:lang w:eastAsia="zh-CN"/>
        </w:rPr>
        <w:t>磋商</w:t>
      </w:r>
      <w:r>
        <w:rPr>
          <w:rFonts w:hint="eastAsia" w:ascii="宋体" w:hAnsi="宋体" w:cs="宋体"/>
          <w:sz w:val="24"/>
          <w:szCs w:val="24"/>
        </w:rPr>
        <w:t>响应文件、中标书、合同协议书和相关文件组成。</w:t>
      </w:r>
    </w:p>
    <w:p w14:paraId="73982247">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1.5技术标准与规范：是指所有的中华人民共和国国家标准和有关部门颁发相关规范及技术标准。</w:t>
      </w:r>
    </w:p>
    <w:p w14:paraId="22FE7FDC">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1.6服务：指为完成本合同项目所进行的单项或全部服务工作。</w:t>
      </w:r>
    </w:p>
    <w:p w14:paraId="469EFB6A">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1.7成果文件：是指承包人按本合同的规定，按合同要求及采购人指令分阶段提交的成果文件；</w:t>
      </w:r>
    </w:p>
    <w:p w14:paraId="7E6565D4">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1.8日：指日历日。</w:t>
      </w:r>
    </w:p>
    <w:p w14:paraId="4AFBFC55">
      <w:pPr>
        <w:keepNext/>
        <w:keepLines/>
        <w:numPr>
          <w:ilvl w:val="2"/>
          <w:numId w:val="0"/>
        </w:numPr>
        <w:spacing w:line="360" w:lineRule="auto"/>
        <w:jc w:val="center"/>
        <w:outlineLvl w:val="2"/>
        <w:rPr>
          <w:rFonts w:hint="eastAsia" w:ascii="宋体" w:hAnsi="宋体" w:cs="宋体"/>
          <w:b/>
          <w:bCs/>
          <w:sz w:val="24"/>
          <w:szCs w:val="24"/>
        </w:rPr>
      </w:pPr>
      <w:bookmarkStart w:id="54" w:name="_Toc313903288"/>
      <w:bookmarkStart w:id="55" w:name="_Toc295408755"/>
      <w:bookmarkStart w:id="56" w:name="_Toc470619302"/>
      <w:bookmarkStart w:id="57" w:name="_Toc14857558"/>
      <w:bookmarkStart w:id="58" w:name="_Toc390785018"/>
      <w:bookmarkStart w:id="59" w:name="_Toc275422754"/>
      <w:bookmarkStart w:id="60" w:name="_Toc275422870"/>
      <w:bookmarkStart w:id="61" w:name="_Toc387773188"/>
      <w:bookmarkStart w:id="62" w:name="_Toc10189309"/>
      <w:bookmarkStart w:id="63" w:name="_Toc40280341"/>
      <w:bookmarkStart w:id="64" w:name="_Toc230492377"/>
      <w:bookmarkStart w:id="65" w:name="_Toc286308343"/>
      <w:bookmarkStart w:id="66" w:name="_Toc381015374"/>
      <w:bookmarkStart w:id="67" w:name="_Toc387768381"/>
      <w:r>
        <w:rPr>
          <w:rFonts w:hint="eastAsia" w:ascii="宋体" w:hAnsi="宋体" w:cs="宋体"/>
          <w:b/>
          <w:bCs/>
          <w:sz w:val="24"/>
          <w:szCs w:val="24"/>
        </w:rPr>
        <w:t>二、范围、内容、依据与标准</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D55C4AD">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2.1采购范围及内容：</w:t>
      </w:r>
    </w:p>
    <w:p w14:paraId="6130C964">
      <w:pPr>
        <w:pStyle w:val="32"/>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本项目采购内容为</w:t>
      </w:r>
    </w:p>
    <w:p w14:paraId="2B6D19FF">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①对市中心机房开展基础环境运维服务</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rPr>
        <w:t>对市中心及下属8个分中心的安全软硬件产品开展</w:t>
      </w:r>
      <w:r>
        <w:rPr>
          <w:rFonts w:hint="eastAsia" w:ascii="宋体" w:eastAsia="宋体" w:cs="宋体"/>
          <w:color w:val="auto"/>
          <w:sz w:val="24"/>
          <w:szCs w:val="24"/>
          <w:highlight w:val="none"/>
          <w:lang w:val="en-US" w:eastAsia="zh-CN"/>
        </w:rPr>
        <w:t>运维</w:t>
      </w:r>
      <w:r>
        <w:rPr>
          <w:rFonts w:hint="eastAsia" w:ascii="宋体" w:eastAsia="宋体" w:cs="宋体"/>
          <w:color w:val="auto"/>
          <w:sz w:val="24"/>
          <w:szCs w:val="24"/>
          <w:highlight w:val="none"/>
        </w:rPr>
        <w:t>服务</w:t>
      </w:r>
      <w:r>
        <w:rPr>
          <w:rFonts w:hint="eastAsia" w:ascii="宋体" w:eastAsia="宋体" w:cs="宋体"/>
          <w:color w:val="auto"/>
          <w:sz w:val="24"/>
          <w:szCs w:val="24"/>
          <w:highlight w:val="none"/>
          <w:lang w:eastAsia="zh-CN"/>
        </w:rPr>
        <w:t>。</w:t>
      </w:r>
    </w:p>
    <w:p w14:paraId="46B2DC6C">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lang w:val="en-US" w:eastAsia="zh-CN"/>
        </w:rPr>
        <w:t>②</w:t>
      </w:r>
      <w:r>
        <w:rPr>
          <w:rFonts w:hint="eastAsia" w:ascii="宋体" w:eastAsia="宋体" w:cs="宋体"/>
          <w:color w:val="auto"/>
          <w:sz w:val="24"/>
          <w:szCs w:val="24"/>
          <w:highlight w:val="none"/>
        </w:rPr>
        <w:t>对市中心及分中心开展网络安全运维服务。</w:t>
      </w:r>
    </w:p>
    <w:p w14:paraId="2F1C118F">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本项目服务</w:t>
      </w:r>
      <w:r>
        <w:rPr>
          <w:rFonts w:hint="eastAsia" w:ascii="宋体" w:eastAsia="宋体" w:cs="宋体"/>
          <w:color w:val="auto"/>
          <w:sz w:val="24"/>
          <w:szCs w:val="24"/>
          <w:highlight w:val="none"/>
          <w:lang w:val="en-US" w:eastAsia="zh-CN"/>
        </w:rPr>
        <w:t>内容</w:t>
      </w:r>
      <w:r>
        <w:rPr>
          <w:rFonts w:hint="eastAsia" w:ascii="宋体" w:eastAsia="宋体" w:cs="宋体"/>
          <w:color w:val="auto"/>
          <w:sz w:val="24"/>
          <w:szCs w:val="24"/>
          <w:highlight w:val="none"/>
        </w:rPr>
        <w:t>、要求具体如下：</w:t>
      </w:r>
    </w:p>
    <w:p w14:paraId="3067A285">
      <w:pPr>
        <w:keepNext w:val="0"/>
        <w:keepLines w:val="0"/>
        <w:pageBreakBefore w:val="0"/>
        <w:widowControl w:val="0"/>
        <w:numPr>
          <w:ilvl w:val="0"/>
          <w:numId w:val="5"/>
        </w:numPr>
        <w:kinsoku/>
        <w:wordWrap/>
        <w:overflowPunct/>
        <w:topLinePunct w:val="0"/>
        <w:autoSpaceDE/>
        <w:autoSpaceDN/>
        <w:bidi w:val="0"/>
        <w:spacing w:line="360" w:lineRule="auto"/>
        <w:ind w:firstLine="482"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基础环境运维服务及安全软硬件产品维保服务内容及要求</w:t>
      </w:r>
    </w:p>
    <w:p w14:paraId="085E7287">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运维设备及软硬件包括但不限于下表所列内容。</w:t>
      </w:r>
    </w:p>
    <w:p w14:paraId="7FCDA1B8">
      <w:pPr>
        <w:keepNext w:val="0"/>
        <w:keepLines w:val="0"/>
        <w:pageBreakBefore w:val="0"/>
        <w:widowControl w:val="0"/>
        <w:numPr>
          <w:ilvl w:val="-1"/>
          <w:numId w:val="0"/>
        </w:numPr>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表1</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438"/>
        <w:gridCol w:w="513"/>
        <w:gridCol w:w="467"/>
        <w:gridCol w:w="1394"/>
        <w:gridCol w:w="1972"/>
        <w:gridCol w:w="2977"/>
      </w:tblGrid>
      <w:tr w14:paraId="0F8F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0404C906">
            <w:pPr>
              <w:snapToGrid w:val="0"/>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793" w:type="pct"/>
            <w:vAlign w:val="center"/>
          </w:tcPr>
          <w:p w14:paraId="279AE741">
            <w:pPr>
              <w:snapToGrid w:val="0"/>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设施类型</w:t>
            </w:r>
          </w:p>
        </w:tc>
        <w:tc>
          <w:tcPr>
            <w:tcW w:w="294" w:type="pct"/>
            <w:vAlign w:val="center"/>
          </w:tcPr>
          <w:p w14:paraId="1B6FB5A0">
            <w:pPr>
              <w:snapToGrid w:val="0"/>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数量</w:t>
            </w:r>
          </w:p>
        </w:tc>
        <w:tc>
          <w:tcPr>
            <w:tcW w:w="269" w:type="pct"/>
            <w:vAlign w:val="center"/>
          </w:tcPr>
          <w:p w14:paraId="0AA7A36C">
            <w:pPr>
              <w:snapToGrid w:val="0"/>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769" w:type="pct"/>
            <w:vAlign w:val="center"/>
          </w:tcPr>
          <w:p w14:paraId="1027BB68">
            <w:pPr>
              <w:snapToGrid w:val="0"/>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服务要求</w:t>
            </w:r>
          </w:p>
        </w:tc>
        <w:tc>
          <w:tcPr>
            <w:tcW w:w="1081" w:type="pct"/>
            <w:vAlign w:val="center"/>
          </w:tcPr>
          <w:p w14:paraId="3C111DD0">
            <w:pPr>
              <w:snapToGrid w:val="0"/>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维护时间</w:t>
            </w:r>
          </w:p>
        </w:tc>
        <w:tc>
          <w:tcPr>
            <w:tcW w:w="1504" w:type="pct"/>
            <w:vAlign w:val="center"/>
          </w:tcPr>
          <w:p w14:paraId="602266AE">
            <w:pPr>
              <w:snapToGrid w:val="0"/>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对应项目</w:t>
            </w:r>
          </w:p>
        </w:tc>
      </w:tr>
      <w:tr w14:paraId="68A9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4C2FED7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93" w:type="pct"/>
            <w:vAlign w:val="center"/>
          </w:tcPr>
          <w:p w14:paraId="10E1C34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维谛p2040精密空调</w:t>
            </w:r>
          </w:p>
        </w:tc>
        <w:tc>
          <w:tcPr>
            <w:tcW w:w="294" w:type="pct"/>
            <w:vAlign w:val="center"/>
          </w:tcPr>
          <w:p w14:paraId="4334BA8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69" w:type="pct"/>
            <w:vAlign w:val="center"/>
          </w:tcPr>
          <w:p w14:paraId="377D9D8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vAlign w:val="center"/>
          </w:tcPr>
          <w:p w14:paraId="4126907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设备检修、保养服务、每季度巡检一次</w:t>
            </w:r>
          </w:p>
        </w:tc>
        <w:tc>
          <w:tcPr>
            <w:tcW w:w="1081" w:type="pct"/>
            <w:vAlign w:val="center"/>
          </w:tcPr>
          <w:p w14:paraId="64F7D9C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vMerge w:val="restart"/>
            <w:vAlign w:val="center"/>
          </w:tcPr>
          <w:p w14:paraId="3237E74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2018南通市公路管理处数据中心机房升级改造项目采购编号：Z3206011180479（XJ176）、</w:t>
            </w:r>
          </w:p>
          <w:p w14:paraId="3621C92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2022年南通市公路事业发展中心UPS机房改造及数据中心维保项目  </w:t>
            </w:r>
          </w:p>
          <w:p w14:paraId="44DF399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采购编号：Z320601220330（CS145）</w:t>
            </w:r>
          </w:p>
        </w:tc>
      </w:tr>
      <w:tr w14:paraId="1A79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6431D8E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793" w:type="pct"/>
            <w:vAlign w:val="center"/>
          </w:tcPr>
          <w:p w14:paraId="5C5511C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维谛DME07精密空调</w:t>
            </w:r>
          </w:p>
        </w:tc>
        <w:tc>
          <w:tcPr>
            <w:tcW w:w="294" w:type="pct"/>
            <w:vAlign w:val="center"/>
          </w:tcPr>
          <w:p w14:paraId="203C077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vAlign w:val="center"/>
          </w:tcPr>
          <w:p w14:paraId="7E95383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vAlign w:val="center"/>
          </w:tcPr>
          <w:p w14:paraId="0DE70B9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设备检修、保养服务、每季度巡检一次</w:t>
            </w:r>
          </w:p>
        </w:tc>
        <w:tc>
          <w:tcPr>
            <w:tcW w:w="1081" w:type="pct"/>
            <w:shd w:val="clear" w:color="auto" w:fill="auto"/>
            <w:vAlign w:val="center"/>
          </w:tcPr>
          <w:p w14:paraId="02DE7E3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vMerge w:val="continue"/>
            <w:vAlign w:val="center"/>
          </w:tcPr>
          <w:p w14:paraId="4C7CA76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tc>
      </w:tr>
      <w:tr w14:paraId="10B9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403BA44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793" w:type="pct"/>
            <w:vAlign w:val="center"/>
          </w:tcPr>
          <w:p w14:paraId="444CA09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维谛 ITA2-30型号UPS主机</w:t>
            </w:r>
          </w:p>
        </w:tc>
        <w:tc>
          <w:tcPr>
            <w:tcW w:w="294" w:type="pct"/>
            <w:vAlign w:val="center"/>
          </w:tcPr>
          <w:p w14:paraId="0CC704F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69" w:type="pct"/>
            <w:vAlign w:val="center"/>
          </w:tcPr>
          <w:p w14:paraId="668553E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vAlign w:val="center"/>
          </w:tcPr>
          <w:p w14:paraId="713A3BD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设备检修、保养服务、每季度巡检一次</w:t>
            </w:r>
          </w:p>
        </w:tc>
        <w:tc>
          <w:tcPr>
            <w:tcW w:w="1081" w:type="pct"/>
            <w:shd w:val="clear" w:color="auto" w:fill="auto"/>
            <w:vAlign w:val="center"/>
          </w:tcPr>
          <w:p w14:paraId="4E14EDB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vMerge w:val="continue"/>
            <w:vAlign w:val="center"/>
          </w:tcPr>
          <w:p w14:paraId="37B996C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tc>
      </w:tr>
      <w:tr w14:paraId="50B8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7DAB1D0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793" w:type="pct"/>
            <w:vAlign w:val="center"/>
          </w:tcPr>
          <w:p w14:paraId="3DB8574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机房环境监控、门禁</w:t>
            </w:r>
          </w:p>
        </w:tc>
        <w:tc>
          <w:tcPr>
            <w:tcW w:w="294" w:type="pct"/>
            <w:vAlign w:val="center"/>
          </w:tcPr>
          <w:p w14:paraId="6AC015C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vAlign w:val="center"/>
          </w:tcPr>
          <w:p w14:paraId="65B9C84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批</w:t>
            </w:r>
          </w:p>
        </w:tc>
        <w:tc>
          <w:tcPr>
            <w:tcW w:w="769" w:type="pct"/>
            <w:vAlign w:val="center"/>
          </w:tcPr>
          <w:p w14:paraId="13D8812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设备检修、保养服务、每季度巡检一次</w:t>
            </w:r>
          </w:p>
        </w:tc>
        <w:tc>
          <w:tcPr>
            <w:tcW w:w="1081" w:type="pct"/>
            <w:shd w:val="clear" w:color="auto" w:fill="auto"/>
            <w:vAlign w:val="center"/>
          </w:tcPr>
          <w:p w14:paraId="4B84A55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vMerge w:val="continue"/>
            <w:vAlign w:val="center"/>
          </w:tcPr>
          <w:p w14:paraId="5D2B240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tc>
      </w:tr>
      <w:tr w14:paraId="21E4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09D3C99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793" w:type="pct"/>
            <w:vAlign w:val="center"/>
          </w:tcPr>
          <w:p w14:paraId="3027944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中心外网出口防火墙</w:t>
            </w:r>
          </w:p>
        </w:tc>
        <w:tc>
          <w:tcPr>
            <w:tcW w:w="294" w:type="pct"/>
            <w:vAlign w:val="center"/>
          </w:tcPr>
          <w:p w14:paraId="243AF9E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vAlign w:val="center"/>
          </w:tcPr>
          <w:p w14:paraId="231E739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vAlign w:val="center"/>
          </w:tcPr>
          <w:p w14:paraId="751E913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硬件维保、规则库升级、软件版本升级、每月巡检一次</w:t>
            </w:r>
          </w:p>
        </w:tc>
        <w:tc>
          <w:tcPr>
            <w:tcW w:w="1081" w:type="pct"/>
            <w:shd w:val="clear" w:color="auto" w:fill="auto"/>
            <w:vAlign w:val="center"/>
          </w:tcPr>
          <w:p w14:paraId="58C3B72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vAlign w:val="center"/>
          </w:tcPr>
          <w:p w14:paraId="588F064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2018年南通市公路管理处基层数据中心提升及安全运维升级项目  </w:t>
            </w:r>
          </w:p>
          <w:p w14:paraId="6B517F1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采购编号:Z32060118083（XJ322）</w:t>
            </w:r>
          </w:p>
        </w:tc>
      </w:tr>
      <w:tr w14:paraId="7017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86" w:type="pct"/>
            <w:shd w:val="clear" w:color="auto" w:fill="auto"/>
            <w:vAlign w:val="center"/>
          </w:tcPr>
          <w:p w14:paraId="192402B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793" w:type="pct"/>
            <w:shd w:val="clear" w:color="auto" w:fill="auto"/>
            <w:vAlign w:val="center"/>
          </w:tcPr>
          <w:p w14:paraId="5043561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XDR</w:t>
            </w:r>
          </w:p>
        </w:tc>
        <w:tc>
          <w:tcPr>
            <w:tcW w:w="294" w:type="pct"/>
            <w:shd w:val="clear" w:color="auto" w:fill="auto"/>
            <w:vAlign w:val="center"/>
          </w:tcPr>
          <w:p w14:paraId="5BC5EF9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7196CA5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套</w:t>
            </w:r>
          </w:p>
        </w:tc>
        <w:tc>
          <w:tcPr>
            <w:tcW w:w="769" w:type="pct"/>
            <w:shd w:val="clear" w:color="auto" w:fill="auto"/>
            <w:vAlign w:val="center"/>
          </w:tcPr>
          <w:p w14:paraId="5BBC0B5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规则库升级、软件版本升级、每月巡检一次</w:t>
            </w:r>
          </w:p>
        </w:tc>
        <w:tc>
          <w:tcPr>
            <w:tcW w:w="1081" w:type="pct"/>
            <w:shd w:val="clear" w:color="auto" w:fill="auto"/>
            <w:vAlign w:val="center"/>
          </w:tcPr>
          <w:p w14:paraId="27A06C1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450C345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2021南通市公路事业发展中心数据中心改造及服务项目  采购编号: Z320601210236(ZB064)</w:t>
            </w:r>
          </w:p>
        </w:tc>
      </w:tr>
      <w:tr w14:paraId="4F39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49DCCDB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793" w:type="pct"/>
            <w:shd w:val="clear" w:color="auto" w:fill="auto"/>
            <w:vAlign w:val="center"/>
          </w:tcPr>
          <w:p w14:paraId="0C1DD52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中心无线防火墙</w:t>
            </w:r>
          </w:p>
        </w:tc>
        <w:tc>
          <w:tcPr>
            <w:tcW w:w="294" w:type="pct"/>
            <w:shd w:val="clear" w:color="auto" w:fill="auto"/>
            <w:vAlign w:val="center"/>
          </w:tcPr>
          <w:p w14:paraId="674BD01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4CC4E99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2EF5775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硬件维保、规则库升级、软件版本升级、每月巡检一次</w:t>
            </w:r>
          </w:p>
        </w:tc>
        <w:tc>
          <w:tcPr>
            <w:tcW w:w="1081" w:type="pct"/>
            <w:shd w:val="clear" w:color="auto" w:fill="auto"/>
            <w:vAlign w:val="center"/>
          </w:tcPr>
          <w:p w14:paraId="37DED90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0FC1A28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  采购编号:Z320601200442(XJ143)</w:t>
            </w:r>
          </w:p>
        </w:tc>
      </w:tr>
      <w:tr w14:paraId="5FDF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1D09F8F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793" w:type="pct"/>
            <w:shd w:val="clear" w:color="auto" w:fill="auto"/>
            <w:vAlign w:val="center"/>
          </w:tcPr>
          <w:p w14:paraId="3607F9D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中心探针</w:t>
            </w:r>
          </w:p>
        </w:tc>
        <w:tc>
          <w:tcPr>
            <w:tcW w:w="294" w:type="pct"/>
            <w:shd w:val="clear" w:color="auto" w:fill="auto"/>
            <w:vAlign w:val="center"/>
          </w:tcPr>
          <w:p w14:paraId="41055E2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69" w:type="pct"/>
            <w:shd w:val="clear" w:color="auto" w:fill="auto"/>
            <w:vAlign w:val="center"/>
          </w:tcPr>
          <w:p w14:paraId="121031C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7CD99A2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规则库升级、软件版本升级、每月巡检一次</w:t>
            </w:r>
          </w:p>
        </w:tc>
        <w:tc>
          <w:tcPr>
            <w:tcW w:w="1081" w:type="pct"/>
            <w:shd w:val="clear" w:color="auto" w:fill="auto"/>
            <w:vAlign w:val="center"/>
          </w:tcPr>
          <w:p w14:paraId="43E2E60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5C77592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2020年南通市公路事业发展中心专网安全改造项目项目采购编号：Z320601200442(XJ143)</w:t>
            </w:r>
          </w:p>
          <w:p w14:paraId="2152377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2021南通市公路事业发展中心数据中心改造及服务项目  采购编号: Z320601210236(ZB064)</w:t>
            </w:r>
          </w:p>
        </w:tc>
      </w:tr>
      <w:tr w14:paraId="02EE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2231C68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tc>
        <w:tc>
          <w:tcPr>
            <w:tcW w:w="793" w:type="pct"/>
            <w:shd w:val="clear" w:color="auto" w:fill="auto"/>
            <w:vAlign w:val="center"/>
          </w:tcPr>
          <w:p w14:paraId="09711AC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中心内外网EDR</w:t>
            </w:r>
          </w:p>
        </w:tc>
        <w:tc>
          <w:tcPr>
            <w:tcW w:w="294" w:type="pct"/>
            <w:shd w:val="clear" w:color="auto" w:fill="auto"/>
            <w:vAlign w:val="center"/>
          </w:tcPr>
          <w:p w14:paraId="51C0114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69" w:type="pct"/>
            <w:shd w:val="clear" w:color="auto" w:fill="auto"/>
            <w:vAlign w:val="center"/>
          </w:tcPr>
          <w:p w14:paraId="3B812CF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套</w:t>
            </w:r>
          </w:p>
        </w:tc>
        <w:tc>
          <w:tcPr>
            <w:tcW w:w="769" w:type="pct"/>
            <w:shd w:val="clear" w:color="auto" w:fill="auto"/>
            <w:vAlign w:val="center"/>
          </w:tcPr>
          <w:p w14:paraId="41DAAAE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规则库升级、软件版本升级、每月巡检一次</w:t>
            </w:r>
          </w:p>
        </w:tc>
        <w:tc>
          <w:tcPr>
            <w:tcW w:w="1081" w:type="pct"/>
            <w:shd w:val="clear" w:color="auto" w:fill="auto"/>
            <w:vAlign w:val="center"/>
          </w:tcPr>
          <w:p w14:paraId="3334834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1B36894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2020年南通市公路事业发展中心专网安全改造项目项目采购编号:  Z320601200442(XJ143）</w:t>
            </w:r>
          </w:p>
        </w:tc>
      </w:tr>
      <w:tr w14:paraId="5249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0DD358C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793" w:type="pct"/>
            <w:shd w:val="clear" w:color="auto" w:fill="auto"/>
            <w:vAlign w:val="center"/>
          </w:tcPr>
          <w:p w14:paraId="39A6184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中心内网专线防火墙</w:t>
            </w:r>
          </w:p>
        </w:tc>
        <w:tc>
          <w:tcPr>
            <w:tcW w:w="294" w:type="pct"/>
            <w:shd w:val="clear" w:color="auto" w:fill="auto"/>
            <w:vAlign w:val="center"/>
          </w:tcPr>
          <w:p w14:paraId="77ADD90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737CFB2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7D4BFD2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硬件维保、规则库升级、软件版本升级、每月巡检一次</w:t>
            </w:r>
          </w:p>
        </w:tc>
        <w:tc>
          <w:tcPr>
            <w:tcW w:w="1081" w:type="pct"/>
            <w:shd w:val="clear" w:color="auto" w:fill="auto"/>
            <w:vAlign w:val="center"/>
          </w:tcPr>
          <w:p w14:paraId="20AF526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21B88E9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2020年南通市公路事业发展中心专网安全改造项目项目采购编号:   Z320601200442(XJ143)</w:t>
            </w:r>
          </w:p>
        </w:tc>
      </w:tr>
      <w:tr w14:paraId="2935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083BEB3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w:t>
            </w:r>
          </w:p>
        </w:tc>
        <w:tc>
          <w:tcPr>
            <w:tcW w:w="793" w:type="pct"/>
            <w:shd w:val="clear" w:color="auto" w:fill="auto"/>
            <w:vAlign w:val="center"/>
          </w:tcPr>
          <w:p w14:paraId="2D8B1D1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中心服务器区防火墙</w:t>
            </w:r>
          </w:p>
        </w:tc>
        <w:tc>
          <w:tcPr>
            <w:tcW w:w="294" w:type="pct"/>
            <w:shd w:val="clear" w:color="auto" w:fill="auto"/>
            <w:vAlign w:val="center"/>
          </w:tcPr>
          <w:p w14:paraId="06745DE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780B701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4065B33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规则库升级、软件版本升级、每月巡检一次</w:t>
            </w:r>
          </w:p>
        </w:tc>
        <w:tc>
          <w:tcPr>
            <w:tcW w:w="1081" w:type="pct"/>
            <w:shd w:val="clear" w:color="auto" w:fill="auto"/>
            <w:vAlign w:val="center"/>
          </w:tcPr>
          <w:p w14:paraId="0220374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66C3719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 采购编号：Z320601200442(XJ143）</w:t>
            </w:r>
          </w:p>
        </w:tc>
      </w:tr>
      <w:tr w14:paraId="601E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7308C79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w:t>
            </w:r>
          </w:p>
        </w:tc>
        <w:tc>
          <w:tcPr>
            <w:tcW w:w="793" w:type="pct"/>
            <w:shd w:val="clear" w:color="auto" w:fill="auto"/>
            <w:vAlign w:val="center"/>
          </w:tcPr>
          <w:p w14:paraId="7E4A0C9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分中心汇聚防火墙</w:t>
            </w:r>
          </w:p>
        </w:tc>
        <w:tc>
          <w:tcPr>
            <w:tcW w:w="294" w:type="pct"/>
            <w:shd w:val="clear" w:color="auto" w:fill="auto"/>
            <w:vAlign w:val="center"/>
          </w:tcPr>
          <w:p w14:paraId="05F0A8B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269" w:type="pct"/>
            <w:shd w:val="clear" w:color="auto" w:fill="auto"/>
            <w:vAlign w:val="center"/>
          </w:tcPr>
          <w:p w14:paraId="5AFDE3E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36293BE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规则库升级、软件版本升级、每月巡检一次</w:t>
            </w:r>
          </w:p>
        </w:tc>
        <w:tc>
          <w:tcPr>
            <w:tcW w:w="1081" w:type="pct"/>
            <w:shd w:val="clear" w:color="auto" w:fill="auto"/>
            <w:vAlign w:val="center"/>
          </w:tcPr>
          <w:p w14:paraId="1FA459F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vAlign w:val="center"/>
          </w:tcPr>
          <w:p w14:paraId="044C2BF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2020年南通市公路事业发展中心专网安全改造项目项目采购编号:  Z320601200442(XJ143）</w:t>
            </w:r>
          </w:p>
        </w:tc>
      </w:tr>
      <w:tr w14:paraId="267D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627F3C5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w:t>
            </w:r>
          </w:p>
        </w:tc>
        <w:tc>
          <w:tcPr>
            <w:tcW w:w="793" w:type="pct"/>
            <w:shd w:val="clear" w:color="auto" w:fill="auto"/>
            <w:vAlign w:val="center"/>
          </w:tcPr>
          <w:p w14:paraId="7408675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分中心探针</w:t>
            </w:r>
          </w:p>
        </w:tc>
        <w:tc>
          <w:tcPr>
            <w:tcW w:w="294" w:type="pct"/>
            <w:shd w:val="clear" w:color="auto" w:fill="auto"/>
            <w:vAlign w:val="center"/>
          </w:tcPr>
          <w:p w14:paraId="7958BF0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269" w:type="pct"/>
            <w:shd w:val="clear" w:color="auto" w:fill="auto"/>
            <w:vAlign w:val="center"/>
          </w:tcPr>
          <w:p w14:paraId="6D70044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7A69187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软件库升级、特征库更新、每月巡检一次</w:t>
            </w:r>
          </w:p>
        </w:tc>
        <w:tc>
          <w:tcPr>
            <w:tcW w:w="1081" w:type="pct"/>
            <w:shd w:val="clear" w:color="auto" w:fill="auto"/>
            <w:vAlign w:val="center"/>
          </w:tcPr>
          <w:p w14:paraId="08522A0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64320ED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2020年南通市公路事业发展中心专网安全改造项目项目采购编号:  Z320601200442(XJ143）</w:t>
            </w:r>
          </w:p>
        </w:tc>
      </w:tr>
      <w:tr w14:paraId="2B17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6B30BA1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14</w:t>
            </w:r>
          </w:p>
        </w:tc>
        <w:tc>
          <w:tcPr>
            <w:tcW w:w="793" w:type="pct"/>
            <w:shd w:val="clear" w:color="auto" w:fill="auto"/>
            <w:vAlign w:val="center"/>
          </w:tcPr>
          <w:p w14:paraId="4D4F14A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分中心内外网防火墙</w:t>
            </w:r>
          </w:p>
        </w:tc>
        <w:tc>
          <w:tcPr>
            <w:tcW w:w="294" w:type="pct"/>
            <w:shd w:val="clear" w:color="auto" w:fill="auto"/>
            <w:vAlign w:val="center"/>
          </w:tcPr>
          <w:p w14:paraId="6116A38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15</w:t>
            </w:r>
          </w:p>
        </w:tc>
        <w:tc>
          <w:tcPr>
            <w:tcW w:w="269" w:type="pct"/>
            <w:shd w:val="clear" w:color="auto" w:fill="auto"/>
            <w:vAlign w:val="center"/>
          </w:tcPr>
          <w:p w14:paraId="66B227E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496B57B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硬件维保、规则库升级、软件版本升级、每月巡检一次</w:t>
            </w:r>
          </w:p>
        </w:tc>
        <w:tc>
          <w:tcPr>
            <w:tcW w:w="1081" w:type="pct"/>
            <w:shd w:val="clear" w:color="auto" w:fill="auto"/>
            <w:vAlign w:val="center"/>
          </w:tcPr>
          <w:p w14:paraId="23AFF7B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vAlign w:val="center"/>
          </w:tcPr>
          <w:p w14:paraId="03C8DAF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2020年南通市公路事业发展中心专网安全改造项目项目采购编号:  Z320601200442(XJ143）</w:t>
            </w:r>
          </w:p>
        </w:tc>
      </w:tr>
      <w:tr w14:paraId="087D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36C80A7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15</w:t>
            </w:r>
          </w:p>
        </w:tc>
        <w:tc>
          <w:tcPr>
            <w:tcW w:w="793" w:type="pct"/>
            <w:shd w:val="clear" w:color="auto" w:fill="auto"/>
            <w:vAlign w:val="center"/>
          </w:tcPr>
          <w:p w14:paraId="5454CE2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外网超融合</w:t>
            </w:r>
          </w:p>
        </w:tc>
        <w:tc>
          <w:tcPr>
            <w:tcW w:w="294" w:type="pct"/>
            <w:shd w:val="clear" w:color="auto" w:fill="auto"/>
            <w:vAlign w:val="center"/>
          </w:tcPr>
          <w:p w14:paraId="2B56E4B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269" w:type="pct"/>
            <w:shd w:val="clear" w:color="auto" w:fill="auto"/>
            <w:vAlign w:val="center"/>
          </w:tcPr>
          <w:p w14:paraId="0936E72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589CD99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0AC10A7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2C68E1E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2021南通市公路事业发展中心数据中心改造及服务项目  采购编号:  Z320601210236(ZB064)</w:t>
            </w:r>
          </w:p>
        </w:tc>
      </w:tr>
      <w:tr w14:paraId="31B0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430094D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16</w:t>
            </w:r>
          </w:p>
        </w:tc>
        <w:tc>
          <w:tcPr>
            <w:tcW w:w="793" w:type="pct"/>
            <w:shd w:val="clear" w:color="auto" w:fill="auto"/>
            <w:vAlign w:val="center"/>
          </w:tcPr>
          <w:p w14:paraId="7C8F920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外网数据备份</w:t>
            </w:r>
          </w:p>
        </w:tc>
        <w:tc>
          <w:tcPr>
            <w:tcW w:w="294" w:type="pct"/>
            <w:shd w:val="clear" w:color="auto" w:fill="auto"/>
            <w:vAlign w:val="center"/>
          </w:tcPr>
          <w:p w14:paraId="33CAD42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364E598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1D3AE7C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0348760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5F31123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  采购编号：Z320601200442(XJ143)</w:t>
            </w:r>
          </w:p>
        </w:tc>
      </w:tr>
      <w:tr w14:paraId="5863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6792EC2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w:t>
            </w:r>
          </w:p>
        </w:tc>
        <w:tc>
          <w:tcPr>
            <w:tcW w:w="793" w:type="pct"/>
            <w:shd w:val="clear" w:color="auto" w:fill="auto"/>
            <w:vAlign w:val="center"/>
          </w:tcPr>
          <w:p w14:paraId="6DF197A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瑞数WAF</w:t>
            </w:r>
          </w:p>
        </w:tc>
        <w:tc>
          <w:tcPr>
            <w:tcW w:w="294" w:type="pct"/>
            <w:shd w:val="clear" w:color="auto" w:fill="auto"/>
            <w:vAlign w:val="center"/>
          </w:tcPr>
          <w:p w14:paraId="5B91301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720FBB9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套</w:t>
            </w:r>
          </w:p>
        </w:tc>
        <w:tc>
          <w:tcPr>
            <w:tcW w:w="769" w:type="pct"/>
            <w:shd w:val="clear" w:color="auto" w:fill="auto"/>
            <w:vAlign w:val="center"/>
          </w:tcPr>
          <w:p w14:paraId="410AC0A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6668F26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45746EC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2021南通市公路事业发展中心数据中心改造及服务项目  采购编号: Z320601210236(ZB064)</w:t>
            </w:r>
          </w:p>
        </w:tc>
      </w:tr>
      <w:tr w14:paraId="7817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78198D8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18</w:t>
            </w:r>
          </w:p>
        </w:tc>
        <w:tc>
          <w:tcPr>
            <w:tcW w:w="793" w:type="pct"/>
            <w:shd w:val="clear" w:color="auto" w:fill="auto"/>
            <w:vAlign w:val="center"/>
          </w:tcPr>
          <w:p w14:paraId="64C5C99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信锐无线网络控制中心</w:t>
            </w:r>
          </w:p>
        </w:tc>
        <w:tc>
          <w:tcPr>
            <w:tcW w:w="294" w:type="pct"/>
            <w:shd w:val="clear" w:color="auto" w:fill="auto"/>
            <w:vAlign w:val="center"/>
          </w:tcPr>
          <w:p w14:paraId="0D25F7A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3C7C5A0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0377371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382FA40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14A59B0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2021年南通市公路事业发展中心视频会议室无纸化会议系统及谈话音视频建设项目</w:t>
            </w:r>
          </w:p>
        </w:tc>
      </w:tr>
      <w:tr w14:paraId="0966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4156610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19</w:t>
            </w:r>
          </w:p>
        </w:tc>
        <w:tc>
          <w:tcPr>
            <w:tcW w:w="793" w:type="pct"/>
            <w:shd w:val="clear" w:color="auto" w:fill="auto"/>
            <w:vAlign w:val="center"/>
          </w:tcPr>
          <w:p w14:paraId="6B55BF0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内网日志审计</w:t>
            </w:r>
          </w:p>
        </w:tc>
        <w:tc>
          <w:tcPr>
            <w:tcW w:w="294" w:type="pct"/>
            <w:shd w:val="clear" w:color="auto" w:fill="auto"/>
            <w:vAlign w:val="center"/>
          </w:tcPr>
          <w:p w14:paraId="5D0FA1D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3531351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7A02AF1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3061A42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3AF089B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2018年南通市公路管理处基层数据中心提升及安全运维升级项目  </w:t>
            </w:r>
          </w:p>
          <w:p w14:paraId="6EA5096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采购编号:Z320601180838（XJ322）</w:t>
            </w:r>
          </w:p>
        </w:tc>
      </w:tr>
      <w:tr w14:paraId="1C3C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0741DED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w:t>
            </w:r>
          </w:p>
        </w:tc>
        <w:tc>
          <w:tcPr>
            <w:tcW w:w="793" w:type="pct"/>
            <w:shd w:val="clear" w:color="auto" w:fill="auto"/>
            <w:vAlign w:val="center"/>
          </w:tcPr>
          <w:p w14:paraId="39830F9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内网数据库审计</w:t>
            </w:r>
          </w:p>
        </w:tc>
        <w:tc>
          <w:tcPr>
            <w:tcW w:w="294" w:type="pct"/>
            <w:shd w:val="clear" w:color="auto" w:fill="auto"/>
            <w:vAlign w:val="center"/>
          </w:tcPr>
          <w:p w14:paraId="1FC7423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759628A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63B619E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77D1643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2CAA441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2019年南通市公路管理处网络安全采购项目  </w:t>
            </w:r>
          </w:p>
          <w:p w14:paraId="4EA7225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项目编号：Z320601190507(XJ188）</w:t>
            </w:r>
          </w:p>
        </w:tc>
      </w:tr>
      <w:tr w14:paraId="255E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3F697C4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21</w:t>
            </w:r>
          </w:p>
        </w:tc>
        <w:tc>
          <w:tcPr>
            <w:tcW w:w="793" w:type="pct"/>
            <w:shd w:val="clear" w:color="auto" w:fill="auto"/>
            <w:vAlign w:val="center"/>
          </w:tcPr>
          <w:p w14:paraId="05EC5C8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全景灾备系统</w:t>
            </w:r>
          </w:p>
        </w:tc>
        <w:tc>
          <w:tcPr>
            <w:tcW w:w="294" w:type="pct"/>
            <w:shd w:val="clear" w:color="auto" w:fill="auto"/>
            <w:vAlign w:val="center"/>
          </w:tcPr>
          <w:p w14:paraId="17EE770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0A8DD95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6B2326D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286E3D3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2B56A9F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2021南通市公路事业发展中心数据中心改造及服务项目 采购编号:  Z320601210236(ZB064)</w:t>
            </w:r>
          </w:p>
        </w:tc>
      </w:tr>
      <w:tr w14:paraId="783E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686485E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22</w:t>
            </w:r>
          </w:p>
        </w:tc>
        <w:tc>
          <w:tcPr>
            <w:tcW w:w="793" w:type="pct"/>
            <w:shd w:val="clear" w:color="auto" w:fill="auto"/>
            <w:vAlign w:val="center"/>
          </w:tcPr>
          <w:p w14:paraId="331A7A3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内网虚拟化</w:t>
            </w:r>
          </w:p>
        </w:tc>
        <w:tc>
          <w:tcPr>
            <w:tcW w:w="294" w:type="pct"/>
            <w:shd w:val="clear" w:color="auto" w:fill="auto"/>
            <w:vAlign w:val="center"/>
          </w:tcPr>
          <w:p w14:paraId="7929E15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269" w:type="pct"/>
            <w:shd w:val="clear" w:color="auto" w:fill="auto"/>
            <w:vAlign w:val="center"/>
          </w:tcPr>
          <w:p w14:paraId="61FC8A5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35C50F5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3E891E0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26A2867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2017年南通市公路管理处虚拟化改造升级项目 </w:t>
            </w:r>
          </w:p>
          <w:p w14:paraId="0C77E72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项目编号：2017XJ4022</w:t>
            </w:r>
          </w:p>
        </w:tc>
      </w:tr>
      <w:tr w14:paraId="4CF9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86" w:type="pct"/>
            <w:shd w:val="clear" w:color="auto" w:fill="auto"/>
            <w:vAlign w:val="center"/>
          </w:tcPr>
          <w:p w14:paraId="5700369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23</w:t>
            </w:r>
          </w:p>
        </w:tc>
        <w:tc>
          <w:tcPr>
            <w:tcW w:w="793" w:type="pct"/>
            <w:shd w:val="clear" w:color="auto" w:fill="auto"/>
            <w:vAlign w:val="center"/>
          </w:tcPr>
          <w:p w14:paraId="316CDC2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外网日志审计</w:t>
            </w:r>
          </w:p>
        </w:tc>
        <w:tc>
          <w:tcPr>
            <w:tcW w:w="294" w:type="pct"/>
            <w:shd w:val="clear" w:color="auto" w:fill="auto"/>
            <w:vAlign w:val="center"/>
          </w:tcPr>
          <w:p w14:paraId="73C3D0B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46D5BBA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29D1406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2D68366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1757A92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2019年南通市公路管理处网络安全采购项目  </w:t>
            </w:r>
          </w:p>
        </w:tc>
      </w:tr>
      <w:tr w14:paraId="2981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86" w:type="pct"/>
            <w:shd w:val="clear" w:color="auto" w:fill="auto"/>
            <w:vAlign w:val="center"/>
          </w:tcPr>
          <w:p w14:paraId="59668CB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24</w:t>
            </w:r>
          </w:p>
        </w:tc>
        <w:tc>
          <w:tcPr>
            <w:tcW w:w="793" w:type="pct"/>
            <w:shd w:val="clear" w:color="auto" w:fill="auto"/>
            <w:vAlign w:val="center"/>
          </w:tcPr>
          <w:p w14:paraId="378D0A9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零信任</w:t>
            </w:r>
          </w:p>
        </w:tc>
        <w:tc>
          <w:tcPr>
            <w:tcW w:w="294" w:type="pct"/>
            <w:shd w:val="clear" w:color="auto" w:fill="auto"/>
            <w:vAlign w:val="center"/>
          </w:tcPr>
          <w:p w14:paraId="675F3A8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69" w:type="pct"/>
            <w:shd w:val="clear" w:color="auto" w:fill="auto"/>
            <w:vAlign w:val="center"/>
          </w:tcPr>
          <w:p w14:paraId="7215A4C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705575C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3C6DF19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5CCAD44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2021年南通公路零信任安全架构体系应用研究</w:t>
            </w:r>
          </w:p>
        </w:tc>
      </w:tr>
      <w:tr w14:paraId="513F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86" w:type="pct"/>
            <w:shd w:val="clear" w:color="auto" w:fill="auto"/>
            <w:vAlign w:val="center"/>
          </w:tcPr>
          <w:p w14:paraId="64A2EAE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25</w:t>
            </w:r>
          </w:p>
        </w:tc>
        <w:tc>
          <w:tcPr>
            <w:tcW w:w="793" w:type="pct"/>
            <w:shd w:val="clear" w:color="auto" w:fill="auto"/>
            <w:vAlign w:val="center"/>
          </w:tcPr>
          <w:p w14:paraId="15DE81D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态势感知平台</w:t>
            </w:r>
          </w:p>
        </w:tc>
        <w:tc>
          <w:tcPr>
            <w:tcW w:w="294" w:type="pct"/>
            <w:shd w:val="clear" w:color="auto" w:fill="auto"/>
            <w:vAlign w:val="center"/>
          </w:tcPr>
          <w:p w14:paraId="2AA4763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173C7B8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7BD8428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6041DEC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0ABAE1E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2020年南通市公路事业发展中心专网安全改造项目项目采购编号:  Z320601200442(XJ143)</w:t>
            </w:r>
          </w:p>
        </w:tc>
      </w:tr>
    </w:tbl>
    <w:p w14:paraId="54497D7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（二）网络安全运维服务内容及要求</w:t>
      </w:r>
    </w:p>
    <w:p w14:paraId="13CE7E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网络安全</w:t>
      </w:r>
      <w:r>
        <w:rPr>
          <w:rFonts w:hint="eastAsia" w:ascii="宋体" w:hAnsi="宋体" w:eastAsia="宋体" w:cs="宋体"/>
          <w:sz w:val="24"/>
          <w:szCs w:val="24"/>
          <w:highlight w:val="none"/>
          <w:lang w:val="en-US" w:eastAsia="zh-CN"/>
        </w:rPr>
        <w:t>运维</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en-US" w:eastAsia="zh-CN"/>
        </w:rPr>
        <w:t>内容，详见表2。</w:t>
      </w:r>
    </w:p>
    <w:p w14:paraId="4FAE34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表2</w:t>
      </w:r>
    </w:p>
    <w:tbl>
      <w:tblPr>
        <w:tblStyle w:val="20"/>
        <w:tblW w:w="890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7"/>
        <w:gridCol w:w="1542"/>
        <w:gridCol w:w="5965"/>
        <w:gridCol w:w="1001"/>
      </w:tblGrid>
      <w:tr w14:paraId="6EBD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397" w:type="dxa"/>
            <w:tcBorders>
              <w:top w:val="single" w:color="auto" w:sz="4" w:space="0"/>
              <w:left w:val="single" w:color="auto" w:sz="4" w:space="0"/>
              <w:bottom w:val="single" w:color="auto" w:sz="4" w:space="0"/>
              <w:right w:val="single" w:color="auto" w:sz="4" w:space="0"/>
            </w:tcBorders>
            <w:vAlign w:val="center"/>
          </w:tcPr>
          <w:p w14:paraId="030F0D6B">
            <w:pPr>
              <w:jc w:val="center"/>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序号</w:t>
            </w:r>
          </w:p>
        </w:tc>
        <w:tc>
          <w:tcPr>
            <w:tcW w:w="1542" w:type="dxa"/>
            <w:vAlign w:val="center"/>
          </w:tcPr>
          <w:p w14:paraId="78452BA4">
            <w:pPr>
              <w:jc w:val="center"/>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服务名称</w:t>
            </w:r>
          </w:p>
        </w:tc>
        <w:tc>
          <w:tcPr>
            <w:tcW w:w="5965" w:type="dxa"/>
            <w:vAlign w:val="center"/>
          </w:tcPr>
          <w:p w14:paraId="4B410311">
            <w:pPr>
              <w:jc w:val="center"/>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服务内容</w:t>
            </w:r>
          </w:p>
        </w:tc>
        <w:tc>
          <w:tcPr>
            <w:tcW w:w="1001" w:type="dxa"/>
            <w:vAlign w:val="center"/>
          </w:tcPr>
          <w:p w14:paraId="0B601334">
            <w:pPr>
              <w:jc w:val="center"/>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服务频率</w:t>
            </w:r>
          </w:p>
        </w:tc>
      </w:tr>
      <w:tr w14:paraId="4665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trPr>
        <w:tc>
          <w:tcPr>
            <w:tcW w:w="397" w:type="dxa"/>
            <w:tcBorders>
              <w:top w:val="single" w:color="auto" w:sz="4" w:space="0"/>
              <w:left w:val="single" w:color="auto" w:sz="4" w:space="0"/>
              <w:bottom w:val="single" w:color="auto" w:sz="4" w:space="0"/>
              <w:right w:val="single" w:color="auto" w:sz="4" w:space="0"/>
            </w:tcBorders>
            <w:vAlign w:val="center"/>
          </w:tcPr>
          <w:p w14:paraId="3F47FF75">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w:t>
            </w:r>
          </w:p>
        </w:tc>
        <w:tc>
          <w:tcPr>
            <w:tcW w:w="1542" w:type="dxa"/>
            <w:vAlign w:val="center"/>
          </w:tcPr>
          <w:p w14:paraId="3732137A">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主机漏洞/弱口令扫描服务</w:t>
            </w:r>
          </w:p>
        </w:tc>
        <w:tc>
          <w:tcPr>
            <w:tcW w:w="5965" w:type="dxa"/>
            <w:vAlign w:val="center"/>
          </w:tcPr>
          <w:p w14:paraId="2DD5F864">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对所有主机、网络设备、操作系统、数据库、中间件等进行常态化的漏洞与弱口令扫描，提供漏洞、弱口令扫描结果与整改建议</w:t>
            </w:r>
          </w:p>
        </w:tc>
        <w:tc>
          <w:tcPr>
            <w:tcW w:w="1001" w:type="dxa"/>
            <w:vAlign w:val="center"/>
          </w:tcPr>
          <w:p w14:paraId="2A01C0B8">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每季度按需</w:t>
            </w:r>
          </w:p>
        </w:tc>
      </w:tr>
      <w:tr w14:paraId="703A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397" w:type="dxa"/>
            <w:tcBorders>
              <w:top w:val="single" w:color="auto" w:sz="4" w:space="0"/>
              <w:left w:val="single" w:color="auto" w:sz="4" w:space="0"/>
              <w:bottom w:val="single" w:color="auto" w:sz="4" w:space="0"/>
              <w:right w:val="single" w:color="auto" w:sz="4" w:space="0"/>
            </w:tcBorders>
            <w:vAlign w:val="center"/>
          </w:tcPr>
          <w:p w14:paraId="4932908A">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w:t>
            </w:r>
          </w:p>
        </w:tc>
        <w:tc>
          <w:tcPr>
            <w:tcW w:w="1542" w:type="dxa"/>
            <w:vAlign w:val="center"/>
          </w:tcPr>
          <w:p w14:paraId="03F37E60">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应急演练</w:t>
            </w:r>
          </w:p>
        </w:tc>
        <w:tc>
          <w:tcPr>
            <w:tcW w:w="5965" w:type="dxa"/>
            <w:vAlign w:val="center"/>
          </w:tcPr>
          <w:p w14:paraId="29F085D8">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每年按需提供网络安全应急演练服务，可选“网页挂马、网页篡改、勒索病毒、邮件钓鱼”等多类安全事件的应急演练</w:t>
            </w:r>
          </w:p>
        </w:tc>
        <w:tc>
          <w:tcPr>
            <w:tcW w:w="1001" w:type="dxa"/>
            <w:vAlign w:val="center"/>
          </w:tcPr>
          <w:p w14:paraId="27E7BAD6">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1次/年(按需)</w:t>
            </w:r>
          </w:p>
        </w:tc>
      </w:tr>
      <w:tr w14:paraId="03B0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trPr>
        <w:tc>
          <w:tcPr>
            <w:tcW w:w="397" w:type="dxa"/>
            <w:tcBorders>
              <w:top w:val="single" w:color="auto" w:sz="4" w:space="0"/>
              <w:left w:val="single" w:color="auto" w:sz="4" w:space="0"/>
              <w:bottom w:val="single" w:color="auto" w:sz="4" w:space="0"/>
              <w:right w:val="single" w:color="auto" w:sz="4" w:space="0"/>
            </w:tcBorders>
            <w:vAlign w:val="center"/>
          </w:tcPr>
          <w:p w14:paraId="3B2F3CE8">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3</w:t>
            </w:r>
          </w:p>
        </w:tc>
        <w:tc>
          <w:tcPr>
            <w:tcW w:w="1542" w:type="dxa"/>
            <w:vAlign w:val="center"/>
          </w:tcPr>
          <w:p w14:paraId="3EBD5AD7">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内网主机资产测绘与梳理服务</w:t>
            </w:r>
          </w:p>
        </w:tc>
        <w:tc>
          <w:tcPr>
            <w:tcW w:w="5965" w:type="dxa"/>
            <w:vAlign w:val="center"/>
          </w:tcPr>
          <w:p w14:paraId="1377AAD9">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探测存活的内网资产，包括服务器、终端、网络设备、摄像头等，跟踪资产变更趋势，形成可动态维护的资产台账</w:t>
            </w:r>
          </w:p>
        </w:tc>
        <w:tc>
          <w:tcPr>
            <w:tcW w:w="1001" w:type="dxa"/>
            <w:vAlign w:val="center"/>
          </w:tcPr>
          <w:p w14:paraId="0DD007F0">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1次/年(按需)</w:t>
            </w:r>
          </w:p>
        </w:tc>
      </w:tr>
      <w:tr w14:paraId="2490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8" w:hRule="atLeast"/>
        </w:trPr>
        <w:tc>
          <w:tcPr>
            <w:tcW w:w="397" w:type="dxa"/>
            <w:tcBorders>
              <w:top w:val="single" w:color="auto" w:sz="4" w:space="0"/>
              <w:left w:val="single" w:color="auto" w:sz="4" w:space="0"/>
              <w:bottom w:val="single" w:color="auto" w:sz="4" w:space="0"/>
              <w:right w:val="single" w:color="auto" w:sz="4" w:space="0"/>
            </w:tcBorders>
            <w:vAlign w:val="center"/>
          </w:tcPr>
          <w:p w14:paraId="08607401">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4</w:t>
            </w:r>
          </w:p>
        </w:tc>
        <w:tc>
          <w:tcPr>
            <w:tcW w:w="1542" w:type="dxa"/>
            <w:vAlign w:val="center"/>
          </w:tcPr>
          <w:p w14:paraId="5564FA41">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安全培训</w:t>
            </w:r>
          </w:p>
        </w:tc>
        <w:tc>
          <w:tcPr>
            <w:tcW w:w="5965" w:type="dxa"/>
            <w:vAlign w:val="center"/>
          </w:tcPr>
          <w:p w14:paraId="26730EFE">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对技术人员、一般员工、管理人员进行周期性的安全意识、安全技术、安全管理等内容进行选择性培训，加强整体的安全水平</w:t>
            </w:r>
          </w:p>
        </w:tc>
        <w:tc>
          <w:tcPr>
            <w:tcW w:w="1001" w:type="dxa"/>
            <w:vAlign w:val="center"/>
          </w:tcPr>
          <w:p w14:paraId="284C921F">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1次/年(按需)</w:t>
            </w:r>
          </w:p>
        </w:tc>
      </w:tr>
      <w:tr w14:paraId="39F7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397" w:type="dxa"/>
            <w:tcBorders>
              <w:top w:val="single" w:color="auto" w:sz="4" w:space="0"/>
              <w:left w:val="single" w:color="auto" w:sz="4" w:space="0"/>
              <w:bottom w:val="single" w:color="auto" w:sz="4" w:space="0"/>
              <w:right w:val="single" w:color="auto" w:sz="4" w:space="0"/>
            </w:tcBorders>
            <w:vAlign w:val="center"/>
          </w:tcPr>
          <w:p w14:paraId="2CD6BCC1">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5</w:t>
            </w:r>
          </w:p>
        </w:tc>
        <w:tc>
          <w:tcPr>
            <w:tcW w:w="1542" w:type="dxa"/>
            <w:vAlign w:val="center"/>
          </w:tcPr>
          <w:p w14:paraId="549083B4">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漏洞加固指导服务</w:t>
            </w:r>
          </w:p>
        </w:tc>
        <w:tc>
          <w:tcPr>
            <w:tcW w:w="5965" w:type="dxa"/>
            <w:vAlign w:val="center"/>
          </w:tcPr>
          <w:p w14:paraId="3FA8349C">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基于攻防视角评估资产漏洞风险，识别可实际产生风险的漏洞，提供漏洞修复的优先级建议，减少漏洞整改工作量</w:t>
            </w:r>
          </w:p>
        </w:tc>
        <w:tc>
          <w:tcPr>
            <w:tcW w:w="1001" w:type="dxa"/>
            <w:vAlign w:val="center"/>
          </w:tcPr>
          <w:p w14:paraId="2594AF34">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每年按需</w:t>
            </w:r>
          </w:p>
        </w:tc>
      </w:tr>
      <w:tr w14:paraId="0994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3" w:hRule="atLeast"/>
        </w:trPr>
        <w:tc>
          <w:tcPr>
            <w:tcW w:w="397" w:type="dxa"/>
            <w:tcBorders>
              <w:top w:val="single" w:color="auto" w:sz="4" w:space="0"/>
              <w:left w:val="single" w:color="auto" w:sz="4" w:space="0"/>
              <w:bottom w:val="single" w:color="auto" w:sz="4" w:space="0"/>
              <w:right w:val="single" w:color="auto" w:sz="4" w:space="0"/>
            </w:tcBorders>
            <w:vAlign w:val="center"/>
          </w:tcPr>
          <w:p w14:paraId="5BD7EB45">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6</w:t>
            </w:r>
          </w:p>
        </w:tc>
        <w:tc>
          <w:tcPr>
            <w:tcW w:w="1542" w:type="dxa"/>
            <w:vAlign w:val="center"/>
          </w:tcPr>
          <w:p w14:paraId="3C078630">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整体安全咨询服务</w:t>
            </w:r>
          </w:p>
        </w:tc>
        <w:tc>
          <w:tcPr>
            <w:tcW w:w="5965" w:type="dxa"/>
            <w:vAlign w:val="center"/>
          </w:tcPr>
          <w:p w14:paraId="601EE859">
            <w:pPr>
              <w:jc w:val="center"/>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依据国家/国际信息安全标准、信息安全策略及行业发展动态，在对用户信息安全现状进行风险评估、差距分析的基础上，从安全技术、安全管理、安全运营三个角度构建短期、中期与长期的信息安全规划，将信息安全的单点风险控制转变为全面的安全规划，进而推动有效的信息安全建设并建立完整的信息安全保障体系</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协助梳理</w:t>
            </w:r>
            <w:r>
              <w:rPr>
                <w:rFonts w:hint="eastAsia" w:ascii="宋体" w:hAnsi="宋体" w:eastAsia="宋体" w:cs="宋体"/>
                <w:sz w:val="24"/>
                <w:szCs w:val="24"/>
                <w:highlight w:val="none"/>
                <w:u w:val="none"/>
                <w:lang w:val="en-US" w:eastAsia="zh-CN"/>
              </w:rPr>
              <w:t>完善</w:t>
            </w:r>
            <w:r>
              <w:rPr>
                <w:rFonts w:hint="eastAsia" w:ascii="宋体" w:hAnsi="宋体" w:eastAsia="宋体" w:cs="宋体"/>
                <w:sz w:val="24"/>
                <w:szCs w:val="24"/>
                <w:highlight w:val="none"/>
                <w:u w:val="none"/>
              </w:rPr>
              <w:t>现有信息安全管理制度</w:t>
            </w:r>
            <w:r>
              <w:rPr>
                <w:rFonts w:hint="eastAsia" w:ascii="宋体" w:hAnsi="宋体" w:eastAsia="宋体" w:cs="宋体"/>
                <w:sz w:val="24"/>
                <w:szCs w:val="24"/>
                <w:highlight w:val="none"/>
                <w:u w:val="none"/>
                <w:lang w:eastAsia="zh-CN"/>
              </w:rPr>
              <w:t>。</w:t>
            </w:r>
          </w:p>
        </w:tc>
        <w:tc>
          <w:tcPr>
            <w:tcW w:w="1001" w:type="dxa"/>
            <w:vAlign w:val="center"/>
          </w:tcPr>
          <w:p w14:paraId="439C956E">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每年按需</w:t>
            </w:r>
          </w:p>
        </w:tc>
      </w:tr>
      <w:tr w14:paraId="2397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397" w:type="dxa"/>
            <w:tcBorders>
              <w:top w:val="single" w:color="auto" w:sz="4" w:space="0"/>
              <w:left w:val="single" w:color="auto" w:sz="4" w:space="0"/>
              <w:bottom w:val="single" w:color="auto" w:sz="4" w:space="0"/>
              <w:right w:val="single" w:color="auto" w:sz="4" w:space="0"/>
            </w:tcBorders>
            <w:vAlign w:val="center"/>
          </w:tcPr>
          <w:p w14:paraId="049320DD">
            <w:pPr>
              <w:jc w:val="center"/>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7</w:t>
            </w:r>
          </w:p>
        </w:tc>
        <w:tc>
          <w:tcPr>
            <w:tcW w:w="1542" w:type="dxa"/>
            <w:vAlign w:val="center"/>
          </w:tcPr>
          <w:p w14:paraId="01CB123E">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重保值守服务</w:t>
            </w:r>
          </w:p>
        </w:tc>
        <w:tc>
          <w:tcPr>
            <w:tcW w:w="5965" w:type="dxa"/>
            <w:vAlign w:val="center"/>
          </w:tcPr>
          <w:p w14:paraId="4646D66E">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重点时期、节日提供专业团队技术、设备的保障</w:t>
            </w:r>
          </w:p>
        </w:tc>
        <w:tc>
          <w:tcPr>
            <w:tcW w:w="1001" w:type="dxa"/>
            <w:vAlign w:val="center"/>
          </w:tcPr>
          <w:p w14:paraId="38E3C68D">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每年按需</w:t>
            </w:r>
          </w:p>
        </w:tc>
      </w:tr>
      <w:tr w14:paraId="3148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397" w:type="dxa"/>
            <w:tcBorders>
              <w:top w:val="single" w:color="auto" w:sz="4" w:space="0"/>
              <w:left w:val="single" w:color="auto" w:sz="4" w:space="0"/>
              <w:bottom w:val="single" w:color="auto" w:sz="4" w:space="0"/>
              <w:right w:val="single" w:color="auto" w:sz="4" w:space="0"/>
            </w:tcBorders>
            <w:vAlign w:val="center"/>
          </w:tcPr>
          <w:p w14:paraId="7B363F59">
            <w:pPr>
              <w:jc w:val="center"/>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8</w:t>
            </w:r>
          </w:p>
        </w:tc>
        <w:tc>
          <w:tcPr>
            <w:tcW w:w="1542" w:type="dxa"/>
            <w:vAlign w:val="center"/>
          </w:tcPr>
          <w:p w14:paraId="71F86563">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设备安全巡检</w:t>
            </w:r>
          </w:p>
        </w:tc>
        <w:tc>
          <w:tcPr>
            <w:tcW w:w="5965" w:type="dxa"/>
            <w:vAlign w:val="center"/>
          </w:tcPr>
          <w:p w14:paraId="2ED22DE3">
            <w:pPr>
              <w:jc w:val="center"/>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建设信息安全巡检机制，同时对巡检情况出具专业的巡检报告</w:t>
            </w:r>
          </w:p>
        </w:tc>
        <w:tc>
          <w:tcPr>
            <w:tcW w:w="1001" w:type="dxa"/>
            <w:vAlign w:val="center"/>
          </w:tcPr>
          <w:p w14:paraId="7A7A6D24">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1次/月</w:t>
            </w:r>
          </w:p>
        </w:tc>
      </w:tr>
    </w:tbl>
    <w:p w14:paraId="7DD3255C">
      <w:pPr>
        <w:keepNext w:val="0"/>
        <w:keepLines w:val="0"/>
        <w:pageBreakBefore w:val="0"/>
        <w:widowControl w:val="0"/>
        <w:numPr>
          <w:ilvl w:val="255"/>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2、网络安全运维服务要求</w:t>
      </w:r>
    </w:p>
    <w:p w14:paraId="5C95C38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提供项目咨询、新增互联网暴露面管理、WEB站点安全监测、漏洞加固辅助、事件告警通告、数据安全咨询、管理体系建设服务等。</w:t>
      </w:r>
    </w:p>
    <w:p w14:paraId="708B132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提供安全上网dns防护和上网管控服务，防止用户中毒后私联僵尸主机。</w:t>
      </w:r>
    </w:p>
    <w:tbl>
      <w:tblPr>
        <w:tblStyle w:val="20"/>
        <w:tblpPr w:leftFromText="180" w:rightFromText="180" w:vertAnchor="text" w:tblpX="14395" w:tblpY="13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tblGrid>
      <w:tr w14:paraId="00EE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511" w:type="dxa"/>
          </w:tcPr>
          <w:p w14:paraId="2D02EF24">
            <w:pPr>
              <w:keepNext w:val="0"/>
              <w:keepLines w:val="0"/>
              <w:pageBreakBefore w:val="0"/>
              <w:widowControl w:val="0"/>
              <w:numPr>
                <w:ilvl w:val="255"/>
                <w:numId w:val="0"/>
              </w:numPr>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p>
        </w:tc>
      </w:tr>
    </w:tbl>
    <w:p w14:paraId="2E6F0EB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巡检要求：对市中心防火墙、探针、内外网应用服务器等设备做好月度安全扫描巡检并出具《巡检报告》。巡检清单详见</w:t>
      </w:r>
      <w:r>
        <w:rPr>
          <w:rFonts w:hint="eastAsia" w:ascii="宋体" w:hAnsi="宋体" w:eastAsia="宋体" w:cs="宋体"/>
          <w:sz w:val="24"/>
          <w:szCs w:val="24"/>
          <w:highlight w:val="none"/>
          <w:lang w:val="en-US" w:eastAsia="zh-CN"/>
        </w:rPr>
        <w:t>表1</w:t>
      </w:r>
      <w:r>
        <w:rPr>
          <w:rFonts w:hint="eastAsia" w:ascii="宋体" w:hAnsi="宋体" w:eastAsia="宋体" w:cs="宋体"/>
          <w:sz w:val="24"/>
          <w:szCs w:val="24"/>
          <w:highlight w:val="none"/>
        </w:rPr>
        <w:t>。</w:t>
      </w:r>
    </w:p>
    <w:p w14:paraId="61AE17D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提供市中心及8个分中心7×24小时应急响应服务；每年不少于1次网络安全方面的应急演练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每年不少于1次市中心及8个分中心硬件方面的资产梳理；每年不少于1次网络安全技术培训服务。</w:t>
      </w:r>
    </w:p>
    <w:p w14:paraId="6489AD43">
      <w:pPr>
        <w:snapToGrid w:val="0"/>
        <w:spacing w:line="360" w:lineRule="auto"/>
        <w:ind w:firstLine="480" w:firstLineChars="200"/>
        <w:contextualSpacing/>
        <w:rPr>
          <w:rFonts w:hint="eastAsia" w:ascii="宋体" w:hAnsi="宋体" w:cs="宋体"/>
          <w:sz w:val="24"/>
          <w:szCs w:val="24"/>
        </w:rPr>
      </w:pPr>
      <w:r>
        <w:rPr>
          <w:rFonts w:hint="eastAsia" w:ascii="宋体" w:hAnsi="宋体" w:eastAsia="宋体" w:cs="宋体"/>
          <w:sz w:val="24"/>
          <w:szCs w:val="24"/>
          <w:highlight w:val="none"/>
          <w:lang w:val="en-US" w:eastAsia="zh-CN"/>
        </w:rPr>
        <w:t>（5）2026年</w:t>
      </w:r>
      <w:r>
        <w:rPr>
          <w:rFonts w:hint="eastAsia" w:ascii="宋体" w:hAnsi="宋体" w:eastAsia="宋体" w:cs="宋体"/>
          <w:sz w:val="24"/>
          <w:szCs w:val="24"/>
          <w:highlight w:val="none"/>
        </w:rPr>
        <w:t>12月31 日前，完成当年度服务报告，报告内容包括全年安全运维服务内容和基础环境运维服务内容的汇总和改进优化建议。</w:t>
      </w:r>
    </w:p>
    <w:p w14:paraId="34141C41">
      <w:pPr>
        <w:keepNext/>
        <w:keepLines/>
        <w:numPr>
          <w:ilvl w:val="2"/>
          <w:numId w:val="0"/>
        </w:numPr>
        <w:spacing w:line="360" w:lineRule="auto"/>
        <w:jc w:val="center"/>
        <w:outlineLvl w:val="2"/>
        <w:rPr>
          <w:rFonts w:hint="eastAsia" w:ascii="宋体" w:hAnsi="宋体" w:cs="宋体"/>
          <w:b/>
          <w:bCs/>
          <w:sz w:val="24"/>
          <w:szCs w:val="24"/>
        </w:rPr>
      </w:pPr>
      <w:bookmarkStart w:id="68" w:name="_Toc275422755"/>
      <w:bookmarkStart w:id="69" w:name="_Toc275422871"/>
      <w:bookmarkStart w:id="70" w:name="_Toc390785019"/>
      <w:bookmarkStart w:id="71" w:name="_Toc470619303"/>
      <w:bookmarkStart w:id="72" w:name="_Toc10189310"/>
      <w:bookmarkStart w:id="73" w:name="_Toc295408756"/>
      <w:bookmarkStart w:id="74" w:name="_Toc286308344"/>
      <w:bookmarkStart w:id="75" w:name="_Toc387768382"/>
      <w:bookmarkStart w:id="76" w:name="_Toc40280342"/>
      <w:bookmarkStart w:id="77" w:name="_Toc14857559"/>
      <w:bookmarkStart w:id="78" w:name="_Toc313903289"/>
      <w:bookmarkStart w:id="79" w:name="_Toc381015375"/>
      <w:bookmarkStart w:id="80" w:name="_Toc387773189"/>
      <w:bookmarkStart w:id="81" w:name="_Toc230492378"/>
      <w:r>
        <w:rPr>
          <w:rFonts w:hint="eastAsia" w:ascii="宋体" w:hAnsi="宋体" w:cs="宋体"/>
          <w:b/>
          <w:bCs/>
          <w:sz w:val="24"/>
          <w:szCs w:val="24"/>
        </w:rPr>
        <w:t>三、采购人的责任与义务</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61FE17D">
      <w:pPr>
        <w:snapToGrid w:val="0"/>
        <w:spacing w:line="360" w:lineRule="auto"/>
        <w:ind w:firstLine="480" w:firstLineChars="200"/>
        <w:contextualSpacing/>
        <w:rPr>
          <w:rFonts w:hint="eastAsia" w:ascii="宋体" w:hAnsi="宋体" w:cs="宋体"/>
          <w:sz w:val="24"/>
          <w:szCs w:val="24"/>
        </w:rPr>
      </w:pPr>
      <w:bookmarkStart w:id="82" w:name="_Toc275422756"/>
      <w:bookmarkStart w:id="83" w:name="_Toc10189311"/>
      <w:bookmarkStart w:id="84" w:name="_Toc275422872"/>
      <w:bookmarkStart w:id="85" w:name="_Toc230492379"/>
      <w:bookmarkStart w:id="86" w:name="_Toc295408757"/>
      <w:bookmarkStart w:id="87" w:name="_Toc286308345"/>
      <w:bookmarkStart w:id="88" w:name="_Toc14857560"/>
      <w:r>
        <w:rPr>
          <w:rFonts w:hint="eastAsia" w:ascii="宋体" w:hAnsi="宋体" w:cs="宋体"/>
          <w:sz w:val="24"/>
          <w:szCs w:val="24"/>
        </w:rPr>
        <w:t>3.1  采购人应按合同有关规定支付服务费用。</w:t>
      </w:r>
    </w:p>
    <w:p w14:paraId="09E7B928">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3.2  采购人应向服务单位提供开展工作所需要的相关文件、资料，服务单位应对提供的原始资料的理解负责。</w:t>
      </w:r>
    </w:p>
    <w:p w14:paraId="70E2866A">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3.3  在技术服务过程中，采购人应对服务单位与有关部门的协调工作提供必要的协助，但并不免除服务单位根据本合同规定应负的责任。</w:t>
      </w:r>
    </w:p>
    <w:p w14:paraId="7B03DC9F">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3.4  除合同另有规定外，采购人应保护服务单位的</w:t>
      </w:r>
      <w:r>
        <w:rPr>
          <w:rFonts w:hint="eastAsia" w:ascii="宋体" w:hAnsi="宋体" w:cs="宋体"/>
          <w:sz w:val="24"/>
          <w:szCs w:val="24"/>
          <w:lang w:eastAsia="zh-CN"/>
        </w:rPr>
        <w:t>磋商</w:t>
      </w:r>
      <w:r>
        <w:rPr>
          <w:rFonts w:hint="eastAsia" w:ascii="宋体" w:hAnsi="宋体" w:cs="宋体"/>
          <w:sz w:val="24"/>
          <w:szCs w:val="24"/>
        </w:rPr>
        <w:t>响应文件、计算软件和专利技术。未经服务单位同意，采购人对服务单位提交的</w:t>
      </w:r>
      <w:r>
        <w:rPr>
          <w:rFonts w:hint="eastAsia" w:ascii="宋体" w:hAnsi="宋体" w:cs="宋体"/>
          <w:sz w:val="24"/>
          <w:szCs w:val="24"/>
          <w:lang w:eastAsia="zh-CN"/>
        </w:rPr>
        <w:t>磋商</w:t>
      </w:r>
      <w:r>
        <w:rPr>
          <w:rFonts w:hint="eastAsia" w:ascii="宋体" w:hAnsi="宋体" w:cs="宋体"/>
          <w:sz w:val="24"/>
          <w:szCs w:val="24"/>
        </w:rPr>
        <w:t>响应文件不得擅自修改、复制或转让或用于本项目以外的其它项目。</w:t>
      </w:r>
    </w:p>
    <w:p w14:paraId="7CAEC086">
      <w:pPr>
        <w:keepNext/>
        <w:keepLines/>
        <w:numPr>
          <w:ilvl w:val="2"/>
          <w:numId w:val="0"/>
        </w:numPr>
        <w:spacing w:line="360" w:lineRule="auto"/>
        <w:jc w:val="center"/>
        <w:outlineLvl w:val="2"/>
        <w:rPr>
          <w:rFonts w:hint="eastAsia" w:ascii="宋体" w:hAnsi="宋体" w:cs="宋体"/>
          <w:b/>
          <w:bCs/>
          <w:sz w:val="24"/>
          <w:szCs w:val="24"/>
        </w:rPr>
      </w:pPr>
      <w:bookmarkStart w:id="89" w:name="_Toc40280343"/>
      <w:bookmarkStart w:id="90" w:name="_Toc387773190"/>
      <w:bookmarkStart w:id="91" w:name="_Toc313903290"/>
      <w:bookmarkStart w:id="92" w:name="_Toc381015376"/>
      <w:bookmarkStart w:id="93" w:name="_Toc390785020"/>
      <w:bookmarkStart w:id="94" w:name="_Toc387768383"/>
      <w:bookmarkStart w:id="95" w:name="_Toc470619304"/>
      <w:r>
        <w:rPr>
          <w:rFonts w:hint="eastAsia" w:ascii="宋体" w:hAnsi="宋体" w:cs="宋体"/>
          <w:b/>
          <w:bCs/>
          <w:sz w:val="24"/>
          <w:szCs w:val="24"/>
        </w:rPr>
        <w:t>四、服务单位的责任与义务</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08FD91A6">
      <w:pPr>
        <w:snapToGrid w:val="0"/>
        <w:spacing w:line="360" w:lineRule="auto"/>
        <w:ind w:firstLine="480" w:firstLineChars="200"/>
        <w:contextualSpacing/>
        <w:rPr>
          <w:rFonts w:hint="eastAsia" w:ascii="Garamond" w:hAnsi="Garamond"/>
          <w:sz w:val="24"/>
          <w:szCs w:val="24"/>
        </w:rPr>
      </w:pPr>
      <w:bookmarkStart w:id="96" w:name="_Toc295408758"/>
      <w:bookmarkStart w:id="97" w:name="_Toc230492380"/>
      <w:bookmarkStart w:id="98" w:name="_Toc286308346"/>
      <w:bookmarkStart w:id="99" w:name="_Toc275422873"/>
      <w:bookmarkStart w:id="100" w:name="_Toc10189312"/>
      <w:bookmarkStart w:id="101" w:name="_Toc14857561"/>
      <w:bookmarkStart w:id="102" w:name="_Toc275422757"/>
      <w:r>
        <w:rPr>
          <w:rFonts w:hint="eastAsia" w:ascii="宋体" w:hAnsi="宋体" w:cs="宋体"/>
          <w:sz w:val="24"/>
          <w:szCs w:val="24"/>
        </w:rPr>
        <w:t>4.1服务单位应按</w:t>
      </w:r>
      <w:r>
        <w:rPr>
          <w:rFonts w:ascii="Garamond" w:hAnsi="Garamond"/>
          <w:sz w:val="24"/>
          <w:szCs w:val="24"/>
        </w:rPr>
        <w:t>照技术服务合同及相关法律、法规的要求，严格、严密、科学、公正地进行技术服务服务。</w:t>
      </w:r>
    </w:p>
    <w:p w14:paraId="5E8037D0">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4.2服务单位必须按合同约定和承诺安排技术服务人员，技术服务人员遵守甲方相关管理制度，并接受采购人</w:t>
      </w:r>
      <w:r>
        <w:rPr>
          <w:rFonts w:ascii="宋体" w:hAnsi="宋体" w:cs="宋体"/>
          <w:sz w:val="24"/>
          <w:szCs w:val="24"/>
        </w:rPr>
        <w:t>统一管理</w:t>
      </w:r>
      <w:r>
        <w:rPr>
          <w:rFonts w:hint="eastAsia" w:ascii="宋体" w:hAnsi="宋体" w:cs="宋体"/>
          <w:sz w:val="24"/>
          <w:szCs w:val="24"/>
        </w:rPr>
        <w:t>。</w:t>
      </w:r>
    </w:p>
    <w:p w14:paraId="7DCCD3E9">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4.3服务单位必须按合同约定提供技术服务，技术服务工作必须满足服务要求。</w:t>
      </w:r>
    </w:p>
    <w:p w14:paraId="793678FF">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4.4未经采购人同意，不能将项目及成果文件转让给第三方。</w:t>
      </w:r>
    </w:p>
    <w:p w14:paraId="0E7E7235">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4.5人员保证与变更</w:t>
      </w:r>
    </w:p>
    <w:p w14:paraId="08FE8629">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⑴ 服务单位应按</w:t>
      </w:r>
      <w:r>
        <w:rPr>
          <w:rFonts w:hint="eastAsia" w:ascii="宋体" w:hAnsi="宋体" w:cs="宋体"/>
          <w:sz w:val="24"/>
          <w:szCs w:val="24"/>
          <w:lang w:eastAsia="zh-CN"/>
        </w:rPr>
        <w:t>磋商</w:t>
      </w:r>
      <w:r>
        <w:rPr>
          <w:rFonts w:hint="eastAsia" w:ascii="宋体" w:hAnsi="宋体" w:cs="宋体"/>
          <w:sz w:val="24"/>
          <w:szCs w:val="24"/>
        </w:rPr>
        <w:t>响应文件中承诺的人员投入工作，在服务过程应保持人员的相对稳定。确需调整，应报经采购人批准。</w:t>
      </w:r>
    </w:p>
    <w:p w14:paraId="5333412E">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⑵ 如果服务单位的人员渎职或不能胜任工作或从事其他违法活动，采购人有权书面要求更换，服务单位应立即派出具有同等或以上资历的人员替换；若非因上述原因，服务单位有权拒绝。</w:t>
      </w:r>
    </w:p>
    <w:p w14:paraId="6855AD77">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⑶ 若服务单位的服务没有达到服务单位</w:t>
      </w:r>
      <w:r>
        <w:rPr>
          <w:rFonts w:hint="eastAsia" w:ascii="宋体" w:hAnsi="宋体" w:cs="宋体"/>
          <w:sz w:val="24"/>
          <w:szCs w:val="24"/>
          <w:lang w:eastAsia="zh-CN"/>
        </w:rPr>
        <w:t>磋商</w:t>
      </w:r>
      <w:r>
        <w:rPr>
          <w:rFonts w:hint="eastAsia" w:ascii="宋体" w:hAnsi="宋体" w:cs="宋体"/>
          <w:sz w:val="24"/>
          <w:szCs w:val="24"/>
        </w:rPr>
        <w:t>响应文件中的承诺，采购人有权提出要求增加工作人员，服务单位应立即安排，其费用被认为已包含在合同价格之中。</w:t>
      </w:r>
    </w:p>
    <w:p w14:paraId="7B3BA8D3">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4.6若服务单位在合同履行期间发生人员伤亡或财产的损失，或者造成第三方的人员伤亡或财产损失，服务单位应承担全部责任，并保障采购人免于承担由此造成的一切损害和损失。</w:t>
      </w:r>
    </w:p>
    <w:p w14:paraId="58E8A3C8">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4.7服务单位负责定期向采购人报告工作进展情况。</w:t>
      </w:r>
    </w:p>
    <w:p w14:paraId="5D2BC227">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4.8乙方应根据采购人的要求，就项目加强与相关部门的协调衔接，及时向与项目有关的其它单位提供项目资料。</w:t>
      </w:r>
    </w:p>
    <w:p w14:paraId="46BF6734">
      <w:pPr>
        <w:keepNext/>
        <w:keepLines/>
        <w:numPr>
          <w:ilvl w:val="2"/>
          <w:numId w:val="0"/>
        </w:numPr>
        <w:spacing w:line="360" w:lineRule="auto"/>
        <w:jc w:val="center"/>
        <w:outlineLvl w:val="2"/>
        <w:rPr>
          <w:rFonts w:hint="eastAsia" w:ascii="宋体" w:hAnsi="宋体" w:cs="宋体"/>
          <w:b/>
          <w:bCs/>
          <w:sz w:val="24"/>
          <w:szCs w:val="24"/>
        </w:rPr>
      </w:pPr>
      <w:bookmarkStart w:id="103" w:name="_Toc40280344"/>
      <w:bookmarkStart w:id="104" w:name="_Toc387768384"/>
      <w:bookmarkStart w:id="105" w:name="_Toc387773191"/>
      <w:bookmarkStart w:id="106" w:name="_Toc313903291"/>
      <w:bookmarkStart w:id="107" w:name="_Toc381015377"/>
      <w:bookmarkStart w:id="108" w:name="_Toc470619305"/>
      <w:bookmarkStart w:id="109" w:name="_Toc390785021"/>
      <w:r>
        <w:rPr>
          <w:rFonts w:hint="eastAsia" w:ascii="宋体" w:hAnsi="宋体" w:cs="宋体"/>
          <w:b/>
          <w:bCs/>
          <w:sz w:val="24"/>
          <w:szCs w:val="24"/>
        </w:rPr>
        <w:t>五、违约与赔偿</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1653AAD">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5.1采购人的违约</w:t>
      </w:r>
    </w:p>
    <w:p w14:paraId="184A1D4B">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⑴ 由于采购人变更计划，或未按期提供必需的资料、工作条件，而造成返工或修改，采购人应按服务单位实际增加的工作量（以服务单位已提供的成果为准）支付服务单位增加工作量的费用，由此拖延的周期应由采购人负责。</w:t>
      </w:r>
    </w:p>
    <w:p w14:paraId="24E13622">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⑵ 在合同履行期间，采购人要求终止或解除合同（但仅指非服务单位原因造成），采购人应按服务单位完成的实际工作量支付费用。</w:t>
      </w:r>
    </w:p>
    <w:p w14:paraId="5DBB603F">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5.2服务单位的违约</w:t>
      </w:r>
    </w:p>
    <w:p w14:paraId="449E7BDF">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⑴ 如果乙方将任务转包或者未经甲方同意分包，除由有关部门给予处罚外，甲方将扣除合同价的5%～10%，作为罚金。</w:t>
      </w:r>
    </w:p>
    <w:p w14:paraId="37CB54BB">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⑵ 乙方未按照国家现行的标准或规范开展工作，或未根据甲方的指令进行变更，给甲方造成损失等，如发生上述任何行为，除由有关部门给予处罚外，甲方将扣除合同价的5%～10%作为罚金。</w:t>
      </w:r>
    </w:p>
    <w:p w14:paraId="1EFECF84">
      <w:pPr>
        <w:snapToGrid w:val="0"/>
        <w:spacing w:line="360" w:lineRule="auto"/>
        <w:ind w:firstLine="480" w:firstLineChars="200"/>
        <w:contextualSpacing/>
        <w:rPr>
          <w:rFonts w:hint="eastAsia" w:ascii="宋体" w:hAnsi="宋体" w:eastAsia="宋体" w:cs="宋体"/>
          <w:sz w:val="24"/>
          <w:szCs w:val="24"/>
        </w:rPr>
      </w:pPr>
      <w:r>
        <w:rPr>
          <w:rFonts w:hint="eastAsia" w:ascii="宋体" w:hAnsi="宋体" w:cs="宋体"/>
          <w:sz w:val="24"/>
          <w:szCs w:val="24"/>
        </w:rPr>
        <w:t xml:space="preserve">⑶ </w:t>
      </w:r>
      <w:r>
        <w:rPr>
          <w:rFonts w:hint="eastAsia" w:ascii="宋体" w:hAnsi="宋体" w:eastAsia="宋体" w:cs="宋体"/>
          <w:sz w:val="24"/>
          <w:szCs w:val="24"/>
          <w:lang w:val="en-US" w:eastAsia="zh-CN"/>
        </w:rPr>
        <w:t>乙方</w:t>
      </w:r>
      <w:r>
        <w:rPr>
          <w:rFonts w:hint="eastAsia" w:ascii="宋体" w:hAnsi="宋体" w:eastAsia="宋体" w:cs="宋体"/>
          <w:sz w:val="24"/>
          <w:szCs w:val="24"/>
        </w:rPr>
        <w:t>严格按照</w:t>
      </w:r>
      <w:r>
        <w:rPr>
          <w:rFonts w:hint="eastAsia" w:ascii="宋体" w:hAnsi="宋体" w:eastAsia="宋体" w:cs="宋体"/>
          <w:sz w:val="24"/>
          <w:szCs w:val="24"/>
          <w:lang w:eastAsia="zh-CN"/>
        </w:rPr>
        <w:t>磋商</w:t>
      </w:r>
      <w:r>
        <w:rPr>
          <w:rFonts w:hint="eastAsia" w:ascii="宋体" w:hAnsi="宋体" w:eastAsia="宋体" w:cs="宋体"/>
          <w:sz w:val="24"/>
          <w:szCs w:val="24"/>
        </w:rPr>
        <w:t>响应文件承诺按时组织技术服务人员到位，原则上不得更换，若需更换必须征得</w:t>
      </w:r>
      <w:r>
        <w:rPr>
          <w:rFonts w:hint="eastAsia" w:ascii="宋体" w:hAnsi="宋体" w:eastAsia="宋体" w:cs="宋体"/>
          <w:sz w:val="24"/>
          <w:szCs w:val="24"/>
          <w:lang w:val="en-US" w:eastAsia="zh-CN"/>
        </w:rPr>
        <w:t>甲方</w:t>
      </w:r>
      <w:r>
        <w:rPr>
          <w:rFonts w:hint="eastAsia" w:ascii="宋体" w:hAnsi="宋体" w:eastAsia="宋体" w:cs="宋体"/>
          <w:sz w:val="24"/>
          <w:szCs w:val="24"/>
        </w:rPr>
        <w:t>同意且不得低于原</w:t>
      </w:r>
      <w:r>
        <w:rPr>
          <w:rFonts w:hint="eastAsia" w:ascii="宋体" w:hAnsi="宋体" w:eastAsia="宋体" w:cs="宋体"/>
          <w:sz w:val="24"/>
          <w:szCs w:val="24"/>
          <w:lang w:val="en-US" w:eastAsia="zh-CN"/>
        </w:rPr>
        <w:t>有</w:t>
      </w:r>
      <w:r>
        <w:rPr>
          <w:rFonts w:hint="eastAsia" w:ascii="宋体" w:hAnsi="宋体" w:eastAsia="宋体" w:cs="宋体"/>
          <w:sz w:val="24"/>
          <w:szCs w:val="24"/>
        </w:rPr>
        <w:t>人员</w:t>
      </w:r>
      <w:r>
        <w:rPr>
          <w:rFonts w:hint="eastAsia" w:ascii="宋体" w:hAnsi="宋体" w:eastAsia="宋体" w:cs="宋体"/>
          <w:sz w:val="24"/>
          <w:szCs w:val="24"/>
          <w:lang w:val="en-US" w:eastAsia="zh-CN"/>
        </w:rPr>
        <w:t>水平</w:t>
      </w:r>
      <w:r>
        <w:rPr>
          <w:rFonts w:hint="eastAsia" w:ascii="宋体" w:hAnsi="宋体" w:eastAsia="宋体" w:cs="宋体"/>
          <w:sz w:val="24"/>
          <w:szCs w:val="24"/>
        </w:rPr>
        <w:t>。</w:t>
      </w:r>
      <w:r>
        <w:rPr>
          <w:rFonts w:hint="eastAsia" w:ascii="宋体" w:hAnsi="宋体" w:eastAsia="宋体" w:cs="宋体"/>
          <w:sz w:val="24"/>
          <w:szCs w:val="24"/>
          <w:lang w:val="en-US" w:eastAsia="zh-CN"/>
        </w:rPr>
        <w:t>乙方</w:t>
      </w:r>
      <w:r>
        <w:rPr>
          <w:rFonts w:hint="eastAsia" w:ascii="宋体" w:hAnsi="宋体" w:eastAsia="宋体" w:cs="宋体"/>
          <w:sz w:val="24"/>
          <w:szCs w:val="24"/>
        </w:rPr>
        <w:t>向</w:t>
      </w:r>
      <w:r>
        <w:rPr>
          <w:rFonts w:hint="eastAsia" w:ascii="宋体" w:hAnsi="宋体" w:eastAsia="宋体" w:cs="宋体"/>
          <w:sz w:val="24"/>
          <w:szCs w:val="24"/>
          <w:lang w:val="en-US" w:eastAsia="zh-CN"/>
        </w:rPr>
        <w:t>甲方</w:t>
      </w:r>
      <w:r>
        <w:rPr>
          <w:rFonts w:hint="eastAsia" w:ascii="宋体" w:hAnsi="宋体" w:eastAsia="宋体" w:cs="宋体"/>
          <w:sz w:val="24"/>
          <w:szCs w:val="24"/>
        </w:rPr>
        <w:t>书面申请但未获</w:t>
      </w:r>
      <w:r>
        <w:rPr>
          <w:rFonts w:hint="eastAsia" w:ascii="宋体" w:hAnsi="宋体" w:cs="宋体"/>
          <w:sz w:val="24"/>
          <w:szCs w:val="24"/>
          <w:lang w:val="en-US" w:eastAsia="zh-CN"/>
        </w:rPr>
        <w:t>批</w:t>
      </w:r>
      <w:r>
        <w:rPr>
          <w:rFonts w:hint="eastAsia" w:ascii="宋体" w:hAnsi="宋体" w:eastAsia="宋体" w:cs="宋体"/>
          <w:sz w:val="24"/>
          <w:szCs w:val="24"/>
        </w:rPr>
        <w:t>或</w:t>
      </w:r>
      <w:r>
        <w:rPr>
          <w:rFonts w:hint="eastAsia" w:ascii="宋体" w:hAnsi="宋体" w:eastAsia="宋体" w:cs="宋体"/>
          <w:sz w:val="24"/>
          <w:szCs w:val="24"/>
          <w:lang w:val="en-US" w:eastAsia="zh-CN"/>
        </w:rPr>
        <w:t>乙方</w:t>
      </w:r>
      <w:r>
        <w:rPr>
          <w:rFonts w:hint="eastAsia" w:ascii="宋体" w:hAnsi="宋体" w:eastAsia="宋体" w:cs="宋体"/>
          <w:sz w:val="24"/>
          <w:szCs w:val="24"/>
        </w:rPr>
        <w:t>擅自进行人员更换的，将被视为</w:t>
      </w:r>
      <w:r>
        <w:rPr>
          <w:rFonts w:hint="eastAsia" w:ascii="宋体" w:hAnsi="宋体" w:eastAsia="宋体" w:cs="宋体"/>
          <w:sz w:val="24"/>
          <w:szCs w:val="24"/>
          <w:lang w:val="en-US" w:eastAsia="zh-CN"/>
        </w:rPr>
        <w:t>乙方</w:t>
      </w:r>
      <w:r>
        <w:rPr>
          <w:rFonts w:hint="eastAsia" w:ascii="宋体" w:hAnsi="宋体" w:eastAsia="宋体" w:cs="宋体"/>
          <w:sz w:val="24"/>
          <w:szCs w:val="24"/>
        </w:rPr>
        <w:t>违约，</w:t>
      </w:r>
      <w:r>
        <w:rPr>
          <w:rFonts w:hint="eastAsia" w:ascii="宋体" w:hAnsi="宋体" w:eastAsia="宋体" w:cs="宋体"/>
          <w:sz w:val="24"/>
          <w:szCs w:val="24"/>
          <w:lang w:val="en-US" w:eastAsia="zh-CN"/>
        </w:rPr>
        <w:t>甲方</w:t>
      </w:r>
      <w:r>
        <w:rPr>
          <w:rFonts w:hint="eastAsia" w:ascii="宋体" w:hAnsi="宋体" w:eastAsia="宋体" w:cs="宋体"/>
          <w:sz w:val="24"/>
          <w:szCs w:val="24"/>
        </w:rPr>
        <w:t>将按如下标准扣除</w:t>
      </w:r>
      <w:r>
        <w:rPr>
          <w:rFonts w:hint="eastAsia" w:ascii="宋体" w:hAnsi="宋体" w:eastAsia="宋体" w:cs="宋体"/>
          <w:sz w:val="24"/>
          <w:szCs w:val="24"/>
          <w:lang w:val="en-US" w:eastAsia="zh-CN"/>
        </w:rPr>
        <w:t>乙方</w:t>
      </w:r>
      <w:r>
        <w:rPr>
          <w:rFonts w:hint="eastAsia" w:ascii="宋体" w:hAnsi="宋体" w:eastAsia="宋体" w:cs="宋体"/>
          <w:sz w:val="24"/>
          <w:szCs w:val="24"/>
        </w:rPr>
        <w:t xml:space="preserve">违约金：擅自更换项目负责人 </w:t>
      </w:r>
      <w:r>
        <w:rPr>
          <w:rFonts w:hint="eastAsia" w:ascii="宋体" w:hAnsi="宋体" w:eastAsia="宋体" w:cs="宋体"/>
          <w:sz w:val="24"/>
          <w:szCs w:val="24"/>
          <w:lang w:val="en-US" w:eastAsia="zh-CN"/>
        </w:rPr>
        <w:t>10</w:t>
      </w:r>
      <w:r>
        <w:rPr>
          <w:rFonts w:hint="eastAsia" w:ascii="宋体" w:hAnsi="宋体" w:eastAsia="宋体" w:cs="宋体"/>
          <w:sz w:val="24"/>
          <w:szCs w:val="24"/>
        </w:rPr>
        <w:t>0000 元/次，擅自更换</w:t>
      </w:r>
      <w:r>
        <w:rPr>
          <w:rFonts w:hint="eastAsia" w:ascii="宋体" w:hAnsi="宋体" w:eastAsia="宋体" w:cs="宋体"/>
          <w:sz w:val="24"/>
          <w:szCs w:val="24"/>
          <w:lang w:val="en-US" w:eastAsia="zh-CN"/>
        </w:rPr>
        <w:t>其他</w:t>
      </w:r>
      <w:r>
        <w:rPr>
          <w:rFonts w:hint="eastAsia" w:ascii="宋体" w:hAnsi="宋体" w:eastAsia="宋体" w:cs="宋体"/>
          <w:sz w:val="24"/>
          <w:szCs w:val="24"/>
        </w:rPr>
        <w:t>人员</w:t>
      </w:r>
      <w:r>
        <w:rPr>
          <w:rFonts w:hint="eastAsia" w:ascii="宋体" w:hAnsi="宋体" w:eastAsia="宋体" w:cs="宋体"/>
          <w:sz w:val="24"/>
          <w:szCs w:val="24"/>
          <w:lang w:val="en-US" w:eastAsia="zh-CN"/>
        </w:rPr>
        <w:t>5</w:t>
      </w:r>
      <w:r>
        <w:rPr>
          <w:rFonts w:hint="eastAsia" w:ascii="宋体" w:hAnsi="宋体" w:eastAsia="宋体" w:cs="宋体"/>
          <w:sz w:val="24"/>
          <w:szCs w:val="24"/>
        </w:rPr>
        <w:t>0000 元/人•次。</w:t>
      </w:r>
    </w:p>
    <w:p w14:paraId="47F12636">
      <w:pPr>
        <w:snapToGrid w:val="0"/>
        <w:spacing w:line="360" w:lineRule="auto"/>
        <w:ind w:firstLine="480" w:firstLineChars="200"/>
        <w:contextualSpacing/>
        <w:rPr>
          <w:rFonts w:hint="eastAsia" w:ascii="宋体" w:hAnsi="宋体" w:cs="宋体"/>
          <w:sz w:val="24"/>
          <w:szCs w:val="24"/>
        </w:rPr>
      </w:pPr>
      <w:r>
        <w:rPr>
          <w:rFonts w:hint="eastAsia" w:ascii="宋体" w:hAnsi="宋体" w:eastAsia="宋体" w:cs="宋体"/>
          <w:sz w:val="24"/>
          <w:szCs w:val="24"/>
          <w:lang w:val="en-US" w:eastAsia="zh-CN"/>
        </w:rPr>
        <w:t>乙方</w:t>
      </w:r>
      <w:r>
        <w:rPr>
          <w:rFonts w:hint="eastAsia" w:ascii="宋体" w:hAnsi="宋体" w:eastAsia="宋体" w:cs="宋体"/>
          <w:sz w:val="24"/>
          <w:szCs w:val="24"/>
        </w:rPr>
        <w:t>向</w:t>
      </w:r>
      <w:r>
        <w:rPr>
          <w:rFonts w:hint="eastAsia" w:ascii="宋体" w:hAnsi="宋体" w:eastAsia="宋体" w:cs="宋体"/>
          <w:sz w:val="24"/>
          <w:szCs w:val="24"/>
          <w:lang w:val="en-US" w:eastAsia="zh-CN"/>
        </w:rPr>
        <w:t>甲方</w:t>
      </w:r>
      <w:r>
        <w:rPr>
          <w:rFonts w:hint="eastAsia" w:ascii="宋体" w:hAnsi="宋体" w:eastAsia="宋体" w:cs="宋体"/>
          <w:sz w:val="24"/>
          <w:szCs w:val="24"/>
        </w:rPr>
        <w:t>书面申请</w:t>
      </w:r>
      <w:r>
        <w:rPr>
          <w:rFonts w:hint="eastAsia" w:ascii="宋体" w:hAnsi="宋体" w:cs="宋体"/>
          <w:sz w:val="24"/>
          <w:szCs w:val="24"/>
          <w:lang w:val="en-US" w:eastAsia="zh-CN"/>
        </w:rPr>
        <w:t>获批</w:t>
      </w:r>
      <w:r>
        <w:rPr>
          <w:rFonts w:hint="eastAsia" w:ascii="宋体" w:hAnsi="宋体" w:eastAsia="宋体" w:cs="宋体"/>
          <w:sz w:val="24"/>
          <w:szCs w:val="24"/>
        </w:rPr>
        <w:t>后，方可进行人员的更换，并保证调整后不得低于原有</w:t>
      </w:r>
      <w:r>
        <w:rPr>
          <w:rFonts w:hint="eastAsia" w:ascii="宋体" w:hAnsi="宋体" w:eastAsia="宋体" w:cs="宋体"/>
          <w:sz w:val="24"/>
          <w:szCs w:val="24"/>
          <w:lang w:val="en-US" w:eastAsia="zh-CN"/>
        </w:rPr>
        <w:t>人员</w:t>
      </w:r>
      <w:r>
        <w:rPr>
          <w:rFonts w:hint="eastAsia" w:ascii="宋体" w:hAnsi="宋体" w:eastAsia="宋体" w:cs="宋体"/>
          <w:sz w:val="24"/>
          <w:szCs w:val="24"/>
        </w:rPr>
        <w:t>水平，且</w:t>
      </w:r>
      <w:r>
        <w:rPr>
          <w:rFonts w:hint="eastAsia" w:ascii="宋体" w:hAnsi="宋体" w:eastAsia="宋体" w:cs="宋体"/>
          <w:sz w:val="24"/>
          <w:szCs w:val="24"/>
          <w:lang w:val="en-US" w:eastAsia="zh-CN"/>
        </w:rPr>
        <w:t>甲方</w:t>
      </w:r>
      <w:r>
        <w:rPr>
          <w:rFonts w:hint="eastAsia" w:ascii="宋体" w:hAnsi="宋体" w:eastAsia="宋体" w:cs="宋体"/>
          <w:sz w:val="24"/>
          <w:szCs w:val="24"/>
        </w:rPr>
        <w:t>将按如下标准扣除</w:t>
      </w:r>
      <w:r>
        <w:rPr>
          <w:rFonts w:hint="eastAsia" w:ascii="宋体" w:hAnsi="宋体" w:eastAsia="宋体" w:cs="宋体"/>
          <w:sz w:val="24"/>
          <w:szCs w:val="24"/>
          <w:lang w:val="en-US" w:eastAsia="zh-CN"/>
        </w:rPr>
        <w:t>乙方</w:t>
      </w:r>
      <w:r>
        <w:rPr>
          <w:rFonts w:hint="eastAsia" w:ascii="宋体" w:hAnsi="宋体" w:eastAsia="宋体" w:cs="宋体"/>
          <w:sz w:val="24"/>
          <w:szCs w:val="24"/>
        </w:rPr>
        <w:t>违约金：更换项目负责人 5</w:t>
      </w:r>
      <w:r>
        <w:rPr>
          <w:rFonts w:hint="eastAsia" w:ascii="宋体" w:hAnsi="宋体" w:eastAsia="宋体" w:cs="宋体"/>
          <w:sz w:val="24"/>
          <w:szCs w:val="24"/>
          <w:lang w:val="en-US" w:eastAsia="zh-CN"/>
        </w:rPr>
        <w:t>0</w:t>
      </w:r>
      <w:r>
        <w:rPr>
          <w:rFonts w:hint="eastAsia" w:ascii="宋体" w:hAnsi="宋体" w:eastAsia="宋体" w:cs="宋体"/>
          <w:sz w:val="24"/>
          <w:szCs w:val="24"/>
        </w:rPr>
        <w:t>000 元/人•次，更换</w:t>
      </w:r>
      <w:r>
        <w:rPr>
          <w:rFonts w:hint="eastAsia" w:ascii="宋体" w:hAnsi="宋体" w:eastAsia="宋体" w:cs="宋体"/>
          <w:sz w:val="24"/>
          <w:szCs w:val="24"/>
          <w:lang w:val="en-US" w:eastAsia="zh-CN"/>
        </w:rPr>
        <w:t>其他人员2</w:t>
      </w:r>
      <w:r>
        <w:rPr>
          <w:rFonts w:hint="eastAsia" w:ascii="宋体" w:hAnsi="宋体" w:eastAsia="宋体" w:cs="宋体"/>
          <w:sz w:val="24"/>
          <w:szCs w:val="24"/>
        </w:rPr>
        <w:t>5000 元/人• 次。</w:t>
      </w:r>
    </w:p>
    <w:p w14:paraId="7F07486E">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⑷合同生效后，如乙方提出终止合同，除履约保证金不予退还外，还应承担由此给甲方带来的一切直接损失。</w:t>
      </w:r>
    </w:p>
    <w:p w14:paraId="5800B996">
      <w:pPr>
        <w:snapToGrid w:val="0"/>
        <w:spacing w:line="360" w:lineRule="auto"/>
        <w:ind w:firstLine="480" w:firstLineChars="200"/>
        <w:contextualSpacing/>
        <w:rPr>
          <w:rFonts w:hint="eastAsia" w:ascii="宋体" w:hAnsi="宋体" w:eastAsia="宋体" w:cs="宋体"/>
          <w:sz w:val="24"/>
          <w:szCs w:val="24"/>
          <w:lang w:val="en-US"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 5 \* GB2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⑸</w:t>
      </w:r>
      <w:r>
        <w:rPr>
          <w:rFonts w:hint="eastAsia" w:ascii="宋体" w:hAnsi="宋体" w:eastAsia="宋体" w:cs="宋体"/>
          <w:sz w:val="24"/>
          <w:szCs w:val="24"/>
          <w:lang w:eastAsia="zh-CN"/>
        </w:rPr>
        <w:fldChar w:fldCharType="end"/>
      </w:r>
      <w:r>
        <w:rPr>
          <w:rFonts w:hint="eastAsia" w:ascii="宋体" w:hAnsi="宋体" w:eastAsia="宋体" w:cs="宋体"/>
          <w:sz w:val="24"/>
          <w:szCs w:val="24"/>
        </w:rPr>
        <w:t>属于下述</w:t>
      </w:r>
      <w:r>
        <w:rPr>
          <w:rFonts w:hint="eastAsia" w:ascii="宋体" w:hAnsi="宋体" w:eastAsia="宋体" w:cs="宋体"/>
          <w:sz w:val="24"/>
          <w:szCs w:val="24"/>
          <w:lang w:val="en-US" w:eastAsia="zh-CN"/>
        </w:rPr>
        <w:t>严重</w:t>
      </w:r>
      <w:r>
        <w:rPr>
          <w:rFonts w:hint="eastAsia" w:ascii="宋体" w:hAnsi="宋体" w:eastAsia="宋体" w:cs="宋体"/>
          <w:sz w:val="24"/>
          <w:szCs w:val="24"/>
        </w:rPr>
        <w:t>违约情形的，采购人有权终止合同。</w:t>
      </w:r>
    </w:p>
    <w:p w14:paraId="6450C9B2">
      <w:pPr>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lang w:val="en-US" w:eastAsia="zh-CN"/>
        </w:rPr>
        <w:t>①</w:t>
      </w:r>
      <w:r>
        <w:rPr>
          <w:rFonts w:hint="eastAsia" w:ascii="宋体" w:hAnsi="宋体" w:eastAsia="宋体" w:cs="宋体"/>
          <w:sz w:val="24"/>
          <w:szCs w:val="24"/>
        </w:rPr>
        <w:t>中标人中途单方面终止合同。</w:t>
      </w:r>
    </w:p>
    <w:p w14:paraId="24166198">
      <w:pPr>
        <w:snapToGrid w:val="0"/>
        <w:spacing w:line="360" w:lineRule="auto"/>
        <w:ind w:firstLine="480" w:firstLineChars="200"/>
        <w:contextualSpacing/>
        <w:rPr>
          <w:rFonts w:hint="eastAsia" w:ascii="宋体" w:hAnsi="宋体" w:cs="宋体"/>
          <w:sz w:val="24"/>
          <w:szCs w:val="24"/>
        </w:rPr>
      </w:pPr>
      <w:r>
        <w:rPr>
          <w:rFonts w:hint="eastAsia" w:ascii="宋体" w:hAnsi="宋体" w:eastAsia="宋体" w:cs="宋体"/>
          <w:sz w:val="24"/>
          <w:szCs w:val="24"/>
          <w:lang w:val="en-US" w:eastAsia="zh-CN"/>
        </w:rPr>
        <w:t>②中标人连续三次未在规定响应时间内提供运维服务。</w:t>
      </w:r>
    </w:p>
    <w:p w14:paraId="185AD255">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若发生上述⑴—⑵情况中任一款甲方有权收回已委托乙方的全部或部分工作，乙方无条件接受。</w:t>
      </w:r>
    </w:p>
    <w:p w14:paraId="7A506B0C">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5.3责任的期限</w:t>
      </w:r>
    </w:p>
    <w:p w14:paraId="224DA2BC">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服务单位与采购人双方的责任与义务期限为合同协议书或合同条款规定的时间范围。</w:t>
      </w:r>
    </w:p>
    <w:p w14:paraId="00F2C50A">
      <w:pPr>
        <w:keepNext/>
        <w:keepLines/>
        <w:numPr>
          <w:ilvl w:val="2"/>
          <w:numId w:val="0"/>
        </w:numPr>
        <w:spacing w:line="360" w:lineRule="auto"/>
        <w:jc w:val="center"/>
        <w:outlineLvl w:val="2"/>
        <w:rPr>
          <w:rFonts w:hint="eastAsia" w:ascii="宋体" w:hAnsi="宋体" w:cs="宋体"/>
          <w:b/>
          <w:bCs/>
          <w:sz w:val="24"/>
          <w:szCs w:val="24"/>
        </w:rPr>
      </w:pPr>
      <w:bookmarkStart w:id="110" w:name="_Toc10189313"/>
      <w:bookmarkStart w:id="111" w:name="_Toc275422758"/>
      <w:bookmarkStart w:id="112" w:name="_Toc286308347"/>
      <w:bookmarkStart w:id="113" w:name="_Toc387773192"/>
      <w:bookmarkStart w:id="114" w:name="_Toc381015378"/>
      <w:bookmarkStart w:id="115" w:name="_Toc313903292"/>
      <w:bookmarkStart w:id="116" w:name="_Toc470619306"/>
      <w:bookmarkStart w:id="117" w:name="_Toc390785022"/>
      <w:bookmarkStart w:id="118" w:name="_Toc230492381"/>
      <w:bookmarkStart w:id="119" w:name="_Toc40280345"/>
      <w:bookmarkStart w:id="120" w:name="_Toc275422874"/>
      <w:bookmarkStart w:id="121" w:name="_Toc14857562"/>
      <w:bookmarkStart w:id="122" w:name="_Toc295408759"/>
      <w:bookmarkStart w:id="123" w:name="_Toc387768385"/>
      <w:r>
        <w:rPr>
          <w:rFonts w:hint="eastAsia" w:ascii="宋体" w:hAnsi="宋体" w:cs="宋体"/>
          <w:b/>
          <w:bCs/>
          <w:sz w:val="24"/>
          <w:szCs w:val="24"/>
        </w:rPr>
        <w:t>六、合同的开始、完成、变更与终止</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079F0909">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6.1合同的生效</w:t>
      </w:r>
    </w:p>
    <w:p w14:paraId="30FFC48E">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合同书自双方签字盖章后所有合同文件生效。服务单位工作的开始和完成时间按照合同书的规定执行。</w:t>
      </w:r>
    </w:p>
    <w:p w14:paraId="6A5EFBB8">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6.2延误</w:t>
      </w:r>
    </w:p>
    <w:p w14:paraId="0D254359">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由于采购人或不可预见的自然或社会因素，导致服务增加和时间延续则：</w:t>
      </w:r>
    </w:p>
    <w:p w14:paraId="68ED464C">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（1）服务单位应将此情况与可能产生的影响尽快通知采购人，并采取合理措施使损失减少到最小；</w:t>
      </w:r>
    </w:p>
    <w:p w14:paraId="2E0353A4">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（2）服务单位应保持详细原始记录作为采购人支付费用的依据。</w:t>
      </w:r>
    </w:p>
    <w:p w14:paraId="29188005">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采购人在与服务单位协商后应相应地延长服务单位的工作期限并增付费用。</w:t>
      </w:r>
    </w:p>
    <w:p w14:paraId="34B9F352">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6.3变更</w:t>
      </w:r>
    </w:p>
    <w:p w14:paraId="0C42F24B">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在履约期内，经双方协商一致，可就合同约定内容、合同时间等以补充合同的方式进行变更。此类工作应视为已含入相关报价中，采购人不再另行支付费用。</w:t>
      </w:r>
    </w:p>
    <w:p w14:paraId="16F6EF72">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6.4推迟与终止</w:t>
      </w:r>
    </w:p>
    <w:p w14:paraId="40D80BE0">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（1）采购人可以在至少28天以前以书面形式通知服务单位暂停全部或部分工作或终止本合同协议书，一旦收到此类通知，服务单位应立即安排停止计划并将开支减到最小。</w:t>
      </w:r>
    </w:p>
    <w:p w14:paraId="717EB9D3">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2）采购人认为服务单位无正当理由而未履行本合同规定的责任与义务时，应书面通知服务单位，并说明理由。若采购人在21天内没有收到满意的答复，采购人可以发出进一步的通知终止本合同，但此进一步的通知必须在第一个通知发出28天后发出。</w:t>
      </w:r>
    </w:p>
    <w:p w14:paraId="66F90B30">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（3）费用结清后，本合同自动终止。</w:t>
      </w:r>
    </w:p>
    <w:p w14:paraId="5EE88179">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6.5合同终止不影响权利和责任</w:t>
      </w:r>
    </w:p>
    <w:p w14:paraId="153CE6C1">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不论何种原因，本合同的终止，不应损害和影响各方应有权利、索赔要求和应负的责任。</w:t>
      </w:r>
    </w:p>
    <w:p w14:paraId="7813E1B2">
      <w:pPr>
        <w:keepNext/>
        <w:keepLines/>
        <w:numPr>
          <w:ilvl w:val="2"/>
          <w:numId w:val="0"/>
        </w:numPr>
        <w:spacing w:line="360" w:lineRule="auto"/>
        <w:jc w:val="center"/>
        <w:outlineLvl w:val="2"/>
        <w:rPr>
          <w:rFonts w:hint="eastAsia" w:ascii="宋体" w:hAnsi="宋体" w:cs="宋体"/>
          <w:b/>
          <w:bCs/>
          <w:sz w:val="24"/>
          <w:szCs w:val="24"/>
        </w:rPr>
      </w:pPr>
      <w:bookmarkStart w:id="124" w:name="_Toc230492382"/>
      <w:bookmarkStart w:id="125" w:name="_Toc275422759"/>
      <w:bookmarkStart w:id="126" w:name="_Toc390785023"/>
      <w:bookmarkStart w:id="127" w:name="_Toc40280346"/>
      <w:bookmarkStart w:id="128" w:name="_Toc313903293"/>
      <w:bookmarkStart w:id="129" w:name="_Toc286308348"/>
      <w:bookmarkStart w:id="130" w:name="_Toc295408760"/>
      <w:bookmarkStart w:id="131" w:name="_Toc275422875"/>
      <w:bookmarkStart w:id="132" w:name="_Toc381015379"/>
      <w:bookmarkStart w:id="133" w:name="_Toc387773193"/>
      <w:bookmarkStart w:id="134" w:name="_Toc470619307"/>
      <w:bookmarkStart w:id="135" w:name="_Toc14857563"/>
      <w:bookmarkStart w:id="136" w:name="_Toc387768386"/>
      <w:bookmarkStart w:id="137" w:name="_Toc10189314"/>
      <w:r>
        <w:rPr>
          <w:rFonts w:hint="eastAsia" w:ascii="宋体" w:hAnsi="宋体" w:cs="宋体"/>
          <w:b/>
          <w:bCs/>
          <w:sz w:val="24"/>
          <w:szCs w:val="24"/>
        </w:rPr>
        <w:t>七、费用与支付</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65121FF2">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7.1服务费用</w:t>
      </w:r>
    </w:p>
    <w:p w14:paraId="1E3D1EE4">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本合同为固定总价合同。合同价应包括供应商完成本项目的所有工作的技术服务费用、人员费用（包括人员工资（基本工资、加班费、年终奖金）、</w:t>
      </w:r>
      <w:r>
        <w:rPr>
          <w:rFonts w:hint="eastAsia" w:ascii="宋体" w:hAnsi="宋体" w:cs="宋体"/>
          <w:sz w:val="24"/>
          <w:szCs w:val="24"/>
          <w:lang w:eastAsia="zh-CN"/>
        </w:rPr>
        <w:t>运维所需备件费用、福利、社保费</w:t>
      </w:r>
      <w:r>
        <w:rPr>
          <w:rFonts w:hint="eastAsia" w:ascii="宋体" w:hAnsi="宋体" w:cs="宋体"/>
          <w:sz w:val="24"/>
          <w:szCs w:val="24"/>
        </w:rPr>
        <w:t>（五项）及公积金、员工培训费等）、车辆使用一切费用、所需设备仪器使用费用、交通费用、食宿费用、附加服务费用及单位取费（利润、税金、保险费、管理费等）等与履行本合同有关的一切费用以及合同明示或暗示的所有一般风险责任和义务费用。</w:t>
      </w:r>
    </w:p>
    <w:p w14:paraId="1555C55B">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7.2服务费用的支付</w:t>
      </w:r>
    </w:p>
    <w:p w14:paraId="1BE48B98">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本项目为总价合同。签订合同15日内支付预付款为签约合同价的30%。2026年6月底前支付签约合同价的30%。服务期满且完成全部服务并通过验收后付清尾款。</w:t>
      </w:r>
    </w:p>
    <w:p w14:paraId="06E9E3CE">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注：</w:t>
      </w:r>
    </w:p>
    <w:p w14:paraId="2162E72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）每次付款须按合同扣减违约金和赔偿款；</w:t>
      </w:r>
    </w:p>
    <w:p w14:paraId="73B4505B">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付款前供应商须提供等额合规发票及相关申请资料，否则采购人可以拒付；</w:t>
      </w:r>
    </w:p>
    <w:p w14:paraId="7476457B">
      <w:pPr>
        <w:snapToGrid w:val="0"/>
        <w:spacing w:line="360" w:lineRule="auto"/>
        <w:ind w:firstLine="480" w:firstLineChars="200"/>
        <w:contextualSpacing/>
        <w:rPr>
          <w:rFonts w:hint="eastAsia" w:ascii="宋体" w:hAnsi="宋体" w:cs="宋体"/>
          <w:sz w:val="24"/>
          <w:szCs w:val="24"/>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所有付款均不计利息。</w:t>
      </w:r>
    </w:p>
    <w:p w14:paraId="0847DB7F">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7.3  服务费用的调整</w:t>
      </w:r>
    </w:p>
    <w:p w14:paraId="729D17BD">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在合同实施期间，服务费用不随国家政策或法规、标准及市场因素的变化而进行调整，也不因实际服务周期延长或缩短以及范围的扩大或减小而调整。</w:t>
      </w:r>
    </w:p>
    <w:p w14:paraId="2EDBB165">
      <w:pPr>
        <w:keepNext/>
        <w:keepLines/>
        <w:numPr>
          <w:ilvl w:val="2"/>
          <w:numId w:val="0"/>
        </w:numPr>
        <w:spacing w:line="360" w:lineRule="auto"/>
        <w:jc w:val="center"/>
        <w:outlineLvl w:val="2"/>
        <w:rPr>
          <w:rFonts w:hint="eastAsia" w:ascii="宋体" w:hAnsi="宋体" w:cs="宋体"/>
          <w:b/>
          <w:bCs/>
          <w:sz w:val="24"/>
          <w:szCs w:val="24"/>
        </w:rPr>
      </w:pPr>
      <w:bookmarkStart w:id="138" w:name="_Toc40280347"/>
      <w:bookmarkStart w:id="139" w:name="_Toc10189315"/>
      <w:bookmarkStart w:id="140" w:name="_Toc275422760"/>
      <w:bookmarkStart w:id="141" w:name="_Toc14857564"/>
      <w:bookmarkStart w:id="142" w:name="_Toc387773194"/>
      <w:bookmarkStart w:id="143" w:name="_Toc381015380"/>
      <w:bookmarkStart w:id="144" w:name="_Toc286308349"/>
      <w:bookmarkStart w:id="145" w:name="_Toc387768387"/>
      <w:bookmarkStart w:id="146" w:name="_Toc230492383"/>
      <w:bookmarkStart w:id="147" w:name="_Toc275422876"/>
      <w:bookmarkStart w:id="148" w:name="_Toc313903294"/>
      <w:bookmarkStart w:id="149" w:name="_Toc470619308"/>
      <w:bookmarkStart w:id="150" w:name="_Toc295408761"/>
      <w:bookmarkStart w:id="151" w:name="_Toc390785024"/>
      <w:r>
        <w:rPr>
          <w:rFonts w:hint="eastAsia" w:ascii="宋体" w:hAnsi="宋体" w:cs="宋体"/>
          <w:b/>
          <w:bCs/>
          <w:sz w:val="24"/>
          <w:szCs w:val="24"/>
        </w:rPr>
        <w:t>八、其 它</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4CE1211">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8.1法律和法规</w:t>
      </w:r>
    </w:p>
    <w:p w14:paraId="5C24D1D2">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本合同必须服从国家的现行法律和法规，对合同的解释应以国家的现行法律和法规为准。</w:t>
      </w:r>
    </w:p>
    <w:p w14:paraId="2B7606A5">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8.2合同文件的优先次序</w:t>
      </w:r>
    </w:p>
    <w:p w14:paraId="4F5F9E9C">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组成合同的各个文件应该认为是一个整体，互为补充和解释，如果有模棱两可或互相矛盾处，以下面所列顺序在前者为准：</w:t>
      </w:r>
    </w:p>
    <w:p w14:paraId="011AB4ED">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（1）合同协议书及附件（含补遗书等澄清文件，如果有）；</w:t>
      </w:r>
    </w:p>
    <w:p w14:paraId="259697F5">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（2）成交通知书；</w:t>
      </w:r>
    </w:p>
    <w:p w14:paraId="37F3091A">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（3）竞争性</w:t>
      </w:r>
      <w:r>
        <w:rPr>
          <w:rFonts w:hint="eastAsia" w:ascii="宋体" w:hAnsi="宋体" w:cs="宋体"/>
          <w:sz w:val="24"/>
          <w:szCs w:val="24"/>
          <w:lang w:eastAsia="zh-CN"/>
        </w:rPr>
        <w:t>磋商</w:t>
      </w:r>
      <w:r>
        <w:rPr>
          <w:rFonts w:hint="eastAsia" w:ascii="宋体" w:hAnsi="宋体" w:cs="宋体"/>
          <w:sz w:val="24"/>
          <w:szCs w:val="24"/>
        </w:rPr>
        <w:t>响应文件；</w:t>
      </w:r>
    </w:p>
    <w:p w14:paraId="6E8EEEB1">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（4）合同条款；</w:t>
      </w:r>
    </w:p>
    <w:p w14:paraId="018CDFA2">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（5）项目需求；</w:t>
      </w:r>
    </w:p>
    <w:p w14:paraId="5CC696CE">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（6）</w:t>
      </w:r>
      <w:r>
        <w:rPr>
          <w:rFonts w:hint="eastAsia" w:ascii="宋体" w:hAnsi="宋体" w:cs="宋体"/>
          <w:sz w:val="24"/>
          <w:szCs w:val="24"/>
          <w:lang w:eastAsia="zh-CN"/>
        </w:rPr>
        <w:t>磋商</w:t>
      </w:r>
      <w:r>
        <w:rPr>
          <w:rFonts w:hint="eastAsia" w:ascii="宋体" w:hAnsi="宋体" w:cs="宋体"/>
          <w:sz w:val="24"/>
          <w:szCs w:val="24"/>
        </w:rPr>
        <w:t>响应报价清单；</w:t>
      </w:r>
    </w:p>
    <w:p w14:paraId="0A0A3D8A">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（7）项目主要参与人员的基本情况；</w:t>
      </w:r>
    </w:p>
    <w:p w14:paraId="61B1AB86">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（8）构成合同的其它文件。</w:t>
      </w:r>
    </w:p>
    <w:p w14:paraId="0B8D7401">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8.3履约保证金详见</w:t>
      </w:r>
      <w:r>
        <w:rPr>
          <w:rFonts w:hint="eastAsia" w:ascii="宋体" w:hAnsi="宋体" w:cs="宋体"/>
          <w:sz w:val="24"/>
          <w:szCs w:val="24"/>
          <w:lang w:eastAsia="zh-CN"/>
        </w:rPr>
        <w:t>磋商</w:t>
      </w:r>
      <w:r>
        <w:rPr>
          <w:rFonts w:hint="eastAsia" w:ascii="宋体" w:hAnsi="宋体" w:cs="宋体"/>
          <w:sz w:val="24"/>
          <w:szCs w:val="24"/>
        </w:rPr>
        <w:t>供应商须知。</w:t>
      </w:r>
    </w:p>
    <w:p w14:paraId="38E8E45C">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8.4转让和分包</w:t>
      </w:r>
    </w:p>
    <w:p w14:paraId="50078132">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（1）禁止服务单位将本合同规定的任务转让出去。</w:t>
      </w:r>
    </w:p>
    <w:p w14:paraId="462E0514">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（2）没有采购人的同意，服务单位不能将任何任务分包出去。即使得到了采购人的同意，也不应解除服务单位根据合同规定应承担的全部责任和义务，服务单位应对其分包人的工作负全部责任。</w:t>
      </w:r>
    </w:p>
    <w:p w14:paraId="531D7B0F">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8.5保密性</w:t>
      </w:r>
    </w:p>
    <w:p w14:paraId="1EAA725F">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供应商在服务过程中应为采购人的数据保密未经采购人授权，不得将保密数据向协议以外的第三方或公众透露，且不得对保密信息进行拷贝和抄写。保密期限为本协议有效期内及本协议有效期限届满之日起五年。</w:t>
      </w:r>
    </w:p>
    <w:p w14:paraId="4EEB95EB">
      <w:pPr>
        <w:snapToGri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8.6争端的解决</w:t>
      </w:r>
    </w:p>
    <w:p w14:paraId="394371D9">
      <w:pPr>
        <w:snapToGrid w:val="0"/>
        <w:spacing w:line="360" w:lineRule="auto"/>
        <w:ind w:firstLine="480" w:firstLineChars="200"/>
        <w:contextualSpacing/>
        <w:rPr>
          <w:rFonts w:hint="eastAsia" w:ascii="宋体" w:hAnsi="宋体" w:cs="宋体"/>
          <w:b/>
          <w:bCs/>
          <w:sz w:val="28"/>
          <w:szCs w:val="28"/>
        </w:rPr>
      </w:pPr>
      <w:r>
        <w:rPr>
          <w:rFonts w:hint="eastAsia" w:ascii="宋体" w:hAnsi="宋体" w:cs="宋体"/>
          <w:sz w:val="24"/>
          <w:szCs w:val="24"/>
        </w:rPr>
        <w:t>本合同在执行过程中，如发生任何争端、纠纷或因违反、终止本合同而引起的对损失损害的任何赔偿，应事先协商，在服务单位和采购人之间达成一致意见。如未能达成一致，向南通仲裁委员会进行仲裁。</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318E8D5">
      <w:pPr>
        <w:spacing w:line="560" w:lineRule="exact"/>
        <w:jc w:val="center"/>
        <w:rPr>
          <w:rFonts w:hint="eastAsia" w:ascii="宋体" w:hAnsi="宋体" w:cs="宋体"/>
          <w:b/>
          <w:bCs/>
          <w:sz w:val="32"/>
        </w:rPr>
      </w:pPr>
      <w:r>
        <w:rPr>
          <w:rFonts w:hint="eastAsia" w:ascii="宋体" w:hAnsi="宋体" w:cs="宋体"/>
          <w:b/>
          <w:bCs/>
          <w:sz w:val="28"/>
          <w:szCs w:val="28"/>
        </w:rPr>
        <w:br w:type="page"/>
      </w:r>
      <w:r>
        <w:rPr>
          <w:rFonts w:hint="eastAsia" w:ascii="宋体" w:hAnsi="宋体" w:cs="宋体"/>
          <w:b/>
          <w:bCs/>
          <w:sz w:val="28"/>
          <w:szCs w:val="28"/>
        </w:rPr>
        <w:t>（二）合同附件格式</w:t>
      </w:r>
    </w:p>
    <w:p w14:paraId="737BC374">
      <w:pPr>
        <w:spacing w:line="460" w:lineRule="exact"/>
        <w:rPr>
          <w:rFonts w:hint="eastAsia" w:ascii="宋体" w:hAnsi="宋体" w:cs="宋体"/>
          <w:b/>
          <w:sz w:val="24"/>
        </w:rPr>
      </w:pPr>
      <w:r>
        <w:rPr>
          <w:rFonts w:hint="eastAsia" w:ascii="宋体" w:hAnsi="宋体" w:cs="宋体"/>
          <w:b/>
          <w:sz w:val="24"/>
        </w:rPr>
        <w:t>附件一： 合同协议书</w:t>
      </w:r>
    </w:p>
    <w:p w14:paraId="10AD5D70">
      <w:pPr>
        <w:spacing w:after="120" w:afterLines="50" w:line="480" w:lineRule="exact"/>
        <w:ind w:firstLine="562" w:firstLineChars="200"/>
        <w:jc w:val="center"/>
        <w:rPr>
          <w:rFonts w:hint="eastAsia" w:ascii="宋体" w:hAnsi="宋体" w:cs="宋体"/>
          <w:b/>
          <w:sz w:val="28"/>
          <w:szCs w:val="28"/>
        </w:rPr>
      </w:pPr>
      <w:r>
        <w:rPr>
          <w:rFonts w:hint="eastAsia" w:ascii="宋体" w:hAnsi="宋体" w:cs="宋体"/>
          <w:b/>
          <w:sz w:val="28"/>
          <w:szCs w:val="28"/>
        </w:rPr>
        <w:t>合同协议书</w:t>
      </w:r>
    </w:p>
    <w:p w14:paraId="7A1734CD">
      <w:pPr>
        <w:spacing w:line="360" w:lineRule="auto"/>
        <w:ind w:firstLine="547" w:firstLineChars="228"/>
        <w:jc w:val="left"/>
        <w:rPr>
          <w:rFonts w:hint="eastAsia" w:ascii="宋体" w:hAnsi="宋体" w:cs="宋体"/>
          <w:sz w:val="24"/>
          <w:szCs w:val="24"/>
        </w:rPr>
      </w:pPr>
      <w:r>
        <w:rPr>
          <w:rFonts w:hint="eastAsia" w:ascii="宋体" w:hAnsi="宋体" w:cs="宋体"/>
          <w:sz w:val="24"/>
          <w:szCs w:val="24"/>
          <w:u w:val="single"/>
        </w:rPr>
        <w:t>南通市公路事业发展中心</w:t>
      </w:r>
      <w:r>
        <w:rPr>
          <w:rFonts w:hint="eastAsia" w:ascii="宋体" w:hAnsi="宋体" w:cs="宋体"/>
          <w:sz w:val="24"/>
          <w:szCs w:val="24"/>
        </w:rPr>
        <w:t>（采购人名称，以下简称“甲方”）为实施</w:t>
      </w:r>
      <w:r>
        <w:rPr>
          <w:rFonts w:hint="eastAsia" w:ascii="宋体" w:hAnsi="宋体" w:cs="宋体"/>
          <w:sz w:val="24"/>
          <w:szCs w:val="24"/>
          <w:u w:val="single"/>
        </w:rPr>
        <w:t xml:space="preserve">          项目</w:t>
      </w:r>
      <w:r>
        <w:rPr>
          <w:rFonts w:hint="eastAsia" w:ascii="宋体" w:hAnsi="宋体" w:cs="宋体"/>
          <w:sz w:val="24"/>
          <w:szCs w:val="24"/>
        </w:rPr>
        <w:t>，已接受</w:t>
      </w:r>
      <w:r>
        <w:rPr>
          <w:rFonts w:hint="eastAsia" w:ascii="宋体" w:hAnsi="宋体" w:cs="宋体"/>
          <w:sz w:val="24"/>
          <w:szCs w:val="24"/>
          <w:u w:val="single"/>
        </w:rPr>
        <w:t xml:space="preserve">               </w:t>
      </w:r>
      <w:r>
        <w:rPr>
          <w:rFonts w:hint="eastAsia" w:ascii="宋体" w:hAnsi="宋体" w:cs="宋体"/>
          <w:sz w:val="24"/>
          <w:szCs w:val="24"/>
        </w:rPr>
        <w:t>（供应商名称，以下简称“乙方”）对该项目的投标。甲方和乙方共同达成如下协议。</w:t>
      </w:r>
    </w:p>
    <w:p w14:paraId="56BB7852">
      <w:pPr>
        <w:tabs>
          <w:tab w:val="left" w:pos="1260"/>
        </w:tabs>
        <w:spacing w:line="360" w:lineRule="auto"/>
        <w:ind w:firstLine="480" w:firstLineChars="200"/>
        <w:rPr>
          <w:rFonts w:hint="eastAsia" w:ascii="宋体" w:hAnsi="宋体" w:cs="宋体"/>
          <w:sz w:val="24"/>
          <w:szCs w:val="24"/>
        </w:rPr>
      </w:pPr>
      <w:r>
        <w:rPr>
          <w:rFonts w:hint="eastAsia" w:ascii="宋体" w:hAnsi="宋体" w:cs="宋体"/>
          <w:sz w:val="24"/>
          <w:szCs w:val="24"/>
        </w:rPr>
        <w:t>1、项目概况、采购范围及内容</w:t>
      </w:r>
    </w:p>
    <w:p w14:paraId="227C89AD">
      <w:pPr>
        <w:pStyle w:val="32"/>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本项目采购内容为</w:t>
      </w:r>
    </w:p>
    <w:p w14:paraId="2A9E44B1">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①对市中心机房开展基础环境运维服务</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rPr>
        <w:t>对市中心及下属8个分中心的安全软硬件产品开展</w:t>
      </w:r>
      <w:r>
        <w:rPr>
          <w:rFonts w:hint="eastAsia" w:ascii="宋体" w:eastAsia="宋体" w:cs="宋体"/>
          <w:color w:val="auto"/>
          <w:sz w:val="24"/>
          <w:szCs w:val="24"/>
          <w:highlight w:val="none"/>
          <w:lang w:val="en-US" w:eastAsia="zh-CN"/>
        </w:rPr>
        <w:t>运维</w:t>
      </w:r>
      <w:r>
        <w:rPr>
          <w:rFonts w:hint="eastAsia" w:ascii="宋体" w:eastAsia="宋体" w:cs="宋体"/>
          <w:color w:val="auto"/>
          <w:sz w:val="24"/>
          <w:szCs w:val="24"/>
          <w:highlight w:val="none"/>
        </w:rPr>
        <w:t>服务</w:t>
      </w:r>
      <w:r>
        <w:rPr>
          <w:rFonts w:hint="eastAsia" w:ascii="宋体" w:eastAsia="宋体" w:cs="宋体"/>
          <w:color w:val="auto"/>
          <w:sz w:val="24"/>
          <w:szCs w:val="24"/>
          <w:highlight w:val="none"/>
          <w:lang w:eastAsia="zh-CN"/>
        </w:rPr>
        <w:t>。</w:t>
      </w:r>
    </w:p>
    <w:p w14:paraId="08CE21F0">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lang w:val="en-US" w:eastAsia="zh-CN"/>
        </w:rPr>
        <w:t>②</w:t>
      </w:r>
      <w:r>
        <w:rPr>
          <w:rFonts w:hint="eastAsia" w:ascii="宋体" w:eastAsia="宋体" w:cs="宋体"/>
          <w:color w:val="auto"/>
          <w:sz w:val="24"/>
          <w:szCs w:val="24"/>
          <w:highlight w:val="none"/>
        </w:rPr>
        <w:t>对市中心及分中心开展网络安全运维服务。</w:t>
      </w:r>
    </w:p>
    <w:p w14:paraId="2F245975">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本项目服务</w:t>
      </w:r>
      <w:r>
        <w:rPr>
          <w:rFonts w:hint="eastAsia" w:ascii="宋体" w:eastAsia="宋体" w:cs="宋体"/>
          <w:color w:val="auto"/>
          <w:sz w:val="24"/>
          <w:szCs w:val="24"/>
          <w:highlight w:val="none"/>
          <w:lang w:val="en-US" w:eastAsia="zh-CN"/>
        </w:rPr>
        <w:t>内容</w:t>
      </w:r>
      <w:r>
        <w:rPr>
          <w:rFonts w:hint="eastAsia" w:ascii="宋体" w:eastAsia="宋体" w:cs="宋体"/>
          <w:color w:val="auto"/>
          <w:sz w:val="24"/>
          <w:szCs w:val="24"/>
          <w:highlight w:val="none"/>
        </w:rPr>
        <w:t>、要求具体如下：</w:t>
      </w:r>
    </w:p>
    <w:p w14:paraId="422C2FD3">
      <w:pPr>
        <w:keepNext w:val="0"/>
        <w:keepLines w:val="0"/>
        <w:pageBreakBefore w:val="0"/>
        <w:widowControl w:val="0"/>
        <w:numPr>
          <w:ilvl w:val="0"/>
          <w:numId w:val="6"/>
        </w:numPr>
        <w:kinsoku/>
        <w:wordWrap/>
        <w:overflowPunct/>
        <w:topLinePunct w:val="0"/>
        <w:autoSpaceDE/>
        <w:autoSpaceDN/>
        <w:bidi w:val="0"/>
        <w:spacing w:line="360" w:lineRule="auto"/>
        <w:ind w:firstLine="482"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基础环境运维服务及安全软硬件产品维保服务内容及要求</w:t>
      </w:r>
    </w:p>
    <w:p w14:paraId="28071D9B">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运维设备及软硬件包括但不限于下表所列内容。</w:t>
      </w:r>
    </w:p>
    <w:p w14:paraId="4397EBF4">
      <w:pPr>
        <w:keepNext w:val="0"/>
        <w:keepLines w:val="0"/>
        <w:pageBreakBefore w:val="0"/>
        <w:widowControl w:val="0"/>
        <w:numPr>
          <w:ilvl w:val="-1"/>
          <w:numId w:val="0"/>
        </w:numPr>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表1</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438"/>
        <w:gridCol w:w="513"/>
        <w:gridCol w:w="467"/>
        <w:gridCol w:w="1394"/>
        <w:gridCol w:w="1972"/>
        <w:gridCol w:w="2977"/>
      </w:tblGrid>
      <w:tr w14:paraId="1B6F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1CB01307">
            <w:pPr>
              <w:snapToGrid w:val="0"/>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793" w:type="pct"/>
            <w:vAlign w:val="center"/>
          </w:tcPr>
          <w:p w14:paraId="44894E78">
            <w:pPr>
              <w:snapToGrid w:val="0"/>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设施类型</w:t>
            </w:r>
          </w:p>
        </w:tc>
        <w:tc>
          <w:tcPr>
            <w:tcW w:w="294" w:type="pct"/>
            <w:vAlign w:val="center"/>
          </w:tcPr>
          <w:p w14:paraId="06853858">
            <w:pPr>
              <w:snapToGrid w:val="0"/>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数量</w:t>
            </w:r>
          </w:p>
        </w:tc>
        <w:tc>
          <w:tcPr>
            <w:tcW w:w="269" w:type="pct"/>
            <w:vAlign w:val="center"/>
          </w:tcPr>
          <w:p w14:paraId="4ECABAFD">
            <w:pPr>
              <w:snapToGrid w:val="0"/>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769" w:type="pct"/>
            <w:vAlign w:val="center"/>
          </w:tcPr>
          <w:p w14:paraId="1D0DED31">
            <w:pPr>
              <w:snapToGrid w:val="0"/>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服务要求</w:t>
            </w:r>
          </w:p>
        </w:tc>
        <w:tc>
          <w:tcPr>
            <w:tcW w:w="1081" w:type="pct"/>
            <w:vAlign w:val="center"/>
          </w:tcPr>
          <w:p w14:paraId="29E10F28">
            <w:pPr>
              <w:snapToGrid w:val="0"/>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维护时间</w:t>
            </w:r>
          </w:p>
        </w:tc>
        <w:tc>
          <w:tcPr>
            <w:tcW w:w="1504" w:type="pct"/>
            <w:vAlign w:val="center"/>
          </w:tcPr>
          <w:p w14:paraId="5E7E00B4">
            <w:pPr>
              <w:snapToGrid w:val="0"/>
              <w:ind w:left="0" w:leftChars="0" w:right="0" w:rightChars="0" w:firstLine="0" w:firstLineChars="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对应项目</w:t>
            </w:r>
          </w:p>
        </w:tc>
      </w:tr>
      <w:tr w14:paraId="4BF5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180DD95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93" w:type="pct"/>
            <w:vAlign w:val="center"/>
          </w:tcPr>
          <w:p w14:paraId="63233F3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维谛p2040精密空调</w:t>
            </w:r>
          </w:p>
        </w:tc>
        <w:tc>
          <w:tcPr>
            <w:tcW w:w="294" w:type="pct"/>
            <w:vAlign w:val="center"/>
          </w:tcPr>
          <w:p w14:paraId="0A83F6C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69" w:type="pct"/>
            <w:vAlign w:val="center"/>
          </w:tcPr>
          <w:p w14:paraId="208E28A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vAlign w:val="center"/>
          </w:tcPr>
          <w:p w14:paraId="0F0FBF7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设备检修、保养服务、每季度巡检一次</w:t>
            </w:r>
          </w:p>
        </w:tc>
        <w:tc>
          <w:tcPr>
            <w:tcW w:w="1081" w:type="pct"/>
            <w:vAlign w:val="center"/>
          </w:tcPr>
          <w:p w14:paraId="44592EF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vMerge w:val="restart"/>
            <w:vAlign w:val="center"/>
          </w:tcPr>
          <w:p w14:paraId="1D1ADE6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2018南通市公路管理处数据中心机房升级改造项目采购编号：Z3206011180479（XJ176）、</w:t>
            </w:r>
          </w:p>
          <w:p w14:paraId="5404A40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2022年南通市公路事业发展中心UPS机房改造及数据中心维保项目  </w:t>
            </w:r>
          </w:p>
          <w:p w14:paraId="4142517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采购编号：Z320601220330（CS145）</w:t>
            </w:r>
          </w:p>
        </w:tc>
      </w:tr>
      <w:tr w14:paraId="7C45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0B0D944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793" w:type="pct"/>
            <w:vAlign w:val="center"/>
          </w:tcPr>
          <w:p w14:paraId="0CFFA2D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维谛DME07精密空调</w:t>
            </w:r>
          </w:p>
        </w:tc>
        <w:tc>
          <w:tcPr>
            <w:tcW w:w="294" w:type="pct"/>
            <w:vAlign w:val="center"/>
          </w:tcPr>
          <w:p w14:paraId="4BF84EE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vAlign w:val="center"/>
          </w:tcPr>
          <w:p w14:paraId="0AB5366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vAlign w:val="center"/>
          </w:tcPr>
          <w:p w14:paraId="76162CE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设备检修、保养服务、每季度巡检一次</w:t>
            </w:r>
          </w:p>
        </w:tc>
        <w:tc>
          <w:tcPr>
            <w:tcW w:w="1081" w:type="pct"/>
            <w:shd w:val="clear" w:color="auto" w:fill="auto"/>
            <w:vAlign w:val="center"/>
          </w:tcPr>
          <w:p w14:paraId="12125F6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vMerge w:val="continue"/>
            <w:vAlign w:val="center"/>
          </w:tcPr>
          <w:p w14:paraId="13C2A5E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tc>
      </w:tr>
      <w:tr w14:paraId="7691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4FD1E1A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793" w:type="pct"/>
            <w:vAlign w:val="center"/>
          </w:tcPr>
          <w:p w14:paraId="0CDA384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维谛 ITA2-30型号UPS主机</w:t>
            </w:r>
          </w:p>
        </w:tc>
        <w:tc>
          <w:tcPr>
            <w:tcW w:w="294" w:type="pct"/>
            <w:vAlign w:val="center"/>
          </w:tcPr>
          <w:p w14:paraId="641EAFF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69" w:type="pct"/>
            <w:vAlign w:val="center"/>
          </w:tcPr>
          <w:p w14:paraId="7C3FDE0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vAlign w:val="center"/>
          </w:tcPr>
          <w:p w14:paraId="117CE30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设备检修、保养服务、每季度巡检一次</w:t>
            </w:r>
          </w:p>
        </w:tc>
        <w:tc>
          <w:tcPr>
            <w:tcW w:w="1081" w:type="pct"/>
            <w:shd w:val="clear" w:color="auto" w:fill="auto"/>
            <w:vAlign w:val="center"/>
          </w:tcPr>
          <w:p w14:paraId="3416C38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vMerge w:val="continue"/>
            <w:vAlign w:val="center"/>
          </w:tcPr>
          <w:p w14:paraId="112735E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tc>
      </w:tr>
      <w:tr w14:paraId="2183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301A0F9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793" w:type="pct"/>
            <w:vAlign w:val="center"/>
          </w:tcPr>
          <w:p w14:paraId="4DC872C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机房环境监控、门禁</w:t>
            </w:r>
          </w:p>
        </w:tc>
        <w:tc>
          <w:tcPr>
            <w:tcW w:w="294" w:type="pct"/>
            <w:vAlign w:val="center"/>
          </w:tcPr>
          <w:p w14:paraId="56A9D5C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vAlign w:val="center"/>
          </w:tcPr>
          <w:p w14:paraId="5F9F032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批</w:t>
            </w:r>
          </w:p>
        </w:tc>
        <w:tc>
          <w:tcPr>
            <w:tcW w:w="769" w:type="pct"/>
            <w:vAlign w:val="center"/>
          </w:tcPr>
          <w:p w14:paraId="43F61EB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设备检修、保养服务、每季度巡检一次</w:t>
            </w:r>
          </w:p>
        </w:tc>
        <w:tc>
          <w:tcPr>
            <w:tcW w:w="1081" w:type="pct"/>
            <w:shd w:val="clear" w:color="auto" w:fill="auto"/>
            <w:vAlign w:val="center"/>
          </w:tcPr>
          <w:p w14:paraId="0EE2CAC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vMerge w:val="continue"/>
            <w:vAlign w:val="center"/>
          </w:tcPr>
          <w:p w14:paraId="230E5B1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p>
        </w:tc>
      </w:tr>
      <w:tr w14:paraId="6760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Align w:val="center"/>
          </w:tcPr>
          <w:p w14:paraId="63ABEC4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793" w:type="pct"/>
            <w:vAlign w:val="center"/>
          </w:tcPr>
          <w:p w14:paraId="6A22328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中心外网出口防火墙</w:t>
            </w:r>
          </w:p>
        </w:tc>
        <w:tc>
          <w:tcPr>
            <w:tcW w:w="294" w:type="pct"/>
            <w:vAlign w:val="center"/>
          </w:tcPr>
          <w:p w14:paraId="240F0D8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vAlign w:val="center"/>
          </w:tcPr>
          <w:p w14:paraId="4C7ABAE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vAlign w:val="center"/>
          </w:tcPr>
          <w:p w14:paraId="6D3ED95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硬件维保、规则库升级、软件版本升级、每月巡检一次</w:t>
            </w:r>
          </w:p>
        </w:tc>
        <w:tc>
          <w:tcPr>
            <w:tcW w:w="1081" w:type="pct"/>
            <w:shd w:val="clear" w:color="auto" w:fill="auto"/>
            <w:vAlign w:val="center"/>
          </w:tcPr>
          <w:p w14:paraId="4533C56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vAlign w:val="center"/>
          </w:tcPr>
          <w:p w14:paraId="35E1FDD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2018年南通市公路管理处基层数据中心提升及安全运维升级项目  </w:t>
            </w:r>
          </w:p>
          <w:p w14:paraId="1FDB095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采购编号:Z32060118083（XJ322）</w:t>
            </w:r>
          </w:p>
        </w:tc>
      </w:tr>
      <w:tr w14:paraId="5723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86" w:type="pct"/>
            <w:shd w:val="clear" w:color="auto" w:fill="auto"/>
            <w:vAlign w:val="center"/>
          </w:tcPr>
          <w:p w14:paraId="3C7C30A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793" w:type="pct"/>
            <w:shd w:val="clear" w:color="auto" w:fill="auto"/>
            <w:vAlign w:val="center"/>
          </w:tcPr>
          <w:p w14:paraId="777810E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XDR</w:t>
            </w:r>
          </w:p>
        </w:tc>
        <w:tc>
          <w:tcPr>
            <w:tcW w:w="294" w:type="pct"/>
            <w:shd w:val="clear" w:color="auto" w:fill="auto"/>
            <w:vAlign w:val="center"/>
          </w:tcPr>
          <w:p w14:paraId="10D984C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1BA00D8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套</w:t>
            </w:r>
          </w:p>
        </w:tc>
        <w:tc>
          <w:tcPr>
            <w:tcW w:w="769" w:type="pct"/>
            <w:shd w:val="clear" w:color="auto" w:fill="auto"/>
            <w:vAlign w:val="center"/>
          </w:tcPr>
          <w:p w14:paraId="1C85165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规则库升级、软件版本升级、每月巡检一次</w:t>
            </w:r>
          </w:p>
        </w:tc>
        <w:tc>
          <w:tcPr>
            <w:tcW w:w="1081" w:type="pct"/>
            <w:shd w:val="clear" w:color="auto" w:fill="auto"/>
            <w:vAlign w:val="center"/>
          </w:tcPr>
          <w:p w14:paraId="74D97DA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1AF454B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2021南通市公路事业发展中心数据中心改造及服务项目  采购编号: Z320601210236(ZB064)</w:t>
            </w:r>
          </w:p>
        </w:tc>
      </w:tr>
      <w:tr w14:paraId="6E58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2A5057B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793" w:type="pct"/>
            <w:shd w:val="clear" w:color="auto" w:fill="auto"/>
            <w:vAlign w:val="center"/>
          </w:tcPr>
          <w:p w14:paraId="213CB2A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中心无线防火墙</w:t>
            </w:r>
          </w:p>
        </w:tc>
        <w:tc>
          <w:tcPr>
            <w:tcW w:w="294" w:type="pct"/>
            <w:shd w:val="clear" w:color="auto" w:fill="auto"/>
            <w:vAlign w:val="center"/>
          </w:tcPr>
          <w:p w14:paraId="560D7A7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2885D1D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6381138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硬件维保、规则库升级、软件版本升级、每月巡检一次</w:t>
            </w:r>
          </w:p>
        </w:tc>
        <w:tc>
          <w:tcPr>
            <w:tcW w:w="1081" w:type="pct"/>
            <w:shd w:val="clear" w:color="auto" w:fill="auto"/>
            <w:vAlign w:val="center"/>
          </w:tcPr>
          <w:p w14:paraId="055D449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0311201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  采购编号:Z320601200442(XJ143)</w:t>
            </w:r>
          </w:p>
        </w:tc>
      </w:tr>
      <w:tr w14:paraId="38B7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5FB0F5E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793" w:type="pct"/>
            <w:shd w:val="clear" w:color="auto" w:fill="auto"/>
            <w:vAlign w:val="center"/>
          </w:tcPr>
          <w:p w14:paraId="089ADB8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中心探针</w:t>
            </w:r>
          </w:p>
        </w:tc>
        <w:tc>
          <w:tcPr>
            <w:tcW w:w="294" w:type="pct"/>
            <w:shd w:val="clear" w:color="auto" w:fill="auto"/>
            <w:vAlign w:val="center"/>
          </w:tcPr>
          <w:p w14:paraId="7A69119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69" w:type="pct"/>
            <w:shd w:val="clear" w:color="auto" w:fill="auto"/>
            <w:vAlign w:val="center"/>
          </w:tcPr>
          <w:p w14:paraId="3728A36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7F32E14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规则库升级、软件版本升级、每月巡检一次</w:t>
            </w:r>
          </w:p>
        </w:tc>
        <w:tc>
          <w:tcPr>
            <w:tcW w:w="1081" w:type="pct"/>
            <w:shd w:val="clear" w:color="auto" w:fill="auto"/>
            <w:vAlign w:val="center"/>
          </w:tcPr>
          <w:p w14:paraId="20E0B4D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3420616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2020年南通市公路事业发展中心专网安全改造项目项目采购编号：Z320601200442(XJ143)</w:t>
            </w:r>
          </w:p>
          <w:p w14:paraId="669CBDC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2021南通市公路事业发展中心数据中心改造及服务项目  采购编号: Z320601210236(ZB064)</w:t>
            </w:r>
          </w:p>
        </w:tc>
      </w:tr>
      <w:tr w14:paraId="40ED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32B0672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tc>
        <w:tc>
          <w:tcPr>
            <w:tcW w:w="793" w:type="pct"/>
            <w:shd w:val="clear" w:color="auto" w:fill="auto"/>
            <w:vAlign w:val="center"/>
          </w:tcPr>
          <w:p w14:paraId="4228426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中心内外网EDR</w:t>
            </w:r>
          </w:p>
        </w:tc>
        <w:tc>
          <w:tcPr>
            <w:tcW w:w="294" w:type="pct"/>
            <w:shd w:val="clear" w:color="auto" w:fill="auto"/>
            <w:vAlign w:val="center"/>
          </w:tcPr>
          <w:p w14:paraId="59A981A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69" w:type="pct"/>
            <w:shd w:val="clear" w:color="auto" w:fill="auto"/>
            <w:vAlign w:val="center"/>
          </w:tcPr>
          <w:p w14:paraId="5DFEB7C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套</w:t>
            </w:r>
          </w:p>
        </w:tc>
        <w:tc>
          <w:tcPr>
            <w:tcW w:w="769" w:type="pct"/>
            <w:shd w:val="clear" w:color="auto" w:fill="auto"/>
            <w:vAlign w:val="center"/>
          </w:tcPr>
          <w:p w14:paraId="1E4B724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规则库升级、软件版本升级、每月巡检一次</w:t>
            </w:r>
          </w:p>
        </w:tc>
        <w:tc>
          <w:tcPr>
            <w:tcW w:w="1081" w:type="pct"/>
            <w:shd w:val="clear" w:color="auto" w:fill="auto"/>
            <w:vAlign w:val="center"/>
          </w:tcPr>
          <w:p w14:paraId="0CFFE12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3AF1FFB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2020年南通市公路事业发展中心专网安全改造项目项目采购编号:  Z320601200442(XJ143）</w:t>
            </w:r>
          </w:p>
        </w:tc>
      </w:tr>
      <w:tr w14:paraId="29CF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73D8846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793" w:type="pct"/>
            <w:shd w:val="clear" w:color="auto" w:fill="auto"/>
            <w:vAlign w:val="center"/>
          </w:tcPr>
          <w:p w14:paraId="7CD26A3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中心内网专线防火墙</w:t>
            </w:r>
          </w:p>
        </w:tc>
        <w:tc>
          <w:tcPr>
            <w:tcW w:w="294" w:type="pct"/>
            <w:shd w:val="clear" w:color="auto" w:fill="auto"/>
            <w:vAlign w:val="center"/>
          </w:tcPr>
          <w:p w14:paraId="55094E9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3B7056B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15AC57E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硬件维保、规则库升级、软件版本升级、每月巡检一次</w:t>
            </w:r>
          </w:p>
        </w:tc>
        <w:tc>
          <w:tcPr>
            <w:tcW w:w="1081" w:type="pct"/>
            <w:shd w:val="clear" w:color="auto" w:fill="auto"/>
            <w:vAlign w:val="center"/>
          </w:tcPr>
          <w:p w14:paraId="4B29F9F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1EB4E95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2020年南通市公路事业发展中心专网安全改造项目项目采购编号:   Z320601200442(XJ143)</w:t>
            </w:r>
          </w:p>
        </w:tc>
      </w:tr>
      <w:tr w14:paraId="45BD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75CF77A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w:t>
            </w:r>
          </w:p>
        </w:tc>
        <w:tc>
          <w:tcPr>
            <w:tcW w:w="793" w:type="pct"/>
            <w:shd w:val="clear" w:color="auto" w:fill="auto"/>
            <w:vAlign w:val="center"/>
          </w:tcPr>
          <w:p w14:paraId="25C4BA8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中心服务器区防火墙</w:t>
            </w:r>
          </w:p>
        </w:tc>
        <w:tc>
          <w:tcPr>
            <w:tcW w:w="294" w:type="pct"/>
            <w:shd w:val="clear" w:color="auto" w:fill="auto"/>
            <w:vAlign w:val="center"/>
          </w:tcPr>
          <w:p w14:paraId="3D890E3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53BA6B0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0769D60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规则库升级、软件版本升级、每月巡检一次</w:t>
            </w:r>
          </w:p>
        </w:tc>
        <w:tc>
          <w:tcPr>
            <w:tcW w:w="1081" w:type="pct"/>
            <w:shd w:val="clear" w:color="auto" w:fill="auto"/>
            <w:vAlign w:val="center"/>
          </w:tcPr>
          <w:p w14:paraId="03BC0C4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0FE033E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 采购编号：Z320601200442(XJ143）</w:t>
            </w:r>
          </w:p>
        </w:tc>
      </w:tr>
      <w:tr w14:paraId="5897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43B0D68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w:t>
            </w:r>
          </w:p>
        </w:tc>
        <w:tc>
          <w:tcPr>
            <w:tcW w:w="793" w:type="pct"/>
            <w:shd w:val="clear" w:color="auto" w:fill="auto"/>
            <w:vAlign w:val="center"/>
          </w:tcPr>
          <w:p w14:paraId="6CB9CC9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分中心汇聚防火墙</w:t>
            </w:r>
          </w:p>
        </w:tc>
        <w:tc>
          <w:tcPr>
            <w:tcW w:w="294" w:type="pct"/>
            <w:shd w:val="clear" w:color="auto" w:fill="auto"/>
            <w:vAlign w:val="center"/>
          </w:tcPr>
          <w:p w14:paraId="4DD2E72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269" w:type="pct"/>
            <w:shd w:val="clear" w:color="auto" w:fill="auto"/>
            <w:vAlign w:val="center"/>
          </w:tcPr>
          <w:p w14:paraId="1900450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20B27CE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规则库升级、软件版本升级、每月巡检一次</w:t>
            </w:r>
          </w:p>
        </w:tc>
        <w:tc>
          <w:tcPr>
            <w:tcW w:w="1081" w:type="pct"/>
            <w:shd w:val="clear" w:color="auto" w:fill="auto"/>
            <w:vAlign w:val="center"/>
          </w:tcPr>
          <w:p w14:paraId="23AD49C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vAlign w:val="center"/>
          </w:tcPr>
          <w:p w14:paraId="0C76539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2020年南通市公路事业发展中心专网安全改造项目项目采购编号:  Z320601200442(XJ143）</w:t>
            </w:r>
          </w:p>
        </w:tc>
      </w:tr>
      <w:tr w14:paraId="77CE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4B47B42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w:t>
            </w:r>
          </w:p>
        </w:tc>
        <w:tc>
          <w:tcPr>
            <w:tcW w:w="793" w:type="pct"/>
            <w:shd w:val="clear" w:color="auto" w:fill="auto"/>
            <w:vAlign w:val="center"/>
          </w:tcPr>
          <w:p w14:paraId="5BB2D17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分中心探针</w:t>
            </w:r>
          </w:p>
        </w:tc>
        <w:tc>
          <w:tcPr>
            <w:tcW w:w="294" w:type="pct"/>
            <w:shd w:val="clear" w:color="auto" w:fill="auto"/>
            <w:vAlign w:val="center"/>
          </w:tcPr>
          <w:p w14:paraId="09C83A8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269" w:type="pct"/>
            <w:shd w:val="clear" w:color="auto" w:fill="auto"/>
            <w:vAlign w:val="center"/>
          </w:tcPr>
          <w:p w14:paraId="15C8251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26C1C5D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软件库升级、特征库更新、每月巡检一次</w:t>
            </w:r>
          </w:p>
        </w:tc>
        <w:tc>
          <w:tcPr>
            <w:tcW w:w="1081" w:type="pct"/>
            <w:shd w:val="clear" w:color="auto" w:fill="auto"/>
            <w:vAlign w:val="center"/>
          </w:tcPr>
          <w:p w14:paraId="5C657E6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7CB95A4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2020年南通市公路事业发展中心专网安全改造项目项目采购编号:  Z320601200442(XJ143）</w:t>
            </w:r>
          </w:p>
        </w:tc>
      </w:tr>
      <w:tr w14:paraId="5E5C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1073ED7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14</w:t>
            </w:r>
          </w:p>
        </w:tc>
        <w:tc>
          <w:tcPr>
            <w:tcW w:w="793" w:type="pct"/>
            <w:shd w:val="clear" w:color="auto" w:fill="auto"/>
            <w:vAlign w:val="center"/>
          </w:tcPr>
          <w:p w14:paraId="2666E99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分中心内外网防火墙</w:t>
            </w:r>
          </w:p>
        </w:tc>
        <w:tc>
          <w:tcPr>
            <w:tcW w:w="294" w:type="pct"/>
            <w:shd w:val="clear" w:color="auto" w:fill="auto"/>
            <w:vAlign w:val="center"/>
          </w:tcPr>
          <w:p w14:paraId="773A320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15</w:t>
            </w:r>
          </w:p>
        </w:tc>
        <w:tc>
          <w:tcPr>
            <w:tcW w:w="269" w:type="pct"/>
            <w:shd w:val="clear" w:color="auto" w:fill="auto"/>
            <w:vAlign w:val="center"/>
          </w:tcPr>
          <w:p w14:paraId="1DE7C76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6559ED5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硬件维保、规则库升级、软件版本升级、每月巡检一次</w:t>
            </w:r>
          </w:p>
        </w:tc>
        <w:tc>
          <w:tcPr>
            <w:tcW w:w="1081" w:type="pct"/>
            <w:shd w:val="clear" w:color="auto" w:fill="auto"/>
            <w:vAlign w:val="center"/>
          </w:tcPr>
          <w:p w14:paraId="118FE49A">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vAlign w:val="center"/>
          </w:tcPr>
          <w:p w14:paraId="4967A6C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2020年南通市公路事业发展中心专网安全改造项目项目采购编号:  Z320601200442(XJ143）</w:t>
            </w:r>
          </w:p>
        </w:tc>
      </w:tr>
      <w:tr w14:paraId="7547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6186DEC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15</w:t>
            </w:r>
          </w:p>
        </w:tc>
        <w:tc>
          <w:tcPr>
            <w:tcW w:w="793" w:type="pct"/>
            <w:shd w:val="clear" w:color="auto" w:fill="auto"/>
            <w:vAlign w:val="center"/>
          </w:tcPr>
          <w:p w14:paraId="68BD34A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外网超融合</w:t>
            </w:r>
          </w:p>
        </w:tc>
        <w:tc>
          <w:tcPr>
            <w:tcW w:w="294" w:type="pct"/>
            <w:shd w:val="clear" w:color="auto" w:fill="auto"/>
            <w:vAlign w:val="center"/>
          </w:tcPr>
          <w:p w14:paraId="5D48AF0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269" w:type="pct"/>
            <w:shd w:val="clear" w:color="auto" w:fill="auto"/>
            <w:vAlign w:val="center"/>
          </w:tcPr>
          <w:p w14:paraId="10BD12B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1F7C659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4053D96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13BDDA5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2021南通市公路事业发展中心数据中心改造及服务项目  采购编号:  Z320601210236(ZB064)</w:t>
            </w:r>
          </w:p>
        </w:tc>
      </w:tr>
      <w:tr w14:paraId="0504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388301B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16</w:t>
            </w:r>
          </w:p>
        </w:tc>
        <w:tc>
          <w:tcPr>
            <w:tcW w:w="793" w:type="pct"/>
            <w:shd w:val="clear" w:color="auto" w:fill="auto"/>
            <w:vAlign w:val="center"/>
          </w:tcPr>
          <w:p w14:paraId="6509477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外网数据备份</w:t>
            </w:r>
          </w:p>
        </w:tc>
        <w:tc>
          <w:tcPr>
            <w:tcW w:w="294" w:type="pct"/>
            <w:shd w:val="clear" w:color="auto" w:fill="auto"/>
            <w:vAlign w:val="center"/>
          </w:tcPr>
          <w:p w14:paraId="1265B02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1BB27B5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7B1B000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7D2468B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5687400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  采购编号：Z320601200442(XJ143)</w:t>
            </w:r>
          </w:p>
        </w:tc>
      </w:tr>
      <w:tr w14:paraId="1039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7A5566C0">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w:t>
            </w:r>
          </w:p>
        </w:tc>
        <w:tc>
          <w:tcPr>
            <w:tcW w:w="793" w:type="pct"/>
            <w:shd w:val="clear" w:color="auto" w:fill="auto"/>
            <w:vAlign w:val="center"/>
          </w:tcPr>
          <w:p w14:paraId="11A6769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瑞数WAF</w:t>
            </w:r>
          </w:p>
        </w:tc>
        <w:tc>
          <w:tcPr>
            <w:tcW w:w="294" w:type="pct"/>
            <w:shd w:val="clear" w:color="auto" w:fill="auto"/>
            <w:vAlign w:val="center"/>
          </w:tcPr>
          <w:p w14:paraId="4C40A0C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225A70C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套</w:t>
            </w:r>
          </w:p>
        </w:tc>
        <w:tc>
          <w:tcPr>
            <w:tcW w:w="769" w:type="pct"/>
            <w:shd w:val="clear" w:color="auto" w:fill="auto"/>
            <w:vAlign w:val="center"/>
          </w:tcPr>
          <w:p w14:paraId="7FD7BFD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1956B27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612B3CB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2021南通市公路事业发展中心数据中心改造及服务项目  采购编号: Z320601210236(ZB064)</w:t>
            </w:r>
          </w:p>
        </w:tc>
      </w:tr>
      <w:tr w14:paraId="5B6A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78A67FA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18</w:t>
            </w:r>
          </w:p>
        </w:tc>
        <w:tc>
          <w:tcPr>
            <w:tcW w:w="793" w:type="pct"/>
            <w:shd w:val="clear" w:color="auto" w:fill="auto"/>
            <w:vAlign w:val="center"/>
          </w:tcPr>
          <w:p w14:paraId="38A5828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信锐无线网络控制中心</w:t>
            </w:r>
          </w:p>
        </w:tc>
        <w:tc>
          <w:tcPr>
            <w:tcW w:w="294" w:type="pct"/>
            <w:shd w:val="clear" w:color="auto" w:fill="auto"/>
            <w:vAlign w:val="center"/>
          </w:tcPr>
          <w:p w14:paraId="0CBFCB9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576F8A9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5049899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5CB74C6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75E94E6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2021年南通市公路事业发展中心视频会议室无纸化会议系统及谈话音视频建设项目</w:t>
            </w:r>
          </w:p>
        </w:tc>
      </w:tr>
      <w:tr w14:paraId="3D34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433CD444">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19</w:t>
            </w:r>
          </w:p>
        </w:tc>
        <w:tc>
          <w:tcPr>
            <w:tcW w:w="793" w:type="pct"/>
            <w:shd w:val="clear" w:color="auto" w:fill="auto"/>
            <w:vAlign w:val="center"/>
          </w:tcPr>
          <w:p w14:paraId="2740278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内网日志审计</w:t>
            </w:r>
          </w:p>
        </w:tc>
        <w:tc>
          <w:tcPr>
            <w:tcW w:w="294" w:type="pct"/>
            <w:shd w:val="clear" w:color="auto" w:fill="auto"/>
            <w:vAlign w:val="center"/>
          </w:tcPr>
          <w:p w14:paraId="0CD181B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00A5374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00CBB19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24B69A8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5640CC1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2018年南通市公路管理处基层数据中心提升及安全运维升级项目  </w:t>
            </w:r>
          </w:p>
          <w:p w14:paraId="791ABDC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采购编号:Z320601180838（XJ322）</w:t>
            </w:r>
          </w:p>
        </w:tc>
      </w:tr>
      <w:tr w14:paraId="6039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220F2AC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w:t>
            </w:r>
          </w:p>
        </w:tc>
        <w:tc>
          <w:tcPr>
            <w:tcW w:w="793" w:type="pct"/>
            <w:shd w:val="clear" w:color="auto" w:fill="auto"/>
            <w:vAlign w:val="center"/>
          </w:tcPr>
          <w:p w14:paraId="1E4293B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内网数据库审计</w:t>
            </w:r>
          </w:p>
        </w:tc>
        <w:tc>
          <w:tcPr>
            <w:tcW w:w="294" w:type="pct"/>
            <w:shd w:val="clear" w:color="auto" w:fill="auto"/>
            <w:vAlign w:val="center"/>
          </w:tcPr>
          <w:p w14:paraId="4418D49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4C0D7DC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6D90B0F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2E42B3F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4D2AFEE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2019年南通市公路管理处网络安全采购项目  </w:t>
            </w:r>
          </w:p>
          <w:p w14:paraId="24124AD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项目编号：Z320601190507(XJ188）</w:t>
            </w:r>
          </w:p>
        </w:tc>
      </w:tr>
      <w:tr w14:paraId="3F77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47C2111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21</w:t>
            </w:r>
          </w:p>
        </w:tc>
        <w:tc>
          <w:tcPr>
            <w:tcW w:w="793" w:type="pct"/>
            <w:shd w:val="clear" w:color="auto" w:fill="auto"/>
            <w:vAlign w:val="center"/>
          </w:tcPr>
          <w:p w14:paraId="58F56BE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全景灾备系统</w:t>
            </w:r>
          </w:p>
        </w:tc>
        <w:tc>
          <w:tcPr>
            <w:tcW w:w="294" w:type="pct"/>
            <w:shd w:val="clear" w:color="auto" w:fill="auto"/>
            <w:vAlign w:val="center"/>
          </w:tcPr>
          <w:p w14:paraId="7A3AF9A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71D30EC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26F5066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7862872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727930B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2021南通市公路事业发展中心数据中心改造及服务项目 采购编号:  Z320601210236(ZB064)</w:t>
            </w:r>
          </w:p>
        </w:tc>
      </w:tr>
      <w:tr w14:paraId="01A6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shd w:val="clear" w:color="auto" w:fill="auto"/>
            <w:vAlign w:val="center"/>
          </w:tcPr>
          <w:p w14:paraId="5E0179A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22</w:t>
            </w:r>
          </w:p>
        </w:tc>
        <w:tc>
          <w:tcPr>
            <w:tcW w:w="793" w:type="pct"/>
            <w:shd w:val="clear" w:color="auto" w:fill="auto"/>
            <w:vAlign w:val="center"/>
          </w:tcPr>
          <w:p w14:paraId="7017C45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内网虚拟化</w:t>
            </w:r>
          </w:p>
        </w:tc>
        <w:tc>
          <w:tcPr>
            <w:tcW w:w="294" w:type="pct"/>
            <w:shd w:val="clear" w:color="auto" w:fill="auto"/>
            <w:vAlign w:val="center"/>
          </w:tcPr>
          <w:p w14:paraId="7BCD9A9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269" w:type="pct"/>
            <w:shd w:val="clear" w:color="auto" w:fill="auto"/>
            <w:vAlign w:val="center"/>
          </w:tcPr>
          <w:p w14:paraId="462CCDC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0E893CC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7B33DB5B">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51CFF8C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2017年南通市公路管理处虚拟化改造升级项目 </w:t>
            </w:r>
          </w:p>
          <w:p w14:paraId="04C2B6F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项目编号：2017XJ4022</w:t>
            </w:r>
          </w:p>
        </w:tc>
      </w:tr>
      <w:tr w14:paraId="6658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86" w:type="pct"/>
            <w:shd w:val="clear" w:color="auto" w:fill="auto"/>
            <w:vAlign w:val="center"/>
          </w:tcPr>
          <w:p w14:paraId="0536C13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23</w:t>
            </w:r>
          </w:p>
        </w:tc>
        <w:tc>
          <w:tcPr>
            <w:tcW w:w="793" w:type="pct"/>
            <w:shd w:val="clear" w:color="auto" w:fill="auto"/>
            <w:vAlign w:val="center"/>
          </w:tcPr>
          <w:p w14:paraId="7203DF7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外网日志审计</w:t>
            </w:r>
          </w:p>
        </w:tc>
        <w:tc>
          <w:tcPr>
            <w:tcW w:w="294" w:type="pct"/>
            <w:shd w:val="clear" w:color="auto" w:fill="auto"/>
            <w:vAlign w:val="center"/>
          </w:tcPr>
          <w:p w14:paraId="7131296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05C5C8EC">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60CB634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5E4110A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1A3F2573">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2019年南通市公路管理处网络安全采购项目  </w:t>
            </w:r>
          </w:p>
        </w:tc>
      </w:tr>
      <w:tr w14:paraId="7C16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86" w:type="pct"/>
            <w:shd w:val="clear" w:color="auto" w:fill="auto"/>
            <w:vAlign w:val="center"/>
          </w:tcPr>
          <w:p w14:paraId="78DB571D">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24</w:t>
            </w:r>
          </w:p>
        </w:tc>
        <w:tc>
          <w:tcPr>
            <w:tcW w:w="793" w:type="pct"/>
            <w:shd w:val="clear" w:color="auto" w:fill="auto"/>
            <w:vAlign w:val="center"/>
          </w:tcPr>
          <w:p w14:paraId="37DB194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零信任</w:t>
            </w:r>
          </w:p>
        </w:tc>
        <w:tc>
          <w:tcPr>
            <w:tcW w:w="294" w:type="pct"/>
            <w:shd w:val="clear" w:color="auto" w:fill="auto"/>
            <w:vAlign w:val="center"/>
          </w:tcPr>
          <w:p w14:paraId="33908DD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69" w:type="pct"/>
            <w:shd w:val="clear" w:color="auto" w:fill="auto"/>
            <w:vAlign w:val="center"/>
          </w:tcPr>
          <w:p w14:paraId="76DBE28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5EAED6C9">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19451526">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78BAC9A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2021年南通公路零信任安全架构体系应用研究</w:t>
            </w:r>
          </w:p>
        </w:tc>
      </w:tr>
      <w:tr w14:paraId="4E0A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86" w:type="pct"/>
            <w:shd w:val="clear" w:color="auto" w:fill="auto"/>
            <w:vAlign w:val="center"/>
          </w:tcPr>
          <w:p w14:paraId="3AB9D755">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25</w:t>
            </w:r>
          </w:p>
        </w:tc>
        <w:tc>
          <w:tcPr>
            <w:tcW w:w="793" w:type="pct"/>
            <w:shd w:val="clear" w:color="auto" w:fill="auto"/>
            <w:vAlign w:val="center"/>
          </w:tcPr>
          <w:p w14:paraId="2230F478">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态势感知平台</w:t>
            </w:r>
          </w:p>
        </w:tc>
        <w:tc>
          <w:tcPr>
            <w:tcW w:w="294" w:type="pct"/>
            <w:shd w:val="clear" w:color="auto" w:fill="auto"/>
            <w:vAlign w:val="center"/>
          </w:tcPr>
          <w:p w14:paraId="1974E507">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69" w:type="pct"/>
            <w:shd w:val="clear" w:color="auto" w:fill="auto"/>
            <w:vAlign w:val="center"/>
          </w:tcPr>
          <w:p w14:paraId="607D5F0F">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769" w:type="pct"/>
            <w:shd w:val="clear" w:color="auto" w:fill="auto"/>
            <w:vAlign w:val="center"/>
          </w:tcPr>
          <w:p w14:paraId="0DEB7B5E">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每月巡检一次</w:t>
            </w:r>
          </w:p>
        </w:tc>
        <w:tc>
          <w:tcPr>
            <w:tcW w:w="1081" w:type="pct"/>
            <w:shd w:val="clear" w:color="auto" w:fill="auto"/>
            <w:vAlign w:val="center"/>
          </w:tcPr>
          <w:p w14:paraId="222D3882">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2026年1月1日至2026年12月31日</w:t>
            </w:r>
          </w:p>
        </w:tc>
        <w:tc>
          <w:tcPr>
            <w:tcW w:w="1504" w:type="pct"/>
            <w:shd w:val="clear" w:color="auto" w:fill="auto"/>
            <w:vAlign w:val="center"/>
          </w:tcPr>
          <w:p w14:paraId="5F8E4F61">
            <w:pPr>
              <w:snapToGrid w:val="0"/>
              <w:ind w:left="0" w:leftChars="0" w:right="0" w:righ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2020年南通市公路事业发展中心专网安全改造项目项目采购编号:  Z320601200442(XJ143)</w:t>
            </w:r>
          </w:p>
        </w:tc>
      </w:tr>
    </w:tbl>
    <w:p w14:paraId="65CC5A8D">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（二）网络安全运维服务内容及要求</w:t>
      </w:r>
    </w:p>
    <w:p w14:paraId="2999EF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网络安全</w:t>
      </w:r>
      <w:r>
        <w:rPr>
          <w:rFonts w:hint="eastAsia" w:ascii="宋体" w:hAnsi="宋体" w:eastAsia="宋体" w:cs="宋体"/>
          <w:sz w:val="24"/>
          <w:szCs w:val="24"/>
          <w:highlight w:val="none"/>
          <w:lang w:val="en-US" w:eastAsia="zh-CN"/>
        </w:rPr>
        <w:t>运维</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en-US" w:eastAsia="zh-CN"/>
        </w:rPr>
        <w:t>内容，详见表2。</w:t>
      </w:r>
    </w:p>
    <w:p w14:paraId="66C92B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表2</w:t>
      </w:r>
    </w:p>
    <w:tbl>
      <w:tblPr>
        <w:tblStyle w:val="20"/>
        <w:tblW w:w="890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7"/>
        <w:gridCol w:w="1542"/>
        <w:gridCol w:w="5965"/>
        <w:gridCol w:w="1001"/>
      </w:tblGrid>
      <w:tr w14:paraId="17F4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397" w:type="dxa"/>
            <w:tcBorders>
              <w:top w:val="single" w:color="auto" w:sz="4" w:space="0"/>
              <w:left w:val="single" w:color="auto" w:sz="4" w:space="0"/>
              <w:bottom w:val="single" w:color="auto" w:sz="4" w:space="0"/>
              <w:right w:val="single" w:color="auto" w:sz="4" w:space="0"/>
            </w:tcBorders>
            <w:vAlign w:val="center"/>
          </w:tcPr>
          <w:p w14:paraId="0351B66B">
            <w:pPr>
              <w:jc w:val="center"/>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序号</w:t>
            </w:r>
          </w:p>
        </w:tc>
        <w:tc>
          <w:tcPr>
            <w:tcW w:w="1542" w:type="dxa"/>
            <w:vAlign w:val="center"/>
          </w:tcPr>
          <w:p w14:paraId="7187FC30">
            <w:pPr>
              <w:jc w:val="center"/>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服务名称</w:t>
            </w:r>
          </w:p>
        </w:tc>
        <w:tc>
          <w:tcPr>
            <w:tcW w:w="5965" w:type="dxa"/>
            <w:vAlign w:val="center"/>
          </w:tcPr>
          <w:p w14:paraId="519A6A3E">
            <w:pPr>
              <w:jc w:val="center"/>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服务内容</w:t>
            </w:r>
          </w:p>
        </w:tc>
        <w:tc>
          <w:tcPr>
            <w:tcW w:w="1001" w:type="dxa"/>
            <w:vAlign w:val="center"/>
          </w:tcPr>
          <w:p w14:paraId="44765579">
            <w:pPr>
              <w:jc w:val="center"/>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服务频率</w:t>
            </w:r>
          </w:p>
        </w:tc>
      </w:tr>
      <w:tr w14:paraId="52F1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trPr>
        <w:tc>
          <w:tcPr>
            <w:tcW w:w="397" w:type="dxa"/>
            <w:tcBorders>
              <w:top w:val="single" w:color="auto" w:sz="4" w:space="0"/>
              <w:left w:val="single" w:color="auto" w:sz="4" w:space="0"/>
              <w:bottom w:val="single" w:color="auto" w:sz="4" w:space="0"/>
              <w:right w:val="single" w:color="auto" w:sz="4" w:space="0"/>
            </w:tcBorders>
            <w:vAlign w:val="center"/>
          </w:tcPr>
          <w:p w14:paraId="15BD4B1E">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w:t>
            </w:r>
          </w:p>
        </w:tc>
        <w:tc>
          <w:tcPr>
            <w:tcW w:w="1542" w:type="dxa"/>
            <w:vAlign w:val="center"/>
          </w:tcPr>
          <w:p w14:paraId="3FACCFDA">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主机漏洞/弱口令扫描服务</w:t>
            </w:r>
          </w:p>
        </w:tc>
        <w:tc>
          <w:tcPr>
            <w:tcW w:w="5965" w:type="dxa"/>
            <w:vAlign w:val="center"/>
          </w:tcPr>
          <w:p w14:paraId="1B042709">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对所有主机、网络设备、操作系统、数据库、中间件等进行常态化的漏洞与弱口令扫描，提供漏洞、弱口令扫描结果与整改建议</w:t>
            </w:r>
          </w:p>
        </w:tc>
        <w:tc>
          <w:tcPr>
            <w:tcW w:w="1001" w:type="dxa"/>
            <w:vAlign w:val="center"/>
          </w:tcPr>
          <w:p w14:paraId="6251C194">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每季度按需</w:t>
            </w:r>
          </w:p>
        </w:tc>
      </w:tr>
      <w:tr w14:paraId="422B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397" w:type="dxa"/>
            <w:tcBorders>
              <w:top w:val="single" w:color="auto" w:sz="4" w:space="0"/>
              <w:left w:val="single" w:color="auto" w:sz="4" w:space="0"/>
              <w:bottom w:val="single" w:color="auto" w:sz="4" w:space="0"/>
              <w:right w:val="single" w:color="auto" w:sz="4" w:space="0"/>
            </w:tcBorders>
            <w:vAlign w:val="center"/>
          </w:tcPr>
          <w:p w14:paraId="68CF13F3">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w:t>
            </w:r>
          </w:p>
        </w:tc>
        <w:tc>
          <w:tcPr>
            <w:tcW w:w="1542" w:type="dxa"/>
            <w:vAlign w:val="center"/>
          </w:tcPr>
          <w:p w14:paraId="29284CE6">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应急演练</w:t>
            </w:r>
          </w:p>
        </w:tc>
        <w:tc>
          <w:tcPr>
            <w:tcW w:w="5965" w:type="dxa"/>
            <w:vAlign w:val="center"/>
          </w:tcPr>
          <w:p w14:paraId="530D6169">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每年按需提供网络安全应急演练服务，可选“网页挂马、网页篡改、勒索病毒、邮件钓鱼”等多类安全事件的应急演练</w:t>
            </w:r>
          </w:p>
        </w:tc>
        <w:tc>
          <w:tcPr>
            <w:tcW w:w="1001" w:type="dxa"/>
            <w:vAlign w:val="center"/>
          </w:tcPr>
          <w:p w14:paraId="75759A2D">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1次/年(按需)</w:t>
            </w:r>
          </w:p>
        </w:tc>
      </w:tr>
      <w:tr w14:paraId="1F1E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trPr>
        <w:tc>
          <w:tcPr>
            <w:tcW w:w="397" w:type="dxa"/>
            <w:tcBorders>
              <w:top w:val="single" w:color="auto" w:sz="4" w:space="0"/>
              <w:left w:val="single" w:color="auto" w:sz="4" w:space="0"/>
              <w:bottom w:val="single" w:color="auto" w:sz="4" w:space="0"/>
              <w:right w:val="single" w:color="auto" w:sz="4" w:space="0"/>
            </w:tcBorders>
            <w:vAlign w:val="center"/>
          </w:tcPr>
          <w:p w14:paraId="2784D3E5">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3</w:t>
            </w:r>
          </w:p>
        </w:tc>
        <w:tc>
          <w:tcPr>
            <w:tcW w:w="1542" w:type="dxa"/>
            <w:vAlign w:val="center"/>
          </w:tcPr>
          <w:p w14:paraId="5A6AF6B2">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内网主机资产测绘与梳理服务</w:t>
            </w:r>
          </w:p>
        </w:tc>
        <w:tc>
          <w:tcPr>
            <w:tcW w:w="5965" w:type="dxa"/>
            <w:vAlign w:val="center"/>
          </w:tcPr>
          <w:p w14:paraId="5F8D22BE">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探测存活的内网资产，包括服务器、终端、网络设备、摄像头等，跟踪资产变更趋势，形成可动态维护的资产台账</w:t>
            </w:r>
          </w:p>
        </w:tc>
        <w:tc>
          <w:tcPr>
            <w:tcW w:w="1001" w:type="dxa"/>
            <w:vAlign w:val="center"/>
          </w:tcPr>
          <w:p w14:paraId="279AF136">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1次/年(按需)</w:t>
            </w:r>
          </w:p>
        </w:tc>
      </w:tr>
      <w:tr w14:paraId="3A8F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8" w:hRule="atLeast"/>
        </w:trPr>
        <w:tc>
          <w:tcPr>
            <w:tcW w:w="397" w:type="dxa"/>
            <w:tcBorders>
              <w:top w:val="single" w:color="auto" w:sz="4" w:space="0"/>
              <w:left w:val="single" w:color="auto" w:sz="4" w:space="0"/>
              <w:bottom w:val="single" w:color="auto" w:sz="4" w:space="0"/>
              <w:right w:val="single" w:color="auto" w:sz="4" w:space="0"/>
            </w:tcBorders>
            <w:vAlign w:val="center"/>
          </w:tcPr>
          <w:p w14:paraId="7A6C4029">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4</w:t>
            </w:r>
          </w:p>
        </w:tc>
        <w:tc>
          <w:tcPr>
            <w:tcW w:w="1542" w:type="dxa"/>
            <w:vAlign w:val="center"/>
          </w:tcPr>
          <w:p w14:paraId="0D8C1E67">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安全培训</w:t>
            </w:r>
          </w:p>
        </w:tc>
        <w:tc>
          <w:tcPr>
            <w:tcW w:w="5965" w:type="dxa"/>
            <w:vAlign w:val="center"/>
          </w:tcPr>
          <w:p w14:paraId="21A08898">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对技术人员、一般员工、管理人员进行周期性的安全意识、安全技术、安全管理等内容进行选择性培训，加强整体的安全水平</w:t>
            </w:r>
          </w:p>
        </w:tc>
        <w:tc>
          <w:tcPr>
            <w:tcW w:w="1001" w:type="dxa"/>
            <w:vAlign w:val="center"/>
          </w:tcPr>
          <w:p w14:paraId="49128C04">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1次/年(按需)</w:t>
            </w:r>
          </w:p>
        </w:tc>
      </w:tr>
      <w:tr w14:paraId="43E8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397" w:type="dxa"/>
            <w:tcBorders>
              <w:top w:val="single" w:color="auto" w:sz="4" w:space="0"/>
              <w:left w:val="single" w:color="auto" w:sz="4" w:space="0"/>
              <w:bottom w:val="single" w:color="auto" w:sz="4" w:space="0"/>
              <w:right w:val="single" w:color="auto" w:sz="4" w:space="0"/>
            </w:tcBorders>
            <w:vAlign w:val="center"/>
          </w:tcPr>
          <w:p w14:paraId="1FEB8200">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5</w:t>
            </w:r>
          </w:p>
        </w:tc>
        <w:tc>
          <w:tcPr>
            <w:tcW w:w="1542" w:type="dxa"/>
            <w:vAlign w:val="center"/>
          </w:tcPr>
          <w:p w14:paraId="16B23661">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漏洞加固指导服务</w:t>
            </w:r>
          </w:p>
        </w:tc>
        <w:tc>
          <w:tcPr>
            <w:tcW w:w="5965" w:type="dxa"/>
            <w:vAlign w:val="center"/>
          </w:tcPr>
          <w:p w14:paraId="6691B38F">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基于攻防视角评估资产漏洞风险，识别可实际产生风险的漏洞，提供漏洞修复的优先级建议，减少漏洞整改工作量</w:t>
            </w:r>
          </w:p>
        </w:tc>
        <w:tc>
          <w:tcPr>
            <w:tcW w:w="1001" w:type="dxa"/>
            <w:vAlign w:val="center"/>
          </w:tcPr>
          <w:p w14:paraId="7F181B3C">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每年按需</w:t>
            </w:r>
          </w:p>
        </w:tc>
      </w:tr>
      <w:tr w14:paraId="4A89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3" w:hRule="atLeast"/>
        </w:trPr>
        <w:tc>
          <w:tcPr>
            <w:tcW w:w="397" w:type="dxa"/>
            <w:tcBorders>
              <w:top w:val="single" w:color="auto" w:sz="4" w:space="0"/>
              <w:left w:val="single" w:color="auto" w:sz="4" w:space="0"/>
              <w:bottom w:val="single" w:color="auto" w:sz="4" w:space="0"/>
              <w:right w:val="single" w:color="auto" w:sz="4" w:space="0"/>
            </w:tcBorders>
            <w:vAlign w:val="center"/>
          </w:tcPr>
          <w:p w14:paraId="7A3DCA59">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6</w:t>
            </w:r>
          </w:p>
        </w:tc>
        <w:tc>
          <w:tcPr>
            <w:tcW w:w="1542" w:type="dxa"/>
            <w:vAlign w:val="center"/>
          </w:tcPr>
          <w:p w14:paraId="7CFF2455">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整体安全咨询服务</w:t>
            </w:r>
          </w:p>
        </w:tc>
        <w:tc>
          <w:tcPr>
            <w:tcW w:w="5965" w:type="dxa"/>
            <w:vAlign w:val="center"/>
          </w:tcPr>
          <w:p w14:paraId="7A3F4599">
            <w:pPr>
              <w:jc w:val="center"/>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依据国家/国际信息安全标准、信息安全策略及行业发展动态，在对用户信息安全现状进行风险评估、差距分析的基础上，从安全技术、安全管理、安全运营三个角度构建短期、中期与长期的信息安全规划，将信息安全的单点风险控制转变为全面的安全规划，进而推动有效的信息安全建设并建立完整的信息安全保障体系</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协助梳理</w:t>
            </w:r>
            <w:r>
              <w:rPr>
                <w:rFonts w:hint="eastAsia" w:ascii="宋体" w:hAnsi="宋体" w:eastAsia="宋体" w:cs="宋体"/>
                <w:sz w:val="24"/>
                <w:szCs w:val="24"/>
                <w:highlight w:val="none"/>
                <w:u w:val="none"/>
                <w:lang w:val="en-US" w:eastAsia="zh-CN"/>
              </w:rPr>
              <w:t>完善</w:t>
            </w:r>
            <w:r>
              <w:rPr>
                <w:rFonts w:hint="eastAsia" w:ascii="宋体" w:hAnsi="宋体" w:eastAsia="宋体" w:cs="宋体"/>
                <w:sz w:val="24"/>
                <w:szCs w:val="24"/>
                <w:highlight w:val="none"/>
                <w:u w:val="none"/>
              </w:rPr>
              <w:t>现有信息安全管理制度</w:t>
            </w:r>
            <w:r>
              <w:rPr>
                <w:rFonts w:hint="eastAsia" w:ascii="宋体" w:hAnsi="宋体" w:eastAsia="宋体" w:cs="宋体"/>
                <w:sz w:val="24"/>
                <w:szCs w:val="24"/>
                <w:highlight w:val="none"/>
                <w:u w:val="none"/>
                <w:lang w:eastAsia="zh-CN"/>
              </w:rPr>
              <w:t>。</w:t>
            </w:r>
          </w:p>
        </w:tc>
        <w:tc>
          <w:tcPr>
            <w:tcW w:w="1001" w:type="dxa"/>
            <w:vAlign w:val="center"/>
          </w:tcPr>
          <w:p w14:paraId="62553773">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每年按需</w:t>
            </w:r>
          </w:p>
        </w:tc>
      </w:tr>
      <w:tr w14:paraId="4089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397" w:type="dxa"/>
            <w:tcBorders>
              <w:top w:val="single" w:color="auto" w:sz="4" w:space="0"/>
              <w:left w:val="single" w:color="auto" w:sz="4" w:space="0"/>
              <w:bottom w:val="single" w:color="auto" w:sz="4" w:space="0"/>
              <w:right w:val="single" w:color="auto" w:sz="4" w:space="0"/>
            </w:tcBorders>
            <w:vAlign w:val="center"/>
          </w:tcPr>
          <w:p w14:paraId="3931358A">
            <w:pPr>
              <w:jc w:val="center"/>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7</w:t>
            </w:r>
          </w:p>
        </w:tc>
        <w:tc>
          <w:tcPr>
            <w:tcW w:w="1542" w:type="dxa"/>
            <w:vAlign w:val="center"/>
          </w:tcPr>
          <w:p w14:paraId="57DF32FA">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重保值守服务</w:t>
            </w:r>
          </w:p>
        </w:tc>
        <w:tc>
          <w:tcPr>
            <w:tcW w:w="5965" w:type="dxa"/>
            <w:vAlign w:val="center"/>
          </w:tcPr>
          <w:p w14:paraId="413E8C16">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重点时期、节日提供专业团队技术、设备的保障</w:t>
            </w:r>
          </w:p>
        </w:tc>
        <w:tc>
          <w:tcPr>
            <w:tcW w:w="1001" w:type="dxa"/>
            <w:vAlign w:val="center"/>
          </w:tcPr>
          <w:p w14:paraId="37679FEF">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每年按需</w:t>
            </w:r>
          </w:p>
        </w:tc>
      </w:tr>
      <w:tr w14:paraId="0C65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397" w:type="dxa"/>
            <w:tcBorders>
              <w:top w:val="single" w:color="auto" w:sz="4" w:space="0"/>
              <w:left w:val="single" w:color="auto" w:sz="4" w:space="0"/>
              <w:bottom w:val="single" w:color="auto" w:sz="4" w:space="0"/>
              <w:right w:val="single" w:color="auto" w:sz="4" w:space="0"/>
            </w:tcBorders>
            <w:vAlign w:val="center"/>
          </w:tcPr>
          <w:p w14:paraId="3F8B7548">
            <w:pPr>
              <w:jc w:val="center"/>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8</w:t>
            </w:r>
          </w:p>
        </w:tc>
        <w:tc>
          <w:tcPr>
            <w:tcW w:w="1542" w:type="dxa"/>
            <w:vAlign w:val="center"/>
          </w:tcPr>
          <w:p w14:paraId="4ADFC4C8">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设备安全巡检</w:t>
            </w:r>
          </w:p>
        </w:tc>
        <w:tc>
          <w:tcPr>
            <w:tcW w:w="5965" w:type="dxa"/>
            <w:vAlign w:val="center"/>
          </w:tcPr>
          <w:p w14:paraId="3230261D">
            <w:pPr>
              <w:jc w:val="center"/>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建设信息安全巡检机制，同时对巡检情况出具专业的巡检报告</w:t>
            </w:r>
          </w:p>
        </w:tc>
        <w:tc>
          <w:tcPr>
            <w:tcW w:w="1001" w:type="dxa"/>
            <w:vAlign w:val="center"/>
          </w:tcPr>
          <w:p w14:paraId="35BF1BDE">
            <w:pPr>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1次/月</w:t>
            </w:r>
          </w:p>
        </w:tc>
      </w:tr>
    </w:tbl>
    <w:p w14:paraId="0B8F12D3">
      <w:pPr>
        <w:keepNext w:val="0"/>
        <w:keepLines w:val="0"/>
        <w:pageBreakBefore w:val="0"/>
        <w:widowControl w:val="0"/>
        <w:numPr>
          <w:ilvl w:val="255"/>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2、网络安全运维服务要求</w:t>
      </w:r>
    </w:p>
    <w:p w14:paraId="59A017C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提供项目咨询、新增互联网暴露面管理、WEB站点安全监测、漏洞加固辅助、事件告警通告、数据安全咨询、管理体系建设服务等。</w:t>
      </w:r>
    </w:p>
    <w:p w14:paraId="39E0C7F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提供安全上网dns防护和上网管控服务，防止用户中毒后私联僵尸主机。</w:t>
      </w:r>
    </w:p>
    <w:tbl>
      <w:tblPr>
        <w:tblStyle w:val="20"/>
        <w:tblpPr w:leftFromText="180" w:rightFromText="180" w:vertAnchor="text" w:tblpX="14395" w:tblpY="13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tblGrid>
      <w:tr w14:paraId="3373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511" w:type="dxa"/>
          </w:tcPr>
          <w:p w14:paraId="41C2A59B">
            <w:pPr>
              <w:keepNext w:val="0"/>
              <w:keepLines w:val="0"/>
              <w:pageBreakBefore w:val="0"/>
              <w:widowControl w:val="0"/>
              <w:numPr>
                <w:ilvl w:val="255"/>
                <w:numId w:val="0"/>
              </w:numPr>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p>
        </w:tc>
      </w:tr>
    </w:tbl>
    <w:p w14:paraId="1519E0F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巡检要求：对市中心防火墙、探针、内外网应用服务器等设备做好月度安全扫描巡检并出具《巡检报告》。巡检清单详见</w:t>
      </w:r>
      <w:r>
        <w:rPr>
          <w:rFonts w:hint="eastAsia" w:ascii="宋体" w:hAnsi="宋体" w:eastAsia="宋体" w:cs="宋体"/>
          <w:sz w:val="24"/>
          <w:szCs w:val="24"/>
          <w:highlight w:val="none"/>
          <w:lang w:val="en-US" w:eastAsia="zh-CN"/>
        </w:rPr>
        <w:t>表1</w:t>
      </w:r>
      <w:r>
        <w:rPr>
          <w:rFonts w:hint="eastAsia" w:ascii="宋体" w:hAnsi="宋体" w:eastAsia="宋体" w:cs="宋体"/>
          <w:sz w:val="24"/>
          <w:szCs w:val="24"/>
          <w:highlight w:val="none"/>
        </w:rPr>
        <w:t>。</w:t>
      </w:r>
    </w:p>
    <w:p w14:paraId="21A57B5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提供市中心及8个分中心7×24小时应急响应服务；每年不少于1次网络安全方面的应急演练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每年不少于1次市中心及8个分中心硬件方面的资产梳理；每年不少于1次网络安全技术培训服务。</w:t>
      </w:r>
    </w:p>
    <w:p w14:paraId="3B610E60">
      <w:pPr>
        <w:snapToGrid w:val="0"/>
        <w:spacing w:line="360" w:lineRule="auto"/>
        <w:ind w:firstLine="480" w:firstLineChars="200"/>
        <w:contextualSpacing/>
        <w:rPr>
          <w:rFonts w:hint="eastAsia" w:ascii="宋体" w:cs="宋体"/>
          <w:sz w:val="24"/>
          <w:szCs w:val="24"/>
        </w:rPr>
      </w:pPr>
      <w:r>
        <w:rPr>
          <w:rFonts w:hint="eastAsia" w:ascii="宋体" w:hAnsi="宋体" w:eastAsia="宋体" w:cs="宋体"/>
          <w:sz w:val="24"/>
          <w:szCs w:val="24"/>
          <w:highlight w:val="none"/>
          <w:lang w:val="en-US" w:eastAsia="zh-CN"/>
        </w:rPr>
        <w:t>（5）2026年</w:t>
      </w:r>
      <w:r>
        <w:rPr>
          <w:rFonts w:hint="eastAsia" w:ascii="宋体" w:hAnsi="宋体" w:eastAsia="宋体" w:cs="宋体"/>
          <w:sz w:val="24"/>
          <w:szCs w:val="24"/>
          <w:highlight w:val="none"/>
        </w:rPr>
        <w:t>12月31 日前，完成当年度服务报告，报告内容包括全年安全运维服务内容和基础环境运维服务内容的汇总和改进优化建议。</w:t>
      </w:r>
    </w:p>
    <w:p w14:paraId="04B72CAB">
      <w:pPr>
        <w:spacing w:line="360" w:lineRule="auto"/>
        <w:ind w:firstLine="480" w:firstLineChars="200"/>
        <w:rPr>
          <w:rFonts w:hint="eastAsia" w:ascii="宋体" w:hAnsi="宋体" w:cs="宋体"/>
          <w:sz w:val="24"/>
          <w:szCs w:val="24"/>
        </w:rPr>
      </w:pPr>
      <w:r>
        <w:rPr>
          <w:rFonts w:hint="eastAsia" w:ascii="宋体" w:hAnsi="宋体" w:cs="宋体"/>
          <w:sz w:val="24"/>
          <w:szCs w:val="24"/>
        </w:rPr>
        <w:t>2、下列文件应作为本合同的组成部分：</w:t>
      </w:r>
    </w:p>
    <w:p w14:paraId="11C24257">
      <w:pPr>
        <w:spacing w:line="360" w:lineRule="auto"/>
        <w:ind w:firstLine="480" w:firstLineChars="200"/>
        <w:rPr>
          <w:rFonts w:hint="eastAsia" w:ascii="宋体" w:hAnsi="宋体" w:cs="宋体"/>
          <w:sz w:val="24"/>
          <w:szCs w:val="24"/>
        </w:rPr>
      </w:pPr>
      <w:r>
        <w:rPr>
          <w:rFonts w:hint="eastAsia" w:ascii="宋体" w:hAnsi="宋体" w:cs="宋体"/>
          <w:sz w:val="24"/>
          <w:szCs w:val="24"/>
        </w:rPr>
        <w:t>（1）合同协议书及附件（含补遗书等澄清文件，如果有）；</w:t>
      </w:r>
    </w:p>
    <w:p w14:paraId="10C122E9">
      <w:pPr>
        <w:spacing w:line="360" w:lineRule="auto"/>
        <w:ind w:firstLine="480" w:firstLineChars="200"/>
        <w:rPr>
          <w:rFonts w:hint="eastAsia" w:ascii="宋体" w:hAnsi="宋体" w:cs="宋体"/>
          <w:sz w:val="24"/>
          <w:szCs w:val="24"/>
        </w:rPr>
      </w:pPr>
      <w:r>
        <w:rPr>
          <w:rFonts w:hint="eastAsia" w:ascii="宋体" w:hAnsi="宋体" w:cs="宋体"/>
          <w:sz w:val="24"/>
          <w:szCs w:val="24"/>
        </w:rPr>
        <w:t>（2）成交通知书；</w:t>
      </w:r>
    </w:p>
    <w:p w14:paraId="3B1422EB">
      <w:pPr>
        <w:spacing w:line="360" w:lineRule="auto"/>
        <w:ind w:firstLine="480" w:firstLineChars="200"/>
        <w:rPr>
          <w:rFonts w:hint="eastAsia" w:ascii="宋体" w:hAnsi="宋体" w:cs="宋体"/>
          <w:sz w:val="24"/>
          <w:szCs w:val="24"/>
        </w:rPr>
      </w:pPr>
      <w:r>
        <w:rPr>
          <w:rFonts w:hint="eastAsia" w:ascii="宋体" w:hAnsi="宋体" w:cs="宋体"/>
          <w:sz w:val="24"/>
          <w:szCs w:val="24"/>
        </w:rPr>
        <w:t>（3）竞争性</w:t>
      </w:r>
      <w:r>
        <w:rPr>
          <w:rFonts w:hint="eastAsia" w:ascii="宋体" w:hAnsi="宋体" w:cs="宋体"/>
          <w:sz w:val="24"/>
          <w:szCs w:val="24"/>
          <w:lang w:val="en-US" w:eastAsia="zh-CN"/>
        </w:rPr>
        <w:t>磋商</w:t>
      </w:r>
      <w:r>
        <w:rPr>
          <w:rFonts w:hint="eastAsia" w:ascii="宋体" w:hAnsi="宋体" w:cs="宋体"/>
          <w:sz w:val="24"/>
          <w:szCs w:val="24"/>
        </w:rPr>
        <w:t>响应文件；</w:t>
      </w:r>
    </w:p>
    <w:p w14:paraId="5D3EE2CA">
      <w:pPr>
        <w:spacing w:line="360" w:lineRule="auto"/>
        <w:ind w:firstLine="480" w:firstLineChars="200"/>
        <w:rPr>
          <w:rFonts w:hint="eastAsia" w:ascii="宋体" w:hAnsi="宋体" w:cs="宋体"/>
          <w:sz w:val="24"/>
          <w:szCs w:val="24"/>
        </w:rPr>
      </w:pPr>
      <w:r>
        <w:rPr>
          <w:rFonts w:hint="eastAsia" w:ascii="宋体" w:hAnsi="宋体" w:cs="宋体"/>
          <w:sz w:val="24"/>
          <w:szCs w:val="24"/>
        </w:rPr>
        <w:t>（4）合同条款；</w:t>
      </w:r>
    </w:p>
    <w:p w14:paraId="1760169D">
      <w:pPr>
        <w:spacing w:line="360" w:lineRule="auto"/>
        <w:ind w:firstLine="480" w:firstLineChars="200"/>
        <w:rPr>
          <w:rFonts w:hint="eastAsia" w:ascii="宋体" w:hAnsi="宋体" w:cs="宋体"/>
          <w:sz w:val="24"/>
          <w:szCs w:val="24"/>
        </w:rPr>
      </w:pPr>
      <w:r>
        <w:rPr>
          <w:rFonts w:hint="eastAsia" w:ascii="宋体" w:hAnsi="宋体" w:cs="宋体"/>
          <w:sz w:val="24"/>
          <w:szCs w:val="24"/>
        </w:rPr>
        <w:t>（5）项目需求；</w:t>
      </w:r>
    </w:p>
    <w:p w14:paraId="65299347">
      <w:pPr>
        <w:spacing w:line="360" w:lineRule="auto"/>
        <w:ind w:firstLine="480" w:firstLineChars="200"/>
        <w:rPr>
          <w:rFonts w:hint="eastAsia"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磋商</w:t>
      </w:r>
      <w:r>
        <w:rPr>
          <w:rFonts w:hint="eastAsia" w:ascii="宋体" w:hAnsi="宋体" w:cs="宋体"/>
          <w:sz w:val="24"/>
          <w:szCs w:val="24"/>
        </w:rPr>
        <w:t>响应报价清单；</w:t>
      </w:r>
    </w:p>
    <w:p w14:paraId="2DB30D2A">
      <w:pPr>
        <w:spacing w:line="360" w:lineRule="auto"/>
        <w:ind w:firstLine="480" w:firstLineChars="200"/>
        <w:rPr>
          <w:rFonts w:hint="eastAsia" w:ascii="宋体" w:hAnsi="宋体" w:cs="宋体"/>
          <w:sz w:val="24"/>
          <w:szCs w:val="24"/>
        </w:rPr>
      </w:pPr>
      <w:r>
        <w:rPr>
          <w:rFonts w:hint="eastAsia" w:ascii="宋体" w:hAnsi="宋体" w:cs="宋体"/>
          <w:sz w:val="24"/>
          <w:szCs w:val="24"/>
        </w:rPr>
        <w:t>（7）项目主要参与人员的基本情况；</w:t>
      </w:r>
    </w:p>
    <w:p w14:paraId="1290D7B3">
      <w:pPr>
        <w:spacing w:line="360" w:lineRule="auto"/>
        <w:ind w:firstLine="480" w:firstLineChars="200"/>
        <w:rPr>
          <w:rFonts w:hint="eastAsia" w:ascii="宋体" w:hAnsi="宋体" w:cs="宋体"/>
          <w:sz w:val="24"/>
          <w:szCs w:val="24"/>
        </w:rPr>
      </w:pPr>
      <w:r>
        <w:rPr>
          <w:rFonts w:hint="eastAsia" w:ascii="宋体" w:hAnsi="宋体" w:cs="宋体"/>
          <w:sz w:val="24"/>
          <w:szCs w:val="24"/>
        </w:rPr>
        <w:t>（8）构成合同的其它文件。</w:t>
      </w:r>
    </w:p>
    <w:p w14:paraId="188788B7">
      <w:pPr>
        <w:spacing w:line="360" w:lineRule="auto"/>
        <w:ind w:firstLine="480" w:firstLineChars="200"/>
        <w:rPr>
          <w:rFonts w:hint="eastAsia" w:ascii="宋体" w:hAnsi="宋体" w:cs="宋体"/>
          <w:sz w:val="24"/>
          <w:szCs w:val="24"/>
        </w:rPr>
      </w:pPr>
      <w:r>
        <w:rPr>
          <w:rFonts w:hint="eastAsia" w:ascii="宋体" w:hAnsi="宋体" w:cs="宋体"/>
          <w:sz w:val="24"/>
          <w:szCs w:val="24"/>
        </w:rPr>
        <w:t>上述文件应认为是互为补充和解释的，但如有不明确或不一致之处，以上面所列顺序在前者为准。</w:t>
      </w:r>
    </w:p>
    <w:p w14:paraId="552BDC19">
      <w:pPr>
        <w:spacing w:line="360" w:lineRule="auto"/>
        <w:ind w:firstLine="480" w:firstLineChars="200"/>
        <w:rPr>
          <w:rFonts w:hint="eastAsia" w:ascii="宋体" w:hAnsi="宋体" w:cs="宋体"/>
          <w:sz w:val="24"/>
          <w:szCs w:val="24"/>
        </w:rPr>
      </w:pPr>
      <w:r>
        <w:rPr>
          <w:rFonts w:hint="eastAsia" w:ascii="宋体" w:hAnsi="宋体" w:cs="宋体"/>
          <w:sz w:val="24"/>
          <w:szCs w:val="24"/>
        </w:rPr>
        <w:t>3、服务周期：服务期为12个月。2026年1月底前，对市公路中心(包含下属8个分中心)的外网出口防火墙、内网防火墙、服务器区防火墙、中心无线防火墙XDR、探针、中心终端 EDR 完成软硬件维保服务授权，安全接入服务授权工作。</w:t>
      </w:r>
    </w:p>
    <w:p w14:paraId="43D19A1E">
      <w:pPr>
        <w:spacing w:line="360" w:lineRule="auto"/>
        <w:ind w:firstLine="480" w:firstLineChars="200"/>
        <w:rPr>
          <w:rFonts w:hint="eastAsia" w:ascii="宋体" w:hAnsi="宋体" w:cs="宋体"/>
          <w:sz w:val="24"/>
          <w:szCs w:val="24"/>
        </w:rPr>
      </w:pPr>
      <w:r>
        <w:rPr>
          <w:rFonts w:hint="eastAsia" w:ascii="宋体" w:hAnsi="宋体" w:cs="宋体"/>
          <w:sz w:val="24"/>
          <w:szCs w:val="24"/>
        </w:rPr>
        <w:t>服务期满，完成当年度基础环境及安全运维服务工作，并提交当年度服务报告。</w:t>
      </w:r>
    </w:p>
    <w:p w14:paraId="36D1C849">
      <w:pPr>
        <w:spacing w:line="360" w:lineRule="auto"/>
        <w:ind w:firstLine="480" w:firstLineChars="200"/>
        <w:rPr>
          <w:rFonts w:hint="eastAsia" w:ascii="宋体" w:hAnsi="宋体" w:cs="宋体"/>
          <w:sz w:val="24"/>
          <w:szCs w:val="24"/>
        </w:rPr>
      </w:pPr>
      <w:r>
        <w:rPr>
          <w:rFonts w:hint="eastAsia" w:ascii="宋体" w:hAnsi="宋体" w:cs="宋体"/>
          <w:sz w:val="24"/>
          <w:szCs w:val="24"/>
        </w:rPr>
        <w:t>4、甲方和乙方双方的责任和义务及违约条款遵照合同条款的规定。</w:t>
      </w:r>
    </w:p>
    <w:p w14:paraId="1F3DA188">
      <w:pPr>
        <w:tabs>
          <w:tab w:val="left" w:pos="1800"/>
        </w:tabs>
        <w:spacing w:line="360" w:lineRule="auto"/>
        <w:ind w:firstLine="480" w:firstLineChars="200"/>
        <w:rPr>
          <w:rFonts w:hint="eastAsia" w:ascii="宋体" w:hAnsi="宋体" w:cs="宋体"/>
          <w:sz w:val="24"/>
          <w:szCs w:val="24"/>
        </w:rPr>
      </w:pPr>
      <w:r>
        <w:rPr>
          <w:rFonts w:hint="eastAsia" w:ascii="宋体" w:hAnsi="宋体" w:cs="宋体"/>
          <w:sz w:val="24"/>
          <w:szCs w:val="24"/>
        </w:rPr>
        <w:t>5、合同价格</w:t>
      </w:r>
    </w:p>
    <w:p w14:paraId="12662B46">
      <w:pPr>
        <w:tabs>
          <w:tab w:val="left" w:pos="1800"/>
        </w:tabs>
        <w:spacing w:line="360" w:lineRule="auto"/>
        <w:ind w:firstLine="480" w:firstLineChars="200"/>
        <w:rPr>
          <w:rFonts w:hint="eastAsia" w:ascii="宋体" w:hAnsi="宋体" w:cs="宋体"/>
          <w:sz w:val="24"/>
          <w:szCs w:val="24"/>
        </w:rPr>
      </w:pPr>
      <w:r>
        <w:rPr>
          <w:rFonts w:hint="eastAsia" w:ascii="宋体" w:hAnsi="宋体" w:cs="宋体"/>
          <w:sz w:val="24"/>
          <w:szCs w:val="24"/>
        </w:rPr>
        <w:t>本合同为总价合同，合同总价为人民币（大写）</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b/>
          <w:sz w:val="24"/>
          <w:szCs w:val="24"/>
        </w:rPr>
        <w:t>¥</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w:t>
      </w:r>
    </w:p>
    <w:p w14:paraId="0ECA8EAA">
      <w:pPr>
        <w:tabs>
          <w:tab w:val="left" w:pos="1800"/>
        </w:tabs>
        <w:spacing w:line="360" w:lineRule="auto"/>
        <w:ind w:firstLine="480" w:firstLineChars="200"/>
        <w:rPr>
          <w:rFonts w:hint="eastAsia" w:ascii="宋体" w:hAnsi="宋体" w:cs="宋体"/>
          <w:sz w:val="24"/>
          <w:szCs w:val="24"/>
        </w:rPr>
      </w:pPr>
      <w:r>
        <w:rPr>
          <w:rFonts w:hint="eastAsia" w:ascii="宋体" w:hAnsi="宋体" w:cs="宋体"/>
          <w:sz w:val="24"/>
          <w:szCs w:val="24"/>
        </w:rPr>
        <w:t>支付方式：签订合同15日内支付预付款为签约合同价的30%。2026年6月底前支付签约合同价的30%。服务期满且完成全部服务并通过验收后付清尾款。</w:t>
      </w:r>
    </w:p>
    <w:p w14:paraId="09EF8791">
      <w:pPr>
        <w:tabs>
          <w:tab w:val="left" w:pos="1800"/>
        </w:tabs>
        <w:spacing w:line="360" w:lineRule="auto"/>
        <w:ind w:firstLine="480" w:firstLineChars="200"/>
        <w:rPr>
          <w:rFonts w:hint="eastAsia" w:ascii="宋体" w:hAnsi="宋体" w:cs="宋体"/>
          <w:sz w:val="24"/>
          <w:szCs w:val="24"/>
        </w:rPr>
      </w:pPr>
      <w:r>
        <w:rPr>
          <w:rFonts w:hint="eastAsia" w:ascii="宋体" w:hAnsi="宋体" w:cs="宋体"/>
          <w:sz w:val="24"/>
          <w:szCs w:val="24"/>
        </w:rPr>
        <w:t>注：</w:t>
      </w:r>
    </w:p>
    <w:p w14:paraId="2B24FF1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）每次付款须按合同扣减违约金和赔偿款；</w:t>
      </w:r>
    </w:p>
    <w:p w14:paraId="39EF5699">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付款前供应商须提供等额合规发票及相关申请资料，否则采购人可以拒付；</w:t>
      </w:r>
    </w:p>
    <w:p w14:paraId="6B4FC23D">
      <w:pPr>
        <w:tabs>
          <w:tab w:val="left" w:pos="1800"/>
        </w:tabs>
        <w:spacing w:line="360" w:lineRule="auto"/>
        <w:ind w:firstLine="480" w:firstLineChars="200"/>
        <w:rPr>
          <w:rFonts w:hint="eastAsia" w:ascii="宋体" w:hAnsi="宋体" w:cs="宋体"/>
          <w:sz w:val="24"/>
          <w:szCs w:val="24"/>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所有付款均不计利息。</w:t>
      </w:r>
    </w:p>
    <w:p w14:paraId="6B7DBC94">
      <w:pPr>
        <w:tabs>
          <w:tab w:val="left" w:pos="1800"/>
        </w:tabs>
        <w:spacing w:line="360" w:lineRule="auto"/>
        <w:ind w:firstLine="480" w:firstLineChars="200"/>
        <w:rPr>
          <w:rFonts w:hint="eastAsia" w:ascii="宋体" w:hAnsi="宋体" w:cs="宋体"/>
          <w:sz w:val="24"/>
          <w:szCs w:val="24"/>
        </w:rPr>
      </w:pPr>
      <w:r>
        <w:rPr>
          <w:rFonts w:hint="eastAsia" w:ascii="宋体" w:hAnsi="宋体" w:cs="宋体"/>
          <w:sz w:val="24"/>
          <w:szCs w:val="24"/>
        </w:rPr>
        <w:t>6、乙方</w:t>
      </w:r>
      <w:r>
        <w:rPr>
          <w:rFonts w:ascii="Garamond" w:hAnsi="Garamond"/>
          <w:sz w:val="24"/>
          <w:szCs w:val="24"/>
        </w:rPr>
        <w:t>承诺按照本合同的规定履行技术服务</w:t>
      </w:r>
      <w:r>
        <w:rPr>
          <w:rFonts w:hint="eastAsia" w:ascii="Garamond" w:hAnsi="Garamond"/>
          <w:sz w:val="24"/>
          <w:szCs w:val="24"/>
        </w:rPr>
        <w:t>，</w:t>
      </w:r>
      <w:r>
        <w:rPr>
          <w:rFonts w:hint="eastAsia" w:ascii="宋体" w:hAnsi="宋体" w:cs="宋体"/>
          <w:sz w:val="24"/>
          <w:szCs w:val="24"/>
        </w:rPr>
        <w:t>投入本项目人员见本合同协议书附件。</w:t>
      </w:r>
    </w:p>
    <w:p w14:paraId="368ADE14">
      <w:pPr>
        <w:tabs>
          <w:tab w:val="left" w:pos="1800"/>
        </w:tabs>
        <w:spacing w:line="360" w:lineRule="auto"/>
        <w:ind w:firstLine="480" w:firstLineChars="200"/>
        <w:rPr>
          <w:rFonts w:hint="eastAsia" w:ascii="宋体" w:hAnsi="宋体" w:cs="宋体"/>
          <w:sz w:val="24"/>
          <w:szCs w:val="24"/>
        </w:rPr>
      </w:pPr>
      <w:r>
        <w:rPr>
          <w:rFonts w:hint="eastAsia" w:ascii="宋体" w:hAnsi="宋体" w:cs="宋体"/>
          <w:sz w:val="24"/>
          <w:szCs w:val="24"/>
        </w:rPr>
        <w:t>7、本合同协议书未尽事宜由双方协商解决。</w:t>
      </w:r>
    </w:p>
    <w:p w14:paraId="53BE9C0C">
      <w:pPr>
        <w:spacing w:line="360" w:lineRule="auto"/>
        <w:ind w:firstLine="480" w:firstLineChars="200"/>
        <w:rPr>
          <w:rFonts w:hint="eastAsia" w:ascii="宋体" w:hAnsi="宋体" w:cs="宋体"/>
          <w:sz w:val="24"/>
          <w:szCs w:val="24"/>
        </w:rPr>
      </w:pPr>
      <w:r>
        <w:rPr>
          <w:rFonts w:hint="eastAsia" w:ascii="宋体" w:hAnsi="宋体" w:cs="宋体"/>
          <w:sz w:val="24"/>
          <w:szCs w:val="24"/>
        </w:rPr>
        <w:t>8、本合同在履行过程中发生的争议，由双方当事人协商解决，协商不成的，按下列第（1）种方式解决：</w:t>
      </w:r>
    </w:p>
    <w:p w14:paraId="397F6F49">
      <w:pPr>
        <w:spacing w:line="360" w:lineRule="auto"/>
        <w:ind w:firstLine="480" w:firstLineChars="200"/>
        <w:rPr>
          <w:rFonts w:hint="eastAsia" w:ascii="宋体" w:hAnsi="宋体" w:cs="宋体"/>
          <w:sz w:val="24"/>
          <w:szCs w:val="24"/>
        </w:rPr>
      </w:pPr>
      <w:r>
        <w:rPr>
          <w:rFonts w:hint="eastAsia" w:ascii="宋体" w:hAnsi="宋体" w:cs="宋体"/>
          <w:sz w:val="24"/>
          <w:szCs w:val="24"/>
        </w:rPr>
        <w:t>（1）提交南通仲裁委员会仲裁；</w:t>
      </w:r>
    </w:p>
    <w:p w14:paraId="17319F28">
      <w:pPr>
        <w:spacing w:line="360" w:lineRule="auto"/>
        <w:ind w:firstLine="480" w:firstLineChars="200"/>
        <w:rPr>
          <w:rFonts w:hint="eastAsia" w:ascii="宋体" w:hAnsi="宋体" w:cs="宋体"/>
          <w:sz w:val="24"/>
          <w:szCs w:val="24"/>
        </w:rPr>
      </w:pPr>
      <w:r>
        <w:rPr>
          <w:rFonts w:hint="eastAsia" w:ascii="宋体" w:hAnsi="宋体" w:cs="宋体"/>
          <w:sz w:val="24"/>
          <w:szCs w:val="24"/>
        </w:rPr>
        <w:t>（2）依法向南通市人民法院起诉。</w:t>
      </w:r>
    </w:p>
    <w:p w14:paraId="01FFC110">
      <w:pPr>
        <w:spacing w:line="360" w:lineRule="auto"/>
        <w:ind w:firstLine="480" w:firstLineChars="200"/>
        <w:rPr>
          <w:rFonts w:hint="eastAsia" w:ascii="宋体" w:hAnsi="宋体" w:cs="宋体"/>
          <w:sz w:val="24"/>
          <w:szCs w:val="24"/>
        </w:rPr>
      </w:pPr>
      <w:r>
        <w:rPr>
          <w:rFonts w:hint="eastAsia" w:ascii="宋体" w:hAnsi="宋体" w:cs="宋体"/>
          <w:sz w:val="24"/>
          <w:szCs w:val="24"/>
        </w:rPr>
        <w:t>9、本协议书由双方法定代表人或其授权的代理人签字并加盖公章后生效。服务费用结清后</w:t>
      </w:r>
      <w:r>
        <w:rPr>
          <w:rFonts w:hint="eastAsia" w:ascii="宋体" w:hAnsi="宋体" w:cs="宋体"/>
          <w:sz w:val="24"/>
          <w:lang w:val="en-US" w:eastAsia="zh-CN"/>
        </w:rPr>
        <w:t>终止</w:t>
      </w:r>
      <w:r>
        <w:rPr>
          <w:rFonts w:hint="eastAsia" w:ascii="宋体" w:hAnsi="宋体" w:cs="宋体"/>
          <w:sz w:val="24"/>
          <w:szCs w:val="24"/>
        </w:rPr>
        <w:t>。</w:t>
      </w:r>
    </w:p>
    <w:p w14:paraId="4A0DC721">
      <w:pPr>
        <w:spacing w:line="360" w:lineRule="auto"/>
        <w:ind w:firstLine="480" w:firstLineChars="200"/>
        <w:rPr>
          <w:rFonts w:hint="eastAsia" w:ascii="宋体" w:hAnsi="宋体" w:cs="宋体"/>
          <w:sz w:val="24"/>
          <w:szCs w:val="24"/>
        </w:rPr>
      </w:pPr>
      <w:r>
        <w:rPr>
          <w:rFonts w:hint="eastAsia" w:ascii="宋体" w:hAnsi="宋体" w:cs="宋体"/>
          <w:sz w:val="24"/>
          <w:szCs w:val="24"/>
        </w:rPr>
        <w:t>10、本协议书一式</w:t>
      </w:r>
      <w:r>
        <w:rPr>
          <w:rFonts w:hint="eastAsia" w:ascii="宋体" w:hAnsi="宋体" w:cs="宋体"/>
          <w:sz w:val="24"/>
          <w:szCs w:val="24"/>
          <w:u w:val="single"/>
        </w:rPr>
        <w:t xml:space="preserve">    </w:t>
      </w:r>
      <w:r>
        <w:rPr>
          <w:rFonts w:hint="eastAsia" w:ascii="宋体" w:hAnsi="宋体" w:cs="宋体"/>
          <w:sz w:val="24"/>
          <w:szCs w:val="24"/>
        </w:rPr>
        <w:t xml:space="preserve">份，合同双方各执 </w:t>
      </w:r>
      <w:r>
        <w:rPr>
          <w:rFonts w:hint="eastAsia" w:ascii="宋体" w:hAnsi="宋体" w:cs="宋体"/>
          <w:sz w:val="24"/>
          <w:szCs w:val="24"/>
          <w:u w:val="single"/>
        </w:rPr>
        <w:t xml:space="preserve">    </w:t>
      </w:r>
      <w:r>
        <w:rPr>
          <w:rFonts w:hint="eastAsia" w:ascii="宋体" w:hAnsi="宋体" w:cs="宋体"/>
          <w:sz w:val="24"/>
          <w:szCs w:val="24"/>
        </w:rPr>
        <w:t>份。</w:t>
      </w:r>
    </w:p>
    <w:p w14:paraId="1B616A62">
      <w:pPr>
        <w:spacing w:line="360" w:lineRule="auto"/>
        <w:ind w:firstLine="480" w:firstLineChars="200"/>
        <w:rPr>
          <w:rFonts w:hint="eastAsia" w:ascii="宋体" w:hAnsi="宋体" w:cs="宋体"/>
          <w:sz w:val="24"/>
          <w:szCs w:val="24"/>
        </w:rPr>
      </w:pPr>
      <w:r>
        <w:rPr>
          <w:rFonts w:hint="eastAsia" w:ascii="宋体" w:hAnsi="宋体" w:cs="宋体"/>
          <w:sz w:val="24"/>
          <w:szCs w:val="24"/>
        </w:rPr>
        <w:t>附件：投入本项目人员名单</w:t>
      </w:r>
    </w:p>
    <w:p w14:paraId="2DC1AA74">
      <w:pPr>
        <w:spacing w:line="360" w:lineRule="auto"/>
        <w:ind w:firstLine="480" w:firstLineChars="200"/>
        <w:rPr>
          <w:rFonts w:hint="eastAsia" w:ascii="宋体" w:hAnsi="宋体" w:cs="宋体"/>
          <w:sz w:val="24"/>
          <w:szCs w:val="24"/>
        </w:rPr>
      </w:pPr>
    </w:p>
    <w:p w14:paraId="49B777EA">
      <w:pPr>
        <w:spacing w:line="360" w:lineRule="auto"/>
        <w:ind w:firstLine="200"/>
        <w:rPr>
          <w:rFonts w:hint="eastAsia" w:ascii="宋体" w:hAnsi="宋体" w:cs="宋体"/>
          <w:sz w:val="24"/>
          <w:szCs w:val="24"/>
          <w:u w:val="single"/>
        </w:rPr>
      </w:pPr>
      <w:r>
        <w:rPr>
          <w:rFonts w:hint="eastAsia" w:ascii="宋体" w:hAnsi="宋体" w:cs="宋体"/>
          <w:sz w:val="24"/>
          <w:szCs w:val="24"/>
        </w:rPr>
        <w:t>甲方:</w:t>
      </w:r>
      <w:r>
        <w:rPr>
          <w:rFonts w:hint="eastAsia" w:ascii="宋体" w:hAnsi="宋体" w:cs="宋体"/>
          <w:sz w:val="24"/>
          <w:szCs w:val="24"/>
          <w:u w:val="single"/>
        </w:rPr>
        <w:t xml:space="preserve"> （全称）         （盖章）  </w:t>
      </w:r>
      <w:r>
        <w:rPr>
          <w:rFonts w:hint="eastAsia" w:ascii="宋体" w:hAnsi="宋体" w:cs="宋体"/>
          <w:sz w:val="24"/>
          <w:szCs w:val="24"/>
        </w:rPr>
        <w:t>　      乙方:</w:t>
      </w:r>
      <w:r>
        <w:rPr>
          <w:rFonts w:hint="eastAsia" w:ascii="宋体" w:hAnsi="宋体" w:cs="宋体"/>
          <w:sz w:val="24"/>
          <w:szCs w:val="24"/>
          <w:u w:val="single"/>
        </w:rPr>
        <w:t xml:space="preserve"> （全称） （盖章）         </w:t>
      </w:r>
    </w:p>
    <w:p w14:paraId="61B65CB5">
      <w:pPr>
        <w:spacing w:line="360" w:lineRule="auto"/>
        <w:ind w:firstLine="200"/>
        <w:jc w:val="left"/>
        <w:rPr>
          <w:rFonts w:hint="eastAsia" w:ascii="宋体" w:hAnsi="宋体" w:cs="宋体"/>
          <w:sz w:val="24"/>
          <w:szCs w:val="24"/>
        </w:rPr>
      </w:pPr>
      <w:r>
        <w:rPr>
          <w:rFonts w:hint="eastAsia" w:ascii="宋体" w:hAnsi="宋体" w:cs="宋体"/>
          <w:sz w:val="24"/>
          <w:szCs w:val="24"/>
        </w:rPr>
        <w:t>法定代表人                               法定代表人</w:t>
      </w:r>
    </w:p>
    <w:p w14:paraId="7B0E95DF">
      <w:pPr>
        <w:spacing w:line="360" w:lineRule="auto"/>
        <w:ind w:firstLine="200"/>
        <w:jc w:val="left"/>
        <w:rPr>
          <w:rFonts w:hint="eastAsia" w:ascii="宋体" w:hAnsi="宋体" w:cs="宋体"/>
          <w:sz w:val="24"/>
          <w:szCs w:val="24"/>
          <w:u w:val="single"/>
        </w:rPr>
      </w:pPr>
      <w:r>
        <w:rPr>
          <w:rFonts w:hint="eastAsia" w:ascii="宋体" w:hAnsi="宋体" w:cs="宋体"/>
          <w:sz w:val="24"/>
          <w:szCs w:val="24"/>
        </w:rPr>
        <w:t>或其委托代理人：</w:t>
      </w:r>
      <w:r>
        <w:rPr>
          <w:rFonts w:hint="eastAsia" w:ascii="宋体" w:hAnsi="宋体" w:cs="宋体"/>
          <w:sz w:val="24"/>
          <w:szCs w:val="24"/>
          <w:u w:val="single"/>
        </w:rPr>
        <w:t>（签字）</w:t>
      </w:r>
      <w:r>
        <w:rPr>
          <w:rFonts w:hint="eastAsia" w:ascii="宋体" w:hAnsi="宋体" w:cs="宋体"/>
          <w:sz w:val="24"/>
          <w:szCs w:val="24"/>
        </w:rPr>
        <w:t xml:space="preserve">                 或其委托代理人：</w:t>
      </w:r>
      <w:r>
        <w:rPr>
          <w:rFonts w:hint="eastAsia" w:ascii="宋体" w:hAnsi="宋体" w:cs="宋体"/>
          <w:sz w:val="24"/>
          <w:szCs w:val="24"/>
          <w:u w:val="single"/>
        </w:rPr>
        <w:t>（签字）</w:t>
      </w:r>
    </w:p>
    <w:p w14:paraId="3FF2521E">
      <w:pPr>
        <w:spacing w:line="360" w:lineRule="auto"/>
        <w:ind w:firstLine="200"/>
        <w:jc w:val="left"/>
        <w:rPr>
          <w:rFonts w:hint="eastAsia" w:ascii="宋体" w:hAnsi="宋体" w:cs="宋体"/>
          <w:sz w:val="24"/>
          <w:szCs w:val="24"/>
        </w:rPr>
      </w:pPr>
    </w:p>
    <w:p w14:paraId="507D2067">
      <w:pPr>
        <w:tabs>
          <w:tab w:val="left" w:pos="4395"/>
          <w:tab w:val="left" w:pos="4678"/>
          <w:tab w:val="left" w:pos="4820"/>
        </w:tabs>
        <w:spacing w:line="360" w:lineRule="auto"/>
        <w:ind w:firstLine="20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5F3084F">
      <w:pPr>
        <w:spacing w:line="300" w:lineRule="auto"/>
        <w:rPr>
          <w:rFonts w:hint="eastAsia" w:ascii="宋体" w:hAnsi="宋体" w:cs="宋体"/>
          <w:sz w:val="24"/>
        </w:rPr>
      </w:pPr>
    </w:p>
    <w:p w14:paraId="5A69029A">
      <w:pPr>
        <w:spacing w:line="360" w:lineRule="auto"/>
        <w:rPr>
          <w:rFonts w:ascii="宋体" w:hAnsi="宋体" w:eastAsia="宋体" w:cs="宋体"/>
          <w:b/>
          <w:color w:val="auto"/>
          <w:sz w:val="24"/>
          <w:szCs w:val="20"/>
          <w:highlight w:val="none"/>
        </w:rPr>
      </w:pPr>
      <w:r>
        <w:rPr>
          <w:rFonts w:hint="eastAsia" w:ascii="宋体" w:hAnsi="宋体" w:cs="宋体"/>
          <w:sz w:val="24"/>
        </w:rPr>
        <w:br w:type="page"/>
      </w:r>
      <w:r>
        <w:rPr>
          <w:rFonts w:hint="eastAsia" w:ascii="宋体" w:hAnsi="宋体" w:eastAsia="宋体" w:cs="宋体"/>
          <w:b/>
          <w:color w:val="auto"/>
          <w:sz w:val="24"/>
          <w:szCs w:val="20"/>
          <w:highlight w:val="none"/>
        </w:rPr>
        <w:t>附件1</w:t>
      </w:r>
    </w:p>
    <w:p w14:paraId="6F7B7876">
      <w:pPr>
        <w:spacing w:line="300" w:lineRule="auto"/>
        <w:jc w:val="center"/>
        <w:rPr>
          <w:rFonts w:ascii="宋体" w:hAnsi="宋体" w:eastAsia="宋体" w:cs="Times New Roman"/>
          <w:bCs/>
          <w:color w:val="auto"/>
          <w:sz w:val="32"/>
          <w:szCs w:val="32"/>
          <w:highlight w:val="none"/>
        </w:rPr>
      </w:pPr>
      <w:r>
        <w:rPr>
          <w:rFonts w:hint="eastAsia" w:ascii="宋体" w:hAnsi="宋体" w:eastAsia="宋体" w:cs="Times New Roman"/>
          <w:bCs/>
          <w:color w:val="auto"/>
          <w:sz w:val="32"/>
          <w:szCs w:val="32"/>
          <w:highlight w:val="none"/>
        </w:rPr>
        <w:t>投入本项目主要人员情况汇总表</w:t>
      </w:r>
    </w:p>
    <w:tbl>
      <w:tblPr>
        <w:tblStyle w:val="19"/>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024"/>
        <w:gridCol w:w="900"/>
        <w:gridCol w:w="540"/>
        <w:gridCol w:w="900"/>
        <w:gridCol w:w="720"/>
        <w:gridCol w:w="900"/>
        <w:gridCol w:w="1260"/>
        <w:gridCol w:w="1800"/>
        <w:gridCol w:w="720"/>
        <w:gridCol w:w="720"/>
      </w:tblGrid>
      <w:tr w14:paraId="724F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trPr>
        <w:tc>
          <w:tcPr>
            <w:tcW w:w="416" w:type="dxa"/>
            <w:vMerge w:val="restart"/>
            <w:noWrap/>
            <w:vAlign w:val="center"/>
          </w:tcPr>
          <w:p w14:paraId="556E32DB">
            <w:pPr>
              <w:widowControl/>
              <w:jc w:val="center"/>
              <w:textAlignment w:val="bottom"/>
              <w:rPr>
                <w:rFonts w:ascii="Arial" w:hAnsi="Arial" w:eastAsia="宋体" w:cs="Arial"/>
                <w:color w:val="auto"/>
                <w:sz w:val="20"/>
                <w:highlight w:val="none"/>
              </w:rPr>
            </w:pPr>
            <w:r>
              <w:rPr>
                <w:rFonts w:ascii="Arial" w:hAnsi="Arial" w:eastAsia="宋体" w:cs="Arial"/>
                <w:color w:val="auto"/>
                <w:kern w:val="0"/>
                <w:sz w:val="20"/>
                <w:highlight w:val="none"/>
              </w:rPr>
              <w:t>序号</w:t>
            </w:r>
          </w:p>
        </w:tc>
        <w:tc>
          <w:tcPr>
            <w:tcW w:w="1024" w:type="dxa"/>
            <w:vMerge w:val="restart"/>
            <w:noWrap/>
            <w:vAlign w:val="center"/>
          </w:tcPr>
          <w:p w14:paraId="3EBD9B61">
            <w:pPr>
              <w:widowControl/>
              <w:jc w:val="center"/>
              <w:textAlignment w:val="bottom"/>
              <w:rPr>
                <w:rFonts w:ascii="Arial" w:hAnsi="Arial" w:eastAsia="宋体" w:cs="Arial"/>
                <w:color w:val="auto"/>
                <w:sz w:val="20"/>
                <w:highlight w:val="none"/>
              </w:rPr>
            </w:pPr>
            <w:r>
              <w:rPr>
                <w:rFonts w:ascii="Arial" w:hAnsi="Arial" w:eastAsia="宋体" w:cs="Arial"/>
                <w:color w:val="auto"/>
                <w:kern w:val="0"/>
                <w:sz w:val="20"/>
                <w:highlight w:val="none"/>
              </w:rPr>
              <w:t>在本</w:t>
            </w:r>
            <w:r>
              <w:rPr>
                <w:rFonts w:hint="eastAsia" w:ascii="Arial" w:hAnsi="Arial" w:eastAsia="宋体" w:cs="Arial"/>
                <w:color w:val="auto"/>
                <w:kern w:val="0"/>
                <w:sz w:val="20"/>
                <w:highlight w:val="none"/>
              </w:rPr>
              <w:t>项目</w:t>
            </w:r>
            <w:r>
              <w:rPr>
                <w:rFonts w:ascii="Arial" w:hAnsi="Arial" w:eastAsia="宋体" w:cs="Arial"/>
                <w:color w:val="auto"/>
                <w:kern w:val="0"/>
                <w:sz w:val="20"/>
                <w:highlight w:val="none"/>
              </w:rPr>
              <w:t>任职</w:t>
            </w:r>
          </w:p>
        </w:tc>
        <w:tc>
          <w:tcPr>
            <w:tcW w:w="900" w:type="dxa"/>
            <w:vMerge w:val="restart"/>
            <w:noWrap/>
            <w:vAlign w:val="center"/>
          </w:tcPr>
          <w:p w14:paraId="22F1403A">
            <w:pPr>
              <w:widowControl/>
              <w:jc w:val="center"/>
              <w:textAlignment w:val="bottom"/>
              <w:rPr>
                <w:rFonts w:ascii="Arial" w:hAnsi="Arial" w:eastAsia="宋体" w:cs="Arial"/>
                <w:color w:val="auto"/>
                <w:sz w:val="20"/>
                <w:highlight w:val="none"/>
              </w:rPr>
            </w:pPr>
            <w:r>
              <w:rPr>
                <w:rFonts w:ascii="Arial" w:hAnsi="Arial" w:eastAsia="宋体" w:cs="Arial"/>
                <w:color w:val="auto"/>
                <w:kern w:val="0"/>
                <w:sz w:val="20"/>
                <w:highlight w:val="none"/>
              </w:rPr>
              <w:t>姓名</w:t>
            </w:r>
          </w:p>
        </w:tc>
        <w:tc>
          <w:tcPr>
            <w:tcW w:w="540" w:type="dxa"/>
            <w:vMerge w:val="restart"/>
            <w:noWrap/>
            <w:vAlign w:val="center"/>
          </w:tcPr>
          <w:p w14:paraId="6A97FD19">
            <w:pPr>
              <w:widowControl/>
              <w:jc w:val="center"/>
              <w:textAlignment w:val="bottom"/>
              <w:rPr>
                <w:rFonts w:ascii="Arial" w:hAnsi="Arial" w:eastAsia="宋体" w:cs="Arial"/>
                <w:color w:val="auto"/>
                <w:sz w:val="20"/>
                <w:highlight w:val="none"/>
              </w:rPr>
            </w:pPr>
            <w:r>
              <w:rPr>
                <w:rFonts w:ascii="Arial" w:hAnsi="Arial" w:eastAsia="宋体" w:cs="Arial"/>
                <w:color w:val="auto"/>
                <w:kern w:val="0"/>
                <w:sz w:val="20"/>
                <w:highlight w:val="none"/>
              </w:rPr>
              <w:t>学历</w:t>
            </w:r>
          </w:p>
        </w:tc>
        <w:tc>
          <w:tcPr>
            <w:tcW w:w="900" w:type="dxa"/>
            <w:vMerge w:val="restart"/>
            <w:noWrap/>
            <w:vAlign w:val="center"/>
          </w:tcPr>
          <w:p w14:paraId="60B8C1AD">
            <w:pPr>
              <w:widowControl/>
              <w:jc w:val="center"/>
              <w:textAlignment w:val="bottom"/>
              <w:rPr>
                <w:rFonts w:ascii="Arial" w:hAnsi="Arial" w:eastAsia="宋体" w:cs="Arial"/>
                <w:color w:val="auto"/>
                <w:kern w:val="0"/>
                <w:sz w:val="20"/>
                <w:highlight w:val="none"/>
              </w:rPr>
            </w:pPr>
            <w:r>
              <w:rPr>
                <w:rFonts w:ascii="Arial" w:hAnsi="Arial" w:eastAsia="宋体" w:cs="Arial"/>
                <w:color w:val="auto"/>
                <w:kern w:val="0"/>
                <w:sz w:val="20"/>
                <w:highlight w:val="none"/>
              </w:rPr>
              <w:t>技术</w:t>
            </w:r>
          </w:p>
          <w:p w14:paraId="7011855C">
            <w:pPr>
              <w:widowControl/>
              <w:jc w:val="center"/>
              <w:textAlignment w:val="bottom"/>
              <w:rPr>
                <w:rFonts w:ascii="Arial" w:hAnsi="Arial" w:eastAsia="宋体" w:cs="Arial"/>
                <w:color w:val="auto"/>
                <w:sz w:val="20"/>
                <w:highlight w:val="none"/>
              </w:rPr>
            </w:pPr>
            <w:r>
              <w:rPr>
                <w:rFonts w:ascii="Arial" w:hAnsi="Arial" w:eastAsia="宋体" w:cs="Arial"/>
                <w:color w:val="auto"/>
                <w:kern w:val="0"/>
                <w:sz w:val="20"/>
                <w:highlight w:val="none"/>
              </w:rPr>
              <w:t>职称</w:t>
            </w:r>
          </w:p>
        </w:tc>
        <w:tc>
          <w:tcPr>
            <w:tcW w:w="720" w:type="dxa"/>
            <w:vMerge w:val="restart"/>
            <w:noWrap/>
            <w:vAlign w:val="center"/>
          </w:tcPr>
          <w:p w14:paraId="23B6C3CD">
            <w:pPr>
              <w:widowControl/>
              <w:jc w:val="center"/>
              <w:textAlignment w:val="bottom"/>
              <w:rPr>
                <w:rFonts w:ascii="Arial" w:hAnsi="Arial" w:eastAsia="宋体" w:cs="Arial"/>
                <w:color w:val="auto"/>
                <w:sz w:val="20"/>
                <w:highlight w:val="none"/>
              </w:rPr>
            </w:pPr>
            <w:r>
              <w:rPr>
                <w:rFonts w:ascii="Arial" w:hAnsi="Arial" w:eastAsia="宋体" w:cs="Arial"/>
                <w:color w:val="auto"/>
                <w:kern w:val="0"/>
                <w:sz w:val="20"/>
                <w:highlight w:val="none"/>
              </w:rPr>
              <w:t>专业</w:t>
            </w:r>
          </w:p>
        </w:tc>
        <w:tc>
          <w:tcPr>
            <w:tcW w:w="2160" w:type="dxa"/>
            <w:gridSpan w:val="2"/>
            <w:noWrap/>
            <w:vAlign w:val="center"/>
          </w:tcPr>
          <w:p w14:paraId="6153B4D6">
            <w:pPr>
              <w:widowControl/>
              <w:jc w:val="center"/>
              <w:textAlignment w:val="bottom"/>
              <w:rPr>
                <w:rFonts w:ascii="Arial" w:hAnsi="Arial" w:eastAsia="宋体" w:cs="Arial"/>
                <w:color w:val="auto"/>
                <w:kern w:val="0"/>
                <w:sz w:val="20"/>
                <w:highlight w:val="none"/>
              </w:rPr>
            </w:pPr>
            <w:r>
              <w:rPr>
                <w:rFonts w:hint="eastAsia" w:ascii="Arial" w:hAnsi="Arial" w:eastAsia="宋体" w:cs="Arial"/>
                <w:color w:val="auto"/>
                <w:kern w:val="0"/>
                <w:sz w:val="20"/>
                <w:highlight w:val="none"/>
              </w:rPr>
              <w:t>执业或职业资格证明</w:t>
            </w:r>
          </w:p>
        </w:tc>
        <w:tc>
          <w:tcPr>
            <w:tcW w:w="1800" w:type="dxa"/>
            <w:vMerge w:val="restart"/>
            <w:noWrap/>
            <w:vAlign w:val="center"/>
          </w:tcPr>
          <w:p w14:paraId="4FA55314">
            <w:pPr>
              <w:widowControl/>
              <w:jc w:val="center"/>
              <w:textAlignment w:val="bottom"/>
              <w:rPr>
                <w:rFonts w:ascii="Arial" w:hAnsi="Arial" w:eastAsia="宋体" w:cs="Arial"/>
                <w:color w:val="auto"/>
                <w:sz w:val="20"/>
                <w:highlight w:val="none"/>
              </w:rPr>
            </w:pPr>
            <w:r>
              <w:rPr>
                <w:rFonts w:hint="eastAsia" w:ascii="Arial" w:hAnsi="Arial" w:eastAsia="宋体" w:cs="Arial"/>
                <w:color w:val="auto"/>
                <w:kern w:val="0"/>
                <w:sz w:val="20"/>
                <w:highlight w:val="none"/>
              </w:rPr>
              <w:t>身份证号</w:t>
            </w:r>
          </w:p>
        </w:tc>
        <w:tc>
          <w:tcPr>
            <w:tcW w:w="720" w:type="dxa"/>
            <w:vMerge w:val="restart"/>
            <w:noWrap/>
            <w:vAlign w:val="center"/>
          </w:tcPr>
          <w:p w14:paraId="74C0349F">
            <w:pPr>
              <w:widowControl/>
              <w:jc w:val="center"/>
              <w:textAlignment w:val="bottom"/>
              <w:rPr>
                <w:rFonts w:ascii="Arial" w:hAnsi="Arial" w:eastAsia="宋体" w:cs="Arial"/>
                <w:color w:val="auto"/>
                <w:sz w:val="20"/>
                <w:highlight w:val="none"/>
              </w:rPr>
            </w:pPr>
            <w:r>
              <w:rPr>
                <w:rFonts w:hint="eastAsia" w:ascii="Arial" w:hAnsi="Arial" w:eastAsia="宋体" w:cs="Arial"/>
                <w:color w:val="auto"/>
                <w:sz w:val="20"/>
                <w:highlight w:val="none"/>
              </w:rPr>
              <w:t>社保</w:t>
            </w:r>
          </w:p>
          <w:p w14:paraId="63688123">
            <w:pPr>
              <w:widowControl/>
              <w:jc w:val="center"/>
              <w:textAlignment w:val="bottom"/>
              <w:rPr>
                <w:rFonts w:ascii="Arial" w:hAnsi="Arial" w:eastAsia="宋体" w:cs="Arial"/>
                <w:color w:val="auto"/>
                <w:sz w:val="20"/>
                <w:highlight w:val="none"/>
              </w:rPr>
            </w:pPr>
            <w:r>
              <w:rPr>
                <w:rFonts w:hint="eastAsia" w:ascii="Arial" w:hAnsi="Arial" w:eastAsia="宋体" w:cs="Arial"/>
                <w:color w:val="auto"/>
                <w:sz w:val="20"/>
                <w:highlight w:val="none"/>
              </w:rPr>
              <w:t>缴费单位</w:t>
            </w:r>
          </w:p>
        </w:tc>
        <w:tc>
          <w:tcPr>
            <w:tcW w:w="720" w:type="dxa"/>
            <w:vMerge w:val="restart"/>
            <w:noWrap/>
            <w:vAlign w:val="center"/>
          </w:tcPr>
          <w:p w14:paraId="0A1083DF">
            <w:pPr>
              <w:widowControl/>
              <w:jc w:val="center"/>
              <w:textAlignment w:val="bottom"/>
              <w:rPr>
                <w:rFonts w:ascii="Arial" w:hAnsi="Arial" w:eastAsia="宋体" w:cs="Arial"/>
                <w:color w:val="auto"/>
                <w:sz w:val="20"/>
                <w:highlight w:val="none"/>
              </w:rPr>
            </w:pPr>
            <w:r>
              <w:rPr>
                <w:rFonts w:hint="eastAsia" w:ascii="Arial" w:hAnsi="Arial" w:eastAsia="宋体" w:cs="Arial"/>
                <w:color w:val="auto"/>
                <w:sz w:val="20"/>
                <w:highlight w:val="none"/>
              </w:rPr>
              <w:t>备注</w:t>
            </w:r>
          </w:p>
        </w:tc>
      </w:tr>
      <w:tr w14:paraId="1423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16" w:type="dxa"/>
            <w:vMerge w:val="continue"/>
            <w:noWrap/>
            <w:vAlign w:val="center"/>
          </w:tcPr>
          <w:p w14:paraId="09853DB3">
            <w:pPr>
              <w:spacing w:line="300" w:lineRule="auto"/>
              <w:jc w:val="center"/>
              <w:rPr>
                <w:rFonts w:ascii="黑体" w:hAnsi="Times New Roman" w:eastAsia="黑体" w:cs="Times New Roman"/>
                <w:b/>
                <w:color w:val="auto"/>
                <w:sz w:val="24"/>
                <w:highlight w:val="none"/>
              </w:rPr>
            </w:pPr>
          </w:p>
        </w:tc>
        <w:tc>
          <w:tcPr>
            <w:tcW w:w="1024" w:type="dxa"/>
            <w:vMerge w:val="continue"/>
            <w:noWrap/>
            <w:vAlign w:val="center"/>
          </w:tcPr>
          <w:p w14:paraId="0EE6F32E">
            <w:pPr>
              <w:spacing w:line="300" w:lineRule="auto"/>
              <w:jc w:val="center"/>
              <w:rPr>
                <w:rFonts w:ascii="黑体" w:hAnsi="Times New Roman" w:eastAsia="黑体" w:cs="Times New Roman"/>
                <w:b/>
                <w:color w:val="auto"/>
                <w:sz w:val="24"/>
                <w:highlight w:val="none"/>
              </w:rPr>
            </w:pPr>
          </w:p>
        </w:tc>
        <w:tc>
          <w:tcPr>
            <w:tcW w:w="900" w:type="dxa"/>
            <w:vMerge w:val="continue"/>
            <w:noWrap/>
            <w:vAlign w:val="center"/>
          </w:tcPr>
          <w:p w14:paraId="1BE6BBCA">
            <w:pPr>
              <w:spacing w:line="300" w:lineRule="auto"/>
              <w:jc w:val="center"/>
              <w:rPr>
                <w:rFonts w:ascii="黑体" w:hAnsi="Times New Roman" w:eastAsia="黑体" w:cs="Times New Roman"/>
                <w:b/>
                <w:color w:val="auto"/>
                <w:sz w:val="24"/>
                <w:highlight w:val="none"/>
              </w:rPr>
            </w:pPr>
          </w:p>
        </w:tc>
        <w:tc>
          <w:tcPr>
            <w:tcW w:w="540" w:type="dxa"/>
            <w:vMerge w:val="continue"/>
            <w:noWrap/>
            <w:vAlign w:val="center"/>
          </w:tcPr>
          <w:p w14:paraId="7141F941">
            <w:pPr>
              <w:spacing w:line="300" w:lineRule="auto"/>
              <w:jc w:val="center"/>
              <w:rPr>
                <w:rFonts w:ascii="黑体" w:hAnsi="Times New Roman" w:eastAsia="黑体" w:cs="Times New Roman"/>
                <w:b/>
                <w:color w:val="auto"/>
                <w:sz w:val="24"/>
                <w:highlight w:val="none"/>
              </w:rPr>
            </w:pPr>
          </w:p>
        </w:tc>
        <w:tc>
          <w:tcPr>
            <w:tcW w:w="900" w:type="dxa"/>
            <w:vMerge w:val="continue"/>
            <w:noWrap/>
            <w:vAlign w:val="center"/>
          </w:tcPr>
          <w:p w14:paraId="32D63222">
            <w:pPr>
              <w:spacing w:line="300" w:lineRule="auto"/>
              <w:jc w:val="center"/>
              <w:rPr>
                <w:rFonts w:ascii="黑体" w:hAnsi="Times New Roman" w:eastAsia="黑体" w:cs="Times New Roman"/>
                <w:b/>
                <w:color w:val="auto"/>
                <w:sz w:val="24"/>
                <w:highlight w:val="none"/>
              </w:rPr>
            </w:pPr>
          </w:p>
        </w:tc>
        <w:tc>
          <w:tcPr>
            <w:tcW w:w="720" w:type="dxa"/>
            <w:vMerge w:val="continue"/>
            <w:noWrap/>
            <w:vAlign w:val="center"/>
          </w:tcPr>
          <w:p w14:paraId="3BE685AD">
            <w:pPr>
              <w:spacing w:line="300" w:lineRule="auto"/>
              <w:jc w:val="center"/>
              <w:rPr>
                <w:rFonts w:ascii="黑体" w:hAnsi="Times New Roman" w:eastAsia="黑体" w:cs="Times New Roman"/>
                <w:b/>
                <w:color w:val="auto"/>
                <w:sz w:val="24"/>
                <w:highlight w:val="none"/>
              </w:rPr>
            </w:pPr>
          </w:p>
        </w:tc>
        <w:tc>
          <w:tcPr>
            <w:tcW w:w="900" w:type="dxa"/>
            <w:noWrap/>
            <w:vAlign w:val="center"/>
          </w:tcPr>
          <w:p w14:paraId="26599A4A">
            <w:pPr>
              <w:jc w:val="center"/>
              <w:rPr>
                <w:rFonts w:ascii="Arial" w:hAnsi="Arial" w:eastAsia="宋体" w:cs="Arial"/>
                <w:color w:val="auto"/>
                <w:kern w:val="0"/>
                <w:sz w:val="20"/>
                <w:highlight w:val="none"/>
              </w:rPr>
            </w:pPr>
            <w:r>
              <w:rPr>
                <w:rFonts w:hint="eastAsia" w:ascii="Arial" w:hAnsi="Arial" w:eastAsia="宋体" w:cs="Arial"/>
                <w:color w:val="auto"/>
                <w:kern w:val="0"/>
                <w:sz w:val="20"/>
                <w:highlight w:val="none"/>
              </w:rPr>
              <w:t>证书</w:t>
            </w:r>
          </w:p>
          <w:p w14:paraId="21D76964">
            <w:pPr>
              <w:jc w:val="center"/>
              <w:rPr>
                <w:rFonts w:ascii="Arial" w:hAnsi="Arial" w:eastAsia="宋体" w:cs="Arial"/>
                <w:color w:val="auto"/>
                <w:kern w:val="0"/>
                <w:sz w:val="20"/>
                <w:highlight w:val="none"/>
              </w:rPr>
            </w:pPr>
            <w:r>
              <w:rPr>
                <w:rFonts w:hint="eastAsia" w:ascii="Arial" w:hAnsi="Arial" w:eastAsia="宋体" w:cs="Arial"/>
                <w:color w:val="auto"/>
                <w:kern w:val="0"/>
                <w:sz w:val="20"/>
                <w:highlight w:val="none"/>
              </w:rPr>
              <w:t>名称</w:t>
            </w:r>
          </w:p>
        </w:tc>
        <w:tc>
          <w:tcPr>
            <w:tcW w:w="1260" w:type="dxa"/>
            <w:noWrap/>
            <w:vAlign w:val="center"/>
          </w:tcPr>
          <w:p w14:paraId="01337F18">
            <w:pPr>
              <w:spacing w:line="300" w:lineRule="auto"/>
              <w:jc w:val="center"/>
              <w:rPr>
                <w:rFonts w:ascii="Arial" w:hAnsi="Arial" w:eastAsia="宋体" w:cs="Arial"/>
                <w:color w:val="auto"/>
                <w:kern w:val="0"/>
                <w:sz w:val="20"/>
                <w:highlight w:val="none"/>
              </w:rPr>
            </w:pPr>
            <w:r>
              <w:rPr>
                <w:rFonts w:hint="eastAsia" w:ascii="Arial" w:hAnsi="Arial" w:eastAsia="宋体" w:cs="Arial"/>
                <w:color w:val="auto"/>
                <w:kern w:val="0"/>
                <w:sz w:val="20"/>
                <w:highlight w:val="none"/>
              </w:rPr>
              <w:t>证 号</w:t>
            </w:r>
          </w:p>
        </w:tc>
        <w:tc>
          <w:tcPr>
            <w:tcW w:w="1800" w:type="dxa"/>
            <w:vMerge w:val="continue"/>
            <w:noWrap/>
            <w:vAlign w:val="center"/>
          </w:tcPr>
          <w:p w14:paraId="38F9D444">
            <w:pPr>
              <w:spacing w:line="300" w:lineRule="auto"/>
              <w:jc w:val="center"/>
              <w:rPr>
                <w:rFonts w:ascii="黑体" w:hAnsi="Times New Roman" w:eastAsia="黑体" w:cs="Times New Roman"/>
                <w:b/>
                <w:color w:val="auto"/>
                <w:sz w:val="24"/>
                <w:highlight w:val="none"/>
              </w:rPr>
            </w:pPr>
          </w:p>
        </w:tc>
        <w:tc>
          <w:tcPr>
            <w:tcW w:w="720" w:type="dxa"/>
            <w:vMerge w:val="continue"/>
            <w:noWrap/>
            <w:vAlign w:val="center"/>
          </w:tcPr>
          <w:p w14:paraId="24161B5E">
            <w:pPr>
              <w:widowControl/>
              <w:jc w:val="center"/>
              <w:textAlignment w:val="bottom"/>
              <w:rPr>
                <w:rFonts w:ascii="黑体" w:hAnsi="Times New Roman" w:eastAsia="黑体" w:cs="Times New Roman"/>
                <w:b/>
                <w:color w:val="auto"/>
                <w:sz w:val="24"/>
                <w:highlight w:val="none"/>
              </w:rPr>
            </w:pPr>
          </w:p>
        </w:tc>
        <w:tc>
          <w:tcPr>
            <w:tcW w:w="720" w:type="dxa"/>
            <w:vMerge w:val="continue"/>
            <w:noWrap/>
            <w:vAlign w:val="center"/>
          </w:tcPr>
          <w:p w14:paraId="6D77A144">
            <w:pPr>
              <w:spacing w:line="300" w:lineRule="auto"/>
              <w:jc w:val="center"/>
              <w:rPr>
                <w:rFonts w:ascii="黑体" w:hAnsi="Times New Roman" w:eastAsia="黑体" w:cs="Times New Roman"/>
                <w:b/>
                <w:color w:val="auto"/>
                <w:sz w:val="24"/>
                <w:highlight w:val="none"/>
              </w:rPr>
            </w:pPr>
          </w:p>
        </w:tc>
      </w:tr>
      <w:tr w14:paraId="2214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6CB29EE6">
            <w:pPr>
              <w:spacing w:line="300" w:lineRule="auto"/>
              <w:jc w:val="center"/>
              <w:rPr>
                <w:rFonts w:ascii="黑体" w:hAnsi="Times New Roman" w:eastAsia="黑体" w:cs="Times New Roman"/>
                <w:b/>
                <w:color w:val="auto"/>
                <w:sz w:val="24"/>
                <w:highlight w:val="none"/>
              </w:rPr>
            </w:pPr>
          </w:p>
        </w:tc>
        <w:tc>
          <w:tcPr>
            <w:tcW w:w="1024" w:type="dxa"/>
            <w:noWrap/>
            <w:vAlign w:val="center"/>
          </w:tcPr>
          <w:p w14:paraId="26F3CF17">
            <w:pPr>
              <w:spacing w:line="300" w:lineRule="auto"/>
              <w:jc w:val="center"/>
              <w:rPr>
                <w:rFonts w:ascii="黑体" w:hAnsi="Times New Roman" w:eastAsia="黑体" w:cs="Times New Roman"/>
                <w:b/>
                <w:color w:val="auto"/>
                <w:sz w:val="24"/>
                <w:highlight w:val="none"/>
              </w:rPr>
            </w:pPr>
          </w:p>
        </w:tc>
        <w:tc>
          <w:tcPr>
            <w:tcW w:w="900" w:type="dxa"/>
            <w:noWrap/>
            <w:vAlign w:val="center"/>
          </w:tcPr>
          <w:p w14:paraId="75866C6D">
            <w:pPr>
              <w:spacing w:line="300" w:lineRule="auto"/>
              <w:jc w:val="center"/>
              <w:rPr>
                <w:rFonts w:ascii="黑体" w:hAnsi="Times New Roman" w:eastAsia="黑体" w:cs="Times New Roman"/>
                <w:b/>
                <w:color w:val="auto"/>
                <w:sz w:val="24"/>
                <w:highlight w:val="none"/>
              </w:rPr>
            </w:pPr>
          </w:p>
        </w:tc>
        <w:tc>
          <w:tcPr>
            <w:tcW w:w="540" w:type="dxa"/>
            <w:noWrap/>
            <w:vAlign w:val="center"/>
          </w:tcPr>
          <w:p w14:paraId="31000874">
            <w:pPr>
              <w:spacing w:line="300" w:lineRule="auto"/>
              <w:jc w:val="center"/>
              <w:rPr>
                <w:rFonts w:ascii="黑体" w:hAnsi="Times New Roman" w:eastAsia="黑体" w:cs="Times New Roman"/>
                <w:b/>
                <w:color w:val="auto"/>
                <w:sz w:val="24"/>
                <w:highlight w:val="none"/>
              </w:rPr>
            </w:pPr>
          </w:p>
        </w:tc>
        <w:tc>
          <w:tcPr>
            <w:tcW w:w="900" w:type="dxa"/>
            <w:noWrap/>
            <w:vAlign w:val="center"/>
          </w:tcPr>
          <w:p w14:paraId="4EB2615B">
            <w:pPr>
              <w:spacing w:line="300" w:lineRule="auto"/>
              <w:jc w:val="center"/>
              <w:rPr>
                <w:rFonts w:ascii="黑体" w:hAnsi="Times New Roman" w:eastAsia="黑体" w:cs="Times New Roman"/>
                <w:b/>
                <w:color w:val="auto"/>
                <w:sz w:val="24"/>
                <w:highlight w:val="none"/>
              </w:rPr>
            </w:pPr>
          </w:p>
        </w:tc>
        <w:tc>
          <w:tcPr>
            <w:tcW w:w="720" w:type="dxa"/>
            <w:noWrap/>
            <w:vAlign w:val="center"/>
          </w:tcPr>
          <w:p w14:paraId="45F8A6FE">
            <w:pPr>
              <w:spacing w:line="300" w:lineRule="auto"/>
              <w:jc w:val="center"/>
              <w:rPr>
                <w:rFonts w:ascii="黑体" w:hAnsi="Times New Roman" w:eastAsia="黑体" w:cs="Times New Roman"/>
                <w:b/>
                <w:color w:val="auto"/>
                <w:sz w:val="24"/>
                <w:highlight w:val="none"/>
              </w:rPr>
            </w:pPr>
          </w:p>
        </w:tc>
        <w:tc>
          <w:tcPr>
            <w:tcW w:w="900" w:type="dxa"/>
            <w:noWrap/>
            <w:vAlign w:val="center"/>
          </w:tcPr>
          <w:p w14:paraId="32409A6E">
            <w:pPr>
              <w:spacing w:line="300" w:lineRule="auto"/>
              <w:jc w:val="center"/>
              <w:rPr>
                <w:rFonts w:ascii="黑体" w:hAnsi="Times New Roman" w:eastAsia="黑体" w:cs="Times New Roman"/>
                <w:b/>
                <w:color w:val="auto"/>
                <w:sz w:val="24"/>
                <w:highlight w:val="none"/>
              </w:rPr>
            </w:pPr>
          </w:p>
        </w:tc>
        <w:tc>
          <w:tcPr>
            <w:tcW w:w="1260" w:type="dxa"/>
            <w:noWrap/>
            <w:vAlign w:val="center"/>
          </w:tcPr>
          <w:p w14:paraId="69049284">
            <w:pPr>
              <w:spacing w:line="300" w:lineRule="auto"/>
              <w:jc w:val="center"/>
              <w:rPr>
                <w:rFonts w:ascii="黑体" w:hAnsi="Times New Roman" w:eastAsia="黑体" w:cs="Times New Roman"/>
                <w:b/>
                <w:color w:val="auto"/>
                <w:sz w:val="24"/>
                <w:highlight w:val="none"/>
              </w:rPr>
            </w:pPr>
          </w:p>
        </w:tc>
        <w:tc>
          <w:tcPr>
            <w:tcW w:w="1800" w:type="dxa"/>
            <w:noWrap/>
            <w:vAlign w:val="center"/>
          </w:tcPr>
          <w:p w14:paraId="187965F3">
            <w:pPr>
              <w:spacing w:line="300" w:lineRule="auto"/>
              <w:jc w:val="center"/>
              <w:rPr>
                <w:rFonts w:ascii="黑体" w:hAnsi="Times New Roman" w:eastAsia="黑体" w:cs="Times New Roman"/>
                <w:b/>
                <w:color w:val="auto"/>
                <w:sz w:val="24"/>
                <w:highlight w:val="none"/>
              </w:rPr>
            </w:pPr>
          </w:p>
        </w:tc>
        <w:tc>
          <w:tcPr>
            <w:tcW w:w="720" w:type="dxa"/>
            <w:noWrap/>
            <w:vAlign w:val="center"/>
          </w:tcPr>
          <w:p w14:paraId="34644AD8">
            <w:pPr>
              <w:spacing w:line="300" w:lineRule="auto"/>
              <w:jc w:val="center"/>
              <w:rPr>
                <w:rFonts w:ascii="黑体" w:hAnsi="Times New Roman" w:eastAsia="黑体" w:cs="Times New Roman"/>
                <w:b/>
                <w:color w:val="auto"/>
                <w:sz w:val="24"/>
                <w:highlight w:val="none"/>
              </w:rPr>
            </w:pPr>
          </w:p>
        </w:tc>
        <w:tc>
          <w:tcPr>
            <w:tcW w:w="720" w:type="dxa"/>
            <w:noWrap/>
            <w:vAlign w:val="center"/>
          </w:tcPr>
          <w:p w14:paraId="4C9CE5A5">
            <w:pPr>
              <w:spacing w:line="300" w:lineRule="auto"/>
              <w:jc w:val="center"/>
              <w:rPr>
                <w:rFonts w:ascii="黑体" w:hAnsi="Times New Roman" w:eastAsia="黑体" w:cs="Times New Roman"/>
                <w:b/>
                <w:color w:val="auto"/>
                <w:sz w:val="24"/>
                <w:highlight w:val="none"/>
              </w:rPr>
            </w:pPr>
          </w:p>
        </w:tc>
      </w:tr>
      <w:tr w14:paraId="0A44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30D88E00">
            <w:pPr>
              <w:spacing w:line="300" w:lineRule="auto"/>
              <w:jc w:val="center"/>
              <w:rPr>
                <w:rFonts w:ascii="黑体" w:hAnsi="Times New Roman" w:eastAsia="黑体" w:cs="Times New Roman"/>
                <w:b/>
                <w:color w:val="auto"/>
                <w:sz w:val="24"/>
                <w:highlight w:val="none"/>
              </w:rPr>
            </w:pPr>
          </w:p>
        </w:tc>
        <w:tc>
          <w:tcPr>
            <w:tcW w:w="1024" w:type="dxa"/>
            <w:noWrap/>
            <w:vAlign w:val="center"/>
          </w:tcPr>
          <w:p w14:paraId="45605248">
            <w:pPr>
              <w:spacing w:line="300" w:lineRule="auto"/>
              <w:jc w:val="center"/>
              <w:rPr>
                <w:rFonts w:ascii="黑体" w:hAnsi="Times New Roman" w:eastAsia="黑体" w:cs="Times New Roman"/>
                <w:b/>
                <w:color w:val="auto"/>
                <w:sz w:val="24"/>
                <w:highlight w:val="none"/>
              </w:rPr>
            </w:pPr>
          </w:p>
        </w:tc>
        <w:tc>
          <w:tcPr>
            <w:tcW w:w="900" w:type="dxa"/>
            <w:noWrap/>
            <w:vAlign w:val="center"/>
          </w:tcPr>
          <w:p w14:paraId="2FD71E7A">
            <w:pPr>
              <w:spacing w:line="300" w:lineRule="auto"/>
              <w:jc w:val="center"/>
              <w:rPr>
                <w:rFonts w:ascii="黑体" w:hAnsi="Times New Roman" w:eastAsia="黑体" w:cs="Times New Roman"/>
                <w:b/>
                <w:color w:val="auto"/>
                <w:sz w:val="24"/>
                <w:highlight w:val="none"/>
              </w:rPr>
            </w:pPr>
          </w:p>
        </w:tc>
        <w:tc>
          <w:tcPr>
            <w:tcW w:w="540" w:type="dxa"/>
            <w:noWrap/>
            <w:vAlign w:val="center"/>
          </w:tcPr>
          <w:p w14:paraId="7A9626F3">
            <w:pPr>
              <w:spacing w:line="300" w:lineRule="auto"/>
              <w:jc w:val="center"/>
              <w:rPr>
                <w:rFonts w:ascii="黑体" w:hAnsi="Times New Roman" w:eastAsia="黑体" w:cs="Times New Roman"/>
                <w:b/>
                <w:color w:val="auto"/>
                <w:sz w:val="24"/>
                <w:highlight w:val="none"/>
              </w:rPr>
            </w:pPr>
          </w:p>
        </w:tc>
        <w:tc>
          <w:tcPr>
            <w:tcW w:w="900" w:type="dxa"/>
            <w:noWrap/>
            <w:vAlign w:val="center"/>
          </w:tcPr>
          <w:p w14:paraId="167F774C">
            <w:pPr>
              <w:spacing w:line="300" w:lineRule="auto"/>
              <w:jc w:val="center"/>
              <w:rPr>
                <w:rFonts w:ascii="黑体" w:hAnsi="Times New Roman" w:eastAsia="黑体" w:cs="Times New Roman"/>
                <w:b/>
                <w:color w:val="auto"/>
                <w:sz w:val="24"/>
                <w:highlight w:val="none"/>
              </w:rPr>
            </w:pPr>
          </w:p>
        </w:tc>
        <w:tc>
          <w:tcPr>
            <w:tcW w:w="720" w:type="dxa"/>
            <w:noWrap/>
            <w:vAlign w:val="center"/>
          </w:tcPr>
          <w:p w14:paraId="5E0FF367">
            <w:pPr>
              <w:spacing w:line="300" w:lineRule="auto"/>
              <w:jc w:val="center"/>
              <w:rPr>
                <w:rFonts w:ascii="黑体" w:hAnsi="Times New Roman" w:eastAsia="黑体" w:cs="Times New Roman"/>
                <w:b/>
                <w:color w:val="auto"/>
                <w:sz w:val="24"/>
                <w:highlight w:val="none"/>
              </w:rPr>
            </w:pPr>
          </w:p>
        </w:tc>
        <w:tc>
          <w:tcPr>
            <w:tcW w:w="900" w:type="dxa"/>
            <w:noWrap/>
            <w:vAlign w:val="center"/>
          </w:tcPr>
          <w:p w14:paraId="1A2649EB">
            <w:pPr>
              <w:spacing w:line="300" w:lineRule="auto"/>
              <w:jc w:val="center"/>
              <w:rPr>
                <w:rFonts w:ascii="黑体" w:hAnsi="Times New Roman" w:eastAsia="黑体" w:cs="Times New Roman"/>
                <w:b/>
                <w:color w:val="auto"/>
                <w:sz w:val="24"/>
                <w:highlight w:val="none"/>
              </w:rPr>
            </w:pPr>
          </w:p>
        </w:tc>
        <w:tc>
          <w:tcPr>
            <w:tcW w:w="1260" w:type="dxa"/>
            <w:noWrap/>
            <w:vAlign w:val="center"/>
          </w:tcPr>
          <w:p w14:paraId="033F64C4">
            <w:pPr>
              <w:spacing w:line="300" w:lineRule="auto"/>
              <w:jc w:val="center"/>
              <w:rPr>
                <w:rFonts w:ascii="黑体" w:hAnsi="Times New Roman" w:eastAsia="黑体" w:cs="Times New Roman"/>
                <w:b/>
                <w:color w:val="auto"/>
                <w:sz w:val="24"/>
                <w:highlight w:val="none"/>
              </w:rPr>
            </w:pPr>
          </w:p>
        </w:tc>
        <w:tc>
          <w:tcPr>
            <w:tcW w:w="1800" w:type="dxa"/>
            <w:noWrap/>
            <w:vAlign w:val="center"/>
          </w:tcPr>
          <w:p w14:paraId="3550AEF5">
            <w:pPr>
              <w:spacing w:line="300" w:lineRule="auto"/>
              <w:jc w:val="center"/>
              <w:rPr>
                <w:rFonts w:ascii="黑体" w:hAnsi="Times New Roman" w:eastAsia="黑体" w:cs="Times New Roman"/>
                <w:b/>
                <w:color w:val="auto"/>
                <w:sz w:val="24"/>
                <w:highlight w:val="none"/>
              </w:rPr>
            </w:pPr>
          </w:p>
        </w:tc>
        <w:tc>
          <w:tcPr>
            <w:tcW w:w="720" w:type="dxa"/>
            <w:noWrap/>
            <w:vAlign w:val="center"/>
          </w:tcPr>
          <w:p w14:paraId="65FEA481">
            <w:pPr>
              <w:spacing w:line="300" w:lineRule="auto"/>
              <w:jc w:val="center"/>
              <w:rPr>
                <w:rFonts w:ascii="黑体" w:hAnsi="Times New Roman" w:eastAsia="黑体" w:cs="Times New Roman"/>
                <w:b/>
                <w:color w:val="auto"/>
                <w:sz w:val="24"/>
                <w:highlight w:val="none"/>
              </w:rPr>
            </w:pPr>
          </w:p>
        </w:tc>
        <w:tc>
          <w:tcPr>
            <w:tcW w:w="720" w:type="dxa"/>
            <w:noWrap/>
            <w:vAlign w:val="center"/>
          </w:tcPr>
          <w:p w14:paraId="1FB1FD49">
            <w:pPr>
              <w:spacing w:line="300" w:lineRule="auto"/>
              <w:jc w:val="center"/>
              <w:rPr>
                <w:rFonts w:ascii="黑体" w:hAnsi="Times New Roman" w:eastAsia="黑体" w:cs="Times New Roman"/>
                <w:b/>
                <w:color w:val="auto"/>
                <w:sz w:val="24"/>
                <w:highlight w:val="none"/>
              </w:rPr>
            </w:pPr>
          </w:p>
        </w:tc>
      </w:tr>
      <w:tr w14:paraId="52E4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60AC63B8">
            <w:pPr>
              <w:spacing w:line="300" w:lineRule="auto"/>
              <w:jc w:val="center"/>
              <w:rPr>
                <w:rFonts w:ascii="黑体" w:hAnsi="Times New Roman" w:eastAsia="黑体" w:cs="Times New Roman"/>
                <w:b/>
                <w:color w:val="auto"/>
                <w:sz w:val="24"/>
                <w:highlight w:val="none"/>
              </w:rPr>
            </w:pPr>
          </w:p>
        </w:tc>
        <w:tc>
          <w:tcPr>
            <w:tcW w:w="1024" w:type="dxa"/>
            <w:noWrap/>
            <w:vAlign w:val="center"/>
          </w:tcPr>
          <w:p w14:paraId="42368310">
            <w:pPr>
              <w:spacing w:line="300" w:lineRule="auto"/>
              <w:jc w:val="center"/>
              <w:rPr>
                <w:rFonts w:ascii="黑体" w:hAnsi="Times New Roman" w:eastAsia="黑体" w:cs="Times New Roman"/>
                <w:b/>
                <w:color w:val="auto"/>
                <w:sz w:val="24"/>
                <w:highlight w:val="none"/>
              </w:rPr>
            </w:pPr>
          </w:p>
        </w:tc>
        <w:tc>
          <w:tcPr>
            <w:tcW w:w="900" w:type="dxa"/>
            <w:noWrap/>
            <w:vAlign w:val="center"/>
          </w:tcPr>
          <w:p w14:paraId="019A5CF0">
            <w:pPr>
              <w:spacing w:line="300" w:lineRule="auto"/>
              <w:jc w:val="center"/>
              <w:rPr>
                <w:rFonts w:ascii="黑体" w:hAnsi="Times New Roman" w:eastAsia="黑体" w:cs="Times New Roman"/>
                <w:b/>
                <w:color w:val="auto"/>
                <w:sz w:val="24"/>
                <w:highlight w:val="none"/>
              </w:rPr>
            </w:pPr>
          </w:p>
        </w:tc>
        <w:tc>
          <w:tcPr>
            <w:tcW w:w="540" w:type="dxa"/>
            <w:noWrap/>
            <w:vAlign w:val="center"/>
          </w:tcPr>
          <w:p w14:paraId="04652CBB">
            <w:pPr>
              <w:spacing w:line="300" w:lineRule="auto"/>
              <w:jc w:val="center"/>
              <w:rPr>
                <w:rFonts w:ascii="黑体" w:hAnsi="Times New Roman" w:eastAsia="黑体" w:cs="Times New Roman"/>
                <w:b/>
                <w:color w:val="auto"/>
                <w:sz w:val="24"/>
                <w:highlight w:val="none"/>
              </w:rPr>
            </w:pPr>
          </w:p>
        </w:tc>
        <w:tc>
          <w:tcPr>
            <w:tcW w:w="900" w:type="dxa"/>
            <w:noWrap/>
            <w:vAlign w:val="center"/>
          </w:tcPr>
          <w:p w14:paraId="04E6B13B">
            <w:pPr>
              <w:spacing w:line="300" w:lineRule="auto"/>
              <w:jc w:val="center"/>
              <w:rPr>
                <w:rFonts w:ascii="黑体" w:hAnsi="Times New Roman" w:eastAsia="黑体" w:cs="Times New Roman"/>
                <w:b/>
                <w:color w:val="auto"/>
                <w:sz w:val="24"/>
                <w:highlight w:val="none"/>
              </w:rPr>
            </w:pPr>
          </w:p>
        </w:tc>
        <w:tc>
          <w:tcPr>
            <w:tcW w:w="720" w:type="dxa"/>
            <w:noWrap/>
            <w:vAlign w:val="center"/>
          </w:tcPr>
          <w:p w14:paraId="2737148A">
            <w:pPr>
              <w:spacing w:line="300" w:lineRule="auto"/>
              <w:jc w:val="center"/>
              <w:rPr>
                <w:rFonts w:ascii="黑体" w:hAnsi="Times New Roman" w:eastAsia="黑体" w:cs="Times New Roman"/>
                <w:b/>
                <w:color w:val="auto"/>
                <w:sz w:val="24"/>
                <w:highlight w:val="none"/>
              </w:rPr>
            </w:pPr>
          </w:p>
        </w:tc>
        <w:tc>
          <w:tcPr>
            <w:tcW w:w="900" w:type="dxa"/>
            <w:noWrap/>
            <w:vAlign w:val="center"/>
          </w:tcPr>
          <w:p w14:paraId="29FF1856">
            <w:pPr>
              <w:spacing w:line="300" w:lineRule="auto"/>
              <w:jc w:val="center"/>
              <w:rPr>
                <w:rFonts w:ascii="黑体" w:hAnsi="Times New Roman" w:eastAsia="黑体" w:cs="Times New Roman"/>
                <w:b/>
                <w:color w:val="auto"/>
                <w:sz w:val="24"/>
                <w:highlight w:val="none"/>
              </w:rPr>
            </w:pPr>
          </w:p>
        </w:tc>
        <w:tc>
          <w:tcPr>
            <w:tcW w:w="1260" w:type="dxa"/>
            <w:noWrap/>
            <w:vAlign w:val="center"/>
          </w:tcPr>
          <w:p w14:paraId="062D1C8F">
            <w:pPr>
              <w:spacing w:line="300" w:lineRule="auto"/>
              <w:jc w:val="center"/>
              <w:rPr>
                <w:rFonts w:ascii="黑体" w:hAnsi="Times New Roman" w:eastAsia="黑体" w:cs="Times New Roman"/>
                <w:b/>
                <w:color w:val="auto"/>
                <w:sz w:val="24"/>
                <w:highlight w:val="none"/>
              </w:rPr>
            </w:pPr>
          </w:p>
        </w:tc>
        <w:tc>
          <w:tcPr>
            <w:tcW w:w="1800" w:type="dxa"/>
            <w:noWrap/>
            <w:vAlign w:val="center"/>
          </w:tcPr>
          <w:p w14:paraId="6F87A240">
            <w:pPr>
              <w:spacing w:line="300" w:lineRule="auto"/>
              <w:jc w:val="center"/>
              <w:rPr>
                <w:rFonts w:ascii="黑体" w:hAnsi="Times New Roman" w:eastAsia="黑体" w:cs="Times New Roman"/>
                <w:b/>
                <w:color w:val="auto"/>
                <w:sz w:val="24"/>
                <w:highlight w:val="none"/>
              </w:rPr>
            </w:pPr>
          </w:p>
        </w:tc>
        <w:tc>
          <w:tcPr>
            <w:tcW w:w="720" w:type="dxa"/>
            <w:noWrap/>
            <w:vAlign w:val="center"/>
          </w:tcPr>
          <w:p w14:paraId="79398050">
            <w:pPr>
              <w:spacing w:line="300" w:lineRule="auto"/>
              <w:jc w:val="center"/>
              <w:rPr>
                <w:rFonts w:ascii="黑体" w:hAnsi="Times New Roman" w:eastAsia="黑体" w:cs="Times New Roman"/>
                <w:b/>
                <w:color w:val="auto"/>
                <w:sz w:val="24"/>
                <w:highlight w:val="none"/>
              </w:rPr>
            </w:pPr>
          </w:p>
        </w:tc>
        <w:tc>
          <w:tcPr>
            <w:tcW w:w="720" w:type="dxa"/>
            <w:noWrap/>
            <w:vAlign w:val="center"/>
          </w:tcPr>
          <w:p w14:paraId="1AA3DDDA">
            <w:pPr>
              <w:spacing w:line="300" w:lineRule="auto"/>
              <w:jc w:val="center"/>
              <w:rPr>
                <w:rFonts w:ascii="黑体" w:hAnsi="Times New Roman" w:eastAsia="黑体" w:cs="Times New Roman"/>
                <w:b/>
                <w:color w:val="auto"/>
                <w:sz w:val="24"/>
                <w:highlight w:val="none"/>
              </w:rPr>
            </w:pPr>
          </w:p>
        </w:tc>
      </w:tr>
      <w:tr w14:paraId="3685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696D9CEF">
            <w:pPr>
              <w:spacing w:line="300" w:lineRule="auto"/>
              <w:jc w:val="center"/>
              <w:rPr>
                <w:rFonts w:ascii="黑体" w:hAnsi="Times New Roman" w:eastAsia="黑体" w:cs="Times New Roman"/>
                <w:b/>
                <w:color w:val="auto"/>
                <w:sz w:val="24"/>
                <w:highlight w:val="none"/>
              </w:rPr>
            </w:pPr>
          </w:p>
        </w:tc>
        <w:tc>
          <w:tcPr>
            <w:tcW w:w="1024" w:type="dxa"/>
            <w:noWrap/>
            <w:vAlign w:val="center"/>
          </w:tcPr>
          <w:p w14:paraId="0F1D087B">
            <w:pPr>
              <w:spacing w:line="300" w:lineRule="auto"/>
              <w:jc w:val="center"/>
              <w:rPr>
                <w:rFonts w:ascii="黑体" w:hAnsi="Times New Roman" w:eastAsia="黑体" w:cs="Times New Roman"/>
                <w:b/>
                <w:color w:val="auto"/>
                <w:sz w:val="24"/>
                <w:highlight w:val="none"/>
              </w:rPr>
            </w:pPr>
          </w:p>
        </w:tc>
        <w:tc>
          <w:tcPr>
            <w:tcW w:w="900" w:type="dxa"/>
            <w:noWrap/>
            <w:vAlign w:val="center"/>
          </w:tcPr>
          <w:p w14:paraId="21A4C7FB">
            <w:pPr>
              <w:spacing w:line="300" w:lineRule="auto"/>
              <w:jc w:val="center"/>
              <w:rPr>
                <w:rFonts w:ascii="黑体" w:hAnsi="Times New Roman" w:eastAsia="黑体" w:cs="Times New Roman"/>
                <w:b/>
                <w:color w:val="auto"/>
                <w:sz w:val="24"/>
                <w:highlight w:val="none"/>
              </w:rPr>
            </w:pPr>
          </w:p>
        </w:tc>
        <w:tc>
          <w:tcPr>
            <w:tcW w:w="540" w:type="dxa"/>
            <w:noWrap/>
            <w:vAlign w:val="center"/>
          </w:tcPr>
          <w:p w14:paraId="236317AF">
            <w:pPr>
              <w:spacing w:line="300" w:lineRule="auto"/>
              <w:jc w:val="center"/>
              <w:rPr>
                <w:rFonts w:ascii="黑体" w:hAnsi="Times New Roman" w:eastAsia="黑体" w:cs="Times New Roman"/>
                <w:b/>
                <w:color w:val="auto"/>
                <w:sz w:val="24"/>
                <w:highlight w:val="none"/>
              </w:rPr>
            </w:pPr>
          </w:p>
        </w:tc>
        <w:tc>
          <w:tcPr>
            <w:tcW w:w="900" w:type="dxa"/>
            <w:noWrap/>
            <w:vAlign w:val="center"/>
          </w:tcPr>
          <w:p w14:paraId="254E1FD9">
            <w:pPr>
              <w:spacing w:line="300" w:lineRule="auto"/>
              <w:jc w:val="center"/>
              <w:rPr>
                <w:rFonts w:ascii="黑体" w:hAnsi="Times New Roman" w:eastAsia="黑体" w:cs="Times New Roman"/>
                <w:b/>
                <w:color w:val="auto"/>
                <w:sz w:val="24"/>
                <w:highlight w:val="none"/>
              </w:rPr>
            </w:pPr>
          </w:p>
        </w:tc>
        <w:tc>
          <w:tcPr>
            <w:tcW w:w="720" w:type="dxa"/>
            <w:noWrap/>
            <w:vAlign w:val="center"/>
          </w:tcPr>
          <w:p w14:paraId="75B95345">
            <w:pPr>
              <w:spacing w:line="300" w:lineRule="auto"/>
              <w:jc w:val="center"/>
              <w:rPr>
                <w:rFonts w:ascii="黑体" w:hAnsi="Times New Roman" w:eastAsia="黑体" w:cs="Times New Roman"/>
                <w:b/>
                <w:color w:val="auto"/>
                <w:sz w:val="24"/>
                <w:highlight w:val="none"/>
              </w:rPr>
            </w:pPr>
          </w:p>
        </w:tc>
        <w:tc>
          <w:tcPr>
            <w:tcW w:w="900" w:type="dxa"/>
            <w:noWrap/>
            <w:vAlign w:val="center"/>
          </w:tcPr>
          <w:p w14:paraId="122983C5">
            <w:pPr>
              <w:spacing w:line="300" w:lineRule="auto"/>
              <w:jc w:val="center"/>
              <w:rPr>
                <w:rFonts w:ascii="黑体" w:hAnsi="Times New Roman" w:eastAsia="黑体" w:cs="Times New Roman"/>
                <w:b/>
                <w:color w:val="auto"/>
                <w:sz w:val="24"/>
                <w:highlight w:val="none"/>
              </w:rPr>
            </w:pPr>
          </w:p>
        </w:tc>
        <w:tc>
          <w:tcPr>
            <w:tcW w:w="1260" w:type="dxa"/>
            <w:noWrap/>
            <w:vAlign w:val="center"/>
          </w:tcPr>
          <w:p w14:paraId="2DBD9F79">
            <w:pPr>
              <w:spacing w:line="300" w:lineRule="auto"/>
              <w:jc w:val="center"/>
              <w:rPr>
                <w:rFonts w:ascii="黑体" w:hAnsi="Times New Roman" w:eastAsia="黑体" w:cs="Times New Roman"/>
                <w:b/>
                <w:color w:val="auto"/>
                <w:sz w:val="24"/>
                <w:highlight w:val="none"/>
              </w:rPr>
            </w:pPr>
          </w:p>
        </w:tc>
        <w:tc>
          <w:tcPr>
            <w:tcW w:w="1800" w:type="dxa"/>
            <w:noWrap/>
            <w:vAlign w:val="center"/>
          </w:tcPr>
          <w:p w14:paraId="7D72A960">
            <w:pPr>
              <w:spacing w:line="300" w:lineRule="auto"/>
              <w:jc w:val="center"/>
              <w:rPr>
                <w:rFonts w:ascii="黑体" w:hAnsi="Times New Roman" w:eastAsia="黑体" w:cs="Times New Roman"/>
                <w:b/>
                <w:color w:val="auto"/>
                <w:sz w:val="24"/>
                <w:highlight w:val="none"/>
              </w:rPr>
            </w:pPr>
          </w:p>
        </w:tc>
        <w:tc>
          <w:tcPr>
            <w:tcW w:w="720" w:type="dxa"/>
            <w:noWrap/>
            <w:vAlign w:val="center"/>
          </w:tcPr>
          <w:p w14:paraId="51BC4072">
            <w:pPr>
              <w:spacing w:line="300" w:lineRule="auto"/>
              <w:jc w:val="center"/>
              <w:rPr>
                <w:rFonts w:ascii="黑体" w:hAnsi="Times New Roman" w:eastAsia="黑体" w:cs="Times New Roman"/>
                <w:b/>
                <w:color w:val="auto"/>
                <w:sz w:val="24"/>
                <w:highlight w:val="none"/>
              </w:rPr>
            </w:pPr>
          </w:p>
        </w:tc>
        <w:tc>
          <w:tcPr>
            <w:tcW w:w="720" w:type="dxa"/>
            <w:noWrap/>
            <w:vAlign w:val="center"/>
          </w:tcPr>
          <w:p w14:paraId="4DCBDE89">
            <w:pPr>
              <w:spacing w:line="300" w:lineRule="auto"/>
              <w:jc w:val="center"/>
              <w:rPr>
                <w:rFonts w:ascii="黑体" w:hAnsi="Times New Roman" w:eastAsia="黑体" w:cs="Times New Roman"/>
                <w:b/>
                <w:color w:val="auto"/>
                <w:sz w:val="24"/>
                <w:highlight w:val="none"/>
              </w:rPr>
            </w:pPr>
          </w:p>
        </w:tc>
      </w:tr>
      <w:tr w14:paraId="3EFC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6C30E71D">
            <w:pPr>
              <w:spacing w:line="300" w:lineRule="auto"/>
              <w:jc w:val="center"/>
              <w:rPr>
                <w:rFonts w:ascii="黑体" w:hAnsi="Times New Roman" w:eastAsia="黑体" w:cs="Times New Roman"/>
                <w:b/>
                <w:color w:val="auto"/>
                <w:sz w:val="24"/>
                <w:highlight w:val="none"/>
              </w:rPr>
            </w:pPr>
          </w:p>
        </w:tc>
        <w:tc>
          <w:tcPr>
            <w:tcW w:w="1024" w:type="dxa"/>
            <w:noWrap/>
            <w:vAlign w:val="center"/>
          </w:tcPr>
          <w:p w14:paraId="2A11A5F7">
            <w:pPr>
              <w:spacing w:line="300" w:lineRule="auto"/>
              <w:jc w:val="center"/>
              <w:rPr>
                <w:rFonts w:ascii="黑体" w:hAnsi="Times New Roman" w:eastAsia="黑体" w:cs="Times New Roman"/>
                <w:b/>
                <w:color w:val="auto"/>
                <w:sz w:val="24"/>
                <w:highlight w:val="none"/>
              </w:rPr>
            </w:pPr>
          </w:p>
        </w:tc>
        <w:tc>
          <w:tcPr>
            <w:tcW w:w="900" w:type="dxa"/>
            <w:noWrap/>
            <w:vAlign w:val="center"/>
          </w:tcPr>
          <w:p w14:paraId="4A12AB53">
            <w:pPr>
              <w:spacing w:line="300" w:lineRule="auto"/>
              <w:jc w:val="center"/>
              <w:rPr>
                <w:rFonts w:ascii="黑体" w:hAnsi="Times New Roman" w:eastAsia="黑体" w:cs="Times New Roman"/>
                <w:b/>
                <w:color w:val="auto"/>
                <w:sz w:val="24"/>
                <w:highlight w:val="none"/>
              </w:rPr>
            </w:pPr>
          </w:p>
        </w:tc>
        <w:tc>
          <w:tcPr>
            <w:tcW w:w="540" w:type="dxa"/>
            <w:noWrap/>
            <w:vAlign w:val="center"/>
          </w:tcPr>
          <w:p w14:paraId="3085BCBD">
            <w:pPr>
              <w:spacing w:line="300" w:lineRule="auto"/>
              <w:jc w:val="center"/>
              <w:rPr>
                <w:rFonts w:ascii="黑体" w:hAnsi="Times New Roman" w:eastAsia="黑体" w:cs="Times New Roman"/>
                <w:b/>
                <w:color w:val="auto"/>
                <w:sz w:val="24"/>
                <w:highlight w:val="none"/>
              </w:rPr>
            </w:pPr>
          </w:p>
        </w:tc>
        <w:tc>
          <w:tcPr>
            <w:tcW w:w="900" w:type="dxa"/>
            <w:noWrap/>
            <w:vAlign w:val="center"/>
          </w:tcPr>
          <w:p w14:paraId="465B5F7A">
            <w:pPr>
              <w:spacing w:line="300" w:lineRule="auto"/>
              <w:jc w:val="center"/>
              <w:rPr>
                <w:rFonts w:ascii="黑体" w:hAnsi="Times New Roman" w:eastAsia="黑体" w:cs="Times New Roman"/>
                <w:b/>
                <w:color w:val="auto"/>
                <w:sz w:val="24"/>
                <w:highlight w:val="none"/>
              </w:rPr>
            </w:pPr>
          </w:p>
        </w:tc>
        <w:tc>
          <w:tcPr>
            <w:tcW w:w="720" w:type="dxa"/>
            <w:noWrap/>
            <w:vAlign w:val="center"/>
          </w:tcPr>
          <w:p w14:paraId="10E6527E">
            <w:pPr>
              <w:spacing w:line="300" w:lineRule="auto"/>
              <w:jc w:val="center"/>
              <w:rPr>
                <w:rFonts w:ascii="黑体" w:hAnsi="Times New Roman" w:eastAsia="黑体" w:cs="Times New Roman"/>
                <w:b/>
                <w:color w:val="auto"/>
                <w:sz w:val="24"/>
                <w:highlight w:val="none"/>
              </w:rPr>
            </w:pPr>
          </w:p>
        </w:tc>
        <w:tc>
          <w:tcPr>
            <w:tcW w:w="900" w:type="dxa"/>
            <w:noWrap/>
            <w:vAlign w:val="center"/>
          </w:tcPr>
          <w:p w14:paraId="78B187EA">
            <w:pPr>
              <w:spacing w:line="300" w:lineRule="auto"/>
              <w:jc w:val="center"/>
              <w:rPr>
                <w:rFonts w:ascii="黑体" w:hAnsi="Times New Roman" w:eastAsia="黑体" w:cs="Times New Roman"/>
                <w:b/>
                <w:color w:val="auto"/>
                <w:sz w:val="24"/>
                <w:highlight w:val="none"/>
              </w:rPr>
            </w:pPr>
          </w:p>
        </w:tc>
        <w:tc>
          <w:tcPr>
            <w:tcW w:w="1260" w:type="dxa"/>
            <w:noWrap/>
            <w:vAlign w:val="center"/>
          </w:tcPr>
          <w:p w14:paraId="300C31CF">
            <w:pPr>
              <w:spacing w:line="300" w:lineRule="auto"/>
              <w:jc w:val="center"/>
              <w:rPr>
                <w:rFonts w:ascii="黑体" w:hAnsi="Times New Roman" w:eastAsia="黑体" w:cs="Times New Roman"/>
                <w:b/>
                <w:color w:val="auto"/>
                <w:sz w:val="24"/>
                <w:highlight w:val="none"/>
              </w:rPr>
            </w:pPr>
          </w:p>
        </w:tc>
        <w:tc>
          <w:tcPr>
            <w:tcW w:w="1800" w:type="dxa"/>
            <w:noWrap/>
            <w:vAlign w:val="center"/>
          </w:tcPr>
          <w:p w14:paraId="707DBA0A">
            <w:pPr>
              <w:spacing w:line="300" w:lineRule="auto"/>
              <w:jc w:val="center"/>
              <w:rPr>
                <w:rFonts w:ascii="黑体" w:hAnsi="Times New Roman" w:eastAsia="黑体" w:cs="Times New Roman"/>
                <w:b/>
                <w:color w:val="auto"/>
                <w:sz w:val="24"/>
                <w:highlight w:val="none"/>
              </w:rPr>
            </w:pPr>
          </w:p>
        </w:tc>
        <w:tc>
          <w:tcPr>
            <w:tcW w:w="720" w:type="dxa"/>
            <w:noWrap/>
            <w:vAlign w:val="center"/>
          </w:tcPr>
          <w:p w14:paraId="31E3E193">
            <w:pPr>
              <w:spacing w:line="300" w:lineRule="auto"/>
              <w:jc w:val="center"/>
              <w:rPr>
                <w:rFonts w:ascii="黑体" w:hAnsi="Times New Roman" w:eastAsia="黑体" w:cs="Times New Roman"/>
                <w:b/>
                <w:color w:val="auto"/>
                <w:sz w:val="24"/>
                <w:highlight w:val="none"/>
              </w:rPr>
            </w:pPr>
          </w:p>
        </w:tc>
        <w:tc>
          <w:tcPr>
            <w:tcW w:w="720" w:type="dxa"/>
            <w:noWrap/>
            <w:vAlign w:val="center"/>
          </w:tcPr>
          <w:p w14:paraId="28CAF09F">
            <w:pPr>
              <w:spacing w:line="300" w:lineRule="auto"/>
              <w:jc w:val="center"/>
              <w:rPr>
                <w:rFonts w:ascii="黑体" w:hAnsi="Times New Roman" w:eastAsia="黑体" w:cs="Times New Roman"/>
                <w:b/>
                <w:color w:val="auto"/>
                <w:sz w:val="24"/>
                <w:highlight w:val="none"/>
              </w:rPr>
            </w:pPr>
          </w:p>
        </w:tc>
      </w:tr>
      <w:tr w14:paraId="45A2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6F4D6057">
            <w:pPr>
              <w:spacing w:line="300" w:lineRule="auto"/>
              <w:jc w:val="center"/>
              <w:rPr>
                <w:rFonts w:ascii="黑体" w:hAnsi="Times New Roman" w:eastAsia="黑体" w:cs="Times New Roman"/>
                <w:b/>
                <w:color w:val="auto"/>
                <w:sz w:val="24"/>
                <w:highlight w:val="none"/>
              </w:rPr>
            </w:pPr>
          </w:p>
        </w:tc>
        <w:tc>
          <w:tcPr>
            <w:tcW w:w="1024" w:type="dxa"/>
            <w:noWrap/>
            <w:vAlign w:val="center"/>
          </w:tcPr>
          <w:p w14:paraId="65C850E8">
            <w:pPr>
              <w:spacing w:line="300" w:lineRule="auto"/>
              <w:jc w:val="center"/>
              <w:rPr>
                <w:rFonts w:ascii="黑体" w:hAnsi="Times New Roman" w:eastAsia="黑体" w:cs="Times New Roman"/>
                <w:b/>
                <w:color w:val="auto"/>
                <w:sz w:val="24"/>
                <w:highlight w:val="none"/>
              </w:rPr>
            </w:pPr>
          </w:p>
        </w:tc>
        <w:tc>
          <w:tcPr>
            <w:tcW w:w="900" w:type="dxa"/>
            <w:noWrap/>
            <w:vAlign w:val="center"/>
          </w:tcPr>
          <w:p w14:paraId="3946CA12">
            <w:pPr>
              <w:spacing w:line="300" w:lineRule="auto"/>
              <w:jc w:val="center"/>
              <w:rPr>
                <w:rFonts w:ascii="黑体" w:hAnsi="Times New Roman" w:eastAsia="黑体" w:cs="Times New Roman"/>
                <w:b/>
                <w:color w:val="auto"/>
                <w:sz w:val="24"/>
                <w:highlight w:val="none"/>
              </w:rPr>
            </w:pPr>
          </w:p>
        </w:tc>
        <w:tc>
          <w:tcPr>
            <w:tcW w:w="540" w:type="dxa"/>
            <w:noWrap/>
            <w:vAlign w:val="center"/>
          </w:tcPr>
          <w:p w14:paraId="4F204301">
            <w:pPr>
              <w:spacing w:line="300" w:lineRule="auto"/>
              <w:jc w:val="center"/>
              <w:rPr>
                <w:rFonts w:ascii="黑体" w:hAnsi="Times New Roman" w:eastAsia="黑体" w:cs="Times New Roman"/>
                <w:b/>
                <w:color w:val="auto"/>
                <w:sz w:val="24"/>
                <w:highlight w:val="none"/>
              </w:rPr>
            </w:pPr>
          </w:p>
        </w:tc>
        <w:tc>
          <w:tcPr>
            <w:tcW w:w="900" w:type="dxa"/>
            <w:noWrap/>
            <w:vAlign w:val="center"/>
          </w:tcPr>
          <w:p w14:paraId="1412716C">
            <w:pPr>
              <w:spacing w:line="300" w:lineRule="auto"/>
              <w:jc w:val="center"/>
              <w:rPr>
                <w:rFonts w:ascii="黑体" w:hAnsi="Times New Roman" w:eastAsia="黑体" w:cs="Times New Roman"/>
                <w:b/>
                <w:color w:val="auto"/>
                <w:sz w:val="24"/>
                <w:highlight w:val="none"/>
              </w:rPr>
            </w:pPr>
          </w:p>
        </w:tc>
        <w:tc>
          <w:tcPr>
            <w:tcW w:w="720" w:type="dxa"/>
            <w:noWrap/>
            <w:vAlign w:val="center"/>
          </w:tcPr>
          <w:p w14:paraId="2161CD62">
            <w:pPr>
              <w:spacing w:line="300" w:lineRule="auto"/>
              <w:jc w:val="center"/>
              <w:rPr>
                <w:rFonts w:ascii="黑体" w:hAnsi="Times New Roman" w:eastAsia="黑体" w:cs="Times New Roman"/>
                <w:b/>
                <w:color w:val="auto"/>
                <w:sz w:val="24"/>
                <w:highlight w:val="none"/>
              </w:rPr>
            </w:pPr>
          </w:p>
        </w:tc>
        <w:tc>
          <w:tcPr>
            <w:tcW w:w="900" w:type="dxa"/>
            <w:noWrap/>
            <w:vAlign w:val="center"/>
          </w:tcPr>
          <w:p w14:paraId="5E03DEC3">
            <w:pPr>
              <w:spacing w:line="300" w:lineRule="auto"/>
              <w:jc w:val="center"/>
              <w:rPr>
                <w:rFonts w:ascii="黑体" w:hAnsi="Times New Roman" w:eastAsia="黑体" w:cs="Times New Roman"/>
                <w:b/>
                <w:color w:val="auto"/>
                <w:sz w:val="24"/>
                <w:highlight w:val="none"/>
              </w:rPr>
            </w:pPr>
          </w:p>
        </w:tc>
        <w:tc>
          <w:tcPr>
            <w:tcW w:w="1260" w:type="dxa"/>
            <w:noWrap/>
            <w:vAlign w:val="center"/>
          </w:tcPr>
          <w:p w14:paraId="53EE42F0">
            <w:pPr>
              <w:spacing w:line="300" w:lineRule="auto"/>
              <w:jc w:val="center"/>
              <w:rPr>
                <w:rFonts w:ascii="黑体" w:hAnsi="Times New Roman" w:eastAsia="黑体" w:cs="Times New Roman"/>
                <w:b/>
                <w:color w:val="auto"/>
                <w:sz w:val="24"/>
                <w:highlight w:val="none"/>
              </w:rPr>
            </w:pPr>
          </w:p>
        </w:tc>
        <w:tc>
          <w:tcPr>
            <w:tcW w:w="1800" w:type="dxa"/>
            <w:noWrap/>
            <w:vAlign w:val="center"/>
          </w:tcPr>
          <w:p w14:paraId="44A7EF16">
            <w:pPr>
              <w:spacing w:line="300" w:lineRule="auto"/>
              <w:jc w:val="center"/>
              <w:rPr>
                <w:rFonts w:ascii="黑体" w:hAnsi="Times New Roman" w:eastAsia="黑体" w:cs="Times New Roman"/>
                <w:b/>
                <w:color w:val="auto"/>
                <w:sz w:val="24"/>
                <w:highlight w:val="none"/>
              </w:rPr>
            </w:pPr>
          </w:p>
        </w:tc>
        <w:tc>
          <w:tcPr>
            <w:tcW w:w="720" w:type="dxa"/>
            <w:noWrap/>
            <w:vAlign w:val="center"/>
          </w:tcPr>
          <w:p w14:paraId="46E520F6">
            <w:pPr>
              <w:spacing w:line="300" w:lineRule="auto"/>
              <w:jc w:val="center"/>
              <w:rPr>
                <w:rFonts w:ascii="黑体" w:hAnsi="Times New Roman" w:eastAsia="黑体" w:cs="Times New Roman"/>
                <w:b/>
                <w:color w:val="auto"/>
                <w:sz w:val="24"/>
                <w:highlight w:val="none"/>
              </w:rPr>
            </w:pPr>
          </w:p>
        </w:tc>
        <w:tc>
          <w:tcPr>
            <w:tcW w:w="720" w:type="dxa"/>
            <w:noWrap/>
            <w:vAlign w:val="center"/>
          </w:tcPr>
          <w:p w14:paraId="2E76EFA7">
            <w:pPr>
              <w:spacing w:line="300" w:lineRule="auto"/>
              <w:jc w:val="center"/>
              <w:rPr>
                <w:rFonts w:ascii="黑体" w:hAnsi="Times New Roman" w:eastAsia="黑体" w:cs="Times New Roman"/>
                <w:b/>
                <w:color w:val="auto"/>
                <w:sz w:val="24"/>
                <w:highlight w:val="none"/>
              </w:rPr>
            </w:pPr>
          </w:p>
        </w:tc>
      </w:tr>
      <w:tr w14:paraId="6A36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6D379A02">
            <w:pPr>
              <w:spacing w:line="300" w:lineRule="auto"/>
              <w:jc w:val="center"/>
              <w:rPr>
                <w:rFonts w:ascii="黑体" w:hAnsi="Times New Roman" w:eastAsia="黑体" w:cs="Times New Roman"/>
                <w:b/>
                <w:color w:val="auto"/>
                <w:sz w:val="24"/>
                <w:highlight w:val="none"/>
              </w:rPr>
            </w:pPr>
          </w:p>
        </w:tc>
        <w:tc>
          <w:tcPr>
            <w:tcW w:w="1024" w:type="dxa"/>
            <w:noWrap/>
            <w:vAlign w:val="center"/>
          </w:tcPr>
          <w:p w14:paraId="539A564F">
            <w:pPr>
              <w:spacing w:line="300" w:lineRule="auto"/>
              <w:jc w:val="center"/>
              <w:rPr>
                <w:rFonts w:ascii="黑体" w:hAnsi="Times New Roman" w:eastAsia="黑体" w:cs="Times New Roman"/>
                <w:b/>
                <w:color w:val="auto"/>
                <w:sz w:val="24"/>
                <w:highlight w:val="none"/>
              </w:rPr>
            </w:pPr>
          </w:p>
        </w:tc>
        <w:tc>
          <w:tcPr>
            <w:tcW w:w="900" w:type="dxa"/>
            <w:noWrap/>
            <w:vAlign w:val="center"/>
          </w:tcPr>
          <w:p w14:paraId="11EE4D31">
            <w:pPr>
              <w:spacing w:line="300" w:lineRule="auto"/>
              <w:jc w:val="center"/>
              <w:rPr>
                <w:rFonts w:ascii="黑体" w:hAnsi="Times New Roman" w:eastAsia="黑体" w:cs="Times New Roman"/>
                <w:b/>
                <w:color w:val="auto"/>
                <w:sz w:val="24"/>
                <w:highlight w:val="none"/>
              </w:rPr>
            </w:pPr>
          </w:p>
        </w:tc>
        <w:tc>
          <w:tcPr>
            <w:tcW w:w="540" w:type="dxa"/>
            <w:noWrap/>
            <w:vAlign w:val="center"/>
          </w:tcPr>
          <w:p w14:paraId="477C7947">
            <w:pPr>
              <w:spacing w:line="300" w:lineRule="auto"/>
              <w:jc w:val="center"/>
              <w:rPr>
                <w:rFonts w:ascii="黑体" w:hAnsi="Times New Roman" w:eastAsia="黑体" w:cs="Times New Roman"/>
                <w:b/>
                <w:color w:val="auto"/>
                <w:sz w:val="24"/>
                <w:highlight w:val="none"/>
              </w:rPr>
            </w:pPr>
          </w:p>
        </w:tc>
        <w:tc>
          <w:tcPr>
            <w:tcW w:w="900" w:type="dxa"/>
            <w:noWrap/>
            <w:vAlign w:val="center"/>
          </w:tcPr>
          <w:p w14:paraId="65D88F20">
            <w:pPr>
              <w:spacing w:line="300" w:lineRule="auto"/>
              <w:jc w:val="center"/>
              <w:rPr>
                <w:rFonts w:ascii="黑体" w:hAnsi="Times New Roman" w:eastAsia="黑体" w:cs="Times New Roman"/>
                <w:b/>
                <w:color w:val="auto"/>
                <w:sz w:val="24"/>
                <w:highlight w:val="none"/>
              </w:rPr>
            </w:pPr>
          </w:p>
        </w:tc>
        <w:tc>
          <w:tcPr>
            <w:tcW w:w="720" w:type="dxa"/>
            <w:noWrap/>
            <w:vAlign w:val="center"/>
          </w:tcPr>
          <w:p w14:paraId="7AA7E2D7">
            <w:pPr>
              <w:spacing w:line="300" w:lineRule="auto"/>
              <w:jc w:val="center"/>
              <w:rPr>
                <w:rFonts w:ascii="黑体" w:hAnsi="Times New Roman" w:eastAsia="黑体" w:cs="Times New Roman"/>
                <w:b/>
                <w:color w:val="auto"/>
                <w:sz w:val="24"/>
                <w:highlight w:val="none"/>
              </w:rPr>
            </w:pPr>
          </w:p>
        </w:tc>
        <w:tc>
          <w:tcPr>
            <w:tcW w:w="900" w:type="dxa"/>
            <w:noWrap/>
            <w:vAlign w:val="center"/>
          </w:tcPr>
          <w:p w14:paraId="1B71B56B">
            <w:pPr>
              <w:spacing w:line="300" w:lineRule="auto"/>
              <w:jc w:val="center"/>
              <w:rPr>
                <w:rFonts w:ascii="黑体" w:hAnsi="Times New Roman" w:eastAsia="黑体" w:cs="Times New Roman"/>
                <w:b/>
                <w:color w:val="auto"/>
                <w:sz w:val="24"/>
                <w:highlight w:val="none"/>
              </w:rPr>
            </w:pPr>
          </w:p>
        </w:tc>
        <w:tc>
          <w:tcPr>
            <w:tcW w:w="1260" w:type="dxa"/>
            <w:noWrap/>
            <w:vAlign w:val="center"/>
          </w:tcPr>
          <w:p w14:paraId="389F554E">
            <w:pPr>
              <w:spacing w:line="300" w:lineRule="auto"/>
              <w:jc w:val="center"/>
              <w:rPr>
                <w:rFonts w:ascii="黑体" w:hAnsi="Times New Roman" w:eastAsia="黑体" w:cs="Times New Roman"/>
                <w:b/>
                <w:color w:val="auto"/>
                <w:sz w:val="24"/>
                <w:highlight w:val="none"/>
              </w:rPr>
            </w:pPr>
          </w:p>
        </w:tc>
        <w:tc>
          <w:tcPr>
            <w:tcW w:w="1800" w:type="dxa"/>
            <w:noWrap/>
            <w:vAlign w:val="center"/>
          </w:tcPr>
          <w:p w14:paraId="680688F2">
            <w:pPr>
              <w:spacing w:line="300" w:lineRule="auto"/>
              <w:jc w:val="center"/>
              <w:rPr>
                <w:rFonts w:ascii="黑体" w:hAnsi="Times New Roman" w:eastAsia="黑体" w:cs="Times New Roman"/>
                <w:b/>
                <w:color w:val="auto"/>
                <w:sz w:val="24"/>
                <w:highlight w:val="none"/>
              </w:rPr>
            </w:pPr>
          </w:p>
        </w:tc>
        <w:tc>
          <w:tcPr>
            <w:tcW w:w="720" w:type="dxa"/>
            <w:noWrap/>
            <w:vAlign w:val="center"/>
          </w:tcPr>
          <w:p w14:paraId="009113A5">
            <w:pPr>
              <w:spacing w:line="300" w:lineRule="auto"/>
              <w:jc w:val="center"/>
              <w:rPr>
                <w:rFonts w:ascii="黑体" w:hAnsi="Times New Roman" w:eastAsia="黑体" w:cs="Times New Roman"/>
                <w:b/>
                <w:color w:val="auto"/>
                <w:sz w:val="24"/>
                <w:highlight w:val="none"/>
              </w:rPr>
            </w:pPr>
          </w:p>
        </w:tc>
        <w:tc>
          <w:tcPr>
            <w:tcW w:w="720" w:type="dxa"/>
            <w:noWrap/>
            <w:vAlign w:val="center"/>
          </w:tcPr>
          <w:p w14:paraId="4D7B454D">
            <w:pPr>
              <w:spacing w:line="300" w:lineRule="auto"/>
              <w:jc w:val="center"/>
              <w:rPr>
                <w:rFonts w:ascii="黑体" w:hAnsi="Times New Roman" w:eastAsia="黑体" w:cs="Times New Roman"/>
                <w:b/>
                <w:color w:val="auto"/>
                <w:sz w:val="24"/>
                <w:highlight w:val="none"/>
              </w:rPr>
            </w:pPr>
          </w:p>
        </w:tc>
      </w:tr>
      <w:tr w14:paraId="44A9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21EF631D">
            <w:pPr>
              <w:spacing w:line="300" w:lineRule="auto"/>
              <w:jc w:val="center"/>
              <w:rPr>
                <w:rFonts w:ascii="黑体" w:hAnsi="Times New Roman" w:eastAsia="黑体" w:cs="Times New Roman"/>
                <w:b/>
                <w:color w:val="auto"/>
                <w:sz w:val="24"/>
                <w:highlight w:val="none"/>
              </w:rPr>
            </w:pPr>
          </w:p>
        </w:tc>
        <w:tc>
          <w:tcPr>
            <w:tcW w:w="1024" w:type="dxa"/>
            <w:noWrap/>
            <w:vAlign w:val="center"/>
          </w:tcPr>
          <w:p w14:paraId="743DD60C">
            <w:pPr>
              <w:spacing w:line="300" w:lineRule="auto"/>
              <w:jc w:val="center"/>
              <w:rPr>
                <w:rFonts w:ascii="黑体" w:hAnsi="Times New Roman" w:eastAsia="黑体" w:cs="Times New Roman"/>
                <w:b/>
                <w:color w:val="auto"/>
                <w:sz w:val="24"/>
                <w:highlight w:val="none"/>
              </w:rPr>
            </w:pPr>
          </w:p>
        </w:tc>
        <w:tc>
          <w:tcPr>
            <w:tcW w:w="900" w:type="dxa"/>
            <w:noWrap/>
            <w:vAlign w:val="center"/>
          </w:tcPr>
          <w:p w14:paraId="31C86FC3">
            <w:pPr>
              <w:spacing w:line="300" w:lineRule="auto"/>
              <w:jc w:val="center"/>
              <w:rPr>
                <w:rFonts w:ascii="黑体" w:hAnsi="Times New Roman" w:eastAsia="黑体" w:cs="Times New Roman"/>
                <w:b/>
                <w:color w:val="auto"/>
                <w:sz w:val="24"/>
                <w:highlight w:val="none"/>
              </w:rPr>
            </w:pPr>
          </w:p>
        </w:tc>
        <w:tc>
          <w:tcPr>
            <w:tcW w:w="540" w:type="dxa"/>
            <w:noWrap/>
            <w:vAlign w:val="center"/>
          </w:tcPr>
          <w:p w14:paraId="7B2FC7E9">
            <w:pPr>
              <w:spacing w:line="300" w:lineRule="auto"/>
              <w:jc w:val="center"/>
              <w:rPr>
                <w:rFonts w:ascii="黑体" w:hAnsi="Times New Roman" w:eastAsia="黑体" w:cs="Times New Roman"/>
                <w:b/>
                <w:color w:val="auto"/>
                <w:sz w:val="24"/>
                <w:highlight w:val="none"/>
              </w:rPr>
            </w:pPr>
          </w:p>
        </w:tc>
        <w:tc>
          <w:tcPr>
            <w:tcW w:w="900" w:type="dxa"/>
            <w:noWrap/>
            <w:vAlign w:val="center"/>
          </w:tcPr>
          <w:p w14:paraId="015C2B0B">
            <w:pPr>
              <w:spacing w:line="300" w:lineRule="auto"/>
              <w:jc w:val="center"/>
              <w:rPr>
                <w:rFonts w:ascii="黑体" w:hAnsi="Times New Roman" w:eastAsia="黑体" w:cs="Times New Roman"/>
                <w:b/>
                <w:color w:val="auto"/>
                <w:sz w:val="24"/>
                <w:highlight w:val="none"/>
              </w:rPr>
            </w:pPr>
          </w:p>
        </w:tc>
        <w:tc>
          <w:tcPr>
            <w:tcW w:w="720" w:type="dxa"/>
            <w:noWrap/>
            <w:vAlign w:val="center"/>
          </w:tcPr>
          <w:p w14:paraId="4930E8D1">
            <w:pPr>
              <w:spacing w:line="300" w:lineRule="auto"/>
              <w:jc w:val="center"/>
              <w:rPr>
                <w:rFonts w:ascii="黑体" w:hAnsi="Times New Roman" w:eastAsia="黑体" w:cs="Times New Roman"/>
                <w:b/>
                <w:color w:val="auto"/>
                <w:sz w:val="24"/>
                <w:highlight w:val="none"/>
              </w:rPr>
            </w:pPr>
          </w:p>
        </w:tc>
        <w:tc>
          <w:tcPr>
            <w:tcW w:w="900" w:type="dxa"/>
            <w:noWrap/>
            <w:vAlign w:val="center"/>
          </w:tcPr>
          <w:p w14:paraId="34A2F716">
            <w:pPr>
              <w:spacing w:line="300" w:lineRule="auto"/>
              <w:jc w:val="center"/>
              <w:rPr>
                <w:rFonts w:ascii="黑体" w:hAnsi="Times New Roman" w:eastAsia="黑体" w:cs="Times New Roman"/>
                <w:b/>
                <w:color w:val="auto"/>
                <w:sz w:val="24"/>
                <w:highlight w:val="none"/>
              </w:rPr>
            </w:pPr>
          </w:p>
        </w:tc>
        <w:tc>
          <w:tcPr>
            <w:tcW w:w="1260" w:type="dxa"/>
            <w:noWrap/>
            <w:vAlign w:val="center"/>
          </w:tcPr>
          <w:p w14:paraId="78691712">
            <w:pPr>
              <w:spacing w:line="300" w:lineRule="auto"/>
              <w:jc w:val="center"/>
              <w:rPr>
                <w:rFonts w:ascii="黑体" w:hAnsi="Times New Roman" w:eastAsia="黑体" w:cs="Times New Roman"/>
                <w:b/>
                <w:color w:val="auto"/>
                <w:sz w:val="24"/>
                <w:highlight w:val="none"/>
              </w:rPr>
            </w:pPr>
          </w:p>
        </w:tc>
        <w:tc>
          <w:tcPr>
            <w:tcW w:w="1800" w:type="dxa"/>
            <w:noWrap/>
            <w:vAlign w:val="center"/>
          </w:tcPr>
          <w:p w14:paraId="51740D32">
            <w:pPr>
              <w:spacing w:line="300" w:lineRule="auto"/>
              <w:jc w:val="center"/>
              <w:rPr>
                <w:rFonts w:ascii="黑体" w:hAnsi="Times New Roman" w:eastAsia="黑体" w:cs="Times New Roman"/>
                <w:b/>
                <w:color w:val="auto"/>
                <w:sz w:val="24"/>
                <w:highlight w:val="none"/>
              </w:rPr>
            </w:pPr>
          </w:p>
        </w:tc>
        <w:tc>
          <w:tcPr>
            <w:tcW w:w="720" w:type="dxa"/>
            <w:noWrap/>
            <w:vAlign w:val="center"/>
          </w:tcPr>
          <w:p w14:paraId="3CFE0B04">
            <w:pPr>
              <w:spacing w:line="300" w:lineRule="auto"/>
              <w:jc w:val="center"/>
              <w:rPr>
                <w:rFonts w:ascii="黑体" w:hAnsi="Times New Roman" w:eastAsia="黑体" w:cs="Times New Roman"/>
                <w:b/>
                <w:color w:val="auto"/>
                <w:sz w:val="24"/>
                <w:highlight w:val="none"/>
              </w:rPr>
            </w:pPr>
          </w:p>
        </w:tc>
        <w:tc>
          <w:tcPr>
            <w:tcW w:w="720" w:type="dxa"/>
            <w:noWrap/>
            <w:vAlign w:val="center"/>
          </w:tcPr>
          <w:p w14:paraId="0771F27A">
            <w:pPr>
              <w:spacing w:line="300" w:lineRule="auto"/>
              <w:jc w:val="center"/>
              <w:rPr>
                <w:rFonts w:ascii="黑体" w:hAnsi="Times New Roman" w:eastAsia="黑体" w:cs="Times New Roman"/>
                <w:b/>
                <w:color w:val="auto"/>
                <w:sz w:val="24"/>
                <w:highlight w:val="none"/>
              </w:rPr>
            </w:pPr>
          </w:p>
        </w:tc>
      </w:tr>
    </w:tbl>
    <w:p w14:paraId="3091899E">
      <w:pP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br w:type="page"/>
      </w:r>
    </w:p>
    <w:p w14:paraId="5C016EBA">
      <w:pPr>
        <w:spacing w:line="360" w:lineRule="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附</w:t>
      </w:r>
      <w:r>
        <w:rPr>
          <w:rFonts w:hint="eastAsia" w:ascii="宋体" w:hAnsi="宋体" w:eastAsia="宋体" w:cs="宋体"/>
          <w:b/>
          <w:color w:val="auto"/>
          <w:sz w:val="24"/>
          <w:szCs w:val="20"/>
          <w:highlight w:val="none"/>
          <w:lang w:val="en-US" w:eastAsia="zh-CN"/>
        </w:rPr>
        <w:t>件</w:t>
      </w:r>
      <w:r>
        <w:rPr>
          <w:rFonts w:hint="eastAsia" w:ascii="宋体" w:hAnsi="宋体" w:eastAsia="宋体" w:cs="宋体"/>
          <w:b/>
          <w:color w:val="auto"/>
          <w:sz w:val="24"/>
          <w:szCs w:val="20"/>
          <w:highlight w:val="none"/>
        </w:rPr>
        <w:t>2</w:t>
      </w:r>
    </w:p>
    <w:p w14:paraId="708D5D33">
      <w:pPr>
        <w:tabs>
          <w:tab w:val="left" w:pos="7155"/>
        </w:tabs>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供应商二次报价单</w:t>
      </w:r>
    </w:p>
    <w:p w14:paraId="26F9F780">
      <w:pPr>
        <w:jc w:val="left"/>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26CC1C18">
      <w:pPr>
        <w:spacing w:line="360" w:lineRule="auto"/>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t>附件3</w:t>
      </w:r>
    </w:p>
    <w:p w14:paraId="70E4753E">
      <w:pPr>
        <w:tabs>
          <w:tab w:val="left" w:pos="7155"/>
        </w:tabs>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供应商分项报价明细表</w:t>
      </w:r>
    </w:p>
    <w:p w14:paraId="00CCC63F">
      <w:pPr>
        <w:tabs>
          <w:tab w:val="left" w:pos="1035"/>
        </w:tabs>
        <w:spacing w:line="460" w:lineRule="exact"/>
        <w:rPr>
          <w:rFonts w:hint="eastAsia" w:ascii="宋体" w:hAnsi="宋体" w:cs="宋体"/>
          <w:b/>
          <w:sz w:val="24"/>
        </w:rPr>
      </w:pPr>
      <w:r>
        <w:rPr>
          <w:rFonts w:hint="eastAsia" w:ascii="宋体" w:hAnsi="宋体" w:eastAsia="宋体" w:cs="宋体"/>
          <w:color w:val="auto"/>
          <w:sz w:val="24"/>
          <w:highlight w:val="none"/>
        </w:rPr>
        <w:br w:type="page"/>
      </w:r>
      <w:r>
        <w:rPr>
          <w:rFonts w:hint="eastAsia" w:ascii="宋体" w:hAnsi="宋体" w:cs="宋体"/>
          <w:b/>
          <w:sz w:val="24"/>
        </w:rPr>
        <w:t>附件二： 廉政合同</w:t>
      </w:r>
    </w:p>
    <w:p w14:paraId="32BE8C48">
      <w:pPr>
        <w:tabs>
          <w:tab w:val="left" w:pos="1035"/>
        </w:tabs>
        <w:spacing w:line="460" w:lineRule="exact"/>
        <w:jc w:val="center"/>
        <w:rPr>
          <w:rFonts w:hint="eastAsia" w:ascii="宋体" w:hAnsi="宋体" w:eastAsia="宋体" w:cs="宋体"/>
          <w:b/>
          <w:sz w:val="28"/>
          <w:szCs w:val="28"/>
          <w:lang w:eastAsia="zh-CN"/>
        </w:rPr>
      </w:pPr>
      <w:r>
        <w:rPr>
          <w:rFonts w:hint="eastAsia" w:ascii="宋体" w:hAnsi="宋体" w:eastAsia="宋体" w:cs="宋体"/>
          <w:b/>
          <w:sz w:val="28"/>
          <w:szCs w:val="28"/>
          <w:lang w:eastAsia="zh-CN"/>
        </w:rPr>
        <w:t>2026年南通市公路事业发展中心基础环境与安全运维服务项目</w:t>
      </w:r>
    </w:p>
    <w:p w14:paraId="77AD3CE2">
      <w:pPr>
        <w:tabs>
          <w:tab w:val="left" w:pos="1035"/>
        </w:tabs>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廉政合同</w:t>
      </w:r>
    </w:p>
    <w:p w14:paraId="1C4702BA">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根据交通</w:t>
      </w:r>
      <w:r>
        <w:rPr>
          <w:rFonts w:hint="eastAsia" w:ascii="宋体" w:hAnsi="宋体" w:eastAsia="宋体" w:cs="宋体"/>
          <w:color w:val="auto"/>
          <w:sz w:val="24"/>
          <w:szCs w:val="24"/>
          <w:highlight w:val="none"/>
          <w:lang w:val="en-US" w:eastAsia="zh-CN"/>
        </w:rPr>
        <w:t>运输</w:t>
      </w:r>
      <w:r>
        <w:rPr>
          <w:rFonts w:hint="eastAsia" w:ascii="宋体" w:hAnsi="宋体" w:eastAsia="宋体" w:cs="宋体"/>
          <w:color w:val="auto"/>
          <w:sz w:val="24"/>
          <w:szCs w:val="24"/>
          <w:highlight w:val="none"/>
        </w:rPr>
        <w:t>部《关于在交通基础设施建设中加强廉政建设的若干意见》以及有关工程建设、廉政建设的规定，为做好工程建设中的党风廉政建设，保证工程建设高效优质，保证建设资金的安全和有效使用以及投资效益，甲方</w:t>
      </w:r>
      <w:r>
        <w:rPr>
          <w:rFonts w:hint="eastAsia" w:ascii="宋体" w:hAnsi="宋体" w:eastAsia="宋体" w:cs="宋体"/>
          <w:color w:val="auto"/>
          <w:sz w:val="24"/>
          <w:szCs w:val="24"/>
          <w:highlight w:val="none"/>
          <w:u w:val="single"/>
        </w:rPr>
        <w:t xml:space="preserve">     （全称）      </w:t>
      </w:r>
      <w:r>
        <w:rPr>
          <w:rFonts w:hint="eastAsia" w:ascii="宋体" w:hAnsi="宋体" w:eastAsia="宋体" w:cs="宋体"/>
          <w:color w:val="auto"/>
          <w:sz w:val="24"/>
          <w:szCs w:val="24"/>
          <w:highlight w:val="none"/>
        </w:rPr>
        <w:t>与乙方</w:t>
      </w:r>
      <w:r>
        <w:rPr>
          <w:rFonts w:hint="eastAsia" w:ascii="宋体" w:hAnsi="宋体" w:eastAsia="宋体" w:cs="宋体"/>
          <w:color w:val="auto"/>
          <w:sz w:val="24"/>
          <w:szCs w:val="24"/>
          <w:highlight w:val="none"/>
          <w:u w:val="single"/>
        </w:rPr>
        <w:t xml:space="preserve"> （全称）   </w:t>
      </w:r>
      <w:r>
        <w:rPr>
          <w:rFonts w:hint="eastAsia" w:ascii="宋体" w:hAnsi="宋体" w:eastAsia="宋体" w:cs="宋体"/>
          <w:color w:val="auto"/>
          <w:sz w:val="24"/>
          <w:szCs w:val="24"/>
          <w:highlight w:val="none"/>
        </w:rPr>
        <w:t>特订立如下合同。</w:t>
      </w:r>
    </w:p>
    <w:p w14:paraId="4F1C30E6">
      <w:pPr>
        <w:spacing w:line="360" w:lineRule="auto"/>
        <w:ind w:firstLine="48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第一条</w:t>
      </w:r>
      <w:r>
        <w:rPr>
          <w:rFonts w:hint="eastAsia" w:ascii="宋体" w:hAnsi="宋体" w:eastAsia="宋体" w:cs="宋体"/>
          <w:color w:val="auto"/>
          <w:sz w:val="24"/>
          <w:szCs w:val="24"/>
          <w:highlight w:val="none"/>
        </w:rPr>
        <w:t>甲乙双方的权利和义务</w:t>
      </w:r>
    </w:p>
    <w:p w14:paraId="618BE0D1">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（一）严格遵守国家有关法律法规及交通运输部的有关规定。</w:t>
      </w:r>
    </w:p>
    <w:p w14:paraId="169FD518">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的合同文件，自觉按合同办事。</w:t>
      </w:r>
    </w:p>
    <w:p w14:paraId="49F0C800">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（三）双方的业务活动坚持公开、公正、诚信、透明的原则（除法律认定的商业秘密和合同文件另有规定之外），不得损害国家和集体利益，违反工程建设管理规章制度。</w:t>
      </w:r>
    </w:p>
    <w:p w14:paraId="2010C9DE">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（四）建立健全廉政制度，开展廉政教育，设立廉政告示牌，公布举报电话，监督并认真查处违法违纪行为。</w:t>
      </w:r>
    </w:p>
    <w:p w14:paraId="22E58881">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（五）发现对方在业务活动中有违反廉政规定的行为，有及时提醒对方纠正的权利和义务。</w:t>
      </w:r>
    </w:p>
    <w:p w14:paraId="4762BA32">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（六）发现对方严重违反本合同义务条款的行为，有向其上级有关部门举报、建议给予处理并要求告知处理结果的权利。影响合同履行的，可按照合同中关于合同解除的约定处理。</w:t>
      </w:r>
    </w:p>
    <w:p w14:paraId="6DDC0C84">
      <w:pPr>
        <w:spacing w:line="360" w:lineRule="auto"/>
        <w:ind w:firstLine="48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第二条</w:t>
      </w:r>
      <w:r>
        <w:rPr>
          <w:rFonts w:hint="eastAsia" w:ascii="宋体" w:hAnsi="宋体" w:eastAsia="宋体" w:cs="宋体"/>
          <w:color w:val="auto"/>
          <w:sz w:val="24"/>
          <w:szCs w:val="24"/>
          <w:highlight w:val="none"/>
        </w:rPr>
        <w:t>甲方的义务</w:t>
      </w:r>
    </w:p>
    <w:p w14:paraId="22BF812B">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（一）甲方作为工程项目的建设单位，认真履行合同规定的甲方责任。</w:t>
      </w:r>
    </w:p>
    <w:p w14:paraId="794C21D6">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（二）甲方及其工作人员不得索要或接受乙方的礼金、有价证券和贵重物品，不得在乙方报销任何应由甲方或个人支付的费用等。</w:t>
      </w:r>
    </w:p>
    <w:p w14:paraId="797C0DA9">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（三）甲方工作人员不得参加乙方安排的超标准宴请和娱乐活动；不得接受乙方提供的通讯工具、交通工具和高档办公用品等。</w:t>
      </w:r>
    </w:p>
    <w:p w14:paraId="4A25D2CE">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（四）甲方及其工作人员不得要求或者接受乙方为其住房装修、婚丧嫁娶活动、配偶子女的工作安排以及出国出境、旅游等提供方便等。</w:t>
      </w:r>
    </w:p>
    <w:p w14:paraId="34A73026">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（五）甲方工作人员的配偶、子女不得从事与甲方工程有关的项目。</w:t>
      </w:r>
    </w:p>
    <w:p w14:paraId="5A675746">
      <w:pPr>
        <w:spacing w:line="360" w:lineRule="auto"/>
        <w:ind w:firstLine="48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第三条</w:t>
      </w:r>
      <w:r>
        <w:rPr>
          <w:rFonts w:hint="eastAsia" w:ascii="宋体" w:hAnsi="宋体" w:eastAsia="宋体" w:cs="宋体"/>
          <w:color w:val="auto"/>
          <w:sz w:val="24"/>
          <w:szCs w:val="24"/>
          <w:highlight w:val="none"/>
        </w:rPr>
        <w:t>乙方的义务</w:t>
      </w:r>
    </w:p>
    <w:p w14:paraId="761120F5">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（一）乙方不得以任何理由向甲方及其工作人员行贿或馈赠礼金、有价证券、贵重礼品。</w:t>
      </w:r>
    </w:p>
    <w:p w14:paraId="467ED8BE">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（二）乙方不得以任何名义为甲方及其工作人员报销应由甲方单位或个人支付的任何费用。</w:t>
      </w:r>
    </w:p>
    <w:p w14:paraId="56A0F387">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（三）乙方不得以任何理由安排甲方工作人员参加超标准宴请及娱乐活动。</w:t>
      </w:r>
    </w:p>
    <w:p w14:paraId="2655EF8A">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（四）乙方不得为甲方单位和个人购置或提供通讯工具、交通工具和高档办公用品等。</w:t>
      </w:r>
    </w:p>
    <w:p w14:paraId="3C1AAB08">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（五）乙方及其工作人员不得索取或接受工作关系单位的礼金、有价证券和贵重物品，不得在工作关系报销任何应由乙方或个人支付的费用。</w:t>
      </w:r>
    </w:p>
    <w:p w14:paraId="1010FBA9">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（六）乙方及其工作人员必须严格按照规程办事，不得损害甲方利益。</w:t>
      </w:r>
    </w:p>
    <w:p w14:paraId="48F5E0B1">
      <w:pPr>
        <w:spacing w:line="360" w:lineRule="auto"/>
        <w:ind w:firstLine="48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第四条</w:t>
      </w:r>
      <w:r>
        <w:rPr>
          <w:rFonts w:hint="eastAsia" w:ascii="宋体" w:hAnsi="宋体" w:eastAsia="宋体" w:cs="宋体"/>
          <w:color w:val="auto"/>
          <w:sz w:val="24"/>
          <w:szCs w:val="24"/>
          <w:highlight w:val="none"/>
        </w:rPr>
        <w:t>违约责任</w:t>
      </w:r>
    </w:p>
    <w:p w14:paraId="33255DDD">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（一）甲方及其工作人员违反本合同第一、二条；按管理权限，依据有关规定给予党纪、政纪或组织处理；涉嫌犯罪的，移交司法机关追究刑事责任；给乙方单位造成经济损失的，应予以赔偿。</w:t>
      </w:r>
    </w:p>
    <w:p w14:paraId="346848A1">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6FD30ABF">
      <w:pPr>
        <w:spacing w:line="360" w:lineRule="auto"/>
        <w:ind w:firstLine="48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第五条</w:t>
      </w:r>
      <w:r>
        <w:rPr>
          <w:rFonts w:hint="eastAsia" w:ascii="宋体" w:hAnsi="宋体" w:eastAsia="宋体" w:cs="宋体"/>
          <w:color w:val="auto"/>
          <w:sz w:val="24"/>
          <w:szCs w:val="24"/>
          <w:highlight w:val="none"/>
        </w:rPr>
        <w:t>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10FFD85B">
      <w:pPr>
        <w:spacing w:line="360" w:lineRule="auto"/>
        <w:ind w:firstLine="48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第六条</w:t>
      </w:r>
      <w:r>
        <w:rPr>
          <w:rFonts w:hint="eastAsia" w:ascii="宋体" w:hAnsi="宋体" w:eastAsia="宋体" w:cs="宋体"/>
          <w:color w:val="auto"/>
          <w:sz w:val="24"/>
          <w:szCs w:val="24"/>
          <w:highlight w:val="none"/>
        </w:rPr>
        <w:t>本合同有效期为甲乙双方签署之日起至该工程项目所有工作内容完成并经甲方验收合格后</w:t>
      </w:r>
      <w:r>
        <w:rPr>
          <w:rFonts w:hint="eastAsia" w:ascii="宋体" w:hAnsi="宋体" w:cs="宋体"/>
          <w:color w:val="auto"/>
          <w:sz w:val="24"/>
          <w:szCs w:val="24"/>
          <w:highlight w:val="none"/>
          <w:lang w:val="en-US" w:eastAsia="zh-CN"/>
        </w:rPr>
        <w:t>终止</w:t>
      </w:r>
      <w:r>
        <w:rPr>
          <w:rFonts w:hint="eastAsia" w:ascii="宋体" w:hAnsi="宋体" w:eastAsia="宋体" w:cs="宋体"/>
          <w:color w:val="auto"/>
          <w:sz w:val="24"/>
          <w:szCs w:val="24"/>
          <w:highlight w:val="none"/>
        </w:rPr>
        <w:t>。</w:t>
      </w:r>
    </w:p>
    <w:p w14:paraId="77C77D0B">
      <w:pPr>
        <w:spacing w:line="360" w:lineRule="auto"/>
        <w:ind w:firstLine="48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第七条</w:t>
      </w:r>
      <w:r>
        <w:rPr>
          <w:rFonts w:hint="eastAsia" w:ascii="宋体" w:hAnsi="宋体" w:eastAsia="宋体" w:cs="宋体"/>
          <w:color w:val="auto"/>
          <w:sz w:val="24"/>
          <w:szCs w:val="24"/>
          <w:highlight w:val="none"/>
        </w:rPr>
        <w:t>本合同作为</w:t>
      </w:r>
      <w:r>
        <w:rPr>
          <w:rFonts w:hint="eastAsia" w:ascii="宋体" w:hAnsi="宋体" w:eastAsia="宋体" w:cs="宋体"/>
          <w:color w:val="auto"/>
          <w:sz w:val="24"/>
          <w:szCs w:val="24"/>
          <w:highlight w:val="none"/>
          <w:lang w:eastAsia="zh-CN"/>
        </w:rPr>
        <w:t>2026年南通市公路事业发展中心基础环境与安全运维服务项目</w:t>
      </w:r>
      <w:r>
        <w:rPr>
          <w:rFonts w:hint="eastAsia" w:ascii="宋体" w:hAnsi="宋体" w:eastAsia="宋体" w:cs="宋体"/>
          <w:color w:val="auto"/>
          <w:sz w:val="24"/>
          <w:szCs w:val="24"/>
          <w:highlight w:val="none"/>
        </w:rPr>
        <w:t>合同的附件，与</w:t>
      </w:r>
      <w:r>
        <w:rPr>
          <w:rFonts w:hint="eastAsia" w:ascii="宋体" w:hAnsi="宋体" w:eastAsia="宋体" w:cs="宋体"/>
          <w:color w:val="auto"/>
          <w:sz w:val="24"/>
          <w:szCs w:val="24"/>
          <w:highlight w:val="none"/>
          <w:lang w:eastAsia="zh-CN"/>
        </w:rPr>
        <w:t>2026年南通市公路事业发展中心基础环境与安全运维服务项目</w:t>
      </w:r>
      <w:r>
        <w:rPr>
          <w:rFonts w:hint="eastAsia" w:ascii="宋体" w:hAnsi="宋体" w:eastAsia="宋体" w:cs="宋体"/>
          <w:color w:val="auto"/>
          <w:sz w:val="24"/>
          <w:szCs w:val="24"/>
          <w:highlight w:val="none"/>
        </w:rPr>
        <w:t>合同具有同等的法律效力，经合同双方签署立即生效。</w:t>
      </w:r>
    </w:p>
    <w:p w14:paraId="050F90B0">
      <w:pPr>
        <w:spacing w:line="360" w:lineRule="auto"/>
        <w:ind w:firstLine="48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第八条</w:t>
      </w:r>
      <w:r>
        <w:rPr>
          <w:rFonts w:hint="eastAsia" w:ascii="宋体" w:hAnsi="宋体" w:eastAsia="宋体" w:cs="宋体"/>
          <w:color w:val="auto"/>
          <w:sz w:val="24"/>
          <w:szCs w:val="24"/>
          <w:highlight w:val="none"/>
        </w:rPr>
        <w:t>本合同一式六份，双方各执三份。</w:t>
      </w:r>
    </w:p>
    <w:p w14:paraId="11E402BF">
      <w:pPr>
        <w:spacing w:line="360" w:lineRule="auto"/>
        <w:rPr>
          <w:rFonts w:ascii="宋体" w:hAnsi="宋体" w:eastAsia="宋体" w:cs="宋体"/>
          <w:color w:val="auto"/>
          <w:sz w:val="24"/>
          <w:szCs w:val="24"/>
          <w:highlight w:val="none"/>
        </w:rPr>
      </w:pPr>
    </w:p>
    <w:p w14:paraId="2EB94C6E">
      <w:pPr>
        <w:spacing w:line="360" w:lineRule="auto"/>
        <w:rPr>
          <w:rFonts w:ascii="宋体" w:hAnsi="宋体" w:eastAsia="宋体" w:cs="宋体"/>
          <w:color w:val="auto"/>
          <w:sz w:val="24"/>
          <w:szCs w:val="24"/>
          <w:highlight w:val="none"/>
        </w:rPr>
      </w:pPr>
    </w:p>
    <w:p w14:paraId="615350A7">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（盖单位章）                     乙方：（盖单位章）</w:t>
      </w:r>
    </w:p>
    <w:p w14:paraId="658E4C6C">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1F9BC7CA">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或其委托代理人：（签字或盖章）          或其委托代理人：（签字或盖章）</w:t>
      </w:r>
    </w:p>
    <w:p w14:paraId="13974861">
      <w:pPr>
        <w:spacing w:line="360" w:lineRule="auto"/>
        <w:jc w:val="left"/>
        <w:rPr>
          <w:rFonts w:ascii="宋体" w:hAnsi="宋体" w:eastAsia="宋体" w:cs="宋体"/>
          <w:color w:val="auto"/>
          <w:sz w:val="24"/>
          <w:szCs w:val="24"/>
          <w:highlight w:val="none"/>
        </w:rPr>
      </w:pPr>
    </w:p>
    <w:p w14:paraId="148DBECF">
      <w:pPr>
        <w:spacing w:line="360" w:lineRule="auto"/>
        <w:ind w:firstLine="480"/>
        <w:rPr>
          <w:rFonts w:ascii="宋体" w:hAnsi="宋体" w:cs="宋体"/>
          <w:color w:val="auto"/>
          <w:sz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月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日</w:t>
      </w:r>
    </w:p>
    <w:p w14:paraId="05AAABED">
      <w:pPr>
        <w:rPr>
          <w:rFonts w:ascii="宋体" w:hAnsi="宋体" w:cs="宋体"/>
          <w:color w:val="auto"/>
          <w:sz w:val="36"/>
          <w:szCs w:val="36"/>
          <w:highlight w:val="none"/>
        </w:rPr>
        <w:sectPr>
          <w:footerReference r:id="rId4" w:type="default"/>
          <w:pgSz w:w="11905" w:h="16838"/>
          <w:pgMar w:top="1429" w:right="1429" w:bottom="1429" w:left="1429" w:header="850" w:footer="992" w:gutter="0"/>
          <w:cols w:space="0" w:num="1"/>
          <w:rtlGutter w:val="0"/>
          <w:docGrid w:linePitch="360" w:charSpace="0"/>
        </w:sectPr>
      </w:pPr>
    </w:p>
    <w:p w14:paraId="4673903E">
      <w:pPr>
        <w:adjustRightInd w:val="0"/>
        <w:snapToGrid w:val="0"/>
        <w:spacing w:line="360" w:lineRule="auto"/>
        <w:ind w:firstLine="723" w:firstLineChars="200"/>
        <w:jc w:val="center"/>
        <w:rPr>
          <w:rFonts w:ascii="宋体" w:hAnsi="宋体" w:cs="宋体"/>
          <w:color w:val="auto"/>
          <w:sz w:val="28"/>
          <w:szCs w:val="28"/>
          <w:highlight w:val="none"/>
        </w:rPr>
      </w:pPr>
      <w:r>
        <w:rPr>
          <w:rFonts w:hint="eastAsia" w:ascii="宋体" w:hAnsi="宋体" w:cs="宋体"/>
          <w:b/>
          <w:color w:val="auto"/>
          <w:sz w:val="36"/>
          <w:szCs w:val="36"/>
          <w:highlight w:val="none"/>
        </w:rPr>
        <w:t>第六部分  质疑提出和处理</w:t>
      </w:r>
    </w:p>
    <w:p w14:paraId="6B2A19E2">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一、质疑的提出</w:t>
      </w:r>
    </w:p>
    <w:p w14:paraId="2D1DB9CF">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（一）质疑人的身份要求      </w:t>
      </w:r>
    </w:p>
    <w:p w14:paraId="5BD3135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1.提出质疑的供应商应当是参与所质疑项目采购活动的供应商。</w:t>
      </w:r>
    </w:p>
    <w:p w14:paraId="4085FF5D">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2.潜在供应商已依法获取其可质疑的采购文件的，可以对该文件提出质疑。对采购文件提出质疑的，应当在获取采购文件或者采购文件公告期限届满之日起7个工作日内提出。</w:t>
      </w:r>
    </w:p>
    <w:p w14:paraId="4B31452F">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（二）质疑提出的格式要求   </w:t>
      </w:r>
    </w:p>
    <w:p w14:paraId="5BA596E3">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1.质疑</w:t>
      </w:r>
      <w:r>
        <w:rPr>
          <w:rFonts w:hint="eastAsia" w:ascii="宋体" w:hAnsi="宋体" w:cs="宋体"/>
          <w:color w:val="auto"/>
          <w:kern w:val="0"/>
          <w:sz w:val="24"/>
          <w:highlight w:val="none"/>
        </w:rPr>
        <w:t>应</w:t>
      </w:r>
      <w:r>
        <w:rPr>
          <w:rFonts w:hint="eastAsia" w:ascii="宋体" w:hAnsi="宋体" w:cs="宋体"/>
          <w:color w:val="auto"/>
          <w:kern w:val="0"/>
          <w:sz w:val="24"/>
          <w:highlight w:val="none"/>
          <w:lang w:val="zh-CN"/>
        </w:rPr>
        <w:t>参照《中华人民共和国政府采购法》、《中华人民共和国政府采购法实施条例》及《江苏省政府采购供应商监督管理暂行办法》的相关规定提交，质疑实行实名制，不得进行虚假、恶意质疑，未按上述要求提交的质疑函，采购人有权不予受理。</w:t>
      </w:r>
    </w:p>
    <w:p w14:paraId="4C4C318A">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2.质疑函应包括：    </w:t>
      </w:r>
    </w:p>
    <w:p w14:paraId="35FF914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（1）质疑供应商的名称、地址、邮编、联系人及联系电话；</w:t>
      </w:r>
    </w:p>
    <w:p w14:paraId="7E9FB8F5">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（2）具体、明确的质疑事项及明确的请求；</w:t>
      </w:r>
    </w:p>
    <w:p w14:paraId="147EBFB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（3）质疑的事实依据和必要的法律依据；</w:t>
      </w:r>
    </w:p>
    <w:p w14:paraId="2A3F41F6">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（4）提起质疑的日期；</w:t>
      </w:r>
    </w:p>
    <w:p w14:paraId="2A8E337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（5）认为自己合法权益受到损害或可能受到损害的相关证据材料；                            </w:t>
      </w:r>
    </w:p>
    <w:p w14:paraId="2D43CE9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（6）质疑函应当署名：质疑人为自然人的，应当由本人签字并附有效身份证明；质疑人为法人或其他组织的，应当由法定代表人签字并加盖单位公章，未按要求签字和盖章的为无效质疑，</w:t>
      </w:r>
      <w:r>
        <w:rPr>
          <w:rFonts w:hint="eastAsia" w:ascii="宋体" w:hAnsi="宋体" w:cs="宋体"/>
          <w:color w:val="auto"/>
          <w:kern w:val="0"/>
          <w:sz w:val="24"/>
          <w:highlight w:val="none"/>
        </w:rPr>
        <w:t>采购人</w:t>
      </w:r>
      <w:r>
        <w:rPr>
          <w:rFonts w:hint="eastAsia" w:ascii="宋体" w:hAnsi="宋体" w:cs="宋体"/>
          <w:color w:val="auto"/>
          <w:kern w:val="0"/>
          <w:sz w:val="24"/>
          <w:highlight w:val="none"/>
          <w:lang w:val="zh-CN"/>
        </w:rPr>
        <w:t>将不予受理。质疑人委托代理质疑的，应当向采购人提交授权委托书，并载明委托代理的具体权限和事项。</w:t>
      </w:r>
    </w:p>
    <w:p w14:paraId="69FD880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3.质疑函需遵循的原则：</w:t>
      </w:r>
    </w:p>
    <w:p w14:paraId="2A95D43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提出质疑时，必须坚持“谁主张，谁举证”、“实事求是”的原则，不能臆测。属于须由法定部门调查、侦查或先行作出相关认定的事项，质疑人应当依法申请具有法定职权的部门查清、认定，并将相关结果提供给</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zh-CN"/>
        </w:rPr>
        <w:t>人。</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zh-CN"/>
        </w:rPr>
        <w:t>人不具有法定调查、认定权限。</w:t>
      </w:r>
    </w:p>
    <w:p w14:paraId="68D26BBB">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（三）质疑提出的时效要求</w:t>
      </w:r>
    </w:p>
    <w:p w14:paraId="5405C96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1.供应商认为采购文件、采购过程和采购结果使自己的权益受到损害的，可以在知道或应知其权益受到损害之日起七个工作日内，以书面形式向采购人或采购人提出质疑。上述应知其权益受到损害之日，是指：                       </w:t>
      </w:r>
    </w:p>
    <w:p w14:paraId="3946406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（1）对可以质疑的采购文件提出质疑的，为收到采购文件之日或者采购文件公告期限届满之日；</w:t>
      </w:r>
    </w:p>
    <w:p w14:paraId="75672A2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（2）对采购过程提出质疑的，为各采购程序环节结束之日；</w:t>
      </w:r>
    </w:p>
    <w:p w14:paraId="4BB8533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（3）对成交或者成交结果提出质疑的，为成交或者成交结果公告期限届满之日。                 </w:t>
      </w:r>
    </w:p>
    <w:p w14:paraId="0E64F7EF">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供应商认为采购文件使自己的权益受到损害的，可以按照</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zh-CN"/>
        </w:rPr>
        <w:t>公告第八项要求向采购人提出质疑；供应商认为采购过程和采购结果使自己的权益受到损害的，可以以书面形式向采购人或采购人提出质疑。</w:t>
      </w:r>
    </w:p>
    <w:p w14:paraId="0F5C401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2.供应商应在法定质疑期一次性提出针对同一采购程序环节的质疑。                         </w:t>
      </w:r>
    </w:p>
    <w:p w14:paraId="6995FEC0">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二、《质疑函》的受理和答复</w:t>
      </w:r>
    </w:p>
    <w:p w14:paraId="46E4E4D0">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采购人收到质疑函后，将对质疑的形式和内容进行审查，如质疑函内容、格式不符合规定，采购人将告知质疑人进行补正。</w:t>
      </w:r>
    </w:p>
    <w:p w14:paraId="729BE344">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 质疑人应当在法定质疑期限内进行补正并重新提交质疑函，拒不补正或者在法定期限内未重新提交质疑函的，为无效质疑，采购人将不予受理。</w:t>
      </w:r>
    </w:p>
    <w:p w14:paraId="4219EB9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3.采购人或采购代理机构答复供应商质疑应当采用书面方式并依法送达，质疑供应商或其委托代理人拒绝签收的视为已经送达。</w:t>
      </w:r>
    </w:p>
    <w:p w14:paraId="5CEB9FEC">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三、质疑处理</w:t>
      </w:r>
    </w:p>
    <w:p w14:paraId="4AD88EA4">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质疑成立的处理</w:t>
      </w:r>
    </w:p>
    <w:p w14:paraId="370B262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（1）对于内容、格式符合规定的质疑函，采购人在收到磋商供应商的书面质疑后七个工作日内作出书面答复，但答复的内容不得涉及商业秘密。                       </w:t>
      </w:r>
    </w:p>
    <w:p w14:paraId="5B281983">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（2）对采购文件提出的质疑，依法通过澄清或者修改可以继续开展采购活动的，澄清或者修改采购文件后继续开展采购活动；否则应当修改采购文件后重新开展采购活动。</w:t>
      </w:r>
    </w:p>
    <w:p w14:paraId="1F1D2882">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（3）对采购过程、成交或者成交结果提出的质疑，合格供应商符合法定数量时，可以从合格的成交候选人中另行确定成交、成交供应商的，应当依法另行确定成交供应商；否则应当重新开展采购活动。</w:t>
      </w:r>
    </w:p>
    <w:p w14:paraId="2082224C">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质疑答复导致成交、成交结果改变的，采购人或者采购代理机构应当将有关情况书面报告本级财政部门。</w:t>
      </w:r>
    </w:p>
    <w:p w14:paraId="36E49C0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2.质疑不成立的处理</w:t>
      </w:r>
    </w:p>
    <w:p w14:paraId="22CE6F54">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若质疑不成立，或者成立未对成交、成交结果构成影响的，继续开展采购活动。                  </w:t>
      </w:r>
    </w:p>
    <w:p w14:paraId="65C188B3">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3.虚假质疑的处理          </w:t>
      </w:r>
    </w:p>
    <w:p w14:paraId="16770E63">
      <w:pPr>
        <w:pStyle w:val="8"/>
        <w:adjustRightInd w:val="0"/>
        <w:snapToGrid w:val="0"/>
        <w:spacing w:after="0" w:line="360" w:lineRule="auto"/>
        <w:ind w:left="0" w:leftChars="0"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 xml:space="preserve">供应商提出书面质疑必须有理、有据，不得恶意质疑或提交虚假质疑。否则，一经查实，采购人有权依据相关规定，报请主管部门对该供应商进行相应的处罚。                      </w:t>
      </w:r>
    </w:p>
    <w:p w14:paraId="1ED3AA60">
      <w:pPr>
        <w:autoSpaceDE w:val="0"/>
        <w:autoSpaceDN w:val="0"/>
        <w:adjustRightInd w:val="0"/>
        <w:snapToGrid w:val="0"/>
        <w:spacing w:line="300" w:lineRule="auto"/>
        <w:contextualSpacing/>
        <w:rPr>
          <w:rFonts w:ascii="宋体" w:hAnsi="宋体" w:cs="宋体"/>
          <w:color w:val="auto"/>
          <w:sz w:val="28"/>
          <w:szCs w:val="28"/>
          <w:highlight w:val="none"/>
          <w:lang w:val="zh-CN"/>
        </w:rPr>
      </w:pPr>
    </w:p>
    <w:p w14:paraId="7C2133C9">
      <w:pPr>
        <w:autoSpaceDE w:val="0"/>
        <w:autoSpaceDN w:val="0"/>
        <w:adjustRightInd w:val="0"/>
        <w:snapToGrid w:val="0"/>
        <w:spacing w:line="300" w:lineRule="auto"/>
        <w:ind w:left="3630" w:right="210" w:hanging="3092"/>
        <w:outlineLvl w:val="0"/>
        <w:rPr>
          <w:rFonts w:ascii="宋体" w:hAnsi="宋体" w:cs="宋体"/>
          <w:color w:val="auto"/>
          <w:sz w:val="28"/>
          <w:szCs w:val="28"/>
          <w:highlight w:val="none"/>
          <w:lang w:val="zh-CN"/>
        </w:rPr>
      </w:pPr>
    </w:p>
    <w:p w14:paraId="63D28D1E">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5C4A7867">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4E2EFA8">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04D3A248">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03DE0747">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4572317B">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5ADA923">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59F497E7">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4282A7C1">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BA2BA35">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3E1C0DA8">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3241A3F">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0B157812">
      <w:pPr>
        <w:widowControl/>
        <w:jc w:val="center"/>
        <w:rPr>
          <w:rFonts w:ascii="宋体" w:hAnsi="宋体" w:cs="宋体"/>
          <w:bCs/>
          <w:color w:val="auto"/>
          <w:sz w:val="44"/>
          <w:szCs w:val="44"/>
          <w:highlight w:val="none"/>
        </w:rPr>
      </w:pPr>
      <w:r>
        <w:rPr>
          <w:rFonts w:hint="eastAsia" w:ascii="宋体" w:hAnsi="宋体" w:cs="宋体"/>
          <w:b/>
          <w:bCs/>
          <w:color w:val="auto"/>
          <w:sz w:val="36"/>
          <w:szCs w:val="36"/>
          <w:highlight w:val="none"/>
          <w:lang w:val="zh-CN"/>
        </w:rPr>
        <w:br w:type="page"/>
      </w:r>
      <w:r>
        <w:rPr>
          <w:rFonts w:hint="eastAsia" w:ascii="宋体" w:hAnsi="宋体" w:cs="宋体"/>
          <w:bCs/>
          <w:color w:val="auto"/>
          <w:sz w:val="44"/>
          <w:szCs w:val="44"/>
          <w:highlight w:val="none"/>
        </w:rPr>
        <w:t>质疑函范本</w:t>
      </w:r>
    </w:p>
    <w:p w14:paraId="5856EB40">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6F75B50B">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p>
    <w:p w14:paraId="275C5A5D">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               邮编：</w:t>
      </w:r>
    </w:p>
    <w:p w14:paraId="0F0A136C">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             联系电话：</w:t>
      </w:r>
    </w:p>
    <w:p w14:paraId="6CD365B1">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p>
    <w:p w14:paraId="6F58E7CA">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p>
    <w:p w14:paraId="52A559C0">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               邮编：</w:t>
      </w:r>
    </w:p>
    <w:p w14:paraId="04B04EBC">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67E2F57">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p>
    <w:p w14:paraId="567CFE2B">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     包号：</w:t>
      </w:r>
    </w:p>
    <w:p w14:paraId="26B13684">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p>
    <w:p w14:paraId="2A585F6C">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p>
    <w:p w14:paraId="0E6ABE56">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42E9FAC">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p>
    <w:p w14:paraId="6A5ACCAA">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p>
    <w:p w14:paraId="38029908">
      <w:pPr>
        <w:adjustRightInd w:val="0"/>
        <w:snapToGrid w:val="0"/>
        <w:spacing w:line="360" w:lineRule="auto"/>
        <w:rPr>
          <w:rFonts w:ascii="宋体" w:hAnsi="宋体" w:cs="宋体"/>
          <w:color w:val="auto"/>
          <w:sz w:val="24"/>
          <w:highlight w:val="none"/>
        </w:rPr>
      </w:pPr>
    </w:p>
    <w:p w14:paraId="622A4385">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p>
    <w:p w14:paraId="52981C5D">
      <w:pPr>
        <w:adjustRightInd w:val="0"/>
        <w:snapToGrid w:val="0"/>
        <w:spacing w:line="360" w:lineRule="auto"/>
        <w:rPr>
          <w:rFonts w:ascii="宋体" w:hAnsi="宋体" w:cs="宋体"/>
          <w:color w:val="auto"/>
          <w:sz w:val="24"/>
          <w:highlight w:val="none"/>
          <w:u w:val="dotted"/>
        </w:rPr>
      </w:pPr>
    </w:p>
    <w:p w14:paraId="09A6C7C2">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2709400D">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6409DA41">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1C0E4A8">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p>
    <w:p w14:paraId="1FB956D0">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2367640">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506F85F">
      <w:pPr>
        <w:adjustRightInd w:val="0"/>
        <w:snapToGrid w:val="0"/>
        <w:spacing w:line="360" w:lineRule="auto"/>
        <w:rPr>
          <w:rFonts w:ascii="宋体" w:hAnsi="宋体" w:cs="宋体"/>
          <w:color w:val="auto"/>
          <w:sz w:val="32"/>
          <w:szCs w:val="32"/>
          <w:highlight w:val="none"/>
        </w:rPr>
      </w:pPr>
    </w:p>
    <w:p w14:paraId="717AD1B5">
      <w:pPr>
        <w:adjustRightInd w:val="0"/>
        <w:snapToGrid w:val="0"/>
        <w:spacing w:line="360" w:lineRule="auto"/>
        <w:rPr>
          <w:rFonts w:ascii="宋体" w:hAnsi="宋体" w:cs="宋体"/>
          <w:b/>
          <w:color w:val="auto"/>
          <w:sz w:val="32"/>
          <w:szCs w:val="32"/>
          <w:highlight w:val="none"/>
        </w:rPr>
      </w:pPr>
    </w:p>
    <w:p w14:paraId="50C8805D">
      <w:pPr>
        <w:adjustRightInd w:val="0"/>
        <w:snapToGrid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7AC5A27B">
      <w:pPr>
        <w:adjustRightInd w:val="0"/>
        <w:snapToGrid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0458EA00">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5548B68">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0EED58B">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0C66E87">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40B876C">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09AB7C5B">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EC569D3">
      <w:pPr>
        <w:widowControl/>
        <w:jc w:val="left"/>
        <w:rPr>
          <w:rFonts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5DDE8299">
      <w:pPr>
        <w:autoSpaceDE w:val="0"/>
        <w:autoSpaceDN w:val="0"/>
        <w:adjustRightInd w:val="0"/>
        <w:snapToGrid w:val="0"/>
        <w:ind w:left="4513" w:right="210" w:hanging="4513"/>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第七部分  响应文件组成</w:t>
      </w:r>
    </w:p>
    <w:p w14:paraId="63DDACC4">
      <w:pPr>
        <w:snapToGrid w:val="0"/>
        <w:spacing w:line="440" w:lineRule="exact"/>
        <w:ind w:firstLine="458" w:firstLineChars="200"/>
        <w:jc w:val="left"/>
        <w:rPr>
          <w:rFonts w:ascii="宋体" w:hAnsi="宋体" w:cs="宋体"/>
          <w:b/>
          <w:color w:val="auto"/>
          <w:spacing w:val="-6"/>
          <w:sz w:val="24"/>
          <w:highlight w:val="none"/>
        </w:rPr>
      </w:pPr>
      <w:r>
        <w:rPr>
          <w:rFonts w:hint="eastAsia" w:ascii="宋体" w:hAnsi="宋体" w:cs="宋体"/>
          <w:b/>
          <w:color w:val="auto"/>
          <w:spacing w:val="-6"/>
          <w:sz w:val="24"/>
          <w:highlight w:val="none"/>
        </w:rPr>
        <w:t>响应文件由资格审查、商务技术文件、价格响应文件、电子版响应文件四</w:t>
      </w:r>
      <w:r>
        <w:rPr>
          <w:rFonts w:hint="eastAsia" w:ascii="宋体" w:hAnsi="宋体" w:cs="宋体"/>
          <w:b/>
          <w:color w:val="auto"/>
          <w:sz w:val="24"/>
          <w:highlight w:val="none"/>
        </w:rPr>
        <w:t>部分组成</w:t>
      </w:r>
      <w:r>
        <w:rPr>
          <w:rFonts w:hint="eastAsia" w:ascii="宋体" w:hAnsi="宋体" w:cs="宋体"/>
          <w:b/>
          <w:color w:val="auto"/>
          <w:spacing w:val="-6"/>
          <w:sz w:val="24"/>
          <w:highlight w:val="none"/>
        </w:rPr>
        <w:t>。</w:t>
      </w:r>
    </w:p>
    <w:p w14:paraId="3F704D21">
      <w:pPr>
        <w:snapToGrid w:val="0"/>
        <w:spacing w:line="440" w:lineRule="exact"/>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一、资格审查</w:t>
      </w:r>
    </w:p>
    <w:p w14:paraId="6C67BE40">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1.资格声明函原件；</w:t>
      </w:r>
    </w:p>
    <w:p w14:paraId="3BE23780">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2.授权委托书或法定代表人身份证明原件；</w:t>
      </w:r>
    </w:p>
    <w:p w14:paraId="0448E01F">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3.供应商信用承诺书原件；</w:t>
      </w:r>
    </w:p>
    <w:p w14:paraId="000F5303">
      <w:pPr>
        <w:tabs>
          <w:tab w:val="left" w:pos="3375"/>
        </w:tabs>
        <w:autoSpaceDE w:val="0"/>
        <w:autoSpaceDN w:val="0"/>
        <w:adjustRightInd w:val="0"/>
        <w:snapToGrid w:val="0"/>
        <w:spacing w:line="44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服务承诺书；</w:t>
      </w:r>
    </w:p>
    <w:p w14:paraId="08CFEFAD">
      <w:pPr>
        <w:tabs>
          <w:tab w:val="left" w:pos="3375"/>
        </w:tabs>
        <w:autoSpaceDE w:val="0"/>
        <w:autoSpaceDN w:val="0"/>
        <w:adjustRightInd w:val="0"/>
        <w:snapToGrid w:val="0"/>
        <w:spacing w:line="44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《中小企业声明函》等原件</w:t>
      </w:r>
      <w:r>
        <w:rPr>
          <w:rFonts w:hint="eastAsia" w:ascii="宋体" w:hAnsi="宋体" w:cs="宋体"/>
          <w:color w:val="auto"/>
          <w:sz w:val="24"/>
          <w:highlight w:val="none"/>
          <w:lang w:val="zh-CN"/>
        </w:rPr>
        <w:t>；</w:t>
      </w:r>
    </w:p>
    <w:p w14:paraId="5995E321">
      <w:pPr>
        <w:tabs>
          <w:tab w:val="left" w:pos="3375"/>
        </w:tabs>
        <w:autoSpaceDE w:val="0"/>
        <w:autoSpaceDN w:val="0"/>
        <w:adjustRightInd w:val="0"/>
        <w:snapToGrid w:val="0"/>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6</w:t>
      </w:r>
      <w:r>
        <w:rPr>
          <w:rFonts w:hint="eastAsia" w:cs="宋体" w:asciiTheme="minorEastAsia" w:hAnsiTheme="minorEastAsia" w:eastAsiaTheme="minorEastAsia"/>
          <w:color w:val="auto"/>
          <w:sz w:val="24"/>
          <w:highlight w:val="none"/>
        </w:rPr>
        <w:t>.供应商基本情况表及按竞争性磋商公告资格要求提供相应的佐证材料（以下材料均须提供复印件（或扫描件）并加盖公章）；</w:t>
      </w:r>
    </w:p>
    <w:p w14:paraId="0558DF19">
      <w:pPr>
        <w:tabs>
          <w:tab w:val="left" w:pos="3375"/>
        </w:tabs>
        <w:autoSpaceDE w:val="0"/>
        <w:autoSpaceDN w:val="0"/>
        <w:adjustRightInd w:val="0"/>
        <w:snapToGrid w:val="0"/>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企业法人营业执照或事业单位法人登记证明或社会组织或其他组织或自然人证明材料；</w:t>
      </w:r>
    </w:p>
    <w:p w14:paraId="3E74E751">
      <w:pPr>
        <w:tabs>
          <w:tab w:val="left" w:pos="3375"/>
        </w:tabs>
        <w:autoSpaceDE w:val="0"/>
        <w:autoSpaceDN w:val="0"/>
        <w:adjustRightInd w:val="0"/>
        <w:snapToGrid w:val="0"/>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2</w:t>
      </w:r>
      <w:r>
        <w:rPr>
          <w:rFonts w:hint="eastAsia" w:cs="宋体" w:asciiTheme="minorEastAsia" w:hAnsiTheme="minorEastAsia" w:eastAsiaTheme="minorEastAsia"/>
          <w:color w:val="auto"/>
          <w:sz w:val="24"/>
          <w:highlight w:val="none"/>
        </w:rPr>
        <w:t>）项目负责人社保证明材料；</w:t>
      </w:r>
    </w:p>
    <w:p w14:paraId="57B6D236">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.其它需要提交的资格审查材料。</w:t>
      </w:r>
    </w:p>
    <w:p w14:paraId="0244F575">
      <w:pPr>
        <w:snapToGrid w:val="0"/>
        <w:spacing w:line="440" w:lineRule="exact"/>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二、商务技术文件</w:t>
      </w:r>
    </w:p>
    <w:p w14:paraId="635B1FB7">
      <w:pPr>
        <w:pStyle w:val="32"/>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为方便评委评审，请供应商按评审办法中所涉及的事项顺序进行编制，可以补充相关材料。（以下均须提供扫描件（或复印件）并加盖公章。）</w:t>
      </w:r>
    </w:p>
    <w:p w14:paraId="741C990B">
      <w:pPr>
        <w:pStyle w:val="32"/>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1.竞争性磋商响应函；</w:t>
      </w:r>
    </w:p>
    <w:p w14:paraId="2990DDFE">
      <w:pPr>
        <w:pStyle w:val="32"/>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2.评标办法中所涉及的事项需提供的所有资料；</w:t>
      </w:r>
    </w:p>
    <w:p w14:paraId="77378D4A">
      <w:pPr>
        <w:pStyle w:val="32"/>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3.评标办法中未涉及的事项，供应商认为需要提交的其他资料；</w:t>
      </w:r>
    </w:p>
    <w:p w14:paraId="5F6435C7">
      <w:pPr>
        <w:pStyle w:val="32"/>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4.竞争性磋商文件中要求提供的其他材料。</w:t>
      </w:r>
    </w:p>
    <w:p w14:paraId="7424CC77">
      <w:pPr>
        <w:snapToGrid w:val="0"/>
        <w:spacing w:line="440" w:lineRule="exact"/>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三、价格响应文件</w:t>
      </w:r>
    </w:p>
    <w:p w14:paraId="06BDD6CF">
      <w:pPr>
        <w:pStyle w:val="32"/>
        <w:adjustRightInd w:val="0"/>
        <w:snapToGrid w:val="0"/>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1.磋商报价总表；</w:t>
      </w:r>
    </w:p>
    <w:p w14:paraId="4796CD0D">
      <w:pPr>
        <w:pStyle w:val="32"/>
        <w:adjustRightInd w:val="0"/>
        <w:snapToGrid w:val="0"/>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2.分项报价明细表。</w:t>
      </w:r>
    </w:p>
    <w:p w14:paraId="571EBF24">
      <w:pPr>
        <w:adjustRightInd w:val="0"/>
        <w:snapToGrid w:val="0"/>
        <w:spacing w:line="360" w:lineRule="auto"/>
        <w:ind w:firstLine="482"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注：本表各分项报价合计应当与磋商报价总表报价合计相等。请各供应商务必按照以上要求填报，否则作为无效投标处理。</w:t>
      </w:r>
    </w:p>
    <w:p w14:paraId="45E5AB7D">
      <w:pPr>
        <w:tabs>
          <w:tab w:val="left" w:pos="3375"/>
        </w:tabs>
        <w:adjustRightInd w:val="0"/>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lang w:val="zh-CN"/>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7D790D8A">
      <w:pPr>
        <w:tabs>
          <w:tab w:val="left" w:pos="3375"/>
        </w:tabs>
        <w:autoSpaceDE w:val="0"/>
        <w:autoSpaceDN w:val="0"/>
        <w:adjustRightInd w:val="0"/>
        <w:snapToGrid w:val="0"/>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四、电子版响应文件</w:t>
      </w:r>
    </w:p>
    <w:p w14:paraId="2F050600">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电子版响应文件（</w:t>
      </w:r>
      <w:r>
        <w:rPr>
          <w:rFonts w:hint="eastAsia" w:ascii="宋体" w:hAnsi="宋体" w:cs="宋体"/>
          <w:b/>
          <w:bCs/>
          <w:color w:val="auto"/>
          <w:sz w:val="24"/>
          <w:highlight w:val="none"/>
        </w:rPr>
        <w:t>按“第二部分 磋商须知”中电子版响应文件要求</w:t>
      </w:r>
      <w:r>
        <w:rPr>
          <w:rFonts w:hint="eastAsia" w:ascii="宋体" w:hAnsi="宋体" w:cs="宋体"/>
          <w:b/>
          <w:bCs/>
          <w:color w:val="auto"/>
          <w:sz w:val="24"/>
          <w:highlight w:val="none"/>
          <w:lang w:val="zh-CN"/>
        </w:rPr>
        <w:t>提供</w:t>
      </w:r>
      <w:r>
        <w:rPr>
          <w:rFonts w:hint="eastAsia" w:ascii="宋体" w:hAnsi="宋体" w:cs="宋体"/>
          <w:b/>
          <w:color w:val="auto"/>
          <w:sz w:val="24"/>
          <w:highlight w:val="none"/>
        </w:rPr>
        <w:t>）</w:t>
      </w:r>
      <w:r>
        <w:rPr>
          <w:rFonts w:hint="eastAsia" w:ascii="宋体" w:hAnsi="宋体" w:cs="宋体"/>
          <w:color w:val="auto"/>
          <w:sz w:val="24"/>
          <w:highlight w:val="none"/>
        </w:rPr>
        <w:t>。</w:t>
      </w:r>
    </w:p>
    <w:p w14:paraId="4CEFA744">
      <w:pPr>
        <w:tabs>
          <w:tab w:val="left" w:pos="3375"/>
        </w:tabs>
        <w:autoSpaceDE w:val="0"/>
        <w:autoSpaceDN w:val="0"/>
        <w:adjustRightInd w:val="0"/>
        <w:snapToGrid w:val="0"/>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电子版响应文件不得设置密码并保证无病毒。</w:t>
      </w:r>
    </w:p>
    <w:p w14:paraId="7419E6B7">
      <w:pPr>
        <w:tabs>
          <w:tab w:val="left" w:pos="3375"/>
        </w:tabs>
        <w:autoSpaceDE w:val="0"/>
        <w:autoSpaceDN w:val="0"/>
        <w:adjustRightInd w:val="0"/>
        <w:snapToGrid w:val="0"/>
        <w:spacing w:line="440" w:lineRule="exact"/>
        <w:contextualSpacing/>
        <w:rPr>
          <w:rFonts w:ascii="宋体" w:hAnsi="宋体" w:cs="宋体"/>
          <w:color w:val="auto"/>
          <w:sz w:val="28"/>
          <w:szCs w:val="28"/>
          <w:highlight w:val="none"/>
        </w:rPr>
      </w:pPr>
      <w:r>
        <w:rPr>
          <w:rFonts w:hint="eastAsia" w:ascii="宋体" w:hAnsi="宋体" w:cs="宋体"/>
          <w:color w:val="auto"/>
          <w:sz w:val="24"/>
          <w:highlight w:val="none"/>
        </w:rPr>
        <w:br w:type="page"/>
      </w:r>
      <w:r>
        <w:rPr>
          <w:rFonts w:hint="eastAsia" w:ascii="宋体" w:hAnsi="宋体" w:cs="宋体"/>
          <w:color w:val="auto"/>
          <w:sz w:val="28"/>
          <w:szCs w:val="28"/>
          <w:highlight w:val="none"/>
        </w:rPr>
        <w:t>第一部分格式：</w:t>
      </w:r>
    </w:p>
    <w:p w14:paraId="65F9C77C">
      <w:pPr>
        <w:tabs>
          <w:tab w:val="left" w:pos="159"/>
        </w:tabs>
        <w:rPr>
          <w:rFonts w:ascii="宋体" w:hAnsi="宋体" w:cs="宋体"/>
          <w:color w:val="auto"/>
          <w:sz w:val="28"/>
          <w:szCs w:val="28"/>
          <w:highlight w:val="none"/>
        </w:rPr>
      </w:pPr>
    </w:p>
    <w:p w14:paraId="08C8551D">
      <w:pPr>
        <w:snapToGrid w:val="0"/>
        <w:spacing w:line="300" w:lineRule="auto"/>
        <w:ind w:firstLine="906" w:firstLineChars="206"/>
        <w:contextualSpacing/>
        <w:rPr>
          <w:rFonts w:ascii="宋体" w:hAnsi="宋体" w:cs="宋体"/>
          <w:color w:val="auto"/>
          <w:sz w:val="44"/>
          <w:szCs w:val="44"/>
          <w:highlight w:val="none"/>
        </w:rPr>
      </w:pPr>
    </w:p>
    <w:p w14:paraId="44DB7AAB">
      <w:pPr>
        <w:autoSpaceDE w:val="0"/>
        <w:autoSpaceDN w:val="0"/>
        <w:adjustRightInd w:val="0"/>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2026年南通市公路事业发展中心基础环境与安全运维服务项目</w:t>
      </w:r>
    </w:p>
    <w:p w14:paraId="6345EF61">
      <w:pPr>
        <w:tabs>
          <w:tab w:val="left" w:pos="6300"/>
        </w:tabs>
        <w:snapToGrid w:val="0"/>
        <w:spacing w:line="300" w:lineRule="auto"/>
        <w:jc w:val="center"/>
        <w:rPr>
          <w:rFonts w:hint="eastAsia" w:ascii="宋体" w:hAnsi="宋体" w:cs="宋体"/>
          <w:b/>
          <w:color w:val="auto"/>
          <w:w w:val="80"/>
          <w:sz w:val="32"/>
          <w:szCs w:val="32"/>
          <w:highlight w:val="none"/>
        </w:rPr>
      </w:pPr>
    </w:p>
    <w:p w14:paraId="726CC66B">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rPr>
        <w:t>项目编号：</w:t>
      </w:r>
      <w:r>
        <w:rPr>
          <w:rFonts w:hint="eastAsia" w:ascii="宋体" w:hAnsi="宋体" w:cs="宋体"/>
          <w:b/>
          <w:color w:val="auto"/>
          <w:w w:val="80"/>
          <w:sz w:val="32"/>
          <w:szCs w:val="32"/>
          <w:highlight w:val="none"/>
          <w:lang w:val="en-US" w:eastAsia="zh-CN"/>
        </w:rPr>
        <w:t>2026AQYW</w:t>
      </w:r>
    </w:p>
    <w:p w14:paraId="6F0A63C8">
      <w:pPr>
        <w:tabs>
          <w:tab w:val="left" w:pos="6300"/>
        </w:tabs>
        <w:snapToGrid w:val="0"/>
        <w:spacing w:line="300" w:lineRule="auto"/>
        <w:ind w:firstLine="3087" w:firstLineChars="1200"/>
        <w:jc w:val="both"/>
        <w:rPr>
          <w:rFonts w:hint="eastAsia" w:ascii="宋体" w:hAnsi="宋体" w:eastAsia="宋体" w:cs="宋体"/>
          <w:b/>
          <w:color w:val="auto"/>
          <w:w w:val="80"/>
          <w:sz w:val="32"/>
          <w:szCs w:val="32"/>
          <w:highlight w:val="none"/>
          <w:lang w:val="en-US" w:eastAsia="zh-CN"/>
        </w:rPr>
      </w:pPr>
      <w:r>
        <w:rPr>
          <w:rFonts w:hint="eastAsia" w:ascii="宋体" w:hAnsi="宋体" w:cs="宋体"/>
          <w:b/>
          <w:color w:val="auto"/>
          <w:w w:val="80"/>
          <w:sz w:val="32"/>
          <w:szCs w:val="32"/>
          <w:highlight w:val="none"/>
        </w:rPr>
        <w:t>档案编号：20251122</w:t>
      </w:r>
    </w:p>
    <w:p w14:paraId="426730EF">
      <w:pPr>
        <w:tabs>
          <w:tab w:val="left" w:pos="6300"/>
        </w:tabs>
        <w:snapToGrid w:val="0"/>
        <w:spacing w:line="300" w:lineRule="auto"/>
        <w:jc w:val="center"/>
        <w:rPr>
          <w:rFonts w:ascii="宋体" w:hAnsi="宋体" w:cs="宋体"/>
          <w:b/>
          <w:color w:val="auto"/>
          <w:w w:val="80"/>
          <w:sz w:val="32"/>
          <w:szCs w:val="32"/>
          <w:highlight w:val="none"/>
        </w:rPr>
      </w:pPr>
    </w:p>
    <w:p w14:paraId="58D714E8">
      <w:pPr>
        <w:spacing w:after="60" w:line="360" w:lineRule="auto"/>
        <w:ind w:firstLine="3373" w:firstLineChars="1050"/>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424EBD9B">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（资格审查文件）</w:t>
      </w:r>
    </w:p>
    <w:p w14:paraId="73DB14C4">
      <w:pPr>
        <w:spacing w:after="60"/>
        <w:jc w:val="center"/>
        <w:rPr>
          <w:rFonts w:ascii="宋体" w:hAnsi="宋体" w:cs="宋体"/>
          <w:b/>
          <w:bCs/>
          <w:color w:val="auto"/>
          <w:sz w:val="72"/>
          <w:szCs w:val="72"/>
          <w:highlight w:val="none"/>
        </w:rPr>
      </w:pPr>
    </w:p>
    <w:p w14:paraId="20D79FC4">
      <w:pPr>
        <w:spacing w:after="60"/>
        <w:jc w:val="center"/>
        <w:rPr>
          <w:rFonts w:ascii="宋体" w:hAnsi="宋体" w:cs="宋体"/>
          <w:b/>
          <w:bCs/>
          <w:color w:val="auto"/>
          <w:sz w:val="72"/>
          <w:szCs w:val="72"/>
          <w:highlight w:val="none"/>
        </w:rPr>
      </w:pPr>
    </w:p>
    <w:p w14:paraId="6A3CB1C7">
      <w:pPr>
        <w:spacing w:after="60"/>
        <w:jc w:val="center"/>
        <w:rPr>
          <w:rFonts w:ascii="宋体" w:hAnsi="宋体" w:cs="宋体"/>
          <w:b/>
          <w:bCs/>
          <w:color w:val="auto"/>
          <w:sz w:val="72"/>
          <w:szCs w:val="72"/>
          <w:highlight w:val="none"/>
        </w:rPr>
      </w:pPr>
    </w:p>
    <w:p w14:paraId="2DF8F8DD">
      <w:pPr>
        <w:spacing w:after="60"/>
        <w:jc w:val="center"/>
        <w:rPr>
          <w:rFonts w:ascii="宋体" w:hAnsi="宋体" w:cs="宋体"/>
          <w:b/>
          <w:bCs/>
          <w:color w:val="auto"/>
          <w:sz w:val="72"/>
          <w:szCs w:val="72"/>
          <w:highlight w:val="none"/>
        </w:rPr>
      </w:pPr>
    </w:p>
    <w:p w14:paraId="0E91FAFD">
      <w:pPr>
        <w:pStyle w:val="18"/>
        <w:ind w:left="0" w:leftChars="0" w:firstLine="0" w:firstLineChars="0"/>
        <w:rPr>
          <w:rFonts w:ascii="宋体" w:hAnsi="宋体" w:cs="宋体"/>
          <w:b/>
          <w:bCs/>
          <w:color w:val="auto"/>
          <w:sz w:val="72"/>
          <w:szCs w:val="72"/>
          <w:highlight w:val="none"/>
        </w:rPr>
      </w:pPr>
    </w:p>
    <w:p w14:paraId="01CFA4BE">
      <w:pPr>
        <w:spacing w:after="60"/>
        <w:jc w:val="center"/>
        <w:rPr>
          <w:rFonts w:ascii="宋体" w:hAnsi="宋体" w:cs="宋体"/>
          <w:b/>
          <w:bCs/>
          <w:color w:val="auto"/>
          <w:sz w:val="72"/>
          <w:szCs w:val="72"/>
          <w:highlight w:val="none"/>
        </w:rPr>
      </w:pPr>
    </w:p>
    <w:p w14:paraId="7093FD5A">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供应商（盖公章）：</w:t>
      </w:r>
      <w:r>
        <w:rPr>
          <w:rFonts w:hint="eastAsia" w:ascii="宋体" w:hAnsi="宋体" w:cs="宋体"/>
          <w:b/>
          <w:color w:val="auto"/>
          <w:sz w:val="24"/>
          <w:highlight w:val="none"/>
          <w:u w:val="single"/>
        </w:rPr>
        <w:t xml:space="preserve">                            </w:t>
      </w:r>
    </w:p>
    <w:p w14:paraId="622156F9">
      <w:pPr>
        <w:spacing w:line="48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法定代表人（或其委托代理人）（签字或盖章）：</w:t>
      </w:r>
      <w:r>
        <w:rPr>
          <w:rFonts w:hint="eastAsia" w:ascii="宋体" w:hAnsi="宋体" w:cs="宋体"/>
          <w:b/>
          <w:color w:val="auto"/>
          <w:sz w:val="24"/>
          <w:highlight w:val="none"/>
          <w:u w:val="single"/>
        </w:rPr>
        <w:t xml:space="preserve">                  </w:t>
      </w:r>
    </w:p>
    <w:p w14:paraId="02847B11">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w:t>
      </w:r>
      <w:r>
        <w:rPr>
          <w:rFonts w:hint="eastAsia" w:ascii="宋体" w:hAnsi="宋体" w:cs="宋体"/>
          <w:b/>
          <w:color w:val="auto"/>
          <w:sz w:val="24"/>
          <w:highlight w:val="none"/>
          <w:u w:val="single"/>
        </w:rPr>
        <w:t xml:space="preserve">                                                  </w:t>
      </w:r>
    </w:p>
    <w:p w14:paraId="1768455F">
      <w:pPr>
        <w:snapToGrid w:val="0"/>
        <w:spacing w:line="360" w:lineRule="auto"/>
        <w:contextualSpacing/>
        <w:jc w:val="left"/>
        <w:rPr>
          <w:rFonts w:ascii="宋体" w:hAnsi="宋体" w:cs="宋体"/>
          <w:color w:val="auto"/>
          <w:sz w:val="24"/>
          <w:highlight w:val="none"/>
        </w:rPr>
      </w:pPr>
      <w:r>
        <w:rPr>
          <w:rFonts w:hint="eastAsia" w:ascii="宋体" w:hAnsi="宋体" w:cs="宋体"/>
          <w:color w:val="auto"/>
          <w:sz w:val="28"/>
          <w:szCs w:val="28"/>
          <w:highlight w:val="none"/>
        </w:rPr>
        <w:t>（一）资格审查文件</w:t>
      </w:r>
    </w:p>
    <w:p w14:paraId="540C570A">
      <w:pPr>
        <w:snapToGrid w:val="0"/>
        <w:spacing w:line="360" w:lineRule="auto"/>
        <w:contextualSpacing/>
        <w:jc w:val="left"/>
        <w:rPr>
          <w:rFonts w:ascii="宋体" w:hAnsi="宋体" w:cs="宋体"/>
          <w:color w:val="auto"/>
          <w:sz w:val="28"/>
          <w:szCs w:val="28"/>
          <w:highlight w:val="none"/>
        </w:rPr>
      </w:pPr>
      <w:r>
        <w:rPr>
          <w:rFonts w:hint="eastAsia" w:ascii="宋体" w:hAnsi="宋体" w:cs="宋体"/>
          <w:color w:val="auto"/>
          <w:sz w:val="28"/>
          <w:szCs w:val="28"/>
          <w:highlight w:val="none"/>
        </w:rPr>
        <w:t>附件1：</w:t>
      </w:r>
    </w:p>
    <w:p w14:paraId="51498120">
      <w:pPr>
        <w:snapToGrid w:val="0"/>
        <w:spacing w:line="300" w:lineRule="auto"/>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4EAB5712">
      <w:pPr>
        <w:spacing w:line="360" w:lineRule="auto"/>
        <w:jc w:val="center"/>
        <w:rPr>
          <w:rFonts w:ascii="宋体" w:hAnsi="宋体" w:cs="宋体"/>
          <w:b/>
          <w:color w:val="auto"/>
          <w:sz w:val="24"/>
          <w:highlight w:val="none"/>
        </w:rPr>
      </w:pPr>
    </w:p>
    <w:p w14:paraId="7EF2F00A">
      <w:pPr>
        <w:snapToGrid w:val="0"/>
        <w:spacing w:line="300" w:lineRule="auto"/>
        <w:contextualSpacing/>
        <w:rPr>
          <w:rFonts w:ascii="宋体" w:hAnsi="宋体" w:cs="宋体"/>
          <w:b/>
          <w:color w:val="auto"/>
          <w:sz w:val="24"/>
          <w:highlight w:val="none"/>
        </w:rPr>
      </w:pPr>
      <w:r>
        <w:rPr>
          <w:rFonts w:hint="eastAsia" w:ascii="宋体" w:hAnsi="宋体" w:cs="宋体"/>
          <w:b/>
          <w:color w:val="auto"/>
          <w:sz w:val="24"/>
          <w:highlight w:val="none"/>
          <w:u w:val="single"/>
        </w:rPr>
        <w:t>南通市公路事业发展中心</w:t>
      </w:r>
      <w:r>
        <w:rPr>
          <w:rFonts w:hint="eastAsia" w:ascii="宋体" w:hAnsi="宋体" w:cs="宋体"/>
          <w:b/>
          <w:color w:val="auto"/>
          <w:sz w:val="24"/>
          <w:highlight w:val="none"/>
        </w:rPr>
        <w:t>：</w:t>
      </w:r>
    </w:p>
    <w:p w14:paraId="29F6B4DA">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w:t>
      </w:r>
      <w:r>
        <w:rPr>
          <w:rFonts w:hint="eastAsia" w:ascii="宋体" w:hAnsi="宋体" w:cs="宋体"/>
          <w:color w:val="auto"/>
          <w:sz w:val="24"/>
          <w:highlight w:val="none"/>
          <w:u w:val="single"/>
        </w:rPr>
        <w:t xml:space="preserve">                              </w:t>
      </w:r>
      <w:r>
        <w:rPr>
          <w:rFonts w:hint="eastAsia" w:ascii="宋体" w:hAnsi="宋体" w:cs="宋体"/>
          <w:color w:val="auto"/>
          <w:spacing w:val="-5"/>
          <w:sz w:val="24"/>
          <w:highlight w:val="none"/>
        </w:rPr>
        <w:t>（单位名称）</w:t>
      </w:r>
      <w:r>
        <w:rPr>
          <w:rFonts w:hint="eastAsia" w:ascii="宋体" w:hAnsi="宋体" w:cs="宋体"/>
          <w:color w:val="auto"/>
          <w:sz w:val="24"/>
          <w:highlight w:val="none"/>
        </w:rPr>
        <w:t>认真对照</w:t>
      </w:r>
      <w:r>
        <w:rPr>
          <w:rFonts w:hint="eastAsia" w:ascii="宋体" w:hAnsi="宋体" w:cs="宋体"/>
          <w:color w:val="auto"/>
          <w:sz w:val="24"/>
          <w:highlight w:val="none"/>
          <w:u w:val="single"/>
        </w:rPr>
        <w:t xml:space="preserve">     （项目名称）                   项目</w:t>
      </w:r>
      <w:r>
        <w:rPr>
          <w:rFonts w:hint="eastAsia" w:ascii="宋体" w:hAnsi="宋体" w:cs="宋体"/>
          <w:color w:val="auto"/>
          <w:sz w:val="24"/>
          <w:highlight w:val="none"/>
        </w:rPr>
        <w:t>磋商文件（含所有澄清、修改文件），符合贵方提出的资格要求，自愿报名参加响应，并郑重声明：</w:t>
      </w:r>
    </w:p>
    <w:p w14:paraId="436B1E97">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我单位具有独立承担民事责任的能力；</w:t>
      </w:r>
    </w:p>
    <w:p w14:paraId="3BB65C71">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我单位具有良好的商业信誉和健全的财务会计制度；</w:t>
      </w:r>
    </w:p>
    <w:p w14:paraId="32E774FE">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我单位具有履行合同所必需的设备和专业技术能力；</w:t>
      </w:r>
    </w:p>
    <w:p w14:paraId="306A5A60">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我单位有依法缴纳税收和社会保障资金的良好记录；</w:t>
      </w:r>
    </w:p>
    <w:p w14:paraId="2BFF232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我单位参加政府采购活动前3年内在经营活动中</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在下划线上如实填写：有或没有）重大违法记录（说明：政府采购法第二十二条第一款第五项所称重大违法记录，是指供应商因违法经营受到刑事处罚或者责令停产停业、吊销许可证或者执照、较大数额罚款等行政处罚。）</w:t>
      </w:r>
    </w:p>
    <w:p w14:paraId="1FA9E7B5">
      <w:pPr>
        <w:snapToGrid w:val="0"/>
        <w:spacing w:line="300" w:lineRule="auto"/>
        <w:ind w:firstLine="420"/>
        <w:contextualSpacing/>
        <w:rPr>
          <w:rFonts w:ascii="宋体" w:hAnsi="宋体" w:cs="宋体"/>
          <w:color w:val="auto"/>
          <w:sz w:val="28"/>
          <w:szCs w:val="28"/>
          <w:highlight w:val="none"/>
        </w:rPr>
      </w:pPr>
    </w:p>
    <w:p w14:paraId="062FFC60">
      <w:pPr>
        <w:snapToGrid w:val="0"/>
        <w:spacing w:line="360" w:lineRule="auto"/>
        <w:ind w:firstLine="4440" w:firstLineChars="1850"/>
        <w:contextualSpacing/>
        <w:rPr>
          <w:rFonts w:ascii="宋体" w:hAnsi="宋体" w:cs="宋体"/>
          <w:color w:val="auto"/>
          <w:sz w:val="24"/>
          <w:highlight w:val="none"/>
        </w:rPr>
      </w:pPr>
    </w:p>
    <w:p w14:paraId="3BA0D7D5">
      <w:pPr>
        <w:snapToGrid w:val="0"/>
        <w:spacing w:line="360" w:lineRule="auto"/>
        <w:ind w:firstLine="4440" w:firstLineChars="1850"/>
        <w:contextualSpacing/>
        <w:rPr>
          <w:rFonts w:ascii="宋体" w:hAnsi="宋体" w:cs="宋体"/>
          <w:color w:val="auto"/>
          <w:sz w:val="24"/>
          <w:highlight w:val="none"/>
        </w:rPr>
      </w:pPr>
    </w:p>
    <w:p w14:paraId="70CFEBA5">
      <w:pPr>
        <w:snapToGrid w:val="0"/>
        <w:spacing w:line="360" w:lineRule="auto"/>
        <w:ind w:firstLine="4440" w:firstLineChars="1850"/>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14:paraId="70D23496">
      <w:pPr>
        <w:snapToGrid w:val="0"/>
        <w:spacing w:line="360" w:lineRule="auto"/>
        <w:contextualSpacing/>
        <w:rPr>
          <w:rFonts w:ascii="宋体" w:hAnsi="宋体" w:cs="宋体"/>
          <w:color w:val="auto"/>
          <w:sz w:val="24"/>
          <w:highlight w:val="none"/>
        </w:rPr>
      </w:pPr>
    </w:p>
    <w:p w14:paraId="5A117E3C">
      <w:pPr>
        <w:snapToGrid w:val="0"/>
        <w:spacing w:line="360" w:lineRule="auto"/>
        <w:ind w:firstLine="4440" w:firstLineChars="1850"/>
        <w:contextualSpacing/>
        <w:rPr>
          <w:rFonts w:ascii="宋体" w:hAnsi="宋体" w:cs="宋体"/>
          <w:bCs/>
          <w:color w:val="auto"/>
          <w:sz w:val="24"/>
          <w:highlight w:val="none"/>
        </w:rPr>
      </w:pPr>
      <w:r>
        <w:rPr>
          <w:rFonts w:hint="eastAsia" w:ascii="宋体" w:hAnsi="宋体" w:cs="宋体"/>
          <w:bCs/>
          <w:color w:val="auto"/>
          <w:sz w:val="24"/>
          <w:highlight w:val="none"/>
        </w:rPr>
        <w:t>年    月    日</w:t>
      </w:r>
    </w:p>
    <w:p w14:paraId="0DE399C1">
      <w:pPr>
        <w:spacing w:line="600" w:lineRule="exact"/>
        <w:ind w:firstLine="576" w:firstLineChars="206"/>
        <w:rPr>
          <w:rFonts w:ascii="宋体" w:hAnsi="宋体" w:cs="宋体"/>
          <w:color w:val="auto"/>
          <w:sz w:val="28"/>
          <w:szCs w:val="28"/>
          <w:highlight w:val="none"/>
        </w:rPr>
      </w:pPr>
    </w:p>
    <w:p w14:paraId="7F266861">
      <w:pPr>
        <w:spacing w:line="600" w:lineRule="exact"/>
        <w:ind w:firstLine="576" w:firstLineChars="206"/>
        <w:rPr>
          <w:rFonts w:ascii="宋体" w:hAnsi="宋体" w:cs="宋体"/>
          <w:color w:val="auto"/>
          <w:sz w:val="28"/>
          <w:szCs w:val="28"/>
          <w:highlight w:val="none"/>
        </w:rPr>
      </w:pPr>
    </w:p>
    <w:p w14:paraId="558B3F4A">
      <w:pPr>
        <w:spacing w:line="600" w:lineRule="exact"/>
        <w:ind w:firstLine="576" w:firstLineChars="206"/>
        <w:rPr>
          <w:rFonts w:ascii="宋体" w:hAnsi="宋体" w:cs="宋体"/>
          <w:color w:val="auto"/>
          <w:sz w:val="28"/>
          <w:szCs w:val="28"/>
          <w:highlight w:val="none"/>
        </w:rPr>
      </w:pPr>
    </w:p>
    <w:p w14:paraId="126B5AAF">
      <w:pPr>
        <w:spacing w:line="600" w:lineRule="exact"/>
        <w:ind w:firstLine="576" w:firstLineChars="206"/>
        <w:rPr>
          <w:rFonts w:ascii="宋体" w:hAnsi="宋体" w:cs="宋体"/>
          <w:color w:val="auto"/>
          <w:sz w:val="28"/>
          <w:szCs w:val="28"/>
          <w:highlight w:val="none"/>
        </w:rPr>
      </w:pPr>
    </w:p>
    <w:p w14:paraId="5C4927C7">
      <w:pPr>
        <w:snapToGrid w:val="0"/>
        <w:spacing w:line="300" w:lineRule="auto"/>
        <w:contextualSpacing/>
        <w:rPr>
          <w:rFonts w:ascii="宋体" w:hAnsi="宋体" w:cs="宋体"/>
          <w:color w:val="auto"/>
          <w:sz w:val="28"/>
          <w:szCs w:val="28"/>
          <w:highlight w:val="none"/>
        </w:rPr>
      </w:pPr>
      <w:r>
        <w:rPr>
          <w:rFonts w:hint="eastAsia" w:ascii="宋体" w:hAnsi="宋体" w:cs="宋体"/>
          <w:b/>
          <w:bCs/>
          <w:color w:val="auto"/>
          <w:sz w:val="72"/>
          <w:szCs w:val="72"/>
          <w:highlight w:val="none"/>
        </w:rPr>
        <w:br w:type="page"/>
      </w:r>
      <w:r>
        <w:rPr>
          <w:rFonts w:hint="eastAsia" w:ascii="宋体" w:hAnsi="宋体" w:cs="宋体"/>
          <w:color w:val="auto"/>
          <w:sz w:val="28"/>
          <w:szCs w:val="28"/>
          <w:highlight w:val="none"/>
        </w:rPr>
        <w:t>附件2：</w:t>
      </w:r>
    </w:p>
    <w:p w14:paraId="73465D66">
      <w:pPr>
        <w:spacing w:before="120" w:beforeLines="50" w:after="120" w:afterLines="50"/>
        <w:jc w:val="center"/>
        <w:rPr>
          <w:rFonts w:ascii="宋体" w:hAnsi="宋体" w:cs="宋体"/>
          <w:color w:val="auto"/>
          <w:sz w:val="28"/>
          <w:szCs w:val="28"/>
          <w:highlight w:val="none"/>
        </w:rPr>
      </w:pPr>
      <w:r>
        <w:rPr>
          <w:rFonts w:hint="eastAsia" w:ascii="宋体" w:hAnsi="宋体" w:cs="宋体"/>
          <w:color w:val="auto"/>
          <w:sz w:val="28"/>
          <w:szCs w:val="28"/>
          <w:highlight w:val="none"/>
        </w:rPr>
        <w:t>授权委托书或法定代表人身份证明</w:t>
      </w:r>
    </w:p>
    <w:p w14:paraId="500C9ADB">
      <w:pPr>
        <w:topLinePunct/>
        <w:spacing w:before="120" w:beforeLines="50" w:after="120" w:afterLines="50"/>
        <w:jc w:val="center"/>
        <w:rPr>
          <w:rFonts w:ascii="宋体" w:hAnsi="宋体" w:cs="宋体"/>
          <w:b/>
          <w:color w:val="auto"/>
          <w:sz w:val="28"/>
          <w:szCs w:val="28"/>
          <w:highlight w:val="none"/>
        </w:rPr>
      </w:pPr>
      <w:r>
        <w:rPr>
          <w:rFonts w:hint="eastAsia" w:ascii="宋体" w:hAnsi="宋体" w:cs="宋体"/>
          <w:b/>
          <w:color w:val="auto"/>
          <w:sz w:val="28"/>
          <w:szCs w:val="28"/>
          <w:highlight w:val="none"/>
        </w:rPr>
        <w:t>（一）授权委托书</w:t>
      </w:r>
    </w:p>
    <w:p w14:paraId="2051E2BD">
      <w:pPr>
        <w:topLinePunct/>
        <w:spacing w:before="120" w:beforeLines="50" w:line="400" w:lineRule="exact"/>
        <w:ind w:firstLine="561"/>
        <w:rPr>
          <w:rFonts w:ascii="宋体" w:hAnsi="宋体" w:cs="宋体"/>
          <w:color w:val="auto"/>
          <w:sz w:val="24"/>
          <w:highlight w:val="none"/>
          <w:u w:val="singl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的法定代表人，现委托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为我方代理人。代理人根据授权，以我方名义签署、澄清、说明、补正、递交、撤回、修改</w:t>
      </w:r>
      <w:r>
        <w:rPr>
          <w:rFonts w:hint="eastAsia" w:ascii="宋体" w:hAnsi="宋体" w:cs="宋体"/>
          <w:color w:val="auto"/>
          <w:sz w:val="24"/>
          <w:highlight w:val="none"/>
          <w:u w:val="single"/>
        </w:rPr>
        <w:t xml:space="preserve">                   项目</w:t>
      </w:r>
      <w:r>
        <w:rPr>
          <w:rFonts w:hint="eastAsia" w:ascii="宋体" w:hAnsi="宋体" w:cs="宋体"/>
          <w:color w:val="auto"/>
          <w:sz w:val="24"/>
          <w:highlight w:val="none"/>
        </w:rPr>
        <w:t>响应文件、签订合同和处理有关事宜，其法律后果由我方承担。</w:t>
      </w:r>
    </w:p>
    <w:p w14:paraId="3FE83F64">
      <w:pPr>
        <w:topLinePunct/>
        <w:spacing w:line="400" w:lineRule="exact"/>
        <w:rPr>
          <w:rFonts w:ascii="宋体" w:hAnsi="宋体" w:cs="宋体"/>
          <w:color w:val="auto"/>
          <w:sz w:val="24"/>
          <w:highlight w:val="none"/>
        </w:rPr>
      </w:pPr>
    </w:p>
    <w:p w14:paraId="6AF11E1E">
      <w:pPr>
        <w:topLinePunct/>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委托期限：自本委托书签署之日起至投标有效期期满。</w:t>
      </w:r>
    </w:p>
    <w:p w14:paraId="0AAB4B21">
      <w:pPr>
        <w:topLinePunct/>
        <w:spacing w:line="400" w:lineRule="exact"/>
        <w:rPr>
          <w:rFonts w:ascii="宋体" w:hAnsi="宋体" w:cs="宋体"/>
          <w:color w:val="auto"/>
          <w:sz w:val="24"/>
          <w:highlight w:val="none"/>
        </w:rPr>
      </w:pPr>
    </w:p>
    <w:p w14:paraId="55E27778">
      <w:pPr>
        <w:topLinePunct/>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代理人无转委托权。</w:t>
      </w:r>
    </w:p>
    <w:p w14:paraId="2977EC87">
      <w:pPr>
        <w:topLinePunct/>
        <w:spacing w:line="400" w:lineRule="exact"/>
        <w:rPr>
          <w:rFonts w:ascii="宋体" w:hAnsi="宋体" w:cs="宋体"/>
          <w:color w:val="auto"/>
          <w:sz w:val="24"/>
          <w:highlight w:val="none"/>
        </w:rPr>
      </w:pPr>
    </w:p>
    <w:p w14:paraId="3F1614A4">
      <w:pPr>
        <w:topLinePunct/>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附：法定代表人身份证明及委托代理人身份证复印件。</w:t>
      </w:r>
    </w:p>
    <w:p w14:paraId="53C88416">
      <w:pPr>
        <w:topLinePunct/>
        <w:ind w:firstLine="480" w:firstLineChars="200"/>
        <w:rPr>
          <w:rFonts w:ascii="宋体" w:hAnsi="宋体" w:cs="宋体"/>
          <w:color w:val="auto"/>
          <w:sz w:val="24"/>
          <w:highlight w:val="none"/>
        </w:rPr>
      </w:pPr>
    </w:p>
    <w:p w14:paraId="15D954D9">
      <w:pPr>
        <w:topLinePunct/>
        <w:rPr>
          <w:rFonts w:ascii="宋体" w:hAnsi="宋体" w:cs="宋体"/>
          <w:color w:val="auto"/>
          <w:sz w:val="24"/>
          <w:highlight w:val="none"/>
        </w:rPr>
      </w:pPr>
    </w:p>
    <w:p w14:paraId="4403F0DD">
      <w:pPr>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14:paraId="69686AF9">
      <w:pPr>
        <w:topLinePunct/>
        <w:rPr>
          <w:rFonts w:ascii="宋体" w:hAnsi="宋体" w:cs="宋体"/>
          <w:color w:val="auto"/>
          <w:sz w:val="24"/>
          <w:highlight w:val="none"/>
        </w:rPr>
      </w:pPr>
    </w:p>
    <w:p w14:paraId="62D9AF9B">
      <w:pPr>
        <w:wordWrap w:val="0"/>
        <w:topLinePunct/>
        <w:rPr>
          <w:rFonts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(签字或盖章)</w:t>
      </w:r>
      <w:r>
        <w:rPr>
          <w:rFonts w:hint="eastAsia" w:ascii="宋体" w:hAnsi="宋体" w:cs="宋体"/>
          <w:color w:val="auto"/>
          <w:sz w:val="24"/>
          <w:highlight w:val="none"/>
        </w:rPr>
        <w:t>：</w:t>
      </w:r>
    </w:p>
    <w:p w14:paraId="13F9E344">
      <w:pPr>
        <w:topLinePunct/>
        <w:rPr>
          <w:rFonts w:ascii="宋体" w:hAnsi="宋体" w:cs="宋体"/>
          <w:color w:val="auto"/>
          <w:sz w:val="24"/>
          <w:highlight w:val="none"/>
        </w:rPr>
      </w:pPr>
    </w:p>
    <w:p w14:paraId="29B71D83">
      <w:pPr>
        <w:wordWrap w:val="0"/>
        <w:topLinePunct/>
        <w:rPr>
          <w:rFonts w:ascii="宋体" w:hAnsi="宋体" w:cs="宋体"/>
          <w:color w:val="auto"/>
          <w:sz w:val="24"/>
          <w:highlight w:val="none"/>
          <w:u w:val="single"/>
        </w:rPr>
      </w:pPr>
      <w:r>
        <w:rPr>
          <w:rFonts w:hint="eastAsia" w:ascii="宋体" w:hAnsi="宋体" w:cs="宋体"/>
          <w:color w:val="auto"/>
          <w:sz w:val="24"/>
          <w:highlight w:val="none"/>
        </w:rPr>
        <w:t>身份证号码：</w:t>
      </w:r>
    </w:p>
    <w:p w14:paraId="283FC2D2">
      <w:pPr>
        <w:topLinePunct/>
        <w:rPr>
          <w:rFonts w:ascii="宋体" w:hAnsi="宋体" w:cs="宋体"/>
          <w:color w:val="auto"/>
          <w:sz w:val="24"/>
          <w:highlight w:val="none"/>
        </w:rPr>
      </w:pPr>
    </w:p>
    <w:p w14:paraId="44B77A7D">
      <w:pPr>
        <w:topLinePunct/>
        <w:jc w:val="left"/>
        <w:rPr>
          <w:rFonts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(签字或盖章)</w:t>
      </w:r>
      <w:r>
        <w:rPr>
          <w:rFonts w:hint="eastAsia" w:ascii="宋体" w:hAnsi="宋体" w:cs="宋体"/>
          <w:color w:val="auto"/>
          <w:sz w:val="24"/>
          <w:highlight w:val="none"/>
        </w:rPr>
        <w:t>：</w:t>
      </w:r>
    </w:p>
    <w:p w14:paraId="69F7789A">
      <w:pPr>
        <w:topLinePunct/>
        <w:rPr>
          <w:rFonts w:ascii="宋体" w:hAnsi="宋体" w:cs="宋体"/>
          <w:color w:val="auto"/>
          <w:sz w:val="24"/>
          <w:highlight w:val="none"/>
        </w:rPr>
      </w:pPr>
    </w:p>
    <w:p w14:paraId="17A99D31">
      <w:pPr>
        <w:wordWrap w:val="0"/>
        <w:topLinePunct/>
        <w:rPr>
          <w:rFonts w:ascii="宋体" w:hAnsi="宋体" w:cs="宋体"/>
          <w:color w:val="auto"/>
          <w:sz w:val="24"/>
          <w:highlight w:val="none"/>
        </w:rPr>
      </w:pPr>
      <w:r>
        <w:rPr>
          <w:rFonts w:hint="eastAsia" w:ascii="宋体" w:hAnsi="宋体" w:cs="宋体"/>
          <w:color w:val="auto"/>
          <w:sz w:val="24"/>
          <w:highlight w:val="none"/>
        </w:rPr>
        <w:t>身份证号码：</w:t>
      </w:r>
    </w:p>
    <w:p w14:paraId="200E2EA4">
      <w:pPr>
        <w:topLinePunct/>
        <w:spacing w:before="120" w:beforeLines="50" w:after="120" w:afterLines="50"/>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4E4400ED">
      <w:pPr>
        <w:topLinePunct/>
        <w:spacing w:before="120" w:beforeLines="50" w:after="120" w:afterLines="50"/>
        <w:jc w:val="center"/>
        <w:rPr>
          <w:rFonts w:ascii="宋体" w:hAnsi="宋体" w:cs="宋体"/>
          <w:color w:val="auto"/>
          <w:sz w:val="36"/>
          <w:szCs w:val="36"/>
          <w:highlight w:val="none"/>
        </w:rPr>
      </w:pPr>
    </w:p>
    <w:p w14:paraId="69119EE6">
      <w:pPr>
        <w:topLinePunct/>
        <w:spacing w:line="400" w:lineRule="exact"/>
        <w:ind w:firstLine="560" w:firstLineChars="200"/>
        <w:rPr>
          <w:rFonts w:ascii="宋体" w:hAnsi="宋体" w:cs="宋体"/>
          <w:color w:val="auto"/>
          <w:sz w:val="28"/>
          <w:szCs w:val="28"/>
          <w:highlight w:val="none"/>
        </w:rPr>
      </w:pPr>
    </w:p>
    <w:p w14:paraId="0FC872FB">
      <w:pPr>
        <w:topLinePunct/>
        <w:spacing w:line="400" w:lineRule="exact"/>
        <w:ind w:firstLine="560" w:firstLineChars="200"/>
        <w:rPr>
          <w:rFonts w:ascii="宋体" w:hAnsi="宋体" w:cs="宋体"/>
          <w:color w:val="auto"/>
          <w:sz w:val="28"/>
          <w:szCs w:val="28"/>
          <w:highlight w:val="none"/>
        </w:rPr>
      </w:pPr>
    </w:p>
    <w:p w14:paraId="730E6B39">
      <w:pPr>
        <w:topLinePunct/>
        <w:spacing w:line="400" w:lineRule="exact"/>
        <w:ind w:firstLine="560" w:firstLineChars="200"/>
        <w:rPr>
          <w:rFonts w:ascii="宋体" w:hAnsi="宋体" w:cs="宋体"/>
          <w:color w:val="auto"/>
          <w:sz w:val="28"/>
          <w:szCs w:val="28"/>
          <w:highlight w:val="none"/>
        </w:rPr>
      </w:pPr>
    </w:p>
    <w:p w14:paraId="4AF4C5D8">
      <w:pPr>
        <w:topLinePunct/>
        <w:spacing w:line="400" w:lineRule="exact"/>
        <w:ind w:firstLine="560" w:firstLineChars="200"/>
        <w:rPr>
          <w:rFonts w:ascii="宋体" w:hAnsi="宋体" w:cs="宋体"/>
          <w:color w:val="auto"/>
          <w:sz w:val="28"/>
          <w:szCs w:val="28"/>
          <w:highlight w:val="none"/>
        </w:rPr>
      </w:pPr>
    </w:p>
    <w:p w14:paraId="4445ED3C">
      <w:pPr>
        <w:topLinePunct/>
        <w:spacing w:line="400" w:lineRule="exact"/>
        <w:ind w:firstLine="560" w:firstLineChars="200"/>
        <w:rPr>
          <w:rFonts w:ascii="宋体" w:hAnsi="宋体" w:cs="宋体"/>
          <w:color w:val="auto"/>
          <w:sz w:val="28"/>
          <w:szCs w:val="28"/>
          <w:highlight w:val="none"/>
        </w:rPr>
      </w:pPr>
    </w:p>
    <w:p w14:paraId="39DD2CEB">
      <w:pPr>
        <w:spacing w:before="120" w:beforeLines="50" w:after="120" w:afterLines="50"/>
        <w:jc w:val="left"/>
        <w:rPr>
          <w:rFonts w:ascii="宋体" w:hAnsi="宋体" w:cs="宋体"/>
          <w:b/>
          <w:bCs/>
          <w:color w:val="auto"/>
          <w:highlight w:val="none"/>
        </w:rPr>
      </w:pPr>
      <w:r>
        <w:rPr>
          <w:rFonts w:hint="eastAsia" w:ascii="宋体" w:hAnsi="宋体" w:cs="宋体"/>
          <w:b/>
          <w:bCs/>
          <w:color w:val="auto"/>
          <w:highlight w:val="none"/>
        </w:rPr>
        <w:t>注：如果由供应商的法定代表人签署投标响应文件，则无须提交授权委托书。</w:t>
      </w:r>
    </w:p>
    <w:p w14:paraId="732CE1E2">
      <w:pPr>
        <w:pStyle w:val="36"/>
        <w:topLinePunct/>
        <w:spacing w:line="400" w:lineRule="exact"/>
        <w:ind w:left="560" w:firstLine="0" w:firstLineChars="0"/>
        <w:rPr>
          <w:rFonts w:ascii="宋体" w:hAnsi="宋体" w:cs="宋体"/>
          <w:color w:val="auto"/>
          <w:sz w:val="28"/>
          <w:szCs w:val="28"/>
          <w:highlight w:val="none"/>
        </w:rPr>
      </w:pPr>
      <w:r>
        <w:rPr>
          <w:rFonts w:hint="eastAsia" w:ascii="宋体" w:hAnsi="宋体" w:cs="宋体"/>
          <w:color w:val="auto"/>
          <w:sz w:val="27"/>
          <w:szCs w:val="27"/>
          <w:highlight w:val="none"/>
        </w:rPr>
        <w:br w:type="page"/>
      </w:r>
    </w:p>
    <w:p w14:paraId="74D15E5E">
      <w:pPr>
        <w:topLinePunct/>
        <w:spacing w:before="120" w:beforeLines="50" w:after="120" w:afterLines="50"/>
        <w:jc w:val="center"/>
        <w:rPr>
          <w:rFonts w:ascii="宋体" w:hAnsi="宋体" w:cs="宋体"/>
          <w:b/>
          <w:color w:val="auto"/>
          <w:sz w:val="28"/>
          <w:szCs w:val="28"/>
          <w:highlight w:val="none"/>
        </w:rPr>
      </w:pPr>
      <w:r>
        <w:rPr>
          <w:rFonts w:hint="eastAsia" w:ascii="宋体" w:hAnsi="宋体" w:cs="宋体"/>
          <w:b/>
          <w:color w:val="auto"/>
          <w:sz w:val="28"/>
          <w:szCs w:val="28"/>
          <w:highlight w:val="none"/>
        </w:rPr>
        <w:t xml:space="preserve"> </w:t>
      </w:r>
      <w:r>
        <w:rPr>
          <w:rFonts w:hint="eastAsia" w:ascii="宋体" w:hAnsi="宋体" w:cs="宋体"/>
          <w:b/>
          <w:color w:val="auto"/>
          <w:sz w:val="28"/>
          <w:szCs w:val="28"/>
          <w:highlight w:val="none"/>
          <w:lang w:eastAsia="zh-CN"/>
        </w:rPr>
        <w:t>（二）</w:t>
      </w:r>
      <w:r>
        <w:rPr>
          <w:rFonts w:hint="eastAsia" w:ascii="宋体" w:hAnsi="宋体" w:cs="宋体"/>
          <w:b/>
          <w:color w:val="auto"/>
          <w:sz w:val="28"/>
          <w:szCs w:val="28"/>
          <w:highlight w:val="none"/>
        </w:rPr>
        <w:t>法定代表人身份证明</w:t>
      </w:r>
    </w:p>
    <w:p w14:paraId="349AAEAA">
      <w:pPr>
        <w:topLinePunct/>
        <w:rPr>
          <w:rFonts w:ascii="宋体" w:hAnsi="宋体" w:cs="宋体"/>
          <w:color w:val="auto"/>
          <w:sz w:val="28"/>
          <w:szCs w:val="28"/>
          <w:highlight w:val="none"/>
        </w:rPr>
      </w:pPr>
    </w:p>
    <w:p w14:paraId="78B9AFB4">
      <w:pPr>
        <w:topLinePunct/>
        <w:rPr>
          <w:rFonts w:ascii="宋体" w:hAnsi="宋体" w:cs="宋体"/>
          <w:color w:val="auto"/>
          <w:sz w:val="28"/>
          <w:szCs w:val="28"/>
          <w:highlight w:val="none"/>
        </w:rPr>
      </w:pPr>
    </w:p>
    <w:p w14:paraId="463CF6E4">
      <w:pPr>
        <w:topLinePun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565F71BA">
      <w:pPr>
        <w:topLinePunct/>
        <w:rPr>
          <w:rFonts w:ascii="宋体" w:hAnsi="宋体" w:cs="宋体"/>
          <w:color w:val="auto"/>
          <w:sz w:val="24"/>
          <w:highlight w:val="none"/>
        </w:rPr>
      </w:pPr>
    </w:p>
    <w:p w14:paraId="751029A7">
      <w:pPr>
        <w:topLinePunct/>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14:paraId="2FFE5FAC">
      <w:pPr>
        <w:topLinePunct/>
        <w:rPr>
          <w:rFonts w:ascii="宋体" w:hAnsi="宋体" w:cs="宋体"/>
          <w:color w:val="auto"/>
          <w:sz w:val="24"/>
          <w:highlight w:val="none"/>
        </w:rPr>
      </w:pPr>
    </w:p>
    <w:p w14:paraId="63C4CE57">
      <w:pPr>
        <w:topLinePunct/>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(供应商名称)           </w:t>
      </w:r>
      <w:r>
        <w:rPr>
          <w:rFonts w:hint="eastAsia" w:ascii="宋体" w:hAnsi="宋体" w:cs="宋体"/>
          <w:color w:val="auto"/>
          <w:sz w:val="24"/>
          <w:highlight w:val="none"/>
        </w:rPr>
        <w:t>的法定代表人。</w:t>
      </w:r>
    </w:p>
    <w:p w14:paraId="6C61C0B9">
      <w:pPr>
        <w:topLinePunct/>
        <w:rPr>
          <w:rFonts w:ascii="宋体" w:hAnsi="宋体" w:cs="宋体"/>
          <w:color w:val="auto"/>
          <w:sz w:val="24"/>
          <w:highlight w:val="none"/>
        </w:rPr>
      </w:pPr>
    </w:p>
    <w:p w14:paraId="47FEB164">
      <w:pPr>
        <w:topLinePunct/>
        <w:rPr>
          <w:rFonts w:ascii="宋体" w:hAnsi="宋体" w:cs="宋体"/>
          <w:color w:val="auto"/>
          <w:sz w:val="24"/>
          <w:highlight w:val="none"/>
        </w:rPr>
      </w:pPr>
      <w:r>
        <w:rPr>
          <w:rFonts w:hint="eastAsia" w:ascii="宋体" w:hAnsi="宋体" w:cs="宋体"/>
          <w:color w:val="auto"/>
          <w:sz w:val="24"/>
          <w:highlight w:val="none"/>
        </w:rPr>
        <w:t>特此证明。</w:t>
      </w:r>
    </w:p>
    <w:p w14:paraId="44CEFAD1">
      <w:pPr>
        <w:topLinePunct/>
        <w:rPr>
          <w:rFonts w:ascii="宋体" w:hAnsi="宋体" w:cs="宋体"/>
          <w:color w:val="auto"/>
          <w:sz w:val="24"/>
          <w:highlight w:val="none"/>
        </w:rPr>
      </w:pPr>
    </w:p>
    <w:p w14:paraId="71192E46">
      <w:pPr>
        <w:topLinePunct/>
        <w:rPr>
          <w:rFonts w:ascii="宋体" w:hAnsi="宋体" w:cs="宋体"/>
          <w:color w:val="auto"/>
          <w:sz w:val="24"/>
          <w:highlight w:val="none"/>
        </w:rPr>
      </w:pPr>
      <w:r>
        <w:rPr>
          <w:rFonts w:hint="eastAsia" w:ascii="宋体" w:hAnsi="宋体" w:cs="宋体"/>
          <w:color w:val="auto"/>
          <w:sz w:val="24"/>
          <w:highlight w:val="none"/>
        </w:rPr>
        <w:t>附：法定代表人身份证复印件。</w:t>
      </w:r>
    </w:p>
    <w:p w14:paraId="3DF098D4">
      <w:pPr>
        <w:topLinePunct/>
        <w:rPr>
          <w:rFonts w:ascii="宋体" w:hAnsi="宋体" w:cs="宋体"/>
          <w:color w:val="auto"/>
          <w:sz w:val="24"/>
          <w:highlight w:val="none"/>
        </w:rPr>
      </w:pPr>
    </w:p>
    <w:p w14:paraId="69A88E8F">
      <w:pPr>
        <w:topLinePunct/>
        <w:rPr>
          <w:rFonts w:ascii="宋体" w:hAnsi="宋体" w:cs="宋体"/>
          <w:color w:val="auto"/>
          <w:sz w:val="24"/>
          <w:highlight w:val="none"/>
        </w:rPr>
      </w:pPr>
    </w:p>
    <w:p w14:paraId="1728441B">
      <w:pPr>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14:paraId="46898CF1">
      <w:pPr>
        <w:spacing w:line="360" w:lineRule="auto"/>
        <w:rPr>
          <w:rFonts w:ascii="宋体" w:hAnsi="宋体" w:cs="宋体"/>
          <w:color w:val="auto"/>
          <w:sz w:val="24"/>
          <w:highlight w:val="none"/>
        </w:rPr>
      </w:pPr>
      <w:r>
        <w:rPr>
          <w:rFonts w:hint="eastAsia" w:ascii="宋体" w:hAnsi="宋体" w:cs="宋体"/>
          <w:color w:val="auto"/>
          <w:sz w:val="24"/>
          <w:highlight w:val="none"/>
        </w:rPr>
        <w:t>日期：   年   月   日</w:t>
      </w:r>
    </w:p>
    <w:p w14:paraId="4B6851AB">
      <w:pPr>
        <w:topLinePunct/>
        <w:rPr>
          <w:rFonts w:ascii="宋体" w:hAnsi="宋体" w:cs="宋体"/>
          <w:color w:val="auto"/>
          <w:sz w:val="28"/>
          <w:szCs w:val="28"/>
          <w:highlight w:val="none"/>
        </w:rPr>
      </w:pPr>
    </w:p>
    <w:p w14:paraId="0FC59CFC">
      <w:pPr>
        <w:topLinePunct/>
        <w:rPr>
          <w:rFonts w:ascii="宋体" w:hAnsi="宋体" w:cs="宋体"/>
          <w:color w:val="auto"/>
          <w:sz w:val="28"/>
          <w:szCs w:val="28"/>
          <w:highlight w:val="none"/>
        </w:rPr>
      </w:pPr>
    </w:p>
    <w:p w14:paraId="74EBD28A">
      <w:pPr>
        <w:topLinePunct/>
        <w:rPr>
          <w:rFonts w:ascii="宋体" w:hAnsi="宋体" w:cs="宋体"/>
          <w:color w:val="auto"/>
          <w:sz w:val="28"/>
          <w:szCs w:val="28"/>
          <w:highlight w:val="none"/>
        </w:rPr>
      </w:pPr>
    </w:p>
    <w:p w14:paraId="20BC9C1C">
      <w:pPr>
        <w:rPr>
          <w:rFonts w:ascii="宋体" w:hAnsi="宋体" w:cs="宋体"/>
          <w:b/>
          <w:bCs/>
          <w:color w:val="auto"/>
          <w:highlight w:val="none"/>
        </w:rPr>
      </w:pPr>
    </w:p>
    <w:p w14:paraId="3BE799B5">
      <w:pPr>
        <w:spacing w:before="120" w:beforeLines="50" w:after="120" w:afterLines="50"/>
        <w:jc w:val="center"/>
        <w:rPr>
          <w:rFonts w:ascii="宋体" w:hAnsi="宋体" w:cs="宋体"/>
          <w:b/>
          <w:bCs/>
          <w:color w:val="auto"/>
          <w:highlight w:val="none"/>
        </w:rPr>
      </w:pPr>
    </w:p>
    <w:p w14:paraId="14D3EFCB">
      <w:pPr>
        <w:spacing w:before="120" w:beforeLines="50" w:after="120" w:afterLines="50"/>
        <w:jc w:val="center"/>
        <w:rPr>
          <w:rFonts w:ascii="宋体" w:hAnsi="宋体" w:cs="宋体"/>
          <w:b/>
          <w:bCs/>
          <w:color w:val="auto"/>
          <w:highlight w:val="none"/>
        </w:rPr>
      </w:pPr>
    </w:p>
    <w:p w14:paraId="15BA7C91">
      <w:pPr>
        <w:spacing w:before="120" w:beforeLines="50" w:after="120" w:afterLines="50"/>
        <w:jc w:val="center"/>
        <w:rPr>
          <w:rFonts w:ascii="宋体" w:hAnsi="宋体" w:cs="宋体"/>
          <w:b/>
          <w:bCs/>
          <w:color w:val="auto"/>
          <w:highlight w:val="none"/>
        </w:rPr>
      </w:pPr>
    </w:p>
    <w:p w14:paraId="2C487367">
      <w:pPr>
        <w:spacing w:before="120" w:beforeLines="50" w:after="120" w:afterLines="50"/>
        <w:jc w:val="center"/>
        <w:rPr>
          <w:rFonts w:ascii="宋体" w:hAnsi="宋体" w:cs="宋体"/>
          <w:b/>
          <w:bCs/>
          <w:color w:val="auto"/>
          <w:highlight w:val="none"/>
        </w:rPr>
      </w:pPr>
    </w:p>
    <w:p w14:paraId="73F3B0EE">
      <w:pPr>
        <w:spacing w:before="120" w:beforeLines="50" w:after="120" w:afterLines="50"/>
        <w:jc w:val="center"/>
        <w:rPr>
          <w:rFonts w:ascii="宋体" w:hAnsi="宋体" w:cs="宋体"/>
          <w:b/>
          <w:bCs/>
          <w:color w:val="auto"/>
          <w:highlight w:val="none"/>
        </w:rPr>
      </w:pPr>
    </w:p>
    <w:p w14:paraId="6653063B">
      <w:pPr>
        <w:snapToGrid w:val="0"/>
        <w:spacing w:line="300" w:lineRule="auto"/>
        <w:ind w:firstLine="420"/>
        <w:contextualSpacing/>
        <w:rPr>
          <w:rFonts w:ascii="宋体" w:hAnsi="宋体" w:cs="宋体"/>
          <w:b/>
          <w:color w:val="auto"/>
          <w:sz w:val="28"/>
          <w:szCs w:val="28"/>
          <w:highlight w:val="none"/>
        </w:rPr>
      </w:pPr>
    </w:p>
    <w:p w14:paraId="5EAE621D">
      <w:pPr>
        <w:spacing w:before="120" w:beforeLines="50" w:after="120" w:afterLines="50"/>
        <w:rPr>
          <w:rFonts w:ascii="宋体" w:hAnsi="宋体" w:cs="宋体"/>
          <w:b/>
          <w:color w:val="auto"/>
          <w:sz w:val="28"/>
          <w:szCs w:val="28"/>
          <w:highlight w:val="none"/>
        </w:rPr>
      </w:pPr>
      <w:r>
        <w:rPr>
          <w:rFonts w:hint="eastAsia" w:ascii="宋体" w:hAnsi="宋体" w:cs="宋体"/>
          <w:b/>
          <w:color w:val="auto"/>
          <w:sz w:val="28"/>
          <w:szCs w:val="28"/>
          <w:highlight w:val="none"/>
        </w:rPr>
        <w:t xml:space="preserve"> </w:t>
      </w:r>
    </w:p>
    <w:p w14:paraId="21DA273C">
      <w:pPr>
        <w:pStyle w:val="18"/>
        <w:rPr>
          <w:rFonts w:ascii="宋体" w:hAnsi="宋体" w:cs="宋体"/>
          <w:color w:val="auto"/>
          <w:highlight w:val="none"/>
        </w:rPr>
      </w:pPr>
    </w:p>
    <w:p w14:paraId="20777AA5">
      <w:pPr>
        <w:pStyle w:val="18"/>
        <w:rPr>
          <w:rFonts w:ascii="宋体" w:hAnsi="宋体" w:cs="宋体"/>
          <w:color w:val="auto"/>
          <w:highlight w:val="none"/>
        </w:rPr>
      </w:pPr>
    </w:p>
    <w:p w14:paraId="2573E62B">
      <w:pPr>
        <w:pStyle w:val="18"/>
        <w:rPr>
          <w:rFonts w:ascii="宋体" w:hAnsi="宋体" w:cs="宋体"/>
          <w:color w:val="auto"/>
          <w:highlight w:val="none"/>
        </w:rPr>
      </w:pPr>
    </w:p>
    <w:p w14:paraId="3ACCFFDA">
      <w:pPr>
        <w:pStyle w:val="18"/>
        <w:rPr>
          <w:rFonts w:ascii="宋体" w:hAnsi="宋体" w:cs="宋体"/>
          <w:color w:val="auto"/>
          <w:highlight w:val="none"/>
        </w:rPr>
      </w:pPr>
    </w:p>
    <w:p w14:paraId="515F1EB4">
      <w:pPr>
        <w:pStyle w:val="18"/>
        <w:rPr>
          <w:rFonts w:ascii="宋体" w:hAnsi="宋体" w:cs="宋体"/>
          <w:color w:val="auto"/>
          <w:highlight w:val="none"/>
        </w:rPr>
      </w:pPr>
    </w:p>
    <w:p w14:paraId="26F6ED67">
      <w:pPr>
        <w:pStyle w:val="18"/>
        <w:rPr>
          <w:rFonts w:ascii="宋体" w:hAnsi="宋体" w:cs="宋体"/>
          <w:color w:val="auto"/>
          <w:highlight w:val="none"/>
        </w:rPr>
      </w:pPr>
    </w:p>
    <w:p w14:paraId="35E233A1">
      <w:pPr>
        <w:pStyle w:val="18"/>
        <w:rPr>
          <w:rFonts w:ascii="宋体" w:hAnsi="宋体" w:cs="宋体"/>
          <w:color w:val="auto"/>
          <w:highlight w:val="none"/>
        </w:rPr>
      </w:pPr>
    </w:p>
    <w:p w14:paraId="3200E786">
      <w:pPr>
        <w:pStyle w:val="18"/>
        <w:rPr>
          <w:rFonts w:ascii="宋体" w:hAnsi="宋体" w:cs="宋体"/>
          <w:color w:val="auto"/>
          <w:highlight w:val="none"/>
        </w:rPr>
      </w:pPr>
    </w:p>
    <w:p w14:paraId="3ABCC569">
      <w:pPr>
        <w:pStyle w:val="33"/>
        <w:spacing w:before="120" w:beforeLines="50" w:after="120" w:afterLines="50" w:line="360" w:lineRule="auto"/>
        <w:jc w:val="left"/>
        <w:rPr>
          <w:rFonts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 xml:space="preserve">附件3：                </w:t>
      </w:r>
    </w:p>
    <w:p w14:paraId="39870565">
      <w:pPr>
        <w:pStyle w:val="33"/>
        <w:spacing w:before="120" w:beforeLines="50" w:after="120" w:afterLines="50"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供应商信用承诺书</w:t>
      </w:r>
    </w:p>
    <w:p w14:paraId="522BB162">
      <w:pPr>
        <w:spacing w:line="560" w:lineRule="exact"/>
        <w:rPr>
          <w:rFonts w:ascii="宋体" w:hAnsi="宋体" w:cs="宋体"/>
          <w:color w:val="auto"/>
          <w:spacing w:val="-5"/>
          <w:sz w:val="24"/>
          <w:highlight w:val="none"/>
        </w:rPr>
      </w:pPr>
      <w:r>
        <w:rPr>
          <w:rFonts w:hint="eastAsia" w:ascii="宋体" w:hAnsi="宋体" w:cs="宋体"/>
          <w:color w:val="auto"/>
          <w:spacing w:val="-5"/>
          <w:sz w:val="24"/>
          <w:highlight w:val="none"/>
        </w:rPr>
        <w:t>致：</w:t>
      </w:r>
      <w:r>
        <w:rPr>
          <w:rFonts w:hint="eastAsia" w:ascii="宋体" w:hAnsi="宋体" w:cs="宋体"/>
          <w:color w:val="auto"/>
          <w:sz w:val="24"/>
          <w:highlight w:val="none"/>
          <w:u w:val="single"/>
        </w:rPr>
        <w:t>南通市公路事业发展中心</w:t>
      </w:r>
    </w:p>
    <w:p w14:paraId="3A0CC22C">
      <w:pPr>
        <w:spacing w:line="560" w:lineRule="exact"/>
        <w:ind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 xml:space="preserve">我单位 </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（单位名称）自愿参加</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 xml:space="preserve"> </w:t>
      </w:r>
    </w:p>
    <w:p w14:paraId="1EFF762C">
      <w:pPr>
        <w:spacing w:line="560" w:lineRule="exact"/>
        <w:rPr>
          <w:rFonts w:ascii="宋体" w:hAnsi="宋体" w:cs="宋体"/>
          <w:color w:val="auto"/>
          <w:spacing w:val="-5"/>
          <w:sz w:val="24"/>
          <w:highlight w:val="none"/>
        </w:rPr>
      </w:pP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项目投标活动，并郑重承诺：</w:t>
      </w:r>
    </w:p>
    <w:p w14:paraId="28D1D983">
      <w:pPr>
        <w:numPr>
          <w:ilvl w:val="0"/>
          <w:numId w:val="7"/>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在本项目的投标活动中遵守国家法律法规和有关规定，遵循公开、公平、公正和诚信原则。</w:t>
      </w:r>
    </w:p>
    <w:p w14:paraId="495A5362">
      <w:pPr>
        <w:numPr>
          <w:ilvl w:val="0"/>
          <w:numId w:val="7"/>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响应文件中所有内容均为我单位真实意愿表达，相关信息真实有效。</w:t>
      </w:r>
    </w:p>
    <w:p w14:paraId="4487092C">
      <w:pPr>
        <w:numPr>
          <w:ilvl w:val="0"/>
          <w:numId w:val="7"/>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无弄虚作假，无围标串标行为。</w:t>
      </w:r>
    </w:p>
    <w:p w14:paraId="315FCF4B">
      <w:pPr>
        <w:numPr>
          <w:ilvl w:val="0"/>
          <w:numId w:val="7"/>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若我方成交，在合同履行过程中严格执行有关</w:t>
      </w:r>
      <w:r>
        <w:rPr>
          <w:rFonts w:hint="eastAsia" w:ascii="宋体" w:hAnsi="宋体" w:cs="宋体"/>
          <w:color w:val="auto"/>
          <w:spacing w:val="-5"/>
          <w:sz w:val="24"/>
          <w:highlight w:val="none"/>
          <w:lang w:eastAsia="zh-CN"/>
        </w:rPr>
        <w:t>法律法规</w:t>
      </w:r>
      <w:r>
        <w:rPr>
          <w:rFonts w:hint="eastAsia" w:ascii="宋体" w:hAnsi="宋体" w:cs="宋体"/>
          <w:color w:val="auto"/>
          <w:spacing w:val="-5"/>
          <w:sz w:val="24"/>
          <w:highlight w:val="none"/>
        </w:rPr>
        <w:t>、规章和规范性文件的规定，不转包和违法分包。</w:t>
      </w:r>
    </w:p>
    <w:p w14:paraId="5273F39D">
      <w:pPr>
        <w:numPr>
          <w:ilvl w:val="0"/>
          <w:numId w:val="7"/>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我方如有违背承诺，愿意接受国家和相关主管部门依法进行的处罚，并记入相关责任主体和责任人信用档案，同时在相关网站上公开。</w:t>
      </w:r>
    </w:p>
    <w:p w14:paraId="7B19E490">
      <w:pPr>
        <w:spacing w:line="560" w:lineRule="exact"/>
        <w:ind w:firstLine="4370" w:firstLineChars="1900"/>
        <w:rPr>
          <w:rFonts w:ascii="宋体" w:hAnsi="宋体" w:cs="宋体"/>
          <w:color w:val="auto"/>
          <w:spacing w:val="-5"/>
          <w:sz w:val="24"/>
          <w:highlight w:val="none"/>
        </w:rPr>
      </w:pPr>
    </w:p>
    <w:p w14:paraId="1D5178FE">
      <w:pPr>
        <w:spacing w:line="360" w:lineRule="auto"/>
        <w:rPr>
          <w:rFonts w:ascii="宋体" w:hAnsi="宋体" w:cs="宋体"/>
          <w:color w:val="auto"/>
          <w:sz w:val="24"/>
          <w:highlight w:val="none"/>
        </w:rPr>
      </w:pPr>
      <w:r>
        <w:rPr>
          <w:rFonts w:hint="eastAsia" w:ascii="宋体" w:hAnsi="宋体" w:cs="宋体"/>
          <w:color w:val="auto"/>
          <w:sz w:val="24"/>
          <w:highlight w:val="none"/>
        </w:rPr>
        <w:t>响应供应商：</w:t>
      </w:r>
      <w:r>
        <w:rPr>
          <w:rFonts w:hint="eastAsia" w:ascii="宋体" w:hAnsi="宋体" w:cs="宋体"/>
          <w:b/>
          <w:color w:val="auto"/>
          <w:spacing w:val="-2"/>
          <w:sz w:val="24"/>
          <w:highlight w:val="none"/>
          <w:u w:val="single"/>
        </w:rPr>
        <w:t>（盖单位章）</w:t>
      </w:r>
    </w:p>
    <w:p w14:paraId="218A6E04">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法定代表人或委托代理人（签字或盖章）：</w:t>
      </w:r>
    </w:p>
    <w:p w14:paraId="5DDD23D5">
      <w:pPr>
        <w:spacing w:line="360" w:lineRule="auto"/>
        <w:ind w:firstLine="3675"/>
        <w:rPr>
          <w:rFonts w:ascii="宋体" w:hAnsi="宋体" w:cs="宋体"/>
          <w:color w:val="auto"/>
          <w:sz w:val="24"/>
          <w:highlight w:val="none"/>
        </w:rPr>
      </w:pPr>
      <w:r>
        <w:rPr>
          <w:rFonts w:hint="eastAsia" w:ascii="宋体" w:hAnsi="宋体" w:cs="宋体"/>
          <w:color w:val="auto"/>
          <w:sz w:val="24"/>
          <w:highlight w:val="none"/>
        </w:rPr>
        <w:t>日期：   年   月   日</w:t>
      </w:r>
    </w:p>
    <w:p w14:paraId="3F3C5ED1">
      <w:pPr>
        <w:rPr>
          <w:rFonts w:ascii="宋体" w:hAnsi="宋体" w:cs="宋体"/>
          <w:color w:val="auto"/>
          <w:sz w:val="28"/>
          <w:szCs w:val="28"/>
          <w:highlight w:val="none"/>
        </w:rPr>
      </w:pPr>
      <w:r>
        <w:rPr>
          <w:rFonts w:hint="eastAsia" w:ascii="宋体" w:hAnsi="宋体" w:cs="宋体"/>
          <w:color w:val="auto"/>
          <w:sz w:val="24"/>
          <w:highlight w:val="none"/>
        </w:rPr>
        <w:br w:type="page"/>
      </w:r>
    </w:p>
    <w:p w14:paraId="2AC61F3B">
      <w:pPr>
        <w:pStyle w:val="33"/>
        <w:spacing w:before="120" w:beforeLines="50" w:after="120" w:afterLines="50" w:line="360" w:lineRule="auto"/>
        <w:jc w:val="left"/>
        <w:rPr>
          <w:rFonts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附件</w:t>
      </w:r>
      <w:r>
        <w:rPr>
          <w:rFonts w:hint="eastAsia" w:ascii="宋体" w:hAnsi="宋体" w:eastAsia="宋体" w:cs="宋体"/>
          <w:b w:val="0"/>
          <w:color w:val="auto"/>
          <w:sz w:val="28"/>
          <w:szCs w:val="28"/>
          <w:highlight w:val="none"/>
          <w:lang w:val="en-US" w:eastAsia="zh-CN"/>
        </w:rPr>
        <w:t>4</w:t>
      </w:r>
      <w:r>
        <w:rPr>
          <w:rFonts w:hint="eastAsia" w:ascii="宋体" w:hAnsi="宋体" w:eastAsia="宋体" w:cs="宋体"/>
          <w:b w:val="0"/>
          <w:color w:val="auto"/>
          <w:sz w:val="28"/>
          <w:szCs w:val="28"/>
          <w:highlight w:val="none"/>
        </w:rPr>
        <w:t xml:space="preserve">：                </w:t>
      </w:r>
    </w:p>
    <w:p w14:paraId="65C30F19">
      <w:pPr>
        <w:pStyle w:val="33"/>
        <w:spacing w:before="120" w:beforeLines="50" w:after="120" w:afterLines="50"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承诺书</w:t>
      </w:r>
    </w:p>
    <w:p w14:paraId="2EDDE64A">
      <w:pPr>
        <w:spacing w:line="560" w:lineRule="exact"/>
        <w:rPr>
          <w:rFonts w:ascii="宋体" w:hAnsi="宋体" w:cs="宋体"/>
          <w:color w:val="auto"/>
          <w:spacing w:val="-5"/>
          <w:sz w:val="24"/>
          <w:highlight w:val="none"/>
        </w:rPr>
      </w:pPr>
      <w:r>
        <w:rPr>
          <w:rFonts w:hint="eastAsia" w:ascii="宋体" w:hAnsi="宋体" w:cs="宋体"/>
          <w:color w:val="auto"/>
          <w:spacing w:val="-5"/>
          <w:sz w:val="24"/>
          <w:highlight w:val="none"/>
        </w:rPr>
        <w:t>致：</w:t>
      </w:r>
      <w:r>
        <w:rPr>
          <w:rFonts w:hint="eastAsia" w:ascii="宋体" w:hAnsi="宋体" w:cs="宋体"/>
          <w:color w:val="auto"/>
          <w:sz w:val="24"/>
          <w:highlight w:val="none"/>
          <w:u w:val="single"/>
        </w:rPr>
        <w:t>南通市公路事业发展中心</w:t>
      </w:r>
    </w:p>
    <w:p w14:paraId="1460E3FB">
      <w:pPr>
        <w:spacing w:line="560" w:lineRule="exact"/>
        <w:ind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 xml:space="preserve">我单位 </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（单位名称）自愿参加</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项目</w:t>
      </w:r>
      <w:r>
        <w:rPr>
          <w:rFonts w:hint="eastAsia" w:ascii="宋体" w:hAnsi="宋体" w:cs="宋体"/>
          <w:color w:val="auto"/>
          <w:spacing w:val="-5"/>
          <w:sz w:val="24"/>
          <w:highlight w:val="none"/>
          <w:lang w:val="en-US" w:eastAsia="zh-CN"/>
        </w:rPr>
        <w:t>磋商</w:t>
      </w:r>
      <w:r>
        <w:rPr>
          <w:rFonts w:hint="eastAsia" w:ascii="宋体" w:hAnsi="宋体" w:cs="宋体"/>
          <w:color w:val="auto"/>
          <w:spacing w:val="-5"/>
          <w:sz w:val="24"/>
          <w:highlight w:val="none"/>
        </w:rPr>
        <w:t>活动，并郑重承诺：</w:t>
      </w:r>
    </w:p>
    <w:p w14:paraId="10417050">
      <w:pPr>
        <w:spacing w:line="560" w:lineRule="exact"/>
        <w:ind w:firstLine="460" w:firstLineChars="200"/>
        <w:rPr>
          <w:rFonts w:hint="default" w:ascii="宋体" w:hAnsi="宋体" w:cs="宋体"/>
          <w:color w:val="auto"/>
          <w:spacing w:val="-5"/>
          <w:sz w:val="24"/>
          <w:highlight w:val="none"/>
          <w:lang w:val="en-US" w:eastAsia="zh-CN"/>
        </w:rPr>
      </w:pPr>
      <w:r>
        <w:rPr>
          <w:rFonts w:hint="eastAsia" w:ascii="宋体" w:hAnsi="宋体" w:cs="宋体"/>
          <w:color w:val="auto"/>
          <w:spacing w:val="-5"/>
          <w:sz w:val="24"/>
          <w:highlight w:val="none"/>
        </w:rPr>
        <w:t>在签订合同前提供</w:t>
      </w:r>
      <w:r>
        <w:rPr>
          <w:rFonts w:hint="eastAsia" w:ascii="宋体" w:hAnsi="宋体" w:cs="宋体"/>
          <w:color w:val="auto"/>
          <w:spacing w:val="-5"/>
          <w:sz w:val="24"/>
          <w:highlight w:val="none"/>
          <w:lang w:val="en-US" w:eastAsia="zh-CN"/>
        </w:rPr>
        <w:t>外网出口防火墙、XDR、中心无线防火墙、中心探针、内网EDR、外网EDR、内网防火墙、服务器区防火墙等</w:t>
      </w:r>
      <w:r>
        <w:rPr>
          <w:rFonts w:hint="eastAsia" w:ascii="宋体" w:hAnsi="宋体" w:cs="宋体"/>
          <w:color w:val="auto"/>
          <w:spacing w:val="-5"/>
          <w:sz w:val="24"/>
          <w:highlight w:val="none"/>
        </w:rPr>
        <w:t>安全设备</w:t>
      </w:r>
      <w:r>
        <w:rPr>
          <w:rFonts w:hint="eastAsia" w:ascii="宋体" w:hAnsi="宋体" w:cs="宋体"/>
          <w:color w:val="auto"/>
          <w:spacing w:val="-5"/>
          <w:sz w:val="24"/>
          <w:highlight w:val="none"/>
          <w:lang w:val="en-US" w:eastAsia="zh-CN"/>
        </w:rPr>
        <w:t>厂商</w:t>
      </w:r>
      <w:r>
        <w:rPr>
          <w:rFonts w:hint="eastAsia" w:ascii="宋体" w:hAnsi="宋体" w:cs="宋体"/>
          <w:color w:val="auto"/>
          <w:spacing w:val="-5"/>
          <w:sz w:val="24"/>
          <w:highlight w:val="none"/>
        </w:rPr>
        <w:t>及安全特征库厂商出具的项目授权函及质保函原件且注册信息为采购人</w:t>
      </w:r>
      <w:r>
        <w:rPr>
          <w:rFonts w:hint="eastAsia" w:ascii="宋体" w:hAnsi="宋体" w:cs="宋体"/>
          <w:color w:val="auto"/>
          <w:spacing w:val="-5"/>
          <w:sz w:val="24"/>
          <w:highlight w:val="none"/>
          <w:lang w:eastAsia="zh-CN"/>
        </w:rPr>
        <w:t>。</w:t>
      </w:r>
      <w:r>
        <w:rPr>
          <w:rFonts w:hint="eastAsia" w:ascii="宋体" w:hAnsi="宋体" w:cs="宋体"/>
          <w:color w:val="auto"/>
          <w:spacing w:val="-5"/>
          <w:sz w:val="24"/>
          <w:highlight w:val="none"/>
          <w:lang w:val="en-US" w:eastAsia="zh-CN"/>
        </w:rPr>
        <w:t>否则，贵方有权无条件取消我方中标资格。</w:t>
      </w:r>
    </w:p>
    <w:p w14:paraId="69B451ED">
      <w:pPr>
        <w:spacing w:line="560" w:lineRule="exact"/>
        <w:ind w:firstLine="4370" w:firstLineChars="1900"/>
        <w:rPr>
          <w:rFonts w:ascii="宋体" w:hAnsi="宋体" w:cs="宋体"/>
          <w:color w:val="auto"/>
          <w:spacing w:val="-5"/>
          <w:sz w:val="24"/>
          <w:highlight w:val="none"/>
        </w:rPr>
      </w:pPr>
    </w:p>
    <w:p w14:paraId="71CDB3A3">
      <w:pPr>
        <w:spacing w:line="360" w:lineRule="auto"/>
        <w:rPr>
          <w:rFonts w:ascii="宋体" w:hAnsi="宋体" w:cs="宋体"/>
          <w:color w:val="auto"/>
          <w:sz w:val="24"/>
          <w:highlight w:val="none"/>
        </w:rPr>
      </w:pPr>
      <w:r>
        <w:rPr>
          <w:rFonts w:hint="eastAsia" w:ascii="宋体" w:hAnsi="宋体" w:cs="宋体"/>
          <w:color w:val="auto"/>
          <w:sz w:val="24"/>
          <w:highlight w:val="none"/>
        </w:rPr>
        <w:t>响应供应商：</w:t>
      </w:r>
      <w:r>
        <w:rPr>
          <w:rFonts w:hint="eastAsia" w:ascii="宋体" w:hAnsi="宋体" w:cs="宋体"/>
          <w:b/>
          <w:color w:val="auto"/>
          <w:spacing w:val="-2"/>
          <w:sz w:val="24"/>
          <w:highlight w:val="none"/>
          <w:u w:val="single"/>
        </w:rPr>
        <w:t>（盖单位章）</w:t>
      </w:r>
    </w:p>
    <w:p w14:paraId="4734EF37">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法定代表人或委托代理人（签字或盖章）：</w:t>
      </w:r>
    </w:p>
    <w:p w14:paraId="57731944">
      <w:pPr>
        <w:rPr>
          <w:rFonts w:hint="eastAsia" w:ascii="宋体" w:hAnsi="宋体" w:cs="宋体"/>
          <w:color w:val="auto"/>
          <w:sz w:val="32"/>
          <w:szCs w:val="32"/>
          <w:highlight w:val="none"/>
        </w:rPr>
      </w:pPr>
      <w:r>
        <w:rPr>
          <w:rFonts w:hint="eastAsia" w:ascii="宋体" w:hAnsi="宋体" w:cs="宋体"/>
          <w:color w:val="auto"/>
          <w:sz w:val="24"/>
          <w:highlight w:val="none"/>
        </w:rPr>
        <w:t>日期：   年   月   日</w:t>
      </w:r>
      <w:r>
        <w:rPr>
          <w:rFonts w:hint="eastAsia" w:ascii="宋体" w:hAnsi="宋体" w:cs="宋体"/>
          <w:color w:val="auto"/>
          <w:sz w:val="32"/>
          <w:szCs w:val="32"/>
          <w:highlight w:val="none"/>
        </w:rPr>
        <w:br w:type="page"/>
      </w:r>
    </w:p>
    <w:p w14:paraId="5EFC28D9">
      <w:pPr>
        <w:widowControl/>
        <w:spacing w:line="360" w:lineRule="auto"/>
        <w:jc w:val="left"/>
        <w:rPr>
          <w:rFonts w:ascii="宋体" w:hAnsi="宋体" w:cs="宋体"/>
          <w:color w:val="auto"/>
          <w:sz w:val="28"/>
          <w:szCs w:val="28"/>
          <w:highlight w:val="none"/>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5</w:t>
      </w:r>
      <w:r>
        <w:rPr>
          <w:rFonts w:hint="eastAsia" w:ascii="宋体" w:hAnsi="宋体" w:cs="宋体"/>
          <w:color w:val="auto"/>
          <w:sz w:val="32"/>
          <w:szCs w:val="32"/>
          <w:highlight w:val="none"/>
        </w:rPr>
        <w:t>：</w:t>
      </w:r>
      <w:r>
        <w:rPr>
          <w:rFonts w:hint="eastAsia" w:ascii="宋体" w:hAnsi="宋体" w:cs="宋体"/>
          <w:color w:val="auto"/>
          <w:sz w:val="28"/>
          <w:szCs w:val="28"/>
          <w:highlight w:val="none"/>
        </w:rPr>
        <w:t>《中小企业声明函》等（如有）</w:t>
      </w:r>
    </w:p>
    <w:p w14:paraId="02C5757D">
      <w:pPr>
        <w:snapToGrid w:val="0"/>
        <w:spacing w:line="300" w:lineRule="auto"/>
        <w:outlineLvl w:val="0"/>
        <w:rPr>
          <w:rFonts w:ascii="宋体" w:hAnsi="宋体" w:cs="宋体"/>
          <w:color w:val="auto"/>
          <w:sz w:val="28"/>
          <w:szCs w:val="28"/>
          <w:highlight w:val="none"/>
        </w:rPr>
      </w:pPr>
    </w:p>
    <w:p w14:paraId="144E734A">
      <w:pPr>
        <w:spacing w:before="120" w:beforeLines="50" w:after="120" w:afterLines="50" w:line="300" w:lineRule="auto"/>
        <w:jc w:val="center"/>
        <w:outlineLvl w:val="0"/>
        <w:rPr>
          <w:rFonts w:ascii="宋体" w:hAnsi="宋体" w:cs="宋体"/>
          <w:b/>
          <w:bCs/>
          <w:color w:val="auto"/>
          <w:sz w:val="28"/>
          <w:szCs w:val="28"/>
          <w:highlight w:val="none"/>
          <w:lang w:bidi="zh-CN"/>
        </w:rPr>
      </w:pPr>
      <w:r>
        <w:rPr>
          <w:rFonts w:hint="eastAsia" w:ascii="宋体" w:hAnsi="宋体" w:cs="宋体"/>
          <w:b/>
          <w:bCs/>
          <w:color w:val="auto"/>
          <w:sz w:val="28"/>
          <w:szCs w:val="28"/>
          <w:highlight w:val="none"/>
          <w:lang w:bidi="zh-CN"/>
        </w:rPr>
        <w:t>中小企业声明函（工程、服务）</w:t>
      </w:r>
    </w:p>
    <w:p w14:paraId="52038807">
      <w:pPr>
        <w:adjustRightInd w:val="0"/>
        <w:snapToGrid w:val="0"/>
        <w:spacing w:line="360" w:lineRule="auto"/>
        <w:ind w:firstLine="480" w:firstLineChars="200"/>
        <w:outlineLvl w:val="0"/>
        <w:rPr>
          <w:rFonts w:ascii="宋体" w:hAnsi="宋体" w:cs="宋体"/>
          <w:color w:val="auto"/>
          <w:sz w:val="24"/>
          <w:highlight w:val="none"/>
          <w:lang w:bidi="zh-CN"/>
        </w:rPr>
      </w:pPr>
      <w:r>
        <w:rPr>
          <w:rFonts w:hint="eastAsia" w:ascii="宋体" w:hAnsi="宋体" w:cs="宋体"/>
          <w:color w:val="auto"/>
          <w:sz w:val="24"/>
          <w:highlight w:val="none"/>
          <w:lang w:bidi="zh-CN"/>
        </w:rPr>
        <w:t>本公司（联合体）郑重声明，根据《政府采购促进中小企业发展管理办法》（财库﹝2020﹞46 号）的规定，本公司（联合体）参加</w:t>
      </w:r>
      <w:r>
        <w:rPr>
          <w:rFonts w:hint="eastAsia" w:ascii="宋体" w:hAnsi="宋体" w:cs="宋体"/>
          <w:color w:val="auto"/>
          <w:sz w:val="24"/>
          <w:highlight w:val="none"/>
          <w:u w:val="single"/>
          <w:lang w:bidi="zh-CN"/>
        </w:rPr>
        <w:t>（单位名称）</w:t>
      </w:r>
      <w:r>
        <w:rPr>
          <w:rFonts w:hint="eastAsia" w:ascii="宋体" w:hAnsi="宋体" w:cs="宋体"/>
          <w:color w:val="auto"/>
          <w:sz w:val="24"/>
          <w:highlight w:val="none"/>
          <w:lang w:bidi="zh-CN"/>
        </w:rPr>
        <w:t>的</w:t>
      </w:r>
      <w:r>
        <w:rPr>
          <w:rFonts w:hint="eastAsia" w:ascii="宋体" w:hAnsi="宋体" w:cs="宋体"/>
          <w:color w:val="auto"/>
          <w:sz w:val="24"/>
          <w:highlight w:val="none"/>
          <w:u w:val="single"/>
          <w:lang w:bidi="zh-CN"/>
        </w:rPr>
        <w:t>（项目名称）</w:t>
      </w:r>
      <w:r>
        <w:rPr>
          <w:rFonts w:hint="eastAsia" w:ascii="宋体" w:hAnsi="宋体" w:cs="宋体"/>
          <w:color w:val="auto"/>
          <w:sz w:val="24"/>
          <w:highlight w:val="none"/>
          <w:lang w:bidi="zh-CN"/>
        </w:rPr>
        <w:t>采购活动，工程的施工单位全部为符合政策要求的中小企业（或者：服务全部由符合政策要求的中小企业承接）。相关企业（含联合体中的中小企业、签订分包意向协议的中小企业）的具体情况如下：</w:t>
      </w:r>
    </w:p>
    <w:p w14:paraId="4683480B">
      <w:pPr>
        <w:adjustRightInd w:val="0"/>
        <w:snapToGrid w:val="0"/>
        <w:spacing w:line="360" w:lineRule="auto"/>
        <w:outlineLvl w:val="0"/>
        <w:rPr>
          <w:rFonts w:ascii="宋体" w:hAnsi="宋体" w:cs="宋体"/>
          <w:color w:val="auto"/>
          <w:sz w:val="24"/>
          <w:highlight w:val="none"/>
          <w:lang w:bidi="zh-CN"/>
        </w:rPr>
      </w:pPr>
      <w:r>
        <w:rPr>
          <w:rFonts w:hint="eastAsia" w:ascii="宋体" w:hAnsi="宋体" w:cs="宋体"/>
          <w:color w:val="auto"/>
          <w:sz w:val="24"/>
          <w:highlight w:val="none"/>
          <w:lang w:bidi="zh-CN"/>
        </w:rPr>
        <w:t>1.</w:t>
      </w:r>
      <w:r>
        <w:rPr>
          <w:rFonts w:hint="eastAsia" w:ascii="宋体" w:hAnsi="宋体" w:cs="宋体"/>
          <w:color w:val="auto"/>
          <w:sz w:val="24"/>
          <w:highlight w:val="none"/>
          <w:u w:val="single"/>
          <w:lang w:bidi="zh-CN"/>
        </w:rPr>
        <w:t>（标的名称）</w:t>
      </w:r>
      <w:r>
        <w:rPr>
          <w:rFonts w:hint="eastAsia" w:ascii="宋体" w:hAnsi="宋体" w:cs="宋体"/>
          <w:color w:val="auto"/>
          <w:sz w:val="24"/>
          <w:highlight w:val="none"/>
          <w:lang w:bidi="zh-CN"/>
        </w:rPr>
        <w:t>，属于（</w:t>
      </w:r>
      <w:r>
        <w:rPr>
          <w:rFonts w:hint="eastAsia" w:ascii="宋体" w:hAnsi="宋体" w:cs="宋体"/>
          <w:color w:val="auto"/>
          <w:sz w:val="24"/>
          <w:highlight w:val="none"/>
          <w:u w:val="single"/>
          <w:lang w:bidi="zh-CN"/>
        </w:rPr>
        <w:t>所属行业）</w:t>
      </w:r>
      <w:r>
        <w:rPr>
          <w:rFonts w:hint="eastAsia" w:ascii="宋体" w:hAnsi="宋体" w:cs="宋体"/>
          <w:color w:val="auto"/>
          <w:sz w:val="24"/>
          <w:highlight w:val="none"/>
          <w:lang w:bidi="zh-CN"/>
        </w:rPr>
        <w:t>；承建（承接）企业为</w:t>
      </w:r>
      <w:r>
        <w:rPr>
          <w:rFonts w:hint="eastAsia" w:ascii="宋体" w:hAnsi="宋体" w:cs="宋体"/>
          <w:color w:val="auto"/>
          <w:sz w:val="24"/>
          <w:highlight w:val="none"/>
          <w:u w:val="single"/>
          <w:lang w:bidi="zh-CN"/>
        </w:rPr>
        <w:t>（企业名称）</w:t>
      </w:r>
      <w:r>
        <w:rPr>
          <w:rFonts w:hint="eastAsia" w:ascii="宋体" w:hAnsi="宋体" w:cs="宋体"/>
          <w:color w:val="auto"/>
          <w:sz w:val="24"/>
          <w:highlight w:val="none"/>
          <w:lang w:bidi="zh-CN"/>
        </w:rPr>
        <w:t>，从业人员</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人，营业收入为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万元，资产总额为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万元，属于</w:t>
      </w:r>
      <w:r>
        <w:rPr>
          <w:rFonts w:hint="eastAsia" w:ascii="宋体" w:hAnsi="宋体" w:cs="宋体"/>
          <w:color w:val="auto"/>
          <w:sz w:val="24"/>
          <w:highlight w:val="none"/>
          <w:u w:val="single"/>
          <w:lang w:bidi="zh-CN"/>
        </w:rPr>
        <w:t>（中型企业、小型企业、微型企业）</w:t>
      </w:r>
      <w:r>
        <w:rPr>
          <w:rFonts w:hint="eastAsia" w:ascii="宋体" w:hAnsi="宋体" w:cs="宋体"/>
          <w:color w:val="auto"/>
          <w:sz w:val="24"/>
          <w:highlight w:val="none"/>
          <w:lang w:bidi="zh-CN"/>
        </w:rPr>
        <w:t>；</w:t>
      </w:r>
    </w:p>
    <w:p w14:paraId="50865520">
      <w:pPr>
        <w:adjustRightInd w:val="0"/>
        <w:snapToGrid w:val="0"/>
        <w:spacing w:line="360" w:lineRule="auto"/>
        <w:outlineLvl w:val="0"/>
        <w:rPr>
          <w:rFonts w:ascii="宋体" w:hAnsi="宋体" w:cs="宋体"/>
          <w:color w:val="auto"/>
          <w:sz w:val="24"/>
          <w:highlight w:val="none"/>
          <w:lang w:bidi="zh-CN"/>
        </w:rPr>
      </w:pPr>
      <w:r>
        <w:rPr>
          <w:rFonts w:hint="eastAsia" w:ascii="宋体" w:hAnsi="宋体" w:cs="宋体"/>
          <w:color w:val="auto"/>
          <w:sz w:val="24"/>
          <w:highlight w:val="none"/>
          <w:lang w:bidi="zh-CN"/>
        </w:rPr>
        <w:t>2.</w:t>
      </w:r>
      <w:r>
        <w:rPr>
          <w:rFonts w:hint="eastAsia" w:ascii="宋体" w:hAnsi="宋体" w:cs="宋体"/>
          <w:color w:val="auto"/>
          <w:sz w:val="24"/>
          <w:highlight w:val="none"/>
          <w:u w:val="single"/>
          <w:lang w:bidi="zh-CN"/>
        </w:rPr>
        <w:t>（标的名称）</w:t>
      </w:r>
      <w:r>
        <w:rPr>
          <w:rFonts w:hint="eastAsia" w:ascii="宋体" w:hAnsi="宋体" w:cs="宋体"/>
          <w:color w:val="auto"/>
          <w:sz w:val="24"/>
          <w:highlight w:val="none"/>
          <w:lang w:bidi="zh-CN"/>
        </w:rPr>
        <w:t>，属于（</w:t>
      </w:r>
      <w:r>
        <w:rPr>
          <w:rFonts w:hint="eastAsia" w:ascii="宋体" w:hAnsi="宋体" w:cs="宋体"/>
          <w:color w:val="auto"/>
          <w:sz w:val="24"/>
          <w:highlight w:val="none"/>
          <w:u w:val="single"/>
          <w:lang w:bidi="zh-CN"/>
        </w:rPr>
        <w:t>所属行业）</w:t>
      </w:r>
      <w:r>
        <w:rPr>
          <w:rFonts w:hint="eastAsia" w:ascii="宋体" w:hAnsi="宋体" w:cs="宋体"/>
          <w:color w:val="auto"/>
          <w:sz w:val="24"/>
          <w:highlight w:val="none"/>
          <w:lang w:bidi="zh-CN"/>
        </w:rPr>
        <w:t>；承建（承接）企业为</w:t>
      </w:r>
      <w:r>
        <w:rPr>
          <w:rFonts w:hint="eastAsia" w:ascii="宋体" w:hAnsi="宋体" w:cs="宋体"/>
          <w:color w:val="auto"/>
          <w:sz w:val="24"/>
          <w:highlight w:val="none"/>
          <w:u w:val="single"/>
          <w:lang w:bidi="zh-CN"/>
        </w:rPr>
        <w:t>（企业名称）</w:t>
      </w:r>
      <w:r>
        <w:rPr>
          <w:rFonts w:hint="eastAsia" w:ascii="宋体" w:hAnsi="宋体" w:cs="宋体"/>
          <w:color w:val="auto"/>
          <w:sz w:val="24"/>
          <w:highlight w:val="none"/>
          <w:lang w:bidi="zh-CN"/>
        </w:rPr>
        <w:t>，从业人员</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人，营业收入为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万元，资产总额为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万元，属于</w:t>
      </w:r>
      <w:r>
        <w:rPr>
          <w:rFonts w:hint="eastAsia" w:ascii="宋体" w:hAnsi="宋体" w:cs="宋体"/>
          <w:color w:val="auto"/>
          <w:sz w:val="24"/>
          <w:highlight w:val="none"/>
          <w:u w:val="single"/>
          <w:lang w:bidi="zh-CN"/>
        </w:rPr>
        <w:t>（中型企业、小型企业、微型企业）</w:t>
      </w:r>
      <w:r>
        <w:rPr>
          <w:rFonts w:hint="eastAsia" w:ascii="宋体" w:hAnsi="宋体" w:cs="宋体"/>
          <w:color w:val="auto"/>
          <w:sz w:val="24"/>
          <w:highlight w:val="none"/>
          <w:lang w:bidi="zh-CN"/>
        </w:rPr>
        <w:t>；</w:t>
      </w:r>
    </w:p>
    <w:p w14:paraId="0A31F9AA">
      <w:pPr>
        <w:adjustRightInd w:val="0"/>
        <w:snapToGrid w:val="0"/>
        <w:spacing w:line="360" w:lineRule="auto"/>
        <w:outlineLvl w:val="0"/>
        <w:rPr>
          <w:rFonts w:ascii="宋体" w:hAnsi="宋体" w:cs="宋体"/>
          <w:color w:val="auto"/>
          <w:sz w:val="24"/>
          <w:highlight w:val="none"/>
          <w:lang w:bidi="zh-CN"/>
        </w:rPr>
      </w:pPr>
      <w:r>
        <w:rPr>
          <w:rFonts w:hint="eastAsia" w:ascii="宋体" w:hAnsi="宋体" w:cs="宋体"/>
          <w:color w:val="auto"/>
          <w:sz w:val="24"/>
          <w:highlight w:val="none"/>
          <w:lang w:bidi="zh-CN"/>
        </w:rPr>
        <w:t>……</w:t>
      </w:r>
    </w:p>
    <w:p w14:paraId="0FD91030">
      <w:pPr>
        <w:adjustRightInd w:val="0"/>
        <w:snapToGrid w:val="0"/>
        <w:spacing w:line="360" w:lineRule="auto"/>
        <w:ind w:firstLine="480" w:firstLineChars="200"/>
        <w:outlineLvl w:val="0"/>
        <w:rPr>
          <w:rFonts w:ascii="宋体" w:hAnsi="宋体" w:cs="宋体"/>
          <w:color w:val="auto"/>
          <w:sz w:val="24"/>
          <w:highlight w:val="none"/>
          <w:lang w:bidi="zh-CN"/>
        </w:rPr>
      </w:pPr>
      <w:r>
        <w:rPr>
          <w:rFonts w:hint="eastAsia" w:ascii="宋体" w:hAnsi="宋体" w:cs="宋体"/>
          <w:color w:val="auto"/>
          <w:sz w:val="24"/>
          <w:highlight w:val="none"/>
          <w:lang w:bidi="zh-CN"/>
        </w:rPr>
        <w:t>以上企业，不属于大企业的分支机构，不存在控股股东为大企业的情形，也不存在与大企业的负责人为同一人的情形。</w:t>
      </w:r>
    </w:p>
    <w:p w14:paraId="2BB89E61">
      <w:pPr>
        <w:adjustRightInd w:val="0"/>
        <w:snapToGrid w:val="0"/>
        <w:spacing w:line="360" w:lineRule="auto"/>
        <w:ind w:firstLine="480" w:firstLineChars="200"/>
        <w:outlineLvl w:val="0"/>
        <w:rPr>
          <w:rFonts w:ascii="宋体" w:hAnsi="宋体" w:cs="宋体"/>
          <w:color w:val="auto"/>
          <w:sz w:val="24"/>
          <w:highlight w:val="none"/>
          <w:lang w:bidi="zh-CN"/>
        </w:rPr>
      </w:pPr>
      <w:r>
        <w:rPr>
          <w:rFonts w:hint="eastAsia" w:ascii="宋体" w:hAnsi="宋体" w:cs="宋体"/>
          <w:color w:val="auto"/>
          <w:sz w:val="24"/>
          <w:highlight w:val="none"/>
          <w:lang w:bidi="zh-CN"/>
        </w:rPr>
        <w:t>本企业对上述声明内容的真实性负责。如有虚假，将依法承担相应责任。</w:t>
      </w:r>
    </w:p>
    <w:p w14:paraId="4DBCF79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（备注：1、供应商如不提供此声明函，价格将不做相应扣除。</w:t>
      </w:r>
    </w:p>
    <w:p w14:paraId="1B550315">
      <w:pPr>
        <w:adjustRightInd w:val="0"/>
        <w:snapToGrid w:val="0"/>
        <w:spacing w:line="360" w:lineRule="auto"/>
        <w:ind w:firstLine="960" w:firstLineChars="400"/>
        <w:rPr>
          <w:rFonts w:ascii="宋体" w:hAnsi="宋体" w:cs="宋体"/>
          <w:color w:val="auto"/>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中标或成交供应商为小型、微型单位的，此声明函将随中标或成交结果同时公告，接受社会监督。）</w:t>
      </w:r>
    </w:p>
    <w:p w14:paraId="537AC3A8">
      <w:pPr>
        <w:adjustRightInd w:val="0"/>
        <w:snapToGrid w:val="0"/>
        <w:spacing w:line="360" w:lineRule="auto"/>
        <w:outlineLvl w:val="0"/>
        <w:rPr>
          <w:rFonts w:ascii="宋体" w:hAnsi="宋体" w:cs="宋体"/>
          <w:color w:val="auto"/>
          <w:sz w:val="24"/>
          <w:highlight w:val="none"/>
          <w:lang w:bidi="zh-CN"/>
        </w:rPr>
      </w:pPr>
    </w:p>
    <w:p w14:paraId="7F17A0E4">
      <w:pPr>
        <w:adjustRightInd w:val="0"/>
        <w:snapToGrid w:val="0"/>
        <w:spacing w:line="360" w:lineRule="auto"/>
        <w:outlineLvl w:val="0"/>
        <w:rPr>
          <w:rFonts w:ascii="宋体" w:hAnsi="宋体" w:cs="宋体"/>
          <w:color w:val="auto"/>
          <w:sz w:val="24"/>
          <w:highlight w:val="none"/>
          <w:lang w:bidi="zh-CN"/>
        </w:rPr>
      </w:pPr>
    </w:p>
    <w:p w14:paraId="73125B34">
      <w:pPr>
        <w:adjustRightInd w:val="0"/>
        <w:snapToGrid w:val="0"/>
        <w:spacing w:line="360" w:lineRule="auto"/>
        <w:ind w:firstLine="4200" w:firstLineChars="1750"/>
        <w:outlineLvl w:val="0"/>
        <w:rPr>
          <w:rFonts w:ascii="宋体" w:hAnsi="宋体" w:cs="宋体"/>
          <w:color w:val="auto"/>
          <w:sz w:val="24"/>
          <w:highlight w:val="none"/>
          <w:lang w:bidi="zh-CN"/>
        </w:rPr>
      </w:pPr>
      <w:r>
        <w:rPr>
          <w:rFonts w:hint="eastAsia" w:ascii="宋体" w:hAnsi="宋体" w:cs="宋体"/>
          <w:color w:val="auto"/>
          <w:sz w:val="24"/>
          <w:highlight w:val="none"/>
          <w:lang w:bidi="zh-CN"/>
        </w:rPr>
        <w:t>企业名称（盖章）：</w:t>
      </w:r>
    </w:p>
    <w:p w14:paraId="6AE79DAB">
      <w:pPr>
        <w:spacing w:line="300" w:lineRule="auto"/>
        <w:ind w:firstLine="4200" w:firstLineChars="1750"/>
        <w:outlineLvl w:val="0"/>
        <w:rPr>
          <w:rFonts w:ascii="宋体" w:hAnsi="宋体" w:cs="宋体"/>
          <w:color w:val="auto"/>
          <w:sz w:val="24"/>
          <w:highlight w:val="none"/>
          <w:lang w:bidi="zh-CN"/>
        </w:rPr>
      </w:pPr>
      <w:r>
        <w:rPr>
          <w:rFonts w:hint="eastAsia" w:ascii="宋体" w:hAnsi="宋体" w:cs="宋体"/>
          <w:color w:val="auto"/>
          <w:sz w:val="24"/>
          <w:highlight w:val="none"/>
          <w:lang w:bidi="zh-CN"/>
        </w:rPr>
        <w:t>日期：</w:t>
      </w:r>
    </w:p>
    <w:p w14:paraId="2DD13304">
      <w:pPr>
        <w:spacing w:line="560" w:lineRule="exact"/>
        <w:ind w:firstLine="240" w:firstLineChars="100"/>
        <w:rPr>
          <w:rFonts w:ascii="宋体" w:hAnsi="宋体" w:cs="宋体"/>
          <w:color w:val="auto"/>
          <w:sz w:val="24"/>
          <w:highlight w:val="none"/>
        </w:rPr>
      </w:pPr>
    </w:p>
    <w:p w14:paraId="3B824D4E">
      <w:pPr>
        <w:spacing w:line="300" w:lineRule="auto"/>
        <w:contextualSpacing/>
        <w:rPr>
          <w:rFonts w:ascii="宋体" w:hAnsi="宋体" w:cs="宋体"/>
          <w:color w:val="auto"/>
          <w:sz w:val="24"/>
          <w:highlight w:val="none"/>
        </w:rPr>
      </w:pPr>
    </w:p>
    <w:p w14:paraId="6B042A3A">
      <w:pPr>
        <w:spacing w:line="6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残疾人福利性单位声明函</w:t>
      </w:r>
    </w:p>
    <w:p w14:paraId="33A66511">
      <w:pPr>
        <w:spacing w:line="588"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32D085E">
      <w:pPr>
        <w:spacing w:line="588"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0D9FFED">
      <w:pPr>
        <w:spacing w:line="588"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（备注：1、供应商如不提供此声明函，价格将不做相应扣除。</w:t>
      </w:r>
    </w:p>
    <w:p w14:paraId="76E409C7">
      <w:pPr>
        <w:spacing w:line="588" w:lineRule="exact"/>
        <w:ind w:firstLine="1440" w:firstLineChars="600"/>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中标或成交供应商为残疾人福利单位的，此声明函将随中标或成交结果同时公告，接受社会监督）</w:t>
      </w:r>
    </w:p>
    <w:p w14:paraId="2B64C386">
      <w:pPr>
        <w:spacing w:line="588" w:lineRule="exact"/>
        <w:ind w:firstLine="480" w:firstLineChars="200"/>
        <w:rPr>
          <w:rFonts w:ascii="宋体" w:hAnsi="宋体" w:cs="宋体"/>
          <w:color w:val="auto"/>
          <w:sz w:val="24"/>
          <w:highlight w:val="none"/>
        </w:rPr>
      </w:pPr>
    </w:p>
    <w:p w14:paraId="68CF0AD0">
      <w:pPr>
        <w:tabs>
          <w:tab w:val="left" w:pos="4860"/>
        </w:tabs>
        <w:spacing w:line="588" w:lineRule="exact"/>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供应商全称（盖章）：</w:t>
      </w:r>
    </w:p>
    <w:p w14:paraId="32E2FCE3">
      <w:pPr>
        <w:tabs>
          <w:tab w:val="left" w:pos="4860"/>
        </w:tabs>
        <w:spacing w:line="588" w:lineRule="exact"/>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1877FEB8">
      <w:pPr>
        <w:spacing w:line="420" w:lineRule="exact"/>
        <w:jc w:val="center"/>
        <w:outlineLvl w:val="2"/>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监狱和戒毒企业证明材料</w:t>
      </w:r>
    </w:p>
    <w:p w14:paraId="05D3168D">
      <w:pPr>
        <w:spacing w:line="420" w:lineRule="exact"/>
        <w:ind w:firstLine="495" w:firstLineChars="177"/>
        <w:rPr>
          <w:rFonts w:ascii="宋体" w:hAnsi="宋体" w:cs="宋体"/>
          <w:color w:val="auto"/>
          <w:sz w:val="28"/>
          <w:szCs w:val="28"/>
          <w:highlight w:val="none"/>
        </w:rPr>
      </w:pPr>
    </w:p>
    <w:p w14:paraId="7E280453">
      <w:pPr>
        <w:spacing w:line="420" w:lineRule="exact"/>
        <w:ind w:firstLine="426" w:firstLineChars="177"/>
        <w:jc w:val="center"/>
        <w:rPr>
          <w:rFonts w:ascii="宋体" w:hAnsi="宋体" w:cs="宋体"/>
          <w:b/>
          <w:color w:val="auto"/>
          <w:sz w:val="24"/>
          <w:highlight w:val="none"/>
        </w:rPr>
      </w:pPr>
      <w:r>
        <w:rPr>
          <w:rFonts w:hint="eastAsia" w:ascii="宋体" w:hAnsi="宋体" w:cs="宋体"/>
          <w:b/>
          <w:color w:val="auto"/>
          <w:sz w:val="24"/>
          <w:highlight w:val="none"/>
        </w:rPr>
        <w:t>（格式自拟）</w:t>
      </w:r>
    </w:p>
    <w:p w14:paraId="1942C201">
      <w:pPr>
        <w:spacing w:line="420" w:lineRule="exact"/>
        <w:ind w:firstLine="424" w:firstLineChars="177"/>
        <w:rPr>
          <w:rFonts w:ascii="宋体" w:hAnsi="宋体" w:cs="宋体"/>
          <w:color w:val="auto"/>
          <w:sz w:val="24"/>
          <w:highlight w:val="none"/>
        </w:rPr>
      </w:pPr>
    </w:p>
    <w:p w14:paraId="122223EF">
      <w:pPr>
        <w:spacing w:line="420" w:lineRule="exact"/>
        <w:ind w:firstLine="566" w:firstLineChars="236"/>
        <w:rPr>
          <w:rFonts w:ascii="宋体" w:hAnsi="宋体" w:cs="宋体"/>
          <w:color w:val="auto"/>
          <w:sz w:val="24"/>
          <w:highlight w:val="none"/>
        </w:rPr>
      </w:pPr>
      <w:r>
        <w:rPr>
          <w:rFonts w:hint="eastAsia" w:ascii="宋体" w:hAnsi="宋体" w:cs="宋体"/>
          <w:color w:val="auto"/>
          <w:sz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31F4D54A">
      <w:pPr>
        <w:spacing w:line="300" w:lineRule="auto"/>
        <w:contextualSpacing/>
        <w:rPr>
          <w:rFonts w:ascii="宋体" w:hAnsi="宋体" w:cs="宋体"/>
          <w:b/>
          <w:bCs/>
          <w:color w:val="auto"/>
          <w:sz w:val="24"/>
          <w:highlight w:val="none"/>
        </w:rPr>
      </w:pPr>
    </w:p>
    <w:p w14:paraId="3FA980CE">
      <w:pPr>
        <w:kinsoku w:val="0"/>
        <w:topLinePunct/>
        <w:spacing w:line="420" w:lineRule="exact"/>
        <w:jc w:val="center"/>
        <w:rPr>
          <w:rFonts w:ascii="宋体" w:hAnsi="宋体" w:cs="宋体"/>
          <w:color w:val="auto"/>
          <w:sz w:val="24"/>
          <w:highlight w:val="none"/>
        </w:rPr>
      </w:pPr>
    </w:p>
    <w:p w14:paraId="57591BD3">
      <w:pPr>
        <w:adjustRightInd w:val="0"/>
        <w:snapToGrid w:val="0"/>
        <w:spacing w:line="360" w:lineRule="auto"/>
        <w:jc w:val="left"/>
        <w:rPr>
          <w:rFonts w:ascii="宋体" w:hAnsi="宋体" w:cs="宋体"/>
          <w:color w:val="auto"/>
          <w:sz w:val="24"/>
          <w:highlight w:val="none"/>
        </w:rPr>
      </w:pPr>
    </w:p>
    <w:p w14:paraId="6F4D2CC8">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1735AFA5">
      <w:pPr>
        <w:rPr>
          <w:rFonts w:ascii="宋体" w:hAnsi="宋体" w:cs="宋体"/>
          <w:color w:val="auto"/>
          <w:sz w:val="28"/>
          <w:szCs w:val="28"/>
          <w:highlight w:val="none"/>
        </w:rPr>
      </w:pPr>
      <w:r>
        <w:rPr>
          <w:rFonts w:hint="eastAsia" w:ascii="宋体" w:hAnsi="宋体" w:cs="宋体"/>
          <w:color w:val="auto"/>
          <w:sz w:val="28"/>
          <w:szCs w:val="28"/>
          <w:highlight w:val="none"/>
        </w:rPr>
        <w:t>附件</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w:t>
      </w:r>
    </w:p>
    <w:p w14:paraId="63B21D57">
      <w:pPr>
        <w:snapToGrid w:val="0"/>
        <w:spacing w:line="520" w:lineRule="exact"/>
        <w:jc w:val="center"/>
        <w:outlineLvl w:val="2"/>
        <w:rPr>
          <w:rFonts w:ascii="宋体" w:hAnsi="宋体" w:cs="宋体"/>
          <w:color w:val="auto"/>
          <w:highlight w:val="none"/>
        </w:rPr>
      </w:pPr>
      <w:r>
        <w:rPr>
          <w:rFonts w:hint="eastAsia" w:ascii="宋体" w:hAnsi="宋体" w:cs="宋体"/>
          <w:b/>
          <w:bCs/>
          <w:color w:val="auto"/>
          <w:sz w:val="28"/>
          <w:szCs w:val="28"/>
          <w:highlight w:val="none"/>
        </w:rPr>
        <w:t>供应商基本情况表</w:t>
      </w:r>
    </w:p>
    <w:tbl>
      <w:tblPr>
        <w:tblStyle w:val="19"/>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3036"/>
        <w:gridCol w:w="1536"/>
        <w:gridCol w:w="2287"/>
      </w:tblGrid>
      <w:tr w14:paraId="0F07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708" w:type="dxa"/>
            <w:vAlign w:val="center"/>
          </w:tcPr>
          <w:p w14:paraId="727113C1">
            <w:pPr>
              <w:jc w:val="center"/>
              <w:rPr>
                <w:rFonts w:ascii="宋体" w:hAnsi="宋体" w:cs="宋体"/>
                <w:color w:val="auto"/>
                <w:sz w:val="24"/>
                <w:highlight w:val="none"/>
              </w:rPr>
            </w:pPr>
            <w:r>
              <w:rPr>
                <w:rFonts w:hint="eastAsia" w:ascii="宋体" w:hAnsi="宋体" w:cs="宋体"/>
                <w:color w:val="auto"/>
                <w:sz w:val="24"/>
                <w:highlight w:val="none"/>
              </w:rPr>
              <w:t>供应商全称</w:t>
            </w:r>
          </w:p>
        </w:tc>
        <w:tc>
          <w:tcPr>
            <w:tcW w:w="6859" w:type="dxa"/>
            <w:gridSpan w:val="3"/>
            <w:vAlign w:val="center"/>
          </w:tcPr>
          <w:p w14:paraId="692AEDC9">
            <w:pPr>
              <w:jc w:val="center"/>
              <w:rPr>
                <w:rFonts w:ascii="宋体" w:hAnsi="宋体" w:cs="宋体"/>
                <w:b/>
                <w:color w:val="auto"/>
                <w:sz w:val="24"/>
                <w:highlight w:val="none"/>
              </w:rPr>
            </w:pPr>
          </w:p>
        </w:tc>
      </w:tr>
      <w:tr w14:paraId="6326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708" w:type="dxa"/>
            <w:vAlign w:val="center"/>
          </w:tcPr>
          <w:p w14:paraId="1FBF690E">
            <w:pPr>
              <w:jc w:val="center"/>
              <w:rPr>
                <w:rFonts w:ascii="宋体" w:hAnsi="宋体" w:cs="宋体"/>
                <w:color w:val="auto"/>
                <w:sz w:val="24"/>
                <w:highlight w:val="none"/>
              </w:rPr>
            </w:pPr>
            <w:r>
              <w:rPr>
                <w:rFonts w:hint="eastAsia" w:ascii="宋体" w:hAnsi="宋体" w:cs="宋体"/>
                <w:color w:val="auto"/>
                <w:sz w:val="24"/>
                <w:highlight w:val="none"/>
              </w:rPr>
              <w:t>主要业务范围</w:t>
            </w:r>
          </w:p>
        </w:tc>
        <w:tc>
          <w:tcPr>
            <w:tcW w:w="6859" w:type="dxa"/>
            <w:gridSpan w:val="3"/>
            <w:vAlign w:val="center"/>
          </w:tcPr>
          <w:p w14:paraId="6AD96CE9">
            <w:pPr>
              <w:jc w:val="center"/>
              <w:rPr>
                <w:rFonts w:ascii="宋体" w:hAnsi="宋体" w:cs="宋体"/>
                <w:b/>
                <w:color w:val="auto"/>
                <w:sz w:val="24"/>
                <w:highlight w:val="none"/>
              </w:rPr>
            </w:pPr>
          </w:p>
        </w:tc>
      </w:tr>
      <w:tr w14:paraId="46C8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14:paraId="49AC1775">
            <w:pPr>
              <w:jc w:val="center"/>
              <w:rPr>
                <w:rFonts w:ascii="宋体" w:hAnsi="宋体" w:cs="宋体"/>
                <w:color w:val="auto"/>
                <w:sz w:val="24"/>
                <w:highlight w:val="none"/>
              </w:rPr>
            </w:pPr>
            <w:r>
              <w:rPr>
                <w:rFonts w:hint="eastAsia" w:ascii="宋体" w:hAnsi="宋体" w:cs="宋体"/>
                <w:color w:val="auto"/>
                <w:sz w:val="24"/>
                <w:highlight w:val="none"/>
              </w:rPr>
              <w:t>法定代表人姓名</w:t>
            </w:r>
          </w:p>
        </w:tc>
        <w:tc>
          <w:tcPr>
            <w:tcW w:w="3036" w:type="dxa"/>
            <w:vAlign w:val="center"/>
          </w:tcPr>
          <w:p w14:paraId="6561FAF6">
            <w:pPr>
              <w:jc w:val="center"/>
              <w:rPr>
                <w:rFonts w:ascii="宋体" w:hAnsi="宋体" w:cs="宋体"/>
                <w:b/>
                <w:color w:val="auto"/>
                <w:sz w:val="24"/>
                <w:highlight w:val="none"/>
              </w:rPr>
            </w:pPr>
          </w:p>
        </w:tc>
        <w:tc>
          <w:tcPr>
            <w:tcW w:w="1536" w:type="dxa"/>
            <w:vAlign w:val="center"/>
          </w:tcPr>
          <w:p w14:paraId="43DBDDE1">
            <w:pPr>
              <w:jc w:val="center"/>
              <w:rPr>
                <w:rFonts w:ascii="宋体" w:hAnsi="宋体" w:cs="宋体"/>
                <w:color w:val="auto"/>
                <w:sz w:val="24"/>
                <w:highlight w:val="none"/>
              </w:rPr>
            </w:pPr>
            <w:r>
              <w:rPr>
                <w:rFonts w:hint="eastAsia" w:ascii="宋体" w:hAnsi="宋体" w:cs="宋体"/>
                <w:color w:val="auto"/>
                <w:sz w:val="24"/>
                <w:highlight w:val="none"/>
              </w:rPr>
              <w:t>职    务</w:t>
            </w:r>
          </w:p>
        </w:tc>
        <w:tc>
          <w:tcPr>
            <w:tcW w:w="2287" w:type="dxa"/>
          </w:tcPr>
          <w:p w14:paraId="3A9BBA5F">
            <w:pPr>
              <w:rPr>
                <w:rFonts w:ascii="宋体" w:hAnsi="宋体" w:cs="宋体"/>
                <w:b/>
                <w:color w:val="auto"/>
                <w:sz w:val="24"/>
                <w:highlight w:val="none"/>
              </w:rPr>
            </w:pPr>
          </w:p>
        </w:tc>
      </w:tr>
      <w:tr w14:paraId="5E25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14:paraId="4483C4B3">
            <w:pPr>
              <w:jc w:val="center"/>
              <w:rPr>
                <w:rFonts w:ascii="宋体" w:hAnsi="宋体" w:cs="宋体"/>
                <w:color w:val="auto"/>
                <w:sz w:val="24"/>
                <w:highlight w:val="none"/>
              </w:rPr>
            </w:pPr>
            <w:r>
              <w:rPr>
                <w:rFonts w:hint="eastAsia" w:ascii="宋体" w:hAnsi="宋体" w:cs="宋体"/>
                <w:color w:val="auto"/>
                <w:sz w:val="24"/>
                <w:highlight w:val="none"/>
              </w:rPr>
              <w:t>供应商地址</w:t>
            </w:r>
          </w:p>
        </w:tc>
        <w:tc>
          <w:tcPr>
            <w:tcW w:w="3036" w:type="dxa"/>
            <w:vAlign w:val="center"/>
          </w:tcPr>
          <w:p w14:paraId="1C173A93">
            <w:pPr>
              <w:jc w:val="center"/>
              <w:rPr>
                <w:rFonts w:ascii="宋体" w:hAnsi="宋体" w:cs="宋体"/>
                <w:b/>
                <w:color w:val="auto"/>
                <w:sz w:val="24"/>
                <w:highlight w:val="none"/>
              </w:rPr>
            </w:pPr>
          </w:p>
        </w:tc>
        <w:tc>
          <w:tcPr>
            <w:tcW w:w="1536" w:type="dxa"/>
            <w:vAlign w:val="center"/>
          </w:tcPr>
          <w:p w14:paraId="18665DEB">
            <w:pPr>
              <w:jc w:val="center"/>
              <w:rPr>
                <w:rFonts w:ascii="宋体" w:hAnsi="宋体" w:cs="宋体"/>
                <w:color w:val="auto"/>
                <w:sz w:val="24"/>
                <w:highlight w:val="none"/>
              </w:rPr>
            </w:pPr>
            <w:r>
              <w:rPr>
                <w:rFonts w:hint="eastAsia" w:ascii="宋体" w:hAnsi="宋体" w:cs="宋体"/>
                <w:color w:val="auto"/>
                <w:sz w:val="24"/>
                <w:highlight w:val="none"/>
              </w:rPr>
              <w:t>邮政编码</w:t>
            </w:r>
          </w:p>
        </w:tc>
        <w:tc>
          <w:tcPr>
            <w:tcW w:w="2287" w:type="dxa"/>
          </w:tcPr>
          <w:p w14:paraId="68FF2FB4">
            <w:pPr>
              <w:rPr>
                <w:rFonts w:ascii="宋体" w:hAnsi="宋体" w:cs="宋体"/>
                <w:b/>
                <w:color w:val="auto"/>
                <w:sz w:val="24"/>
                <w:highlight w:val="none"/>
              </w:rPr>
            </w:pPr>
          </w:p>
        </w:tc>
      </w:tr>
      <w:tr w14:paraId="3FF1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708" w:type="dxa"/>
            <w:vAlign w:val="center"/>
          </w:tcPr>
          <w:p w14:paraId="18E07BAB">
            <w:pPr>
              <w:jc w:val="center"/>
              <w:rPr>
                <w:rFonts w:ascii="宋体" w:hAnsi="宋体" w:cs="宋体"/>
                <w:color w:val="auto"/>
                <w:sz w:val="24"/>
                <w:highlight w:val="none"/>
              </w:rPr>
            </w:pPr>
            <w:r>
              <w:rPr>
                <w:rFonts w:hint="eastAsia" w:ascii="宋体" w:hAnsi="宋体" w:cs="宋体"/>
                <w:color w:val="auto"/>
                <w:sz w:val="24"/>
                <w:highlight w:val="none"/>
              </w:rPr>
              <w:t>电       话</w:t>
            </w:r>
          </w:p>
        </w:tc>
        <w:tc>
          <w:tcPr>
            <w:tcW w:w="3036" w:type="dxa"/>
            <w:vAlign w:val="center"/>
          </w:tcPr>
          <w:p w14:paraId="389EC93A">
            <w:pPr>
              <w:jc w:val="center"/>
              <w:rPr>
                <w:rFonts w:ascii="宋体" w:hAnsi="宋体" w:cs="宋体"/>
                <w:b/>
                <w:color w:val="auto"/>
                <w:sz w:val="24"/>
                <w:highlight w:val="none"/>
              </w:rPr>
            </w:pPr>
          </w:p>
        </w:tc>
        <w:tc>
          <w:tcPr>
            <w:tcW w:w="1536" w:type="dxa"/>
            <w:vAlign w:val="center"/>
          </w:tcPr>
          <w:p w14:paraId="7D3DC02B">
            <w:pPr>
              <w:jc w:val="center"/>
              <w:rPr>
                <w:rFonts w:ascii="宋体" w:hAnsi="宋体" w:cs="宋体"/>
                <w:color w:val="auto"/>
                <w:sz w:val="24"/>
                <w:highlight w:val="none"/>
              </w:rPr>
            </w:pPr>
            <w:r>
              <w:rPr>
                <w:rFonts w:hint="eastAsia" w:ascii="宋体" w:hAnsi="宋体" w:cs="宋体"/>
                <w:color w:val="auto"/>
                <w:sz w:val="24"/>
                <w:highlight w:val="none"/>
              </w:rPr>
              <w:t>传   真</w:t>
            </w:r>
          </w:p>
        </w:tc>
        <w:tc>
          <w:tcPr>
            <w:tcW w:w="2287" w:type="dxa"/>
          </w:tcPr>
          <w:p w14:paraId="4FBAC2F5">
            <w:pPr>
              <w:rPr>
                <w:rFonts w:ascii="宋体" w:hAnsi="宋体" w:cs="宋体"/>
                <w:b/>
                <w:color w:val="auto"/>
                <w:sz w:val="24"/>
                <w:highlight w:val="none"/>
              </w:rPr>
            </w:pPr>
          </w:p>
        </w:tc>
      </w:tr>
      <w:tr w14:paraId="7AE0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708" w:type="dxa"/>
            <w:vAlign w:val="center"/>
          </w:tcPr>
          <w:p w14:paraId="40A84DCA">
            <w:pPr>
              <w:jc w:val="center"/>
              <w:rPr>
                <w:rFonts w:ascii="宋体" w:hAnsi="宋体" w:cs="宋体"/>
                <w:color w:val="auto"/>
                <w:sz w:val="24"/>
                <w:highlight w:val="none"/>
              </w:rPr>
            </w:pPr>
            <w:r>
              <w:rPr>
                <w:rFonts w:hint="eastAsia" w:ascii="宋体" w:hAnsi="宋体" w:cs="宋体"/>
                <w:color w:val="auto"/>
                <w:sz w:val="24"/>
                <w:highlight w:val="none"/>
              </w:rPr>
              <w:t>成立日期</w:t>
            </w:r>
          </w:p>
        </w:tc>
        <w:tc>
          <w:tcPr>
            <w:tcW w:w="3036" w:type="dxa"/>
            <w:vAlign w:val="center"/>
          </w:tcPr>
          <w:p w14:paraId="06ECFDFF">
            <w:pPr>
              <w:jc w:val="center"/>
              <w:rPr>
                <w:rFonts w:ascii="宋体" w:hAnsi="宋体" w:cs="宋体"/>
                <w:b/>
                <w:color w:val="auto"/>
                <w:sz w:val="24"/>
                <w:highlight w:val="none"/>
              </w:rPr>
            </w:pPr>
          </w:p>
        </w:tc>
        <w:tc>
          <w:tcPr>
            <w:tcW w:w="1536" w:type="dxa"/>
            <w:vAlign w:val="center"/>
          </w:tcPr>
          <w:p w14:paraId="387EE434">
            <w:pPr>
              <w:jc w:val="center"/>
              <w:rPr>
                <w:rFonts w:ascii="宋体" w:hAnsi="宋体" w:cs="宋体"/>
                <w:color w:val="auto"/>
                <w:sz w:val="24"/>
                <w:highlight w:val="none"/>
              </w:rPr>
            </w:pPr>
            <w:r>
              <w:rPr>
                <w:rFonts w:hint="eastAsia" w:ascii="宋体" w:hAnsi="宋体" w:cs="宋体"/>
                <w:color w:val="auto"/>
                <w:sz w:val="24"/>
                <w:highlight w:val="none"/>
              </w:rPr>
              <w:t>现 有 职</w:t>
            </w:r>
          </w:p>
          <w:p w14:paraId="1887DD88">
            <w:pPr>
              <w:jc w:val="center"/>
              <w:rPr>
                <w:rFonts w:ascii="宋体" w:hAnsi="宋体" w:cs="宋体"/>
                <w:color w:val="auto"/>
                <w:sz w:val="24"/>
                <w:highlight w:val="none"/>
              </w:rPr>
            </w:pPr>
            <w:r>
              <w:rPr>
                <w:rFonts w:hint="eastAsia" w:ascii="宋体" w:hAnsi="宋体" w:cs="宋体"/>
                <w:color w:val="auto"/>
                <w:sz w:val="24"/>
                <w:highlight w:val="none"/>
              </w:rPr>
              <w:t>工 人 数</w:t>
            </w:r>
          </w:p>
        </w:tc>
        <w:tc>
          <w:tcPr>
            <w:tcW w:w="2287" w:type="dxa"/>
          </w:tcPr>
          <w:p w14:paraId="0377C597">
            <w:pPr>
              <w:rPr>
                <w:rFonts w:ascii="宋体" w:hAnsi="宋体" w:cs="宋体"/>
                <w:b/>
                <w:color w:val="auto"/>
                <w:sz w:val="24"/>
                <w:highlight w:val="none"/>
              </w:rPr>
            </w:pPr>
          </w:p>
        </w:tc>
      </w:tr>
      <w:tr w14:paraId="429B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708" w:type="dxa"/>
            <w:vAlign w:val="center"/>
          </w:tcPr>
          <w:p w14:paraId="50B7EE21">
            <w:pPr>
              <w:pStyle w:val="13"/>
              <w:jc w:val="center"/>
              <w:rPr>
                <w:rFonts w:ascii="宋体" w:hAnsi="宋体" w:cs="宋体"/>
                <w:color w:val="auto"/>
                <w:sz w:val="24"/>
                <w:szCs w:val="24"/>
                <w:highlight w:val="none"/>
              </w:rPr>
            </w:pPr>
            <w:r>
              <w:rPr>
                <w:rFonts w:hint="eastAsia" w:ascii="宋体" w:hAnsi="宋体" w:cs="宋体"/>
                <w:color w:val="auto"/>
                <w:sz w:val="24"/>
                <w:szCs w:val="24"/>
                <w:highlight w:val="none"/>
              </w:rPr>
              <w:t>资质等级证书（如有）</w:t>
            </w:r>
          </w:p>
        </w:tc>
        <w:tc>
          <w:tcPr>
            <w:tcW w:w="6859" w:type="dxa"/>
            <w:gridSpan w:val="3"/>
          </w:tcPr>
          <w:p w14:paraId="3ED1FACF">
            <w:pPr>
              <w:rPr>
                <w:rFonts w:ascii="宋体" w:hAnsi="宋体" w:cs="宋体"/>
                <w:b/>
                <w:color w:val="auto"/>
                <w:sz w:val="24"/>
                <w:highlight w:val="none"/>
              </w:rPr>
            </w:pPr>
          </w:p>
          <w:p w14:paraId="79B95B26">
            <w:pPr>
              <w:rPr>
                <w:rFonts w:ascii="宋体" w:hAnsi="宋体" w:cs="宋体"/>
                <w:color w:val="auto"/>
                <w:sz w:val="24"/>
                <w:highlight w:val="none"/>
              </w:rPr>
            </w:pPr>
            <w:r>
              <w:rPr>
                <w:rFonts w:hint="eastAsia" w:ascii="宋体" w:hAnsi="宋体" w:cs="宋体"/>
                <w:color w:val="auto"/>
                <w:sz w:val="24"/>
                <w:highlight w:val="none"/>
              </w:rPr>
              <w:t>等 级：                   证书号：</w:t>
            </w:r>
          </w:p>
        </w:tc>
      </w:tr>
      <w:tr w14:paraId="0E97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567" w:type="dxa"/>
            <w:gridSpan w:val="4"/>
            <w:tcBorders>
              <w:bottom w:val="single" w:color="auto" w:sz="4" w:space="0"/>
            </w:tcBorders>
          </w:tcPr>
          <w:p w14:paraId="6BCE8B8E">
            <w:pPr>
              <w:rPr>
                <w:rFonts w:ascii="宋体" w:hAnsi="宋体" w:cs="宋体"/>
                <w:color w:val="auto"/>
                <w:sz w:val="24"/>
                <w:highlight w:val="none"/>
              </w:rPr>
            </w:pPr>
            <w:r>
              <w:rPr>
                <w:rFonts w:hint="eastAsia" w:ascii="宋体" w:hAnsi="宋体" w:cs="宋体"/>
                <w:color w:val="auto"/>
                <w:sz w:val="24"/>
                <w:highlight w:val="none"/>
              </w:rPr>
              <w:t>单位简介：</w:t>
            </w:r>
          </w:p>
          <w:p w14:paraId="0F101F82">
            <w:pPr>
              <w:rPr>
                <w:rFonts w:ascii="宋体" w:hAnsi="宋体" w:cs="宋体"/>
                <w:color w:val="auto"/>
                <w:sz w:val="24"/>
                <w:highlight w:val="none"/>
              </w:rPr>
            </w:pPr>
            <w:r>
              <w:rPr>
                <w:rFonts w:hint="eastAsia" w:ascii="宋体" w:hAnsi="宋体" w:cs="宋体"/>
                <w:color w:val="auto"/>
                <w:sz w:val="24"/>
                <w:highlight w:val="none"/>
              </w:rPr>
              <w:t xml:space="preserve">技术人员总数：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w:t>
            </w:r>
          </w:p>
        </w:tc>
      </w:tr>
    </w:tbl>
    <w:p w14:paraId="061BF2A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供应商（盖单位公章）：</w:t>
      </w:r>
      <w:r>
        <w:rPr>
          <w:rFonts w:hint="eastAsia" w:ascii="宋体" w:hAnsi="宋体" w:cs="宋体"/>
          <w:color w:val="auto"/>
          <w:sz w:val="24"/>
          <w:highlight w:val="none"/>
          <w:u w:val="single"/>
        </w:rPr>
        <w:t xml:space="preserve">                    </w:t>
      </w:r>
    </w:p>
    <w:p w14:paraId="1F642AA6">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法定代表人或委托代理人（签字或盖章）：</w:t>
      </w:r>
    </w:p>
    <w:p w14:paraId="208F9A7B">
      <w:pPr>
        <w:snapToGrid w:val="0"/>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年    月    日</w:t>
      </w:r>
    </w:p>
    <w:p w14:paraId="48677746">
      <w:pPr>
        <w:widowControl/>
        <w:jc w:val="left"/>
        <w:rPr>
          <w:rFonts w:ascii="宋体" w:hAnsi="宋体" w:cs="宋体"/>
          <w:color w:val="auto"/>
          <w:sz w:val="24"/>
          <w:highlight w:val="none"/>
        </w:rPr>
      </w:pPr>
      <w:r>
        <w:rPr>
          <w:rFonts w:hint="eastAsia" w:ascii="宋体" w:hAnsi="宋体" w:cs="宋体"/>
          <w:color w:val="auto"/>
          <w:sz w:val="24"/>
          <w:highlight w:val="none"/>
        </w:rPr>
        <w:br w:type="page"/>
      </w:r>
    </w:p>
    <w:p w14:paraId="5D5EDDB5">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注：本表后附竞争性磋商公告资格要求提供相应的佐证材料（以下材料均须提供复印件（或扫描件）并加盖公章）；</w:t>
      </w:r>
    </w:p>
    <w:p w14:paraId="7CC377AA">
      <w:pPr>
        <w:tabs>
          <w:tab w:val="left" w:pos="3375"/>
        </w:tabs>
        <w:autoSpaceDE w:val="0"/>
        <w:autoSpaceDN w:val="0"/>
        <w:adjustRightInd w:val="0"/>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企业法人营业执照或事业单位法人登记证明或社会组织或其他组织或自然人证明材料；</w:t>
      </w:r>
    </w:p>
    <w:p w14:paraId="0DB11E04">
      <w:pPr>
        <w:tabs>
          <w:tab w:val="left" w:pos="3375"/>
        </w:tabs>
        <w:autoSpaceDE w:val="0"/>
        <w:autoSpaceDN w:val="0"/>
        <w:adjustRightInd w:val="0"/>
        <w:snapToGrid w:val="0"/>
        <w:spacing w:line="44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2</w:t>
      </w:r>
      <w:r>
        <w:rPr>
          <w:rFonts w:hint="eastAsia" w:cs="宋体" w:asciiTheme="minorEastAsia" w:hAnsiTheme="minorEastAsia" w:eastAsiaTheme="minorEastAsia"/>
          <w:color w:val="auto"/>
          <w:sz w:val="24"/>
          <w:highlight w:val="none"/>
        </w:rPr>
        <w:t>）项目负责人社保证明材料；</w:t>
      </w:r>
    </w:p>
    <w:p w14:paraId="53B027D9">
      <w:pPr>
        <w:tabs>
          <w:tab w:val="left" w:pos="3375"/>
        </w:tabs>
        <w:autoSpaceDE w:val="0"/>
        <w:autoSpaceDN w:val="0"/>
        <w:adjustRightInd w:val="0"/>
        <w:snapToGrid w:val="0"/>
        <w:spacing w:line="440" w:lineRule="exact"/>
        <w:ind w:firstLine="480" w:firstLineChars="200"/>
        <w:rPr>
          <w:rFonts w:hint="default" w:ascii="宋体" w:hAnsi="宋体" w:cs="宋体"/>
          <w:color w:val="auto"/>
          <w:sz w:val="24"/>
          <w:highlight w:val="none"/>
          <w:lang w:val="en-US" w:eastAsia="zh-CN"/>
        </w:rPr>
      </w:pPr>
    </w:p>
    <w:p w14:paraId="56B7F498">
      <w:pPr>
        <w:spacing w:line="300" w:lineRule="auto"/>
        <w:jc w:val="center"/>
        <w:rPr>
          <w:rFonts w:hint="eastAsia" w:ascii="宋体" w:hAnsi="宋体"/>
          <w:bCs/>
          <w:color w:val="auto"/>
          <w:sz w:val="32"/>
          <w:szCs w:val="32"/>
          <w:highlight w:val="none"/>
        </w:rPr>
      </w:pPr>
    </w:p>
    <w:p w14:paraId="23781883">
      <w:pPr>
        <w:spacing w:line="300" w:lineRule="auto"/>
        <w:jc w:val="center"/>
        <w:rPr>
          <w:rFonts w:hint="eastAsia" w:ascii="宋体" w:hAnsi="宋体"/>
          <w:bCs/>
          <w:color w:val="auto"/>
          <w:sz w:val="32"/>
          <w:szCs w:val="32"/>
          <w:highlight w:val="none"/>
        </w:rPr>
      </w:pPr>
    </w:p>
    <w:p w14:paraId="0E8DE7AA">
      <w:pPr>
        <w:spacing w:line="300" w:lineRule="auto"/>
        <w:jc w:val="center"/>
        <w:rPr>
          <w:rFonts w:hint="eastAsia" w:ascii="宋体" w:hAnsi="宋体"/>
          <w:bCs/>
          <w:color w:val="auto"/>
          <w:sz w:val="32"/>
          <w:szCs w:val="32"/>
          <w:highlight w:val="none"/>
        </w:rPr>
      </w:pPr>
    </w:p>
    <w:p w14:paraId="77D0F714">
      <w:pPr>
        <w:spacing w:line="300" w:lineRule="auto"/>
        <w:jc w:val="center"/>
        <w:rPr>
          <w:rFonts w:hint="eastAsia" w:ascii="宋体" w:hAnsi="宋体"/>
          <w:bCs/>
          <w:color w:val="auto"/>
          <w:sz w:val="32"/>
          <w:szCs w:val="32"/>
          <w:highlight w:val="none"/>
        </w:rPr>
      </w:pPr>
    </w:p>
    <w:p w14:paraId="6BF69A5A">
      <w:pPr>
        <w:spacing w:line="300" w:lineRule="auto"/>
        <w:jc w:val="center"/>
        <w:rPr>
          <w:rFonts w:hint="eastAsia" w:ascii="宋体" w:hAnsi="宋体"/>
          <w:bCs/>
          <w:color w:val="auto"/>
          <w:sz w:val="32"/>
          <w:szCs w:val="32"/>
          <w:highlight w:val="none"/>
        </w:rPr>
      </w:pPr>
    </w:p>
    <w:p w14:paraId="12E723E6">
      <w:pPr>
        <w:rPr>
          <w:rFonts w:ascii="宋体" w:hAnsi="宋体" w:cs="宋体"/>
          <w:color w:val="auto"/>
          <w:highlight w:val="none"/>
        </w:rPr>
      </w:pPr>
      <w:r>
        <w:rPr>
          <w:rFonts w:hint="eastAsia" w:ascii="宋体" w:hAnsi="宋体"/>
          <w:bCs/>
          <w:color w:val="auto"/>
          <w:sz w:val="32"/>
          <w:szCs w:val="32"/>
          <w:highlight w:val="none"/>
        </w:rPr>
        <w:br w:type="page"/>
      </w:r>
    </w:p>
    <w:p w14:paraId="1C7065BA">
      <w:pPr>
        <w:tabs>
          <w:tab w:val="left" w:pos="3375"/>
        </w:tabs>
        <w:spacing w:line="360" w:lineRule="auto"/>
        <w:rPr>
          <w:rFonts w:ascii="宋体" w:hAnsi="宋体" w:cs="宋体"/>
          <w:color w:val="auto"/>
          <w:sz w:val="24"/>
          <w:highlight w:val="none"/>
        </w:rPr>
      </w:pPr>
      <w:r>
        <w:rPr>
          <w:rFonts w:hint="eastAsia" w:ascii="宋体" w:hAnsi="宋体" w:cs="宋体"/>
          <w:color w:val="auto"/>
          <w:sz w:val="28"/>
          <w:szCs w:val="28"/>
          <w:highlight w:val="none"/>
        </w:rPr>
        <w:t>附件</w:t>
      </w: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w:t>
      </w:r>
      <w:r>
        <w:rPr>
          <w:rFonts w:hint="eastAsia" w:ascii="宋体" w:hAnsi="宋体" w:cs="宋体"/>
          <w:color w:val="auto"/>
          <w:sz w:val="24"/>
          <w:highlight w:val="none"/>
        </w:rPr>
        <w:t xml:space="preserve">                  其它需要提交的资格审查材料</w:t>
      </w:r>
    </w:p>
    <w:p w14:paraId="2C37D411">
      <w:pPr>
        <w:spacing w:after="120" w:line="360" w:lineRule="auto"/>
        <w:ind w:left="420" w:leftChars="200" w:firstLine="400" w:firstLineChars="200"/>
        <w:rPr>
          <w:rFonts w:ascii="宋体" w:hAnsi="宋体" w:cs="宋体"/>
          <w:color w:val="auto"/>
          <w:kern w:val="0"/>
          <w:sz w:val="20"/>
          <w:highlight w:val="none"/>
        </w:rPr>
      </w:pPr>
    </w:p>
    <w:p w14:paraId="0AE11C8B">
      <w:pPr>
        <w:tabs>
          <w:tab w:val="left" w:pos="3375"/>
        </w:tabs>
        <w:autoSpaceDE w:val="0"/>
        <w:autoSpaceDN w:val="0"/>
        <w:adjustRightInd w:val="0"/>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①其他</w:t>
      </w:r>
    </w:p>
    <w:p w14:paraId="67E900A3">
      <w:pPr>
        <w:pStyle w:val="18"/>
        <w:ind w:firstLine="480"/>
        <w:rPr>
          <w:rFonts w:ascii="宋体" w:hAnsi="宋体" w:cs="宋体"/>
          <w:color w:val="auto"/>
          <w:highlight w:val="none"/>
        </w:rPr>
      </w:pPr>
      <w:r>
        <w:rPr>
          <w:rFonts w:hint="eastAsia" w:ascii="宋体" w:hAnsi="宋体" w:cs="宋体"/>
          <w:color w:val="auto"/>
          <w:sz w:val="24"/>
          <w:highlight w:val="none"/>
        </w:rPr>
        <w:t>...</w:t>
      </w:r>
      <w:r>
        <w:rPr>
          <w:rFonts w:hint="eastAsia" w:ascii="宋体" w:hAnsi="宋体" w:cs="宋体"/>
          <w:color w:val="auto"/>
          <w:highlight w:val="none"/>
        </w:rPr>
        <w:br w:type="page"/>
      </w:r>
    </w:p>
    <w:p w14:paraId="463F5113">
      <w:pPr>
        <w:tabs>
          <w:tab w:val="left" w:pos="3375"/>
        </w:tabs>
        <w:autoSpaceDE w:val="0"/>
        <w:autoSpaceDN w:val="0"/>
        <w:adjustRightInd w:val="0"/>
        <w:snapToGrid w:val="0"/>
        <w:spacing w:line="440" w:lineRule="exact"/>
        <w:contextualSpacing/>
        <w:rPr>
          <w:rFonts w:ascii="宋体" w:hAnsi="宋体" w:cs="宋体"/>
          <w:color w:val="auto"/>
          <w:sz w:val="28"/>
          <w:szCs w:val="28"/>
          <w:highlight w:val="none"/>
        </w:rPr>
      </w:pPr>
      <w:r>
        <w:rPr>
          <w:rFonts w:hint="eastAsia" w:ascii="宋体" w:hAnsi="宋体" w:cs="宋体"/>
          <w:color w:val="auto"/>
          <w:sz w:val="28"/>
          <w:szCs w:val="28"/>
          <w:highlight w:val="none"/>
        </w:rPr>
        <w:t>第二部分格式：</w:t>
      </w:r>
    </w:p>
    <w:p w14:paraId="00D13311">
      <w:pPr>
        <w:snapToGrid w:val="0"/>
        <w:spacing w:line="300" w:lineRule="auto"/>
        <w:contextualSpacing/>
        <w:rPr>
          <w:rFonts w:ascii="宋体" w:hAnsi="宋体" w:cs="宋体"/>
          <w:color w:val="auto"/>
          <w:sz w:val="32"/>
          <w:szCs w:val="32"/>
          <w:highlight w:val="none"/>
        </w:rPr>
      </w:pPr>
    </w:p>
    <w:p w14:paraId="55F87B2C">
      <w:pPr>
        <w:autoSpaceDE w:val="0"/>
        <w:autoSpaceDN w:val="0"/>
        <w:adjustRightInd w:val="0"/>
        <w:jc w:val="center"/>
        <w:rPr>
          <w:rFonts w:ascii="宋体" w:hAnsi="宋体" w:cs="宋体"/>
          <w:b/>
          <w:color w:val="auto"/>
          <w:sz w:val="32"/>
          <w:szCs w:val="32"/>
          <w:highlight w:val="none"/>
        </w:rPr>
      </w:pPr>
    </w:p>
    <w:p w14:paraId="686303D0">
      <w:pPr>
        <w:autoSpaceDE w:val="0"/>
        <w:autoSpaceDN w:val="0"/>
        <w:adjustRightInd w:val="0"/>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2026年南通市公路事业发展中心基础环境与安全运维服务项目</w:t>
      </w:r>
    </w:p>
    <w:p w14:paraId="432CEB63">
      <w:pPr>
        <w:pStyle w:val="18"/>
        <w:rPr>
          <w:rFonts w:ascii="宋体" w:hAnsi="宋体" w:cs="宋体"/>
          <w:color w:val="auto"/>
          <w:highlight w:val="none"/>
        </w:rPr>
      </w:pPr>
    </w:p>
    <w:p w14:paraId="6F0E1CD3">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rPr>
        <w:t>项目编号：</w:t>
      </w:r>
      <w:r>
        <w:rPr>
          <w:rFonts w:hint="eastAsia" w:ascii="宋体" w:hAnsi="宋体" w:cs="宋体"/>
          <w:b/>
          <w:color w:val="auto"/>
          <w:w w:val="80"/>
          <w:sz w:val="32"/>
          <w:szCs w:val="32"/>
          <w:highlight w:val="none"/>
          <w:lang w:val="en-US" w:eastAsia="zh-CN"/>
        </w:rPr>
        <w:t>2026AQYW</w:t>
      </w:r>
    </w:p>
    <w:p w14:paraId="368FFF67">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rPr>
      </w:pPr>
      <w:r>
        <w:rPr>
          <w:rFonts w:hint="eastAsia" w:ascii="宋体" w:hAnsi="宋体" w:cs="宋体"/>
          <w:b/>
          <w:color w:val="auto"/>
          <w:w w:val="80"/>
          <w:sz w:val="32"/>
          <w:szCs w:val="32"/>
          <w:highlight w:val="none"/>
        </w:rPr>
        <w:t>档案编号：20251122</w:t>
      </w:r>
    </w:p>
    <w:p w14:paraId="5AE94D09">
      <w:pPr>
        <w:tabs>
          <w:tab w:val="left" w:pos="6300"/>
        </w:tabs>
        <w:snapToGrid w:val="0"/>
        <w:spacing w:line="300" w:lineRule="auto"/>
        <w:jc w:val="center"/>
        <w:rPr>
          <w:rFonts w:ascii="宋体" w:hAnsi="宋体" w:cs="宋体"/>
          <w:b/>
          <w:color w:val="auto"/>
          <w:w w:val="80"/>
          <w:sz w:val="32"/>
          <w:szCs w:val="32"/>
          <w:highlight w:val="none"/>
        </w:rPr>
      </w:pPr>
    </w:p>
    <w:p w14:paraId="50E0002A">
      <w:pPr>
        <w:tabs>
          <w:tab w:val="left" w:pos="6300"/>
        </w:tabs>
        <w:snapToGrid w:val="0"/>
        <w:spacing w:line="300" w:lineRule="auto"/>
        <w:jc w:val="center"/>
        <w:rPr>
          <w:rFonts w:ascii="宋体" w:hAnsi="宋体" w:cs="宋体"/>
          <w:b/>
          <w:color w:val="auto"/>
          <w:w w:val="80"/>
          <w:sz w:val="32"/>
          <w:szCs w:val="32"/>
          <w:highlight w:val="none"/>
        </w:rPr>
      </w:pPr>
    </w:p>
    <w:p w14:paraId="4D56E3C1">
      <w:pPr>
        <w:spacing w:after="60" w:line="360" w:lineRule="auto"/>
        <w:ind w:firstLine="3373" w:firstLineChars="1050"/>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5040DFFC">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（商务技术响应文件）</w:t>
      </w:r>
    </w:p>
    <w:p w14:paraId="26368725">
      <w:pPr>
        <w:spacing w:after="60"/>
        <w:jc w:val="center"/>
        <w:rPr>
          <w:rFonts w:ascii="宋体" w:hAnsi="宋体" w:cs="宋体"/>
          <w:b/>
          <w:bCs/>
          <w:color w:val="auto"/>
          <w:sz w:val="72"/>
          <w:szCs w:val="72"/>
          <w:highlight w:val="none"/>
        </w:rPr>
      </w:pPr>
    </w:p>
    <w:p w14:paraId="75F168A4">
      <w:pPr>
        <w:spacing w:after="60"/>
        <w:jc w:val="center"/>
        <w:rPr>
          <w:rFonts w:ascii="宋体" w:hAnsi="宋体" w:cs="宋体"/>
          <w:b/>
          <w:bCs/>
          <w:color w:val="auto"/>
          <w:sz w:val="72"/>
          <w:szCs w:val="72"/>
          <w:highlight w:val="none"/>
        </w:rPr>
      </w:pPr>
    </w:p>
    <w:p w14:paraId="0993526D">
      <w:pPr>
        <w:spacing w:after="60"/>
        <w:jc w:val="center"/>
        <w:rPr>
          <w:rFonts w:ascii="宋体" w:hAnsi="宋体" w:cs="宋体"/>
          <w:b/>
          <w:bCs/>
          <w:color w:val="auto"/>
          <w:sz w:val="72"/>
          <w:szCs w:val="72"/>
          <w:highlight w:val="none"/>
        </w:rPr>
      </w:pPr>
    </w:p>
    <w:p w14:paraId="6A2D5C90">
      <w:pPr>
        <w:spacing w:after="60"/>
        <w:jc w:val="center"/>
        <w:rPr>
          <w:rFonts w:ascii="宋体" w:hAnsi="宋体" w:cs="宋体"/>
          <w:b/>
          <w:bCs/>
          <w:color w:val="auto"/>
          <w:sz w:val="72"/>
          <w:szCs w:val="72"/>
          <w:highlight w:val="none"/>
        </w:rPr>
      </w:pPr>
    </w:p>
    <w:p w14:paraId="7BBB8BBE">
      <w:pPr>
        <w:pStyle w:val="18"/>
        <w:ind w:left="0" w:leftChars="0" w:firstLine="0" w:firstLineChars="0"/>
        <w:rPr>
          <w:rFonts w:ascii="宋体" w:hAnsi="宋体" w:cs="宋体"/>
          <w:b/>
          <w:bCs/>
          <w:color w:val="auto"/>
          <w:sz w:val="72"/>
          <w:szCs w:val="72"/>
          <w:highlight w:val="none"/>
        </w:rPr>
      </w:pPr>
    </w:p>
    <w:p w14:paraId="53BD3E34">
      <w:pPr>
        <w:spacing w:after="60"/>
        <w:jc w:val="center"/>
        <w:rPr>
          <w:rFonts w:ascii="宋体" w:hAnsi="宋体" w:cs="宋体"/>
          <w:b/>
          <w:bCs/>
          <w:color w:val="auto"/>
          <w:sz w:val="72"/>
          <w:szCs w:val="72"/>
          <w:highlight w:val="none"/>
        </w:rPr>
      </w:pPr>
    </w:p>
    <w:p w14:paraId="212346BD">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供应商（盖公章）：</w:t>
      </w:r>
      <w:r>
        <w:rPr>
          <w:rFonts w:hint="eastAsia" w:ascii="宋体" w:hAnsi="宋体" w:cs="宋体"/>
          <w:b/>
          <w:color w:val="auto"/>
          <w:sz w:val="24"/>
          <w:highlight w:val="none"/>
          <w:u w:val="single"/>
        </w:rPr>
        <w:t xml:space="preserve">                            </w:t>
      </w:r>
    </w:p>
    <w:p w14:paraId="292CC5B0">
      <w:pPr>
        <w:spacing w:line="48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法定代表人（或其委托代理人）（签字或盖章）：</w:t>
      </w:r>
      <w:r>
        <w:rPr>
          <w:rFonts w:hint="eastAsia" w:ascii="宋体" w:hAnsi="宋体" w:cs="宋体"/>
          <w:b/>
          <w:color w:val="auto"/>
          <w:sz w:val="24"/>
          <w:highlight w:val="none"/>
          <w:u w:val="single"/>
        </w:rPr>
        <w:t xml:space="preserve">                  </w:t>
      </w:r>
    </w:p>
    <w:p w14:paraId="25806FF5">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w:t>
      </w:r>
      <w:r>
        <w:rPr>
          <w:rFonts w:hint="eastAsia" w:ascii="宋体" w:hAnsi="宋体" w:cs="宋体"/>
          <w:b/>
          <w:color w:val="auto"/>
          <w:sz w:val="24"/>
          <w:highlight w:val="none"/>
          <w:u w:val="single"/>
        </w:rPr>
        <w:t xml:space="preserve">                                                  </w:t>
      </w:r>
    </w:p>
    <w:p w14:paraId="3FEE9100">
      <w:pPr>
        <w:pStyle w:val="32"/>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为方便评委评审，请供应商按评审办法中所涉及的事项顺序进行编制，可以补充相关材料。（以下均须提供扫描件（或复印件）并加盖公章。）</w:t>
      </w:r>
    </w:p>
    <w:p w14:paraId="7EF09D7D">
      <w:pPr>
        <w:pStyle w:val="32"/>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1.竞争性磋商响应函；</w:t>
      </w:r>
    </w:p>
    <w:p w14:paraId="6AF4708F">
      <w:pPr>
        <w:pStyle w:val="32"/>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2.评标办法中所涉及的事项需提供的所有资料；</w:t>
      </w:r>
    </w:p>
    <w:p w14:paraId="3709AF7B">
      <w:pPr>
        <w:pStyle w:val="32"/>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3.评标办法中未涉及的事项，供应商认为需要提交的其他资料；</w:t>
      </w:r>
    </w:p>
    <w:p w14:paraId="554462DB">
      <w:pPr>
        <w:pStyle w:val="32"/>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4.竞争性磋商文件中要求提供的其他材料。</w:t>
      </w:r>
    </w:p>
    <w:p w14:paraId="54B0CECD">
      <w:pPr>
        <w:snapToGrid w:val="0"/>
        <w:spacing w:line="300" w:lineRule="auto"/>
        <w:contextualSpacing/>
        <w:rPr>
          <w:rFonts w:ascii="宋体" w:hAnsi="宋体" w:cs="宋体"/>
          <w:color w:val="auto"/>
          <w:sz w:val="32"/>
          <w:szCs w:val="32"/>
          <w:highlight w:val="none"/>
        </w:rPr>
      </w:pPr>
    </w:p>
    <w:p w14:paraId="349141CC">
      <w:pPr>
        <w:pStyle w:val="18"/>
        <w:rPr>
          <w:rFonts w:ascii="宋体" w:hAnsi="宋体" w:cs="宋体"/>
          <w:color w:val="auto"/>
          <w:highlight w:val="none"/>
        </w:rPr>
      </w:pPr>
    </w:p>
    <w:p w14:paraId="774E3306">
      <w:pPr>
        <w:pStyle w:val="18"/>
        <w:rPr>
          <w:rFonts w:ascii="宋体" w:hAnsi="宋体" w:cs="宋体"/>
          <w:color w:val="auto"/>
          <w:highlight w:val="none"/>
        </w:rPr>
      </w:pPr>
    </w:p>
    <w:p w14:paraId="16C7A245">
      <w:pPr>
        <w:pStyle w:val="18"/>
        <w:rPr>
          <w:rFonts w:ascii="宋体" w:hAnsi="宋体" w:cs="宋体"/>
          <w:color w:val="auto"/>
          <w:highlight w:val="none"/>
        </w:rPr>
      </w:pPr>
    </w:p>
    <w:p w14:paraId="3E466012">
      <w:pPr>
        <w:pStyle w:val="18"/>
        <w:rPr>
          <w:rFonts w:ascii="宋体" w:hAnsi="宋体" w:cs="宋体"/>
          <w:color w:val="auto"/>
          <w:highlight w:val="none"/>
        </w:rPr>
      </w:pPr>
    </w:p>
    <w:p w14:paraId="62AD001F">
      <w:pPr>
        <w:pStyle w:val="18"/>
        <w:rPr>
          <w:rFonts w:ascii="宋体" w:hAnsi="宋体" w:cs="宋体"/>
          <w:color w:val="auto"/>
          <w:highlight w:val="none"/>
        </w:rPr>
      </w:pPr>
    </w:p>
    <w:p w14:paraId="49A38269">
      <w:pPr>
        <w:pStyle w:val="18"/>
        <w:rPr>
          <w:rFonts w:ascii="宋体" w:hAnsi="宋体" w:cs="宋体"/>
          <w:color w:val="auto"/>
          <w:highlight w:val="none"/>
        </w:rPr>
      </w:pPr>
    </w:p>
    <w:p w14:paraId="43574BE9">
      <w:pPr>
        <w:pStyle w:val="18"/>
        <w:rPr>
          <w:rFonts w:ascii="宋体" w:hAnsi="宋体" w:cs="宋体"/>
          <w:color w:val="auto"/>
          <w:highlight w:val="none"/>
        </w:rPr>
      </w:pPr>
    </w:p>
    <w:p w14:paraId="6B6B478E">
      <w:pPr>
        <w:pStyle w:val="18"/>
        <w:rPr>
          <w:rFonts w:ascii="宋体" w:hAnsi="宋体" w:cs="宋体"/>
          <w:color w:val="auto"/>
          <w:highlight w:val="none"/>
        </w:rPr>
      </w:pPr>
    </w:p>
    <w:p w14:paraId="6265097C">
      <w:pPr>
        <w:pStyle w:val="18"/>
        <w:rPr>
          <w:rFonts w:ascii="宋体" w:hAnsi="宋体" w:cs="宋体"/>
          <w:color w:val="auto"/>
          <w:highlight w:val="none"/>
        </w:rPr>
      </w:pPr>
    </w:p>
    <w:p w14:paraId="344A71CF">
      <w:pPr>
        <w:pStyle w:val="18"/>
        <w:rPr>
          <w:rFonts w:ascii="宋体" w:hAnsi="宋体" w:cs="宋体"/>
          <w:color w:val="auto"/>
          <w:highlight w:val="none"/>
        </w:rPr>
      </w:pPr>
    </w:p>
    <w:p w14:paraId="5F428BC6">
      <w:pPr>
        <w:pStyle w:val="18"/>
        <w:rPr>
          <w:rFonts w:ascii="宋体" w:hAnsi="宋体" w:cs="宋体"/>
          <w:color w:val="auto"/>
          <w:highlight w:val="none"/>
        </w:rPr>
      </w:pPr>
    </w:p>
    <w:p w14:paraId="1B635154">
      <w:pPr>
        <w:pStyle w:val="18"/>
        <w:rPr>
          <w:rFonts w:ascii="宋体" w:hAnsi="宋体" w:cs="宋体"/>
          <w:color w:val="auto"/>
          <w:highlight w:val="none"/>
        </w:rPr>
      </w:pPr>
    </w:p>
    <w:p w14:paraId="35EF952F">
      <w:pPr>
        <w:pStyle w:val="18"/>
        <w:rPr>
          <w:rFonts w:ascii="宋体" w:hAnsi="宋体" w:cs="宋体"/>
          <w:color w:val="auto"/>
          <w:highlight w:val="none"/>
        </w:rPr>
      </w:pPr>
    </w:p>
    <w:p w14:paraId="1F6B212F">
      <w:pPr>
        <w:pStyle w:val="18"/>
        <w:rPr>
          <w:rFonts w:ascii="宋体" w:hAnsi="宋体" w:cs="宋体"/>
          <w:color w:val="auto"/>
          <w:highlight w:val="none"/>
        </w:rPr>
      </w:pPr>
    </w:p>
    <w:p w14:paraId="5B25AA4D">
      <w:pPr>
        <w:pStyle w:val="18"/>
        <w:rPr>
          <w:rFonts w:ascii="宋体" w:hAnsi="宋体" w:cs="宋体"/>
          <w:color w:val="auto"/>
          <w:highlight w:val="none"/>
        </w:rPr>
      </w:pPr>
    </w:p>
    <w:p w14:paraId="7A03BD38">
      <w:pPr>
        <w:pStyle w:val="18"/>
        <w:rPr>
          <w:rFonts w:ascii="宋体" w:hAnsi="宋体" w:cs="宋体"/>
          <w:color w:val="auto"/>
          <w:highlight w:val="none"/>
        </w:rPr>
      </w:pPr>
    </w:p>
    <w:p w14:paraId="1BCF1DC6">
      <w:pPr>
        <w:pStyle w:val="18"/>
        <w:rPr>
          <w:rFonts w:ascii="宋体" w:hAnsi="宋体" w:cs="宋体"/>
          <w:color w:val="auto"/>
          <w:highlight w:val="none"/>
        </w:rPr>
      </w:pPr>
    </w:p>
    <w:p w14:paraId="75F5DBB2">
      <w:pPr>
        <w:pStyle w:val="18"/>
        <w:rPr>
          <w:rFonts w:ascii="宋体" w:hAnsi="宋体" w:cs="宋体"/>
          <w:color w:val="auto"/>
          <w:highlight w:val="none"/>
        </w:rPr>
      </w:pPr>
    </w:p>
    <w:p w14:paraId="7DD77D8B">
      <w:pPr>
        <w:pStyle w:val="18"/>
        <w:rPr>
          <w:rFonts w:ascii="宋体" w:hAnsi="宋体" w:cs="宋体"/>
          <w:color w:val="auto"/>
          <w:highlight w:val="none"/>
        </w:rPr>
      </w:pPr>
    </w:p>
    <w:p w14:paraId="371C4640">
      <w:pPr>
        <w:pStyle w:val="18"/>
        <w:rPr>
          <w:rFonts w:ascii="宋体" w:hAnsi="宋体" w:cs="宋体"/>
          <w:color w:val="auto"/>
          <w:highlight w:val="none"/>
        </w:rPr>
      </w:pPr>
    </w:p>
    <w:p w14:paraId="6FEDB210">
      <w:pPr>
        <w:pStyle w:val="18"/>
        <w:rPr>
          <w:rFonts w:ascii="宋体" w:hAnsi="宋体" w:cs="宋体"/>
          <w:color w:val="auto"/>
          <w:highlight w:val="none"/>
        </w:rPr>
      </w:pPr>
    </w:p>
    <w:p w14:paraId="13FD169A">
      <w:pPr>
        <w:pStyle w:val="18"/>
        <w:rPr>
          <w:rFonts w:ascii="宋体" w:hAnsi="宋体" w:cs="宋体"/>
          <w:color w:val="auto"/>
          <w:highlight w:val="none"/>
        </w:rPr>
      </w:pPr>
    </w:p>
    <w:p w14:paraId="5B1BE06B">
      <w:pPr>
        <w:pStyle w:val="18"/>
        <w:rPr>
          <w:rFonts w:ascii="宋体" w:hAnsi="宋体" w:cs="宋体"/>
          <w:color w:val="auto"/>
          <w:highlight w:val="none"/>
        </w:rPr>
      </w:pPr>
    </w:p>
    <w:p w14:paraId="2FA39E3E">
      <w:pPr>
        <w:pStyle w:val="18"/>
        <w:rPr>
          <w:rFonts w:ascii="宋体" w:hAnsi="宋体" w:cs="宋体"/>
          <w:color w:val="auto"/>
          <w:highlight w:val="none"/>
        </w:rPr>
      </w:pPr>
    </w:p>
    <w:p w14:paraId="161D1E15">
      <w:pPr>
        <w:pStyle w:val="18"/>
        <w:rPr>
          <w:rFonts w:ascii="宋体" w:hAnsi="宋体" w:cs="宋体"/>
          <w:color w:val="auto"/>
          <w:highlight w:val="none"/>
        </w:rPr>
      </w:pPr>
    </w:p>
    <w:p w14:paraId="1BBE5FC8">
      <w:pPr>
        <w:pStyle w:val="18"/>
        <w:rPr>
          <w:rFonts w:ascii="宋体" w:hAnsi="宋体" w:cs="宋体"/>
          <w:color w:val="auto"/>
          <w:highlight w:val="none"/>
        </w:rPr>
      </w:pPr>
    </w:p>
    <w:p w14:paraId="325BAA22">
      <w:pPr>
        <w:pStyle w:val="18"/>
        <w:rPr>
          <w:rFonts w:ascii="宋体" w:hAnsi="宋体" w:cs="宋体"/>
          <w:color w:val="auto"/>
          <w:highlight w:val="none"/>
        </w:rPr>
      </w:pPr>
    </w:p>
    <w:p w14:paraId="60791313">
      <w:pPr>
        <w:snapToGrid w:val="0"/>
        <w:spacing w:line="360" w:lineRule="auto"/>
        <w:jc w:val="center"/>
        <w:outlineLvl w:val="3"/>
        <w:rPr>
          <w:rFonts w:ascii="宋体" w:hAnsi="宋体" w:cs="宋体"/>
          <w:bCs/>
          <w:color w:val="auto"/>
          <w:sz w:val="28"/>
          <w:szCs w:val="28"/>
          <w:highlight w:val="none"/>
        </w:rPr>
      </w:pPr>
      <w:r>
        <w:rPr>
          <w:rFonts w:hint="eastAsia" w:ascii="宋体" w:hAnsi="宋体" w:cs="宋体"/>
          <w:bCs/>
          <w:color w:val="auto"/>
          <w:sz w:val="28"/>
          <w:szCs w:val="28"/>
          <w:highlight w:val="none"/>
        </w:rPr>
        <w:t>竞争性磋商响应函</w:t>
      </w:r>
    </w:p>
    <w:p w14:paraId="1141DF4F">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single"/>
        </w:rPr>
        <w:t xml:space="preserve">       （采购人）       </w:t>
      </w:r>
      <w:r>
        <w:rPr>
          <w:rFonts w:hint="eastAsia" w:ascii="宋体" w:hAnsi="宋体" w:cs="宋体"/>
          <w:color w:val="auto"/>
          <w:sz w:val="24"/>
          <w:highlight w:val="none"/>
        </w:rPr>
        <w:t>：</w:t>
      </w:r>
    </w:p>
    <w:p w14:paraId="76A944C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依据贵单位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（项目名称)项目竞争性磋商的邀请，我方授权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（职务）为全权代表参加该项目的磋商响应工作，全权处理本次磋商的有关事宜。同时，我公司声明如下：</w:t>
      </w:r>
    </w:p>
    <w:p w14:paraId="3033AAC9">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（1）我方愿意按照磋商文件的一切要求，提供完成该项目的全部内容</w:t>
      </w:r>
      <w:r>
        <w:rPr>
          <w:rFonts w:hint="eastAsia" w:ascii="宋体" w:hAnsi="宋体" w:cs="宋体"/>
          <w:color w:val="auto"/>
          <w:sz w:val="24"/>
          <w:highlight w:val="none"/>
          <w:lang w:val="zh-CN"/>
        </w:rPr>
        <w:t>。</w:t>
      </w:r>
    </w:p>
    <w:p w14:paraId="4165CBD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（2）我方已经详细审查了全部磋商文件，我方已完全清晰理解磋商文件的要求，不存在任何含糊不清和误解之处，同意放弃对这些文件所提出的异议和质疑的权利。</w:t>
      </w:r>
    </w:p>
    <w:p w14:paraId="2C32415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（3）我方承诺提供的磋商响应文件的有效期，从磋商响应文件接收截止之日算起，45个“日历天”内保持有效。</w:t>
      </w:r>
    </w:p>
    <w:p w14:paraId="5C80E54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（4）我方愿意提供采购人在磋商文件中要求的所有资料。</w:t>
      </w:r>
    </w:p>
    <w:p w14:paraId="1881023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（5）我方承诺在本次磋商响应中提供的一切文件，无论是原件还是复印件均真实有效，绝无任何虚假、伪造和夸大的成份。否则，愿承担相应的后果和法律责任。</w:t>
      </w:r>
    </w:p>
    <w:p w14:paraId="6E99046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（6）我方尊重评审小组所作评定结果，同时也清楚理解到磋商报价最低并非意味着必定获得中标或成交资格。</w:t>
      </w:r>
    </w:p>
    <w:p w14:paraId="4C09888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（7）一旦我方成交，我方将根据磋商文件的规定，严格履行磋商文件中规定的每一项要求，按期、按质、按量履行合同的义务。</w:t>
      </w:r>
    </w:p>
    <w:p w14:paraId="10963A0D">
      <w:pPr>
        <w:snapToGrid w:val="0"/>
        <w:spacing w:line="360" w:lineRule="auto"/>
        <w:ind w:firstLine="2400" w:firstLineChars="1000"/>
        <w:jc w:val="right"/>
        <w:rPr>
          <w:rFonts w:ascii="宋体" w:hAnsi="宋体" w:cs="宋体"/>
          <w:color w:val="auto"/>
          <w:sz w:val="24"/>
          <w:highlight w:val="none"/>
        </w:rPr>
      </w:pPr>
      <w:r>
        <w:rPr>
          <w:rFonts w:hint="eastAsia" w:ascii="宋体" w:hAnsi="宋体" w:cs="宋体"/>
          <w:color w:val="auto"/>
          <w:sz w:val="24"/>
          <w:highlight w:val="none"/>
        </w:rPr>
        <w:t>磋商响应供应商：（盖</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公章）</w:t>
      </w:r>
    </w:p>
    <w:p w14:paraId="5CD45BDB">
      <w:pPr>
        <w:snapToGrid w:val="0"/>
        <w:spacing w:line="360" w:lineRule="auto"/>
        <w:ind w:firstLine="2400" w:firstLineChars="1000"/>
        <w:jc w:val="right"/>
        <w:rPr>
          <w:rFonts w:ascii="宋体" w:hAnsi="宋体" w:cs="宋体"/>
          <w:color w:val="auto"/>
          <w:sz w:val="24"/>
          <w:highlight w:val="none"/>
        </w:rPr>
      </w:pPr>
      <w:r>
        <w:rPr>
          <w:rFonts w:hint="eastAsia" w:ascii="宋体" w:hAnsi="宋体" w:cs="宋体"/>
          <w:color w:val="auto"/>
          <w:sz w:val="24"/>
          <w:highlight w:val="none"/>
        </w:rPr>
        <w:t>法定代表人或委托代理人：</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签字或盖章</w:t>
      </w:r>
      <w:r>
        <w:rPr>
          <w:rFonts w:hint="eastAsia" w:ascii="宋体" w:hAnsi="宋体" w:cs="宋体"/>
          <w:bCs/>
          <w:color w:val="auto"/>
          <w:sz w:val="24"/>
          <w:highlight w:val="none"/>
        </w:rPr>
        <w:t>）</w:t>
      </w:r>
    </w:p>
    <w:p w14:paraId="09F4E31F">
      <w:pPr>
        <w:snapToGrid w:val="0"/>
        <w:spacing w:line="360" w:lineRule="auto"/>
        <w:ind w:firstLine="2400" w:firstLineChars="1000"/>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p w14:paraId="74EE0DEA">
      <w:pPr>
        <w:pStyle w:val="18"/>
        <w:rPr>
          <w:rFonts w:ascii="宋体" w:hAnsi="宋体" w:cs="宋体"/>
          <w:color w:val="auto"/>
          <w:highlight w:val="none"/>
        </w:rPr>
      </w:pPr>
    </w:p>
    <w:p w14:paraId="27846D6D">
      <w:pPr>
        <w:widowControl/>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3D78CE5A">
      <w:pPr>
        <w:tabs>
          <w:tab w:val="left" w:pos="3375"/>
        </w:tabs>
        <w:autoSpaceDE w:val="0"/>
        <w:autoSpaceDN w:val="0"/>
        <w:adjustRightInd w:val="0"/>
        <w:snapToGrid w:val="0"/>
        <w:spacing w:line="440" w:lineRule="exact"/>
        <w:contextualSpacing/>
        <w:rPr>
          <w:rFonts w:ascii="宋体" w:hAnsi="宋体" w:cs="宋体"/>
          <w:color w:val="auto"/>
          <w:sz w:val="28"/>
          <w:szCs w:val="28"/>
          <w:highlight w:val="none"/>
        </w:rPr>
      </w:pPr>
      <w:r>
        <w:rPr>
          <w:rFonts w:hint="eastAsia" w:ascii="宋体" w:hAnsi="宋体" w:cs="宋体"/>
          <w:color w:val="auto"/>
          <w:sz w:val="28"/>
          <w:szCs w:val="28"/>
          <w:highlight w:val="none"/>
        </w:rPr>
        <w:t>第三部分格式：</w:t>
      </w:r>
    </w:p>
    <w:p w14:paraId="71B52CC3">
      <w:pPr>
        <w:snapToGrid w:val="0"/>
        <w:spacing w:line="300" w:lineRule="auto"/>
        <w:contextualSpacing/>
        <w:rPr>
          <w:rFonts w:ascii="宋体" w:hAnsi="宋体" w:cs="宋体"/>
          <w:color w:val="auto"/>
          <w:sz w:val="32"/>
          <w:szCs w:val="32"/>
          <w:highlight w:val="none"/>
        </w:rPr>
      </w:pPr>
    </w:p>
    <w:p w14:paraId="61C545AD">
      <w:pPr>
        <w:autoSpaceDE w:val="0"/>
        <w:autoSpaceDN w:val="0"/>
        <w:adjustRightInd w:val="0"/>
        <w:jc w:val="center"/>
        <w:rPr>
          <w:rFonts w:ascii="宋体" w:hAnsi="宋体" w:cs="宋体"/>
          <w:b/>
          <w:color w:val="auto"/>
          <w:sz w:val="32"/>
          <w:szCs w:val="32"/>
          <w:highlight w:val="none"/>
        </w:rPr>
      </w:pPr>
    </w:p>
    <w:p w14:paraId="5E354D33">
      <w:pPr>
        <w:autoSpaceDE w:val="0"/>
        <w:autoSpaceDN w:val="0"/>
        <w:adjustRightInd w:val="0"/>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2026年南通市公路事业发展中心基础环境与安全运维服务项目</w:t>
      </w:r>
    </w:p>
    <w:p w14:paraId="3FD3934F">
      <w:pPr>
        <w:pStyle w:val="18"/>
        <w:rPr>
          <w:rFonts w:ascii="宋体" w:hAnsi="宋体" w:cs="宋体"/>
          <w:color w:val="auto"/>
          <w:highlight w:val="none"/>
        </w:rPr>
      </w:pPr>
    </w:p>
    <w:p w14:paraId="0FE7457D">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rPr>
        <w:t>项目编号：</w:t>
      </w:r>
      <w:r>
        <w:rPr>
          <w:rFonts w:hint="eastAsia" w:ascii="宋体" w:hAnsi="宋体" w:cs="宋体"/>
          <w:b/>
          <w:color w:val="auto"/>
          <w:w w:val="80"/>
          <w:sz w:val="32"/>
          <w:szCs w:val="32"/>
          <w:highlight w:val="none"/>
          <w:lang w:val="en-US" w:eastAsia="zh-CN"/>
        </w:rPr>
        <w:t>2026AQYW</w:t>
      </w:r>
    </w:p>
    <w:p w14:paraId="7D850102">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rPr>
      </w:pPr>
      <w:r>
        <w:rPr>
          <w:rFonts w:hint="eastAsia" w:ascii="宋体" w:hAnsi="宋体" w:cs="宋体"/>
          <w:b/>
          <w:color w:val="auto"/>
          <w:w w:val="80"/>
          <w:sz w:val="32"/>
          <w:szCs w:val="32"/>
          <w:highlight w:val="none"/>
        </w:rPr>
        <w:t>档案编号：20251122</w:t>
      </w:r>
    </w:p>
    <w:p w14:paraId="1D230B55">
      <w:pPr>
        <w:tabs>
          <w:tab w:val="left" w:pos="6300"/>
        </w:tabs>
        <w:snapToGrid w:val="0"/>
        <w:spacing w:line="300" w:lineRule="auto"/>
        <w:jc w:val="center"/>
        <w:rPr>
          <w:rFonts w:ascii="宋体" w:hAnsi="宋体" w:cs="宋体"/>
          <w:b/>
          <w:color w:val="auto"/>
          <w:w w:val="80"/>
          <w:sz w:val="32"/>
          <w:szCs w:val="32"/>
          <w:highlight w:val="none"/>
        </w:rPr>
      </w:pPr>
    </w:p>
    <w:p w14:paraId="095C33E7">
      <w:pPr>
        <w:tabs>
          <w:tab w:val="left" w:pos="6300"/>
        </w:tabs>
        <w:snapToGrid w:val="0"/>
        <w:spacing w:line="300" w:lineRule="auto"/>
        <w:jc w:val="center"/>
        <w:rPr>
          <w:rFonts w:ascii="宋体" w:hAnsi="宋体" w:cs="宋体"/>
          <w:b/>
          <w:color w:val="auto"/>
          <w:w w:val="80"/>
          <w:sz w:val="32"/>
          <w:szCs w:val="32"/>
          <w:highlight w:val="none"/>
        </w:rPr>
      </w:pPr>
    </w:p>
    <w:p w14:paraId="4660CE92">
      <w:pPr>
        <w:spacing w:after="60" w:line="360" w:lineRule="auto"/>
        <w:ind w:firstLine="3373" w:firstLineChars="1050"/>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1A90E388">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（价格响应文件）</w:t>
      </w:r>
    </w:p>
    <w:p w14:paraId="4215A6B4">
      <w:pPr>
        <w:spacing w:after="60"/>
        <w:jc w:val="center"/>
        <w:rPr>
          <w:rFonts w:ascii="宋体" w:hAnsi="宋体" w:cs="宋体"/>
          <w:b/>
          <w:bCs/>
          <w:color w:val="auto"/>
          <w:sz w:val="72"/>
          <w:szCs w:val="72"/>
          <w:highlight w:val="none"/>
        </w:rPr>
      </w:pPr>
    </w:p>
    <w:p w14:paraId="1E181A60">
      <w:pPr>
        <w:spacing w:after="60"/>
        <w:jc w:val="center"/>
        <w:rPr>
          <w:rFonts w:ascii="宋体" w:hAnsi="宋体" w:cs="宋体"/>
          <w:b/>
          <w:bCs/>
          <w:color w:val="auto"/>
          <w:sz w:val="72"/>
          <w:szCs w:val="72"/>
          <w:highlight w:val="none"/>
        </w:rPr>
      </w:pPr>
    </w:p>
    <w:p w14:paraId="140985A3">
      <w:pPr>
        <w:spacing w:after="60"/>
        <w:jc w:val="center"/>
        <w:rPr>
          <w:rFonts w:ascii="宋体" w:hAnsi="宋体" w:cs="宋体"/>
          <w:b/>
          <w:bCs/>
          <w:color w:val="auto"/>
          <w:sz w:val="72"/>
          <w:szCs w:val="72"/>
          <w:highlight w:val="none"/>
        </w:rPr>
      </w:pPr>
    </w:p>
    <w:p w14:paraId="05A0DCE0">
      <w:pPr>
        <w:spacing w:after="60"/>
        <w:jc w:val="center"/>
        <w:rPr>
          <w:rFonts w:ascii="宋体" w:hAnsi="宋体" w:cs="宋体"/>
          <w:b/>
          <w:bCs/>
          <w:color w:val="auto"/>
          <w:sz w:val="72"/>
          <w:szCs w:val="72"/>
          <w:highlight w:val="none"/>
        </w:rPr>
      </w:pPr>
    </w:p>
    <w:p w14:paraId="2E1BEAFE">
      <w:pPr>
        <w:pStyle w:val="18"/>
        <w:ind w:left="0" w:leftChars="0" w:firstLine="0" w:firstLineChars="0"/>
        <w:rPr>
          <w:rFonts w:ascii="宋体" w:hAnsi="宋体" w:cs="宋体"/>
          <w:b/>
          <w:bCs/>
          <w:color w:val="auto"/>
          <w:sz w:val="72"/>
          <w:szCs w:val="72"/>
          <w:highlight w:val="none"/>
        </w:rPr>
      </w:pPr>
    </w:p>
    <w:p w14:paraId="481FEC02">
      <w:pPr>
        <w:spacing w:after="60"/>
        <w:jc w:val="center"/>
        <w:rPr>
          <w:rFonts w:ascii="宋体" w:hAnsi="宋体" w:cs="宋体"/>
          <w:b/>
          <w:bCs/>
          <w:color w:val="auto"/>
          <w:sz w:val="72"/>
          <w:szCs w:val="72"/>
          <w:highlight w:val="none"/>
        </w:rPr>
      </w:pPr>
    </w:p>
    <w:p w14:paraId="6286CFE5">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供应商（盖公章）：</w:t>
      </w:r>
      <w:r>
        <w:rPr>
          <w:rFonts w:hint="eastAsia" w:ascii="宋体" w:hAnsi="宋体" w:cs="宋体"/>
          <w:b/>
          <w:color w:val="auto"/>
          <w:sz w:val="24"/>
          <w:highlight w:val="none"/>
          <w:u w:val="single"/>
        </w:rPr>
        <w:t xml:space="preserve">                            </w:t>
      </w:r>
    </w:p>
    <w:p w14:paraId="0239B32A">
      <w:pPr>
        <w:spacing w:line="48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法定代表人（或其委托代理人）（签字或盖章）：</w:t>
      </w:r>
      <w:r>
        <w:rPr>
          <w:rFonts w:hint="eastAsia" w:ascii="宋体" w:hAnsi="宋体" w:cs="宋体"/>
          <w:b/>
          <w:color w:val="auto"/>
          <w:sz w:val="24"/>
          <w:highlight w:val="none"/>
          <w:u w:val="single"/>
        </w:rPr>
        <w:t xml:space="preserve">                  </w:t>
      </w:r>
    </w:p>
    <w:p w14:paraId="14235010">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w:t>
      </w:r>
      <w:r>
        <w:rPr>
          <w:rFonts w:hint="eastAsia" w:ascii="宋体" w:hAnsi="宋体" w:cs="宋体"/>
          <w:b/>
          <w:color w:val="auto"/>
          <w:sz w:val="24"/>
          <w:highlight w:val="none"/>
          <w:u w:val="single"/>
        </w:rPr>
        <w:t xml:space="preserve">                                                  </w:t>
      </w:r>
    </w:p>
    <w:p w14:paraId="50B60366">
      <w:pPr>
        <w:widowControl/>
        <w:jc w:val="left"/>
        <w:rPr>
          <w:rFonts w:ascii="宋体" w:hAnsi="宋体" w:cs="宋体"/>
          <w:color w:val="auto"/>
          <w:sz w:val="32"/>
          <w:szCs w:val="32"/>
          <w:highlight w:val="none"/>
        </w:rPr>
      </w:pPr>
    </w:p>
    <w:p w14:paraId="2F28F77B">
      <w:pPr>
        <w:snapToGrid w:val="0"/>
        <w:spacing w:line="300" w:lineRule="auto"/>
        <w:contextualSpacing/>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61C888BD">
      <w:pPr>
        <w:snapToGrid w:val="0"/>
        <w:jc w:val="center"/>
        <w:rPr>
          <w:rFonts w:ascii="宋体" w:hAnsi="宋体" w:cs="宋体"/>
          <w:b/>
          <w:color w:val="auto"/>
          <w:sz w:val="36"/>
          <w:szCs w:val="36"/>
          <w:highlight w:val="none"/>
        </w:rPr>
      </w:pPr>
      <w:r>
        <w:rPr>
          <w:rFonts w:hint="eastAsia" w:ascii="宋体" w:hAnsi="宋体" w:cs="宋体"/>
          <w:b/>
          <w:color w:val="auto"/>
          <w:sz w:val="36"/>
          <w:szCs w:val="36"/>
          <w:highlight w:val="none"/>
        </w:rPr>
        <w:t>磋商报价总表</w:t>
      </w:r>
    </w:p>
    <w:tbl>
      <w:tblPr>
        <w:tblStyle w:val="19"/>
        <w:tblW w:w="9597" w:type="dxa"/>
        <w:tblInd w:w="95" w:type="dxa"/>
        <w:tblLayout w:type="fixed"/>
        <w:tblCellMar>
          <w:top w:w="0" w:type="dxa"/>
          <w:left w:w="108" w:type="dxa"/>
          <w:bottom w:w="0" w:type="dxa"/>
          <w:right w:w="108" w:type="dxa"/>
        </w:tblCellMar>
      </w:tblPr>
      <w:tblGrid>
        <w:gridCol w:w="2990"/>
        <w:gridCol w:w="3638"/>
        <w:gridCol w:w="236"/>
        <w:gridCol w:w="1513"/>
        <w:gridCol w:w="980"/>
        <w:gridCol w:w="240"/>
      </w:tblGrid>
      <w:tr w14:paraId="5F739BA9">
        <w:tblPrEx>
          <w:tblCellMar>
            <w:top w:w="0" w:type="dxa"/>
            <w:left w:w="108" w:type="dxa"/>
            <w:bottom w:w="0" w:type="dxa"/>
            <w:right w:w="108" w:type="dxa"/>
          </w:tblCellMar>
        </w:tblPrEx>
        <w:trPr>
          <w:trHeight w:val="405" w:hRule="atLeast"/>
        </w:trPr>
        <w:tc>
          <w:tcPr>
            <w:tcW w:w="2990" w:type="dxa"/>
            <w:tcBorders>
              <w:top w:val="nil"/>
              <w:left w:val="nil"/>
              <w:bottom w:val="nil"/>
              <w:right w:val="nil"/>
            </w:tcBorders>
            <w:noWrap/>
            <w:vAlign w:val="center"/>
          </w:tcPr>
          <w:p w14:paraId="7D55F9C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项目名称：</w:t>
            </w:r>
          </w:p>
        </w:tc>
        <w:tc>
          <w:tcPr>
            <w:tcW w:w="3638" w:type="dxa"/>
            <w:tcBorders>
              <w:top w:val="nil"/>
              <w:left w:val="nil"/>
              <w:bottom w:val="nil"/>
              <w:right w:val="nil"/>
            </w:tcBorders>
            <w:noWrap/>
            <w:vAlign w:val="center"/>
          </w:tcPr>
          <w:p w14:paraId="544006F2">
            <w:pPr>
              <w:widowControl/>
              <w:spacing w:line="240" w:lineRule="exact"/>
              <w:jc w:val="left"/>
              <w:rPr>
                <w:rFonts w:ascii="宋体" w:hAnsi="宋体" w:cs="宋体"/>
                <w:color w:val="auto"/>
                <w:kern w:val="0"/>
                <w:sz w:val="24"/>
                <w:highlight w:val="none"/>
              </w:rPr>
            </w:pPr>
          </w:p>
        </w:tc>
        <w:tc>
          <w:tcPr>
            <w:tcW w:w="236" w:type="dxa"/>
            <w:tcBorders>
              <w:top w:val="nil"/>
              <w:left w:val="nil"/>
              <w:bottom w:val="nil"/>
              <w:right w:val="nil"/>
            </w:tcBorders>
            <w:noWrap/>
            <w:vAlign w:val="center"/>
          </w:tcPr>
          <w:p w14:paraId="12AAFF53">
            <w:pPr>
              <w:widowControl/>
              <w:spacing w:line="240" w:lineRule="exact"/>
              <w:jc w:val="left"/>
              <w:rPr>
                <w:rFonts w:ascii="宋体" w:hAnsi="宋体" w:cs="宋体"/>
                <w:color w:val="auto"/>
                <w:kern w:val="0"/>
                <w:sz w:val="24"/>
                <w:highlight w:val="none"/>
              </w:rPr>
            </w:pPr>
          </w:p>
        </w:tc>
        <w:tc>
          <w:tcPr>
            <w:tcW w:w="2493" w:type="dxa"/>
            <w:gridSpan w:val="2"/>
            <w:tcBorders>
              <w:top w:val="nil"/>
              <w:left w:val="nil"/>
              <w:bottom w:val="nil"/>
              <w:right w:val="nil"/>
            </w:tcBorders>
            <w:noWrap/>
            <w:vAlign w:val="center"/>
          </w:tcPr>
          <w:p w14:paraId="372C9F11">
            <w:pPr>
              <w:widowControl/>
              <w:spacing w:line="240" w:lineRule="exact"/>
              <w:jc w:val="left"/>
              <w:rPr>
                <w:rFonts w:ascii="宋体" w:hAnsi="宋体" w:cs="宋体"/>
                <w:color w:val="auto"/>
                <w:kern w:val="0"/>
                <w:sz w:val="24"/>
                <w:highlight w:val="none"/>
              </w:rPr>
            </w:pPr>
          </w:p>
        </w:tc>
        <w:tc>
          <w:tcPr>
            <w:tcW w:w="240" w:type="dxa"/>
            <w:tcBorders>
              <w:top w:val="nil"/>
              <w:left w:val="nil"/>
              <w:bottom w:val="nil"/>
              <w:right w:val="nil"/>
            </w:tcBorders>
            <w:noWrap/>
            <w:vAlign w:val="center"/>
          </w:tcPr>
          <w:p w14:paraId="6A99F4A9">
            <w:pPr>
              <w:widowControl/>
              <w:spacing w:line="240" w:lineRule="exact"/>
              <w:jc w:val="left"/>
              <w:rPr>
                <w:rFonts w:ascii="宋体" w:hAnsi="宋体" w:cs="宋体"/>
                <w:color w:val="auto"/>
                <w:kern w:val="0"/>
                <w:sz w:val="24"/>
                <w:highlight w:val="none"/>
              </w:rPr>
            </w:pPr>
          </w:p>
        </w:tc>
      </w:tr>
      <w:tr w14:paraId="17DAB564">
        <w:tblPrEx>
          <w:tblCellMar>
            <w:top w:w="0" w:type="dxa"/>
            <w:left w:w="108" w:type="dxa"/>
            <w:bottom w:w="0" w:type="dxa"/>
            <w:right w:w="108" w:type="dxa"/>
          </w:tblCellMar>
        </w:tblPrEx>
        <w:trPr>
          <w:trHeight w:val="420" w:hRule="atLeast"/>
        </w:trPr>
        <w:tc>
          <w:tcPr>
            <w:tcW w:w="2990" w:type="dxa"/>
            <w:tcBorders>
              <w:top w:val="nil"/>
              <w:left w:val="nil"/>
              <w:bottom w:val="nil"/>
              <w:right w:val="nil"/>
            </w:tcBorders>
            <w:noWrap/>
            <w:vAlign w:val="center"/>
          </w:tcPr>
          <w:p w14:paraId="0D6840E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项目编号：</w:t>
            </w:r>
          </w:p>
        </w:tc>
        <w:tc>
          <w:tcPr>
            <w:tcW w:w="3638" w:type="dxa"/>
            <w:tcBorders>
              <w:top w:val="nil"/>
              <w:left w:val="nil"/>
              <w:bottom w:val="nil"/>
              <w:right w:val="nil"/>
            </w:tcBorders>
            <w:noWrap/>
            <w:vAlign w:val="center"/>
          </w:tcPr>
          <w:p w14:paraId="65FAC6EF">
            <w:pPr>
              <w:widowControl/>
              <w:spacing w:line="240" w:lineRule="exact"/>
              <w:jc w:val="left"/>
              <w:rPr>
                <w:rFonts w:ascii="宋体" w:hAnsi="宋体" w:cs="宋体"/>
                <w:color w:val="auto"/>
                <w:kern w:val="0"/>
                <w:sz w:val="24"/>
                <w:highlight w:val="none"/>
              </w:rPr>
            </w:pPr>
          </w:p>
        </w:tc>
        <w:tc>
          <w:tcPr>
            <w:tcW w:w="236" w:type="dxa"/>
            <w:tcBorders>
              <w:top w:val="nil"/>
              <w:left w:val="nil"/>
              <w:bottom w:val="nil"/>
              <w:right w:val="nil"/>
            </w:tcBorders>
            <w:noWrap/>
            <w:vAlign w:val="center"/>
          </w:tcPr>
          <w:p w14:paraId="19AFBCD8">
            <w:pPr>
              <w:widowControl/>
              <w:spacing w:line="240" w:lineRule="exact"/>
              <w:jc w:val="left"/>
              <w:rPr>
                <w:rFonts w:ascii="宋体" w:hAnsi="宋体" w:cs="宋体"/>
                <w:color w:val="auto"/>
                <w:kern w:val="0"/>
                <w:sz w:val="24"/>
                <w:highlight w:val="none"/>
              </w:rPr>
            </w:pPr>
          </w:p>
        </w:tc>
        <w:tc>
          <w:tcPr>
            <w:tcW w:w="2493" w:type="dxa"/>
            <w:gridSpan w:val="2"/>
            <w:tcBorders>
              <w:top w:val="nil"/>
              <w:left w:val="nil"/>
              <w:bottom w:val="nil"/>
              <w:right w:val="nil"/>
            </w:tcBorders>
            <w:noWrap/>
            <w:vAlign w:val="center"/>
          </w:tcPr>
          <w:p w14:paraId="7B770D2C">
            <w:pPr>
              <w:widowControl/>
              <w:spacing w:line="240" w:lineRule="exact"/>
              <w:jc w:val="left"/>
              <w:rPr>
                <w:rFonts w:ascii="宋体" w:hAnsi="宋体" w:cs="宋体"/>
                <w:color w:val="auto"/>
                <w:kern w:val="0"/>
                <w:sz w:val="24"/>
                <w:highlight w:val="none"/>
              </w:rPr>
            </w:pPr>
          </w:p>
        </w:tc>
        <w:tc>
          <w:tcPr>
            <w:tcW w:w="240" w:type="dxa"/>
            <w:tcBorders>
              <w:top w:val="nil"/>
              <w:left w:val="nil"/>
              <w:bottom w:val="nil"/>
              <w:right w:val="nil"/>
            </w:tcBorders>
            <w:noWrap/>
            <w:vAlign w:val="center"/>
          </w:tcPr>
          <w:p w14:paraId="74B0A13F">
            <w:pPr>
              <w:widowControl/>
              <w:spacing w:line="240" w:lineRule="exact"/>
              <w:jc w:val="left"/>
              <w:rPr>
                <w:rFonts w:ascii="宋体" w:hAnsi="宋体" w:cs="宋体"/>
                <w:color w:val="auto"/>
                <w:kern w:val="0"/>
                <w:sz w:val="24"/>
                <w:highlight w:val="none"/>
              </w:rPr>
            </w:pPr>
          </w:p>
        </w:tc>
      </w:tr>
      <w:tr w14:paraId="6FB78EB9">
        <w:tblPrEx>
          <w:tblCellMar>
            <w:top w:w="0" w:type="dxa"/>
            <w:left w:w="108" w:type="dxa"/>
            <w:bottom w:w="0" w:type="dxa"/>
            <w:right w:w="108" w:type="dxa"/>
          </w:tblCellMar>
        </w:tblPrEx>
        <w:trPr>
          <w:gridAfter w:val="2"/>
          <w:wAfter w:w="1220" w:type="dxa"/>
          <w:trHeight w:val="383" w:hRule="atLeast"/>
        </w:trPr>
        <w:tc>
          <w:tcPr>
            <w:tcW w:w="2990" w:type="dxa"/>
            <w:vMerge w:val="restart"/>
            <w:tcBorders>
              <w:top w:val="single" w:color="auto" w:sz="4" w:space="0"/>
              <w:left w:val="single" w:color="auto" w:sz="4" w:space="0"/>
              <w:bottom w:val="single" w:color="auto" w:sz="4" w:space="0"/>
              <w:right w:val="single" w:color="auto" w:sz="4" w:space="0"/>
            </w:tcBorders>
            <w:noWrap/>
            <w:vAlign w:val="center"/>
          </w:tcPr>
          <w:p w14:paraId="7D4C7A3E">
            <w:pPr>
              <w:widowControl/>
              <w:spacing w:line="2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投标总报价</w:t>
            </w:r>
          </w:p>
        </w:tc>
        <w:tc>
          <w:tcPr>
            <w:tcW w:w="5387" w:type="dxa"/>
            <w:gridSpan w:val="3"/>
            <w:tcBorders>
              <w:top w:val="single" w:color="auto" w:sz="4" w:space="0"/>
              <w:left w:val="nil"/>
              <w:bottom w:val="single" w:color="auto" w:sz="4" w:space="0"/>
              <w:right w:val="single" w:color="auto" w:sz="4" w:space="0"/>
            </w:tcBorders>
            <w:noWrap/>
            <w:vAlign w:val="center"/>
          </w:tcPr>
          <w:p w14:paraId="2621F2E9">
            <w:pPr>
              <w:widowControl/>
              <w:spacing w:line="2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大写：</w:t>
            </w:r>
          </w:p>
        </w:tc>
      </w:tr>
      <w:tr w14:paraId="2B01B502">
        <w:tblPrEx>
          <w:tblCellMar>
            <w:top w:w="0" w:type="dxa"/>
            <w:left w:w="108" w:type="dxa"/>
            <w:bottom w:w="0" w:type="dxa"/>
            <w:right w:w="108" w:type="dxa"/>
          </w:tblCellMar>
        </w:tblPrEx>
        <w:trPr>
          <w:gridAfter w:val="2"/>
          <w:wAfter w:w="1220" w:type="dxa"/>
          <w:trHeight w:val="417" w:hRule="atLeast"/>
        </w:trPr>
        <w:tc>
          <w:tcPr>
            <w:tcW w:w="2990" w:type="dxa"/>
            <w:vMerge w:val="continue"/>
            <w:tcBorders>
              <w:top w:val="single" w:color="auto" w:sz="4" w:space="0"/>
              <w:left w:val="single" w:color="auto" w:sz="4" w:space="0"/>
              <w:bottom w:val="single" w:color="auto" w:sz="4" w:space="0"/>
              <w:right w:val="single" w:color="auto" w:sz="4" w:space="0"/>
            </w:tcBorders>
            <w:vAlign w:val="center"/>
          </w:tcPr>
          <w:p w14:paraId="23AAEA89">
            <w:pPr>
              <w:widowControl/>
              <w:spacing w:line="240" w:lineRule="exact"/>
              <w:jc w:val="center"/>
              <w:rPr>
                <w:rFonts w:ascii="宋体" w:hAnsi="宋体" w:cs="宋体"/>
                <w:color w:val="auto"/>
                <w:kern w:val="0"/>
                <w:sz w:val="24"/>
                <w:highlight w:val="none"/>
              </w:rPr>
            </w:pPr>
          </w:p>
        </w:tc>
        <w:tc>
          <w:tcPr>
            <w:tcW w:w="5387" w:type="dxa"/>
            <w:gridSpan w:val="3"/>
            <w:tcBorders>
              <w:top w:val="single" w:color="auto" w:sz="4" w:space="0"/>
              <w:left w:val="nil"/>
              <w:bottom w:val="single" w:color="auto" w:sz="4" w:space="0"/>
              <w:right w:val="single" w:color="auto" w:sz="4" w:space="0"/>
            </w:tcBorders>
            <w:noWrap/>
            <w:vAlign w:val="center"/>
          </w:tcPr>
          <w:p w14:paraId="2845C401">
            <w:pPr>
              <w:widowControl/>
              <w:spacing w:line="2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小写：</w:t>
            </w:r>
          </w:p>
        </w:tc>
      </w:tr>
    </w:tbl>
    <w:p w14:paraId="36349554">
      <w:pPr>
        <w:snapToGrid w:val="0"/>
        <w:spacing w:line="360" w:lineRule="auto"/>
        <w:ind w:firstLine="480" w:firstLineChars="200"/>
        <w:contextualSpacing/>
        <w:jc w:val="left"/>
        <w:rPr>
          <w:rFonts w:ascii="宋体" w:hAnsi="宋体" w:cs="宋体"/>
          <w:color w:val="auto"/>
          <w:sz w:val="24"/>
          <w:highlight w:val="none"/>
        </w:rPr>
      </w:pPr>
    </w:p>
    <w:p w14:paraId="1354464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供应商（盖单位公章）：</w:t>
      </w:r>
      <w:r>
        <w:rPr>
          <w:rFonts w:hint="eastAsia" w:ascii="宋体" w:hAnsi="宋体" w:cs="宋体"/>
          <w:color w:val="auto"/>
          <w:sz w:val="24"/>
          <w:highlight w:val="none"/>
          <w:u w:val="single"/>
        </w:rPr>
        <w:t xml:space="preserve">                    </w:t>
      </w:r>
    </w:p>
    <w:p w14:paraId="4E058263">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法定代表人或委托代理人（签字或盖章）：</w:t>
      </w:r>
    </w:p>
    <w:p w14:paraId="0B9B1AE8">
      <w:pPr>
        <w:snapToGrid w:val="0"/>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年    月    日</w:t>
      </w:r>
    </w:p>
    <w:p w14:paraId="25C16B2D">
      <w:pPr>
        <w:snapToGrid w:val="0"/>
        <w:spacing w:line="360" w:lineRule="auto"/>
        <w:ind w:firstLine="480" w:firstLineChars="200"/>
        <w:contextualSpacing/>
        <w:jc w:val="left"/>
        <w:rPr>
          <w:rFonts w:ascii="宋体" w:hAnsi="宋体" w:cs="宋体"/>
          <w:color w:val="auto"/>
          <w:sz w:val="24"/>
          <w:highlight w:val="none"/>
        </w:rPr>
      </w:pPr>
    </w:p>
    <w:p w14:paraId="6FBA55E6">
      <w:pPr>
        <w:pStyle w:val="18"/>
        <w:rPr>
          <w:rFonts w:ascii="宋体" w:hAnsi="宋体" w:cs="宋体"/>
          <w:color w:val="auto"/>
          <w:highlight w:val="none"/>
        </w:rPr>
      </w:pPr>
    </w:p>
    <w:p w14:paraId="3D43B531">
      <w:pPr>
        <w:pStyle w:val="18"/>
        <w:rPr>
          <w:rFonts w:ascii="宋体" w:hAnsi="宋体" w:cs="宋体"/>
          <w:color w:val="auto"/>
          <w:highlight w:val="none"/>
        </w:rPr>
      </w:pPr>
    </w:p>
    <w:p w14:paraId="39653581">
      <w:pPr>
        <w:pStyle w:val="18"/>
        <w:rPr>
          <w:rFonts w:ascii="宋体" w:hAnsi="宋体" w:cs="宋体"/>
          <w:color w:val="auto"/>
          <w:highlight w:val="none"/>
        </w:rPr>
      </w:pPr>
    </w:p>
    <w:p w14:paraId="7E8B7B14">
      <w:pPr>
        <w:pStyle w:val="18"/>
        <w:rPr>
          <w:rFonts w:ascii="宋体" w:hAnsi="宋体" w:cs="宋体"/>
          <w:color w:val="auto"/>
          <w:highlight w:val="none"/>
        </w:rPr>
      </w:pPr>
    </w:p>
    <w:p w14:paraId="5421458A">
      <w:pPr>
        <w:snapToGrid w:val="0"/>
        <w:spacing w:line="360" w:lineRule="auto"/>
        <w:ind w:firstLine="482" w:firstLineChars="200"/>
        <w:contextualSpacing/>
        <w:jc w:val="left"/>
        <w:rPr>
          <w:rFonts w:ascii="宋体" w:hAnsi="宋体" w:cs="宋体"/>
          <w:b/>
          <w:color w:val="auto"/>
          <w:sz w:val="24"/>
          <w:highlight w:val="none"/>
        </w:rPr>
      </w:pPr>
      <w:r>
        <w:rPr>
          <w:rFonts w:hint="eastAsia" w:ascii="宋体" w:hAnsi="宋体" w:cs="宋体"/>
          <w:b/>
          <w:color w:val="auto"/>
          <w:sz w:val="24"/>
          <w:highlight w:val="none"/>
        </w:rPr>
        <w:t>注：</w:t>
      </w:r>
      <w:r>
        <w:rPr>
          <w:rFonts w:hint="eastAsia" w:ascii="宋体" w:hAnsi="宋体" w:cs="宋体"/>
          <w:b/>
          <w:color w:val="auto"/>
          <w:kern w:val="0"/>
          <w:sz w:val="24"/>
          <w:highlight w:val="none"/>
        </w:rPr>
        <w:t>供应商此表为首轮报价，最终报价在磋商现场填写</w:t>
      </w:r>
      <w:r>
        <w:rPr>
          <w:rFonts w:hint="eastAsia" w:ascii="宋体" w:hAnsi="宋体" w:cs="宋体"/>
          <w:color w:val="auto"/>
          <w:sz w:val="24"/>
          <w:highlight w:val="none"/>
        </w:rPr>
        <w:t>。</w:t>
      </w:r>
      <w:r>
        <w:rPr>
          <w:rFonts w:hint="eastAsia" w:ascii="宋体" w:hAnsi="宋体" w:cs="宋体"/>
          <w:b/>
          <w:color w:val="auto"/>
          <w:kern w:val="0"/>
          <w:sz w:val="24"/>
          <w:highlight w:val="none"/>
        </w:rPr>
        <w:t>响应文件密封提交时只需填写磋商报价总计（首次）的报价。</w:t>
      </w:r>
    </w:p>
    <w:p w14:paraId="131111BD">
      <w:pPr>
        <w:widowControl/>
        <w:jc w:val="left"/>
        <w:rPr>
          <w:rFonts w:ascii="宋体" w:hAnsi="宋体" w:cs="宋体"/>
          <w:color w:val="auto"/>
          <w:highlight w:val="none"/>
        </w:rPr>
      </w:pPr>
    </w:p>
    <w:p w14:paraId="3578BFB8">
      <w:pPr>
        <w:pStyle w:val="18"/>
        <w:rPr>
          <w:rFonts w:ascii="宋体" w:hAnsi="宋体" w:cs="宋体"/>
          <w:color w:val="auto"/>
          <w:highlight w:val="none"/>
        </w:rPr>
        <w:sectPr>
          <w:footerReference r:id="rId5" w:type="default"/>
          <w:pgSz w:w="11905" w:h="16838"/>
          <w:pgMar w:top="1429" w:right="1429" w:bottom="1429" w:left="1429" w:header="850" w:footer="992" w:gutter="0"/>
          <w:cols w:space="0" w:num="1"/>
          <w:rtlGutter w:val="0"/>
          <w:docGrid w:linePitch="286" w:charSpace="0"/>
        </w:sectPr>
      </w:pPr>
      <w:r>
        <w:rPr>
          <w:rFonts w:hint="eastAsia" w:ascii="宋体" w:hAnsi="宋体" w:cs="宋体"/>
          <w:color w:val="auto"/>
          <w:highlight w:val="none"/>
        </w:rPr>
        <w:br w:type="page"/>
      </w:r>
    </w:p>
    <w:p w14:paraId="29F30DA1">
      <w:pPr>
        <w:widowControl/>
        <w:spacing w:line="360" w:lineRule="auto"/>
        <w:jc w:val="left"/>
        <w:rPr>
          <w:rFonts w:ascii="宋体" w:hAnsi="宋体" w:cs="宋体"/>
          <w:color w:val="auto"/>
          <w:sz w:val="32"/>
          <w:szCs w:val="32"/>
          <w:highlight w:val="none"/>
        </w:rPr>
      </w:pPr>
      <w:r>
        <w:rPr>
          <w:rFonts w:hint="eastAsia" w:ascii="宋体" w:hAnsi="宋体" w:cs="宋体"/>
          <w:color w:val="auto"/>
          <w:sz w:val="32"/>
          <w:szCs w:val="32"/>
          <w:highlight w:val="none"/>
        </w:rPr>
        <w:t>附件2：</w:t>
      </w:r>
      <w:bookmarkStart w:id="152" w:name="_Toc217446086"/>
    </w:p>
    <w:bookmarkEnd w:id="152"/>
    <w:p w14:paraId="3943BDE2">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分项报价明细表</w:t>
      </w:r>
    </w:p>
    <w:p w14:paraId="773D60B3">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项目名称：</w:t>
      </w:r>
    </w:p>
    <w:tbl>
      <w:tblPr>
        <w:tblStyle w:val="20"/>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4678"/>
        <w:gridCol w:w="596"/>
        <w:gridCol w:w="457"/>
        <w:gridCol w:w="1176"/>
        <w:gridCol w:w="1166"/>
        <w:gridCol w:w="653"/>
      </w:tblGrid>
      <w:tr w14:paraId="4EE2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66" w:type="dxa"/>
            <w:vAlign w:val="center"/>
          </w:tcPr>
          <w:p w14:paraId="4E5B9BD0">
            <w:pPr>
              <w:snapToGrid w:val="0"/>
              <w:ind w:left="0" w:leftChars="0" w:right="0" w:rightChars="0" w:firstLine="0" w:firstLineChars="0"/>
              <w:jc w:val="center"/>
              <w:rPr>
                <w:rFonts w:hint="default" w:ascii="仿宋_GB2312" w:hAnsi="仿宋_GB2312" w:eastAsia="仿宋_GB2312" w:cs="仿宋_GB2312"/>
                <w:b/>
                <w:bCs/>
                <w:color w:val="000000"/>
                <w:sz w:val="21"/>
                <w:szCs w:val="21"/>
                <w:highlight w:val="none"/>
                <w:u w:val="none"/>
                <w:lang w:val="en-US" w:eastAsia="zh-CN"/>
              </w:rPr>
            </w:pPr>
            <w:r>
              <w:rPr>
                <w:rFonts w:hint="eastAsia" w:ascii="仿宋_GB2312" w:hAnsi="仿宋_GB2312" w:eastAsia="仿宋_GB2312" w:cs="仿宋_GB2312"/>
                <w:b/>
                <w:bCs/>
                <w:color w:val="000000"/>
                <w:sz w:val="21"/>
                <w:szCs w:val="21"/>
                <w:highlight w:val="none"/>
                <w:u w:val="none"/>
                <w:lang w:val="en-US" w:eastAsia="zh-CN"/>
              </w:rPr>
              <w:t>序号</w:t>
            </w:r>
          </w:p>
        </w:tc>
        <w:tc>
          <w:tcPr>
            <w:tcW w:w="4678" w:type="dxa"/>
            <w:vAlign w:val="center"/>
          </w:tcPr>
          <w:p w14:paraId="281F95FE">
            <w:pPr>
              <w:snapToGrid w:val="0"/>
              <w:ind w:left="0" w:leftChars="0" w:right="0" w:rightChars="0" w:firstLine="0" w:firstLineChars="0"/>
              <w:jc w:val="center"/>
              <w:rPr>
                <w:rFonts w:hint="default" w:ascii="仿宋_GB2312" w:hAnsi="仿宋_GB2312" w:eastAsia="仿宋_GB2312" w:cs="仿宋_GB2312"/>
                <w:b/>
                <w:bCs/>
                <w:color w:val="000000"/>
                <w:sz w:val="21"/>
                <w:szCs w:val="21"/>
                <w:highlight w:val="none"/>
                <w:u w:val="none"/>
                <w:lang w:val="en-US" w:eastAsia="zh-CN"/>
              </w:rPr>
            </w:pPr>
            <w:r>
              <w:rPr>
                <w:rFonts w:hint="eastAsia" w:ascii="仿宋_GB2312" w:hAnsi="仿宋_GB2312" w:eastAsia="仿宋_GB2312" w:cs="仿宋_GB2312"/>
                <w:b/>
                <w:bCs/>
                <w:color w:val="000000"/>
                <w:sz w:val="21"/>
                <w:szCs w:val="21"/>
                <w:highlight w:val="none"/>
                <w:u w:val="none"/>
                <w:lang w:val="en-US" w:eastAsia="zh-CN"/>
              </w:rPr>
              <w:t>项目名称</w:t>
            </w:r>
          </w:p>
        </w:tc>
        <w:tc>
          <w:tcPr>
            <w:tcW w:w="596" w:type="dxa"/>
            <w:vAlign w:val="center"/>
          </w:tcPr>
          <w:p w14:paraId="5567DE0D">
            <w:pPr>
              <w:snapToGrid w:val="0"/>
              <w:ind w:left="0" w:leftChars="0" w:right="0" w:rightChars="0" w:firstLine="0" w:firstLineChars="0"/>
              <w:jc w:val="center"/>
              <w:rPr>
                <w:rFonts w:hint="eastAsia" w:ascii="仿宋_GB2312" w:hAnsi="仿宋_GB2312" w:eastAsia="仿宋_GB2312" w:cs="仿宋_GB2312"/>
                <w:b/>
                <w:bCs/>
                <w:color w:val="000000"/>
                <w:sz w:val="21"/>
                <w:szCs w:val="21"/>
                <w:highlight w:val="none"/>
                <w:u w:val="none"/>
                <w:lang w:eastAsia="zh-CN"/>
              </w:rPr>
            </w:pPr>
            <w:r>
              <w:rPr>
                <w:rFonts w:hint="eastAsia" w:ascii="仿宋_GB2312" w:hAnsi="仿宋_GB2312" w:eastAsia="仿宋_GB2312" w:cs="仿宋_GB2312"/>
                <w:b/>
                <w:bCs/>
                <w:color w:val="000000"/>
                <w:sz w:val="21"/>
                <w:szCs w:val="21"/>
                <w:highlight w:val="none"/>
                <w:u w:val="none"/>
                <w:lang w:val="en-US" w:eastAsia="zh-CN"/>
              </w:rPr>
              <w:t>数量</w:t>
            </w:r>
          </w:p>
        </w:tc>
        <w:tc>
          <w:tcPr>
            <w:tcW w:w="457" w:type="dxa"/>
            <w:vAlign w:val="center"/>
          </w:tcPr>
          <w:p w14:paraId="113C2412">
            <w:pPr>
              <w:snapToGrid w:val="0"/>
              <w:ind w:left="0" w:leftChars="0" w:right="0" w:rightChars="0" w:firstLine="0" w:firstLineChars="0"/>
              <w:jc w:val="center"/>
              <w:rPr>
                <w:rFonts w:hint="eastAsia" w:ascii="仿宋_GB2312" w:hAnsi="仿宋_GB2312" w:eastAsia="仿宋_GB2312" w:cs="仿宋_GB2312"/>
                <w:b/>
                <w:bCs/>
                <w:color w:val="000000"/>
                <w:sz w:val="21"/>
                <w:szCs w:val="21"/>
                <w:highlight w:val="none"/>
                <w:u w:val="none"/>
                <w:lang w:val="en-US" w:eastAsia="zh-CN"/>
              </w:rPr>
            </w:pPr>
            <w:r>
              <w:rPr>
                <w:rFonts w:hint="eastAsia" w:ascii="仿宋_GB2312" w:hAnsi="仿宋_GB2312" w:eastAsia="仿宋_GB2312" w:cs="仿宋_GB2312"/>
                <w:b/>
                <w:bCs/>
                <w:color w:val="000000"/>
                <w:sz w:val="21"/>
                <w:szCs w:val="21"/>
                <w:highlight w:val="none"/>
                <w:u w:val="none"/>
                <w:lang w:val="en-US" w:eastAsia="zh-CN"/>
              </w:rPr>
              <w:t>单位</w:t>
            </w:r>
          </w:p>
        </w:tc>
        <w:tc>
          <w:tcPr>
            <w:tcW w:w="1176" w:type="dxa"/>
            <w:vAlign w:val="center"/>
          </w:tcPr>
          <w:p w14:paraId="5E689CC7">
            <w:pPr>
              <w:snapToGrid w:val="0"/>
              <w:ind w:left="0" w:leftChars="0" w:right="0" w:rightChars="0" w:firstLine="0" w:firstLineChars="0"/>
              <w:jc w:val="center"/>
              <w:rPr>
                <w:rFonts w:hint="eastAsia" w:ascii="仿宋_GB2312" w:hAnsi="仿宋_GB2312" w:eastAsia="仿宋_GB2312" w:cs="仿宋_GB2312"/>
                <w:b/>
                <w:bCs/>
                <w:color w:val="000000"/>
                <w:sz w:val="21"/>
                <w:szCs w:val="21"/>
                <w:highlight w:val="none"/>
                <w:u w:val="none"/>
              </w:rPr>
            </w:pPr>
            <w:r>
              <w:rPr>
                <w:rFonts w:hint="eastAsia" w:ascii="仿宋_GB2312" w:hAnsi="仿宋_GB2312" w:eastAsia="仿宋_GB2312" w:cs="仿宋_GB2312"/>
                <w:b/>
                <w:bCs/>
                <w:color w:val="000000"/>
                <w:sz w:val="21"/>
                <w:szCs w:val="21"/>
                <w:highlight w:val="none"/>
                <w:u w:val="none"/>
              </w:rPr>
              <w:t>单价</w:t>
            </w:r>
          </w:p>
          <w:p w14:paraId="05911417">
            <w:pPr>
              <w:snapToGrid w:val="0"/>
              <w:ind w:left="0" w:leftChars="0" w:right="0" w:rightChars="0" w:firstLine="0" w:firstLineChars="0"/>
              <w:jc w:val="center"/>
              <w:rPr>
                <w:rFonts w:hint="eastAsia" w:ascii="仿宋_GB2312" w:hAnsi="仿宋_GB2312" w:eastAsia="仿宋_GB2312" w:cs="仿宋_GB2312"/>
                <w:b/>
                <w:bCs/>
                <w:color w:val="000000"/>
                <w:sz w:val="21"/>
                <w:szCs w:val="21"/>
                <w:highlight w:val="none"/>
                <w:u w:val="none"/>
              </w:rPr>
            </w:pPr>
            <w:r>
              <w:rPr>
                <w:rFonts w:hint="eastAsia" w:ascii="仿宋_GB2312" w:hAnsi="仿宋_GB2312" w:eastAsia="仿宋_GB2312" w:cs="仿宋_GB2312"/>
                <w:b/>
                <w:bCs/>
                <w:color w:val="000000"/>
                <w:sz w:val="21"/>
                <w:szCs w:val="21"/>
                <w:highlight w:val="none"/>
                <w:u w:val="none"/>
              </w:rPr>
              <w:t>（万元）</w:t>
            </w:r>
          </w:p>
        </w:tc>
        <w:tc>
          <w:tcPr>
            <w:tcW w:w="1166" w:type="dxa"/>
            <w:vAlign w:val="center"/>
          </w:tcPr>
          <w:p w14:paraId="6931CD1B">
            <w:pPr>
              <w:snapToGrid w:val="0"/>
              <w:ind w:left="0" w:leftChars="0" w:right="0" w:rightChars="0" w:firstLine="0" w:firstLineChars="0"/>
              <w:jc w:val="center"/>
              <w:rPr>
                <w:rFonts w:hint="eastAsia" w:ascii="仿宋_GB2312" w:hAnsi="仿宋_GB2312" w:eastAsia="仿宋_GB2312" w:cs="仿宋_GB2312"/>
                <w:b/>
                <w:bCs/>
                <w:color w:val="000000"/>
                <w:sz w:val="21"/>
                <w:szCs w:val="21"/>
                <w:highlight w:val="none"/>
                <w:u w:val="none"/>
              </w:rPr>
            </w:pPr>
            <w:r>
              <w:rPr>
                <w:rFonts w:hint="eastAsia" w:ascii="仿宋_GB2312" w:hAnsi="仿宋_GB2312" w:eastAsia="仿宋_GB2312" w:cs="仿宋_GB2312"/>
                <w:b/>
                <w:bCs/>
                <w:color w:val="000000"/>
                <w:sz w:val="21"/>
                <w:szCs w:val="21"/>
                <w:highlight w:val="none"/>
                <w:u w:val="none"/>
                <w:lang w:val="en-US" w:eastAsia="zh-CN"/>
              </w:rPr>
              <w:t>合计</w:t>
            </w:r>
            <w:r>
              <w:rPr>
                <w:rFonts w:hint="eastAsia" w:ascii="仿宋_GB2312" w:hAnsi="仿宋_GB2312" w:eastAsia="仿宋_GB2312" w:cs="仿宋_GB2312"/>
                <w:b/>
                <w:bCs/>
                <w:color w:val="000000"/>
                <w:sz w:val="21"/>
                <w:szCs w:val="21"/>
                <w:highlight w:val="none"/>
                <w:u w:val="none"/>
              </w:rPr>
              <w:t>金额</w:t>
            </w:r>
          </w:p>
          <w:p w14:paraId="64B523C8">
            <w:pPr>
              <w:snapToGrid w:val="0"/>
              <w:ind w:left="0" w:leftChars="0" w:right="0" w:rightChars="0" w:firstLine="0" w:firstLineChars="0"/>
              <w:jc w:val="center"/>
              <w:rPr>
                <w:rFonts w:hint="eastAsia" w:ascii="仿宋_GB2312" w:hAnsi="仿宋_GB2312" w:eastAsia="仿宋_GB2312" w:cs="仿宋_GB2312"/>
                <w:b/>
                <w:bCs/>
                <w:color w:val="000000"/>
                <w:sz w:val="21"/>
                <w:szCs w:val="21"/>
                <w:highlight w:val="none"/>
                <w:u w:val="none"/>
              </w:rPr>
            </w:pPr>
            <w:r>
              <w:rPr>
                <w:rFonts w:hint="eastAsia" w:ascii="仿宋_GB2312" w:hAnsi="仿宋_GB2312" w:eastAsia="仿宋_GB2312" w:cs="仿宋_GB2312"/>
                <w:b/>
                <w:bCs/>
                <w:color w:val="000000"/>
                <w:sz w:val="21"/>
                <w:szCs w:val="21"/>
                <w:highlight w:val="none"/>
                <w:u w:val="none"/>
              </w:rPr>
              <w:t>（万元）</w:t>
            </w:r>
          </w:p>
        </w:tc>
        <w:tc>
          <w:tcPr>
            <w:tcW w:w="653" w:type="dxa"/>
            <w:vAlign w:val="center"/>
          </w:tcPr>
          <w:p w14:paraId="4C90742C">
            <w:pPr>
              <w:snapToGrid w:val="0"/>
              <w:ind w:left="0" w:leftChars="0" w:right="0" w:rightChars="0" w:firstLine="0" w:firstLineChars="0"/>
              <w:jc w:val="center"/>
              <w:rPr>
                <w:rFonts w:hint="eastAsia" w:ascii="仿宋_GB2312" w:hAnsi="仿宋_GB2312" w:eastAsia="仿宋_GB2312" w:cs="仿宋_GB2312"/>
                <w:b/>
                <w:bCs/>
                <w:color w:val="000000"/>
                <w:sz w:val="21"/>
                <w:szCs w:val="21"/>
                <w:highlight w:val="none"/>
                <w:u w:val="none"/>
                <w:lang w:val="en-US" w:eastAsia="zh-CN"/>
              </w:rPr>
            </w:pPr>
            <w:r>
              <w:rPr>
                <w:rFonts w:hint="eastAsia" w:ascii="仿宋_GB2312" w:hAnsi="仿宋_GB2312" w:eastAsia="仿宋_GB2312" w:cs="仿宋_GB2312"/>
                <w:b/>
                <w:bCs/>
                <w:color w:val="000000"/>
                <w:sz w:val="21"/>
                <w:szCs w:val="21"/>
                <w:highlight w:val="none"/>
                <w:u w:val="none"/>
                <w:lang w:val="en-US" w:eastAsia="zh-CN"/>
              </w:rPr>
              <w:t>备注</w:t>
            </w:r>
          </w:p>
        </w:tc>
      </w:tr>
      <w:tr w14:paraId="6CDC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766" w:type="dxa"/>
            <w:vAlign w:val="center"/>
          </w:tcPr>
          <w:p w14:paraId="7B6DAAF7">
            <w:pPr>
              <w:snapToGrid w:val="0"/>
              <w:ind w:left="0" w:leftChars="0" w:right="0" w:rightChars="0" w:firstLine="0" w:firstLineChars="0"/>
              <w:jc w:val="center"/>
              <w:rPr>
                <w:rFonts w:hint="default" w:ascii="仿宋_GB2312" w:hAnsi="Calibri" w:eastAsia="仿宋_GB2312" w:cs="Times New Roman"/>
                <w:sz w:val="21"/>
                <w:szCs w:val="21"/>
                <w:highlight w:val="none"/>
                <w:vertAlign w:val="baseline"/>
                <w:lang w:val="en-US"/>
              </w:rPr>
            </w:pPr>
            <w:r>
              <w:rPr>
                <w:rFonts w:hint="default" w:ascii="仿宋_GB2312" w:hAnsi="Calibri" w:eastAsia="仿宋_GB2312" w:cs="Times New Roman"/>
                <w:sz w:val="21"/>
                <w:szCs w:val="21"/>
                <w:highlight w:val="none"/>
                <w:vertAlign w:val="baseline"/>
                <w:lang w:val="en-US"/>
              </w:rPr>
              <w:t>1</w:t>
            </w:r>
          </w:p>
        </w:tc>
        <w:tc>
          <w:tcPr>
            <w:tcW w:w="4678" w:type="dxa"/>
            <w:vAlign w:val="center"/>
          </w:tcPr>
          <w:p w14:paraId="4C970460">
            <w:pPr>
              <w:snapToGrid w:val="0"/>
              <w:ind w:left="0" w:leftChars="0" w:right="0" w:rightChars="0" w:firstLine="0" w:firstLineChars="0"/>
              <w:jc w:val="center"/>
              <w:rPr>
                <w:rFonts w:ascii="仿宋_GB2312" w:hAnsi="Calibri" w:eastAsia="仿宋_GB2312" w:cs="Times New Roman"/>
                <w:sz w:val="21"/>
                <w:szCs w:val="21"/>
                <w:highlight w:val="none"/>
                <w:vertAlign w:val="baseline"/>
              </w:rPr>
            </w:pPr>
            <w:r>
              <w:rPr>
                <w:rFonts w:hint="eastAsia" w:ascii="仿宋_GB2312" w:hAnsi="Calibri" w:eastAsia="仿宋_GB2312" w:cs="Times New Roman"/>
                <w:sz w:val="21"/>
                <w:szCs w:val="21"/>
                <w:highlight w:val="none"/>
                <w:vertAlign w:val="baseline"/>
              </w:rPr>
              <w:t>基础环境运维服务及安全软硬件产品维保服务</w:t>
            </w:r>
          </w:p>
        </w:tc>
        <w:tc>
          <w:tcPr>
            <w:tcW w:w="596" w:type="dxa"/>
            <w:vAlign w:val="center"/>
          </w:tcPr>
          <w:p w14:paraId="5B31E900">
            <w:pPr>
              <w:snapToGrid w:val="0"/>
              <w:ind w:left="0" w:leftChars="0" w:right="0" w:rightChars="0" w:firstLine="0" w:firstLineChars="0"/>
              <w:jc w:val="center"/>
              <w:rPr>
                <w:rFonts w:hint="eastAsia" w:ascii="仿宋_GB2312" w:hAnsi="Calibri" w:eastAsia="仿宋_GB2312" w:cs="Times New Roman"/>
                <w:sz w:val="21"/>
                <w:szCs w:val="21"/>
                <w:highlight w:val="none"/>
                <w:vertAlign w:val="baseline"/>
                <w:lang w:eastAsia="zh-CN"/>
              </w:rPr>
            </w:pPr>
            <w:r>
              <w:rPr>
                <w:rFonts w:hint="eastAsia" w:ascii="仿宋_GB2312" w:hAnsi="仿宋_GB2312" w:eastAsia="仿宋_GB2312" w:cs="仿宋_GB2312"/>
                <w:sz w:val="21"/>
                <w:szCs w:val="21"/>
                <w:highlight w:val="none"/>
                <w:u w:val="none"/>
                <w:lang w:val="en-US" w:eastAsia="zh-CN"/>
              </w:rPr>
              <w:t>1</w:t>
            </w:r>
          </w:p>
        </w:tc>
        <w:tc>
          <w:tcPr>
            <w:tcW w:w="457" w:type="dxa"/>
            <w:vAlign w:val="center"/>
          </w:tcPr>
          <w:p w14:paraId="0F52CF40">
            <w:pPr>
              <w:snapToGrid w:val="0"/>
              <w:ind w:left="0" w:leftChars="0" w:right="0" w:rightChars="0" w:firstLine="0" w:firstLineChars="0"/>
              <w:jc w:val="center"/>
              <w:rPr>
                <w:rFonts w:hint="eastAsia" w:ascii="仿宋_GB2312" w:hAnsi="Calibri" w:eastAsia="仿宋_GB2312" w:cs="Times New Roman"/>
                <w:sz w:val="21"/>
                <w:szCs w:val="21"/>
                <w:highlight w:val="none"/>
                <w:vertAlign w:val="baseline"/>
                <w:lang w:val="en-US" w:eastAsia="zh-CN"/>
              </w:rPr>
            </w:pPr>
            <w:r>
              <w:rPr>
                <w:rFonts w:hint="eastAsia" w:ascii="仿宋_GB2312" w:hAnsi="Calibri" w:eastAsia="仿宋_GB2312" w:cs="Times New Roman"/>
                <w:sz w:val="21"/>
                <w:szCs w:val="21"/>
                <w:highlight w:val="none"/>
                <w:vertAlign w:val="baseline"/>
                <w:lang w:val="en-US" w:eastAsia="zh-CN"/>
              </w:rPr>
              <w:t>项</w:t>
            </w:r>
          </w:p>
        </w:tc>
        <w:tc>
          <w:tcPr>
            <w:tcW w:w="1176" w:type="dxa"/>
            <w:vAlign w:val="center"/>
          </w:tcPr>
          <w:p w14:paraId="69B62C45">
            <w:pPr>
              <w:snapToGrid w:val="0"/>
              <w:ind w:left="0" w:leftChars="0" w:right="0" w:rightChars="0" w:firstLine="0" w:firstLineChars="0"/>
              <w:jc w:val="center"/>
              <w:rPr>
                <w:rFonts w:ascii="仿宋_GB2312" w:hAnsi="Calibri" w:eastAsia="仿宋_GB2312" w:cs="Times New Roman"/>
                <w:sz w:val="21"/>
                <w:szCs w:val="21"/>
                <w:highlight w:val="none"/>
                <w:vertAlign w:val="baseline"/>
              </w:rPr>
            </w:pPr>
          </w:p>
        </w:tc>
        <w:tc>
          <w:tcPr>
            <w:tcW w:w="1166" w:type="dxa"/>
            <w:shd w:val="clear" w:color="auto" w:fill="auto"/>
            <w:vAlign w:val="center"/>
          </w:tcPr>
          <w:p w14:paraId="285C69A9">
            <w:pPr>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2"/>
                <w:sz w:val="21"/>
                <w:szCs w:val="21"/>
                <w:highlight w:val="none"/>
                <w:u w:val="none"/>
                <w:lang w:val="en-US" w:eastAsia="zh-CN" w:bidi="ar-SA"/>
              </w:rPr>
            </w:pPr>
          </w:p>
        </w:tc>
        <w:tc>
          <w:tcPr>
            <w:tcW w:w="653" w:type="dxa"/>
            <w:shd w:val="clear" w:color="auto" w:fill="auto"/>
            <w:vAlign w:val="center"/>
          </w:tcPr>
          <w:p w14:paraId="05C622A8">
            <w:pPr>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sz w:val="21"/>
                <w:szCs w:val="21"/>
                <w:highlight w:val="none"/>
                <w:u w:val="none"/>
              </w:rPr>
            </w:pPr>
          </w:p>
        </w:tc>
      </w:tr>
      <w:tr w14:paraId="6D55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766" w:type="dxa"/>
            <w:vAlign w:val="center"/>
          </w:tcPr>
          <w:p w14:paraId="74D3DBD7">
            <w:pPr>
              <w:snapToGrid w:val="0"/>
              <w:ind w:left="0" w:leftChars="0" w:right="0" w:rightChars="0" w:firstLine="0" w:firstLineChars="0"/>
              <w:jc w:val="center"/>
              <w:rPr>
                <w:rFonts w:hint="default" w:ascii="仿宋_GB2312" w:hAnsi="Calibri" w:eastAsia="仿宋_GB2312" w:cs="Times New Roman"/>
                <w:sz w:val="21"/>
                <w:szCs w:val="21"/>
                <w:highlight w:val="none"/>
                <w:vertAlign w:val="baseline"/>
                <w:lang w:val="en-US"/>
              </w:rPr>
            </w:pPr>
            <w:r>
              <w:rPr>
                <w:rFonts w:hint="default" w:ascii="仿宋_GB2312" w:hAnsi="Calibri" w:eastAsia="仿宋_GB2312" w:cs="Times New Roman"/>
                <w:sz w:val="21"/>
                <w:szCs w:val="21"/>
                <w:highlight w:val="none"/>
                <w:vertAlign w:val="baseline"/>
                <w:lang w:val="en-US"/>
              </w:rPr>
              <w:t>2</w:t>
            </w:r>
          </w:p>
        </w:tc>
        <w:tc>
          <w:tcPr>
            <w:tcW w:w="4678" w:type="dxa"/>
            <w:vAlign w:val="center"/>
          </w:tcPr>
          <w:p w14:paraId="23F9C37B">
            <w:pPr>
              <w:snapToGrid w:val="0"/>
              <w:ind w:left="0" w:leftChars="0" w:right="0" w:rightChars="0" w:firstLine="0" w:firstLineChars="0"/>
              <w:jc w:val="center"/>
              <w:rPr>
                <w:rFonts w:hint="default" w:ascii="仿宋_GB2312" w:hAnsi="Calibri" w:eastAsia="仿宋_GB2312" w:cs="Times New Roman"/>
                <w:sz w:val="21"/>
                <w:szCs w:val="21"/>
                <w:highlight w:val="none"/>
                <w:vertAlign w:val="baseline"/>
                <w:lang w:val="en-US"/>
              </w:rPr>
            </w:pPr>
            <w:r>
              <w:rPr>
                <w:rFonts w:hint="default" w:ascii="仿宋_GB2312" w:hAnsi="Calibri" w:eastAsia="仿宋_GB2312" w:cs="Times New Roman"/>
                <w:sz w:val="21"/>
                <w:szCs w:val="21"/>
                <w:highlight w:val="none"/>
                <w:vertAlign w:val="baseline"/>
                <w:lang w:val="en-US"/>
              </w:rPr>
              <w:t>网络安全运维服务</w:t>
            </w:r>
          </w:p>
        </w:tc>
        <w:tc>
          <w:tcPr>
            <w:tcW w:w="596" w:type="dxa"/>
            <w:vAlign w:val="center"/>
          </w:tcPr>
          <w:p w14:paraId="7B210EDD">
            <w:pPr>
              <w:snapToGrid w:val="0"/>
              <w:ind w:left="0" w:leftChars="0" w:right="0" w:rightChars="0" w:firstLine="0" w:firstLineChars="0"/>
              <w:jc w:val="center"/>
              <w:rPr>
                <w:rFonts w:hint="eastAsia" w:ascii="仿宋_GB2312" w:hAnsi="Calibri" w:eastAsia="仿宋_GB2312" w:cs="Times New Roman"/>
                <w:sz w:val="21"/>
                <w:szCs w:val="21"/>
                <w:highlight w:val="none"/>
                <w:vertAlign w:val="baseline"/>
                <w:lang w:val="en-US" w:eastAsia="zh-CN"/>
              </w:rPr>
            </w:pPr>
            <w:r>
              <w:rPr>
                <w:rFonts w:hint="eastAsia" w:ascii="仿宋_GB2312" w:hAnsi="Calibri" w:eastAsia="仿宋_GB2312" w:cs="Times New Roman"/>
                <w:sz w:val="21"/>
                <w:szCs w:val="21"/>
                <w:highlight w:val="none"/>
                <w:vertAlign w:val="baseline"/>
                <w:lang w:val="en-US" w:eastAsia="zh-CN"/>
              </w:rPr>
              <w:t>1</w:t>
            </w:r>
          </w:p>
        </w:tc>
        <w:tc>
          <w:tcPr>
            <w:tcW w:w="457" w:type="dxa"/>
            <w:vAlign w:val="center"/>
          </w:tcPr>
          <w:p w14:paraId="0DD951CF">
            <w:pPr>
              <w:snapToGrid w:val="0"/>
              <w:ind w:left="0" w:leftChars="0" w:right="0" w:rightChars="0" w:firstLine="0" w:firstLineChars="0"/>
              <w:jc w:val="center"/>
              <w:rPr>
                <w:rFonts w:hint="default" w:ascii="仿宋_GB2312" w:hAnsi="Calibri" w:eastAsia="仿宋_GB2312" w:cs="Times New Roman"/>
                <w:sz w:val="21"/>
                <w:szCs w:val="21"/>
                <w:highlight w:val="none"/>
                <w:vertAlign w:val="baseline"/>
                <w:lang w:val="en-US"/>
              </w:rPr>
            </w:pPr>
            <w:r>
              <w:rPr>
                <w:rFonts w:hint="eastAsia" w:ascii="仿宋_GB2312" w:hAnsi="Calibri" w:eastAsia="仿宋_GB2312" w:cs="Times New Roman"/>
                <w:sz w:val="21"/>
                <w:szCs w:val="21"/>
                <w:highlight w:val="none"/>
                <w:vertAlign w:val="baseline"/>
                <w:lang w:val="en-US" w:eastAsia="zh-CN"/>
              </w:rPr>
              <w:t>项</w:t>
            </w:r>
          </w:p>
        </w:tc>
        <w:tc>
          <w:tcPr>
            <w:tcW w:w="1176" w:type="dxa"/>
            <w:vAlign w:val="center"/>
          </w:tcPr>
          <w:p w14:paraId="6C958B98">
            <w:pPr>
              <w:snapToGrid w:val="0"/>
              <w:ind w:left="0" w:leftChars="0" w:right="0" w:rightChars="0" w:firstLine="0" w:firstLineChars="0"/>
              <w:jc w:val="center"/>
              <w:rPr>
                <w:rFonts w:hint="default" w:ascii="仿宋_GB2312" w:hAnsi="Calibri" w:eastAsia="仿宋_GB2312" w:cs="Times New Roman"/>
                <w:sz w:val="21"/>
                <w:szCs w:val="21"/>
                <w:highlight w:val="none"/>
                <w:vertAlign w:val="baseline"/>
                <w:lang w:val="en-US"/>
              </w:rPr>
            </w:pPr>
          </w:p>
        </w:tc>
        <w:tc>
          <w:tcPr>
            <w:tcW w:w="1166" w:type="dxa"/>
            <w:vAlign w:val="center"/>
          </w:tcPr>
          <w:p w14:paraId="07EB62C5">
            <w:pPr>
              <w:snapToGrid w:val="0"/>
              <w:ind w:left="0" w:leftChars="0" w:right="0" w:rightChars="0" w:firstLine="0" w:firstLineChars="0"/>
              <w:jc w:val="center"/>
              <w:rPr>
                <w:rFonts w:hint="default" w:ascii="仿宋_GB2312" w:hAnsi="Calibri" w:eastAsia="仿宋_GB2312" w:cs="Times New Roman"/>
                <w:sz w:val="21"/>
                <w:szCs w:val="21"/>
                <w:highlight w:val="none"/>
                <w:vertAlign w:val="baseline"/>
                <w:lang w:val="en-US"/>
              </w:rPr>
            </w:pPr>
          </w:p>
        </w:tc>
        <w:tc>
          <w:tcPr>
            <w:tcW w:w="653" w:type="dxa"/>
            <w:vAlign w:val="center"/>
          </w:tcPr>
          <w:p w14:paraId="2AFADE6E">
            <w:pPr>
              <w:snapToGrid w:val="0"/>
              <w:ind w:left="0" w:leftChars="0" w:right="0" w:rightChars="0" w:firstLine="0" w:firstLineChars="0"/>
              <w:jc w:val="center"/>
              <w:rPr>
                <w:rFonts w:hint="eastAsia" w:ascii="仿宋_GB2312" w:hAnsi="Calibri" w:eastAsia="仿宋_GB2312" w:cs="Times New Roman"/>
                <w:sz w:val="21"/>
                <w:szCs w:val="21"/>
                <w:highlight w:val="none"/>
                <w:vertAlign w:val="baseline"/>
                <w:lang w:val="en-US"/>
              </w:rPr>
            </w:pPr>
          </w:p>
        </w:tc>
      </w:tr>
      <w:tr w14:paraId="72D2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766" w:type="dxa"/>
            <w:vAlign w:val="center"/>
          </w:tcPr>
          <w:p w14:paraId="78913DC9">
            <w:pPr>
              <w:snapToGrid w:val="0"/>
              <w:ind w:left="0" w:leftChars="0" w:right="0" w:rightChars="0" w:firstLine="0" w:firstLineChars="0"/>
              <w:jc w:val="center"/>
              <w:rPr>
                <w:rFonts w:hint="eastAsia" w:ascii="仿宋_GB2312" w:hAnsi="Calibri" w:eastAsia="仿宋_GB2312" w:cs="Times New Roman"/>
                <w:sz w:val="21"/>
                <w:szCs w:val="21"/>
                <w:highlight w:val="none"/>
                <w:vertAlign w:val="baseline"/>
                <w:lang w:val="en-US" w:eastAsia="zh-CN"/>
              </w:rPr>
            </w:pPr>
            <w:r>
              <w:rPr>
                <w:rFonts w:hint="eastAsia" w:ascii="仿宋_GB2312" w:hAnsi="Calibri" w:eastAsia="仿宋_GB2312" w:cs="Times New Roman"/>
                <w:sz w:val="21"/>
                <w:szCs w:val="21"/>
                <w:highlight w:val="none"/>
                <w:vertAlign w:val="baseline"/>
                <w:lang w:val="en-US" w:eastAsia="zh-CN"/>
              </w:rPr>
              <w:t>3</w:t>
            </w:r>
          </w:p>
        </w:tc>
        <w:tc>
          <w:tcPr>
            <w:tcW w:w="6907" w:type="dxa"/>
            <w:gridSpan w:val="4"/>
            <w:vAlign w:val="center"/>
          </w:tcPr>
          <w:p w14:paraId="5815187D">
            <w:pPr>
              <w:snapToGrid w:val="0"/>
              <w:ind w:left="0" w:leftChars="0" w:right="0" w:rightChars="0" w:firstLine="0" w:firstLineChars="0"/>
              <w:jc w:val="center"/>
              <w:rPr>
                <w:rFonts w:hint="eastAsia" w:ascii="仿宋_GB2312" w:hAnsi="Calibri" w:eastAsia="仿宋_GB2312" w:cs="Times New Roman"/>
                <w:sz w:val="21"/>
                <w:szCs w:val="21"/>
                <w:highlight w:val="none"/>
                <w:vertAlign w:val="baseline"/>
                <w:lang w:val="en-US" w:eastAsia="zh-CN"/>
              </w:rPr>
            </w:pPr>
            <w:r>
              <w:rPr>
                <w:rFonts w:hint="eastAsia" w:ascii="仿宋_GB2312" w:hAnsi="Calibri" w:eastAsia="仿宋_GB2312" w:cs="Times New Roman"/>
                <w:sz w:val="21"/>
                <w:szCs w:val="21"/>
                <w:highlight w:val="none"/>
                <w:vertAlign w:val="baseline"/>
                <w:lang w:val="en-US" w:eastAsia="zh-CN"/>
              </w:rPr>
              <w:t>合计</w:t>
            </w:r>
          </w:p>
        </w:tc>
        <w:tc>
          <w:tcPr>
            <w:tcW w:w="1166" w:type="dxa"/>
            <w:vAlign w:val="center"/>
          </w:tcPr>
          <w:p w14:paraId="215C4C03">
            <w:pPr>
              <w:snapToGrid w:val="0"/>
              <w:ind w:left="0" w:leftChars="0" w:right="0" w:rightChars="0" w:firstLine="0" w:firstLineChars="0"/>
              <w:jc w:val="center"/>
              <w:rPr>
                <w:rFonts w:hint="default" w:ascii="仿宋_GB2312" w:hAnsi="Calibri" w:eastAsia="仿宋_GB2312" w:cs="Times New Roman"/>
                <w:sz w:val="21"/>
                <w:szCs w:val="21"/>
                <w:highlight w:val="none"/>
                <w:vertAlign w:val="baseline"/>
                <w:lang w:val="en-US"/>
              </w:rPr>
            </w:pPr>
          </w:p>
        </w:tc>
        <w:tc>
          <w:tcPr>
            <w:tcW w:w="653" w:type="dxa"/>
            <w:vAlign w:val="center"/>
          </w:tcPr>
          <w:p w14:paraId="7E91C4AA">
            <w:pPr>
              <w:snapToGrid w:val="0"/>
              <w:ind w:left="0" w:leftChars="0" w:right="0" w:rightChars="0" w:firstLine="0" w:firstLineChars="0"/>
              <w:jc w:val="center"/>
              <w:rPr>
                <w:rFonts w:hint="eastAsia" w:ascii="仿宋_GB2312" w:hAnsi="Calibri" w:eastAsia="仿宋_GB2312" w:cs="Times New Roman"/>
                <w:sz w:val="21"/>
                <w:szCs w:val="21"/>
                <w:highlight w:val="none"/>
                <w:vertAlign w:val="baseline"/>
                <w:lang w:val="en-US"/>
              </w:rPr>
            </w:pPr>
          </w:p>
        </w:tc>
      </w:tr>
    </w:tbl>
    <w:p w14:paraId="6649B10A">
      <w:pPr>
        <w:snapToGrid w:val="0"/>
        <w:spacing w:line="360" w:lineRule="auto"/>
        <w:outlineLvl w:val="0"/>
        <w:rPr>
          <w:rFonts w:ascii="宋体" w:hAnsi="宋体" w:cs="宋体"/>
          <w:color w:val="auto"/>
          <w:sz w:val="24"/>
          <w:highlight w:val="none"/>
        </w:rPr>
      </w:pPr>
    </w:p>
    <w:p w14:paraId="5807188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供应商（盖单位公章）：</w:t>
      </w:r>
    </w:p>
    <w:p w14:paraId="070759CD">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w:t>
      </w:r>
      <w:r>
        <w:rPr>
          <w:rFonts w:hint="eastAsia" w:ascii="宋体" w:hAnsi="宋体" w:cs="宋体"/>
          <w:color w:val="auto"/>
          <w:sz w:val="24"/>
          <w:highlight w:val="none"/>
          <w:lang w:val="en-US" w:eastAsia="zh-CN"/>
        </w:rPr>
        <w:t>签字或盖章</w:t>
      </w:r>
      <w:r>
        <w:rPr>
          <w:rFonts w:hint="eastAsia" w:ascii="宋体" w:hAnsi="宋体" w:cs="宋体"/>
          <w:color w:val="auto"/>
          <w:sz w:val="24"/>
          <w:highlight w:val="none"/>
        </w:rPr>
        <w:t>）：</w:t>
      </w:r>
    </w:p>
    <w:p w14:paraId="7692FB23">
      <w:pPr>
        <w:snapToGrid w:val="0"/>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年    月    日</w:t>
      </w:r>
    </w:p>
    <w:p w14:paraId="4DF12981">
      <w:pPr>
        <w:snapToGrid w:val="0"/>
        <w:spacing w:line="360" w:lineRule="auto"/>
        <w:outlineLvl w:val="0"/>
        <w:rPr>
          <w:rFonts w:ascii="宋体" w:hAnsi="宋体" w:cs="宋体"/>
          <w:color w:val="auto"/>
          <w:sz w:val="24"/>
          <w:highlight w:val="none"/>
        </w:rPr>
      </w:pPr>
    </w:p>
    <w:p w14:paraId="58F8F750">
      <w:pPr>
        <w:snapToGrid w:val="0"/>
        <w:spacing w:line="360" w:lineRule="auto"/>
        <w:outlineLvl w:val="0"/>
        <w:rPr>
          <w:rFonts w:ascii="宋体" w:hAnsi="宋体" w:cs="宋体"/>
          <w:color w:val="auto"/>
          <w:sz w:val="24"/>
          <w:highlight w:val="none"/>
        </w:rPr>
      </w:pPr>
    </w:p>
    <w:p w14:paraId="20220CF3">
      <w:pPr>
        <w:adjustRightInd w:val="0"/>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color w:val="auto"/>
          <w:sz w:val="24"/>
          <w:highlight w:val="none"/>
        </w:rPr>
        <w:t>注：供应商必须详细报出本项目投标总报价各个组成部分的报价。且</w:t>
      </w:r>
      <w:r>
        <w:rPr>
          <w:rFonts w:hint="eastAsia" w:ascii="宋体" w:hAnsi="宋体" w:cs="宋体"/>
          <w:b/>
          <w:bCs/>
          <w:color w:val="auto"/>
          <w:sz w:val="24"/>
          <w:highlight w:val="none"/>
        </w:rPr>
        <w:t>本表各分项报价合计应当与</w:t>
      </w:r>
      <w:r>
        <w:rPr>
          <w:rFonts w:hint="eastAsia" w:ascii="宋体" w:hAnsi="宋体" w:cs="宋体"/>
          <w:b/>
          <w:color w:val="auto"/>
          <w:kern w:val="0"/>
          <w:sz w:val="24"/>
          <w:highlight w:val="none"/>
          <w:lang w:val="zh-CN"/>
        </w:rPr>
        <w:t>磋商报价总表</w:t>
      </w:r>
      <w:r>
        <w:rPr>
          <w:rFonts w:hint="eastAsia" w:ascii="宋体" w:hAnsi="宋体" w:cs="宋体"/>
          <w:b/>
          <w:bCs/>
          <w:color w:val="auto"/>
          <w:sz w:val="24"/>
          <w:highlight w:val="none"/>
        </w:rPr>
        <w:t>报价合计相等。</w:t>
      </w:r>
    </w:p>
    <w:p w14:paraId="56B0C308">
      <w:pPr>
        <w:rPr>
          <w:rFonts w:ascii="宋体" w:hAnsi="宋体" w:cs="宋体"/>
          <w:b/>
          <w:bCs/>
          <w:color w:val="auto"/>
          <w:sz w:val="24"/>
          <w:highlight w:val="none"/>
        </w:rPr>
      </w:pPr>
    </w:p>
    <w:sectPr>
      <w:pgSz w:w="11905" w:h="16838"/>
      <w:pgMar w:top="1429" w:right="1429" w:bottom="1429" w:left="1429" w:header="850" w:footer="992" w:gutter="0"/>
      <w:cols w:space="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0264F">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369"/>
                          </w:sdtPr>
                          <w:sdtContent>
                            <w:p w14:paraId="5DFAD13B">
                              <w:pPr>
                                <w:pStyle w:val="14"/>
                                <w:jc w:val="center"/>
                              </w:pPr>
                              <w:r>
                                <w:fldChar w:fldCharType="begin"/>
                              </w:r>
                              <w:r>
                                <w:instrText xml:space="preserve">PAGE   \* MERGEFORMAT</w:instrText>
                              </w:r>
                              <w:r>
                                <w:fldChar w:fldCharType="separate"/>
                              </w:r>
                              <w:r>
                                <w:rPr>
                                  <w:lang w:val="zh-CN"/>
                                </w:rPr>
                                <w:t>3</w:t>
                              </w:r>
                              <w:r>
                                <w:rPr>
                                  <w:lang w:val="zh-CN"/>
                                </w:rPr>
                                <w:fldChar w:fldCharType="end"/>
                              </w:r>
                            </w:p>
                          </w:sdtContent>
                        </w:sdt>
                        <w:p w14:paraId="3BAE3A11">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78369"/>
                    </w:sdtPr>
                    <w:sdtContent>
                      <w:p w14:paraId="5DFAD13B">
                        <w:pPr>
                          <w:pStyle w:val="14"/>
                          <w:jc w:val="center"/>
                        </w:pPr>
                        <w:r>
                          <w:fldChar w:fldCharType="begin"/>
                        </w:r>
                        <w:r>
                          <w:instrText xml:space="preserve">PAGE   \* MERGEFORMAT</w:instrText>
                        </w:r>
                        <w:r>
                          <w:fldChar w:fldCharType="separate"/>
                        </w:r>
                        <w:r>
                          <w:rPr>
                            <w:lang w:val="zh-CN"/>
                          </w:rPr>
                          <w:t>3</w:t>
                        </w:r>
                        <w:r>
                          <w:rPr>
                            <w:lang w:val="zh-CN"/>
                          </w:rPr>
                          <w:fldChar w:fldCharType="end"/>
                        </w:r>
                      </w:p>
                    </w:sdtContent>
                  </w:sdt>
                  <w:p w14:paraId="3BAE3A11">
                    <w:pPr>
                      <w:pStyle w:val="7"/>
                    </w:pPr>
                  </w:p>
                </w:txbxContent>
              </v:textbox>
            </v:shape>
          </w:pict>
        </mc:Fallback>
      </mc:AlternateContent>
    </w:r>
  </w:p>
  <w:p w14:paraId="0C27AA4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7B1D4">
    <w:pPr>
      <w:pStyle w:val="62"/>
      <w:jc w:val="center"/>
      <w:rPr>
        <w:b/>
        <w:i/>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A846D">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8BA846D">
                    <w:pPr>
                      <w:pStyle w:val="14"/>
                    </w:pPr>
                    <w:r>
                      <w:fldChar w:fldCharType="begin"/>
                    </w:r>
                    <w:r>
                      <w:instrText xml:space="preserve"> PAGE  \* MERGEFORMAT </w:instrText>
                    </w:r>
                    <w:r>
                      <w:fldChar w:fldCharType="separate"/>
                    </w:r>
                    <w:r>
                      <w:t>20</w:t>
                    </w:r>
                    <w:r>
                      <w:fldChar w:fldCharType="end"/>
                    </w:r>
                  </w:p>
                </w:txbxContent>
              </v:textbox>
            </v:shape>
          </w:pict>
        </mc:Fallback>
      </mc:AlternateContent>
    </w:r>
    <w:r>
      <w:rPr>
        <w:b/>
        <w:i/>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903E4">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041"/>
                          </w:sdtPr>
                          <w:sdtContent>
                            <w:p w14:paraId="3FE07AA6">
                              <w:pPr>
                                <w:pStyle w:val="14"/>
                                <w:jc w:val="center"/>
                              </w:pPr>
                              <w:r>
                                <w:fldChar w:fldCharType="begin"/>
                              </w:r>
                              <w:r>
                                <w:instrText xml:space="preserve">PAGE   \* MERGEFORMAT</w:instrText>
                              </w:r>
                              <w:r>
                                <w:fldChar w:fldCharType="separate"/>
                              </w:r>
                              <w:r>
                                <w:rPr>
                                  <w:lang w:val="zh-CN"/>
                                </w:rPr>
                                <w:t>66</w:t>
                              </w:r>
                              <w:r>
                                <w:rPr>
                                  <w:lang w:val="zh-CN"/>
                                </w:rPr>
                                <w:fldChar w:fldCharType="end"/>
                              </w:r>
                            </w:p>
                          </w:sdtContent>
                        </w:sdt>
                        <w:p w14:paraId="00080F74">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76041"/>
                    </w:sdtPr>
                    <w:sdtContent>
                      <w:p w14:paraId="3FE07AA6">
                        <w:pPr>
                          <w:pStyle w:val="14"/>
                          <w:jc w:val="center"/>
                        </w:pPr>
                        <w:r>
                          <w:fldChar w:fldCharType="begin"/>
                        </w:r>
                        <w:r>
                          <w:instrText xml:space="preserve">PAGE   \* MERGEFORMAT</w:instrText>
                        </w:r>
                        <w:r>
                          <w:fldChar w:fldCharType="separate"/>
                        </w:r>
                        <w:r>
                          <w:rPr>
                            <w:lang w:val="zh-CN"/>
                          </w:rPr>
                          <w:t>66</w:t>
                        </w:r>
                        <w:r>
                          <w:rPr>
                            <w:lang w:val="zh-CN"/>
                          </w:rPr>
                          <w:fldChar w:fldCharType="end"/>
                        </w:r>
                      </w:p>
                    </w:sdtContent>
                  </w:sdt>
                  <w:p w14:paraId="00080F74">
                    <w:pPr>
                      <w:pStyle w:val="7"/>
                    </w:pPr>
                  </w:p>
                </w:txbxContent>
              </v:textbox>
            </v:shape>
          </w:pict>
        </mc:Fallback>
      </mc:AlternateContent>
    </w:r>
  </w:p>
  <w:p w14:paraId="49EC431A">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E9533"/>
    <w:multiLevelType w:val="singleLevel"/>
    <w:tmpl w:val="944E9533"/>
    <w:lvl w:ilvl="0" w:tentative="0">
      <w:start w:val="7"/>
      <w:numFmt w:val="decimal"/>
      <w:suff w:val="nothing"/>
      <w:lvlText w:val="%1、"/>
      <w:lvlJc w:val="left"/>
    </w:lvl>
  </w:abstractNum>
  <w:abstractNum w:abstractNumId="1">
    <w:nsid w:val="9AFA56C4"/>
    <w:multiLevelType w:val="singleLevel"/>
    <w:tmpl w:val="9AFA56C4"/>
    <w:lvl w:ilvl="0" w:tentative="0">
      <w:start w:val="1"/>
      <w:numFmt w:val="chineseCounting"/>
      <w:suff w:val="nothing"/>
      <w:lvlText w:val="（%1）"/>
      <w:lvlJc w:val="left"/>
      <w:rPr>
        <w:rFonts w:hint="eastAsia"/>
      </w:rPr>
    </w:lvl>
  </w:abstractNum>
  <w:abstractNum w:abstractNumId="2">
    <w:nsid w:val="BE9B0520"/>
    <w:multiLevelType w:val="singleLevel"/>
    <w:tmpl w:val="BE9B0520"/>
    <w:lvl w:ilvl="0" w:tentative="0">
      <w:start w:val="1"/>
      <w:numFmt w:val="chineseCounting"/>
      <w:suff w:val="nothing"/>
      <w:lvlText w:val="（%1）"/>
      <w:lvlJc w:val="left"/>
      <w:rPr>
        <w:rFonts w:hint="eastAsia"/>
      </w:rPr>
    </w:lvl>
  </w:abstractNum>
  <w:abstractNum w:abstractNumId="3">
    <w:nsid w:val="2472CD72"/>
    <w:multiLevelType w:val="singleLevel"/>
    <w:tmpl w:val="2472CD72"/>
    <w:lvl w:ilvl="0" w:tentative="0">
      <w:start w:val="1"/>
      <w:numFmt w:val="decimal"/>
      <w:lvlText w:val="%1."/>
      <w:lvlJc w:val="left"/>
      <w:pPr>
        <w:ind w:left="851" w:hanging="425"/>
      </w:pPr>
      <w:rPr>
        <w:rFonts w:hint="default" w:cs="Times New Roman"/>
      </w:rPr>
    </w:lvl>
  </w:abstractNum>
  <w:abstractNum w:abstractNumId="4">
    <w:nsid w:val="6335DC7C"/>
    <w:multiLevelType w:val="singleLevel"/>
    <w:tmpl w:val="6335DC7C"/>
    <w:lvl w:ilvl="0" w:tentative="0">
      <w:start w:val="1"/>
      <w:numFmt w:val="chineseCounting"/>
      <w:suff w:val="nothing"/>
      <w:lvlText w:val="（%1）"/>
      <w:lvlJc w:val="left"/>
      <w:rPr>
        <w:rFonts w:hint="eastAsia"/>
      </w:rPr>
    </w:lvl>
  </w:abstractNum>
  <w:abstractNum w:abstractNumId="5">
    <w:nsid w:val="6F300EC0"/>
    <w:multiLevelType w:val="singleLevel"/>
    <w:tmpl w:val="6F300EC0"/>
    <w:lvl w:ilvl="0" w:tentative="0">
      <w:start w:val="5"/>
      <w:numFmt w:val="chineseCounting"/>
      <w:suff w:val="nothing"/>
      <w:lvlText w:val="%1、"/>
      <w:lvlJc w:val="left"/>
      <w:rPr>
        <w:rFonts w:hint="eastAsia"/>
      </w:rPr>
    </w:lvl>
  </w:abstractNum>
  <w:abstractNum w:abstractNumId="6">
    <w:nsid w:val="7C30D000"/>
    <w:multiLevelType w:val="singleLevel"/>
    <w:tmpl w:val="7C30D000"/>
    <w:lvl w:ilvl="0" w:tentative="0">
      <w:start w:val="5"/>
      <w:numFmt w:val="chineseCounting"/>
      <w:suff w:val="nothing"/>
      <w:lvlText w:val="%1、"/>
      <w:lvlJc w:val="left"/>
      <w:rPr>
        <w:rFonts w:hint="eastAsia"/>
      </w:rPr>
    </w:lvl>
  </w:abstractNum>
  <w:num w:numId="1">
    <w:abstractNumId w:val="2"/>
  </w:num>
  <w:num w:numId="2">
    <w:abstractNumId w:val="5"/>
  </w:num>
  <w:num w:numId="3">
    <w:abstractNumId w:val="0"/>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NTFmN2NlZTk0MGQ1OTkxM2M1ZDNhNDkyN2Q1NDcifQ=="/>
    <w:docVar w:name="KSO_WPS_MARK_KEY" w:val="b0289b24-6483-461c-b282-0aac915c9090"/>
  </w:docVars>
  <w:rsids>
    <w:rsidRoot w:val="004E6A01"/>
    <w:rsid w:val="000013E2"/>
    <w:rsid w:val="00004814"/>
    <w:rsid w:val="00004F3A"/>
    <w:rsid w:val="000059C0"/>
    <w:rsid w:val="00007897"/>
    <w:rsid w:val="0002042E"/>
    <w:rsid w:val="00021F9F"/>
    <w:rsid w:val="000251AD"/>
    <w:rsid w:val="000251B3"/>
    <w:rsid w:val="000275F4"/>
    <w:rsid w:val="00033299"/>
    <w:rsid w:val="00035CD1"/>
    <w:rsid w:val="000362E9"/>
    <w:rsid w:val="00037EF2"/>
    <w:rsid w:val="000451EC"/>
    <w:rsid w:val="000451F8"/>
    <w:rsid w:val="0004657F"/>
    <w:rsid w:val="000520D9"/>
    <w:rsid w:val="00057671"/>
    <w:rsid w:val="000713C9"/>
    <w:rsid w:val="00072281"/>
    <w:rsid w:val="00072F28"/>
    <w:rsid w:val="00072F70"/>
    <w:rsid w:val="00076F8C"/>
    <w:rsid w:val="000802EA"/>
    <w:rsid w:val="0008732D"/>
    <w:rsid w:val="00091AD9"/>
    <w:rsid w:val="00095D50"/>
    <w:rsid w:val="000A423C"/>
    <w:rsid w:val="000B3772"/>
    <w:rsid w:val="000F0B73"/>
    <w:rsid w:val="000F3FC3"/>
    <w:rsid w:val="00102152"/>
    <w:rsid w:val="00105CE8"/>
    <w:rsid w:val="001116CB"/>
    <w:rsid w:val="00115F3B"/>
    <w:rsid w:val="00122A27"/>
    <w:rsid w:val="001246E8"/>
    <w:rsid w:val="00126723"/>
    <w:rsid w:val="00126FEF"/>
    <w:rsid w:val="00130D3A"/>
    <w:rsid w:val="00131C02"/>
    <w:rsid w:val="00137126"/>
    <w:rsid w:val="001376C9"/>
    <w:rsid w:val="001414F9"/>
    <w:rsid w:val="00147540"/>
    <w:rsid w:val="00151467"/>
    <w:rsid w:val="00157B7C"/>
    <w:rsid w:val="00170721"/>
    <w:rsid w:val="00173FAB"/>
    <w:rsid w:val="00177979"/>
    <w:rsid w:val="00187179"/>
    <w:rsid w:val="00193017"/>
    <w:rsid w:val="0019491F"/>
    <w:rsid w:val="001A6574"/>
    <w:rsid w:val="001A6D4B"/>
    <w:rsid w:val="001B5DC9"/>
    <w:rsid w:val="001C13AE"/>
    <w:rsid w:val="001C1DCE"/>
    <w:rsid w:val="001C3262"/>
    <w:rsid w:val="001C51EF"/>
    <w:rsid w:val="001C77B5"/>
    <w:rsid w:val="001D64B1"/>
    <w:rsid w:val="001D741F"/>
    <w:rsid w:val="001E071B"/>
    <w:rsid w:val="001E2B68"/>
    <w:rsid w:val="001E6DD3"/>
    <w:rsid w:val="001F036F"/>
    <w:rsid w:val="001F6F5C"/>
    <w:rsid w:val="00200979"/>
    <w:rsid w:val="00201938"/>
    <w:rsid w:val="002063F7"/>
    <w:rsid w:val="00213A61"/>
    <w:rsid w:val="00221D3C"/>
    <w:rsid w:val="00226261"/>
    <w:rsid w:val="00230635"/>
    <w:rsid w:val="002401BF"/>
    <w:rsid w:val="00244B5D"/>
    <w:rsid w:val="0024628A"/>
    <w:rsid w:val="00246366"/>
    <w:rsid w:val="00246E02"/>
    <w:rsid w:val="0025515D"/>
    <w:rsid w:val="002567A9"/>
    <w:rsid w:val="00257115"/>
    <w:rsid w:val="002703F4"/>
    <w:rsid w:val="00283D52"/>
    <w:rsid w:val="00296C3A"/>
    <w:rsid w:val="00297093"/>
    <w:rsid w:val="002A1591"/>
    <w:rsid w:val="002A1AE3"/>
    <w:rsid w:val="002A2058"/>
    <w:rsid w:val="002B339B"/>
    <w:rsid w:val="002C31BD"/>
    <w:rsid w:val="002C51C5"/>
    <w:rsid w:val="002C72B9"/>
    <w:rsid w:val="002D1B82"/>
    <w:rsid w:val="002D351F"/>
    <w:rsid w:val="002D3954"/>
    <w:rsid w:val="002D7740"/>
    <w:rsid w:val="002F07A0"/>
    <w:rsid w:val="002F492E"/>
    <w:rsid w:val="002F6837"/>
    <w:rsid w:val="00313736"/>
    <w:rsid w:val="00323EA0"/>
    <w:rsid w:val="0033190C"/>
    <w:rsid w:val="0033279E"/>
    <w:rsid w:val="00333502"/>
    <w:rsid w:val="0034337F"/>
    <w:rsid w:val="003437AF"/>
    <w:rsid w:val="00343952"/>
    <w:rsid w:val="003449B5"/>
    <w:rsid w:val="00345F37"/>
    <w:rsid w:val="003552F3"/>
    <w:rsid w:val="00361633"/>
    <w:rsid w:val="00365957"/>
    <w:rsid w:val="00367C8A"/>
    <w:rsid w:val="0037423D"/>
    <w:rsid w:val="00374855"/>
    <w:rsid w:val="003779F2"/>
    <w:rsid w:val="00383624"/>
    <w:rsid w:val="00384813"/>
    <w:rsid w:val="00385790"/>
    <w:rsid w:val="003865A4"/>
    <w:rsid w:val="003869DB"/>
    <w:rsid w:val="00386E22"/>
    <w:rsid w:val="00393094"/>
    <w:rsid w:val="003947AA"/>
    <w:rsid w:val="00396B48"/>
    <w:rsid w:val="003A0035"/>
    <w:rsid w:val="003A7D38"/>
    <w:rsid w:val="003B2F06"/>
    <w:rsid w:val="003B5AA3"/>
    <w:rsid w:val="003B7FBB"/>
    <w:rsid w:val="003C2A41"/>
    <w:rsid w:val="003C6BD4"/>
    <w:rsid w:val="003D2A3D"/>
    <w:rsid w:val="003E170B"/>
    <w:rsid w:val="003E1F92"/>
    <w:rsid w:val="003E46C9"/>
    <w:rsid w:val="003E5033"/>
    <w:rsid w:val="003E5F8F"/>
    <w:rsid w:val="003E727E"/>
    <w:rsid w:val="003F41E2"/>
    <w:rsid w:val="003F4952"/>
    <w:rsid w:val="003F4EE6"/>
    <w:rsid w:val="004055DC"/>
    <w:rsid w:val="0041349D"/>
    <w:rsid w:val="004212D6"/>
    <w:rsid w:val="00421A34"/>
    <w:rsid w:val="00433757"/>
    <w:rsid w:val="00441C87"/>
    <w:rsid w:val="00443D65"/>
    <w:rsid w:val="004444F9"/>
    <w:rsid w:val="0044468D"/>
    <w:rsid w:val="00455FE9"/>
    <w:rsid w:val="004572BC"/>
    <w:rsid w:val="004633D9"/>
    <w:rsid w:val="00472C32"/>
    <w:rsid w:val="0047530F"/>
    <w:rsid w:val="004822C9"/>
    <w:rsid w:val="00490034"/>
    <w:rsid w:val="00490C60"/>
    <w:rsid w:val="00493EC7"/>
    <w:rsid w:val="00495630"/>
    <w:rsid w:val="004A2FCB"/>
    <w:rsid w:val="004A30E5"/>
    <w:rsid w:val="004A4849"/>
    <w:rsid w:val="004A640F"/>
    <w:rsid w:val="004B2F8E"/>
    <w:rsid w:val="004B64BB"/>
    <w:rsid w:val="004C082D"/>
    <w:rsid w:val="004D3837"/>
    <w:rsid w:val="004D3D61"/>
    <w:rsid w:val="004D65F2"/>
    <w:rsid w:val="004D7F0F"/>
    <w:rsid w:val="004E6A01"/>
    <w:rsid w:val="004E736C"/>
    <w:rsid w:val="004F3D25"/>
    <w:rsid w:val="004F7946"/>
    <w:rsid w:val="00505E24"/>
    <w:rsid w:val="00506000"/>
    <w:rsid w:val="00507573"/>
    <w:rsid w:val="005100C6"/>
    <w:rsid w:val="00510BE0"/>
    <w:rsid w:val="005305DD"/>
    <w:rsid w:val="00533E3C"/>
    <w:rsid w:val="00534EC7"/>
    <w:rsid w:val="00535003"/>
    <w:rsid w:val="00537C64"/>
    <w:rsid w:val="00542063"/>
    <w:rsid w:val="005515FF"/>
    <w:rsid w:val="00561692"/>
    <w:rsid w:val="005703CF"/>
    <w:rsid w:val="00572A6D"/>
    <w:rsid w:val="00577732"/>
    <w:rsid w:val="00584CEE"/>
    <w:rsid w:val="0059014C"/>
    <w:rsid w:val="0059209C"/>
    <w:rsid w:val="00594458"/>
    <w:rsid w:val="00597576"/>
    <w:rsid w:val="00597599"/>
    <w:rsid w:val="005A0369"/>
    <w:rsid w:val="005A2122"/>
    <w:rsid w:val="005A4338"/>
    <w:rsid w:val="005B5238"/>
    <w:rsid w:val="005B6827"/>
    <w:rsid w:val="005C22D9"/>
    <w:rsid w:val="005C63ED"/>
    <w:rsid w:val="005C6748"/>
    <w:rsid w:val="005D0729"/>
    <w:rsid w:val="005E33DD"/>
    <w:rsid w:val="005E3520"/>
    <w:rsid w:val="005E6254"/>
    <w:rsid w:val="005F1FB7"/>
    <w:rsid w:val="00601B2E"/>
    <w:rsid w:val="006038D8"/>
    <w:rsid w:val="00607020"/>
    <w:rsid w:val="006115C0"/>
    <w:rsid w:val="00611FAF"/>
    <w:rsid w:val="006146AC"/>
    <w:rsid w:val="00622AEA"/>
    <w:rsid w:val="00623DE8"/>
    <w:rsid w:val="006259E2"/>
    <w:rsid w:val="00625D1A"/>
    <w:rsid w:val="00630B3B"/>
    <w:rsid w:val="00635218"/>
    <w:rsid w:val="0065010D"/>
    <w:rsid w:val="00654885"/>
    <w:rsid w:val="00655BB0"/>
    <w:rsid w:val="0066177D"/>
    <w:rsid w:val="0066520D"/>
    <w:rsid w:val="006662CB"/>
    <w:rsid w:val="006671E8"/>
    <w:rsid w:val="00670A13"/>
    <w:rsid w:val="00672395"/>
    <w:rsid w:val="00673093"/>
    <w:rsid w:val="00680C17"/>
    <w:rsid w:val="00697C61"/>
    <w:rsid w:val="006B03C7"/>
    <w:rsid w:val="006B216E"/>
    <w:rsid w:val="006B2FFF"/>
    <w:rsid w:val="006B3A9D"/>
    <w:rsid w:val="006B7F8E"/>
    <w:rsid w:val="006C1F5B"/>
    <w:rsid w:val="006C63F3"/>
    <w:rsid w:val="006D3752"/>
    <w:rsid w:val="006D3B9E"/>
    <w:rsid w:val="006E66D4"/>
    <w:rsid w:val="006E6F24"/>
    <w:rsid w:val="006F027B"/>
    <w:rsid w:val="006F5025"/>
    <w:rsid w:val="006F5117"/>
    <w:rsid w:val="006F7925"/>
    <w:rsid w:val="00700303"/>
    <w:rsid w:val="00704C6C"/>
    <w:rsid w:val="00712B7E"/>
    <w:rsid w:val="00715ECD"/>
    <w:rsid w:val="00725D4E"/>
    <w:rsid w:val="00743BD7"/>
    <w:rsid w:val="00752968"/>
    <w:rsid w:val="00754A9D"/>
    <w:rsid w:val="00757F1A"/>
    <w:rsid w:val="00760578"/>
    <w:rsid w:val="00760F2B"/>
    <w:rsid w:val="00770D84"/>
    <w:rsid w:val="00774376"/>
    <w:rsid w:val="007760B2"/>
    <w:rsid w:val="00781DCA"/>
    <w:rsid w:val="007848A4"/>
    <w:rsid w:val="00785177"/>
    <w:rsid w:val="0079474B"/>
    <w:rsid w:val="0079517C"/>
    <w:rsid w:val="007978A6"/>
    <w:rsid w:val="007A5F0B"/>
    <w:rsid w:val="007B0918"/>
    <w:rsid w:val="007B4BEF"/>
    <w:rsid w:val="007B7AA0"/>
    <w:rsid w:val="007C197C"/>
    <w:rsid w:val="007D2636"/>
    <w:rsid w:val="007D47B9"/>
    <w:rsid w:val="007E51A5"/>
    <w:rsid w:val="007E557B"/>
    <w:rsid w:val="007F0A16"/>
    <w:rsid w:val="007F1EAA"/>
    <w:rsid w:val="007F406D"/>
    <w:rsid w:val="00801979"/>
    <w:rsid w:val="00803B60"/>
    <w:rsid w:val="00814D72"/>
    <w:rsid w:val="008165D1"/>
    <w:rsid w:val="00816E94"/>
    <w:rsid w:val="008228A1"/>
    <w:rsid w:val="00823A9F"/>
    <w:rsid w:val="00835C0F"/>
    <w:rsid w:val="00866367"/>
    <w:rsid w:val="00871F07"/>
    <w:rsid w:val="00874B88"/>
    <w:rsid w:val="008820E5"/>
    <w:rsid w:val="00893A16"/>
    <w:rsid w:val="00895014"/>
    <w:rsid w:val="00895895"/>
    <w:rsid w:val="008A28B4"/>
    <w:rsid w:val="008B6F6D"/>
    <w:rsid w:val="008B7057"/>
    <w:rsid w:val="008B76B7"/>
    <w:rsid w:val="008C2935"/>
    <w:rsid w:val="008C5CAE"/>
    <w:rsid w:val="008C7382"/>
    <w:rsid w:val="008D3923"/>
    <w:rsid w:val="008D6748"/>
    <w:rsid w:val="008E296E"/>
    <w:rsid w:val="008E3B4C"/>
    <w:rsid w:val="008E5500"/>
    <w:rsid w:val="00904D70"/>
    <w:rsid w:val="00904FB9"/>
    <w:rsid w:val="00906D53"/>
    <w:rsid w:val="009110EA"/>
    <w:rsid w:val="00916A6F"/>
    <w:rsid w:val="00917395"/>
    <w:rsid w:val="00925636"/>
    <w:rsid w:val="00926712"/>
    <w:rsid w:val="0093020C"/>
    <w:rsid w:val="009372F4"/>
    <w:rsid w:val="009433C5"/>
    <w:rsid w:val="00943467"/>
    <w:rsid w:val="00945306"/>
    <w:rsid w:val="00945F8C"/>
    <w:rsid w:val="00947A9E"/>
    <w:rsid w:val="00950C1D"/>
    <w:rsid w:val="009546A2"/>
    <w:rsid w:val="00954ECC"/>
    <w:rsid w:val="00971B84"/>
    <w:rsid w:val="0097200D"/>
    <w:rsid w:val="00974030"/>
    <w:rsid w:val="00977DD7"/>
    <w:rsid w:val="00977E31"/>
    <w:rsid w:val="00982B5D"/>
    <w:rsid w:val="00986643"/>
    <w:rsid w:val="009944D0"/>
    <w:rsid w:val="00994FFE"/>
    <w:rsid w:val="009A0C65"/>
    <w:rsid w:val="009A0F2C"/>
    <w:rsid w:val="009A3861"/>
    <w:rsid w:val="009A53C2"/>
    <w:rsid w:val="009A65F7"/>
    <w:rsid w:val="009B37F3"/>
    <w:rsid w:val="009B4675"/>
    <w:rsid w:val="009B786A"/>
    <w:rsid w:val="009B78C8"/>
    <w:rsid w:val="009D00D1"/>
    <w:rsid w:val="009D069A"/>
    <w:rsid w:val="009D7E74"/>
    <w:rsid w:val="009E0E99"/>
    <w:rsid w:val="009E7F55"/>
    <w:rsid w:val="009F1CF1"/>
    <w:rsid w:val="009F4864"/>
    <w:rsid w:val="009F5583"/>
    <w:rsid w:val="00A05EA2"/>
    <w:rsid w:val="00A1181B"/>
    <w:rsid w:val="00A12828"/>
    <w:rsid w:val="00A174E3"/>
    <w:rsid w:val="00A20419"/>
    <w:rsid w:val="00A34093"/>
    <w:rsid w:val="00A34D88"/>
    <w:rsid w:val="00A3744C"/>
    <w:rsid w:val="00A40B79"/>
    <w:rsid w:val="00A41E6A"/>
    <w:rsid w:val="00A4310C"/>
    <w:rsid w:val="00A445ED"/>
    <w:rsid w:val="00A51484"/>
    <w:rsid w:val="00A534AC"/>
    <w:rsid w:val="00A53576"/>
    <w:rsid w:val="00A56DDD"/>
    <w:rsid w:val="00A6282B"/>
    <w:rsid w:val="00A6484D"/>
    <w:rsid w:val="00A76287"/>
    <w:rsid w:val="00A772A9"/>
    <w:rsid w:val="00A805B7"/>
    <w:rsid w:val="00A92BAC"/>
    <w:rsid w:val="00AA13C7"/>
    <w:rsid w:val="00AA6F7C"/>
    <w:rsid w:val="00AA701F"/>
    <w:rsid w:val="00AB3DFB"/>
    <w:rsid w:val="00AB61E5"/>
    <w:rsid w:val="00AB6A73"/>
    <w:rsid w:val="00AB6BBC"/>
    <w:rsid w:val="00AB7845"/>
    <w:rsid w:val="00AD1FD6"/>
    <w:rsid w:val="00AD2B89"/>
    <w:rsid w:val="00AE0EFC"/>
    <w:rsid w:val="00AE5EA5"/>
    <w:rsid w:val="00AE775C"/>
    <w:rsid w:val="00AF48D5"/>
    <w:rsid w:val="00AF5426"/>
    <w:rsid w:val="00AF6E03"/>
    <w:rsid w:val="00B024FF"/>
    <w:rsid w:val="00B02FD2"/>
    <w:rsid w:val="00B0416E"/>
    <w:rsid w:val="00B1021A"/>
    <w:rsid w:val="00B1368A"/>
    <w:rsid w:val="00B155C1"/>
    <w:rsid w:val="00B17683"/>
    <w:rsid w:val="00B2479A"/>
    <w:rsid w:val="00B30328"/>
    <w:rsid w:val="00B31B08"/>
    <w:rsid w:val="00B41417"/>
    <w:rsid w:val="00B44E67"/>
    <w:rsid w:val="00B452BF"/>
    <w:rsid w:val="00B46525"/>
    <w:rsid w:val="00B4700B"/>
    <w:rsid w:val="00B47DB3"/>
    <w:rsid w:val="00B51278"/>
    <w:rsid w:val="00B55E84"/>
    <w:rsid w:val="00B56CC6"/>
    <w:rsid w:val="00B56F94"/>
    <w:rsid w:val="00B57DAA"/>
    <w:rsid w:val="00B62DC7"/>
    <w:rsid w:val="00B72631"/>
    <w:rsid w:val="00B746AF"/>
    <w:rsid w:val="00B747BD"/>
    <w:rsid w:val="00B758C6"/>
    <w:rsid w:val="00B80075"/>
    <w:rsid w:val="00B803B3"/>
    <w:rsid w:val="00B8078C"/>
    <w:rsid w:val="00B81E60"/>
    <w:rsid w:val="00B8659A"/>
    <w:rsid w:val="00B86772"/>
    <w:rsid w:val="00B930A1"/>
    <w:rsid w:val="00BA34DB"/>
    <w:rsid w:val="00BA3E08"/>
    <w:rsid w:val="00BB4DE2"/>
    <w:rsid w:val="00BB7038"/>
    <w:rsid w:val="00BC6105"/>
    <w:rsid w:val="00BC7737"/>
    <w:rsid w:val="00BE1002"/>
    <w:rsid w:val="00BE6DC9"/>
    <w:rsid w:val="00BF1195"/>
    <w:rsid w:val="00C05693"/>
    <w:rsid w:val="00C0573A"/>
    <w:rsid w:val="00C2034D"/>
    <w:rsid w:val="00C21D7D"/>
    <w:rsid w:val="00C228EB"/>
    <w:rsid w:val="00C22E17"/>
    <w:rsid w:val="00C2363A"/>
    <w:rsid w:val="00C2779B"/>
    <w:rsid w:val="00C312B4"/>
    <w:rsid w:val="00C34A9E"/>
    <w:rsid w:val="00C50309"/>
    <w:rsid w:val="00C514AB"/>
    <w:rsid w:val="00C56D1C"/>
    <w:rsid w:val="00C61138"/>
    <w:rsid w:val="00C625C7"/>
    <w:rsid w:val="00C63A54"/>
    <w:rsid w:val="00C726A8"/>
    <w:rsid w:val="00C758CA"/>
    <w:rsid w:val="00C77821"/>
    <w:rsid w:val="00C84927"/>
    <w:rsid w:val="00CA06E1"/>
    <w:rsid w:val="00CA22BA"/>
    <w:rsid w:val="00CA5FD7"/>
    <w:rsid w:val="00CB03A7"/>
    <w:rsid w:val="00CB5662"/>
    <w:rsid w:val="00CB6249"/>
    <w:rsid w:val="00CB70CC"/>
    <w:rsid w:val="00CD0C84"/>
    <w:rsid w:val="00CD47DF"/>
    <w:rsid w:val="00CE5FF7"/>
    <w:rsid w:val="00CE6246"/>
    <w:rsid w:val="00CE664F"/>
    <w:rsid w:val="00CE7020"/>
    <w:rsid w:val="00CF1470"/>
    <w:rsid w:val="00CF166F"/>
    <w:rsid w:val="00CF1C80"/>
    <w:rsid w:val="00CF4A51"/>
    <w:rsid w:val="00D10900"/>
    <w:rsid w:val="00D11F5E"/>
    <w:rsid w:val="00D126A1"/>
    <w:rsid w:val="00D26B1A"/>
    <w:rsid w:val="00D35ADB"/>
    <w:rsid w:val="00D3697B"/>
    <w:rsid w:val="00D369C8"/>
    <w:rsid w:val="00D37074"/>
    <w:rsid w:val="00D43BC7"/>
    <w:rsid w:val="00D539AD"/>
    <w:rsid w:val="00D5423F"/>
    <w:rsid w:val="00D5594D"/>
    <w:rsid w:val="00D70A22"/>
    <w:rsid w:val="00D80F93"/>
    <w:rsid w:val="00D84BAB"/>
    <w:rsid w:val="00D86E6B"/>
    <w:rsid w:val="00D878FD"/>
    <w:rsid w:val="00D945C9"/>
    <w:rsid w:val="00DA0D2A"/>
    <w:rsid w:val="00DA448E"/>
    <w:rsid w:val="00DA4E89"/>
    <w:rsid w:val="00DA63E5"/>
    <w:rsid w:val="00DB16A3"/>
    <w:rsid w:val="00DB3778"/>
    <w:rsid w:val="00DC1FF5"/>
    <w:rsid w:val="00DC5380"/>
    <w:rsid w:val="00DC79E7"/>
    <w:rsid w:val="00DD0022"/>
    <w:rsid w:val="00DD4C4A"/>
    <w:rsid w:val="00DE7B01"/>
    <w:rsid w:val="00DF21CE"/>
    <w:rsid w:val="00DF3859"/>
    <w:rsid w:val="00DF721F"/>
    <w:rsid w:val="00DF75B0"/>
    <w:rsid w:val="00E001B1"/>
    <w:rsid w:val="00E05703"/>
    <w:rsid w:val="00E14BCB"/>
    <w:rsid w:val="00E16E37"/>
    <w:rsid w:val="00E233DD"/>
    <w:rsid w:val="00E32AD6"/>
    <w:rsid w:val="00E4427F"/>
    <w:rsid w:val="00E53631"/>
    <w:rsid w:val="00E6001A"/>
    <w:rsid w:val="00E600E8"/>
    <w:rsid w:val="00E602D6"/>
    <w:rsid w:val="00E61716"/>
    <w:rsid w:val="00E66293"/>
    <w:rsid w:val="00E7232F"/>
    <w:rsid w:val="00E72D4F"/>
    <w:rsid w:val="00E7664F"/>
    <w:rsid w:val="00E83B2F"/>
    <w:rsid w:val="00E85FCD"/>
    <w:rsid w:val="00E86056"/>
    <w:rsid w:val="00E86BFD"/>
    <w:rsid w:val="00E86C8F"/>
    <w:rsid w:val="00E87250"/>
    <w:rsid w:val="00E90AD4"/>
    <w:rsid w:val="00E93F70"/>
    <w:rsid w:val="00E9601D"/>
    <w:rsid w:val="00EA133E"/>
    <w:rsid w:val="00EA2A79"/>
    <w:rsid w:val="00EA47F4"/>
    <w:rsid w:val="00EB3BB5"/>
    <w:rsid w:val="00EB6B2E"/>
    <w:rsid w:val="00EB79C2"/>
    <w:rsid w:val="00EC243E"/>
    <w:rsid w:val="00ED4074"/>
    <w:rsid w:val="00EF0651"/>
    <w:rsid w:val="00F00F69"/>
    <w:rsid w:val="00F149FB"/>
    <w:rsid w:val="00F2328A"/>
    <w:rsid w:val="00F24120"/>
    <w:rsid w:val="00F32D1E"/>
    <w:rsid w:val="00F347B7"/>
    <w:rsid w:val="00F34928"/>
    <w:rsid w:val="00F352C8"/>
    <w:rsid w:val="00F374A2"/>
    <w:rsid w:val="00F379DF"/>
    <w:rsid w:val="00F42FE0"/>
    <w:rsid w:val="00F46FD5"/>
    <w:rsid w:val="00F52E32"/>
    <w:rsid w:val="00F544BC"/>
    <w:rsid w:val="00F55A8F"/>
    <w:rsid w:val="00F55EEF"/>
    <w:rsid w:val="00F84B36"/>
    <w:rsid w:val="00F9200F"/>
    <w:rsid w:val="00FA2009"/>
    <w:rsid w:val="00FA4800"/>
    <w:rsid w:val="00FA491D"/>
    <w:rsid w:val="00FB3AFD"/>
    <w:rsid w:val="00FB4C1B"/>
    <w:rsid w:val="00FB54E9"/>
    <w:rsid w:val="00FB5AE8"/>
    <w:rsid w:val="00FB74C5"/>
    <w:rsid w:val="00FC019B"/>
    <w:rsid w:val="00FC67A2"/>
    <w:rsid w:val="00FD3650"/>
    <w:rsid w:val="00FD6FD3"/>
    <w:rsid w:val="00FD76A7"/>
    <w:rsid w:val="00FE1FB6"/>
    <w:rsid w:val="00FE4055"/>
    <w:rsid w:val="00FE632E"/>
    <w:rsid w:val="012E34F5"/>
    <w:rsid w:val="056D2E15"/>
    <w:rsid w:val="06871428"/>
    <w:rsid w:val="07A16AD8"/>
    <w:rsid w:val="08362309"/>
    <w:rsid w:val="099217C1"/>
    <w:rsid w:val="0A5E0C59"/>
    <w:rsid w:val="0AAC3FD4"/>
    <w:rsid w:val="0BA26B08"/>
    <w:rsid w:val="0C3A32A1"/>
    <w:rsid w:val="0C9D4705"/>
    <w:rsid w:val="0C9E28EC"/>
    <w:rsid w:val="0D7313F8"/>
    <w:rsid w:val="0EE3398A"/>
    <w:rsid w:val="0F396B61"/>
    <w:rsid w:val="0F3A1AB0"/>
    <w:rsid w:val="0FCB26F9"/>
    <w:rsid w:val="104246CD"/>
    <w:rsid w:val="10BF4F03"/>
    <w:rsid w:val="120D40DA"/>
    <w:rsid w:val="12744319"/>
    <w:rsid w:val="1283614B"/>
    <w:rsid w:val="13400FC0"/>
    <w:rsid w:val="13A02D2C"/>
    <w:rsid w:val="146137CF"/>
    <w:rsid w:val="14AD65E3"/>
    <w:rsid w:val="15DE716E"/>
    <w:rsid w:val="162E0984"/>
    <w:rsid w:val="188B4CDC"/>
    <w:rsid w:val="19A30C3C"/>
    <w:rsid w:val="1B5C578B"/>
    <w:rsid w:val="1BAA4F92"/>
    <w:rsid w:val="1C53479C"/>
    <w:rsid w:val="1D3249F5"/>
    <w:rsid w:val="1EDF44F4"/>
    <w:rsid w:val="1F9F2DD9"/>
    <w:rsid w:val="201872BC"/>
    <w:rsid w:val="2483022C"/>
    <w:rsid w:val="24B67467"/>
    <w:rsid w:val="256A70DF"/>
    <w:rsid w:val="27A97396"/>
    <w:rsid w:val="27C33364"/>
    <w:rsid w:val="287E31E4"/>
    <w:rsid w:val="294A5C4F"/>
    <w:rsid w:val="29770441"/>
    <w:rsid w:val="2BE9306B"/>
    <w:rsid w:val="2C391C60"/>
    <w:rsid w:val="2CAE1922"/>
    <w:rsid w:val="2CD722CC"/>
    <w:rsid w:val="2F0D7070"/>
    <w:rsid w:val="2F98781F"/>
    <w:rsid w:val="3098637C"/>
    <w:rsid w:val="30CD4226"/>
    <w:rsid w:val="313244EC"/>
    <w:rsid w:val="31BF2A03"/>
    <w:rsid w:val="32380C07"/>
    <w:rsid w:val="331C0D46"/>
    <w:rsid w:val="33202078"/>
    <w:rsid w:val="349124F1"/>
    <w:rsid w:val="34A75F46"/>
    <w:rsid w:val="34ED02D5"/>
    <w:rsid w:val="361231BE"/>
    <w:rsid w:val="364079A0"/>
    <w:rsid w:val="36603F29"/>
    <w:rsid w:val="36B93A98"/>
    <w:rsid w:val="36F37731"/>
    <w:rsid w:val="37D0630C"/>
    <w:rsid w:val="384462A9"/>
    <w:rsid w:val="38481C7E"/>
    <w:rsid w:val="3848736B"/>
    <w:rsid w:val="38E47094"/>
    <w:rsid w:val="39512A22"/>
    <w:rsid w:val="39747F9D"/>
    <w:rsid w:val="3B0A5163"/>
    <w:rsid w:val="3C3E5289"/>
    <w:rsid w:val="3CCC7501"/>
    <w:rsid w:val="3D536049"/>
    <w:rsid w:val="3E886BC8"/>
    <w:rsid w:val="425A2175"/>
    <w:rsid w:val="42704534"/>
    <w:rsid w:val="42D24401"/>
    <w:rsid w:val="430A1C61"/>
    <w:rsid w:val="431E1EF0"/>
    <w:rsid w:val="433E3844"/>
    <w:rsid w:val="434370AD"/>
    <w:rsid w:val="44F109D5"/>
    <w:rsid w:val="45060BA2"/>
    <w:rsid w:val="4554492E"/>
    <w:rsid w:val="45647A48"/>
    <w:rsid w:val="457F1EF2"/>
    <w:rsid w:val="459B6D55"/>
    <w:rsid w:val="45CF4C28"/>
    <w:rsid w:val="46DF28B7"/>
    <w:rsid w:val="470A303D"/>
    <w:rsid w:val="477E4B57"/>
    <w:rsid w:val="47E759F0"/>
    <w:rsid w:val="482D025C"/>
    <w:rsid w:val="4947569E"/>
    <w:rsid w:val="49757894"/>
    <w:rsid w:val="4A840191"/>
    <w:rsid w:val="4BB55C79"/>
    <w:rsid w:val="4E3F014B"/>
    <w:rsid w:val="4EC15329"/>
    <w:rsid w:val="4F457D08"/>
    <w:rsid w:val="4F7853F7"/>
    <w:rsid w:val="519B00B4"/>
    <w:rsid w:val="51DD6BC9"/>
    <w:rsid w:val="527B72D6"/>
    <w:rsid w:val="52BC29D7"/>
    <w:rsid w:val="52C443BD"/>
    <w:rsid w:val="53067DC6"/>
    <w:rsid w:val="53CF7776"/>
    <w:rsid w:val="53F43EF1"/>
    <w:rsid w:val="54091C4C"/>
    <w:rsid w:val="56AD4788"/>
    <w:rsid w:val="572834F8"/>
    <w:rsid w:val="57AA1988"/>
    <w:rsid w:val="57E80E47"/>
    <w:rsid w:val="59D55610"/>
    <w:rsid w:val="5A4540E7"/>
    <w:rsid w:val="5A854500"/>
    <w:rsid w:val="5BF62AB6"/>
    <w:rsid w:val="5CF66622"/>
    <w:rsid w:val="5D641CA2"/>
    <w:rsid w:val="5D7E263F"/>
    <w:rsid w:val="5DDD4037"/>
    <w:rsid w:val="5E0758EE"/>
    <w:rsid w:val="5FA212DE"/>
    <w:rsid w:val="5FC85532"/>
    <w:rsid w:val="5FD17AC2"/>
    <w:rsid w:val="60026A52"/>
    <w:rsid w:val="625B20CE"/>
    <w:rsid w:val="63337B03"/>
    <w:rsid w:val="63412E7D"/>
    <w:rsid w:val="640A23EA"/>
    <w:rsid w:val="65586327"/>
    <w:rsid w:val="6841330B"/>
    <w:rsid w:val="68E85E7D"/>
    <w:rsid w:val="6A372C18"/>
    <w:rsid w:val="6B575EFD"/>
    <w:rsid w:val="6B8D74E2"/>
    <w:rsid w:val="6BB34520"/>
    <w:rsid w:val="6BF15CBC"/>
    <w:rsid w:val="6C136D6D"/>
    <w:rsid w:val="6C712D2B"/>
    <w:rsid w:val="6D7142C9"/>
    <w:rsid w:val="6E81013B"/>
    <w:rsid w:val="6EC00D66"/>
    <w:rsid w:val="70D67B33"/>
    <w:rsid w:val="70F64FF1"/>
    <w:rsid w:val="710F25AA"/>
    <w:rsid w:val="71104394"/>
    <w:rsid w:val="71235CA4"/>
    <w:rsid w:val="71991A38"/>
    <w:rsid w:val="71CC633B"/>
    <w:rsid w:val="72CD4767"/>
    <w:rsid w:val="72F21378"/>
    <w:rsid w:val="75362644"/>
    <w:rsid w:val="758955BC"/>
    <w:rsid w:val="75C83CC5"/>
    <w:rsid w:val="76DE56C7"/>
    <w:rsid w:val="78D945F3"/>
    <w:rsid w:val="78DE680D"/>
    <w:rsid w:val="7CB64B7A"/>
    <w:rsid w:val="7DF85FEB"/>
    <w:rsid w:val="7EC24B05"/>
    <w:rsid w:val="7F863357"/>
    <w:rsid w:val="7F961011"/>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8"/>
    <w:qFormat/>
    <w:uiPriority w:val="0"/>
    <w:pPr>
      <w:ind w:firstLine="420"/>
    </w:pPr>
    <w:rPr>
      <w:szCs w:val="20"/>
    </w:rPr>
  </w:style>
  <w:style w:type="paragraph" w:styleId="5">
    <w:name w:val="annotation text"/>
    <w:basedOn w:val="1"/>
    <w:link w:val="44"/>
    <w:semiHidden/>
    <w:unhideWhenUsed/>
    <w:qFormat/>
    <w:uiPriority w:val="99"/>
    <w:pPr>
      <w:jc w:val="left"/>
    </w:pPr>
  </w:style>
  <w:style w:type="paragraph" w:styleId="6">
    <w:name w:val="Body Text 3"/>
    <w:basedOn w:val="1"/>
    <w:link w:val="54"/>
    <w:semiHidden/>
    <w:unhideWhenUsed/>
    <w:qFormat/>
    <w:uiPriority w:val="99"/>
    <w:pPr>
      <w:spacing w:after="120"/>
    </w:pPr>
    <w:rPr>
      <w:sz w:val="16"/>
      <w:szCs w:val="16"/>
    </w:rPr>
  </w:style>
  <w:style w:type="paragraph" w:styleId="7">
    <w:name w:val="Body Text"/>
    <w:basedOn w:val="1"/>
    <w:next w:val="1"/>
    <w:qFormat/>
    <w:uiPriority w:val="0"/>
    <w:pPr>
      <w:spacing w:after="120"/>
    </w:pPr>
  </w:style>
  <w:style w:type="paragraph" w:styleId="8">
    <w:name w:val="Body Text Indent"/>
    <w:basedOn w:val="1"/>
    <w:next w:val="9"/>
    <w:link w:val="25"/>
    <w:unhideWhenUsed/>
    <w:qFormat/>
    <w:uiPriority w:val="0"/>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index 4"/>
    <w:basedOn w:val="1"/>
    <w:next w:val="1"/>
    <w:qFormat/>
    <w:uiPriority w:val="99"/>
    <w:pPr>
      <w:ind w:left="600" w:leftChars="600"/>
    </w:pPr>
  </w:style>
  <w:style w:type="paragraph" w:styleId="11">
    <w:name w:val="toc 3"/>
    <w:basedOn w:val="1"/>
    <w:next w:val="1"/>
    <w:qFormat/>
    <w:uiPriority w:val="0"/>
    <w:pPr>
      <w:ind w:left="840" w:leftChars="400"/>
    </w:pPr>
  </w:style>
  <w:style w:type="paragraph" w:styleId="12">
    <w:name w:val="Plain Text"/>
    <w:basedOn w:val="1"/>
    <w:link w:val="52"/>
    <w:qFormat/>
    <w:uiPriority w:val="0"/>
    <w:rPr>
      <w:rFonts w:ascii="宋体" w:hAnsi="Courier New"/>
    </w:rPr>
  </w:style>
  <w:style w:type="paragraph" w:styleId="13">
    <w:name w:val="Balloon Text"/>
    <w:basedOn w:val="1"/>
    <w:link w:val="29"/>
    <w:qFormat/>
    <w:uiPriority w:val="0"/>
    <w:rPr>
      <w:sz w:val="18"/>
      <w:szCs w:val="18"/>
    </w:rPr>
  </w:style>
  <w:style w:type="paragraph" w:styleId="14">
    <w:name w:val="footer"/>
    <w:basedOn w:val="1"/>
    <w:link w:val="30"/>
    <w:qFormat/>
    <w:uiPriority w:val="99"/>
    <w:pPr>
      <w:tabs>
        <w:tab w:val="center" w:pos="4153"/>
        <w:tab w:val="right" w:pos="8306"/>
      </w:tabs>
      <w:snapToGrid w:val="0"/>
      <w:jc w:val="left"/>
    </w:pPr>
    <w:rPr>
      <w:sz w:val="18"/>
      <w:szCs w:val="18"/>
    </w:rPr>
  </w:style>
  <w:style w:type="paragraph" w:styleId="15">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7">
    <w:name w:val="annotation subject"/>
    <w:basedOn w:val="5"/>
    <w:next w:val="5"/>
    <w:link w:val="45"/>
    <w:semiHidden/>
    <w:unhideWhenUsed/>
    <w:qFormat/>
    <w:uiPriority w:val="99"/>
    <w:rPr>
      <w:b/>
      <w:bCs/>
    </w:rPr>
  </w:style>
  <w:style w:type="paragraph" w:styleId="18">
    <w:name w:val="Body Text First Indent 2"/>
    <w:basedOn w:val="8"/>
    <w:link w:val="26"/>
    <w:unhideWhenUsed/>
    <w:qFormat/>
    <w:uiPriority w:val="99"/>
    <w:pPr>
      <w:ind w:firstLine="420" w:firstLineChars="200"/>
    </w:p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Hyperlink"/>
    <w:basedOn w:val="21"/>
    <w:semiHidden/>
    <w:unhideWhenUsed/>
    <w:qFormat/>
    <w:uiPriority w:val="99"/>
    <w:rPr>
      <w:color w:val="0000FF"/>
      <w:u w:val="single"/>
    </w:rPr>
  </w:style>
  <w:style w:type="character" w:styleId="23">
    <w:name w:val="annotation reference"/>
    <w:unhideWhenUsed/>
    <w:qFormat/>
    <w:uiPriority w:val="0"/>
    <w:rPr>
      <w:sz w:val="21"/>
      <w:szCs w:val="21"/>
    </w:rPr>
  </w:style>
  <w:style w:type="paragraph" w:customStyle="1" w:styleId="24">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25">
    <w:name w:val="正文文本缩进 Char"/>
    <w:basedOn w:val="21"/>
    <w:link w:val="8"/>
    <w:semiHidden/>
    <w:qFormat/>
    <w:uiPriority w:val="99"/>
    <w:rPr>
      <w:rFonts w:ascii="Times New Roman" w:hAnsi="Times New Roman" w:eastAsia="宋体" w:cs="Times New Roman"/>
      <w:szCs w:val="24"/>
    </w:rPr>
  </w:style>
  <w:style w:type="character" w:customStyle="1" w:styleId="26">
    <w:name w:val="正文首行缩进 2 Char1"/>
    <w:basedOn w:val="25"/>
    <w:link w:val="18"/>
    <w:qFormat/>
    <w:uiPriority w:val="99"/>
    <w:rPr>
      <w:rFonts w:ascii="Times New Roman" w:hAnsi="Times New Roman" w:eastAsia="宋体" w:cs="Times New Roman"/>
      <w:szCs w:val="24"/>
    </w:rPr>
  </w:style>
  <w:style w:type="character" w:customStyle="1" w:styleId="27">
    <w:name w:val="正文文本缩进 Char1"/>
    <w:qFormat/>
    <w:uiPriority w:val="0"/>
    <w:rPr>
      <w:kern w:val="2"/>
      <w:sz w:val="21"/>
      <w:szCs w:val="24"/>
    </w:rPr>
  </w:style>
  <w:style w:type="character" w:customStyle="1" w:styleId="28">
    <w:name w:val="正文缩进 Char1"/>
    <w:link w:val="4"/>
    <w:qFormat/>
    <w:uiPriority w:val="0"/>
    <w:rPr>
      <w:rFonts w:ascii="Times New Roman" w:hAnsi="Times New Roman" w:eastAsia="宋体" w:cs="Times New Roman"/>
      <w:szCs w:val="20"/>
    </w:rPr>
  </w:style>
  <w:style w:type="character" w:customStyle="1" w:styleId="29">
    <w:name w:val="批注框文本 Char"/>
    <w:basedOn w:val="21"/>
    <w:link w:val="13"/>
    <w:qFormat/>
    <w:uiPriority w:val="0"/>
    <w:rPr>
      <w:rFonts w:ascii="Times New Roman" w:hAnsi="Times New Roman" w:eastAsia="宋体" w:cs="Times New Roman"/>
      <w:sz w:val="18"/>
      <w:szCs w:val="18"/>
    </w:rPr>
  </w:style>
  <w:style w:type="character" w:customStyle="1" w:styleId="30">
    <w:name w:val="页脚 Char"/>
    <w:basedOn w:val="21"/>
    <w:link w:val="14"/>
    <w:qFormat/>
    <w:uiPriority w:val="99"/>
    <w:rPr>
      <w:rFonts w:ascii="Times New Roman" w:hAnsi="Times New Roman" w:eastAsia="宋体" w:cs="Times New Roman"/>
      <w:sz w:val="18"/>
      <w:szCs w:val="18"/>
    </w:rPr>
  </w:style>
  <w:style w:type="character" w:customStyle="1" w:styleId="31">
    <w:name w:val="正文缩进2格 Char"/>
    <w:link w:val="32"/>
    <w:qFormat/>
    <w:locked/>
    <w:uiPriority w:val="99"/>
    <w:rPr>
      <w:rFonts w:ascii="仿宋_GB2312" w:hAnsi="宋体" w:eastAsia="仿宋_GB2312"/>
      <w:sz w:val="31"/>
      <w:szCs w:val="28"/>
    </w:rPr>
  </w:style>
  <w:style w:type="paragraph" w:customStyle="1" w:styleId="32">
    <w:name w:val="正文缩进2格"/>
    <w:basedOn w:val="1"/>
    <w:link w:val="31"/>
    <w:qFormat/>
    <w:uiPriority w:val="99"/>
    <w:pPr>
      <w:spacing w:line="600" w:lineRule="exact"/>
      <w:ind w:firstLine="639" w:firstLineChars="206"/>
    </w:pPr>
    <w:rPr>
      <w:rFonts w:ascii="仿宋_GB2312" w:hAnsi="宋体" w:eastAsia="仿宋_GB2312" w:cstheme="minorBidi"/>
      <w:sz w:val="31"/>
      <w:szCs w:val="28"/>
    </w:rPr>
  </w:style>
  <w:style w:type="paragraph" w:customStyle="1" w:styleId="33">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b/>
      <w:bCs/>
      <w:sz w:val="32"/>
      <w:szCs w:val="20"/>
    </w:rPr>
  </w:style>
  <w:style w:type="character" w:customStyle="1" w:styleId="34">
    <w:name w:val="我的正文 Char"/>
    <w:link w:val="35"/>
    <w:qFormat/>
    <w:locked/>
    <w:uiPriority w:val="0"/>
    <w:rPr>
      <w:rFonts w:ascii="宋体" w:hAnsi="宋体"/>
      <w:sz w:val="24"/>
      <w:szCs w:val="24"/>
    </w:rPr>
  </w:style>
  <w:style w:type="paragraph" w:customStyle="1" w:styleId="35">
    <w:name w:val="我的正文"/>
    <w:basedOn w:val="1"/>
    <w:link w:val="34"/>
    <w:qFormat/>
    <w:uiPriority w:val="0"/>
    <w:pPr>
      <w:snapToGrid w:val="0"/>
      <w:spacing w:line="300" w:lineRule="auto"/>
      <w:ind w:firstLine="150" w:firstLineChars="150"/>
    </w:pPr>
    <w:rPr>
      <w:rFonts w:ascii="宋体" w:hAnsi="宋体" w:eastAsiaTheme="minorEastAsia" w:cstheme="minorBidi"/>
      <w:sz w:val="24"/>
    </w:rPr>
  </w:style>
  <w:style w:type="paragraph" w:customStyle="1" w:styleId="36">
    <w:name w:val="列出段落1"/>
    <w:basedOn w:val="1"/>
    <w:qFormat/>
    <w:uiPriority w:val="34"/>
    <w:pPr>
      <w:ind w:firstLine="420" w:firstLineChars="200"/>
    </w:pPr>
  </w:style>
  <w:style w:type="character" w:customStyle="1" w:styleId="37">
    <w:name w:val="fontstyle01"/>
    <w:qFormat/>
    <w:uiPriority w:val="0"/>
    <w:rPr>
      <w:rFonts w:hint="eastAsia" w:ascii="宋体" w:hAnsi="宋体" w:eastAsia="宋体"/>
      <w:color w:val="000000"/>
      <w:sz w:val="24"/>
      <w:szCs w:val="24"/>
    </w:rPr>
  </w:style>
  <w:style w:type="paragraph" w:styleId="38">
    <w:name w:val="List Paragraph"/>
    <w:basedOn w:val="1"/>
    <w:qFormat/>
    <w:uiPriority w:val="34"/>
    <w:pPr>
      <w:ind w:firstLine="420" w:firstLineChars="200"/>
    </w:pPr>
  </w:style>
  <w:style w:type="paragraph" w:customStyle="1" w:styleId="39">
    <w:name w:val="xl36"/>
    <w:basedOn w:val="1"/>
    <w:qFormat/>
    <w:uiPriority w:val="0"/>
    <w:pPr>
      <w:widowControl/>
      <w:pBdr>
        <w:left w:val="single" w:color="auto" w:sz="8" w:space="0"/>
        <w:bottom w:val="single" w:color="auto" w:sz="4" w:space="0"/>
        <w:right w:val="single" w:color="auto" w:sz="4" w:space="0"/>
      </w:pBdr>
      <w:adjustRightInd w:val="0"/>
      <w:snapToGrid w:val="0"/>
      <w:spacing w:before="100" w:beforeAutospacing="1" w:after="100" w:afterAutospacing="1"/>
      <w:jc w:val="center"/>
    </w:pPr>
    <w:rPr>
      <w:rFonts w:hint="eastAsia" w:ascii="宋体" w:hAnsi="Tahoma" w:eastAsia="微软雅黑"/>
      <w:kern w:val="0"/>
      <w:sz w:val="24"/>
      <w:szCs w:val="20"/>
    </w:rPr>
  </w:style>
  <w:style w:type="character" w:customStyle="1" w:styleId="40">
    <w:name w:val="页眉 Char"/>
    <w:basedOn w:val="21"/>
    <w:link w:val="15"/>
    <w:qFormat/>
    <w:uiPriority w:val="99"/>
    <w:rPr>
      <w:rFonts w:ascii="Times New Roman" w:hAnsi="Times New Roman" w:eastAsia="宋体" w:cs="Times New Roman"/>
      <w:sz w:val="18"/>
      <w:szCs w:val="18"/>
    </w:rPr>
  </w:style>
  <w:style w:type="character" w:customStyle="1" w:styleId="41">
    <w:name w:val="font61"/>
    <w:basedOn w:val="21"/>
    <w:qFormat/>
    <w:uiPriority w:val="0"/>
    <w:rPr>
      <w:rFonts w:hint="eastAsia" w:ascii="宋体" w:hAnsi="宋体" w:eastAsia="宋体" w:cs="宋体"/>
      <w:color w:val="FF0000"/>
      <w:sz w:val="20"/>
      <w:szCs w:val="20"/>
      <w:u w:val="none"/>
    </w:rPr>
  </w:style>
  <w:style w:type="character" w:customStyle="1" w:styleId="42">
    <w:name w:val="font31"/>
    <w:basedOn w:val="21"/>
    <w:qFormat/>
    <w:uiPriority w:val="0"/>
    <w:rPr>
      <w:rFonts w:hint="eastAsia" w:ascii="宋体" w:hAnsi="宋体" w:eastAsia="宋体" w:cs="宋体"/>
      <w:color w:val="000000"/>
      <w:sz w:val="20"/>
      <w:szCs w:val="20"/>
      <w:u w:val="none"/>
    </w:rPr>
  </w:style>
  <w:style w:type="paragraph" w:customStyle="1" w:styleId="43">
    <w:name w:val="ces正文"/>
    <w:basedOn w:val="1"/>
    <w:qFormat/>
    <w:uiPriority w:val="0"/>
    <w:pPr>
      <w:spacing w:line="360" w:lineRule="auto"/>
      <w:ind w:firstLine="480" w:firstLineChars="200"/>
    </w:pPr>
    <w:rPr>
      <w:rFonts w:ascii="宋体" w:hAnsi="宋体"/>
      <w:sz w:val="24"/>
    </w:rPr>
  </w:style>
  <w:style w:type="character" w:customStyle="1" w:styleId="44">
    <w:name w:val="批注文字 Char"/>
    <w:basedOn w:val="21"/>
    <w:link w:val="5"/>
    <w:semiHidden/>
    <w:qFormat/>
    <w:uiPriority w:val="99"/>
    <w:rPr>
      <w:kern w:val="2"/>
      <w:sz w:val="21"/>
      <w:szCs w:val="24"/>
    </w:rPr>
  </w:style>
  <w:style w:type="character" w:customStyle="1" w:styleId="45">
    <w:name w:val="批注主题 Char"/>
    <w:basedOn w:val="44"/>
    <w:link w:val="17"/>
    <w:semiHidden/>
    <w:qFormat/>
    <w:uiPriority w:val="99"/>
    <w:rPr>
      <w:b/>
      <w:bCs/>
      <w:kern w:val="2"/>
      <w:sz w:val="21"/>
      <w:szCs w:val="24"/>
    </w:rPr>
  </w:style>
  <w:style w:type="paragraph" w:customStyle="1" w:styleId="4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7">
    <w:name w:val="正文缩进 Char"/>
    <w:qFormat/>
    <w:uiPriority w:val="0"/>
    <w:rPr>
      <w:kern w:val="2"/>
      <w:sz w:val="21"/>
    </w:rPr>
  </w:style>
  <w:style w:type="paragraph" w:customStyle="1" w:styleId="48">
    <w:name w:val="_Style 38"/>
    <w:basedOn w:val="8"/>
    <w:next w:val="18"/>
    <w:link w:val="49"/>
    <w:unhideWhenUsed/>
    <w:qFormat/>
    <w:uiPriority w:val="99"/>
    <w:pPr>
      <w:ind w:firstLine="420" w:firstLineChars="200"/>
    </w:pPr>
    <w:rPr>
      <w:kern w:val="0"/>
      <w:sz w:val="20"/>
      <w:szCs w:val="20"/>
    </w:rPr>
  </w:style>
  <w:style w:type="character" w:customStyle="1" w:styleId="49">
    <w:name w:val="正文首行缩进 2 Char"/>
    <w:link w:val="48"/>
    <w:semiHidden/>
    <w:qFormat/>
    <w:uiPriority w:val="99"/>
  </w:style>
  <w:style w:type="paragraph" w:customStyle="1" w:styleId="50">
    <w:name w:val="Default"/>
    <w:next w:val="1"/>
    <w:unhideWhenUsed/>
    <w:qFormat/>
    <w:uiPriority w:val="0"/>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table" w:customStyle="1" w:styleId="51">
    <w:name w:val="网格型1"/>
    <w:basedOn w:val="19"/>
    <w:qFormat/>
    <w:uiPriority w:val="59"/>
    <w:rPr>
      <w:rFonts w:ascii="Arial" w:hAnsi="Arial"/>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52">
    <w:name w:val="纯文本 Char"/>
    <w:basedOn w:val="21"/>
    <w:link w:val="12"/>
    <w:qFormat/>
    <w:uiPriority w:val="0"/>
    <w:rPr>
      <w:rFonts w:ascii="宋体" w:hAnsi="Courier New"/>
      <w:kern w:val="2"/>
      <w:sz w:val="21"/>
      <w:szCs w:val="24"/>
    </w:rPr>
  </w:style>
  <w:style w:type="character" w:customStyle="1" w:styleId="53">
    <w:name w:val="NormalCharacter"/>
    <w:autoRedefine/>
    <w:qFormat/>
    <w:uiPriority w:val="0"/>
  </w:style>
  <w:style w:type="character" w:customStyle="1" w:styleId="54">
    <w:name w:val="正文文本 3 Char"/>
    <w:basedOn w:val="21"/>
    <w:link w:val="6"/>
    <w:semiHidden/>
    <w:qFormat/>
    <w:uiPriority w:val="99"/>
    <w:rPr>
      <w:kern w:val="2"/>
      <w:sz w:val="16"/>
      <w:szCs w:val="16"/>
    </w:rPr>
  </w:style>
  <w:style w:type="paragraph" w:customStyle="1" w:styleId="55">
    <w:name w:val="样式1"/>
    <w:basedOn w:val="1"/>
    <w:qFormat/>
    <w:uiPriority w:val="0"/>
    <w:pPr>
      <w:spacing w:line="520" w:lineRule="exact"/>
      <w:ind w:firstLine="566" w:firstLineChars="236"/>
    </w:pPr>
    <w:rPr>
      <w:sz w:val="24"/>
    </w:rPr>
  </w:style>
  <w:style w:type="character" w:customStyle="1" w:styleId="56">
    <w:name w:val="批注引用1"/>
    <w:basedOn w:val="57"/>
    <w:qFormat/>
    <w:uiPriority w:val="0"/>
    <w:rPr>
      <w:rFonts w:ascii="Times New Roman" w:hAnsi="Times New Roman" w:eastAsia="宋体" w:cs="Times New Roman"/>
      <w:kern w:val="2"/>
      <w:sz w:val="21"/>
      <w:szCs w:val="24"/>
      <w:lang w:val="en-US" w:eastAsia="zh-CN" w:bidi="ar-SA"/>
    </w:rPr>
  </w:style>
  <w:style w:type="character" w:customStyle="1" w:styleId="57">
    <w:name w:val="默认段落字体1"/>
    <w:unhideWhenUsed/>
    <w:qFormat/>
    <w:uiPriority w:val="1"/>
  </w:style>
  <w:style w:type="paragraph" w:customStyle="1" w:styleId="58">
    <w:name w:val="正文首行缩进 21"/>
    <w:basedOn w:val="59"/>
    <w:qFormat/>
    <w:uiPriority w:val="99"/>
    <w:pPr>
      <w:spacing w:after="0" w:line="360" w:lineRule="auto"/>
      <w:ind w:left="0" w:firstLine="420"/>
    </w:pPr>
    <w:rPr>
      <w:rFonts w:ascii="宋体" w:hAnsi="宋体"/>
      <w:sz w:val="20"/>
      <w:szCs w:val="20"/>
    </w:rPr>
  </w:style>
  <w:style w:type="paragraph" w:customStyle="1" w:styleId="59">
    <w:name w:val="正文文本缩进1"/>
    <w:basedOn w:val="1"/>
    <w:unhideWhenUsed/>
    <w:qFormat/>
    <w:uiPriority w:val="99"/>
    <w:pPr>
      <w:spacing w:after="120"/>
      <w:ind w:left="420"/>
    </w:pPr>
  </w:style>
  <w:style w:type="paragraph" w:customStyle="1" w:styleId="60">
    <w:name w:val="正文2"/>
    <w:qFormat/>
    <w:uiPriority w:val="0"/>
    <w:pPr>
      <w:widowControl w:val="0"/>
      <w:spacing w:before="156" w:line="360" w:lineRule="auto"/>
      <w:ind w:firstLine="200"/>
      <w:jc w:val="both"/>
    </w:pPr>
    <w:rPr>
      <w:rFonts w:ascii="Times New Roman" w:hAnsi="Times New Roman" w:eastAsia="宋体" w:cs="Times New Roman"/>
      <w:sz w:val="24"/>
      <w:lang w:val="en-US" w:eastAsia="zh-CN" w:bidi="ar-SA"/>
    </w:rPr>
  </w:style>
  <w:style w:type="paragraph" w:customStyle="1" w:styleId="61">
    <w:name w:val="纯文本1"/>
    <w:basedOn w:val="1"/>
    <w:qFormat/>
    <w:uiPriority w:val="0"/>
    <w:rPr>
      <w:rFonts w:ascii="宋体" w:hAnsi="Courier New" w:cs="Courier New"/>
      <w:szCs w:val="21"/>
    </w:rPr>
  </w:style>
  <w:style w:type="paragraph" w:customStyle="1" w:styleId="62">
    <w:name w:val="页脚1"/>
    <w:basedOn w:val="1"/>
    <w:qFormat/>
    <w:uiPriority w:val="99"/>
    <w:pPr>
      <w:tabs>
        <w:tab w:val="center" w:pos="4153"/>
        <w:tab w:val="right" w:pos="8306"/>
      </w:tabs>
      <w:jc w:val="left"/>
    </w:pPr>
    <w:rPr>
      <w:sz w:val="18"/>
      <w:szCs w:val="18"/>
    </w:rPr>
  </w:style>
  <w:style w:type="character" w:customStyle="1" w:styleId="63">
    <w:name w:val="font21"/>
    <w:basedOn w:val="21"/>
    <w:qFormat/>
    <w:uiPriority w:val="0"/>
    <w:rPr>
      <w:rFonts w:hint="default" w:ascii="仿宋_GB2312" w:eastAsia="仿宋_GB2312" w:cs="仿宋_GB2312"/>
      <w:color w:val="000000"/>
      <w:sz w:val="24"/>
      <w:szCs w:val="24"/>
      <w:u w:val="none"/>
    </w:rPr>
  </w:style>
  <w:style w:type="character" w:customStyle="1" w:styleId="64">
    <w:name w:val="font81"/>
    <w:basedOn w:val="21"/>
    <w:qFormat/>
    <w:uiPriority w:val="0"/>
    <w:rPr>
      <w:rFonts w:hint="default" w:ascii="Times New Roman" w:hAnsi="Times New Roman" w:cs="Times New Roman"/>
      <w:color w:val="000000"/>
      <w:sz w:val="22"/>
      <w:szCs w:val="22"/>
      <w:u w:val="none"/>
    </w:rPr>
  </w:style>
  <w:style w:type="character" w:customStyle="1" w:styleId="65">
    <w:name w:val="font51"/>
    <w:basedOn w:val="21"/>
    <w:qFormat/>
    <w:uiPriority w:val="0"/>
    <w:rPr>
      <w:rFonts w:hint="eastAsia" w:ascii="宋体" w:hAnsi="宋体" w:eastAsia="宋体" w:cs="宋体"/>
      <w:color w:val="000000"/>
      <w:sz w:val="24"/>
      <w:szCs w:val="24"/>
      <w:u w:val="none"/>
    </w:rPr>
  </w:style>
  <w:style w:type="paragraph" w:styleId="66">
    <w:name w:val="No Spacing"/>
    <w:qFormat/>
    <w:uiPriority w:val="1"/>
    <w:pPr>
      <w:adjustRightInd w:val="0"/>
      <w:snapToGrid w:val="0"/>
    </w:pPr>
    <w:rPr>
      <w:rFonts w:ascii="Tahoma" w:hAnsi="Tahoma" w:eastAsia="微软雅黑" w:cs="Tahoma"/>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76</Pages>
  <Words>5998</Words>
  <Characters>6377</Characters>
  <Lines>253</Lines>
  <Paragraphs>71</Paragraphs>
  <TotalTime>1</TotalTime>
  <ScaleCrop>false</ScaleCrop>
  <LinksUpToDate>false</LinksUpToDate>
  <CharactersWithSpaces>6459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2024-11-28T02:57:00Z</dcterms:created>
  <dc:creator>吉加兵</dc:creator>
  <cp:lastModifiedBy>钱舒佳</cp:lastModifiedBy>
  <cp:lastPrinted>2022-03-01T06:57:00Z</cp:lastPrinted>
  <dcterms:modified xsi:type="dcterms:W3CDTF">2025-12-18T02:16:41Z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24BA7899AA7543C985C5CB3C36381584_13</vt:lpwstr>
  </property>
  <property fmtid="{D5CDD505-2E9C-101B-9397-08002B2CF9AE}" pid="4" name="KSOTemplateDocerSaveRecord">
    <vt:lpwstr>eyJoZGlkIjoiNDUwMTFkMDI3ZjBmZjczM2Q3M2EwOGI5M2VjYzUzMDkiLCJ1c2VySWQiOiI0MzcyNjg2NjkifQ==</vt:lpwstr>
  </property>
</Properties>
</file>