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color w:val="auto"/>
          <w:sz w:val="36"/>
          <w:szCs w:val="36"/>
          <w:highlight w:val="none"/>
        </w:rPr>
      </w:pPr>
    </w:p>
    <w:p>
      <w:pPr>
        <w:autoSpaceDE w:val="0"/>
        <w:autoSpaceDN w:val="0"/>
        <w:adjustRightInd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《南通市普通国省道服务设施和养护工区布局规划（2023-2035）》项目</w:t>
      </w:r>
    </w:p>
    <w:p>
      <w:pPr>
        <w:autoSpaceDE w:val="0"/>
        <w:autoSpaceDN w:val="0"/>
        <w:adjustRightInd w:val="0"/>
        <w:spacing w:line="360" w:lineRule="auto"/>
        <w:jc w:val="center"/>
        <w:rPr>
          <w:rFonts w:ascii="宋体" w:hAnsi="宋体" w:cs="宋体"/>
          <w:b/>
          <w:bCs/>
          <w:color w:val="auto"/>
          <w:sz w:val="52"/>
          <w:szCs w:val="52"/>
          <w:highlight w:val="none"/>
          <w:lang w:val="zh-CN"/>
        </w:rPr>
      </w:pPr>
    </w:p>
    <w:p>
      <w:pPr>
        <w:autoSpaceDE w:val="0"/>
        <w:autoSpaceDN w:val="0"/>
        <w:adjustRightInd w:val="0"/>
        <w:spacing w:line="360" w:lineRule="auto"/>
        <w:jc w:val="center"/>
        <w:rPr>
          <w:rFonts w:ascii="宋体" w:hAnsi="宋体" w:cs="宋体"/>
          <w:b/>
          <w:bCs/>
          <w:color w:val="auto"/>
          <w:sz w:val="52"/>
          <w:szCs w:val="52"/>
          <w:highlight w:val="none"/>
          <w:lang w:val="zh-CN"/>
        </w:rPr>
      </w:pPr>
    </w:p>
    <w:p>
      <w:pPr>
        <w:tabs>
          <w:tab w:val="left" w:pos="6300"/>
        </w:tabs>
        <w:snapToGrid w:val="0"/>
        <w:spacing w:line="360" w:lineRule="auto"/>
        <w:jc w:val="center"/>
        <w:rPr>
          <w:rFonts w:ascii="宋体" w:hAnsi="宋体" w:cs="宋体"/>
          <w:b/>
          <w:color w:val="auto"/>
          <w:w w:val="80"/>
          <w:sz w:val="96"/>
          <w:szCs w:val="96"/>
          <w:highlight w:val="none"/>
        </w:rPr>
      </w:pPr>
      <w:r>
        <w:rPr>
          <w:rFonts w:hint="eastAsia" w:ascii="宋体" w:hAnsi="宋体" w:cs="宋体"/>
          <w:b/>
          <w:color w:val="auto"/>
          <w:w w:val="80"/>
          <w:sz w:val="96"/>
          <w:szCs w:val="96"/>
          <w:highlight w:val="none"/>
        </w:rPr>
        <w:t>竞争性谈判文件</w:t>
      </w:r>
    </w:p>
    <w:p>
      <w:pPr>
        <w:tabs>
          <w:tab w:val="left" w:pos="6300"/>
        </w:tabs>
        <w:snapToGrid w:val="0"/>
        <w:spacing w:line="360" w:lineRule="auto"/>
        <w:jc w:val="center"/>
        <w:rPr>
          <w:rFonts w:ascii="宋体" w:hAnsi="宋体" w:cs="宋体"/>
          <w:b/>
          <w:color w:val="auto"/>
          <w:w w:val="80"/>
          <w:sz w:val="32"/>
          <w:szCs w:val="32"/>
          <w:highlight w:val="none"/>
        </w:rPr>
      </w:pPr>
      <w:r>
        <w:rPr>
          <w:rFonts w:hint="eastAsia" w:ascii="宋体" w:hAnsi="宋体" w:cs="宋体"/>
          <w:b/>
          <w:color w:val="auto"/>
          <w:w w:val="80"/>
          <w:sz w:val="32"/>
          <w:szCs w:val="32"/>
          <w:highlight w:val="none"/>
        </w:rPr>
        <w:t>项目编号：2023GQGH</w:t>
      </w:r>
    </w:p>
    <w:p>
      <w:pPr>
        <w:tabs>
          <w:tab w:val="left" w:pos="6300"/>
        </w:tabs>
        <w:snapToGrid w:val="0"/>
        <w:spacing w:line="360" w:lineRule="auto"/>
        <w:jc w:val="center"/>
        <w:rPr>
          <w:rFonts w:ascii="宋体" w:hAnsi="宋体" w:cs="宋体"/>
          <w:b/>
          <w:color w:val="auto"/>
          <w:w w:val="80"/>
          <w:sz w:val="32"/>
          <w:szCs w:val="32"/>
          <w:highlight w:val="none"/>
        </w:rPr>
      </w:pPr>
      <w:r>
        <w:rPr>
          <w:rFonts w:hint="eastAsia" w:ascii="宋体" w:hAnsi="宋体" w:cs="宋体"/>
          <w:b/>
          <w:color w:val="auto"/>
          <w:w w:val="80"/>
          <w:sz w:val="32"/>
          <w:szCs w:val="32"/>
          <w:highlight w:val="none"/>
        </w:rPr>
        <w:t>档案编号：20231110</w:t>
      </w:r>
    </w:p>
    <w:p>
      <w:pPr>
        <w:autoSpaceDE w:val="0"/>
        <w:autoSpaceDN w:val="0"/>
        <w:adjustRightInd w:val="0"/>
        <w:spacing w:line="360" w:lineRule="auto"/>
        <w:ind w:firstLine="420"/>
        <w:jc w:val="center"/>
        <w:rPr>
          <w:rFonts w:ascii="宋体" w:hAnsi="宋体" w:cs="宋体"/>
          <w:color w:val="auto"/>
          <w:szCs w:val="21"/>
          <w:highlight w:val="none"/>
        </w:rPr>
      </w:pPr>
    </w:p>
    <w:p>
      <w:pPr>
        <w:autoSpaceDE w:val="0"/>
        <w:autoSpaceDN w:val="0"/>
        <w:adjustRightInd w:val="0"/>
        <w:spacing w:line="360" w:lineRule="auto"/>
        <w:ind w:firstLine="420"/>
        <w:jc w:val="center"/>
        <w:rPr>
          <w:rFonts w:ascii="宋体" w:hAnsi="宋体" w:cs="宋体"/>
          <w:color w:val="auto"/>
          <w:szCs w:val="21"/>
          <w:highlight w:val="none"/>
        </w:rPr>
      </w:pPr>
    </w:p>
    <w:p>
      <w:pPr>
        <w:autoSpaceDE w:val="0"/>
        <w:autoSpaceDN w:val="0"/>
        <w:adjustRightInd w:val="0"/>
        <w:spacing w:line="360" w:lineRule="auto"/>
        <w:ind w:firstLine="420"/>
        <w:jc w:val="center"/>
        <w:rPr>
          <w:rFonts w:ascii="宋体" w:hAnsi="宋体" w:cs="宋体"/>
          <w:color w:val="auto"/>
          <w:szCs w:val="21"/>
          <w:highlight w:val="none"/>
        </w:rPr>
      </w:pPr>
    </w:p>
    <w:p>
      <w:pPr>
        <w:autoSpaceDE w:val="0"/>
        <w:autoSpaceDN w:val="0"/>
        <w:adjustRightInd w:val="0"/>
        <w:spacing w:line="360" w:lineRule="auto"/>
        <w:ind w:firstLine="420"/>
        <w:jc w:val="center"/>
        <w:rPr>
          <w:rFonts w:ascii="宋体" w:hAnsi="宋体" w:cs="宋体"/>
          <w:color w:val="auto"/>
          <w:szCs w:val="21"/>
          <w:highlight w:val="none"/>
        </w:rPr>
      </w:pPr>
    </w:p>
    <w:p>
      <w:pPr>
        <w:autoSpaceDE w:val="0"/>
        <w:autoSpaceDN w:val="0"/>
        <w:adjustRightInd w:val="0"/>
        <w:spacing w:line="360" w:lineRule="auto"/>
        <w:ind w:firstLine="420"/>
        <w:jc w:val="center"/>
        <w:rPr>
          <w:rFonts w:ascii="宋体" w:hAnsi="宋体" w:cs="宋体"/>
          <w:color w:val="auto"/>
          <w:szCs w:val="21"/>
          <w:highlight w:val="none"/>
        </w:rPr>
      </w:pPr>
    </w:p>
    <w:p>
      <w:pPr>
        <w:autoSpaceDE w:val="0"/>
        <w:autoSpaceDN w:val="0"/>
        <w:adjustRightInd w:val="0"/>
        <w:spacing w:line="360" w:lineRule="auto"/>
        <w:ind w:firstLine="420"/>
        <w:jc w:val="center"/>
        <w:rPr>
          <w:rFonts w:ascii="宋体" w:hAnsi="宋体" w:cs="宋体"/>
          <w:color w:val="auto"/>
          <w:szCs w:val="21"/>
          <w:highlight w:val="none"/>
        </w:rPr>
      </w:pPr>
    </w:p>
    <w:p>
      <w:pPr>
        <w:autoSpaceDE w:val="0"/>
        <w:autoSpaceDN w:val="0"/>
        <w:adjustRightInd w:val="0"/>
        <w:spacing w:line="360" w:lineRule="auto"/>
        <w:ind w:firstLine="420"/>
        <w:jc w:val="center"/>
        <w:rPr>
          <w:rFonts w:ascii="宋体" w:hAnsi="宋体" w:cs="宋体"/>
          <w:color w:val="auto"/>
          <w:szCs w:val="21"/>
          <w:highlight w:val="none"/>
        </w:rPr>
      </w:pPr>
    </w:p>
    <w:p>
      <w:pPr>
        <w:autoSpaceDE w:val="0"/>
        <w:autoSpaceDN w:val="0"/>
        <w:adjustRightInd w:val="0"/>
        <w:spacing w:line="360" w:lineRule="auto"/>
        <w:jc w:val="center"/>
        <w:rPr>
          <w:rFonts w:ascii="宋体" w:hAnsi="宋体" w:cs="宋体"/>
          <w:color w:val="auto"/>
          <w:szCs w:val="21"/>
          <w:highlight w:val="none"/>
        </w:rPr>
      </w:pPr>
    </w:p>
    <w:p>
      <w:pPr>
        <w:autoSpaceDE w:val="0"/>
        <w:autoSpaceDN w:val="0"/>
        <w:adjustRightInd w:val="0"/>
        <w:spacing w:line="360" w:lineRule="auto"/>
        <w:ind w:firstLine="420"/>
        <w:jc w:val="center"/>
        <w:rPr>
          <w:rFonts w:ascii="宋体" w:hAnsi="宋体" w:cs="宋体"/>
          <w:color w:val="auto"/>
          <w:szCs w:val="21"/>
          <w:highlight w:val="none"/>
        </w:rPr>
      </w:pPr>
    </w:p>
    <w:p>
      <w:pPr>
        <w:autoSpaceDE w:val="0"/>
        <w:autoSpaceDN w:val="0"/>
        <w:adjustRightInd w:val="0"/>
        <w:spacing w:line="360" w:lineRule="auto"/>
        <w:ind w:firstLine="420"/>
        <w:jc w:val="center"/>
        <w:rPr>
          <w:rFonts w:ascii="宋体" w:hAnsi="宋体" w:cs="宋体"/>
          <w:color w:val="auto"/>
          <w:szCs w:val="21"/>
          <w:highlight w:val="none"/>
        </w:rPr>
      </w:pPr>
    </w:p>
    <w:p>
      <w:pPr>
        <w:autoSpaceDE w:val="0"/>
        <w:autoSpaceDN w:val="0"/>
        <w:adjustRightInd w:val="0"/>
        <w:spacing w:line="360" w:lineRule="auto"/>
        <w:rPr>
          <w:rFonts w:ascii="宋体" w:hAnsi="宋体" w:cs="宋体"/>
          <w:color w:val="auto"/>
          <w:szCs w:val="21"/>
          <w:highlight w:val="none"/>
        </w:rPr>
      </w:pPr>
    </w:p>
    <w:p>
      <w:pPr>
        <w:adjustRightInd w:val="0"/>
        <w:snapToGrid w:val="0"/>
        <w:spacing w:line="360" w:lineRule="auto"/>
        <w:jc w:val="center"/>
        <w:rPr>
          <w:rFonts w:ascii="宋体" w:hAnsi="宋体" w:cs="宋体"/>
          <w:b/>
          <w:color w:val="auto"/>
          <w:sz w:val="30"/>
          <w:szCs w:val="30"/>
          <w:highlight w:val="none"/>
        </w:rPr>
      </w:pPr>
      <w:r>
        <w:rPr>
          <w:rFonts w:hint="eastAsia" w:ascii="宋体" w:hAnsi="宋体" w:cs="宋体"/>
          <w:b/>
          <w:color w:val="auto"/>
          <w:spacing w:val="76"/>
          <w:kern w:val="0"/>
          <w:sz w:val="30"/>
          <w:szCs w:val="30"/>
          <w:highlight w:val="none"/>
          <w:fitText w:val="1204" w:id="-1562107392"/>
        </w:rPr>
        <w:t>采购</w:t>
      </w:r>
      <w:r>
        <w:rPr>
          <w:rFonts w:hint="eastAsia" w:ascii="宋体" w:hAnsi="宋体" w:cs="宋体"/>
          <w:b/>
          <w:color w:val="auto"/>
          <w:spacing w:val="0"/>
          <w:kern w:val="0"/>
          <w:sz w:val="30"/>
          <w:szCs w:val="30"/>
          <w:highlight w:val="none"/>
          <w:fitText w:val="1204" w:id="-1562107392"/>
        </w:rPr>
        <w:t>人</w:t>
      </w:r>
      <w:r>
        <w:rPr>
          <w:rFonts w:hint="eastAsia" w:ascii="宋体" w:hAnsi="宋体" w:cs="宋体"/>
          <w:b/>
          <w:color w:val="auto"/>
          <w:sz w:val="30"/>
          <w:szCs w:val="30"/>
          <w:highlight w:val="none"/>
        </w:rPr>
        <w:t>：</w:t>
      </w:r>
      <w:r>
        <w:rPr>
          <w:rFonts w:hint="eastAsia" w:ascii="宋体" w:hAnsi="宋体" w:cs="宋体"/>
          <w:b/>
          <w:color w:val="auto"/>
          <w:spacing w:val="106"/>
          <w:kern w:val="0"/>
          <w:sz w:val="30"/>
          <w:szCs w:val="30"/>
          <w:highlight w:val="none"/>
          <w:fitText w:val="5421" w:id="-1562107391"/>
        </w:rPr>
        <w:t>南通市公路事业发展中</w:t>
      </w:r>
      <w:r>
        <w:rPr>
          <w:rFonts w:hint="eastAsia" w:ascii="宋体" w:hAnsi="宋体" w:cs="宋体"/>
          <w:b/>
          <w:color w:val="auto"/>
          <w:spacing w:val="0"/>
          <w:kern w:val="0"/>
          <w:sz w:val="30"/>
          <w:szCs w:val="30"/>
          <w:highlight w:val="none"/>
          <w:fitText w:val="5421" w:id="-1562107391"/>
        </w:rPr>
        <w:t>心</w:t>
      </w:r>
    </w:p>
    <w:p>
      <w:pPr>
        <w:adjustRightInd w:val="0"/>
        <w:snapToGrid w:val="0"/>
        <w:spacing w:line="360" w:lineRule="auto"/>
        <w:ind w:firstLine="602" w:firstLineChars="200"/>
        <w:jc w:val="left"/>
        <w:rPr>
          <w:rFonts w:ascii="宋体" w:hAnsi="宋体" w:cs="宋体"/>
          <w:b/>
          <w:color w:val="auto"/>
          <w:sz w:val="30"/>
          <w:szCs w:val="30"/>
          <w:highlight w:val="none"/>
        </w:rPr>
      </w:pPr>
      <w:r>
        <w:rPr>
          <w:rFonts w:hint="eastAsia" w:ascii="宋体" w:hAnsi="宋体" w:cs="宋体"/>
          <w:b/>
          <w:color w:val="auto"/>
          <w:sz w:val="30"/>
          <w:szCs w:val="30"/>
          <w:highlight w:val="none"/>
        </w:rPr>
        <w:t>采购代理机构：捷宏润安工程顾问（江苏）有限公司</w:t>
      </w:r>
    </w:p>
    <w:p>
      <w:pPr>
        <w:adjustRightInd w:val="0"/>
        <w:snapToGrid w:val="0"/>
        <w:spacing w:line="360" w:lineRule="auto"/>
        <w:jc w:val="center"/>
        <w:rPr>
          <w:rFonts w:ascii="宋体" w:hAnsi="宋体" w:cs="宋体"/>
          <w:b/>
          <w:bCs/>
          <w:color w:val="auto"/>
          <w:sz w:val="30"/>
          <w:szCs w:val="30"/>
          <w:highlight w:val="none"/>
        </w:rPr>
      </w:pPr>
      <w:r>
        <w:rPr>
          <w:rFonts w:ascii="宋体" w:hAnsi="宋体" w:cs="宋体"/>
          <w:b/>
          <w:bCs/>
          <w:color w:val="auto"/>
          <w:sz w:val="30"/>
          <w:szCs w:val="30"/>
          <w:highlight w:val="none"/>
        </w:rPr>
        <w:t>202</w:t>
      </w:r>
      <w:r>
        <w:rPr>
          <w:rFonts w:hint="eastAsia" w:ascii="宋体" w:hAnsi="宋体" w:cs="宋体"/>
          <w:b/>
          <w:bCs/>
          <w:color w:val="auto"/>
          <w:sz w:val="30"/>
          <w:szCs w:val="30"/>
          <w:highlight w:val="none"/>
        </w:rPr>
        <w:t>3年3月</w:t>
      </w:r>
    </w:p>
    <w:p>
      <w:pPr>
        <w:autoSpaceDE w:val="0"/>
        <w:autoSpaceDN w:val="0"/>
        <w:adjustRightInd w:val="0"/>
        <w:spacing w:line="360" w:lineRule="auto"/>
        <w:jc w:val="center"/>
        <w:outlineLvl w:val="0"/>
        <w:rPr>
          <w:rFonts w:ascii="宋体" w:hAnsi="宋体" w:cs="宋体"/>
          <w:b/>
          <w:bCs/>
          <w:color w:val="auto"/>
          <w:sz w:val="44"/>
          <w:szCs w:val="44"/>
          <w:highlight w:val="none"/>
          <w:lang w:val="zh-CN"/>
        </w:rPr>
      </w:pPr>
      <w:r>
        <w:rPr>
          <w:rFonts w:hint="eastAsia" w:ascii="宋体" w:hAnsi="宋体" w:cs="宋体"/>
          <w:b/>
          <w:bCs/>
          <w:color w:val="auto"/>
          <w:sz w:val="44"/>
          <w:szCs w:val="44"/>
          <w:highlight w:val="none"/>
          <w:lang w:val="zh-CN"/>
        </w:rPr>
        <w:br w:type="page"/>
      </w:r>
      <w:r>
        <w:rPr>
          <w:rFonts w:hint="eastAsia" w:ascii="宋体" w:hAnsi="宋体" w:cs="宋体"/>
          <w:b/>
          <w:bCs/>
          <w:color w:val="auto"/>
          <w:sz w:val="44"/>
          <w:szCs w:val="44"/>
          <w:highlight w:val="none"/>
          <w:lang w:val="zh-CN"/>
        </w:rPr>
        <w:t>目   录</w:t>
      </w:r>
    </w:p>
    <w:p>
      <w:pPr>
        <w:autoSpaceDE w:val="0"/>
        <w:autoSpaceDN w:val="0"/>
        <w:adjustRightInd w:val="0"/>
        <w:spacing w:line="360" w:lineRule="auto"/>
        <w:ind w:firstLine="556"/>
        <w:rPr>
          <w:rFonts w:ascii="宋体" w:hAnsi="宋体" w:cs="宋体"/>
          <w:b/>
          <w:bCs/>
          <w:color w:val="auto"/>
          <w:sz w:val="32"/>
          <w:szCs w:val="32"/>
          <w:highlight w:val="none"/>
        </w:rPr>
      </w:pPr>
    </w:p>
    <w:p>
      <w:pPr>
        <w:autoSpaceDE w:val="0"/>
        <w:autoSpaceDN w:val="0"/>
        <w:adjustRightInd w:val="0"/>
        <w:spacing w:line="36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第一部分  竞争性谈判公告</w:t>
      </w:r>
    </w:p>
    <w:p>
      <w:pPr>
        <w:autoSpaceDE w:val="0"/>
        <w:autoSpaceDN w:val="0"/>
        <w:adjustRightInd w:val="0"/>
        <w:spacing w:line="36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第二部分  谈判须知</w:t>
      </w:r>
    </w:p>
    <w:p>
      <w:pPr>
        <w:autoSpaceDE w:val="0"/>
        <w:autoSpaceDN w:val="0"/>
        <w:adjustRightInd w:val="0"/>
        <w:spacing w:line="36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第三部分  项目需求</w:t>
      </w:r>
    </w:p>
    <w:p>
      <w:pPr>
        <w:autoSpaceDE w:val="0"/>
        <w:autoSpaceDN w:val="0"/>
        <w:adjustRightInd w:val="0"/>
        <w:spacing w:line="36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第四部分  谈判程序和内容</w:t>
      </w:r>
    </w:p>
    <w:p>
      <w:pPr>
        <w:autoSpaceDE w:val="0"/>
        <w:autoSpaceDN w:val="0"/>
        <w:adjustRightInd w:val="0"/>
        <w:spacing w:line="36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第五部分  合同签订与验收付款</w:t>
      </w:r>
    </w:p>
    <w:p>
      <w:pPr>
        <w:autoSpaceDE w:val="0"/>
        <w:autoSpaceDN w:val="0"/>
        <w:adjustRightInd w:val="0"/>
        <w:spacing w:line="36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第六部分  质疑提出和处理</w:t>
      </w:r>
    </w:p>
    <w:p>
      <w:pPr>
        <w:autoSpaceDE w:val="0"/>
        <w:autoSpaceDN w:val="0"/>
        <w:adjustRightInd w:val="0"/>
        <w:spacing w:line="360" w:lineRule="auto"/>
        <w:ind w:firstLine="556"/>
        <w:rPr>
          <w:rFonts w:ascii="宋体" w:hAnsi="宋体" w:cs="宋体"/>
          <w:b/>
          <w:bCs/>
          <w:color w:val="auto"/>
          <w:sz w:val="32"/>
          <w:szCs w:val="32"/>
          <w:highlight w:val="none"/>
        </w:rPr>
      </w:pPr>
      <w:r>
        <w:rPr>
          <w:rFonts w:hint="eastAsia" w:ascii="宋体" w:hAnsi="宋体" w:cs="宋体"/>
          <w:b/>
          <w:bCs/>
          <w:color w:val="auto"/>
          <w:sz w:val="32"/>
          <w:szCs w:val="32"/>
          <w:highlight w:val="none"/>
        </w:rPr>
        <w:t>第七部分  响应文件组成</w:t>
      </w:r>
    </w:p>
    <w:p>
      <w:pPr>
        <w:tabs>
          <w:tab w:val="left" w:pos="7740"/>
        </w:tabs>
        <w:spacing w:line="360" w:lineRule="auto"/>
        <w:rPr>
          <w:rFonts w:ascii="宋体" w:hAnsi="宋体" w:cs="宋体"/>
          <w:b/>
          <w:color w:val="auto"/>
          <w:spacing w:val="2"/>
          <w:sz w:val="32"/>
          <w:szCs w:val="32"/>
          <w:highlight w:val="none"/>
        </w:rPr>
      </w:pPr>
    </w:p>
    <w:p>
      <w:pPr>
        <w:autoSpaceDE w:val="0"/>
        <w:autoSpaceDN w:val="0"/>
        <w:adjustRightInd w:val="0"/>
        <w:spacing w:line="360" w:lineRule="auto"/>
        <w:jc w:val="center"/>
        <w:rPr>
          <w:rFonts w:ascii="宋体" w:hAnsi="宋体" w:cs="宋体"/>
          <w:b/>
          <w:bCs/>
          <w:color w:val="auto"/>
          <w:sz w:val="36"/>
          <w:szCs w:val="36"/>
          <w:highlight w:val="none"/>
          <w:lang w:val="zh-CN"/>
        </w:rPr>
      </w:pPr>
    </w:p>
    <w:p>
      <w:pPr>
        <w:autoSpaceDE w:val="0"/>
        <w:autoSpaceDN w:val="0"/>
        <w:adjustRightInd w:val="0"/>
        <w:spacing w:line="360" w:lineRule="auto"/>
        <w:rPr>
          <w:rFonts w:ascii="宋体" w:hAnsi="宋体" w:cs="宋体"/>
          <w:b/>
          <w:bCs/>
          <w:color w:val="auto"/>
          <w:sz w:val="36"/>
          <w:szCs w:val="36"/>
          <w:highlight w:val="none"/>
          <w:lang w:val="zh-CN"/>
        </w:rPr>
      </w:pPr>
    </w:p>
    <w:p>
      <w:pPr>
        <w:autoSpaceDE w:val="0"/>
        <w:autoSpaceDN w:val="0"/>
        <w:adjustRightInd w:val="0"/>
        <w:spacing w:line="360" w:lineRule="auto"/>
        <w:jc w:val="center"/>
        <w:rPr>
          <w:rFonts w:ascii="宋体" w:hAnsi="宋体" w:cs="宋体"/>
          <w:b/>
          <w:bCs/>
          <w:color w:val="auto"/>
          <w:sz w:val="36"/>
          <w:szCs w:val="36"/>
          <w:highlight w:val="none"/>
          <w:lang w:val="zh-CN"/>
        </w:rPr>
      </w:pPr>
    </w:p>
    <w:p>
      <w:pPr>
        <w:autoSpaceDE w:val="0"/>
        <w:autoSpaceDN w:val="0"/>
        <w:adjustRightInd w:val="0"/>
        <w:spacing w:line="360" w:lineRule="auto"/>
        <w:jc w:val="center"/>
        <w:rPr>
          <w:rFonts w:ascii="宋体" w:hAnsi="宋体" w:cs="宋体"/>
          <w:b/>
          <w:bCs/>
          <w:color w:val="auto"/>
          <w:sz w:val="36"/>
          <w:szCs w:val="36"/>
          <w:highlight w:val="none"/>
          <w:lang w:val="zh-CN"/>
        </w:rPr>
      </w:pPr>
    </w:p>
    <w:p>
      <w:pPr>
        <w:autoSpaceDE w:val="0"/>
        <w:autoSpaceDN w:val="0"/>
        <w:adjustRightInd w:val="0"/>
        <w:spacing w:line="360" w:lineRule="auto"/>
        <w:jc w:val="center"/>
        <w:rPr>
          <w:rFonts w:ascii="宋体" w:hAnsi="宋体" w:cs="宋体"/>
          <w:b/>
          <w:bCs/>
          <w:color w:val="auto"/>
          <w:sz w:val="36"/>
          <w:szCs w:val="36"/>
          <w:highlight w:val="none"/>
          <w:lang w:val="zh-CN"/>
        </w:rPr>
      </w:pPr>
    </w:p>
    <w:p>
      <w:pPr>
        <w:autoSpaceDE w:val="0"/>
        <w:autoSpaceDN w:val="0"/>
        <w:adjustRightInd w:val="0"/>
        <w:spacing w:line="360" w:lineRule="auto"/>
        <w:jc w:val="center"/>
        <w:rPr>
          <w:rFonts w:ascii="宋体" w:hAnsi="宋体" w:cs="宋体"/>
          <w:b/>
          <w:bCs/>
          <w:color w:val="auto"/>
          <w:sz w:val="36"/>
          <w:szCs w:val="36"/>
          <w:highlight w:val="none"/>
          <w:lang w:val="zh-CN"/>
        </w:rPr>
      </w:pPr>
    </w:p>
    <w:p>
      <w:pPr>
        <w:autoSpaceDE w:val="0"/>
        <w:autoSpaceDN w:val="0"/>
        <w:adjustRightInd w:val="0"/>
        <w:spacing w:line="360" w:lineRule="auto"/>
        <w:rPr>
          <w:rFonts w:ascii="宋体" w:hAnsi="宋体" w:cs="宋体"/>
          <w:b/>
          <w:bCs/>
          <w:color w:val="auto"/>
          <w:sz w:val="36"/>
          <w:szCs w:val="36"/>
          <w:highlight w:val="none"/>
          <w:lang w:val="zh-CN"/>
        </w:rPr>
      </w:pPr>
    </w:p>
    <w:p>
      <w:pPr>
        <w:autoSpaceDE w:val="0"/>
        <w:autoSpaceDN w:val="0"/>
        <w:adjustRightInd w:val="0"/>
        <w:snapToGrid w:val="0"/>
        <w:spacing w:line="36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r>
        <w:rPr>
          <w:rFonts w:hint="eastAsia" w:ascii="宋体" w:hAnsi="宋体" w:cs="宋体"/>
          <w:b/>
          <w:bCs/>
          <w:color w:val="auto"/>
          <w:sz w:val="36"/>
          <w:szCs w:val="36"/>
          <w:highlight w:val="none"/>
          <w:lang w:val="zh-CN"/>
        </w:rPr>
        <w:t>第一部分  竞争性谈判公告</w:t>
      </w:r>
    </w:p>
    <w:p>
      <w:pPr>
        <w:widowControl/>
        <w:shd w:val="clear" w:color="auto" w:fill="FFFFFF"/>
        <w:spacing w:line="360" w:lineRule="auto"/>
        <w:ind w:firstLine="510" w:firstLineChars="200"/>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一、项目基本情况</w:t>
      </w:r>
    </w:p>
    <w:p>
      <w:pPr>
        <w:widowControl/>
        <w:shd w:val="clear" w:color="auto" w:fill="FFFFFF"/>
        <w:spacing w:line="360" w:lineRule="auto"/>
        <w:ind w:firstLine="508" w:firstLineChars="200"/>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 xml:space="preserve">1、项目编号：2023GQGH </w:t>
      </w:r>
    </w:p>
    <w:p>
      <w:pPr>
        <w:widowControl/>
        <w:shd w:val="clear" w:color="auto" w:fill="FFFFFF"/>
        <w:spacing w:line="360" w:lineRule="auto"/>
        <w:ind w:firstLine="508" w:firstLineChars="200"/>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2、项目名称：《南通市普通国省道服务设施和养护工区布局规划（2023-2035）》项目</w:t>
      </w:r>
    </w:p>
    <w:p>
      <w:pPr>
        <w:widowControl/>
        <w:shd w:val="clear" w:color="auto" w:fill="FFFFFF"/>
        <w:spacing w:line="360" w:lineRule="auto"/>
        <w:ind w:firstLine="508" w:firstLineChars="200"/>
        <w:rPr>
          <w:rFonts w:ascii="宋体" w:hAnsi="宋体" w:cs="宋体"/>
          <w:color w:val="auto"/>
          <w:spacing w:val="7"/>
          <w:kern w:val="0"/>
          <w:sz w:val="24"/>
          <w:highlight w:val="none"/>
        </w:rPr>
      </w:pPr>
      <w:r>
        <w:rPr>
          <w:rFonts w:ascii="宋体" w:hAnsi="宋体" w:cs="宋体"/>
          <w:color w:val="auto"/>
          <w:spacing w:val="7"/>
          <w:kern w:val="0"/>
          <w:sz w:val="24"/>
          <w:highlight w:val="none"/>
        </w:rPr>
        <w:t>3</w:t>
      </w:r>
      <w:r>
        <w:rPr>
          <w:rFonts w:hint="eastAsia" w:ascii="宋体" w:hAnsi="宋体" w:cs="宋体"/>
          <w:color w:val="auto"/>
          <w:spacing w:val="7"/>
          <w:kern w:val="0"/>
          <w:sz w:val="24"/>
          <w:highlight w:val="none"/>
        </w:rPr>
        <w:t>、预算金额：人民币</w:t>
      </w:r>
      <w:r>
        <w:rPr>
          <w:rFonts w:hint="eastAsia" w:ascii="宋体" w:hAnsi="宋体" w:cs="宋体"/>
          <w:color w:val="auto"/>
          <w:spacing w:val="7"/>
          <w:kern w:val="0"/>
          <w:sz w:val="24"/>
          <w:highlight w:val="none"/>
          <w:u w:val="single"/>
        </w:rPr>
        <w:t>贰拾万元整</w:t>
      </w:r>
      <w:r>
        <w:rPr>
          <w:rFonts w:hint="eastAsia" w:ascii="宋体" w:hAnsi="宋体" w:cs="宋体"/>
          <w:color w:val="auto"/>
          <w:spacing w:val="7"/>
          <w:kern w:val="0"/>
          <w:sz w:val="24"/>
          <w:highlight w:val="none"/>
        </w:rPr>
        <w:t>（¥</w:t>
      </w:r>
      <w:r>
        <w:rPr>
          <w:rFonts w:hint="eastAsia" w:ascii="宋体" w:hAnsi="宋体" w:cs="宋体"/>
          <w:color w:val="auto"/>
          <w:spacing w:val="7"/>
          <w:kern w:val="0"/>
          <w:sz w:val="24"/>
          <w:highlight w:val="none"/>
          <w:u w:val="single"/>
        </w:rPr>
        <w:t>200000元</w:t>
      </w:r>
      <w:r>
        <w:rPr>
          <w:rFonts w:hint="eastAsia" w:ascii="宋体" w:hAnsi="宋体" w:cs="宋体"/>
          <w:color w:val="auto"/>
          <w:spacing w:val="7"/>
          <w:kern w:val="0"/>
          <w:sz w:val="24"/>
          <w:highlight w:val="none"/>
        </w:rPr>
        <w:t>），最高限价人民币</w:t>
      </w:r>
      <w:r>
        <w:rPr>
          <w:rFonts w:hint="eastAsia" w:ascii="宋体" w:hAnsi="宋体" w:cs="宋体"/>
          <w:color w:val="auto"/>
          <w:spacing w:val="7"/>
          <w:kern w:val="0"/>
          <w:sz w:val="24"/>
          <w:highlight w:val="none"/>
          <w:u w:val="single"/>
        </w:rPr>
        <w:t>贰拾万元整</w:t>
      </w:r>
      <w:r>
        <w:rPr>
          <w:rFonts w:hint="eastAsia" w:ascii="宋体" w:hAnsi="宋体" w:cs="宋体"/>
          <w:color w:val="auto"/>
          <w:spacing w:val="7"/>
          <w:kern w:val="0"/>
          <w:sz w:val="24"/>
          <w:highlight w:val="none"/>
        </w:rPr>
        <w:t>（¥</w:t>
      </w:r>
      <w:r>
        <w:rPr>
          <w:rFonts w:hint="eastAsia" w:ascii="宋体" w:hAnsi="宋体" w:cs="宋体"/>
          <w:color w:val="auto"/>
          <w:spacing w:val="7"/>
          <w:kern w:val="0"/>
          <w:sz w:val="24"/>
          <w:highlight w:val="none"/>
          <w:u w:val="single"/>
        </w:rPr>
        <w:t>200000元</w:t>
      </w:r>
      <w:r>
        <w:rPr>
          <w:rFonts w:hint="eastAsia" w:ascii="宋体" w:hAnsi="宋体" w:cs="宋体"/>
          <w:color w:val="auto"/>
          <w:spacing w:val="7"/>
          <w:kern w:val="0"/>
          <w:sz w:val="24"/>
          <w:highlight w:val="none"/>
        </w:rPr>
        <w:t>）。</w:t>
      </w:r>
    </w:p>
    <w:p>
      <w:pPr>
        <w:pStyle w:val="25"/>
        <w:snapToGrid w:val="0"/>
        <w:spacing w:line="360" w:lineRule="auto"/>
        <w:ind w:firstLine="508" w:firstLineChars="200"/>
        <w:contextualSpacing/>
        <w:rPr>
          <w:rFonts w:ascii="宋体" w:eastAsia="宋体" w:cs="宋体"/>
          <w:color w:val="auto"/>
          <w:spacing w:val="7"/>
          <w:kern w:val="0"/>
          <w:sz w:val="24"/>
          <w:highlight w:val="none"/>
        </w:rPr>
      </w:pPr>
      <w:r>
        <w:rPr>
          <w:rFonts w:hint="eastAsia" w:ascii="宋体" w:eastAsia="宋体" w:cs="宋体"/>
          <w:color w:val="auto"/>
          <w:spacing w:val="7"/>
          <w:kern w:val="0"/>
          <w:sz w:val="24"/>
          <w:highlight w:val="none"/>
        </w:rPr>
        <w:t>4、采购需求：根据南通市公路服务和管养设施现状，统筹考虑需求和供给，结合《国家公路网规划》和新一轮省道公路网修编，编制南通市普通国省道服务设施和养护工区布局规划（2023-2035）</w:t>
      </w:r>
      <w:r>
        <w:rPr>
          <w:rFonts w:hint="eastAsia" w:ascii="宋体" w:eastAsia="宋体" w:cs="宋体"/>
          <w:color w:val="auto"/>
          <w:spacing w:val="7"/>
          <w:kern w:val="0"/>
          <w:sz w:val="24"/>
          <w:szCs w:val="24"/>
          <w:highlight w:val="none"/>
        </w:rPr>
        <w:t>，</w:t>
      </w:r>
      <w:r>
        <w:rPr>
          <w:rFonts w:hint="eastAsia" w:ascii="宋体" w:eastAsia="宋体" w:cs="宋体"/>
          <w:color w:val="auto"/>
          <w:spacing w:val="7"/>
          <w:kern w:val="0"/>
          <w:sz w:val="24"/>
          <w:highlight w:val="none"/>
        </w:rPr>
        <w:t>具体详见《第三部分项目需求》，请仔细研究。</w:t>
      </w:r>
    </w:p>
    <w:p>
      <w:pPr>
        <w:widowControl/>
        <w:shd w:val="clear" w:color="auto" w:fill="FFFFFF"/>
        <w:spacing w:line="360" w:lineRule="auto"/>
        <w:ind w:firstLine="508" w:firstLineChars="200"/>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5、服务周期：2023年4月20日前，完成南通市普通国省道服务设施和工区布局规划研究，提交成果包括南通市普通国省道服务设施和养护工区布局规划、方案表和布局规划图，其中布局规划方案表须按照规定格式进行填报；布局规划图须以国家公路网规划和省道公路网规划路线方案图为底图进行绘制，分别形成南通市普通国省道服务设施布局规划图和普通国省道养护工区布局规划图。</w:t>
      </w:r>
    </w:p>
    <w:p>
      <w:pPr>
        <w:widowControl/>
        <w:shd w:val="clear" w:color="auto" w:fill="FFFFFF"/>
        <w:spacing w:line="360" w:lineRule="auto"/>
        <w:ind w:firstLine="508" w:firstLineChars="200"/>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6、工作地点：南通市</w:t>
      </w:r>
    </w:p>
    <w:p>
      <w:pPr>
        <w:widowControl/>
        <w:shd w:val="clear" w:color="auto" w:fill="FFFFFF"/>
        <w:spacing w:line="360" w:lineRule="auto"/>
        <w:ind w:firstLine="510" w:firstLineChars="200"/>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二、供应商资格要求</w:t>
      </w:r>
    </w:p>
    <w:p>
      <w:pPr>
        <w:widowControl/>
        <w:shd w:val="clear" w:color="auto" w:fill="FFFFFF"/>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1.满足《中华人民共和国政府采购法》第二十二条规定。</w:t>
      </w:r>
    </w:p>
    <w:p>
      <w:pPr>
        <w:widowControl/>
        <w:shd w:val="clear" w:color="auto" w:fill="FFFFFF"/>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2.落实政府采购政策需满足的资格要求：</w:t>
      </w:r>
      <w:r>
        <w:rPr>
          <w:rFonts w:hint="eastAsia" w:ascii="宋体" w:hAnsi="宋体" w:cs="宋体"/>
          <w:color w:val="auto"/>
          <w:sz w:val="24"/>
          <w:highlight w:val="none"/>
        </w:rPr>
        <w:t>无</w:t>
      </w:r>
      <w:r>
        <w:rPr>
          <w:rFonts w:ascii="宋体" w:hAnsi="宋体" w:cs="宋体"/>
          <w:color w:val="auto"/>
          <w:sz w:val="24"/>
          <w:highlight w:val="none"/>
        </w:rPr>
        <w:t>。</w:t>
      </w:r>
    </w:p>
    <w:p>
      <w:pPr>
        <w:widowControl/>
        <w:shd w:val="clear" w:color="auto" w:fill="FFFFFF"/>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3.本项目的特定资格要求：</w:t>
      </w:r>
    </w:p>
    <w:p>
      <w:pPr>
        <w:widowControl/>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（1）资质要求：</w:t>
      </w:r>
      <w:r>
        <w:rPr>
          <w:rFonts w:hint="eastAsia" w:ascii="宋体" w:hAnsi="宋体" w:cs="宋体"/>
          <w:color w:val="auto"/>
          <w:sz w:val="24"/>
          <w:highlight w:val="none"/>
        </w:rPr>
        <w:t>供应商</w:t>
      </w:r>
      <w:r>
        <w:rPr>
          <w:rFonts w:hint="eastAsia" w:ascii="宋体" w:hAnsi="宋体" w:cs="宋体"/>
          <w:color w:val="auto"/>
          <w:sz w:val="24"/>
          <w:highlight w:val="none"/>
        </w:rPr>
        <w:t>在全国投资项目在线审批监管平台上备案（备案专业公路，服务范围包含规划咨询）。</w:t>
      </w:r>
    </w:p>
    <w:p>
      <w:pPr>
        <w:widowControl/>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（2）业绩要求：自2018年1月1日以来（以合同签订时间为准），供应商承担过地级市或以上公路规划编制工作。</w:t>
      </w:r>
    </w:p>
    <w:p>
      <w:pPr>
        <w:widowControl/>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（3）项目负责人要求：</w:t>
      </w:r>
      <w:r>
        <w:rPr>
          <w:rFonts w:hint="eastAsia" w:ascii="宋体" w:hAnsi="宋体" w:cs="宋体"/>
          <w:color w:val="auto"/>
          <w:sz w:val="24"/>
          <w:highlight w:val="none"/>
        </w:rPr>
        <w:t>供应商拟投入的项目负责人应具备高级工程师（或副教授）或以上技术职称，担任过地级市或以上公路规划编制工作的项目负责人</w:t>
      </w:r>
      <w:r>
        <w:rPr>
          <w:rFonts w:hint="eastAsia" w:ascii="宋体" w:hAnsi="宋体" w:cs="宋体"/>
          <w:color w:val="auto"/>
          <w:sz w:val="24"/>
          <w:highlight w:val="none"/>
        </w:rPr>
        <w:t>。</w:t>
      </w:r>
    </w:p>
    <w:p>
      <w:pPr>
        <w:widowControl/>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rPr>
        <w:t>响应文件递交截止日当天，未被“信用中国”网站（www.creditchina.gov.cn）列入失信被执行人、重大税收违法案件当事人名单、政府采购严重失信行为记录名单；供应商在国家企业信用信息公示系（http://www.gsxt.gov.cn/）中未被列入严重违法失信企业名单；未被“中国政府采购网”（http://www.ccgp.gov.cn/）列入政府采购严重失信行为记录名单。</w:t>
      </w:r>
    </w:p>
    <w:p>
      <w:pPr>
        <w:widowControl/>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（5）本项目不接受联合体谈判。</w:t>
      </w:r>
    </w:p>
    <w:p>
      <w:pPr>
        <w:widowControl/>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与招标人存在利害关系可能影响招标公正性的法人、其他组织或者个人，不得参加本标段的谈判；单位负责人为同一人或者存在控股、管理关系的不同单位，不得同时参加同一标段的谈判，否则，其谈判均无效。</w:t>
      </w:r>
    </w:p>
    <w:p>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注：请供应商认真对照资格要求，如不符合要求，无意或故意参与的，所产生的一切后果由供应商承担。对提供虚假材料的供应商作无效标处理，</w:t>
      </w:r>
      <w:r>
        <w:rPr>
          <w:rFonts w:hint="eastAsia" w:ascii="宋体" w:hAnsi="宋体"/>
          <w:b/>
          <w:color w:val="auto"/>
          <w:sz w:val="24"/>
          <w:highlight w:val="none"/>
          <w:lang w:val="zh-CN"/>
        </w:rPr>
        <w:t>将报</w:t>
      </w:r>
      <w:r>
        <w:rPr>
          <w:rFonts w:hint="eastAsia" w:ascii="宋体" w:hAnsi="宋体" w:cs="宋体"/>
          <w:b/>
          <w:bCs/>
          <w:color w:val="auto"/>
          <w:sz w:val="24"/>
          <w:highlight w:val="none"/>
        </w:rPr>
        <w:t>相关主管部门后将其列入黑名单，视情形在相关网站上公示。</w:t>
      </w:r>
      <w:r>
        <w:rPr>
          <w:rFonts w:ascii="宋体" w:hAnsi="宋体" w:cs="宋体"/>
          <w:b/>
          <w:bCs/>
          <w:color w:val="auto"/>
          <w:sz w:val="24"/>
          <w:highlight w:val="none"/>
        </w:rPr>
        <w:t>供应商应依照规定提交各类声明函、承诺函，不再同时提供原件备查或提供有关部门出具的相关证明文件。但中标或成交供应商，应</w:t>
      </w:r>
      <w:r>
        <w:rPr>
          <w:rFonts w:hint="eastAsia" w:ascii="宋体" w:hAnsi="宋体" w:cs="宋体"/>
          <w:b/>
          <w:bCs/>
          <w:color w:val="auto"/>
          <w:sz w:val="24"/>
          <w:highlight w:val="none"/>
        </w:rPr>
        <w:t>做好提交声明函、承诺函相应原件的核查准备</w:t>
      </w:r>
      <w:r>
        <w:rPr>
          <w:rFonts w:ascii="宋体" w:hAnsi="宋体" w:cs="宋体"/>
          <w:b/>
          <w:bCs/>
          <w:color w:val="auto"/>
          <w:sz w:val="24"/>
          <w:highlight w:val="none"/>
        </w:rPr>
        <w:t>；核查后发现虚假或违背承诺的，依照相关法律法规规定处理</w:t>
      </w:r>
      <w:r>
        <w:rPr>
          <w:rFonts w:hint="eastAsia" w:ascii="宋体" w:hAnsi="宋体" w:cs="宋体"/>
          <w:b/>
          <w:bCs/>
          <w:color w:val="auto"/>
          <w:sz w:val="24"/>
          <w:highlight w:val="none"/>
        </w:rPr>
        <w:t>。</w:t>
      </w:r>
    </w:p>
    <w:p>
      <w:pPr>
        <w:widowControl/>
        <w:shd w:val="clear" w:color="auto" w:fill="FFFFFF"/>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三、获取谈判文件</w:t>
      </w:r>
    </w:p>
    <w:p>
      <w:pPr>
        <w:snapToGrid w:val="0"/>
        <w:spacing w:line="360" w:lineRule="auto"/>
        <w:ind w:firstLine="508" w:firstLineChars="200"/>
        <w:contextualSpacing/>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1、申请</w:t>
      </w:r>
    </w:p>
    <w:p>
      <w:pPr>
        <w:snapToGrid w:val="0"/>
        <w:spacing w:line="360" w:lineRule="auto"/>
        <w:ind w:firstLine="508" w:firstLineChars="200"/>
        <w:contextualSpacing/>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申请时间：自公告上网发布之日起至</w:t>
      </w:r>
      <w:r>
        <w:rPr>
          <w:rFonts w:ascii="宋体" w:hAnsi="宋体" w:cs="宋体"/>
          <w:color w:val="auto"/>
          <w:spacing w:val="7"/>
          <w:kern w:val="0"/>
          <w:sz w:val="24"/>
          <w:highlight w:val="none"/>
          <w:u w:val="single"/>
        </w:rPr>
        <w:t>202</w:t>
      </w:r>
      <w:r>
        <w:rPr>
          <w:rFonts w:hint="eastAsia" w:ascii="宋体" w:hAnsi="宋体" w:cs="宋体"/>
          <w:color w:val="auto"/>
          <w:spacing w:val="7"/>
          <w:kern w:val="0"/>
          <w:sz w:val="24"/>
          <w:highlight w:val="none"/>
          <w:u w:val="single"/>
        </w:rPr>
        <w:t>3</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lang w:val="en-US" w:eastAsia="zh-CN"/>
        </w:rPr>
        <w:t>3</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29</w:t>
      </w:r>
      <w:r>
        <w:rPr>
          <w:rFonts w:hint="eastAsia" w:ascii="宋体" w:hAnsi="宋体" w:cs="宋体"/>
          <w:color w:val="auto"/>
          <w:spacing w:val="7"/>
          <w:kern w:val="0"/>
          <w:sz w:val="24"/>
          <w:highlight w:val="none"/>
        </w:rPr>
        <w:t>日，每日工作时间：上午9:00—11:30整，下午13:30—17:30整（节假日除外）。</w:t>
      </w:r>
    </w:p>
    <w:p>
      <w:pPr>
        <w:snapToGrid w:val="0"/>
        <w:spacing w:line="360" w:lineRule="auto"/>
        <w:ind w:firstLine="508" w:firstLineChars="200"/>
        <w:contextualSpacing/>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申请地点（采购代理机构）：</w:t>
      </w:r>
      <w:r>
        <w:rPr>
          <w:rFonts w:hint="eastAsia" w:ascii="宋体" w:hAnsi="宋体" w:cs="宋体"/>
          <w:color w:val="auto"/>
          <w:spacing w:val="7"/>
          <w:kern w:val="0"/>
          <w:sz w:val="24"/>
          <w:highlight w:val="none"/>
          <w:u w:val="single"/>
        </w:rPr>
        <w:t>捷宏润安工程顾问有限公司（南通市崇川区崇川路58号南通产业研究院9号A1302-A1304室）</w:t>
      </w:r>
    </w:p>
    <w:p>
      <w:pPr>
        <w:snapToGrid w:val="0"/>
        <w:spacing w:line="360" w:lineRule="auto"/>
        <w:ind w:firstLine="508" w:firstLineChars="200"/>
        <w:contextualSpacing/>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申请方式：可以至采购代理机构现场申请，也可以联系采购代理机构通过电子方式进行申请（联系人及联系方式：</w:t>
      </w:r>
      <w:r>
        <w:rPr>
          <w:rFonts w:hint="eastAsia" w:ascii="宋体" w:hAnsi="宋体" w:cs="宋体"/>
          <w:color w:val="auto"/>
          <w:spacing w:val="7"/>
          <w:kern w:val="0"/>
          <w:sz w:val="24"/>
          <w:highlight w:val="none"/>
          <w:u w:val="single"/>
        </w:rPr>
        <w:t>钱先生，15162861908</w:t>
      </w:r>
      <w:r>
        <w:rPr>
          <w:rFonts w:hint="eastAsia" w:ascii="宋体" w:hAnsi="宋体" w:cs="宋体"/>
          <w:color w:val="auto"/>
          <w:spacing w:val="7"/>
          <w:kern w:val="0"/>
          <w:sz w:val="24"/>
          <w:highlight w:val="none"/>
        </w:rPr>
        <w:t>）</w:t>
      </w:r>
    </w:p>
    <w:p>
      <w:pPr>
        <w:snapToGrid w:val="0"/>
        <w:spacing w:line="360" w:lineRule="auto"/>
        <w:ind w:firstLine="508" w:firstLineChars="200"/>
        <w:contextualSpacing/>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申请提供资料：按附件提供《申请函》</w:t>
      </w:r>
    </w:p>
    <w:p>
      <w:pPr>
        <w:snapToGrid w:val="0"/>
        <w:spacing w:line="360" w:lineRule="auto"/>
        <w:ind w:firstLine="510" w:firstLineChars="200"/>
        <w:contextualSpacing/>
        <w:rPr>
          <w:rFonts w:ascii="宋体" w:hAnsi="宋体" w:cs="宋体"/>
          <w:b/>
          <w:bCs/>
          <w:color w:val="auto"/>
          <w:spacing w:val="7"/>
          <w:kern w:val="0"/>
          <w:sz w:val="24"/>
          <w:highlight w:val="none"/>
        </w:rPr>
      </w:pPr>
      <w:r>
        <w:rPr>
          <w:rFonts w:hint="eastAsia" w:ascii="宋体" w:hAnsi="宋体" w:cs="宋体"/>
          <w:b/>
          <w:bCs/>
          <w:color w:val="auto"/>
          <w:spacing w:val="7"/>
          <w:kern w:val="0"/>
          <w:sz w:val="24"/>
          <w:highlight w:val="none"/>
        </w:rPr>
        <w:t>未按要求进行申请的不具备谈判资格。</w:t>
      </w:r>
    </w:p>
    <w:p>
      <w:pPr>
        <w:snapToGrid w:val="0"/>
        <w:spacing w:line="360" w:lineRule="auto"/>
        <w:ind w:firstLine="508" w:firstLineChars="200"/>
        <w:contextualSpacing/>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2、获取谈判文件</w:t>
      </w:r>
    </w:p>
    <w:p>
      <w:pPr>
        <w:snapToGrid w:val="0"/>
        <w:spacing w:line="360" w:lineRule="auto"/>
        <w:ind w:firstLine="508" w:firstLineChars="200"/>
        <w:contextualSpacing/>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请自南通市交通运输局—公共资源交易栏目下载谈判文件。</w:t>
      </w:r>
    </w:p>
    <w:p>
      <w:pPr>
        <w:snapToGrid w:val="0"/>
        <w:spacing w:line="360" w:lineRule="auto"/>
        <w:ind w:firstLine="508" w:firstLineChars="200"/>
        <w:contextualSpacing/>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谈判文件售价300元/供应商，请在提交《申请函》的同时缴纳给采购代理机构，无论何种情况不予退还。</w:t>
      </w:r>
    </w:p>
    <w:p>
      <w:pPr>
        <w:snapToGrid w:val="0"/>
        <w:spacing w:line="360" w:lineRule="auto"/>
        <w:ind w:firstLine="508" w:firstLineChars="200"/>
        <w:contextualSpacing/>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3、已获取谈判文件的供应商，不得擅自放弃，若因故确需放弃，则须在递交谈判响应文件截止之日3天前书面告知采购人或采购代理机构，如无故不参加谈判而造成参加谈判的供应商不足3家而重新采购的，若重新采购的采购范围、规模和资格要求等未发生改变，采购人可以拒绝其参加重新采购的</w:t>
      </w:r>
      <w:r>
        <w:rPr>
          <w:rFonts w:hint="eastAsia" w:ascii="宋体" w:hAnsi="宋体" w:cs="宋体"/>
          <w:color w:val="auto"/>
          <w:sz w:val="24"/>
          <w:highlight w:val="none"/>
        </w:rPr>
        <w:t>谈判</w:t>
      </w:r>
      <w:r>
        <w:rPr>
          <w:rFonts w:hint="eastAsia" w:ascii="宋体" w:hAnsi="宋体" w:cs="宋体"/>
          <w:color w:val="auto"/>
          <w:spacing w:val="7"/>
          <w:kern w:val="0"/>
          <w:sz w:val="24"/>
          <w:highlight w:val="none"/>
        </w:rPr>
        <w:t>。</w:t>
      </w:r>
    </w:p>
    <w:p>
      <w:pPr>
        <w:widowControl/>
        <w:shd w:val="clear" w:color="auto" w:fill="FFFFFF"/>
        <w:spacing w:line="360" w:lineRule="auto"/>
        <w:ind w:firstLine="510" w:firstLineChars="200"/>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五、谈判响应文件递交</w:t>
      </w:r>
    </w:p>
    <w:p>
      <w:pPr>
        <w:tabs>
          <w:tab w:val="left" w:pos="3100"/>
          <w:tab w:val="left" w:pos="3460"/>
          <w:tab w:val="left" w:pos="3700"/>
          <w:tab w:val="left" w:pos="4060"/>
          <w:tab w:val="left" w:pos="4300"/>
          <w:tab w:val="left" w:pos="4900"/>
          <w:tab w:val="left" w:pos="8025"/>
          <w:tab w:val="left" w:pos="8260"/>
          <w:tab w:val="left" w:pos="8500"/>
        </w:tabs>
        <w:spacing w:line="360" w:lineRule="auto"/>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lang w:val="zh-CN"/>
        </w:rPr>
        <w:t>本项目采用不见面方式进行</w:t>
      </w:r>
      <w:r>
        <w:rPr>
          <w:rFonts w:hint="eastAsia" w:ascii="宋体" w:hAnsi="宋体" w:cs="宋体"/>
          <w:b/>
          <w:color w:val="auto"/>
          <w:sz w:val="24"/>
          <w:highlight w:val="none"/>
        </w:rPr>
        <w:t>谈判</w:t>
      </w:r>
      <w:r>
        <w:rPr>
          <w:rFonts w:hint="eastAsia" w:ascii="宋体" w:hAnsi="宋体" w:cs="宋体"/>
          <w:b/>
          <w:color w:val="auto"/>
          <w:sz w:val="24"/>
          <w:highlight w:val="none"/>
          <w:lang w:val="zh-CN"/>
        </w:rPr>
        <w:t>，</w:t>
      </w:r>
      <w:r>
        <w:rPr>
          <w:rFonts w:hint="eastAsia" w:ascii="宋体" w:hAnsi="宋体" w:cs="宋体"/>
          <w:b/>
          <w:color w:val="auto"/>
          <w:sz w:val="24"/>
          <w:highlight w:val="none"/>
        </w:rPr>
        <w:t>故采用二阶段递交谈判响应文件。</w:t>
      </w:r>
    </w:p>
    <w:p>
      <w:pPr>
        <w:tabs>
          <w:tab w:val="left" w:pos="3100"/>
          <w:tab w:val="left" w:pos="3460"/>
          <w:tab w:val="left" w:pos="3700"/>
          <w:tab w:val="left" w:pos="4060"/>
          <w:tab w:val="left" w:pos="4300"/>
          <w:tab w:val="left" w:pos="4900"/>
          <w:tab w:val="left" w:pos="8025"/>
          <w:tab w:val="left" w:pos="8260"/>
          <w:tab w:val="left" w:pos="8500"/>
        </w:tabs>
        <w:spacing w:line="360" w:lineRule="auto"/>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rPr>
        <w:t>第一阶段：将电子版响应文件，即谈判文件“</w:t>
      </w:r>
      <w:r>
        <w:rPr>
          <w:rFonts w:hint="eastAsia" w:ascii="宋体" w:hAnsi="宋体" w:cs="宋体"/>
          <w:b/>
          <w:color w:val="auto"/>
          <w:sz w:val="24"/>
          <w:highlight w:val="none"/>
          <w:lang w:val="zh-CN"/>
        </w:rPr>
        <w:t>第二部分 谈判须知</w:t>
      </w:r>
      <w:r>
        <w:rPr>
          <w:rFonts w:hint="eastAsia" w:ascii="宋体" w:hAnsi="宋体" w:cs="宋体"/>
          <w:b/>
          <w:color w:val="auto"/>
          <w:sz w:val="24"/>
          <w:highlight w:val="none"/>
        </w:rPr>
        <w:t>”中要求的电子版响应文件，在谈判响应文件递交截止时间前发送至指定邮箱。评审小组将以</w:t>
      </w:r>
      <w:r>
        <w:rPr>
          <w:rFonts w:hint="eastAsia" w:ascii="宋体" w:hAnsi="宋体" w:cs="宋体"/>
          <w:b/>
          <w:color w:val="auto"/>
          <w:sz w:val="24"/>
          <w:highlight w:val="none"/>
          <w:lang w:val="zh-CN"/>
        </w:rPr>
        <w:t>电子版响应文件</w:t>
      </w:r>
      <w:r>
        <w:rPr>
          <w:rFonts w:hint="eastAsia" w:ascii="宋体" w:hAnsi="宋体" w:cs="宋体"/>
          <w:b/>
          <w:color w:val="auto"/>
          <w:sz w:val="24"/>
          <w:highlight w:val="none"/>
        </w:rPr>
        <w:t>作为谈判依据。</w:t>
      </w:r>
    </w:p>
    <w:p>
      <w:pPr>
        <w:tabs>
          <w:tab w:val="left" w:pos="3100"/>
          <w:tab w:val="left" w:pos="3460"/>
          <w:tab w:val="left" w:pos="3700"/>
          <w:tab w:val="left" w:pos="4060"/>
          <w:tab w:val="left" w:pos="4300"/>
          <w:tab w:val="left" w:pos="4900"/>
          <w:tab w:val="left" w:pos="8025"/>
          <w:tab w:val="left" w:pos="8260"/>
          <w:tab w:val="left" w:pos="8500"/>
        </w:tabs>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上传方式为：上传加密的电子版响应文件至指定邮箱。加密方式见谈判文件“第二部分 谈判须知”中电子版响应文件要求。采购人所收到的邮件中有且只能有2个附件（即，已加密的压缩包文件）。响应文件不符合上述规定的将被拒绝接收。</w:t>
      </w:r>
    </w:p>
    <w:p>
      <w:pPr>
        <w:widowControl/>
        <w:tabs>
          <w:tab w:val="left" w:pos="3100"/>
          <w:tab w:val="left" w:pos="3460"/>
          <w:tab w:val="left" w:pos="3700"/>
          <w:tab w:val="left" w:pos="4060"/>
          <w:tab w:val="left" w:pos="4300"/>
          <w:tab w:val="left" w:pos="4900"/>
          <w:tab w:val="left" w:pos="8025"/>
          <w:tab w:val="left" w:pos="8260"/>
          <w:tab w:val="left" w:pos="8500"/>
        </w:tabs>
        <w:spacing w:line="360" w:lineRule="auto"/>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rPr>
        <w:t>第二阶段：谈判结束后五个工作日内，所有供应商均需将谈判文件“</w:t>
      </w:r>
      <w:r>
        <w:rPr>
          <w:rFonts w:hint="eastAsia" w:ascii="宋体" w:hAnsi="宋体" w:cs="宋体"/>
          <w:b/>
          <w:color w:val="auto"/>
          <w:sz w:val="24"/>
          <w:highlight w:val="none"/>
          <w:lang w:val="zh-CN"/>
        </w:rPr>
        <w:t>第二部分 谈判须知</w:t>
      </w:r>
      <w:r>
        <w:rPr>
          <w:rFonts w:hint="eastAsia" w:ascii="宋体" w:hAnsi="宋体" w:cs="宋体"/>
          <w:b/>
          <w:color w:val="auto"/>
          <w:sz w:val="24"/>
          <w:highlight w:val="none"/>
        </w:rPr>
        <w:t>”中要求的响应文件纸质文件及谈判期间的所有材料的纸质文件一同寄给采购人，以便存档。邮寄地址及联系方式详见谈判公告中采购人联系方式。供应商未按上述要求送达纸质版谈判响应文件，将报相关主管部门后将其列入黑名单，视情形在相关网站上公示。</w:t>
      </w:r>
    </w:p>
    <w:p>
      <w:pPr>
        <w:widowControl/>
        <w:snapToGrid w:val="0"/>
        <w:spacing w:line="360" w:lineRule="auto"/>
        <w:ind w:firstLine="508" w:firstLineChars="200"/>
        <w:contextualSpacing/>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六、递交谈判响应文件截止时间及谈判时间、地点：</w:t>
      </w:r>
    </w:p>
    <w:p>
      <w:pPr>
        <w:widowControl/>
        <w:tabs>
          <w:tab w:val="left" w:pos="3100"/>
          <w:tab w:val="left" w:pos="3460"/>
          <w:tab w:val="left" w:pos="3700"/>
          <w:tab w:val="left" w:pos="4060"/>
          <w:tab w:val="left" w:pos="4300"/>
          <w:tab w:val="left" w:pos="4900"/>
          <w:tab w:val="left" w:pos="8025"/>
          <w:tab w:val="left" w:pos="8260"/>
          <w:tab w:val="left" w:pos="8500"/>
        </w:tabs>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1、谈判响应文件递交截止时间：2023年3月30日9时00分（北京时间）</w:t>
      </w:r>
    </w:p>
    <w:p>
      <w:pPr>
        <w:widowControl/>
        <w:tabs>
          <w:tab w:val="left" w:pos="3100"/>
          <w:tab w:val="left" w:pos="3460"/>
          <w:tab w:val="left" w:pos="3700"/>
          <w:tab w:val="left" w:pos="4060"/>
          <w:tab w:val="left" w:pos="4300"/>
          <w:tab w:val="left" w:pos="4900"/>
          <w:tab w:val="left" w:pos="8025"/>
          <w:tab w:val="left" w:pos="8260"/>
          <w:tab w:val="left" w:pos="8500"/>
        </w:tabs>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请各供应商于以下规定时间段内将电子版响应文件送达至指定接收邮箱（谈判响应文件递交开始时间为2023年3月30日8：30，谈判响应文件递交的截止时间为2023年3月30日9：00，供应商响应文件的递交时间以到达采购人指定邮箱的时间为准，请供应商自行安排）。</w:t>
      </w:r>
    </w:p>
    <w:p>
      <w:pPr>
        <w:widowControl/>
        <w:tabs>
          <w:tab w:val="left" w:pos="3100"/>
          <w:tab w:val="left" w:pos="3460"/>
          <w:tab w:val="left" w:pos="3700"/>
          <w:tab w:val="left" w:pos="4060"/>
          <w:tab w:val="left" w:pos="4300"/>
          <w:tab w:val="left" w:pos="4900"/>
          <w:tab w:val="left" w:pos="8025"/>
          <w:tab w:val="left" w:pos="8260"/>
          <w:tab w:val="left" w:pos="8500"/>
        </w:tabs>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2、电子版谈判响应文件递交地点（邮箱地址）为610079136@qq.com</w:t>
      </w:r>
    </w:p>
    <w:p>
      <w:pPr>
        <w:tabs>
          <w:tab w:val="left" w:pos="3100"/>
          <w:tab w:val="left" w:pos="3460"/>
          <w:tab w:val="left" w:pos="3700"/>
          <w:tab w:val="left" w:pos="4060"/>
          <w:tab w:val="left" w:pos="4300"/>
          <w:tab w:val="left" w:pos="4900"/>
          <w:tab w:val="left" w:pos="8025"/>
          <w:tab w:val="left" w:pos="8260"/>
          <w:tab w:val="left" w:pos="8500"/>
        </w:tabs>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3、开标时间：同谈判响应文件递交截止时间</w:t>
      </w:r>
    </w:p>
    <w:p>
      <w:pPr>
        <w:tabs>
          <w:tab w:val="left" w:pos="3100"/>
          <w:tab w:val="left" w:pos="3460"/>
          <w:tab w:val="left" w:pos="3700"/>
          <w:tab w:val="left" w:pos="4060"/>
          <w:tab w:val="left" w:pos="4300"/>
          <w:tab w:val="left" w:pos="4900"/>
          <w:tab w:val="left" w:pos="8025"/>
          <w:tab w:val="left" w:pos="8260"/>
          <w:tab w:val="left" w:pos="8500"/>
        </w:tabs>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4、开标方式：本项目采用不见面开标方式，通过腾讯会议方式全程直播并录音录像，请各供应商于本项目开标时间委派授权代表进入本项目腾讯会议（会议号为</w:t>
      </w:r>
      <w:r>
        <w:rPr>
          <w:rFonts w:hint="eastAsia" w:ascii="宋体" w:hAnsi="宋体" w:cs="宋体"/>
          <w:b/>
          <w:color w:val="auto"/>
          <w:sz w:val="24"/>
          <w:highlight w:val="none"/>
          <w:u w:val="single"/>
          <w:lang w:val="en-US" w:eastAsia="zh-CN"/>
        </w:rPr>
        <w:t>968296877</w:t>
      </w:r>
      <w:r>
        <w:rPr>
          <w:rFonts w:hint="eastAsia" w:ascii="宋体" w:hAnsi="宋体" w:cs="宋体"/>
          <w:b/>
          <w:color w:val="auto"/>
          <w:sz w:val="24"/>
          <w:highlight w:val="none"/>
        </w:rPr>
        <w:t>，会议名称为“《南通市普通国省道服务设施和养护工区布局规划（2023-2035）》项目”开标会议；加入会议时请将名称改为单位名称）参加开标，未委派授权代表参加腾讯会议的将视为默认开标结果。</w:t>
      </w:r>
    </w:p>
    <w:p>
      <w:pPr>
        <w:widowControl/>
        <w:shd w:val="clear" w:color="auto" w:fill="FFFFFF"/>
        <w:spacing w:line="360" w:lineRule="auto"/>
        <w:ind w:firstLine="510" w:firstLineChars="200"/>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七、</w:t>
      </w:r>
      <w:r>
        <w:rPr>
          <w:rFonts w:ascii="宋体" w:hAnsi="宋体" w:cs="宋体"/>
          <w:b/>
          <w:color w:val="auto"/>
          <w:spacing w:val="7"/>
          <w:kern w:val="0"/>
          <w:sz w:val="24"/>
          <w:highlight w:val="none"/>
        </w:rPr>
        <w:t>公告期限</w:t>
      </w:r>
    </w:p>
    <w:p>
      <w:pPr>
        <w:snapToGrid w:val="0"/>
        <w:spacing w:line="360" w:lineRule="auto"/>
        <w:ind w:firstLine="508" w:firstLineChars="200"/>
        <w:contextualSpacing/>
        <w:rPr>
          <w:rFonts w:ascii="宋体" w:hAnsi="宋体" w:cs="宋体"/>
          <w:color w:val="auto"/>
          <w:spacing w:val="7"/>
          <w:kern w:val="0"/>
          <w:sz w:val="24"/>
          <w:highlight w:val="none"/>
        </w:rPr>
      </w:pPr>
      <w:r>
        <w:rPr>
          <w:rFonts w:hint="eastAsia" w:ascii="宋体" w:hAnsi="宋体" w:cs="宋体"/>
          <w:color w:val="auto"/>
          <w:spacing w:val="7"/>
          <w:kern w:val="0"/>
          <w:sz w:val="24"/>
          <w:highlight w:val="none"/>
        </w:rPr>
        <w:t>自本公告发布之日起5日。</w:t>
      </w:r>
    </w:p>
    <w:p>
      <w:pPr>
        <w:widowControl/>
        <w:spacing w:line="360" w:lineRule="auto"/>
        <w:ind w:firstLine="510" w:firstLineChars="200"/>
        <w:jc w:val="left"/>
        <w:rPr>
          <w:rFonts w:ascii="宋体" w:hAnsi="宋体" w:cs="宋体"/>
          <w:b/>
          <w:bCs/>
          <w:color w:val="auto"/>
          <w:sz w:val="24"/>
          <w:highlight w:val="none"/>
        </w:rPr>
      </w:pPr>
      <w:r>
        <w:rPr>
          <w:rFonts w:hint="eastAsia" w:ascii="宋体" w:hAnsi="宋体" w:cs="宋体"/>
          <w:b/>
          <w:color w:val="auto"/>
          <w:spacing w:val="7"/>
          <w:kern w:val="0"/>
          <w:sz w:val="24"/>
          <w:highlight w:val="none"/>
        </w:rPr>
        <w:t>八、</w:t>
      </w:r>
      <w:r>
        <w:rPr>
          <w:rFonts w:hint="eastAsia" w:ascii="宋体" w:hAnsi="宋体" w:cs="宋体"/>
          <w:b/>
          <w:bCs/>
          <w:color w:val="auto"/>
          <w:sz w:val="24"/>
          <w:highlight w:val="none"/>
          <w:lang w:val="zh-CN"/>
        </w:rPr>
        <w:t>支付方式</w:t>
      </w:r>
      <w:r>
        <w:rPr>
          <w:rFonts w:hint="eastAsia" w:ascii="宋体" w:hAnsi="宋体" w:cs="宋体"/>
          <w:b/>
          <w:bCs/>
          <w:color w:val="auto"/>
          <w:sz w:val="24"/>
          <w:highlight w:val="none"/>
        </w:rPr>
        <w:t>：</w:t>
      </w:r>
      <w:r>
        <w:rPr>
          <w:rFonts w:hint="eastAsia" w:ascii="宋体" w:cs="宋体"/>
          <w:color w:val="auto"/>
          <w:sz w:val="24"/>
          <w:highlight w:val="none"/>
        </w:rPr>
        <w:t>本项目为总价合同。项目完成一个月内，发包人付至服务费用的90%；余款在规划成果通过采购人验收评审形成最终成果后一个月内付清（不计利息）。</w:t>
      </w:r>
    </w:p>
    <w:p>
      <w:pPr>
        <w:widowControl/>
        <w:shd w:val="clear" w:color="auto" w:fill="FFFFFF"/>
        <w:spacing w:line="360" w:lineRule="auto"/>
        <w:ind w:firstLine="510" w:firstLineChars="200"/>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九、公告媒介</w:t>
      </w:r>
    </w:p>
    <w:p>
      <w:pPr>
        <w:spacing w:line="360" w:lineRule="auto"/>
        <w:ind w:firstLine="480" w:firstLineChars="200"/>
        <w:rPr>
          <w:rFonts w:ascii="宋体" w:cs="宋体"/>
          <w:color w:val="auto"/>
          <w:sz w:val="24"/>
          <w:highlight w:val="none"/>
        </w:rPr>
      </w:pPr>
      <w:r>
        <w:rPr>
          <w:rFonts w:hint="eastAsia" w:ascii="宋体" w:cs="宋体"/>
          <w:color w:val="auto"/>
          <w:sz w:val="24"/>
          <w:highlight w:val="none"/>
        </w:rPr>
        <w:t>本次竞争性谈判公告发布在南通市交通运输局网站（网址：http://jtysj.nantong.gov.cn/）上。南通市交通运输局网站是本项目竞争性谈判公告、补遗书、谈判文件澄清、成交结果公告等采购信息约定的唯一公开发布媒介。</w:t>
      </w:r>
    </w:p>
    <w:p>
      <w:pPr>
        <w:widowControl/>
        <w:shd w:val="clear" w:color="auto" w:fill="FFFFFF"/>
        <w:spacing w:line="360" w:lineRule="auto"/>
        <w:ind w:firstLine="510" w:firstLineChars="200"/>
        <w:rPr>
          <w:rFonts w:ascii="宋体" w:hAnsi="宋体" w:cs="宋体"/>
          <w:b/>
          <w:color w:val="auto"/>
          <w:spacing w:val="7"/>
          <w:kern w:val="0"/>
          <w:sz w:val="24"/>
          <w:highlight w:val="none"/>
        </w:rPr>
      </w:pPr>
      <w:r>
        <w:rPr>
          <w:rFonts w:hint="eastAsia" w:ascii="宋体" w:hAnsi="宋体" w:cs="宋体"/>
          <w:b/>
          <w:color w:val="auto"/>
          <w:spacing w:val="7"/>
          <w:kern w:val="0"/>
          <w:sz w:val="24"/>
          <w:highlight w:val="none"/>
        </w:rPr>
        <w:t>十、凡对本次采购提出询问，请按以下方式联系。</w:t>
      </w:r>
    </w:p>
    <w:p>
      <w:pPr>
        <w:widowControl/>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1、采购人信息</w:t>
      </w:r>
    </w:p>
    <w:p>
      <w:pPr>
        <w:widowControl/>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名  称：南通市公路事业发展中心 </w:t>
      </w:r>
    </w:p>
    <w:p>
      <w:pPr>
        <w:widowControl/>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地  址：江苏省南通市跃龙路4号 </w:t>
      </w:r>
    </w:p>
    <w:p>
      <w:pPr>
        <w:widowControl/>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联 系 人：荣女士 </w:t>
      </w:r>
    </w:p>
    <w:p>
      <w:pPr>
        <w:widowControl/>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联系方式：</w:t>
      </w:r>
      <w:r>
        <w:rPr>
          <w:rFonts w:ascii="宋体" w:hAnsi="宋体" w:cs="宋体"/>
          <w:color w:val="auto"/>
          <w:sz w:val="24"/>
          <w:highlight w:val="none"/>
        </w:rPr>
        <w:t>0513-85524439</w:t>
      </w:r>
    </w:p>
    <w:p>
      <w:pPr>
        <w:widowControl/>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2、采购代理机构信息</w:t>
      </w:r>
    </w:p>
    <w:p>
      <w:pPr>
        <w:widowControl/>
        <w:shd w:val="clear" w:color="auto" w:fill="FFFFFF"/>
        <w:spacing w:line="360" w:lineRule="auto"/>
        <w:ind w:firstLine="480" w:firstLineChars="200"/>
        <w:rPr>
          <w:rFonts w:ascii="宋体" w:hAnsi="宋体" w:cs="宋体"/>
          <w:color w:val="auto"/>
          <w:spacing w:val="7"/>
          <w:kern w:val="0"/>
          <w:sz w:val="24"/>
          <w:highlight w:val="none"/>
        </w:rPr>
      </w:pPr>
      <w:r>
        <w:rPr>
          <w:rFonts w:hint="eastAsia" w:ascii="宋体" w:hAnsi="宋体" w:cs="宋体"/>
          <w:color w:val="auto"/>
          <w:sz w:val="24"/>
          <w:highlight w:val="none"/>
        </w:rPr>
        <w:t>名 称：</w:t>
      </w:r>
      <w:r>
        <w:rPr>
          <w:rFonts w:hint="eastAsia" w:ascii="宋体" w:hAnsi="宋体" w:cs="宋体"/>
          <w:color w:val="auto"/>
          <w:spacing w:val="7"/>
          <w:kern w:val="0"/>
          <w:sz w:val="24"/>
          <w:highlight w:val="none"/>
        </w:rPr>
        <w:t>捷宏润安工程顾问有限公司</w:t>
      </w:r>
    </w:p>
    <w:p>
      <w:pPr>
        <w:widowControl/>
        <w:shd w:val="clear" w:color="auto" w:fill="FFFFFF"/>
        <w:spacing w:line="360" w:lineRule="auto"/>
        <w:ind w:firstLine="480" w:firstLineChars="200"/>
        <w:rPr>
          <w:rFonts w:ascii="宋体" w:hAnsi="宋体" w:cs="宋体"/>
          <w:color w:val="auto"/>
          <w:spacing w:val="7"/>
          <w:kern w:val="0"/>
          <w:sz w:val="24"/>
          <w:highlight w:val="none"/>
        </w:rPr>
      </w:pPr>
      <w:r>
        <w:rPr>
          <w:rFonts w:hint="eastAsia" w:ascii="宋体" w:hAnsi="宋体" w:cs="宋体"/>
          <w:color w:val="auto"/>
          <w:sz w:val="24"/>
          <w:highlight w:val="none"/>
        </w:rPr>
        <w:t>地址：</w:t>
      </w:r>
      <w:r>
        <w:rPr>
          <w:rFonts w:hint="eastAsia" w:ascii="宋体" w:hAnsi="宋体" w:cs="宋体"/>
          <w:color w:val="auto"/>
          <w:spacing w:val="7"/>
          <w:kern w:val="0"/>
          <w:sz w:val="24"/>
          <w:highlight w:val="none"/>
        </w:rPr>
        <w:t>南通市崇川区崇川路58号南通产业研究院9号A1302-A1304室</w:t>
      </w:r>
    </w:p>
    <w:p>
      <w:pPr>
        <w:widowControl/>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 系 人：邱海峰、钱舒佳</w:t>
      </w:r>
    </w:p>
    <w:p>
      <w:pPr>
        <w:widowControl/>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s="宋体"/>
          <w:color w:val="auto"/>
          <w:spacing w:val="7"/>
          <w:kern w:val="0"/>
          <w:sz w:val="24"/>
          <w:highlight w:val="none"/>
        </w:rPr>
        <w:t>18036206278、</w:t>
      </w:r>
      <w:r>
        <w:rPr>
          <w:rFonts w:ascii="宋体" w:hAnsi="宋体" w:cs="宋体"/>
          <w:color w:val="auto"/>
          <w:spacing w:val="7"/>
          <w:kern w:val="0"/>
          <w:sz w:val="24"/>
          <w:highlight w:val="none"/>
        </w:rPr>
        <w:t>15162861908</w:t>
      </w:r>
    </w:p>
    <w:p>
      <w:pPr>
        <w:tabs>
          <w:tab w:val="left" w:pos="3100"/>
          <w:tab w:val="left" w:pos="3460"/>
          <w:tab w:val="left" w:pos="3700"/>
          <w:tab w:val="left" w:pos="4060"/>
          <w:tab w:val="left" w:pos="4300"/>
          <w:tab w:val="left" w:pos="4900"/>
          <w:tab w:val="left" w:pos="8025"/>
          <w:tab w:val="left" w:pos="8260"/>
          <w:tab w:val="left" w:pos="8500"/>
        </w:tabs>
        <w:snapToGrid w:val="0"/>
        <w:spacing w:line="360" w:lineRule="auto"/>
        <w:ind w:firstLine="480" w:firstLineChars="200"/>
        <w:contextualSpacing/>
        <w:jc w:val="left"/>
        <w:rPr>
          <w:rFonts w:ascii="宋体" w:hAnsi="宋体" w:cs="宋体"/>
          <w:color w:val="auto"/>
          <w:spacing w:val="7"/>
          <w:kern w:val="0"/>
          <w:sz w:val="24"/>
          <w:highlight w:val="none"/>
        </w:rPr>
      </w:pPr>
      <w:r>
        <w:rPr>
          <w:rFonts w:hint="eastAsia" w:ascii="宋体" w:hAnsi="宋体" w:cs="宋体"/>
          <w:color w:val="auto"/>
          <w:sz w:val="24"/>
          <w:highlight w:val="none"/>
        </w:rPr>
        <w:t>邮箱：</w:t>
      </w:r>
      <w:r>
        <w:rPr>
          <w:rFonts w:ascii="宋体" w:hAnsi="宋体" w:cs="宋体"/>
          <w:color w:val="auto"/>
          <w:spacing w:val="7"/>
          <w:kern w:val="0"/>
          <w:sz w:val="24"/>
          <w:highlight w:val="none"/>
        </w:rPr>
        <w:t>1255825247</w:t>
      </w:r>
      <w:r>
        <w:rPr>
          <w:rFonts w:hint="eastAsia" w:ascii="宋体" w:hAnsi="宋体" w:cs="宋体"/>
          <w:color w:val="auto"/>
          <w:spacing w:val="7"/>
          <w:kern w:val="0"/>
          <w:sz w:val="24"/>
          <w:highlight w:val="none"/>
        </w:rPr>
        <w:t>@qq.com</w:t>
      </w:r>
    </w:p>
    <w:p>
      <w:pPr>
        <w:pStyle w:val="7"/>
        <w:spacing w:line="360" w:lineRule="auto"/>
        <w:rPr>
          <w:color w:val="auto"/>
          <w:highlight w:val="none"/>
        </w:rPr>
      </w:pPr>
    </w:p>
    <w:p>
      <w:pPr>
        <w:wordWrap w:val="0"/>
        <w:snapToGrid w:val="0"/>
        <w:spacing w:line="360" w:lineRule="auto"/>
        <w:ind w:firstLine="508" w:firstLineChars="200"/>
        <w:contextualSpacing/>
        <w:jc w:val="right"/>
        <w:rPr>
          <w:rFonts w:ascii="宋体" w:hAnsi="宋体" w:cs="宋体"/>
          <w:color w:val="auto"/>
          <w:sz w:val="28"/>
          <w:szCs w:val="28"/>
          <w:highlight w:val="none"/>
        </w:rPr>
      </w:pPr>
      <w:r>
        <w:rPr>
          <w:rFonts w:hint="eastAsia" w:ascii="宋体" w:hAnsi="宋体" w:cs="宋体"/>
          <w:color w:val="auto"/>
          <w:spacing w:val="7"/>
          <w:kern w:val="0"/>
          <w:sz w:val="24"/>
          <w:highlight w:val="none"/>
          <w:u w:val="single"/>
        </w:rPr>
        <w:t>2023</w:t>
      </w:r>
      <w:r>
        <w:rPr>
          <w:rFonts w:hint="eastAsia" w:ascii="宋体" w:hAnsi="宋体" w:cs="宋体"/>
          <w:color w:val="auto"/>
          <w:spacing w:val="7"/>
          <w:kern w:val="0"/>
          <w:sz w:val="24"/>
          <w:highlight w:val="none"/>
        </w:rPr>
        <w:t>年</w:t>
      </w:r>
      <w:r>
        <w:rPr>
          <w:rFonts w:hint="eastAsia" w:ascii="宋体" w:hAnsi="宋体" w:cs="宋体"/>
          <w:color w:val="auto"/>
          <w:spacing w:val="7"/>
          <w:kern w:val="0"/>
          <w:sz w:val="24"/>
          <w:highlight w:val="none"/>
          <w:u w:val="single"/>
        </w:rPr>
        <w:t>3</w:t>
      </w:r>
      <w:r>
        <w:rPr>
          <w:rFonts w:hint="eastAsia" w:ascii="宋体" w:hAnsi="宋体" w:cs="宋体"/>
          <w:color w:val="auto"/>
          <w:spacing w:val="7"/>
          <w:kern w:val="0"/>
          <w:sz w:val="24"/>
          <w:highlight w:val="none"/>
        </w:rPr>
        <w:t>月</w:t>
      </w:r>
      <w:r>
        <w:rPr>
          <w:rFonts w:hint="eastAsia" w:ascii="宋体" w:hAnsi="宋体" w:cs="宋体"/>
          <w:color w:val="auto"/>
          <w:spacing w:val="7"/>
          <w:kern w:val="0"/>
          <w:sz w:val="24"/>
          <w:highlight w:val="none"/>
          <w:u w:val="single"/>
          <w:lang w:val="en-US" w:eastAsia="zh-CN"/>
        </w:rPr>
        <w:t>24</w:t>
      </w:r>
      <w:r>
        <w:rPr>
          <w:rFonts w:hint="eastAsia" w:ascii="宋体" w:hAnsi="宋体" w:cs="宋体"/>
          <w:color w:val="auto"/>
          <w:spacing w:val="7"/>
          <w:kern w:val="0"/>
          <w:sz w:val="24"/>
          <w:highlight w:val="none"/>
        </w:rPr>
        <w:t>日</w:t>
      </w:r>
    </w:p>
    <w:p>
      <w:pPr>
        <w:spacing w:line="360" w:lineRule="auto"/>
        <w:jc w:val="left"/>
        <w:rPr>
          <w:rFonts w:ascii="宋体" w:hAnsi="宋体"/>
          <w:color w:val="auto"/>
          <w:kern w:val="0"/>
          <w:sz w:val="28"/>
          <w:szCs w:val="28"/>
          <w:highlight w:val="none"/>
        </w:rPr>
      </w:pPr>
    </w:p>
    <w:p>
      <w:pPr>
        <w:spacing w:line="360" w:lineRule="auto"/>
        <w:jc w:val="left"/>
        <w:rPr>
          <w:rFonts w:ascii="宋体" w:hAnsi="宋体"/>
          <w:color w:val="auto"/>
          <w:kern w:val="0"/>
          <w:sz w:val="28"/>
          <w:szCs w:val="28"/>
          <w:highlight w:val="none"/>
        </w:rPr>
      </w:pPr>
      <w:r>
        <w:rPr>
          <w:rFonts w:hint="eastAsia" w:ascii="宋体" w:hAnsi="宋体"/>
          <w:color w:val="auto"/>
          <w:kern w:val="0"/>
          <w:sz w:val="28"/>
          <w:szCs w:val="28"/>
          <w:highlight w:val="none"/>
        </w:rPr>
        <w:br w:type="page"/>
      </w:r>
      <w:r>
        <w:rPr>
          <w:rFonts w:hint="eastAsia" w:ascii="宋体" w:hAnsi="宋体"/>
          <w:color w:val="auto"/>
          <w:kern w:val="0"/>
          <w:sz w:val="28"/>
          <w:szCs w:val="28"/>
          <w:highlight w:val="none"/>
        </w:rPr>
        <w:t>附件1</w:t>
      </w:r>
    </w:p>
    <w:p>
      <w:pPr>
        <w:spacing w:line="360" w:lineRule="auto"/>
        <w:jc w:val="center"/>
        <w:rPr>
          <w:rFonts w:ascii="宋体" w:hAnsi="宋体"/>
          <w:b/>
          <w:color w:val="auto"/>
          <w:kern w:val="0"/>
          <w:sz w:val="32"/>
          <w:szCs w:val="20"/>
          <w:highlight w:val="none"/>
        </w:rPr>
      </w:pPr>
      <w:r>
        <w:rPr>
          <w:rFonts w:hint="eastAsia" w:ascii="宋体" w:hAnsi="宋体"/>
          <w:b/>
          <w:color w:val="auto"/>
          <w:kern w:val="0"/>
          <w:sz w:val="32"/>
          <w:szCs w:val="20"/>
          <w:highlight w:val="none"/>
        </w:rPr>
        <w:t>申请函</w:t>
      </w:r>
    </w:p>
    <w:p>
      <w:pPr>
        <w:spacing w:line="360" w:lineRule="auto"/>
        <w:jc w:val="left"/>
        <w:rPr>
          <w:rFonts w:ascii="宋体" w:hAnsi="宋体"/>
          <w:b/>
          <w:color w:val="auto"/>
          <w:kern w:val="0"/>
          <w:sz w:val="32"/>
          <w:szCs w:val="20"/>
          <w:highlight w:val="none"/>
        </w:rPr>
      </w:pPr>
    </w:p>
    <w:p>
      <w:pPr>
        <w:spacing w:line="360" w:lineRule="auto"/>
        <w:jc w:val="left"/>
        <w:rPr>
          <w:rFonts w:ascii="宋体" w:hAnsi="宋体"/>
          <w:b/>
          <w:color w:val="auto"/>
          <w:kern w:val="0"/>
          <w:sz w:val="24"/>
          <w:highlight w:val="none"/>
          <w:u w:val="single"/>
        </w:rPr>
      </w:pPr>
      <w:r>
        <w:rPr>
          <w:rFonts w:hint="eastAsia" w:ascii="宋体" w:hAnsi="宋体"/>
          <w:b/>
          <w:color w:val="auto"/>
          <w:kern w:val="0"/>
          <w:sz w:val="24"/>
          <w:highlight w:val="none"/>
        </w:rPr>
        <w:t>致：</w:t>
      </w:r>
      <w:r>
        <w:rPr>
          <w:rFonts w:hint="eastAsia" w:ascii="宋体" w:hAnsi="宋体"/>
          <w:b/>
          <w:color w:val="auto"/>
          <w:kern w:val="0"/>
          <w:sz w:val="24"/>
          <w:highlight w:val="none"/>
          <w:u w:val="single"/>
        </w:rPr>
        <w:t>南通市公路事业发展中心</w:t>
      </w:r>
    </w:p>
    <w:p>
      <w:pPr>
        <w:widowControl/>
        <w:shd w:val="clear" w:color="auto" w:fill="FFFFFF"/>
        <w:spacing w:line="360" w:lineRule="auto"/>
        <w:ind w:firstLine="480" w:firstLineChars="200"/>
        <w:rPr>
          <w:rFonts w:ascii="宋体" w:hAnsi="宋体" w:cs="宋体"/>
          <w:color w:val="auto"/>
          <w:spacing w:val="7"/>
          <w:kern w:val="0"/>
          <w:sz w:val="24"/>
          <w:highlight w:val="none"/>
        </w:rPr>
      </w:pPr>
      <w:r>
        <w:rPr>
          <w:rFonts w:hint="eastAsia" w:ascii="宋体" w:hAnsi="宋体"/>
          <w:color w:val="auto"/>
          <w:kern w:val="0"/>
          <w:sz w:val="24"/>
          <w:highlight w:val="none"/>
        </w:rPr>
        <w:t>我公司已获悉贵单位发</w:t>
      </w:r>
      <w:bookmarkStart w:id="153" w:name="_GoBack"/>
      <w:bookmarkEnd w:id="153"/>
      <w:r>
        <w:rPr>
          <w:rFonts w:hint="eastAsia" w:ascii="宋体" w:hAnsi="宋体"/>
          <w:color w:val="auto"/>
          <w:kern w:val="0"/>
          <w:sz w:val="24"/>
          <w:highlight w:val="none"/>
        </w:rPr>
        <w:t>出的</w:t>
      </w:r>
      <w:r>
        <w:rPr>
          <w:rFonts w:hint="eastAsia" w:ascii="宋体" w:hAnsi="宋体"/>
          <w:color w:val="auto"/>
          <w:kern w:val="0"/>
          <w:sz w:val="24"/>
          <w:highlight w:val="none"/>
          <w:u w:val="single"/>
        </w:rPr>
        <w:t xml:space="preserve"> </w:t>
      </w:r>
      <w:r>
        <w:rPr>
          <w:rFonts w:hint="eastAsia" w:ascii="宋体" w:hAnsi="宋体" w:cs="宋体"/>
          <w:color w:val="auto"/>
          <w:spacing w:val="7"/>
          <w:kern w:val="0"/>
          <w:sz w:val="24"/>
          <w:highlight w:val="none"/>
          <w:u w:val="single"/>
        </w:rPr>
        <w:t>《南通市普通国省道服务设施和养护工区布局规划（2023-2035）》项目</w:t>
      </w:r>
      <w:r>
        <w:rPr>
          <w:rFonts w:hint="eastAsia" w:ascii="宋体" w:hAnsi="宋体" w:cs="宋体"/>
          <w:color w:val="auto"/>
          <w:spacing w:val="7"/>
          <w:kern w:val="0"/>
          <w:sz w:val="24"/>
          <w:highlight w:val="none"/>
        </w:rPr>
        <w:t>竞争性谈判公告</w:t>
      </w:r>
      <w:r>
        <w:rPr>
          <w:rFonts w:hint="eastAsia" w:ascii="宋体" w:hAnsi="宋体"/>
          <w:color w:val="auto"/>
          <w:kern w:val="0"/>
          <w:sz w:val="24"/>
          <w:highlight w:val="none"/>
        </w:rPr>
        <w:t>，经研究，我单位拟参加本项目谈判，现申请获取谈判文件。</w:t>
      </w:r>
    </w:p>
    <w:p>
      <w:pPr>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联系人：</w:t>
      </w:r>
    </w:p>
    <w:p>
      <w:pPr>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联系电话：</w:t>
      </w:r>
    </w:p>
    <w:p>
      <w:pPr>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E-MAIL地址：</w:t>
      </w:r>
    </w:p>
    <w:p>
      <w:pPr>
        <w:spacing w:line="360" w:lineRule="auto"/>
        <w:jc w:val="left"/>
        <w:rPr>
          <w:rFonts w:ascii="宋体" w:hAnsi="宋体" w:cs="宋体"/>
          <w:color w:val="auto"/>
          <w:kern w:val="0"/>
          <w:sz w:val="24"/>
          <w:highlight w:val="none"/>
          <w:lang w:val="zh-CN"/>
        </w:rPr>
      </w:pPr>
    </w:p>
    <w:p>
      <w:pPr>
        <w:spacing w:line="360" w:lineRule="auto"/>
        <w:ind w:firstLine="5280" w:firstLineChars="2200"/>
        <w:jc w:val="left"/>
        <w:rPr>
          <w:rFonts w:ascii="宋体" w:hAnsi="宋体" w:cs="宋体"/>
          <w:color w:val="auto"/>
          <w:kern w:val="0"/>
          <w:sz w:val="24"/>
          <w:highlight w:val="none"/>
          <w:u w:val="single"/>
          <w:lang w:val="zh-CN"/>
        </w:rPr>
      </w:pPr>
      <w:r>
        <w:rPr>
          <w:rFonts w:hint="eastAsia" w:ascii="宋体" w:hAnsi="宋体" w:cs="宋体"/>
          <w:color w:val="auto"/>
          <w:kern w:val="0"/>
          <w:sz w:val="24"/>
          <w:highlight w:val="none"/>
          <w:lang w:val="zh-CN"/>
        </w:rPr>
        <w:t>单位：</w:t>
      </w:r>
      <w:r>
        <w:rPr>
          <w:rFonts w:hint="eastAsia" w:ascii="宋体" w:hAnsi="宋体" w:cs="宋体"/>
          <w:color w:val="auto"/>
          <w:kern w:val="0"/>
          <w:sz w:val="24"/>
          <w:highlight w:val="none"/>
          <w:u w:val="single"/>
          <w:lang w:val="zh-CN"/>
        </w:rPr>
        <w:t xml:space="preserve"> （盖章）                 </w:t>
      </w:r>
    </w:p>
    <w:p>
      <w:pPr>
        <w:wordWrap w:val="0"/>
        <w:spacing w:line="360" w:lineRule="auto"/>
        <w:jc w:val="right"/>
        <w:rPr>
          <w:rFonts w:ascii="宋体" w:hAnsi="宋体"/>
          <w:color w:val="auto"/>
          <w:kern w:val="0"/>
          <w:sz w:val="24"/>
          <w:highlight w:val="none"/>
        </w:rPr>
      </w:pPr>
      <w:r>
        <w:rPr>
          <w:rFonts w:hint="eastAsia" w:ascii="宋体" w:hAnsi="宋体" w:cs="宋体"/>
          <w:color w:val="auto"/>
          <w:kern w:val="0"/>
          <w:sz w:val="24"/>
          <w:highlight w:val="none"/>
          <w:lang w:val="zh-CN"/>
        </w:rPr>
        <w:t>年  月  日</w:t>
      </w:r>
    </w:p>
    <w:p>
      <w:pPr>
        <w:spacing w:line="360" w:lineRule="auto"/>
        <w:jc w:val="right"/>
        <w:rPr>
          <w:rFonts w:ascii="宋体" w:hAnsi="宋体" w:cs="宋体"/>
          <w:color w:val="auto"/>
          <w:kern w:val="0"/>
          <w:sz w:val="24"/>
          <w:highlight w:val="none"/>
        </w:rPr>
      </w:pPr>
    </w:p>
    <w:p>
      <w:pPr>
        <w:snapToGrid w:val="0"/>
        <w:spacing w:line="360" w:lineRule="auto"/>
        <w:ind w:firstLine="560" w:firstLineChars="200"/>
        <w:contextualSpacing/>
        <w:rPr>
          <w:rFonts w:ascii="宋体" w:hAnsi="宋体" w:cs="宋体"/>
          <w:color w:val="auto"/>
          <w:sz w:val="28"/>
          <w:szCs w:val="28"/>
          <w:highlight w:val="none"/>
        </w:rPr>
      </w:pPr>
    </w:p>
    <w:p>
      <w:pPr>
        <w:snapToGrid w:val="0"/>
        <w:spacing w:line="300" w:lineRule="auto"/>
        <w:contextualSpacing/>
        <w:jc w:val="center"/>
        <w:rPr>
          <w:rFonts w:ascii="宋体" w:hAnsi="宋体" w:cs="宋体"/>
          <w:b/>
          <w:bCs/>
          <w:color w:val="auto"/>
          <w:sz w:val="36"/>
          <w:szCs w:val="36"/>
          <w:highlight w:val="none"/>
          <w:lang w:val="zh-CN"/>
        </w:rPr>
      </w:pPr>
      <w:r>
        <w:rPr>
          <w:rFonts w:hint="eastAsia" w:ascii="宋体" w:hAnsi="宋体" w:cs="宋体"/>
          <w:b/>
          <w:color w:val="auto"/>
          <w:sz w:val="28"/>
          <w:szCs w:val="28"/>
          <w:highlight w:val="none"/>
        </w:rPr>
        <w:br w:type="page"/>
      </w:r>
      <w:r>
        <w:rPr>
          <w:rFonts w:hint="eastAsia" w:ascii="宋体" w:hAnsi="宋体" w:cs="宋体"/>
          <w:b/>
          <w:bCs/>
          <w:color w:val="auto"/>
          <w:sz w:val="36"/>
          <w:szCs w:val="36"/>
          <w:highlight w:val="none"/>
          <w:lang w:val="zh-CN"/>
        </w:rPr>
        <w:t>第二部分 谈判须知</w:t>
      </w:r>
    </w:p>
    <w:p>
      <w:pPr>
        <w:autoSpaceDE w:val="0"/>
        <w:autoSpaceDN w:val="0"/>
        <w:adjustRightInd w:val="0"/>
        <w:spacing w:line="360" w:lineRule="auto"/>
        <w:ind w:firstLine="482" w:firstLineChars="200"/>
        <w:outlineLvl w:val="1"/>
        <w:rPr>
          <w:rFonts w:ascii="宋体" w:hAnsi="宋体" w:cs="宋体"/>
          <w:b/>
          <w:color w:val="auto"/>
          <w:sz w:val="24"/>
          <w:highlight w:val="none"/>
          <w:lang w:val="zh-CN"/>
        </w:rPr>
      </w:pPr>
      <w:r>
        <w:rPr>
          <w:rFonts w:hint="eastAsia" w:ascii="宋体" w:hAnsi="宋体" w:cs="宋体"/>
          <w:b/>
          <w:color w:val="auto"/>
          <w:sz w:val="24"/>
          <w:highlight w:val="none"/>
          <w:lang w:val="zh-CN"/>
        </w:rPr>
        <w:t>一、说明</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本竞争性谈判文件仅适用于采购人组织的竞争性谈判采购活动。</w:t>
      </w:r>
    </w:p>
    <w:p>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竞争性谈判活动及因本次谈判产生的合同受中国法律制约和保护。</w:t>
      </w:r>
    </w:p>
    <w:p>
      <w:pPr>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w:t>
      </w:r>
      <w:r>
        <w:rPr>
          <w:rFonts w:hint="eastAsia" w:ascii="宋体" w:hAnsi="宋体" w:cs="宋体"/>
          <w:color w:val="auto"/>
          <w:sz w:val="24"/>
          <w:highlight w:val="none"/>
          <w:lang w:val="zh-CN"/>
        </w:rPr>
        <w:t>.</w:t>
      </w:r>
      <w:r>
        <w:rPr>
          <w:rFonts w:hint="eastAsia" w:ascii="宋体" w:hAnsi="宋体" w:cs="宋体"/>
          <w:bCs/>
          <w:color w:val="auto"/>
          <w:sz w:val="24"/>
          <w:highlight w:val="none"/>
        </w:rPr>
        <w:t>竞争性谈判文件的解释权属于采购人。</w:t>
      </w:r>
    </w:p>
    <w:p>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供应商下载谈判文件后，应仔细检查谈判文件的所有内容。如内容中有页码短缺、资格要求以及任何设置有不合理的条件对供应商实行差别待遇或者歧视待遇的，</w:t>
      </w:r>
      <w:r>
        <w:rPr>
          <w:rFonts w:hint="eastAsia" w:ascii="宋体" w:hAnsi="宋体" w:cs="宋体"/>
          <w:color w:val="auto"/>
          <w:sz w:val="24"/>
          <w:highlight w:val="none"/>
          <w:lang w:val="zh-CN"/>
        </w:rPr>
        <w:t>供应商下载谈判</w:t>
      </w:r>
      <w:r>
        <w:rPr>
          <w:rFonts w:hint="eastAsia" w:ascii="宋体" w:hAnsi="宋体" w:cs="宋体"/>
          <w:color w:val="auto"/>
          <w:sz w:val="24"/>
          <w:highlight w:val="none"/>
        </w:rPr>
        <w:t>文件后，应在谈判文件发布后的</w:t>
      </w:r>
      <w:r>
        <w:rPr>
          <w:rFonts w:hint="eastAsia" w:ascii="宋体" w:hAnsi="宋体" w:cs="宋体"/>
          <w:b/>
          <w:color w:val="auto"/>
          <w:sz w:val="24"/>
          <w:highlight w:val="none"/>
          <w:lang w:val="zh-CN"/>
        </w:rPr>
        <w:t>3日内以书面形式向采购人或代理单位提出询问或疑问</w:t>
      </w:r>
      <w:r>
        <w:rPr>
          <w:rFonts w:hint="eastAsia" w:ascii="宋体" w:hAnsi="宋体" w:cs="宋体"/>
          <w:color w:val="auto"/>
          <w:sz w:val="24"/>
          <w:highlight w:val="none"/>
          <w:lang w:val="zh-CN"/>
        </w:rPr>
        <w:t>，未在规定的3日内提出询问或疑问的，视同供应商理解并接受本谈判文件所有内容，并由此引起的损失自负。</w:t>
      </w:r>
      <w:r>
        <w:rPr>
          <w:rFonts w:hint="eastAsia" w:ascii="宋体" w:hAnsi="宋体" w:cs="宋体"/>
          <w:b/>
          <w:color w:val="auto"/>
          <w:sz w:val="24"/>
          <w:highlight w:val="none"/>
        </w:rPr>
        <w:t>非书面形式的不作为日后质疑提出的依据。</w:t>
      </w:r>
    </w:p>
    <w:p>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5.供应商应认真审阅谈判文件中所有的事项、格式、条款和规范要求等，如果供应商没有按照谈判文件要求提交响应文件，或者响应文件没有对谈判文件做出实质性响应，其投标将被拒绝，供应商自行承担责任。</w:t>
      </w:r>
    </w:p>
    <w:p>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6.</w:t>
      </w:r>
      <w:r>
        <w:rPr>
          <w:rFonts w:hint="eastAsia" w:ascii="宋体" w:hAnsi="宋体" w:cs="宋体"/>
          <w:color w:val="auto"/>
          <w:sz w:val="24"/>
          <w:highlight w:val="none"/>
        </w:rPr>
        <w:t>供应商在谈判开始前自行踏勘现场，供应商务必自行认真踏勘现场条件，进一步获取所需信息，一旦成交不得对现场条件提出额外要求，不得要求增加费用，采购人可视情组织答疑会。</w:t>
      </w:r>
    </w:p>
    <w:p>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二、谈判文件的澄清、修改、答疑</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采购人有权对发出的谈判文件进行必要的澄清、修改或补充。</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谈判文件的澄清、修改、补充等内容均以书面明确的形式发布，并以</w:t>
      </w:r>
      <w:r>
        <w:rPr>
          <w:rFonts w:hint="eastAsia" w:ascii="宋体" w:hAnsi="宋体" w:cs="宋体"/>
          <w:color w:val="auto"/>
          <w:spacing w:val="7"/>
          <w:kern w:val="0"/>
          <w:sz w:val="24"/>
          <w:highlight w:val="none"/>
        </w:rPr>
        <w:t>南通市交通运输局—公共资源交易栏目</w:t>
      </w:r>
      <w:r>
        <w:rPr>
          <w:rFonts w:hint="eastAsia" w:ascii="宋体" w:hAnsi="宋体" w:cs="宋体"/>
          <w:color w:val="auto"/>
          <w:sz w:val="24"/>
          <w:highlight w:val="none"/>
        </w:rPr>
        <w:t>发布的信息为准。</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CN"/>
        </w:rPr>
        <w:t>.</w:t>
      </w:r>
      <w:r>
        <w:rPr>
          <w:rFonts w:hint="eastAsia" w:ascii="宋体" w:hAnsi="宋体" w:cs="宋体"/>
          <w:color w:val="auto"/>
          <w:sz w:val="24"/>
          <w:highlight w:val="none"/>
        </w:rPr>
        <w:t>采购人对谈判文件的澄清、修改将构成谈判文件的一部分，对响应谈判的供应商具有约束力。</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澄清或者修改的内容可能影响到响应文件编制的，采购人将在提交响应文件接收截止之日3日前，发布澄清或者修改公告，不足3日的，当顺延提交响应文件接收截止时间。</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zh-CN"/>
        </w:rPr>
        <w:t>.</w:t>
      </w:r>
      <w:r>
        <w:rPr>
          <w:rFonts w:hint="eastAsia" w:ascii="宋体" w:hAnsi="宋体" w:cs="宋体"/>
          <w:color w:val="auto"/>
          <w:sz w:val="24"/>
          <w:highlight w:val="none"/>
        </w:rPr>
        <w:t>除非采购人以书面的形式对谈判文件作出澄清、修改及补充，供应商由于对谈判文件的任何推论和误解以及采购人对有关问题的口头解释所造成的后果，均由供应商自负。</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val="zh-CN"/>
        </w:rPr>
        <w:t>.</w:t>
      </w:r>
      <w:r>
        <w:rPr>
          <w:rFonts w:hint="eastAsia" w:ascii="宋体" w:hAnsi="宋体" w:cs="宋体"/>
          <w:color w:val="auto"/>
          <w:sz w:val="24"/>
          <w:highlight w:val="none"/>
        </w:rPr>
        <w:t>采购人视情况组织答疑会。如有产生答疑且对谈判文件内容有修改，采购人将按照本须知有关规定，以书面方式发出。</w:t>
      </w:r>
    </w:p>
    <w:p>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三、谈判项目涉及到的现场勘察</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zh-CN"/>
        </w:rPr>
        <w:t>.</w:t>
      </w:r>
      <w:r>
        <w:rPr>
          <w:rFonts w:hint="eastAsia" w:ascii="宋体" w:hAnsi="宋体" w:cs="宋体"/>
          <w:color w:val="auto"/>
          <w:sz w:val="24"/>
          <w:highlight w:val="none"/>
        </w:rPr>
        <w:t>谈判文件所提供的项目相关数据仅做参考，根据自身需要，供应商可在谈判文件递交之日前对有关现场和周围环境进行勘察，以获取编制响应文件和签署合同所需的信息。勘察现场所发生的费用由供应商自己承担。</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采购人向供应商提供的有关现场的资料和数据，是采购人现有的并认为能使供应商可利用的资料。采购人对供应商由此而做出的推论、理解和结论概不负责。</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zh-CN"/>
        </w:rPr>
        <w:t>.</w:t>
      </w:r>
      <w:r>
        <w:rPr>
          <w:rFonts w:hint="eastAsia" w:ascii="宋体" w:hAnsi="宋体" w:cs="宋体"/>
          <w:color w:val="auto"/>
          <w:sz w:val="24"/>
          <w:highlight w:val="none"/>
        </w:rPr>
        <w:t>经采购人允许，供应商可为勘察目的进入采购人的项目现场，但供应商不得因此使采购人承担有关的责任和蒙受损失。供应商应承担勘察现场的责任和风险。</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w:t>
      </w:r>
      <w:r>
        <w:rPr>
          <w:rFonts w:hint="eastAsia" w:ascii="宋体" w:hAnsi="宋体" w:cs="宋体"/>
          <w:color w:val="auto"/>
          <w:sz w:val="24"/>
          <w:highlight w:val="none"/>
        </w:rPr>
        <w:t>供应商应认真踏勘现场。在现场勘察时，熟悉现场、现场周围交通道路等情况，以获得一切可能影响其投标的直接资料。供应商成交后，不得以不完全了解现场情况为理由而向采购人提出任何索赔的要求，对此采购人不承担任何责任并将不作任何答复与考虑。</w:t>
      </w:r>
    </w:p>
    <w:p>
      <w:pPr>
        <w:autoSpaceDE w:val="0"/>
        <w:autoSpaceDN w:val="0"/>
        <w:adjustRightInd w:val="0"/>
        <w:snapToGrid w:val="0"/>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lang w:val="zh-CN"/>
        </w:rPr>
        <w:t>四、响应文件的编写、密封及标记</w:t>
      </w:r>
    </w:p>
    <w:p>
      <w:pPr>
        <w:autoSpaceDE w:val="0"/>
        <w:autoSpaceDN w:val="0"/>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（一）响应文件的编写</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1.供应商按“第七部分 响应文件组成”要求编写响应文件。但表格可以按同样格式扩展。除另有规定者外，谈判响应人不得修改。</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2.响应文件规格幅面A4纸（图纸等除外）。</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按照谈判文件所规定的内容顺序，统一编制目录，逐页编码，由于编排混乱导致投标文件被误读或查找不到，其责任应当由供应商承担；牢固装订成册，不允许使用活页夹、拉杆夹、文件夹、塑料方便式书脊（插入式或穿孔式）装订。</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4.响应文件不得行间插字、涂改、增删，如修改错漏处，须经响应文件签署人签字并加盖公章。</w:t>
      </w:r>
    </w:p>
    <w:p>
      <w:pPr>
        <w:autoSpaceDE w:val="0"/>
        <w:autoSpaceDN w:val="0"/>
        <w:adjustRightInd w:val="0"/>
        <w:snapToGrid w:val="0"/>
        <w:spacing w:line="360" w:lineRule="auto"/>
        <w:ind w:firstLine="482" w:firstLineChars="200"/>
        <w:contextualSpacing/>
        <w:rPr>
          <w:rFonts w:ascii="宋体" w:hAnsi="宋体" w:cs="宋体"/>
          <w:b/>
          <w:bCs/>
          <w:color w:val="auto"/>
          <w:sz w:val="24"/>
          <w:highlight w:val="none"/>
          <w:lang w:val="zh-CN"/>
        </w:rPr>
      </w:pPr>
      <w:r>
        <w:rPr>
          <w:rFonts w:hint="eastAsia" w:ascii="宋体" w:hAnsi="宋体" w:cs="宋体"/>
          <w:b/>
          <w:bCs/>
          <w:color w:val="auto"/>
          <w:sz w:val="24"/>
          <w:highlight w:val="none"/>
          <w:lang w:val="zh-CN"/>
        </w:rPr>
        <w:t>（二）响应文件的份数和签署</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1.响应文件由：</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1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①</w:t>
      </w:r>
      <w:r>
        <w:rPr>
          <w:rFonts w:hint="eastAsia" w:ascii="宋体" w:hAnsi="宋体" w:cs="宋体"/>
          <w:color w:val="auto"/>
          <w:sz w:val="24"/>
          <w:highlight w:val="none"/>
          <w:lang w:val="zh-CN"/>
        </w:rPr>
        <w:fldChar w:fldCharType="end"/>
      </w:r>
      <w:r>
        <w:rPr>
          <w:rFonts w:hint="eastAsia" w:ascii="宋体" w:hAnsi="宋体" w:cs="宋体"/>
          <w:color w:val="auto"/>
          <w:sz w:val="24"/>
          <w:highlight w:val="none"/>
          <w:lang w:val="zh-CN"/>
        </w:rPr>
        <w:t>资格审查、</w:t>
      </w:r>
      <w:r>
        <w:rPr>
          <w:rFonts w:hint="eastAsia" w:ascii="宋体" w:hAnsi="宋体" w:cs="宋体"/>
          <w:color w:val="auto"/>
          <w:sz w:val="24"/>
          <w:highlight w:val="none"/>
          <w:lang w:val="zh-CN"/>
        </w:rPr>
        <w:fldChar w:fldCharType="begin"/>
      </w:r>
      <w:r>
        <w:rPr>
          <w:rFonts w:hint="eastAsia" w:ascii="宋体" w:hAnsi="宋体" w:cs="宋体"/>
          <w:color w:val="auto"/>
          <w:sz w:val="24"/>
          <w:highlight w:val="none"/>
          <w:lang w:val="zh-CN"/>
        </w:rPr>
        <w:instrText xml:space="preserve"> = 2 \* GB3 </w:instrText>
      </w:r>
      <w:r>
        <w:rPr>
          <w:rFonts w:hint="eastAsia" w:ascii="宋体" w:hAnsi="宋体" w:cs="宋体"/>
          <w:color w:val="auto"/>
          <w:sz w:val="24"/>
          <w:highlight w:val="none"/>
          <w:lang w:val="zh-CN"/>
        </w:rPr>
        <w:fldChar w:fldCharType="separate"/>
      </w:r>
      <w:r>
        <w:rPr>
          <w:rFonts w:hint="eastAsia" w:ascii="宋体" w:hAnsi="宋体" w:cs="宋体"/>
          <w:color w:val="auto"/>
          <w:sz w:val="24"/>
          <w:highlight w:val="none"/>
          <w:lang w:val="zh-CN"/>
        </w:rPr>
        <w:t>②</w:t>
      </w:r>
      <w:r>
        <w:rPr>
          <w:rFonts w:hint="eastAsia" w:ascii="宋体" w:hAnsi="宋体" w:cs="宋体"/>
          <w:color w:val="auto"/>
          <w:sz w:val="24"/>
          <w:highlight w:val="none"/>
          <w:lang w:val="zh-CN"/>
        </w:rPr>
        <w:fldChar w:fldCharType="end"/>
      </w:r>
      <w:r>
        <w:rPr>
          <w:rFonts w:hint="eastAsia" w:ascii="宋体" w:hAnsi="宋体" w:cs="仿宋_GB2312"/>
          <w:color w:val="auto"/>
          <w:sz w:val="24"/>
          <w:highlight w:val="none"/>
          <w:lang w:val="zh-CN"/>
        </w:rPr>
        <w:t>价格</w:t>
      </w:r>
      <w:r>
        <w:rPr>
          <w:rFonts w:hint="eastAsia" w:ascii="宋体" w:hAnsi="宋体" w:cs="宋体"/>
          <w:color w:val="auto"/>
          <w:sz w:val="24"/>
          <w:highlight w:val="none"/>
          <w:lang w:val="zh-CN"/>
        </w:rPr>
        <w:t>响应文件、</w:t>
      </w:r>
      <w:r>
        <w:rPr>
          <w:rFonts w:hint="eastAsia" w:ascii="宋体" w:hAnsi="宋体" w:cs="宋体"/>
          <w:color w:val="auto"/>
          <w:sz w:val="24"/>
          <w:highlight w:val="none"/>
        </w:rPr>
        <w:t>③</w:t>
      </w:r>
      <w:r>
        <w:rPr>
          <w:rFonts w:hint="eastAsia" w:ascii="宋体" w:hAnsi="宋体" w:cs="宋体"/>
          <w:color w:val="auto"/>
          <w:sz w:val="24"/>
          <w:highlight w:val="none"/>
          <w:lang w:val="zh-CN"/>
        </w:rPr>
        <w:t>电子</w:t>
      </w:r>
      <w:r>
        <w:rPr>
          <w:rFonts w:hint="eastAsia" w:ascii="宋体" w:hAnsi="宋体" w:cs="宋体"/>
          <w:color w:val="auto"/>
          <w:sz w:val="24"/>
          <w:highlight w:val="none"/>
        </w:rPr>
        <w:t>版响应</w:t>
      </w:r>
      <w:r>
        <w:rPr>
          <w:rFonts w:hint="eastAsia" w:ascii="宋体" w:hAnsi="宋体" w:cs="宋体"/>
          <w:color w:val="auto"/>
          <w:sz w:val="24"/>
          <w:highlight w:val="none"/>
          <w:lang w:val="zh-CN"/>
        </w:rPr>
        <w:t>文件共</w:t>
      </w:r>
      <w:r>
        <w:rPr>
          <w:rFonts w:hint="eastAsia" w:ascii="宋体" w:hAnsi="宋体" w:cs="宋体"/>
          <w:color w:val="auto"/>
          <w:sz w:val="24"/>
          <w:highlight w:val="none"/>
        </w:rPr>
        <w:t>3</w:t>
      </w:r>
      <w:r>
        <w:rPr>
          <w:rFonts w:hint="eastAsia" w:ascii="宋体" w:hAnsi="宋体" w:cs="宋体"/>
          <w:color w:val="auto"/>
          <w:sz w:val="24"/>
          <w:highlight w:val="none"/>
          <w:lang w:val="zh-CN"/>
        </w:rPr>
        <w:t>部分组成（以下由文件序号代称）。</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2.纸质响应文件均为一式叁份，其中“正本”壹份和“副本”贰份。电子</w:t>
      </w:r>
      <w:r>
        <w:rPr>
          <w:rFonts w:hint="eastAsia" w:ascii="宋体" w:hAnsi="宋体" w:cs="宋体"/>
          <w:color w:val="auto"/>
          <w:sz w:val="24"/>
          <w:highlight w:val="none"/>
        </w:rPr>
        <w:t>版响应</w:t>
      </w:r>
      <w:r>
        <w:rPr>
          <w:rFonts w:hint="eastAsia" w:ascii="宋体" w:hAnsi="宋体" w:cs="宋体"/>
          <w:color w:val="auto"/>
          <w:sz w:val="24"/>
          <w:highlight w:val="none"/>
          <w:lang w:val="zh-CN"/>
        </w:rPr>
        <w:t>文件1份（具体要求详见第七部分响应文件组成）</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3.在每份纸质响应文件上要明确标注项目名称、对应的响应文件名称、供应商的全称、日期、“正本”、“副本”字样。“正本”和“副本”若有差异，概以“正本”为准。</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4.响应文件中的所有“正本”，其正文内容须按谈判文件要求由供应商法定代表人或被授权人签字（或盖章）并加盖单位公章。“副本”可复印，但须加盖单位公章。</w:t>
      </w:r>
    </w:p>
    <w:p>
      <w:pPr>
        <w:autoSpaceDE w:val="0"/>
        <w:autoSpaceDN w:val="0"/>
        <w:adjustRightInd w:val="0"/>
        <w:snapToGrid w:val="0"/>
        <w:spacing w:line="360" w:lineRule="auto"/>
        <w:ind w:firstLine="420" w:firstLineChars="200"/>
        <w:contextualSpacing/>
        <w:jc w:val="left"/>
        <w:rPr>
          <w:rFonts w:ascii="宋体" w:hAnsi="宋体" w:cs="仿宋_GB2312"/>
          <w:b/>
          <w:bCs/>
          <w:color w:val="auto"/>
          <w:sz w:val="24"/>
          <w:highlight w:val="none"/>
          <w:lang w:val="zh-CN"/>
        </w:rPr>
      </w:pPr>
      <w:r>
        <w:rPr>
          <w:rFonts w:hint="eastAsia"/>
          <w:color w:val="auto"/>
          <w:highlight w:val="none"/>
          <w:lang w:val="zh-CN"/>
        </w:rPr>
        <w:t xml:space="preserve"> 5.</w:t>
      </w:r>
      <w:r>
        <w:rPr>
          <w:rFonts w:hint="eastAsia" w:ascii="宋体" w:hAnsi="宋体" w:cs="仿宋_GB2312"/>
          <w:b/>
          <w:bCs/>
          <w:color w:val="auto"/>
          <w:sz w:val="24"/>
          <w:highlight w:val="none"/>
          <w:lang w:val="zh-CN"/>
        </w:rPr>
        <w:t xml:space="preserve"> 电子版响应文件</w:t>
      </w:r>
    </w:p>
    <w:p>
      <w:pPr>
        <w:tabs>
          <w:tab w:val="left" w:pos="3375"/>
        </w:tabs>
        <w:autoSpaceDE w:val="0"/>
        <w:autoSpaceDN w:val="0"/>
        <w:adjustRightInd w:val="0"/>
        <w:snapToGrid w:val="0"/>
        <w:spacing w:line="360" w:lineRule="auto"/>
        <w:ind w:firstLine="480" w:firstLineChars="200"/>
        <w:contextualSpacing/>
        <w:jc w:val="left"/>
        <w:rPr>
          <w:rFonts w:ascii="宋体" w:hAnsi="宋体" w:cs="仿宋_GB2312"/>
          <w:color w:val="auto"/>
          <w:sz w:val="24"/>
          <w:highlight w:val="none"/>
          <w:lang w:val="zh-CN"/>
        </w:rPr>
      </w:pPr>
      <w:r>
        <w:rPr>
          <w:rFonts w:hint="eastAsia" w:ascii="宋体" w:hAnsi="宋体" w:cs="仿宋_GB2312"/>
          <w:color w:val="auto"/>
          <w:sz w:val="24"/>
          <w:highlight w:val="none"/>
          <w:lang w:val="zh-CN"/>
        </w:rPr>
        <w:t>电子版响应文件</w:t>
      </w:r>
      <w:r>
        <w:rPr>
          <w:rFonts w:hint="eastAsia" w:ascii="宋体" w:hAnsi="宋体" w:cs="仿宋_GB2312"/>
          <w:color w:val="auto"/>
          <w:sz w:val="24"/>
          <w:highlight w:val="none"/>
        </w:rPr>
        <w:t>即为上述</w:t>
      </w:r>
      <w:r>
        <w:rPr>
          <w:rFonts w:hint="eastAsia" w:ascii="宋体" w:hAnsi="宋体" w:cs="仿宋_GB2312"/>
          <w:color w:val="auto"/>
          <w:sz w:val="24"/>
          <w:highlight w:val="none"/>
          <w:lang w:val="zh-CN"/>
        </w:rPr>
        <w:fldChar w:fldCharType="begin"/>
      </w:r>
      <w:r>
        <w:rPr>
          <w:rFonts w:hint="eastAsia" w:ascii="宋体" w:hAnsi="宋体" w:cs="仿宋_GB2312"/>
          <w:color w:val="auto"/>
          <w:sz w:val="24"/>
          <w:highlight w:val="none"/>
          <w:lang w:val="zh-CN"/>
        </w:rPr>
        <w:instrText xml:space="preserve"> = 1 \* GB3 </w:instrText>
      </w:r>
      <w:r>
        <w:rPr>
          <w:rFonts w:hint="eastAsia" w:ascii="宋体" w:hAnsi="宋体" w:cs="仿宋_GB2312"/>
          <w:color w:val="auto"/>
          <w:sz w:val="24"/>
          <w:highlight w:val="none"/>
          <w:lang w:val="zh-CN"/>
        </w:rPr>
        <w:fldChar w:fldCharType="separate"/>
      </w:r>
      <w:r>
        <w:rPr>
          <w:rFonts w:hint="eastAsia" w:ascii="宋体" w:hAnsi="宋体" w:cs="仿宋_GB2312"/>
          <w:color w:val="auto"/>
          <w:sz w:val="24"/>
          <w:highlight w:val="none"/>
          <w:lang w:val="zh-CN"/>
        </w:rPr>
        <w:t>①</w:t>
      </w:r>
      <w:r>
        <w:rPr>
          <w:rFonts w:hint="eastAsia" w:ascii="宋体" w:hAnsi="宋体" w:cs="仿宋_GB2312"/>
          <w:color w:val="auto"/>
          <w:sz w:val="24"/>
          <w:highlight w:val="none"/>
          <w:lang w:val="zh-CN"/>
        </w:rPr>
        <w:fldChar w:fldCharType="end"/>
      </w:r>
      <w:r>
        <w:rPr>
          <w:rFonts w:hint="eastAsia" w:ascii="宋体" w:hAnsi="宋体" w:cs="仿宋_GB2312"/>
          <w:color w:val="auto"/>
          <w:sz w:val="24"/>
          <w:highlight w:val="none"/>
          <w:lang w:val="zh-CN"/>
        </w:rPr>
        <w:t>资格审查、</w:t>
      </w:r>
      <w:r>
        <w:rPr>
          <w:rFonts w:hint="eastAsia" w:ascii="宋体" w:hAnsi="宋体" w:cs="仿宋_GB2312"/>
          <w:color w:val="auto"/>
          <w:sz w:val="24"/>
          <w:highlight w:val="none"/>
          <w:lang w:val="zh-CN"/>
        </w:rPr>
        <w:fldChar w:fldCharType="begin"/>
      </w:r>
      <w:r>
        <w:rPr>
          <w:rFonts w:hint="eastAsia" w:ascii="宋体" w:hAnsi="宋体" w:cs="仿宋_GB2312"/>
          <w:color w:val="auto"/>
          <w:sz w:val="24"/>
          <w:highlight w:val="none"/>
          <w:lang w:val="zh-CN"/>
        </w:rPr>
        <w:instrText xml:space="preserve"> = 2 \* GB3 </w:instrText>
      </w:r>
      <w:r>
        <w:rPr>
          <w:rFonts w:hint="eastAsia" w:ascii="宋体" w:hAnsi="宋体" w:cs="仿宋_GB2312"/>
          <w:color w:val="auto"/>
          <w:sz w:val="24"/>
          <w:highlight w:val="none"/>
          <w:lang w:val="zh-CN"/>
        </w:rPr>
        <w:fldChar w:fldCharType="separate"/>
      </w:r>
      <w:r>
        <w:rPr>
          <w:rFonts w:hint="eastAsia" w:ascii="宋体" w:hAnsi="宋体" w:cs="仿宋_GB2312"/>
          <w:color w:val="auto"/>
          <w:sz w:val="24"/>
          <w:highlight w:val="none"/>
          <w:lang w:val="zh-CN"/>
        </w:rPr>
        <w:t>②</w:t>
      </w:r>
      <w:r>
        <w:rPr>
          <w:rFonts w:hint="eastAsia" w:ascii="宋体" w:hAnsi="宋体" w:cs="仿宋_GB2312"/>
          <w:color w:val="auto"/>
          <w:sz w:val="24"/>
          <w:highlight w:val="none"/>
          <w:lang w:val="zh-CN"/>
        </w:rPr>
        <w:fldChar w:fldCharType="end"/>
      </w:r>
      <w:r>
        <w:rPr>
          <w:rFonts w:hint="eastAsia" w:ascii="宋体" w:hAnsi="宋体" w:cs="仿宋_GB2312"/>
          <w:color w:val="auto"/>
          <w:sz w:val="24"/>
          <w:highlight w:val="none"/>
          <w:lang w:val="zh-CN"/>
        </w:rPr>
        <w:t>价格响应文件签字盖章后纸质版响应文件的扫描件。</w:t>
      </w:r>
    </w:p>
    <w:p>
      <w:pPr>
        <w:tabs>
          <w:tab w:val="left" w:pos="3375"/>
        </w:tabs>
        <w:autoSpaceDE w:val="0"/>
        <w:autoSpaceDN w:val="0"/>
        <w:adjustRightInd w:val="0"/>
        <w:snapToGrid w:val="0"/>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响应单位</w:t>
      </w:r>
      <w:r>
        <w:rPr>
          <w:rFonts w:hint="eastAsia" w:ascii="宋体" w:hAnsi="宋体" w:cs="仿宋_GB2312"/>
          <w:color w:val="auto"/>
          <w:sz w:val="24"/>
          <w:highlight w:val="none"/>
          <w:lang w:val="zh-CN"/>
        </w:rPr>
        <w:t>按上述2个包分别扫描为2个文件，</w:t>
      </w:r>
      <w:r>
        <w:rPr>
          <w:rFonts w:hint="eastAsia" w:ascii="宋体" w:hAnsi="宋体" w:cs="仿宋_GB2312"/>
          <w:color w:val="auto"/>
          <w:sz w:val="24"/>
          <w:highlight w:val="none"/>
        </w:rPr>
        <w:t>并</w:t>
      </w:r>
      <w:r>
        <w:rPr>
          <w:rFonts w:hint="eastAsia" w:ascii="宋体" w:hAnsi="宋体" w:cs="仿宋_GB2312"/>
          <w:color w:val="auto"/>
          <w:sz w:val="24"/>
          <w:highlight w:val="none"/>
          <w:lang w:val="zh-CN"/>
        </w:rPr>
        <w:t>使用压缩工具（例：360压缩、WinRAR等）分别打包加密并命名。</w:t>
      </w:r>
      <w:r>
        <w:rPr>
          <w:rFonts w:hint="eastAsia" w:ascii="宋体" w:hAnsi="宋体" w:cs="仿宋_GB2312"/>
          <w:color w:val="auto"/>
          <w:sz w:val="24"/>
          <w:highlight w:val="none"/>
        </w:rPr>
        <w:t>命名规则为</w:t>
      </w:r>
      <w:r>
        <w:rPr>
          <w:rFonts w:hint="eastAsia" w:ascii="宋体" w:hAnsi="宋体" w:cs="仿宋_GB2312"/>
          <w:color w:val="auto"/>
          <w:sz w:val="24"/>
          <w:highlight w:val="none"/>
          <w:lang w:val="zh-CN"/>
        </w:rPr>
        <w:t>单位名称+文件名称（如</w:t>
      </w:r>
      <w:r>
        <w:rPr>
          <w:rFonts w:hint="eastAsia" w:ascii="宋体" w:hAnsi="宋体" w:cs="仿宋_GB2312"/>
          <w:color w:val="auto"/>
          <w:sz w:val="24"/>
          <w:highlight w:val="none"/>
        </w:rPr>
        <w:t>某某单位</w:t>
      </w:r>
      <w:r>
        <w:rPr>
          <w:rFonts w:hint="eastAsia" w:ascii="宋体" w:hAnsi="宋体" w:cs="仿宋_GB2312"/>
          <w:color w:val="auto"/>
          <w:sz w:val="24"/>
          <w:highlight w:val="none"/>
          <w:lang w:val="zh-CN"/>
        </w:rPr>
        <w:t>资格审查</w:t>
      </w:r>
      <w:r>
        <w:rPr>
          <w:rFonts w:hint="eastAsia" w:ascii="宋体" w:hAnsi="宋体" w:cs="仿宋_GB2312"/>
          <w:color w:val="auto"/>
          <w:sz w:val="24"/>
          <w:highlight w:val="none"/>
        </w:rPr>
        <w:t>文件</w:t>
      </w:r>
      <w:r>
        <w:rPr>
          <w:rFonts w:hint="eastAsia" w:ascii="宋体" w:hAnsi="宋体" w:cs="仿宋_GB2312"/>
          <w:color w:val="auto"/>
          <w:sz w:val="24"/>
          <w:highlight w:val="none"/>
          <w:lang w:val="zh-CN"/>
        </w:rPr>
        <w:t>或价格响应文件）</w:t>
      </w:r>
      <w:r>
        <w:rPr>
          <w:rFonts w:hint="eastAsia" w:ascii="宋体" w:hAnsi="宋体" w:cs="仿宋_GB2312"/>
          <w:color w:val="auto"/>
          <w:sz w:val="24"/>
          <w:highlight w:val="none"/>
        </w:rPr>
        <w:t>，如因命名错误导致提前开启供应商其他阶段文件，后果由供应商自行承担。</w:t>
      </w:r>
    </w:p>
    <w:p>
      <w:pPr>
        <w:tabs>
          <w:tab w:val="left" w:pos="3375"/>
        </w:tabs>
        <w:autoSpaceDE w:val="0"/>
        <w:autoSpaceDN w:val="0"/>
        <w:adjustRightInd w:val="0"/>
        <w:snapToGrid w:val="0"/>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密码请各供应商在开标后按照代理机构要求按阶段分别提供。</w:t>
      </w:r>
    </w:p>
    <w:p>
      <w:pPr>
        <w:numPr>
          <w:ilvl w:val="0"/>
          <w:numId w:val="0"/>
        </w:numPr>
        <w:autoSpaceDE w:val="0"/>
        <w:autoSpaceDN w:val="0"/>
        <w:adjustRightInd w:val="0"/>
        <w:snapToGrid w:val="0"/>
        <w:spacing w:line="360" w:lineRule="auto"/>
        <w:ind w:firstLine="482" w:firstLineChars="0"/>
        <w:contextualSpacing w:val="0"/>
        <w:jc w:val="both"/>
        <w:rPr>
          <w:rFonts w:ascii="宋体" w:hAnsi="宋体" w:cs="宋体"/>
          <w:b/>
          <w:bCs/>
          <w:color w:val="auto"/>
          <w:sz w:val="24"/>
          <w:highlight w:val="none"/>
          <w:lang w:val="zh-CN"/>
        </w:rPr>
      </w:pPr>
      <w:r>
        <w:rPr>
          <w:rFonts w:hint="eastAsia" w:ascii="宋体" w:hAnsi="宋体" w:cs="宋体"/>
          <w:b/>
          <w:bCs/>
          <w:color w:val="auto"/>
          <w:sz w:val="24"/>
          <w:highlight w:val="none"/>
          <w:lang w:val="zh-CN"/>
        </w:rPr>
        <w:t>（三）</w:t>
      </w:r>
      <w:r>
        <w:rPr>
          <w:rFonts w:hint="eastAsia" w:ascii="宋体" w:hAnsi="宋体" w:cs="宋体"/>
          <w:b/>
          <w:bCs/>
          <w:color w:val="auto"/>
          <w:sz w:val="24"/>
          <w:highlight w:val="none"/>
          <w:lang w:val="zh-CN"/>
        </w:rPr>
        <w:t>响应文件的递交</w:t>
      </w:r>
    </w:p>
    <w:p>
      <w:pPr>
        <w:tabs>
          <w:tab w:val="left" w:pos="3375"/>
        </w:tabs>
        <w:autoSpaceDE w:val="0"/>
        <w:autoSpaceDN w:val="0"/>
        <w:adjustRightInd w:val="0"/>
        <w:snapToGrid w:val="0"/>
        <w:spacing w:line="360" w:lineRule="auto"/>
        <w:ind w:firstLine="480"/>
        <w:contextualSpacing/>
        <w:jc w:val="left"/>
        <w:rPr>
          <w:rFonts w:ascii="宋体" w:hAnsi="宋体" w:cs="仿宋_GB2312"/>
          <w:color w:val="auto"/>
          <w:sz w:val="24"/>
          <w:highlight w:val="none"/>
        </w:rPr>
      </w:pPr>
      <w:r>
        <w:rPr>
          <w:rFonts w:hint="eastAsia" w:ascii="宋体" w:hAnsi="宋体" w:cs="仿宋_GB2312"/>
          <w:color w:val="auto"/>
          <w:sz w:val="24"/>
          <w:highlight w:val="none"/>
          <w:lang w:val="zh-CN"/>
        </w:rPr>
        <w:t>本项目采用不见面方式进行</w:t>
      </w:r>
      <w:r>
        <w:rPr>
          <w:rFonts w:hint="eastAsia" w:ascii="宋体" w:hAnsi="宋体" w:cs="仿宋_GB2312"/>
          <w:color w:val="auto"/>
          <w:sz w:val="24"/>
          <w:highlight w:val="none"/>
        </w:rPr>
        <w:t>谈判</w:t>
      </w:r>
      <w:r>
        <w:rPr>
          <w:rFonts w:hint="eastAsia" w:ascii="宋体" w:hAnsi="宋体" w:cs="仿宋_GB2312"/>
          <w:color w:val="auto"/>
          <w:sz w:val="24"/>
          <w:highlight w:val="none"/>
          <w:lang w:val="zh-CN"/>
        </w:rPr>
        <w:t>，</w:t>
      </w:r>
      <w:r>
        <w:rPr>
          <w:rFonts w:hint="eastAsia" w:ascii="宋体" w:hAnsi="宋体" w:cs="仿宋_GB2312"/>
          <w:color w:val="auto"/>
          <w:sz w:val="24"/>
          <w:highlight w:val="none"/>
        </w:rPr>
        <w:t>故采用二阶段递交谈判响应文件。</w:t>
      </w:r>
    </w:p>
    <w:p>
      <w:pPr>
        <w:tabs>
          <w:tab w:val="left" w:pos="3375"/>
        </w:tabs>
        <w:autoSpaceDE w:val="0"/>
        <w:autoSpaceDN w:val="0"/>
        <w:adjustRightInd w:val="0"/>
        <w:snapToGrid w:val="0"/>
        <w:spacing w:line="360" w:lineRule="auto"/>
        <w:ind w:firstLine="480" w:firstLineChars="200"/>
        <w:contextualSpacing/>
        <w:jc w:val="left"/>
        <w:rPr>
          <w:rFonts w:ascii="宋体" w:hAnsi="宋体" w:cs="仿宋_GB2312"/>
          <w:color w:val="auto"/>
          <w:sz w:val="24"/>
          <w:highlight w:val="none"/>
        </w:rPr>
      </w:pPr>
      <w:r>
        <w:rPr>
          <w:rFonts w:hint="eastAsia" w:ascii="宋体" w:hAnsi="宋体" w:cs="仿宋_GB2312"/>
          <w:color w:val="auto"/>
          <w:sz w:val="24"/>
          <w:highlight w:val="none"/>
        </w:rPr>
        <w:t>第一阶段：将响应文件的电子版文件，即上述“（二）响应文件的份数和签署”中的电子版响应文件，在谈判响应文件截止时间前发送至指定邮箱（发送时间及邮箱地址见谈判公告），并以</w:t>
      </w:r>
      <w:r>
        <w:rPr>
          <w:rFonts w:hint="eastAsia" w:ascii="宋体" w:hAnsi="宋体" w:cs="仿宋_GB2312"/>
          <w:color w:val="auto"/>
          <w:sz w:val="24"/>
          <w:highlight w:val="none"/>
          <w:lang w:val="zh-CN"/>
        </w:rPr>
        <w:t>电子版响应文件</w:t>
      </w:r>
      <w:r>
        <w:rPr>
          <w:rFonts w:hint="eastAsia" w:ascii="宋体" w:hAnsi="宋体" w:cs="仿宋_GB2312"/>
          <w:color w:val="auto"/>
          <w:sz w:val="24"/>
          <w:highlight w:val="none"/>
        </w:rPr>
        <w:t>作为谈判依据。</w:t>
      </w:r>
    </w:p>
    <w:p>
      <w:pPr>
        <w:tabs>
          <w:tab w:val="left" w:pos="3375"/>
        </w:tabs>
        <w:autoSpaceDE w:val="0"/>
        <w:autoSpaceDN w:val="0"/>
        <w:adjustRightInd w:val="0"/>
        <w:snapToGrid w:val="0"/>
        <w:spacing w:line="360" w:lineRule="auto"/>
        <w:ind w:firstLine="480" w:firstLineChars="200"/>
        <w:contextualSpacing/>
        <w:jc w:val="left"/>
        <w:rPr>
          <w:rFonts w:ascii="宋体" w:hAnsi="宋体" w:cs="仿宋_GB2312"/>
          <w:b/>
          <w:color w:val="auto"/>
          <w:sz w:val="24"/>
          <w:highlight w:val="none"/>
          <w:lang w:val="en-US"/>
        </w:rPr>
      </w:pPr>
      <w:r>
        <w:rPr>
          <w:rFonts w:hint="eastAsia" w:ascii="宋体" w:hAnsi="宋体" w:cs="仿宋_GB2312"/>
          <w:color w:val="auto"/>
          <w:sz w:val="24"/>
          <w:highlight w:val="none"/>
        </w:rPr>
        <w:t>第二阶段：谈判结束后五个工作日内，所有供应商均需将上述“（二）响应文件的份数和签署”中的响应文件纸质文件及谈判期间的所有材料的纸质文件一同寄给采购人，以便存档。</w:t>
      </w:r>
      <w:r>
        <w:rPr>
          <w:rFonts w:hint="eastAsia" w:ascii="宋体" w:hAnsi="宋体" w:cs="仿宋_GB2312"/>
          <w:b/>
          <w:color w:val="auto"/>
          <w:sz w:val="24"/>
          <w:highlight w:val="none"/>
        </w:rPr>
        <w:t>邮寄地址及联系方式详见谈判公告中采购人联系方式。供应商未按上述要求送达纸质版谈判响应文件，将报相关主管部门后将其列入黑名单，视情形在相关网站上公示。</w:t>
      </w:r>
    </w:p>
    <w:p>
      <w:pPr>
        <w:autoSpaceDE w:val="0"/>
        <w:autoSpaceDN w:val="0"/>
        <w:adjustRightInd w:val="0"/>
        <w:snapToGrid w:val="0"/>
        <w:spacing w:line="360" w:lineRule="auto"/>
        <w:ind w:firstLine="482" w:firstLineChars="0"/>
        <w:contextualSpacing w:val="0"/>
        <w:jc w:val="both"/>
        <w:rPr>
          <w:rFonts w:ascii="宋体" w:hAnsi="宋体" w:cs="宋体"/>
          <w:b/>
          <w:bCs/>
          <w:color w:val="auto"/>
          <w:sz w:val="24"/>
          <w:highlight w:val="none"/>
          <w:lang w:val="zh-CN"/>
        </w:rPr>
      </w:pPr>
      <w:r>
        <w:rPr>
          <w:rFonts w:hint="eastAsia" w:ascii="宋体" w:hAnsi="宋体" w:cs="宋体"/>
          <w:b/>
          <w:bCs/>
          <w:color w:val="auto"/>
          <w:sz w:val="24"/>
          <w:highlight w:val="none"/>
          <w:lang w:val="zh-CN"/>
        </w:rPr>
        <w:t>（四）</w:t>
      </w:r>
      <w:r>
        <w:rPr>
          <w:rFonts w:hint="eastAsia" w:ascii="宋体" w:hAnsi="宋体" w:cs="宋体"/>
          <w:b/>
          <w:bCs/>
          <w:color w:val="auto"/>
          <w:sz w:val="24"/>
          <w:highlight w:val="none"/>
          <w:lang w:val="zh-CN"/>
        </w:rPr>
        <w:t>谈判</w:t>
      </w:r>
      <w:r>
        <w:rPr>
          <w:rFonts w:ascii="宋体" w:hAnsi="宋体" w:cs="宋体"/>
          <w:b/>
          <w:bCs/>
          <w:color w:val="auto"/>
          <w:sz w:val="24"/>
          <w:highlight w:val="none"/>
          <w:lang w:val="zh-CN"/>
        </w:rPr>
        <w:t>响应有效期</w:t>
      </w:r>
    </w:p>
    <w:p>
      <w:pPr>
        <w:tabs>
          <w:tab w:val="left" w:pos="3375"/>
        </w:tabs>
        <w:autoSpaceDE w:val="0"/>
        <w:autoSpaceDN w:val="0"/>
        <w:adjustRightInd w:val="0"/>
        <w:snapToGrid w:val="0"/>
        <w:spacing w:line="360" w:lineRule="auto"/>
        <w:ind w:firstLine="480" w:firstLineChars="200"/>
        <w:contextualSpacing/>
        <w:jc w:val="left"/>
        <w:rPr>
          <w:rFonts w:ascii="宋体" w:hAnsi="宋体" w:cs="仿宋_GB2312"/>
          <w:color w:val="auto"/>
          <w:sz w:val="24"/>
          <w:highlight w:val="none"/>
          <w:lang w:val="en-US"/>
        </w:rPr>
      </w:pPr>
      <w:r>
        <w:rPr>
          <w:rFonts w:hint="eastAsia" w:ascii="宋体" w:hAnsi="宋体" w:cs="仿宋_GB2312"/>
          <w:color w:val="auto"/>
          <w:sz w:val="24"/>
          <w:highlight w:val="none"/>
        </w:rPr>
        <w:t>谈判</w:t>
      </w:r>
      <w:r>
        <w:rPr>
          <w:rFonts w:ascii="宋体" w:hAnsi="宋体" w:cs="仿宋_GB2312"/>
          <w:color w:val="auto"/>
          <w:sz w:val="24"/>
          <w:highlight w:val="none"/>
        </w:rPr>
        <w:t>响应有效期为</w:t>
      </w:r>
      <w:r>
        <w:rPr>
          <w:rFonts w:hint="eastAsia" w:ascii="宋体" w:hAnsi="宋体" w:cs="仿宋_GB2312"/>
          <w:color w:val="auto"/>
          <w:sz w:val="24"/>
          <w:highlight w:val="none"/>
        </w:rPr>
        <w:t>招标代理机构</w:t>
      </w:r>
      <w:r>
        <w:rPr>
          <w:rFonts w:ascii="宋体" w:hAnsi="宋体" w:cs="仿宋_GB2312"/>
          <w:color w:val="auto"/>
          <w:sz w:val="24"/>
          <w:highlight w:val="none"/>
        </w:rPr>
        <w:t>规定的响应文件提交截止时间后</w:t>
      </w:r>
      <w:r>
        <w:rPr>
          <w:rFonts w:hint="eastAsia" w:ascii="宋体" w:hAnsi="宋体" w:cs="仿宋_GB2312"/>
          <w:b/>
          <w:color w:val="auto"/>
          <w:sz w:val="24"/>
          <w:highlight w:val="none"/>
          <w:u w:val="none"/>
        </w:rPr>
        <w:t>四十五</w:t>
      </w:r>
      <w:r>
        <w:rPr>
          <w:rFonts w:ascii="宋体" w:hAnsi="宋体" w:cs="仿宋_GB2312"/>
          <w:b/>
          <w:color w:val="auto"/>
          <w:sz w:val="24"/>
          <w:highlight w:val="none"/>
          <w:u w:val="none"/>
        </w:rPr>
        <w:t>（45）</w:t>
      </w:r>
      <w:r>
        <w:rPr>
          <w:rFonts w:ascii="宋体" w:hAnsi="宋体" w:cs="仿宋_GB2312"/>
          <w:b w:val="0"/>
          <w:color w:val="auto"/>
          <w:sz w:val="24"/>
          <w:highlight w:val="none"/>
          <w:u w:val="none"/>
        </w:rPr>
        <w:t>天</w:t>
      </w:r>
      <w:r>
        <w:rPr>
          <w:rFonts w:ascii="宋体" w:hAnsi="宋体" w:cs="仿宋_GB2312"/>
          <w:color w:val="auto"/>
          <w:sz w:val="24"/>
          <w:highlight w:val="none"/>
        </w:rPr>
        <w:t>。</w:t>
      </w:r>
      <w:r>
        <w:rPr>
          <w:rFonts w:hint="eastAsia" w:ascii="宋体" w:hAnsi="宋体" w:cs="仿宋_GB2312"/>
          <w:color w:val="auto"/>
          <w:sz w:val="24"/>
          <w:highlight w:val="none"/>
        </w:rPr>
        <w:t>谈判</w:t>
      </w:r>
      <w:r>
        <w:rPr>
          <w:rFonts w:ascii="宋体" w:hAnsi="宋体" w:cs="仿宋_GB2312"/>
          <w:color w:val="auto"/>
          <w:sz w:val="24"/>
          <w:highlight w:val="none"/>
        </w:rPr>
        <w:t>响应有效期比规定短的将被视为非实质性响应而予以拒绝。</w:t>
      </w:r>
    </w:p>
    <w:p>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五、谈判报价</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1.本项目不接受任何有选择的报价。</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2.谈判报价均以人民币为报价的币种。</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3.谈判报价出现前后不一致的，按照下列规定修正：</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（1）响应文件中开标一览表（报价表）内容与响应文件中相应内容不一致的，以开标一览表（报价表）为准；</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（2）大写金额和小写金额不一致的，以大写金额为准；</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（3）单价金额小数点或者百分比有明显错位的，以开标一览表（报价表）的总价为准，并修改单价；</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（4）总价金额与按单价汇总金额不一致的，以单价金额计算结果为准。</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同时出现两种以上不一致的，按照前款规定的顺序修正。修正后的报价经供应商确认后产生约束力，供应商不确认的，其投标无效。</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4.报价方式及要求：</w:t>
      </w:r>
    </w:p>
    <w:p>
      <w:pPr>
        <w:autoSpaceDE w:val="0"/>
        <w:autoSpaceDN w:val="0"/>
        <w:adjustRightIn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（1）本项目采用固定总价的方式，供应商在报价响应文件中标明本项目的综合单价和总价。</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2）供应商在投标时应主动查阅本项目的有关文件、技术经济等资料。作为一个有经验的供应商，应充分考虑到采购人提供的相关资料和数据与合同实施过程中存有偏差。供应商应综合考虑到报价中，采购人对供应商的合同总价不因此而进行调整。</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bookmarkStart w:id="0" w:name="_Hlk78137675"/>
      <w:r>
        <w:rPr>
          <w:rFonts w:hint="eastAsia" w:ascii="宋体" w:hAnsi="宋体" w:cs="宋体"/>
          <w:color w:val="auto"/>
          <w:sz w:val="24"/>
          <w:highlight w:val="none"/>
          <w:lang w:val="zh-CN"/>
        </w:rPr>
        <w:t>（3）投标报价应包括供应商完成本项目的所有工作的技术服务费用、人员费用（包括人员工资（基本工资、加班费、年终奖金）、福利、社保费（五项）及公积金、员工培训费等）、车辆使用一切费用、所需设备仪器使用费用、交通费用、食宿费用、附加服务费用、报告评审费、评审专家费及单位取费（利润、税金、保险费、管理费等）等与履行本合同有关的一切费用以及合同明示或暗示的所有一般风险责任和义务费用。</w:t>
      </w:r>
      <w:bookmarkEnd w:id="0"/>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国家有关政策、税收规定，请供应商自行调查了解，并在报价时应充分考虑。</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在合同执行期间，由于价格上涨、政策性调整等因素对项目成本的影响，采购人对合同总价不予调整，因此，供应商应充分考虑本项目实施期间的各种风险。</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4）供应商应详细阅读竞争性谈判文件的全部内容，根据采购项目需求，准确制定相关工作方案等，必须对本采购项目全部进行报价。如有漏项，视同对本项目的优惠。不按谈判文件的要求提供响应文件，导致报价无效，按无效响应处理。供应商的任何错漏、优惠、竞争性报价不得作为减轻责任、减少服务、增加收费、降低服务质量的理由。供应商报价除包含采购文件中列明的项目外还应包括保障服务正常运行应当具有的物资和服务，对服务正常运行应当具有的物资和服务理解不一致的以采购人理解为准。</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（5）供应商应承担其响应文件编制与递交所涉及的一切费用，不管结果如何，采购人对上述费用不负任何责任。</w:t>
      </w:r>
    </w:p>
    <w:p>
      <w:pPr>
        <w:autoSpaceDE w:val="0"/>
        <w:autoSpaceDN w:val="0"/>
        <w:adjustRightInd w:val="0"/>
        <w:snapToGrid w:val="0"/>
        <w:spacing w:line="360" w:lineRule="auto"/>
        <w:ind w:firstLine="480" w:firstLineChars="200"/>
        <w:contextualSpacing/>
        <w:jc w:val="left"/>
        <w:rPr>
          <w:rFonts w:ascii="宋体" w:hAnsi="宋体" w:cs="宋体"/>
          <w:color w:val="auto"/>
          <w:sz w:val="24"/>
          <w:highlight w:val="none"/>
          <w:lang w:val="zh-CN"/>
        </w:rPr>
      </w:pPr>
      <w:r>
        <w:rPr>
          <w:rFonts w:hint="eastAsia" w:ascii="宋体" w:hAnsi="宋体" w:cs="宋体"/>
          <w:color w:val="auto"/>
          <w:sz w:val="24"/>
          <w:highlight w:val="none"/>
          <w:lang w:val="zh-CN"/>
        </w:rPr>
        <w:t>（6）本项目不接受调价函。</w:t>
      </w:r>
    </w:p>
    <w:p>
      <w:pPr>
        <w:autoSpaceDE w:val="0"/>
        <w:autoSpaceDN w:val="0"/>
        <w:adjustRightInd w:val="0"/>
        <w:spacing w:line="360" w:lineRule="auto"/>
        <w:ind w:firstLine="480" w:firstLineChars="200"/>
        <w:rPr>
          <w:rFonts w:ascii="宋体" w:hAnsi="宋体" w:cs="宋体"/>
          <w:bCs/>
          <w:color w:val="auto"/>
          <w:sz w:val="24"/>
          <w:highlight w:val="none"/>
          <w:lang w:val="zh-CN"/>
        </w:rPr>
      </w:pPr>
      <w:r>
        <w:rPr>
          <w:rFonts w:hint="eastAsia" w:ascii="宋体" w:hAnsi="宋体" w:cs="宋体"/>
          <w:color w:val="auto"/>
          <w:sz w:val="24"/>
          <w:highlight w:val="none"/>
          <w:lang w:val="zh-CN"/>
        </w:rPr>
        <w:t>（7）</w:t>
      </w:r>
      <w:r>
        <w:rPr>
          <w:rFonts w:hint="eastAsia" w:ascii="宋体" w:hAnsi="宋体" w:cs="宋体"/>
          <w:bCs/>
          <w:color w:val="auto"/>
          <w:sz w:val="24"/>
          <w:highlight w:val="none"/>
          <w:lang w:val="zh-CN"/>
        </w:rPr>
        <w:t>竞争性谈判的最终报价为预期成交价。</w:t>
      </w:r>
    </w:p>
    <w:p>
      <w:pPr>
        <w:autoSpaceDE w:val="0"/>
        <w:autoSpaceDN w:val="0"/>
        <w:adjustRightInd w:val="0"/>
        <w:spacing w:line="360" w:lineRule="auto"/>
        <w:ind w:firstLine="480" w:firstLineChars="200"/>
        <w:rPr>
          <w:rFonts w:ascii="宋体" w:hAnsi="宋体" w:cs="宋体"/>
          <w:bCs/>
          <w:color w:val="auto"/>
          <w:sz w:val="24"/>
          <w:highlight w:val="none"/>
          <w:lang w:val="zh-CN"/>
        </w:rPr>
      </w:pPr>
      <w:r>
        <w:rPr>
          <w:rFonts w:hint="eastAsia" w:ascii="宋体" w:hAnsi="宋体" w:cs="宋体"/>
          <w:bCs/>
          <w:color w:val="auto"/>
          <w:sz w:val="24"/>
          <w:highlight w:val="none"/>
          <w:lang w:val="zh-CN"/>
        </w:rPr>
        <w:t>（8）本项目首轮谈判报价最高限价为人民币</w:t>
      </w:r>
      <w:r>
        <w:rPr>
          <w:rFonts w:hint="eastAsia" w:ascii="宋体" w:hAnsi="宋体" w:cs="宋体"/>
          <w:bCs/>
          <w:color w:val="auto"/>
          <w:sz w:val="24"/>
          <w:highlight w:val="none"/>
          <w:u w:val="single"/>
        </w:rPr>
        <w:t>贰</w:t>
      </w:r>
      <w:r>
        <w:rPr>
          <w:rFonts w:hint="eastAsia" w:ascii="宋体" w:hAnsi="宋体" w:cs="宋体"/>
          <w:bCs/>
          <w:color w:val="auto"/>
          <w:sz w:val="24"/>
          <w:highlight w:val="none"/>
          <w:u w:val="single"/>
          <w:lang w:val="zh-CN"/>
        </w:rPr>
        <w:t>拾万元</w:t>
      </w:r>
      <w:r>
        <w:rPr>
          <w:rFonts w:hint="eastAsia" w:ascii="宋体" w:hAnsi="宋体" w:cs="宋体"/>
          <w:bCs/>
          <w:color w:val="auto"/>
          <w:sz w:val="24"/>
          <w:highlight w:val="none"/>
          <w:lang w:val="zh-CN"/>
        </w:rPr>
        <w:t>，投标总价超过最高限价的为无效响应文件。</w:t>
      </w:r>
    </w:p>
    <w:p>
      <w:pPr>
        <w:autoSpaceDE w:val="0"/>
        <w:autoSpaceDN w:val="0"/>
        <w:adjustRightInd w:val="0"/>
        <w:snapToGrid w:val="0"/>
        <w:spacing w:line="360" w:lineRule="auto"/>
        <w:ind w:firstLine="482" w:firstLineChars="200"/>
        <w:contextualSpacing/>
        <w:jc w:val="left"/>
        <w:rPr>
          <w:rFonts w:ascii="宋体" w:hAnsi="宋体" w:cs="宋体"/>
          <w:b/>
          <w:bCs/>
          <w:color w:val="auto"/>
          <w:sz w:val="24"/>
          <w:highlight w:val="none"/>
          <w:lang w:val="zh-CN"/>
        </w:rPr>
      </w:pPr>
      <w:r>
        <w:rPr>
          <w:rFonts w:hint="eastAsia" w:ascii="宋体" w:hAnsi="宋体" w:cs="宋体"/>
          <w:b/>
          <w:bCs/>
          <w:color w:val="auto"/>
          <w:sz w:val="24"/>
          <w:highlight w:val="none"/>
          <w:lang w:val="zh-CN"/>
        </w:rPr>
        <w:t>六、响应文件及谈判费用</w:t>
      </w:r>
    </w:p>
    <w:p>
      <w:pPr>
        <w:pStyle w:val="25"/>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1</w:t>
      </w:r>
      <w:r>
        <w:rPr>
          <w:rFonts w:hint="eastAsia" w:ascii="宋体" w:eastAsia="宋体" w:cs="宋体"/>
          <w:color w:val="auto"/>
          <w:sz w:val="24"/>
          <w:highlight w:val="none"/>
          <w:lang w:val="zh-CN"/>
        </w:rPr>
        <w:t>.</w:t>
      </w:r>
      <w:r>
        <w:rPr>
          <w:rFonts w:hint="eastAsia" w:ascii="宋体" w:eastAsia="宋体" w:cs="宋体"/>
          <w:color w:val="auto"/>
          <w:sz w:val="24"/>
          <w:szCs w:val="24"/>
          <w:highlight w:val="none"/>
        </w:rPr>
        <w:t>谈判程序顺利进行后，除供应商的原件可退回外，其余所有的响应文件都将作为档案保存，不论成交与否，均不退回（未拆封的除外）。</w:t>
      </w:r>
    </w:p>
    <w:p>
      <w:pPr>
        <w:pStyle w:val="25"/>
        <w:snapToGrid w:val="0"/>
        <w:spacing w:line="360" w:lineRule="auto"/>
        <w:ind w:firstLine="494"/>
        <w:contextualSpacing/>
        <w:rPr>
          <w:rFonts w:ascii="宋体" w:eastAsia="宋体" w:cs="宋体"/>
          <w:color w:val="auto"/>
          <w:sz w:val="24"/>
          <w:szCs w:val="24"/>
          <w:highlight w:val="none"/>
        </w:rPr>
      </w:pPr>
      <w:r>
        <w:rPr>
          <w:rFonts w:hint="eastAsia" w:ascii="宋体" w:eastAsia="宋体" w:cs="宋体"/>
          <w:color w:val="auto"/>
          <w:sz w:val="24"/>
          <w:szCs w:val="24"/>
          <w:highlight w:val="none"/>
        </w:rPr>
        <w:t>2</w:t>
      </w:r>
      <w:r>
        <w:rPr>
          <w:rFonts w:hint="eastAsia" w:ascii="宋体" w:eastAsia="宋体" w:cs="宋体"/>
          <w:color w:val="auto"/>
          <w:sz w:val="24"/>
          <w:highlight w:val="none"/>
          <w:lang w:val="zh-CN"/>
        </w:rPr>
        <w:t>.</w:t>
      </w:r>
      <w:r>
        <w:rPr>
          <w:rFonts w:hint="eastAsia" w:ascii="宋体" w:eastAsia="宋体" w:cs="宋体"/>
          <w:color w:val="auto"/>
          <w:sz w:val="24"/>
          <w:szCs w:val="24"/>
          <w:highlight w:val="none"/>
        </w:rPr>
        <w:t>供应商承担参与谈判可能发生的全部费用，参加项目谈判的供应商自行承担与本次项目谈判有关的全部费用，采购人在任何情况下均无义务和责任承担这些费用。</w:t>
      </w:r>
    </w:p>
    <w:p>
      <w:pPr>
        <w:snapToGrid w:val="0"/>
        <w:spacing w:line="360" w:lineRule="auto"/>
        <w:ind w:firstLine="463" w:firstLineChars="192"/>
        <w:rPr>
          <w:rFonts w:ascii="宋体" w:hAnsi="宋体" w:cs="宋体"/>
          <w:b/>
          <w:color w:val="auto"/>
          <w:sz w:val="24"/>
          <w:highlight w:val="none"/>
        </w:rPr>
      </w:pPr>
      <w:r>
        <w:rPr>
          <w:rFonts w:hint="eastAsia" w:ascii="宋体" w:hAnsi="宋体" w:cs="宋体"/>
          <w:b/>
          <w:bCs/>
          <w:color w:val="auto"/>
          <w:sz w:val="24"/>
          <w:highlight w:val="none"/>
        </w:rPr>
        <w:t>七、</w:t>
      </w:r>
      <w:r>
        <w:rPr>
          <w:rFonts w:hint="eastAsia" w:ascii="宋体" w:hAnsi="宋体" w:cs="宋体"/>
          <w:b/>
          <w:color w:val="auto"/>
          <w:sz w:val="24"/>
          <w:highlight w:val="none"/>
        </w:rPr>
        <w:t>保证金</w:t>
      </w:r>
    </w:p>
    <w:p>
      <w:pPr>
        <w:snapToGrid w:val="0"/>
        <w:spacing w:line="360" w:lineRule="auto"/>
        <w:ind w:firstLine="463" w:firstLineChars="192"/>
        <w:rPr>
          <w:rFonts w:ascii="宋体" w:hAnsi="宋体" w:cs="宋体"/>
          <w:b/>
          <w:bCs/>
          <w:color w:val="auto"/>
          <w:sz w:val="24"/>
          <w:highlight w:val="none"/>
        </w:rPr>
      </w:pPr>
      <w:r>
        <w:rPr>
          <w:rFonts w:hint="eastAsia" w:ascii="宋体" w:hAnsi="宋体" w:cs="宋体"/>
          <w:b/>
          <w:bCs/>
          <w:color w:val="auto"/>
          <w:sz w:val="24"/>
          <w:highlight w:val="none"/>
        </w:rPr>
        <w:t>本项目不设谈判保证金和履约保证金。</w:t>
      </w:r>
    </w:p>
    <w:p>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八、分包</w:t>
      </w:r>
    </w:p>
    <w:p>
      <w:pPr>
        <w:snapToGrid w:val="0"/>
        <w:spacing w:line="360" w:lineRule="auto"/>
        <w:ind w:firstLine="460" w:firstLineChars="192"/>
        <w:rPr>
          <w:rFonts w:ascii="宋体" w:hAnsi="宋体" w:cs="宋体"/>
          <w:color w:val="auto"/>
          <w:sz w:val="24"/>
          <w:highlight w:val="none"/>
        </w:rPr>
      </w:pPr>
      <w:r>
        <w:rPr>
          <w:rFonts w:hint="eastAsia" w:ascii="宋体" w:hAnsi="宋体" w:cs="宋体"/>
          <w:color w:val="auto"/>
          <w:sz w:val="24"/>
          <w:highlight w:val="none"/>
        </w:rPr>
        <w:t>本项目</w:t>
      </w:r>
      <w:r>
        <w:rPr>
          <w:rFonts w:hint="eastAsia" w:ascii="宋体" w:hAnsi="宋体" w:cs="宋体"/>
          <w:color w:val="auto"/>
          <w:spacing w:val="7"/>
          <w:kern w:val="0"/>
          <w:sz w:val="24"/>
          <w:highlight w:val="none"/>
          <w:u w:val="single"/>
        </w:rPr>
        <w:t>不允许</w:t>
      </w:r>
      <w:r>
        <w:rPr>
          <w:rFonts w:hint="eastAsia" w:ascii="宋体" w:hAnsi="宋体" w:cs="宋体"/>
          <w:color w:val="auto"/>
          <w:spacing w:val="7"/>
          <w:kern w:val="0"/>
          <w:sz w:val="24"/>
          <w:highlight w:val="none"/>
        </w:rPr>
        <w:t>分包。</w:t>
      </w:r>
    </w:p>
    <w:p>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九、未尽事宜</w:t>
      </w:r>
    </w:p>
    <w:p>
      <w:pPr>
        <w:snapToGrid w:val="0"/>
        <w:spacing w:line="360" w:lineRule="auto"/>
        <w:ind w:firstLine="460" w:firstLineChars="192"/>
        <w:rPr>
          <w:rFonts w:ascii="宋体" w:hAnsi="宋体" w:cs="宋体"/>
          <w:color w:val="auto"/>
          <w:sz w:val="24"/>
          <w:highlight w:val="none"/>
        </w:rPr>
      </w:pPr>
      <w:r>
        <w:rPr>
          <w:rFonts w:hint="eastAsia" w:ascii="宋体" w:hAnsi="宋体" w:cs="宋体"/>
          <w:color w:val="auto"/>
          <w:sz w:val="24"/>
          <w:highlight w:val="none"/>
        </w:rPr>
        <w:t>参照《中华人民共和国政府采购法》、《政府采购非招标采购方式管理办法》及其他有关法律法规规范性文件的规定执行。</w:t>
      </w:r>
    </w:p>
    <w:p>
      <w:pPr>
        <w:autoSpaceDE w:val="0"/>
        <w:autoSpaceDN w:val="0"/>
        <w:adjustRightInd w:val="0"/>
        <w:snapToGrid w:val="0"/>
        <w:spacing w:line="36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r>
        <w:rPr>
          <w:rFonts w:hint="eastAsia" w:ascii="宋体" w:hAnsi="宋体" w:cs="宋体"/>
          <w:b/>
          <w:bCs/>
          <w:color w:val="auto"/>
          <w:sz w:val="36"/>
          <w:szCs w:val="36"/>
          <w:highlight w:val="none"/>
          <w:lang w:val="zh-CN"/>
        </w:rPr>
        <w:t>第三部分 项目需求</w:t>
      </w:r>
    </w:p>
    <w:p>
      <w:pPr>
        <w:pStyle w:val="25"/>
        <w:snapToGrid w:val="0"/>
        <w:spacing w:line="360" w:lineRule="auto"/>
        <w:ind w:firstLine="480" w:firstLineChars="200"/>
        <w:contextualSpacing/>
        <w:rPr>
          <w:rFonts w:ascii="宋体" w:eastAsia="宋体" w:cs="宋体"/>
          <w:color w:val="auto"/>
          <w:sz w:val="24"/>
          <w:szCs w:val="24"/>
          <w:highlight w:val="none"/>
        </w:rPr>
      </w:pPr>
      <w:r>
        <w:rPr>
          <w:rFonts w:hint="eastAsia" w:ascii="宋体" w:eastAsia="宋体" w:cs="宋体"/>
          <w:color w:val="auto"/>
          <w:sz w:val="24"/>
          <w:szCs w:val="24"/>
          <w:highlight w:val="none"/>
        </w:rPr>
        <w:t>请供应商在制作响应文件时仔细研究项目需求说明。供应商不能简单照搬照抄采购人项目需求说明中的技术、商务要求，必须作实事求是的响应。如照搬照抄项目需求说明中的技术、商务要求的，成交后供应商在同采购人签订合同和履约环节中不得提出异议，一切后果和损失由成交供应商承担。</w:t>
      </w:r>
    </w:p>
    <w:p>
      <w:pPr>
        <w:pStyle w:val="25"/>
        <w:snapToGrid w:val="0"/>
        <w:spacing w:line="360" w:lineRule="auto"/>
        <w:ind w:firstLine="482" w:firstLineChars="200"/>
        <w:contextualSpacing/>
        <w:rPr>
          <w:rFonts w:ascii="宋体" w:eastAsia="宋体"/>
          <w:b/>
          <w:bCs/>
          <w:color w:val="auto"/>
          <w:sz w:val="24"/>
          <w:szCs w:val="24"/>
          <w:highlight w:val="none"/>
        </w:rPr>
      </w:pPr>
      <w:r>
        <w:rPr>
          <w:rFonts w:hint="eastAsia" w:ascii="宋体" w:eastAsia="宋体"/>
          <w:b/>
          <w:bCs/>
          <w:color w:val="auto"/>
          <w:sz w:val="24"/>
          <w:szCs w:val="24"/>
          <w:highlight w:val="none"/>
        </w:rPr>
        <w:t>一、招标内容及服务要求</w:t>
      </w:r>
    </w:p>
    <w:p>
      <w:pPr>
        <w:pStyle w:val="25"/>
        <w:snapToGrid w:val="0"/>
        <w:spacing w:line="360" w:lineRule="auto"/>
        <w:ind w:firstLine="480" w:firstLineChars="200"/>
        <w:contextualSpacing/>
        <w:rPr>
          <w:rFonts w:ascii="宋体" w:eastAsia="宋体"/>
          <w:color w:val="auto"/>
          <w:sz w:val="24"/>
          <w:szCs w:val="24"/>
          <w:highlight w:val="none"/>
        </w:rPr>
      </w:pPr>
      <w:r>
        <w:rPr>
          <w:rFonts w:hint="eastAsia" w:ascii="宋体" w:eastAsia="宋体"/>
          <w:color w:val="auto"/>
          <w:sz w:val="24"/>
          <w:szCs w:val="24"/>
          <w:highlight w:val="none"/>
        </w:rPr>
        <w:t>（一）本项目研究内容为：根据南通市公路服务和管养设施现状，统筹考虑需求和供给，结合《国家公路网规划》和新一轮省道公路网修编，编制南通市普通国省道服务设施和养护工区布局规划（2023-2035）。</w:t>
      </w:r>
    </w:p>
    <w:p>
      <w:pPr>
        <w:pStyle w:val="25"/>
        <w:snapToGrid w:val="0"/>
        <w:spacing w:line="360" w:lineRule="auto"/>
        <w:ind w:firstLine="480" w:firstLineChars="200"/>
        <w:contextualSpacing/>
        <w:rPr>
          <w:rFonts w:ascii="宋体" w:eastAsia="宋体"/>
          <w:color w:val="auto"/>
          <w:sz w:val="24"/>
          <w:szCs w:val="24"/>
          <w:highlight w:val="none"/>
        </w:rPr>
      </w:pPr>
      <w:r>
        <w:rPr>
          <w:rFonts w:hint="eastAsia" w:ascii="宋体" w:eastAsia="宋体"/>
          <w:color w:val="auto"/>
          <w:sz w:val="24"/>
          <w:szCs w:val="24"/>
          <w:highlight w:val="none"/>
        </w:rPr>
        <w:t>（二）规划原则</w:t>
      </w:r>
    </w:p>
    <w:p>
      <w:pPr>
        <w:pStyle w:val="25"/>
        <w:snapToGrid w:val="0"/>
        <w:spacing w:line="360" w:lineRule="auto"/>
        <w:ind w:firstLine="480" w:firstLineChars="200"/>
        <w:contextualSpacing/>
        <w:rPr>
          <w:rFonts w:ascii="宋体" w:eastAsia="宋体"/>
          <w:color w:val="auto"/>
          <w:sz w:val="24"/>
          <w:szCs w:val="24"/>
          <w:highlight w:val="none"/>
        </w:rPr>
      </w:pPr>
      <w:r>
        <w:rPr>
          <w:rFonts w:hint="eastAsia" w:ascii="宋体" w:eastAsia="宋体"/>
          <w:color w:val="auto"/>
          <w:sz w:val="24"/>
          <w:szCs w:val="24"/>
          <w:highlight w:val="none"/>
        </w:rPr>
        <w:t>1.服务设施布局：一是在充分合理利用现有公路设施、公路边角用地的基础上，公路运输主通道上服务区间距不大于50公里；二是断面流量超过3.5万pcu/d的普通国省道，服务设施用地面积不小于20亩；断面流量超过1.5万pcu/d的普通国省道，服务设施用地面积不小于10亩；断面流量小于1.5万pcu/d的普通国省道，服务设施用地面积不小于5亩。三是推进已规划但未建设的普通国省道服务设施建设，服务设施纳入公路工程可行性研究报告同步报批，设计方案同步编制。</w:t>
      </w:r>
    </w:p>
    <w:p>
      <w:pPr>
        <w:pStyle w:val="25"/>
        <w:snapToGrid w:val="0"/>
        <w:spacing w:line="360" w:lineRule="auto"/>
        <w:ind w:firstLine="480" w:firstLineChars="200"/>
        <w:contextualSpacing/>
        <w:rPr>
          <w:rFonts w:ascii="宋体" w:eastAsia="宋体"/>
          <w:color w:val="auto"/>
          <w:sz w:val="24"/>
          <w:szCs w:val="24"/>
          <w:highlight w:val="none"/>
        </w:rPr>
      </w:pPr>
      <w:r>
        <w:rPr>
          <w:rFonts w:hint="eastAsia" w:ascii="宋体" w:eastAsia="宋体"/>
          <w:color w:val="auto"/>
          <w:sz w:val="24"/>
          <w:szCs w:val="24"/>
          <w:highlight w:val="none"/>
        </w:rPr>
        <w:t>2.养护工区布局：一是根据养护作业需求，合理布设工区，间距宜控制在30-50公里。二是应急处置中心用地面积控制在27亩以内，应急基地用地面积控制在18亩以内，二类工区用地面积控制在10亩以内。三是因省道公路网调整，既有养护工区无法满足养护要求的，可选择原址扩建或移址新建。</w:t>
      </w:r>
    </w:p>
    <w:p>
      <w:pPr>
        <w:pStyle w:val="25"/>
        <w:snapToGrid w:val="0"/>
        <w:spacing w:line="360" w:lineRule="auto"/>
        <w:ind w:firstLine="480" w:firstLineChars="200"/>
        <w:contextualSpacing/>
        <w:rPr>
          <w:rFonts w:ascii="宋体" w:eastAsia="宋体"/>
          <w:color w:val="auto"/>
          <w:sz w:val="24"/>
          <w:szCs w:val="24"/>
          <w:highlight w:val="none"/>
        </w:rPr>
      </w:pPr>
      <w:r>
        <w:rPr>
          <w:rFonts w:hint="eastAsia" w:ascii="宋体" w:eastAsia="宋体"/>
          <w:color w:val="auto"/>
          <w:sz w:val="24"/>
          <w:szCs w:val="24"/>
          <w:highlight w:val="none"/>
        </w:rPr>
        <w:t>（三）规划研究期限</w:t>
      </w:r>
    </w:p>
    <w:p>
      <w:pPr>
        <w:pStyle w:val="25"/>
        <w:snapToGrid w:val="0"/>
        <w:spacing w:line="360" w:lineRule="auto"/>
        <w:ind w:firstLine="480" w:firstLineChars="200"/>
        <w:contextualSpacing/>
        <w:rPr>
          <w:rFonts w:ascii="宋体" w:eastAsia="宋体"/>
          <w:color w:val="auto"/>
          <w:sz w:val="24"/>
          <w:szCs w:val="24"/>
          <w:highlight w:val="none"/>
        </w:rPr>
      </w:pPr>
      <w:r>
        <w:rPr>
          <w:rFonts w:hint="eastAsia" w:ascii="宋体" w:eastAsia="宋体"/>
          <w:color w:val="auto"/>
          <w:sz w:val="24"/>
          <w:szCs w:val="24"/>
          <w:highlight w:val="none"/>
        </w:rPr>
        <w:t>南通市普通国省道服务设施和工区布局规划研究期限均为2023-2035年。</w:t>
      </w:r>
    </w:p>
    <w:p>
      <w:pPr>
        <w:pStyle w:val="25"/>
        <w:snapToGrid w:val="0"/>
        <w:spacing w:line="360" w:lineRule="auto"/>
        <w:ind w:firstLine="480" w:firstLineChars="200"/>
        <w:contextualSpacing/>
        <w:rPr>
          <w:rFonts w:ascii="宋体" w:eastAsia="宋体"/>
          <w:color w:val="auto"/>
          <w:sz w:val="24"/>
          <w:szCs w:val="24"/>
          <w:highlight w:val="none"/>
        </w:rPr>
      </w:pPr>
      <w:r>
        <w:rPr>
          <w:rFonts w:hint="eastAsia" w:ascii="宋体" w:eastAsia="宋体"/>
          <w:color w:val="auto"/>
          <w:sz w:val="24"/>
          <w:szCs w:val="24"/>
          <w:highlight w:val="none"/>
        </w:rPr>
        <w:t>（四）研究服务期：2023年4月20日前，完成南通市普通国省道服务设施和工区布局规划研究</w:t>
      </w:r>
      <w:r>
        <w:rPr>
          <w:rFonts w:hint="eastAsia" w:ascii="宋体" w:eastAsia="宋体"/>
          <w:color w:val="auto"/>
          <w:sz w:val="24"/>
          <w:szCs w:val="24"/>
          <w:highlight w:val="none"/>
          <w:lang w:eastAsia="zh-CN"/>
        </w:rPr>
        <w:t>。</w:t>
      </w:r>
      <w:r>
        <w:rPr>
          <w:rFonts w:hint="eastAsia" w:ascii="宋体" w:eastAsia="宋体"/>
          <w:color w:val="auto"/>
          <w:sz w:val="24"/>
          <w:szCs w:val="24"/>
          <w:highlight w:val="none"/>
        </w:rPr>
        <w:t xml:space="preserve"> </w:t>
      </w:r>
    </w:p>
    <w:p>
      <w:pPr>
        <w:spacing w:line="360" w:lineRule="auto"/>
        <w:ind w:firstLine="480" w:firstLineChars="200"/>
        <w:rPr>
          <w:rFonts w:ascii="宋体"/>
          <w:color w:val="auto"/>
          <w:sz w:val="24"/>
          <w:highlight w:val="none"/>
        </w:rPr>
      </w:pPr>
      <w:r>
        <w:rPr>
          <w:rFonts w:hint="eastAsia" w:ascii="宋体" w:eastAsia="宋体"/>
          <w:color w:val="auto"/>
          <w:sz w:val="24"/>
          <w:szCs w:val="24"/>
          <w:highlight w:val="none"/>
        </w:rPr>
        <w:t>（</w:t>
      </w:r>
      <w:r>
        <w:rPr>
          <w:rFonts w:hint="eastAsia" w:ascii="宋体" w:eastAsia="宋体"/>
          <w:color w:val="auto"/>
          <w:sz w:val="24"/>
          <w:szCs w:val="24"/>
          <w:highlight w:val="none"/>
        </w:rPr>
        <w:t>五</w:t>
      </w:r>
      <w:r>
        <w:rPr>
          <w:rFonts w:hint="eastAsia" w:ascii="宋体" w:eastAsia="宋体"/>
          <w:color w:val="auto"/>
          <w:sz w:val="24"/>
          <w:szCs w:val="24"/>
          <w:highlight w:val="none"/>
        </w:rPr>
        <w:t>）成果</w:t>
      </w:r>
      <w:r>
        <w:rPr>
          <w:rFonts w:hint="eastAsia" w:ascii="宋体" w:eastAsia="宋体"/>
          <w:color w:val="auto"/>
          <w:sz w:val="24"/>
          <w:szCs w:val="24"/>
          <w:highlight w:val="none"/>
        </w:rPr>
        <w:t>包括</w:t>
      </w:r>
      <w:r>
        <w:rPr>
          <w:rFonts w:hint="eastAsia" w:ascii="宋体" w:hAnsi="宋体" w:eastAsia="宋体" w:cs="宋体"/>
          <w:color w:val="auto"/>
          <w:spacing w:val="7"/>
          <w:kern w:val="0"/>
          <w:sz w:val="24"/>
          <w:szCs w:val="24"/>
          <w:highlight w:val="none"/>
        </w:rPr>
        <w:t>南通市普通国省道服务设施和养护工区布局规划、方案表和布局规划图，其中布局规划方案表须按照规定格式进行填报；布局规划图须以国家公路网规划和省道公路网规划路线方案图为底图进行绘制，分别形成南通市普通国省道服务设施布局规划图和普通国省道养护工区布局规划图。</w:t>
      </w:r>
    </w:p>
    <w:p>
      <w:pPr>
        <w:numPr>
          <w:ilvl w:val="0"/>
          <w:numId w:val="1"/>
        </w:numPr>
        <w:snapToGrid w:val="0"/>
        <w:spacing w:line="360" w:lineRule="auto"/>
        <w:ind w:firstLine="482" w:firstLineChars="200"/>
        <w:jc w:val="left"/>
        <w:rPr>
          <w:rFonts w:ascii="宋体" w:hAnsi="宋体" w:cs="宋体"/>
          <w:b/>
          <w:color w:val="auto"/>
          <w:kern w:val="0"/>
          <w:sz w:val="24"/>
          <w:highlight w:val="none"/>
        </w:rPr>
      </w:pPr>
      <w:r>
        <w:rPr>
          <w:rFonts w:hint="eastAsia" w:ascii="宋体" w:hAnsi="宋体" w:cs="宋体"/>
          <w:b/>
          <w:color w:val="auto"/>
          <w:sz w:val="24"/>
          <w:highlight w:val="none"/>
          <w:lang w:val="zh-CN"/>
        </w:rPr>
        <w:t>支付方式</w:t>
      </w:r>
      <w:r>
        <w:rPr>
          <w:rFonts w:hint="eastAsia" w:ascii="宋体" w:hAnsi="宋体" w:cs="宋体"/>
          <w:b/>
          <w:color w:val="auto"/>
          <w:sz w:val="24"/>
          <w:highlight w:val="none"/>
        </w:rPr>
        <w:t>：</w:t>
      </w:r>
    </w:p>
    <w:p>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本项目为本项目为总价合同。项目完成一个月内，发包人付至服务费用的90%；余款在规划成果通过采购人验收评审形成最终成果后一个月内付清（不计利息）。</w:t>
      </w:r>
    </w:p>
    <w:p>
      <w:pP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p>
    <w:p>
      <w:pPr>
        <w:autoSpaceDE w:val="0"/>
        <w:autoSpaceDN w:val="0"/>
        <w:adjustRightInd w:val="0"/>
        <w:snapToGrid w:val="0"/>
        <w:spacing w:line="360" w:lineRule="auto"/>
        <w:jc w:val="center"/>
        <w:outlineLvl w:val="0"/>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第四部分  评审程序和内容</w:t>
      </w:r>
    </w:p>
    <w:p>
      <w:pPr>
        <w:autoSpaceDE w:val="0"/>
        <w:autoSpaceDN w:val="0"/>
        <w:adjustRightInd w:val="0"/>
        <w:snapToGrid w:val="0"/>
        <w:spacing w:line="360" w:lineRule="auto"/>
        <w:ind w:right="210"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一、采购人组织谈判活动</w:t>
      </w:r>
    </w:p>
    <w:p>
      <w:pPr>
        <w:pStyle w:val="25"/>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1.成立竞争性谈判小组。</w:t>
      </w:r>
    </w:p>
    <w:p>
      <w:pPr>
        <w:pStyle w:val="25"/>
        <w:snapToGrid w:val="0"/>
        <w:spacing w:line="360" w:lineRule="auto"/>
        <w:ind w:firstLine="480" w:firstLineChars="200"/>
        <w:contextualSpacing/>
        <w:rPr>
          <w:rFonts w:ascii="宋体" w:eastAsia="宋体" w:cs="宋体"/>
          <w:color w:val="auto"/>
          <w:kern w:val="0"/>
          <w:sz w:val="24"/>
          <w:szCs w:val="24"/>
          <w:highlight w:val="none"/>
        </w:rPr>
      </w:pPr>
      <w:r>
        <w:rPr>
          <w:rFonts w:hint="eastAsia" w:ascii="宋体" w:eastAsia="宋体" w:cs="宋体"/>
          <w:color w:val="auto"/>
          <w:kern w:val="0"/>
          <w:sz w:val="24"/>
          <w:szCs w:val="24"/>
          <w:highlight w:val="none"/>
        </w:rPr>
        <w:t>谈判小组由</w:t>
      </w:r>
      <w:r>
        <w:rPr>
          <w:rFonts w:hint="eastAsia" w:ascii="宋体" w:eastAsia="宋体" w:cs="宋体"/>
          <w:color w:val="auto"/>
          <w:sz w:val="24"/>
          <w:szCs w:val="24"/>
          <w:highlight w:val="none"/>
        </w:rPr>
        <w:t>有关专家</w:t>
      </w:r>
      <w:r>
        <w:rPr>
          <w:rFonts w:hint="eastAsia" w:ascii="宋体" w:eastAsia="宋体" w:cs="宋体"/>
          <w:color w:val="auto"/>
          <w:kern w:val="0"/>
          <w:sz w:val="24"/>
          <w:szCs w:val="24"/>
          <w:highlight w:val="none"/>
        </w:rPr>
        <w:t>共3人或以上单数组成。采购代理机构人员不得参加本机构代理的采购项目的评审。</w:t>
      </w:r>
    </w:p>
    <w:p>
      <w:pPr>
        <w:pStyle w:val="25"/>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2、竞争性谈判小组的职责</w:t>
      </w:r>
    </w:p>
    <w:p>
      <w:pPr>
        <w:pStyle w:val="25"/>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确认或者制定谈判文件；从符合相应资格条件的供应商名单中确定不少于3家的供应商参加谈判；审查供应商的响应文件并作出评价；要求供应商解释或者澄清其响应文件；编写评审报告；告知采购人在评审过程中发现的供应商的违法违规行为。</w:t>
      </w:r>
    </w:p>
    <w:p>
      <w:pPr>
        <w:pStyle w:val="25"/>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3、竞争性谈判小组成员的义务</w:t>
      </w:r>
    </w:p>
    <w:p>
      <w:pPr>
        <w:pStyle w:val="25"/>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遵纪守法，客观、公正、廉洁地履行职责；根据采购文件的规定独立进行评审，对个人的评审意见承担法律责任；参与评审报告的起草；配合采购人答复供应商提出的质疑；配合主管部门的投诉处理和监督检查工作。</w:t>
      </w:r>
    </w:p>
    <w:p>
      <w:pPr>
        <w:pStyle w:val="25"/>
        <w:snapToGrid w:val="0"/>
        <w:spacing w:line="360" w:lineRule="auto"/>
        <w:ind w:firstLine="482" w:firstLineChars="200"/>
        <w:contextualSpacing/>
        <w:rPr>
          <w:rFonts w:ascii="宋体" w:eastAsia="宋体" w:cs="宋体"/>
          <w:b/>
          <w:color w:val="auto"/>
          <w:kern w:val="0"/>
          <w:sz w:val="24"/>
          <w:szCs w:val="24"/>
          <w:highlight w:val="none"/>
          <w:lang w:val="zh-CN"/>
        </w:rPr>
      </w:pPr>
      <w:r>
        <w:rPr>
          <w:rFonts w:hint="eastAsia" w:ascii="宋体" w:eastAsia="宋体" w:cs="宋体"/>
          <w:b/>
          <w:color w:val="auto"/>
          <w:kern w:val="0"/>
          <w:sz w:val="24"/>
          <w:szCs w:val="24"/>
          <w:highlight w:val="none"/>
          <w:lang w:val="zh-CN"/>
        </w:rPr>
        <w:t>二、供应商参加谈判活动</w:t>
      </w:r>
    </w:p>
    <w:p>
      <w:pPr>
        <w:autoSpaceDE w:val="0"/>
        <w:autoSpaceDN w:val="0"/>
        <w:adjustRightInd w:val="0"/>
        <w:snapToGrid w:val="0"/>
        <w:spacing w:line="360" w:lineRule="auto"/>
        <w:ind w:right="210" w:firstLine="482" w:firstLineChars="200"/>
        <w:rPr>
          <w:rFonts w:ascii="宋体" w:hAnsi="宋体" w:cs="宋体"/>
          <w:b/>
          <w:color w:val="auto"/>
          <w:sz w:val="24"/>
          <w:highlight w:val="none"/>
          <w:lang w:val="zh-CN"/>
        </w:rPr>
      </w:pPr>
      <w:r>
        <w:rPr>
          <w:rFonts w:hint="eastAsia" w:ascii="宋体" w:hAnsi="宋体" w:cs="宋体"/>
          <w:b/>
          <w:color w:val="auto"/>
          <w:sz w:val="24"/>
          <w:highlight w:val="none"/>
          <w:lang w:val="zh-CN"/>
        </w:rPr>
        <w:t>供应商的法定代表人或被授权人须持身份证准时参加谈判。</w:t>
      </w:r>
    </w:p>
    <w:p>
      <w:pPr>
        <w:autoSpaceDE w:val="0"/>
        <w:autoSpaceDN w:val="0"/>
        <w:adjustRightInd w:val="0"/>
        <w:snapToGrid w:val="0"/>
        <w:spacing w:line="360" w:lineRule="auto"/>
        <w:ind w:right="210" w:firstLine="482" w:firstLineChars="200"/>
        <w:rPr>
          <w:rFonts w:ascii="宋体" w:hAnsi="宋体" w:cs="宋体"/>
          <w:b/>
          <w:color w:val="auto"/>
          <w:sz w:val="24"/>
          <w:highlight w:val="none"/>
        </w:rPr>
      </w:pPr>
      <w:r>
        <w:rPr>
          <w:rFonts w:hint="eastAsia" w:ascii="宋体" w:hAnsi="宋体" w:cs="宋体"/>
          <w:b/>
          <w:color w:val="auto"/>
          <w:sz w:val="24"/>
          <w:highlight w:val="none"/>
        </w:rPr>
        <w:t>三、谈判的原则及方法</w:t>
      </w:r>
    </w:p>
    <w:p>
      <w:pPr>
        <w:pStyle w:val="25"/>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1</w:t>
      </w:r>
      <w:r>
        <w:rPr>
          <w:rFonts w:hint="eastAsia" w:ascii="宋体" w:eastAsia="宋体" w:cs="宋体"/>
          <w:b/>
          <w:color w:val="auto"/>
          <w:kern w:val="0"/>
          <w:sz w:val="24"/>
          <w:szCs w:val="24"/>
          <w:highlight w:val="none"/>
          <w:lang w:val="zh-CN"/>
        </w:rPr>
        <w:t>.</w:t>
      </w:r>
      <w:r>
        <w:rPr>
          <w:rFonts w:hint="eastAsia" w:ascii="宋体" w:eastAsia="宋体" w:cs="宋体"/>
          <w:color w:val="auto"/>
          <w:kern w:val="0"/>
          <w:sz w:val="24"/>
          <w:szCs w:val="24"/>
          <w:highlight w:val="none"/>
        </w:rPr>
        <w:t xml:space="preserve"> </w:t>
      </w:r>
      <w:r>
        <w:rPr>
          <w:rFonts w:hint="eastAsia" w:ascii="宋体" w:eastAsia="宋体" w:cs="宋体"/>
          <w:color w:val="auto"/>
          <w:kern w:val="0"/>
          <w:sz w:val="24"/>
          <w:szCs w:val="24"/>
          <w:highlight w:val="none"/>
          <w:lang w:val="zh-CN"/>
        </w:rPr>
        <w:t>谈判小组成员应当按照客观、公正、审慎的原则，根据谈判文件规定的评审程序、评审方法和评审标准进行独立评审。未实质性响应谈判</w:t>
      </w:r>
      <w:r>
        <w:rPr>
          <w:rFonts w:hint="eastAsia" w:ascii="宋体" w:eastAsia="宋体" w:cs="宋体"/>
          <w:color w:val="auto"/>
          <w:kern w:val="0"/>
          <w:sz w:val="24"/>
          <w:szCs w:val="24"/>
          <w:highlight w:val="none"/>
        </w:rPr>
        <w:t>文件的响应文件按无效响应处理，谈判小组应当告知提交响应文件的供应商。</w:t>
      </w:r>
    </w:p>
    <w:p>
      <w:pPr>
        <w:pStyle w:val="25"/>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5"/>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5"/>
        <w:tabs>
          <w:tab w:val="left" w:pos="1890"/>
        </w:tabs>
        <w:snapToGrid w:val="0"/>
        <w:spacing w:line="360" w:lineRule="auto"/>
        <w:ind w:firstLine="482" w:firstLineChars="200"/>
        <w:contextualSpacing/>
        <w:rPr>
          <w:rFonts w:ascii="宋体" w:eastAsia="宋体" w:cs="宋体"/>
          <w:color w:val="auto"/>
          <w:kern w:val="0"/>
          <w:sz w:val="24"/>
          <w:szCs w:val="24"/>
          <w:highlight w:val="none"/>
          <w:lang w:val="zh-CN"/>
        </w:rPr>
      </w:pPr>
      <w:r>
        <w:rPr>
          <w:rFonts w:hint="eastAsia" w:ascii="宋体" w:eastAsia="宋体" w:cs="宋体"/>
          <w:b/>
          <w:bCs/>
          <w:color w:val="auto"/>
          <w:kern w:val="0"/>
          <w:sz w:val="24"/>
          <w:szCs w:val="24"/>
          <w:highlight w:val="none"/>
          <w:lang w:val="zh-CN"/>
        </w:rPr>
        <w:t>2.</w:t>
      </w:r>
      <w:r>
        <w:rPr>
          <w:rFonts w:hint="eastAsia" w:ascii="宋体" w:eastAsia="宋体" w:cs="宋体"/>
          <w:color w:val="auto"/>
          <w:kern w:val="0"/>
          <w:sz w:val="24"/>
          <w:szCs w:val="24"/>
          <w:highlight w:val="none"/>
          <w:lang w:val="zh-CN"/>
        </w:rPr>
        <w:t>谈判小组所有成员应当集中与单一供应商分别进行谈判，并给予所有参加谈判的供应商平等的谈判机会。</w:t>
      </w:r>
    </w:p>
    <w:p>
      <w:pPr>
        <w:pStyle w:val="25"/>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3</w:t>
      </w:r>
      <w:r>
        <w:rPr>
          <w:rFonts w:hint="eastAsia" w:ascii="宋体" w:eastAsia="宋体" w:cs="宋体"/>
          <w:b/>
          <w:color w:val="auto"/>
          <w:kern w:val="0"/>
          <w:sz w:val="24"/>
          <w:szCs w:val="24"/>
          <w:highlight w:val="none"/>
          <w:lang w:val="zh-CN"/>
        </w:rPr>
        <w:t>.</w:t>
      </w:r>
      <w:r>
        <w:rPr>
          <w:rFonts w:hint="eastAsia" w:ascii="宋体" w:eastAsia="宋体" w:cs="宋体"/>
          <w:color w:val="auto"/>
          <w:kern w:val="0"/>
          <w:sz w:val="24"/>
          <w:szCs w:val="24"/>
          <w:highlight w:val="none"/>
          <w:lang w:val="zh-CN"/>
        </w:rPr>
        <w:t>在谈判过程中，谈判小组可以根据谈判文件和谈判情况实质性变动采购需求中的技术、服务要求以及合同草案条款，但不得变动谈判文件中的其他内容。实质性变动的内容，须经采购人代表确认。</w:t>
      </w:r>
    </w:p>
    <w:p>
      <w:pPr>
        <w:pStyle w:val="25"/>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对谈判文件作出的实质性变动是谈判文件的有效组成部分，谈判小组应当及时以书面形式同时通知所有参加谈判的供应商。</w:t>
      </w:r>
    </w:p>
    <w:p>
      <w:pPr>
        <w:pStyle w:val="25"/>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25"/>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4</w:t>
      </w:r>
      <w:r>
        <w:rPr>
          <w:rFonts w:hint="eastAsia" w:ascii="宋体" w:eastAsia="宋体" w:cs="宋体"/>
          <w:b/>
          <w:color w:val="auto"/>
          <w:kern w:val="0"/>
          <w:sz w:val="24"/>
          <w:szCs w:val="24"/>
          <w:highlight w:val="none"/>
          <w:lang w:val="zh-CN"/>
        </w:rPr>
        <w:t>.</w:t>
      </w:r>
      <w:r>
        <w:rPr>
          <w:rFonts w:hint="eastAsia" w:ascii="宋体" w:eastAsia="宋体" w:cs="宋体"/>
          <w:color w:val="auto"/>
          <w:kern w:val="0"/>
          <w:sz w:val="24"/>
          <w:szCs w:val="24"/>
          <w:highlight w:val="none"/>
          <w:lang w:val="zh-CN"/>
        </w:rPr>
        <w:t>谈判文件能够详细列明采购标的的技术、服务要求的，谈判结束后，谈判小组应当要求所有实质性响应的供应商在规定时间内提交最后报价，提交最后报价的供应商不得少于3家。</w:t>
      </w:r>
    </w:p>
    <w:p>
      <w:pPr>
        <w:pStyle w:val="25"/>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谈判文件不能详细列明采购标的技术、服务要求，需经谈判由供应商提供最终设计方案或解决方案的，谈判结束后，谈判小组应当按照少数服从多数的原则投票推荐3家及以上供应商的设计方案或者解决方案，并要求其在规定时间内提交最后报价。</w:t>
      </w:r>
    </w:p>
    <w:p>
      <w:pPr>
        <w:pStyle w:val="25"/>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市场竞争不充分的科研项目，以及需要扶持的科技成果转化项目，提交最后报价的供应商可以是2家。</w:t>
      </w:r>
    </w:p>
    <w:p>
      <w:pPr>
        <w:pStyle w:val="25"/>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5.最后报价是供应商响应文件的有效组成部分。</w:t>
      </w:r>
    </w:p>
    <w:p>
      <w:pPr>
        <w:pStyle w:val="25"/>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6.对于在谈判顺利开始后至最终报价前，根据谈判情况退出谈判的供应商，须以书面形式说明退出谈判的原因，经谈判小组同意可以退出谈判。</w:t>
      </w:r>
    </w:p>
    <w:p>
      <w:pPr>
        <w:pStyle w:val="25"/>
        <w:snapToGrid w:val="0"/>
        <w:spacing w:line="360" w:lineRule="auto"/>
        <w:ind w:firstLine="480" w:firstLineChars="200"/>
        <w:contextualSpacing/>
        <w:rPr>
          <w:rFonts w:ascii="宋体" w:eastAsia="宋体" w:cs="宋体"/>
          <w:color w:val="auto"/>
          <w:kern w:val="0"/>
          <w:sz w:val="24"/>
          <w:szCs w:val="24"/>
          <w:highlight w:val="none"/>
          <w:lang w:val="zh-CN"/>
        </w:rPr>
      </w:pPr>
      <w:r>
        <w:rPr>
          <w:rFonts w:hint="eastAsia" w:ascii="宋体" w:eastAsia="宋体" w:cs="宋体"/>
          <w:color w:val="auto"/>
          <w:kern w:val="0"/>
          <w:sz w:val="24"/>
          <w:szCs w:val="24"/>
          <w:highlight w:val="none"/>
          <w:lang w:val="zh-CN"/>
        </w:rPr>
        <w:t>7.谈判时间由谈判小组掌握。</w:t>
      </w:r>
    </w:p>
    <w:p>
      <w:pPr>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四、评审步骤</w:t>
      </w:r>
    </w:p>
    <w:p>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1、谈判小组首先对竞谈响应人的资格进行符合性审查，通过审查的竞谈响应人方可进入谈判报价阶段；</w:t>
      </w:r>
    </w:p>
    <w:p>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2、竞谈响应人的首轮竞谈价低于竞谈限价的为有效报价；</w:t>
      </w:r>
    </w:p>
    <w:p>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3、本项目采用二轮谈判，递交的谈判响应文件中的内容为首轮谈判，现场进行一轮谈判（即为二轮）。除非在谈判中谈判小组对采购人需求内容作了调整增加，或对采购内容作了实质性变更，否则采购人不接受供应商高于自己前一轮的谈判报价。</w:t>
      </w:r>
    </w:p>
    <w:p>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第二轮报价只需报总价，除暂列金额、暂估价（其具体金额或比例）外各子目按第二轮报价较首轮报价下浮率同比例下浮。</w:t>
      </w:r>
    </w:p>
    <w:p>
      <w:pPr>
        <w:snapToGrid w:val="0"/>
        <w:spacing w:line="360" w:lineRule="auto"/>
        <w:ind w:firstLine="480" w:firstLineChars="200"/>
        <w:rPr>
          <w:rFonts w:ascii="宋体" w:hAnsi="宋体" w:cs="宋体"/>
          <w:b/>
          <w:bCs/>
          <w:color w:val="auto"/>
          <w:sz w:val="24"/>
          <w:highlight w:val="none"/>
          <w:lang w:val="zh-CN"/>
        </w:rPr>
      </w:pPr>
      <w:r>
        <w:rPr>
          <w:rFonts w:hint="eastAsia" w:ascii="宋体" w:hAnsi="宋体" w:cs="宋体"/>
          <w:color w:val="auto"/>
          <w:sz w:val="24"/>
          <w:highlight w:val="none"/>
          <w:lang w:val="zh-CN"/>
        </w:rPr>
        <w:t>4、所有最终有效报价中的最低报价为中标价，若报价相同时，则由供应商代表进行现场抽签，关于抽签的具体流程方式由谈判小组现场确定。</w:t>
      </w:r>
    </w:p>
    <w:p>
      <w:pPr>
        <w:autoSpaceDE w:val="0"/>
        <w:autoSpaceDN w:val="0"/>
        <w:adjustRightInd w:val="0"/>
        <w:snapToGrid w:val="0"/>
        <w:spacing w:line="360" w:lineRule="auto"/>
        <w:ind w:firstLine="482" w:firstLineChars="200"/>
        <w:rPr>
          <w:rFonts w:ascii="宋体" w:hAnsi="宋体" w:cs="宋体"/>
          <w:b/>
          <w:color w:val="auto"/>
          <w:sz w:val="24"/>
          <w:highlight w:val="none"/>
          <w:lang w:val="zh-CN"/>
        </w:rPr>
      </w:pPr>
      <w:r>
        <w:rPr>
          <w:rFonts w:hint="eastAsia" w:ascii="宋体" w:hAnsi="宋体" w:cs="宋体"/>
          <w:b/>
          <w:color w:val="auto"/>
          <w:sz w:val="24"/>
          <w:highlight w:val="none"/>
        </w:rPr>
        <w:t>五、</w:t>
      </w:r>
      <w:r>
        <w:rPr>
          <w:rFonts w:hint="eastAsia" w:ascii="宋体" w:hAnsi="宋体" w:cs="宋体"/>
          <w:b/>
          <w:color w:val="auto"/>
          <w:sz w:val="24"/>
          <w:highlight w:val="none"/>
          <w:lang w:val="zh-CN"/>
        </w:rPr>
        <w:t>评定方法</w:t>
      </w:r>
    </w:p>
    <w:p>
      <w:pPr>
        <w:autoSpaceDE w:val="0"/>
        <w:autoSpaceDN w:val="0"/>
        <w:adjustRightInd w:val="0"/>
        <w:snapToGrid w:val="0"/>
        <w:spacing w:line="360" w:lineRule="auto"/>
        <w:ind w:firstLine="480" w:firstLineChars="200"/>
        <w:rPr>
          <w:rFonts w:ascii="宋体" w:hAnsi="宋体" w:cs="宋体"/>
          <w:bCs/>
          <w:color w:val="auto"/>
          <w:sz w:val="24"/>
          <w:highlight w:val="none"/>
          <w:lang w:val="zh-CN"/>
        </w:rPr>
      </w:pPr>
      <w:r>
        <w:rPr>
          <w:rFonts w:hint="eastAsia" w:ascii="宋体" w:hAnsi="宋体" w:cs="宋体"/>
          <w:bCs/>
          <w:color w:val="auto"/>
          <w:sz w:val="24"/>
          <w:highlight w:val="none"/>
          <w:lang w:val="zh-CN"/>
        </w:rPr>
        <w:t>谈判小组在提交最后报价的供应商中，根据质量和服务均能满足采购文件实质性响应要求且最后报价最低的原则确定成交供应商，并编写评审报告。</w:t>
      </w:r>
    </w:p>
    <w:p>
      <w:pPr>
        <w:autoSpaceDE w:val="0"/>
        <w:autoSpaceDN w:val="0"/>
        <w:adjustRightInd w:val="0"/>
        <w:snapToGrid w:val="0"/>
        <w:spacing w:line="360" w:lineRule="auto"/>
        <w:ind w:firstLine="480" w:firstLineChars="200"/>
        <w:rPr>
          <w:rFonts w:ascii="宋体" w:hAnsi="宋体" w:cs="宋体"/>
          <w:b/>
          <w:color w:val="auto"/>
          <w:sz w:val="24"/>
          <w:highlight w:val="none"/>
          <w:lang w:val="zh-CN"/>
        </w:rPr>
      </w:pPr>
      <w:r>
        <w:rPr>
          <w:rFonts w:hint="eastAsia" w:ascii="宋体" w:hAnsi="宋体" w:cs="宋体"/>
          <w:bCs/>
          <w:color w:val="auto"/>
          <w:sz w:val="24"/>
          <w:highlight w:val="none"/>
          <w:lang w:val="zh-CN"/>
        </w:rPr>
        <w:t>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小组应当将其作为无效投标处理。</w:t>
      </w:r>
    </w:p>
    <w:p>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六、政府采购政策功能落实</w:t>
      </w:r>
    </w:p>
    <w:p>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1、小微型企业价格扣除</w:t>
      </w:r>
    </w:p>
    <w:p>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（1）本项目对小型和微型企业产品给予10%的扣除价格，用扣除后的价格参与评审。</w:t>
      </w:r>
    </w:p>
    <w:p>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（2）供应商需按照采购文件的要求提供相应的《小型、微型企业声明函》。</w:t>
      </w:r>
    </w:p>
    <w:p>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（3）企业标准请参照《关于印发中小企业划型标准规定的通知》（工信部联企业[2011]300号）文件规定自行填写。</w:t>
      </w:r>
    </w:p>
    <w:p>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2、残疾人福利单位价格扣除</w:t>
      </w:r>
    </w:p>
    <w:p>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（1）本项目对残疾人福利性单位视同小型、微型企业，给予10%的价格扣除，用扣除后的价格参与评审。</w:t>
      </w:r>
    </w:p>
    <w:p>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（2）残疾人福利单位需按照采购文件的要求提供《残疾人福利性单位声明函》。</w:t>
      </w:r>
    </w:p>
    <w:p>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（3）残疾人福利单位标准请参照《关于促进残疾人就业政府采购政策的通知》（财库〔2017〕141号）。</w:t>
      </w:r>
    </w:p>
    <w:p>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3、监狱和戒毒企业价格扣除</w:t>
      </w:r>
    </w:p>
    <w:p>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（1）本项目对监狱和戒毒企业（简称监狱企业）视同小型、微型企业，给予10%的价格扣除，用扣除后的价格参与评审。</w:t>
      </w:r>
    </w:p>
    <w:p>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（3）监狱企业标准请参照《关于政府采购支持监狱企业发展有关问题的通知》（财库[2014]68号）。</w:t>
      </w:r>
    </w:p>
    <w:p>
      <w:pPr>
        <w:snapToGrid w:val="0"/>
        <w:spacing w:line="360" w:lineRule="auto"/>
        <w:ind w:firstLine="555"/>
        <w:rPr>
          <w:rFonts w:ascii="宋体" w:hAnsi="宋体" w:cs="宋体"/>
          <w:b/>
          <w:color w:val="auto"/>
          <w:sz w:val="24"/>
          <w:highlight w:val="none"/>
        </w:rPr>
      </w:pPr>
      <w:r>
        <w:rPr>
          <w:rFonts w:hint="eastAsia" w:ascii="宋体" w:hAnsi="宋体" w:cs="宋体"/>
          <w:b/>
          <w:color w:val="auto"/>
          <w:sz w:val="24"/>
          <w:highlight w:val="none"/>
        </w:rPr>
        <w:t>4、残疾人福利单位、监狱企业属于小型、微型企业的，不重复享受政策。</w:t>
      </w:r>
    </w:p>
    <w:p>
      <w:pPr>
        <w:autoSpaceDE w:val="0"/>
        <w:autoSpaceDN w:val="0"/>
        <w:adjustRightInd w:val="0"/>
        <w:snapToGrid w:val="0"/>
        <w:spacing w:line="360" w:lineRule="auto"/>
        <w:ind w:firstLine="482" w:firstLineChars="200"/>
        <w:rPr>
          <w:rFonts w:ascii="宋体" w:hAnsi="宋体" w:cs="宋体"/>
          <w:bCs/>
          <w:color w:val="auto"/>
          <w:sz w:val="24"/>
          <w:highlight w:val="none"/>
        </w:rPr>
      </w:pPr>
      <w:r>
        <w:rPr>
          <w:rFonts w:hint="eastAsia" w:ascii="宋体" w:hAnsi="宋体" w:cs="宋体"/>
          <w:b/>
          <w:color w:val="auto"/>
          <w:sz w:val="24"/>
          <w:highlight w:val="none"/>
        </w:rPr>
        <w:t>六、出现下列情形之一的，竞争性谈判采购活动终止，发布项目终止公告并说明</w:t>
      </w:r>
      <w:r>
        <w:rPr>
          <w:rFonts w:hint="eastAsia" w:ascii="宋体" w:hAnsi="宋体" w:cs="宋体"/>
          <w:bCs/>
          <w:color w:val="auto"/>
          <w:sz w:val="24"/>
          <w:highlight w:val="none"/>
        </w:rPr>
        <w:t>原因，重新开展采购活动：</w:t>
      </w:r>
    </w:p>
    <w:p>
      <w:pPr>
        <w:autoSpaceDE w:val="0"/>
        <w:autoSpaceDN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（一）因情况变化，不再符合规定的竞争性谈判采购方式适用情形的；</w:t>
      </w:r>
    </w:p>
    <w:p>
      <w:pPr>
        <w:autoSpaceDE w:val="0"/>
        <w:autoSpaceDN w:val="0"/>
        <w:adjustRightInd w:val="0"/>
        <w:snapToGri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（二）出现影响采购公正的违法、违规行为的。</w:t>
      </w:r>
    </w:p>
    <w:p>
      <w:pPr>
        <w:autoSpaceDE w:val="0"/>
        <w:autoSpaceDN w:val="0"/>
        <w:adjustRightInd w:val="0"/>
        <w:snapToGrid w:val="0"/>
        <w:spacing w:line="360" w:lineRule="auto"/>
        <w:ind w:firstLine="480" w:firstLineChars="200"/>
        <w:rPr>
          <w:rFonts w:ascii="宋体" w:hAnsi="宋体" w:cs="宋体"/>
          <w:color w:val="auto"/>
          <w:sz w:val="24"/>
          <w:highlight w:val="none"/>
          <w:lang w:val="zh-CN"/>
        </w:rPr>
      </w:pPr>
      <w:r>
        <w:rPr>
          <w:rFonts w:hint="eastAsia" w:ascii="宋体" w:hAnsi="宋体" w:cs="宋体"/>
          <w:bCs/>
          <w:color w:val="auto"/>
          <w:sz w:val="24"/>
          <w:highlight w:val="none"/>
        </w:rPr>
        <w:t>（三）在采购过程中符合竞争要求的供应商或者报价未超过采购预算的供应商不足3家的。</w:t>
      </w:r>
    </w:p>
    <w:p>
      <w:pPr>
        <w:autoSpaceDE w:val="0"/>
        <w:autoSpaceDN w:val="0"/>
        <w:adjustRightInd w:val="0"/>
        <w:snapToGrid w:val="0"/>
        <w:spacing w:line="360" w:lineRule="auto"/>
        <w:ind w:left="-178" w:right="210" w:firstLine="636"/>
        <w:rPr>
          <w:rFonts w:ascii="宋体" w:hAnsi="宋体" w:cs="宋体"/>
          <w:b/>
          <w:color w:val="auto"/>
          <w:sz w:val="24"/>
          <w:highlight w:val="none"/>
          <w:lang w:val="zh-CN"/>
        </w:rPr>
      </w:pPr>
      <w:r>
        <w:rPr>
          <w:rFonts w:hint="eastAsia" w:ascii="宋体" w:hAnsi="宋体" w:cs="宋体"/>
          <w:b/>
          <w:color w:val="auto"/>
          <w:sz w:val="24"/>
          <w:highlight w:val="none"/>
        </w:rPr>
        <w:t>七</w:t>
      </w:r>
      <w:r>
        <w:rPr>
          <w:rFonts w:hint="eastAsia" w:ascii="宋体" w:hAnsi="宋体" w:cs="宋体"/>
          <w:b/>
          <w:color w:val="auto"/>
          <w:sz w:val="24"/>
          <w:highlight w:val="none"/>
          <w:lang w:val="zh-CN"/>
        </w:rPr>
        <w:t>、成交通知</w:t>
      </w:r>
    </w:p>
    <w:p>
      <w:pPr>
        <w:snapToGri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成交结果在南通市交通运输局网站公告，公告期限为1个工作日。《成交通知书》一经发出，采购人改变成交结果，或者成交供应商放弃成交的，各自承担相应的法律责任。《成交通知书》是采购合同的组成部分。</w:t>
      </w:r>
    </w:p>
    <w:p>
      <w:pPr>
        <w:widowControl/>
        <w:spacing w:line="360" w:lineRule="auto"/>
        <w:jc w:val="left"/>
        <w:rPr>
          <w:rFonts w:ascii="宋体" w:hAnsi="宋体" w:cs="宋体"/>
          <w:b/>
          <w:color w:val="auto"/>
          <w:sz w:val="36"/>
          <w:szCs w:val="36"/>
          <w:highlight w:val="none"/>
        </w:rPr>
      </w:pPr>
      <w:r>
        <w:rPr>
          <w:rFonts w:ascii="宋体" w:hAnsi="宋体" w:cs="宋体"/>
          <w:b/>
          <w:color w:val="auto"/>
          <w:sz w:val="36"/>
          <w:szCs w:val="36"/>
          <w:highlight w:val="none"/>
        </w:rPr>
        <w:br w:type="page"/>
      </w:r>
    </w:p>
    <w:p>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合同签订与验收付款</w:t>
      </w:r>
    </w:p>
    <w:p>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一、成交供应商在接到《成交通知书》后15日内和采购人签订合同。合同签订后成交供应商方可履约，否则引起的一切后果由成交人自行承担。所签合同不得对采购文件作实质性修改。采购人不得向成交供应商提出不合理的要求作为签订合同的条件，不得与成交供应商私下订立背离采购文件实质性内容的协议。</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采购人与成交供应商串通要求成交供应商通过减少货物数量或降低服务标准的，或在履行合同中采取更改配置、调换物品等手段的，或要求成交供应商出具虚假发票或任意更改销售发票的，或谋取不正当利益的，采购人应承担相应的法律责任。</w:t>
      </w:r>
    </w:p>
    <w:p>
      <w:pPr>
        <w:snapToGrid w:val="0"/>
        <w:spacing w:line="360" w:lineRule="auto"/>
        <w:ind w:firstLine="420" w:firstLineChars="200"/>
        <w:rPr>
          <w:rFonts w:ascii="宋体" w:hAnsi="宋体" w:cs="宋体"/>
          <w:color w:val="auto"/>
          <w:sz w:val="24"/>
          <w:highlight w:val="none"/>
        </w:rPr>
      </w:pPr>
      <w:r>
        <w:rPr>
          <w:rFonts w:hint="eastAsia"/>
          <w:color w:val="auto"/>
          <w:highlight w:val="none"/>
        </w:rPr>
        <w:t>三</w:t>
      </w:r>
      <w:r>
        <w:rPr>
          <w:rFonts w:hint="eastAsia" w:ascii="宋体" w:hAnsi="宋体" w:cs="宋体"/>
          <w:color w:val="auto"/>
          <w:sz w:val="24"/>
          <w:highlight w:val="none"/>
        </w:rPr>
        <w:t>、履约验收：</w:t>
      </w:r>
      <w:r>
        <w:rPr>
          <w:rFonts w:hint="eastAsia" w:ascii="宋体" w:cs="宋体"/>
          <w:color w:val="auto"/>
          <w:spacing w:val="7"/>
          <w:kern w:val="0"/>
          <w:sz w:val="24"/>
          <w:highlight w:val="none"/>
        </w:rPr>
        <w:t>成交供应商提交的规划成果应通过相关验收审查。</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四、成交供应商出现违约情形，应当及时纠正或补偿；造成损失的，按合同约定追究违约责任；发现有假冒、伪劣、走私产品、商业贿赂等违法情形的，应由采购人移交工商、质监、公安等行政执法部门依法查处。</w:t>
      </w:r>
    </w:p>
    <w:p>
      <w:pPr>
        <w:pStyle w:val="5"/>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五、合同条款内容</w:t>
      </w:r>
    </w:p>
    <w:p>
      <w:pPr>
        <w:pStyle w:val="5"/>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p>
    <w:p>
      <w:pPr>
        <w:pStyle w:val="5"/>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p>
    <w:p>
      <w:pPr>
        <w:pStyle w:val="5"/>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p>
    <w:p>
      <w:pPr>
        <w:pStyle w:val="5"/>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p>
    <w:p>
      <w:pPr>
        <w:pStyle w:val="5"/>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p>
    <w:p>
      <w:pPr>
        <w:pStyle w:val="5"/>
        <w:kinsoku w:val="0"/>
        <w:topLinePunct/>
        <w:autoSpaceDE w:val="0"/>
        <w:autoSpaceDN w:val="0"/>
        <w:snapToGrid w:val="0"/>
        <w:spacing w:line="360" w:lineRule="auto"/>
        <w:ind w:firstLine="480" w:firstLineChars="200"/>
        <w:contextualSpacing/>
        <w:rPr>
          <w:rFonts w:ascii="宋体" w:hAnsi="宋体" w:cs="宋体"/>
          <w:color w:val="auto"/>
          <w:sz w:val="24"/>
          <w:szCs w:val="24"/>
          <w:highlight w:val="none"/>
        </w:rPr>
      </w:pPr>
    </w:p>
    <w:p>
      <w:pPr>
        <w:pStyle w:val="5"/>
        <w:kinsoku w:val="0"/>
        <w:topLinePunct/>
        <w:autoSpaceDE w:val="0"/>
        <w:autoSpaceDN w:val="0"/>
        <w:snapToGrid w:val="0"/>
        <w:spacing w:line="360" w:lineRule="auto"/>
        <w:ind w:firstLine="0"/>
        <w:contextualSpacing/>
        <w:rPr>
          <w:rFonts w:ascii="宋体" w:hAnsi="宋体" w:cs="宋体"/>
          <w:color w:val="auto"/>
          <w:sz w:val="24"/>
          <w:highlight w:val="none"/>
        </w:rPr>
      </w:pPr>
      <w:r>
        <w:rPr>
          <w:rFonts w:hint="eastAsia" w:ascii="宋体" w:hAnsi="宋体" w:cs="宋体"/>
          <w:color w:val="auto"/>
          <w:sz w:val="24"/>
          <w:szCs w:val="24"/>
          <w:highlight w:val="none"/>
        </w:rPr>
        <w:br w:type="page"/>
      </w:r>
    </w:p>
    <w:p>
      <w:pPr>
        <w:pStyle w:val="5"/>
        <w:kinsoku w:val="0"/>
        <w:topLinePunct/>
        <w:autoSpaceDE w:val="0"/>
        <w:autoSpaceDN w:val="0"/>
        <w:snapToGrid w:val="0"/>
        <w:spacing w:line="360" w:lineRule="auto"/>
        <w:ind w:firstLine="0"/>
        <w:contextualSpacing/>
        <w:jc w:val="center"/>
        <w:rPr>
          <w:rFonts w:ascii="宋体" w:hAnsi="宋体" w:cs="宋体"/>
          <w:color w:val="auto"/>
          <w:sz w:val="28"/>
          <w:szCs w:val="28"/>
          <w:highlight w:val="none"/>
        </w:rPr>
      </w:pPr>
      <w:r>
        <w:rPr>
          <w:rFonts w:hint="eastAsia" w:ascii="宋体" w:hAnsi="宋体" w:cs="宋体"/>
          <w:b/>
          <w:bCs/>
          <w:color w:val="auto"/>
          <w:sz w:val="30"/>
          <w:szCs w:val="32"/>
          <w:highlight w:val="none"/>
        </w:rPr>
        <w:t>合同条款</w:t>
      </w:r>
    </w:p>
    <w:p>
      <w:pPr>
        <w:keepNext/>
        <w:keepLines/>
        <w:numPr>
          <w:ilvl w:val="2"/>
          <w:numId w:val="0"/>
        </w:numPr>
        <w:spacing w:line="360" w:lineRule="auto"/>
        <w:jc w:val="center"/>
        <w:outlineLvl w:val="2"/>
        <w:rPr>
          <w:b/>
          <w:bCs/>
          <w:color w:val="auto"/>
          <w:sz w:val="30"/>
          <w:szCs w:val="32"/>
          <w:highlight w:val="none"/>
        </w:rPr>
      </w:pPr>
      <w:bookmarkStart w:id="1" w:name="_Toc7600037"/>
      <w:bookmarkStart w:id="2" w:name="_Toc524847441"/>
      <w:bookmarkStart w:id="3" w:name="_Toc14857557"/>
      <w:bookmarkStart w:id="4" w:name="_Toc524689561"/>
      <w:bookmarkStart w:id="5" w:name="_Toc524439549"/>
      <w:bookmarkStart w:id="6" w:name="_Toc524746531"/>
      <w:bookmarkStart w:id="7" w:name="_Toc525011390"/>
      <w:bookmarkStart w:id="8" w:name="_Toc524493406"/>
      <w:bookmarkStart w:id="9" w:name="_Toc3795977"/>
      <w:bookmarkStart w:id="10" w:name="_Toc387768380"/>
      <w:bookmarkStart w:id="11" w:name="_Toc295408754"/>
      <w:bookmarkStart w:id="12" w:name="_Toc524494797"/>
      <w:bookmarkStart w:id="13" w:name="_Toc524516438"/>
      <w:bookmarkStart w:id="14" w:name="_Toc524342538"/>
      <w:bookmarkStart w:id="15" w:name="_Toc525200424"/>
      <w:bookmarkStart w:id="16" w:name="_Toc524847255"/>
      <w:bookmarkStart w:id="17" w:name="_Toc524439711"/>
      <w:bookmarkStart w:id="18" w:name="_Toc275422869"/>
      <w:bookmarkStart w:id="19" w:name="_Toc524494403"/>
      <w:bookmarkStart w:id="20" w:name="_Toc230492376"/>
      <w:bookmarkStart w:id="21" w:name="_Toc470619301"/>
      <w:bookmarkStart w:id="22" w:name="_Toc524341771"/>
      <w:bookmarkStart w:id="23" w:name="_Toc3796835"/>
      <w:bookmarkStart w:id="24" w:name="_Toc275422753"/>
      <w:bookmarkStart w:id="25" w:name="_Toc524494181"/>
      <w:bookmarkStart w:id="26" w:name="_Toc524747415"/>
      <w:bookmarkStart w:id="27" w:name="_Toc524342643"/>
      <w:bookmarkStart w:id="28" w:name="_Toc524495531"/>
      <w:bookmarkStart w:id="29" w:name="_Toc524404093"/>
      <w:bookmarkStart w:id="30" w:name="_Toc524486468"/>
      <w:bookmarkStart w:id="31" w:name="_Toc524332413"/>
      <w:bookmarkStart w:id="32" w:name="_Toc525397589"/>
      <w:bookmarkStart w:id="33" w:name="_Toc381015373"/>
      <w:bookmarkStart w:id="34" w:name="_Toc7867473"/>
      <w:bookmarkStart w:id="35" w:name="_Toc10189308"/>
      <w:bookmarkStart w:id="36" w:name="_Toc390785017"/>
      <w:bookmarkStart w:id="37" w:name="_Toc524457359"/>
      <w:bookmarkStart w:id="38" w:name="_Toc524491091"/>
      <w:bookmarkStart w:id="39" w:name="_Toc3795462"/>
      <w:bookmarkStart w:id="40" w:name="_Toc524452544"/>
      <w:bookmarkStart w:id="41" w:name="_Toc524516286"/>
      <w:bookmarkStart w:id="42" w:name="_Toc40280340"/>
      <w:bookmarkStart w:id="43" w:name="_Toc524333057"/>
      <w:bookmarkStart w:id="44" w:name="_Toc524496008"/>
      <w:bookmarkStart w:id="45" w:name="_Toc524458609"/>
      <w:bookmarkStart w:id="46" w:name="_Toc6311299"/>
      <w:bookmarkStart w:id="47" w:name="_Toc7599806"/>
      <w:bookmarkStart w:id="48" w:name="_Toc524404352"/>
      <w:bookmarkStart w:id="49" w:name="_Toc387773187"/>
      <w:bookmarkStart w:id="50" w:name="_Toc286308342"/>
      <w:bookmarkStart w:id="51" w:name="_Toc525376807"/>
      <w:bookmarkStart w:id="52" w:name="_Toc524342334"/>
      <w:bookmarkStart w:id="53" w:name="_Toc313903287"/>
      <w:r>
        <w:rPr>
          <w:rFonts w:hint="eastAsia"/>
          <w:b/>
          <w:bCs/>
          <w:color w:val="auto"/>
          <w:sz w:val="30"/>
          <w:szCs w:val="32"/>
          <w:highlight w:val="none"/>
        </w:rPr>
        <w:t>（一）合同主要条款</w:t>
      </w:r>
    </w:p>
    <w:p>
      <w:pPr>
        <w:keepNext/>
        <w:keepLines/>
        <w:numPr>
          <w:ilvl w:val="2"/>
          <w:numId w:val="0"/>
        </w:numPr>
        <w:spacing w:line="360" w:lineRule="auto"/>
        <w:jc w:val="center"/>
        <w:outlineLvl w:val="2"/>
        <w:rPr>
          <w:b/>
          <w:bCs/>
          <w:color w:val="auto"/>
          <w:sz w:val="30"/>
          <w:szCs w:val="32"/>
          <w:highlight w:val="none"/>
        </w:rPr>
      </w:pPr>
      <w:r>
        <w:rPr>
          <w:rFonts w:hint="eastAsia"/>
          <w:b/>
          <w:bCs/>
          <w:color w:val="auto"/>
          <w:sz w:val="30"/>
          <w:szCs w:val="32"/>
          <w:highlight w:val="none"/>
        </w:rPr>
        <w:t>一、定义和解释</w:t>
      </w:r>
    </w:p>
    <w:p>
      <w:pPr>
        <w:snapToGrid w:val="0"/>
        <w:spacing w:line="360" w:lineRule="auto"/>
        <w:ind w:firstLine="480" w:firstLineChars="200"/>
        <w:contextualSpacing/>
        <w:rPr>
          <w:rFonts w:ascii="宋体" w:hAnsi="宋体"/>
          <w:color w:val="auto"/>
          <w:sz w:val="24"/>
          <w:highlight w:val="none"/>
        </w:rPr>
      </w:pPr>
      <w:r>
        <w:rPr>
          <w:rFonts w:ascii="宋体" w:hAnsi="宋体"/>
          <w:color w:val="auto"/>
          <w:sz w:val="24"/>
          <w:highlight w:val="none"/>
        </w:rPr>
        <w:t>1.1</w:t>
      </w:r>
      <w:r>
        <w:rPr>
          <w:rFonts w:hint="eastAsia" w:ascii="宋体" w:hAnsi="宋体"/>
          <w:color w:val="auto"/>
          <w:sz w:val="24"/>
          <w:highlight w:val="none"/>
        </w:rPr>
        <w:t>业主：即合同书中的“甲方”，是指本合同条款中指明的执行研究项目投资计划的单位，或其指定的负责管理研究项目的代表机构，以及取得该当事人（单位）资格的合法继承人（单位），也即为本项目的采购人。本合同业主为南通市公路事业发展中心。下称“甲方”或“业主”。</w:t>
      </w:r>
    </w:p>
    <w:p>
      <w:pPr>
        <w:snapToGrid w:val="0"/>
        <w:spacing w:line="360" w:lineRule="auto"/>
        <w:ind w:firstLine="480" w:firstLineChars="200"/>
        <w:contextualSpacing/>
        <w:rPr>
          <w:rFonts w:ascii="宋体" w:hAnsi="宋体"/>
          <w:color w:val="auto"/>
          <w:sz w:val="24"/>
          <w:highlight w:val="none"/>
        </w:rPr>
      </w:pPr>
      <w:r>
        <w:rPr>
          <w:rFonts w:ascii="宋体" w:hAnsi="宋体"/>
          <w:color w:val="auto"/>
          <w:sz w:val="24"/>
          <w:highlight w:val="none"/>
        </w:rPr>
        <w:t>1.2</w:t>
      </w:r>
      <w:r>
        <w:rPr>
          <w:rFonts w:hint="eastAsia" w:ascii="宋体" w:hAnsi="宋体"/>
          <w:color w:val="auto"/>
          <w:sz w:val="24"/>
          <w:highlight w:val="none"/>
        </w:rPr>
        <w:t>研究单位：即合同书中的“乙方”，是指其谈判响应文件已为采购人所接受，并与业主签订了合同书、承担本合同研究任务的研究单位（公司），以及取得该当事机构资格的合法继承人，但不包括该当事机构的任何受让人（除非业主同意），也即为本项目的成交供应商。下称“乙方”或“研究单位”。</w:t>
      </w:r>
    </w:p>
    <w:p>
      <w:pPr>
        <w:snapToGrid w:val="0"/>
        <w:spacing w:line="360" w:lineRule="auto"/>
        <w:ind w:firstLine="480" w:firstLineChars="200"/>
        <w:contextualSpacing/>
        <w:rPr>
          <w:rFonts w:ascii="宋体" w:hAnsi="宋体"/>
          <w:color w:val="auto"/>
          <w:sz w:val="24"/>
          <w:highlight w:val="none"/>
        </w:rPr>
      </w:pPr>
      <w:r>
        <w:rPr>
          <w:rFonts w:ascii="宋体" w:hAnsi="宋体"/>
          <w:color w:val="auto"/>
          <w:sz w:val="24"/>
          <w:highlight w:val="none"/>
        </w:rPr>
        <w:t>1.3</w:t>
      </w:r>
      <w:r>
        <w:rPr>
          <w:rFonts w:hint="eastAsia" w:ascii="宋体" w:hAnsi="宋体"/>
          <w:color w:val="auto"/>
          <w:sz w:val="24"/>
          <w:highlight w:val="none"/>
        </w:rPr>
        <w:t>项目负责人：是指谈判响应文件中载明，并由研究单位书面委托的负责本合同项目的组织管理者。</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其他主要人员：是指由项目负责人提名，研究单位批准的各专业负责人，并在谈判响应文件中载明。</w:t>
      </w:r>
    </w:p>
    <w:p>
      <w:pPr>
        <w:snapToGrid w:val="0"/>
        <w:spacing w:line="360" w:lineRule="auto"/>
        <w:ind w:firstLine="480" w:firstLineChars="200"/>
        <w:contextualSpacing/>
        <w:rPr>
          <w:rFonts w:ascii="宋体" w:hAnsi="宋体"/>
          <w:color w:val="auto"/>
          <w:sz w:val="24"/>
          <w:highlight w:val="none"/>
        </w:rPr>
      </w:pPr>
      <w:r>
        <w:rPr>
          <w:rFonts w:ascii="宋体" w:hAnsi="宋体"/>
          <w:color w:val="auto"/>
          <w:sz w:val="24"/>
          <w:highlight w:val="none"/>
        </w:rPr>
        <w:t>1.4</w:t>
      </w:r>
      <w:r>
        <w:rPr>
          <w:rFonts w:hint="eastAsia" w:ascii="宋体" w:hAnsi="宋体"/>
          <w:color w:val="auto"/>
          <w:sz w:val="24"/>
          <w:highlight w:val="none"/>
        </w:rPr>
        <w:t>合同：由合同条款、技术规范、谈判响应文件、中标书、合同协议书和相关文件组成。</w:t>
      </w:r>
    </w:p>
    <w:p>
      <w:pPr>
        <w:snapToGrid w:val="0"/>
        <w:spacing w:line="360" w:lineRule="auto"/>
        <w:ind w:firstLine="480" w:firstLineChars="200"/>
        <w:contextualSpacing/>
        <w:rPr>
          <w:rFonts w:ascii="宋体" w:hAnsi="宋体"/>
          <w:color w:val="auto"/>
          <w:sz w:val="24"/>
          <w:highlight w:val="none"/>
        </w:rPr>
      </w:pPr>
      <w:r>
        <w:rPr>
          <w:rFonts w:ascii="宋体" w:hAnsi="宋体"/>
          <w:color w:val="auto"/>
          <w:sz w:val="24"/>
          <w:highlight w:val="none"/>
        </w:rPr>
        <w:t>1.5</w:t>
      </w:r>
      <w:r>
        <w:rPr>
          <w:rFonts w:hint="eastAsia" w:ascii="宋体" w:hAnsi="宋体"/>
          <w:color w:val="auto"/>
          <w:sz w:val="24"/>
          <w:highlight w:val="none"/>
        </w:rPr>
        <w:t>技术标准与规范：是指所有的中华人民共和国国家标准和有关部门颁发相关规范及技术标准。</w:t>
      </w:r>
    </w:p>
    <w:p>
      <w:pPr>
        <w:snapToGrid w:val="0"/>
        <w:spacing w:line="360" w:lineRule="auto"/>
        <w:ind w:firstLine="480" w:firstLineChars="200"/>
        <w:contextualSpacing/>
        <w:rPr>
          <w:rFonts w:ascii="宋体" w:hAnsi="宋体"/>
          <w:color w:val="auto"/>
          <w:sz w:val="24"/>
          <w:highlight w:val="none"/>
        </w:rPr>
      </w:pPr>
      <w:r>
        <w:rPr>
          <w:rFonts w:ascii="宋体" w:hAnsi="宋体"/>
          <w:color w:val="auto"/>
          <w:sz w:val="24"/>
          <w:highlight w:val="none"/>
        </w:rPr>
        <w:t>1.6</w:t>
      </w:r>
      <w:r>
        <w:rPr>
          <w:rFonts w:hint="eastAsia" w:ascii="宋体" w:hAnsi="宋体"/>
          <w:color w:val="auto"/>
          <w:sz w:val="24"/>
          <w:highlight w:val="none"/>
        </w:rPr>
        <w:t>研究：指为完成本合同项目所进行的单项或全部研究服务工作。</w:t>
      </w:r>
    </w:p>
    <w:p>
      <w:pPr>
        <w:snapToGrid w:val="0"/>
        <w:spacing w:line="360" w:lineRule="auto"/>
        <w:ind w:firstLine="480" w:firstLineChars="200"/>
        <w:contextualSpacing/>
        <w:rPr>
          <w:rFonts w:ascii="宋体" w:hAnsi="宋体"/>
          <w:color w:val="auto"/>
          <w:sz w:val="24"/>
          <w:highlight w:val="none"/>
        </w:rPr>
      </w:pPr>
      <w:r>
        <w:rPr>
          <w:rFonts w:ascii="宋体" w:hAnsi="宋体"/>
          <w:color w:val="auto"/>
          <w:sz w:val="24"/>
          <w:highlight w:val="none"/>
        </w:rPr>
        <w:t>1.7</w:t>
      </w:r>
      <w:r>
        <w:rPr>
          <w:rFonts w:hint="eastAsia" w:ascii="宋体" w:hAnsi="宋体"/>
          <w:color w:val="auto"/>
          <w:sz w:val="24"/>
          <w:highlight w:val="none"/>
        </w:rPr>
        <w:t>研究报告：是指承包人按本合同的规定，按合同要求及业主指令而分阶段提交的项目报告；</w:t>
      </w:r>
    </w:p>
    <w:p>
      <w:pPr>
        <w:snapToGrid w:val="0"/>
        <w:spacing w:line="360" w:lineRule="auto"/>
        <w:ind w:firstLine="480" w:firstLineChars="200"/>
        <w:contextualSpacing/>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8日：指日历日。</w:t>
      </w:r>
    </w:p>
    <w:p>
      <w:pPr>
        <w:keepNext/>
        <w:keepLines/>
        <w:numPr>
          <w:ilvl w:val="2"/>
          <w:numId w:val="0"/>
        </w:numPr>
        <w:spacing w:line="360" w:lineRule="auto"/>
        <w:jc w:val="center"/>
        <w:outlineLvl w:val="2"/>
        <w:rPr>
          <w:b/>
          <w:bCs/>
          <w:color w:val="auto"/>
          <w:sz w:val="30"/>
          <w:szCs w:val="32"/>
          <w:highlight w:val="none"/>
        </w:rPr>
      </w:pPr>
      <w:bookmarkStart w:id="54" w:name="_Toc14857558"/>
      <w:bookmarkStart w:id="55" w:name="_Toc230492377"/>
      <w:bookmarkStart w:id="56" w:name="_Toc387768381"/>
      <w:bookmarkStart w:id="57" w:name="_Toc275422754"/>
      <w:bookmarkStart w:id="58" w:name="_Toc286308343"/>
      <w:bookmarkStart w:id="59" w:name="_Toc295408755"/>
      <w:bookmarkStart w:id="60" w:name="_Toc10189309"/>
      <w:bookmarkStart w:id="61" w:name="_Toc381015374"/>
      <w:bookmarkStart w:id="62" w:name="_Toc313903288"/>
      <w:bookmarkStart w:id="63" w:name="_Toc390785018"/>
      <w:bookmarkStart w:id="64" w:name="_Toc387773188"/>
      <w:bookmarkStart w:id="65" w:name="_Toc275422870"/>
      <w:bookmarkStart w:id="66" w:name="_Toc40280341"/>
      <w:bookmarkStart w:id="67" w:name="_Toc470619302"/>
      <w:r>
        <w:rPr>
          <w:rFonts w:hint="eastAsia"/>
          <w:b/>
          <w:bCs/>
          <w:color w:val="auto"/>
          <w:sz w:val="30"/>
          <w:szCs w:val="32"/>
          <w:highlight w:val="none"/>
        </w:rPr>
        <w:t>二、研究范围、内容、依据与标准</w:t>
      </w:r>
      <w:bookmarkEnd w:id="54"/>
      <w:bookmarkEnd w:id="55"/>
      <w:bookmarkEnd w:id="56"/>
      <w:bookmarkEnd w:id="57"/>
      <w:bookmarkEnd w:id="58"/>
      <w:bookmarkEnd w:id="59"/>
      <w:bookmarkEnd w:id="60"/>
      <w:bookmarkEnd w:id="61"/>
      <w:bookmarkEnd w:id="62"/>
      <w:bookmarkEnd w:id="63"/>
      <w:bookmarkEnd w:id="64"/>
      <w:bookmarkEnd w:id="65"/>
      <w:bookmarkEnd w:id="66"/>
      <w:bookmarkEnd w:id="67"/>
    </w:p>
    <w:p>
      <w:pPr>
        <w:snapToGrid w:val="0"/>
        <w:spacing w:line="360" w:lineRule="auto"/>
        <w:ind w:firstLine="480" w:firstLineChars="200"/>
        <w:contextualSpacing/>
        <w:rPr>
          <w:rFonts w:ascii="宋体" w:hAnsi="宋体"/>
          <w:color w:val="auto"/>
          <w:sz w:val="24"/>
          <w:highlight w:val="none"/>
        </w:rPr>
      </w:pPr>
      <w:r>
        <w:rPr>
          <w:rFonts w:ascii="宋体" w:hAnsi="宋体"/>
          <w:color w:val="auto"/>
          <w:sz w:val="24"/>
          <w:highlight w:val="none"/>
        </w:rPr>
        <w:t>2.1</w:t>
      </w:r>
      <w:r>
        <w:rPr>
          <w:rFonts w:hint="eastAsia" w:ascii="宋体" w:hAnsi="宋体"/>
          <w:color w:val="auto"/>
          <w:sz w:val="24"/>
          <w:highlight w:val="none"/>
        </w:rPr>
        <w:t>研究范围及内容：</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2.1.1本次研究内容为《南通市普通国省道服务设施和养护工区布局规划（2023-2035）》编制。</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2.1.2 研究单位应在签订合同协议书后在业主规定的时间内完成本合同的研究服务工作，并提交相关成果文件。</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2研究依据与标准</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谈判文件及相关标准与规范。</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3研究成果编制进度</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2023年4月20日前，完成南通市普通国省道服务设施和工区布局规划研究，提交成果包括南通市普通国省道服务设施和养护工区布局规划、方案表和布局规划图，其中布局规划方案表须按照规定格式进行填报；布局规划图须以国家公路网规划和省道公路网规划路线方案图为底图进行绘制，分别形成南通市普通国省道服务设施布局规划图和普通国省道养护工区布局规划图。</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4 提交的资料</w:t>
      </w:r>
    </w:p>
    <w:p>
      <w:pPr>
        <w:snapToGrid w:val="0"/>
        <w:spacing w:line="360" w:lineRule="auto"/>
        <w:ind w:firstLine="480" w:firstLineChars="200"/>
        <w:contextualSpacing/>
        <w:rPr>
          <w:color w:val="auto"/>
          <w:highlight w:val="none"/>
        </w:rPr>
      </w:pPr>
      <w:r>
        <w:rPr>
          <w:rFonts w:hint="eastAsia" w:ascii="宋体" w:hAnsi="宋体" w:cstheme="minorBidi"/>
          <w:color w:val="auto"/>
          <w:sz w:val="24"/>
          <w:highlight w:val="none"/>
        </w:rPr>
        <w:t>成果</w:t>
      </w:r>
      <w:r>
        <w:rPr>
          <w:rFonts w:hint="eastAsia" w:ascii="宋体"/>
          <w:color w:val="auto"/>
          <w:sz w:val="24"/>
          <w:highlight w:val="none"/>
        </w:rPr>
        <w:t>包括</w:t>
      </w:r>
      <w:r>
        <w:rPr>
          <w:rFonts w:hint="eastAsia" w:ascii="宋体" w:hAnsi="宋体" w:cstheme="minorBidi"/>
          <w:color w:val="auto"/>
          <w:sz w:val="24"/>
          <w:highlight w:val="none"/>
        </w:rPr>
        <w:t>南通市普通国省道服务设施和养护工区布局规划、方案表和布局规划图，其中布局规划方案表须按照规定格式进行填报；布局规划图须以国家公路网规划和省道公路网规划路线方案图为底图进行绘制，分别形成南通市普通国省道服务设施布局规划图和普通国省道养护工区布局规划图。</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2.5 研究单位必须配合业主做好各项汇报、评审、报批、审核、调整工作。</w:t>
      </w:r>
    </w:p>
    <w:p>
      <w:pPr>
        <w:keepNext/>
        <w:keepLines/>
        <w:numPr>
          <w:ilvl w:val="2"/>
          <w:numId w:val="0"/>
        </w:numPr>
        <w:spacing w:line="360" w:lineRule="auto"/>
        <w:jc w:val="center"/>
        <w:outlineLvl w:val="2"/>
        <w:rPr>
          <w:b/>
          <w:bCs/>
          <w:color w:val="auto"/>
          <w:sz w:val="30"/>
          <w:szCs w:val="32"/>
          <w:highlight w:val="none"/>
        </w:rPr>
      </w:pPr>
      <w:bookmarkStart w:id="68" w:name="_Toc286308344"/>
      <w:bookmarkStart w:id="69" w:name="_Toc275422871"/>
      <w:bookmarkStart w:id="70" w:name="_Toc230492378"/>
      <w:bookmarkStart w:id="71" w:name="_Toc387768382"/>
      <w:bookmarkStart w:id="72" w:name="_Toc295408756"/>
      <w:bookmarkStart w:id="73" w:name="_Toc381015375"/>
      <w:bookmarkStart w:id="74" w:name="_Toc313903289"/>
      <w:bookmarkStart w:id="75" w:name="_Toc14857559"/>
      <w:bookmarkStart w:id="76" w:name="_Toc470619303"/>
      <w:bookmarkStart w:id="77" w:name="_Toc40280342"/>
      <w:bookmarkStart w:id="78" w:name="_Toc387773189"/>
      <w:bookmarkStart w:id="79" w:name="_Toc390785019"/>
      <w:bookmarkStart w:id="80" w:name="_Toc10189310"/>
      <w:bookmarkStart w:id="81" w:name="_Toc275422755"/>
      <w:r>
        <w:rPr>
          <w:rFonts w:hint="eastAsia"/>
          <w:b/>
          <w:bCs/>
          <w:color w:val="auto"/>
          <w:sz w:val="30"/>
          <w:szCs w:val="32"/>
          <w:highlight w:val="none"/>
        </w:rPr>
        <w:t>三、业主的责任与义务</w:t>
      </w:r>
      <w:bookmarkEnd w:id="68"/>
      <w:bookmarkEnd w:id="69"/>
      <w:bookmarkEnd w:id="70"/>
      <w:bookmarkEnd w:id="71"/>
      <w:bookmarkEnd w:id="72"/>
      <w:bookmarkEnd w:id="73"/>
      <w:bookmarkEnd w:id="74"/>
      <w:bookmarkEnd w:id="75"/>
      <w:bookmarkEnd w:id="76"/>
      <w:bookmarkEnd w:id="77"/>
      <w:bookmarkEnd w:id="78"/>
      <w:bookmarkEnd w:id="79"/>
      <w:bookmarkEnd w:id="80"/>
      <w:bookmarkEnd w:id="81"/>
    </w:p>
    <w:p>
      <w:pPr>
        <w:snapToGrid w:val="0"/>
        <w:spacing w:line="360" w:lineRule="auto"/>
        <w:ind w:firstLine="480" w:firstLineChars="200"/>
        <w:contextualSpacing/>
        <w:rPr>
          <w:rFonts w:ascii="宋体" w:hAnsi="宋体"/>
          <w:color w:val="auto"/>
          <w:sz w:val="24"/>
          <w:highlight w:val="none"/>
        </w:rPr>
      </w:pPr>
      <w:bookmarkStart w:id="82" w:name="_Toc295408757"/>
      <w:bookmarkStart w:id="83" w:name="_Toc286308345"/>
      <w:bookmarkStart w:id="84" w:name="_Toc14857560"/>
      <w:bookmarkStart w:id="85" w:name="_Toc10189311"/>
      <w:bookmarkStart w:id="86" w:name="_Toc230492379"/>
      <w:bookmarkStart w:id="87" w:name="_Toc275422756"/>
      <w:bookmarkStart w:id="88" w:name="_Toc275422872"/>
      <w:r>
        <w:rPr>
          <w:rFonts w:ascii="宋体" w:hAnsi="宋体"/>
          <w:color w:val="auto"/>
          <w:sz w:val="24"/>
          <w:highlight w:val="none"/>
        </w:rPr>
        <w:t>3.1</w:t>
      </w:r>
      <w:r>
        <w:rPr>
          <w:rFonts w:hint="eastAsia" w:ascii="宋体" w:hAnsi="宋体"/>
          <w:color w:val="auto"/>
          <w:sz w:val="24"/>
          <w:highlight w:val="none"/>
        </w:rPr>
        <w:t xml:space="preserve">  业主应按合同有关规定支付研究服务费用。</w:t>
      </w:r>
    </w:p>
    <w:p>
      <w:pPr>
        <w:snapToGrid w:val="0"/>
        <w:spacing w:line="360" w:lineRule="auto"/>
        <w:ind w:firstLine="480" w:firstLineChars="200"/>
        <w:contextualSpacing/>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 xml:space="preserve">  业主应向研究单位提供开展研究工作所需要的相关文件、资料，研究单位应对提供的原始资料的理解负责。</w:t>
      </w:r>
    </w:p>
    <w:p>
      <w:pPr>
        <w:snapToGrid w:val="0"/>
        <w:spacing w:line="360" w:lineRule="auto"/>
        <w:ind w:firstLine="480" w:firstLineChars="200"/>
        <w:contextualSpacing/>
        <w:rPr>
          <w:rFonts w:ascii="宋体" w:hAnsi="宋体"/>
          <w:color w:val="auto"/>
          <w:sz w:val="24"/>
          <w:highlight w:val="none"/>
        </w:rPr>
      </w:pPr>
      <w:r>
        <w:rPr>
          <w:rFonts w:ascii="宋体" w:hAnsi="宋体"/>
          <w:color w:val="auto"/>
          <w:sz w:val="24"/>
          <w:highlight w:val="none"/>
        </w:rPr>
        <w:t>3.3</w:t>
      </w:r>
      <w:r>
        <w:rPr>
          <w:rFonts w:hint="eastAsia" w:ascii="宋体" w:hAnsi="宋体"/>
          <w:color w:val="auto"/>
          <w:sz w:val="24"/>
          <w:highlight w:val="none"/>
        </w:rPr>
        <w:t xml:space="preserve">  在项目成果编制过程中，业主应对研究单位与地方政府及有关部门的协调工作提供必要的协助</w:t>
      </w:r>
      <w:r>
        <w:rPr>
          <w:rFonts w:ascii="宋体" w:hAnsi="宋体"/>
          <w:color w:val="auto"/>
          <w:sz w:val="24"/>
          <w:highlight w:val="none"/>
        </w:rPr>
        <w:t>，</w:t>
      </w:r>
      <w:r>
        <w:rPr>
          <w:rFonts w:hint="eastAsia" w:ascii="宋体" w:hAnsi="宋体"/>
          <w:color w:val="auto"/>
          <w:sz w:val="24"/>
          <w:highlight w:val="none"/>
        </w:rPr>
        <w:t>但并不免除研究单位根据本合同规定应负的责任。</w:t>
      </w:r>
    </w:p>
    <w:p>
      <w:pPr>
        <w:snapToGrid w:val="0"/>
        <w:spacing w:line="360" w:lineRule="auto"/>
        <w:ind w:firstLine="480" w:firstLineChars="200"/>
        <w:contextualSpacing/>
        <w:rPr>
          <w:rFonts w:ascii="宋体" w:hAnsi="宋体"/>
          <w:color w:val="auto"/>
          <w:sz w:val="24"/>
          <w:highlight w:val="none"/>
        </w:rPr>
      </w:pPr>
      <w:r>
        <w:rPr>
          <w:rFonts w:ascii="宋体" w:hAnsi="宋体"/>
          <w:color w:val="auto"/>
          <w:sz w:val="24"/>
          <w:highlight w:val="none"/>
        </w:rPr>
        <w:t>3.4</w:t>
      </w:r>
      <w:r>
        <w:rPr>
          <w:rFonts w:hint="eastAsia" w:ascii="宋体" w:hAnsi="宋体"/>
          <w:color w:val="auto"/>
          <w:sz w:val="24"/>
          <w:highlight w:val="none"/>
        </w:rPr>
        <w:t xml:space="preserve">  除合同另有规定外，业主应保护研究单位的谈判响应文件、计算软件和专利技术。未经研究单位同意，业主对研究单位提交的谈判响应文件不得擅自修改、复制或转让或用于本项目以外的其它项目。</w:t>
      </w:r>
    </w:p>
    <w:p>
      <w:pPr>
        <w:keepNext/>
        <w:keepLines/>
        <w:numPr>
          <w:ilvl w:val="2"/>
          <w:numId w:val="0"/>
        </w:numPr>
        <w:spacing w:line="360" w:lineRule="auto"/>
        <w:jc w:val="center"/>
        <w:outlineLvl w:val="2"/>
        <w:rPr>
          <w:b/>
          <w:bCs/>
          <w:color w:val="auto"/>
          <w:sz w:val="30"/>
          <w:szCs w:val="32"/>
          <w:highlight w:val="none"/>
        </w:rPr>
      </w:pPr>
      <w:bookmarkStart w:id="89" w:name="_Toc390785020"/>
      <w:bookmarkStart w:id="90" w:name="_Toc387773190"/>
      <w:bookmarkStart w:id="91" w:name="_Toc470619304"/>
      <w:bookmarkStart w:id="92" w:name="_Toc387768383"/>
      <w:bookmarkStart w:id="93" w:name="_Toc381015376"/>
      <w:bookmarkStart w:id="94" w:name="_Toc313903290"/>
      <w:bookmarkStart w:id="95" w:name="_Toc40280343"/>
      <w:r>
        <w:rPr>
          <w:rFonts w:hint="eastAsia"/>
          <w:b/>
          <w:bCs/>
          <w:color w:val="auto"/>
          <w:sz w:val="30"/>
          <w:szCs w:val="32"/>
          <w:highlight w:val="none"/>
        </w:rPr>
        <w:t>四、研究单位的责任与义务</w:t>
      </w:r>
      <w:bookmarkEnd w:id="82"/>
      <w:bookmarkEnd w:id="83"/>
      <w:bookmarkEnd w:id="84"/>
      <w:bookmarkEnd w:id="85"/>
      <w:bookmarkEnd w:id="86"/>
      <w:bookmarkEnd w:id="87"/>
      <w:bookmarkEnd w:id="88"/>
      <w:bookmarkEnd w:id="89"/>
      <w:bookmarkEnd w:id="90"/>
      <w:bookmarkEnd w:id="91"/>
      <w:bookmarkEnd w:id="92"/>
      <w:bookmarkEnd w:id="93"/>
      <w:bookmarkEnd w:id="94"/>
      <w:bookmarkEnd w:id="95"/>
    </w:p>
    <w:p>
      <w:pPr>
        <w:snapToGrid w:val="0"/>
        <w:spacing w:line="360" w:lineRule="auto"/>
        <w:ind w:firstLine="480" w:firstLineChars="200"/>
        <w:contextualSpacing/>
        <w:rPr>
          <w:rFonts w:ascii="宋体" w:hAnsi="宋体"/>
          <w:color w:val="auto"/>
          <w:sz w:val="24"/>
          <w:highlight w:val="none"/>
        </w:rPr>
      </w:pPr>
      <w:bookmarkStart w:id="96" w:name="_Toc275422757"/>
      <w:bookmarkStart w:id="97" w:name="_Toc14857561"/>
      <w:bookmarkStart w:id="98" w:name="_Toc295408758"/>
      <w:bookmarkStart w:id="99" w:name="_Toc10189312"/>
      <w:bookmarkStart w:id="100" w:name="_Toc230492380"/>
      <w:bookmarkStart w:id="101" w:name="_Toc275422873"/>
      <w:bookmarkStart w:id="102" w:name="_Toc286308346"/>
      <w:r>
        <w:rPr>
          <w:rFonts w:hint="eastAsia" w:ascii="宋体" w:hAnsi="宋体"/>
          <w:color w:val="auto"/>
          <w:sz w:val="24"/>
          <w:highlight w:val="none"/>
        </w:rPr>
        <w:t>4.1研究单位应做好质量管理工作，建立健全质量保证体系，加强工作全过程的质量控制，建立完整的报告的编制、复核、审核、会签和批准制度，明确各阶段的责任人，应按期、按质、按量地完成双方商定的各项工作内容，并对研究报告的质量负责。报告质量应通过专家会议验收。</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4.2认真组织专家对研究成果进行审查，并出具审查书面意见和整理会议纪要。</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4.3应自行承担为完成本研究项目的所有工作内容并提供全套成果文件（包括全部基础资料电子文件以及评审所需文件）。</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4.4在研究报告编制过程中，应主动和甲方保持密切联系。</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4.5应全过程配合甲方及时向有关部门办理报批工作，保证研究报告通过主管部门的审查，并根据审查意见修改、完善研究报告。</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4.6未经甲方同意，不能将研究工作及研究报告成果文件转让给第三方。</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4.7人员保证与变更</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⑴ 乙方应按谈判响应文件中承诺的人员投入工作，在报告编制过程应保持人员的相对稳定。确需调整，应报经甲方批准。</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⑵ 如果乙方的人员渎职或不能胜任工作或从事其他违法活动，甲方有权书面要求更换，乙方应立即派出具有同等或以上资历的人员替换；若非因上述原因，乙方有权拒绝。</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⑶ 若乙方的进度没有达到乙方谈判响应文件中承诺的进度计划，甲方有权提出要求增加工作人员，乙方应立即安排，其费用被认为已包含在合同价格之中。</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4.8若乙方在合同履行期间发生人员伤亡或财产的损失，或者造成第三方的人员伤亡或财产损失，乙方应承担全部责任，并保障甲方免于承担由此造成的一切损害和损失。</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4.9乙方负责定期向甲方报告工作进展情况。</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4.10乙方应根据甲方的要求，就研究的项目加强与相关部门的协调衔接，及时向与项目有关的其它单位提供项目研究资料。</w:t>
      </w:r>
    </w:p>
    <w:p>
      <w:pPr>
        <w:keepNext/>
        <w:keepLines/>
        <w:numPr>
          <w:ilvl w:val="2"/>
          <w:numId w:val="0"/>
        </w:numPr>
        <w:spacing w:line="360" w:lineRule="auto"/>
        <w:jc w:val="center"/>
        <w:outlineLvl w:val="2"/>
        <w:rPr>
          <w:b/>
          <w:bCs/>
          <w:color w:val="auto"/>
          <w:sz w:val="30"/>
          <w:szCs w:val="32"/>
          <w:highlight w:val="none"/>
        </w:rPr>
      </w:pPr>
      <w:bookmarkStart w:id="103" w:name="_Toc313903291"/>
      <w:bookmarkStart w:id="104" w:name="_Toc390785021"/>
      <w:bookmarkStart w:id="105" w:name="_Toc387768384"/>
      <w:bookmarkStart w:id="106" w:name="_Toc381015377"/>
      <w:bookmarkStart w:id="107" w:name="_Toc387773191"/>
      <w:bookmarkStart w:id="108" w:name="_Toc470619305"/>
      <w:bookmarkStart w:id="109" w:name="_Toc40280344"/>
      <w:r>
        <w:rPr>
          <w:rFonts w:hint="eastAsia"/>
          <w:b/>
          <w:bCs/>
          <w:color w:val="auto"/>
          <w:sz w:val="30"/>
          <w:szCs w:val="32"/>
          <w:highlight w:val="none"/>
        </w:rPr>
        <w:t>五、违约与赔偿</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.1</w:t>
      </w:r>
      <w:r>
        <w:rPr>
          <w:rFonts w:hint="eastAsia" w:ascii="宋体" w:hAnsi="宋体"/>
          <w:color w:val="auto"/>
          <w:sz w:val="24"/>
          <w:highlight w:val="none"/>
        </w:rPr>
        <w:t>业主的违约</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⑴ 由于业主变更计划，或未按期提供必需的资料、工作条件，而造成返工或修改，业主应按研究单位实际增加的工作量（以研究单位已提供的成果为准）支付研究单位增加工作量的费用，由此拖延的周期应由业主负责。</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⑵ 在合同履行期间，业主要求终止或解除合同（但仅指非研究单位原因造成），业主应按研究单位完成的实际工作量支付费用。</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.2</w:t>
      </w:r>
      <w:r>
        <w:rPr>
          <w:rFonts w:hint="eastAsia" w:ascii="宋体" w:hAnsi="宋体"/>
          <w:color w:val="auto"/>
          <w:sz w:val="24"/>
          <w:highlight w:val="none"/>
        </w:rPr>
        <w:t>研究单位的违约</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⑴ 如果乙方将任务转包或者未经甲方同意分包，除由有关部门给予处罚外，甲方将扣除合同价的5%～10%，作为违约金 。</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⑵ 乙方未按照国家现行的标准或规范开展工作、编制相应报告，或未根据甲方的指令进行变更，给甲方造成损失等，如发生上述任何行为，除由有关部门给予处罚外，甲方将扣除合同价的5%～10%作为违约金 。</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⑶ 因编制报告深度不够、质量低劣、不符合国家文件规定或报告未获审查通过、引起返工而造成的质量问题除由乙方负责继续完善报告编制外，应视造成的损失，甲方可扣除乙方合同价的2%～10%作为违约金 。</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⑷ 如果乙方未能按期提交文件（甲方同意延长期限的情况除外），则每延期15天（不足15天按15天计），甲方将扣除合同费用总金额的</w:t>
      </w:r>
      <w:r>
        <w:rPr>
          <w:rFonts w:ascii="宋体" w:hAnsi="宋体"/>
          <w:color w:val="auto"/>
          <w:sz w:val="24"/>
          <w:highlight w:val="none"/>
        </w:rPr>
        <w:t>1.5</w:t>
      </w:r>
      <w:r>
        <w:rPr>
          <w:rFonts w:hint="eastAsia" w:ascii="宋体" w:hAnsi="宋体"/>
          <w:color w:val="auto"/>
          <w:sz w:val="24"/>
          <w:highlight w:val="none"/>
        </w:rPr>
        <w:t>%作为违约金 。</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⑸ 合同生效后，如果承包人更换谈判响应文件中承诺的项目负责人和其他主要人员、主要技术人员，必须征得业主的同意，并且更换人员的水平不得低于原有的水平，同时，业主将保留对承包人罚款的权力：其中更换项目负责人按2.5万元/人次处以违约金 ，其他主要人员1万元/人次。</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(6)合同生效后，如乙方提出终止合同，还应承担由此给甲方带来的一切直接损失。</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若发生上述⑴—⑶情况中任一款甲方有权收回已委托乙方的全部或部分工作，乙方无条件接受。</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.3</w:t>
      </w:r>
      <w:r>
        <w:rPr>
          <w:rFonts w:hint="eastAsia" w:ascii="宋体" w:hAnsi="宋体"/>
          <w:color w:val="auto"/>
          <w:sz w:val="24"/>
          <w:highlight w:val="none"/>
        </w:rPr>
        <w:t>责任的期限</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研究单位与业主双方的责任与义务期限为合同协议书或合同条款规定的时间范围。</w:t>
      </w:r>
    </w:p>
    <w:p>
      <w:pPr>
        <w:keepNext/>
        <w:keepLines/>
        <w:numPr>
          <w:ilvl w:val="2"/>
          <w:numId w:val="0"/>
        </w:numPr>
        <w:spacing w:line="360" w:lineRule="auto"/>
        <w:jc w:val="center"/>
        <w:outlineLvl w:val="2"/>
        <w:rPr>
          <w:b/>
          <w:bCs/>
          <w:color w:val="auto"/>
          <w:sz w:val="30"/>
          <w:szCs w:val="32"/>
          <w:highlight w:val="none"/>
        </w:rPr>
      </w:pPr>
      <w:bookmarkStart w:id="110" w:name="_Toc275422758"/>
      <w:bookmarkStart w:id="111" w:name="_Toc275422874"/>
      <w:bookmarkStart w:id="112" w:name="_Toc381015378"/>
      <w:bookmarkStart w:id="113" w:name="_Toc286308347"/>
      <w:bookmarkStart w:id="114" w:name="_Toc390785022"/>
      <w:bookmarkStart w:id="115" w:name="_Toc470619306"/>
      <w:bookmarkStart w:id="116" w:name="_Toc230492381"/>
      <w:bookmarkStart w:id="117" w:name="_Toc387773192"/>
      <w:bookmarkStart w:id="118" w:name="_Toc387768385"/>
      <w:bookmarkStart w:id="119" w:name="_Toc313903292"/>
      <w:bookmarkStart w:id="120" w:name="_Toc14857562"/>
      <w:bookmarkStart w:id="121" w:name="_Toc40280345"/>
      <w:bookmarkStart w:id="122" w:name="_Toc10189313"/>
      <w:bookmarkStart w:id="123" w:name="_Toc295408759"/>
      <w:r>
        <w:rPr>
          <w:rFonts w:hint="eastAsia"/>
          <w:b/>
          <w:bCs/>
          <w:color w:val="auto"/>
          <w:sz w:val="30"/>
          <w:szCs w:val="32"/>
          <w:highlight w:val="none"/>
        </w:rPr>
        <w:t>六、合同的开始、完成、变更与终止</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.1</w:t>
      </w:r>
      <w:r>
        <w:rPr>
          <w:rFonts w:hint="eastAsia" w:ascii="宋体" w:hAnsi="宋体"/>
          <w:color w:val="auto"/>
          <w:sz w:val="24"/>
          <w:highlight w:val="none"/>
        </w:rPr>
        <w:t>合同的生效</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合同书自双方签字盖章后所有合同文件生效。研究单位工作的开始和完成时间按照合同书的规定执行。</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.2</w:t>
      </w:r>
      <w:r>
        <w:rPr>
          <w:rFonts w:hint="eastAsia" w:ascii="宋体" w:hAnsi="宋体"/>
          <w:color w:val="auto"/>
          <w:sz w:val="24"/>
          <w:highlight w:val="none"/>
        </w:rPr>
        <w:t>延误</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由于业主或不可预见的自然或社会因素，导致服务增加和时间延续则：</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（1）研究单位应将此情况与可能产生的影响尽快通知业主，并采取合理措施使损失减少到最小；</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（2）研究单位应保持详细原始记录作为业主支付费用的依据。</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业主在与研究单位协商后应相应地延长研究单位的工作期限并增付费用。</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.3</w:t>
      </w:r>
      <w:r>
        <w:rPr>
          <w:rFonts w:hint="eastAsia" w:ascii="宋体" w:hAnsi="宋体"/>
          <w:color w:val="auto"/>
          <w:sz w:val="24"/>
          <w:highlight w:val="none"/>
        </w:rPr>
        <w:t>变更</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在履约期内，经双方协商一致，可就合同约定内容、合同时间等以补充合同的方式进行变更。此类工作应视为已含入相关报价中，业主不再另行支付费用。</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.4</w:t>
      </w:r>
      <w:r>
        <w:rPr>
          <w:rFonts w:hint="eastAsia" w:ascii="宋体" w:hAnsi="宋体"/>
          <w:color w:val="auto"/>
          <w:sz w:val="24"/>
          <w:highlight w:val="none"/>
        </w:rPr>
        <w:t>推迟与终止</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（1）业主可以在至少15天以前以书面形式通知研究单位暂停全部或部分研究工作或终止本合同协议书，一旦收到此类通知，研究单位应立即安排停止计划并将开支减到最小。</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2）业主认为研究单位无正当理由而未履行本合同规定的责任与义务时，应书面通知研究单位，并说明理由。若业主在21天内没有收到满意的答复，业主可以发出进一步的通知终止本合同，但此进一步的通知必须在第一个通知发出28天后发出。</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（3）费用结清后，本合同自动终止。</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6</w:t>
      </w:r>
      <w:r>
        <w:rPr>
          <w:rFonts w:ascii="宋体" w:hAnsi="宋体"/>
          <w:color w:val="auto"/>
          <w:sz w:val="24"/>
          <w:highlight w:val="none"/>
        </w:rPr>
        <w:t>.5</w:t>
      </w:r>
      <w:r>
        <w:rPr>
          <w:rFonts w:hint="eastAsia" w:ascii="宋体" w:hAnsi="宋体"/>
          <w:color w:val="auto"/>
          <w:sz w:val="24"/>
          <w:highlight w:val="none"/>
        </w:rPr>
        <w:t>合同终止不影响权利和责任</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不论何种原因，本合同的终止，不应损害和影响各方应有权利、索赔要求和应负的责任。</w:t>
      </w:r>
    </w:p>
    <w:p>
      <w:pPr>
        <w:keepNext/>
        <w:keepLines/>
        <w:numPr>
          <w:ilvl w:val="2"/>
          <w:numId w:val="0"/>
        </w:numPr>
        <w:spacing w:line="360" w:lineRule="auto"/>
        <w:jc w:val="center"/>
        <w:outlineLvl w:val="2"/>
        <w:rPr>
          <w:b/>
          <w:bCs/>
          <w:color w:val="auto"/>
          <w:sz w:val="30"/>
          <w:szCs w:val="32"/>
          <w:highlight w:val="none"/>
        </w:rPr>
      </w:pPr>
      <w:bookmarkStart w:id="124" w:name="_Toc10189314"/>
      <w:bookmarkStart w:id="125" w:name="_Toc387768386"/>
      <w:bookmarkStart w:id="126" w:name="_Toc470619307"/>
      <w:bookmarkStart w:id="127" w:name="_Toc313903293"/>
      <w:bookmarkStart w:id="128" w:name="_Toc14857563"/>
      <w:bookmarkStart w:id="129" w:name="_Toc275422759"/>
      <w:bookmarkStart w:id="130" w:name="_Toc381015379"/>
      <w:bookmarkStart w:id="131" w:name="_Toc295408760"/>
      <w:bookmarkStart w:id="132" w:name="_Toc286308348"/>
      <w:bookmarkStart w:id="133" w:name="_Toc390785023"/>
      <w:bookmarkStart w:id="134" w:name="_Toc387773193"/>
      <w:bookmarkStart w:id="135" w:name="_Toc40280346"/>
      <w:bookmarkStart w:id="136" w:name="_Toc230492382"/>
      <w:bookmarkStart w:id="137" w:name="_Toc275422875"/>
      <w:r>
        <w:rPr>
          <w:rFonts w:hint="eastAsia"/>
          <w:b/>
          <w:bCs/>
          <w:color w:val="auto"/>
          <w:sz w:val="30"/>
          <w:szCs w:val="32"/>
          <w:highlight w:val="none"/>
        </w:rPr>
        <w:t>七、费用与支付</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.1</w:t>
      </w:r>
      <w:r>
        <w:rPr>
          <w:rFonts w:hint="eastAsia" w:ascii="宋体" w:hAnsi="宋体"/>
          <w:color w:val="auto"/>
          <w:sz w:val="24"/>
          <w:highlight w:val="none"/>
        </w:rPr>
        <w:t>研究费用</w:t>
      </w:r>
    </w:p>
    <w:p>
      <w:pPr>
        <w:snapToGrid w:val="0"/>
        <w:spacing w:line="360" w:lineRule="auto"/>
        <w:ind w:firstLine="480" w:firstLineChars="200"/>
        <w:contextualSpacing/>
        <w:rPr>
          <w:rFonts w:ascii="宋体" w:hAnsi="宋体" w:cs="仿宋_GB2312"/>
          <w:color w:val="auto"/>
          <w:sz w:val="24"/>
          <w:highlight w:val="none"/>
          <w:lang w:val="zh-CN"/>
        </w:rPr>
      </w:pPr>
      <w:r>
        <w:rPr>
          <w:rFonts w:hint="eastAsia" w:ascii="宋体" w:hAnsi="宋体" w:cs="仿宋_GB2312"/>
          <w:color w:val="auto"/>
          <w:sz w:val="24"/>
          <w:highlight w:val="none"/>
          <w:lang w:val="zh-CN"/>
        </w:rPr>
        <w:t>本项目采用固定总价</w:t>
      </w:r>
      <w:r>
        <w:rPr>
          <w:rFonts w:hint="eastAsia" w:ascii="宋体" w:hAnsi="宋体" w:cs="仿宋_GB2312"/>
          <w:color w:val="auto"/>
          <w:sz w:val="24"/>
          <w:highlight w:val="none"/>
        </w:rPr>
        <w:t>合同</w:t>
      </w:r>
      <w:r>
        <w:rPr>
          <w:rFonts w:hint="eastAsia" w:ascii="宋体" w:hAnsi="宋体" w:cs="仿宋_GB2312"/>
          <w:color w:val="auto"/>
          <w:sz w:val="24"/>
          <w:highlight w:val="none"/>
          <w:lang w:val="zh-CN"/>
        </w:rPr>
        <w:t>，</w:t>
      </w:r>
      <w:r>
        <w:rPr>
          <w:rFonts w:hint="eastAsia" w:ascii="宋体" w:hAnsi="宋体" w:cs="仿宋_GB2312"/>
          <w:color w:val="auto"/>
          <w:sz w:val="24"/>
          <w:highlight w:val="none"/>
        </w:rPr>
        <w:t>合同价</w:t>
      </w:r>
      <w:r>
        <w:rPr>
          <w:rFonts w:hint="eastAsia" w:ascii="宋体" w:hAnsi="宋体" w:cs="仿宋_GB2312"/>
          <w:color w:val="auto"/>
          <w:sz w:val="24"/>
          <w:highlight w:val="none"/>
          <w:lang w:val="zh-CN"/>
        </w:rPr>
        <w:t>包括研究单位完成本研究项目的所有工作内容并提供全套成果文件（包括全部基础资料电子文件以及评审所需文件），以及现场勘测、资料收集、人员费用、交通工具及使用费、仪器设备使用费、材料费、燃料动力费、测试化验加工费、研究开发费、试验检测费、资料费、国内外调研费、专题研究相关费用（</w:t>
      </w:r>
      <w:r>
        <w:rPr>
          <w:rFonts w:hint="eastAsia" w:ascii="宋体" w:hAnsi="宋体" w:cs="仿宋_GB2312"/>
          <w:color w:val="auto"/>
          <w:sz w:val="24"/>
          <w:highlight w:val="none"/>
        </w:rPr>
        <w:t>如需取得批复</w:t>
      </w:r>
      <w:r>
        <w:rPr>
          <w:rFonts w:hint="eastAsia" w:ascii="宋体" w:hAnsi="宋体" w:cs="仿宋_GB2312"/>
          <w:color w:val="auto"/>
          <w:sz w:val="24"/>
          <w:highlight w:val="none"/>
          <w:lang w:val="zh-CN"/>
        </w:rPr>
        <w:t>）、文件编制、出版印刷费、人员培训费、汇报、会议费、评审、专家咨询费、后续服务等全部工作所需的</w:t>
      </w:r>
      <w:r>
        <w:rPr>
          <w:rFonts w:hint="eastAsia" w:ascii="宋体" w:hAnsi="宋体" w:cs="仿宋_GB2312"/>
          <w:color w:val="auto"/>
          <w:sz w:val="24"/>
          <w:highlight w:val="none"/>
        </w:rPr>
        <w:t>费用</w:t>
      </w:r>
      <w:r>
        <w:rPr>
          <w:rFonts w:hint="eastAsia" w:ascii="宋体" w:hAnsi="宋体" w:cs="仿宋_GB2312"/>
          <w:color w:val="auto"/>
          <w:sz w:val="24"/>
          <w:highlight w:val="none"/>
          <w:lang w:val="zh-CN"/>
        </w:rPr>
        <w:t>以及公司取费、法定税金、利润等与履行合同有关的一切费用以及合同明示或暗示的所有一般风险责任和义务费用。</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7</w:t>
      </w:r>
      <w:r>
        <w:rPr>
          <w:rFonts w:ascii="宋体" w:hAnsi="宋体"/>
          <w:color w:val="auto"/>
          <w:sz w:val="24"/>
          <w:highlight w:val="none"/>
        </w:rPr>
        <w:t>.2</w:t>
      </w:r>
      <w:r>
        <w:rPr>
          <w:rFonts w:hint="eastAsia" w:ascii="宋体" w:hAnsi="宋体"/>
          <w:color w:val="auto"/>
          <w:sz w:val="24"/>
          <w:highlight w:val="none"/>
        </w:rPr>
        <w:t>研究服务费用的支付</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本合同总金额是完成本合同所规定义务的一切费用，由研究单位包干使用。</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研究服务费支付时间：业主在收到研究单位提交的各支付阶段的付款申请及增值税专用发票后</w:t>
      </w:r>
      <w:r>
        <w:rPr>
          <w:rFonts w:ascii="宋体" w:hAnsi="宋体"/>
          <w:color w:val="auto"/>
          <w:sz w:val="24"/>
          <w:highlight w:val="none"/>
        </w:rPr>
        <w:t>30</w:t>
      </w:r>
      <w:r>
        <w:rPr>
          <w:rFonts w:hint="eastAsia" w:ascii="宋体" w:hAnsi="宋体"/>
          <w:color w:val="auto"/>
          <w:sz w:val="24"/>
          <w:highlight w:val="none"/>
        </w:rPr>
        <w:t>日内，支付相应的合同款项，当期支付条款需扣除当期约定违约金（如有）。</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研究服务费支付方式：项目完成一个月内，发包人付至服务费用的90%；余款在规划成果通过采购人验收评审形成最终成果后一个月内付清（不计利息）。</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7.3  研究费用的调整</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在合同实施期间，研究费用不随国家政策或法规、标准及市场因素的变化而进行调整，也不因实际服务周期延长或缩短以及研究范围的扩大或减小而调整。</w:t>
      </w:r>
    </w:p>
    <w:p>
      <w:pPr>
        <w:keepNext/>
        <w:keepLines/>
        <w:numPr>
          <w:ilvl w:val="2"/>
          <w:numId w:val="0"/>
        </w:numPr>
        <w:spacing w:line="360" w:lineRule="auto"/>
        <w:jc w:val="center"/>
        <w:outlineLvl w:val="2"/>
        <w:rPr>
          <w:b/>
          <w:bCs/>
          <w:color w:val="auto"/>
          <w:sz w:val="30"/>
          <w:szCs w:val="32"/>
          <w:highlight w:val="none"/>
        </w:rPr>
      </w:pPr>
      <w:bookmarkStart w:id="138" w:name="_Toc381015380"/>
      <w:bookmarkStart w:id="139" w:name="_Toc10189315"/>
      <w:bookmarkStart w:id="140" w:name="_Toc286308349"/>
      <w:bookmarkStart w:id="141" w:name="_Toc390785024"/>
      <w:bookmarkStart w:id="142" w:name="_Toc230492383"/>
      <w:bookmarkStart w:id="143" w:name="_Toc40280347"/>
      <w:bookmarkStart w:id="144" w:name="_Toc387773194"/>
      <w:bookmarkStart w:id="145" w:name="_Toc295408761"/>
      <w:bookmarkStart w:id="146" w:name="_Toc387768387"/>
      <w:bookmarkStart w:id="147" w:name="_Toc313903294"/>
      <w:bookmarkStart w:id="148" w:name="_Toc275422876"/>
      <w:bookmarkStart w:id="149" w:name="_Toc275422760"/>
      <w:bookmarkStart w:id="150" w:name="_Toc470619308"/>
      <w:bookmarkStart w:id="151" w:name="_Toc14857564"/>
      <w:r>
        <w:rPr>
          <w:rFonts w:hint="eastAsia"/>
          <w:b/>
          <w:bCs/>
          <w:color w:val="auto"/>
          <w:sz w:val="30"/>
          <w:szCs w:val="32"/>
          <w:highlight w:val="none"/>
        </w:rPr>
        <w:t>八、其它</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snapToGrid w:val="0"/>
        <w:spacing w:line="360" w:lineRule="auto"/>
        <w:ind w:firstLine="480" w:firstLineChars="200"/>
        <w:contextualSpacing/>
        <w:rPr>
          <w:rFonts w:ascii="宋体" w:hAnsi="宋体"/>
          <w:color w:val="auto"/>
          <w:sz w:val="24"/>
          <w:highlight w:val="none"/>
        </w:rPr>
      </w:pPr>
      <w:r>
        <w:rPr>
          <w:rFonts w:ascii="宋体" w:hAnsi="宋体"/>
          <w:color w:val="auto"/>
          <w:sz w:val="24"/>
          <w:highlight w:val="none"/>
        </w:rPr>
        <w:t>8.1</w:t>
      </w:r>
      <w:r>
        <w:rPr>
          <w:rFonts w:hint="eastAsia" w:ascii="宋体" w:hAnsi="宋体"/>
          <w:color w:val="auto"/>
          <w:sz w:val="24"/>
          <w:highlight w:val="none"/>
        </w:rPr>
        <w:t>法律和法规</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本合同必须服从国家的现行法律和法规，对合同的解释应以国家的现行法律和法规为准。</w:t>
      </w:r>
    </w:p>
    <w:p>
      <w:pPr>
        <w:snapToGrid w:val="0"/>
        <w:spacing w:line="360" w:lineRule="auto"/>
        <w:ind w:firstLine="480" w:firstLineChars="200"/>
        <w:contextualSpacing/>
        <w:rPr>
          <w:rFonts w:ascii="宋体" w:hAnsi="宋体"/>
          <w:color w:val="auto"/>
          <w:sz w:val="24"/>
          <w:highlight w:val="none"/>
        </w:rPr>
      </w:pPr>
      <w:r>
        <w:rPr>
          <w:rFonts w:ascii="宋体" w:hAnsi="宋体"/>
          <w:color w:val="auto"/>
          <w:sz w:val="24"/>
          <w:highlight w:val="none"/>
        </w:rPr>
        <w:t>8.2</w:t>
      </w:r>
      <w:r>
        <w:rPr>
          <w:rFonts w:hint="eastAsia" w:ascii="宋体" w:hAnsi="宋体"/>
          <w:color w:val="auto"/>
          <w:sz w:val="24"/>
          <w:highlight w:val="none"/>
        </w:rPr>
        <w:t>合同文件的优先次序</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组成合同的各个文件应该认为是一个整体，互为补充和解释，如果有模棱两可或互相矛盾处，以下面所列顺序在前者为准：</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（1）合同协议书及附件（含补遗书等澄清文件，如果有）；</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）成交通知书；</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）竞争性谈判响应文件；</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）合同条款；</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）项目需求；</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）谈判响应报价清单；</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）项目负责人及项目主要参与人员的基本情况；</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）构成合同的其它文件。</w:t>
      </w:r>
    </w:p>
    <w:p>
      <w:pPr>
        <w:snapToGrid w:val="0"/>
        <w:spacing w:line="360" w:lineRule="auto"/>
        <w:ind w:firstLine="480" w:firstLineChars="200"/>
        <w:contextualSpacing/>
        <w:rPr>
          <w:rFonts w:ascii="宋体" w:hAnsi="宋体"/>
          <w:color w:val="auto"/>
          <w:sz w:val="24"/>
          <w:highlight w:val="none"/>
        </w:rPr>
      </w:pPr>
      <w:r>
        <w:rPr>
          <w:rFonts w:ascii="宋体" w:hAnsi="宋体"/>
          <w:color w:val="auto"/>
          <w:sz w:val="24"/>
          <w:highlight w:val="none"/>
        </w:rPr>
        <w:t>8.</w:t>
      </w:r>
      <w:r>
        <w:rPr>
          <w:rFonts w:hint="eastAsia" w:ascii="宋体" w:hAnsi="宋体"/>
          <w:color w:val="auto"/>
          <w:sz w:val="24"/>
          <w:highlight w:val="none"/>
        </w:rPr>
        <w:t>3履约保证金：本项目不设履约保证金。</w:t>
      </w:r>
    </w:p>
    <w:p>
      <w:pPr>
        <w:snapToGrid w:val="0"/>
        <w:spacing w:line="360" w:lineRule="auto"/>
        <w:ind w:firstLine="480" w:firstLineChars="200"/>
        <w:contextualSpacing/>
        <w:rPr>
          <w:rFonts w:ascii="宋体" w:hAnsi="宋体"/>
          <w:color w:val="auto"/>
          <w:sz w:val="24"/>
          <w:highlight w:val="none"/>
        </w:rPr>
      </w:pPr>
      <w:r>
        <w:rPr>
          <w:rFonts w:ascii="宋体" w:hAnsi="宋体"/>
          <w:color w:val="auto"/>
          <w:sz w:val="24"/>
          <w:highlight w:val="none"/>
        </w:rPr>
        <w:t>8.</w:t>
      </w:r>
      <w:r>
        <w:rPr>
          <w:rFonts w:hint="eastAsia" w:ascii="宋体" w:hAnsi="宋体"/>
          <w:color w:val="auto"/>
          <w:sz w:val="24"/>
          <w:highlight w:val="none"/>
        </w:rPr>
        <w:t>4转让和分包</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（1）禁止研究单位将本合同规定的研究任务转让出去。</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（2）没有业主的同意，研究单位不能将任何研究任务分包出去。即使得到了业主的同意，也不应解除研究单位根据合同规定应承担的全部责任和义务，研究单位应对其分包人的工作负全部责任。</w:t>
      </w:r>
    </w:p>
    <w:p>
      <w:pPr>
        <w:snapToGrid w:val="0"/>
        <w:spacing w:line="360" w:lineRule="auto"/>
        <w:ind w:firstLine="482" w:firstLineChars="200"/>
        <w:contextualSpacing/>
        <w:rPr>
          <w:rFonts w:ascii="宋体" w:hAnsi="宋体"/>
          <w:b/>
          <w:color w:val="auto"/>
          <w:sz w:val="24"/>
          <w:highlight w:val="none"/>
        </w:rPr>
      </w:pPr>
      <w:r>
        <w:rPr>
          <w:rFonts w:ascii="宋体" w:hAnsi="宋体"/>
          <w:b/>
          <w:color w:val="auto"/>
          <w:sz w:val="24"/>
          <w:highlight w:val="none"/>
        </w:rPr>
        <w:t>8.5版权</w:t>
      </w:r>
    </w:p>
    <w:p>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承包人应保证不会侵犯任何第三方知识产权（含因开发需要采购的中间件、操作系统等平台软件）。若出现争议，一律由承包人承担全部责任，由此发生的一切费用均由承包人承担。</w:t>
      </w:r>
    </w:p>
    <w:p>
      <w:pPr>
        <w:snapToGrid w:val="0"/>
        <w:spacing w:line="360" w:lineRule="auto"/>
        <w:ind w:firstLine="482" w:firstLineChars="200"/>
        <w:contextualSpacing/>
        <w:rPr>
          <w:rFonts w:ascii="宋体" w:hAnsi="宋体"/>
          <w:b/>
          <w:color w:val="auto"/>
          <w:sz w:val="24"/>
          <w:highlight w:val="none"/>
        </w:rPr>
      </w:pPr>
      <w:r>
        <w:rPr>
          <w:rFonts w:hint="eastAsia" w:ascii="宋体" w:hAnsi="宋体" w:cs="宋体"/>
          <w:b/>
          <w:color w:val="auto"/>
          <w:sz w:val="24"/>
          <w:highlight w:val="none"/>
        </w:rPr>
        <w:t>本项目所有成果的知识产权归采购人所有，研究单位享受署名权。成果获得批准实施前，任何单位和个人未经同意都无权以任何形式向社会公开展示研究成果。经采购人授权后，研究单位可以在其他项目中使用研究成果。</w:t>
      </w:r>
    </w:p>
    <w:p>
      <w:pPr>
        <w:snapToGrid w:val="0"/>
        <w:spacing w:line="360" w:lineRule="auto"/>
        <w:ind w:firstLine="480" w:firstLineChars="200"/>
        <w:contextualSpacing/>
        <w:rPr>
          <w:rFonts w:ascii="宋体" w:hAnsi="宋体"/>
          <w:color w:val="auto"/>
          <w:sz w:val="24"/>
          <w:highlight w:val="none"/>
        </w:rPr>
      </w:pPr>
      <w:r>
        <w:rPr>
          <w:rFonts w:ascii="宋体" w:hAnsi="宋体"/>
          <w:color w:val="auto"/>
          <w:sz w:val="24"/>
          <w:highlight w:val="none"/>
        </w:rPr>
        <w:t>8.</w:t>
      </w:r>
      <w:r>
        <w:rPr>
          <w:rFonts w:hint="eastAsia" w:ascii="宋体" w:hAnsi="宋体"/>
          <w:color w:val="auto"/>
          <w:sz w:val="24"/>
          <w:highlight w:val="none"/>
        </w:rPr>
        <w:t>6争端的解决</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本合同在执行过程中，如发生任何争端、纠纷或因违反、终止本合同而引起的对损失损害的任何赔偿，应事先协商，在研究单位和业主之间达成一致意见。如未能达成一致，向南通仲裁委员会进行仲裁。</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8.7保密性</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除了根据合同履行义务和遵守适用法律以外，双方应将合同的详情视为秘密，研究单位应对业主提供的基础资料负保密责任。没有业主事先同意，不得在任何商业或技术论文或其它场合发表或允许发表、或透露项目的任何细节。</w:t>
      </w:r>
    </w:p>
    <w:p>
      <w:pPr>
        <w:spacing w:line="360" w:lineRule="auto"/>
        <w:jc w:val="center"/>
        <w:rPr>
          <w:b/>
          <w:bCs/>
          <w:color w:val="auto"/>
          <w:sz w:val="32"/>
          <w:highlight w:val="none"/>
        </w:rPr>
      </w:pPr>
    </w:p>
    <w:p>
      <w:pPr>
        <w:spacing w:line="360" w:lineRule="auto"/>
        <w:rPr>
          <w:rFonts w:ascii="宋体" w:hAnsi="宋体"/>
          <w:b/>
          <w:bCs/>
          <w:color w:val="auto"/>
          <w:sz w:val="32"/>
          <w:highlight w:val="none"/>
        </w:rPr>
      </w:pPr>
    </w:p>
    <w:p>
      <w:pPr>
        <w:spacing w:line="360" w:lineRule="auto"/>
        <w:jc w:val="center"/>
        <w:rPr>
          <w:rFonts w:ascii="宋体" w:hAnsi="宋体"/>
          <w:b/>
          <w:bCs/>
          <w:color w:val="auto"/>
          <w:sz w:val="28"/>
          <w:szCs w:val="28"/>
          <w:highlight w:val="none"/>
        </w:rPr>
      </w:pPr>
    </w:p>
    <w:p>
      <w:pPr>
        <w:spacing w:line="360" w:lineRule="auto"/>
        <w:jc w:val="center"/>
        <w:rPr>
          <w:rFonts w:ascii="宋体" w:hAnsi="宋体"/>
          <w:b/>
          <w:bCs/>
          <w:color w:val="auto"/>
          <w:sz w:val="32"/>
          <w:highlight w:val="none"/>
        </w:rPr>
      </w:pPr>
      <w:r>
        <w:rPr>
          <w:rFonts w:hint="eastAsia" w:ascii="宋体" w:hAnsi="宋体"/>
          <w:b/>
          <w:bCs/>
          <w:color w:val="auto"/>
          <w:sz w:val="28"/>
          <w:szCs w:val="28"/>
          <w:highlight w:val="none"/>
        </w:rPr>
        <w:br w:type="page"/>
      </w:r>
      <w:r>
        <w:rPr>
          <w:rFonts w:hint="eastAsia" w:ascii="宋体" w:hAnsi="宋体"/>
          <w:b/>
          <w:bCs/>
          <w:color w:val="auto"/>
          <w:sz w:val="28"/>
          <w:szCs w:val="28"/>
          <w:highlight w:val="none"/>
        </w:rPr>
        <w:t>（二）合同附件格式</w:t>
      </w:r>
    </w:p>
    <w:p>
      <w:pPr>
        <w:spacing w:line="360" w:lineRule="auto"/>
        <w:rPr>
          <w:rFonts w:ascii="黑体" w:eastAsia="黑体"/>
          <w:b/>
          <w:color w:val="auto"/>
          <w:sz w:val="24"/>
          <w:highlight w:val="none"/>
        </w:rPr>
      </w:pPr>
      <w:r>
        <w:rPr>
          <w:rFonts w:hint="eastAsia" w:ascii="黑体" w:eastAsia="黑体"/>
          <w:b/>
          <w:color w:val="auto"/>
          <w:sz w:val="24"/>
          <w:highlight w:val="none"/>
        </w:rPr>
        <w:t>附件一： 合同协议书</w:t>
      </w:r>
    </w:p>
    <w:p>
      <w:pPr>
        <w:spacing w:afterLines="50" w:line="360" w:lineRule="auto"/>
        <w:ind w:firstLine="562" w:firstLineChars="200"/>
        <w:jc w:val="center"/>
        <w:rPr>
          <w:b/>
          <w:color w:val="auto"/>
          <w:sz w:val="28"/>
          <w:szCs w:val="28"/>
          <w:highlight w:val="none"/>
        </w:rPr>
      </w:pPr>
      <w:r>
        <w:rPr>
          <w:rFonts w:hint="eastAsia"/>
          <w:b/>
          <w:color w:val="auto"/>
          <w:sz w:val="28"/>
          <w:szCs w:val="28"/>
          <w:highlight w:val="none"/>
        </w:rPr>
        <w:t>合同</w:t>
      </w:r>
      <w:r>
        <w:rPr>
          <w:b/>
          <w:color w:val="auto"/>
          <w:sz w:val="28"/>
          <w:szCs w:val="28"/>
          <w:highlight w:val="none"/>
        </w:rPr>
        <w:t>协议书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本合同书由</w:t>
      </w:r>
      <w:r>
        <w:rPr>
          <w:rFonts w:hint="eastAsia" w:ascii="宋体" w:hAnsi="宋体" w:cs="宋体"/>
          <w:color w:val="auto"/>
          <w:sz w:val="24"/>
          <w:highlight w:val="none"/>
          <w:u w:val="single"/>
        </w:rPr>
        <w:t>（业主全称）</w:t>
      </w:r>
      <w:r>
        <w:rPr>
          <w:rFonts w:hint="eastAsia" w:ascii="宋体" w:hAnsi="宋体" w:cs="宋体"/>
          <w:color w:val="auto"/>
          <w:sz w:val="24"/>
          <w:highlight w:val="none"/>
        </w:rPr>
        <w:t>（以下简称业主）与</w:t>
      </w:r>
      <w:r>
        <w:rPr>
          <w:rFonts w:hint="eastAsia" w:ascii="宋体" w:hAnsi="宋体" w:cs="宋体"/>
          <w:color w:val="auto"/>
          <w:sz w:val="24"/>
          <w:highlight w:val="none"/>
          <w:u w:val="single"/>
        </w:rPr>
        <w:t>（研究单位全称）</w:t>
      </w:r>
      <w:r>
        <w:rPr>
          <w:rFonts w:hint="eastAsia" w:ascii="宋体" w:hAnsi="宋体" w:cs="宋体"/>
          <w:color w:val="auto"/>
          <w:sz w:val="24"/>
          <w:highlight w:val="none"/>
        </w:rPr>
        <w:t>（以下简称研究单位）共同签署。双方达成如下协议：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1、下列文件应作为本合同的组成部分：</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（1）合同协议书及附件（含补遗书等澄清文件，如果有）；</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）成交通知书；</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）竞争性谈判响应文件；</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）合同条款；</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）项目需求；</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）谈判响应报价清单；</w:t>
      </w:r>
    </w:p>
    <w:p>
      <w:pPr>
        <w:snapToGrid w:val="0"/>
        <w:spacing w:line="360" w:lineRule="auto"/>
        <w:ind w:firstLine="480" w:firstLineChars="200"/>
        <w:contextualSpacing/>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7</w:t>
      </w:r>
      <w:r>
        <w:rPr>
          <w:rFonts w:hint="eastAsia" w:ascii="宋体" w:hAnsi="宋体"/>
          <w:color w:val="auto"/>
          <w:sz w:val="24"/>
          <w:highlight w:val="none"/>
        </w:rPr>
        <w:t>）项目负责人及项目主要参与人员的基本情况；</w:t>
      </w:r>
    </w:p>
    <w:p>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w:t>
      </w:r>
      <w:r>
        <w:rPr>
          <w:rFonts w:ascii="宋体" w:hAnsi="宋体"/>
          <w:color w:val="auto"/>
          <w:sz w:val="24"/>
          <w:highlight w:val="none"/>
        </w:rPr>
        <w:t>8</w:t>
      </w:r>
      <w:r>
        <w:rPr>
          <w:rFonts w:hint="eastAsia" w:ascii="宋体" w:hAnsi="宋体"/>
          <w:color w:val="auto"/>
          <w:sz w:val="24"/>
          <w:highlight w:val="none"/>
        </w:rPr>
        <w:t>）构成合同的其它文件。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上述文件应认为是互为补充和解释的，但如有不明确或不一致之处，以上面所列顺序在前者为准。</w:t>
      </w:r>
    </w:p>
    <w:p>
      <w:pPr>
        <w:tabs>
          <w:tab w:val="left" w:pos="126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2、范围及内容</w:t>
      </w:r>
    </w:p>
    <w:p>
      <w:pPr>
        <w:tabs>
          <w:tab w:val="left" w:pos="1800"/>
        </w:tabs>
        <w:spacing w:line="360" w:lineRule="auto"/>
        <w:ind w:firstLine="480"/>
        <w:rPr>
          <w:rFonts w:ascii="宋体" w:hAnsi="宋体" w:cs="宋体"/>
          <w:color w:val="auto"/>
          <w:sz w:val="24"/>
          <w:highlight w:val="none"/>
        </w:rPr>
      </w:pPr>
      <w:r>
        <w:rPr>
          <w:rFonts w:hint="eastAsia" w:ascii="宋体" w:hAnsi="宋体" w:cs="宋体"/>
          <w:color w:val="auto"/>
          <w:sz w:val="24"/>
          <w:highlight w:val="none"/>
          <w:u w:val="single"/>
        </w:rPr>
        <w:t xml:space="preserve"> （项目名称）</w:t>
      </w:r>
      <w:r>
        <w:rPr>
          <w:rFonts w:hint="eastAsia" w:ascii="宋体" w:hAnsi="宋体" w:cs="宋体"/>
          <w:color w:val="auto"/>
          <w:sz w:val="24"/>
          <w:highlight w:val="none"/>
        </w:rPr>
        <w:t>范围：</w:t>
      </w:r>
      <w:r>
        <w:rPr>
          <w:rFonts w:hint="eastAsia" w:ascii="宋体" w:hAnsi="宋体" w:cs="宋体"/>
          <w:b/>
          <w:color w:val="auto"/>
          <w:sz w:val="24"/>
          <w:highlight w:val="none"/>
          <w:u w:val="singl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3、项目进度初步安排：</w:t>
      </w:r>
    </w:p>
    <w:p>
      <w:pPr>
        <w:spacing w:line="360" w:lineRule="auto"/>
        <w:ind w:firstLine="480" w:firstLineChars="200"/>
        <w:rPr>
          <w:rFonts w:ascii="宋体"/>
          <w:color w:val="auto"/>
          <w:sz w:val="24"/>
          <w:highlight w:val="none"/>
        </w:rPr>
      </w:pPr>
      <w:r>
        <w:rPr>
          <w:rFonts w:hint="eastAsia" w:ascii="宋体"/>
          <w:color w:val="auto"/>
          <w:sz w:val="24"/>
          <w:highlight w:val="none"/>
        </w:rPr>
        <w:t>2023年4月20日前，完成南通市普通国省道服务设施和工区布局规划研究，提交成果包括南通市普通国省道服务设施和养护工区布局规划、方案表和布局规划图，其中布局规划方案表须按照规定格式进行填报；布局规划图须以国家公路网规划和省道公路网规划路线方案图为底图进行绘制，分别形成南通市普通国省道服务设施布局规划图和普通国省道养护工区布局规划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4、业主和研究单位双方的责任和义务及违约条款遵照合同条款的规定。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5、成果提交。</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最终提交的资料以及有关专业规范、规程、标准规定的所有资料和业主要求提交的其它相关资料满足合同条款的要求，且文件数量（或份数）应满足评审要求，成果文本纸质版三份</w:t>
      </w:r>
      <w:r>
        <w:rPr>
          <w:rFonts w:hint="eastAsia" w:ascii="宋体" w:hAnsi="宋体"/>
          <w:color w:val="auto"/>
          <w:sz w:val="24"/>
          <w:highlight w:val="none"/>
        </w:rPr>
        <w:t>（实施过程中根据业主需要另行提供）</w:t>
      </w:r>
      <w:r>
        <w:rPr>
          <w:rFonts w:hint="eastAsia" w:ascii="宋体" w:hAnsi="宋体" w:cs="宋体"/>
          <w:color w:val="auto"/>
          <w:sz w:val="24"/>
          <w:highlight w:val="none"/>
        </w:rPr>
        <w:t>，电子文件一份。包含以下成果：</w:t>
      </w:r>
    </w:p>
    <w:p>
      <w:pPr>
        <w:tabs>
          <w:tab w:val="left" w:pos="1800"/>
        </w:tabs>
        <w:spacing w:line="360" w:lineRule="auto"/>
        <w:ind w:firstLine="480"/>
        <w:rPr>
          <w:rFonts w:ascii="宋体" w:hAnsi="宋体" w:cs="宋体"/>
          <w:color w:val="auto"/>
          <w:sz w:val="24"/>
          <w:highlight w:val="none"/>
        </w:rPr>
      </w:pPr>
      <w:r>
        <w:rPr>
          <w:rFonts w:hint="eastAsia" w:ascii="宋体" w:hAnsi="宋体" w:cstheme="minorBidi"/>
          <w:color w:val="auto"/>
          <w:sz w:val="24"/>
          <w:highlight w:val="none"/>
        </w:rPr>
        <w:t>南通市普通国省道服务设施和养护工区布局规划、方案表和布局规划图，其中布局规划方案表须按照规定格式进行填报；布局规划图须以国家公路网规划和省道公路网规划路线方案图为底图进行绘制，分别形成南通市普通国省道服务设施布局规划图和普通国省道养护工区布局规划图。</w:t>
      </w:r>
    </w:p>
    <w:p>
      <w:pPr>
        <w:tabs>
          <w:tab w:val="left" w:pos="18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6、履约验收：成交供应商提交的规划成果应通过相关验收审查。</w:t>
      </w:r>
    </w:p>
    <w:p>
      <w:pPr>
        <w:tabs>
          <w:tab w:val="left" w:pos="1800"/>
        </w:tabs>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7、本项目的项目负责人为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。本合同为总价合同，合同总价人民币（大写）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b/>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tabs>
          <w:tab w:val="left" w:pos="180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支付：项目完成一个月内，发包人付至服务费用的90%；余款在规划成果通过采购人验收评审形成最终成果后一个月内付清（不计利息）。注；上述付款均不计息。</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8、本合同协议书未尽事宜由双方协商解决。</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9、本合同在履行过程中发生的争议，由双方当事人协商解决，协商不成的，按下列第（一）种方式解决：</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（一）提交南通仲裁委员会仲裁；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（二）依法向南通市人民法院起诉。</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10、本协议书由双方法定代表人或其授权的代理人签字并加盖公章后生效。研究服务费用结清后失效。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11、本协议书一式  份，合同双方各执   份。</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附件：投入本项目人员名单</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（全称）         （盖章）  </w:t>
      </w:r>
      <w:r>
        <w:rPr>
          <w:rFonts w:hint="eastAsia" w:ascii="宋体" w:hAnsi="宋体" w:cs="宋体"/>
          <w:color w:val="auto"/>
          <w:sz w:val="24"/>
          <w:highlight w:val="none"/>
        </w:rPr>
        <w:t>　      乙方:</w:t>
      </w:r>
      <w:r>
        <w:rPr>
          <w:rFonts w:hint="eastAsia" w:ascii="宋体" w:hAnsi="宋体" w:cs="宋体"/>
          <w:color w:val="auto"/>
          <w:sz w:val="24"/>
          <w:highlight w:val="none"/>
          <w:u w:val="single"/>
        </w:rPr>
        <w:t xml:space="preserve"> （全称） （盖章）         </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                               法定代表人</w:t>
      </w:r>
    </w:p>
    <w:p>
      <w:pPr>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rPr>
        <w:t>或其委托代理人：</w:t>
      </w:r>
      <w:r>
        <w:rPr>
          <w:rFonts w:hint="eastAsia" w:ascii="宋体" w:hAnsi="宋体" w:cs="宋体"/>
          <w:color w:val="auto"/>
          <w:sz w:val="24"/>
          <w:highlight w:val="none"/>
          <w:u w:val="single"/>
        </w:rPr>
        <w:t>（签字）</w:t>
      </w:r>
      <w:r>
        <w:rPr>
          <w:rFonts w:hint="eastAsia" w:ascii="宋体" w:hAnsi="宋体" w:cs="宋体"/>
          <w:color w:val="auto"/>
          <w:sz w:val="24"/>
          <w:highlight w:val="none"/>
        </w:rPr>
        <w:t xml:space="preserve">                 或其委托代理人：</w:t>
      </w:r>
      <w:r>
        <w:rPr>
          <w:rFonts w:hint="eastAsia" w:ascii="宋体" w:hAnsi="宋体" w:cs="宋体"/>
          <w:color w:val="auto"/>
          <w:sz w:val="24"/>
          <w:highlight w:val="none"/>
          <w:u w:val="single"/>
        </w:rPr>
        <w:t>（签字）</w:t>
      </w:r>
    </w:p>
    <w:p>
      <w:pPr>
        <w:spacing w:line="360" w:lineRule="auto"/>
        <w:jc w:val="left"/>
        <w:rPr>
          <w:rFonts w:ascii="宋体" w:hAnsi="宋体" w:cs="宋体"/>
          <w:color w:val="auto"/>
          <w:sz w:val="24"/>
          <w:highlight w:val="none"/>
        </w:rPr>
      </w:pPr>
    </w:p>
    <w:p>
      <w:pPr>
        <w:tabs>
          <w:tab w:val="left" w:pos="4395"/>
          <w:tab w:val="left" w:pos="4678"/>
          <w:tab w:val="left" w:pos="4820"/>
        </w:tabs>
        <w:spacing w:line="360" w:lineRule="auto"/>
        <w:ind w:firstLine="360"/>
        <w:rPr>
          <w:rFonts w:ascii="宋体" w:hAnsi="宋体" w:cs="宋体"/>
          <w:color w:val="auto"/>
          <w:sz w:val="24"/>
          <w:highlight w:val="none"/>
        </w:rPr>
      </w:pPr>
      <w:r>
        <w:rPr>
          <w:rFonts w:hint="eastAsia" w:ascii="宋体" w:hAnsi="宋体" w:cs="宋体"/>
          <w:color w:val="auto"/>
          <w:sz w:val="24"/>
          <w:highlight w:val="none"/>
        </w:rPr>
        <w:t>年   月   日                                    年  月  日</w:t>
      </w:r>
    </w:p>
    <w:p>
      <w:pPr>
        <w:spacing w:line="360" w:lineRule="auto"/>
        <w:rPr>
          <w:rFonts w:ascii="黑体" w:eastAsia="黑体"/>
          <w:color w:val="auto"/>
          <w:sz w:val="24"/>
          <w:highlight w:val="none"/>
        </w:rPr>
      </w:pPr>
    </w:p>
    <w:p>
      <w:pPr>
        <w:spacing w:line="360" w:lineRule="auto"/>
        <w:rPr>
          <w:rFonts w:ascii="黑体" w:eastAsia="黑体"/>
          <w:color w:val="auto"/>
          <w:sz w:val="24"/>
          <w:highlight w:val="none"/>
        </w:rPr>
      </w:pPr>
      <w:r>
        <w:rPr>
          <w:rFonts w:ascii="黑体" w:eastAsia="黑体"/>
          <w:color w:val="auto"/>
          <w:sz w:val="24"/>
          <w:highlight w:val="none"/>
        </w:rPr>
        <w:br w:type="page"/>
      </w:r>
      <w:r>
        <w:rPr>
          <w:rFonts w:hint="eastAsia" w:ascii="黑体" w:eastAsia="黑体"/>
          <w:color w:val="auto"/>
          <w:sz w:val="24"/>
          <w:highlight w:val="none"/>
        </w:rPr>
        <w:t>附件</w:t>
      </w:r>
    </w:p>
    <w:p>
      <w:pPr>
        <w:spacing w:line="360" w:lineRule="auto"/>
        <w:jc w:val="center"/>
        <w:rPr>
          <w:rFonts w:ascii="宋体" w:hAnsi="宋体"/>
          <w:bCs/>
          <w:color w:val="auto"/>
          <w:sz w:val="32"/>
          <w:szCs w:val="32"/>
          <w:highlight w:val="none"/>
        </w:rPr>
      </w:pPr>
      <w:r>
        <w:rPr>
          <w:rFonts w:hint="eastAsia" w:ascii="宋体" w:hAnsi="宋体"/>
          <w:bCs/>
          <w:color w:val="auto"/>
          <w:sz w:val="32"/>
          <w:szCs w:val="32"/>
          <w:highlight w:val="none"/>
        </w:rPr>
        <w:t>投入本项目人员名单</w:t>
      </w:r>
    </w:p>
    <w:tbl>
      <w:tblPr>
        <w:tblStyle w:val="14"/>
        <w:tblW w:w="48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
        <w:gridCol w:w="875"/>
        <w:gridCol w:w="766"/>
        <w:gridCol w:w="456"/>
        <w:gridCol w:w="768"/>
        <w:gridCol w:w="613"/>
        <w:gridCol w:w="931"/>
        <w:gridCol w:w="918"/>
        <w:gridCol w:w="1874"/>
        <w:gridCol w:w="709"/>
        <w:tblGridChange w:id="0">
          <w:tblGrid>
            <w:gridCol w:w="421"/>
            <w:gridCol w:w="875"/>
            <w:gridCol w:w="766"/>
            <w:gridCol w:w="456"/>
            <w:gridCol w:w="768"/>
            <w:gridCol w:w="613"/>
            <w:gridCol w:w="931"/>
            <w:gridCol w:w="918"/>
            <w:gridCol w:w="1874"/>
            <w:gridCol w:w="70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52" w:type="pct"/>
            <w:vMerge w:val="restart"/>
            <w:vAlign w:val="center"/>
          </w:tcPr>
          <w:p>
            <w:pPr>
              <w:widowControl/>
              <w:spacing w:line="360" w:lineRule="auto"/>
              <w:jc w:val="center"/>
              <w:textAlignment w:val="bottom"/>
              <w:rPr>
                <w:rFonts w:ascii="Arial" w:hAnsi="Arial" w:cs="Arial"/>
                <w:color w:val="auto"/>
                <w:sz w:val="20"/>
                <w:highlight w:val="none"/>
              </w:rPr>
            </w:pPr>
            <w:r>
              <w:rPr>
                <w:rFonts w:ascii="Arial" w:hAnsi="Arial" w:cs="Arial"/>
                <w:color w:val="auto"/>
                <w:kern w:val="0"/>
                <w:sz w:val="20"/>
                <w:highlight w:val="none"/>
              </w:rPr>
              <w:t>序号</w:t>
            </w:r>
          </w:p>
        </w:tc>
        <w:tc>
          <w:tcPr>
            <w:tcW w:w="525" w:type="pct"/>
            <w:vMerge w:val="restart"/>
            <w:vAlign w:val="center"/>
          </w:tcPr>
          <w:p>
            <w:pPr>
              <w:widowControl/>
              <w:spacing w:line="360" w:lineRule="auto"/>
              <w:jc w:val="center"/>
              <w:textAlignment w:val="bottom"/>
              <w:rPr>
                <w:rFonts w:ascii="Arial" w:hAnsi="Arial" w:cs="Arial"/>
                <w:color w:val="auto"/>
                <w:kern w:val="0"/>
                <w:sz w:val="20"/>
                <w:highlight w:val="none"/>
              </w:rPr>
            </w:pPr>
            <w:r>
              <w:rPr>
                <w:rFonts w:ascii="Arial" w:hAnsi="Arial" w:cs="Arial"/>
                <w:color w:val="auto"/>
                <w:kern w:val="0"/>
                <w:sz w:val="20"/>
                <w:highlight w:val="none"/>
              </w:rPr>
              <w:t>在本</w:t>
            </w:r>
            <w:r>
              <w:rPr>
                <w:rFonts w:hint="eastAsia" w:ascii="Arial" w:hAnsi="Arial" w:cs="Arial"/>
                <w:color w:val="auto"/>
                <w:kern w:val="0"/>
                <w:sz w:val="20"/>
                <w:highlight w:val="none"/>
              </w:rPr>
              <w:t>标</w:t>
            </w:r>
          </w:p>
          <w:p>
            <w:pPr>
              <w:widowControl/>
              <w:spacing w:line="360" w:lineRule="auto"/>
              <w:jc w:val="center"/>
              <w:textAlignment w:val="bottom"/>
              <w:rPr>
                <w:rFonts w:ascii="Arial" w:hAnsi="Arial" w:cs="Arial"/>
                <w:color w:val="auto"/>
                <w:sz w:val="20"/>
                <w:highlight w:val="none"/>
              </w:rPr>
            </w:pPr>
            <w:r>
              <w:rPr>
                <w:rFonts w:hint="eastAsia" w:ascii="Arial" w:hAnsi="Arial" w:cs="Arial"/>
                <w:color w:val="auto"/>
                <w:kern w:val="0"/>
                <w:sz w:val="20"/>
                <w:highlight w:val="none"/>
              </w:rPr>
              <w:t>段</w:t>
            </w:r>
            <w:r>
              <w:rPr>
                <w:rFonts w:ascii="Arial" w:hAnsi="Arial" w:cs="Arial"/>
                <w:color w:val="auto"/>
                <w:kern w:val="0"/>
                <w:sz w:val="20"/>
                <w:highlight w:val="none"/>
              </w:rPr>
              <w:t>任职</w:t>
            </w:r>
          </w:p>
        </w:tc>
        <w:tc>
          <w:tcPr>
            <w:tcW w:w="460" w:type="pct"/>
            <w:vMerge w:val="restart"/>
            <w:vAlign w:val="center"/>
          </w:tcPr>
          <w:p>
            <w:pPr>
              <w:widowControl/>
              <w:spacing w:line="360" w:lineRule="auto"/>
              <w:jc w:val="center"/>
              <w:textAlignment w:val="bottom"/>
              <w:rPr>
                <w:rFonts w:ascii="Arial" w:hAnsi="Arial" w:cs="Arial"/>
                <w:color w:val="auto"/>
                <w:sz w:val="20"/>
                <w:highlight w:val="none"/>
              </w:rPr>
            </w:pPr>
            <w:r>
              <w:rPr>
                <w:rFonts w:ascii="Arial" w:hAnsi="Arial" w:cs="Arial"/>
                <w:color w:val="auto"/>
                <w:kern w:val="0"/>
                <w:sz w:val="20"/>
                <w:highlight w:val="none"/>
              </w:rPr>
              <w:t>姓名</w:t>
            </w:r>
          </w:p>
        </w:tc>
        <w:tc>
          <w:tcPr>
            <w:tcW w:w="274" w:type="pct"/>
            <w:vMerge w:val="restart"/>
            <w:vAlign w:val="center"/>
          </w:tcPr>
          <w:p>
            <w:pPr>
              <w:widowControl/>
              <w:spacing w:line="360" w:lineRule="auto"/>
              <w:jc w:val="center"/>
              <w:textAlignment w:val="bottom"/>
              <w:rPr>
                <w:rFonts w:ascii="Arial" w:hAnsi="Arial" w:cs="Arial"/>
                <w:color w:val="auto"/>
                <w:sz w:val="20"/>
                <w:highlight w:val="none"/>
              </w:rPr>
            </w:pPr>
            <w:r>
              <w:rPr>
                <w:rFonts w:ascii="Arial" w:hAnsi="Arial" w:cs="Arial"/>
                <w:color w:val="auto"/>
                <w:kern w:val="0"/>
                <w:sz w:val="20"/>
                <w:highlight w:val="none"/>
              </w:rPr>
              <w:t>学历</w:t>
            </w:r>
          </w:p>
        </w:tc>
        <w:tc>
          <w:tcPr>
            <w:tcW w:w="461" w:type="pct"/>
            <w:vMerge w:val="restart"/>
            <w:vAlign w:val="center"/>
          </w:tcPr>
          <w:p>
            <w:pPr>
              <w:widowControl/>
              <w:spacing w:line="360" w:lineRule="auto"/>
              <w:jc w:val="center"/>
              <w:textAlignment w:val="bottom"/>
              <w:rPr>
                <w:rFonts w:ascii="Arial" w:hAnsi="Arial" w:cs="Arial"/>
                <w:color w:val="auto"/>
                <w:kern w:val="0"/>
                <w:sz w:val="20"/>
                <w:highlight w:val="none"/>
              </w:rPr>
            </w:pPr>
            <w:r>
              <w:rPr>
                <w:rFonts w:ascii="Arial" w:hAnsi="Arial" w:cs="Arial"/>
                <w:color w:val="auto"/>
                <w:kern w:val="0"/>
                <w:sz w:val="20"/>
                <w:highlight w:val="none"/>
              </w:rPr>
              <w:t>技术</w:t>
            </w:r>
          </w:p>
          <w:p>
            <w:pPr>
              <w:widowControl/>
              <w:spacing w:line="360" w:lineRule="auto"/>
              <w:jc w:val="center"/>
              <w:textAlignment w:val="bottom"/>
              <w:rPr>
                <w:rFonts w:ascii="Arial" w:hAnsi="Arial" w:cs="Arial"/>
                <w:color w:val="auto"/>
                <w:sz w:val="20"/>
                <w:highlight w:val="none"/>
              </w:rPr>
            </w:pPr>
            <w:r>
              <w:rPr>
                <w:rFonts w:ascii="Arial" w:hAnsi="Arial" w:cs="Arial"/>
                <w:color w:val="auto"/>
                <w:kern w:val="0"/>
                <w:sz w:val="20"/>
                <w:highlight w:val="none"/>
              </w:rPr>
              <w:t>职称</w:t>
            </w:r>
          </w:p>
        </w:tc>
        <w:tc>
          <w:tcPr>
            <w:tcW w:w="368" w:type="pct"/>
            <w:vMerge w:val="restart"/>
            <w:vAlign w:val="center"/>
          </w:tcPr>
          <w:p>
            <w:pPr>
              <w:widowControl/>
              <w:spacing w:line="360" w:lineRule="auto"/>
              <w:jc w:val="center"/>
              <w:textAlignment w:val="bottom"/>
              <w:rPr>
                <w:rFonts w:ascii="Arial" w:hAnsi="Arial" w:cs="Arial"/>
                <w:color w:val="auto"/>
                <w:sz w:val="20"/>
                <w:highlight w:val="none"/>
              </w:rPr>
            </w:pPr>
            <w:r>
              <w:rPr>
                <w:rFonts w:ascii="Arial" w:hAnsi="Arial" w:cs="Arial"/>
                <w:color w:val="auto"/>
                <w:kern w:val="0"/>
                <w:sz w:val="20"/>
                <w:highlight w:val="none"/>
              </w:rPr>
              <w:t>专业</w:t>
            </w:r>
          </w:p>
        </w:tc>
        <w:tc>
          <w:tcPr>
            <w:tcW w:w="1110" w:type="pct"/>
            <w:gridSpan w:val="2"/>
            <w:vAlign w:val="center"/>
          </w:tcPr>
          <w:p>
            <w:pPr>
              <w:widowControl/>
              <w:spacing w:line="360" w:lineRule="auto"/>
              <w:jc w:val="center"/>
              <w:textAlignment w:val="bottom"/>
              <w:rPr>
                <w:rFonts w:ascii="Arial" w:hAnsi="Arial" w:cs="Arial"/>
                <w:color w:val="auto"/>
                <w:kern w:val="0"/>
                <w:sz w:val="20"/>
                <w:highlight w:val="none"/>
              </w:rPr>
            </w:pPr>
            <w:r>
              <w:rPr>
                <w:rFonts w:hint="eastAsia" w:ascii="Arial" w:hAnsi="Arial" w:cs="Arial"/>
                <w:color w:val="auto"/>
                <w:kern w:val="0"/>
                <w:sz w:val="20"/>
                <w:highlight w:val="none"/>
              </w:rPr>
              <w:t>执业或职业资格证明</w:t>
            </w:r>
          </w:p>
        </w:tc>
        <w:tc>
          <w:tcPr>
            <w:tcW w:w="1125" w:type="pct"/>
            <w:vMerge w:val="restart"/>
            <w:vAlign w:val="center"/>
          </w:tcPr>
          <w:p>
            <w:pPr>
              <w:widowControl/>
              <w:spacing w:line="360" w:lineRule="auto"/>
              <w:jc w:val="center"/>
              <w:textAlignment w:val="bottom"/>
              <w:rPr>
                <w:rFonts w:ascii="Arial" w:hAnsi="Arial" w:cs="Arial"/>
                <w:color w:val="auto"/>
                <w:sz w:val="20"/>
                <w:highlight w:val="none"/>
              </w:rPr>
            </w:pPr>
            <w:r>
              <w:rPr>
                <w:rFonts w:hint="eastAsia" w:ascii="Arial" w:hAnsi="Arial" w:cs="Arial"/>
                <w:color w:val="auto"/>
                <w:kern w:val="0"/>
                <w:sz w:val="20"/>
                <w:highlight w:val="none"/>
              </w:rPr>
              <w:t>身份证号</w:t>
            </w:r>
          </w:p>
        </w:tc>
        <w:tc>
          <w:tcPr>
            <w:tcW w:w="426" w:type="pct"/>
            <w:vMerge w:val="restart"/>
            <w:vAlign w:val="center"/>
          </w:tcPr>
          <w:p>
            <w:pPr>
              <w:widowControl/>
              <w:spacing w:line="360" w:lineRule="auto"/>
              <w:jc w:val="center"/>
              <w:textAlignment w:val="bottom"/>
              <w:rPr>
                <w:rFonts w:ascii="Arial" w:hAnsi="Arial" w:cs="Arial"/>
                <w:color w:val="auto"/>
                <w:sz w:val="20"/>
                <w:highlight w:val="none"/>
              </w:rPr>
            </w:pPr>
            <w:r>
              <w:rPr>
                <w:rFonts w:hint="eastAsia" w:ascii="Arial" w:hAnsi="Arial" w:cs="Arial"/>
                <w:color w:val="auto"/>
                <w:sz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Merge w:val="continue"/>
            <w:vAlign w:val="center"/>
          </w:tcPr>
          <w:p>
            <w:pPr>
              <w:spacing w:line="360" w:lineRule="auto"/>
              <w:jc w:val="center"/>
              <w:rPr>
                <w:rFonts w:ascii="黑体" w:eastAsia="黑体"/>
                <w:b/>
                <w:color w:val="auto"/>
                <w:sz w:val="24"/>
                <w:highlight w:val="none"/>
              </w:rPr>
            </w:pPr>
          </w:p>
        </w:tc>
        <w:tc>
          <w:tcPr>
            <w:tcW w:w="525" w:type="pct"/>
            <w:vMerge w:val="continue"/>
            <w:vAlign w:val="center"/>
          </w:tcPr>
          <w:p>
            <w:pPr>
              <w:spacing w:line="360" w:lineRule="auto"/>
              <w:jc w:val="center"/>
              <w:rPr>
                <w:rFonts w:ascii="黑体" w:eastAsia="黑体"/>
                <w:b/>
                <w:color w:val="auto"/>
                <w:sz w:val="24"/>
                <w:highlight w:val="none"/>
              </w:rPr>
            </w:pPr>
          </w:p>
        </w:tc>
        <w:tc>
          <w:tcPr>
            <w:tcW w:w="460" w:type="pct"/>
            <w:vMerge w:val="continue"/>
            <w:vAlign w:val="center"/>
          </w:tcPr>
          <w:p>
            <w:pPr>
              <w:spacing w:line="360" w:lineRule="auto"/>
              <w:jc w:val="center"/>
              <w:rPr>
                <w:rFonts w:ascii="黑体" w:eastAsia="黑体"/>
                <w:b/>
                <w:color w:val="auto"/>
                <w:sz w:val="24"/>
                <w:highlight w:val="none"/>
              </w:rPr>
            </w:pPr>
          </w:p>
        </w:tc>
        <w:tc>
          <w:tcPr>
            <w:tcW w:w="274" w:type="pct"/>
            <w:vMerge w:val="continue"/>
            <w:vAlign w:val="center"/>
          </w:tcPr>
          <w:p>
            <w:pPr>
              <w:spacing w:line="360" w:lineRule="auto"/>
              <w:jc w:val="center"/>
              <w:rPr>
                <w:rFonts w:ascii="黑体" w:eastAsia="黑体"/>
                <w:b/>
                <w:color w:val="auto"/>
                <w:sz w:val="24"/>
                <w:highlight w:val="none"/>
              </w:rPr>
            </w:pPr>
          </w:p>
        </w:tc>
        <w:tc>
          <w:tcPr>
            <w:tcW w:w="461" w:type="pct"/>
            <w:vMerge w:val="continue"/>
            <w:vAlign w:val="center"/>
          </w:tcPr>
          <w:p>
            <w:pPr>
              <w:spacing w:line="360" w:lineRule="auto"/>
              <w:jc w:val="center"/>
              <w:rPr>
                <w:rFonts w:ascii="黑体" w:eastAsia="黑体"/>
                <w:b/>
                <w:color w:val="auto"/>
                <w:sz w:val="24"/>
                <w:highlight w:val="none"/>
              </w:rPr>
            </w:pPr>
          </w:p>
        </w:tc>
        <w:tc>
          <w:tcPr>
            <w:tcW w:w="368" w:type="pct"/>
            <w:vMerge w:val="continue"/>
            <w:vAlign w:val="center"/>
          </w:tcPr>
          <w:p>
            <w:pPr>
              <w:spacing w:line="360" w:lineRule="auto"/>
              <w:jc w:val="center"/>
              <w:rPr>
                <w:rFonts w:ascii="黑体" w:eastAsia="黑体"/>
                <w:b/>
                <w:color w:val="auto"/>
                <w:sz w:val="24"/>
                <w:highlight w:val="none"/>
              </w:rPr>
            </w:pPr>
          </w:p>
        </w:tc>
        <w:tc>
          <w:tcPr>
            <w:tcW w:w="559" w:type="pct"/>
            <w:vAlign w:val="center"/>
          </w:tcPr>
          <w:p>
            <w:pPr>
              <w:spacing w:line="360" w:lineRule="auto"/>
              <w:jc w:val="center"/>
              <w:rPr>
                <w:rFonts w:ascii="Arial" w:hAnsi="Arial" w:cs="Arial"/>
                <w:color w:val="auto"/>
                <w:kern w:val="0"/>
                <w:sz w:val="20"/>
                <w:highlight w:val="none"/>
              </w:rPr>
            </w:pPr>
            <w:r>
              <w:rPr>
                <w:rFonts w:hint="eastAsia" w:ascii="Arial" w:hAnsi="Arial" w:cs="Arial"/>
                <w:color w:val="auto"/>
                <w:kern w:val="0"/>
                <w:sz w:val="20"/>
                <w:highlight w:val="none"/>
              </w:rPr>
              <w:t>证书</w:t>
            </w:r>
          </w:p>
          <w:p>
            <w:pPr>
              <w:spacing w:line="360" w:lineRule="auto"/>
              <w:jc w:val="center"/>
              <w:rPr>
                <w:rFonts w:ascii="Arial" w:hAnsi="Arial" w:cs="Arial"/>
                <w:color w:val="auto"/>
                <w:kern w:val="0"/>
                <w:sz w:val="20"/>
                <w:highlight w:val="none"/>
              </w:rPr>
            </w:pPr>
            <w:r>
              <w:rPr>
                <w:rFonts w:hint="eastAsia" w:ascii="Arial" w:hAnsi="Arial" w:cs="Arial"/>
                <w:color w:val="auto"/>
                <w:kern w:val="0"/>
                <w:sz w:val="20"/>
                <w:highlight w:val="none"/>
              </w:rPr>
              <w:t>名称</w:t>
            </w:r>
          </w:p>
        </w:tc>
        <w:tc>
          <w:tcPr>
            <w:tcW w:w="551" w:type="pct"/>
            <w:vAlign w:val="center"/>
          </w:tcPr>
          <w:p>
            <w:pPr>
              <w:spacing w:line="360" w:lineRule="auto"/>
              <w:jc w:val="center"/>
              <w:rPr>
                <w:rFonts w:ascii="Arial" w:hAnsi="Arial" w:cs="Arial"/>
                <w:color w:val="auto"/>
                <w:kern w:val="0"/>
                <w:sz w:val="20"/>
                <w:highlight w:val="none"/>
              </w:rPr>
            </w:pPr>
            <w:r>
              <w:rPr>
                <w:rFonts w:hint="eastAsia" w:ascii="Arial" w:hAnsi="Arial" w:cs="Arial"/>
                <w:color w:val="auto"/>
                <w:kern w:val="0"/>
                <w:sz w:val="20"/>
                <w:highlight w:val="none"/>
              </w:rPr>
              <w:t>证号</w:t>
            </w:r>
          </w:p>
        </w:tc>
        <w:tc>
          <w:tcPr>
            <w:tcW w:w="1125" w:type="pct"/>
            <w:vMerge w:val="continue"/>
            <w:vAlign w:val="center"/>
          </w:tcPr>
          <w:p>
            <w:pPr>
              <w:spacing w:line="360" w:lineRule="auto"/>
              <w:jc w:val="center"/>
              <w:rPr>
                <w:rFonts w:ascii="黑体" w:eastAsia="黑体"/>
                <w:b/>
                <w:color w:val="auto"/>
                <w:sz w:val="24"/>
                <w:highlight w:val="none"/>
              </w:rPr>
            </w:pPr>
          </w:p>
        </w:tc>
        <w:tc>
          <w:tcPr>
            <w:tcW w:w="426" w:type="pct"/>
            <w:vMerge w:val="continue"/>
            <w:vAlign w:val="center"/>
          </w:tcPr>
          <w:p>
            <w:pPr>
              <w:spacing w:line="360" w:lineRule="auto"/>
              <w:jc w:val="center"/>
              <w:rPr>
                <w:rFonts w:ascii="黑体" w:eastAsia="黑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Align w:val="center"/>
          </w:tcPr>
          <w:p>
            <w:pPr>
              <w:spacing w:line="360" w:lineRule="auto"/>
              <w:jc w:val="center"/>
              <w:rPr>
                <w:rFonts w:ascii="黑体" w:eastAsia="黑体"/>
                <w:b/>
                <w:color w:val="auto"/>
                <w:sz w:val="24"/>
                <w:highlight w:val="none"/>
              </w:rPr>
            </w:pPr>
          </w:p>
        </w:tc>
        <w:tc>
          <w:tcPr>
            <w:tcW w:w="525" w:type="pct"/>
            <w:vAlign w:val="center"/>
          </w:tcPr>
          <w:p>
            <w:pPr>
              <w:spacing w:line="360" w:lineRule="auto"/>
              <w:jc w:val="center"/>
              <w:rPr>
                <w:rFonts w:ascii="黑体" w:eastAsia="黑体"/>
                <w:b/>
                <w:color w:val="auto"/>
                <w:sz w:val="24"/>
                <w:highlight w:val="none"/>
              </w:rPr>
            </w:pPr>
          </w:p>
        </w:tc>
        <w:tc>
          <w:tcPr>
            <w:tcW w:w="460" w:type="pct"/>
            <w:vAlign w:val="center"/>
          </w:tcPr>
          <w:p>
            <w:pPr>
              <w:spacing w:line="360" w:lineRule="auto"/>
              <w:jc w:val="center"/>
              <w:rPr>
                <w:rFonts w:ascii="黑体" w:eastAsia="黑体"/>
                <w:b/>
                <w:color w:val="auto"/>
                <w:sz w:val="24"/>
                <w:highlight w:val="none"/>
              </w:rPr>
            </w:pPr>
          </w:p>
        </w:tc>
        <w:tc>
          <w:tcPr>
            <w:tcW w:w="274" w:type="pct"/>
            <w:vAlign w:val="center"/>
          </w:tcPr>
          <w:p>
            <w:pPr>
              <w:spacing w:line="360" w:lineRule="auto"/>
              <w:jc w:val="center"/>
              <w:rPr>
                <w:rFonts w:ascii="黑体" w:eastAsia="黑体"/>
                <w:b/>
                <w:color w:val="auto"/>
                <w:sz w:val="24"/>
                <w:highlight w:val="none"/>
              </w:rPr>
            </w:pPr>
          </w:p>
        </w:tc>
        <w:tc>
          <w:tcPr>
            <w:tcW w:w="461" w:type="pct"/>
            <w:vAlign w:val="center"/>
          </w:tcPr>
          <w:p>
            <w:pPr>
              <w:spacing w:line="360" w:lineRule="auto"/>
              <w:jc w:val="center"/>
              <w:rPr>
                <w:rFonts w:ascii="黑体" w:eastAsia="黑体"/>
                <w:b/>
                <w:color w:val="auto"/>
                <w:sz w:val="24"/>
                <w:highlight w:val="none"/>
              </w:rPr>
            </w:pPr>
          </w:p>
        </w:tc>
        <w:tc>
          <w:tcPr>
            <w:tcW w:w="368" w:type="pct"/>
            <w:vAlign w:val="center"/>
          </w:tcPr>
          <w:p>
            <w:pPr>
              <w:spacing w:line="360" w:lineRule="auto"/>
              <w:jc w:val="center"/>
              <w:rPr>
                <w:rFonts w:ascii="黑体" w:eastAsia="黑体"/>
                <w:b/>
                <w:color w:val="auto"/>
                <w:sz w:val="24"/>
                <w:highlight w:val="none"/>
              </w:rPr>
            </w:pPr>
          </w:p>
        </w:tc>
        <w:tc>
          <w:tcPr>
            <w:tcW w:w="559" w:type="pct"/>
            <w:vAlign w:val="center"/>
          </w:tcPr>
          <w:p>
            <w:pPr>
              <w:spacing w:line="360" w:lineRule="auto"/>
              <w:jc w:val="center"/>
              <w:rPr>
                <w:rFonts w:ascii="黑体" w:eastAsia="黑体"/>
                <w:b/>
                <w:color w:val="auto"/>
                <w:sz w:val="24"/>
                <w:highlight w:val="none"/>
              </w:rPr>
            </w:pPr>
          </w:p>
        </w:tc>
        <w:tc>
          <w:tcPr>
            <w:tcW w:w="551" w:type="pct"/>
            <w:vAlign w:val="center"/>
          </w:tcPr>
          <w:p>
            <w:pPr>
              <w:spacing w:line="360" w:lineRule="auto"/>
              <w:jc w:val="center"/>
              <w:rPr>
                <w:rFonts w:ascii="黑体" w:eastAsia="黑体"/>
                <w:b/>
                <w:color w:val="auto"/>
                <w:sz w:val="24"/>
                <w:highlight w:val="none"/>
              </w:rPr>
            </w:pPr>
          </w:p>
        </w:tc>
        <w:tc>
          <w:tcPr>
            <w:tcW w:w="1125" w:type="pct"/>
            <w:vAlign w:val="center"/>
          </w:tcPr>
          <w:p>
            <w:pPr>
              <w:spacing w:line="360" w:lineRule="auto"/>
              <w:jc w:val="center"/>
              <w:rPr>
                <w:rFonts w:ascii="黑体" w:eastAsia="黑体"/>
                <w:b/>
                <w:color w:val="auto"/>
                <w:sz w:val="24"/>
                <w:highlight w:val="none"/>
              </w:rPr>
            </w:pPr>
          </w:p>
        </w:tc>
        <w:tc>
          <w:tcPr>
            <w:tcW w:w="426" w:type="pct"/>
            <w:vAlign w:val="center"/>
          </w:tcPr>
          <w:p>
            <w:pPr>
              <w:spacing w:line="360" w:lineRule="auto"/>
              <w:jc w:val="center"/>
              <w:rPr>
                <w:rFonts w:ascii="黑体" w:eastAsia="黑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Align w:val="center"/>
          </w:tcPr>
          <w:p>
            <w:pPr>
              <w:spacing w:line="360" w:lineRule="auto"/>
              <w:jc w:val="center"/>
              <w:rPr>
                <w:rFonts w:ascii="黑体" w:eastAsia="黑体"/>
                <w:b/>
                <w:color w:val="auto"/>
                <w:sz w:val="24"/>
                <w:highlight w:val="none"/>
              </w:rPr>
            </w:pPr>
          </w:p>
        </w:tc>
        <w:tc>
          <w:tcPr>
            <w:tcW w:w="525" w:type="pct"/>
            <w:vAlign w:val="center"/>
          </w:tcPr>
          <w:p>
            <w:pPr>
              <w:spacing w:line="360" w:lineRule="auto"/>
              <w:jc w:val="center"/>
              <w:rPr>
                <w:rFonts w:ascii="黑体" w:eastAsia="黑体"/>
                <w:b/>
                <w:color w:val="auto"/>
                <w:sz w:val="24"/>
                <w:highlight w:val="none"/>
              </w:rPr>
            </w:pPr>
          </w:p>
        </w:tc>
        <w:tc>
          <w:tcPr>
            <w:tcW w:w="460" w:type="pct"/>
            <w:vAlign w:val="center"/>
          </w:tcPr>
          <w:p>
            <w:pPr>
              <w:spacing w:line="360" w:lineRule="auto"/>
              <w:jc w:val="center"/>
              <w:rPr>
                <w:rFonts w:ascii="黑体" w:eastAsia="黑体"/>
                <w:b/>
                <w:color w:val="auto"/>
                <w:sz w:val="24"/>
                <w:highlight w:val="none"/>
              </w:rPr>
            </w:pPr>
          </w:p>
        </w:tc>
        <w:tc>
          <w:tcPr>
            <w:tcW w:w="274" w:type="pct"/>
            <w:vAlign w:val="center"/>
          </w:tcPr>
          <w:p>
            <w:pPr>
              <w:spacing w:line="360" w:lineRule="auto"/>
              <w:jc w:val="center"/>
              <w:rPr>
                <w:rFonts w:ascii="黑体" w:eastAsia="黑体"/>
                <w:b/>
                <w:color w:val="auto"/>
                <w:sz w:val="24"/>
                <w:highlight w:val="none"/>
              </w:rPr>
            </w:pPr>
          </w:p>
        </w:tc>
        <w:tc>
          <w:tcPr>
            <w:tcW w:w="461" w:type="pct"/>
            <w:vAlign w:val="center"/>
          </w:tcPr>
          <w:p>
            <w:pPr>
              <w:spacing w:line="360" w:lineRule="auto"/>
              <w:jc w:val="center"/>
              <w:rPr>
                <w:rFonts w:ascii="黑体" w:eastAsia="黑体"/>
                <w:b/>
                <w:color w:val="auto"/>
                <w:sz w:val="24"/>
                <w:highlight w:val="none"/>
              </w:rPr>
            </w:pPr>
          </w:p>
        </w:tc>
        <w:tc>
          <w:tcPr>
            <w:tcW w:w="368" w:type="pct"/>
            <w:vAlign w:val="center"/>
          </w:tcPr>
          <w:p>
            <w:pPr>
              <w:spacing w:line="360" w:lineRule="auto"/>
              <w:jc w:val="center"/>
              <w:rPr>
                <w:rFonts w:ascii="黑体" w:eastAsia="黑体"/>
                <w:b/>
                <w:color w:val="auto"/>
                <w:sz w:val="24"/>
                <w:highlight w:val="none"/>
              </w:rPr>
            </w:pPr>
          </w:p>
        </w:tc>
        <w:tc>
          <w:tcPr>
            <w:tcW w:w="559" w:type="pct"/>
            <w:vAlign w:val="center"/>
          </w:tcPr>
          <w:p>
            <w:pPr>
              <w:spacing w:line="360" w:lineRule="auto"/>
              <w:jc w:val="center"/>
              <w:rPr>
                <w:rFonts w:ascii="黑体" w:eastAsia="黑体"/>
                <w:b/>
                <w:color w:val="auto"/>
                <w:sz w:val="24"/>
                <w:highlight w:val="none"/>
              </w:rPr>
            </w:pPr>
          </w:p>
        </w:tc>
        <w:tc>
          <w:tcPr>
            <w:tcW w:w="551" w:type="pct"/>
            <w:vAlign w:val="center"/>
          </w:tcPr>
          <w:p>
            <w:pPr>
              <w:spacing w:line="360" w:lineRule="auto"/>
              <w:jc w:val="center"/>
              <w:rPr>
                <w:rFonts w:ascii="黑体" w:eastAsia="黑体"/>
                <w:b/>
                <w:color w:val="auto"/>
                <w:sz w:val="24"/>
                <w:highlight w:val="none"/>
              </w:rPr>
            </w:pPr>
          </w:p>
        </w:tc>
        <w:tc>
          <w:tcPr>
            <w:tcW w:w="1125" w:type="pct"/>
            <w:vAlign w:val="center"/>
          </w:tcPr>
          <w:p>
            <w:pPr>
              <w:spacing w:line="360" w:lineRule="auto"/>
              <w:jc w:val="center"/>
              <w:rPr>
                <w:rFonts w:ascii="黑体" w:eastAsia="黑体"/>
                <w:b/>
                <w:color w:val="auto"/>
                <w:sz w:val="24"/>
                <w:highlight w:val="none"/>
              </w:rPr>
            </w:pPr>
          </w:p>
        </w:tc>
        <w:tc>
          <w:tcPr>
            <w:tcW w:w="426" w:type="pct"/>
            <w:vAlign w:val="center"/>
          </w:tcPr>
          <w:p>
            <w:pPr>
              <w:spacing w:line="360" w:lineRule="auto"/>
              <w:jc w:val="center"/>
              <w:rPr>
                <w:rFonts w:ascii="黑体" w:eastAsia="黑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Align w:val="center"/>
          </w:tcPr>
          <w:p>
            <w:pPr>
              <w:spacing w:line="360" w:lineRule="auto"/>
              <w:jc w:val="center"/>
              <w:rPr>
                <w:rFonts w:ascii="黑体" w:eastAsia="黑体"/>
                <w:b/>
                <w:color w:val="auto"/>
                <w:sz w:val="24"/>
                <w:highlight w:val="none"/>
              </w:rPr>
            </w:pPr>
          </w:p>
        </w:tc>
        <w:tc>
          <w:tcPr>
            <w:tcW w:w="525" w:type="pct"/>
            <w:vAlign w:val="center"/>
          </w:tcPr>
          <w:p>
            <w:pPr>
              <w:spacing w:line="360" w:lineRule="auto"/>
              <w:jc w:val="center"/>
              <w:rPr>
                <w:rFonts w:ascii="黑体" w:eastAsia="黑体"/>
                <w:b/>
                <w:color w:val="auto"/>
                <w:sz w:val="24"/>
                <w:highlight w:val="none"/>
              </w:rPr>
            </w:pPr>
          </w:p>
        </w:tc>
        <w:tc>
          <w:tcPr>
            <w:tcW w:w="460" w:type="pct"/>
            <w:vAlign w:val="center"/>
          </w:tcPr>
          <w:p>
            <w:pPr>
              <w:spacing w:line="360" w:lineRule="auto"/>
              <w:jc w:val="center"/>
              <w:rPr>
                <w:rFonts w:ascii="黑体" w:eastAsia="黑体"/>
                <w:b/>
                <w:color w:val="auto"/>
                <w:sz w:val="24"/>
                <w:highlight w:val="none"/>
              </w:rPr>
            </w:pPr>
          </w:p>
        </w:tc>
        <w:tc>
          <w:tcPr>
            <w:tcW w:w="274" w:type="pct"/>
            <w:vAlign w:val="center"/>
          </w:tcPr>
          <w:p>
            <w:pPr>
              <w:spacing w:line="360" w:lineRule="auto"/>
              <w:jc w:val="center"/>
              <w:rPr>
                <w:rFonts w:ascii="黑体" w:eastAsia="黑体"/>
                <w:b/>
                <w:color w:val="auto"/>
                <w:sz w:val="24"/>
                <w:highlight w:val="none"/>
              </w:rPr>
            </w:pPr>
          </w:p>
        </w:tc>
        <w:tc>
          <w:tcPr>
            <w:tcW w:w="461" w:type="pct"/>
            <w:vAlign w:val="center"/>
          </w:tcPr>
          <w:p>
            <w:pPr>
              <w:spacing w:line="360" w:lineRule="auto"/>
              <w:jc w:val="center"/>
              <w:rPr>
                <w:rFonts w:ascii="黑体" w:eastAsia="黑体"/>
                <w:b/>
                <w:color w:val="auto"/>
                <w:sz w:val="24"/>
                <w:highlight w:val="none"/>
              </w:rPr>
            </w:pPr>
          </w:p>
        </w:tc>
        <w:tc>
          <w:tcPr>
            <w:tcW w:w="368" w:type="pct"/>
            <w:vAlign w:val="center"/>
          </w:tcPr>
          <w:p>
            <w:pPr>
              <w:spacing w:line="360" w:lineRule="auto"/>
              <w:jc w:val="center"/>
              <w:rPr>
                <w:rFonts w:ascii="黑体" w:eastAsia="黑体"/>
                <w:b/>
                <w:color w:val="auto"/>
                <w:sz w:val="24"/>
                <w:highlight w:val="none"/>
              </w:rPr>
            </w:pPr>
          </w:p>
        </w:tc>
        <w:tc>
          <w:tcPr>
            <w:tcW w:w="559" w:type="pct"/>
            <w:vAlign w:val="center"/>
          </w:tcPr>
          <w:p>
            <w:pPr>
              <w:spacing w:line="360" w:lineRule="auto"/>
              <w:jc w:val="center"/>
              <w:rPr>
                <w:rFonts w:ascii="黑体" w:eastAsia="黑体"/>
                <w:b/>
                <w:color w:val="auto"/>
                <w:sz w:val="24"/>
                <w:highlight w:val="none"/>
              </w:rPr>
            </w:pPr>
          </w:p>
        </w:tc>
        <w:tc>
          <w:tcPr>
            <w:tcW w:w="551" w:type="pct"/>
            <w:vAlign w:val="center"/>
          </w:tcPr>
          <w:p>
            <w:pPr>
              <w:spacing w:line="360" w:lineRule="auto"/>
              <w:jc w:val="center"/>
              <w:rPr>
                <w:rFonts w:ascii="黑体" w:eastAsia="黑体"/>
                <w:b/>
                <w:color w:val="auto"/>
                <w:sz w:val="24"/>
                <w:highlight w:val="none"/>
              </w:rPr>
            </w:pPr>
          </w:p>
        </w:tc>
        <w:tc>
          <w:tcPr>
            <w:tcW w:w="1125" w:type="pct"/>
            <w:vAlign w:val="center"/>
          </w:tcPr>
          <w:p>
            <w:pPr>
              <w:spacing w:line="360" w:lineRule="auto"/>
              <w:jc w:val="center"/>
              <w:rPr>
                <w:rFonts w:ascii="黑体" w:eastAsia="黑体"/>
                <w:b/>
                <w:color w:val="auto"/>
                <w:sz w:val="24"/>
                <w:highlight w:val="none"/>
              </w:rPr>
            </w:pPr>
          </w:p>
        </w:tc>
        <w:tc>
          <w:tcPr>
            <w:tcW w:w="426" w:type="pct"/>
            <w:vAlign w:val="center"/>
          </w:tcPr>
          <w:p>
            <w:pPr>
              <w:spacing w:line="360" w:lineRule="auto"/>
              <w:jc w:val="center"/>
              <w:rPr>
                <w:rFonts w:ascii="黑体" w:eastAsia="黑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Align w:val="center"/>
          </w:tcPr>
          <w:p>
            <w:pPr>
              <w:spacing w:line="360" w:lineRule="auto"/>
              <w:jc w:val="center"/>
              <w:rPr>
                <w:rFonts w:ascii="黑体" w:eastAsia="黑体"/>
                <w:b/>
                <w:color w:val="auto"/>
                <w:sz w:val="24"/>
                <w:highlight w:val="none"/>
              </w:rPr>
            </w:pPr>
          </w:p>
        </w:tc>
        <w:tc>
          <w:tcPr>
            <w:tcW w:w="525" w:type="pct"/>
            <w:vAlign w:val="center"/>
          </w:tcPr>
          <w:p>
            <w:pPr>
              <w:spacing w:line="360" w:lineRule="auto"/>
              <w:jc w:val="center"/>
              <w:rPr>
                <w:rFonts w:ascii="黑体" w:eastAsia="黑体"/>
                <w:b/>
                <w:color w:val="auto"/>
                <w:sz w:val="24"/>
                <w:highlight w:val="none"/>
              </w:rPr>
            </w:pPr>
          </w:p>
        </w:tc>
        <w:tc>
          <w:tcPr>
            <w:tcW w:w="460" w:type="pct"/>
            <w:vAlign w:val="center"/>
          </w:tcPr>
          <w:p>
            <w:pPr>
              <w:spacing w:line="360" w:lineRule="auto"/>
              <w:jc w:val="center"/>
              <w:rPr>
                <w:rFonts w:ascii="黑体" w:eastAsia="黑体"/>
                <w:b/>
                <w:color w:val="auto"/>
                <w:sz w:val="24"/>
                <w:highlight w:val="none"/>
              </w:rPr>
            </w:pPr>
          </w:p>
        </w:tc>
        <w:tc>
          <w:tcPr>
            <w:tcW w:w="274" w:type="pct"/>
            <w:vAlign w:val="center"/>
          </w:tcPr>
          <w:p>
            <w:pPr>
              <w:spacing w:line="360" w:lineRule="auto"/>
              <w:jc w:val="center"/>
              <w:rPr>
                <w:rFonts w:ascii="黑体" w:eastAsia="黑体"/>
                <w:b/>
                <w:color w:val="auto"/>
                <w:sz w:val="24"/>
                <w:highlight w:val="none"/>
              </w:rPr>
            </w:pPr>
          </w:p>
        </w:tc>
        <w:tc>
          <w:tcPr>
            <w:tcW w:w="461" w:type="pct"/>
            <w:vAlign w:val="center"/>
          </w:tcPr>
          <w:p>
            <w:pPr>
              <w:spacing w:line="360" w:lineRule="auto"/>
              <w:jc w:val="center"/>
              <w:rPr>
                <w:rFonts w:ascii="黑体" w:eastAsia="黑体"/>
                <w:b/>
                <w:color w:val="auto"/>
                <w:sz w:val="24"/>
                <w:highlight w:val="none"/>
              </w:rPr>
            </w:pPr>
          </w:p>
        </w:tc>
        <w:tc>
          <w:tcPr>
            <w:tcW w:w="368" w:type="pct"/>
            <w:vAlign w:val="center"/>
          </w:tcPr>
          <w:p>
            <w:pPr>
              <w:spacing w:line="360" w:lineRule="auto"/>
              <w:jc w:val="center"/>
              <w:rPr>
                <w:rFonts w:ascii="黑体" w:eastAsia="黑体"/>
                <w:b/>
                <w:color w:val="auto"/>
                <w:sz w:val="24"/>
                <w:highlight w:val="none"/>
              </w:rPr>
            </w:pPr>
          </w:p>
        </w:tc>
        <w:tc>
          <w:tcPr>
            <w:tcW w:w="559" w:type="pct"/>
            <w:vAlign w:val="center"/>
          </w:tcPr>
          <w:p>
            <w:pPr>
              <w:spacing w:line="360" w:lineRule="auto"/>
              <w:jc w:val="center"/>
              <w:rPr>
                <w:rFonts w:ascii="黑体" w:eastAsia="黑体"/>
                <w:b/>
                <w:color w:val="auto"/>
                <w:sz w:val="24"/>
                <w:highlight w:val="none"/>
              </w:rPr>
            </w:pPr>
          </w:p>
        </w:tc>
        <w:tc>
          <w:tcPr>
            <w:tcW w:w="551" w:type="pct"/>
            <w:vAlign w:val="center"/>
          </w:tcPr>
          <w:p>
            <w:pPr>
              <w:spacing w:line="360" w:lineRule="auto"/>
              <w:jc w:val="center"/>
              <w:rPr>
                <w:rFonts w:ascii="黑体" w:eastAsia="黑体"/>
                <w:b/>
                <w:color w:val="auto"/>
                <w:sz w:val="24"/>
                <w:highlight w:val="none"/>
              </w:rPr>
            </w:pPr>
          </w:p>
        </w:tc>
        <w:tc>
          <w:tcPr>
            <w:tcW w:w="1125" w:type="pct"/>
            <w:vAlign w:val="center"/>
          </w:tcPr>
          <w:p>
            <w:pPr>
              <w:spacing w:line="360" w:lineRule="auto"/>
              <w:jc w:val="center"/>
              <w:rPr>
                <w:rFonts w:ascii="黑体" w:eastAsia="黑体"/>
                <w:b/>
                <w:color w:val="auto"/>
                <w:sz w:val="24"/>
                <w:highlight w:val="none"/>
              </w:rPr>
            </w:pPr>
          </w:p>
        </w:tc>
        <w:tc>
          <w:tcPr>
            <w:tcW w:w="426" w:type="pct"/>
            <w:vAlign w:val="center"/>
          </w:tcPr>
          <w:p>
            <w:pPr>
              <w:spacing w:line="360" w:lineRule="auto"/>
              <w:jc w:val="center"/>
              <w:rPr>
                <w:rFonts w:ascii="黑体" w:eastAsia="黑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Align w:val="center"/>
          </w:tcPr>
          <w:p>
            <w:pPr>
              <w:spacing w:line="360" w:lineRule="auto"/>
              <w:jc w:val="center"/>
              <w:rPr>
                <w:rFonts w:ascii="黑体" w:eastAsia="黑体"/>
                <w:b/>
                <w:color w:val="auto"/>
                <w:sz w:val="24"/>
                <w:highlight w:val="none"/>
              </w:rPr>
            </w:pPr>
          </w:p>
        </w:tc>
        <w:tc>
          <w:tcPr>
            <w:tcW w:w="525" w:type="pct"/>
            <w:vAlign w:val="center"/>
          </w:tcPr>
          <w:p>
            <w:pPr>
              <w:spacing w:line="360" w:lineRule="auto"/>
              <w:jc w:val="center"/>
              <w:rPr>
                <w:rFonts w:ascii="黑体" w:eastAsia="黑体"/>
                <w:b/>
                <w:color w:val="auto"/>
                <w:sz w:val="24"/>
                <w:highlight w:val="none"/>
              </w:rPr>
            </w:pPr>
          </w:p>
        </w:tc>
        <w:tc>
          <w:tcPr>
            <w:tcW w:w="460" w:type="pct"/>
            <w:vAlign w:val="center"/>
          </w:tcPr>
          <w:p>
            <w:pPr>
              <w:spacing w:line="360" w:lineRule="auto"/>
              <w:jc w:val="center"/>
              <w:rPr>
                <w:rFonts w:ascii="黑体" w:eastAsia="黑体"/>
                <w:b/>
                <w:color w:val="auto"/>
                <w:sz w:val="24"/>
                <w:highlight w:val="none"/>
              </w:rPr>
            </w:pPr>
          </w:p>
        </w:tc>
        <w:tc>
          <w:tcPr>
            <w:tcW w:w="274" w:type="pct"/>
            <w:vAlign w:val="center"/>
          </w:tcPr>
          <w:p>
            <w:pPr>
              <w:spacing w:line="360" w:lineRule="auto"/>
              <w:jc w:val="center"/>
              <w:rPr>
                <w:rFonts w:ascii="黑体" w:eastAsia="黑体"/>
                <w:b/>
                <w:color w:val="auto"/>
                <w:sz w:val="24"/>
                <w:highlight w:val="none"/>
              </w:rPr>
            </w:pPr>
          </w:p>
        </w:tc>
        <w:tc>
          <w:tcPr>
            <w:tcW w:w="461" w:type="pct"/>
            <w:vAlign w:val="center"/>
          </w:tcPr>
          <w:p>
            <w:pPr>
              <w:spacing w:line="360" w:lineRule="auto"/>
              <w:jc w:val="center"/>
              <w:rPr>
                <w:rFonts w:ascii="黑体" w:eastAsia="黑体"/>
                <w:b/>
                <w:color w:val="auto"/>
                <w:sz w:val="24"/>
                <w:highlight w:val="none"/>
              </w:rPr>
            </w:pPr>
          </w:p>
        </w:tc>
        <w:tc>
          <w:tcPr>
            <w:tcW w:w="368" w:type="pct"/>
            <w:vAlign w:val="center"/>
          </w:tcPr>
          <w:p>
            <w:pPr>
              <w:spacing w:line="360" w:lineRule="auto"/>
              <w:jc w:val="center"/>
              <w:rPr>
                <w:rFonts w:ascii="黑体" w:eastAsia="黑体"/>
                <w:b/>
                <w:color w:val="auto"/>
                <w:sz w:val="24"/>
                <w:highlight w:val="none"/>
              </w:rPr>
            </w:pPr>
          </w:p>
        </w:tc>
        <w:tc>
          <w:tcPr>
            <w:tcW w:w="559" w:type="pct"/>
            <w:vAlign w:val="center"/>
          </w:tcPr>
          <w:p>
            <w:pPr>
              <w:spacing w:line="360" w:lineRule="auto"/>
              <w:jc w:val="center"/>
              <w:rPr>
                <w:rFonts w:ascii="黑体" w:eastAsia="黑体"/>
                <w:b/>
                <w:color w:val="auto"/>
                <w:sz w:val="24"/>
                <w:highlight w:val="none"/>
              </w:rPr>
            </w:pPr>
          </w:p>
        </w:tc>
        <w:tc>
          <w:tcPr>
            <w:tcW w:w="551" w:type="pct"/>
            <w:vAlign w:val="center"/>
          </w:tcPr>
          <w:p>
            <w:pPr>
              <w:spacing w:line="360" w:lineRule="auto"/>
              <w:jc w:val="center"/>
              <w:rPr>
                <w:rFonts w:ascii="黑体" w:eastAsia="黑体"/>
                <w:b/>
                <w:color w:val="auto"/>
                <w:sz w:val="24"/>
                <w:highlight w:val="none"/>
              </w:rPr>
            </w:pPr>
          </w:p>
        </w:tc>
        <w:tc>
          <w:tcPr>
            <w:tcW w:w="1125" w:type="pct"/>
            <w:vAlign w:val="center"/>
          </w:tcPr>
          <w:p>
            <w:pPr>
              <w:spacing w:line="360" w:lineRule="auto"/>
              <w:jc w:val="center"/>
              <w:rPr>
                <w:rFonts w:ascii="黑体" w:eastAsia="黑体"/>
                <w:b/>
                <w:color w:val="auto"/>
                <w:sz w:val="24"/>
                <w:highlight w:val="none"/>
              </w:rPr>
            </w:pPr>
          </w:p>
        </w:tc>
        <w:tc>
          <w:tcPr>
            <w:tcW w:w="426" w:type="pct"/>
            <w:vAlign w:val="center"/>
          </w:tcPr>
          <w:p>
            <w:pPr>
              <w:spacing w:line="360" w:lineRule="auto"/>
              <w:jc w:val="center"/>
              <w:rPr>
                <w:rFonts w:ascii="黑体" w:eastAsia="黑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Align w:val="center"/>
          </w:tcPr>
          <w:p>
            <w:pPr>
              <w:spacing w:line="360" w:lineRule="auto"/>
              <w:jc w:val="center"/>
              <w:rPr>
                <w:rFonts w:ascii="黑体" w:eastAsia="黑体"/>
                <w:b/>
                <w:color w:val="auto"/>
                <w:sz w:val="24"/>
                <w:highlight w:val="none"/>
              </w:rPr>
            </w:pPr>
          </w:p>
        </w:tc>
        <w:tc>
          <w:tcPr>
            <w:tcW w:w="525" w:type="pct"/>
            <w:vAlign w:val="center"/>
          </w:tcPr>
          <w:p>
            <w:pPr>
              <w:spacing w:line="360" w:lineRule="auto"/>
              <w:jc w:val="center"/>
              <w:rPr>
                <w:rFonts w:ascii="黑体" w:eastAsia="黑体"/>
                <w:b/>
                <w:color w:val="auto"/>
                <w:sz w:val="24"/>
                <w:highlight w:val="none"/>
              </w:rPr>
            </w:pPr>
          </w:p>
        </w:tc>
        <w:tc>
          <w:tcPr>
            <w:tcW w:w="460" w:type="pct"/>
            <w:vAlign w:val="center"/>
          </w:tcPr>
          <w:p>
            <w:pPr>
              <w:spacing w:line="360" w:lineRule="auto"/>
              <w:jc w:val="center"/>
              <w:rPr>
                <w:rFonts w:ascii="黑体" w:eastAsia="黑体"/>
                <w:b/>
                <w:color w:val="auto"/>
                <w:sz w:val="24"/>
                <w:highlight w:val="none"/>
              </w:rPr>
            </w:pPr>
          </w:p>
        </w:tc>
        <w:tc>
          <w:tcPr>
            <w:tcW w:w="274" w:type="pct"/>
            <w:vAlign w:val="center"/>
          </w:tcPr>
          <w:p>
            <w:pPr>
              <w:spacing w:line="360" w:lineRule="auto"/>
              <w:jc w:val="center"/>
              <w:rPr>
                <w:rFonts w:ascii="黑体" w:eastAsia="黑体"/>
                <w:b/>
                <w:color w:val="auto"/>
                <w:sz w:val="24"/>
                <w:highlight w:val="none"/>
              </w:rPr>
            </w:pPr>
          </w:p>
        </w:tc>
        <w:tc>
          <w:tcPr>
            <w:tcW w:w="461" w:type="pct"/>
            <w:vAlign w:val="center"/>
          </w:tcPr>
          <w:p>
            <w:pPr>
              <w:spacing w:line="360" w:lineRule="auto"/>
              <w:jc w:val="center"/>
              <w:rPr>
                <w:rFonts w:ascii="黑体" w:eastAsia="黑体"/>
                <w:b/>
                <w:color w:val="auto"/>
                <w:sz w:val="24"/>
                <w:highlight w:val="none"/>
              </w:rPr>
            </w:pPr>
          </w:p>
        </w:tc>
        <w:tc>
          <w:tcPr>
            <w:tcW w:w="368" w:type="pct"/>
            <w:vAlign w:val="center"/>
          </w:tcPr>
          <w:p>
            <w:pPr>
              <w:spacing w:line="360" w:lineRule="auto"/>
              <w:jc w:val="center"/>
              <w:rPr>
                <w:rFonts w:ascii="黑体" w:eastAsia="黑体"/>
                <w:b/>
                <w:color w:val="auto"/>
                <w:sz w:val="24"/>
                <w:highlight w:val="none"/>
              </w:rPr>
            </w:pPr>
          </w:p>
        </w:tc>
        <w:tc>
          <w:tcPr>
            <w:tcW w:w="559" w:type="pct"/>
            <w:vAlign w:val="center"/>
          </w:tcPr>
          <w:p>
            <w:pPr>
              <w:spacing w:line="360" w:lineRule="auto"/>
              <w:jc w:val="center"/>
              <w:rPr>
                <w:rFonts w:ascii="黑体" w:eastAsia="黑体"/>
                <w:b/>
                <w:color w:val="auto"/>
                <w:sz w:val="24"/>
                <w:highlight w:val="none"/>
              </w:rPr>
            </w:pPr>
          </w:p>
        </w:tc>
        <w:tc>
          <w:tcPr>
            <w:tcW w:w="551" w:type="pct"/>
            <w:vAlign w:val="center"/>
          </w:tcPr>
          <w:p>
            <w:pPr>
              <w:spacing w:line="360" w:lineRule="auto"/>
              <w:jc w:val="center"/>
              <w:rPr>
                <w:rFonts w:ascii="黑体" w:eastAsia="黑体"/>
                <w:b/>
                <w:color w:val="auto"/>
                <w:sz w:val="24"/>
                <w:highlight w:val="none"/>
              </w:rPr>
            </w:pPr>
          </w:p>
        </w:tc>
        <w:tc>
          <w:tcPr>
            <w:tcW w:w="1125" w:type="pct"/>
            <w:vAlign w:val="center"/>
          </w:tcPr>
          <w:p>
            <w:pPr>
              <w:spacing w:line="360" w:lineRule="auto"/>
              <w:jc w:val="center"/>
              <w:rPr>
                <w:rFonts w:ascii="黑体" w:eastAsia="黑体"/>
                <w:b/>
                <w:color w:val="auto"/>
                <w:sz w:val="24"/>
                <w:highlight w:val="none"/>
              </w:rPr>
            </w:pPr>
          </w:p>
        </w:tc>
        <w:tc>
          <w:tcPr>
            <w:tcW w:w="426" w:type="pct"/>
            <w:vAlign w:val="center"/>
          </w:tcPr>
          <w:p>
            <w:pPr>
              <w:spacing w:line="360" w:lineRule="auto"/>
              <w:jc w:val="center"/>
              <w:rPr>
                <w:rFonts w:ascii="黑体" w:eastAsia="黑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Align w:val="center"/>
          </w:tcPr>
          <w:p>
            <w:pPr>
              <w:spacing w:line="360" w:lineRule="auto"/>
              <w:jc w:val="center"/>
              <w:rPr>
                <w:rFonts w:ascii="黑体" w:eastAsia="黑体"/>
                <w:b/>
                <w:color w:val="auto"/>
                <w:sz w:val="24"/>
                <w:highlight w:val="none"/>
              </w:rPr>
            </w:pPr>
          </w:p>
        </w:tc>
        <w:tc>
          <w:tcPr>
            <w:tcW w:w="525" w:type="pct"/>
            <w:vAlign w:val="center"/>
          </w:tcPr>
          <w:p>
            <w:pPr>
              <w:spacing w:line="360" w:lineRule="auto"/>
              <w:jc w:val="center"/>
              <w:rPr>
                <w:rFonts w:ascii="黑体" w:eastAsia="黑体"/>
                <w:b/>
                <w:color w:val="auto"/>
                <w:sz w:val="24"/>
                <w:highlight w:val="none"/>
              </w:rPr>
            </w:pPr>
          </w:p>
        </w:tc>
        <w:tc>
          <w:tcPr>
            <w:tcW w:w="460" w:type="pct"/>
            <w:vAlign w:val="center"/>
          </w:tcPr>
          <w:p>
            <w:pPr>
              <w:spacing w:line="360" w:lineRule="auto"/>
              <w:jc w:val="center"/>
              <w:rPr>
                <w:rFonts w:ascii="黑体" w:eastAsia="黑体"/>
                <w:b/>
                <w:color w:val="auto"/>
                <w:sz w:val="24"/>
                <w:highlight w:val="none"/>
              </w:rPr>
            </w:pPr>
          </w:p>
        </w:tc>
        <w:tc>
          <w:tcPr>
            <w:tcW w:w="274" w:type="pct"/>
            <w:vAlign w:val="center"/>
          </w:tcPr>
          <w:p>
            <w:pPr>
              <w:spacing w:line="360" w:lineRule="auto"/>
              <w:jc w:val="center"/>
              <w:rPr>
                <w:rFonts w:ascii="黑体" w:eastAsia="黑体"/>
                <w:b/>
                <w:color w:val="auto"/>
                <w:sz w:val="24"/>
                <w:highlight w:val="none"/>
              </w:rPr>
            </w:pPr>
          </w:p>
        </w:tc>
        <w:tc>
          <w:tcPr>
            <w:tcW w:w="461" w:type="pct"/>
            <w:vAlign w:val="center"/>
          </w:tcPr>
          <w:p>
            <w:pPr>
              <w:spacing w:line="360" w:lineRule="auto"/>
              <w:jc w:val="center"/>
              <w:rPr>
                <w:rFonts w:ascii="黑体" w:eastAsia="黑体"/>
                <w:b/>
                <w:color w:val="auto"/>
                <w:sz w:val="24"/>
                <w:highlight w:val="none"/>
              </w:rPr>
            </w:pPr>
          </w:p>
        </w:tc>
        <w:tc>
          <w:tcPr>
            <w:tcW w:w="368" w:type="pct"/>
            <w:vAlign w:val="center"/>
          </w:tcPr>
          <w:p>
            <w:pPr>
              <w:spacing w:line="360" w:lineRule="auto"/>
              <w:jc w:val="center"/>
              <w:rPr>
                <w:rFonts w:ascii="黑体" w:eastAsia="黑体"/>
                <w:b/>
                <w:color w:val="auto"/>
                <w:sz w:val="24"/>
                <w:highlight w:val="none"/>
              </w:rPr>
            </w:pPr>
          </w:p>
        </w:tc>
        <w:tc>
          <w:tcPr>
            <w:tcW w:w="559" w:type="pct"/>
            <w:vAlign w:val="center"/>
          </w:tcPr>
          <w:p>
            <w:pPr>
              <w:spacing w:line="360" w:lineRule="auto"/>
              <w:jc w:val="center"/>
              <w:rPr>
                <w:rFonts w:ascii="黑体" w:eastAsia="黑体"/>
                <w:b/>
                <w:color w:val="auto"/>
                <w:sz w:val="24"/>
                <w:highlight w:val="none"/>
              </w:rPr>
            </w:pPr>
          </w:p>
        </w:tc>
        <w:tc>
          <w:tcPr>
            <w:tcW w:w="551" w:type="pct"/>
            <w:vAlign w:val="center"/>
          </w:tcPr>
          <w:p>
            <w:pPr>
              <w:spacing w:line="360" w:lineRule="auto"/>
              <w:jc w:val="center"/>
              <w:rPr>
                <w:rFonts w:ascii="黑体" w:eastAsia="黑体"/>
                <w:b/>
                <w:color w:val="auto"/>
                <w:sz w:val="24"/>
                <w:highlight w:val="none"/>
              </w:rPr>
            </w:pPr>
          </w:p>
        </w:tc>
        <w:tc>
          <w:tcPr>
            <w:tcW w:w="1125" w:type="pct"/>
            <w:vAlign w:val="center"/>
          </w:tcPr>
          <w:p>
            <w:pPr>
              <w:spacing w:line="360" w:lineRule="auto"/>
              <w:jc w:val="center"/>
              <w:rPr>
                <w:rFonts w:ascii="黑体" w:eastAsia="黑体"/>
                <w:b/>
                <w:color w:val="auto"/>
                <w:sz w:val="24"/>
                <w:highlight w:val="none"/>
              </w:rPr>
            </w:pPr>
          </w:p>
        </w:tc>
        <w:tc>
          <w:tcPr>
            <w:tcW w:w="426" w:type="pct"/>
            <w:vAlign w:val="center"/>
          </w:tcPr>
          <w:p>
            <w:pPr>
              <w:spacing w:line="360" w:lineRule="auto"/>
              <w:jc w:val="center"/>
              <w:rPr>
                <w:rFonts w:ascii="黑体" w:eastAsia="黑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 w:type="pct"/>
            <w:vAlign w:val="center"/>
          </w:tcPr>
          <w:p>
            <w:pPr>
              <w:spacing w:line="360" w:lineRule="auto"/>
              <w:jc w:val="center"/>
              <w:rPr>
                <w:rFonts w:ascii="黑体" w:eastAsia="黑体"/>
                <w:b/>
                <w:color w:val="auto"/>
                <w:sz w:val="24"/>
                <w:highlight w:val="none"/>
              </w:rPr>
            </w:pPr>
          </w:p>
        </w:tc>
        <w:tc>
          <w:tcPr>
            <w:tcW w:w="525" w:type="pct"/>
            <w:vAlign w:val="center"/>
          </w:tcPr>
          <w:p>
            <w:pPr>
              <w:spacing w:line="360" w:lineRule="auto"/>
              <w:jc w:val="center"/>
              <w:rPr>
                <w:rFonts w:ascii="黑体" w:eastAsia="黑体"/>
                <w:b/>
                <w:color w:val="auto"/>
                <w:sz w:val="24"/>
                <w:highlight w:val="none"/>
              </w:rPr>
            </w:pPr>
          </w:p>
        </w:tc>
        <w:tc>
          <w:tcPr>
            <w:tcW w:w="460" w:type="pct"/>
            <w:vAlign w:val="center"/>
          </w:tcPr>
          <w:p>
            <w:pPr>
              <w:spacing w:line="360" w:lineRule="auto"/>
              <w:jc w:val="center"/>
              <w:rPr>
                <w:rFonts w:ascii="黑体" w:eastAsia="黑体"/>
                <w:b/>
                <w:color w:val="auto"/>
                <w:sz w:val="24"/>
                <w:highlight w:val="none"/>
              </w:rPr>
            </w:pPr>
          </w:p>
        </w:tc>
        <w:tc>
          <w:tcPr>
            <w:tcW w:w="274" w:type="pct"/>
            <w:vAlign w:val="center"/>
          </w:tcPr>
          <w:p>
            <w:pPr>
              <w:spacing w:line="360" w:lineRule="auto"/>
              <w:jc w:val="center"/>
              <w:rPr>
                <w:rFonts w:ascii="黑体" w:eastAsia="黑体"/>
                <w:b/>
                <w:color w:val="auto"/>
                <w:sz w:val="24"/>
                <w:highlight w:val="none"/>
              </w:rPr>
            </w:pPr>
          </w:p>
        </w:tc>
        <w:tc>
          <w:tcPr>
            <w:tcW w:w="461" w:type="pct"/>
            <w:vAlign w:val="center"/>
          </w:tcPr>
          <w:p>
            <w:pPr>
              <w:spacing w:line="360" w:lineRule="auto"/>
              <w:jc w:val="center"/>
              <w:rPr>
                <w:rFonts w:ascii="黑体" w:eastAsia="黑体"/>
                <w:b/>
                <w:color w:val="auto"/>
                <w:sz w:val="24"/>
                <w:highlight w:val="none"/>
              </w:rPr>
            </w:pPr>
          </w:p>
        </w:tc>
        <w:tc>
          <w:tcPr>
            <w:tcW w:w="368" w:type="pct"/>
            <w:vAlign w:val="center"/>
          </w:tcPr>
          <w:p>
            <w:pPr>
              <w:spacing w:line="360" w:lineRule="auto"/>
              <w:jc w:val="center"/>
              <w:rPr>
                <w:rFonts w:ascii="黑体" w:eastAsia="黑体"/>
                <w:b/>
                <w:color w:val="auto"/>
                <w:sz w:val="24"/>
                <w:highlight w:val="none"/>
              </w:rPr>
            </w:pPr>
          </w:p>
        </w:tc>
        <w:tc>
          <w:tcPr>
            <w:tcW w:w="559" w:type="pct"/>
            <w:vAlign w:val="center"/>
          </w:tcPr>
          <w:p>
            <w:pPr>
              <w:spacing w:line="360" w:lineRule="auto"/>
              <w:jc w:val="center"/>
              <w:rPr>
                <w:rFonts w:ascii="黑体" w:eastAsia="黑体"/>
                <w:b/>
                <w:color w:val="auto"/>
                <w:sz w:val="24"/>
                <w:highlight w:val="none"/>
              </w:rPr>
            </w:pPr>
          </w:p>
        </w:tc>
        <w:tc>
          <w:tcPr>
            <w:tcW w:w="551" w:type="pct"/>
            <w:vAlign w:val="center"/>
          </w:tcPr>
          <w:p>
            <w:pPr>
              <w:spacing w:line="360" w:lineRule="auto"/>
              <w:jc w:val="center"/>
              <w:rPr>
                <w:rFonts w:ascii="黑体" w:eastAsia="黑体"/>
                <w:b/>
                <w:color w:val="auto"/>
                <w:sz w:val="24"/>
                <w:highlight w:val="none"/>
              </w:rPr>
            </w:pPr>
          </w:p>
        </w:tc>
        <w:tc>
          <w:tcPr>
            <w:tcW w:w="1125" w:type="pct"/>
            <w:vAlign w:val="center"/>
          </w:tcPr>
          <w:p>
            <w:pPr>
              <w:spacing w:line="360" w:lineRule="auto"/>
              <w:jc w:val="center"/>
              <w:rPr>
                <w:rFonts w:ascii="黑体" w:eastAsia="黑体"/>
                <w:b/>
                <w:color w:val="auto"/>
                <w:sz w:val="24"/>
                <w:highlight w:val="none"/>
              </w:rPr>
            </w:pPr>
          </w:p>
        </w:tc>
        <w:tc>
          <w:tcPr>
            <w:tcW w:w="426" w:type="pct"/>
            <w:vAlign w:val="center"/>
          </w:tcPr>
          <w:p>
            <w:pPr>
              <w:spacing w:line="360" w:lineRule="auto"/>
              <w:jc w:val="center"/>
              <w:rPr>
                <w:rFonts w:ascii="黑体" w:eastAsia="黑体"/>
                <w:b/>
                <w:color w:val="auto"/>
                <w:sz w:val="24"/>
                <w:highlight w:val="none"/>
              </w:rPr>
            </w:pPr>
          </w:p>
        </w:tc>
      </w:tr>
    </w:tbl>
    <w:p>
      <w:pPr>
        <w:spacing w:line="360" w:lineRule="auto"/>
        <w:rPr>
          <w:rFonts w:ascii="宋体" w:hAnsi="宋体" w:cs="宋体"/>
          <w:b/>
          <w:bCs/>
          <w:color w:val="auto"/>
          <w:sz w:val="30"/>
          <w:szCs w:val="32"/>
          <w:highlight w:val="none"/>
        </w:rPr>
      </w:pPr>
      <w:r>
        <w:rPr>
          <w:rFonts w:hint="eastAsia" w:ascii="宋体" w:hAnsi="宋体" w:cs="宋体"/>
          <w:b/>
          <w:bCs/>
          <w:color w:val="auto"/>
          <w:sz w:val="30"/>
          <w:szCs w:val="32"/>
          <w:highlight w:val="none"/>
        </w:rPr>
        <w:br w:type="page"/>
      </w:r>
    </w:p>
    <w:p>
      <w:pPr>
        <w:pStyle w:val="2"/>
        <w:spacing w:line="360" w:lineRule="auto"/>
        <w:rPr>
          <w:color w:val="auto"/>
          <w:highlight w:val="none"/>
        </w:rPr>
      </w:pPr>
    </w:p>
    <w:p>
      <w:pPr>
        <w:tabs>
          <w:tab w:val="left" w:pos="7155"/>
        </w:tabs>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供应商二次分项报价明细表</w:t>
      </w:r>
    </w:p>
    <w:p>
      <w:pPr>
        <w:spacing w:line="360" w:lineRule="auto"/>
        <w:rPr>
          <w:rFonts w:ascii="黑体" w:eastAsia="黑体"/>
          <w:b/>
          <w:color w:val="auto"/>
          <w:sz w:val="24"/>
          <w:highlight w:val="none"/>
        </w:rPr>
      </w:pPr>
      <w:r>
        <w:rPr>
          <w:rFonts w:hint="eastAsia" w:ascii="宋体" w:hAnsi="宋体" w:cs="宋体"/>
          <w:color w:val="auto"/>
          <w:sz w:val="24"/>
          <w:highlight w:val="none"/>
        </w:rPr>
        <w:br w:type="page"/>
      </w:r>
      <w:r>
        <w:rPr>
          <w:rFonts w:hint="eastAsia" w:ascii="黑体" w:eastAsia="黑体"/>
          <w:b/>
          <w:color w:val="auto"/>
          <w:sz w:val="24"/>
          <w:highlight w:val="none"/>
        </w:rPr>
        <w:t>附件二： 廉政合同</w:t>
      </w:r>
    </w:p>
    <w:p>
      <w:pPr>
        <w:spacing w:afterLines="50" w:line="360" w:lineRule="auto"/>
        <w:ind w:firstLine="562" w:firstLineChars="200"/>
        <w:jc w:val="center"/>
        <w:rPr>
          <w:b/>
          <w:color w:val="auto"/>
          <w:sz w:val="28"/>
          <w:szCs w:val="28"/>
          <w:highlight w:val="none"/>
        </w:rPr>
      </w:pPr>
      <w:r>
        <w:rPr>
          <w:b/>
          <w:color w:val="auto"/>
          <w:sz w:val="28"/>
          <w:szCs w:val="28"/>
          <w:highlight w:val="none"/>
        </w:rPr>
        <w:t>廉政合同</w:t>
      </w:r>
    </w:p>
    <w:p>
      <w:pPr>
        <w:adjustRightInd w:val="0"/>
        <w:snapToGrid w:val="0"/>
        <w:spacing w:line="360" w:lineRule="auto"/>
        <w:ind w:firstLine="480" w:firstLineChars="200"/>
        <w:rPr>
          <w:rFonts w:ascii="宋体" w:hAnsi="宋体"/>
          <w:snapToGrid w:val="0"/>
          <w:color w:val="auto"/>
          <w:kern w:val="0"/>
          <w:sz w:val="24"/>
          <w:highlight w:val="none"/>
        </w:rPr>
      </w:pPr>
      <w:r>
        <w:rPr>
          <w:rFonts w:hint="eastAsia" w:ascii="宋体" w:hAnsi="Courier New"/>
          <w:color w:val="auto"/>
          <w:sz w:val="24"/>
          <w:highlight w:val="none"/>
        </w:rPr>
        <w:t>根据交通部《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Courier New"/>
          <w:color w:val="auto"/>
          <w:sz w:val="24"/>
          <w:highlight w:val="none"/>
          <w:u w:val="single"/>
        </w:rPr>
        <w:t>南通市公路事业发展中心</w:t>
      </w:r>
      <w:r>
        <w:rPr>
          <w:rFonts w:hint="eastAsia" w:ascii="宋体" w:hAnsi="Courier New"/>
          <w:color w:val="auto"/>
          <w:sz w:val="24"/>
          <w:highlight w:val="none"/>
        </w:rPr>
        <w:t>（以下称甲方）与</w:t>
      </w:r>
      <w:r>
        <w:rPr>
          <w:rFonts w:hint="eastAsia" w:ascii="宋体" w:hAnsi="Courier New"/>
          <w:color w:val="auto"/>
          <w:sz w:val="24"/>
          <w:highlight w:val="none"/>
          <w:u w:val="single"/>
        </w:rPr>
        <w:t xml:space="preserve">     </w:t>
      </w:r>
      <w:r>
        <w:rPr>
          <w:rFonts w:hint="eastAsia" w:ascii="宋体" w:hAnsi="Courier New"/>
          <w:color w:val="auto"/>
          <w:sz w:val="24"/>
          <w:highlight w:val="none"/>
        </w:rPr>
        <w:t>（以下称乙方），特订立如下合同。</w:t>
      </w:r>
    </w:p>
    <w:p>
      <w:pPr>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委托人和受托人双方的权利和义务</w:t>
      </w:r>
    </w:p>
    <w:p>
      <w:pPr>
        <w:spacing w:line="360" w:lineRule="auto"/>
        <w:ind w:firstLine="360" w:firstLineChars="1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）严格遵守党的政策规定和国家有关法律法规及交通运输部的有关规定。</w:t>
      </w:r>
    </w:p>
    <w:p>
      <w:pPr>
        <w:spacing w:line="360" w:lineRule="auto"/>
        <w:ind w:firstLine="360" w:firstLineChars="1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）严格执行</w:t>
      </w:r>
      <w:r>
        <w:rPr>
          <w:rFonts w:hint="eastAsia" w:ascii="宋体" w:hAnsi="Courier New"/>
          <w:color w:val="auto"/>
          <w:sz w:val="24"/>
          <w:highlight w:val="none"/>
          <w:u w:val="single"/>
        </w:rPr>
        <w:t xml:space="preserve">     </w:t>
      </w:r>
      <w:r>
        <w:rPr>
          <w:rFonts w:hint="eastAsia" w:ascii="宋体" w:hAnsi="宋体"/>
          <w:color w:val="auto"/>
          <w:sz w:val="24"/>
          <w:highlight w:val="none"/>
        </w:rPr>
        <w:t>（项目名称）合同文件，自觉按合同办事。</w:t>
      </w:r>
    </w:p>
    <w:p>
      <w:pPr>
        <w:spacing w:line="360" w:lineRule="auto"/>
        <w:ind w:firstLine="360" w:firstLineChars="1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）双方的业务活动坚持公开、公正、诚信、透明的原则（法律认定的商业秘密和合同文件另有规定除外），不得损害国家和集体利益，不得违反工程建设管理规章制度。</w:t>
      </w:r>
    </w:p>
    <w:p>
      <w:pPr>
        <w:spacing w:line="360" w:lineRule="auto"/>
        <w:ind w:firstLine="360" w:firstLineChars="1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）建立健全廉政制度，开展廉政教育，设立廉政告示牌，公布举报电话，监督并认真查处违法违纪行为。</w:t>
      </w:r>
    </w:p>
    <w:p>
      <w:pPr>
        <w:spacing w:line="360" w:lineRule="auto"/>
        <w:ind w:firstLine="360" w:firstLineChars="1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）发现对方在业务活动中有违反廉政规定的行为，有及时提醒对方纠正的权利和义务。</w:t>
      </w:r>
    </w:p>
    <w:p>
      <w:pPr>
        <w:spacing w:line="360" w:lineRule="auto"/>
        <w:ind w:firstLine="360" w:firstLineChars="1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）发现对方严重违反本合同义务条款的行为，有向其上级有关部门举报、建议给予处理并要求告知处理结果的权利。</w:t>
      </w:r>
    </w:p>
    <w:p>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委托人的义务</w:t>
      </w:r>
    </w:p>
    <w:p>
      <w:pPr>
        <w:spacing w:line="360" w:lineRule="auto"/>
        <w:ind w:firstLine="360" w:firstLineChars="1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）委托人及其工作人员不得索要或接受受托人的礼金、有价证券和贵重物品，不得让桥受托人报销任何应由委托人或委托人工作人员个人支付的费用等。</w:t>
      </w:r>
    </w:p>
    <w:p>
      <w:pPr>
        <w:spacing w:line="360" w:lineRule="auto"/>
        <w:ind w:firstLine="360" w:firstLineChars="1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）委托人工作人员不得参加受托人安排的宴请和娱乐活动；不得接受受托人提供的通讯工具、交通工具和高档办公用品等。</w:t>
      </w:r>
    </w:p>
    <w:p>
      <w:pPr>
        <w:spacing w:line="360" w:lineRule="auto"/>
        <w:ind w:firstLine="360" w:firstLineChars="1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）委托人及其工作人员不得要求或者接受受托人为其住房装修、婚丧嫁娶活动、配偶子女的工作安排以及出国出境、旅游等提供方便等。</w:t>
      </w:r>
    </w:p>
    <w:p>
      <w:pPr>
        <w:spacing w:line="360" w:lineRule="auto"/>
        <w:ind w:firstLine="360" w:firstLineChars="1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）委托人工作人员及其配偶、子女不得从事与委托人工程有关的材料设备供应、工程分包、劳务等经济活动等。</w:t>
      </w:r>
    </w:p>
    <w:p>
      <w:pPr>
        <w:spacing w:line="360" w:lineRule="auto"/>
        <w:ind w:firstLine="360" w:firstLineChars="1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）委托人及其工作人员不得以任何理由向受托人推荐分包单位或推销材料，不得要求受托人购买合同规定外的材料和设备。</w:t>
      </w:r>
    </w:p>
    <w:p>
      <w:pPr>
        <w:spacing w:line="360" w:lineRule="auto"/>
        <w:ind w:firstLine="360" w:firstLineChars="1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）委托人工作人员要秉公办事，不准营私舞弊，不准利用职权从事各种个人有偿中介活动和安排个人施工队伍。</w:t>
      </w:r>
    </w:p>
    <w:p>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受托人的义务</w:t>
      </w:r>
    </w:p>
    <w:p>
      <w:pPr>
        <w:spacing w:line="360" w:lineRule="auto"/>
        <w:ind w:firstLine="360" w:firstLineChars="1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）受托人不得以任何理由向发包人及其工作人员行贿或馈赠礼金、有价证券、贵重礼品。</w:t>
      </w:r>
    </w:p>
    <w:p>
      <w:pPr>
        <w:spacing w:line="360" w:lineRule="auto"/>
        <w:ind w:firstLine="360" w:firstLineChars="1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）受托人不得以任何名义为委托人及其工作人员报销应由委托人单位或个人支付的任何费用。</w:t>
      </w:r>
    </w:p>
    <w:p>
      <w:pPr>
        <w:spacing w:line="360" w:lineRule="auto"/>
        <w:ind w:firstLine="360" w:firstLineChars="1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）受托人不得以任何理由安排委托人工作人员参加宴请及娱乐活动。</w:t>
      </w:r>
    </w:p>
    <w:p>
      <w:pPr>
        <w:spacing w:line="360" w:lineRule="auto"/>
        <w:ind w:firstLine="360" w:firstLineChars="1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）受托人不得为委托人单位和个人购置或提供通信工具、交通工具和高档办公用品等。</w:t>
      </w:r>
    </w:p>
    <w:p>
      <w:pPr>
        <w:spacing w:line="360" w:lineRule="auto"/>
        <w:ind w:firstLine="480" w:firstLineChars="200"/>
        <w:rPr>
          <w:rFonts w:ascii="宋体"/>
          <w:color w:val="auto"/>
          <w:sz w:val="24"/>
          <w:highlight w:val="none"/>
        </w:rPr>
      </w:pPr>
      <w:r>
        <w:rPr>
          <w:rFonts w:ascii="宋体" w:hAnsi="宋体"/>
          <w:color w:val="auto"/>
          <w:sz w:val="24"/>
          <w:highlight w:val="none"/>
        </w:rPr>
        <w:t>4.</w:t>
      </w:r>
      <w:r>
        <w:rPr>
          <w:rFonts w:hint="eastAsia" w:ascii="宋体" w:hAnsi="宋体"/>
          <w:color w:val="auto"/>
          <w:sz w:val="24"/>
          <w:highlight w:val="none"/>
        </w:rPr>
        <w:t>违约责任</w:t>
      </w:r>
    </w:p>
    <w:p>
      <w:pPr>
        <w:spacing w:line="360" w:lineRule="auto"/>
        <w:ind w:firstLine="360" w:firstLineChars="1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）委托人及其工作人员违反本合同第</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条，按管理权限，依据有关规定给予党纪、政纪或组织处理；涉嫌犯罪的，移交司法机关追究刑事责任；给受托人单位造成经济损失的，应予以赔偿。</w:t>
      </w:r>
    </w:p>
    <w:p>
      <w:pPr>
        <w:spacing w:line="360" w:lineRule="auto"/>
        <w:ind w:firstLine="360" w:firstLineChars="15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）受托人及其工作人员违反本合同第</w:t>
      </w:r>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条，按管理权限，依据有关规定给予党纪、政纪或组织处理；给委托人单位造成经济损失的，应予以赔偿；并按照违纪违法认定金额的双倍承担违约金。合同款项未完全支付的，违约金在支付时予以扣减；合同款已支付承包人或未支付款不足以支付违约金的，承包人另行支付违约金。情节严重的，委托人建议交通主管部门给予受托人一至三年内不得进入其主管的公路建设市场的处罚。</w:t>
      </w:r>
    </w:p>
    <w:p>
      <w:pPr>
        <w:spacing w:line="360" w:lineRule="auto"/>
        <w:ind w:firstLine="480" w:firstLineChars="200"/>
        <w:rPr>
          <w:rFonts w:ascii="宋体"/>
          <w:color w:val="auto"/>
          <w:sz w:val="24"/>
          <w:highlight w:val="none"/>
        </w:rPr>
      </w:pPr>
      <w:r>
        <w:rPr>
          <w:rFonts w:ascii="宋体" w:hAnsi="宋体"/>
          <w:color w:val="auto"/>
          <w:sz w:val="24"/>
          <w:highlight w:val="none"/>
        </w:rPr>
        <w:t>5.</w:t>
      </w:r>
      <w:r>
        <w:rPr>
          <w:rFonts w:hint="eastAsia" w:ascii="宋体" w:hAnsi="宋体"/>
          <w:color w:val="auto"/>
          <w:sz w:val="24"/>
          <w:highlight w:val="none"/>
        </w:rPr>
        <w:t>本合同有效期为委托人和受托人签署之日起至该工程项目竣工验收后止。</w:t>
      </w:r>
    </w:p>
    <w:p>
      <w:pPr>
        <w:spacing w:line="360" w:lineRule="auto"/>
        <w:ind w:firstLine="480" w:firstLineChars="200"/>
        <w:rPr>
          <w:rFonts w:ascii="宋体"/>
          <w:color w:val="auto"/>
          <w:sz w:val="24"/>
          <w:highlight w:val="none"/>
        </w:rPr>
      </w:pPr>
      <w:r>
        <w:rPr>
          <w:rFonts w:ascii="宋体" w:hAnsi="宋体"/>
          <w:color w:val="auto"/>
          <w:sz w:val="24"/>
          <w:highlight w:val="none"/>
        </w:rPr>
        <w:t>6.</w:t>
      </w:r>
      <w:r>
        <w:rPr>
          <w:rFonts w:hint="eastAsia" w:ascii="宋体" w:hAnsi="宋体"/>
          <w:color w:val="auto"/>
          <w:sz w:val="24"/>
          <w:highlight w:val="none"/>
        </w:rPr>
        <w:t>本合同作为</w:t>
      </w:r>
      <w:r>
        <w:rPr>
          <w:rFonts w:ascii="宋体" w:hAnsi="宋体"/>
          <w:color w:val="auto"/>
          <w:sz w:val="24"/>
          <w:highlight w:val="none"/>
        </w:rPr>
        <w:t>(</w:t>
      </w:r>
      <w:r>
        <w:rPr>
          <w:rFonts w:hint="eastAsia" w:ascii="宋体" w:hAnsi="宋体"/>
          <w:color w:val="auto"/>
          <w:sz w:val="24"/>
          <w:highlight w:val="none"/>
        </w:rPr>
        <w:t>项目名称</w:t>
      </w:r>
      <w:r>
        <w:rPr>
          <w:rFonts w:ascii="宋体" w:hAnsi="宋体"/>
          <w:color w:val="auto"/>
          <w:sz w:val="24"/>
          <w:highlight w:val="none"/>
        </w:rPr>
        <w:t>)</w:t>
      </w:r>
      <w:r>
        <w:rPr>
          <w:rFonts w:hint="eastAsia" w:ascii="宋体" w:hAnsi="宋体"/>
          <w:color w:val="auto"/>
          <w:sz w:val="24"/>
          <w:highlight w:val="none"/>
        </w:rPr>
        <w:t>合同的附件，与项目合同具有同等的法律效力，经合同双方签署后立即生效。</w:t>
      </w:r>
    </w:p>
    <w:p>
      <w:pPr>
        <w:spacing w:line="360" w:lineRule="auto"/>
        <w:ind w:firstLine="480" w:firstLineChars="200"/>
        <w:rPr>
          <w:rFonts w:ascii="宋体"/>
          <w:color w:val="auto"/>
          <w:sz w:val="24"/>
          <w:highlight w:val="none"/>
        </w:rPr>
      </w:pPr>
      <w:r>
        <w:rPr>
          <w:rFonts w:ascii="宋体" w:hAnsi="宋体"/>
          <w:color w:val="auto"/>
          <w:sz w:val="24"/>
          <w:highlight w:val="none"/>
        </w:rPr>
        <w:t>7.</w:t>
      </w:r>
      <w:r>
        <w:rPr>
          <w:rFonts w:hint="eastAsia" w:ascii="宋体" w:hAnsi="宋体"/>
          <w:color w:val="auto"/>
          <w:sz w:val="24"/>
          <w:highlight w:val="none"/>
        </w:rPr>
        <w:t>本合同一式四份，由委托人和受托人各执两份。</w:t>
      </w:r>
    </w:p>
    <w:p>
      <w:pPr>
        <w:spacing w:line="360" w:lineRule="auto"/>
        <w:ind w:firstLine="480" w:firstLineChars="200"/>
        <w:rPr>
          <w:rFonts w:ascii="宋体"/>
          <w:color w:val="auto"/>
          <w:sz w:val="24"/>
          <w:highlight w:val="none"/>
        </w:rPr>
      </w:pPr>
    </w:p>
    <w:p>
      <w:pPr>
        <w:spacing w:line="360" w:lineRule="auto"/>
        <w:rPr>
          <w:rFonts w:ascii="宋体"/>
          <w:color w:val="auto"/>
          <w:sz w:val="24"/>
          <w:highlight w:val="none"/>
        </w:rPr>
      </w:pPr>
      <w:r>
        <w:rPr>
          <w:rFonts w:hint="eastAsia" w:ascii="宋体" w:hAnsi="宋体"/>
          <w:color w:val="auto"/>
          <w:sz w:val="24"/>
          <w:highlight w:val="none"/>
        </w:rPr>
        <w:t>委托人：（盖单位章）                 受托人： （盖单位章）</w:t>
      </w:r>
    </w:p>
    <w:p>
      <w:pPr>
        <w:spacing w:line="360" w:lineRule="auto"/>
        <w:jc w:val="left"/>
        <w:rPr>
          <w:rFonts w:ascii="宋体" w:hAnsi="宋体"/>
          <w:color w:val="auto"/>
          <w:sz w:val="24"/>
          <w:highlight w:val="none"/>
        </w:rPr>
      </w:pPr>
      <w:r>
        <w:rPr>
          <w:rFonts w:hint="eastAsia" w:ascii="宋体" w:hAnsi="宋体"/>
          <w:color w:val="auto"/>
          <w:sz w:val="24"/>
          <w:highlight w:val="none"/>
        </w:rPr>
        <w:t>法定代表人                           法定代表人</w:t>
      </w:r>
    </w:p>
    <w:p>
      <w:pPr>
        <w:spacing w:line="360" w:lineRule="auto"/>
        <w:jc w:val="left"/>
        <w:rPr>
          <w:rFonts w:ascii="宋体"/>
          <w:color w:val="auto"/>
          <w:sz w:val="24"/>
          <w:highlight w:val="none"/>
        </w:rPr>
      </w:pPr>
      <w:r>
        <w:rPr>
          <w:rFonts w:hint="eastAsia" w:ascii="宋体" w:hAnsi="宋体"/>
          <w:color w:val="auto"/>
          <w:sz w:val="24"/>
          <w:highlight w:val="none"/>
        </w:rPr>
        <w:t>或其委托代理人：</w:t>
      </w:r>
      <w:r>
        <w:rPr>
          <w:rFonts w:ascii="宋体" w:hAnsi="宋体"/>
          <w:color w:val="auto"/>
          <w:sz w:val="24"/>
          <w:highlight w:val="none"/>
        </w:rPr>
        <w:t>_</w:t>
      </w:r>
      <w:r>
        <w:rPr>
          <w:rFonts w:hint="eastAsia" w:ascii="宋体" w:hAnsi="宋体"/>
          <w:color w:val="auto"/>
          <w:sz w:val="24"/>
          <w:highlight w:val="none"/>
        </w:rPr>
        <w:t>（签字）             或其委托代理人：（签字）</w:t>
      </w:r>
    </w:p>
    <w:p>
      <w:pPr>
        <w:spacing w:line="360" w:lineRule="auto"/>
        <w:outlineLvl w:val="0"/>
        <w:rPr>
          <w:rFonts w:ascii="宋体" w:hAnsi="宋体" w:cs="宋体"/>
          <w:b/>
          <w:bCs/>
          <w:color w:val="auto"/>
          <w:sz w:val="30"/>
          <w:szCs w:val="32"/>
          <w:highlight w:val="none"/>
        </w:rPr>
      </w:pPr>
      <w:r>
        <w:rPr>
          <w:rFonts w:ascii="宋体" w:hAnsi="宋体"/>
          <w:color w:val="auto"/>
          <w:sz w:val="24"/>
          <w:highlight w:val="none"/>
        </w:rPr>
        <w:t>_____</w:t>
      </w:r>
      <w:r>
        <w:rPr>
          <w:rFonts w:hint="eastAsia" w:ascii="宋体" w:hAnsi="宋体"/>
          <w:color w:val="auto"/>
          <w:sz w:val="24"/>
          <w:highlight w:val="none"/>
        </w:rPr>
        <w:t>年</w:t>
      </w:r>
      <w:r>
        <w:rPr>
          <w:rFonts w:ascii="宋体" w:hAnsi="宋体"/>
          <w:color w:val="auto"/>
          <w:sz w:val="24"/>
          <w:highlight w:val="none"/>
        </w:rPr>
        <w:t>________</w:t>
      </w:r>
      <w:r>
        <w:rPr>
          <w:rFonts w:hint="eastAsia" w:ascii="宋体" w:hAnsi="宋体"/>
          <w:color w:val="auto"/>
          <w:sz w:val="24"/>
          <w:highlight w:val="none"/>
        </w:rPr>
        <w:t>月</w:t>
      </w:r>
      <w:r>
        <w:rPr>
          <w:rFonts w:ascii="宋体" w:hAnsi="宋体"/>
          <w:color w:val="auto"/>
          <w:sz w:val="24"/>
          <w:highlight w:val="none"/>
        </w:rPr>
        <w:t>________</w:t>
      </w:r>
      <w:r>
        <w:rPr>
          <w:rFonts w:hint="eastAsia" w:ascii="宋体" w:hAnsi="宋体"/>
          <w:color w:val="auto"/>
          <w:sz w:val="24"/>
          <w:highlight w:val="none"/>
        </w:rPr>
        <w:t>日</w:t>
      </w:r>
      <w:r>
        <w:rPr>
          <w:rFonts w:ascii="宋体" w:hAnsi="宋体"/>
          <w:color w:val="auto"/>
          <w:sz w:val="24"/>
          <w:highlight w:val="none"/>
        </w:rPr>
        <w:t>_____</w:t>
      </w:r>
      <w:r>
        <w:rPr>
          <w:rFonts w:hint="eastAsia" w:ascii="宋体" w:hAnsi="宋体"/>
          <w:color w:val="auto"/>
          <w:sz w:val="24"/>
          <w:highlight w:val="none"/>
        </w:rPr>
        <w:t>年</w:t>
      </w:r>
      <w:r>
        <w:rPr>
          <w:rFonts w:ascii="宋体" w:hAnsi="宋体"/>
          <w:color w:val="auto"/>
          <w:sz w:val="24"/>
          <w:highlight w:val="none"/>
        </w:rPr>
        <w:t>________</w:t>
      </w:r>
      <w:r>
        <w:rPr>
          <w:rFonts w:hint="eastAsia" w:ascii="宋体" w:hAnsi="宋体"/>
          <w:color w:val="auto"/>
          <w:sz w:val="24"/>
          <w:highlight w:val="none"/>
        </w:rPr>
        <w:t>月</w:t>
      </w:r>
      <w:r>
        <w:rPr>
          <w:rFonts w:ascii="宋体" w:hAnsi="宋体"/>
          <w:color w:val="auto"/>
          <w:sz w:val="24"/>
          <w:highlight w:val="none"/>
        </w:rPr>
        <w:t>________</w:t>
      </w:r>
      <w:r>
        <w:rPr>
          <w:rFonts w:hint="eastAsia" w:ascii="宋体" w:hAnsi="宋体"/>
          <w:color w:val="auto"/>
          <w:sz w:val="24"/>
          <w:highlight w:val="none"/>
        </w:rPr>
        <w:t>日</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Pr>
        <w:spacing w:line="360" w:lineRule="auto"/>
        <w:jc w:val="center"/>
        <w:rPr>
          <w:rFonts w:ascii="宋体" w:hAnsi="宋体" w:cs="宋体"/>
          <w:color w:val="auto"/>
          <w:sz w:val="28"/>
          <w:szCs w:val="28"/>
          <w:highlight w:val="none"/>
        </w:rPr>
      </w:pPr>
      <w:r>
        <w:rPr>
          <w:rFonts w:hint="eastAsia" w:ascii="宋体" w:hAnsi="宋体" w:cs="宋体"/>
          <w:b/>
          <w:color w:val="auto"/>
          <w:sz w:val="36"/>
          <w:szCs w:val="36"/>
          <w:highlight w:val="none"/>
        </w:rPr>
        <w:t>第六部分  质疑提出和处理</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一、质疑的提出</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 xml:space="preserve">(一)质疑人的身份要求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1.提出质疑的供应商应当是参与所质疑项目采购活动的供应商。</w:t>
      </w:r>
    </w:p>
    <w:p>
      <w:pPr>
        <w:pStyle w:val="3"/>
        <w:snapToGrid w:val="0"/>
        <w:spacing w:after="0" w:line="360" w:lineRule="auto"/>
        <w:ind w:left="0" w:leftChars="0" w:firstLine="480" w:firstLineChars="200"/>
        <w:contextualSpacing/>
        <w:rPr>
          <w:rFonts w:ascii="宋体" w:hAnsi="宋体" w:cs="宋体"/>
          <w:color w:val="auto"/>
          <w:sz w:val="24"/>
          <w:highlight w:val="none"/>
        </w:rPr>
      </w:pPr>
      <w:r>
        <w:rPr>
          <w:rFonts w:hint="eastAsia" w:ascii="宋体" w:hAnsi="宋体" w:cs="宋体"/>
          <w:color w:val="auto"/>
          <w:sz w:val="24"/>
          <w:highlight w:val="none"/>
          <w:lang w:val="zh-CN"/>
        </w:rPr>
        <w:t>2.潜在供应商已依法获取其可质疑的采购文件的，可以对该文件提出质疑。对采购文件提出质疑的，应当在获取采购文件或者采购文件公告期限届满之日起7个工作日内提出。</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 xml:space="preserve"> (二)质疑提出的格式要求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1.质疑</w:t>
      </w:r>
      <w:r>
        <w:rPr>
          <w:rFonts w:hint="eastAsia" w:ascii="宋体" w:hAnsi="宋体" w:cs="宋体"/>
          <w:color w:val="auto"/>
          <w:sz w:val="24"/>
          <w:highlight w:val="none"/>
        </w:rPr>
        <w:t>应</w:t>
      </w:r>
      <w:r>
        <w:rPr>
          <w:rFonts w:hint="eastAsia" w:ascii="宋体" w:hAnsi="宋体" w:cs="宋体"/>
          <w:color w:val="auto"/>
          <w:sz w:val="24"/>
          <w:highlight w:val="none"/>
          <w:lang w:val="zh-CN"/>
        </w:rPr>
        <w:t>参照《政府采购法》、《政府采购法实施条例》及《江苏省政府采购供应商监督管理暂行办法》的相关规定提交，质疑实行实名制，不得进行虚假、恶意质疑，未按上述要求提交的质疑函，采购人有权不予受理。</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 xml:space="preserve">2.质疑函应包括：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（1）质疑供应商的名称、地址、邮编、联系人及联系电话；</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（2）具体、明确的质疑事项及明确的请求；</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（3）质疑的事实依据和必要的法律依据；</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（4）提起质疑的日期；</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 xml:space="preserve">（5）认为自己合法权益受到损害或可能受到损害的相关证据材料；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（6）质疑函应当署名：质疑人为自然人的，应当由本人签字并附有效身份证明；质疑人为法人或其他组织的，应当由法定代表人签字并加盖单位公章，未按要求签字和盖章的为无效质疑，</w:t>
      </w:r>
      <w:r>
        <w:rPr>
          <w:rFonts w:hint="eastAsia" w:ascii="宋体" w:hAnsi="宋体" w:cs="宋体"/>
          <w:color w:val="auto"/>
          <w:sz w:val="24"/>
          <w:highlight w:val="none"/>
        </w:rPr>
        <w:t>采购人</w:t>
      </w:r>
      <w:r>
        <w:rPr>
          <w:rFonts w:hint="eastAsia" w:ascii="宋体" w:hAnsi="宋体" w:cs="宋体"/>
          <w:color w:val="auto"/>
          <w:sz w:val="24"/>
          <w:highlight w:val="none"/>
          <w:lang w:val="zh-CN"/>
        </w:rPr>
        <w:t>将不予受理。质疑人委托代理质疑的，应当向采购人提交授权委托书，并载明委托代理的具体权限和事项。</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3.质疑函需遵循的原则：</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（三）质疑提出的时效要求</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 xml:space="preserve">1.供应商认为采购文件、采购过程和采购结果使自己的权益受到损害的，可以在知道或应知其权益受到损害之日起七个工作日内，以书面形式向采购人或采购人提出质疑。上述应知其权益受到损害之日，是指：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（1）对可以质疑的采购文件提出质疑的，为收到采购文件之日或者采购文件公告期限届满之日；</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（2）对采购过程提出质疑的，为各采购程序环节结束之日；</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 xml:space="preserve">（3）对成交或者成交结果提出质疑的，为成交或者成交结果公告期限届满之日。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供应商认为采购文件使自己的权益受到损害的，可以按照招标公告第八项要求向采购人提出质疑；供应商认为采购过程和采购结果使自己的权益受到损害的，可以以书面形式向采购人或采购人提出质疑。</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 xml:space="preserve">2.供应商应在法定质疑期一次性提出针对同一采购程序环节的质疑。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二、《质疑函》的受理和答复</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1. 采购人收到质疑函后，将对质疑的形式和内容进行审查，如质疑函内容、格式不符合规定，采购人将告知质疑人进行补正。</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2. 质疑人应当在法定质疑期限内进行补正并重新提交质疑函，拒不补正或者在法定期限内未重新提交质疑函的，为无效质疑，采购人将不予受理。</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3.采购人或采购代理机构答复供应商质疑应当采用书面方式并依法送达，质疑供应商或其委托代理人拒绝签收的视为已经送达。</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三、质疑处理</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1. 质疑成立的处理</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 xml:space="preserve">（1）对于内容、格式符合规定的质疑函，采购人在收到谈判供应商的书面质疑后七个工作日内作出书面答复，但答复的内容不得涉及商业秘密。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（2）对采购文件提出的质疑，依法通过澄清或者修改可以继续开展采购活动的，澄清或者修改采购文件后继续开展采购活动；否则应当修改采购文件后重新开展采购活动。</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（3）对采购过程、成交或者成交结果提出的质疑，合格供应商符合法定数量时，可以从合格的成交候选人中另行确定成交、成交供应商的，应当依法另行确定成交供应商；否则应当重新开展采购活动。</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质疑答复导致成交、成交结果改变的，采购人或者采购代理机构应当将有关情况书面报告本级财政部门。</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2.质疑不成立的处理</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 xml:space="preserve">若质疑不成立，或者成立未对成交、成交结果构成影响的，继续开展采购活动。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 xml:space="preserve">3.虚假质疑的处理          </w:t>
      </w:r>
    </w:p>
    <w:p>
      <w:pPr>
        <w:pStyle w:val="3"/>
        <w:snapToGrid w:val="0"/>
        <w:spacing w:after="0" w:line="360" w:lineRule="auto"/>
        <w:ind w:left="0" w:leftChars="0" w:firstLine="480" w:firstLineChars="200"/>
        <w:contextualSpacing/>
        <w:rPr>
          <w:rFonts w:ascii="宋体" w:hAnsi="宋体" w:cs="宋体"/>
          <w:color w:val="auto"/>
          <w:sz w:val="24"/>
          <w:highlight w:val="none"/>
          <w:lang w:val="zh-CN"/>
        </w:rPr>
      </w:pPr>
      <w:r>
        <w:rPr>
          <w:rFonts w:hint="eastAsia" w:ascii="宋体" w:hAnsi="宋体" w:cs="宋体"/>
          <w:color w:val="auto"/>
          <w:sz w:val="24"/>
          <w:highlight w:val="none"/>
          <w:lang w:val="zh-CN"/>
        </w:rPr>
        <w:t xml:space="preserve">供应商提出书面质疑必须有理、有据，不得恶意质疑或提交虚假质疑。否则，一经查实，采购人有权依据相关规定，报请主管部门对该供应商进行相应的处罚。                        </w:t>
      </w:r>
    </w:p>
    <w:p>
      <w:pPr>
        <w:autoSpaceDE w:val="0"/>
        <w:autoSpaceDN w:val="0"/>
        <w:adjustRightInd w:val="0"/>
        <w:snapToGrid w:val="0"/>
        <w:spacing w:line="360" w:lineRule="auto"/>
        <w:contextualSpacing/>
        <w:rPr>
          <w:rFonts w:ascii="宋体" w:hAnsi="宋体" w:cs="宋体"/>
          <w:color w:val="auto"/>
          <w:sz w:val="28"/>
          <w:szCs w:val="28"/>
          <w:highlight w:val="none"/>
          <w:lang w:val="zh-CN"/>
        </w:rPr>
      </w:pPr>
    </w:p>
    <w:p>
      <w:pPr>
        <w:autoSpaceDE w:val="0"/>
        <w:autoSpaceDN w:val="0"/>
        <w:adjustRightInd w:val="0"/>
        <w:snapToGrid w:val="0"/>
        <w:spacing w:line="360" w:lineRule="auto"/>
        <w:ind w:left="3630" w:right="210" w:hanging="3092"/>
        <w:outlineLvl w:val="0"/>
        <w:rPr>
          <w:rFonts w:ascii="宋体" w:hAnsi="宋体" w:cs="宋体"/>
          <w:color w:val="auto"/>
          <w:sz w:val="28"/>
          <w:szCs w:val="28"/>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p>
    <w:p>
      <w:pPr>
        <w:autoSpaceDE w:val="0"/>
        <w:autoSpaceDN w:val="0"/>
        <w:adjustRightInd w:val="0"/>
        <w:snapToGrid w:val="0"/>
        <w:spacing w:line="360" w:lineRule="auto"/>
        <w:ind w:left="4513" w:right="210" w:hanging="4513"/>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r>
        <w:rPr>
          <w:rFonts w:hint="eastAsia" w:ascii="宋体" w:hAnsi="宋体" w:cs="宋体"/>
          <w:b/>
          <w:bCs/>
          <w:color w:val="auto"/>
          <w:sz w:val="36"/>
          <w:szCs w:val="36"/>
          <w:highlight w:val="none"/>
          <w:lang w:val="zh-CN"/>
        </w:rPr>
        <w:t>第七部分  响应文件组成</w:t>
      </w:r>
    </w:p>
    <w:p>
      <w:pPr>
        <w:snapToGrid w:val="0"/>
        <w:spacing w:line="360" w:lineRule="auto"/>
        <w:ind w:firstLine="458" w:firstLineChars="200"/>
        <w:jc w:val="left"/>
        <w:rPr>
          <w:rFonts w:ascii="宋体" w:hAnsi="宋体" w:cs="宋体"/>
          <w:b/>
          <w:color w:val="auto"/>
          <w:spacing w:val="-6"/>
          <w:sz w:val="24"/>
          <w:highlight w:val="none"/>
        </w:rPr>
      </w:pPr>
      <w:r>
        <w:rPr>
          <w:rFonts w:hint="eastAsia" w:ascii="宋体" w:hAnsi="宋体" w:cs="宋体"/>
          <w:b/>
          <w:color w:val="auto"/>
          <w:spacing w:val="-6"/>
          <w:sz w:val="24"/>
          <w:highlight w:val="none"/>
        </w:rPr>
        <w:t>响应文件由资格审查、价格响应文件、电子版响应文件三</w:t>
      </w:r>
      <w:r>
        <w:rPr>
          <w:rFonts w:hint="eastAsia" w:ascii="宋体" w:hAnsi="宋体" w:cs="宋体"/>
          <w:b/>
          <w:color w:val="auto"/>
          <w:sz w:val="24"/>
          <w:highlight w:val="none"/>
        </w:rPr>
        <w:t>部分组成</w:t>
      </w:r>
      <w:r>
        <w:rPr>
          <w:rFonts w:hint="eastAsia" w:ascii="宋体" w:hAnsi="宋体" w:cs="宋体"/>
          <w:b/>
          <w:color w:val="auto"/>
          <w:spacing w:val="-6"/>
          <w:sz w:val="24"/>
          <w:highlight w:val="none"/>
        </w:rPr>
        <w:t>。</w:t>
      </w:r>
    </w:p>
    <w:p>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一、资格审查</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1、资格声明函原件；</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2、授权委托书或法定代表人身份证明原件；</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3、供应商信用承诺书原件；</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4、供应商基本情况表及按竞争性谈判公告资格要求提供相应的佐证材料（以下材料均须提供扫描件（或复印件）并加盖公章）；</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rPr>
        <w:t>在全国投资项目在线审批监管平台上备案（备案专业公路，服务范围包含规划咨询）</w:t>
      </w:r>
      <w:r>
        <w:rPr>
          <w:rFonts w:hint="eastAsia" w:ascii="宋体" w:hAnsi="宋体" w:cs="宋体"/>
          <w:color w:val="auto"/>
          <w:sz w:val="24"/>
          <w:highlight w:val="none"/>
        </w:rPr>
        <w:t xml:space="preserve">； </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（2）供应商自2018年1月1日以来（以合同签订时间为准），供应商承担过地级市或以上公路规划编制工作；（注：须提供合同复印件或扫描件并加盖供应商公章）</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拟投入的项目负责人应具备高级工程师（或副教授）或以上技术职称，担任过地级市或以上公路规划编制工作的项目负责人；（注：提供项目负责人的职称证书或电子证书的复印件或扫描件加盖供应商公章，并提供合同复印件或扫描件加盖供应商公章，若合同内无法体现姓名及岗位情况的，还需提供委托方确认的业绩证明材料）</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（4）供应商在“信用中国”网站（http://www.creditchina.gov.cn/）中未被列入失信被执行人名单、重大税收违法案件当事人名单、</w:t>
      </w:r>
      <w:r>
        <w:rPr>
          <w:rFonts w:ascii="宋体" w:hAnsi="宋体" w:cs="宋体"/>
          <w:color w:val="auto"/>
          <w:sz w:val="24"/>
          <w:highlight w:val="none"/>
        </w:rPr>
        <w:t>政府采购严重失信行为记录名单</w:t>
      </w:r>
      <w:r>
        <w:rPr>
          <w:rFonts w:hint="eastAsia" w:ascii="宋体" w:hAnsi="宋体" w:cs="宋体"/>
          <w:color w:val="auto"/>
          <w:sz w:val="24"/>
          <w:highlight w:val="none"/>
        </w:rPr>
        <w:t>截图，在国家企业信用信息公示系（http://www.gsxt.gov.cn/）中未被列入严重违法失信企业名单截图，未被“中国政府采购网”（http://www.ccgp.gov.cn/）列入政府采购严重失信行为记录名单截图；</w:t>
      </w:r>
    </w:p>
    <w:p>
      <w:pPr>
        <w:tabs>
          <w:tab w:val="left" w:pos="3375"/>
        </w:tabs>
        <w:autoSpaceDE w:val="0"/>
        <w:autoSpaceDN w:val="0"/>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注：上述截图请在本项目谈判公告后递交响应文件截止时间前截取并放入响应文件中。</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5、其它需要提交的资格审查材料。</w:t>
      </w:r>
    </w:p>
    <w:p>
      <w:pPr>
        <w:snapToGrid w:val="0"/>
        <w:spacing w:line="360" w:lineRule="auto"/>
        <w:ind w:firstLine="482" w:firstLineChars="200"/>
        <w:contextualSpacing/>
        <w:rPr>
          <w:rFonts w:ascii="宋体" w:hAnsi="宋体" w:cs="宋体"/>
          <w:b/>
          <w:color w:val="auto"/>
          <w:sz w:val="24"/>
          <w:highlight w:val="none"/>
        </w:rPr>
      </w:pPr>
      <w:r>
        <w:rPr>
          <w:rFonts w:hint="eastAsia" w:ascii="宋体" w:hAnsi="宋体" w:cs="宋体"/>
          <w:b/>
          <w:color w:val="auto"/>
          <w:sz w:val="24"/>
          <w:highlight w:val="none"/>
        </w:rPr>
        <w:t>二、价格响应文件</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1、谈判报价总表；</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2、分项报价明细表；</w:t>
      </w:r>
    </w:p>
    <w:p>
      <w:pPr>
        <w:tabs>
          <w:tab w:val="left" w:pos="3375"/>
        </w:tabs>
        <w:autoSpaceDE w:val="0"/>
        <w:autoSpaceDN w:val="0"/>
        <w:adjustRightInd w:val="0"/>
        <w:snapToGrid w:val="0"/>
        <w:spacing w:line="360" w:lineRule="auto"/>
        <w:ind w:firstLine="480" w:firstLineChars="200"/>
        <w:rPr>
          <w:rFonts w:ascii="宋体" w:hAnsi="宋体" w:cs="宋体"/>
          <w:b/>
          <w:color w:val="auto"/>
          <w:sz w:val="32"/>
          <w:szCs w:val="32"/>
          <w:highlight w:val="none"/>
        </w:rPr>
      </w:pPr>
      <w:r>
        <w:rPr>
          <w:rFonts w:hint="eastAsia" w:ascii="宋体" w:hAnsi="宋体" w:cs="宋体"/>
          <w:color w:val="auto"/>
          <w:sz w:val="24"/>
          <w:highlight w:val="none"/>
        </w:rPr>
        <w:t>3、《中小企业声明函》等（如有）；</w:t>
      </w:r>
    </w:p>
    <w:p>
      <w:pPr>
        <w:spacing w:line="360" w:lineRule="auto"/>
        <w:ind w:firstLine="482" w:firstLineChars="20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注：本表各分项报价合计应当与投标报价总表报价合计相等。请各供应商务必按照以上要求填报，否则作为无效投标处理。</w:t>
      </w:r>
    </w:p>
    <w:p>
      <w:pPr>
        <w:spacing w:line="360" w:lineRule="auto"/>
        <w:ind w:firstLine="482" w:firstLineChars="200"/>
        <w:rPr>
          <w:rFonts w:ascii="宋体" w:hAnsi="宋体" w:cs="宋体"/>
          <w:b/>
          <w:color w:val="auto"/>
          <w:kern w:val="0"/>
          <w:sz w:val="24"/>
          <w:highlight w:val="none"/>
          <w:lang w:val="zh-CN"/>
        </w:rPr>
      </w:pPr>
      <w:r>
        <w:rPr>
          <w:rFonts w:ascii="宋体" w:hAnsi="宋体" w:cs="宋体"/>
          <w:b/>
          <w:color w:val="auto"/>
          <w:kern w:val="0"/>
          <w:sz w:val="24"/>
          <w:highlight w:val="none"/>
          <w:lang w:val="zh-CN"/>
        </w:rPr>
        <w:t>供应商应依照规定提交各类声明函、承诺函，不再同时提供原件备查或提供有关部门出具的相关证明文件。但中标或成交供应商，应</w:t>
      </w:r>
      <w:r>
        <w:rPr>
          <w:rFonts w:hint="eastAsia" w:ascii="宋体" w:hAnsi="宋体" w:cs="宋体"/>
          <w:b/>
          <w:color w:val="auto"/>
          <w:kern w:val="0"/>
          <w:sz w:val="24"/>
          <w:highlight w:val="none"/>
          <w:lang w:val="zh-CN"/>
        </w:rPr>
        <w:t>做好提交声明函、承诺函相应原件的核查准备</w:t>
      </w:r>
      <w:r>
        <w:rPr>
          <w:rFonts w:ascii="宋体" w:hAnsi="宋体" w:cs="宋体"/>
          <w:b/>
          <w:color w:val="auto"/>
          <w:kern w:val="0"/>
          <w:sz w:val="24"/>
          <w:highlight w:val="none"/>
          <w:lang w:val="zh-CN"/>
        </w:rPr>
        <w:t>；核查后发现虚假或违背承诺的，依照相关法律法规规定处理</w:t>
      </w:r>
      <w:r>
        <w:rPr>
          <w:rFonts w:hint="eastAsia" w:ascii="宋体" w:hAnsi="宋体" w:cs="宋体"/>
          <w:b/>
          <w:color w:val="auto"/>
          <w:kern w:val="0"/>
          <w:sz w:val="24"/>
          <w:highlight w:val="none"/>
          <w:lang w:val="zh-CN"/>
        </w:rPr>
        <w:t>。</w:t>
      </w:r>
    </w:p>
    <w:p>
      <w:pPr>
        <w:tabs>
          <w:tab w:val="left" w:pos="3375"/>
        </w:tabs>
        <w:autoSpaceDE w:val="0"/>
        <w:autoSpaceDN w:val="0"/>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三、电子版响应文件</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电子版响应文件（按</w:t>
      </w:r>
      <w:r>
        <w:rPr>
          <w:rFonts w:hint="eastAsia" w:ascii="宋体" w:hAnsi="宋体" w:cs="宋体"/>
          <w:b/>
          <w:color w:val="auto"/>
          <w:sz w:val="24"/>
          <w:highlight w:val="none"/>
        </w:rPr>
        <w:t>“第二部分 谈判须知”中电子版响应文件要求</w:t>
      </w:r>
      <w:r>
        <w:rPr>
          <w:rFonts w:hint="eastAsia" w:ascii="宋体" w:hAnsi="宋体" w:cs="仿宋_GB2312"/>
          <w:b/>
          <w:bCs/>
          <w:color w:val="auto"/>
          <w:sz w:val="24"/>
          <w:highlight w:val="none"/>
          <w:lang w:val="zh-CN"/>
        </w:rPr>
        <w:t>提供</w:t>
      </w:r>
      <w:r>
        <w:rPr>
          <w:rFonts w:hint="eastAsia" w:ascii="宋体" w:hAnsi="宋体" w:cs="宋体"/>
          <w:b/>
          <w:color w:val="auto"/>
          <w:sz w:val="24"/>
          <w:highlight w:val="none"/>
        </w:rPr>
        <w:t>）</w:t>
      </w:r>
      <w:r>
        <w:rPr>
          <w:rFonts w:hint="eastAsia" w:ascii="宋体" w:hAnsi="宋体" w:cs="宋体"/>
          <w:color w:val="auto"/>
          <w:sz w:val="24"/>
          <w:highlight w:val="none"/>
        </w:rPr>
        <w:t>。</w:t>
      </w:r>
    </w:p>
    <w:p>
      <w:pPr>
        <w:tabs>
          <w:tab w:val="left" w:pos="3375"/>
        </w:tabs>
        <w:autoSpaceDE w:val="0"/>
        <w:autoSpaceDN w:val="0"/>
        <w:adjustRightInd w:val="0"/>
        <w:snapToGrid w:val="0"/>
        <w:spacing w:line="360" w:lineRule="auto"/>
        <w:contextualSpacing/>
        <w:rPr>
          <w:rFonts w:ascii="宋体" w:hAnsi="宋体" w:cs="宋体"/>
          <w:color w:val="auto"/>
          <w:sz w:val="28"/>
          <w:szCs w:val="28"/>
          <w:highlight w:val="none"/>
        </w:rPr>
      </w:pPr>
      <w:r>
        <w:rPr>
          <w:rFonts w:hint="eastAsia" w:ascii="宋体" w:hAnsi="宋体" w:cs="宋体"/>
          <w:color w:val="auto"/>
          <w:sz w:val="24"/>
          <w:highlight w:val="none"/>
        </w:rPr>
        <w:br w:type="page"/>
      </w:r>
      <w:r>
        <w:rPr>
          <w:rFonts w:hint="eastAsia" w:ascii="宋体" w:hAnsi="宋体" w:cs="宋体"/>
          <w:color w:val="auto"/>
          <w:sz w:val="28"/>
          <w:szCs w:val="28"/>
          <w:highlight w:val="none"/>
        </w:rPr>
        <w:t>第一部分格式：</w:t>
      </w:r>
    </w:p>
    <w:p>
      <w:pPr>
        <w:tabs>
          <w:tab w:val="left" w:pos="159"/>
        </w:tabs>
        <w:spacing w:line="360" w:lineRule="auto"/>
        <w:rPr>
          <w:rFonts w:ascii="宋体" w:hAnsi="宋体" w:cs="宋体"/>
          <w:color w:val="auto"/>
          <w:sz w:val="28"/>
          <w:szCs w:val="28"/>
          <w:highlight w:val="none"/>
        </w:rPr>
      </w:pPr>
    </w:p>
    <w:p>
      <w:pPr>
        <w:snapToGrid w:val="0"/>
        <w:spacing w:line="360" w:lineRule="auto"/>
        <w:ind w:firstLine="906" w:firstLineChars="206"/>
        <w:contextualSpacing/>
        <w:rPr>
          <w:rFonts w:ascii="宋体" w:hAnsi="宋体" w:cs="宋体"/>
          <w:color w:val="auto"/>
          <w:sz w:val="44"/>
          <w:szCs w:val="44"/>
          <w:highlight w:val="none"/>
        </w:rPr>
      </w:pPr>
    </w:p>
    <w:p>
      <w:pPr>
        <w:autoSpaceDE w:val="0"/>
        <w:autoSpaceDN w:val="0"/>
        <w:adjustRightInd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《南通市普通国省道服务设施和养护工区布局规划（2023-2035）》项目</w:t>
      </w:r>
    </w:p>
    <w:p>
      <w:pPr>
        <w:pStyle w:val="2"/>
        <w:spacing w:line="360" w:lineRule="auto"/>
        <w:rPr>
          <w:color w:val="auto"/>
          <w:highlight w:val="none"/>
        </w:rPr>
      </w:pPr>
    </w:p>
    <w:p>
      <w:pPr>
        <w:tabs>
          <w:tab w:val="left" w:pos="6300"/>
        </w:tabs>
        <w:snapToGrid w:val="0"/>
        <w:spacing w:line="360" w:lineRule="auto"/>
        <w:jc w:val="center"/>
        <w:rPr>
          <w:rFonts w:ascii="宋体" w:hAnsi="宋体" w:cs="宋体"/>
          <w:b/>
          <w:color w:val="auto"/>
          <w:w w:val="80"/>
          <w:sz w:val="32"/>
          <w:szCs w:val="32"/>
          <w:highlight w:val="none"/>
        </w:rPr>
      </w:pPr>
      <w:r>
        <w:rPr>
          <w:rFonts w:hint="eastAsia" w:ascii="宋体" w:hAnsi="宋体" w:cs="宋体"/>
          <w:b/>
          <w:color w:val="auto"/>
          <w:w w:val="80"/>
          <w:sz w:val="32"/>
          <w:szCs w:val="32"/>
          <w:highlight w:val="none"/>
        </w:rPr>
        <w:t>项目编号：2023GQGH</w:t>
      </w:r>
    </w:p>
    <w:p>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（资格审查文件）</w:t>
      </w:r>
    </w:p>
    <w:p>
      <w:pPr>
        <w:spacing w:after="60" w:line="360" w:lineRule="auto"/>
        <w:jc w:val="center"/>
        <w:rPr>
          <w:rFonts w:ascii="宋体" w:hAnsi="宋体" w:cs="宋体"/>
          <w:b/>
          <w:bCs/>
          <w:color w:val="auto"/>
          <w:sz w:val="72"/>
          <w:szCs w:val="72"/>
          <w:highlight w:val="none"/>
        </w:rPr>
      </w:pPr>
    </w:p>
    <w:p>
      <w:pPr>
        <w:spacing w:after="60" w:line="360" w:lineRule="auto"/>
        <w:jc w:val="center"/>
        <w:rPr>
          <w:rFonts w:ascii="宋体" w:hAnsi="宋体" w:cs="宋体"/>
          <w:b/>
          <w:bCs/>
          <w:color w:val="auto"/>
          <w:sz w:val="72"/>
          <w:szCs w:val="72"/>
          <w:highlight w:val="none"/>
        </w:rPr>
      </w:pPr>
    </w:p>
    <w:p>
      <w:pPr>
        <w:pStyle w:val="2"/>
        <w:spacing w:line="360" w:lineRule="auto"/>
        <w:ind w:left="0" w:leftChars="0" w:firstLine="0" w:firstLineChars="0"/>
        <w:rPr>
          <w:rFonts w:ascii="宋体" w:hAnsi="宋体" w:cs="宋体"/>
          <w:b/>
          <w:bCs/>
          <w:color w:val="auto"/>
          <w:sz w:val="72"/>
          <w:szCs w:val="72"/>
          <w:highlight w:val="none"/>
        </w:rPr>
      </w:pPr>
    </w:p>
    <w:p>
      <w:pPr>
        <w:spacing w:after="60" w:line="360" w:lineRule="auto"/>
        <w:jc w:val="center"/>
        <w:rPr>
          <w:rFonts w:ascii="宋体" w:hAnsi="宋体" w:cs="宋体"/>
          <w:b/>
          <w:bCs/>
          <w:color w:val="auto"/>
          <w:sz w:val="72"/>
          <w:szCs w:val="72"/>
          <w:highlight w:val="none"/>
        </w:rPr>
      </w:pP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p>
    <w:p>
      <w:pPr>
        <w:spacing w:line="36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法定代表人（或其委托代理人）（亲笔签名）：</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p>
    <w:p>
      <w:pPr>
        <w:snapToGrid w:val="0"/>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8"/>
          <w:szCs w:val="28"/>
          <w:highlight w:val="none"/>
        </w:rPr>
        <w:t>（一）资格审查文件</w:t>
      </w:r>
    </w:p>
    <w:p>
      <w:pPr>
        <w:snapToGrid w:val="0"/>
        <w:spacing w:line="360" w:lineRule="auto"/>
        <w:contextualSpacing/>
        <w:jc w:val="left"/>
        <w:rPr>
          <w:rFonts w:ascii="宋体" w:hAnsi="宋体" w:cs="宋体"/>
          <w:color w:val="auto"/>
          <w:sz w:val="28"/>
          <w:szCs w:val="28"/>
          <w:highlight w:val="none"/>
        </w:rPr>
      </w:pPr>
      <w:r>
        <w:rPr>
          <w:rFonts w:hint="eastAsia" w:ascii="宋体" w:hAnsi="宋体" w:cs="宋体"/>
          <w:color w:val="auto"/>
          <w:sz w:val="28"/>
          <w:szCs w:val="28"/>
          <w:highlight w:val="none"/>
        </w:rPr>
        <w:t>附件1：</w:t>
      </w:r>
    </w:p>
    <w:p>
      <w:pPr>
        <w:snapToGrid w:val="0"/>
        <w:spacing w:line="360" w:lineRule="auto"/>
        <w:contextualSpacing/>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pPr>
        <w:spacing w:line="360" w:lineRule="auto"/>
        <w:jc w:val="center"/>
        <w:rPr>
          <w:rFonts w:ascii="宋体" w:hAnsi="宋体" w:cs="宋体"/>
          <w:b/>
          <w:color w:val="auto"/>
          <w:sz w:val="24"/>
          <w:highlight w:val="none"/>
        </w:rPr>
      </w:pPr>
    </w:p>
    <w:p>
      <w:pPr>
        <w:snapToGrid w:val="0"/>
        <w:spacing w:line="360" w:lineRule="auto"/>
        <w:contextualSpacing/>
        <w:rPr>
          <w:rFonts w:ascii="宋体" w:hAnsi="宋体" w:cs="宋体"/>
          <w:b/>
          <w:color w:val="auto"/>
          <w:sz w:val="24"/>
          <w:highlight w:val="none"/>
        </w:rPr>
      </w:pPr>
      <w:r>
        <w:rPr>
          <w:rFonts w:hint="eastAsia" w:ascii="宋体" w:hAnsi="宋体" w:cs="宋体"/>
          <w:b/>
          <w:color w:val="auto"/>
          <w:sz w:val="24"/>
          <w:highlight w:val="none"/>
          <w:u w:val="single"/>
        </w:rPr>
        <w:t>南通市公路事业发展中心</w:t>
      </w:r>
      <w:r>
        <w:rPr>
          <w:rFonts w:hint="eastAsia" w:ascii="宋体" w:hAnsi="宋体" w:cs="宋体"/>
          <w:b/>
          <w:color w:val="auto"/>
          <w:sz w:val="24"/>
          <w:highlight w:val="none"/>
        </w:rPr>
        <w:t>：</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w:t>
      </w:r>
      <w:r>
        <w:rPr>
          <w:rFonts w:hint="eastAsia" w:ascii="宋体" w:hAnsi="宋体" w:cs="宋体"/>
          <w:color w:val="auto"/>
          <w:spacing w:val="-5"/>
          <w:sz w:val="24"/>
          <w:highlight w:val="none"/>
        </w:rPr>
        <w:t>（单位名称）</w:t>
      </w:r>
      <w:r>
        <w:rPr>
          <w:rFonts w:hint="eastAsia" w:ascii="宋体" w:hAnsi="宋体" w:cs="宋体"/>
          <w:color w:val="auto"/>
          <w:sz w:val="24"/>
          <w:highlight w:val="none"/>
        </w:rPr>
        <w:t>认真对照</w:t>
      </w:r>
      <w:r>
        <w:rPr>
          <w:rFonts w:hint="eastAsia" w:ascii="宋体" w:hAnsi="宋体" w:cs="宋体"/>
          <w:color w:val="auto"/>
          <w:sz w:val="24"/>
          <w:highlight w:val="none"/>
          <w:u w:val="single"/>
        </w:rPr>
        <w:t xml:space="preserve">     （项目名称）                   项目</w:t>
      </w:r>
      <w:r>
        <w:rPr>
          <w:rFonts w:hint="eastAsia" w:ascii="宋体" w:hAnsi="宋体" w:cs="宋体"/>
          <w:color w:val="auto"/>
          <w:sz w:val="24"/>
          <w:highlight w:val="none"/>
        </w:rPr>
        <w:t>谈判文件（含所有澄清、修改文件），符合贵方提出的资格要求，自愿报名参加响应，并郑重声明：</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1、我单位具有独立承担民事责任的能力；</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我单位具有良好的商业信誉和健全的财务会计制度；</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我单位具有履行合同所必需的设备和专业技术能力；</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我单位有依法缴纳税收和社会保障资金的良好记录；</w:t>
      </w:r>
    </w:p>
    <w:p>
      <w:pPr>
        <w:snapToGrid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单位参加政府采购活动前3年内在经营活动中（在下划线上如实填写：有或没有）重大违法记录（说明：政府采购法第二十二条第一款第五项所称重大违法记录，是指供应商因违法经营受到刑事处罚或者责令停产停业、吊销许可证或者执照、较大数额罚款等行政处罚。）</w:t>
      </w:r>
    </w:p>
    <w:p>
      <w:pPr>
        <w:snapToGrid w:val="0"/>
        <w:spacing w:line="360" w:lineRule="auto"/>
        <w:ind w:firstLine="420"/>
        <w:contextualSpacing/>
        <w:rPr>
          <w:rFonts w:ascii="宋体" w:hAnsi="宋体" w:cs="宋体"/>
          <w:color w:val="auto"/>
          <w:sz w:val="28"/>
          <w:szCs w:val="28"/>
          <w:highlight w:val="none"/>
        </w:rPr>
      </w:pPr>
    </w:p>
    <w:p>
      <w:pPr>
        <w:snapToGrid w:val="0"/>
        <w:spacing w:line="360" w:lineRule="auto"/>
        <w:ind w:firstLine="4440" w:firstLineChars="1850"/>
        <w:contextualSpacing/>
        <w:rPr>
          <w:rFonts w:ascii="宋体" w:hAnsi="宋体" w:cs="宋体"/>
          <w:color w:val="auto"/>
          <w:sz w:val="24"/>
          <w:highlight w:val="none"/>
        </w:rPr>
      </w:pPr>
    </w:p>
    <w:p>
      <w:pPr>
        <w:snapToGrid w:val="0"/>
        <w:spacing w:line="360" w:lineRule="auto"/>
        <w:ind w:firstLine="4440" w:firstLineChars="1850"/>
        <w:contextualSpacing/>
        <w:rPr>
          <w:rFonts w:ascii="宋体" w:hAnsi="宋体" w:cs="宋体"/>
          <w:color w:val="auto"/>
          <w:sz w:val="24"/>
          <w:highlight w:val="none"/>
        </w:rPr>
      </w:pPr>
    </w:p>
    <w:p>
      <w:pPr>
        <w:snapToGrid w:val="0"/>
        <w:spacing w:line="360" w:lineRule="auto"/>
        <w:ind w:firstLine="4440" w:firstLineChars="1850"/>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pPr>
        <w:snapToGrid w:val="0"/>
        <w:spacing w:line="360" w:lineRule="auto"/>
        <w:contextualSpacing/>
        <w:rPr>
          <w:rFonts w:ascii="宋体" w:hAnsi="宋体" w:cs="宋体"/>
          <w:color w:val="auto"/>
          <w:sz w:val="24"/>
          <w:highlight w:val="none"/>
        </w:rPr>
      </w:pPr>
    </w:p>
    <w:p>
      <w:pPr>
        <w:snapToGrid w:val="0"/>
        <w:spacing w:line="360" w:lineRule="auto"/>
        <w:ind w:firstLine="4440" w:firstLineChars="1850"/>
        <w:contextualSpacing/>
        <w:rPr>
          <w:rFonts w:ascii="宋体" w:hAnsi="宋体" w:cs="宋体"/>
          <w:bCs/>
          <w:color w:val="auto"/>
          <w:sz w:val="24"/>
          <w:highlight w:val="none"/>
        </w:rPr>
      </w:pPr>
      <w:r>
        <w:rPr>
          <w:rFonts w:hint="eastAsia" w:ascii="宋体" w:hAnsi="宋体" w:cs="宋体"/>
          <w:bCs/>
          <w:color w:val="auto"/>
          <w:sz w:val="24"/>
          <w:highlight w:val="none"/>
        </w:rPr>
        <w:t>年    月    日</w:t>
      </w:r>
    </w:p>
    <w:p>
      <w:pPr>
        <w:spacing w:line="360" w:lineRule="auto"/>
        <w:ind w:firstLine="576" w:firstLineChars="206"/>
        <w:rPr>
          <w:rFonts w:ascii="宋体" w:hAnsi="宋体" w:cs="宋体"/>
          <w:color w:val="auto"/>
          <w:sz w:val="28"/>
          <w:szCs w:val="28"/>
          <w:highlight w:val="none"/>
        </w:rPr>
      </w:pPr>
    </w:p>
    <w:p>
      <w:pPr>
        <w:spacing w:line="360" w:lineRule="auto"/>
        <w:ind w:firstLine="576" w:firstLineChars="206"/>
        <w:rPr>
          <w:rFonts w:ascii="宋体" w:hAnsi="宋体" w:cs="宋体"/>
          <w:color w:val="auto"/>
          <w:sz w:val="28"/>
          <w:szCs w:val="28"/>
          <w:highlight w:val="none"/>
        </w:rPr>
      </w:pPr>
    </w:p>
    <w:p>
      <w:pPr>
        <w:spacing w:line="360" w:lineRule="auto"/>
        <w:ind w:firstLine="576" w:firstLineChars="206"/>
        <w:rPr>
          <w:rFonts w:ascii="宋体" w:hAnsi="宋体" w:cs="宋体"/>
          <w:color w:val="auto"/>
          <w:sz w:val="28"/>
          <w:szCs w:val="28"/>
          <w:highlight w:val="none"/>
        </w:rPr>
      </w:pPr>
    </w:p>
    <w:p>
      <w:pPr>
        <w:spacing w:line="360" w:lineRule="auto"/>
        <w:ind w:firstLine="576" w:firstLineChars="206"/>
        <w:rPr>
          <w:rFonts w:ascii="宋体" w:hAnsi="宋体" w:cs="宋体"/>
          <w:color w:val="auto"/>
          <w:sz w:val="28"/>
          <w:szCs w:val="28"/>
          <w:highlight w:val="none"/>
        </w:rPr>
      </w:pPr>
    </w:p>
    <w:p>
      <w:pPr>
        <w:snapToGrid w:val="0"/>
        <w:spacing w:line="360" w:lineRule="auto"/>
        <w:contextualSpacing/>
        <w:rPr>
          <w:rFonts w:ascii="宋体" w:hAnsi="宋体" w:cs="宋体"/>
          <w:color w:val="auto"/>
          <w:sz w:val="28"/>
          <w:szCs w:val="28"/>
          <w:highlight w:val="none"/>
        </w:rPr>
      </w:pPr>
      <w:r>
        <w:rPr>
          <w:rFonts w:hint="eastAsia" w:ascii="宋体" w:hAnsi="宋体" w:cs="宋体"/>
          <w:b/>
          <w:bCs/>
          <w:color w:val="auto"/>
          <w:sz w:val="72"/>
          <w:szCs w:val="72"/>
          <w:highlight w:val="none"/>
        </w:rPr>
        <w:br w:type="page"/>
      </w:r>
      <w:r>
        <w:rPr>
          <w:rFonts w:hint="eastAsia" w:ascii="宋体" w:hAnsi="宋体" w:cs="宋体"/>
          <w:color w:val="auto"/>
          <w:sz w:val="28"/>
          <w:szCs w:val="28"/>
          <w:highlight w:val="none"/>
        </w:rPr>
        <w:t>附件2：</w:t>
      </w:r>
    </w:p>
    <w:p>
      <w:pPr>
        <w:spacing w:beforeLines="50" w:afterLines="5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授权委托书或法定代表人身份证明</w:t>
      </w:r>
    </w:p>
    <w:p>
      <w:pPr>
        <w:topLinePunct/>
        <w:spacing w:beforeLines="50" w:afterLines="50"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（一）授权委托书</w:t>
      </w:r>
    </w:p>
    <w:p>
      <w:pPr>
        <w:topLinePunct/>
        <w:spacing w:beforeLines="50" w:line="360" w:lineRule="auto"/>
        <w:ind w:firstLine="561"/>
        <w:rPr>
          <w:rFonts w:ascii="宋体" w:hAnsi="宋体" w:cs="宋体"/>
          <w:color w:val="auto"/>
          <w:sz w:val="24"/>
          <w:highlight w:val="none"/>
          <w:u w:val="singl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的法定代表人，现委托</w:t>
      </w:r>
      <w:r>
        <w:rPr>
          <w:rFonts w:hint="eastAsia" w:ascii="宋体" w:hAnsi="宋体" w:cs="宋体"/>
          <w:color w:val="auto"/>
          <w:sz w:val="24"/>
          <w:highlight w:val="none"/>
          <w:u w:val="single"/>
        </w:rPr>
        <w:t xml:space="preserve">    (姓名)</w:t>
      </w:r>
      <w:r>
        <w:rPr>
          <w:rFonts w:hint="eastAsia" w:ascii="宋体" w:hAnsi="宋体" w:cs="宋体"/>
          <w:color w:val="auto"/>
          <w:sz w:val="24"/>
          <w:highlight w:val="none"/>
        </w:rPr>
        <w:t>为我方代理人。代理人根据授权，以我方名义签署、澄清、说明、补正、递交、撤回、修改</w:t>
      </w:r>
      <w:r>
        <w:rPr>
          <w:rFonts w:hint="eastAsia" w:ascii="宋体" w:hAnsi="宋体" w:cs="宋体"/>
          <w:color w:val="auto"/>
          <w:sz w:val="24"/>
          <w:highlight w:val="none"/>
          <w:u w:val="single"/>
        </w:rPr>
        <w:t xml:space="preserve">                   项目</w:t>
      </w:r>
      <w:r>
        <w:rPr>
          <w:rFonts w:hint="eastAsia" w:ascii="宋体" w:hAnsi="宋体" w:cs="宋体"/>
          <w:color w:val="auto"/>
          <w:sz w:val="24"/>
          <w:highlight w:val="none"/>
        </w:rPr>
        <w:t>响应文件、签订合同和处理有关事宜，其法律后果由我方承担。</w:t>
      </w:r>
    </w:p>
    <w:p>
      <w:pPr>
        <w:topLinePunct/>
        <w:spacing w:line="360" w:lineRule="auto"/>
        <w:rPr>
          <w:rFonts w:ascii="宋体" w:hAnsi="宋体" w:cs="宋体"/>
          <w:color w:val="auto"/>
          <w:sz w:val="24"/>
          <w:highlight w:val="none"/>
        </w:rPr>
      </w:pPr>
    </w:p>
    <w:p>
      <w:pPr>
        <w:topLinePunct/>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委托期限：自本委托书签署之日起至投标有效期期满。</w:t>
      </w:r>
    </w:p>
    <w:p>
      <w:pPr>
        <w:topLinePunct/>
        <w:spacing w:line="360" w:lineRule="auto"/>
        <w:rPr>
          <w:rFonts w:ascii="宋体" w:hAnsi="宋体" w:cs="宋体"/>
          <w:color w:val="auto"/>
          <w:sz w:val="24"/>
          <w:highlight w:val="none"/>
        </w:rPr>
      </w:pPr>
    </w:p>
    <w:p>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代理人无转委托权。</w:t>
      </w:r>
    </w:p>
    <w:p>
      <w:pPr>
        <w:topLinePunct/>
        <w:spacing w:line="360" w:lineRule="auto"/>
        <w:rPr>
          <w:rFonts w:ascii="宋体" w:hAnsi="宋体" w:cs="宋体"/>
          <w:color w:val="auto"/>
          <w:sz w:val="24"/>
          <w:highlight w:val="none"/>
        </w:rPr>
      </w:pPr>
    </w:p>
    <w:p>
      <w:pPr>
        <w:topLinePunct/>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w:t>
      </w:r>
      <w:r>
        <w:rPr>
          <w:rFonts w:hint="eastAsia" w:ascii="宋体" w:hAnsi="宋体" w:cs="宋体"/>
          <w:color w:val="auto"/>
          <w:highlight w:val="none"/>
        </w:rPr>
        <w:t>法定代表人身份证明</w:t>
      </w:r>
      <w:r>
        <w:rPr>
          <w:rFonts w:hint="eastAsia" w:ascii="宋体" w:hAnsi="宋体" w:cs="宋体"/>
          <w:color w:val="auto"/>
          <w:sz w:val="24"/>
          <w:highlight w:val="none"/>
        </w:rPr>
        <w:t>及委托代理人身份证复印件。</w:t>
      </w:r>
    </w:p>
    <w:p>
      <w:pPr>
        <w:topLinePunct/>
        <w:spacing w:line="360" w:lineRule="auto"/>
        <w:ind w:firstLine="480" w:firstLineChars="200"/>
        <w:rPr>
          <w:rFonts w:ascii="宋体" w:hAnsi="宋体" w:cs="宋体"/>
          <w:color w:val="auto"/>
          <w:sz w:val="24"/>
          <w:highlight w:val="none"/>
        </w:rPr>
      </w:pPr>
    </w:p>
    <w:p>
      <w:pPr>
        <w:topLinePunct/>
        <w:spacing w:line="360" w:lineRule="auto"/>
        <w:rPr>
          <w:rFonts w:ascii="宋体" w:hAnsi="宋体" w:cs="宋体"/>
          <w:color w:val="auto"/>
          <w:sz w:val="24"/>
          <w:highlight w:val="none"/>
        </w:rPr>
      </w:pPr>
    </w:p>
    <w:p>
      <w:pPr>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pPr>
        <w:topLinePunct/>
        <w:spacing w:line="360" w:lineRule="auto"/>
        <w:rPr>
          <w:rFonts w:ascii="宋体" w:hAnsi="宋体" w:cs="宋体"/>
          <w:color w:val="auto"/>
          <w:sz w:val="24"/>
          <w:highlight w:val="none"/>
        </w:rPr>
      </w:pPr>
    </w:p>
    <w:p>
      <w:pPr>
        <w:wordWrap w:val="0"/>
        <w:topLinePunct/>
        <w:spacing w:line="360" w:lineRule="auto"/>
        <w:rPr>
          <w:rFonts w:ascii="宋体" w:hAnsi="宋体" w:cs="宋体"/>
          <w:color w:val="auto"/>
          <w:sz w:val="24"/>
          <w:highlight w:val="none"/>
          <w:u w:val="singl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(签名或签章)</w:t>
      </w:r>
      <w:r>
        <w:rPr>
          <w:rFonts w:hint="eastAsia" w:ascii="宋体" w:hAnsi="宋体" w:cs="宋体"/>
          <w:color w:val="auto"/>
          <w:sz w:val="24"/>
          <w:highlight w:val="none"/>
        </w:rPr>
        <w:t>：</w:t>
      </w:r>
    </w:p>
    <w:p>
      <w:pPr>
        <w:topLinePunct/>
        <w:spacing w:line="360" w:lineRule="auto"/>
        <w:rPr>
          <w:rFonts w:ascii="宋体" w:hAnsi="宋体" w:cs="宋体"/>
          <w:color w:val="auto"/>
          <w:sz w:val="24"/>
          <w:highlight w:val="none"/>
        </w:rPr>
      </w:pPr>
    </w:p>
    <w:p>
      <w:pPr>
        <w:wordWrap w:val="0"/>
        <w:topLinePunct/>
        <w:spacing w:line="360" w:lineRule="auto"/>
        <w:rPr>
          <w:rFonts w:ascii="宋体" w:hAnsi="宋体" w:cs="宋体"/>
          <w:color w:val="auto"/>
          <w:sz w:val="24"/>
          <w:highlight w:val="none"/>
          <w:u w:val="single"/>
        </w:rPr>
      </w:pPr>
      <w:r>
        <w:rPr>
          <w:rFonts w:hint="eastAsia" w:ascii="宋体" w:hAnsi="宋体" w:cs="宋体"/>
          <w:color w:val="auto"/>
          <w:sz w:val="24"/>
          <w:highlight w:val="none"/>
        </w:rPr>
        <w:t>身份证号码：</w:t>
      </w:r>
    </w:p>
    <w:p>
      <w:pPr>
        <w:topLinePunct/>
        <w:spacing w:line="360" w:lineRule="auto"/>
        <w:rPr>
          <w:rFonts w:ascii="宋体" w:hAnsi="宋体" w:cs="宋体"/>
          <w:color w:val="auto"/>
          <w:sz w:val="24"/>
          <w:highlight w:val="none"/>
        </w:rPr>
      </w:pPr>
    </w:p>
    <w:p>
      <w:pPr>
        <w:topLinePunct/>
        <w:spacing w:line="360" w:lineRule="auto"/>
        <w:jc w:val="left"/>
        <w:rPr>
          <w:rFonts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(亲笔签名)</w:t>
      </w:r>
      <w:r>
        <w:rPr>
          <w:rFonts w:hint="eastAsia" w:ascii="宋体" w:hAnsi="宋体" w:cs="宋体"/>
          <w:color w:val="auto"/>
          <w:sz w:val="24"/>
          <w:highlight w:val="none"/>
        </w:rPr>
        <w:t>：</w:t>
      </w:r>
    </w:p>
    <w:p>
      <w:pPr>
        <w:topLinePunct/>
        <w:spacing w:line="360" w:lineRule="auto"/>
        <w:rPr>
          <w:rFonts w:ascii="宋体" w:hAnsi="宋体" w:cs="宋体"/>
          <w:color w:val="auto"/>
          <w:sz w:val="24"/>
          <w:highlight w:val="none"/>
        </w:rPr>
      </w:pPr>
    </w:p>
    <w:p>
      <w:pPr>
        <w:wordWrap w:val="0"/>
        <w:topLinePunct/>
        <w:spacing w:line="360" w:lineRule="auto"/>
        <w:rPr>
          <w:rFonts w:ascii="宋体" w:hAnsi="宋体" w:cs="宋体"/>
          <w:color w:val="auto"/>
          <w:sz w:val="24"/>
          <w:highlight w:val="none"/>
        </w:rPr>
      </w:pPr>
      <w:r>
        <w:rPr>
          <w:rFonts w:hint="eastAsia" w:ascii="宋体" w:hAnsi="宋体" w:cs="宋体"/>
          <w:color w:val="auto"/>
          <w:sz w:val="24"/>
          <w:highlight w:val="none"/>
        </w:rPr>
        <w:t>身份证号码：</w:t>
      </w:r>
    </w:p>
    <w:p>
      <w:pPr>
        <w:topLinePunct/>
        <w:spacing w:beforeLines="50" w:afterLines="50"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pPr>
        <w:topLinePunct/>
        <w:spacing w:line="360" w:lineRule="auto"/>
        <w:ind w:firstLine="560" w:firstLineChars="200"/>
        <w:rPr>
          <w:rFonts w:ascii="宋体" w:hAnsi="宋体" w:cs="宋体"/>
          <w:color w:val="auto"/>
          <w:sz w:val="28"/>
          <w:szCs w:val="28"/>
          <w:highlight w:val="none"/>
        </w:rPr>
      </w:pPr>
    </w:p>
    <w:p>
      <w:pPr>
        <w:spacing w:beforeLines="50" w:afterLines="50" w:line="360" w:lineRule="auto"/>
        <w:jc w:val="left"/>
        <w:rPr>
          <w:rFonts w:ascii="宋体" w:hAnsi="宋体" w:cs="宋体"/>
          <w:b/>
          <w:bCs/>
          <w:color w:val="auto"/>
          <w:highlight w:val="none"/>
        </w:rPr>
      </w:pPr>
      <w:r>
        <w:rPr>
          <w:rFonts w:hint="eastAsia" w:ascii="宋体" w:hAnsi="宋体" w:cs="宋体"/>
          <w:b/>
          <w:bCs/>
          <w:color w:val="auto"/>
          <w:highlight w:val="none"/>
        </w:rPr>
        <w:t>注：如果由供应商的法定代表人签署响应文件，则无须提交授权委托书。</w:t>
      </w:r>
    </w:p>
    <w:p>
      <w:pPr>
        <w:pStyle w:val="29"/>
        <w:topLinePunct/>
        <w:spacing w:line="360" w:lineRule="auto"/>
        <w:ind w:left="560" w:firstLine="0" w:firstLineChars="0"/>
        <w:jc w:val="center"/>
        <w:rPr>
          <w:rFonts w:ascii="宋体" w:hAnsi="宋体" w:cs="宋体"/>
          <w:b/>
          <w:color w:val="auto"/>
          <w:sz w:val="28"/>
          <w:szCs w:val="28"/>
          <w:highlight w:val="none"/>
        </w:rPr>
      </w:pPr>
      <w:r>
        <w:rPr>
          <w:rFonts w:hint="eastAsia" w:ascii="宋体" w:hAnsi="宋体" w:cs="宋体"/>
          <w:color w:val="auto"/>
          <w:sz w:val="27"/>
          <w:szCs w:val="27"/>
          <w:highlight w:val="none"/>
        </w:rPr>
        <w:br w:type="page"/>
      </w:r>
      <w:r>
        <w:rPr>
          <w:rFonts w:hint="eastAsia" w:ascii="宋体" w:hAnsi="宋体" w:cs="宋体"/>
          <w:b/>
          <w:color w:val="auto"/>
          <w:sz w:val="28"/>
          <w:szCs w:val="28"/>
          <w:highlight w:val="none"/>
        </w:rPr>
        <w:t>(二)法定代表人身份证明</w:t>
      </w:r>
    </w:p>
    <w:p>
      <w:pPr>
        <w:topLinePunct/>
        <w:spacing w:line="360" w:lineRule="auto"/>
        <w:rPr>
          <w:rFonts w:ascii="宋体" w:hAnsi="宋体" w:cs="宋体"/>
          <w:color w:val="auto"/>
          <w:sz w:val="28"/>
          <w:szCs w:val="28"/>
          <w:highlight w:val="none"/>
        </w:rPr>
      </w:pPr>
    </w:p>
    <w:p>
      <w:pPr>
        <w:topLinePunct/>
        <w:spacing w:line="360" w:lineRule="auto"/>
        <w:rPr>
          <w:rFonts w:ascii="宋体" w:hAnsi="宋体" w:cs="宋体"/>
          <w:color w:val="auto"/>
          <w:sz w:val="28"/>
          <w:szCs w:val="28"/>
          <w:highlight w:val="none"/>
        </w:rPr>
      </w:pPr>
    </w:p>
    <w:p>
      <w:pPr>
        <w:topLinePunct/>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p>
    <w:p>
      <w:pPr>
        <w:topLinePunct/>
        <w:spacing w:line="360" w:lineRule="auto"/>
        <w:rPr>
          <w:rFonts w:ascii="宋体" w:hAnsi="宋体" w:cs="宋体"/>
          <w:color w:val="auto"/>
          <w:sz w:val="24"/>
          <w:highlight w:val="none"/>
        </w:rPr>
      </w:pPr>
    </w:p>
    <w:p>
      <w:pPr>
        <w:topLinePunct/>
        <w:spacing w:line="360" w:lineRule="auto"/>
        <w:rPr>
          <w:rFonts w:ascii="宋体" w:hAnsi="宋体" w:cs="宋体"/>
          <w:color w:val="auto"/>
          <w:sz w:val="24"/>
          <w:highlight w:val="none"/>
          <w:u w:val="single"/>
        </w:rPr>
      </w:pPr>
      <w:r>
        <w:rPr>
          <w:rFonts w:hint="eastAsia" w:ascii="宋体" w:hAnsi="宋体" w:cs="宋体"/>
          <w:color w:val="auto"/>
          <w:sz w:val="24"/>
          <w:highlight w:val="none"/>
        </w:rPr>
        <w:t>姓名：               性别：            年龄：           职务：</w:t>
      </w:r>
    </w:p>
    <w:p>
      <w:pPr>
        <w:topLinePunct/>
        <w:spacing w:line="360" w:lineRule="auto"/>
        <w:rPr>
          <w:rFonts w:ascii="宋体" w:hAnsi="宋体" w:cs="宋体"/>
          <w:color w:val="auto"/>
          <w:sz w:val="24"/>
          <w:highlight w:val="none"/>
        </w:rPr>
      </w:pPr>
    </w:p>
    <w:p>
      <w:pPr>
        <w:topLinePunct/>
        <w:spacing w:line="360" w:lineRule="auto"/>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w:t>
      </w: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名称)           </w:t>
      </w:r>
      <w:r>
        <w:rPr>
          <w:rFonts w:hint="eastAsia" w:ascii="宋体" w:hAnsi="宋体" w:cs="宋体"/>
          <w:color w:val="auto"/>
          <w:sz w:val="24"/>
          <w:highlight w:val="none"/>
        </w:rPr>
        <w:t>的法定代表人。</w:t>
      </w:r>
    </w:p>
    <w:p>
      <w:pPr>
        <w:topLinePunct/>
        <w:spacing w:line="360" w:lineRule="auto"/>
        <w:rPr>
          <w:rFonts w:ascii="宋体" w:hAnsi="宋体" w:cs="宋体"/>
          <w:color w:val="auto"/>
          <w:sz w:val="24"/>
          <w:highlight w:val="none"/>
        </w:rPr>
      </w:pPr>
    </w:p>
    <w:p>
      <w:pPr>
        <w:topLinePunct/>
        <w:spacing w:line="360" w:lineRule="auto"/>
        <w:rPr>
          <w:rFonts w:ascii="宋体" w:hAnsi="宋体" w:cs="宋体"/>
          <w:color w:val="auto"/>
          <w:sz w:val="24"/>
          <w:highlight w:val="none"/>
        </w:rPr>
      </w:pPr>
      <w:r>
        <w:rPr>
          <w:rFonts w:hint="eastAsia" w:ascii="宋体" w:hAnsi="宋体" w:cs="宋体"/>
          <w:color w:val="auto"/>
          <w:sz w:val="24"/>
          <w:highlight w:val="none"/>
        </w:rPr>
        <w:t>特此证明。</w:t>
      </w:r>
    </w:p>
    <w:p>
      <w:pPr>
        <w:topLinePunct/>
        <w:spacing w:line="360" w:lineRule="auto"/>
        <w:rPr>
          <w:rFonts w:ascii="宋体" w:hAnsi="宋体" w:cs="宋体"/>
          <w:color w:val="auto"/>
          <w:sz w:val="24"/>
          <w:highlight w:val="none"/>
        </w:rPr>
      </w:pPr>
    </w:p>
    <w:p>
      <w:pPr>
        <w:topLinePunct/>
        <w:spacing w:line="360" w:lineRule="auto"/>
        <w:rPr>
          <w:rFonts w:ascii="宋体" w:hAnsi="宋体" w:cs="宋体"/>
          <w:color w:val="auto"/>
          <w:sz w:val="24"/>
          <w:highlight w:val="none"/>
        </w:rPr>
      </w:pPr>
      <w:r>
        <w:rPr>
          <w:rFonts w:hint="eastAsia" w:ascii="宋体" w:hAnsi="宋体" w:cs="宋体"/>
          <w:color w:val="auto"/>
          <w:sz w:val="24"/>
          <w:highlight w:val="none"/>
        </w:rPr>
        <w:t>附：法定代表人身份证复印件。</w:t>
      </w:r>
    </w:p>
    <w:p>
      <w:pPr>
        <w:topLinePunct/>
        <w:spacing w:line="360" w:lineRule="auto"/>
        <w:rPr>
          <w:rFonts w:ascii="宋体" w:hAnsi="宋体" w:cs="宋体"/>
          <w:color w:val="auto"/>
          <w:sz w:val="24"/>
          <w:highlight w:val="none"/>
        </w:rPr>
      </w:pPr>
    </w:p>
    <w:p>
      <w:pPr>
        <w:topLinePunct/>
        <w:spacing w:line="360" w:lineRule="auto"/>
        <w:rPr>
          <w:rFonts w:ascii="宋体" w:hAnsi="宋体" w:cs="宋体"/>
          <w:color w:val="auto"/>
          <w:sz w:val="24"/>
          <w:highlight w:val="none"/>
        </w:rPr>
      </w:pPr>
    </w:p>
    <w:p>
      <w:pPr>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响应供应商（盖单位公章）</w:t>
      </w:r>
    </w:p>
    <w:p>
      <w:pPr>
        <w:spacing w:line="360" w:lineRule="auto"/>
        <w:rPr>
          <w:rFonts w:ascii="宋体" w:hAnsi="宋体" w:cs="宋体"/>
          <w:color w:val="auto"/>
          <w:sz w:val="24"/>
          <w:highlight w:val="none"/>
        </w:rPr>
      </w:pPr>
      <w:r>
        <w:rPr>
          <w:rFonts w:hint="eastAsia" w:ascii="宋体" w:hAnsi="宋体" w:cs="宋体"/>
          <w:color w:val="auto"/>
          <w:sz w:val="24"/>
          <w:highlight w:val="none"/>
        </w:rPr>
        <w:t>日期：   年   月   日</w:t>
      </w:r>
    </w:p>
    <w:p>
      <w:pPr>
        <w:topLinePunct/>
        <w:spacing w:line="360" w:lineRule="auto"/>
        <w:rPr>
          <w:rFonts w:ascii="宋体" w:hAnsi="宋体" w:cs="宋体"/>
          <w:color w:val="auto"/>
          <w:sz w:val="28"/>
          <w:szCs w:val="28"/>
          <w:highlight w:val="none"/>
        </w:rPr>
      </w:pPr>
    </w:p>
    <w:p>
      <w:pPr>
        <w:topLinePunct/>
        <w:spacing w:line="360" w:lineRule="auto"/>
        <w:rPr>
          <w:rFonts w:ascii="宋体" w:hAnsi="宋体" w:cs="宋体"/>
          <w:color w:val="auto"/>
          <w:sz w:val="28"/>
          <w:szCs w:val="28"/>
          <w:highlight w:val="none"/>
        </w:rPr>
      </w:pPr>
    </w:p>
    <w:p>
      <w:pPr>
        <w:snapToGrid w:val="0"/>
        <w:spacing w:line="360" w:lineRule="auto"/>
        <w:contextualSpacing/>
        <w:rPr>
          <w:rFonts w:ascii="宋体" w:hAnsi="宋体" w:cs="宋体"/>
          <w:b/>
          <w:color w:val="auto"/>
          <w:sz w:val="28"/>
          <w:szCs w:val="28"/>
          <w:highlight w:val="none"/>
        </w:rPr>
      </w:pPr>
    </w:p>
    <w:p>
      <w:pPr>
        <w:spacing w:beforeLines="50" w:afterLines="50" w:line="360" w:lineRule="auto"/>
        <w:rPr>
          <w:rFonts w:ascii="宋体" w:hAnsi="宋体" w:cs="宋体"/>
          <w:b/>
          <w:color w:val="auto"/>
          <w:sz w:val="28"/>
          <w:szCs w:val="28"/>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6"/>
        <w:spacing w:beforeLines="50" w:afterLines="50" w:line="360" w:lineRule="auto"/>
        <w:jc w:val="left"/>
        <w:rPr>
          <w:rFonts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t xml:space="preserve">附件3：                </w:t>
      </w:r>
    </w:p>
    <w:p>
      <w:pPr>
        <w:pStyle w:val="26"/>
        <w:spacing w:beforeLines="50" w:afterLines="50"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供应商信用承诺书</w:t>
      </w:r>
    </w:p>
    <w:p>
      <w:pPr>
        <w:spacing w:line="360" w:lineRule="auto"/>
        <w:rPr>
          <w:rFonts w:ascii="宋体" w:hAnsi="宋体" w:cs="宋体"/>
          <w:color w:val="auto"/>
          <w:spacing w:val="-5"/>
          <w:sz w:val="24"/>
          <w:highlight w:val="none"/>
        </w:rPr>
      </w:pPr>
      <w:r>
        <w:rPr>
          <w:rFonts w:hint="eastAsia" w:ascii="宋体" w:hAnsi="宋体" w:cs="宋体"/>
          <w:color w:val="auto"/>
          <w:spacing w:val="-5"/>
          <w:sz w:val="24"/>
          <w:highlight w:val="none"/>
        </w:rPr>
        <w:t>致：</w:t>
      </w:r>
      <w:r>
        <w:rPr>
          <w:rFonts w:hint="eastAsia" w:ascii="宋体" w:hAnsi="宋体" w:cs="宋体"/>
          <w:color w:val="auto"/>
          <w:sz w:val="24"/>
          <w:highlight w:val="none"/>
          <w:u w:val="single"/>
        </w:rPr>
        <w:t>南通市公路事业发展中心</w:t>
      </w:r>
    </w:p>
    <w:p>
      <w:pPr>
        <w:spacing w:line="560" w:lineRule="exact"/>
        <w:ind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 xml:space="preserve">我单位 </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（单位名称）自愿参加</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rPr>
        <w:t>项目的投标活动，并郑重承诺：</w:t>
      </w:r>
    </w:p>
    <w:p>
      <w:pPr>
        <w:numPr>
          <w:ilvl w:val="0"/>
          <w:numId w:val="2"/>
        </w:numPr>
        <w:spacing w:line="360" w:lineRule="auto"/>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在本项目的投标活动中遵守国家法律法规和有关规定，遵循公开、公平、公正和诚信原则。</w:t>
      </w:r>
    </w:p>
    <w:p>
      <w:pPr>
        <w:numPr>
          <w:ilvl w:val="0"/>
          <w:numId w:val="2"/>
        </w:numPr>
        <w:spacing w:line="360" w:lineRule="auto"/>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响应文件中所有内容均为我单位真实意愿表达，相关信息真实有效。</w:t>
      </w:r>
    </w:p>
    <w:p>
      <w:pPr>
        <w:numPr>
          <w:ilvl w:val="0"/>
          <w:numId w:val="2"/>
        </w:numPr>
        <w:spacing w:line="360" w:lineRule="auto"/>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无弄虚作假，无围标串标行为。</w:t>
      </w:r>
    </w:p>
    <w:p>
      <w:pPr>
        <w:numPr>
          <w:ilvl w:val="0"/>
          <w:numId w:val="2"/>
        </w:numPr>
        <w:spacing w:line="360" w:lineRule="auto"/>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若我方成交，在合同履行过程中严格执行有关法律、法规、规章和规范性文件的规定，不转包和违法分包。</w:t>
      </w:r>
    </w:p>
    <w:p>
      <w:pPr>
        <w:numPr>
          <w:ilvl w:val="0"/>
          <w:numId w:val="2"/>
        </w:numPr>
        <w:spacing w:line="360" w:lineRule="auto"/>
        <w:ind w:left="0" w:firstLine="460" w:firstLineChars="200"/>
        <w:rPr>
          <w:rFonts w:ascii="宋体" w:hAnsi="宋体" w:cs="宋体"/>
          <w:color w:val="auto"/>
          <w:spacing w:val="-5"/>
          <w:sz w:val="24"/>
          <w:highlight w:val="none"/>
        </w:rPr>
      </w:pPr>
      <w:r>
        <w:rPr>
          <w:rFonts w:hint="eastAsia" w:ascii="宋体" w:hAnsi="宋体" w:cs="宋体"/>
          <w:color w:val="auto"/>
          <w:spacing w:val="-5"/>
          <w:sz w:val="24"/>
          <w:highlight w:val="none"/>
        </w:rPr>
        <w:t>我方如有违背承诺，愿意接受国家和相关主管部门依法进行的处罚，并记入相关责任主体和责任人信用档案，同时在相关网站上公开。</w:t>
      </w:r>
    </w:p>
    <w:p>
      <w:pPr>
        <w:spacing w:line="360" w:lineRule="auto"/>
        <w:ind w:firstLine="4370" w:firstLineChars="1900"/>
        <w:rPr>
          <w:rFonts w:ascii="宋体" w:hAnsi="宋体" w:cs="宋体"/>
          <w:color w:val="auto"/>
          <w:spacing w:val="-5"/>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响应供应商：</w:t>
      </w:r>
      <w:r>
        <w:rPr>
          <w:rFonts w:hint="eastAsia" w:ascii="宋体" w:hAnsi="宋体" w:cs="宋体"/>
          <w:b/>
          <w:color w:val="auto"/>
          <w:spacing w:val="-2"/>
          <w:sz w:val="24"/>
          <w:highlight w:val="none"/>
          <w:u w:val="single"/>
        </w:rPr>
        <w:t>（盖单位章）</w:t>
      </w:r>
    </w:p>
    <w:p>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法定代表人或委托代理人（亲笔签名）：</w:t>
      </w:r>
    </w:p>
    <w:p>
      <w:pPr>
        <w:spacing w:line="360" w:lineRule="auto"/>
        <w:ind w:firstLine="3675"/>
        <w:rPr>
          <w:rFonts w:ascii="宋体" w:hAnsi="宋体" w:cs="宋体"/>
          <w:color w:val="auto"/>
          <w:sz w:val="24"/>
          <w:highlight w:val="none"/>
        </w:rPr>
      </w:pPr>
      <w:r>
        <w:rPr>
          <w:rFonts w:hint="eastAsia" w:ascii="宋体" w:hAnsi="宋体" w:cs="宋体"/>
          <w:color w:val="auto"/>
          <w:sz w:val="24"/>
          <w:highlight w:val="none"/>
        </w:rPr>
        <w:t>日期：   年   月   日</w:t>
      </w:r>
    </w:p>
    <w:p>
      <w:pPr>
        <w:spacing w:line="360" w:lineRule="auto"/>
        <w:rPr>
          <w:rFonts w:ascii="宋体" w:hAnsi="宋体" w:cs="宋体"/>
          <w:color w:val="auto"/>
          <w:sz w:val="28"/>
          <w:szCs w:val="28"/>
          <w:highlight w:val="none"/>
        </w:rPr>
      </w:pPr>
      <w:r>
        <w:rPr>
          <w:rFonts w:hint="eastAsia" w:ascii="宋体" w:hAnsi="宋体" w:cs="宋体"/>
          <w:color w:val="auto"/>
          <w:sz w:val="24"/>
          <w:highlight w:val="none"/>
        </w:rPr>
        <w:br w:type="page"/>
      </w:r>
    </w:p>
    <w:p>
      <w:pPr>
        <w:spacing w:line="360" w:lineRule="auto"/>
        <w:rPr>
          <w:rFonts w:ascii="宋体" w:hAnsi="宋体" w:cs="宋体"/>
          <w:color w:val="auto"/>
          <w:sz w:val="28"/>
          <w:szCs w:val="28"/>
          <w:highlight w:val="none"/>
        </w:rPr>
      </w:pPr>
      <w:r>
        <w:rPr>
          <w:rFonts w:hint="eastAsia" w:ascii="宋体" w:hAnsi="宋体" w:cs="宋体"/>
          <w:color w:val="auto"/>
          <w:sz w:val="28"/>
          <w:szCs w:val="28"/>
          <w:highlight w:val="none"/>
        </w:rPr>
        <w:t>附件4：</w:t>
      </w:r>
    </w:p>
    <w:p>
      <w:pPr>
        <w:snapToGrid w:val="0"/>
        <w:spacing w:line="360" w:lineRule="auto"/>
        <w:jc w:val="center"/>
        <w:outlineLvl w:val="2"/>
        <w:rPr>
          <w:rFonts w:ascii="宋体" w:hAnsi="宋体" w:cs="宋体"/>
          <w:color w:val="auto"/>
          <w:highlight w:val="none"/>
        </w:rPr>
      </w:pPr>
      <w:r>
        <w:rPr>
          <w:rFonts w:hint="eastAsia" w:ascii="宋体" w:hAnsi="宋体" w:cs="宋体"/>
          <w:b/>
          <w:bCs/>
          <w:color w:val="auto"/>
          <w:sz w:val="28"/>
          <w:szCs w:val="28"/>
          <w:highlight w:val="none"/>
        </w:rPr>
        <w:t>供应商基本情况表</w:t>
      </w:r>
    </w:p>
    <w:tbl>
      <w:tblPr>
        <w:tblStyle w:val="14"/>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3036"/>
        <w:gridCol w:w="1536"/>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70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供应商全称</w:t>
            </w:r>
          </w:p>
        </w:tc>
        <w:tc>
          <w:tcPr>
            <w:tcW w:w="6859" w:type="dxa"/>
            <w:gridSpan w:val="3"/>
            <w:vAlign w:val="center"/>
          </w:tcPr>
          <w:p>
            <w:pPr>
              <w:spacing w:line="360" w:lineRule="auto"/>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70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主要业务范围</w:t>
            </w:r>
          </w:p>
        </w:tc>
        <w:tc>
          <w:tcPr>
            <w:tcW w:w="6859" w:type="dxa"/>
            <w:gridSpan w:val="3"/>
            <w:vAlign w:val="center"/>
          </w:tcPr>
          <w:p>
            <w:pPr>
              <w:spacing w:line="360" w:lineRule="auto"/>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法定代表人姓名</w:t>
            </w:r>
          </w:p>
        </w:tc>
        <w:tc>
          <w:tcPr>
            <w:tcW w:w="3036" w:type="dxa"/>
            <w:vAlign w:val="center"/>
          </w:tcPr>
          <w:p>
            <w:pPr>
              <w:spacing w:line="360" w:lineRule="auto"/>
              <w:jc w:val="center"/>
              <w:rPr>
                <w:rFonts w:ascii="宋体" w:hAnsi="宋体" w:cs="宋体"/>
                <w:b/>
                <w:color w:val="auto"/>
                <w:szCs w:val="21"/>
                <w:highlight w:val="none"/>
              </w:rPr>
            </w:pPr>
          </w:p>
        </w:tc>
        <w:tc>
          <w:tcPr>
            <w:tcW w:w="1536"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    务</w:t>
            </w:r>
          </w:p>
        </w:tc>
        <w:tc>
          <w:tcPr>
            <w:tcW w:w="2287" w:type="dxa"/>
          </w:tcPr>
          <w:p>
            <w:pPr>
              <w:spacing w:line="360" w:lineRule="auto"/>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70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供应商地址</w:t>
            </w:r>
          </w:p>
        </w:tc>
        <w:tc>
          <w:tcPr>
            <w:tcW w:w="3036" w:type="dxa"/>
            <w:vAlign w:val="center"/>
          </w:tcPr>
          <w:p>
            <w:pPr>
              <w:spacing w:line="360" w:lineRule="auto"/>
              <w:jc w:val="center"/>
              <w:rPr>
                <w:rFonts w:ascii="宋体" w:hAnsi="宋体" w:cs="宋体"/>
                <w:b/>
                <w:color w:val="auto"/>
                <w:szCs w:val="21"/>
                <w:highlight w:val="none"/>
              </w:rPr>
            </w:pPr>
          </w:p>
        </w:tc>
        <w:tc>
          <w:tcPr>
            <w:tcW w:w="1536"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287" w:type="dxa"/>
          </w:tcPr>
          <w:p>
            <w:pPr>
              <w:spacing w:line="360" w:lineRule="auto"/>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70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电       话</w:t>
            </w:r>
          </w:p>
        </w:tc>
        <w:tc>
          <w:tcPr>
            <w:tcW w:w="3036" w:type="dxa"/>
            <w:vAlign w:val="center"/>
          </w:tcPr>
          <w:p>
            <w:pPr>
              <w:spacing w:line="360" w:lineRule="auto"/>
              <w:jc w:val="center"/>
              <w:rPr>
                <w:rFonts w:ascii="宋体" w:hAnsi="宋体" w:cs="宋体"/>
                <w:b/>
                <w:color w:val="auto"/>
                <w:szCs w:val="21"/>
                <w:highlight w:val="none"/>
              </w:rPr>
            </w:pPr>
          </w:p>
        </w:tc>
        <w:tc>
          <w:tcPr>
            <w:tcW w:w="1536"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传   真</w:t>
            </w:r>
          </w:p>
        </w:tc>
        <w:tc>
          <w:tcPr>
            <w:tcW w:w="2287" w:type="dxa"/>
          </w:tcPr>
          <w:p>
            <w:pPr>
              <w:spacing w:line="360" w:lineRule="auto"/>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708"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成立日期</w:t>
            </w:r>
          </w:p>
        </w:tc>
        <w:tc>
          <w:tcPr>
            <w:tcW w:w="3036" w:type="dxa"/>
            <w:vAlign w:val="center"/>
          </w:tcPr>
          <w:p>
            <w:pPr>
              <w:spacing w:line="360" w:lineRule="auto"/>
              <w:jc w:val="center"/>
              <w:rPr>
                <w:rFonts w:ascii="宋体" w:hAnsi="宋体" w:cs="宋体"/>
                <w:b/>
                <w:color w:val="auto"/>
                <w:szCs w:val="21"/>
                <w:highlight w:val="none"/>
              </w:rPr>
            </w:pPr>
          </w:p>
        </w:tc>
        <w:tc>
          <w:tcPr>
            <w:tcW w:w="1536"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现 有 职</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 人 数</w:t>
            </w:r>
          </w:p>
        </w:tc>
        <w:tc>
          <w:tcPr>
            <w:tcW w:w="2287" w:type="dxa"/>
          </w:tcPr>
          <w:p>
            <w:pPr>
              <w:spacing w:line="360" w:lineRule="auto"/>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708" w:type="dxa"/>
            <w:vAlign w:val="center"/>
          </w:tcPr>
          <w:p>
            <w:pPr>
              <w:pStyle w:val="1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资质等级证书（如有）</w:t>
            </w:r>
          </w:p>
        </w:tc>
        <w:tc>
          <w:tcPr>
            <w:tcW w:w="6859" w:type="dxa"/>
            <w:gridSpan w:val="3"/>
          </w:tcPr>
          <w:p>
            <w:pPr>
              <w:spacing w:line="360" w:lineRule="auto"/>
              <w:rPr>
                <w:rFonts w:ascii="宋体" w:hAnsi="宋体" w:cs="宋体"/>
                <w:b/>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等 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9567" w:type="dxa"/>
            <w:gridSpan w:val="4"/>
            <w:tcBorders>
              <w:bottom w:val="single" w:color="auto" w:sz="4" w:space="0"/>
            </w:tcBorders>
          </w:tcPr>
          <w:p>
            <w:pPr>
              <w:spacing w:line="360" w:lineRule="auto"/>
              <w:rPr>
                <w:rFonts w:ascii="宋体" w:hAnsi="宋体" w:cs="宋体"/>
                <w:color w:val="auto"/>
                <w:szCs w:val="21"/>
                <w:highlight w:val="none"/>
              </w:rPr>
            </w:pPr>
            <w:r>
              <w:rPr>
                <w:rFonts w:hint="eastAsia" w:ascii="宋体" w:hAnsi="宋体" w:cs="宋体"/>
                <w:color w:val="auto"/>
                <w:szCs w:val="21"/>
                <w:highlight w:val="none"/>
              </w:rPr>
              <w:t>单位简介：</w:t>
            </w:r>
          </w:p>
          <w:p>
            <w:pPr>
              <w:spacing w:line="360" w:lineRule="auto"/>
              <w:ind w:firstLine="2880"/>
              <w:rPr>
                <w:rFonts w:ascii="宋体" w:hAnsi="宋体" w:cs="宋体"/>
                <w:color w:val="auto"/>
                <w:szCs w:val="21"/>
                <w:highlight w:val="none"/>
              </w:rPr>
            </w:pPr>
          </w:p>
          <w:p>
            <w:pPr>
              <w:spacing w:line="360" w:lineRule="auto"/>
              <w:ind w:firstLine="2880"/>
              <w:rPr>
                <w:rFonts w:ascii="宋体" w:hAnsi="宋体" w:cs="宋体"/>
                <w:color w:val="auto"/>
                <w:szCs w:val="21"/>
                <w:highlight w:val="none"/>
              </w:rPr>
            </w:pP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技术人员总数：      人</w:t>
            </w:r>
          </w:p>
        </w:tc>
      </w:tr>
    </w:tbl>
    <w:p>
      <w:pPr>
        <w:pStyle w:val="2"/>
        <w:spacing w:line="360" w:lineRule="auto"/>
        <w:ind w:left="0" w:leftChars="0" w:firstLine="0" w:firstLineChars="0"/>
        <w:rPr>
          <w:rFonts w:ascii="宋体" w:hAnsi="宋体" w:cs="宋体"/>
          <w:color w:val="auto"/>
          <w:sz w:val="24"/>
          <w:highlight w:val="none"/>
        </w:rPr>
      </w:pPr>
    </w:p>
    <w:p>
      <w:pPr>
        <w:pStyle w:val="2"/>
        <w:spacing w:line="360" w:lineRule="auto"/>
        <w:ind w:firstLine="480"/>
        <w:rPr>
          <w:rFonts w:ascii="宋体" w:hAnsi="宋体" w:cs="宋体"/>
          <w:color w:val="auto"/>
          <w:sz w:val="24"/>
          <w:highlight w:val="none"/>
        </w:rPr>
      </w:pPr>
    </w:p>
    <w:p>
      <w:pPr>
        <w:pStyle w:val="2"/>
        <w:spacing w:line="360" w:lineRule="auto"/>
        <w:ind w:firstLine="480"/>
        <w:rPr>
          <w:rFonts w:ascii="宋体" w:hAnsi="宋体" w:cs="宋体"/>
          <w:color w:val="auto"/>
          <w:sz w:val="24"/>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供应商（盖单位公章）：</w:t>
      </w:r>
    </w:p>
    <w:p>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法定代表人或委托代理人（亲笔签名）：</w:t>
      </w:r>
    </w:p>
    <w:p>
      <w:pPr>
        <w:snapToGrid w:val="0"/>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年    月    日</w:t>
      </w:r>
    </w:p>
    <w:p>
      <w:pPr>
        <w:snapToGrid w:val="0"/>
        <w:spacing w:line="360" w:lineRule="auto"/>
        <w:ind w:firstLine="1200" w:firstLineChars="500"/>
        <w:rPr>
          <w:rFonts w:ascii="宋体" w:hAnsi="宋体" w:cs="宋体"/>
          <w:color w:val="auto"/>
          <w:sz w:val="24"/>
          <w:highlight w:val="none"/>
        </w:rPr>
      </w:pPr>
    </w:p>
    <w:p>
      <w:pPr>
        <w:snapToGrid w:val="0"/>
        <w:spacing w:line="360" w:lineRule="auto"/>
        <w:rPr>
          <w:rFonts w:ascii="宋体" w:hAnsi="宋体" w:cs="宋体"/>
          <w:color w:val="auto"/>
          <w:sz w:val="24"/>
          <w:highlight w:val="none"/>
        </w:rPr>
      </w:pPr>
    </w:p>
    <w:p>
      <w:pPr>
        <w:pStyle w:val="2"/>
        <w:spacing w:line="360" w:lineRule="auto"/>
        <w:rPr>
          <w:color w:val="auto"/>
          <w:highlight w:val="none"/>
        </w:rPr>
      </w:pPr>
    </w:p>
    <w:p>
      <w:pPr>
        <w:pStyle w:val="2"/>
        <w:spacing w:line="360" w:lineRule="auto"/>
        <w:rPr>
          <w:color w:val="auto"/>
          <w:highlight w:val="none"/>
        </w:rPr>
      </w:pPr>
    </w:p>
    <w:p>
      <w:pPr>
        <w:tabs>
          <w:tab w:val="left" w:pos="3375"/>
        </w:tabs>
        <w:snapToGrid w:val="0"/>
        <w:spacing w:line="360" w:lineRule="auto"/>
        <w:ind w:firstLine="480" w:firstLineChars="200"/>
        <w:outlineLvl w:val="2"/>
        <w:rPr>
          <w:rFonts w:ascii="宋体" w:hAnsi="宋体" w:cs="宋体"/>
          <w:color w:val="auto"/>
          <w:sz w:val="24"/>
          <w:highlight w:val="none"/>
        </w:rPr>
      </w:pPr>
      <w:r>
        <w:rPr>
          <w:rFonts w:hint="eastAsia" w:ascii="宋体" w:hAnsi="宋体" w:cs="宋体"/>
          <w:color w:val="auto"/>
          <w:sz w:val="24"/>
          <w:highlight w:val="none"/>
        </w:rPr>
        <w:t>注：本表后附竞争性谈判公告资格要求提供相应的佐证材料（以下材料均须提供扫描件（或复印件）并加盖公章）；</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在全国投资项目在线审批监管平台上备案（备案专业公路，服务范围包含规划咨询）</w:t>
      </w:r>
      <w:r>
        <w:rPr>
          <w:rFonts w:hint="eastAsia" w:ascii="宋体" w:hAnsi="宋体" w:cs="宋体"/>
          <w:color w:val="auto"/>
          <w:sz w:val="24"/>
          <w:highlight w:val="none"/>
        </w:rPr>
        <w:t>；</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（2）供应商自2018年1月1日以来（以合同签订时间为准），供应商承担过地级市或以上公路规划编制工作；（注：须提供合同复印件或扫描件并加盖供应商公章）</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拟投入的项目负责人应具备高级工程师（或副教授）或以上技术职称，担任过地级市或以上公路规划编制工作的项目负责人；（注：提供项目负责人的职称证书或电子证书的复印件或扫描件加盖供应商公章，并提供合同复印件或扫描件加盖供应商公章，若合同内无法体现姓名及岗位情况的，还需提供委托方确认的业绩证明材料）</w:t>
      </w: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（4）供应商在“信用中国”网站（http://www.creditchina.gov.cn/）中未被列入失信被执行人名单、重大税收违法案件当事人名单、</w:t>
      </w:r>
      <w:r>
        <w:rPr>
          <w:rFonts w:ascii="宋体" w:hAnsi="宋体" w:cs="宋体"/>
          <w:color w:val="auto"/>
          <w:sz w:val="24"/>
          <w:highlight w:val="none"/>
        </w:rPr>
        <w:t>政府采购严重失信行为记录名单</w:t>
      </w:r>
      <w:r>
        <w:rPr>
          <w:rFonts w:hint="eastAsia" w:ascii="宋体" w:hAnsi="宋体" w:cs="宋体"/>
          <w:color w:val="auto"/>
          <w:sz w:val="24"/>
          <w:highlight w:val="none"/>
        </w:rPr>
        <w:t>截图，在国家企业信用信息公示系（http://www.gsxt.gov.cn/）中未被列入严重违法失信企业名单截图，未被“中国政府采购网”（http://www.ccgp.gov.cn/）列入政府采购严重失信行为记录名单截图；</w:t>
      </w:r>
    </w:p>
    <w:p>
      <w:pPr>
        <w:tabs>
          <w:tab w:val="left" w:pos="3375"/>
        </w:tabs>
        <w:autoSpaceDE w:val="0"/>
        <w:autoSpaceDN w:val="0"/>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注：上述截图请在本项目谈判公告后递交响应文件截止时间前截取并放入响应文件中。</w:t>
      </w:r>
    </w:p>
    <w:p>
      <w:pPr>
        <w:tabs>
          <w:tab w:val="left" w:pos="3375"/>
        </w:tabs>
        <w:autoSpaceDE w:val="0"/>
        <w:autoSpaceDN w:val="0"/>
        <w:adjustRightInd w:val="0"/>
        <w:snapToGrid w:val="0"/>
        <w:spacing w:line="360" w:lineRule="auto"/>
        <w:rPr>
          <w:rFonts w:ascii="宋体" w:hAnsi="宋体" w:cs="宋体"/>
          <w:color w:val="auto"/>
          <w:sz w:val="24"/>
          <w:highlight w:val="none"/>
        </w:rPr>
      </w:pPr>
    </w:p>
    <w:p>
      <w:pPr>
        <w:tabs>
          <w:tab w:val="left" w:pos="3375"/>
        </w:tabs>
        <w:autoSpaceDE w:val="0"/>
        <w:autoSpaceDN w:val="0"/>
        <w:adjustRightInd w:val="0"/>
        <w:snapToGrid w:val="0"/>
        <w:spacing w:line="360" w:lineRule="auto"/>
        <w:ind w:firstLine="480" w:firstLineChars="200"/>
        <w:rPr>
          <w:rFonts w:ascii="宋体" w:hAnsi="宋体" w:cs="宋体"/>
          <w:color w:val="auto"/>
          <w:sz w:val="24"/>
          <w:highlight w:val="none"/>
        </w:rPr>
      </w:pPr>
    </w:p>
    <w:p>
      <w:pPr>
        <w:pStyle w:val="26"/>
        <w:autoSpaceDE w:val="0"/>
        <w:autoSpaceDN w:val="0"/>
        <w:spacing w:beforeLines="50" w:afterLines="50" w:line="360" w:lineRule="auto"/>
        <w:jc w:val="both"/>
        <w:rPr>
          <w:rFonts w:ascii="宋体" w:hAnsi="宋体" w:cs="宋体"/>
          <w:color w:val="auto"/>
          <w:sz w:val="24"/>
          <w:highlight w:val="none"/>
        </w:rPr>
      </w:pPr>
      <w:r>
        <w:rPr>
          <w:rFonts w:hint="eastAsia" w:ascii="宋体" w:hAnsi="宋体" w:cs="宋体"/>
          <w:color w:val="auto"/>
          <w:sz w:val="24"/>
          <w:highlight w:val="none"/>
        </w:rPr>
        <w:br w:type="page"/>
      </w:r>
    </w:p>
    <w:p>
      <w:pPr>
        <w:tabs>
          <w:tab w:val="left" w:pos="3375"/>
        </w:tabs>
        <w:spacing w:line="360" w:lineRule="auto"/>
        <w:rPr>
          <w:rFonts w:ascii="宋体" w:hAnsi="宋体" w:cs="宋体"/>
          <w:color w:val="auto"/>
          <w:sz w:val="24"/>
          <w:highlight w:val="none"/>
        </w:rPr>
      </w:pPr>
      <w:r>
        <w:rPr>
          <w:rFonts w:hint="eastAsia" w:ascii="宋体" w:hAnsi="宋体" w:cs="宋体"/>
          <w:color w:val="auto"/>
          <w:sz w:val="28"/>
          <w:szCs w:val="28"/>
          <w:highlight w:val="none"/>
        </w:rPr>
        <w:t>附件5：</w:t>
      </w:r>
      <w:r>
        <w:rPr>
          <w:rFonts w:hint="eastAsia" w:ascii="宋体" w:hAnsi="宋体" w:cs="宋体"/>
          <w:color w:val="auto"/>
          <w:sz w:val="24"/>
          <w:highlight w:val="none"/>
        </w:rPr>
        <w:t xml:space="preserve">                  其它需要提交的资格审查材料</w:t>
      </w:r>
    </w:p>
    <w:p>
      <w:pPr>
        <w:pStyle w:val="2"/>
        <w:spacing w:line="360" w:lineRule="auto"/>
        <w:rPr>
          <w:color w:val="auto"/>
          <w:highlight w:val="none"/>
        </w:rPr>
      </w:pPr>
    </w:p>
    <w:p>
      <w:pPr>
        <w:tabs>
          <w:tab w:val="left" w:pos="3375"/>
        </w:tabs>
        <w:autoSpaceDE w:val="0"/>
        <w:autoSpaceDN w:val="0"/>
        <w:adjustRightInd w:val="0"/>
        <w:snapToGrid w:val="0"/>
        <w:spacing w:line="360" w:lineRule="auto"/>
        <w:contextualSpacing/>
        <w:rPr>
          <w:rFonts w:ascii="宋体" w:hAnsi="宋体" w:cs="宋体"/>
          <w:color w:val="auto"/>
          <w:sz w:val="24"/>
          <w:highlight w:val="none"/>
        </w:rPr>
      </w:pPr>
      <w:r>
        <w:rPr>
          <w:rFonts w:hint="eastAsia" w:ascii="宋体" w:hAnsi="宋体" w:cs="宋体"/>
          <w:color w:val="auto"/>
          <w:sz w:val="24"/>
          <w:highlight w:val="none"/>
        </w:rPr>
        <w:t>①其他</w:t>
      </w:r>
    </w:p>
    <w:p>
      <w:pPr>
        <w:tabs>
          <w:tab w:val="left" w:pos="3375"/>
        </w:tabs>
        <w:autoSpaceDE w:val="0"/>
        <w:autoSpaceDN w:val="0"/>
        <w:adjustRightInd w:val="0"/>
        <w:snapToGrid w:val="0"/>
        <w:spacing w:line="360" w:lineRule="auto"/>
        <w:contextualSpacing/>
        <w:rPr>
          <w:rFonts w:ascii="宋体" w:hAnsi="宋体" w:cs="宋体"/>
          <w:color w:val="auto"/>
          <w:sz w:val="28"/>
          <w:szCs w:val="28"/>
          <w:highlight w:val="none"/>
        </w:rPr>
      </w:pPr>
      <w:r>
        <w:rPr>
          <w:rFonts w:hint="eastAsia" w:ascii="宋体" w:hAnsi="宋体" w:cs="宋体"/>
          <w:color w:val="auto"/>
          <w:sz w:val="24"/>
          <w:highlight w:val="none"/>
        </w:rPr>
        <w:t>...</w:t>
      </w:r>
      <w:r>
        <w:rPr>
          <w:rFonts w:hint="eastAsia" w:ascii="宋体" w:hAnsi="宋体" w:cs="宋体"/>
          <w:color w:val="auto"/>
          <w:sz w:val="24"/>
          <w:highlight w:val="none"/>
        </w:rPr>
        <w:br w:type="page"/>
      </w:r>
      <w:r>
        <w:rPr>
          <w:rFonts w:hint="eastAsia" w:ascii="宋体" w:hAnsi="宋体" w:cs="宋体"/>
          <w:color w:val="auto"/>
          <w:sz w:val="28"/>
          <w:szCs w:val="28"/>
          <w:highlight w:val="none"/>
        </w:rPr>
        <w:t>第二部分格式：</w:t>
      </w:r>
    </w:p>
    <w:p>
      <w:pPr>
        <w:snapToGrid w:val="0"/>
        <w:spacing w:line="360" w:lineRule="auto"/>
        <w:contextualSpacing/>
        <w:rPr>
          <w:rFonts w:ascii="宋体" w:hAnsi="宋体" w:cs="宋体"/>
          <w:color w:val="auto"/>
          <w:sz w:val="32"/>
          <w:szCs w:val="32"/>
          <w:highlight w:val="none"/>
        </w:rPr>
      </w:pPr>
    </w:p>
    <w:p>
      <w:pPr>
        <w:autoSpaceDE w:val="0"/>
        <w:autoSpaceDN w:val="0"/>
        <w:adjustRightInd w:val="0"/>
        <w:spacing w:line="360" w:lineRule="auto"/>
        <w:jc w:val="center"/>
        <w:rPr>
          <w:rFonts w:ascii="宋体" w:hAnsi="宋体" w:cs="宋体"/>
          <w:b/>
          <w:color w:val="auto"/>
          <w:sz w:val="32"/>
          <w:szCs w:val="32"/>
          <w:highlight w:val="none"/>
        </w:rPr>
      </w:pPr>
    </w:p>
    <w:p>
      <w:pPr>
        <w:autoSpaceDE w:val="0"/>
        <w:autoSpaceDN w:val="0"/>
        <w:adjustRightInd w:val="0"/>
        <w:spacing w:line="360" w:lineRule="auto"/>
        <w:jc w:val="center"/>
        <w:rPr>
          <w:rFonts w:ascii="宋体" w:hAnsi="宋体" w:cs="宋体"/>
          <w:b/>
          <w:color w:val="auto"/>
          <w:sz w:val="48"/>
          <w:szCs w:val="48"/>
          <w:highlight w:val="none"/>
        </w:rPr>
      </w:pPr>
      <w:r>
        <w:rPr>
          <w:rFonts w:hint="eastAsia" w:ascii="宋体" w:hAnsi="宋体" w:cs="宋体"/>
          <w:b/>
          <w:color w:val="auto"/>
          <w:sz w:val="44"/>
          <w:szCs w:val="44"/>
          <w:highlight w:val="none"/>
        </w:rPr>
        <w:t>《南通市普通国省道服务设施和养护工区布局规划（2023-2035）》项目</w:t>
      </w:r>
    </w:p>
    <w:p>
      <w:pPr>
        <w:pStyle w:val="2"/>
        <w:spacing w:line="360" w:lineRule="auto"/>
        <w:rPr>
          <w:color w:val="auto"/>
          <w:highlight w:val="none"/>
        </w:rPr>
      </w:pPr>
    </w:p>
    <w:p>
      <w:pPr>
        <w:tabs>
          <w:tab w:val="left" w:pos="6300"/>
        </w:tabs>
        <w:snapToGrid w:val="0"/>
        <w:spacing w:line="360" w:lineRule="auto"/>
        <w:jc w:val="center"/>
        <w:rPr>
          <w:rFonts w:ascii="宋体" w:hAnsi="宋体" w:cs="宋体"/>
          <w:b/>
          <w:color w:val="auto"/>
          <w:w w:val="80"/>
          <w:sz w:val="32"/>
          <w:szCs w:val="32"/>
          <w:highlight w:val="none"/>
        </w:rPr>
      </w:pPr>
      <w:r>
        <w:rPr>
          <w:rFonts w:hint="eastAsia" w:ascii="宋体" w:hAnsi="宋体" w:cs="宋体"/>
          <w:b/>
          <w:color w:val="auto"/>
          <w:w w:val="80"/>
          <w:sz w:val="32"/>
          <w:szCs w:val="32"/>
          <w:highlight w:val="none"/>
        </w:rPr>
        <w:t>项目编号：2023GQGH</w:t>
      </w:r>
    </w:p>
    <w:p>
      <w:pPr>
        <w:spacing w:after="60" w:line="360" w:lineRule="auto"/>
        <w:ind w:firstLine="3373" w:firstLineChars="1050"/>
        <w:rPr>
          <w:rFonts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pPr>
        <w:spacing w:after="60"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（价格响应文件）</w:t>
      </w:r>
    </w:p>
    <w:p>
      <w:pPr>
        <w:spacing w:after="60" w:line="360" w:lineRule="auto"/>
        <w:jc w:val="center"/>
        <w:rPr>
          <w:rFonts w:ascii="宋体" w:hAnsi="宋体" w:cs="宋体"/>
          <w:b/>
          <w:bCs/>
          <w:color w:val="auto"/>
          <w:sz w:val="72"/>
          <w:szCs w:val="72"/>
          <w:highlight w:val="none"/>
        </w:rPr>
      </w:pPr>
    </w:p>
    <w:p>
      <w:pPr>
        <w:spacing w:after="60" w:line="360" w:lineRule="auto"/>
        <w:jc w:val="center"/>
        <w:rPr>
          <w:rFonts w:ascii="宋体" w:hAnsi="宋体" w:cs="宋体"/>
          <w:b/>
          <w:bCs/>
          <w:color w:val="auto"/>
          <w:sz w:val="72"/>
          <w:szCs w:val="72"/>
          <w:highlight w:val="none"/>
        </w:rPr>
      </w:pPr>
    </w:p>
    <w:p>
      <w:pPr>
        <w:spacing w:after="60" w:line="360" w:lineRule="auto"/>
        <w:jc w:val="center"/>
        <w:rPr>
          <w:rFonts w:ascii="宋体" w:hAnsi="宋体" w:cs="宋体"/>
          <w:b/>
          <w:bCs/>
          <w:color w:val="auto"/>
          <w:sz w:val="72"/>
          <w:szCs w:val="72"/>
          <w:highlight w:val="none"/>
        </w:rPr>
      </w:pP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供应商（盖公章）：</w:t>
      </w:r>
    </w:p>
    <w:p>
      <w:pPr>
        <w:spacing w:line="360" w:lineRule="auto"/>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法定代表人（或其委托代理人）（亲笔签名）：</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日    期：</w:t>
      </w:r>
    </w:p>
    <w:p>
      <w:pPr>
        <w:pStyle w:val="2"/>
        <w:spacing w:line="360" w:lineRule="auto"/>
        <w:rPr>
          <w:color w:val="auto"/>
          <w:highlight w:val="none"/>
        </w:rPr>
      </w:pPr>
    </w:p>
    <w:p>
      <w:pPr>
        <w:rPr>
          <w:rFonts w:ascii="宋体" w:hAnsi="宋体" w:cs="宋体"/>
          <w:color w:val="auto"/>
          <w:sz w:val="32"/>
          <w:szCs w:val="32"/>
          <w:highlight w:val="none"/>
        </w:rPr>
      </w:pPr>
      <w:r>
        <w:rPr>
          <w:rFonts w:hint="eastAsia" w:ascii="宋体" w:hAnsi="宋体" w:cs="宋体"/>
          <w:color w:val="auto"/>
          <w:sz w:val="32"/>
          <w:szCs w:val="32"/>
          <w:highlight w:val="none"/>
        </w:rPr>
        <w:br w:type="page"/>
      </w:r>
    </w:p>
    <w:p>
      <w:pPr>
        <w:snapToGrid w:val="0"/>
        <w:spacing w:line="360" w:lineRule="auto"/>
        <w:contextualSpacing/>
        <w:rPr>
          <w:rFonts w:ascii="宋体" w:hAnsi="宋体" w:cs="宋体"/>
          <w:color w:val="auto"/>
          <w:sz w:val="32"/>
          <w:szCs w:val="32"/>
          <w:highlight w:val="none"/>
        </w:rPr>
      </w:pPr>
      <w:r>
        <w:rPr>
          <w:rFonts w:hint="eastAsia" w:ascii="宋体" w:hAnsi="宋体" w:cs="宋体"/>
          <w:color w:val="auto"/>
          <w:sz w:val="32"/>
          <w:szCs w:val="32"/>
          <w:highlight w:val="none"/>
        </w:rPr>
        <w:t>附件1：</w:t>
      </w:r>
    </w:p>
    <w:p>
      <w:pPr>
        <w:snapToGri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谈判报价总表</w:t>
      </w:r>
    </w:p>
    <w:tbl>
      <w:tblPr>
        <w:tblStyle w:val="14"/>
        <w:tblW w:w="9597" w:type="dxa"/>
        <w:tblInd w:w="95" w:type="dxa"/>
        <w:tblLayout w:type="fixed"/>
        <w:tblCellMar>
          <w:top w:w="0" w:type="dxa"/>
          <w:left w:w="108" w:type="dxa"/>
          <w:bottom w:w="0" w:type="dxa"/>
          <w:right w:w="108" w:type="dxa"/>
        </w:tblCellMar>
      </w:tblPr>
      <w:tblGrid>
        <w:gridCol w:w="6392"/>
        <w:gridCol w:w="236"/>
        <w:gridCol w:w="236"/>
        <w:gridCol w:w="1513"/>
        <w:gridCol w:w="980"/>
        <w:gridCol w:w="240"/>
      </w:tblGrid>
      <w:tr>
        <w:tblPrEx>
          <w:tblCellMar>
            <w:top w:w="0" w:type="dxa"/>
            <w:left w:w="108" w:type="dxa"/>
            <w:bottom w:w="0" w:type="dxa"/>
            <w:right w:w="108" w:type="dxa"/>
          </w:tblCellMar>
        </w:tblPrEx>
        <w:trPr>
          <w:trHeight w:val="405" w:hRule="atLeast"/>
        </w:trPr>
        <w:tc>
          <w:tcPr>
            <w:tcW w:w="6392" w:type="dxa"/>
            <w:tcBorders>
              <w:top w:val="nil"/>
              <w:left w:val="nil"/>
              <w:bottom w:val="nil"/>
              <w:right w:val="nil"/>
            </w:tcBorders>
            <w:noWrap/>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项目名称：</w:t>
            </w:r>
          </w:p>
        </w:tc>
        <w:tc>
          <w:tcPr>
            <w:tcW w:w="236" w:type="dxa"/>
            <w:tcBorders>
              <w:top w:val="nil"/>
              <w:left w:val="nil"/>
              <w:bottom w:val="nil"/>
              <w:right w:val="nil"/>
            </w:tcBorders>
            <w:noWrap/>
            <w:vAlign w:val="center"/>
          </w:tcPr>
          <w:p>
            <w:pPr>
              <w:widowControl/>
              <w:spacing w:line="360" w:lineRule="auto"/>
              <w:jc w:val="left"/>
              <w:rPr>
                <w:rFonts w:ascii="宋体" w:hAnsi="宋体" w:cs="宋体"/>
                <w:color w:val="auto"/>
                <w:kern w:val="0"/>
                <w:sz w:val="24"/>
                <w:highlight w:val="none"/>
              </w:rPr>
            </w:pPr>
          </w:p>
        </w:tc>
        <w:tc>
          <w:tcPr>
            <w:tcW w:w="236" w:type="dxa"/>
            <w:tcBorders>
              <w:top w:val="nil"/>
              <w:left w:val="nil"/>
              <w:bottom w:val="nil"/>
              <w:right w:val="nil"/>
            </w:tcBorders>
            <w:noWrap/>
            <w:vAlign w:val="center"/>
          </w:tcPr>
          <w:p>
            <w:pPr>
              <w:widowControl/>
              <w:spacing w:line="360" w:lineRule="auto"/>
              <w:jc w:val="left"/>
              <w:rPr>
                <w:rFonts w:ascii="宋体" w:hAnsi="宋体" w:cs="宋体"/>
                <w:color w:val="auto"/>
                <w:kern w:val="0"/>
                <w:sz w:val="24"/>
                <w:highlight w:val="none"/>
              </w:rPr>
            </w:pPr>
          </w:p>
        </w:tc>
        <w:tc>
          <w:tcPr>
            <w:tcW w:w="2493" w:type="dxa"/>
            <w:gridSpan w:val="2"/>
            <w:tcBorders>
              <w:top w:val="nil"/>
              <w:left w:val="nil"/>
              <w:bottom w:val="nil"/>
              <w:right w:val="nil"/>
            </w:tcBorders>
            <w:noWrap/>
            <w:vAlign w:val="center"/>
          </w:tcPr>
          <w:p>
            <w:pPr>
              <w:widowControl/>
              <w:spacing w:line="360" w:lineRule="auto"/>
              <w:jc w:val="left"/>
              <w:rPr>
                <w:rFonts w:ascii="宋体" w:hAnsi="宋体" w:cs="宋体"/>
                <w:color w:val="auto"/>
                <w:kern w:val="0"/>
                <w:sz w:val="24"/>
                <w:highlight w:val="none"/>
              </w:rPr>
            </w:pPr>
          </w:p>
        </w:tc>
        <w:tc>
          <w:tcPr>
            <w:tcW w:w="240" w:type="dxa"/>
            <w:tcBorders>
              <w:top w:val="nil"/>
              <w:left w:val="nil"/>
              <w:bottom w:val="nil"/>
              <w:right w:val="nil"/>
            </w:tcBorders>
            <w:noWrap/>
            <w:vAlign w:val="center"/>
          </w:tcPr>
          <w:p>
            <w:pPr>
              <w:widowControl/>
              <w:spacing w:line="360" w:lineRule="auto"/>
              <w:jc w:val="left"/>
              <w:rPr>
                <w:rFonts w:ascii="宋体" w:hAnsi="宋体" w:cs="宋体"/>
                <w:color w:val="auto"/>
                <w:kern w:val="0"/>
                <w:sz w:val="24"/>
                <w:highlight w:val="none"/>
              </w:rPr>
            </w:pPr>
          </w:p>
        </w:tc>
      </w:tr>
      <w:tr>
        <w:tblPrEx>
          <w:tblCellMar>
            <w:top w:w="0" w:type="dxa"/>
            <w:left w:w="108" w:type="dxa"/>
            <w:bottom w:w="0" w:type="dxa"/>
            <w:right w:w="108" w:type="dxa"/>
          </w:tblCellMar>
        </w:tblPrEx>
        <w:trPr>
          <w:trHeight w:val="420" w:hRule="atLeast"/>
        </w:trPr>
        <w:tc>
          <w:tcPr>
            <w:tcW w:w="6392" w:type="dxa"/>
            <w:tcBorders>
              <w:top w:val="nil"/>
              <w:left w:val="nil"/>
              <w:bottom w:val="nil"/>
              <w:right w:val="nil"/>
            </w:tcBorders>
            <w:noWrap/>
            <w:vAlign w:val="center"/>
          </w:tcPr>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项目编号：</w:t>
            </w:r>
          </w:p>
        </w:tc>
        <w:tc>
          <w:tcPr>
            <w:tcW w:w="236" w:type="dxa"/>
            <w:tcBorders>
              <w:top w:val="nil"/>
              <w:left w:val="nil"/>
              <w:bottom w:val="nil"/>
              <w:right w:val="nil"/>
            </w:tcBorders>
            <w:noWrap/>
            <w:vAlign w:val="center"/>
          </w:tcPr>
          <w:p>
            <w:pPr>
              <w:widowControl/>
              <w:spacing w:line="360" w:lineRule="auto"/>
              <w:jc w:val="left"/>
              <w:rPr>
                <w:rFonts w:ascii="宋体" w:hAnsi="宋体" w:cs="宋体"/>
                <w:color w:val="auto"/>
                <w:kern w:val="0"/>
                <w:sz w:val="24"/>
                <w:highlight w:val="none"/>
              </w:rPr>
            </w:pPr>
          </w:p>
        </w:tc>
        <w:tc>
          <w:tcPr>
            <w:tcW w:w="236" w:type="dxa"/>
            <w:tcBorders>
              <w:top w:val="nil"/>
              <w:left w:val="nil"/>
              <w:bottom w:val="nil"/>
              <w:right w:val="nil"/>
            </w:tcBorders>
            <w:noWrap/>
            <w:vAlign w:val="center"/>
          </w:tcPr>
          <w:p>
            <w:pPr>
              <w:widowControl/>
              <w:spacing w:line="360" w:lineRule="auto"/>
              <w:jc w:val="left"/>
              <w:rPr>
                <w:rFonts w:ascii="宋体" w:hAnsi="宋体" w:cs="宋体"/>
                <w:color w:val="auto"/>
                <w:kern w:val="0"/>
                <w:sz w:val="24"/>
                <w:highlight w:val="none"/>
              </w:rPr>
            </w:pPr>
          </w:p>
        </w:tc>
        <w:tc>
          <w:tcPr>
            <w:tcW w:w="2493" w:type="dxa"/>
            <w:gridSpan w:val="2"/>
            <w:tcBorders>
              <w:top w:val="nil"/>
              <w:left w:val="nil"/>
              <w:bottom w:val="nil"/>
              <w:right w:val="nil"/>
            </w:tcBorders>
            <w:noWrap/>
            <w:vAlign w:val="center"/>
          </w:tcPr>
          <w:p>
            <w:pPr>
              <w:widowControl/>
              <w:spacing w:line="360" w:lineRule="auto"/>
              <w:jc w:val="left"/>
              <w:rPr>
                <w:rFonts w:ascii="宋体" w:hAnsi="宋体" w:cs="宋体"/>
                <w:color w:val="auto"/>
                <w:kern w:val="0"/>
                <w:sz w:val="24"/>
                <w:highlight w:val="none"/>
              </w:rPr>
            </w:pPr>
          </w:p>
        </w:tc>
        <w:tc>
          <w:tcPr>
            <w:tcW w:w="240" w:type="dxa"/>
            <w:tcBorders>
              <w:top w:val="nil"/>
              <w:left w:val="nil"/>
              <w:bottom w:val="nil"/>
              <w:right w:val="nil"/>
            </w:tcBorders>
            <w:noWrap/>
            <w:vAlign w:val="center"/>
          </w:tcPr>
          <w:p>
            <w:pPr>
              <w:widowControl/>
              <w:spacing w:line="360" w:lineRule="auto"/>
              <w:jc w:val="left"/>
              <w:rPr>
                <w:rFonts w:ascii="宋体" w:hAnsi="宋体" w:cs="宋体"/>
                <w:color w:val="auto"/>
                <w:kern w:val="0"/>
                <w:sz w:val="24"/>
                <w:highlight w:val="none"/>
              </w:rPr>
            </w:pPr>
          </w:p>
        </w:tc>
      </w:tr>
      <w:tr>
        <w:tblPrEx>
          <w:tblCellMar>
            <w:top w:w="0" w:type="dxa"/>
            <w:left w:w="108" w:type="dxa"/>
            <w:bottom w:w="0" w:type="dxa"/>
            <w:right w:w="108" w:type="dxa"/>
          </w:tblCellMar>
        </w:tblPrEx>
        <w:trPr>
          <w:gridAfter w:val="2"/>
          <w:wAfter w:w="1220" w:type="dxa"/>
          <w:trHeight w:val="383" w:hRule="atLeast"/>
        </w:trPr>
        <w:tc>
          <w:tcPr>
            <w:tcW w:w="6392"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投标总报价</w:t>
            </w:r>
          </w:p>
        </w:tc>
        <w:tc>
          <w:tcPr>
            <w:tcW w:w="1985"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大写：</w:t>
            </w:r>
          </w:p>
        </w:tc>
      </w:tr>
      <w:tr>
        <w:tblPrEx>
          <w:tblCellMar>
            <w:top w:w="0" w:type="dxa"/>
            <w:left w:w="108" w:type="dxa"/>
            <w:bottom w:w="0" w:type="dxa"/>
            <w:right w:w="108" w:type="dxa"/>
          </w:tblCellMar>
        </w:tblPrEx>
        <w:trPr>
          <w:gridAfter w:val="2"/>
          <w:wAfter w:w="1220" w:type="dxa"/>
          <w:trHeight w:val="417" w:hRule="atLeast"/>
        </w:trPr>
        <w:tc>
          <w:tcPr>
            <w:tcW w:w="639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4"/>
                <w:highlight w:val="none"/>
              </w:rPr>
            </w:pPr>
          </w:p>
        </w:tc>
        <w:tc>
          <w:tcPr>
            <w:tcW w:w="1985" w:type="dxa"/>
            <w:gridSpan w:val="3"/>
            <w:tcBorders>
              <w:top w:val="single" w:color="auto" w:sz="4" w:space="0"/>
              <w:left w:val="nil"/>
              <w:bottom w:val="single" w:color="auto" w:sz="4" w:space="0"/>
              <w:right w:val="single" w:color="auto" w:sz="4" w:space="0"/>
            </w:tcBorders>
            <w:noWrap/>
            <w:vAlign w:val="center"/>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小写：</w:t>
            </w:r>
          </w:p>
        </w:tc>
      </w:tr>
    </w:tbl>
    <w:p>
      <w:pPr>
        <w:snapToGrid w:val="0"/>
        <w:spacing w:line="360" w:lineRule="auto"/>
        <w:ind w:firstLine="480" w:firstLineChars="200"/>
        <w:contextualSpacing/>
        <w:jc w:val="left"/>
        <w:rPr>
          <w:rFonts w:ascii="宋体" w:hAnsi="宋体" w:cs="宋体"/>
          <w:color w:val="auto"/>
          <w:sz w:val="24"/>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供应商（盖单位公章）：</w:t>
      </w:r>
    </w:p>
    <w:p>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法定代表人或委托代理人（亲笔签名）：</w:t>
      </w:r>
    </w:p>
    <w:p>
      <w:pPr>
        <w:snapToGrid w:val="0"/>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年    月    日</w:t>
      </w:r>
    </w:p>
    <w:p>
      <w:pPr>
        <w:snapToGrid w:val="0"/>
        <w:spacing w:line="360" w:lineRule="auto"/>
        <w:ind w:firstLine="480" w:firstLineChars="200"/>
        <w:contextualSpacing/>
        <w:jc w:val="left"/>
        <w:rPr>
          <w:rFonts w:ascii="宋体" w:hAnsi="宋体" w:cs="宋体"/>
          <w:color w:val="auto"/>
          <w:sz w:val="24"/>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pStyle w:val="2"/>
        <w:spacing w:line="360" w:lineRule="auto"/>
        <w:rPr>
          <w:color w:val="auto"/>
          <w:highlight w:val="none"/>
        </w:rPr>
      </w:pPr>
    </w:p>
    <w:p>
      <w:pPr>
        <w:snapToGrid w:val="0"/>
        <w:spacing w:line="360" w:lineRule="auto"/>
        <w:ind w:firstLine="482" w:firstLineChars="200"/>
        <w:contextualSpacing/>
        <w:jc w:val="left"/>
        <w:rPr>
          <w:rFonts w:ascii="宋体" w:hAnsi="宋体" w:cs="宋体"/>
          <w:b/>
          <w:color w:val="auto"/>
          <w:sz w:val="24"/>
          <w:highlight w:val="none"/>
        </w:rPr>
      </w:pPr>
      <w:r>
        <w:rPr>
          <w:rFonts w:hint="eastAsia" w:ascii="宋体" w:hAnsi="宋体" w:cs="宋体"/>
          <w:b/>
          <w:color w:val="auto"/>
          <w:sz w:val="24"/>
          <w:highlight w:val="none"/>
        </w:rPr>
        <w:t>注：</w:t>
      </w:r>
      <w:r>
        <w:rPr>
          <w:rFonts w:hint="eastAsia" w:ascii="宋体" w:hAnsi="宋体" w:cs="宋体"/>
          <w:b/>
          <w:color w:val="auto"/>
          <w:kern w:val="0"/>
          <w:sz w:val="24"/>
          <w:highlight w:val="none"/>
        </w:rPr>
        <w:t>供应商</w:t>
      </w:r>
      <w:r>
        <w:rPr>
          <w:rFonts w:hint="eastAsia" w:ascii="宋体" w:hAnsi="宋体"/>
          <w:b/>
          <w:color w:val="auto"/>
          <w:sz w:val="24"/>
          <w:highlight w:val="none"/>
        </w:rPr>
        <w:t>此表为首轮报价，最终报价在谈判现场填写。</w:t>
      </w:r>
      <w:r>
        <w:rPr>
          <w:rFonts w:hint="eastAsia" w:ascii="宋体" w:hAnsi="宋体" w:cs="宋体"/>
          <w:b/>
          <w:color w:val="auto"/>
          <w:kern w:val="0"/>
          <w:sz w:val="24"/>
          <w:highlight w:val="none"/>
        </w:rPr>
        <w:t>响应文件密封提交时只需填写谈判报价总计（首次）的报价。</w:t>
      </w:r>
    </w:p>
    <w:p>
      <w:pPr>
        <w:widowControl/>
        <w:spacing w:line="360" w:lineRule="auto"/>
        <w:jc w:val="left"/>
        <w:rPr>
          <w:rFonts w:ascii="宋体" w:hAnsi="宋体" w:cs="宋体"/>
          <w:color w:val="auto"/>
          <w:sz w:val="32"/>
          <w:szCs w:val="32"/>
          <w:highlight w:val="none"/>
        </w:rPr>
      </w:pPr>
      <w:r>
        <w:rPr>
          <w:rFonts w:hint="eastAsia" w:ascii="宋体" w:hAnsi="宋体" w:cs="宋体"/>
          <w:color w:val="auto"/>
          <w:kern w:val="0"/>
          <w:sz w:val="22"/>
          <w:szCs w:val="22"/>
          <w:highlight w:val="none"/>
        </w:rPr>
        <w:br w:type="page"/>
      </w:r>
      <w:r>
        <w:rPr>
          <w:rFonts w:hint="eastAsia" w:ascii="宋体" w:hAnsi="宋体" w:cs="宋体"/>
          <w:color w:val="auto"/>
          <w:sz w:val="32"/>
          <w:szCs w:val="32"/>
          <w:highlight w:val="none"/>
        </w:rPr>
        <w:t>附件2：</w:t>
      </w:r>
      <w:bookmarkStart w:id="152" w:name="_Toc217446086"/>
    </w:p>
    <w:bookmarkEnd w:id="152"/>
    <w:p>
      <w:pPr>
        <w:spacing w:line="360" w:lineRule="auto"/>
        <w:jc w:val="center"/>
        <w:rPr>
          <w:rFonts w:ascii="宋体" w:hAnsi="宋体" w:cs="宋体"/>
          <w:color w:val="auto"/>
          <w:sz w:val="28"/>
          <w:szCs w:val="28"/>
          <w:highlight w:val="none"/>
        </w:rPr>
      </w:pPr>
      <w:r>
        <w:rPr>
          <w:rFonts w:hint="eastAsia" w:ascii="宋体" w:hAnsi="宋体" w:cs="宋体"/>
          <w:b/>
          <w:bCs/>
          <w:color w:val="auto"/>
          <w:sz w:val="32"/>
          <w:szCs w:val="32"/>
          <w:highlight w:val="none"/>
        </w:rPr>
        <w:t>分项报价明细表（格式自拟）</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项目名称：</w:t>
      </w:r>
    </w:p>
    <w:p>
      <w:pPr>
        <w:pStyle w:val="2"/>
        <w:ind w:firstLine="480"/>
        <w:rPr>
          <w:rFonts w:ascii="宋体" w:hAnsi="宋体" w:cs="宋体"/>
          <w:color w:val="auto"/>
          <w:sz w:val="24"/>
          <w:highlight w:val="none"/>
        </w:rPr>
      </w:pPr>
    </w:p>
    <w:p>
      <w:pPr>
        <w:snapToGrid w:val="0"/>
        <w:spacing w:line="360" w:lineRule="auto"/>
        <w:outlineLvl w:val="0"/>
        <w:rPr>
          <w:rFonts w:ascii="宋体" w:hAnsi="宋体" w:cs="宋体"/>
          <w:color w:val="auto"/>
          <w:sz w:val="24"/>
          <w:highlight w:val="none"/>
        </w:rPr>
      </w:pP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供应商（盖单位公章）：</w:t>
      </w:r>
    </w:p>
    <w:p>
      <w:pPr>
        <w:kinsoku w:val="0"/>
        <w:topLinePunct/>
        <w:snapToGrid w:val="0"/>
        <w:spacing w:line="360" w:lineRule="auto"/>
        <w:rPr>
          <w:rFonts w:ascii="宋体" w:hAnsi="宋体" w:cs="宋体"/>
          <w:color w:val="auto"/>
          <w:sz w:val="24"/>
          <w:highlight w:val="none"/>
        </w:rPr>
      </w:pPr>
      <w:r>
        <w:rPr>
          <w:rFonts w:hint="eastAsia" w:ascii="宋体" w:hAnsi="宋体" w:cs="宋体"/>
          <w:color w:val="auto"/>
          <w:sz w:val="24"/>
          <w:highlight w:val="none"/>
        </w:rPr>
        <w:t>法定代表人或委托代理人（亲笔签名）：</w:t>
      </w:r>
    </w:p>
    <w:p>
      <w:pPr>
        <w:snapToGrid w:val="0"/>
        <w:spacing w:line="360" w:lineRule="auto"/>
        <w:ind w:firstLine="1200" w:firstLineChars="500"/>
        <w:rPr>
          <w:rFonts w:ascii="宋体" w:hAnsi="宋体" w:cs="宋体"/>
          <w:color w:val="auto"/>
          <w:sz w:val="24"/>
          <w:highlight w:val="none"/>
        </w:rPr>
      </w:pPr>
      <w:r>
        <w:rPr>
          <w:rFonts w:hint="eastAsia" w:ascii="宋体" w:hAnsi="宋体" w:cs="宋体"/>
          <w:color w:val="auto"/>
          <w:sz w:val="24"/>
          <w:highlight w:val="none"/>
        </w:rPr>
        <w:t>年    月    日</w:t>
      </w:r>
    </w:p>
    <w:p>
      <w:pPr>
        <w:snapToGrid w:val="0"/>
        <w:spacing w:line="360" w:lineRule="auto"/>
        <w:outlineLvl w:val="0"/>
        <w:rPr>
          <w:rFonts w:ascii="宋体" w:hAnsi="宋体" w:cs="宋体"/>
          <w:color w:val="auto"/>
          <w:sz w:val="24"/>
          <w:highlight w:val="none"/>
        </w:rPr>
      </w:pPr>
    </w:p>
    <w:p>
      <w:pPr>
        <w:snapToGrid w:val="0"/>
        <w:spacing w:line="360" w:lineRule="auto"/>
        <w:outlineLvl w:val="0"/>
        <w:rPr>
          <w:rFonts w:ascii="宋体" w:hAnsi="宋体" w:cs="宋体"/>
          <w:color w:val="auto"/>
          <w:sz w:val="24"/>
          <w:highlight w:val="none"/>
        </w:rPr>
      </w:pPr>
    </w:p>
    <w:p>
      <w:pPr>
        <w:snapToGrid w:val="0"/>
        <w:spacing w:line="360" w:lineRule="auto"/>
        <w:ind w:left="843" w:hanging="843" w:hangingChars="350"/>
        <w:jc w:val="left"/>
        <w:rPr>
          <w:rFonts w:ascii="宋体" w:hAnsi="宋体" w:cs="宋体"/>
          <w:b/>
          <w:bCs/>
          <w:color w:val="auto"/>
          <w:sz w:val="24"/>
          <w:highlight w:val="none"/>
        </w:rPr>
      </w:pPr>
      <w:r>
        <w:rPr>
          <w:rFonts w:hint="eastAsia" w:ascii="宋体" w:hAnsi="宋体" w:cs="宋体"/>
          <w:b/>
          <w:color w:val="auto"/>
          <w:sz w:val="24"/>
          <w:highlight w:val="none"/>
        </w:rPr>
        <w:t>注：1、响应人必须详细报出本项目投标总报价各个组成部分的报价。且</w:t>
      </w:r>
      <w:r>
        <w:rPr>
          <w:rFonts w:hint="eastAsia" w:ascii="宋体" w:hAnsi="宋体" w:cs="宋体"/>
          <w:b/>
          <w:bCs/>
          <w:color w:val="auto"/>
          <w:sz w:val="24"/>
          <w:highlight w:val="none"/>
        </w:rPr>
        <w:t>本表各分项报价合计应当与响应报价总表报价合计相等。</w:t>
      </w:r>
    </w:p>
    <w:p>
      <w:pPr>
        <w:snapToGrid w:val="0"/>
        <w:spacing w:line="360" w:lineRule="auto"/>
        <w:ind w:left="781" w:leftChars="200" w:hanging="361" w:hangingChars="150"/>
        <w:jc w:val="left"/>
        <w:rPr>
          <w:rFonts w:ascii="宋体" w:hAnsi="宋体" w:cs="Times New Roman"/>
          <w:b/>
          <w:color w:val="auto"/>
          <w:sz w:val="24"/>
          <w:szCs w:val="24"/>
          <w:highlight w:val="none"/>
        </w:rPr>
      </w:pPr>
      <w:r>
        <w:rPr>
          <w:rFonts w:ascii="宋体" w:hAnsi="宋体"/>
          <w:b/>
          <w:color w:val="auto"/>
          <w:sz w:val="24"/>
          <w:highlight w:val="none"/>
        </w:rPr>
        <w:t>2、此表为首轮报价，</w:t>
      </w:r>
      <w:r>
        <w:rPr>
          <w:rFonts w:hint="eastAsia" w:ascii="宋体" w:hAnsi="宋体" w:cs="Times New Roman"/>
          <w:b/>
          <w:color w:val="auto"/>
          <w:sz w:val="24"/>
          <w:highlight w:val="none"/>
          <w:lang w:val="en-US"/>
        </w:rPr>
        <w:t>最终按要求报总价，除暂列金额、暂估价（其具体金额或比例）外各子目按最终</w:t>
      </w:r>
      <w:r>
        <w:rPr>
          <w:rFonts w:hint="eastAsia" w:ascii="宋体" w:hAnsi="宋体"/>
          <w:b/>
          <w:color w:val="auto"/>
          <w:sz w:val="24"/>
          <w:highlight w:val="none"/>
        </w:rPr>
        <w:t>总</w:t>
      </w:r>
      <w:r>
        <w:rPr>
          <w:rFonts w:hint="eastAsia" w:ascii="宋体" w:hAnsi="宋体" w:cs="Times New Roman"/>
          <w:b/>
          <w:color w:val="auto"/>
          <w:sz w:val="24"/>
          <w:highlight w:val="none"/>
          <w:lang w:val="en-US"/>
        </w:rPr>
        <w:t>价较首轮</w:t>
      </w:r>
      <w:r>
        <w:rPr>
          <w:rFonts w:hint="eastAsia" w:ascii="宋体" w:hAnsi="宋体"/>
          <w:b/>
          <w:color w:val="auto"/>
          <w:sz w:val="24"/>
          <w:highlight w:val="none"/>
        </w:rPr>
        <w:t>总</w:t>
      </w:r>
      <w:r>
        <w:rPr>
          <w:rFonts w:hint="eastAsia" w:ascii="宋体" w:hAnsi="宋体" w:cs="Times New Roman"/>
          <w:b/>
          <w:color w:val="auto"/>
          <w:sz w:val="24"/>
          <w:highlight w:val="none"/>
          <w:lang w:val="en-US"/>
        </w:rPr>
        <w:t>价下浮率同比例下浮。</w:t>
      </w:r>
    </w:p>
    <w:p>
      <w:pPr>
        <w:snapToGrid w:val="0"/>
        <w:spacing w:line="360" w:lineRule="auto"/>
        <w:contextualSpacing/>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color w:val="auto"/>
          <w:sz w:val="28"/>
          <w:szCs w:val="28"/>
          <w:highlight w:val="none"/>
        </w:rPr>
        <w:t>附件3：</w:t>
      </w:r>
      <w:r>
        <w:rPr>
          <w:rFonts w:hint="eastAsia" w:ascii="宋体" w:hAnsi="宋体" w:cs="宋体"/>
          <w:b/>
          <w:color w:val="auto"/>
          <w:sz w:val="32"/>
          <w:szCs w:val="32"/>
          <w:highlight w:val="none"/>
        </w:rPr>
        <w:t>《</w:t>
      </w:r>
      <w:r>
        <w:rPr>
          <w:rFonts w:ascii="宋体" w:hAnsi="宋体" w:cs="宋体"/>
          <w:b/>
          <w:color w:val="auto"/>
          <w:sz w:val="32"/>
          <w:szCs w:val="32"/>
          <w:highlight w:val="none"/>
        </w:rPr>
        <w:t>中小企业声明函</w:t>
      </w:r>
      <w:r>
        <w:rPr>
          <w:rFonts w:hint="eastAsia" w:ascii="宋体" w:hAnsi="宋体" w:cs="宋体"/>
          <w:b/>
          <w:color w:val="auto"/>
          <w:sz w:val="32"/>
          <w:szCs w:val="32"/>
          <w:highlight w:val="none"/>
        </w:rPr>
        <w:t>》等（如有）</w:t>
      </w:r>
    </w:p>
    <w:p>
      <w:pPr>
        <w:snapToGrid w:val="0"/>
        <w:spacing w:line="300" w:lineRule="auto"/>
        <w:outlineLvl w:val="0"/>
        <w:rPr>
          <w:color w:val="auto"/>
          <w:sz w:val="28"/>
          <w:szCs w:val="28"/>
          <w:highlight w:val="none"/>
        </w:rPr>
      </w:pPr>
    </w:p>
    <w:p>
      <w:pPr>
        <w:spacing w:beforeLines="50" w:afterLines="50" w:line="300" w:lineRule="auto"/>
        <w:jc w:val="center"/>
        <w:outlineLvl w:val="0"/>
        <w:rPr>
          <w:rFonts w:ascii="宋体" w:hAnsi="宋体"/>
          <w:b/>
          <w:bCs/>
          <w:color w:val="auto"/>
          <w:sz w:val="28"/>
          <w:szCs w:val="28"/>
          <w:highlight w:val="none"/>
          <w:lang w:bidi="zh-CN"/>
        </w:rPr>
      </w:pPr>
      <w:r>
        <w:rPr>
          <w:rFonts w:ascii="宋体" w:hAnsi="宋体"/>
          <w:b/>
          <w:bCs/>
          <w:color w:val="auto"/>
          <w:sz w:val="28"/>
          <w:szCs w:val="28"/>
          <w:highlight w:val="none"/>
          <w:lang w:bidi="zh-CN"/>
        </w:rPr>
        <w:t>中小企业声明函（工程、服务）</w:t>
      </w:r>
    </w:p>
    <w:p>
      <w:pPr>
        <w:spacing w:line="360" w:lineRule="auto"/>
        <w:ind w:firstLine="480" w:firstLineChars="200"/>
        <w:outlineLvl w:val="0"/>
        <w:rPr>
          <w:rFonts w:ascii="宋体" w:hAnsi="宋体"/>
          <w:color w:val="auto"/>
          <w:sz w:val="24"/>
          <w:highlight w:val="none"/>
          <w:lang w:bidi="zh-CN"/>
        </w:rPr>
      </w:pPr>
      <w:r>
        <w:rPr>
          <w:rFonts w:ascii="宋体" w:hAnsi="宋体"/>
          <w:color w:val="auto"/>
          <w:sz w:val="24"/>
          <w:highlight w:val="none"/>
          <w:lang w:bidi="zh-CN"/>
        </w:rPr>
        <w:t>本公司（联合体）郑重声明，根据《政府采购促进中小企业发展管理办法》（财库</w:t>
      </w:r>
      <w:r>
        <w:rPr>
          <w:rFonts w:hint="eastAsia" w:ascii="宋体" w:hAnsi="宋体"/>
          <w:color w:val="auto"/>
          <w:sz w:val="24"/>
          <w:highlight w:val="none"/>
          <w:lang w:bidi="zh-CN"/>
        </w:rPr>
        <w:t>﹝</w:t>
      </w:r>
      <w:r>
        <w:rPr>
          <w:rFonts w:ascii="宋体" w:hAnsi="宋体"/>
          <w:color w:val="auto"/>
          <w:sz w:val="24"/>
          <w:highlight w:val="none"/>
          <w:lang w:bidi="zh-CN"/>
        </w:rPr>
        <w:t>2020</w:t>
      </w:r>
      <w:r>
        <w:rPr>
          <w:rFonts w:hint="eastAsia" w:ascii="宋体" w:hAnsi="宋体"/>
          <w:color w:val="auto"/>
          <w:sz w:val="24"/>
          <w:highlight w:val="none"/>
          <w:lang w:bidi="zh-CN"/>
        </w:rPr>
        <w:t>﹞</w:t>
      </w:r>
      <w:r>
        <w:rPr>
          <w:rFonts w:ascii="宋体" w:hAnsi="宋体"/>
          <w:color w:val="auto"/>
          <w:sz w:val="24"/>
          <w:highlight w:val="none"/>
          <w:lang w:bidi="zh-CN"/>
        </w:rPr>
        <w:t>46 号）的规定，本公司（联合体）参加</w:t>
      </w:r>
      <w:r>
        <w:rPr>
          <w:rFonts w:ascii="宋体" w:hAnsi="宋体"/>
          <w:color w:val="auto"/>
          <w:sz w:val="24"/>
          <w:highlight w:val="none"/>
          <w:u w:val="single"/>
          <w:lang w:bidi="zh-CN"/>
        </w:rPr>
        <w:t>（单位名称）</w:t>
      </w:r>
      <w:r>
        <w:rPr>
          <w:rFonts w:ascii="宋体" w:hAnsi="宋体"/>
          <w:color w:val="auto"/>
          <w:sz w:val="24"/>
          <w:highlight w:val="none"/>
          <w:lang w:bidi="zh-CN"/>
        </w:rPr>
        <w:t>的</w:t>
      </w:r>
      <w:r>
        <w:rPr>
          <w:rFonts w:ascii="宋体" w:hAnsi="宋体"/>
          <w:color w:val="auto"/>
          <w:sz w:val="24"/>
          <w:highlight w:val="none"/>
          <w:u w:val="single"/>
          <w:lang w:bidi="zh-CN"/>
        </w:rPr>
        <w:t>（项目名称）</w:t>
      </w:r>
      <w:r>
        <w:rPr>
          <w:rFonts w:ascii="宋体" w:hAnsi="宋体"/>
          <w:color w:val="auto"/>
          <w:sz w:val="24"/>
          <w:highlight w:val="none"/>
          <w:lang w:bidi="zh-CN"/>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outlineLvl w:val="0"/>
        <w:rPr>
          <w:rFonts w:ascii="宋体" w:hAnsi="宋体"/>
          <w:color w:val="auto"/>
          <w:sz w:val="24"/>
          <w:highlight w:val="none"/>
          <w:lang w:bidi="zh-CN"/>
        </w:rPr>
      </w:pPr>
      <w:r>
        <w:rPr>
          <w:rFonts w:hint="eastAsia" w:ascii="宋体" w:hAnsi="宋体"/>
          <w:color w:val="auto"/>
          <w:sz w:val="24"/>
          <w:highlight w:val="none"/>
          <w:lang w:bidi="zh-CN"/>
        </w:rPr>
        <w:t>1.</w:t>
      </w:r>
      <w:r>
        <w:rPr>
          <w:rFonts w:ascii="宋体" w:hAnsi="宋体"/>
          <w:color w:val="auto"/>
          <w:sz w:val="24"/>
          <w:highlight w:val="none"/>
          <w:u w:val="single"/>
          <w:lang w:bidi="zh-CN"/>
        </w:rPr>
        <w:t>（标的名称）</w:t>
      </w:r>
      <w:r>
        <w:rPr>
          <w:rFonts w:ascii="宋体" w:hAnsi="宋体"/>
          <w:color w:val="auto"/>
          <w:sz w:val="24"/>
          <w:highlight w:val="none"/>
          <w:lang w:bidi="zh-CN"/>
        </w:rPr>
        <w:t>，属于（</w:t>
      </w:r>
      <w:r>
        <w:rPr>
          <w:rFonts w:ascii="宋体" w:hAnsi="宋体"/>
          <w:color w:val="auto"/>
          <w:sz w:val="24"/>
          <w:highlight w:val="none"/>
          <w:u w:val="single"/>
          <w:lang w:bidi="zh-CN"/>
        </w:rPr>
        <w:t>所属行业）</w:t>
      </w:r>
      <w:r>
        <w:rPr>
          <w:rFonts w:ascii="宋体" w:hAnsi="宋体"/>
          <w:color w:val="auto"/>
          <w:sz w:val="24"/>
          <w:highlight w:val="none"/>
          <w:lang w:bidi="zh-CN"/>
        </w:rPr>
        <w:t>；承建（承接）企业为</w:t>
      </w:r>
      <w:r>
        <w:rPr>
          <w:rFonts w:ascii="宋体" w:hAnsi="宋体"/>
          <w:color w:val="auto"/>
          <w:sz w:val="24"/>
          <w:highlight w:val="none"/>
          <w:u w:val="single"/>
          <w:lang w:bidi="zh-CN"/>
        </w:rPr>
        <w:t>（企业名称）</w:t>
      </w:r>
      <w:r>
        <w:rPr>
          <w:rFonts w:ascii="宋体" w:hAnsi="宋体"/>
          <w:color w:val="auto"/>
          <w:sz w:val="24"/>
          <w:highlight w:val="none"/>
          <w:lang w:bidi="zh-CN"/>
        </w:rPr>
        <w:t>，从业人员</w:t>
      </w:r>
      <w:r>
        <w:rPr>
          <w:rFonts w:ascii="宋体" w:hAnsi="宋体"/>
          <w:color w:val="auto"/>
          <w:sz w:val="24"/>
          <w:highlight w:val="none"/>
          <w:u w:val="single"/>
          <w:lang w:bidi="zh-CN"/>
        </w:rPr>
        <w:t xml:space="preserve"> </w:t>
      </w:r>
      <w:r>
        <w:rPr>
          <w:rFonts w:ascii="宋体" w:hAnsi="宋体"/>
          <w:color w:val="auto"/>
          <w:sz w:val="24"/>
          <w:highlight w:val="none"/>
          <w:u w:val="single"/>
          <w:lang w:bidi="zh-CN"/>
        </w:rPr>
        <w:tab/>
      </w:r>
      <w:r>
        <w:rPr>
          <w:rFonts w:ascii="宋体" w:hAnsi="宋体"/>
          <w:color w:val="auto"/>
          <w:sz w:val="24"/>
          <w:highlight w:val="none"/>
          <w:lang w:bidi="zh-CN"/>
        </w:rPr>
        <w:t>人，营业收入为</w:t>
      </w:r>
      <w:r>
        <w:rPr>
          <w:rFonts w:ascii="宋体" w:hAnsi="宋体"/>
          <w:color w:val="auto"/>
          <w:sz w:val="24"/>
          <w:highlight w:val="none"/>
          <w:u w:val="single"/>
          <w:lang w:bidi="zh-CN"/>
        </w:rPr>
        <w:t xml:space="preserve"> </w:t>
      </w:r>
      <w:r>
        <w:rPr>
          <w:rFonts w:ascii="宋体" w:hAnsi="宋体"/>
          <w:color w:val="auto"/>
          <w:sz w:val="24"/>
          <w:highlight w:val="none"/>
          <w:u w:val="single"/>
          <w:lang w:bidi="zh-CN"/>
        </w:rPr>
        <w:tab/>
      </w:r>
      <w:r>
        <w:rPr>
          <w:rFonts w:ascii="宋体" w:hAnsi="宋体"/>
          <w:color w:val="auto"/>
          <w:sz w:val="24"/>
          <w:highlight w:val="none"/>
          <w:lang w:bidi="zh-CN"/>
        </w:rPr>
        <w:t>万元，资产总额为</w:t>
      </w:r>
      <w:r>
        <w:rPr>
          <w:rFonts w:ascii="宋体" w:hAnsi="宋体"/>
          <w:color w:val="auto"/>
          <w:sz w:val="24"/>
          <w:highlight w:val="none"/>
          <w:u w:val="single"/>
          <w:lang w:bidi="zh-CN"/>
        </w:rPr>
        <w:t xml:space="preserve"> </w:t>
      </w:r>
      <w:r>
        <w:rPr>
          <w:rFonts w:ascii="宋体" w:hAnsi="宋体"/>
          <w:color w:val="auto"/>
          <w:sz w:val="24"/>
          <w:highlight w:val="none"/>
          <w:u w:val="single"/>
          <w:lang w:bidi="zh-CN"/>
        </w:rPr>
        <w:tab/>
      </w:r>
      <w:r>
        <w:rPr>
          <w:rFonts w:ascii="宋体" w:hAnsi="宋体"/>
          <w:color w:val="auto"/>
          <w:sz w:val="24"/>
          <w:highlight w:val="none"/>
          <w:lang w:bidi="zh-CN"/>
        </w:rPr>
        <w:t>万元，属于</w:t>
      </w:r>
      <w:r>
        <w:rPr>
          <w:rFonts w:ascii="宋体" w:hAnsi="宋体"/>
          <w:color w:val="auto"/>
          <w:sz w:val="24"/>
          <w:highlight w:val="none"/>
          <w:u w:val="single"/>
          <w:lang w:bidi="zh-CN"/>
        </w:rPr>
        <w:t>（中型企业、小型企业、微型企业）</w:t>
      </w:r>
      <w:r>
        <w:rPr>
          <w:rFonts w:ascii="宋体" w:hAnsi="宋体"/>
          <w:color w:val="auto"/>
          <w:sz w:val="24"/>
          <w:highlight w:val="none"/>
          <w:lang w:bidi="zh-CN"/>
        </w:rPr>
        <w:t>；</w:t>
      </w:r>
    </w:p>
    <w:p>
      <w:pPr>
        <w:spacing w:line="360" w:lineRule="auto"/>
        <w:outlineLvl w:val="0"/>
        <w:rPr>
          <w:rFonts w:ascii="宋体" w:hAnsi="宋体"/>
          <w:color w:val="auto"/>
          <w:sz w:val="24"/>
          <w:highlight w:val="none"/>
          <w:lang w:bidi="zh-CN"/>
        </w:rPr>
      </w:pPr>
      <w:r>
        <w:rPr>
          <w:rFonts w:hint="eastAsia" w:ascii="宋体" w:hAnsi="宋体"/>
          <w:color w:val="auto"/>
          <w:sz w:val="24"/>
          <w:highlight w:val="none"/>
          <w:lang w:bidi="zh-CN"/>
        </w:rPr>
        <w:t>2.</w:t>
      </w:r>
      <w:r>
        <w:rPr>
          <w:rFonts w:ascii="宋体" w:hAnsi="宋体"/>
          <w:color w:val="auto"/>
          <w:sz w:val="24"/>
          <w:highlight w:val="none"/>
          <w:u w:val="single"/>
          <w:lang w:bidi="zh-CN"/>
        </w:rPr>
        <w:t>（标的名称）</w:t>
      </w:r>
      <w:r>
        <w:rPr>
          <w:rFonts w:ascii="宋体" w:hAnsi="宋体"/>
          <w:color w:val="auto"/>
          <w:sz w:val="24"/>
          <w:highlight w:val="none"/>
          <w:lang w:bidi="zh-CN"/>
        </w:rPr>
        <w:t>，属于（</w:t>
      </w:r>
      <w:r>
        <w:rPr>
          <w:rFonts w:ascii="宋体" w:hAnsi="宋体"/>
          <w:color w:val="auto"/>
          <w:sz w:val="24"/>
          <w:highlight w:val="none"/>
          <w:u w:val="single"/>
          <w:lang w:bidi="zh-CN"/>
        </w:rPr>
        <w:t>所属行业）</w:t>
      </w:r>
      <w:r>
        <w:rPr>
          <w:rFonts w:ascii="宋体" w:hAnsi="宋体"/>
          <w:color w:val="auto"/>
          <w:sz w:val="24"/>
          <w:highlight w:val="none"/>
          <w:lang w:bidi="zh-CN"/>
        </w:rPr>
        <w:t>；承建（承接）企业为</w:t>
      </w:r>
      <w:r>
        <w:rPr>
          <w:rFonts w:ascii="宋体" w:hAnsi="宋体"/>
          <w:color w:val="auto"/>
          <w:sz w:val="24"/>
          <w:highlight w:val="none"/>
          <w:u w:val="single"/>
          <w:lang w:bidi="zh-CN"/>
        </w:rPr>
        <w:t>（企业名称）</w:t>
      </w:r>
      <w:r>
        <w:rPr>
          <w:rFonts w:ascii="宋体" w:hAnsi="宋体"/>
          <w:color w:val="auto"/>
          <w:sz w:val="24"/>
          <w:highlight w:val="none"/>
          <w:lang w:bidi="zh-CN"/>
        </w:rPr>
        <w:t>，从业人员</w:t>
      </w:r>
      <w:r>
        <w:rPr>
          <w:rFonts w:ascii="宋体" w:hAnsi="宋体"/>
          <w:color w:val="auto"/>
          <w:sz w:val="24"/>
          <w:highlight w:val="none"/>
          <w:u w:val="single"/>
          <w:lang w:bidi="zh-CN"/>
        </w:rPr>
        <w:t xml:space="preserve"> </w:t>
      </w:r>
      <w:r>
        <w:rPr>
          <w:rFonts w:ascii="宋体" w:hAnsi="宋体"/>
          <w:color w:val="auto"/>
          <w:sz w:val="24"/>
          <w:highlight w:val="none"/>
          <w:u w:val="single"/>
          <w:lang w:bidi="zh-CN"/>
        </w:rPr>
        <w:tab/>
      </w:r>
      <w:r>
        <w:rPr>
          <w:rFonts w:ascii="宋体" w:hAnsi="宋体"/>
          <w:color w:val="auto"/>
          <w:sz w:val="24"/>
          <w:highlight w:val="none"/>
          <w:lang w:bidi="zh-CN"/>
        </w:rPr>
        <w:t>人，营业收入为</w:t>
      </w:r>
      <w:r>
        <w:rPr>
          <w:rFonts w:ascii="宋体" w:hAnsi="宋体"/>
          <w:color w:val="auto"/>
          <w:sz w:val="24"/>
          <w:highlight w:val="none"/>
          <w:u w:val="single"/>
          <w:lang w:bidi="zh-CN"/>
        </w:rPr>
        <w:t xml:space="preserve"> </w:t>
      </w:r>
      <w:r>
        <w:rPr>
          <w:rFonts w:ascii="宋体" w:hAnsi="宋体"/>
          <w:color w:val="auto"/>
          <w:sz w:val="24"/>
          <w:highlight w:val="none"/>
          <w:u w:val="single"/>
          <w:lang w:bidi="zh-CN"/>
        </w:rPr>
        <w:tab/>
      </w:r>
      <w:r>
        <w:rPr>
          <w:rFonts w:ascii="宋体" w:hAnsi="宋体"/>
          <w:color w:val="auto"/>
          <w:sz w:val="24"/>
          <w:highlight w:val="none"/>
          <w:lang w:bidi="zh-CN"/>
        </w:rPr>
        <w:t>万元，资产总额为</w:t>
      </w:r>
      <w:r>
        <w:rPr>
          <w:rFonts w:ascii="宋体" w:hAnsi="宋体"/>
          <w:color w:val="auto"/>
          <w:sz w:val="24"/>
          <w:highlight w:val="none"/>
          <w:u w:val="single"/>
          <w:lang w:bidi="zh-CN"/>
        </w:rPr>
        <w:t xml:space="preserve"> </w:t>
      </w:r>
      <w:r>
        <w:rPr>
          <w:rFonts w:ascii="宋体" w:hAnsi="宋体"/>
          <w:color w:val="auto"/>
          <w:sz w:val="24"/>
          <w:highlight w:val="none"/>
          <w:u w:val="single"/>
          <w:lang w:bidi="zh-CN"/>
        </w:rPr>
        <w:tab/>
      </w:r>
      <w:r>
        <w:rPr>
          <w:rFonts w:ascii="宋体" w:hAnsi="宋体"/>
          <w:color w:val="auto"/>
          <w:sz w:val="24"/>
          <w:highlight w:val="none"/>
          <w:lang w:bidi="zh-CN"/>
        </w:rPr>
        <w:t>万元，属于</w:t>
      </w:r>
      <w:r>
        <w:rPr>
          <w:rFonts w:ascii="宋体" w:hAnsi="宋体"/>
          <w:color w:val="auto"/>
          <w:sz w:val="24"/>
          <w:highlight w:val="none"/>
          <w:u w:val="single"/>
          <w:lang w:bidi="zh-CN"/>
        </w:rPr>
        <w:t>（中型企业、小型企业、微型企业）</w:t>
      </w:r>
      <w:r>
        <w:rPr>
          <w:rFonts w:ascii="宋体" w:hAnsi="宋体"/>
          <w:color w:val="auto"/>
          <w:sz w:val="24"/>
          <w:highlight w:val="none"/>
          <w:lang w:bidi="zh-CN"/>
        </w:rPr>
        <w:t>；</w:t>
      </w:r>
    </w:p>
    <w:p>
      <w:pPr>
        <w:spacing w:line="360" w:lineRule="auto"/>
        <w:outlineLvl w:val="0"/>
        <w:rPr>
          <w:rFonts w:ascii="宋体" w:hAnsi="宋体"/>
          <w:color w:val="auto"/>
          <w:sz w:val="24"/>
          <w:highlight w:val="none"/>
          <w:lang w:bidi="zh-CN"/>
        </w:rPr>
      </w:pPr>
      <w:r>
        <w:rPr>
          <w:rFonts w:ascii="宋体" w:hAnsi="宋体"/>
          <w:color w:val="auto"/>
          <w:sz w:val="24"/>
          <w:highlight w:val="none"/>
          <w:lang w:bidi="zh-CN"/>
        </w:rPr>
        <w:t>……</w:t>
      </w:r>
    </w:p>
    <w:p>
      <w:pPr>
        <w:spacing w:line="360" w:lineRule="auto"/>
        <w:ind w:firstLine="480" w:firstLineChars="200"/>
        <w:outlineLvl w:val="0"/>
        <w:rPr>
          <w:rFonts w:ascii="宋体" w:hAnsi="宋体"/>
          <w:color w:val="auto"/>
          <w:sz w:val="24"/>
          <w:highlight w:val="none"/>
          <w:lang w:bidi="zh-CN"/>
        </w:rPr>
      </w:pPr>
      <w:r>
        <w:rPr>
          <w:rFonts w:ascii="宋体" w:hAnsi="宋体"/>
          <w:color w:val="auto"/>
          <w:sz w:val="24"/>
          <w:highlight w:val="none"/>
          <w:lang w:bidi="zh-CN"/>
        </w:rPr>
        <w:t>以上企业，不属于大企业的分支机构，不存在控股股东为大企业的情形，也不存在与大企业的负责人为同一人的情形。</w:t>
      </w:r>
    </w:p>
    <w:p>
      <w:pPr>
        <w:spacing w:line="360" w:lineRule="auto"/>
        <w:ind w:firstLine="480" w:firstLineChars="200"/>
        <w:outlineLvl w:val="0"/>
        <w:rPr>
          <w:rFonts w:ascii="宋体" w:hAnsi="宋体"/>
          <w:color w:val="auto"/>
          <w:sz w:val="24"/>
          <w:highlight w:val="none"/>
          <w:lang w:bidi="zh-CN"/>
        </w:rPr>
      </w:pPr>
      <w:r>
        <w:rPr>
          <w:rFonts w:ascii="宋体" w:hAnsi="宋体"/>
          <w:color w:val="auto"/>
          <w:sz w:val="24"/>
          <w:highlight w:val="none"/>
          <w:lang w:bidi="zh-CN"/>
        </w:rPr>
        <w:t>本企业对上述声明内容的真实性负责。如有虚假，将依法承担相应责任。</w:t>
      </w:r>
    </w:p>
    <w:p>
      <w:pPr>
        <w:spacing w:line="300" w:lineRule="auto"/>
        <w:outlineLvl w:val="0"/>
        <w:rPr>
          <w:rFonts w:ascii="宋体" w:hAnsi="宋体"/>
          <w:color w:val="auto"/>
          <w:sz w:val="24"/>
          <w:highlight w:val="none"/>
          <w:lang w:bidi="zh-CN"/>
        </w:rPr>
      </w:pPr>
    </w:p>
    <w:p>
      <w:pPr>
        <w:spacing w:line="588" w:lineRule="exact"/>
        <w:ind w:firstLine="480" w:firstLineChars="200"/>
        <w:rPr>
          <w:rFonts w:ascii="宋体" w:hAnsi="宋体"/>
          <w:color w:val="auto"/>
          <w:sz w:val="24"/>
          <w:highlight w:val="none"/>
        </w:rPr>
      </w:pPr>
      <w:r>
        <w:rPr>
          <w:rFonts w:hint="eastAsia" w:ascii="宋体" w:hAnsi="宋体"/>
          <w:color w:val="auto"/>
          <w:sz w:val="24"/>
          <w:highlight w:val="none"/>
        </w:rPr>
        <w:t>（备注：1、供应商如不提供此声明函，价格将不做相应扣除。</w:t>
      </w:r>
    </w:p>
    <w:p>
      <w:pPr>
        <w:spacing w:after="120"/>
        <w:ind w:left="420" w:leftChars="200" w:firstLine="720" w:firstLineChars="300"/>
        <w:rPr>
          <w:color w:val="auto"/>
          <w:highlight w:val="none"/>
        </w:rPr>
      </w:pPr>
      <w:r>
        <w:rPr>
          <w:rFonts w:hint="eastAsia" w:ascii="宋体" w:hAnsi="宋体"/>
          <w:color w:val="auto"/>
          <w:sz w:val="24"/>
          <w:highlight w:val="none"/>
        </w:rPr>
        <w:t>2、中标供应商为小型、微型单位的，此声明函将随中标结果同时公告，接受社会监督。）</w:t>
      </w:r>
    </w:p>
    <w:p>
      <w:pPr>
        <w:spacing w:line="300" w:lineRule="auto"/>
        <w:outlineLvl w:val="0"/>
        <w:rPr>
          <w:rFonts w:ascii="宋体" w:hAnsi="宋体"/>
          <w:color w:val="auto"/>
          <w:sz w:val="24"/>
          <w:highlight w:val="none"/>
          <w:lang w:bidi="zh-CN"/>
        </w:rPr>
      </w:pPr>
    </w:p>
    <w:p>
      <w:pPr>
        <w:spacing w:line="300" w:lineRule="auto"/>
        <w:ind w:firstLine="4200" w:firstLineChars="1750"/>
        <w:outlineLvl w:val="0"/>
        <w:rPr>
          <w:rFonts w:ascii="宋体" w:hAnsi="宋体"/>
          <w:color w:val="auto"/>
          <w:sz w:val="24"/>
          <w:highlight w:val="none"/>
          <w:lang w:bidi="zh-CN"/>
        </w:rPr>
      </w:pPr>
      <w:r>
        <w:rPr>
          <w:rFonts w:ascii="宋体" w:hAnsi="宋体"/>
          <w:color w:val="auto"/>
          <w:sz w:val="24"/>
          <w:highlight w:val="none"/>
          <w:lang w:bidi="zh-CN"/>
        </w:rPr>
        <w:t>企业名称（盖章）：</w:t>
      </w:r>
    </w:p>
    <w:p>
      <w:pPr>
        <w:spacing w:line="300" w:lineRule="auto"/>
        <w:ind w:firstLine="4200" w:firstLineChars="1750"/>
        <w:outlineLvl w:val="0"/>
        <w:rPr>
          <w:rFonts w:ascii="宋体" w:hAnsi="宋体"/>
          <w:color w:val="auto"/>
          <w:sz w:val="24"/>
          <w:highlight w:val="none"/>
          <w:lang w:bidi="zh-CN"/>
        </w:rPr>
      </w:pPr>
      <w:r>
        <w:rPr>
          <w:rFonts w:ascii="宋体" w:hAnsi="宋体"/>
          <w:color w:val="auto"/>
          <w:sz w:val="24"/>
          <w:highlight w:val="none"/>
          <w:lang w:bidi="zh-CN"/>
        </w:rPr>
        <w:t>日期：</w:t>
      </w:r>
    </w:p>
    <w:p>
      <w:pPr>
        <w:spacing w:line="560" w:lineRule="exact"/>
        <w:ind w:firstLine="240" w:firstLineChars="100"/>
        <w:rPr>
          <w:rFonts w:ascii="宋体" w:hAnsi="宋体"/>
          <w:color w:val="auto"/>
          <w:sz w:val="24"/>
          <w:highlight w:val="none"/>
        </w:rPr>
      </w:pPr>
    </w:p>
    <w:p>
      <w:pPr>
        <w:spacing w:line="300" w:lineRule="auto"/>
        <w:contextualSpacing/>
        <w:rPr>
          <w:rFonts w:ascii="宋体" w:hAnsi="宋体"/>
          <w:color w:val="auto"/>
          <w:sz w:val="24"/>
          <w:highlight w:val="none"/>
        </w:rPr>
      </w:pP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spacing w:line="600" w:lineRule="exact"/>
        <w:jc w:val="center"/>
        <w:rPr>
          <w:rFonts w:ascii="宋体" w:hAnsi="宋体"/>
          <w:b/>
          <w:color w:val="auto"/>
          <w:sz w:val="32"/>
          <w:szCs w:val="32"/>
          <w:highlight w:val="none"/>
        </w:rPr>
      </w:pPr>
      <w:r>
        <w:rPr>
          <w:rFonts w:hint="eastAsia" w:ascii="宋体" w:hAnsi="宋体"/>
          <w:b/>
          <w:color w:val="auto"/>
          <w:sz w:val="32"/>
          <w:szCs w:val="32"/>
          <w:highlight w:val="none"/>
        </w:rPr>
        <w:t>残疾人福利性单位声明函</w:t>
      </w:r>
    </w:p>
    <w:p>
      <w:pPr>
        <w:spacing w:line="588" w:lineRule="exact"/>
        <w:ind w:firstLine="480" w:firstLineChars="200"/>
        <w:rPr>
          <w:rFonts w:ascii="宋体" w:hAnsi="宋体"/>
          <w:color w:val="auto"/>
          <w:sz w:val="24"/>
          <w:highlight w:val="none"/>
        </w:rPr>
      </w:pPr>
      <w:r>
        <w:rPr>
          <w:rFonts w:hint="eastAsia" w:ascii="宋体" w:hAnsi="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olor w:val="auto"/>
          <w:sz w:val="24"/>
          <w:highlight w:val="none"/>
          <w:u w:val="single"/>
        </w:rPr>
        <w:t xml:space="preserve">       </w:t>
      </w:r>
      <w:r>
        <w:rPr>
          <w:rFonts w:hint="eastAsia" w:ascii="宋体" w:hAnsi="宋体"/>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olor w:val="auto"/>
          <w:sz w:val="24"/>
          <w:highlight w:val="none"/>
        </w:rPr>
      </w:pPr>
      <w:r>
        <w:rPr>
          <w:rFonts w:hint="eastAsia" w:ascii="宋体" w:hAnsi="宋体"/>
          <w:color w:val="auto"/>
          <w:sz w:val="24"/>
          <w:highlight w:val="none"/>
        </w:rPr>
        <w:t>本单位对上述声明的真实性负责。如有虚假，将依法承担相应责任。</w:t>
      </w:r>
    </w:p>
    <w:p>
      <w:pPr>
        <w:spacing w:line="588" w:lineRule="exact"/>
        <w:ind w:firstLine="480" w:firstLineChars="200"/>
        <w:rPr>
          <w:rFonts w:ascii="宋体" w:hAnsi="宋体"/>
          <w:color w:val="auto"/>
          <w:sz w:val="24"/>
          <w:highlight w:val="none"/>
        </w:rPr>
      </w:pPr>
      <w:r>
        <w:rPr>
          <w:rFonts w:hint="eastAsia" w:ascii="宋体" w:hAnsi="宋体"/>
          <w:color w:val="auto"/>
          <w:sz w:val="24"/>
          <w:highlight w:val="none"/>
        </w:rPr>
        <w:t>（备注：1、供应商如不提供此声明函，价格将不做相应扣除。</w:t>
      </w:r>
    </w:p>
    <w:p>
      <w:pPr>
        <w:spacing w:line="588" w:lineRule="exact"/>
        <w:ind w:firstLine="480" w:firstLineChars="200"/>
        <w:rPr>
          <w:rFonts w:ascii="宋体" w:hAnsi="宋体"/>
          <w:color w:val="auto"/>
          <w:sz w:val="24"/>
          <w:highlight w:val="none"/>
        </w:rPr>
      </w:pPr>
      <w:r>
        <w:rPr>
          <w:rFonts w:hint="eastAsia" w:ascii="宋体" w:hAnsi="宋体"/>
          <w:color w:val="auto"/>
          <w:sz w:val="24"/>
          <w:highlight w:val="none"/>
        </w:rPr>
        <w:t>2、中标供应商为残疾人福利单位的，此声明函将随中标结果同时公告，接受社会监督）</w:t>
      </w:r>
    </w:p>
    <w:p>
      <w:pPr>
        <w:spacing w:line="588" w:lineRule="exact"/>
        <w:ind w:firstLine="504" w:firstLineChars="200"/>
        <w:rPr>
          <w:rFonts w:ascii="宋体" w:hAnsi="宋体"/>
          <w:color w:val="auto"/>
          <w:spacing w:val="6"/>
          <w:sz w:val="24"/>
          <w:highlight w:val="none"/>
        </w:rPr>
      </w:pPr>
    </w:p>
    <w:p>
      <w:pPr>
        <w:tabs>
          <w:tab w:val="left" w:pos="4860"/>
        </w:tabs>
        <w:spacing w:line="588" w:lineRule="exact"/>
        <w:ind w:right="1560" w:firstLine="504" w:firstLineChars="200"/>
        <w:jc w:val="center"/>
        <w:rPr>
          <w:rFonts w:ascii="宋体" w:hAnsi="宋体"/>
          <w:color w:val="auto"/>
          <w:sz w:val="24"/>
          <w:highlight w:val="none"/>
        </w:rPr>
      </w:pPr>
      <w:r>
        <w:rPr>
          <w:rFonts w:hint="eastAsia" w:ascii="宋体" w:hAnsi="宋体"/>
          <w:color w:val="auto"/>
          <w:spacing w:val="6"/>
          <w:sz w:val="24"/>
          <w:highlight w:val="none"/>
        </w:rPr>
        <w:t xml:space="preserve">             </w:t>
      </w:r>
      <w:r>
        <w:rPr>
          <w:rFonts w:hint="eastAsia" w:ascii="宋体" w:hAnsi="宋体"/>
          <w:color w:val="auto"/>
          <w:sz w:val="24"/>
          <w:highlight w:val="none"/>
        </w:rPr>
        <w:t xml:space="preserve">           供应商全称（盖章）：</w:t>
      </w:r>
    </w:p>
    <w:p>
      <w:pPr>
        <w:tabs>
          <w:tab w:val="left" w:pos="4860"/>
        </w:tabs>
        <w:spacing w:line="588" w:lineRule="exact"/>
        <w:ind w:right="1560" w:firstLine="480" w:firstLineChars="200"/>
        <w:jc w:val="center"/>
        <w:rPr>
          <w:rFonts w:ascii="宋体" w:hAnsi="宋体"/>
          <w:color w:val="auto"/>
          <w:sz w:val="24"/>
          <w:highlight w:val="none"/>
        </w:rPr>
      </w:pPr>
      <w:r>
        <w:rPr>
          <w:rFonts w:hint="eastAsia" w:ascii="宋体" w:hAnsi="宋体"/>
          <w:color w:val="auto"/>
          <w:sz w:val="24"/>
          <w:highlight w:val="none"/>
        </w:rPr>
        <w:t xml:space="preserve">              日  期：</w:t>
      </w:r>
    </w:p>
    <w:p>
      <w:pPr>
        <w:spacing w:line="420" w:lineRule="exact"/>
        <w:jc w:val="center"/>
        <w:outlineLvl w:val="3"/>
        <w:rPr>
          <w:rFonts w:ascii="宋体" w:hAnsi="宋体"/>
          <w:b/>
          <w:bCs/>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监狱和戒毒企业证明材料</w:t>
      </w:r>
    </w:p>
    <w:p>
      <w:pPr>
        <w:spacing w:line="420" w:lineRule="exact"/>
        <w:ind w:firstLine="495" w:firstLineChars="177"/>
        <w:rPr>
          <w:rFonts w:ascii="宋体" w:hAnsi="宋体" w:cs="宋体"/>
          <w:color w:val="auto"/>
          <w:sz w:val="28"/>
          <w:szCs w:val="28"/>
          <w:highlight w:val="none"/>
        </w:rPr>
      </w:pPr>
    </w:p>
    <w:p>
      <w:pPr>
        <w:spacing w:line="420" w:lineRule="exact"/>
        <w:ind w:firstLine="426" w:firstLineChars="177"/>
        <w:jc w:val="center"/>
        <w:rPr>
          <w:rFonts w:ascii="宋体" w:hAnsi="宋体" w:cs="宋体"/>
          <w:b/>
          <w:color w:val="auto"/>
          <w:sz w:val="24"/>
          <w:highlight w:val="none"/>
        </w:rPr>
      </w:pPr>
      <w:r>
        <w:rPr>
          <w:rFonts w:hint="eastAsia" w:ascii="宋体" w:hAnsi="宋体" w:cs="宋体"/>
          <w:b/>
          <w:color w:val="auto"/>
          <w:sz w:val="24"/>
          <w:highlight w:val="none"/>
        </w:rPr>
        <w:t>（格式自拟）</w:t>
      </w:r>
    </w:p>
    <w:p>
      <w:pPr>
        <w:spacing w:line="420" w:lineRule="exact"/>
        <w:ind w:firstLine="424" w:firstLineChars="177"/>
        <w:rPr>
          <w:rFonts w:ascii="宋体" w:hAnsi="宋体" w:cs="宋体"/>
          <w:color w:val="auto"/>
          <w:sz w:val="24"/>
          <w:highlight w:val="none"/>
        </w:rPr>
      </w:pPr>
    </w:p>
    <w:p>
      <w:pPr>
        <w:spacing w:line="420" w:lineRule="exact"/>
        <w:ind w:firstLine="566" w:firstLineChars="236"/>
        <w:rPr>
          <w:rFonts w:ascii="宋体" w:hAnsi="宋体" w:cs="宋体"/>
          <w:color w:val="auto"/>
          <w:sz w:val="24"/>
          <w:highlight w:val="none"/>
        </w:rPr>
      </w:pPr>
      <w:r>
        <w:rPr>
          <w:rFonts w:hint="eastAsia" w:ascii="宋体" w:hAnsi="宋体" w:cs="宋体"/>
          <w:color w:val="auto"/>
          <w:sz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pPr>
        <w:spacing w:line="300" w:lineRule="auto"/>
        <w:contextualSpacing/>
        <w:rPr>
          <w:rFonts w:ascii="宋体" w:hAnsi="宋体"/>
          <w:b/>
          <w:bCs/>
          <w:color w:val="auto"/>
          <w:sz w:val="24"/>
          <w:highlight w:val="none"/>
        </w:rPr>
      </w:pPr>
    </w:p>
    <w:p>
      <w:pPr>
        <w:kinsoku w:val="0"/>
        <w:topLinePunct/>
        <w:spacing w:line="420" w:lineRule="exact"/>
        <w:jc w:val="center"/>
        <w:rPr>
          <w:rFonts w:ascii="宋体" w:hAnsi="宋体"/>
          <w:color w:val="auto"/>
          <w:sz w:val="24"/>
          <w:highlight w:val="none"/>
        </w:rPr>
      </w:pPr>
    </w:p>
    <w:p>
      <w:pPr>
        <w:spacing w:line="360" w:lineRule="auto"/>
        <w:rPr>
          <w:color w:val="auto"/>
          <w:highlight w:val="none"/>
        </w:rPr>
      </w:pPr>
    </w:p>
    <w:sectPr>
      <w:footerReference r:id="rId3" w:type="default"/>
      <w:pgSz w:w="11907" w:h="16839"/>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43</w:t>
    </w:r>
    <w:r>
      <w:rPr>
        <w:lang w:val="zh-CN"/>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2CD72"/>
    <w:multiLevelType w:val="singleLevel"/>
    <w:tmpl w:val="2472CD72"/>
    <w:lvl w:ilvl="0" w:tentative="0">
      <w:start w:val="1"/>
      <w:numFmt w:val="decimal"/>
      <w:lvlText w:val="%1."/>
      <w:lvlJc w:val="left"/>
      <w:pPr>
        <w:ind w:left="851" w:hanging="425"/>
      </w:pPr>
      <w:rPr>
        <w:rFonts w:hint="default" w:cs="Times New Roman"/>
      </w:rPr>
    </w:lvl>
  </w:abstractNum>
  <w:abstractNum w:abstractNumId="1">
    <w:nsid w:val="4EAE29E1"/>
    <w:multiLevelType w:val="multilevel"/>
    <w:tmpl w:val="4EAE29E1"/>
    <w:lvl w:ilvl="0" w:tentative="0">
      <w:start w:val="2"/>
      <w:numFmt w:val="chineseCounting"/>
      <w:suff w:val="nothing"/>
      <w:lvlText w:val="%1、"/>
      <w:lvlJc w:val="left"/>
      <w:pPr>
        <w:tabs>
          <w:tab w:val="left" w:pos="0"/>
        </w:tabs>
        <w:ind w:left="0" w:firstLine="0"/>
      </w:pPr>
      <w:rPr>
        <w:rFonts w:hint="eastAsia" w:ascii="宋体" w:hAnsi="宋体" w:eastAsia="宋体"/>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YzNjBkOTgyNWQ1YTMxYzM3MzMwNWFiODNmOWIzYWMifQ=="/>
  </w:docVars>
  <w:rsids>
    <w:rsidRoot w:val="004E6A01"/>
    <w:rsid w:val="00004F3A"/>
    <w:rsid w:val="0002042E"/>
    <w:rsid w:val="000251AD"/>
    <w:rsid w:val="000251B3"/>
    <w:rsid w:val="000275F4"/>
    <w:rsid w:val="00045C4B"/>
    <w:rsid w:val="00057671"/>
    <w:rsid w:val="0006779E"/>
    <w:rsid w:val="000713C9"/>
    <w:rsid w:val="00075515"/>
    <w:rsid w:val="0008732D"/>
    <w:rsid w:val="00091AD9"/>
    <w:rsid w:val="000E05F2"/>
    <w:rsid w:val="000F1D62"/>
    <w:rsid w:val="000F3FC3"/>
    <w:rsid w:val="000F4F2C"/>
    <w:rsid w:val="001116CB"/>
    <w:rsid w:val="001137DC"/>
    <w:rsid w:val="00115F3B"/>
    <w:rsid w:val="00130D3A"/>
    <w:rsid w:val="00131C02"/>
    <w:rsid w:val="00147540"/>
    <w:rsid w:val="0016523B"/>
    <w:rsid w:val="0016650C"/>
    <w:rsid w:val="001A6770"/>
    <w:rsid w:val="001B5DC9"/>
    <w:rsid w:val="001D5D25"/>
    <w:rsid w:val="001E071B"/>
    <w:rsid w:val="00201938"/>
    <w:rsid w:val="00213A61"/>
    <w:rsid w:val="00230629"/>
    <w:rsid w:val="00236D08"/>
    <w:rsid w:val="002401BF"/>
    <w:rsid w:val="00256063"/>
    <w:rsid w:val="00266C43"/>
    <w:rsid w:val="00292F49"/>
    <w:rsid w:val="002A1EF6"/>
    <w:rsid w:val="002A2058"/>
    <w:rsid w:val="002A2D50"/>
    <w:rsid w:val="002D0784"/>
    <w:rsid w:val="002D1B82"/>
    <w:rsid w:val="002D3954"/>
    <w:rsid w:val="002F07A0"/>
    <w:rsid w:val="002F3F3E"/>
    <w:rsid w:val="003628A6"/>
    <w:rsid w:val="003737A4"/>
    <w:rsid w:val="00384813"/>
    <w:rsid w:val="003869DB"/>
    <w:rsid w:val="00392F74"/>
    <w:rsid w:val="00393094"/>
    <w:rsid w:val="00395368"/>
    <w:rsid w:val="003B60A0"/>
    <w:rsid w:val="003D2526"/>
    <w:rsid w:val="003E5033"/>
    <w:rsid w:val="004020C3"/>
    <w:rsid w:val="0041349D"/>
    <w:rsid w:val="004212D6"/>
    <w:rsid w:val="00423603"/>
    <w:rsid w:val="00433757"/>
    <w:rsid w:val="004633D9"/>
    <w:rsid w:val="004854B7"/>
    <w:rsid w:val="004A2FCB"/>
    <w:rsid w:val="004B2F8E"/>
    <w:rsid w:val="004C1C13"/>
    <w:rsid w:val="004C2519"/>
    <w:rsid w:val="004C4040"/>
    <w:rsid w:val="004D6CF7"/>
    <w:rsid w:val="004E1835"/>
    <w:rsid w:val="004E66CD"/>
    <w:rsid w:val="004E6A01"/>
    <w:rsid w:val="004F4D44"/>
    <w:rsid w:val="00505E24"/>
    <w:rsid w:val="00506000"/>
    <w:rsid w:val="00507573"/>
    <w:rsid w:val="00507A5F"/>
    <w:rsid w:val="00512B27"/>
    <w:rsid w:val="005305DD"/>
    <w:rsid w:val="00542063"/>
    <w:rsid w:val="00543BF8"/>
    <w:rsid w:val="00583FBC"/>
    <w:rsid w:val="005B6827"/>
    <w:rsid w:val="005C303E"/>
    <w:rsid w:val="005C4729"/>
    <w:rsid w:val="005C63ED"/>
    <w:rsid w:val="005D0729"/>
    <w:rsid w:val="005E6254"/>
    <w:rsid w:val="006010BE"/>
    <w:rsid w:val="00601AF2"/>
    <w:rsid w:val="006038D8"/>
    <w:rsid w:val="00604959"/>
    <w:rsid w:val="006057AD"/>
    <w:rsid w:val="006078DA"/>
    <w:rsid w:val="00607E8B"/>
    <w:rsid w:val="00617200"/>
    <w:rsid w:val="00622F81"/>
    <w:rsid w:val="006259E2"/>
    <w:rsid w:val="0062661C"/>
    <w:rsid w:val="00634758"/>
    <w:rsid w:val="00635C44"/>
    <w:rsid w:val="00672395"/>
    <w:rsid w:val="00686279"/>
    <w:rsid w:val="006B3A9D"/>
    <w:rsid w:val="006C344A"/>
    <w:rsid w:val="006D3752"/>
    <w:rsid w:val="006E6582"/>
    <w:rsid w:val="006E6F24"/>
    <w:rsid w:val="006F1AFD"/>
    <w:rsid w:val="006F7925"/>
    <w:rsid w:val="0070645D"/>
    <w:rsid w:val="00720EE5"/>
    <w:rsid w:val="00760F2B"/>
    <w:rsid w:val="007A264D"/>
    <w:rsid w:val="007D34CA"/>
    <w:rsid w:val="007E06DE"/>
    <w:rsid w:val="007E700E"/>
    <w:rsid w:val="007F1D1B"/>
    <w:rsid w:val="007F406D"/>
    <w:rsid w:val="00803B60"/>
    <w:rsid w:val="008165D1"/>
    <w:rsid w:val="008228A1"/>
    <w:rsid w:val="00827675"/>
    <w:rsid w:val="00880ABF"/>
    <w:rsid w:val="008851FB"/>
    <w:rsid w:val="008A0B38"/>
    <w:rsid w:val="008A164E"/>
    <w:rsid w:val="008A4C76"/>
    <w:rsid w:val="008B52F2"/>
    <w:rsid w:val="008C2935"/>
    <w:rsid w:val="00916282"/>
    <w:rsid w:val="00916A6F"/>
    <w:rsid w:val="0093280D"/>
    <w:rsid w:val="009358CD"/>
    <w:rsid w:val="00974781"/>
    <w:rsid w:val="009A5950"/>
    <w:rsid w:val="009B537B"/>
    <w:rsid w:val="009B7218"/>
    <w:rsid w:val="009C044F"/>
    <w:rsid w:val="009D069A"/>
    <w:rsid w:val="00A20419"/>
    <w:rsid w:val="00A40B79"/>
    <w:rsid w:val="00A53576"/>
    <w:rsid w:val="00A53B00"/>
    <w:rsid w:val="00A56DDD"/>
    <w:rsid w:val="00A60AC1"/>
    <w:rsid w:val="00A6528F"/>
    <w:rsid w:val="00A772A9"/>
    <w:rsid w:val="00A9061C"/>
    <w:rsid w:val="00A90756"/>
    <w:rsid w:val="00A92BAC"/>
    <w:rsid w:val="00AA6F7C"/>
    <w:rsid w:val="00AB4D2B"/>
    <w:rsid w:val="00AB6A73"/>
    <w:rsid w:val="00AE0EFC"/>
    <w:rsid w:val="00AE775C"/>
    <w:rsid w:val="00AF6E03"/>
    <w:rsid w:val="00B06300"/>
    <w:rsid w:val="00B1021A"/>
    <w:rsid w:val="00B40AFC"/>
    <w:rsid w:val="00B41417"/>
    <w:rsid w:val="00B61AFD"/>
    <w:rsid w:val="00B64175"/>
    <w:rsid w:val="00B65D51"/>
    <w:rsid w:val="00B71D6D"/>
    <w:rsid w:val="00B746AF"/>
    <w:rsid w:val="00B86772"/>
    <w:rsid w:val="00BA2BE4"/>
    <w:rsid w:val="00BA416B"/>
    <w:rsid w:val="00BE0A7F"/>
    <w:rsid w:val="00BE6DC9"/>
    <w:rsid w:val="00BF1195"/>
    <w:rsid w:val="00C228EB"/>
    <w:rsid w:val="00C312B4"/>
    <w:rsid w:val="00C541F8"/>
    <w:rsid w:val="00C56D1C"/>
    <w:rsid w:val="00C61138"/>
    <w:rsid w:val="00C74B22"/>
    <w:rsid w:val="00C929CF"/>
    <w:rsid w:val="00CA3341"/>
    <w:rsid w:val="00CD47DF"/>
    <w:rsid w:val="00D126A1"/>
    <w:rsid w:val="00D13471"/>
    <w:rsid w:val="00D135E9"/>
    <w:rsid w:val="00D22E94"/>
    <w:rsid w:val="00D26B1A"/>
    <w:rsid w:val="00D53D23"/>
    <w:rsid w:val="00D5594D"/>
    <w:rsid w:val="00D84BAB"/>
    <w:rsid w:val="00D85E26"/>
    <w:rsid w:val="00DA63E5"/>
    <w:rsid w:val="00DB642F"/>
    <w:rsid w:val="00DF21CE"/>
    <w:rsid w:val="00DF7BB8"/>
    <w:rsid w:val="00E233DD"/>
    <w:rsid w:val="00E24069"/>
    <w:rsid w:val="00E310E6"/>
    <w:rsid w:val="00E4427F"/>
    <w:rsid w:val="00E71640"/>
    <w:rsid w:val="00E72D4F"/>
    <w:rsid w:val="00E86056"/>
    <w:rsid w:val="00E87250"/>
    <w:rsid w:val="00E93F70"/>
    <w:rsid w:val="00E9633A"/>
    <w:rsid w:val="00EB0A1D"/>
    <w:rsid w:val="00EB578E"/>
    <w:rsid w:val="00EC243E"/>
    <w:rsid w:val="00EC797C"/>
    <w:rsid w:val="00F2328A"/>
    <w:rsid w:val="00F32BA9"/>
    <w:rsid w:val="00F335E9"/>
    <w:rsid w:val="00F34928"/>
    <w:rsid w:val="00F511D3"/>
    <w:rsid w:val="00F52E82"/>
    <w:rsid w:val="00F55EEF"/>
    <w:rsid w:val="00F608C4"/>
    <w:rsid w:val="00F71569"/>
    <w:rsid w:val="00F71642"/>
    <w:rsid w:val="00FB61AB"/>
    <w:rsid w:val="00FC019B"/>
    <w:rsid w:val="00FD49BD"/>
    <w:rsid w:val="00FE1FB6"/>
    <w:rsid w:val="05E32478"/>
    <w:rsid w:val="066B7744"/>
    <w:rsid w:val="07630750"/>
    <w:rsid w:val="080F7306"/>
    <w:rsid w:val="0A9469B8"/>
    <w:rsid w:val="0BA26B08"/>
    <w:rsid w:val="0BD75FB3"/>
    <w:rsid w:val="0DA0452F"/>
    <w:rsid w:val="0DB316AF"/>
    <w:rsid w:val="0F7D3354"/>
    <w:rsid w:val="114C66F9"/>
    <w:rsid w:val="115F3764"/>
    <w:rsid w:val="127961AB"/>
    <w:rsid w:val="14092AD7"/>
    <w:rsid w:val="1606331B"/>
    <w:rsid w:val="188034A7"/>
    <w:rsid w:val="1B6F2CBA"/>
    <w:rsid w:val="1BB13D28"/>
    <w:rsid w:val="1DA619A9"/>
    <w:rsid w:val="1EC81FB4"/>
    <w:rsid w:val="2665112C"/>
    <w:rsid w:val="2BB24484"/>
    <w:rsid w:val="2BBB1C53"/>
    <w:rsid w:val="30CD4226"/>
    <w:rsid w:val="31457DBA"/>
    <w:rsid w:val="37461371"/>
    <w:rsid w:val="377C48B6"/>
    <w:rsid w:val="38481C7E"/>
    <w:rsid w:val="38593C76"/>
    <w:rsid w:val="386046B4"/>
    <w:rsid w:val="3C805A5B"/>
    <w:rsid w:val="4366313D"/>
    <w:rsid w:val="439E1AC6"/>
    <w:rsid w:val="44604B4B"/>
    <w:rsid w:val="4554492E"/>
    <w:rsid w:val="46D17D48"/>
    <w:rsid w:val="46DF28B7"/>
    <w:rsid w:val="497D7EEC"/>
    <w:rsid w:val="4CAF7AAD"/>
    <w:rsid w:val="4CBB4158"/>
    <w:rsid w:val="5DAA7FFC"/>
    <w:rsid w:val="5DDD4037"/>
    <w:rsid w:val="5FAB74A0"/>
    <w:rsid w:val="61F554B8"/>
    <w:rsid w:val="632779F9"/>
    <w:rsid w:val="63365E8E"/>
    <w:rsid w:val="64611EBE"/>
    <w:rsid w:val="68FA4718"/>
    <w:rsid w:val="69A9560C"/>
    <w:rsid w:val="69EE3DC3"/>
    <w:rsid w:val="6B9419A4"/>
    <w:rsid w:val="6C112375"/>
    <w:rsid w:val="710A7803"/>
    <w:rsid w:val="74F667BF"/>
    <w:rsid w:val="755A7887"/>
    <w:rsid w:val="76E652B4"/>
    <w:rsid w:val="7E5734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9"/>
    <w:unhideWhenUsed/>
    <w:qFormat/>
    <w:uiPriority w:val="99"/>
    <w:pPr>
      <w:ind w:firstLine="420" w:firstLineChars="200"/>
    </w:pPr>
  </w:style>
  <w:style w:type="paragraph" w:styleId="3">
    <w:name w:val="Body Text Indent"/>
    <w:basedOn w:val="1"/>
    <w:next w:val="4"/>
    <w:link w:val="18"/>
    <w:unhideWhenUsed/>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5">
    <w:name w:val="Normal Indent"/>
    <w:basedOn w:val="1"/>
    <w:link w:val="21"/>
    <w:qFormat/>
    <w:uiPriority w:val="0"/>
    <w:pPr>
      <w:ind w:firstLine="420"/>
    </w:pPr>
    <w:rPr>
      <w:szCs w:val="20"/>
    </w:rPr>
  </w:style>
  <w:style w:type="paragraph" w:styleId="6">
    <w:name w:val="annotation text"/>
    <w:basedOn w:val="1"/>
    <w:link w:val="36"/>
    <w:semiHidden/>
    <w:unhideWhenUsed/>
    <w:qFormat/>
    <w:uiPriority w:val="99"/>
    <w:pPr>
      <w:jc w:val="left"/>
    </w:pPr>
  </w:style>
  <w:style w:type="paragraph" w:styleId="7">
    <w:name w:val="Body Text"/>
    <w:basedOn w:val="1"/>
    <w:next w:val="8"/>
    <w:qFormat/>
    <w:uiPriority w:val="0"/>
    <w:pPr>
      <w:spacing w:after="120"/>
    </w:pPr>
  </w:style>
  <w:style w:type="paragraph" w:customStyle="1" w:styleId="8">
    <w:name w:val="Default"/>
    <w:next w:val="1"/>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 w:type="paragraph" w:styleId="9">
    <w:name w:val="toc 3"/>
    <w:basedOn w:val="1"/>
    <w:next w:val="1"/>
    <w:qFormat/>
    <w:uiPriority w:val="0"/>
    <w:pPr>
      <w:ind w:left="840" w:leftChars="400"/>
    </w:pPr>
  </w:style>
  <w:style w:type="paragraph" w:styleId="10">
    <w:name w:val="Balloon Text"/>
    <w:basedOn w:val="1"/>
    <w:link w:val="22"/>
    <w:qFormat/>
    <w:uiPriority w:val="0"/>
    <w:rPr>
      <w:sz w:val="18"/>
      <w:szCs w:val="18"/>
    </w:rPr>
  </w:style>
  <w:style w:type="paragraph" w:styleId="11">
    <w:name w:val="footer"/>
    <w:basedOn w:val="1"/>
    <w:link w:val="23"/>
    <w:qFormat/>
    <w:uiPriority w:val="99"/>
    <w:pPr>
      <w:tabs>
        <w:tab w:val="center" w:pos="4153"/>
        <w:tab w:val="right" w:pos="8306"/>
      </w:tabs>
      <w:snapToGrid w:val="0"/>
      <w:jc w:val="left"/>
    </w:pPr>
    <w:rPr>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annotation subject"/>
    <w:basedOn w:val="6"/>
    <w:next w:val="6"/>
    <w:link w:val="37"/>
    <w:semiHidden/>
    <w:unhideWhenUsed/>
    <w:qFormat/>
    <w:uiPriority w:val="99"/>
    <w:rPr>
      <w:b/>
      <w:bCs/>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annotation reference"/>
    <w:unhideWhenUsed/>
    <w:qFormat/>
    <w:uiPriority w:val="0"/>
    <w:rPr>
      <w:sz w:val="21"/>
      <w:szCs w:val="21"/>
    </w:rPr>
  </w:style>
  <w:style w:type="character" w:customStyle="1" w:styleId="18">
    <w:name w:val="正文文本缩进 Char"/>
    <w:basedOn w:val="16"/>
    <w:link w:val="3"/>
    <w:semiHidden/>
    <w:qFormat/>
    <w:uiPriority w:val="99"/>
    <w:rPr>
      <w:rFonts w:ascii="Times New Roman" w:hAnsi="Times New Roman" w:eastAsia="宋体" w:cs="Times New Roman"/>
      <w:szCs w:val="24"/>
    </w:rPr>
  </w:style>
  <w:style w:type="character" w:customStyle="1" w:styleId="19">
    <w:name w:val="正文首行缩进 2 Char"/>
    <w:basedOn w:val="18"/>
    <w:link w:val="2"/>
    <w:qFormat/>
    <w:uiPriority w:val="99"/>
    <w:rPr>
      <w:rFonts w:ascii="Times New Roman" w:hAnsi="Times New Roman" w:eastAsia="宋体" w:cs="Times New Roman"/>
      <w:szCs w:val="24"/>
    </w:rPr>
  </w:style>
  <w:style w:type="character" w:customStyle="1" w:styleId="20">
    <w:name w:val="正文文本缩进 Char1"/>
    <w:qFormat/>
    <w:uiPriority w:val="0"/>
    <w:rPr>
      <w:kern w:val="2"/>
      <w:sz w:val="21"/>
      <w:szCs w:val="24"/>
    </w:rPr>
  </w:style>
  <w:style w:type="character" w:customStyle="1" w:styleId="21">
    <w:name w:val="正文缩进 Char"/>
    <w:link w:val="5"/>
    <w:qFormat/>
    <w:uiPriority w:val="0"/>
    <w:rPr>
      <w:rFonts w:ascii="Times New Roman" w:hAnsi="Times New Roman" w:eastAsia="宋体" w:cs="Times New Roman"/>
      <w:szCs w:val="20"/>
    </w:rPr>
  </w:style>
  <w:style w:type="character" w:customStyle="1" w:styleId="22">
    <w:name w:val="批注框文本 Char"/>
    <w:basedOn w:val="16"/>
    <w:link w:val="10"/>
    <w:qFormat/>
    <w:uiPriority w:val="0"/>
    <w:rPr>
      <w:rFonts w:ascii="Times New Roman" w:hAnsi="Times New Roman" w:eastAsia="宋体" w:cs="Times New Roman"/>
      <w:sz w:val="18"/>
      <w:szCs w:val="18"/>
    </w:rPr>
  </w:style>
  <w:style w:type="character" w:customStyle="1" w:styleId="23">
    <w:name w:val="页脚 Char"/>
    <w:basedOn w:val="16"/>
    <w:link w:val="11"/>
    <w:qFormat/>
    <w:uiPriority w:val="99"/>
    <w:rPr>
      <w:rFonts w:ascii="Times New Roman" w:hAnsi="Times New Roman" w:eastAsia="宋体" w:cs="Times New Roman"/>
      <w:sz w:val="18"/>
      <w:szCs w:val="18"/>
    </w:rPr>
  </w:style>
  <w:style w:type="character" w:customStyle="1" w:styleId="24">
    <w:name w:val="正文缩进2格 Char"/>
    <w:link w:val="25"/>
    <w:qFormat/>
    <w:locked/>
    <w:uiPriority w:val="0"/>
    <w:rPr>
      <w:rFonts w:ascii="仿宋_GB2312" w:hAnsi="宋体" w:eastAsia="仿宋_GB2312"/>
      <w:sz w:val="31"/>
      <w:szCs w:val="28"/>
    </w:rPr>
  </w:style>
  <w:style w:type="paragraph" w:customStyle="1" w:styleId="25">
    <w:name w:val="正文缩进2格"/>
    <w:basedOn w:val="1"/>
    <w:link w:val="24"/>
    <w:qFormat/>
    <w:uiPriority w:val="0"/>
    <w:pPr>
      <w:spacing w:line="600" w:lineRule="exact"/>
      <w:ind w:firstLine="639" w:firstLineChars="206"/>
    </w:pPr>
    <w:rPr>
      <w:rFonts w:ascii="仿宋_GB2312" w:hAnsi="宋体" w:eastAsia="仿宋_GB2312" w:cstheme="minorBidi"/>
      <w:sz w:val="31"/>
      <w:szCs w:val="28"/>
    </w:rPr>
  </w:style>
  <w:style w:type="paragraph" w:customStyle="1" w:styleId="26">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b/>
      <w:bCs/>
      <w:sz w:val="32"/>
      <w:szCs w:val="20"/>
    </w:rPr>
  </w:style>
  <w:style w:type="character" w:customStyle="1" w:styleId="27">
    <w:name w:val="我的正文 Char"/>
    <w:link w:val="28"/>
    <w:qFormat/>
    <w:locked/>
    <w:uiPriority w:val="0"/>
    <w:rPr>
      <w:rFonts w:ascii="宋体" w:hAnsi="宋体"/>
      <w:sz w:val="24"/>
      <w:szCs w:val="24"/>
    </w:rPr>
  </w:style>
  <w:style w:type="paragraph" w:customStyle="1" w:styleId="28">
    <w:name w:val="我的正文"/>
    <w:basedOn w:val="1"/>
    <w:link w:val="27"/>
    <w:qFormat/>
    <w:uiPriority w:val="0"/>
    <w:pPr>
      <w:snapToGrid w:val="0"/>
      <w:spacing w:line="300" w:lineRule="auto"/>
      <w:ind w:firstLine="150" w:firstLineChars="150"/>
    </w:pPr>
    <w:rPr>
      <w:rFonts w:ascii="宋体" w:hAnsi="宋体" w:eastAsiaTheme="minorEastAsia" w:cstheme="minorBidi"/>
      <w:sz w:val="24"/>
    </w:rPr>
  </w:style>
  <w:style w:type="paragraph" w:customStyle="1" w:styleId="29">
    <w:name w:val="列出段落1"/>
    <w:basedOn w:val="1"/>
    <w:qFormat/>
    <w:uiPriority w:val="34"/>
    <w:pPr>
      <w:ind w:firstLine="420" w:firstLineChars="200"/>
    </w:pPr>
  </w:style>
  <w:style w:type="character" w:customStyle="1" w:styleId="30">
    <w:name w:val="fontstyle01"/>
    <w:qFormat/>
    <w:uiPriority w:val="0"/>
    <w:rPr>
      <w:rFonts w:hint="eastAsia" w:ascii="宋体" w:hAnsi="宋体" w:eastAsia="宋体"/>
      <w:color w:val="000000"/>
      <w:sz w:val="24"/>
      <w:szCs w:val="24"/>
    </w:rPr>
  </w:style>
  <w:style w:type="paragraph" w:styleId="31">
    <w:name w:val="List Paragraph"/>
    <w:basedOn w:val="1"/>
    <w:qFormat/>
    <w:uiPriority w:val="34"/>
    <w:pPr>
      <w:ind w:firstLine="420" w:firstLineChars="200"/>
    </w:pPr>
  </w:style>
  <w:style w:type="paragraph" w:customStyle="1" w:styleId="32">
    <w:name w:val="xl36"/>
    <w:basedOn w:val="1"/>
    <w:qFormat/>
    <w:uiPriority w:val="0"/>
    <w:pPr>
      <w:widowControl/>
      <w:pBdr>
        <w:left w:val="single" w:color="auto" w:sz="8" w:space="0"/>
        <w:bottom w:val="single" w:color="auto" w:sz="4" w:space="0"/>
        <w:right w:val="single" w:color="auto" w:sz="4" w:space="0"/>
      </w:pBdr>
      <w:adjustRightInd w:val="0"/>
      <w:snapToGrid w:val="0"/>
      <w:spacing w:before="100" w:beforeAutospacing="1" w:after="100" w:afterAutospacing="1"/>
      <w:jc w:val="center"/>
    </w:pPr>
    <w:rPr>
      <w:rFonts w:hint="eastAsia" w:ascii="宋体" w:hAnsi="Tahoma" w:eastAsia="微软雅黑"/>
      <w:kern w:val="0"/>
      <w:sz w:val="24"/>
      <w:szCs w:val="20"/>
    </w:rPr>
  </w:style>
  <w:style w:type="character" w:customStyle="1" w:styleId="33">
    <w:name w:val="页眉 Char"/>
    <w:basedOn w:val="16"/>
    <w:link w:val="12"/>
    <w:qFormat/>
    <w:uiPriority w:val="99"/>
    <w:rPr>
      <w:rFonts w:ascii="Times New Roman" w:hAnsi="Times New Roman" w:eastAsia="宋体" w:cs="Times New Roman"/>
      <w:sz w:val="18"/>
      <w:szCs w:val="18"/>
    </w:rPr>
  </w:style>
  <w:style w:type="character" w:customStyle="1" w:styleId="34">
    <w:name w:val="font61"/>
    <w:basedOn w:val="16"/>
    <w:qFormat/>
    <w:uiPriority w:val="0"/>
    <w:rPr>
      <w:rFonts w:hint="eastAsia" w:ascii="宋体" w:hAnsi="宋体" w:eastAsia="宋体" w:cs="宋体"/>
      <w:color w:val="FF0000"/>
      <w:sz w:val="20"/>
      <w:szCs w:val="20"/>
      <w:u w:val="none"/>
    </w:rPr>
  </w:style>
  <w:style w:type="character" w:customStyle="1" w:styleId="35">
    <w:name w:val="font31"/>
    <w:basedOn w:val="16"/>
    <w:qFormat/>
    <w:uiPriority w:val="0"/>
    <w:rPr>
      <w:rFonts w:hint="eastAsia" w:ascii="宋体" w:hAnsi="宋体" w:eastAsia="宋体" w:cs="宋体"/>
      <w:color w:val="000000"/>
      <w:sz w:val="20"/>
      <w:szCs w:val="20"/>
      <w:u w:val="none"/>
    </w:rPr>
  </w:style>
  <w:style w:type="character" w:customStyle="1" w:styleId="36">
    <w:name w:val="批注文字 Char"/>
    <w:basedOn w:val="16"/>
    <w:link w:val="6"/>
    <w:semiHidden/>
    <w:qFormat/>
    <w:uiPriority w:val="99"/>
    <w:rPr>
      <w:kern w:val="2"/>
      <w:sz w:val="21"/>
      <w:szCs w:val="24"/>
    </w:rPr>
  </w:style>
  <w:style w:type="character" w:customStyle="1" w:styleId="37">
    <w:name w:val="批注主题 Char"/>
    <w:basedOn w:val="36"/>
    <w:link w:val="13"/>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55</Pages>
  <Words>4053</Words>
  <Characters>23108</Characters>
  <Lines>192</Lines>
  <Paragraphs>54</Paragraphs>
  <TotalTime>4</TotalTime>
  <ScaleCrop>false</ScaleCrop>
  <LinksUpToDate>false</LinksUpToDate>
  <CharactersWithSpaces>27107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2022-07-06T12:18:00Z</dcterms:created>
  <dc:creator>吉加兵</dc:creator>
  <cp:lastModifiedBy>Qhf</cp:lastModifiedBy>
  <cp:lastPrinted>2022-03-01T06:57:00Z</cp:lastPrinted>
  <dcterms:modified xsi:type="dcterms:W3CDTF">2023-03-24T06:57:26Z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E90B11D699FE4C1DAFEB61BD6949BF02</vt:lpwstr>
  </property>
</Properties>
</file>