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4043">
      <w:pPr>
        <w:spacing w:line="500" w:lineRule="exact"/>
        <w:jc w:val="center"/>
        <w:rPr>
          <w:rFonts w:hint="eastAsia" w:ascii="宋体" w:hAnsi="宋体" w:eastAsia="宋体" w:cs="宋体"/>
          <w:bCs/>
          <w:color w:val="auto"/>
          <w:spacing w:val="20"/>
          <w:sz w:val="44"/>
          <w:highlight w:val="none"/>
          <w:lang w:eastAsia="zh-CN"/>
        </w:rPr>
      </w:pPr>
    </w:p>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南通市交通运输局信息安全服务项目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7"/>
        <w:spacing w:line="500" w:lineRule="exact"/>
        <w:rPr>
          <w:rFonts w:hint="eastAsia" w:ascii="宋体" w:hAnsi="宋体" w:eastAsia="宋体" w:cs="宋体"/>
          <w:b w:val="0"/>
          <w:bCs/>
          <w:color w:val="auto"/>
          <w:highlight w:val="none"/>
        </w:rPr>
      </w:pPr>
    </w:p>
    <w:p w14:paraId="0F91536B">
      <w:pPr>
        <w:spacing w:line="360" w:lineRule="auto"/>
        <w:jc w:val="center"/>
        <w:rPr>
          <w:rFonts w:hint="eastAsia" w:ascii="宋体" w:hAnsi="宋体" w:eastAsia="宋体" w:cs="宋体"/>
          <w:b/>
          <w:color w:val="auto"/>
          <w:sz w:val="30"/>
          <w:szCs w:val="30"/>
          <w:highlight w:val="none"/>
        </w:rPr>
      </w:pPr>
    </w:p>
    <w:p w14:paraId="292ED3C5">
      <w:pPr>
        <w:pStyle w:val="17"/>
        <w:rPr>
          <w:rFonts w:hint="eastAsia" w:ascii="宋体" w:hAnsi="宋体" w:eastAsia="宋体" w:cs="宋体"/>
          <w:b/>
          <w:color w:val="auto"/>
          <w:sz w:val="30"/>
          <w:szCs w:val="30"/>
          <w:highlight w:val="none"/>
        </w:rPr>
      </w:pPr>
    </w:p>
    <w:p w14:paraId="79F29618">
      <w:pPr>
        <w:pStyle w:val="56"/>
        <w:rPr>
          <w:rFonts w:hint="eastAsia" w:ascii="宋体" w:hAnsi="宋体" w:eastAsia="宋体" w:cs="宋体"/>
          <w:b/>
          <w:color w:val="auto"/>
          <w:sz w:val="30"/>
          <w:szCs w:val="30"/>
          <w:highlight w:val="none"/>
        </w:rPr>
      </w:pPr>
    </w:p>
    <w:p w14:paraId="1255C588">
      <w:pPr>
        <w:pStyle w:val="56"/>
        <w:rPr>
          <w:rFonts w:hint="eastAsia" w:ascii="宋体" w:hAnsi="宋体" w:eastAsia="宋体" w:cs="宋体"/>
          <w:b/>
          <w:color w:val="auto"/>
          <w:sz w:val="30"/>
          <w:szCs w:val="30"/>
          <w:highlight w:val="none"/>
        </w:rPr>
      </w:pPr>
    </w:p>
    <w:p w14:paraId="62636504">
      <w:pPr>
        <w:pStyle w:val="56"/>
        <w:rPr>
          <w:rFonts w:hint="eastAsia" w:ascii="宋体" w:hAnsi="宋体" w:eastAsia="宋体" w:cs="宋体"/>
          <w:b/>
          <w:color w:val="auto"/>
          <w:sz w:val="30"/>
          <w:szCs w:val="30"/>
          <w:highlight w:val="none"/>
        </w:rPr>
      </w:pPr>
    </w:p>
    <w:p w14:paraId="713D20C4">
      <w:pPr>
        <w:pStyle w:val="56"/>
        <w:rPr>
          <w:rFonts w:hint="eastAsia" w:ascii="宋体" w:hAnsi="宋体" w:eastAsia="宋体" w:cs="宋体"/>
          <w:b/>
          <w:color w:val="auto"/>
          <w:sz w:val="30"/>
          <w:szCs w:val="30"/>
          <w:highlight w:val="none"/>
        </w:rPr>
      </w:pPr>
    </w:p>
    <w:p w14:paraId="7F41108E">
      <w:pPr>
        <w:pStyle w:val="56"/>
        <w:rPr>
          <w:rFonts w:hint="eastAsia" w:ascii="宋体" w:hAnsi="宋体" w:eastAsia="宋体" w:cs="宋体"/>
          <w:b/>
          <w:color w:val="auto"/>
          <w:sz w:val="30"/>
          <w:szCs w:val="30"/>
          <w:highlight w:val="none"/>
        </w:rPr>
      </w:pPr>
    </w:p>
    <w:p w14:paraId="26C1FA0E">
      <w:pPr>
        <w:pStyle w:val="56"/>
        <w:rPr>
          <w:rFonts w:hint="eastAsia" w:ascii="宋体" w:hAnsi="宋体" w:eastAsia="宋体" w:cs="宋体"/>
          <w:b/>
          <w:color w:val="auto"/>
          <w:sz w:val="30"/>
          <w:szCs w:val="30"/>
          <w:highlight w:val="none"/>
        </w:rPr>
      </w:pPr>
    </w:p>
    <w:p w14:paraId="2BFBCC6A">
      <w:pPr>
        <w:pStyle w:val="56"/>
        <w:rPr>
          <w:rFonts w:hint="eastAsia" w:ascii="宋体" w:hAnsi="宋体" w:eastAsia="宋体" w:cs="宋体"/>
          <w:b/>
          <w:color w:val="auto"/>
          <w:sz w:val="30"/>
          <w:szCs w:val="30"/>
          <w:highlight w:val="none"/>
        </w:rPr>
      </w:pPr>
    </w:p>
    <w:p w14:paraId="75FB5536">
      <w:pPr>
        <w:pStyle w:val="56"/>
        <w:rPr>
          <w:rFonts w:hint="eastAsia" w:ascii="宋体" w:hAnsi="宋体" w:eastAsia="宋体" w:cs="宋体"/>
          <w:b/>
          <w:color w:val="auto"/>
          <w:sz w:val="30"/>
          <w:szCs w:val="30"/>
          <w:highlight w:val="none"/>
        </w:rPr>
      </w:pPr>
    </w:p>
    <w:p w14:paraId="63AD1715">
      <w:pPr>
        <w:pStyle w:val="56"/>
        <w:rPr>
          <w:rFonts w:hint="eastAsia" w:ascii="宋体" w:hAnsi="宋体" w:eastAsia="宋体" w:cs="宋体"/>
          <w:b/>
          <w:color w:val="auto"/>
          <w:sz w:val="30"/>
          <w:szCs w:val="30"/>
          <w:highlight w:val="none"/>
        </w:rPr>
      </w:pPr>
    </w:p>
    <w:p w14:paraId="63A0800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人</w:t>
      </w:r>
      <w:r>
        <w:rPr>
          <w:rFonts w:hint="eastAsia" w:ascii="宋体" w:hAnsi="宋体" w:eastAsia="宋体" w:cs="宋体"/>
          <w:b/>
          <w:bCs/>
          <w:sz w:val="32"/>
          <w:szCs w:val="32"/>
          <w:highlight w:val="none"/>
        </w:rPr>
        <w:t>：</w:t>
      </w:r>
      <w:r>
        <w:rPr>
          <w:rFonts w:hint="eastAsia" w:ascii="宋体" w:hAnsi="宋体" w:eastAsia="宋体" w:cs="宋体"/>
          <w:b/>
          <w:bCs/>
          <w:sz w:val="32"/>
          <w:szCs w:val="30"/>
          <w:highlight w:val="none"/>
          <w:lang w:val="en-US" w:eastAsia="zh-CN"/>
        </w:rPr>
        <w:t>南通市交通运输局</w:t>
      </w:r>
    </w:p>
    <w:p w14:paraId="647AB66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ind w:firstLine="643" w:firstLineChars="200"/>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        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rPr>
        <w:t>月</w:t>
      </w:r>
    </w:p>
    <w:p w14:paraId="3DFB6B94">
      <w:pPr>
        <w:spacing w:line="500" w:lineRule="exact"/>
        <w:rPr>
          <w:rFonts w:hint="eastAsia" w:ascii="宋体" w:hAnsi="宋体" w:eastAsia="宋体" w:cs="宋体"/>
          <w:color w:val="auto"/>
          <w:highlight w:val="none"/>
        </w:rPr>
      </w:pP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D409199">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合同格式</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第六部分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7"/>
      <w:bookmarkStart w:id="1" w:name="OLE_LINK5"/>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南通市交通运输局信息安全服务项目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可在南通市交通运输局网下载招标文件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南通市交通运输局信息安全服务项目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5.76</w:t>
      </w:r>
      <w:r>
        <w:rPr>
          <w:rFonts w:hint="eastAsia" w:ascii="宋体" w:hAnsi="宋体" w:eastAsia="宋体" w:cs="宋体"/>
          <w:color w:val="auto"/>
          <w:sz w:val="24"/>
          <w:szCs w:val="24"/>
          <w:highlight w:val="none"/>
          <w:lang w:eastAsia="zh-CN"/>
        </w:rPr>
        <w:t>万元</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每年</w:t>
      </w:r>
      <w:r>
        <w:rPr>
          <w:rFonts w:hint="eastAsia" w:ascii="宋体" w:hAnsi="宋体" w:eastAsia="宋体" w:cs="宋体"/>
          <w:color w:val="auto"/>
          <w:sz w:val="24"/>
          <w:szCs w:val="24"/>
          <w:highlight w:val="none"/>
          <w:lang w:val="en-US" w:eastAsia="zh-CN"/>
        </w:rPr>
        <w:t>最高限价：人民币</w:t>
      </w:r>
      <w:r>
        <w:rPr>
          <w:rFonts w:hint="eastAsia" w:ascii="宋体" w:hAnsi="宋体" w:cs="宋体"/>
          <w:color w:val="auto"/>
          <w:sz w:val="24"/>
          <w:szCs w:val="24"/>
          <w:highlight w:val="none"/>
          <w:lang w:val="en-US" w:eastAsia="zh-CN"/>
        </w:rPr>
        <w:t>伍万柒仟陆佰元整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57600</w:t>
      </w:r>
      <w:r>
        <w:rPr>
          <w:rFonts w:hint="eastAsia" w:ascii="宋体" w:hAnsi="宋体" w:eastAsia="宋体" w:cs="宋体"/>
          <w:color w:val="auto"/>
          <w:sz w:val="24"/>
          <w:szCs w:val="24"/>
          <w:highlight w:val="none"/>
          <w:lang w:val="en-US" w:eastAsia="zh-CN"/>
        </w:rPr>
        <w:t>）；</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内容包括设备安全巡检、安全扫描，设备部署咨询、等保测评咨询、应急演练和响应服务、网络安全培训、安全检查、重要时期网络安全驻场保障等。详见招</w:t>
      </w:r>
      <w:r>
        <w:rPr>
          <w:rFonts w:hint="eastAsia" w:ascii="宋体" w:hAnsi="宋体" w:eastAsia="宋体" w:cs="宋体"/>
          <w:color w:val="auto"/>
          <w:sz w:val="24"/>
          <w:szCs w:val="24"/>
          <w:highlight w:val="none"/>
          <w:lang w:val="en-US" w:eastAsia="zh-CN"/>
        </w:rPr>
        <w:t>标文件第三部分，请仔细研究。</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自合同签订之日起三年</w:t>
      </w:r>
      <w:r>
        <w:rPr>
          <w:rFonts w:hint="eastAsia" w:ascii="宋体" w:hAnsi="宋体" w:eastAsia="宋体" w:cs="宋体"/>
          <w:color w:val="auto"/>
          <w:sz w:val="24"/>
          <w:szCs w:val="24"/>
          <w:highlight w:val="none"/>
        </w:rPr>
        <w:t>。</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36F67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.落实政府采购政策需满足的资格要求：</w:t>
      </w:r>
      <w:r>
        <w:rPr>
          <w:rFonts w:hint="eastAsia" w:ascii="宋体" w:hAnsi="宋体" w:cs="宋体"/>
          <w:sz w:val="24"/>
          <w:highlight w:val="none"/>
        </w:rPr>
        <w:t>本项目专门面向中小微企业采购。供应商应为中小微企业、监狱企业、残疾人福利性单位，并按照采购文件要求提供《中小企业声明函》、《残疾人福利性单位声明函》或监狱和戒毒企业证明材料。</w:t>
      </w:r>
    </w:p>
    <w:p w14:paraId="06FF6F8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.本项目不允许分包。</w:t>
      </w:r>
    </w:p>
    <w:p w14:paraId="649D8B8C">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Times New Roman"/>
          <w:b/>
          <w:bCs/>
          <w:sz w:val="24"/>
          <w:szCs w:val="24"/>
          <w:highlight w:val="none"/>
        </w:rPr>
        <w:t>投标预约</w:t>
      </w:r>
    </w:p>
    <w:p w14:paraId="2284B0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预约时间：自本公告上网发布之日起至202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日，每日工作时间：上午9:00至11:30整，下午13:30至17:30整（北京时间，双休、节假日除外）。</w:t>
      </w:r>
    </w:p>
    <w:p w14:paraId="7E5291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预约方式：凡符合资格要求并有意愿参加本项目的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，请如实填写《申请函》（格式见本项目公告附件）并加盖公章，发彩色扫描件至邮箱（jsrzcnt@126.com）中，并致电</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代理确认邮件送达，确认预约是否成功。凡预约成功的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代理将邮寄一份纸质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p>
    <w:p w14:paraId="3EC9CB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文件资料费300元/套。</w:t>
      </w:r>
    </w:p>
    <w:p w14:paraId="615597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代理联系人：</w:t>
      </w:r>
      <w:r>
        <w:rPr>
          <w:rFonts w:hint="eastAsia" w:ascii="宋体" w:hAnsi="宋体" w:cs="宋体"/>
          <w:kern w:val="0"/>
          <w:sz w:val="24"/>
          <w:highlight w:val="none"/>
        </w:rPr>
        <w:t>陆工</w:t>
      </w:r>
      <w:r>
        <w:rPr>
          <w:rFonts w:hint="eastAsia" w:ascii="宋体" w:hAnsi="宋体" w:eastAsia="宋体" w:cs="宋体"/>
          <w:color w:val="auto"/>
          <w:sz w:val="24"/>
          <w:szCs w:val="24"/>
          <w:highlight w:val="none"/>
          <w:lang w:val="en-US" w:eastAsia="en-US"/>
        </w:rPr>
        <w:t>，联系电话：</w:t>
      </w:r>
      <w:r>
        <w:rPr>
          <w:rFonts w:hint="eastAsia" w:ascii="宋体" w:hAnsi="宋体" w:cs="宋体"/>
          <w:kern w:val="0"/>
          <w:sz w:val="24"/>
          <w:highlight w:val="none"/>
        </w:rPr>
        <w:t>18260596237</w:t>
      </w:r>
      <w:r>
        <w:rPr>
          <w:rFonts w:hint="eastAsia" w:ascii="宋体" w:hAnsi="宋体" w:eastAsia="宋体" w:cs="宋体"/>
          <w:color w:val="auto"/>
          <w:sz w:val="24"/>
          <w:szCs w:val="24"/>
          <w:highlight w:val="none"/>
          <w:lang w:val="en-US" w:eastAsia="en-US"/>
        </w:rPr>
        <w:t>。</w:t>
      </w:r>
    </w:p>
    <w:p w14:paraId="4DA2409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注：未按上述要求进行预约及支付</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en-US"/>
        </w:rPr>
        <w:t>费用的，视为放弃本项目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en-US"/>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分（北京时间）。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9月19</w:t>
      </w:r>
      <w:r>
        <w:rPr>
          <w:rFonts w:hint="eastAsia" w:ascii="宋体" w:hAnsi="宋体" w:eastAsia="宋体" w:cs="宋体"/>
          <w:color w:val="auto"/>
          <w:sz w:val="24"/>
          <w:szCs w:val="24"/>
          <w:highlight w:val="none"/>
          <w:lang w:val="en-US" w:eastAsia="en-US"/>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分（北京时间）。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6E70076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1.采购单位信息：</w:t>
      </w:r>
    </w:p>
    <w:p w14:paraId="039ECEC5">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名称：南通市交通运输局</w:t>
      </w:r>
    </w:p>
    <w:p w14:paraId="540282B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地址：南通市政务中心北停车楼12楼（崇川区工农南路150-1号）</w:t>
      </w:r>
    </w:p>
    <w:p w14:paraId="538ADD2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汤</w:t>
      </w:r>
      <w:r>
        <w:rPr>
          <w:rFonts w:hint="eastAsia" w:ascii="宋体" w:hAnsi="宋体" w:eastAsia="宋体" w:cs="宋体"/>
          <w:color w:val="auto"/>
          <w:sz w:val="24"/>
          <w:szCs w:val="24"/>
          <w:highlight w:val="none"/>
          <w:lang w:val="en-US" w:eastAsia="zh-CN"/>
        </w:rPr>
        <w:t>先生</w:t>
      </w:r>
    </w:p>
    <w:p w14:paraId="18124CA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联系电话：0513-</w:t>
      </w:r>
      <w:r>
        <w:rPr>
          <w:rFonts w:hint="eastAsia" w:ascii="宋体" w:hAnsi="宋体" w:cs="宋体"/>
          <w:color w:val="auto"/>
          <w:sz w:val="24"/>
          <w:szCs w:val="24"/>
          <w:highlight w:val="none"/>
          <w:lang w:val="en-US" w:eastAsia="zh-CN"/>
        </w:rPr>
        <w:t>59003910</w:t>
      </w:r>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尹建</w:t>
      </w:r>
      <w:r>
        <w:rPr>
          <w:rFonts w:hint="eastAsia" w:ascii="宋体" w:hAnsi="宋体" w:eastAsia="宋体" w:cs="宋体"/>
          <w:color w:val="auto"/>
          <w:sz w:val="24"/>
          <w:szCs w:val="24"/>
          <w:highlight w:val="none"/>
          <w:lang w:val="en-US" w:eastAsia="zh-CN"/>
        </w:rPr>
        <w:t>、陈小龙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color w:val="auto"/>
          <w:sz w:val="24"/>
          <w:szCs w:val="24"/>
          <w:highlight w:val="none"/>
          <w:lang w:val="en-US" w:eastAsia="zh-CN"/>
        </w:rPr>
        <w:t>18906275357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尹建</w:t>
      </w:r>
      <w:r>
        <w:rPr>
          <w:rFonts w:hint="eastAsia" w:ascii="宋体" w:hAnsi="宋体" w:eastAsia="宋体" w:cs="宋体"/>
          <w:color w:val="auto"/>
          <w:sz w:val="24"/>
          <w:szCs w:val="24"/>
          <w:highlight w:val="none"/>
          <w:lang w:val="en-US" w:eastAsia="zh-CN"/>
        </w:rPr>
        <w:t>）、18932207883（陈小龙）</w:t>
      </w:r>
    </w:p>
    <w:bookmarkEnd w:id="3"/>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3AC6F53">
      <w:pPr>
        <w:adjustRightInd w:val="0"/>
        <w:snapToGrid w:val="0"/>
        <w:spacing w:line="500" w:lineRule="exact"/>
        <w:rPr>
          <w:rFonts w:ascii="宋体" w:hAnsi="宋体"/>
          <w:kern w:val="0"/>
          <w:sz w:val="28"/>
          <w:szCs w:val="28"/>
          <w:highlight w:val="none"/>
        </w:rPr>
      </w:pPr>
      <w:r>
        <w:rPr>
          <w:rFonts w:hint="eastAsia" w:ascii="宋体" w:hAnsi="宋体"/>
          <w:kern w:val="0"/>
          <w:sz w:val="28"/>
          <w:szCs w:val="28"/>
          <w:highlight w:val="none"/>
        </w:rPr>
        <w:t>附件</w:t>
      </w:r>
    </w:p>
    <w:p w14:paraId="3B4FD1C8">
      <w:pPr>
        <w:spacing w:line="420" w:lineRule="exact"/>
        <w:jc w:val="center"/>
        <w:rPr>
          <w:rFonts w:ascii="宋体" w:hAnsi="宋体"/>
          <w:b/>
          <w:kern w:val="0"/>
          <w:sz w:val="32"/>
          <w:szCs w:val="20"/>
          <w:highlight w:val="none"/>
        </w:rPr>
      </w:pPr>
      <w:r>
        <w:rPr>
          <w:rFonts w:hint="eastAsia" w:ascii="宋体" w:hAnsi="宋体"/>
          <w:b/>
          <w:kern w:val="0"/>
          <w:sz w:val="32"/>
          <w:szCs w:val="20"/>
          <w:highlight w:val="none"/>
        </w:rPr>
        <w:t>申请函</w:t>
      </w:r>
    </w:p>
    <w:p w14:paraId="22AF8106">
      <w:pPr>
        <w:spacing w:line="420" w:lineRule="exact"/>
        <w:jc w:val="left"/>
        <w:rPr>
          <w:rFonts w:ascii="宋体" w:hAnsi="宋体"/>
          <w:b/>
          <w:kern w:val="0"/>
          <w:sz w:val="32"/>
          <w:szCs w:val="20"/>
          <w:highlight w:val="none"/>
        </w:rPr>
      </w:pPr>
    </w:p>
    <w:p w14:paraId="69450FAA">
      <w:pPr>
        <w:adjustRightInd w:val="0"/>
        <w:snapToGrid w:val="0"/>
        <w:spacing w:line="360" w:lineRule="auto"/>
        <w:jc w:val="left"/>
        <w:rPr>
          <w:rFonts w:ascii="宋体" w:hAnsi="宋体"/>
          <w:b/>
          <w:kern w:val="0"/>
          <w:sz w:val="24"/>
          <w:szCs w:val="24"/>
          <w:highlight w:val="none"/>
          <w:u w:val="single"/>
        </w:rPr>
      </w:pPr>
      <w:r>
        <w:rPr>
          <w:rFonts w:hint="eastAsia" w:ascii="宋体" w:hAnsi="宋体"/>
          <w:b/>
          <w:kern w:val="0"/>
          <w:sz w:val="24"/>
          <w:szCs w:val="24"/>
          <w:highlight w:val="none"/>
        </w:rPr>
        <w:t>致：</w:t>
      </w:r>
      <w:r>
        <w:rPr>
          <w:rFonts w:hint="eastAsia" w:ascii="宋体" w:hAnsi="宋体" w:cs="宋体"/>
          <w:b/>
          <w:spacing w:val="7"/>
          <w:kern w:val="0"/>
          <w:sz w:val="24"/>
          <w:szCs w:val="24"/>
          <w:highlight w:val="none"/>
          <w:u w:val="single"/>
        </w:rPr>
        <w:t>（采购人名称）</w:t>
      </w:r>
    </w:p>
    <w:p w14:paraId="413BB462">
      <w:pPr>
        <w:widowControl/>
        <w:shd w:val="clear" w:color="auto" w:fill="FFFFFF"/>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我公司已获悉贵单位发出的</w:t>
      </w:r>
      <w:r>
        <w:rPr>
          <w:rFonts w:hint="eastAsia" w:ascii="宋体" w:hAnsi="宋体" w:cs="宋体"/>
          <w:sz w:val="24"/>
          <w:szCs w:val="24"/>
          <w:highlight w:val="none"/>
          <w:u w:val="single"/>
        </w:rPr>
        <w:t xml:space="preserve">          </w:t>
      </w:r>
      <w:r>
        <w:rPr>
          <w:rFonts w:hint="eastAsia" w:ascii="宋体" w:hAnsi="宋体" w:cs="宋体"/>
          <w:spacing w:val="7"/>
          <w:kern w:val="0"/>
          <w:sz w:val="24"/>
          <w:szCs w:val="24"/>
          <w:highlight w:val="none"/>
          <w:lang w:val="en-US" w:eastAsia="zh-CN"/>
        </w:rPr>
        <w:t>招标</w:t>
      </w:r>
      <w:r>
        <w:rPr>
          <w:rFonts w:hint="eastAsia" w:ascii="宋体" w:hAnsi="宋体" w:cs="宋体"/>
          <w:spacing w:val="7"/>
          <w:kern w:val="0"/>
          <w:sz w:val="24"/>
          <w:szCs w:val="24"/>
          <w:highlight w:val="none"/>
        </w:rPr>
        <w:t>公告</w:t>
      </w:r>
      <w:r>
        <w:rPr>
          <w:rFonts w:hint="eastAsia" w:ascii="宋体" w:hAnsi="宋体"/>
          <w:kern w:val="0"/>
          <w:sz w:val="24"/>
          <w:szCs w:val="24"/>
          <w:highlight w:val="none"/>
        </w:rPr>
        <w:t>，经研究，我单位拟参加本项目的投标。</w:t>
      </w:r>
    </w:p>
    <w:p w14:paraId="042B4E1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联系人：</w:t>
      </w:r>
      <w:r>
        <w:rPr>
          <w:rFonts w:ascii="宋体" w:hAnsi="宋体" w:cs="宋体"/>
          <w:spacing w:val="7"/>
          <w:kern w:val="0"/>
          <w:sz w:val="24"/>
          <w:szCs w:val="24"/>
          <w:highlight w:val="none"/>
          <w:u w:val="single"/>
        </w:rPr>
        <w:t xml:space="preserve">   </w:t>
      </w:r>
    </w:p>
    <w:p w14:paraId="3530F5F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联系电话：</w:t>
      </w:r>
      <w:r>
        <w:rPr>
          <w:rFonts w:ascii="宋体" w:hAnsi="宋体" w:cs="宋体"/>
          <w:spacing w:val="7"/>
          <w:kern w:val="0"/>
          <w:sz w:val="24"/>
          <w:szCs w:val="24"/>
          <w:highlight w:val="none"/>
          <w:u w:val="single"/>
        </w:rPr>
        <w:t xml:space="preserve">   </w:t>
      </w:r>
    </w:p>
    <w:p w14:paraId="4484A451">
      <w:pPr>
        <w:adjustRightInd w:val="0"/>
        <w:snapToGri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E-MAIL地址：</w:t>
      </w:r>
      <w:r>
        <w:rPr>
          <w:rFonts w:ascii="宋体" w:hAnsi="宋体" w:cs="宋体"/>
          <w:spacing w:val="7"/>
          <w:kern w:val="0"/>
          <w:sz w:val="24"/>
          <w:szCs w:val="24"/>
          <w:highlight w:val="none"/>
          <w:u w:val="single"/>
        </w:rPr>
        <w:t xml:space="preserve">   </w:t>
      </w:r>
    </w:p>
    <w:p w14:paraId="3D447A39">
      <w:pPr>
        <w:adjustRightInd w:val="0"/>
        <w:snapToGrid w:val="0"/>
        <w:spacing w:line="360" w:lineRule="auto"/>
        <w:jc w:val="left"/>
        <w:rPr>
          <w:rFonts w:ascii="宋体" w:hAnsi="宋体" w:cs="宋体"/>
          <w:kern w:val="0"/>
          <w:sz w:val="24"/>
          <w:szCs w:val="24"/>
          <w:highlight w:val="none"/>
          <w:lang w:val="zh-CN"/>
        </w:rPr>
      </w:pPr>
    </w:p>
    <w:p w14:paraId="71A81D00">
      <w:pPr>
        <w:adjustRightInd w:val="0"/>
        <w:snapToGrid w:val="0"/>
        <w:spacing w:line="360" w:lineRule="auto"/>
        <w:ind w:firstLine="6480" w:firstLineChars="2700"/>
        <w:jc w:val="left"/>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单位：</w:t>
      </w:r>
      <w:r>
        <w:rPr>
          <w:rFonts w:hint="eastAsia" w:ascii="宋体" w:hAnsi="宋体" w:cs="宋体"/>
          <w:kern w:val="0"/>
          <w:sz w:val="24"/>
          <w:szCs w:val="24"/>
          <w:highlight w:val="none"/>
          <w:u w:val="single"/>
          <w:lang w:val="zh-CN"/>
        </w:rPr>
        <w:t xml:space="preserve"> （盖章）                 </w:t>
      </w:r>
    </w:p>
    <w:p w14:paraId="7C6C1036">
      <w:pPr>
        <w:adjustRightInd w:val="0"/>
        <w:snapToGrid w:val="0"/>
        <w:spacing w:line="360" w:lineRule="auto"/>
        <w:jc w:val="right"/>
        <w:rPr>
          <w:rFonts w:ascii="宋体" w:hAnsi="宋体"/>
          <w:kern w:val="0"/>
          <w:sz w:val="24"/>
          <w:szCs w:val="24"/>
          <w:highlight w:val="none"/>
        </w:rPr>
      </w:pP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年</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月</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日</w:t>
      </w:r>
    </w:p>
    <w:p w14:paraId="7D274E66">
      <w:pPr>
        <w:spacing w:line="500" w:lineRule="exact"/>
        <w:jc w:val="center"/>
        <w:outlineLvl w:val="0"/>
        <w:rPr>
          <w:rFonts w:hint="eastAsia" w:ascii="宋体" w:hAnsi="宋体" w:eastAsia="宋体" w:cs="宋体"/>
          <w:bCs/>
          <w:color w:val="auto"/>
          <w:sz w:val="36"/>
          <w:szCs w:val="36"/>
          <w:highlight w:val="none"/>
        </w:rPr>
      </w:pPr>
      <w:r>
        <w:rPr>
          <w:rFonts w:ascii="宋体" w:hAnsi="宋体" w:cs="宋体"/>
          <w:b/>
          <w:sz w:val="36"/>
          <w:szCs w:val="36"/>
          <w:highlight w:val="none"/>
        </w:rPr>
        <w:br w:type="page"/>
      </w:r>
      <w:r>
        <w:rPr>
          <w:rFonts w:hint="eastAsia" w:ascii="宋体" w:hAnsi="宋体" w:eastAsia="宋体" w:cs="宋体"/>
          <w:bCs/>
          <w:color w:val="auto"/>
          <w:sz w:val="36"/>
          <w:szCs w:val="36"/>
          <w:highlight w:val="none"/>
        </w:rPr>
        <w:t>第二部分  投标须知</w:t>
      </w:r>
    </w:p>
    <w:p w14:paraId="7B94E293">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120614214"/>
      <w:bookmarkStart w:id="5" w:name="_Toc20823275"/>
      <w:bookmarkStart w:id="6" w:name="_Toc16938519"/>
      <w:bookmarkStart w:id="7" w:name="_Toc513029203"/>
      <w:r>
        <w:rPr>
          <w:rFonts w:hint="eastAsia" w:ascii="宋体" w:hAnsi="宋体" w:eastAsia="宋体" w:cs="宋体"/>
          <w:color w:val="auto"/>
          <w:sz w:val="24"/>
          <w:szCs w:val="24"/>
          <w:highlight w:val="none"/>
        </w:rPr>
        <w:t>（一）总则</w:t>
      </w:r>
      <w:bookmarkEnd w:id="4"/>
      <w:bookmarkEnd w:id="5"/>
      <w:bookmarkEnd w:id="6"/>
      <w:bookmarkEnd w:id="7"/>
    </w:p>
    <w:p w14:paraId="32546B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16938520"/>
      <w:bookmarkStart w:id="11" w:name="_Toc20823276"/>
      <w:bookmarkStart w:id="12" w:name="_Toc513029204"/>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20823277"/>
      <w:bookmarkStart w:id="14" w:name="_Toc513029205"/>
      <w:bookmarkStart w:id="15" w:name="_Toc16938521"/>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513029206"/>
      <w:bookmarkStart w:id="17" w:name="_Toc20823278"/>
      <w:bookmarkStart w:id="18" w:name="_Toc16938522"/>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513029207"/>
      <w:bookmarkStart w:id="20" w:name="_Toc16938523"/>
      <w:bookmarkStart w:id="21" w:name="_Toc20823279"/>
      <w:bookmarkStart w:id="22" w:name="_Toc462564067"/>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296B07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w:t>
      </w:r>
      <w:r>
        <w:rPr>
          <w:rFonts w:hint="eastAsia" w:ascii="宋体" w:hAnsi="宋体" w:eastAsia="宋体" w:cs="Times New Roman"/>
          <w:sz w:val="24"/>
          <w:szCs w:val="24"/>
          <w:highlight w:val="none"/>
          <w:lang w:val="en-US" w:eastAsia="zh-CN"/>
        </w:rPr>
        <w:t>本项目采购代理费由中标人支付。</w:t>
      </w:r>
      <w:r>
        <w:rPr>
          <w:rFonts w:hint="eastAsia" w:ascii="宋体" w:hAnsi="宋体" w:eastAsia="宋体" w:cs="Times New Roman"/>
          <w:sz w:val="24"/>
          <w:szCs w:val="24"/>
          <w:highlight w:val="none"/>
        </w:rPr>
        <w:t>根据国家计委关于印发《招标代理服务收费管理暂行办法》的通知（计价格[2002]1980号）、《国家发展改革委关于降低部分建设项目收费标准规范收费行为等有关问题的通知》（发改价格</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2011</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534号）的8</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采购代理费不足</w:t>
      </w:r>
      <w:r>
        <w:rPr>
          <w:rFonts w:hint="eastAsia" w:ascii="宋体" w:hAnsi="宋体" w:eastAsia="宋体" w:cs="Times New Roman"/>
          <w:sz w:val="24"/>
          <w:szCs w:val="24"/>
          <w:highlight w:val="none"/>
        </w:rPr>
        <w:t>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按0.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lang w:val="en-US" w:eastAsia="zh-CN"/>
        </w:rPr>
        <w:t>万元计取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价</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按三年的中标价</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计算并由</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支付；此部分费用包含在投标报价中，不单独计量支付，</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应在领取</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通知书的同时一次性向</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rPr>
        <w:t>代理单位支付（按照采购人与代理单位签订的代理合同执行）。</w:t>
      </w:r>
    </w:p>
    <w:p w14:paraId="3D5EEB1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513029209"/>
      <w:bookmarkStart w:id="24" w:name="_Toc120614215"/>
      <w:bookmarkStart w:id="25" w:name="_Toc16938525"/>
      <w:bookmarkStart w:id="26" w:name="_Toc20823281"/>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20823282"/>
      <w:bookmarkStart w:id="28" w:name="_Toc513029210"/>
      <w:bookmarkStart w:id="29" w:name="_Toc16938526"/>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0CADE5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（5）合同格式</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20823283"/>
      <w:bookmarkStart w:id="31" w:name="_Toc462564070"/>
      <w:bookmarkStart w:id="32" w:name="_Toc513029211"/>
      <w:bookmarkStart w:id="33" w:name="_Toc16938527"/>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w:t>
      </w:r>
      <w:r>
        <w:rPr>
          <w:rFonts w:hint="eastAsia" w:ascii="宋体" w:hAnsi="宋体" w:cs="宋体"/>
          <w:color w:val="auto"/>
          <w:sz w:val="24"/>
          <w:szCs w:val="24"/>
          <w:highlight w:val="none"/>
          <w:lang w:eastAsia="zh-CN"/>
        </w:rPr>
        <w:t>情况</w:t>
      </w:r>
      <w:r>
        <w:rPr>
          <w:rFonts w:hint="eastAsia" w:ascii="宋体" w:hAnsi="宋体" w:eastAsia="宋体" w:cs="宋体"/>
          <w:color w:val="auto"/>
          <w:sz w:val="24"/>
          <w:szCs w:val="24"/>
          <w:highlight w:val="none"/>
        </w:rPr>
        <w:t>组织答疑</w:t>
      </w:r>
      <w:r>
        <w:rPr>
          <w:rFonts w:hint="eastAsia" w:ascii="宋体" w:hAnsi="宋体" w:cs="宋体"/>
          <w:color w:val="auto"/>
          <w:sz w:val="24"/>
          <w:szCs w:val="24"/>
          <w:highlight w:val="none"/>
          <w:lang w:eastAsia="zh-CN"/>
        </w:rPr>
        <w:t>会。</w:t>
      </w:r>
    </w:p>
    <w:p w14:paraId="66C4494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20823284"/>
      <w:bookmarkStart w:id="35" w:name="_Toc16938528"/>
      <w:bookmarkStart w:id="36" w:name="_Toc513029212"/>
      <w:bookmarkStart w:id="37" w:name="_Toc462564071"/>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513029213"/>
      <w:bookmarkStart w:id="39" w:name="_Toc16938529"/>
      <w:bookmarkStart w:id="40" w:name="_Toc20823285"/>
      <w:bookmarkStart w:id="41" w:name="_Toc462564072"/>
      <w:bookmarkStart w:id="42" w:name="_Toc120614216"/>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16938530"/>
      <w:bookmarkStart w:id="44" w:name="_Toc20823286"/>
      <w:bookmarkStart w:id="45" w:name="_Toc462564073"/>
      <w:bookmarkStart w:id="46" w:name="_Toc513029214"/>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20823287"/>
      <w:bookmarkStart w:id="48" w:name="_Toc513029215"/>
      <w:bookmarkStart w:id="49" w:name="_Toc16938531"/>
      <w:bookmarkStart w:id="50" w:name="_Toc462564074"/>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lang w:eastAsia="zh-CN"/>
        </w:rPr>
        <w:t>、</w:t>
      </w:r>
      <w:r>
        <w:rPr>
          <w:rFonts w:hint="eastAsia" w:ascii="宋体" w:hAnsi="宋体"/>
          <w:sz w:val="24"/>
          <w:highlight w:val="none"/>
          <w:lang w:val="en-US" w:eastAsia="zh-CN"/>
        </w:rPr>
        <w:t>电子版投标文件</w:t>
      </w:r>
      <w:r>
        <w:rPr>
          <w:rFonts w:ascii="宋体" w:hAnsi="宋体"/>
          <w:sz w:val="24"/>
          <w:highlight w:val="none"/>
        </w:rPr>
        <w:t>。</w:t>
      </w:r>
      <w:r>
        <w:rPr>
          <w:rFonts w:hint="eastAsia" w:ascii="宋体" w:hAnsi="宋体"/>
          <w:sz w:val="24"/>
          <w:highlight w:val="none"/>
        </w:rPr>
        <w:t>投标人</w:t>
      </w:r>
      <w:r>
        <w:rPr>
          <w:rFonts w:ascii="宋体" w:hAnsi="宋体"/>
          <w:sz w:val="24"/>
          <w:highlight w:val="none"/>
        </w:rPr>
        <w:t>按“第六部分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sz w:val="24"/>
          <w:highlight w:val="none"/>
          <w:lang w:eastAsia="zh-CN"/>
        </w:rPr>
        <w:t>、④</w:t>
      </w:r>
      <w:r>
        <w:rPr>
          <w:rFonts w:hint="eastAsia" w:ascii="宋体" w:hAnsi="宋体"/>
          <w:sz w:val="24"/>
          <w:highlight w:val="none"/>
          <w:lang w:val="en-US" w:eastAsia="zh-CN"/>
        </w:rPr>
        <w:t>电子版投标文件</w:t>
      </w:r>
      <w:r>
        <w:rPr>
          <w:rFonts w:hint="eastAsia" w:ascii="宋体" w:hAnsi="宋体" w:cs="仿宋_GB2312"/>
          <w:sz w:val="24"/>
          <w:highlight w:val="none"/>
          <w:lang w:val="zh-CN"/>
        </w:rPr>
        <w:t>共</w:t>
      </w:r>
      <w:r>
        <w:rPr>
          <w:rFonts w:hint="eastAsia" w:ascii="宋体" w:hAnsi="宋体" w:cs="仿宋_GB2312"/>
          <w:sz w:val="24"/>
          <w:highlight w:val="none"/>
          <w:lang w:val="en-US" w:eastAsia="zh-CN"/>
        </w:rPr>
        <w:t>4</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rPr>
        <w:t>六</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34DF4E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en-US" w:eastAsia="zh-CN"/>
        </w:rPr>
      </w:pPr>
      <w:r>
        <w:rPr>
          <w:rFonts w:hint="eastAsia" w:ascii="宋体" w:hAnsi="宋体" w:cs="仿宋_GB2312"/>
          <w:sz w:val="24"/>
          <w:highlight w:val="none"/>
          <w:lang w:val="en-US" w:eastAsia="zh-CN"/>
        </w:rPr>
        <w:t>4.5电子投标文件</w:t>
      </w:r>
    </w:p>
    <w:p w14:paraId="7B9C5BDA">
      <w:pPr>
        <w:tabs>
          <w:tab w:val="left" w:pos="3375"/>
        </w:tabs>
        <w:autoSpaceDE w:val="0"/>
        <w:autoSpaceDN w:val="0"/>
        <w:spacing w:line="360" w:lineRule="auto"/>
        <w:ind w:firstLine="480" w:firstLineChars="200"/>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文件（包括</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b/>
          <w:sz w:val="24"/>
          <w:highlight w:val="none"/>
        </w:rPr>
        <w:t>，所有盖章后纸质版</w:t>
      </w:r>
      <w:r>
        <w:rPr>
          <w:rFonts w:hint="eastAsia" w:ascii="宋体" w:hAnsi="宋体"/>
          <w:b/>
          <w:sz w:val="24"/>
          <w:highlight w:val="none"/>
          <w:lang w:val="en-US" w:eastAsia="zh-CN"/>
        </w:rPr>
        <w:t>投标</w:t>
      </w:r>
      <w:r>
        <w:rPr>
          <w:rFonts w:hint="eastAsia" w:ascii="宋体" w:hAnsi="宋体"/>
          <w:b/>
          <w:sz w:val="24"/>
          <w:highlight w:val="none"/>
        </w:rPr>
        <w:t>文件的扫描件内容均存入一份U盘即可）</w:t>
      </w:r>
      <w:r>
        <w:rPr>
          <w:rFonts w:hint="eastAsia" w:ascii="宋体" w:hAnsi="宋体"/>
          <w:sz w:val="24"/>
          <w:highlight w:val="none"/>
        </w:rPr>
        <w:t>。</w:t>
      </w:r>
    </w:p>
    <w:p w14:paraId="234170EB">
      <w:pPr>
        <w:tabs>
          <w:tab w:val="left" w:pos="3375"/>
        </w:tabs>
        <w:autoSpaceDE w:val="0"/>
        <w:autoSpaceDN w:val="0"/>
        <w:spacing w:line="360" w:lineRule="auto"/>
        <w:ind w:firstLine="480" w:firstLineChars="200"/>
        <w:contextualSpacing/>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w:t>
      </w:r>
      <w:r>
        <w:rPr>
          <w:rFonts w:ascii="宋体" w:hAnsi="宋体"/>
          <w:sz w:val="24"/>
          <w:highlight w:val="none"/>
        </w:rPr>
        <w:t>不得设置密码并保证无病毒。</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w:t>
      </w:r>
      <w:r>
        <w:rPr>
          <w:rFonts w:hint="eastAsia" w:ascii="宋体" w:hAnsi="宋体" w:cs="仿宋_GB2312"/>
          <w:b/>
          <w:bCs/>
          <w:sz w:val="24"/>
          <w:highlight w:val="none"/>
          <w:u w:val="double"/>
          <w:lang w:val="zh-CN"/>
        </w:rPr>
        <w:t>④密封至③的封袋内</w:t>
      </w:r>
      <w:r>
        <w:rPr>
          <w:rFonts w:hint="eastAsia" w:ascii="宋体" w:hAnsi="宋体" w:cs="仿宋_GB2312"/>
          <w:b/>
          <w:bCs/>
          <w:sz w:val="24"/>
          <w:highlight w:val="none"/>
          <w:u w:val="double"/>
          <w:lang w:val="zh-CN"/>
        </w:rPr>
        <w:t>。</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954838"/>
      <w:bookmarkEnd w:id="51"/>
      <w:bookmarkStart w:id="52" w:name="_Hlt26670360"/>
      <w:bookmarkEnd w:id="52"/>
      <w:bookmarkStart w:id="53" w:name="_Hlt26668975"/>
      <w:bookmarkEnd w:id="53"/>
      <w:bookmarkStart w:id="54" w:name="_Toc49090511"/>
      <w:bookmarkStart w:id="55" w:name="_Toc1457736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D37D185">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739"/>
      <w:bookmarkEnd w:id="56"/>
      <w:bookmarkStart w:id="57" w:name="_Hlt26954852"/>
      <w:bookmarkEnd w:id="57"/>
      <w:bookmarkStart w:id="58" w:name="_Toc513029224"/>
      <w:bookmarkStart w:id="59" w:name="_Toc16938540"/>
      <w:bookmarkStart w:id="60" w:name="_Toc20823296"/>
      <w:bookmarkStart w:id="61" w:name="_Toc120614217"/>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16938542"/>
      <w:bookmarkStart w:id="63" w:name="_Toc20823298"/>
      <w:bookmarkStart w:id="64" w:name="_Toc513029226"/>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16938543"/>
      <w:bookmarkStart w:id="66" w:name="_Toc513029227"/>
      <w:bookmarkStart w:id="67" w:name="_Toc20823299"/>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20823300"/>
      <w:bookmarkStart w:id="69" w:name="_Toc16938544"/>
      <w:bookmarkStart w:id="70" w:name="_Toc513029228"/>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16938545"/>
      <w:bookmarkStart w:id="72" w:name="_Toc120614218"/>
      <w:bookmarkStart w:id="73" w:name="_Toc20823301"/>
      <w:bookmarkStart w:id="74" w:name="_Toc513029229"/>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513029230"/>
      <w:bookmarkStart w:id="76" w:name="_Toc16938546"/>
      <w:bookmarkStart w:id="77" w:name="_Toc2082330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513029231"/>
      <w:bookmarkStart w:id="79" w:name="_Toc16938547"/>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513029232"/>
      <w:bookmarkStart w:id="82" w:name="_Toc20823304"/>
      <w:bookmarkStart w:id="83" w:name="_Toc16938548"/>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16938549"/>
      <w:bookmarkStart w:id="85" w:name="_Toc513029233"/>
      <w:bookmarkStart w:id="86" w:name="_Toc20823305"/>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513029234"/>
      <w:bookmarkStart w:id="88" w:name="_Toc20823306"/>
      <w:bookmarkStart w:id="89" w:name="_Toc16938550"/>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16938551"/>
      <w:bookmarkStart w:id="91" w:name="_Toc513029235"/>
      <w:bookmarkStart w:id="92" w:name="_Toc20823307"/>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的报价超过了采购预算或最高限价的。</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eastAsia="宋体" w:cs="Times New Roman"/>
          <w:bCs/>
          <w:i/>
          <w:iCs/>
          <w:sz w:val="24"/>
          <w:szCs w:val="24"/>
          <w:highlight w:val="none"/>
          <w:u w:val="single"/>
        </w:rPr>
        <w:t>（本</w:t>
      </w:r>
      <w:r>
        <w:rPr>
          <w:rFonts w:hint="eastAsia" w:ascii="宋体" w:hAnsi="宋体" w:eastAsia="宋体" w:cs="Times New Roman"/>
          <w:bCs/>
          <w:i/>
          <w:iCs/>
          <w:sz w:val="24"/>
          <w:szCs w:val="24"/>
          <w:highlight w:val="none"/>
          <w:u w:val="single"/>
          <w:lang w:val="en-US" w:eastAsia="zh-CN"/>
        </w:rPr>
        <w:t>招标</w:t>
      </w:r>
      <w:r>
        <w:rPr>
          <w:rFonts w:hint="eastAsia" w:ascii="宋体" w:hAnsi="宋体" w:eastAsia="宋体" w:cs="Times New Roman"/>
          <w:bCs/>
          <w:i/>
          <w:iCs/>
          <w:sz w:val="24"/>
          <w:szCs w:val="24"/>
          <w:highlight w:val="none"/>
          <w:u w:val="single"/>
        </w:rPr>
        <w:t>文件中斜体且有下划线部分为实质性要求）</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w:t>
      </w:r>
      <w:r>
        <w:rPr>
          <w:rFonts w:hint="eastAsia" w:ascii="宋体" w:hAnsi="宋体"/>
          <w:bCs/>
          <w:sz w:val="24"/>
          <w:highlight w:val="none"/>
          <w:lang w:val="en-US" w:eastAsia="zh-CN"/>
        </w:rPr>
        <w:t>评标委员会</w:t>
      </w:r>
      <w:r>
        <w:rPr>
          <w:rFonts w:hint="eastAsia" w:ascii="宋体" w:hAnsi="宋体"/>
          <w:bCs/>
          <w:sz w:val="24"/>
          <w:highlight w:val="none"/>
        </w:rPr>
        <w:t>认为投标</w:t>
      </w:r>
      <w:r>
        <w:rPr>
          <w:rFonts w:hint="eastAsia" w:ascii="宋体" w:hAnsi="宋体"/>
          <w:bCs/>
          <w:sz w:val="24"/>
          <w:highlight w:val="none"/>
          <w:lang w:val="en-US" w:eastAsia="zh-CN"/>
        </w:rPr>
        <w:t>人</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人</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评标委员会将启动异常低价投标审查程序。评标委员会要求相关投标人在评标现场合理的时间内，提供项目具体成本测算等与报价合理性相关的书面说明及相关证明材料，对投标价格作出解释，由评标委员会结合同类产品在主要电商平台的价格、该</w:t>
      </w:r>
      <w:r>
        <w:rPr>
          <w:rFonts w:hint="eastAsia" w:ascii="宋体" w:hAnsi="宋体"/>
          <w:bCs/>
          <w:sz w:val="24"/>
          <w:highlight w:val="none"/>
        </w:rPr>
        <w:t>行业当地薪资水平等情况，依据专业经验对</w:t>
      </w:r>
      <w:r>
        <w:rPr>
          <w:rFonts w:hint="eastAsia" w:ascii="宋体" w:hAnsi="宋体"/>
          <w:bCs/>
          <w:sz w:val="24"/>
          <w:highlight w:val="none"/>
          <w:lang w:val="en-US" w:eastAsia="zh-CN"/>
        </w:rPr>
        <w:t>投标人</w:t>
      </w:r>
      <w:r>
        <w:rPr>
          <w:rFonts w:hint="eastAsia" w:ascii="宋体" w:hAnsi="宋体"/>
          <w:bCs/>
          <w:sz w:val="24"/>
          <w:highlight w:val="none"/>
        </w:rPr>
        <w:t>报价合理性进行判断。投标</w:t>
      </w:r>
      <w:r>
        <w:rPr>
          <w:rFonts w:hint="eastAsia" w:ascii="宋体" w:hAnsi="宋体"/>
          <w:bCs/>
          <w:sz w:val="24"/>
          <w:highlight w:val="none"/>
          <w:lang w:val="en-US" w:eastAsia="zh-CN"/>
        </w:rPr>
        <w:t>人</w:t>
      </w:r>
      <w:r>
        <w:rPr>
          <w:rFonts w:hint="eastAsia" w:ascii="宋体" w:hAnsi="宋体"/>
          <w:bCs/>
          <w:sz w:val="24"/>
          <w:highlight w:val="none"/>
        </w:rPr>
        <w:t>不提供书面说明、证明材料，或者提供的书面说明、证明材料不能证明其报价合理性的，</w:t>
      </w:r>
      <w:r>
        <w:rPr>
          <w:rFonts w:hint="eastAsia" w:ascii="宋体" w:hAnsi="宋体"/>
          <w:bCs/>
          <w:sz w:val="24"/>
          <w:highlight w:val="none"/>
          <w:lang w:val="en-US" w:eastAsia="zh-CN"/>
        </w:rPr>
        <w:t>评标委员会</w:t>
      </w:r>
      <w:r>
        <w:rPr>
          <w:rFonts w:hint="eastAsia" w:ascii="宋体" w:hAnsi="宋体"/>
          <w:bCs/>
          <w:sz w:val="24"/>
          <w:highlight w:val="none"/>
        </w:rPr>
        <w:t>应当将其作为无效投标处理。</w:t>
      </w:r>
    </w:p>
    <w:p w14:paraId="18F4688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6.1.11本项目采购产品被财政部、</w:t>
      </w:r>
      <w:r>
        <w:rPr>
          <w:rFonts w:hint="eastAsia" w:ascii="宋体" w:hAnsi="宋体" w:cs="宋体"/>
          <w:bCs/>
          <w:color w:val="auto"/>
          <w:sz w:val="24"/>
          <w:szCs w:val="24"/>
          <w:highlight w:val="none"/>
          <w:lang w:eastAsia="zh-CN"/>
        </w:rPr>
        <w:t>国家发展改革委</w:t>
      </w:r>
      <w:r>
        <w:rPr>
          <w:rFonts w:hint="eastAsia" w:ascii="宋体" w:hAnsi="宋体" w:eastAsia="宋体" w:cs="宋体"/>
          <w:bCs/>
          <w:color w:val="auto"/>
          <w:sz w:val="24"/>
          <w:szCs w:val="24"/>
          <w:highlight w:val="none"/>
        </w:rPr>
        <w:t>、生态环境部等列入“节能产品品目清单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环境标志产品品目清单”强制采购范围，而</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所投标产品不在强制采购范围内的。（投标产品如属于政府强制采购节能产品品目清单范围内，投标文件中必须提供国家确定的认证机构出具的、处于有效期之内的该节能产品认证证书图片）</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20823310"/>
      <w:bookmarkStart w:id="95" w:name="_Toc16938554"/>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120614220"/>
      <w:bookmarkStart w:id="98" w:name="_Toc16938552"/>
      <w:bookmarkStart w:id="99" w:name="_Toc513029236"/>
      <w:bookmarkStart w:id="100" w:name="_Toc20823308"/>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513029237"/>
      <w:bookmarkStart w:id="102" w:name="_Toc16938553"/>
      <w:bookmarkStart w:id="103" w:name="_Toc20823309"/>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应当在中标通知书发出之日起三十日内，按照招标文件确定的事项与采购人签订政府采购合同。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8386974">
      <w:pPr>
        <w:adjustRightInd w:val="0"/>
        <w:snapToGrid w:val="0"/>
        <w:spacing w:line="360" w:lineRule="auto"/>
        <w:ind w:firstLine="480" w:firstLineChars="200"/>
        <w:rPr>
          <w:rFonts w:hint="eastAsia" w:ascii="宋体" w:hAnsi="宋体" w:cs="宋体"/>
          <w:sz w:val="24"/>
          <w:szCs w:val="24"/>
          <w:highlight w:val="none"/>
        </w:rPr>
      </w:pPr>
      <w:bookmarkStart w:id="104" w:name="_Toc4280"/>
      <w:bookmarkStart w:id="105" w:name="_Toc13080"/>
      <w:r>
        <w:rPr>
          <w:rFonts w:hint="eastAsia" w:ascii="宋体" w:hAnsi="宋体" w:cs="宋体"/>
          <w:sz w:val="24"/>
          <w:szCs w:val="24"/>
          <w:highlight w:val="none"/>
        </w:rPr>
        <w:t>项目属性：服务类项目</w:t>
      </w:r>
    </w:p>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一、采购标的清单</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7"/>
        <w:gridCol w:w="3284"/>
        <w:gridCol w:w="3515"/>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508"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925"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2060" w:type="pct"/>
            <w:noWrap w:val="0"/>
            <w:vAlign w:val="center"/>
          </w:tcPr>
          <w:p w14:paraId="595E3C77">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对应中小企业划分标准所属行业</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5"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08"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925"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南通市交通运输局信息安全服务项目</w:t>
            </w:r>
          </w:p>
        </w:tc>
        <w:tc>
          <w:tcPr>
            <w:tcW w:w="2060" w:type="pct"/>
            <w:noWrap w:val="0"/>
            <w:vAlign w:val="center"/>
          </w:tcPr>
          <w:p w14:paraId="6A9B5B1A">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其他未列明行业</w:t>
            </w:r>
          </w:p>
        </w:tc>
      </w:tr>
    </w:tbl>
    <w:p w14:paraId="21FAB425">
      <w:pPr>
        <w:keepNext/>
        <w:keepLines/>
        <w:adjustRightInd w:val="0"/>
        <w:snapToGrid w:val="0"/>
        <w:spacing w:line="360" w:lineRule="auto"/>
        <w:ind w:firstLine="482" w:firstLineChars="200"/>
        <w:outlineLvl w:val="2"/>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二、技术要求</w:t>
      </w:r>
    </w:p>
    <w:bookmarkEnd w:id="104"/>
    <w:bookmarkEnd w:id="105"/>
    <w:p w14:paraId="15353653">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服务内容</w:t>
      </w:r>
    </w:p>
    <w:p w14:paraId="5D53C73F">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内容包括设备安全巡检、安全扫描，设备部署咨询、等保测评咨询、应急演练和响应服务、网络安全培训、安全检查、重要时期网络安全驻场保障等</w:t>
      </w:r>
      <w:r>
        <w:rPr>
          <w:rFonts w:hint="eastAsia" w:ascii="宋体" w:hAnsi="宋体" w:eastAsia="宋体" w:cs="宋体"/>
          <w:color w:val="auto"/>
          <w:sz w:val="24"/>
          <w:szCs w:val="24"/>
          <w:highlight w:val="none"/>
          <w:lang w:val="en-US" w:eastAsia="zh-CN"/>
        </w:rPr>
        <w:t>。具体服务内容见下表：</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60"/>
        <w:gridCol w:w="5570"/>
        <w:gridCol w:w="1394"/>
      </w:tblGrid>
      <w:tr w14:paraId="6909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866" w:type="pct"/>
            <w:noWrap w:val="0"/>
            <w:vAlign w:val="center"/>
          </w:tcPr>
          <w:p w14:paraId="59A4211D">
            <w:pPr>
              <w:spacing w:line="540" w:lineRule="exact"/>
              <w:jc w:val="center"/>
              <w:rPr>
                <w:rFonts w:ascii="宋体" w:hAnsi="宋体" w:eastAsia="宋体"/>
                <w:sz w:val="21"/>
                <w:szCs w:val="21"/>
                <w:highlight w:val="none"/>
              </w:rPr>
            </w:pPr>
            <w:r>
              <w:rPr>
                <w:rFonts w:hint="eastAsia" w:ascii="宋体" w:hAnsi="宋体" w:eastAsia="宋体"/>
                <w:sz w:val="21"/>
                <w:szCs w:val="21"/>
                <w:highlight w:val="none"/>
              </w:rPr>
              <w:t>服务项目</w:t>
            </w:r>
          </w:p>
        </w:tc>
        <w:tc>
          <w:tcPr>
            <w:tcW w:w="3305" w:type="pct"/>
            <w:noWrap w:val="0"/>
            <w:vAlign w:val="center"/>
          </w:tcPr>
          <w:p w14:paraId="74E687F0">
            <w:pPr>
              <w:spacing w:line="540" w:lineRule="exact"/>
              <w:ind w:firstLine="645"/>
              <w:jc w:val="center"/>
              <w:rPr>
                <w:rFonts w:ascii="宋体" w:hAnsi="宋体" w:eastAsia="宋体"/>
                <w:sz w:val="21"/>
                <w:szCs w:val="21"/>
                <w:highlight w:val="none"/>
              </w:rPr>
            </w:pPr>
            <w:r>
              <w:rPr>
                <w:rFonts w:hint="eastAsia" w:ascii="宋体" w:hAnsi="宋体" w:eastAsia="宋体"/>
                <w:sz w:val="21"/>
                <w:szCs w:val="21"/>
                <w:highlight w:val="none"/>
              </w:rPr>
              <w:t>服务内容</w:t>
            </w:r>
          </w:p>
        </w:tc>
        <w:tc>
          <w:tcPr>
            <w:tcW w:w="827" w:type="pct"/>
            <w:noWrap w:val="0"/>
            <w:vAlign w:val="center"/>
          </w:tcPr>
          <w:p w14:paraId="38AC8D43">
            <w:pPr>
              <w:spacing w:line="540" w:lineRule="exact"/>
              <w:jc w:val="center"/>
              <w:rPr>
                <w:rFonts w:ascii="宋体" w:hAnsi="宋体" w:eastAsia="宋体"/>
                <w:sz w:val="21"/>
                <w:szCs w:val="21"/>
                <w:highlight w:val="none"/>
              </w:rPr>
            </w:pPr>
            <w:r>
              <w:rPr>
                <w:rFonts w:hint="eastAsia" w:ascii="宋体" w:hAnsi="宋体" w:eastAsia="宋体"/>
                <w:sz w:val="21"/>
                <w:szCs w:val="21"/>
                <w:highlight w:val="none"/>
              </w:rPr>
              <w:t>服务时间</w:t>
            </w:r>
          </w:p>
        </w:tc>
      </w:tr>
      <w:tr w14:paraId="4D0B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866" w:type="pct"/>
            <w:noWrap w:val="0"/>
            <w:vAlign w:val="center"/>
          </w:tcPr>
          <w:p w14:paraId="7665DBB9">
            <w:pPr>
              <w:spacing w:line="540" w:lineRule="exact"/>
              <w:rPr>
                <w:rFonts w:ascii="宋体" w:hAnsi="宋体" w:eastAsia="宋体"/>
                <w:sz w:val="21"/>
                <w:szCs w:val="21"/>
                <w:highlight w:val="none"/>
              </w:rPr>
            </w:pPr>
            <w:r>
              <w:rPr>
                <w:rFonts w:hint="eastAsia" w:ascii="宋体" w:hAnsi="宋体" w:eastAsia="宋体"/>
                <w:sz w:val="21"/>
                <w:szCs w:val="21"/>
                <w:highlight w:val="none"/>
              </w:rPr>
              <w:t>设备巡检服务</w:t>
            </w:r>
          </w:p>
        </w:tc>
        <w:tc>
          <w:tcPr>
            <w:tcW w:w="3305" w:type="pct"/>
            <w:noWrap w:val="0"/>
            <w:vAlign w:val="top"/>
          </w:tcPr>
          <w:p w14:paraId="41DC3CD5">
            <w:pPr>
              <w:spacing w:line="540" w:lineRule="exact"/>
              <w:rPr>
                <w:rFonts w:ascii="宋体" w:hAnsi="宋体" w:eastAsia="宋体"/>
                <w:sz w:val="21"/>
                <w:szCs w:val="21"/>
                <w:highlight w:val="none"/>
              </w:rPr>
            </w:pPr>
            <w:r>
              <w:rPr>
                <w:rFonts w:hint="eastAsia" w:ascii="宋体" w:hAnsi="宋体" w:eastAsia="宋体"/>
                <w:sz w:val="21"/>
                <w:szCs w:val="21"/>
                <w:highlight w:val="none"/>
              </w:rPr>
              <w:t>每季度提供巡检设备的安全运维报告，并针对于网络中的风险提供安全调整建议；发现设备异常24小时内提供分析处置报告。</w:t>
            </w:r>
          </w:p>
        </w:tc>
        <w:tc>
          <w:tcPr>
            <w:tcW w:w="827" w:type="pct"/>
            <w:noWrap w:val="0"/>
            <w:vAlign w:val="center"/>
          </w:tcPr>
          <w:p w14:paraId="22663C7F">
            <w:pPr>
              <w:spacing w:line="540" w:lineRule="exact"/>
              <w:rPr>
                <w:rFonts w:ascii="宋体" w:hAnsi="宋体" w:eastAsia="宋体"/>
                <w:sz w:val="21"/>
                <w:szCs w:val="21"/>
                <w:highlight w:val="none"/>
              </w:rPr>
            </w:pPr>
            <w:r>
              <w:rPr>
                <w:rFonts w:hint="eastAsia" w:ascii="宋体" w:hAnsi="宋体" w:eastAsia="宋体"/>
                <w:sz w:val="21"/>
                <w:szCs w:val="21"/>
                <w:highlight w:val="none"/>
              </w:rPr>
              <w:t>每季度一次/提供巡检报告</w:t>
            </w:r>
          </w:p>
        </w:tc>
      </w:tr>
      <w:tr w14:paraId="2124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619EFB22">
            <w:pPr>
              <w:spacing w:line="540" w:lineRule="exact"/>
              <w:rPr>
                <w:rFonts w:ascii="宋体" w:hAnsi="宋体" w:eastAsia="宋体"/>
                <w:sz w:val="21"/>
                <w:szCs w:val="21"/>
                <w:highlight w:val="none"/>
              </w:rPr>
            </w:pPr>
            <w:r>
              <w:rPr>
                <w:rFonts w:hint="eastAsia" w:ascii="宋体" w:hAnsi="宋体" w:eastAsia="宋体"/>
                <w:sz w:val="21"/>
                <w:szCs w:val="21"/>
                <w:highlight w:val="none"/>
              </w:rPr>
              <w:t>安全扫描服务</w:t>
            </w:r>
          </w:p>
        </w:tc>
        <w:tc>
          <w:tcPr>
            <w:tcW w:w="3305" w:type="pct"/>
            <w:noWrap w:val="0"/>
            <w:vAlign w:val="center"/>
          </w:tcPr>
          <w:p w14:paraId="3897DE83">
            <w:pPr>
              <w:spacing w:line="540" w:lineRule="exact"/>
              <w:rPr>
                <w:rFonts w:hint="eastAsia" w:ascii="宋体" w:hAnsi="宋体" w:eastAsia="宋体"/>
                <w:sz w:val="21"/>
                <w:szCs w:val="21"/>
                <w:highlight w:val="none"/>
              </w:rPr>
            </w:pPr>
            <w:r>
              <w:rPr>
                <w:rFonts w:hint="eastAsia" w:ascii="宋体" w:hAnsi="宋体" w:eastAsia="宋体"/>
                <w:sz w:val="21"/>
                <w:szCs w:val="21"/>
                <w:highlight w:val="none"/>
              </w:rPr>
              <w:t>每季度对主机设备、操作系统、WEB应用系统进行安全扫描巡检；当有新设备或新业务上线时，需要对业务及设备进行安全扫描检查，并提交结果报告，并协助甲方完成扫描存在问题的修复修改工作,对于部署的新业务，协助做好安全资源的配置工作。</w:t>
            </w:r>
          </w:p>
        </w:tc>
        <w:tc>
          <w:tcPr>
            <w:tcW w:w="827" w:type="pct"/>
            <w:noWrap w:val="0"/>
            <w:vAlign w:val="center"/>
          </w:tcPr>
          <w:p w14:paraId="197DFEEB">
            <w:pPr>
              <w:spacing w:line="540" w:lineRule="exact"/>
              <w:rPr>
                <w:rFonts w:ascii="宋体" w:hAnsi="宋体" w:eastAsia="宋体"/>
                <w:sz w:val="21"/>
                <w:szCs w:val="21"/>
                <w:highlight w:val="none"/>
              </w:rPr>
            </w:pPr>
            <w:r>
              <w:rPr>
                <w:rFonts w:hint="eastAsia" w:ascii="宋体" w:hAnsi="宋体" w:eastAsia="宋体"/>
                <w:sz w:val="21"/>
                <w:szCs w:val="21"/>
                <w:highlight w:val="none"/>
              </w:rPr>
              <w:t>每季度一次/每季度提供巡检报告</w:t>
            </w:r>
          </w:p>
        </w:tc>
      </w:tr>
      <w:tr w14:paraId="5976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4B5082D2">
            <w:pPr>
              <w:spacing w:line="540" w:lineRule="exact"/>
              <w:rPr>
                <w:rFonts w:ascii="宋体" w:hAnsi="宋体" w:eastAsia="宋体"/>
                <w:sz w:val="21"/>
                <w:szCs w:val="21"/>
                <w:highlight w:val="none"/>
              </w:rPr>
            </w:pPr>
            <w:r>
              <w:rPr>
                <w:rFonts w:hint="eastAsia" w:ascii="宋体" w:hAnsi="宋体" w:eastAsia="宋体"/>
                <w:sz w:val="21"/>
                <w:szCs w:val="21"/>
                <w:highlight w:val="none"/>
              </w:rPr>
              <w:t>设备集成服务、部署和策略配置服务</w:t>
            </w:r>
          </w:p>
        </w:tc>
        <w:tc>
          <w:tcPr>
            <w:tcW w:w="3305" w:type="pct"/>
            <w:noWrap w:val="0"/>
            <w:vAlign w:val="center"/>
          </w:tcPr>
          <w:p w14:paraId="20BDE3D5">
            <w:pPr>
              <w:spacing w:line="540" w:lineRule="exact"/>
              <w:rPr>
                <w:rFonts w:ascii="宋体" w:hAnsi="宋体" w:eastAsia="宋体"/>
                <w:sz w:val="21"/>
                <w:szCs w:val="21"/>
                <w:highlight w:val="none"/>
              </w:rPr>
            </w:pPr>
            <w:r>
              <w:rPr>
                <w:rFonts w:hint="eastAsia" w:ascii="宋体" w:hAnsi="宋体" w:eastAsia="宋体"/>
                <w:sz w:val="21"/>
                <w:szCs w:val="21"/>
                <w:highlight w:val="none"/>
              </w:rPr>
              <w:t>在用户需要的时候，为用户推荐合适的网络及安全产品，并提供相应的部署建议方案：包括系统集成整体解决方案、网络及安全产品部署设计、网络及安全产品的配置。</w:t>
            </w:r>
          </w:p>
          <w:p w14:paraId="3A2C50E5">
            <w:pPr>
              <w:spacing w:line="540" w:lineRule="exact"/>
              <w:rPr>
                <w:rFonts w:ascii="宋体" w:hAnsi="宋体" w:eastAsia="宋体"/>
                <w:sz w:val="21"/>
                <w:szCs w:val="21"/>
                <w:highlight w:val="none"/>
              </w:rPr>
            </w:pPr>
            <w:r>
              <w:rPr>
                <w:rFonts w:hint="eastAsia" w:ascii="宋体" w:hAnsi="宋体" w:eastAsia="宋体"/>
                <w:sz w:val="21"/>
                <w:szCs w:val="21"/>
                <w:highlight w:val="none"/>
              </w:rPr>
              <w:t>集成产品包括：交换机、路由器、终端防护设备、防火墙设备、入侵检测防御设备、安全扫描设备、WEB应用防护、身份认证、运维管理软件等。</w:t>
            </w:r>
          </w:p>
        </w:tc>
        <w:tc>
          <w:tcPr>
            <w:tcW w:w="827" w:type="pct"/>
            <w:noWrap w:val="0"/>
            <w:vAlign w:val="center"/>
          </w:tcPr>
          <w:p w14:paraId="0B092389">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r w14:paraId="0AA5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552DA425">
            <w:pPr>
              <w:spacing w:line="540" w:lineRule="exact"/>
              <w:rPr>
                <w:rFonts w:ascii="宋体" w:hAnsi="宋体" w:eastAsia="宋体"/>
                <w:sz w:val="21"/>
                <w:szCs w:val="21"/>
                <w:highlight w:val="none"/>
              </w:rPr>
            </w:pPr>
            <w:r>
              <w:rPr>
                <w:rFonts w:hint="eastAsia" w:ascii="宋体" w:hAnsi="宋体" w:eastAsia="宋体"/>
                <w:sz w:val="21"/>
                <w:szCs w:val="21"/>
                <w:highlight w:val="none"/>
              </w:rPr>
              <w:t>信息系统等级保护测评咨询服务</w:t>
            </w:r>
          </w:p>
        </w:tc>
        <w:tc>
          <w:tcPr>
            <w:tcW w:w="3305" w:type="pct"/>
            <w:noWrap w:val="0"/>
            <w:vAlign w:val="center"/>
          </w:tcPr>
          <w:p w14:paraId="54831B03">
            <w:pPr>
              <w:spacing w:line="540" w:lineRule="exact"/>
              <w:rPr>
                <w:rFonts w:ascii="宋体" w:hAnsi="宋体" w:eastAsia="宋体"/>
                <w:sz w:val="21"/>
                <w:szCs w:val="21"/>
                <w:highlight w:val="none"/>
              </w:rPr>
            </w:pPr>
            <w:r>
              <w:rPr>
                <w:rFonts w:hint="eastAsia" w:ascii="宋体" w:hAnsi="宋体" w:eastAsia="宋体"/>
                <w:sz w:val="21"/>
                <w:szCs w:val="21"/>
                <w:highlight w:val="none"/>
              </w:rPr>
              <w:t>提供测评咨询服务。帮助了解和把握等级保护的最新国家政策动态，制定等级保护的具体落地策略，以及评估现有安全措施的符合程度，提供定级备案咨询、差距评估咨询、整改方案设计咨询。协助做好信息系统测评整改工作。</w:t>
            </w:r>
          </w:p>
        </w:tc>
        <w:tc>
          <w:tcPr>
            <w:tcW w:w="827" w:type="pct"/>
            <w:noWrap w:val="0"/>
            <w:vAlign w:val="center"/>
          </w:tcPr>
          <w:p w14:paraId="3B07EED0">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r w14:paraId="0A61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41E3ACB6">
            <w:pPr>
              <w:spacing w:line="540" w:lineRule="exact"/>
              <w:rPr>
                <w:rFonts w:ascii="宋体" w:hAnsi="宋体" w:eastAsia="宋体"/>
                <w:sz w:val="21"/>
                <w:szCs w:val="21"/>
                <w:highlight w:val="none"/>
              </w:rPr>
            </w:pPr>
            <w:r>
              <w:rPr>
                <w:rFonts w:hint="eastAsia" w:ascii="宋体" w:hAnsi="宋体" w:eastAsia="宋体"/>
                <w:sz w:val="21"/>
                <w:szCs w:val="21"/>
                <w:highlight w:val="none"/>
              </w:rPr>
              <w:t>应急响应服务</w:t>
            </w:r>
          </w:p>
        </w:tc>
        <w:tc>
          <w:tcPr>
            <w:tcW w:w="3305" w:type="pct"/>
            <w:noWrap w:val="0"/>
            <w:vAlign w:val="center"/>
          </w:tcPr>
          <w:p w14:paraId="17CDBF1A">
            <w:pPr>
              <w:spacing w:line="540" w:lineRule="exact"/>
              <w:rPr>
                <w:rFonts w:ascii="宋体" w:hAnsi="宋体" w:eastAsia="宋体"/>
                <w:sz w:val="21"/>
                <w:szCs w:val="21"/>
                <w:highlight w:val="none"/>
              </w:rPr>
            </w:pPr>
            <w:r>
              <w:rPr>
                <w:rFonts w:hint="eastAsia" w:ascii="宋体" w:hAnsi="宋体" w:eastAsia="宋体"/>
                <w:sz w:val="21"/>
                <w:szCs w:val="21"/>
                <w:highlight w:val="none"/>
              </w:rPr>
              <w:t>应急响应服务指当网络安全事件发生后，提供安全服务团队根据预案快速响应。应急响应预案应按照准备、检测、抑制、根除、恢复、跟踪等一系列标准措施指定，保证网络安全无忧，预防危险发生。</w:t>
            </w:r>
          </w:p>
        </w:tc>
        <w:tc>
          <w:tcPr>
            <w:tcW w:w="827" w:type="pct"/>
            <w:noWrap w:val="0"/>
            <w:vAlign w:val="center"/>
          </w:tcPr>
          <w:p w14:paraId="29311EA0">
            <w:pPr>
              <w:spacing w:line="540" w:lineRule="exact"/>
              <w:rPr>
                <w:rFonts w:ascii="宋体" w:hAnsi="宋体" w:eastAsia="宋体"/>
                <w:sz w:val="21"/>
                <w:szCs w:val="21"/>
                <w:highlight w:val="none"/>
              </w:rPr>
            </w:pPr>
            <w:r>
              <w:rPr>
                <w:rFonts w:hint="eastAsia" w:ascii="宋体" w:hAnsi="宋体" w:eastAsia="宋体"/>
                <w:sz w:val="21"/>
                <w:szCs w:val="21"/>
                <w:highlight w:val="none"/>
              </w:rPr>
              <w:t>即时响应</w:t>
            </w:r>
          </w:p>
        </w:tc>
      </w:tr>
      <w:tr w14:paraId="570F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34543728">
            <w:pPr>
              <w:spacing w:line="540" w:lineRule="exact"/>
              <w:rPr>
                <w:rFonts w:ascii="宋体" w:hAnsi="宋体" w:eastAsia="宋体"/>
                <w:sz w:val="21"/>
                <w:szCs w:val="21"/>
                <w:highlight w:val="none"/>
              </w:rPr>
            </w:pPr>
            <w:r>
              <w:rPr>
                <w:rFonts w:hint="eastAsia" w:ascii="宋体" w:hAnsi="宋体" w:eastAsia="宋体"/>
                <w:sz w:val="21"/>
                <w:szCs w:val="21"/>
                <w:highlight w:val="none"/>
              </w:rPr>
              <w:t>应急演练服务</w:t>
            </w:r>
          </w:p>
        </w:tc>
        <w:tc>
          <w:tcPr>
            <w:tcW w:w="3305" w:type="pct"/>
            <w:noWrap w:val="0"/>
            <w:vAlign w:val="center"/>
          </w:tcPr>
          <w:p w14:paraId="5E3FA528">
            <w:pPr>
              <w:spacing w:line="540" w:lineRule="exact"/>
              <w:rPr>
                <w:rFonts w:ascii="宋体" w:hAnsi="宋体" w:eastAsia="宋体"/>
                <w:sz w:val="21"/>
                <w:szCs w:val="21"/>
                <w:highlight w:val="none"/>
              </w:rPr>
            </w:pPr>
            <w:r>
              <w:rPr>
                <w:rFonts w:hint="eastAsia" w:ascii="宋体" w:hAnsi="宋体" w:eastAsia="宋体"/>
                <w:sz w:val="21"/>
                <w:szCs w:val="21"/>
                <w:highlight w:val="none"/>
              </w:rPr>
              <w:t>根据具体情况，制定相应的应急演练方案，配合开展应急演练活动。</w:t>
            </w:r>
          </w:p>
        </w:tc>
        <w:tc>
          <w:tcPr>
            <w:tcW w:w="827" w:type="pct"/>
            <w:noWrap w:val="0"/>
            <w:vAlign w:val="center"/>
          </w:tcPr>
          <w:p w14:paraId="3812C31C">
            <w:pPr>
              <w:spacing w:line="540" w:lineRule="exact"/>
              <w:rPr>
                <w:rFonts w:ascii="宋体" w:hAnsi="宋体" w:eastAsia="宋体"/>
                <w:sz w:val="21"/>
                <w:szCs w:val="21"/>
                <w:highlight w:val="none"/>
              </w:rPr>
            </w:pPr>
            <w:r>
              <w:rPr>
                <w:rFonts w:hint="eastAsia" w:ascii="宋体" w:hAnsi="宋体" w:eastAsia="宋体"/>
                <w:sz w:val="21"/>
                <w:szCs w:val="21"/>
                <w:highlight w:val="none"/>
              </w:rPr>
              <w:t>每年一次</w:t>
            </w:r>
          </w:p>
        </w:tc>
      </w:tr>
      <w:tr w14:paraId="56F9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1F481C66">
            <w:pPr>
              <w:spacing w:line="540" w:lineRule="exact"/>
              <w:rPr>
                <w:rFonts w:ascii="宋体" w:hAnsi="宋体" w:eastAsia="宋体"/>
                <w:sz w:val="21"/>
                <w:szCs w:val="21"/>
                <w:highlight w:val="none"/>
              </w:rPr>
            </w:pPr>
            <w:r>
              <w:rPr>
                <w:rFonts w:hint="eastAsia" w:ascii="宋体" w:hAnsi="宋体" w:eastAsia="宋体"/>
                <w:sz w:val="21"/>
                <w:szCs w:val="21"/>
                <w:highlight w:val="none"/>
              </w:rPr>
              <w:t>咨询服务</w:t>
            </w:r>
          </w:p>
        </w:tc>
        <w:tc>
          <w:tcPr>
            <w:tcW w:w="3305" w:type="pct"/>
            <w:noWrap w:val="0"/>
            <w:vAlign w:val="center"/>
          </w:tcPr>
          <w:p w14:paraId="24608AA8">
            <w:pPr>
              <w:spacing w:line="540" w:lineRule="exact"/>
              <w:rPr>
                <w:rFonts w:ascii="宋体" w:hAnsi="宋体" w:eastAsia="宋体"/>
                <w:sz w:val="21"/>
                <w:szCs w:val="21"/>
                <w:highlight w:val="none"/>
              </w:rPr>
            </w:pPr>
            <w:r>
              <w:rPr>
                <w:rFonts w:hint="eastAsia" w:ascii="宋体" w:hAnsi="宋体" w:eastAsia="宋体"/>
                <w:sz w:val="21"/>
                <w:szCs w:val="21"/>
                <w:highlight w:val="none"/>
              </w:rPr>
              <w:t>项目咨询服务是包含从项目立项、前期调研、可行性研究、方案设计、设备选型参考。招标书的制作以及项目管理辅助，项目验收辅助的整体的咨询服务解决方案。包括：</w:t>
            </w:r>
          </w:p>
          <w:p w14:paraId="1F95AB02">
            <w:pPr>
              <w:spacing w:line="540" w:lineRule="exact"/>
              <w:rPr>
                <w:rFonts w:ascii="宋体" w:hAnsi="宋体" w:eastAsia="宋体"/>
                <w:sz w:val="21"/>
                <w:szCs w:val="21"/>
                <w:highlight w:val="none"/>
              </w:rPr>
            </w:pPr>
            <w:r>
              <w:rPr>
                <w:rFonts w:hint="eastAsia" w:ascii="宋体" w:hAnsi="宋体" w:eastAsia="宋体"/>
                <w:sz w:val="21"/>
                <w:szCs w:val="21"/>
                <w:highlight w:val="none"/>
              </w:rPr>
              <w:t>1、在用户需要的时候，为用户推荐合适的安全产品，并提供相应的部署建议。</w:t>
            </w:r>
          </w:p>
          <w:p w14:paraId="38CE7D9A">
            <w:pPr>
              <w:spacing w:line="540" w:lineRule="exact"/>
              <w:rPr>
                <w:rFonts w:ascii="宋体" w:hAnsi="宋体" w:eastAsia="宋体"/>
                <w:sz w:val="21"/>
                <w:szCs w:val="21"/>
                <w:highlight w:val="none"/>
              </w:rPr>
            </w:pPr>
            <w:r>
              <w:rPr>
                <w:rFonts w:hint="eastAsia" w:ascii="宋体" w:hAnsi="宋体" w:eastAsia="宋体"/>
                <w:sz w:val="21"/>
                <w:szCs w:val="21"/>
                <w:highlight w:val="none"/>
              </w:rPr>
              <w:t>2、网络安全整体解决方案。</w:t>
            </w:r>
          </w:p>
        </w:tc>
        <w:tc>
          <w:tcPr>
            <w:tcW w:w="827" w:type="pct"/>
            <w:noWrap w:val="0"/>
            <w:vAlign w:val="center"/>
          </w:tcPr>
          <w:p w14:paraId="692114B8">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r w14:paraId="4A21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6229A25E">
            <w:pPr>
              <w:spacing w:line="540" w:lineRule="exact"/>
              <w:rPr>
                <w:rFonts w:ascii="宋体" w:hAnsi="宋体" w:eastAsia="宋体"/>
                <w:sz w:val="21"/>
                <w:szCs w:val="21"/>
                <w:highlight w:val="none"/>
              </w:rPr>
            </w:pPr>
            <w:r>
              <w:rPr>
                <w:rFonts w:hint="eastAsia" w:ascii="宋体" w:hAnsi="宋体" w:eastAsia="宋体"/>
                <w:sz w:val="21"/>
                <w:szCs w:val="21"/>
                <w:highlight w:val="none"/>
              </w:rPr>
              <w:t>培训服务</w:t>
            </w:r>
          </w:p>
        </w:tc>
        <w:tc>
          <w:tcPr>
            <w:tcW w:w="3305" w:type="pct"/>
            <w:noWrap w:val="0"/>
            <w:vAlign w:val="center"/>
          </w:tcPr>
          <w:p w14:paraId="66BDBBB8">
            <w:pPr>
              <w:spacing w:line="540" w:lineRule="exact"/>
              <w:rPr>
                <w:rFonts w:ascii="宋体" w:hAnsi="宋体" w:eastAsia="宋体"/>
                <w:sz w:val="21"/>
                <w:szCs w:val="21"/>
                <w:highlight w:val="none"/>
              </w:rPr>
            </w:pPr>
            <w:r>
              <w:rPr>
                <w:rFonts w:hint="eastAsia" w:ascii="宋体" w:hAnsi="宋体" w:eastAsia="宋体"/>
                <w:sz w:val="21"/>
                <w:szCs w:val="21"/>
                <w:highlight w:val="none"/>
              </w:rPr>
              <w:t>提供培训服务，根据南通市交通运输局的具体需求，提供网络安全法律法规、安全意识、安全产品、安全资讯等方面的技术培训。</w:t>
            </w:r>
          </w:p>
        </w:tc>
        <w:tc>
          <w:tcPr>
            <w:tcW w:w="827" w:type="pct"/>
            <w:noWrap w:val="0"/>
            <w:vAlign w:val="center"/>
          </w:tcPr>
          <w:p w14:paraId="158FEBEB">
            <w:pPr>
              <w:spacing w:line="540" w:lineRule="exact"/>
              <w:rPr>
                <w:rFonts w:ascii="宋体" w:hAnsi="宋体" w:eastAsia="宋体"/>
                <w:sz w:val="21"/>
                <w:szCs w:val="21"/>
                <w:highlight w:val="none"/>
              </w:rPr>
            </w:pPr>
            <w:r>
              <w:rPr>
                <w:rFonts w:hint="eastAsia" w:ascii="宋体" w:hAnsi="宋体" w:eastAsia="宋体"/>
                <w:sz w:val="21"/>
                <w:szCs w:val="21"/>
                <w:highlight w:val="none"/>
              </w:rPr>
              <w:t>按需，每年至少一次</w:t>
            </w:r>
          </w:p>
        </w:tc>
      </w:tr>
      <w:tr w14:paraId="5595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010A4BAB">
            <w:pPr>
              <w:spacing w:line="540" w:lineRule="exact"/>
              <w:rPr>
                <w:rFonts w:ascii="宋体" w:hAnsi="宋体" w:eastAsia="宋体"/>
                <w:sz w:val="21"/>
                <w:szCs w:val="21"/>
                <w:highlight w:val="none"/>
              </w:rPr>
            </w:pPr>
            <w:r>
              <w:rPr>
                <w:rFonts w:hint="eastAsia" w:ascii="宋体" w:hAnsi="宋体" w:eastAsia="宋体"/>
                <w:sz w:val="21"/>
                <w:szCs w:val="21"/>
                <w:highlight w:val="none"/>
              </w:rPr>
              <w:t>安全检查服务</w:t>
            </w:r>
          </w:p>
        </w:tc>
        <w:tc>
          <w:tcPr>
            <w:tcW w:w="3305" w:type="pct"/>
            <w:noWrap w:val="0"/>
            <w:vAlign w:val="center"/>
          </w:tcPr>
          <w:p w14:paraId="2A0552DC">
            <w:pPr>
              <w:spacing w:line="540" w:lineRule="exact"/>
              <w:rPr>
                <w:rFonts w:ascii="宋体" w:hAnsi="宋体" w:eastAsia="宋体"/>
                <w:sz w:val="21"/>
                <w:szCs w:val="21"/>
                <w:highlight w:val="none"/>
              </w:rPr>
            </w:pPr>
            <w:r>
              <w:rPr>
                <w:rFonts w:hint="eastAsia" w:ascii="宋体" w:hAnsi="宋体" w:eastAsia="宋体"/>
                <w:sz w:val="21"/>
                <w:szCs w:val="21"/>
                <w:highlight w:val="none"/>
              </w:rPr>
              <w:t>提供安全检查服务，配合业主单位对下属单位开展网络安全检查，出具响应检查报告。</w:t>
            </w:r>
          </w:p>
        </w:tc>
        <w:tc>
          <w:tcPr>
            <w:tcW w:w="827" w:type="pct"/>
            <w:noWrap w:val="0"/>
            <w:vAlign w:val="center"/>
          </w:tcPr>
          <w:p w14:paraId="32C0BDFB">
            <w:pPr>
              <w:spacing w:line="540" w:lineRule="exact"/>
              <w:rPr>
                <w:rFonts w:ascii="宋体" w:hAnsi="宋体" w:eastAsia="宋体"/>
                <w:sz w:val="21"/>
                <w:szCs w:val="21"/>
                <w:highlight w:val="none"/>
              </w:rPr>
            </w:pPr>
            <w:r>
              <w:rPr>
                <w:rFonts w:hint="eastAsia" w:ascii="宋体" w:hAnsi="宋体" w:eastAsia="宋体"/>
                <w:sz w:val="21"/>
                <w:szCs w:val="21"/>
                <w:highlight w:val="none"/>
              </w:rPr>
              <w:t>按需，每年至少一次</w:t>
            </w:r>
          </w:p>
        </w:tc>
      </w:tr>
      <w:tr w14:paraId="61F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13EF5584">
            <w:pPr>
              <w:spacing w:line="540" w:lineRule="exact"/>
              <w:rPr>
                <w:rFonts w:ascii="宋体" w:hAnsi="宋体" w:eastAsia="宋体"/>
                <w:sz w:val="21"/>
                <w:szCs w:val="21"/>
                <w:highlight w:val="none"/>
              </w:rPr>
            </w:pPr>
            <w:r>
              <w:rPr>
                <w:rFonts w:hint="eastAsia" w:ascii="宋体" w:hAnsi="宋体" w:eastAsia="宋体"/>
                <w:sz w:val="21"/>
                <w:szCs w:val="21"/>
                <w:highlight w:val="none"/>
              </w:rPr>
              <w:t>驻场保障服务</w:t>
            </w:r>
          </w:p>
        </w:tc>
        <w:tc>
          <w:tcPr>
            <w:tcW w:w="3305" w:type="pct"/>
            <w:noWrap w:val="0"/>
            <w:vAlign w:val="center"/>
          </w:tcPr>
          <w:p w14:paraId="61A13573">
            <w:pPr>
              <w:spacing w:line="540" w:lineRule="exact"/>
              <w:rPr>
                <w:rFonts w:ascii="宋体" w:hAnsi="宋体" w:eastAsia="宋体"/>
                <w:sz w:val="21"/>
                <w:szCs w:val="21"/>
                <w:highlight w:val="none"/>
              </w:rPr>
            </w:pPr>
            <w:r>
              <w:rPr>
                <w:rFonts w:hint="eastAsia" w:ascii="宋体" w:hAnsi="宋体" w:eastAsia="宋体"/>
                <w:sz w:val="21"/>
                <w:szCs w:val="21"/>
                <w:highlight w:val="none"/>
              </w:rPr>
              <w:t>当有重大网络安全会议和活动等期间，</w:t>
            </w:r>
            <w:r>
              <w:rPr>
                <w:rFonts w:hint="eastAsia" w:ascii="宋体" w:hAnsi="宋体"/>
                <w:sz w:val="21"/>
                <w:szCs w:val="21"/>
                <w:highlight w:val="none"/>
                <w:lang w:val="en-US" w:eastAsia="zh-CN"/>
              </w:rPr>
              <w:t>根据采购人需求</w:t>
            </w:r>
            <w:r>
              <w:rPr>
                <w:rFonts w:hint="eastAsia" w:ascii="宋体" w:hAnsi="宋体" w:eastAsia="宋体"/>
                <w:sz w:val="21"/>
                <w:szCs w:val="21"/>
                <w:highlight w:val="none"/>
              </w:rPr>
              <w:t>提供人员的驻场保障服务。</w:t>
            </w:r>
          </w:p>
        </w:tc>
        <w:tc>
          <w:tcPr>
            <w:tcW w:w="827" w:type="pct"/>
            <w:noWrap w:val="0"/>
            <w:vAlign w:val="center"/>
          </w:tcPr>
          <w:p w14:paraId="27CCEE88">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bl>
    <w:p w14:paraId="5FF6C094">
      <w:pPr>
        <w:pStyle w:val="46"/>
        <w:rPr>
          <w:rFonts w:hint="eastAsia"/>
          <w:highlight w:val="none"/>
          <w:lang w:val="en-US" w:eastAsia="zh-CN"/>
        </w:rPr>
      </w:pPr>
    </w:p>
    <w:p w14:paraId="3301D9FB">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自合同签订之日起三年</w:t>
      </w:r>
      <w:r>
        <w:rPr>
          <w:rFonts w:hint="eastAsia" w:ascii="宋体" w:hAnsi="宋体" w:eastAsia="宋体" w:cs="宋体"/>
          <w:color w:val="auto"/>
          <w:sz w:val="24"/>
          <w:szCs w:val="24"/>
          <w:highlight w:val="none"/>
        </w:rPr>
        <w:t>。</w:t>
      </w:r>
    </w:p>
    <w:p w14:paraId="77C82F8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sz w:val="24"/>
          <w:szCs w:val="24"/>
          <w:highlight w:val="none"/>
          <w:lang w:val="en-US" w:eastAsia="zh-CN"/>
        </w:rPr>
        <w:t>商务要求</w:t>
      </w:r>
    </w:p>
    <w:p w14:paraId="5CE691C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bCs/>
          <w:sz w:val="24"/>
          <w:szCs w:val="24"/>
          <w:highlight w:val="none"/>
          <w:lang w:val="en-US" w:eastAsia="zh-CN"/>
        </w:rPr>
        <w:t>报价要求</w:t>
      </w:r>
    </w:p>
    <w:p w14:paraId="3F25B869">
      <w:pPr>
        <w:snapToGrid w:val="0"/>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为总价报价</w:t>
      </w:r>
      <w:r>
        <w:rPr>
          <w:rFonts w:hint="eastAsia" w:ascii="宋体" w:hAnsi="宋体" w:eastAsia="宋体"/>
          <w:bCs/>
          <w:sz w:val="24"/>
          <w:szCs w:val="24"/>
          <w:highlight w:val="none"/>
          <w:lang w:val="en-US" w:eastAsia="zh-CN"/>
        </w:rPr>
        <w:t>，投标报价包括但不限于人员费用、现场费用、差旅费、设备及相关费用、采购人安排的与完成本项目相关的其它工作的费用、公司</w:t>
      </w:r>
      <w:r>
        <w:rPr>
          <w:rFonts w:hint="eastAsia" w:ascii="宋体" w:hAnsi="宋体"/>
          <w:bCs/>
          <w:sz w:val="24"/>
          <w:szCs w:val="24"/>
          <w:highlight w:val="none"/>
          <w:lang w:val="en-US" w:eastAsia="zh-CN"/>
        </w:rPr>
        <w:t>税费</w:t>
      </w:r>
      <w:r>
        <w:rPr>
          <w:rFonts w:hint="eastAsia" w:ascii="宋体" w:hAnsi="宋体" w:eastAsia="宋体"/>
          <w:bCs/>
          <w:sz w:val="24"/>
          <w:szCs w:val="24"/>
          <w:highlight w:val="none"/>
          <w:lang w:val="en-US" w:eastAsia="zh-CN"/>
        </w:rPr>
        <w:t>、保险、利润、法定税金等与履行本合同有关的一切费用。投标人应根据本项目相应情况和有关规范制订必要、合理的人员投入计划，其拟投入现场人员数量</w:t>
      </w:r>
      <w:r>
        <w:rPr>
          <w:rFonts w:hint="eastAsia" w:ascii="宋体" w:hAnsi="宋体"/>
          <w:bCs/>
          <w:sz w:val="24"/>
          <w:szCs w:val="24"/>
          <w:highlight w:val="none"/>
          <w:lang w:val="en-US" w:eastAsia="zh-CN"/>
        </w:rPr>
        <w:t>应</w:t>
      </w:r>
      <w:r>
        <w:rPr>
          <w:rFonts w:hint="eastAsia" w:ascii="宋体" w:hAnsi="宋体" w:eastAsia="宋体"/>
          <w:bCs/>
          <w:sz w:val="24"/>
          <w:szCs w:val="24"/>
          <w:highlight w:val="none"/>
          <w:lang w:val="en-US" w:eastAsia="zh-CN"/>
        </w:rPr>
        <w:t>满足本项目工作的要求。在合同实施期间，合同费用不随国家政策或法规、标准及市场因素的变化而进行调整。</w:t>
      </w:r>
    </w:p>
    <w:p w14:paraId="315E09F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2、付款方式</w:t>
      </w:r>
    </w:p>
    <w:p w14:paraId="065949E4">
      <w:pPr>
        <w:snapToGrid w:val="0"/>
        <w:spacing w:line="360" w:lineRule="auto"/>
        <w:ind w:firstLine="480" w:firstLineChars="200"/>
        <w:rPr>
          <w:highlight w:val="none"/>
        </w:rPr>
      </w:pPr>
      <w:r>
        <w:rPr>
          <w:rFonts w:hint="eastAsia" w:ascii="宋体" w:hAnsi="宋体" w:eastAsia="宋体"/>
          <w:bCs/>
          <w:sz w:val="24"/>
          <w:szCs w:val="24"/>
          <w:highlight w:val="none"/>
          <w:lang w:val="en-US" w:eastAsia="zh-CN"/>
        </w:rPr>
        <w:t>合同签订30个工作日内</w:t>
      </w:r>
      <w:r>
        <w:rPr>
          <w:rFonts w:hint="eastAsia" w:ascii="宋体" w:hAnsi="宋体"/>
          <w:bCs/>
          <w:sz w:val="24"/>
          <w:szCs w:val="24"/>
          <w:highlight w:val="none"/>
          <w:lang w:val="en-US" w:eastAsia="zh-CN"/>
        </w:rPr>
        <w:t>支付首年度服务费的16%，</w:t>
      </w:r>
      <w:r>
        <w:rPr>
          <w:rFonts w:hint="eastAsia" w:ascii="宋体" w:hAnsi="宋体"/>
          <w:bCs/>
          <w:sz w:val="24"/>
          <w:szCs w:val="24"/>
          <w:highlight w:val="none"/>
          <w:lang w:val="en-US" w:eastAsia="zh-CN"/>
        </w:rPr>
        <w:t>首年度服务费的余款在当年服务期满后30个工作日内付清；第二个年度服务开始后30个工作日内支付第二个年度服务费的</w:t>
      </w:r>
      <w:r>
        <w:rPr>
          <w:rFonts w:hint="eastAsia" w:ascii="宋体" w:hAnsi="宋体"/>
          <w:bCs/>
          <w:sz w:val="24"/>
          <w:szCs w:val="24"/>
          <w:highlight w:val="none"/>
          <w:lang w:val="en-US" w:eastAsia="zh-CN"/>
        </w:rPr>
        <w:t>16%</w:t>
      </w:r>
      <w:r>
        <w:rPr>
          <w:rFonts w:hint="eastAsia" w:ascii="宋体" w:hAnsi="宋体"/>
          <w:bCs/>
          <w:sz w:val="24"/>
          <w:szCs w:val="24"/>
          <w:highlight w:val="none"/>
          <w:lang w:val="en-US" w:eastAsia="zh-CN"/>
        </w:rPr>
        <w:t>，第二个年度服务费的余款在当年服务期满后30个工作日内付清；第三个年度服务开始后30个工作日内支付第三个年度服务费的</w:t>
      </w:r>
      <w:r>
        <w:rPr>
          <w:rFonts w:hint="eastAsia" w:ascii="宋体" w:hAnsi="宋体"/>
          <w:bCs/>
          <w:sz w:val="24"/>
          <w:szCs w:val="24"/>
          <w:highlight w:val="none"/>
          <w:lang w:val="en-US" w:eastAsia="zh-CN"/>
        </w:rPr>
        <w:t>16%</w:t>
      </w:r>
      <w:r>
        <w:rPr>
          <w:rFonts w:hint="eastAsia" w:ascii="宋体" w:hAnsi="宋体"/>
          <w:bCs/>
          <w:sz w:val="24"/>
          <w:szCs w:val="24"/>
          <w:highlight w:val="none"/>
          <w:lang w:val="en-US" w:eastAsia="zh-CN"/>
        </w:rPr>
        <w:t>，第三个年度服务费的余款在当年服务期满后30个工作日内付清。</w:t>
      </w:r>
      <w:r>
        <w:rPr>
          <w:rFonts w:hint="eastAsia" w:ascii="宋体" w:hAnsi="宋体" w:eastAsia="宋体"/>
          <w:bCs/>
          <w:sz w:val="24"/>
          <w:szCs w:val="24"/>
          <w:highlight w:val="none"/>
          <w:lang w:val="en-US" w:eastAsia="zh-CN"/>
        </w:rPr>
        <w:t>以上付款不计利息。</w:t>
      </w:r>
    </w:p>
    <w:p w14:paraId="7E969AA8">
      <w:pPr>
        <w:snapToGrid w:val="0"/>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注：付款前投标人须提供等额合规发票及相关申请资料，否则采购人可以拒付。</w:t>
      </w:r>
    </w:p>
    <w:p w14:paraId="59907AE8">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3、</w:t>
      </w:r>
      <w:r>
        <w:rPr>
          <w:rFonts w:hint="eastAsia" w:ascii="宋体" w:hAnsi="宋体" w:eastAsia="宋体" w:cs="宋体"/>
          <w:bCs/>
          <w:sz w:val="24"/>
          <w:szCs w:val="24"/>
          <w:highlight w:val="none"/>
          <w:lang w:val="en-US" w:eastAsia="zh-CN"/>
        </w:rPr>
        <w:t>履约保证金</w:t>
      </w:r>
    </w:p>
    <w:p w14:paraId="54F2A0E2">
      <w:pPr>
        <w:numPr>
          <w:ilvl w:val="0"/>
          <w:numId w:val="0"/>
        </w:numPr>
        <w:autoSpaceDE w:val="0"/>
        <w:autoSpaceDN w:val="0"/>
        <w:adjustRightInd w:val="0"/>
        <w:snapToGrid w:val="0"/>
        <w:spacing w:line="360" w:lineRule="auto"/>
        <w:ind w:leftChars="200"/>
        <w:outlineLvl w:val="0"/>
        <w:rPr>
          <w:rFonts w:ascii="宋体" w:hAnsi="宋体" w:cs="Courier New"/>
          <w:sz w:val="24"/>
          <w:szCs w:val="24"/>
          <w:highlight w:val="none"/>
        </w:rPr>
      </w:pPr>
      <w:r>
        <w:rPr>
          <w:rFonts w:ascii="宋体" w:hAnsi="宋体" w:cs="Courier New"/>
          <w:sz w:val="24"/>
          <w:szCs w:val="24"/>
          <w:highlight w:val="none"/>
        </w:rPr>
        <w:t>本项目不设履约保证金。</w:t>
      </w:r>
    </w:p>
    <w:p w14:paraId="77FBC978">
      <w:pPr>
        <w:rPr>
          <w:rFonts w:hint="eastAsia" w:ascii="宋体" w:hAnsi="宋体" w:eastAsia="宋体" w:cs="宋体"/>
          <w:b/>
          <w:bCs w:val="0"/>
          <w:color w:val="auto"/>
          <w:sz w:val="36"/>
          <w:szCs w:val="36"/>
          <w:highlight w:val="none"/>
        </w:rPr>
      </w:pPr>
    </w:p>
    <w:p w14:paraId="4E724EAE">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w:t>
      </w:r>
      <w:r>
        <w:rPr>
          <w:rFonts w:hint="eastAsia" w:ascii="宋体" w:hAnsi="宋体" w:cs="宋体"/>
          <w:color w:val="auto"/>
          <w:sz w:val="24"/>
          <w:szCs w:val="24"/>
          <w:highlight w:val="none"/>
          <w:lang w:val="en-US" w:eastAsia="zh-CN"/>
        </w:rPr>
        <w:t>由评标委员会投票确定排名</w:t>
      </w:r>
      <w:r>
        <w:rPr>
          <w:rFonts w:hint="eastAsia" w:ascii="宋体" w:hAnsi="宋体" w:eastAsia="宋体" w:cs="宋体"/>
          <w:color w:val="auto"/>
          <w:sz w:val="24"/>
          <w:szCs w:val="24"/>
          <w:highlight w:val="none"/>
        </w:rPr>
        <w:t>。投标文件满足招标文件全部实质性要求，且按照评审因素的量化指标评审得分最高的投标人为中标候选人。本项目选取1名中标人。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5649"/>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5912"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912"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E18E3CB">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一、政府采购政策功能落实</w:t>
      </w:r>
    </w:p>
    <w:p w14:paraId="05ACBD82">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1、小微型企业价格扣除</w:t>
      </w:r>
    </w:p>
    <w:p w14:paraId="6FFC8791">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（1）本项目对小型和微型企业产品给予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w:t>
      </w:r>
      <w:r>
        <w:rPr>
          <w:rFonts w:hint="eastAsia" w:ascii="宋体" w:hAnsi="宋体"/>
          <w:sz w:val="24"/>
          <w:szCs w:val="24"/>
          <w:highlight w:val="none"/>
        </w:rPr>
        <w:t>的扣除价格，用扣除后的价格参与评审。</w:t>
      </w:r>
    </w:p>
    <w:p w14:paraId="2C0C19B9">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投标人</w:t>
      </w:r>
      <w:r>
        <w:rPr>
          <w:rFonts w:hint="eastAsia" w:ascii="宋体" w:hAnsi="宋体"/>
          <w:sz w:val="24"/>
          <w:szCs w:val="24"/>
          <w:highlight w:val="none"/>
        </w:rPr>
        <w:t>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的要求提供相应的《小微企业声明函》。</w:t>
      </w:r>
    </w:p>
    <w:p w14:paraId="53035CD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（3）企业标准请参照《关于印发中小企业划型标准规定的通知》（工信部联企业[2011]300号）文件规定自行填写。</w:t>
      </w:r>
    </w:p>
    <w:p w14:paraId="7F09B083">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2、残疾人福利单位价格扣除</w:t>
      </w:r>
    </w:p>
    <w:p w14:paraId="1335F5B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（1）本项目对残疾人福利性单位视同小型、微型企业，给予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884853E">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的要求提供《残疾人福利性单位声明函》。</w:t>
      </w:r>
    </w:p>
    <w:p w14:paraId="3E73851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（3）残疾人福利单位标准请参照《关于促进残疾人就业政府采购政策的通知》（财库〔2017〕141号）。</w:t>
      </w:r>
    </w:p>
    <w:p w14:paraId="4038B775">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3、监狱和戒毒企业价格扣除</w:t>
      </w:r>
    </w:p>
    <w:p w14:paraId="226C0D0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（1）本项目对监狱和戒毒企业（简称监狱企业）视同小型、微型企业，给予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4F3C5E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（2）监狱企业参加政府采购活动时，需提供由省级以上监狱管理局、戒毒管理局(含新疆生产建设兵团)出具的属于监狱企业的证明文件。</w:t>
      </w:r>
      <w:r>
        <w:rPr>
          <w:rFonts w:hint="eastAsia" w:ascii="宋体" w:hAnsi="宋体"/>
          <w:kern w:val="0"/>
          <w:sz w:val="24"/>
          <w:szCs w:val="24"/>
          <w:highlight w:val="none"/>
          <w:lang w:eastAsia="zh-CN"/>
        </w:rPr>
        <w:t>投标人</w:t>
      </w:r>
      <w:r>
        <w:rPr>
          <w:rFonts w:hint="eastAsia" w:ascii="宋体" w:hAnsi="宋体"/>
          <w:kern w:val="0"/>
          <w:sz w:val="24"/>
          <w:szCs w:val="24"/>
          <w:highlight w:val="none"/>
        </w:rPr>
        <w:t>如不提供上述证明文件，价格将不做相应扣除</w:t>
      </w:r>
      <w:r>
        <w:rPr>
          <w:rFonts w:hint="eastAsia" w:ascii="宋体" w:hAnsi="宋体"/>
          <w:sz w:val="24"/>
          <w:szCs w:val="24"/>
          <w:highlight w:val="none"/>
        </w:rPr>
        <w:t>。</w:t>
      </w:r>
    </w:p>
    <w:p w14:paraId="4D4EA577">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（3）监狱企业标准请参照《关于政府采购支持监狱企业发展有关问题的通知》（</w:t>
      </w:r>
      <w:r>
        <w:rPr>
          <w:rFonts w:ascii="宋体" w:hAnsi="宋体"/>
          <w:sz w:val="24"/>
          <w:szCs w:val="24"/>
          <w:highlight w:val="none"/>
        </w:rPr>
        <w:t>财库[2014]68号</w:t>
      </w:r>
      <w:r>
        <w:rPr>
          <w:rFonts w:hint="eastAsia" w:ascii="宋体" w:hAnsi="宋体"/>
          <w:sz w:val="24"/>
          <w:szCs w:val="24"/>
          <w:highlight w:val="none"/>
        </w:rPr>
        <w:t>）。</w:t>
      </w:r>
    </w:p>
    <w:p w14:paraId="2B068B00">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4、残疾人福利单位、监狱企业属于小型、微型企业的，不重复享受政策。</w:t>
      </w:r>
    </w:p>
    <w:p w14:paraId="679EFDA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5、如本项目同意联合体参加</w:t>
      </w:r>
      <w:r>
        <w:rPr>
          <w:rFonts w:hint="eastAsia" w:ascii="宋体" w:hAnsi="宋体"/>
          <w:sz w:val="24"/>
          <w:szCs w:val="24"/>
          <w:highlight w:val="none"/>
          <w:lang w:val="en-US" w:eastAsia="zh-CN"/>
        </w:rPr>
        <w:t>投标</w:t>
      </w:r>
      <w:r>
        <w:rPr>
          <w:rFonts w:hint="eastAsia" w:ascii="宋体" w:hAnsi="宋体"/>
          <w:sz w:val="24"/>
          <w:szCs w:val="24"/>
          <w:highlight w:val="none"/>
        </w:rPr>
        <w:t>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w:t>
      </w:r>
      <w:r>
        <w:rPr>
          <w:rFonts w:hint="eastAsia" w:ascii="宋体" w:hAnsi="宋体"/>
          <w:sz w:val="24"/>
          <w:szCs w:val="24"/>
          <w:highlight w:val="none"/>
        </w:rPr>
        <w:t>的价格扣除，用扣除后的价格参与评审。</w:t>
      </w:r>
    </w:p>
    <w:p w14:paraId="415C1CA4">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6、联合体各方均为小型、微型企业（残疾人福利单位、监狱企业）的，联合体享受</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价格扣除，用扣除后的价格参与评审。</w:t>
      </w:r>
    </w:p>
    <w:p w14:paraId="79D1F63C">
      <w:pPr>
        <w:adjustRightInd w:val="0"/>
        <w:snapToGrid w:val="0"/>
        <w:spacing w:line="360" w:lineRule="auto"/>
        <w:ind w:firstLine="480" w:firstLineChars="200"/>
        <w:rPr>
          <w:rFonts w:ascii="宋体" w:hAnsi="宋体"/>
          <w:bCs/>
          <w:sz w:val="24"/>
          <w:highlight w:val="none"/>
        </w:rPr>
      </w:pPr>
      <w:r>
        <w:rPr>
          <w:rFonts w:hint="eastAsia" w:ascii="宋体" w:hAnsi="宋体"/>
          <w:sz w:val="24"/>
          <w:szCs w:val="24"/>
          <w:highlight w:val="none"/>
          <w:lang w:val="en-US" w:eastAsia="zh-CN"/>
        </w:rPr>
        <w:t>7、</w:t>
      </w:r>
      <w:r>
        <w:rPr>
          <w:rFonts w:hint="eastAsia" w:ascii="宋体" w:hAnsi="宋体"/>
          <w:bCs/>
          <w:sz w:val="24"/>
          <w:highlight w:val="none"/>
        </w:rPr>
        <w:t>专门面向中小企业采购的项目或者采购包，不再执行价格评审优惠的扶持政策。</w:t>
      </w:r>
    </w:p>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×100</w:t>
      </w:r>
    </w:p>
    <w:p w14:paraId="07353C9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721"/>
        <w:gridCol w:w="841"/>
        <w:gridCol w:w="4917"/>
      </w:tblGrid>
      <w:tr w14:paraId="20B1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4C26B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009" w:type="pct"/>
            <w:vAlign w:val="center"/>
          </w:tcPr>
          <w:p w14:paraId="26C0C6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评分点名称</w:t>
            </w:r>
          </w:p>
        </w:tc>
        <w:tc>
          <w:tcPr>
            <w:tcW w:w="493" w:type="pct"/>
            <w:vAlign w:val="center"/>
          </w:tcPr>
          <w:p w14:paraId="05A722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分值</w:t>
            </w:r>
          </w:p>
        </w:tc>
        <w:tc>
          <w:tcPr>
            <w:tcW w:w="2883" w:type="pct"/>
            <w:vAlign w:val="center"/>
          </w:tcPr>
          <w:p w14:paraId="62898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评审标准</w:t>
            </w:r>
          </w:p>
        </w:tc>
      </w:tr>
      <w:tr w14:paraId="7A68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24FE2D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009" w:type="pct"/>
            <w:vAlign w:val="center"/>
          </w:tcPr>
          <w:p w14:paraId="1CC056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公司资质</w:t>
            </w:r>
          </w:p>
        </w:tc>
        <w:tc>
          <w:tcPr>
            <w:tcW w:w="493" w:type="pct"/>
            <w:vAlign w:val="center"/>
          </w:tcPr>
          <w:p w14:paraId="2E474A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p>
        </w:tc>
        <w:tc>
          <w:tcPr>
            <w:tcW w:w="2883" w:type="pct"/>
            <w:vAlign w:val="center"/>
          </w:tcPr>
          <w:p w14:paraId="088D82C6">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1、具有中国网络安全审查技术与认证中心（CCRC）颁发的信息安全风险评估服务资质（不分等级）的得3分。</w:t>
            </w:r>
          </w:p>
          <w:p w14:paraId="45B67FEC">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w:t>
            </w:r>
            <w:r>
              <w:rPr>
                <w:rFonts w:hint="eastAsia" w:ascii="宋体" w:hAnsi="宋体" w:cs="宋体"/>
                <w:sz w:val="21"/>
                <w:szCs w:val="21"/>
                <w:highlight w:val="none"/>
                <w:lang w:val="en-US" w:eastAsia="zh-CN"/>
              </w:rPr>
              <w:t>有效的</w:t>
            </w:r>
            <w:r>
              <w:rPr>
                <w:rFonts w:hint="eastAsia" w:ascii="宋体" w:hAnsi="宋体" w:eastAsia="宋体" w:cs="宋体"/>
                <w:sz w:val="21"/>
                <w:szCs w:val="21"/>
                <w:highlight w:val="none"/>
              </w:rPr>
              <w:t>信息安全管理体系认证证书(ISO27001)的得3分。</w:t>
            </w:r>
          </w:p>
          <w:p w14:paraId="0878B6C5">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w:t>
            </w:r>
            <w:r>
              <w:rPr>
                <w:rFonts w:hint="eastAsia" w:ascii="宋体" w:hAnsi="宋体" w:cs="宋体"/>
                <w:sz w:val="21"/>
                <w:szCs w:val="21"/>
                <w:highlight w:val="none"/>
                <w:lang w:val="en-US" w:eastAsia="zh-CN"/>
              </w:rPr>
              <w:t>有效的</w:t>
            </w:r>
            <w:r>
              <w:rPr>
                <w:rFonts w:hint="eastAsia" w:ascii="宋体" w:hAnsi="宋体" w:eastAsia="宋体" w:cs="宋体"/>
                <w:sz w:val="21"/>
                <w:szCs w:val="21"/>
                <w:highlight w:val="none"/>
              </w:rPr>
              <w:t>质量管理体系认证证书（ISO9001）的得3分，没有不得分。</w:t>
            </w:r>
          </w:p>
          <w:p w14:paraId="640A96DB">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提供证书复印件（或扫描件）加盖投标人公章，否则不得分。</w:t>
            </w:r>
          </w:p>
          <w:p w14:paraId="07ED7A53">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提供上述证书的复印件（或扫描件）加盖投标人公章，否则相应评分点不得分。</w:t>
            </w:r>
          </w:p>
        </w:tc>
      </w:tr>
      <w:tr w14:paraId="546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26B189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009" w:type="pct"/>
            <w:vAlign w:val="center"/>
          </w:tcPr>
          <w:p w14:paraId="1F7423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企业能力及荣誉</w:t>
            </w:r>
          </w:p>
        </w:tc>
        <w:tc>
          <w:tcPr>
            <w:tcW w:w="493" w:type="pct"/>
            <w:vAlign w:val="center"/>
          </w:tcPr>
          <w:p w14:paraId="2D7C20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p>
        </w:tc>
        <w:tc>
          <w:tcPr>
            <w:tcW w:w="2883" w:type="pct"/>
            <w:vAlign w:val="center"/>
          </w:tcPr>
          <w:p w14:paraId="6AA49EED">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cs="宋体"/>
                <w:sz w:val="21"/>
                <w:szCs w:val="21"/>
                <w:highlight w:val="none"/>
                <w:lang w:val="en-US" w:eastAsia="zh-CN"/>
              </w:rPr>
              <w:t>投标人具有CNVD国家信息安全漏洞共享平台原创漏洞证明证书得5分。</w:t>
            </w:r>
          </w:p>
          <w:p w14:paraId="2EFB8B94">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提供证书复印件（或扫描件）加盖投标人公章，否则不得分。</w:t>
            </w:r>
          </w:p>
          <w:p w14:paraId="212646B7">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投标人具备省级</w:t>
            </w:r>
            <w:r>
              <w:rPr>
                <w:rFonts w:hint="eastAsia" w:ascii="宋体" w:hAnsi="宋体" w:cs="宋体"/>
                <w:sz w:val="21"/>
                <w:szCs w:val="21"/>
                <w:highlight w:val="none"/>
                <w:lang w:val="en-US" w:eastAsia="zh-CN"/>
              </w:rPr>
              <w:t>及以上</w:t>
            </w:r>
            <w:r>
              <w:rPr>
                <w:rFonts w:hint="eastAsia" w:ascii="宋体" w:hAnsi="宋体" w:cs="宋体"/>
                <w:sz w:val="21"/>
                <w:szCs w:val="21"/>
                <w:highlight w:val="none"/>
                <w:lang w:val="en-US" w:eastAsia="zh-CN"/>
              </w:rPr>
              <w:t>信息安全风险检查评估机构证书的得5分，具备市级信息安全风险检查评估机构证书的得2分，具有多份证书的不重复计分，本项最高得5分。</w:t>
            </w:r>
          </w:p>
          <w:p w14:paraId="6F9429D4">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提供证书复印件（或扫描件）加盖投标人公章，否则不得分。</w:t>
            </w:r>
          </w:p>
          <w:p w14:paraId="7331A12D">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3、投标人具备省级</w:t>
            </w:r>
            <w:r>
              <w:rPr>
                <w:rFonts w:hint="eastAsia" w:ascii="宋体" w:hAnsi="宋体" w:cs="宋体"/>
                <w:sz w:val="21"/>
                <w:szCs w:val="21"/>
                <w:highlight w:val="none"/>
                <w:lang w:val="en-US" w:eastAsia="zh-CN"/>
              </w:rPr>
              <w:t>及以上</w:t>
            </w:r>
            <w:r>
              <w:rPr>
                <w:rFonts w:hint="eastAsia" w:ascii="宋体" w:hAnsi="宋体" w:cs="宋体"/>
                <w:sz w:val="21"/>
                <w:szCs w:val="21"/>
                <w:highlight w:val="none"/>
                <w:lang w:val="en-US" w:eastAsia="zh-CN"/>
              </w:rPr>
              <w:t>网信部门技术支撑单位资质的得5分，具备市级技术支撑单位资质得得2分，具有多个证书的不重复计分，本项最高得5分。</w:t>
            </w:r>
          </w:p>
          <w:p w14:paraId="1C4DC655">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提供证书复印件（或扫描件）加盖投标人公章，否则不得分。</w:t>
            </w:r>
          </w:p>
          <w:p w14:paraId="5EAE71D8">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4、2020年以来</w:t>
            </w:r>
            <w:r>
              <w:rPr>
                <w:rFonts w:hint="eastAsia" w:ascii="宋体" w:hAnsi="宋体" w:cs="宋体"/>
                <w:sz w:val="21"/>
                <w:szCs w:val="21"/>
                <w:highlight w:val="none"/>
                <w:lang w:val="en-US" w:eastAsia="zh-CN"/>
              </w:rPr>
              <w:t>（以获奖证书颁发时间为准）</w:t>
            </w:r>
            <w:r>
              <w:rPr>
                <w:rFonts w:hint="eastAsia" w:ascii="宋体" w:hAnsi="宋体" w:cs="宋体"/>
                <w:sz w:val="21"/>
                <w:szCs w:val="21"/>
                <w:highlight w:val="none"/>
                <w:lang w:val="en-US" w:eastAsia="zh-CN"/>
              </w:rPr>
              <w:t>参加过国家级网络安全攻防大赛，并获得相关奖项的得5分；参加过省级网络安全攻防大赛，并获得相关奖项的得3分；参加过设区市网络安全攻防大赛，并获得相关奖项的得1分，同一项目获多份奖项的仅计分一次，本项最高得5分。</w:t>
            </w:r>
          </w:p>
          <w:p w14:paraId="7BA68ABE">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提供获奖证书或证明材料复印件（或扫描件）加盖投标人公章，否则不得分。</w:t>
            </w:r>
          </w:p>
        </w:tc>
      </w:tr>
      <w:tr w14:paraId="6346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0019A5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1009" w:type="pct"/>
            <w:vAlign w:val="center"/>
          </w:tcPr>
          <w:p w14:paraId="228A10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项目人员资质</w:t>
            </w:r>
          </w:p>
        </w:tc>
        <w:tc>
          <w:tcPr>
            <w:tcW w:w="493" w:type="pct"/>
            <w:vAlign w:val="center"/>
          </w:tcPr>
          <w:p w14:paraId="0B022B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16</w:t>
            </w:r>
          </w:p>
        </w:tc>
        <w:tc>
          <w:tcPr>
            <w:tcW w:w="2883" w:type="pct"/>
            <w:vAlign w:val="center"/>
          </w:tcPr>
          <w:p w14:paraId="3E69DB83">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项目负责人具备信息系统安全专业（CISSP）证书的得4分；</w:t>
            </w:r>
          </w:p>
          <w:p w14:paraId="71DDD84A">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项目负责人具备重要信息系统安全等级保护培训证书（CIIP-T）的得3分；</w:t>
            </w:r>
          </w:p>
          <w:p w14:paraId="4DA94D66">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项目负责人具有注册信息安全工程师（CISE）的得3分；</w:t>
            </w:r>
          </w:p>
          <w:p w14:paraId="53EF8CC3">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项目组人员（除项目经理）具备中华人民共和国人力资源和社会保障部、工业和信息化部批准颁发的“信息安全工程师”证书得3分；</w:t>
            </w:r>
          </w:p>
          <w:p w14:paraId="68BC5902">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5、项目组人员（除项目经理）具备信息安全保障人员认证证书（CISAW），每人次得1分，最高得3分。</w:t>
            </w:r>
          </w:p>
          <w:p w14:paraId="13069EE8">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同时提供上述证书及投标人为其缴纳的近三个月内（2025年6月至2025年8月）任意一个月的社保证明的复印件（或扫描件）并加盖投标人公章，否则相应人员评分项不得分。</w:t>
            </w:r>
          </w:p>
        </w:tc>
      </w:tr>
      <w:tr w14:paraId="5F17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48822C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w:t>
            </w:r>
          </w:p>
          <w:p w14:paraId="7FA9F6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highlight w:val="none"/>
                <w:vertAlign w:val="baseline"/>
                <w:lang w:val="en-US" w:eastAsia="zh-CN"/>
              </w:rPr>
            </w:pPr>
          </w:p>
        </w:tc>
        <w:tc>
          <w:tcPr>
            <w:tcW w:w="1009" w:type="pct"/>
            <w:vAlign w:val="center"/>
          </w:tcPr>
          <w:p w14:paraId="263ECC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安全事件应急响应服务</w:t>
            </w:r>
          </w:p>
        </w:tc>
        <w:tc>
          <w:tcPr>
            <w:tcW w:w="493" w:type="pct"/>
            <w:vAlign w:val="center"/>
          </w:tcPr>
          <w:p w14:paraId="4F2DA5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2883" w:type="pct"/>
            <w:vAlign w:val="center"/>
          </w:tcPr>
          <w:p w14:paraId="53EC19D1">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安全事件应急响应服务时间，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小时内到场响应</w:t>
            </w:r>
            <w:r>
              <w:rPr>
                <w:rFonts w:hint="eastAsia" w:ascii="宋体" w:hAnsi="宋体" w:cs="宋体"/>
                <w:sz w:val="21"/>
                <w:szCs w:val="21"/>
                <w:highlight w:val="none"/>
                <w:lang w:val="en-US" w:eastAsia="zh-CN"/>
              </w:rPr>
              <w:t>的得5分，1（不含）-1.5（含）小时得3分，到场响应时间超过1.5（不含）小时不得分</w:t>
            </w:r>
            <w:r>
              <w:rPr>
                <w:rFonts w:hint="eastAsia" w:ascii="宋体" w:hAnsi="宋体" w:cs="宋体"/>
                <w:sz w:val="21"/>
                <w:szCs w:val="21"/>
                <w:highlight w:val="none"/>
                <w:lang w:val="en-US" w:eastAsia="zh-CN"/>
              </w:rPr>
              <w:t>。</w:t>
            </w:r>
          </w:p>
          <w:p w14:paraId="4B5A4F27">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安全事件应急响应服务时间以百度地图（map.baidu.com）截图为准。“起点”以投标企业营业执照中“住所”地址为准。</w:t>
            </w:r>
          </w:p>
        </w:tc>
      </w:tr>
      <w:tr w14:paraId="4A21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2F8CB1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1009" w:type="pct"/>
            <w:vAlign w:val="center"/>
          </w:tcPr>
          <w:p w14:paraId="7DEB7B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p>
        </w:tc>
        <w:tc>
          <w:tcPr>
            <w:tcW w:w="493" w:type="pct"/>
            <w:vAlign w:val="center"/>
          </w:tcPr>
          <w:p w14:paraId="4EA177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w:t>
            </w:r>
          </w:p>
        </w:tc>
        <w:tc>
          <w:tcPr>
            <w:tcW w:w="2883" w:type="pct"/>
            <w:vAlign w:val="center"/>
          </w:tcPr>
          <w:p w14:paraId="146CA18C">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w:t>
            </w:r>
            <w:r>
              <w:rPr>
                <w:rFonts w:hint="eastAsia" w:ascii="宋体" w:hAnsi="宋体" w:eastAsia="宋体" w:cs="宋体"/>
                <w:sz w:val="21"/>
                <w:szCs w:val="21"/>
                <w:highlight w:val="none"/>
              </w:rPr>
              <w:t>提供的项目咨询服务、信息安全培训服务、信息安全管理咨询服务、安全巡检服务、定期系统漏洞</w:t>
            </w:r>
            <w:r>
              <w:rPr>
                <w:rFonts w:hint="eastAsia" w:ascii="宋体" w:hAnsi="宋体" w:cs="宋体"/>
                <w:sz w:val="21"/>
                <w:szCs w:val="21"/>
                <w:highlight w:val="none"/>
                <w:lang w:eastAsia="zh-CN"/>
              </w:rPr>
              <w:t>扫描</w:t>
            </w:r>
            <w:r>
              <w:rPr>
                <w:rFonts w:hint="eastAsia" w:ascii="宋体" w:hAnsi="宋体" w:eastAsia="宋体" w:cs="宋体"/>
                <w:sz w:val="21"/>
                <w:szCs w:val="21"/>
                <w:highlight w:val="none"/>
              </w:rPr>
              <w:t>服务、网站监测服务、安全事件应急响应服务等方案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由评标委员会横向比较评分。</w:t>
            </w:r>
          </w:p>
          <w:p w14:paraId="3924D01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思路清晰，对本项工作理解透彻全面，</w:t>
            </w:r>
            <w:r>
              <w:rPr>
                <w:rFonts w:hint="eastAsia" w:ascii="宋体" w:hAnsi="宋体" w:cs="宋体"/>
                <w:sz w:val="21"/>
                <w:szCs w:val="21"/>
                <w:highlight w:val="none"/>
                <w:lang w:val="en-US" w:eastAsia="zh-CN"/>
              </w:rPr>
              <w:t>方案科学</w:t>
            </w:r>
            <w:r>
              <w:rPr>
                <w:rFonts w:hint="eastAsia" w:ascii="宋体" w:hAnsi="宋体" w:eastAsia="宋体" w:cs="宋体"/>
                <w:sz w:val="21"/>
                <w:szCs w:val="21"/>
                <w:highlight w:val="none"/>
                <w:lang w:val="en-US" w:eastAsia="zh-CN"/>
              </w:rPr>
              <w:t>合理的，得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w:t>
            </w:r>
          </w:p>
          <w:p w14:paraId="08CA675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思路较清晰，对本项工作理解较透彻，</w:t>
            </w:r>
            <w:r>
              <w:rPr>
                <w:rFonts w:hint="eastAsia" w:ascii="宋体" w:hAnsi="宋体" w:cs="宋体"/>
                <w:sz w:val="21"/>
                <w:szCs w:val="21"/>
                <w:highlight w:val="none"/>
                <w:lang w:val="en-US" w:eastAsia="zh-CN"/>
              </w:rPr>
              <w:t>方案较科学较合理</w:t>
            </w:r>
            <w:r>
              <w:rPr>
                <w:rFonts w:hint="eastAsia" w:ascii="宋体" w:hAnsi="宋体" w:eastAsia="宋体" w:cs="宋体"/>
                <w:sz w:val="21"/>
                <w:szCs w:val="21"/>
                <w:highlight w:val="none"/>
                <w:lang w:val="en-US" w:eastAsia="zh-CN"/>
              </w:rPr>
              <w:t>的，得</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分；</w:t>
            </w:r>
          </w:p>
          <w:p w14:paraId="2516E27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思路基本清晰，对本项工作理解基本正确，</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lang w:val="en-US" w:eastAsia="zh-CN"/>
              </w:rPr>
              <w:t>基本合理的，得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p>
          <w:p w14:paraId="4B0046E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思路一般，对本项工作理解一般，</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lang w:val="en-US" w:eastAsia="zh-CN"/>
              </w:rPr>
              <w:t>一般的，得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p>
          <w:p w14:paraId="26421581">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未提供不得分。</w:t>
            </w:r>
          </w:p>
        </w:tc>
      </w:tr>
    </w:tbl>
    <w:p w14:paraId="449EF00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（三）评审过程异常低价的审查</w:t>
      </w:r>
    </w:p>
    <w:p w14:paraId="58CB4E1D">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评审过程中出现下列情形之一的，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应当启动异常低价投标审查程序：</w:t>
      </w:r>
    </w:p>
    <w:p w14:paraId="14BC8AB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投标报价低于采购项目预算50%的，即投标报价&lt;采购项目预算×50%</w:t>
      </w:r>
      <w:r>
        <w:rPr>
          <w:rFonts w:hint="eastAsia" w:ascii="宋体" w:hAnsi="宋体" w:eastAsia="宋体" w:cs="宋体"/>
          <w:color w:val="auto"/>
          <w:sz w:val="24"/>
          <w:szCs w:val="24"/>
          <w:highlight w:val="none"/>
          <w:lang w:eastAsia="zh-CN"/>
        </w:rPr>
        <w:t>；</w:t>
      </w:r>
    </w:p>
    <w:p w14:paraId="72B7A558">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投标报价低于采购项目最高限价45%的，即投标报价&lt;采购项目最高限价×45%</w:t>
      </w:r>
      <w:r>
        <w:rPr>
          <w:rFonts w:hint="eastAsia" w:ascii="宋体" w:hAnsi="宋体" w:eastAsia="宋体" w:cs="宋体"/>
          <w:color w:val="auto"/>
          <w:sz w:val="24"/>
          <w:szCs w:val="24"/>
          <w:highlight w:val="none"/>
          <w:lang w:eastAsia="zh-CN"/>
        </w:rPr>
        <w:t>；</w:t>
      </w:r>
    </w:p>
    <w:p w14:paraId="106E8FCC">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认定的供应商报价过低、有可能影响产品质量或者不能诚信履约的其他情形。</w:t>
      </w:r>
    </w:p>
    <w:p w14:paraId="21D6307D">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启动异常低价投标审查</w:t>
      </w:r>
    </w:p>
    <w:p w14:paraId="2BF00DD4">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应当要求相关</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在评标现场合理的时间内，提供项目具体成本测算等与报价合理性相关的书面说明及相关证明材料，对投标价格作出解释，由</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结合同类产品在主要电商平台的价格、该行业当地薪资水平等情况，依据专业经验对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报价合理性进行判断。投标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不提供书面说明、证明材料，或者提供的书面说明、证明材料不能证明其报价合理性的，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应当将其作为无效投标处理。审查相关情况应当在评审报告中进行记录。</w:t>
      </w:r>
    </w:p>
    <w:p w14:paraId="2222B17F">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6AA372BF">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第五部分  合同格式</w:t>
      </w:r>
    </w:p>
    <w:p w14:paraId="6C8D3C94">
      <w:pPr>
        <w:keepNext w:val="0"/>
        <w:keepLines w:val="0"/>
        <w:pageBreakBefore w:val="0"/>
        <w:spacing w:after="60" w:line="360" w:lineRule="auto"/>
        <w:rPr>
          <w:rFonts w:hint="eastAsia" w:ascii="宋体" w:hAnsi="宋体" w:eastAsia="宋体" w:cs="宋体"/>
          <w:color w:val="auto"/>
          <w:sz w:val="21"/>
          <w:szCs w:val="21"/>
          <w:highlight w:val="none"/>
        </w:rPr>
      </w:pPr>
      <w:bookmarkStart w:id="106" w:name="_Toc20823315"/>
      <w:bookmarkStart w:id="107" w:name="_Toc513029243"/>
      <w:bookmarkStart w:id="108" w:name="_Toc16938559"/>
      <w:bookmarkStart w:id="109" w:name="_Toc14707"/>
      <w:bookmarkStart w:id="110" w:name="_Toc5321_WPSOffice_Level2"/>
    </w:p>
    <w:p w14:paraId="535A71E4">
      <w:pPr>
        <w:keepNext w:val="0"/>
        <w:keepLines w:val="0"/>
        <w:pageBreakBefore w:val="0"/>
        <w:spacing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以下为中标后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不得提出实质性的修改。</w:t>
      </w:r>
      <w:bookmarkEnd w:id="106"/>
      <w:bookmarkEnd w:id="107"/>
      <w:bookmarkEnd w:id="108"/>
    </w:p>
    <w:p w14:paraId="1BD6088B">
      <w:pPr>
        <w:snapToGrid w:val="0"/>
        <w:spacing w:beforeLines="50" w:afterLines="50"/>
        <w:jc w:val="center"/>
        <w:outlineLvl w:val="0"/>
        <w:rPr>
          <w:rFonts w:ascii="宋体" w:hAnsi="宋体"/>
          <w:b/>
          <w:bCs/>
          <w:sz w:val="30"/>
          <w:szCs w:val="20"/>
          <w:highlight w:val="none"/>
        </w:rPr>
      </w:pPr>
      <w:r>
        <w:rPr>
          <w:rFonts w:hint="eastAsia" w:ascii="宋体" w:hAnsi="宋体"/>
          <w:b/>
          <w:sz w:val="30"/>
          <w:szCs w:val="21"/>
          <w:highlight w:val="none"/>
          <w:lang w:val="en-US" w:eastAsia="zh-CN"/>
        </w:rPr>
        <w:t>南通市</w:t>
      </w:r>
      <w:r>
        <w:rPr>
          <w:rFonts w:hint="eastAsia" w:ascii="宋体" w:hAnsi="宋体"/>
          <w:b/>
          <w:sz w:val="30"/>
          <w:szCs w:val="21"/>
          <w:highlight w:val="none"/>
        </w:rPr>
        <w:t>政府采购合同</w:t>
      </w:r>
    </w:p>
    <w:p w14:paraId="46930B84">
      <w:pPr>
        <w:adjustRightInd w:val="0"/>
        <w:snapToGrid w:val="0"/>
        <w:spacing w:line="360" w:lineRule="auto"/>
        <w:jc w:val="left"/>
        <w:rPr>
          <w:rFonts w:hint="eastAsia" w:ascii="宋体" w:hAnsi="宋体" w:eastAsia="宋体"/>
          <w:sz w:val="24"/>
          <w:szCs w:val="24"/>
          <w:highlight w:val="none"/>
          <w:lang w:eastAsia="zh-CN"/>
        </w:rPr>
      </w:pPr>
      <w:r>
        <w:rPr>
          <w:rFonts w:ascii="宋体" w:hAnsi="宋体" w:cs="Courier New"/>
          <w:sz w:val="24"/>
          <w:szCs w:val="24"/>
          <w:highlight w:val="none"/>
        </w:rPr>
        <w:t>项目名称：</w:t>
      </w:r>
      <w:r>
        <w:rPr>
          <w:rFonts w:hint="eastAsia" w:ascii="宋体" w:hAnsi="宋体" w:cs="Courier New"/>
          <w:sz w:val="24"/>
          <w:szCs w:val="24"/>
          <w:highlight w:val="none"/>
          <w:lang w:eastAsia="zh-CN"/>
        </w:rPr>
        <w:t>南通市交通运输局信息安全服务项目</w:t>
      </w:r>
    </w:p>
    <w:p w14:paraId="08ADB12B">
      <w:pPr>
        <w:adjustRightInd w:val="0"/>
        <w:snapToGrid w:val="0"/>
        <w:spacing w:line="360" w:lineRule="auto"/>
        <w:jc w:val="left"/>
        <w:rPr>
          <w:rFonts w:ascii="宋体" w:hAnsi="宋体" w:cs="Courier New"/>
          <w:sz w:val="24"/>
          <w:szCs w:val="24"/>
          <w:highlight w:val="none"/>
        </w:rPr>
      </w:pPr>
      <w:r>
        <w:rPr>
          <w:rFonts w:ascii="宋体" w:hAnsi="宋体" w:cs="Courier New"/>
          <w:sz w:val="24"/>
          <w:szCs w:val="24"/>
          <w:highlight w:val="none"/>
        </w:rPr>
        <w:t>项目编号：</w:t>
      </w:r>
    </w:p>
    <w:p w14:paraId="601CF868">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hint="eastAsia" w:ascii="宋体" w:hAnsi="宋体" w:cs="Courier New"/>
          <w:sz w:val="24"/>
          <w:szCs w:val="24"/>
          <w:highlight w:val="none"/>
          <w:u w:val="single"/>
        </w:rPr>
        <w:t>南通市交通运输局</w:t>
      </w:r>
    </w:p>
    <w:p w14:paraId="3D3FC2C1">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乙方：_________</w:t>
      </w:r>
    </w:p>
    <w:p w14:paraId="5A9FA009">
      <w:pPr>
        <w:adjustRightInd w:val="0"/>
        <w:snapToGrid w:val="0"/>
        <w:spacing w:line="360" w:lineRule="auto"/>
        <w:ind w:firstLine="480" w:firstLineChars="200"/>
        <w:rPr>
          <w:rFonts w:ascii="宋体" w:hAnsi="宋体" w:cs="Courier New"/>
          <w:b/>
          <w:sz w:val="24"/>
          <w:szCs w:val="24"/>
          <w:highlight w:val="none"/>
        </w:rPr>
      </w:pPr>
      <w:r>
        <w:rPr>
          <w:rFonts w:ascii="宋体" w:hAnsi="宋体" w:cs="Courier New"/>
          <w:sz w:val="24"/>
          <w:szCs w:val="24"/>
          <w:highlight w:val="none"/>
        </w:rPr>
        <w:t>甲、乙双方根据</w:t>
      </w:r>
      <w:r>
        <w:rPr>
          <w:rFonts w:hint="eastAsia" w:ascii="宋体" w:hAnsi="宋体" w:cs="Courier New"/>
          <w:sz w:val="24"/>
          <w:szCs w:val="24"/>
          <w:highlight w:val="none"/>
          <w:u w:val="single"/>
          <w:lang w:eastAsia="zh-CN"/>
        </w:rPr>
        <w:t>南通市交通运输局信息安全服务项目</w:t>
      </w:r>
      <w:r>
        <w:rPr>
          <w:rFonts w:hint="eastAsia" w:ascii="宋体" w:hAnsi="宋体" w:cs="Courier New"/>
          <w:sz w:val="24"/>
          <w:szCs w:val="24"/>
          <w:highlight w:val="none"/>
          <w:lang w:val="en-US" w:eastAsia="zh-CN"/>
        </w:rPr>
        <w:t>公开招标</w:t>
      </w:r>
      <w:r>
        <w:rPr>
          <w:rFonts w:ascii="宋体" w:hAnsi="宋体" w:cs="Courier New"/>
          <w:sz w:val="24"/>
          <w:szCs w:val="24"/>
          <w:highlight w:val="none"/>
        </w:rPr>
        <w:t>的结果，签署本合同。</w:t>
      </w:r>
    </w:p>
    <w:p w14:paraId="62BDC3D0">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一、</w:t>
      </w:r>
      <w:r>
        <w:rPr>
          <w:rFonts w:hint="eastAsia" w:ascii="宋体" w:hAnsi="宋体" w:cs="Courier New"/>
          <w:b/>
          <w:sz w:val="24"/>
          <w:szCs w:val="24"/>
          <w:highlight w:val="none"/>
        </w:rPr>
        <w:t>合同</w:t>
      </w:r>
      <w:r>
        <w:rPr>
          <w:rFonts w:ascii="宋体" w:hAnsi="宋体" w:cs="Courier New"/>
          <w:b/>
          <w:sz w:val="24"/>
          <w:szCs w:val="24"/>
          <w:highlight w:val="none"/>
        </w:rPr>
        <w:t>内容</w:t>
      </w:r>
    </w:p>
    <w:p w14:paraId="3C5427BB">
      <w:pPr>
        <w:adjustRightInd w:val="0"/>
        <w:snapToGrid w:val="0"/>
        <w:spacing w:line="360" w:lineRule="auto"/>
        <w:ind w:firstLine="480" w:firstLineChars="200"/>
        <w:rPr>
          <w:rFonts w:hint="eastAsia" w:ascii="宋体" w:hAnsi="宋体" w:eastAsia="宋体" w:cs="Courier New"/>
          <w:sz w:val="24"/>
          <w:szCs w:val="24"/>
          <w:highlight w:val="none"/>
          <w:lang w:eastAsia="zh-CN"/>
        </w:rPr>
      </w:pPr>
      <w:r>
        <w:rPr>
          <w:rFonts w:ascii="宋体" w:hAnsi="宋体" w:cs="Courier New"/>
          <w:sz w:val="24"/>
          <w:szCs w:val="24"/>
          <w:highlight w:val="none"/>
        </w:rPr>
        <w:t>1.1</w:t>
      </w:r>
      <w:r>
        <w:rPr>
          <w:rFonts w:hint="eastAsia" w:ascii="宋体" w:hAnsi="宋体" w:cs="Courier New"/>
          <w:sz w:val="24"/>
          <w:szCs w:val="24"/>
          <w:highlight w:val="none"/>
        </w:rPr>
        <w:t>标的</w:t>
      </w:r>
      <w:r>
        <w:rPr>
          <w:rFonts w:ascii="宋体" w:hAnsi="宋体" w:cs="Courier New"/>
          <w:sz w:val="24"/>
          <w:szCs w:val="24"/>
          <w:highlight w:val="none"/>
        </w:rPr>
        <w:t>名称：</w:t>
      </w:r>
      <w:r>
        <w:rPr>
          <w:rFonts w:hint="eastAsia" w:ascii="宋体" w:hAnsi="宋体" w:cs="Courier New"/>
          <w:sz w:val="24"/>
          <w:szCs w:val="24"/>
          <w:highlight w:val="none"/>
          <w:lang w:eastAsia="zh-CN"/>
        </w:rPr>
        <w:t>南通市交通运输局信息安全服务项目</w:t>
      </w:r>
    </w:p>
    <w:p w14:paraId="263A188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1.2</w:t>
      </w:r>
      <w:r>
        <w:rPr>
          <w:rFonts w:hint="eastAsia" w:ascii="宋体" w:hAnsi="宋体" w:cs="Courier New"/>
          <w:sz w:val="24"/>
          <w:szCs w:val="24"/>
          <w:highlight w:val="none"/>
        </w:rPr>
        <w:t>标的质量：</w:t>
      </w:r>
      <w:r>
        <w:rPr>
          <w:rFonts w:hint="eastAsia" w:ascii="宋体" w:hAnsi="宋体" w:eastAsia="宋体" w:cs="宋体"/>
          <w:bCs/>
          <w:sz w:val="24"/>
          <w:szCs w:val="24"/>
          <w:highlight w:val="none"/>
          <w:lang w:val="en-US" w:eastAsia="zh-CN"/>
        </w:rPr>
        <w:t>满足国家、省、市及行业相关技术规范要求</w:t>
      </w:r>
    </w:p>
    <w:p w14:paraId="032073F6">
      <w:pPr>
        <w:adjustRightInd w:val="0"/>
        <w:snapToGrid w:val="0"/>
        <w:spacing w:line="360" w:lineRule="auto"/>
        <w:ind w:firstLine="480" w:firstLineChars="200"/>
        <w:rPr>
          <w:rFonts w:hint="eastAsia" w:ascii="宋体" w:hAnsi="宋体" w:cs="Courier New"/>
          <w:sz w:val="24"/>
          <w:szCs w:val="24"/>
          <w:highlight w:val="none"/>
        </w:rPr>
      </w:pPr>
      <w:r>
        <w:rPr>
          <w:rFonts w:hint="eastAsia" w:ascii="宋体" w:hAnsi="宋体" w:cs="Courier New"/>
          <w:sz w:val="24"/>
          <w:szCs w:val="24"/>
          <w:highlight w:val="none"/>
        </w:rPr>
        <w:t>1.3</w:t>
      </w:r>
      <w:r>
        <w:rPr>
          <w:rFonts w:hint="eastAsia" w:ascii="宋体" w:hAnsi="宋体" w:cs="Courier New"/>
          <w:sz w:val="24"/>
          <w:szCs w:val="24"/>
          <w:highlight w:val="none"/>
          <w:lang w:val="en-US" w:eastAsia="zh-CN"/>
        </w:rPr>
        <w:t>服务内容</w:t>
      </w:r>
      <w:r>
        <w:rPr>
          <w:rFonts w:hint="eastAsia" w:ascii="宋体" w:hAnsi="宋体" w:cs="Courier New"/>
          <w:sz w:val="24"/>
          <w:szCs w:val="24"/>
          <w:highlight w:val="none"/>
        </w:rPr>
        <w:t>：</w:t>
      </w:r>
    </w:p>
    <w:p w14:paraId="593B1197">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内容包括设备安全巡检、安全扫描，设备部署咨询、等保测评咨询、应急演练和响应服务、网络安全培训、安全检查、重要时期网络安全驻场保障等</w:t>
      </w:r>
      <w:r>
        <w:rPr>
          <w:rFonts w:hint="eastAsia" w:ascii="宋体" w:hAnsi="宋体" w:eastAsia="宋体" w:cs="宋体"/>
          <w:color w:val="auto"/>
          <w:sz w:val="24"/>
          <w:szCs w:val="24"/>
          <w:highlight w:val="none"/>
          <w:lang w:val="en-US" w:eastAsia="zh-CN"/>
        </w:rPr>
        <w:t>。具体服务内容见下表：</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60"/>
        <w:gridCol w:w="5570"/>
        <w:gridCol w:w="1394"/>
      </w:tblGrid>
      <w:tr w14:paraId="2C52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866" w:type="pct"/>
            <w:noWrap w:val="0"/>
            <w:vAlign w:val="center"/>
          </w:tcPr>
          <w:p w14:paraId="49C7583A">
            <w:pPr>
              <w:spacing w:line="540" w:lineRule="exact"/>
              <w:jc w:val="center"/>
              <w:rPr>
                <w:rFonts w:ascii="宋体" w:hAnsi="宋体" w:eastAsia="宋体"/>
                <w:sz w:val="21"/>
                <w:szCs w:val="21"/>
                <w:highlight w:val="none"/>
              </w:rPr>
            </w:pPr>
            <w:r>
              <w:rPr>
                <w:rFonts w:hint="eastAsia" w:ascii="宋体" w:hAnsi="宋体" w:eastAsia="宋体"/>
                <w:sz w:val="21"/>
                <w:szCs w:val="21"/>
                <w:highlight w:val="none"/>
              </w:rPr>
              <w:t>服务项目</w:t>
            </w:r>
          </w:p>
        </w:tc>
        <w:tc>
          <w:tcPr>
            <w:tcW w:w="3305" w:type="pct"/>
            <w:noWrap w:val="0"/>
            <w:vAlign w:val="center"/>
          </w:tcPr>
          <w:p w14:paraId="3D3870F6">
            <w:pPr>
              <w:spacing w:line="540" w:lineRule="exact"/>
              <w:ind w:firstLine="645"/>
              <w:jc w:val="center"/>
              <w:rPr>
                <w:rFonts w:ascii="宋体" w:hAnsi="宋体" w:eastAsia="宋体"/>
                <w:sz w:val="21"/>
                <w:szCs w:val="21"/>
                <w:highlight w:val="none"/>
              </w:rPr>
            </w:pPr>
            <w:r>
              <w:rPr>
                <w:rFonts w:hint="eastAsia" w:ascii="宋体" w:hAnsi="宋体" w:eastAsia="宋体"/>
                <w:sz w:val="21"/>
                <w:szCs w:val="21"/>
                <w:highlight w:val="none"/>
              </w:rPr>
              <w:t>服务内容</w:t>
            </w:r>
          </w:p>
        </w:tc>
        <w:tc>
          <w:tcPr>
            <w:tcW w:w="827" w:type="pct"/>
            <w:noWrap w:val="0"/>
            <w:vAlign w:val="center"/>
          </w:tcPr>
          <w:p w14:paraId="49B5A5CD">
            <w:pPr>
              <w:spacing w:line="540" w:lineRule="exact"/>
              <w:jc w:val="center"/>
              <w:rPr>
                <w:rFonts w:ascii="宋体" w:hAnsi="宋体" w:eastAsia="宋体"/>
                <w:sz w:val="21"/>
                <w:szCs w:val="21"/>
                <w:highlight w:val="none"/>
              </w:rPr>
            </w:pPr>
            <w:r>
              <w:rPr>
                <w:rFonts w:hint="eastAsia" w:ascii="宋体" w:hAnsi="宋体" w:eastAsia="宋体"/>
                <w:sz w:val="21"/>
                <w:szCs w:val="21"/>
                <w:highlight w:val="none"/>
              </w:rPr>
              <w:t>服务时间</w:t>
            </w:r>
          </w:p>
        </w:tc>
      </w:tr>
      <w:tr w14:paraId="27D2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866" w:type="pct"/>
            <w:noWrap w:val="0"/>
            <w:vAlign w:val="center"/>
          </w:tcPr>
          <w:p w14:paraId="0F8B57CF">
            <w:pPr>
              <w:spacing w:line="540" w:lineRule="exact"/>
              <w:rPr>
                <w:rFonts w:ascii="宋体" w:hAnsi="宋体" w:eastAsia="宋体"/>
                <w:sz w:val="21"/>
                <w:szCs w:val="21"/>
                <w:highlight w:val="none"/>
              </w:rPr>
            </w:pPr>
            <w:r>
              <w:rPr>
                <w:rFonts w:hint="eastAsia" w:ascii="宋体" w:hAnsi="宋体" w:eastAsia="宋体"/>
                <w:sz w:val="21"/>
                <w:szCs w:val="21"/>
                <w:highlight w:val="none"/>
              </w:rPr>
              <w:t>设备巡检服务</w:t>
            </w:r>
          </w:p>
        </w:tc>
        <w:tc>
          <w:tcPr>
            <w:tcW w:w="3305" w:type="pct"/>
            <w:noWrap w:val="0"/>
            <w:vAlign w:val="top"/>
          </w:tcPr>
          <w:p w14:paraId="2FEB3D4E">
            <w:pPr>
              <w:spacing w:line="540" w:lineRule="exact"/>
              <w:rPr>
                <w:rFonts w:ascii="宋体" w:hAnsi="宋体" w:eastAsia="宋体"/>
                <w:sz w:val="21"/>
                <w:szCs w:val="21"/>
                <w:highlight w:val="none"/>
              </w:rPr>
            </w:pPr>
            <w:r>
              <w:rPr>
                <w:rFonts w:hint="eastAsia" w:ascii="宋体" w:hAnsi="宋体" w:eastAsia="宋体"/>
                <w:sz w:val="21"/>
                <w:szCs w:val="21"/>
                <w:highlight w:val="none"/>
              </w:rPr>
              <w:t>每季度提供巡检设备的安全运维报告，并针对于网络中的风险提供安全调整建议；发现设备异常24小时内提供分析处置报告。</w:t>
            </w:r>
          </w:p>
        </w:tc>
        <w:tc>
          <w:tcPr>
            <w:tcW w:w="827" w:type="pct"/>
            <w:noWrap w:val="0"/>
            <w:vAlign w:val="center"/>
          </w:tcPr>
          <w:p w14:paraId="6F7505C6">
            <w:pPr>
              <w:spacing w:line="540" w:lineRule="exact"/>
              <w:rPr>
                <w:rFonts w:ascii="宋体" w:hAnsi="宋体" w:eastAsia="宋体"/>
                <w:sz w:val="21"/>
                <w:szCs w:val="21"/>
                <w:highlight w:val="none"/>
              </w:rPr>
            </w:pPr>
            <w:r>
              <w:rPr>
                <w:rFonts w:hint="eastAsia" w:ascii="宋体" w:hAnsi="宋体" w:eastAsia="宋体"/>
                <w:sz w:val="21"/>
                <w:szCs w:val="21"/>
                <w:highlight w:val="none"/>
              </w:rPr>
              <w:t>每季度一次/提供巡检报告</w:t>
            </w:r>
          </w:p>
        </w:tc>
      </w:tr>
      <w:tr w14:paraId="6A72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2FA52398">
            <w:pPr>
              <w:spacing w:line="540" w:lineRule="exact"/>
              <w:rPr>
                <w:rFonts w:ascii="宋体" w:hAnsi="宋体" w:eastAsia="宋体"/>
                <w:sz w:val="21"/>
                <w:szCs w:val="21"/>
                <w:highlight w:val="none"/>
              </w:rPr>
            </w:pPr>
            <w:r>
              <w:rPr>
                <w:rFonts w:hint="eastAsia" w:ascii="宋体" w:hAnsi="宋体" w:eastAsia="宋体"/>
                <w:sz w:val="21"/>
                <w:szCs w:val="21"/>
                <w:highlight w:val="none"/>
              </w:rPr>
              <w:t>安全扫描服务</w:t>
            </w:r>
          </w:p>
        </w:tc>
        <w:tc>
          <w:tcPr>
            <w:tcW w:w="3305" w:type="pct"/>
            <w:noWrap w:val="0"/>
            <w:vAlign w:val="center"/>
          </w:tcPr>
          <w:p w14:paraId="14FCCC50">
            <w:pPr>
              <w:spacing w:line="540" w:lineRule="exact"/>
              <w:rPr>
                <w:rFonts w:hint="eastAsia" w:ascii="宋体" w:hAnsi="宋体" w:eastAsia="宋体"/>
                <w:sz w:val="21"/>
                <w:szCs w:val="21"/>
                <w:highlight w:val="none"/>
              </w:rPr>
            </w:pPr>
            <w:r>
              <w:rPr>
                <w:rFonts w:hint="eastAsia" w:ascii="宋体" w:hAnsi="宋体" w:eastAsia="宋体"/>
                <w:sz w:val="21"/>
                <w:szCs w:val="21"/>
                <w:highlight w:val="none"/>
              </w:rPr>
              <w:t>每季度对主机设备、操作系统、WEB应用系统进行安全扫描巡检；当有新设备或新业务上线时，需要对业务及设备进行安全扫描检查，并提交结果报告，并协助甲方完成扫描存在问题的修复修改工作,对于部署的新业务，协助做好安全资源的配置工作。</w:t>
            </w:r>
          </w:p>
        </w:tc>
        <w:tc>
          <w:tcPr>
            <w:tcW w:w="827" w:type="pct"/>
            <w:noWrap w:val="0"/>
            <w:vAlign w:val="center"/>
          </w:tcPr>
          <w:p w14:paraId="06AB341A">
            <w:pPr>
              <w:spacing w:line="540" w:lineRule="exact"/>
              <w:rPr>
                <w:rFonts w:ascii="宋体" w:hAnsi="宋体" w:eastAsia="宋体"/>
                <w:sz w:val="21"/>
                <w:szCs w:val="21"/>
                <w:highlight w:val="none"/>
              </w:rPr>
            </w:pPr>
            <w:r>
              <w:rPr>
                <w:rFonts w:hint="eastAsia" w:ascii="宋体" w:hAnsi="宋体" w:eastAsia="宋体"/>
                <w:sz w:val="21"/>
                <w:szCs w:val="21"/>
                <w:highlight w:val="none"/>
              </w:rPr>
              <w:t>每季度一次/每季度提供巡检报告</w:t>
            </w:r>
          </w:p>
        </w:tc>
      </w:tr>
      <w:tr w14:paraId="7CC5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3E962CA2">
            <w:pPr>
              <w:spacing w:line="540" w:lineRule="exact"/>
              <w:rPr>
                <w:rFonts w:ascii="宋体" w:hAnsi="宋体" w:eastAsia="宋体"/>
                <w:sz w:val="21"/>
                <w:szCs w:val="21"/>
                <w:highlight w:val="none"/>
              </w:rPr>
            </w:pPr>
            <w:r>
              <w:rPr>
                <w:rFonts w:hint="eastAsia" w:ascii="宋体" w:hAnsi="宋体" w:eastAsia="宋体"/>
                <w:sz w:val="21"/>
                <w:szCs w:val="21"/>
                <w:highlight w:val="none"/>
              </w:rPr>
              <w:t>设备集成服务、部署和策略配置服务</w:t>
            </w:r>
          </w:p>
        </w:tc>
        <w:tc>
          <w:tcPr>
            <w:tcW w:w="3305" w:type="pct"/>
            <w:noWrap w:val="0"/>
            <w:vAlign w:val="center"/>
          </w:tcPr>
          <w:p w14:paraId="26B3ACF3">
            <w:pPr>
              <w:spacing w:line="540" w:lineRule="exact"/>
              <w:rPr>
                <w:rFonts w:ascii="宋体" w:hAnsi="宋体" w:eastAsia="宋体"/>
                <w:sz w:val="21"/>
                <w:szCs w:val="21"/>
                <w:highlight w:val="none"/>
              </w:rPr>
            </w:pPr>
            <w:r>
              <w:rPr>
                <w:rFonts w:hint="eastAsia" w:ascii="宋体" w:hAnsi="宋体" w:eastAsia="宋体"/>
                <w:sz w:val="21"/>
                <w:szCs w:val="21"/>
                <w:highlight w:val="none"/>
              </w:rPr>
              <w:t>在用户需要的时候，为用户推荐合适的网络及安全产品，并提供相应的部署建议方案：包括系统集成整体解决方案、网络及安全产品部署设计、网络及安全产品的配置。</w:t>
            </w:r>
          </w:p>
          <w:p w14:paraId="7656213F">
            <w:pPr>
              <w:spacing w:line="540" w:lineRule="exact"/>
              <w:rPr>
                <w:rFonts w:ascii="宋体" w:hAnsi="宋体" w:eastAsia="宋体"/>
                <w:sz w:val="21"/>
                <w:szCs w:val="21"/>
                <w:highlight w:val="none"/>
              </w:rPr>
            </w:pPr>
            <w:r>
              <w:rPr>
                <w:rFonts w:hint="eastAsia" w:ascii="宋体" w:hAnsi="宋体" w:eastAsia="宋体"/>
                <w:sz w:val="21"/>
                <w:szCs w:val="21"/>
                <w:highlight w:val="none"/>
              </w:rPr>
              <w:t>集成产品包括：交换机、路由器、终端防护设备、防火墙设备、入侵检测防御设备、安全扫描设备、WEB应用防护、身份认证、运维管理软件等。</w:t>
            </w:r>
          </w:p>
        </w:tc>
        <w:tc>
          <w:tcPr>
            <w:tcW w:w="827" w:type="pct"/>
            <w:noWrap w:val="0"/>
            <w:vAlign w:val="center"/>
          </w:tcPr>
          <w:p w14:paraId="06B03AB6">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r w14:paraId="5010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601A07BD">
            <w:pPr>
              <w:spacing w:line="540" w:lineRule="exact"/>
              <w:rPr>
                <w:rFonts w:ascii="宋体" w:hAnsi="宋体" w:eastAsia="宋体"/>
                <w:sz w:val="21"/>
                <w:szCs w:val="21"/>
                <w:highlight w:val="none"/>
              </w:rPr>
            </w:pPr>
            <w:r>
              <w:rPr>
                <w:rFonts w:hint="eastAsia" w:ascii="宋体" w:hAnsi="宋体" w:eastAsia="宋体"/>
                <w:sz w:val="21"/>
                <w:szCs w:val="21"/>
                <w:highlight w:val="none"/>
              </w:rPr>
              <w:t>信息系统等级保护测评咨询服务</w:t>
            </w:r>
          </w:p>
        </w:tc>
        <w:tc>
          <w:tcPr>
            <w:tcW w:w="3305" w:type="pct"/>
            <w:noWrap w:val="0"/>
            <w:vAlign w:val="center"/>
          </w:tcPr>
          <w:p w14:paraId="75478CA1">
            <w:pPr>
              <w:spacing w:line="540" w:lineRule="exact"/>
              <w:rPr>
                <w:rFonts w:ascii="宋体" w:hAnsi="宋体" w:eastAsia="宋体"/>
                <w:sz w:val="21"/>
                <w:szCs w:val="21"/>
                <w:highlight w:val="none"/>
              </w:rPr>
            </w:pPr>
            <w:r>
              <w:rPr>
                <w:rFonts w:hint="eastAsia" w:ascii="宋体" w:hAnsi="宋体" w:eastAsia="宋体"/>
                <w:sz w:val="21"/>
                <w:szCs w:val="21"/>
                <w:highlight w:val="none"/>
              </w:rPr>
              <w:t>提供测评咨询服务。帮助了解和把握等级保护的最新国家政策动态，制定等级保护的具体落地策略，以及评估现有安全措施的符合程度，提供定级备案咨询、差距评估咨询、整改方案设计咨询。协助做好信息系统测评整改工作。</w:t>
            </w:r>
          </w:p>
        </w:tc>
        <w:tc>
          <w:tcPr>
            <w:tcW w:w="827" w:type="pct"/>
            <w:noWrap w:val="0"/>
            <w:vAlign w:val="center"/>
          </w:tcPr>
          <w:p w14:paraId="047C7BAB">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r w14:paraId="4619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733FED3F">
            <w:pPr>
              <w:spacing w:line="540" w:lineRule="exact"/>
              <w:rPr>
                <w:rFonts w:ascii="宋体" w:hAnsi="宋体" w:eastAsia="宋体"/>
                <w:sz w:val="21"/>
                <w:szCs w:val="21"/>
                <w:highlight w:val="none"/>
              </w:rPr>
            </w:pPr>
            <w:r>
              <w:rPr>
                <w:rFonts w:hint="eastAsia" w:ascii="宋体" w:hAnsi="宋体" w:eastAsia="宋体"/>
                <w:sz w:val="21"/>
                <w:szCs w:val="21"/>
                <w:highlight w:val="none"/>
              </w:rPr>
              <w:t>应急响应服务</w:t>
            </w:r>
          </w:p>
        </w:tc>
        <w:tc>
          <w:tcPr>
            <w:tcW w:w="3305" w:type="pct"/>
            <w:noWrap w:val="0"/>
            <w:vAlign w:val="center"/>
          </w:tcPr>
          <w:p w14:paraId="63D9A6AC">
            <w:pPr>
              <w:spacing w:line="540" w:lineRule="exact"/>
              <w:rPr>
                <w:rFonts w:ascii="宋体" w:hAnsi="宋体" w:eastAsia="宋体"/>
                <w:sz w:val="21"/>
                <w:szCs w:val="21"/>
                <w:highlight w:val="none"/>
              </w:rPr>
            </w:pPr>
            <w:r>
              <w:rPr>
                <w:rFonts w:hint="eastAsia" w:ascii="宋体" w:hAnsi="宋体" w:eastAsia="宋体"/>
                <w:sz w:val="21"/>
                <w:szCs w:val="21"/>
                <w:highlight w:val="none"/>
              </w:rPr>
              <w:t>应急响应服务指当网络安全事件发生后，提供安全服务团队根据预案快速响应。应急响应预案应按照准备、检测、抑制、根除、恢复、跟踪等一系列标准措施指定，保证网络安全无忧，预防危险发生。</w:t>
            </w:r>
          </w:p>
        </w:tc>
        <w:tc>
          <w:tcPr>
            <w:tcW w:w="827" w:type="pct"/>
            <w:noWrap w:val="0"/>
            <w:vAlign w:val="center"/>
          </w:tcPr>
          <w:p w14:paraId="7523C8AF">
            <w:pPr>
              <w:spacing w:line="540" w:lineRule="exact"/>
              <w:rPr>
                <w:rFonts w:ascii="宋体" w:hAnsi="宋体" w:eastAsia="宋体"/>
                <w:sz w:val="21"/>
                <w:szCs w:val="21"/>
                <w:highlight w:val="none"/>
              </w:rPr>
            </w:pPr>
            <w:r>
              <w:rPr>
                <w:rFonts w:hint="eastAsia" w:ascii="宋体" w:hAnsi="宋体" w:eastAsia="宋体"/>
                <w:sz w:val="21"/>
                <w:szCs w:val="21"/>
                <w:highlight w:val="none"/>
              </w:rPr>
              <w:t>即时响应</w:t>
            </w:r>
          </w:p>
        </w:tc>
      </w:tr>
      <w:tr w14:paraId="2784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488A89BC">
            <w:pPr>
              <w:spacing w:line="540" w:lineRule="exact"/>
              <w:rPr>
                <w:rFonts w:ascii="宋体" w:hAnsi="宋体" w:eastAsia="宋体"/>
                <w:sz w:val="21"/>
                <w:szCs w:val="21"/>
                <w:highlight w:val="none"/>
              </w:rPr>
            </w:pPr>
            <w:r>
              <w:rPr>
                <w:rFonts w:hint="eastAsia" w:ascii="宋体" w:hAnsi="宋体" w:eastAsia="宋体"/>
                <w:sz w:val="21"/>
                <w:szCs w:val="21"/>
                <w:highlight w:val="none"/>
              </w:rPr>
              <w:t>应急演练服务</w:t>
            </w:r>
          </w:p>
        </w:tc>
        <w:tc>
          <w:tcPr>
            <w:tcW w:w="3305" w:type="pct"/>
            <w:noWrap w:val="0"/>
            <w:vAlign w:val="center"/>
          </w:tcPr>
          <w:p w14:paraId="44EC1151">
            <w:pPr>
              <w:spacing w:line="540" w:lineRule="exact"/>
              <w:rPr>
                <w:rFonts w:ascii="宋体" w:hAnsi="宋体" w:eastAsia="宋体"/>
                <w:sz w:val="21"/>
                <w:szCs w:val="21"/>
                <w:highlight w:val="none"/>
              </w:rPr>
            </w:pPr>
            <w:r>
              <w:rPr>
                <w:rFonts w:hint="eastAsia" w:ascii="宋体" w:hAnsi="宋体" w:eastAsia="宋体"/>
                <w:sz w:val="21"/>
                <w:szCs w:val="21"/>
                <w:highlight w:val="none"/>
              </w:rPr>
              <w:t>根据具体情况，制定相应的应急演练方案，配合开展应急演练活动。</w:t>
            </w:r>
          </w:p>
        </w:tc>
        <w:tc>
          <w:tcPr>
            <w:tcW w:w="827" w:type="pct"/>
            <w:noWrap w:val="0"/>
            <w:vAlign w:val="center"/>
          </w:tcPr>
          <w:p w14:paraId="0636F60D">
            <w:pPr>
              <w:spacing w:line="540" w:lineRule="exact"/>
              <w:rPr>
                <w:rFonts w:ascii="宋体" w:hAnsi="宋体" w:eastAsia="宋体"/>
                <w:sz w:val="21"/>
                <w:szCs w:val="21"/>
                <w:highlight w:val="none"/>
              </w:rPr>
            </w:pPr>
            <w:r>
              <w:rPr>
                <w:rFonts w:hint="eastAsia" w:ascii="宋体" w:hAnsi="宋体" w:eastAsia="宋体"/>
                <w:sz w:val="21"/>
                <w:szCs w:val="21"/>
                <w:highlight w:val="none"/>
              </w:rPr>
              <w:t>每年一次</w:t>
            </w:r>
          </w:p>
        </w:tc>
      </w:tr>
      <w:tr w14:paraId="062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24429128">
            <w:pPr>
              <w:spacing w:line="540" w:lineRule="exact"/>
              <w:rPr>
                <w:rFonts w:ascii="宋体" w:hAnsi="宋体" w:eastAsia="宋体"/>
                <w:sz w:val="21"/>
                <w:szCs w:val="21"/>
                <w:highlight w:val="none"/>
              </w:rPr>
            </w:pPr>
            <w:r>
              <w:rPr>
                <w:rFonts w:hint="eastAsia" w:ascii="宋体" w:hAnsi="宋体" w:eastAsia="宋体"/>
                <w:sz w:val="21"/>
                <w:szCs w:val="21"/>
                <w:highlight w:val="none"/>
              </w:rPr>
              <w:t>咨询服务</w:t>
            </w:r>
          </w:p>
        </w:tc>
        <w:tc>
          <w:tcPr>
            <w:tcW w:w="3305" w:type="pct"/>
            <w:noWrap w:val="0"/>
            <w:vAlign w:val="center"/>
          </w:tcPr>
          <w:p w14:paraId="153A0E30">
            <w:pPr>
              <w:spacing w:line="540" w:lineRule="exact"/>
              <w:rPr>
                <w:rFonts w:ascii="宋体" w:hAnsi="宋体" w:eastAsia="宋体"/>
                <w:sz w:val="21"/>
                <w:szCs w:val="21"/>
                <w:highlight w:val="none"/>
              </w:rPr>
            </w:pPr>
            <w:r>
              <w:rPr>
                <w:rFonts w:hint="eastAsia" w:ascii="宋体" w:hAnsi="宋体" w:eastAsia="宋体"/>
                <w:sz w:val="21"/>
                <w:szCs w:val="21"/>
                <w:highlight w:val="none"/>
              </w:rPr>
              <w:t>项目</w:t>
            </w:r>
            <w:bookmarkStart w:id="111" w:name="_GoBack"/>
            <w:r>
              <w:rPr>
                <w:rFonts w:hint="eastAsia" w:ascii="宋体" w:hAnsi="宋体" w:eastAsia="宋体"/>
                <w:sz w:val="21"/>
                <w:szCs w:val="21"/>
                <w:highlight w:val="none"/>
              </w:rPr>
              <w:t>咨询服务是</w:t>
            </w:r>
            <w:bookmarkEnd w:id="111"/>
            <w:r>
              <w:rPr>
                <w:rFonts w:hint="eastAsia" w:ascii="宋体" w:hAnsi="宋体" w:eastAsia="宋体"/>
                <w:sz w:val="21"/>
                <w:szCs w:val="21"/>
                <w:highlight w:val="none"/>
              </w:rPr>
              <w:t>包含从项目立项、前期调研、可行性研究、方案设计、设备选型参考。招标书的制作以及项目管理辅助，项目验收辅助的整体的咨询服务解决方案。包括：</w:t>
            </w:r>
          </w:p>
          <w:p w14:paraId="02A2DC9C">
            <w:pPr>
              <w:spacing w:line="540" w:lineRule="exact"/>
              <w:rPr>
                <w:rFonts w:ascii="宋体" w:hAnsi="宋体" w:eastAsia="宋体"/>
                <w:sz w:val="21"/>
                <w:szCs w:val="21"/>
                <w:highlight w:val="none"/>
              </w:rPr>
            </w:pPr>
            <w:r>
              <w:rPr>
                <w:rFonts w:hint="eastAsia" w:ascii="宋体" w:hAnsi="宋体" w:eastAsia="宋体"/>
                <w:sz w:val="21"/>
                <w:szCs w:val="21"/>
                <w:highlight w:val="none"/>
              </w:rPr>
              <w:t>1、在用户需要的时候，为用户推荐合适的安全产品，并提供相应的部署建议。</w:t>
            </w:r>
          </w:p>
          <w:p w14:paraId="46B12851">
            <w:pPr>
              <w:spacing w:line="540" w:lineRule="exact"/>
              <w:rPr>
                <w:rFonts w:ascii="宋体" w:hAnsi="宋体" w:eastAsia="宋体"/>
                <w:sz w:val="21"/>
                <w:szCs w:val="21"/>
                <w:highlight w:val="none"/>
              </w:rPr>
            </w:pPr>
            <w:r>
              <w:rPr>
                <w:rFonts w:hint="eastAsia" w:ascii="宋体" w:hAnsi="宋体" w:eastAsia="宋体"/>
                <w:sz w:val="21"/>
                <w:szCs w:val="21"/>
                <w:highlight w:val="none"/>
              </w:rPr>
              <w:t>2、网络安全整体解决方案。</w:t>
            </w:r>
          </w:p>
        </w:tc>
        <w:tc>
          <w:tcPr>
            <w:tcW w:w="827" w:type="pct"/>
            <w:noWrap w:val="0"/>
            <w:vAlign w:val="center"/>
          </w:tcPr>
          <w:p w14:paraId="324DCE07">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r w14:paraId="6D4D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14C9E19B">
            <w:pPr>
              <w:spacing w:line="540" w:lineRule="exact"/>
              <w:rPr>
                <w:rFonts w:ascii="宋体" w:hAnsi="宋体" w:eastAsia="宋体"/>
                <w:sz w:val="21"/>
                <w:szCs w:val="21"/>
                <w:highlight w:val="none"/>
              </w:rPr>
            </w:pPr>
            <w:r>
              <w:rPr>
                <w:rFonts w:hint="eastAsia" w:ascii="宋体" w:hAnsi="宋体" w:eastAsia="宋体"/>
                <w:sz w:val="21"/>
                <w:szCs w:val="21"/>
                <w:highlight w:val="none"/>
              </w:rPr>
              <w:t>培训服务</w:t>
            </w:r>
          </w:p>
        </w:tc>
        <w:tc>
          <w:tcPr>
            <w:tcW w:w="3305" w:type="pct"/>
            <w:noWrap w:val="0"/>
            <w:vAlign w:val="center"/>
          </w:tcPr>
          <w:p w14:paraId="457BEA61">
            <w:pPr>
              <w:spacing w:line="540" w:lineRule="exact"/>
              <w:rPr>
                <w:rFonts w:ascii="宋体" w:hAnsi="宋体" w:eastAsia="宋体"/>
                <w:sz w:val="21"/>
                <w:szCs w:val="21"/>
                <w:highlight w:val="none"/>
              </w:rPr>
            </w:pPr>
            <w:r>
              <w:rPr>
                <w:rFonts w:hint="eastAsia" w:ascii="宋体" w:hAnsi="宋体" w:eastAsia="宋体"/>
                <w:sz w:val="21"/>
                <w:szCs w:val="21"/>
                <w:highlight w:val="none"/>
              </w:rPr>
              <w:t>提供培训服务，根据南通市交通运输局的具体需求，提供网络安全法律法规、安全意识、安全产品、安全资讯等方面的技术培训。</w:t>
            </w:r>
          </w:p>
        </w:tc>
        <w:tc>
          <w:tcPr>
            <w:tcW w:w="827" w:type="pct"/>
            <w:noWrap w:val="0"/>
            <w:vAlign w:val="center"/>
          </w:tcPr>
          <w:p w14:paraId="5D42E99E">
            <w:pPr>
              <w:spacing w:line="540" w:lineRule="exact"/>
              <w:rPr>
                <w:rFonts w:ascii="宋体" w:hAnsi="宋体" w:eastAsia="宋体"/>
                <w:sz w:val="21"/>
                <w:szCs w:val="21"/>
                <w:highlight w:val="none"/>
              </w:rPr>
            </w:pPr>
            <w:r>
              <w:rPr>
                <w:rFonts w:hint="eastAsia" w:ascii="宋体" w:hAnsi="宋体" w:eastAsia="宋体"/>
                <w:sz w:val="21"/>
                <w:szCs w:val="21"/>
                <w:highlight w:val="none"/>
              </w:rPr>
              <w:t>按需，每年至少一次</w:t>
            </w:r>
          </w:p>
        </w:tc>
      </w:tr>
      <w:tr w14:paraId="159C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6E2DA2CF">
            <w:pPr>
              <w:spacing w:line="540" w:lineRule="exact"/>
              <w:rPr>
                <w:rFonts w:ascii="宋体" w:hAnsi="宋体" w:eastAsia="宋体"/>
                <w:sz w:val="21"/>
                <w:szCs w:val="21"/>
                <w:highlight w:val="none"/>
              </w:rPr>
            </w:pPr>
            <w:r>
              <w:rPr>
                <w:rFonts w:hint="eastAsia" w:ascii="宋体" w:hAnsi="宋体" w:eastAsia="宋体"/>
                <w:sz w:val="21"/>
                <w:szCs w:val="21"/>
                <w:highlight w:val="none"/>
              </w:rPr>
              <w:t>安全检查服务</w:t>
            </w:r>
          </w:p>
        </w:tc>
        <w:tc>
          <w:tcPr>
            <w:tcW w:w="3305" w:type="pct"/>
            <w:noWrap w:val="0"/>
            <w:vAlign w:val="center"/>
          </w:tcPr>
          <w:p w14:paraId="7BB7FA65">
            <w:pPr>
              <w:spacing w:line="540" w:lineRule="exact"/>
              <w:rPr>
                <w:rFonts w:ascii="宋体" w:hAnsi="宋体" w:eastAsia="宋体"/>
                <w:sz w:val="21"/>
                <w:szCs w:val="21"/>
                <w:highlight w:val="none"/>
              </w:rPr>
            </w:pPr>
            <w:r>
              <w:rPr>
                <w:rFonts w:hint="eastAsia" w:ascii="宋体" w:hAnsi="宋体" w:eastAsia="宋体"/>
                <w:sz w:val="21"/>
                <w:szCs w:val="21"/>
                <w:highlight w:val="none"/>
              </w:rPr>
              <w:t>提供安全检查服务，配合业主单位对下属单位开展网络安全检查，出具响应检查报告。</w:t>
            </w:r>
          </w:p>
        </w:tc>
        <w:tc>
          <w:tcPr>
            <w:tcW w:w="827" w:type="pct"/>
            <w:noWrap w:val="0"/>
            <w:vAlign w:val="center"/>
          </w:tcPr>
          <w:p w14:paraId="7405AE0B">
            <w:pPr>
              <w:spacing w:line="540" w:lineRule="exact"/>
              <w:rPr>
                <w:rFonts w:ascii="宋体" w:hAnsi="宋体" w:eastAsia="宋体"/>
                <w:sz w:val="21"/>
                <w:szCs w:val="21"/>
                <w:highlight w:val="none"/>
              </w:rPr>
            </w:pPr>
            <w:r>
              <w:rPr>
                <w:rFonts w:hint="eastAsia" w:ascii="宋体" w:hAnsi="宋体" w:eastAsia="宋体"/>
                <w:sz w:val="21"/>
                <w:szCs w:val="21"/>
                <w:highlight w:val="none"/>
              </w:rPr>
              <w:t>按需，每年至少一次</w:t>
            </w:r>
          </w:p>
        </w:tc>
      </w:tr>
      <w:tr w14:paraId="487E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66" w:type="pct"/>
            <w:noWrap w:val="0"/>
            <w:vAlign w:val="center"/>
          </w:tcPr>
          <w:p w14:paraId="25256CF1">
            <w:pPr>
              <w:spacing w:line="540" w:lineRule="exact"/>
              <w:rPr>
                <w:rFonts w:ascii="宋体" w:hAnsi="宋体" w:eastAsia="宋体"/>
                <w:sz w:val="21"/>
                <w:szCs w:val="21"/>
                <w:highlight w:val="none"/>
              </w:rPr>
            </w:pPr>
            <w:r>
              <w:rPr>
                <w:rFonts w:hint="eastAsia" w:ascii="宋体" w:hAnsi="宋体" w:eastAsia="宋体"/>
                <w:sz w:val="21"/>
                <w:szCs w:val="21"/>
                <w:highlight w:val="none"/>
              </w:rPr>
              <w:t>驻场保障服务</w:t>
            </w:r>
          </w:p>
        </w:tc>
        <w:tc>
          <w:tcPr>
            <w:tcW w:w="3305" w:type="pct"/>
            <w:noWrap w:val="0"/>
            <w:vAlign w:val="center"/>
          </w:tcPr>
          <w:p w14:paraId="521857F9">
            <w:pPr>
              <w:spacing w:line="540" w:lineRule="exact"/>
              <w:rPr>
                <w:rFonts w:ascii="宋体" w:hAnsi="宋体" w:eastAsia="宋体"/>
                <w:sz w:val="21"/>
                <w:szCs w:val="21"/>
                <w:highlight w:val="none"/>
              </w:rPr>
            </w:pPr>
            <w:r>
              <w:rPr>
                <w:rFonts w:hint="eastAsia" w:ascii="宋体" w:hAnsi="宋体" w:eastAsia="宋体"/>
                <w:sz w:val="21"/>
                <w:szCs w:val="21"/>
                <w:highlight w:val="none"/>
              </w:rPr>
              <w:t>当有重大网络安全会议和活动等期间，</w:t>
            </w:r>
            <w:r>
              <w:rPr>
                <w:rFonts w:hint="eastAsia" w:ascii="宋体" w:hAnsi="宋体"/>
                <w:sz w:val="21"/>
                <w:szCs w:val="21"/>
                <w:highlight w:val="none"/>
                <w:lang w:val="en-US" w:eastAsia="zh-CN"/>
              </w:rPr>
              <w:t>根据甲方需求</w:t>
            </w:r>
            <w:r>
              <w:rPr>
                <w:rFonts w:hint="eastAsia" w:ascii="宋体" w:hAnsi="宋体" w:eastAsia="宋体"/>
                <w:sz w:val="21"/>
                <w:szCs w:val="21"/>
                <w:highlight w:val="none"/>
              </w:rPr>
              <w:t>提供人员的驻场保障服务。</w:t>
            </w:r>
          </w:p>
        </w:tc>
        <w:tc>
          <w:tcPr>
            <w:tcW w:w="827" w:type="pct"/>
            <w:noWrap w:val="0"/>
            <w:vAlign w:val="center"/>
          </w:tcPr>
          <w:p w14:paraId="2068C1D3">
            <w:pPr>
              <w:spacing w:line="540" w:lineRule="exact"/>
              <w:rPr>
                <w:rFonts w:ascii="宋体" w:hAnsi="宋体" w:eastAsia="宋体"/>
                <w:sz w:val="21"/>
                <w:szCs w:val="21"/>
                <w:highlight w:val="none"/>
              </w:rPr>
            </w:pPr>
            <w:r>
              <w:rPr>
                <w:rFonts w:hint="eastAsia" w:ascii="宋体" w:hAnsi="宋体" w:eastAsia="宋体"/>
                <w:sz w:val="21"/>
                <w:szCs w:val="21"/>
                <w:highlight w:val="none"/>
              </w:rPr>
              <w:t>按需</w:t>
            </w:r>
          </w:p>
        </w:tc>
      </w:tr>
    </w:tbl>
    <w:p w14:paraId="0A4D08CA">
      <w:pPr>
        <w:adjustRightInd w:val="0"/>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cs="Courier New"/>
          <w:sz w:val="24"/>
          <w:szCs w:val="24"/>
          <w:highlight w:val="none"/>
        </w:rPr>
        <w:t>1.4履行时间（期限）：</w:t>
      </w:r>
      <w:r>
        <w:rPr>
          <w:rFonts w:hint="eastAsia" w:ascii="宋体" w:hAnsi="宋体" w:cs="宋体"/>
          <w:color w:val="auto"/>
          <w:sz w:val="24"/>
          <w:szCs w:val="24"/>
          <w:highlight w:val="none"/>
          <w:lang w:val="en-US" w:eastAsia="zh-CN"/>
        </w:rPr>
        <w:t>自合同签订之日起三年，</w:t>
      </w:r>
      <w:r>
        <w:rPr>
          <w:rFonts w:hint="eastAsia" w:ascii="宋体" w:hAnsi="宋体" w:cs="宋体"/>
          <w:color w:val="auto"/>
          <w:sz w:val="24"/>
          <w:szCs w:val="24"/>
          <w:highlight w:val="none"/>
          <w:u w:val="single"/>
          <w:lang w:val="en-US" w:eastAsia="zh-CN"/>
        </w:rPr>
        <w:t>202  年  月  日至   年  月  日止</w:t>
      </w:r>
      <w:r>
        <w:rPr>
          <w:rFonts w:hint="eastAsia" w:ascii="宋体" w:hAnsi="宋体" w:cs="宋体"/>
          <w:color w:val="auto"/>
          <w:sz w:val="24"/>
          <w:szCs w:val="24"/>
          <w:highlight w:val="none"/>
          <w:lang w:val="en-US" w:eastAsia="zh-CN"/>
        </w:rPr>
        <w:t>。</w:t>
      </w:r>
    </w:p>
    <w:p w14:paraId="11B209A8">
      <w:pPr>
        <w:autoSpaceDE w:val="0"/>
        <w:autoSpaceDN w:val="0"/>
        <w:adjustRightInd w:val="0"/>
        <w:snapToGrid w:val="0"/>
        <w:spacing w:line="360" w:lineRule="auto"/>
        <w:ind w:firstLine="480" w:firstLineChars="200"/>
        <w:outlineLvl w:val="0"/>
        <w:rPr>
          <w:rFonts w:ascii="宋体" w:hAnsi="宋体" w:cs="Courier New"/>
          <w:sz w:val="24"/>
          <w:szCs w:val="24"/>
          <w:highlight w:val="none"/>
        </w:rPr>
      </w:pPr>
      <w:r>
        <w:rPr>
          <w:rFonts w:hint="eastAsia" w:ascii="宋体" w:hAnsi="宋体" w:cs="Courier New"/>
          <w:sz w:val="24"/>
          <w:szCs w:val="24"/>
          <w:highlight w:val="none"/>
        </w:rPr>
        <w:t>1.5履行地点：</w:t>
      </w:r>
      <w:r>
        <w:rPr>
          <w:rFonts w:hint="eastAsia" w:ascii="宋体" w:hAnsi="宋体"/>
          <w:sz w:val="24"/>
          <w:szCs w:val="24"/>
          <w:highlight w:val="none"/>
        </w:rPr>
        <w:t>南通市</w:t>
      </w:r>
    </w:p>
    <w:p w14:paraId="5278BE6D">
      <w:pPr>
        <w:adjustRightInd w:val="0"/>
        <w:snapToGrid w:val="0"/>
        <w:spacing w:line="360" w:lineRule="auto"/>
        <w:ind w:firstLine="482" w:firstLineChars="200"/>
        <w:rPr>
          <w:rFonts w:hint="default" w:ascii="宋体" w:hAnsi="宋体" w:eastAsia="宋体" w:cs="Courier New"/>
          <w:b/>
          <w:sz w:val="24"/>
          <w:szCs w:val="24"/>
          <w:highlight w:val="none"/>
          <w:lang w:val="en-US" w:eastAsia="zh-CN"/>
        </w:rPr>
      </w:pPr>
      <w:r>
        <w:rPr>
          <w:rFonts w:ascii="宋体" w:hAnsi="宋体" w:cs="Courier New"/>
          <w:b/>
          <w:sz w:val="24"/>
          <w:szCs w:val="24"/>
          <w:highlight w:val="none"/>
        </w:rPr>
        <w:t>二、合同金额</w:t>
      </w:r>
    </w:p>
    <w:p w14:paraId="19CE3475">
      <w:pPr>
        <w:adjustRightInd w:val="0"/>
        <w:snapToGrid w:val="0"/>
        <w:spacing w:line="360" w:lineRule="auto"/>
        <w:ind w:firstLine="480" w:firstLineChars="200"/>
        <w:jc w:val="left"/>
        <w:rPr>
          <w:rFonts w:hint="eastAsia" w:ascii="宋体" w:hAnsi="宋体" w:eastAsia="宋体" w:cs="Courier New"/>
          <w:sz w:val="24"/>
          <w:szCs w:val="24"/>
          <w:highlight w:val="none"/>
          <w:lang w:val="en-US" w:eastAsia="zh-CN"/>
        </w:rPr>
      </w:pPr>
      <w:r>
        <w:rPr>
          <w:rFonts w:ascii="宋体" w:hAnsi="宋体" w:cs="Courier New"/>
          <w:sz w:val="24"/>
          <w:szCs w:val="24"/>
          <w:highlight w:val="none"/>
        </w:rPr>
        <w:t>2.1本合同</w:t>
      </w:r>
      <w:r>
        <w:rPr>
          <w:rFonts w:hint="eastAsia" w:ascii="宋体" w:hAnsi="宋体" w:cs="Courier New"/>
          <w:sz w:val="24"/>
          <w:szCs w:val="24"/>
          <w:highlight w:val="none"/>
          <w:lang w:val="en-US" w:eastAsia="zh-CN"/>
        </w:rPr>
        <w:t>总</w:t>
      </w:r>
      <w:r>
        <w:rPr>
          <w:rFonts w:ascii="宋体" w:hAnsi="宋体" w:cs="Courier New"/>
          <w:sz w:val="24"/>
          <w:szCs w:val="24"/>
          <w:highlight w:val="none"/>
        </w:rPr>
        <w:t>金额为（大写）：________________（</w:t>
      </w:r>
      <w:r>
        <w:rPr>
          <w:rFonts w:hint="eastAsia" w:ascii="宋体" w:hAnsi="宋体" w:cs="Courier New"/>
          <w:sz w:val="24"/>
          <w:szCs w:val="24"/>
          <w:highlight w:val="none"/>
        </w:rPr>
        <w:t>¥</w:t>
      </w:r>
      <w:r>
        <w:rPr>
          <w:rFonts w:ascii="宋体" w:hAnsi="宋体" w:cs="Courier New"/>
          <w:sz w:val="24"/>
          <w:szCs w:val="24"/>
          <w:highlight w:val="none"/>
        </w:rPr>
        <w:t>____________）</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每年服务费金额为：</w:t>
      </w:r>
      <w:r>
        <w:rPr>
          <w:rFonts w:ascii="宋体" w:hAnsi="宋体" w:cs="Courier New"/>
          <w:sz w:val="24"/>
          <w:szCs w:val="24"/>
          <w:highlight w:val="none"/>
        </w:rPr>
        <w:t>（大写）_________________（</w:t>
      </w:r>
      <w:r>
        <w:rPr>
          <w:rFonts w:hint="eastAsia" w:ascii="宋体" w:hAnsi="宋体" w:cs="Courier New"/>
          <w:sz w:val="24"/>
          <w:szCs w:val="24"/>
          <w:highlight w:val="none"/>
        </w:rPr>
        <w:t>¥</w:t>
      </w:r>
      <w:r>
        <w:rPr>
          <w:rFonts w:ascii="宋体" w:hAnsi="宋体" w:cs="Courier New"/>
          <w:sz w:val="24"/>
          <w:szCs w:val="24"/>
          <w:highlight w:val="none"/>
        </w:rPr>
        <w:t>____________）</w:t>
      </w:r>
      <w:r>
        <w:rPr>
          <w:rFonts w:hint="eastAsia" w:ascii="宋体" w:hAnsi="宋体" w:cs="Courier New"/>
          <w:sz w:val="24"/>
          <w:szCs w:val="24"/>
          <w:highlight w:val="none"/>
          <w:lang w:eastAsia="zh-CN"/>
        </w:rPr>
        <w:t>。</w:t>
      </w:r>
    </w:p>
    <w:p w14:paraId="259DFAD3">
      <w:pPr>
        <w:snapToGrid w:val="0"/>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w:t>
      </w:r>
      <w:r>
        <w:rPr>
          <w:rFonts w:hint="eastAsia" w:ascii="宋体" w:hAnsi="宋体"/>
          <w:bCs/>
          <w:sz w:val="24"/>
          <w:szCs w:val="24"/>
          <w:highlight w:val="none"/>
        </w:rPr>
        <w:t>总价合同，合同价款</w:t>
      </w:r>
      <w:r>
        <w:rPr>
          <w:rFonts w:hint="eastAsia" w:ascii="宋体" w:hAnsi="宋体" w:cs="宋体"/>
          <w:bCs/>
          <w:sz w:val="24"/>
          <w:szCs w:val="24"/>
          <w:highlight w:val="none"/>
          <w:lang w:val="en-US" w:eastAsia="zh-CN"/>
        </w:rPr>
        <w:t>包括但不限于</w:t>
      </w:r>
      <w:r>
        <w:rPr>
          <w:rFonts w:hint="eastAsia" w:ascii="宋体" w:hAnsi="宋体" w:eastAsia="宋体"/>
          <w:bCs/>
          <w:sz w:val="24"/>
          <w:szCs w:val="24"/>
          <w:highlight w:val="none"/>
          <w:lang w:val="en-US" w:eastAsia="zh-CN"/>
        </w:rPr>
        <w:t>人员费用、现场费用、差旅费、设备及相关费用、甲方安排的与完成本项目相关的其它工作的费用、公司</w:t>
      </w:r>
      <w:r>
        <w:rPr>
          <w:rFonts w:hint="eastAsia" w:ascii="宋体" w:hAnsi="宋体"/>
          <w:bCs/>
          <w:sz w:val="24"/>
          <w:szCs w:val="24"/>
          <w:highlight w:val="none"/>
          <w:lang w:val="en-US" w:eastAsia="zh-CN"/>
        </w:rPr>
        <w:t>税费</w:t>
      </w:r>
      <w:r>
        <w:rPr>
          <w:rFonts w:hint="eastAsia" w:ascii="宋体" w:hAnsi="宋体" w:eastAsia="宋体"/>
          <w:bCs/>
          <w:sz w:val="24"/>
          <w:szCs w:val="24"/>
          <w:highlight w:val="none"/>
          <w:lang w:val="en-US" w:eastAsia="zh-CN"/>
        </w:rPr>
        <w:t>、保险、利润、法定税金等与履行本合同有关的一切费用。乙方应根据本项目相应情况和有关规范制订必要、合理的人员投入计划，其拟投入现场人员数量应满足本项目工作的要求。在合同实施期间，合同费用不随国家政策或法规、标准及市场因素的变化而进行调整。</w:t>
      </w:r>
    </w:p>
    <w:p w14:paraId="0D67A7E7">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三</w:t>
      </w:r>
      <w:r>
        <w:rPr>
          <w:rFonts w:ascii="宋体" w:hAnsi="宋体" w:cs="Courier New"/>
          <w:b/>
          <w:sz w:val="24"/>
          <w:szCs w:val="24"/>
          <w:highlight w:val="none"/>
        </w:rPr>
        <w:t>、知识产权</w:t>
      </w:r>
    </w:p>
    <w:p w14:paraId="365D0ECA">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.1甲乙双方未事先征得对方同意，不得把合同的权利和义务委托别人或转让他方。同时甲乙双方应履行保密义务，未经对方书面许可，不向合同之外的人或单位展示、披露或</w:t>
      </w:r>
      <w:r>
        <w:rPr>
          <w:rFonts w:hint="eastAsia" w:ascii="宋体" w:hAnsi="宋体" w:cs="宋体"/>
          <w:sz w:val="24"/>
          <w:szCs w:val="24"/>
          <w:highlight w:val="none"/>
          <w:lang w:eastAsia="zh-CN"/>
        </w:rPr>
        <w:t>以其他方式</w:t>
      </w:r>
      <w:r>
        <w:rPr>
          <w:rFonts w:hint="eastAsia" w:ascii="宋体" w:hAnsi="宋体" w:cs="宋体"/>
          <w:sz w:val="24"/>
          <w:szCs w:val="24"/>
          <w:highlight w:val="none"/>
        </w:rPr>
        <w:t>泄露任何技术文件或与合同有关的数据，包括合同本身，保密义务不因</w:t>
      </w:r>
      <w:r>
        <w:rPr>
          <w:rFonts w:hint="eastAsia" w:ascii="宋体" w:hAnsi="宋体" w:cs="宋体"/>
          <w:sz w:val="24"/>
          <w:szCs w:val="24"/>
          <w:highlight w:val="none"/>
          <w:lang w:eastAsia="zh-CN"/>
        </w:rPr>
        <w:t>合同有效期</w:t>
      </w:r>
      <w:r>
        <w:rPr>
          <w:rFonts w:hint="eastAsia" w:ascii="宋体" w:hAnsi="宋体" w:cs="宋体"/>
          <w:sz w:val="24"/>
          <w:szCs w:val="24"/>
          <w:highlight w:val="none"/>
        </w:rPr>
        <w:t xml:space="preserve">的终止而结束。 </w:t>
      </w:r>
    </w:p>
    <w:p w14:paraId="52ED7AE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.2因履行本协议甲方向乙方提供的所有信息，无论是书面的、口头的、图形的、电磁的或</w:t>
      </w:r>
      <w:r>
        <w:rPr>
          <w:rFonts w:hint="eastAsia" w:ascii="宋体" w:hAnsi="宋体" w:cs="宋体"/>
          <w:sz w:val="24"/>
          <w:szCs w:val="24"/>
          <w:highlight w:val="none"/>
          <w:lang w:eastAsia="zh-CN"/>
        </w:rPr>
        <w:t>其他</w:t>
      </w:r>
      <w:r>
        <w:rPr>
          <w:rFonts w:hint="eastAsia" w:ascii="宋体" w:hAnsi="宋体" w:cs="宋体"/>
          <w:sz w:val="24"/>
          <w:szCs w:val="24"/>
          <w:highlight w:val="none"/>
        </w:rPr>
        <w:t>任何形式的信息，包括（但不限于）数据、模型、样品、草案、技术、方法、仪器设备</w:t>
      </w:r>
      <w:r>
        <w:rPr>
          <w:rFonts w:hint="eastAsia" w:ascii="宋体" w:hAnsi="宋体" w:cs="宋体"/>
          <w:sz w:val="24"/>
          <w:szCs w:val="24"/>
          <w:highlight w:val="none"/>
          <w:lang w:eastAsia="zh-CN"/>
        </w:rPr>
        <w:t>和其他信息</w:t>
      </w:r>
      <w:r>
        <w:rPr>
          <w:rFonts w:hint="eastAsia" w:ascii="宋体" w:hAnsi="宋体" w:cs="宋体"/>
          <w:sz w:val="24"/>
          <w:szCs w:val="24"/>
          <w:highlight w:val="none"/>
        </w:rPr>
        <w:t>，只要不为社会</w:t>
      </w:r>
      <w:r>
        <w:rPr>
          <w:rFonts w:hint="eastAsia" w:ascii="宋体" w:hAnsi="宋体" w:cs="宋体"/>
          <w:sz w:val="24"/>
          <w:szCs w:val="24"/>
          <w:highlight w:val="none"/>
          <w:lang w:eastAsia="zh-CN"/>
        </w:rPr>
        <w:t>公</w:t>
      </w:r>
      <w:r>
        <w:rPr>
          <w:rFonts w:hint="eastAsia" w:ascii="宋体" w:hAnsi="宋体" w:cs="宋体"/>
          <w:sz w:val="24"/>
          <w:szCs w:val="24"/>
          <w:highlight w:val="none"/>
        </w:rPr>
        <w:t xml:space="preserve">众所周知，乙方均应予以保密，且只能在本合同目的范围内使用。 </w:t>
      </w:r>
    </w:p>
    <w:p w14:paraId="691C774A">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.3项目所涉及的技术专利申请权的归属问题由甲乙双方协商确定。</w:t>
      </w:r>
    </w:p>
    <w:p w14:paraId="7765E9F4">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四</w:t>
      </w:r>
      <w:r>
        <w:rPr>
          <w:rFonts w:ascii="宋体" w:hAnsi="宋体" w:cs="Courier New"/>
          <w:b/>
          <w:sz w:val="24"/>
          <w:szCs w:val="24"/>
          <w:highlight w:val="none"/>
        </w:rPr>
        <w:t>、履约保证金</w:t>
      </w:r>
    </w:p>
    <w:p w14:paraId="3ADEEBA3">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本项目不设履约保证金。</w:t>
      </w:r>
    </w:p>
    <w:p w14:paraId="72ECB832">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五</w:t>
      </w:r>
      <w:r>
        <w:rPr>
          <w:rFonts w:hint="eastAsia" w:ascii="宋体" w:hAnsi="宋体"/>
          <w:b/>
          <w:sz w:val="24"/>
          <w:szCs w:val="24"/>
          <w:highlight w:val="none"/>
        </w:rPr>
        <w:t>、合同转包或分包</w:t>
      </w:r>
    </w:p>
    <w:p w14:paraId="7CC1CF84">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.1乙方不得将合同标的转包给他人履行。</w:t>
      </w:r>
    </w:p>
    <w:p w14:paraId="28831921">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ascii="宋体" w:hAnsi="宋体"/>
          <w:sz w:val="24"/>
          <w:szCs w:val="24"/>
          <w:highlight w:val="none"/>
        </w:rPr>
        <w:t>.2</w:t>
      </w:r>
      <w:r>
        <w:rPr>
          <w:rFonts w:hint="eastAsia" w:ascii="宋体" w:hAnsi="宋体"/>
          <w:sz w:val="24"/>
          <w:szCs w:val="24"/>
          <w:highlight w:val="none"/>
          <w:lang w:val="en-US" w:eastAsia="zh-CN"/>
        </w:rPr>
        <w:t>未经甲方同意</w:t>
      </w:r>
      <w:r>
        <w:rPr>
          <w:rFonts w:hint="eastAsia" w:ascii="宋体" w:hAnsi="宋体"/>
          <w:sz w:val="24"/>
          <w:szCs w:val="24"/>
          <w:highlight w:val="none"/>
        </w:rPr>
        <w:t>乙方不得将合同标的分包给他人履行。</w:t>
      </w:r>
    </w:p>
    <w:p w14:paraId="3704FC33">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ascii="宋体" w:hAnsi="宋体"/>
          <w:sz w:val="24"/>
          <w:szCs w:val="24"/>
          <w:highlight w:val="none"/>
        </w:rPr>
        <w:t>.3</w:t>
      </w:r>
      <w:r>
        <w:rPr>
          <w:rFonts w:hint="eastAsia" w:ascii="宋体" w:hAnsi="宋体"/>
          <w:sz w:val="24"/>
          <w:szCs w:val="24"/>
          <w:highlight w:val="none"/>
        </w:rPr>
        <w:t>乙方如有转包或未经甲方同意的分包行为，甲方有权解除合同。</w:t>
      </w:r>
    </w:p>
    <w:p w14:paraId="57E35A63">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六</w:t>
      </w:r>
      <w:r>
        <w:rPr>
          <w:rFonts w:ascii="宋体" w:hAnsi="宋体" w:cs="Courier New"/>
          <w:b/>
          <w:sz w:val="24"/>
          <w:szCs w:val="24"/>
          <w:highlight w:val="none"/>
        </w:rPr>
        <w:t>、</w:t>
      </w:r>
      <w:r>
        <w:rPr>
          <w:rFonts w:hint="eastAsia" w:ascii="宋体" w:hAnsi="宋体" w:cs="Courier New"/>
          <w:b/>
          <w:sz w:val="24"/>
          <w:szCs w:val="24"/>
          <w:highlight w:val="none"/>
        </w:rPr>
        <w:t>合同款项</w:t>
      </w:r>
      <w:r>
        <w:rPr>
          <w:rFonts w:ascii="宋体" w:hAnsi="宋体" w:cs="Courier New"/>
          <w:b/>
          <w:sz w:val="24"/>
          <w:szCs w:val="24"/>
          <w:highlight w:val="none"/>
        </w:rPr>
        <w:t>支付</w:t>
      </w:r>
    </w:p>
    <w:p w14:paraId="0D1595CC">
      <w:pPr>
        <w:snapToGrid w:val="0"/>
        <w:spacing w:line="360" w:lineRule="auto"/>
        <w:ind w:firstLine="480" w:firstLineChars="200"/>
        <w:rPr>
          <w:highlight w:val="none"/>
        </w:rPr>
      </w:pPr>
      <w:r>
        <w:rPr>
          <w:rFonts w:hint="eastAsia" w:ascii="宋体" w:hAnsi="宋体" w:eastAsia="宋体"/>
          <w:bCs/>
          <w:sz w:val="24"/>
          <w:szCs w:val="24"/>
          <w:highlight w:val="none"/>
          <w:lang w:val="en-US" w:eastAsia="zh-CN"/>
        </w:rPr>
        <w:t>合同签订30个工作日内</w:t>
      </w:r>
      <w:r>
        <w:rPr>
          <w:rFonts w:hint="eastAsia" w:ascii="宋体" w:hAnsi="宋体"/>
          <w:bCs/>
          <w:sz w:val="24"/>
          <w:szCs w:val="24"/>
          <w:highlight w:val="none"/>
          <w:lang w:val="en-US" w:eastAsia="zh-CN"/>
        </w:rPr>
        <w:t>支付首年度服务费的16%，</w:t>
      </w:r>
      <w:r>
        <w:rPr>
          <w:rFonts w:hint="eastAsia" w:ascii="宋体" w:hAnsi="宋体"/>
          <w:bCs/>
          <w:sz w:val="24"/>
          <w:szCs w:val="24"/>
          <w:highlight w:val="none"/>
          <w:lang w:val="en-US" w:eastAsia="zh-CN"/>
        </w:rPr>
        <w:t>首年度服务费的余款在当年服务期满后30个工作日内付清；第二个年度服务开始后30个工作日内支付第二个年度服务费的</w:t>
      </w:r>
      <w:r>
        <w:rPr>
          <w:rFonts w:hint="eastAsia" w:ascii="宋体" w:hAnsi="宋体"/>
          <w:bCs/>
          <w:sz w:val="24"/>
          <w:szCs w:val="24"/>
          <w:highlight w:val="none"/>
          <w:lang w:val="en-US" w:eastAsia="zh-CN"/>
        </w:rPr>
        <w:t>16%</w:t>
      </w:r>
      <w:r>
        <w:rPr>
          <w:rFonts w:hint="eastAsia" w:ascii="宋体" w:hAnsi="宋体"/>
          <w:bCs/>
          <w:sz w:val="24"/>
          <w:szCs w:val="24"/>
          <w:highlight w:val="none"/>
          <w:lang w:val="en-US" w:eastAsia="zh-CN"/>
        </w:rPr>
        <w:t>，第二个年度服务费的余款在当年服务期满后30个工作日内付清；第三个年度服务开始后30个工作日内支付第三个年度服务费的</w:t>
      </w:r>
      <w:r>
        <w:rPr>
          <w:rFonts w:hint="eastAsia" w:ascii="宋体" w:hAnsi="宋体"/>
          <w:bCs/>
          <w:sz w:val="24"/>
          <w:szCs w:val="24"/>
          <w:highlight w:val="none"/>
          <w:lang w:val="en-US" w:eastAsia="zh-CN"/>
        </w:rPr>
        <w:t>16%</w:t>
      </w:r>
      <w:r>
        <w:rPr>
          <w:rFonts w:hint="eastAsia" w:ascii="宋体" w:hAnsi="宋体"/>
          <w:bCs/>
          <w:sz w:val="24"/>
          <w:szCs w:val="24"/>
          <w:highlight w:val="none"/>
          <w:lang w:val="en-US" w:eastAsia="zh-CN"/>
        </w:rPr>
        <w:t>，第三个年度服务费的余款在当年服务期满后30个工作日内付清。</w:t>
      </w:r>
      <w:r>
        <w:rPr>
          <w:rFonts w:hint="eastAsia" w:ascii="宋体" w:hAnsi="宋体" w:eastAsia="宋体"/>
          <w:bCs/>
          <w:sz w:val="24"/>
          <w:szCs w:val="24"/>
          <w:highlight w:val="none"/>
          <w:lang w:val="en-US" w:eastAsia="zh-CN"/>
        </w:rPr>
        <w:t>以上付款不计利息。</w:t>
      </w:r>
    </w:p>
    <w:p w14:paraId="0A55E04C">
      <w:pPr>
        <w:snapToGrid w:val="0"/>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注：付款前</w:t>
      </w:r>
      <w:r>
        <w:rPr>
          <w:rFonts w:hint="eastAsia" w:ascii="宋体" w:hAnsi="宋体" w:cs="Times New Roman"/>
          <w:bCs/>
          <w:sz w:val="24"/>
          <w:szCs w:val="24"/>
          <w:highlight w:val="none"/>
          <w:lang w:val="en-US" w:eastAsia="zh-CN"/>
        </w:rPr>
        <w:t>乙方</w:t>
      </w:r>
      <w:r>
        <w:rPr>
          <w:rFonts w:hint="eastAsia" w:ascii="宋体" w:hAnsi="宋体" w:eastAsia="宋体" w:cs="Times New Roman"/>
          <w:bCs/>
          <w:sz w:val="24"/>
          <w:szCs w:val="24"/>
          <w:highlight w:val="none"/>
          <w:lang w:val="en-US" w:eastAsia="zh-CN"/>
        </w:rPr>
        <w:t>须提供等额合规发票及相关申请资料，否则</w:t>
      </w:r>
      <w:r>
        <w:rPr>
          <w:rFonts w:hint="eastAsia" w:ascii="宋体" w:hAnsi="宋体" w:cs="Times New Roman"/>
          <w:bCs/>
          <w:sz w:val="24"/>
          <w:szCs w:val="24"/>
          <w:highlight w:val="none"/>
          <w:lang w:val="en-US" w:eastAsia="zh-CN"/>
        </w:rPr>
        <w:t>甲方</w:t>
      </w:r>
      <w:r>
        <w:rPr>
          <w:rFonts w:hint="eastAsia" w:ascii="宋体" w:hAnsi="宋体" w:eastAsia="宋体" w:cs="Times New Roman"/>
          <w:bCs/>
          <w:sz w:val="24"/>
          <w:szCs w:val="24"/>
          <w:highlight w:val="none"/>
          <w:lang w:val="en-US" w:eastAsia="zh-CN"/>
        </w:rPr>
        <w:t>可以拒付。</w:t>
      </w:r>
    </w:p>
    <w:p w14:paraId="4F52E4A6">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七</w:t>
      </w:r>
      <w:r>
        <w:rPr>
          <w:rFonts w:hint="eastAsia" w:ascii="宋体" w:hAnsi="宋体"/>
          <w:b/>
          <w:sz w:val="24"/>
          <w:szCs w:val="24"/>
          <w:highlight w:val="none"/>
        </w:rPr>
        <w:t>、税费</w:t>
      </w:r>
    </w:p>
    <w:p w14:paraId="3C8C75E0">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7</w:t>
      </w:r>
      <w:r>
        <w:rPr>
          <w:rFonts w:ascii="宋体" w:hAnsi="宋体"/>
          <w:sz w:val="24"/>
          <w:szCs w:val="24"/>
          <w:highlight w:val="none"/>
        </w:rPr>
        <w:t>.1</w:t>
      </w:r>
      <w:r>
        <w:rPr>
          <w:rFonts w:hint="eastAsia" w:ascii="宋体" w:hAnsi="宋体"/>
          <w:sz w:val="24"/>
          <w:szCs w:val="24"/>
          <w:highlight w:val="none"/>
        </w:rPr>
        <w:t>本合同执行中相关的一切税费均由乙方负担。</w:t>
      </w:r>
    </w:p>
    <w:p w14:paraId="4E2BE148">
      <w:pPr>
        <w:numPr>
          <w:ilvl w:val="0"/>
          <w:numId w:val="3"/>
        </w:numPr>
        <w:adjustRightInd w:val="0"/>
        <w:snapToGrid w:val="0"/>
        <w:spacing w:line="360" w:lineRule="auto"/>
        <w:ind w:firstLine="482" w:firstLineChars="200"/>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甲乙双方的义务</w:t>
      </w:r>
    </w:p>
    <w:p w14:paraId="7BEA563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8.1甲方</w:t>
      </w:r>
      <w:r>
        <w:rPr>
          <w:rFonts w:hint="eastAsia" w:ascii="宋体" w:hAnsi="宋体" w:eastAsia="宋体" w:cs="Times New Roman"/>
          <w:sz w:val="24"/>
          <w:szCs w:val="24"/>
          <w:highlight w:val="none"/>
        </w:rPr>
        <w:t>的义务：</w:t>
      </w:r>
    </w:p>
    <w:p w14:paraId="1069BEE3">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8.1.1</w:t>
      </w:r>
      <w:r>
        <w:rPr>
          <w:rFonts w:hint="eastAsia" w:ascii="宋体" w:hAnsi="宋体" w:eastAsia="宋体" w:cs="Times New Roman"/>
          <w:sz w:val="24"/>
          <w:szCs w:val="24"/>
          <w:highlight w:val="none"/>
        </w:rPr>
        <w:t>工作需要时，</w:t>
      </w:r>
      <w:r>
        <w:rPr>
          <w:rFonts w:hint="eastAsia" w:ascii="宋体" w:hAnsi="宋体" w:eastAsia="宋体" w:cs="Times New Roman"/>
          <w:sz w:val="24"/>
          <w:szCs w:val="24"/>
          <w:highlight w:val="none"/>
          <w:lang w:val="en-US" w:eastAsia="zh-CN"/>
        </w:rPr>
        <w:t>甲方</w:t>
      </w:r>
      <w:r>
        <w:rPr>
          <w:rFonts w:hint="eastAsia" w:ascii="宋体" w:hAnsi="宋体" w:cs="Times New Roman"/>
          <w:sz w:val="24"/>
          <w:szCs w:val="24"/>
          <w:highlight w:val="none"/>
          <w:lang w:val="en-US" w:eastAsia="zh-CN"/>
        </w:rPr>
        <w:t>为</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派出的有关工作人员提供必要的工作条件和协助。</w:t>
      </w:r>
    </w:p>
    <w:p w14:paraId="7501910E">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8.1.2甲方</w:t>
      </w:r>
      <w:r>
        <w:rPr>
          <w:rFonts w:hint="eastAsia" w:ascii="宋体" w:hAnsi="宋体" w:eastAsia="宋体" w:cs="Times New Roman"/>
          <w:sz w:val="24"/>
          <w:szCs w:val="24"/>
          <w:highlight w:val="none"/>
        </w:rPr>
        <w:t>应当在委托书发出后，及时免费向</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提供与本</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rPr>
        <w:t>业务有关的全部资料，并保证资料的真实性、准确性、完整性。</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应当在3日内就</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书面提交并要求做出答复的事宜做出书面答复。</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要求第三人提供有关资料时，</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应负责转达及资料转送。</w:t>
      </w:r>
    </w:p>
    <w:p w14:paraId="6794DDA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8.1.3甲方</w:t>
      </w:r>
      <w:r>
        <w:rPr>
          <w:rFonts w:hint="eastAsia" w:ascii="宋体" w:hAnsi="宋体" w:eastAsia="宋体" w:cs="Times New Roman"/>
          <w:sz w:val="24"/>
          <w:szCs w:val="24"/>
          <w:highlight w:val="none"/>
        </w:rPr>
        <w:t>应当授权胜任本</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rPr>
        <w:t>业务的代表，负责与</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联系，协调业务开展过程中出现的其他有关问题。</w:t>
      </w:r>
    </w:p>
    <w:p w14:paraId="110CB7D1">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8.1.4</w:t>
      </w:r>
      <w:r>
        <w:rPr>
          <w:rFonts w:hint="eastAsia" w:ascii="宋体" w:hAnsi="宋体" w:eastAsia="宋体" w:cs="Times New Roman"/>
          <w:sz w:val="24"/>
          <w:szCs w:val="24"/>
          <w:highlight w:val="none"/>
        </w:rPr>
        <w:t>按照约定条件及时足额支付服务费用。</w:t>
      </w:r>
    </w:p>
    <w:p w14:paraId="18854D4B">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8.2乙方</w:t>
      </w:r>
      <w:r>
        <w:rPr>
          <w:rFonts w:hint="eastAsia" w:ascii="宋体" w:hAnsi="宋体" w:eastAsia="宋体" w:cs="Times New Roman"/>
          <w:sz w:val="24"/>
          <w:szCs w:val="24"/>
          <w:highlight w:val="none"/>
        </w:rPr>
        <w:t>的义务：</w:t>
      </w:r>
    </w:p>
    <w:p w14:paraId="2E27692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8.2.1</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要求，独立完成业务事项。</w:t>
      </w:r>
    </w:p>
    <w:p w14:paraId="6DA40EC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8.2.2</w:t>
      </w:r>
      <w:r>
        <w:rPr>
          <w:rFonts w:hint="eastAsia" w:ascii="宋体" w:hAnsi="宋体" w:eastAsia="宋体" w:cs="Times New Roman"/>
          <w:sz w:val="24"/>
          <w:szCs w:val="24"/>
          <w:highlight w:val="none"/>
        </w:rPr>
        <w:t>在服务过程中对被检查</w:t>
      </w:r>
      <w:r>
        <w:rPr>
          <w:rFonts w:hint="eastAsia" w:ascii="宋体" w:hAnsi="宋体" w:eastAsia="宋体" w:cs="Times New Roman"/>
          <w:sz w:val="24"/>
          <w:szCs w:val="24"/>
          <w:highlight w:val="none"/>
          <w:lang w:val="en-US" w:eastAsia="zh-CN"/>
        </w:rPr>
        <w:t>出</w:t>
      </w:r>
      <w:r>
        <w:rPr>
          <w:rFonts w:hint="eastAsia" w:ascii="宋体" w:hAnsi="宋体" w:eastAsia="宋体" w:cs="Times New Roman"/>
          <w:sz w:val="24"/>
          <w:szCs w:val="24"/>
          <w:highlight w:val="none"/>
        </w:rPr>
        <w:t>存在的问题，如实向</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汇报，不得有瞒报、漏报。</w:t>
      </w:r>
    </w:p>
    <w:p w14:paraId="24BCDE06">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8.2.3</w:t>
      </w:r>
      <w:r>
        <w:rPr>
          <w:rFonts w:hint="eastAsia" w:ascii="宋体" w:hAnsi="宋体" w:eastAsia="宋体" w:cs="Times New Roman"/>
          <w:sz w:val="24"/>
          <w:szCs w:val="24"/>
          <w:highlight w:val="none"/>
        </w:rPr>
        <w:t>对在执行业务过程中知悉的商业秘密负有保密责任。除法律另有规定外，未经</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同意，不得将资料泄露给</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以外的第三者。</w:t>
      </w:r>
    </w:p>
    <w:p w14:paraId="2EC7D947">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8.2.4乙方</w:t>
      </w:r>
      <w:r>
        <w:rPr>
          <w:rFonts w:hint="eastAsia" w:ascii="宋体" w:hAnsi="宋体" w:eastAsia="宋体" w:cs="Times New Roman"/>
          <w:sz w:val="24"/>
          <w:szCs w:val="24"/>
          <w:highlight w:val="none"/>
        </w:rPr>
        <w:t>的项目负责人、主要技术人员一般不得更换，如要更换，需报</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同意。</w:t>
      </w:r>
    </w:p>
    <w:p w14:paraId="10A5F70B">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8.2.5</w:t>
      </w:r>
      <w:r>
        <w:rPr>
          <w:rFonts w:hint="eastAsia" w:ascii="宋体" w:hAnsi="宋体" w:eastAsia="宋体" w:cs="Times New Roman"/>
          <w:sz w:val="24"/>
          <w:szCs w:val="24"/>
          <w:highlight w:val="none"/>
        </w:rPr>
        <w:t>服务期间，</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的食宿交通等费用自理。</w:t>
      </w:r>
    </w:p>
    <w:p w14:paraId="54CCC019">
      <w:pPr>
        <w:adjustRightInd w:val="0"/>
        <w:snapToGrid w:val="0"/>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8.2.6</w:t>
      </w:r>
      <w:r>
        <w:rPr>
          <w:rFonts w:hint="eastAsia" w:ascii="宋体" w:hAnsi="宋体" w:eastAsia="宋体" w:cs="Times New Roman"/>
          <w:sz w:val="24"/>
          <w:szCs w:val="24"/>
          <w:highlight w:val="none"/>
        </w:rPr>
        <w:t>即便项目已通过</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组织的验收，款项已结清，</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还需做好相关后续服务工作（包括与咨询服务内容工作相关的投诉处理等）。</w:t>
      </w:r>
    </w:p>
    <w:p w14:paraId="48B12DFC">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九</w:t>
      </w:r>
      <w:r>
        <w:rPr>
          <w:rFonts w:ascii="宋体" w:hAnsi="宋体" w:cs="Courier New"/>
          <w:b/>
          <w:sz w:val="24"/>
          <w:szCs w:val="24"/>
          <w:highlight w:val="none"/>
        </w:rPr>
        <w:t>、</w:t>
      </w:r>
      <w:r>
        <w:rPr>
          <w:rFonts w:hint="eastAsia" w:ascii="宋体" w:hAnsi="宋体" w:cs="Courier New"/>
          <w:b/>
          <w:sz w:val="24"/>
          <w:szCs w:val="24"/>
          <w:highlight w:val="none"/>
        </w:rPr>
        <w:t>项目</w:t>
      </w:r>
      <w:r>
        <w:rPr>
          <w:rFonts w:ascii="宋体" w:hAnsi="宋体" w:cs="Courier New"/>
          <w:b/>
          <w:sz w:val="24"/>
          <w:szCs w:val="24"/>
          <w:highlight w:val="none"/>
        </w:rPr>
        <w:t>验收</w:t>
      </w:r>
    </w:p>
    <w:p w14:paraId="118F3066">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lang w:val="en-US" w:eastAsia="zh-CN"/>
        </w:rPr>
        <w:t>9</w:t>
      </w:r>
      <w:r>
        <w:rPr>
          <w:rFonts w:hint="eastAsia" w:ascii="宋体" w:hAnsi="宋体" w:cs="Courier New"/>
          <w:sz w:val="24"/>
          <w:szCs w:val="24"/>
          <w:highlight w:val="none"/>
        </w:rPr>
        <w:t>.1甲方依法组织履约验收工作。</w:t>
      </w:r>
    </w:p>
    <w:p w14:paraId="6ACB6789">
      <w:pPr>
        <w:adjustRightInd w:val="0"/>
        <w:snapToGrid w:val="0"/>
        <w:spacing w:line="360" w:lineRule="auto"/>
        <w:ind w:firstLine="480" w:firstLineChars="200"/>
        <w:rPr>
          <w:rFonts w:hint="eastAsia" w:ascii="宋体" w:hAnsi="宋体" w:cs="Courier New"/>
          <w:sz w:val="24"/>
          <w:szCs w:val="24"/>
          <w:highlight w:val="none"/>
        </w:rPr>
      </w:pPr>
      <w:r>
        <w:rPr>
          <w:rFonts w:hint="eastAsia" w:ascii="宋体" w:hAnsi="宋体" w:cs="Courier New"/>
          <w:sz w:val="24"/>
          <w:szCs w:val="24"/>
          <w:highlight w:val="none"/>
          <w:lang w:val="en-US" w:eastAsia="zh-CN"/>
        </w:rPr>
        <w:t>9</w:t>
      </w:r>
      <w:r>
        <w:rPr>
          <w:rFonts w:hint="eastAsia" w:ascii="宋体" w:hAnsi="宋体" w:cs="Courier New"/>
          <w:sz w:val="24"/>
          <w:szCs w:val="24"/>
          <w:highlight w:val="none"/>
        </w:rPr>
        <w:t>.</w:t>
      </w:r>
      <w:r>
        <w:rPr>
          <w:rFonts w:hint="eastAsia" w:ascii="宋体" w:hAnsi="宋体" w:cs="Courier New"/>
          <w:sz w:val="24"/>
          <w:szCs w:val="24"/>
          <w:highlight w:val="none"/>
          <w:lang w:val="en-US" w:eastAsia="zh-CN"/>
        </w:rPr>
        <w:t>2</w:t>
      </w:r>
      <w:r>
        <w:rPr>
          <w:rFonts w:hint="eastAsia" w:ascii="宋体" w:hAnsi="宋体" w:cs="Courier New"/>
          <w:sz w:val="24"/>
          <w:szCs w:val="24"/>
          <w:highlight w:val="none"/>
        </w:rPr>
        <w:t>验收合格的项目</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甲方根据采购合同的约定及时向乙方支付合同款项。验收不合格的项目，甲方依法及时处理。</w:t>
      </w:r>
    </w:p>
    <w:p w14:paraId="34E9AE84">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十、违约责任</w:t>
      </w:r>
    </w:p>
    <w:p w14:paraId="20E21918">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0</w:t>
      </w:r>
      <w:r>
        <w:rPr>
          <w:rFonts w:ascii="宋体" w:hAnsi="宋体" w:cs="Courier New"/>
          <w:sz w:val="24"/>
          <w:szCs w:val="24"/>
          <w:highlight w:val="none"/>
        </w:rPr>
        <w:t>.1甲方无正当理由</w:t>
      </w:r>
      <w:r>
        <w:rPr>
          <w:rFonts w:hint="eastAsia" w:ascii="宋体" w:hAnsi="宋体" w:cs="Courier New"/>
          <w:sz w:val="24"/>
          <w:szCs w:val="24"/>
          <w:highlight w:val="none"/>
        </w:rPr>
        <w:t>拒绝接受乙方提供的合同标的</w:t>
      </w:r>
      <w:r>
        <w:rPr>
          <w:rFonts w:ascii="宋体" w:hAnsi="宋体" w:cs="Courier New"/>
          <w:sz w:val="24"/>
          <w:szCs w:val="24"/>
          <w:highlight w:val="none"/>
        </w:rPr>
        <w:t>的，甲方向乙方偿付</w:t>
      </w:r>
      <w:r>
        <w:rPr>
          <w:rFonts w:hint="eastAsia" w:ascii="宋体" w:hAnsi="宋体" w:cs="Courier New"/>
          <w:sz w:val="24"/>
          <w:szCs w:val="24"/>
          <w:highlight w:val="none"/>
        </w:rPr>
        <w:t>拒绝接受合同价款</w:t>
      </w:r>
      <w:r>
        <w:rPr>
          <w:rFonts w:ascii="宋体" w:hAnsi="宋体" w:cs="Courier New"/>
          <w:sz w:val="24"/>
          <w:szCs w:val="24"/>
          <w:highlight w:val="none"/>
        </w:rPr>
        <w:t>总值</w:t>
      </w:r>
      <w:r>
        <w:rPr>
          <w:rFonts w:hint="eastAsia" w:ascii="宋体" w:hAnsi="宋体" w:cs="Courier New"/>
          <w:sz w:val="24"/>
          <w:szCs w:val="24"/>
          <w:highlight w:val="none"/>
          <w:u w:val="single"/>
        </w:rPr>
        <w:t>5%</w:t>
      </w:r>
      <w:r>
        <w:rPr>
          <w:rFonts w:ascii="宋体" w:hAnsi="宋体" w:cs="Courier New"/>
          <w:sz w:val="24"/>
          <w:szCs w:val="24"/>
          <w:highlight w:val="none"/>
        </w:rPr>
        <w:t>的违约金。</w:t>
      </w:r>
    </w:p>
    <w:p w14:paraId="577198E2">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0</w:t>
      </w:r>
      <w:r>
        <w:rPr>
          <w:rFonts w:ascii="宋体" w:hAnsi="宋体" w:cs="Courier New"/>
          <w:sz w:val="24"/>
          <w:szCs w:val="24"/>
          <w:highlight w:val="none"/>
        </w:rPr>
        <w:t>.2甲方无故逾期验收和办理</w:t>
      </w:r>
      <w:r>
        <w:rPr>
          <w:rFonts w:hint="eastAsia" w:ascii="宋体" w:hAnsi="宋体" w:cs="Courier New"/>
          <w:sz w:val="24"/>
          <w:szCs w:val="24"/>
          <w:highlight w:val="none"/>
        </w:rPr>
        <w:t>合同款项</w:t>
      </w:r>
      <w:r>
        <w:rPr>
          <w:rFonts w:ascii="宋体" w:hAnsi="宋体" w:cs="Courier New"/>
          <w:sz w:val="24"/>
          <w:szCs w:val="24"/>
          <w:highlight w:val="none"/>
        </w:rPr>
        <w:t>支付手续的</w:t>
      </w:r>
      <w:r>
        <w:rPr>
          <w:rFonts w:hint="eastAsia" w:ascii="宋体" w:hAnsi="宋体" w:cs="Courier New"/>
          <w:sz w:val="24"/>
          <w:szCs w:val="24"/>
          <w:highlight w:val="none"/>
          <w:lang w:eastAsia="zh-CN"/>
        </w:rPr>
        <w:t>，</w:t>
      </w:r>
      <w:r>
        <w:rPr>
          <w:rFonts w:ascii="宋体" w:hAnsi="宋体" w:cs="Courier New"/>
          <w:sz w:val="24"/>
          <w:szCs w:val="24"/>
          <w:highlight w:val="none"/>
        </w:rPr>
        <w:t>甲方应按逾期付款总额</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6‰</w:t>
      </w:r>
      <w:r>
        <w:rPr>
          <w:rFonts w:hint="eastAsia" w:ascii="宋体" w:hAnsi="宋体" w:cs="Courier New"/>
          <w:sz w:val="24"/>
          <w:szCs w:val="24"/>
          <w:highlight w:val="none"/>
          <w:u w:val="single"/>
        </w:rPr>
        <w:t xml:space="preserve"> </w:t>
      </w:r>
      <w:r>
        <w:rPr>
          <w:rFonts w:ascii="宋体" w:hAnsi="宋体" w:cs="Courier New"/>
          <w:sz w:val="24"/>
          <w:szCs w:val="24"/>
          <w:highlight w:val="none"/>
        </w:rPr>
        <w:t>每日向乙方支付违约金。</w:t>
      </w:r>
    </w:p>
    <w:p w14:paraId="286D50BA">
      <w:pPr>
        <w:adjustRightInd w:val="0"/>
        <w:snapToGrid w:val="0"/>
        <w:spacing w:line="360" w:lineRule="auto"/>
        <w:ind w:firstLine="480" w:firstLineChars="200"/>
        <w:rPr>
          <w:rFonts w:ascii="宋体" w:hAnsi="宋体" w:eastAsia="宋体" w:cs="Courier New"/>
          <w:sz w:val="24"/>
          <w:szCs w:val="24"/>
          <w:highlight w:val="none"/>
        </w:rPr>
      </w:pPr>
      <w:r>
        <w:rPr>
          <w:rFonts w:hint="eastAsia" w:ascii="宋体" w:hAnsi="宋体" w:eastAsia="宋体" w:cs="Courier New"/>
          <w:sz w:val="24"/>
          <w:szCs w:val="24"/>
          <w:highlight w:val="none"/>
          <w:lang w:val="en-US" w:eastAsia="zh-CN"/>
        </w:rPr>
        <w:t>10.3</w:t>
      </w:r>
      <w:r>
        <w:rPr>
          <w:rFonts w:ascii="宋体" w:hAnsi="宋体" w:eastAsia="宋体" w:cs="Courier New"/>
          <w:sz w:val="24"/>
          <w:szCs w:val="24"/>
          <w:highlight w:val="none"/>
        </w:rPr>
        <w:t>合同签订后，</w:t>
      </w:r>
      <w:r>
        <w:rPr>
          <w:rFonts w:hint="eastAsia" w:ascii="宋体" w:hAnsi="宋体" w:eastAsia="宋体" w:cs="Courier New"/>
          <w:sz w:val="24"/>
          <w:szCs w:val="24"/>
          <w:highlight w:val="none"/>
          <w:lang w:val="en-US" w:eastAsia="zh-CN"/>
        </w:rPr>
        <w:t>乙方</w:t>
      </w:r>
      <w:r>
        <w:rPr>
          <w:rFonts w:ascii="宋体" w:hAnsi="宋体" w:eastAsia="宋体" w:cs="Courier New"/>
          <w:sz w:val="24"/>
          <w:szCs w:val="24"/>
          <w:highlight w:val="none"/>
        </w:rPr>
        <w:t>必须按照投标承诺投入项目组人员开展工作，无正当理由（疾病、死亡、离职）不得更换项目负责人，且更换的项目负责人条件不得低于投标承诺的项目负责人，否则</w:t>
      </w:r>
      <w:r>
        <w:rPr>
          <w:rFonts w:hint="eastAsia" w:ascii="宋体" w:hAnsi="宋体" w:eastAsia="宋体" w:cs="Courier New"/>
          <w:sz w:val="24"/>
          <w:szCs w:val="24"/>
          <w:highlight w:val="none"/>
          <w:lang w:val="en-US" w:eastAsia="zh-CN"/>
        </w:rPr>
        <w:t>甲方</w:t>
      </w:r>
      <w:r>
        <w:rPr>
          <w:rFonts w:ascii="宋体" w:hAnsi="宋体" w:eastAsia="宋体" w:cs="Courier New"/>
          <w:sz w:val="24"/>
          <w:szCs w:val="24"/>
          <w:highlight w:val="none"/>
        </w:rPr>
        <w:t>有权按2万元/人次的标准收取</w:t>
      </w:r>
      <w:r>
        <w:rPr>
          <w:rFonts w:hint="eastAsia" w:ascii="宋体" w:hAnsi="宋体" w:eastAsia="宋体" w:cs="Courier New"/>
          <w:sz w:val="24"/>
          <w:szCs w:val="24"/>
          <w:highlight w:val="none"/>
          <w:lang w:val="en-US" w:eastAsia="zh-CN"/>
        </w:rPr>
        <w:t>乙方</w:t>
      </w:r>
      <w:r>
        <w:rPr>
          <w:rFonts w:ascii="宋体" w:hAnsi="宋体" w:eastAsia="宋体" w:cs="Courier New"/>
          <w:sz w:val="24"/>
          <w:szCs w:val="24"/>
          <w:highlight w:val="none"/>
        </w:rPr>
        <w:t>违约金，更换后的项目负责人不能胜任工作的，</w:t>
      </w:r>
      <w:r>
        <w:rPr>
          <w:rFonts w:hint="eastAsia" w:ascii="宋体" w:hAnsi="宋体" w:eastAsia="宋体" w:cs="Courier New"/>
          <w:sz w:val="24"/>
          <w:szCs w:val="24"/>
          <w:highlight w:val="none"/>
          <w:lang w:val="en-US" w:eastAsia="zh-CN"/>
        </w:rPr>
        <w:t>甲方</w:t>
      </w:r>
      <w:r>
        <w:rPr>
          <w:rFonts w:ascii="宋体" w:hAnsi="宋体" w:eastAsia="宋体" w:cs="Courier New"/>
          <w:sz w:val="24"/>
          <w:szCs w:val="24"/>
          <w:highlight w:val="none"/>
        </w:rPr>
        <w:t>有权终止合同，已完工作费用也不再支付。</w:t>
      </w:r>
    </w:p>
    <w:p w14:paraId="07A8EC35">
      <w:pPr>
        <w:adjustRightInd w:val="0"/>
        <w:snapToGrid w:val="0"/>
        <w:spacing w:line="360" w:lineRule="auto"/>
        <w:ind w:firstLine="480" w:firstLineChars="200"/>
        <w:rPr>
          <w:rFonts w:ascii="宋体" w:hAnsi="宋体" w:eastAsia="宋体" w:cs="Courier New"/>
          <w:sz w:val="24"/>
          <w:szCs w:val="24"/>
          <w:highlight w:val="none"/>
        </w:rPr>
      </w:pPr>
      <w:r>
        <w:rPr>
          <w:rFonts w:hint="eastAsia" w:ascii="宋体" w:hAnsi="宋体" w:eastAsia="宋体" w:cs="Courier New"/>
          <w:sz w:val="24"/>
          <w:szCs w:val="24"/>
          <w:highlight w:val="none"/>
          <w:lang w:val="en-US" w:eastAsia="zh-CN"/>
        </w:rPr>
        <w:t>10.4合同</w:t>
      </w:r>
      <w:r>
        <w:rPr>
          <w:rFonts w:ascii="宋体" w:hAnsi="宋体" w:eastAsia="宋体" w:cs="Courier New"/>
          <w:sz w:val="24"/>
          <w:szCs w:val="24"/>
          <w:highlight w:val="none"/>
        </w:rPr>
        <w:t>签订后，任何一方不得随意变更或解除、违约，若有违约，违约方必须承担由此导致的直接、间接经济损失和相应的法律责任。</w:t>
      </w:r>
    </w:p>
    <w:p w14:paraId="5BF09FD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0</w:t>
      </w:r>
      <w:r>
        <w:rPr>
          <w:rFonts w:ascii="宋体" w:hAnsi="宋体" w:cs="Courier New"/>
          <w:sz w:val="24"/>
          <w:szCs w:val="24"/>
          <w:highlight w:val="none"/>
        </w:rPr>
        <w:t>.</w:t>
      </w:r>
      <w:r>
        <w:rPr>
          <w:rFonts w:hint="eastAsia" w:ascii="宋体" w:hAnsi="宋体" w:cs="Courier New"/>
          <w:sz w:val="24"/>
          <w:szCs w:val="24"/>
          <w:highlight w:val="none"/>
          <w:lang w:val="en-US" w:eastAsia="zh-CN"/>
        </w:rPr>
        <w:t>5</w:t>
      </w:r>
      <w:r>
        <w:rPr>
          <w:rFonts w:ascii="宋体" w:hAnsi="宋体" w:cs="Courier New"/>
          <w:sz w:val="24"/>
          <w:szCs w:val="24"/>
          <w:highlight w:val="none"/>
        </w:rPr>
        <w:t>乙方</w:t>
      </w:r>
      <w:r>
        <w:rPr>
          <w:rFonts w:hint="eastAsia" w:ascii="宋体" w:hAnsi="宋体" w:cs="Courier New"/>
          <w:sz w:val="24"/>
          <w:szCs w:val="24"/>
          <w:highlight w:val="none"/>
        </w:rPr>
        <w:t>交付合同标的的标准</w:t>
      </w:r>
      <w:r>
        <w:rPr>
          <w:rFonts w:ascii="宋体" w:hAnsi="宋体" w:cs="Courier New"/>
          <w:sz w:val="24"/>
          <w:szCs w:val="24"/>
          <w:highlight w:val="none"/>
        </w:rPr>
        <w:t>不符合合同规定及</w:t>
      </w:r>
      <w:r>
        <w:rPr>
          <w:rFonts w:hint="eastAsia" w:ascii="宋体" w:hAnsi="宋体" w:cs="Courier New"/>
          <w:sz w:val="24"/>
          <w:szCs w:val="24"/>
          <w:highlight w:val="none"/>
          <w:lang w:val="en-US" w:eastAsia="zh-CN"/>
        </w:rPr>
        <w:t>招标</w:t>
      </w:r>
      <w:r>
        <w:rPr>
          <w:rFonts w:ascii="宋体" w:hAnsi="宋体" w:cs="Courier New"/>
          <w:sz w:val="24"/>
          <w:szCs w:val="24"/>
          <w:highlight w:val="none"/>
        </w:rPr>
        <w:t>文件规定标准的，甲方有权</w:t>
      </w:r>
      <w:r>
        <w:rPr>
          <w:rFonts w:hint="eastAsia" w:ascii="宋体" w:hAnsi="宋体" w:cs="Courier New"/>
          <w:sz w:val="24"/>
          <w:szCs w:val="24"/>
          <w:highlight w:val="none"/>
        </w:rPr>
        <w:t>拒绝接受合同标的</w:t>
      </w:r>
      <w:r>
        <w:rPr>
          <w:rFonts w:ascii="宋体" w:hAnsi="宋体" w:cs="Courier New"/>
          <w:sz w:val="24"/>
          <w:szCs w:val="24"/>
          <w:highlight w:val="none"/>
        </w:rPr>
        <w:t>，</w:t>
      </w:r>
      <w:r>
        <w:rPr>
          <w:rFonts w:hint="eastAsia" w:ascii="宋体" w:hAnsi="宋体" w:cs="Courier New"/>
          <w:sz w:val="24"/>
          <w:szCs w:val="24"/>
          <w:highlight w:val="none"/>
        </w:rPr>
        <w:t>并</w:t>
      </w:r>
      <w:r>
        <w:rPr>
          <w:rFonts w:ascii="宋体" w:hAnsi="宋体" w:cs="Courier New"/>
          <w:sz w:val="24"/>
          <w:szCs w:val="24"/>
          <w:highlight w:val="none"/>
        </w:rPr>
        <w:t>可单方面解除合同。</w:t>
      </w:r>
    </w:p>
    <w:p w14:paraId="5DC31E88">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lang w:val="en-US" w:eastAsia="zh-CN"/>
        </w:rPr>
        <w:t>一</w:t>
      </w:r>
      <w:r>
        <w:rPr>
          <w:rFonts w:ascii="宋体" w:hAnsi="宋体" w:cs="Courier New"/>
          <w:b/>
          <w:sz w:val="24"/>
          <w:szCs w:val="24"/>
          <w:highlight w:val="none"/>
        </w:rPr>
        <w:t>、不可抗力事件处理</w:t>
      </w:r>
    </w:p>
    <w:p w14:paraId="427B670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1</w:t>
      </w:r>
      <w:r>
        <w:rPr>
          <w:rFonts w:ascii="宋体" w:hAnsi="宋体" w:cs="Courier New"/>
          <w:sz w:val="24"/>
          <w:szCs w:val="24"/>
          <w:highlight w:val="none"/>
        </w:rPr>
        <w:t>.1在合同有效期内，任何一方因不可抗力事件导致不能履行合同，则合同履行期可延长，其延长期与不可抗力影响期相同。</w:t>
      </w:r>
    </w:p>
    <w:p w14:paraId="24A92C6C">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1</w:t>
      </w:r>
      <w:r>
        <w:rPr>
          <w:rFonts w:ascii="宋体" w:hAnsi="宋体" w:cs="Courier New"/>
          <w:sz w:val="24"/>
          <w:szCs w:val="24"/>
          <w:highlight w:val="none"/>
        </w:rPr>
        <w:t>.2不可抗力事件发生后，应立即通知对方，并寄送有关权威机构出具的证明。</w:t>
      </w:r>
    </w:p>
    <w:p w14:paraId="4686C44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1</w:t>
      </w:r>
      <w:r>
        <w:rPr>
          <w:rFonts w:ascii="宋体" w:hAnsi="宋体" w:cs="Courier New"/>
          <w:sz w:val="24"/>
          <w:szCs w:val="24"/>
          <w:highlight w:val="none"/>
        </w:rPr>
        <w:t>.3不可抗力事件延续120天以上，双方应通过友好协商，确定是否继续履行合同。</w:t>
      </w:r>
    </w:p>
    <w:p w14:paraId="6116FF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lang w:val="en-US" w:eastAsia="zh-CN"/>
        </w:rPr>
        <w:t>二</w:t>
      </w:r>
      <w:r>
        <w:rPr>
          <w:rFonts w:ascii="宋体" w:hAnsi="宋体" w:cs="Courier New"/>
          <w:b/>
          <w:sz w:val="24"/>
          <w:szCs w:val="24"/>
          <w:highlight w:val="none"/>
        </w:rPr>
        <w:t>、</w:t>
      </w:r>
      <w:r>
        <w:rPr>
          <w:rFonts w:hint="eastAsia" w:ascii="宋体" w:hAnsi="宋体" w:cs="Courier New"/>
          <w:b/>
          <w:sz w:val="24"/>
          <w:szCs w:val="24"/>
          <w:highlight w:val="none"/>
        </w:rPr>
        <w:t>解决争议的方法</w:t>
      </w:r>
    </w:p>
    <w:p w14:paraId="570E4087">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w:t>
      </w:r>
      <w:r>
        <w:rPr>
          <w:rFonts w:hint="eastAsia" w:ascii="宋体" w:hAnsi="宋体" w:cs="Courier New"/>
          <w:sz w:val="24"/>
          <w:szCs w:val="24"/>
          <w:highlight w:val="none"/>
          <w:lang w:val="en-US" w:eastAsia="zh-CN"/>
        </w:rPr>
        <w:t>2</w:t>
      </w:r>
      <w:r>
        <w:rPr>
          <w:rFonts w:hint="eastAsia" w:ascii="宋体" w:hAnsi="宋体" w:cs="Courier New"/>
          <w:sz w:val="24"/>
          <w:szCs w:val="24"/>
          <w:highlight w:val="none"/>
        </w:rPr>
        <w:t>.1双方在签订、履行合同中所发生的一切争议，应通过友好协商解决。如协商不成，由甲方住所地人民法院管辖。</w:t>
      </w:r>
    </w:p>
    <w:p w14:paraId="32BF4A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lang w:val="en-US" w:eastAsia="zh-CN"/>
        </w:rPr>
        <w:t>三</w:t>
      </w:r>
      <w:r>
        <w:rPr>
          <w:rFonts w:ascii="宋体" w:hAnsi="宋体" w:cs="Courier New"/>
          <w:b/>
          <w:sz w:val="24"/>
          <w:szCs w:val="24"/>
          <w:highlight w:val="none"/>
        </w:rPr>
        <w:t>、合同生效及其</w:t>
      </w:r>
      <w:r>
        <w:rPr>
          <w:rFonts w:hint="eastAsia" w:ascii="宋体" w:hAnsi="宋体" w:cs="Courier New"/>
          <w:b/>
          <w:sz w:val="24"/>
          <w:szCs w:val="24"/>
          <w:highlight w:val="none"/>
          <w:lang w:eastAsia="zh-CN"/>
        </w:rPr>
        <w:t>他</w:t>
      </w:r>
    </w:p>
    <w:p w14:paraId="34DBCB3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3</w:t>
      </w:r>
      <w:r>
        <w:rPr>
          <w:rFonts w:ascii="宋体" w:hAnsi="宋体" w:cs="Courier New"/>
          <w:sz w:val="24"/>
          <w:szCs w:val="24"/>
          <w:highlight w:val="none"/>
        </w:rPr>
        <w:t>.1合同经双方法定代表人或授权委托代</w:t>
      </w:r>
      <w:r>
        <w:rPr>
          <w:rFonts w:hint="eastAsia" w:ascii="宋体" w:hAnsi="宋体" w:cs="Courier New"/>
          <w:sz w:val="24"/>
          <w:szCs w:val="24"/>
          <w:highlight w:val="none"/>
        </w:rPr>
        <w:t>表</w:t>
      </w:r>
      <w:r>
        <w:rPr>
          <w:rFonts w:ascii="宋体" w:hAnsi="宋体" w:cs="Courier New"/>
          <w:sz w:val="24"/>
          <w:szCs w:val="24"/>
          <w:highlight w:val="none"/>
        </w:rPr>
        <w:t>人签字并加盖单位公章后生效。</w:t>
      </w:r>
    </w:p>
    <w:p w14:paraId="61730BF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3</w:t>
      </w:r>
      <w:r>
        <w:rPr>
          <w:rFonts w:ascii="宋体" w:hAnsi="宋体" w:cs="Courier New"/>
          <w:sz w:val="24"/>
          <w:szCs w:val="24"/>
          <w:highlight w:val="none"/>
        </w:rPr>
        <w:t>.2本合同未尽事宜，遵照</w:t>
      </w:r>
      <w:r>
        <w:rPr>
          <w:rFonts w:hint="eastAsia" w:ascii="宋体" w:hAnsi="宋体" w:cs="Courier New"/>
          <w:sz w:val="24"/>
          <w:szCs w:val="24"/>
          <w:highlight w:val="none"/>
        </w:rPr>
        <w:t>《</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民法典》、《</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政府采购法</w:t>
      </w:r>
      <w:r>
        <w:rPr>
          <w:rFonts w:hint="eastAsia" w:ascii="宋体" w:hAnsi="宋体" w:cs="Courier New"/>
          <w:sz w:val="24"/>
          <w:szCs w:val="24"/>
          <w:highlight w:val="none"/>
          <w:lang w:eastAsia="zh-CN"/>
        </w:rPr>
        <w:t>》等</w:t>
      </w:r>
      <w:r>
        <w:rPr>
          <w:rFonts w:ascii="宋体" w:hAnsi="宋体" w:cs="Courier New"/>
          <w:sz w:val="24"/>
          <w:szCs w:val="24"/>
          <w:highlight w:val="none"/>
        </w:rPr>
        <w:t>有关条文执行。</w:t>
      </w:r>
    </w:p>
    <w:p w14:paraId="17706FB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3</w:t>
      </w:r>
      <w:r>
        <w:rPr>
          <w:rFonts w:ascii="宋体" w:hAnsi="宋体" w:cs="Courier New"/>
          <w:sz w:val="24"/>
          <w:szCs w:val="24"/>
          <w:highlight w:val="none"/>
        </w:rPr>
        <w:t>.</w:t>
      </w:r>
      <w:r>
        <w:rPr>
          <w:rFonts w:hint="eastAsia" w:ascii="宋体" w:hAnsi="宋体" w:cs="Courier New"/>
          <w:sz w:val="24"/>
          <w:szCs w:val="24"/>
          <w:highlight w:val="none"/>
        </w:rPr>
        <w:t>3</w:t>
      </w:r>
      <w:r>
        <w:rPr>
          <w:rFonts w:ascii="宋体" w:hAnsi="宋体" w:cs="Courier New"/>
          <w:sz w:val="24"/>
          <w:szCs w:val="24"/>
          <w:highlight w:val="none"/>
        </w:rPr>
        <w:t>本合同正本一式</w:t>
      </w:r>
      <w:r>
        <w:rPr>
          <w:rFonts w:hint="eastAsia" w:ascii="宋体" w:hAnsi="宋体" w:cs="Courier New"/>
          <w:sz w:val="24"/>
          <w:szCs w:val="24"/>
          <w:highlight w:val="none"/>
          <w:lang w:val="en-US" w:eastAsia="zh-CN"/>
        </w:rPr>
        <w:t>四</w:t>
      </w:r>
      <w:r>
        <w:rPr>
          <w:rFonts w:ascii="宋体" w:hAnsi="宋体" w:cs="Courier New"/>
          <w:sz w:val="24"/>
          <w:szCs w:val="24"/>
          <w:highlight w:val="none"/>
        </w:rPr>
        <w:t>份，具有同等法律效力，甲</w:t>
      </w:r>
      <w:r>
        <w:rPr>
          <w:rFonts w:hint="eastAsia" w:ascii="宋体" w:hAnsi="宋体" w:cs="Courier New"/>
          <w:sz w:val="24"/>
          <w:szCs w:val="24"/>
          <w:highlight w:val="none"/>
        </w:rPr>
        <w:t>方、</w:t>
      </w:r>
      <w:r>
        <w:rPr>
          <w:rFonts w:ascii="宋体" w:hAnsi="宋体" w:cs="Courier New"/>
          <w:sz w:val="24"/>
          <w:szCs w:val="24"/>
          <w:highlight w:val="none"/>
        </w:rPr>
        <w:t>乙方各执</w:t>
      </w:r>
      <w:r>
        <w:rPr>
          <w:rFonts w:hint="eastAsia" w:ascii="宋体" w:hAnsi="宋体" w:cs="Courier New"/>
          <w:sz w:val="24"/>
          <w:szCs w:val="24"/>
          <w:highlight w:val="none"/>
          <w:lang w:val="en-US" w:eastAsia="zh-CN"/>
        </w:rPr>
        <w:t>贰</w:t>
      </w:r>
      <w:r>
        <w:rPr>
          <w:rFonts w:ascii="宋体" w:hAnsi="宋体" w:cs="Courier New"/>
          <w:sz w:val="24"/>
          <w:szCs w:val="24"/>
          <w:highlight w:val="none"/>
        </w:rPr>
        <w:t>份。</w:t>
      </w:r>
    </w:p>
    <w:p w14:paraId="4883B491">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 xml:space="preserve">  </w:t>
      </w:r>
    </w:p>
    <w:p w14:paraId="42DF406C">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ascii="宋体" w:hAnsi="宋体" w:cs="Courier New"/>
          <w:sz w:val="24"/>
          <w:szCs w:val="24"/>
          <w:highlight w:val="none"/>
          <w:u w:val="singl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乙方：</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w:t>
      </w:r>
    </w:p>
    <w:p w14:paraId="41F7F69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地址：</w:t>
      </w:r>
      <w:r>
        <w:rPr>
          <w:rFonts w:hint="eastAsia" w:ascii="宋体" w:hAnsi="宋体" w:cs="Courier New"/>
          <w:sz w:val="24"/>
          <w:szCs w:val="24"/>
          <w:highlight w:val="none"/>
          <w:u w:val="single"/>
          <w:lang w:val="en-US" w:eastAsia="zh-CN"/>
        </w:rPr>
        <w:t xml:space="preserve">       </w:t>
      </w:r>
      <w:r>
        <w:rPr>
          <w:rFonts w:ascii="宋体" w:hAnsi="宋体" w:cs="Courier New"/>
          <w:sz w:val="24"/>
          <w:szCs w:val="24"/>
          <w:highlight w:val="none"/>
        </w:rPr>
        <w:t xml:space="preserve">                     地址：</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p>
    <w:p w14:paraId="4E2C88B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法定代表人</w:t>
      </w:r>
      <w:r>
        <w:rPr>
          <w:rFonts w:hint="eastAsia" w:ascii="宋体" w:hAnsi="宋体" w:cs="Courier New"/>
          <w:sz w:val="24"/>
          <w:szCs w:val="24"/>
          <w:highlight w:val="none"/>
          <w:lang w:val="en-US" w:eastAsia="zh-CN"/>
        </w:rPr>
        <w:t xml:space="preserve">                        </w:t>
      </w:r>
      <w:r>
        <w:rPr>
          <w:rFonts w:ascii="宋体" w:hAnsi="宋体" w:cs="Courier New"/>
          <w:sz w:val="24"/>
          <w:szCs w:val="24"/>
          <w:highlight w:val="none"/>
        </w:rPr>
        <w:t>法定代表人</w:t>
      </w:r>
    </w:p>
    <w:p w14:paraId="3D3FCB73">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44A9A47C">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联系电话：</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rPr>
        <w:t xml:space="preserve">              </w:t>
      </w:r>
      <w:r>
        <w:rPr>
          <w:rFonts w:hint="eastAsia" w:ascii="宋体" w:hAnsi="宋体" w:cs="Courier New"/>
          <w:sz w:val="24"/>
          <w:szCs w:val="24"/>
          <w:highlight w:val="none"/>
          <w:lang w:val="en-US" w:eastAsia="zh-CN"/>
        </w:rPr>
        <w:t xml:space="preserve"> </w:t>
      </w:r>
      <w:r>
        <w:rPr>
          <w:rFonts w:hint="eastAsia" w:ascii="宋体" w:hAnsi="宋体" w:cs="Courier New"/>
          <w:sz w:val="24"/>
          <w:szCs w:val="24"/>
          <w:highlight w:val="none"/>
        </w:rPr>
        <w:t>联系电话：</w:t>
      </w:r>
      <w:r>
        <w:rPr>
          <w:rFonts w:ascii="宋体" w:hAnsi="宋体" w:cs="Courier New"/>
          <w:sz w:val="24"/>
          <w:szCs w:val="24"/>
          <w:highlight w:val="none"/>
          <w:u w:val="single"/>
        </w:rPr>
        <w:t xml:space="preserve">       </w:t>
      </w:r>
      <w:r>
        <w:rPr>
          <w:rFonts w:hint="eastAsia" w:ascii="宋体" w:hAnsi="宋体" w:cs="Courier New"/>
          <w:sz w:val="24"/>
          <w:szCs w:val="24"/>
          <w:highlight w:val="none"/>
        </w:rPr>
        <w:t xml:space="preserve">          </w:t>
      </w:r>
    </w:p>
    <w:p w14:paraId="58A75789">
      <w:pPr>
        <w:adjustRightInd w:val="0"/>
        <w:snapToGrid w:val="0"/>
        <w:spacing w:line="360" w:lineRule="auto"/>
        <w:ind w:firstLine="480" w:firstLineChars="200"/>
        <w:rPr>
          <w:rFonts w:ascii="宋体" w:hAnsi="宋体"/>
          <w:bCs/>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签订日期：      年  </w:t>
      </w:r>
      <w:r>
        <w:rPr>
          <w:rFonts w:hint="eastAsia" w:ascii="宋体" w:hAnsi="宋体"/>
          <w:sz w:val="24"/>
          <w:szCs w:val="24"/>
          <w:highlight w:val="none"/>
        </w:rPr>
        <w:t xml:space="preserve">  </w:t>
      </w:r>
      <w:r>
        <w:rPr>
          <w:rFonts w:ascii="宋体" w:hAnsi="宋体"/>
          <w:sz w:val="24"/>
          <w:szCs w:val="24"/>
          <w:highlight w:val="none"/>
        </w:rPr>
        <w:t xml:space="preserve">月  </w:t>
      </w:r>
      <w:r>
        <w:rPr>
          <w:rFonts w:hint="eastAsia" w:ascii="宋体" w:hAnsi="宋体"/>
          <w:sz w:val="24"/>
          <w:szCs w:val="24"/>
          <w:highlight w:val="none"/>
        </w:rPr>
        <w:t xml:space="preserve"> </w:t>
      </w:r>
      <w:r>
        <w:rPr>
          <w:rFonts w:ascii="宋体" w:hAnsi="宋体"/>
          <w:sz w:val="24"/>
          <w:szCs w:val="24"/>
          <w:highlight w:val="none"/>
        </w:rPr>
        <w:t>日</w:t>
      </w:r>
    </w:p>
    <w:p w14:paraId="4A647EA4">
      <w:pPr>
        <w:rPr>
          <w:rFonts w:ascii="宋体" w:hAnsi="宋体" w:cs="宋体"/>
          <w:sz w:val="24"/>
          <w:szCs w:val="24"/>
          <w:highlight w:val="none"/>
        </w:rPr>
      </w:pPr>
      <w:r>
        <w:rPr>
          <w:rFonts w:ascii="宋体" w:hAnsi="宋体" w:cs="宋体"/>
          <w:sz w:val="24"/>
          <w:szCs w:val="24"/>
          <w:highlight w:val="none"/>
        </w:rPr>
        <w:br w:type="page"/>
      </w:r>
    </w:p>
    <w:p w14:paraId="136308E6">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w:t>
      </w:r>
      <w:r>
        <w:rPr>
          <w:rFonts w:hint="eastAsia" w:ascii="宋体" w:hAnsi="宋体" w:cs="宋体"/>
          <w:sz w:val="24"/>
          <w:szCs w:val="24"/>
          <w:highlight w:val="none"/>
          <w:lang w:val="en-US" w:eastAsia="zh-CN"/>
        </w:rPr>
        <w:t>一</w:t>
      </w:r>
      <w:r>
        <w:rPr>
          <w:rFonts w:ascii="宋体" w:hAnsi="宋体" w:cs="宋体"/>
          <w:sz w:val="24"/>
          <w:szCs w:val="24"/>
          <w:highlight w:val="none"/>
        </w:rPr>
        <w:t>：</w:t>
      </w:r>
    </w:p>
    <w:p w14:paraId="37111BF5">
      <w:pPr>
        <w:spacing w:line="360" w:lineRule="auto"/>
        <w:jc w:val="center"/>
        <w:rPr>
          <w:rFonts w:ascii="宋体" w:hAnsi="宋体"/>
          <w:b/>
          <w:bCs/>
          <w:sz w:val="28"/>
          <w:szCs w:val="28"/>
          <w:highlight w:val="none"/>
        </w:rPr>
      </w:pPr>
    </w:p>
    <w:p w14:paraId="7DC63C5C">
      <w:pPr>
        <w:spacing w:line="360" w:lineRule="auto"/>
        <w:jc w:val="center"/>
        <w:rPr>
          <w:rFonts w:ascii="宋体" w:hAnsi="宋体"/>
          <w:b/>
          <w:bCs/>
          <w:sz w:val="30"/>
          <w:szCs w:val="30"/>
          <w:highlight w:val="none"/>
        </w:rPr>
      </w:pPr>
      <w:r>
        <w:rPr>
          <w:rFonts w:ascii="宋体" w:hAnsi="宋体"/>
          <w:b/>
          <w:bCs/>
          <w:sz w:val="30"/>
          <w:szCs w:val="30"/>
          <w:highlight w:val="none"/>
        </w:rPr>
        <w:t>廉政合同协议书</w:t>
      </w:r>
    </w:p>
    <w:p w14:paraId="202F6D6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根据</w:t>
      </w:r>
      <w:r>
        <w:rPr>
          <w:rFonts w:hint="eastAsia" w:ascii="宋体" w:hAnsi="宋体" w:cs="宋体"/>
          <w:sz w:val="24"/>
          <w:szCs w:val="24"/>
          <w:highlight w:val="none"/>
          <w:lang w:eastAsia="zh-CN"/>
        </w:rPr>
        <w:t>交通运输部</w:t>
      </w:r>
      <w:r>
        <w:rPr>
          <w:rFonts w:ascii="宋体" w:hAnsi="宋体" w:cs="宋体"/>
          <w:sz w:val="24"/>
          <w:szCs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sz w:val="24"/>
          <w:szCs w:val="24"/>
          <w:highlight w:val="none"/>
          <w:u w:val="single"/>
        </w:rPr>
        <w:t xml:space="preserve">             </w:t>
      </w:r>
      <w:r>
        <w:rPr>
          <w:rFonts w:ascii="宋体" w:hAnsi="宋体" w:cs="宋体"/>
          <w:sz w:val="24"/>
          <w:szCs w:val="24"/>
          <w:highlight w:val="none"/>
        </w:rPr>
        <w:t>（以下称委托人）与</w:t>
      </w:r>
      <w:r>
        <w:rPr>
          <w:rFonts w:ascii="宋体" w:hAnsi="宋体" w:cs="宋体"/>
          <w:sz w:val="24"/>
          <w:szCs w:val="24"/>
          <w:highlight w:val="none"/>
          <w:u w:val="single"/>
        </w:rPr>
        <w:t xml:space="preserve">       </w:t>
      </w:r>
      <w:r>
        <w:rPr>
          <w:rFonts w:ascii="宋体" w:hAnsi="宋体" w:cs="宋体"/>
          <w:sz w:val="24"/>
          <w:szCs w:val="24"/>
          <w:highlight w:val="none"/>
        </w:rPr>
        <w:t>（以下称受托人），特订立如下合同。</w:t>
      </w:r>
    </w:p>
    <w:p w14:paraId="75B7D5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第一条  委托人、受托人双方的权利和义务</w:t>
      </w:r>
    </w:p>
    <w:p w14:paraId="767C8E5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（一）严格遵守党和国家有关法律法规及</w:t>
      </w:r>
      <w:r>
        <w:rPr>
          <w:rFonts w:hint="eastAsia" w:ascii="宋体" w:hAnsi="宋体" w:cs="宋体"/>
          <w:sz w:val="24"/>
          <w:szCs w:val="24"/>
          <w:highlight w:val="none"/>
          <w:lang w:eastAsia="zh-CN"/>
        </w:rPr>
        <w:t>交通运输部</w:t>
      </w:r>
      <w:r>
        <w:rPr>
          <w:rFonts w:ascii="宋体" w:hAnsi="宋体" w:cs="宋体"/>
          <w:sz w:val="24"/>
          <w:szCs w:val="24"/>
          <w:highlight w:val="none"/>
        </w:rPr>
        <w:t>的有关规定。</w:t>
      </w:r>
    </w:p>
    <w:p w14:paraId="1AADEA9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（二）严格遵守</w:t>
      </w:r>
      <w:r>
        <w:rPr>
          <w:rFonts w:ascii="宋体" w:hAnsi="宋体" w:cs="宋体"/>
          <w:sz w:val="24"/>
          <w:szCs w:val="24"/>
          <w:highlight w:val="none"/>
          <w:u w:val="single"/>
        </w:rPr>
        <w:t xml:space="preserve">                    </w:t>
      </w:r>
      <w:r>
        <w:rPr>
          <w:rFonts w:ascii="宋体" w:hAnsi="宋体" w:cs="宋体"/>
          <w:sz w:val="24"/>
          <w:szCs w:val="24"/>
          <w:highlight w:val="none"/>
        </w:rPr>
        <w:t>的合同文件，自觉按合同办事。</w:t>
      </w:r>
    </w:p>
    <w:p w14:paraId="28EF45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（三）双方的业务活动坚持公开、公正、诚信、透明的原则（除法律认定的商业秘密和合同文件另有规定之外），不得损害国家和集体利益，违反工程建设管理规章制度。</w:t>
      </w:r>
    </w:p>
    <w:p w14:paraId="22C8722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（四）建立健全廉政制度，开展廉政教育，设立廉政告示牌，公布举报电话，监督并认真查处违法违纪行为。</w:t>
      </w:r>
    </w:p>
    <w:p w14:paraId="2F2BD86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（五）发现对方在业务活动中有违反廉政规定的行为，有及时提醒对方纠正的权利和义务。</w:t>
      </w:r>
    </w:p>
    <w:p w14:paraId="300EACD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（六）发现对方严重违反本合同义务条款的行为，有向其上级有关部门举报、建议给予处理并要求告</w:t>
      </w:r>
      <w:r>
        <w:rPr>
          <w:rFonts w:hint="eastAsia" w:ascii="宋体" w:hAnsi="宋体" w:cs="宋体"/>
          <w:sz w:val="24"/>
          <w:szCs w:val="24"/>
          <w:highlight w:val="none"/>
          <w:lang w:eastAsia="zh-CN"/>
        </w:rPr>
        <w:t>知</w:t>
      </w:r>
      <w:r>
        <w:rPr>
          <w:rFonts w:ascii="宋体" w:hAnsi="宋体" w:cs="宋体"/>
          <w:sz w:val="24"/>
          <w:szCs w:val="24"/>
          <w:highlight w:val="none"/>
        </w:rPr>
        <w:t>处理结果的权利。</w:t>
      </w:r>
    </w:p>
    <w:p w14:paraId="4A7E7A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第二条  委托人的义务</w:t>
      </w:r>
    </w:p>
    <w:p w14:paraId="6ABDEF3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（一）委托人及其工作人员不得索要或接受受托人的礼金、有价证券和贵重物品，不得由受托人报销任何应由委托人或个人支付的费用等。</w:t>
      </w:r>
    </w:p>
    <w:p w14:paraId="775A06A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（二）委托人工作人员不得参加受托人安排的超标准宴请和娱乐活动；不得接受受托人提供的通讯工具、交通工具和高档办公用品等。</w:t>
      </w:r>
    </w:p>
    <w:p w14:paraId="5B72CEF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16CEF3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（四）委托人工作人员的配偶、子女不得从事与委托人工程有关的材料设备供应、工程分包、劳务等经济活动等。</w:t>
      </w:r>
    </w:p>
    <w:p w14:paraId="4E5C8E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（五）委托人及其工作人员不得以任何理由向受托人推荐分包单位，不得要求受托人购买合同规定外的材料和设备。</w:t>
      </w:r>
    </w:p>
    <w:p w14:paraId="4BC3D56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第三条  受托人义务</w:t>
      </w:r>
    </w:p>
    <w:p w14:paraId="03933E6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（一）受托人不得以任何理由向委托人及其工作人员行贿或馈赠礼金、有价证券、贵重礼品。</w:t>
      </w:r>
    </w:p>
    <w:p w14:paraId="27765C6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（二）受托人不得以任何名义为委托人及其工作人员报销应由委托人单位或个人支付的任何费用。</w:t>
      </w:r>
    </w:p>
    <w:p w14:paraId="67C6E0C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（三）受托人不得以任何理由安排委托人工作人员参加超标准宴请及娱乐活动。</w:t>
      </w:r>
    </w:p>
    <w:p w14:paraId="52BFCB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（四）受托人不得为委托人单位和个人购置或提供通讯工具、交通工具和高档办公用品等。</w:t>
      </w:r>
    </w:p>
    <w:p w14:paraId="569D14F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第四条  违约责任</w:t>
      </w:r>
    </w:p>
    <w:p w14:paraId="23CAF44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（一）委托人及其工作人员违反本合同第一、二条，按管理权限，依据有关规定给予党纪、政纪或组织处理；涉嫌犯罪的，移交司法机关追究刑事责任；给受托人单位造成经济损失的，应予以赔偿。</w:t>
      </w:r>
    </w:p>
    <w:p w14:paraId="51DD144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4AD0E60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第五条  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041C82F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ascii="宋体" w:hAnsi="宋体" w:cs="宋体"/>
          <w:sz w:val="24"/>
          <w:szCs w:val="24"/>
          <w:highlight w:val="none"/>
        </w:rPr>
      </w:pPr>
      <w:r>
        <w:rPr>
          <w:rFonts w:ascii="宋体" w:hAnsi="宋体" w:cs="宋体"/>
          <w:sz w:val="24"/>
          <w:szCs w:val="24"/>
          <w:highlight w:val="none"/>
        </w:rPr>
        <w:t>第六条  本合同有效期为委托人、受托人双方签署的</w:t>
      </w:r>
      <w:r>
        <w:rPr>
          <w:rFonts w:ascii="宋体" w:hAnsi="宋体" w:cs="宋体"/>
          <w:sz w:val="24"/>
          <w:szCs w:val="24"/>
          <w:highlight w:val="none"/>
          <w:u w:val="single"/>
        </w:rPr>
        <w:t xml:space="preserve">               </w:t>
      </w:r>
      <w:r>
        <w:rPr>
          <w:rFonts w:ascii="宋体" w:hAnsi="宋体" w:cs="宋体"/>
          <w:sz w:val="24"/>
          <w:szCs w:val="24"/>
          <w:highlight w:val="none"/>
        </w:rPr>
        <w:t>项目合同期限。</w:t>
      </w:r>
    </w:p>
    <w:p w14:paraId="009876B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第七条  本合同作为</w:t>
      </w:r>
      <w:r>
        <w:rPr>
          <w:rFonts w:ascii="宋体" w:hAnsi="宋体" w:cs="宋体"/>
          <w:sz w:val="24"/>
          <w:szCs w:val="24"/>
          <w:highlight w:val="none"/>
          <w:u w:val="single"/>
        </w:rPr>
        <w:t xml:space="preserve">                   </w:t>
      </w:r>
      <w:r>
        <w:rPr>
          <w:rFonts w:ascii="宋体" w:hAnsi="宋体" w:cs="宋体"/>
          <w:sz w:val="24"/>
          <w:szCs w:val="24"/>
          <w:highlight w:val="none"/>
        </w:rPr>
        <w:t>项目合同的附件，经合同双方签署立即生效。</w:t>
      </w:r>
    </w:p>
    <w:p w14:paraId="73CE21A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第八条  本合同共肆份，</w:t>
      </w:r>
      <w:r>
        <w:rPr>
          <w:rFonts w:hint="eastAsia" w:ascii="宋体" w:hAnsi="宋体" w:cs="宋体"/>
          <w:sz w:val="24"/>
          <w:szCs w:val="24"/>
          <w:highlight w:val="none"/>
          <w:lang w:eastAsia="zh-CN"/>
        </w:rPr>
        <w:t>双方</w:t>
      </w:r>
      <w:r>
        <w:rPr>
          <w:rFonts w:ascii="宋体" w:hAnsi="宋体" w:cs="宋体"/>
          <w:sz w:val="24"/>
          <w:szCs w:val="24"/>
          <w:highlight w:val="none"/>
        </w:rPr>
        <w:t>各执贰份。</w:t>
      </w:r>
    </w:p>
    <w:p w14:paraId="14BABF9E">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sectPr>
          <w:headerReference r:id="rId3" w:type="default"/>
          <w:footerReference r:id="rId4" w:type="default"/>
          <w:pgSz w:w="11906" w:h="16838"/>
          <w:pgMar w:top="1440" w:right="1797" w:bottom="1440" w:left="1797" w:header="851" w:footer="992" w:gutter="0"/>
          <w:cols w:space="1701" w:num="1"/>
          <w:docGrid w:linePitch="360" w:charSpace="0"/>
        </w:sectPr>
      </w:pPr>
    </w:p>
    <w:p w14:paraId="00773243">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0D943D44">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311A3788">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CE9A997">
      <w:pPr>
        <w:rPr>
          <w:rFonts w:ascii="宋体" w:hAnsi="宋体" w:cs="宋体"/>
          <w:sz w:val="24"/>
          <w:szCs w:val="24"/>
          <w:highlight w:val="none"/>
        </w:rPr>
      </w:pPr>
      <w:r>
        <w:rPr>
          <w:rFonts w:ascii="宋体" w:hAnsi="宋体" w:cs="宋体"/>
          <w:sz w:val="24"/>
          <w:szCs w:val="24"/>
          <w:highlight w:val="none"/>
        </w:rPr>
        <w:br w:type="page"/>
      </w:r>
    </w:p>
    <w:p w14:paraId="438BB64A">
      <w:pPr>
        <w:autoSpaceDE w:val="0"/>
        <w:autoSpaceDN w:val="0"/>
        <w:adjustRightInd w:val="0"/>
        <w:snapToGrid w:val="0"/>
        <w:spacing w:line="360" w:lineRule="auto"/>
        <w:rPr>
          <w:rFonts w:ascii="宋体" w:hAnsi="宋体" w:cs="宋体"/>
          <w:sz w:val="24"/>
          <w:szCs w:val="24"/>
          <w:highlight w:val="none"/>
        </w:rPr>
        <w:sectPr>
          <w:type w:val="continuous"/>
          <w:pgSz w:w="11906" w:h="16838"/>
          <w:pgMar w:top="1440" w:right="1797" w:bottom="1440" w:left="1797" w:header="851" w:footer="992" w:gutter="0"/>
          <w:cols w:space="1701" w:num="1"/>
          <w:docGrid w:linePitch="360" w:charSpace="0"/>
        </w:sectPr>
      </w:pPr>
    </w:p>
    <w:p w14:paraId="0D1DE48F">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合同附件二：</w:t>
      </w:r>
    </w:p>
    <w:p w14:paraId="0846044D">
      <w:pPr>
        <w:spacing w:line="360" w:lineRule="auto"/>
        <w:jc w:val="center"/>
        <w:rPr>
          <w:rFonts w:ascii="宋体" w:hAnsi="宋体"/>
          <w:b/>
          <w:bCs/>
          <w:sz w:val="30"/>
          <w:szCs w:val="30"/>
          <w:highlight w:val="none"/>
        </w:rPr>
      </w:pPr>
      <w:r>
        <w:rPr>
          <w:rFonts w:ascii="宋体" w:hAnsi="宋体"/>
          <w:b/>
          <w:bCs/>
          <w:sz w:val="30"/>
          <w:szCs w:val="30"/>
          <w:highlight w:val="none"/>
        </w:rPr>
        <w:t>安全生产合同协议书</w:t>
      </w:r>
    </w:p>
    <w:p w14:paraId="0211D108">
      <w:pPr>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为在</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（项目名称）</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标段合同的实施过程中切实搞好本项目的安全管理工作</w:t>
      </w:r>
      <w:r>
        <w:rPr>
          <w:rFonts w:ascii="宋体" w:hAnsi="宋体" w:cs="宋体"/>
          <w:spacing w:val="-29"/>
          <w:sz w:val="24"/>
          <w:szCs w:val="24"/>
          <w:highlight w:val="none"/>
        </w:rPr>
        <w:t>，</w:t>
      </w:r>
      <w:r>
        <w:rPr>
          <w:rFonts w:ascii="宋体" w:hAnsi="宋体" w:cs="宋体"/>
          <w:sz w:val="24"/>
          <w:szCs w:val="24"/>
          <w:highlight w:val="none"/>
        </w:rPr>
        <w:t>本项目委托人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（委托人名称</w:t>
      </w:r>
      <w:r>
        <w:rPr>
          <w:rFonts w:ascii="宋体" w:hAnsi="宋体" w:cs="宋体"/>
          <w:spacing w:val="-13"/>
          <w:sz w:val="24"/>
          <w:szCs w:val="24"/>
          <w:highlight w:val="none"/>
        </w:rPr>
        <w:t>，</w:t>
      </w:r>
      <w:r>
        <w:rPr>
          <w:rFonts w:ascii="宋体" w:hAnsi="宋体" w:cs="宋体"/>
          <w:sz w:val="24"/>
          <w:szCs w:val="24"/>
          <w:highlight w:val="none"/>
        </w:rPr>
        <w:t>以下简称“委托人</w:t>
      </w:r>
      <w:r>
        <w:rPr>
          <w:rFonts w:ascii="宋体" w:hAnsi="宋体" w:cs="宋体"/>
          <w:spacing w:val="-7"/>
          <w:sz w:val="24"/>
          <w:szCs w:val="24"/>
          <w:highlight w:val="none"/>
        </w:rPr>
        <w:t>”）</w:t>
      </w:r>
      <w:r>
        <w:rPr>
          <w:rFonts w:ascii="宋体" w:hAnsi="宋体" w:cs="宋体"/>
          <w:sz w:val="24"/>
          <w:szCs w:val="24"/>
          <w:highlight w:val="none"/>
        </w:rPr>
        <w:t>与受托人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u w:val="single"/>
        </w:rPr>
        <w:tab/>
      </w:r>
      <w:r>
        <w:rPr>
          <w:rFonts w:ascii="宋体" w:hAnsi="宋体" w:cs="宋体"/>
          <w:sz w:val="24"/>
          <w:szCs w:val="24"/>
          <w:highlight w:val="none"/>
        </w:rPr>
        <w:t>（受托人名称</w:t>
      </w:r>
      <w:r>
        <w:rPr>
          <w:rFonts w:ascii="宋体" w:hAnsi="宋体" w:cs="宋体"/>
          <w:spacing w:val="-12"/>
          <w:sz w:val="24"/>
          <w:szCs w:val="24"/>
          <w:highlight w:val="none"/>
        </w:rPr>
        <w:t>，</w:t>
      </w:r>
      <w:r>
        <w:rPr>
          <w:rFonts w:ascii="宋体" w:hAnsi="宋体" w:cs="宋体"/>
          <w:sz w:val="24"/>
          <w:szCs w:val="24"/>
          <w:highlight w:val="none"/>
        </w:rPr>
        <w:t>以下简称“受托人”）特此签订安全生产合同。</w:t>
      </w:r>
    </w:p>
    <w:p w14:paraId="73E3CB4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1.委托人职责</w:t>
      </w:r>
    </w:p>
    <w:p w14:paraId="38013EC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（1）严格遵守国家有关安全生产的法律法规，认真执行工程承包合同中的有关安全要求。</w:t>
      </w:r>
    </w:p>
    <w:p w14:paraId="156F41B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（2）按照“安全第一、预防为主、综合治理”和坚持“管生产必须管安全”的原则进行安全生产管理，做到生产与安全工作同时计划、布置、检查、总结和评比。</w:t>
      </w:r>
    </w:p>
    <w:p w14:paraId="7518038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（3）重要的安全设施必须坚持与主体工程“三同时”的原则，即：同时设计、审批，同时施工，同时验收，投入使用。</w:t>
      </w:r>
    </w:p>
    <w:p w14:paraId="4D7BAA7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（4）定期召开安全生产调度会，及时传达</w:t>
      </w:r>
      <w:r>
        <w:rPr>
          <w:rFonts w:hint="eastAsia" w:ascii="宋体" w:hAnsi="宋体" w:cs="宋体"/>
          <w:sz w:val="24"/>
          <w:szCs w:val="24"/>
          <w:highlight w:val="none"/>
          <w:lang w:eastAsia="zh-CN"/>
        </w:rPr>
        <w:t>中央和地方</w:t>
      </w:r>
      <w:r>
        <w:rPr>
          <w:rFonts w:ascii="宋体" w:hAnsi="宋体" w:cs="宋体"/>
          <w:sz w:val="24"/>
          <w:szCs w:val="24"/>
          <w:highlight w:val="none"/>
        </w:rPr>
        <w:t>有关安全生产的精神。</w:t>
      </w:r>
    </w:p>
    <w:p w14:paraId="3928D85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（5）组织对受托人进行安全生产检查，监督受托人及时处理发现的各种安全隐患。</w:t>
      </w:r>
    </w:p>
    <w:p w14:paraId="3EBC228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2.受托人职责</w:t>
      </w:r>
    </w:p>
    <w:p w14:paraId="571541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24FE440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w:t>
      </w:r>
      <w:r>
        <w:rPr>
          <w:rFonts w:ascii="宋体" w:hAnsi="宋体" w:cs="宋体"/>
          <w:spacing w:val="-5"/>
          <w:sz w:val="24"/>
          <w:szCs w:val="24"/>
          <w:highlight w:val="none"/>
        </w:rPr>
        <w:t>遵守本合同的各项规定，做到生产与安全工作同时计划、布置、检查、总结和评比。</w:t>
      </w:r>
    </w:p>
    <w:p w14:paraId="54D8C21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（3）建立健全安全生产责任制。</w:t>
      </w:r>
    </w:p>
    <w:p w14:paraId="5A9C3D7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（4）受托人在任何时候都应采取各种合理的预防措施，防止其员工发生任何违法、</w:t>
      </w:r>
      <w:r>
        <w:rPr>
          <w:rFonts w:hint="eastAsia" w:ascii="宋体" w:hAnsi="宋体" w:cs="宋体"/>
          <w:sz w:val="24"/>
          <w:szCs w:val="24"/>
          <w:highlight w:val="none"/>
          <w:lang w:eastAsia="zh-CN"/>
        </w:rPr>
        <w:t>违纪</w:t>
      </w:r>
      <w:r>
        <w:rPr>
          <w:rFonts w:ascii="宋体" w:hAnsi="宋体" w:cs="宋体"/>
          <w:sz w:val="24"/>
          <w:szCs w:val="24"/>
          <w:highlight w:val="none"/>
        </w:rPr>
        <w:t>、暴力或妨碍治安的行为。</w:t>
      </w:r>
    </w:p>
    <w:p w14:paraId="786EDB6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1DE88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（6）安全生产费用按照《公路水运工程安全生产监督管理办法》的相关规定使用和管理。</w:t>
      </w:r>
    </w:p>
    <w:p w14:paraId="08D5410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3.违约责任</w:t>
      </w:r>
    </w:p>
    <w:p w14:paraId="43D5D2C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如因委托人或受托人违约造成安全事故，将依法追究责任。</w:t>
      </w:r>
    </w:p>
    <w:p w14:paraId="6046843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4.本合同由双方法定代表人或其授权的代理人签署并加盖单位章后生效，项目验收结束后失效。</w:t>
      </w:r>
    </w:p>
    <w:p w14:paraId="28E4822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5.本合同正本二份</w:t>
      </w:r>
      <w:r>
        <w:rPr>
          <w:rFonts w:ascii="宋体" w:hAnsi="宋体" w:cs="宋体"/>
          <w:spacing w:val="2"/>
          <w:sz w:val="24"/>
          <w:szCs w:val="24"/>
          <w:highlight w:val="none"/>
        </w:rPr>
        <w:t>、</w:t>
      </w:r>
      <w:r>
        <w:rPr>
          <w:rFonts w:ascii="宋体" w:hAnsi="宋体" w:cs="宋体"/>
          <w:sz w:val="24"/>
          <w:szCs w:val="24"/>
          <w:highlight w:val="none"/>
        </w:rPr>
        <w:t>副</w:t>
      </w:r>
      <w:r>
        <w:rPr>
          <w:rFonts w:ascii="宋体" w:hAnsi="宋体" w:cs="宋体"/>
          <w:spacing w:val="2"/>
          <w:sz w:val="24"/>
          <w:szCs w:val="24"/>
          <w:highlight w:val="none"/>
        </w:rPr>
        <w:t>本</w:t>
      </w:r>
      <w:r>
        <w:rPr>
          <w:rFonts w:ascii="宋体" w:hAnsi="宋体" w:cs="宋体"/>
          <w:spacing w:val="2"/>
          <w:sz w:val="24"/>
          <w:szCs w:val="24"/>
          <w:highlight w:val="none"/>
          <w:u w:val="single"/>
        </w:rPr>
        <w:t xml:space="preserve"> </w:t>
      </w:r>
      <w:r>
        <w:rPr>
          <w:rFonts w:ascii="宋体" w:hAnsi="宋体" w:cs="宋体"/>
          <w:spacing w:val="2"/>
          <w:sz w:val="24"/>
          <w:szCs w:val="24"/>
          <w:highlight w:val="none"/>
          <w:u w:val="single"/>
        </w:rPr>
        <w:tab/>
      </w:r>
      <w:r>
        <w:rPr>
          <w:rFonts w:ascii="宋体" w:hAnsi="宋体" w:cs="宋体"/>
          <w:sz w:val="24"/>
          <w:szCs w:val="24"/>
          <w:highlight w:val="none"/>
        </w:rPr>
        <w:t>份，合同双</w:t>
      </w:r>
      <w:r>
        <w:rPr>
          <w:rFonts w:ascii="宋体" w:hAnsi="宋体" w:cs="宋体"/>
          <w:spacing w:val="2"/>
          <w:sz w:val="24"/>
          <w:szCs w:val="24"/>
          <w:highlight w:val="none"/>
        </w:rPr>
        <w:t>方</w:t>
      </w:r>
      <w:r>
        <w:rPr>
          <w:rFonts w:ascii="宋体" w:hAnsi="宋体" w:cs="宋体"/>
          <w:sz w:val="24"/>
          <w:szCs w:val="24"/>
          <w:highlight w:val="none"/>
        </w:rPr>
        <w:t>各执正本一份，副</w:t>
      </w:r>
      <w:r>
        <w:rPr>
          <w:rFonts w:ascii="宋体" w:hAnsi="宋体" w:cs="宋体"/>
          <w:spacing w:val="5"/>
          <w:sz w:val="24"/>
          <w:szCs w:val="24"/>
          <w:highlight w:val="none"/>
        </w:rPr>
        <w:t>本</w:t>
      </w:r>
      <w:r>
        <w:rPr>
          <w:rFonts w:ascii="宋体" w:hAnsi="宋体" w:cs="宋体"/>
          <w:spacing w:val="5"/>
          <w:sz w:val="24"/>
          <w:szCs w:val="24"/>
          <w:highlight w:val="none"/>
          <w:u w:val="single"/>
        </w:rPr>
        <w:t xml:space="preserve"> </w:t>
      </w:r>
      <w:r>
        <w:rPr>
          <w:rFonts w:ascii="宋体" w:hAnsi="宋体" w:cs="宋体"/>
          <w:spacing w:val="5"/>
          <w:sz w:val="24"/>
          <w:szCs w:val="24"/>
          <w:highlight w:val="none"/>
          <w:u w:val="single"/>
        </w:rPr>
        <w:tab/>
      </w:r>
      <w:r>
        <w:rPr>
          <w:rFonts w:ascii="宋体" w:hAnsi="宋体" w:cs="宋体"/>
          <w:sz w:val="24"/>
          <w:szCs w:val="24"/>
          <w:highlight w:val="none"/>
        </w:rPr>
        <w:t>份，当正本与副本的内容不一致时，以正本为准。</w:t>
      </w:r>
    </w:p>
    <w:p w14:paraId="25D571D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p>
    <w:p w14:paraId="42C62A30">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5D616EB7">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56F09BBA">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3E0FD04F">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1E3CB47">
      <w:pPr>
        <w:rPr>
          <w:rFonts w:hint="eastAsia" w:ascii="宋体" w:hAnsi="宋体" w:eastAsia="宋体" w:cs="宋体"/>
          <w:b/>
          <w:bCs/>
          <w:color w:val="auto"/>
          <w:sz w:val="36"/>
          <w:szCs w:val="36"/>
          <w:highlight w:val="none"/>
        </w:rPr>
      </w:pPr>
      <w:r>
        <w:rPr>
          <w:rFonts w:ascii="宋体" w:hAnsi="宋体" w:cs="宋体"/>
          <w:sz w:val="24"/>
          <w:szCs w:val="24"/>
          <w:highlight w:val="none"/>
        </w:rPr>
        <w:br w:type="page"/>
      </w:r>
    </w:p>
    <w:bookmarkEnd w:id="109"/>
    <w:bookmarkEnd w:id="110"/>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第六部分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lang w:eastAsia="zh-CN"/>
        </w:rPr>
        <w:t>、</w:t>
      </w:r>
      <w:r>
        <w:rPr>
          <w:rFonts w:hint="eastAsia" w:ascii="宋体" w:hAnsi="宋体"/>
          <w:b/>
          <w:sz w:val="24"/>
          <w:highlight w:val="none"/>
          <w:lang w:val="en-US" w:eastAsia="zh-CN"/>
        </w:rPr>
        <w:t>电子版投标文件四</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4E656D3D">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eastAsia="宋体" w:cs="宋体"/>
          <w:color w:val="000000"/>
          <w:sz w:val="24"/>
          <w:szCs w:val="21"/>
          <w:highlight w:val="none"/>
          <w:lang w:val="en-US" w:eastAsia="zh-CN"/>
        </w:rPr>
        <w:t>提供法人或者其他组织的营业执照等证明文件，自然人的身份证明</w:t>
      </w:r>
      <w:r>
        <w:rPr>
          <w:rFonts w:hint="eastAsia" w:ascii="宋体" w:hAnsi="宋体" w:cs="宋体"/>
          <w:kern w:val="0"/>
          <w:sz w:val="24"/>
          <w:szCs w:val="24"/>
          <w:highlight w:val="none"/>
          <w:lang w:val="zh-CN"/>
        </w:rPr>
        <w:t>；</w:t>
      </w:r>
    </w:p>
    <w:p w14:paraId="70C33729">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中小企业声明函</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如符合需提供，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zh-CN" w:eastAsia="zh-CN"/>
        </w:rPr>
        <w:t>；</w:t>
      </w:r>
    </w:p>
    <w:p w14:paraId="04E563CF">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6.监狱企业证明函（如符合监狱企业的需提供，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568BB7B2">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7.残疾人福利性单位声明函（如符合残疾人福利性单位的需提供，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33DDC4C4">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8</w:t>
      </w:r>
      <w:r>
        <w:rPr>
          <w:rFonts w:ascii="宋体" w:hAnsi="宋体"/>
          <w:kern w:val="0"/>
          <w:sz w:val="24"/>
          <w:highlight w:val="none"/>
          <w:lang w:val="zh-CN"/>
        </w:rPr>
        <w:t>.</w:t>
      </w:r>
      <w:r>
        <w:rPr>
          <w:rFonts w:hint="eastAsia" w:ascii="宋体" w:hAnsi="宋体"/>
          <w:kern w:val="0"/>
          <w:sz w:val="24"/>
          <w:highlight w:val="none"/>
          <w:lang w:val="zh-CN"/>
        </w:rPr>
        <w:t>其他</w:t>
      </w:r>
      <w:r>
        <w:rPr>
          <w:rFonts w:ascii="宋体" w:hAnsi="宋体"/>
          <w:kern w:val="0"/>
          <w:sz w:val="24"/>
          <w:highlight w:val="none"/>
          <w:lang w:val="zh-CN"/>
        </w:rPr>
        <w:t>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bCs/>
          <w:kern w:val="0"/>
          <w:sz w:val="24"/>
          <w:highlight w:val="none"/>
          <w:lang w:val="zh-CN"/>
        </w:rPr>
      </w:pPr>
      <w:r>
        <w:rPr>
          <w:rFonts w:ascii="宋体" w:hAnsi="宋体"/>
          <w:bCs/>
          <w:kern w:val="0"/>
          <w:sz w:val="24"/>
          <w:highlight w:val="none"/>
          <w:lang w:val="zh-CN"/>
        </w:rPr>
        <w:t>1.</w:t>
      </w:r>
      <w:r>
        <w:rPr>
          <w:rFonts w:hint="eastAsia" w:ascii="宋体" w:hAnsi="宋体"/>
          <w:bCs/>
          <w:kern w:val="0"/>
          <w:sz w:val="24"/>
          <w:highlight w:val="none"/>
          <w:lang w:val="zh-CN"/>
        </w:rPr>
        <w:t>投标人</w:t>
      </w:r>
      <w:r>
        <w:rPr>
          <w:rFonts w:ascii="宋体" w:hAnsi="宋体"/>
          <w:bCs/>
          <w:kern w:val="0"/>
          <w:sz w:val="24"/>
          <w:highlight w:val="none"/>
          <w:lang w:val="zh-CN"/>
        </w:rPr>
        <w:t>情况一览表；（格式见附件）</w:t>
      </w:r>
    </w:p>
    <w:p w14:paraId="77197CE7">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2</w:t>
      </w:r>
      <w:r>
        <w:rPr>
          <w:rFonts w:ascii="宋体" w:hAnsi="宋体"/>
          <w:bCs/>
          <w:kern w:val="0"/>
          <w:sz w:val="24"/>
          <w:highlight w:val="none"/>
          <w:lang w:val="zh-CN"/>
        </w:rPr>
        <w:t>.</w:t>
      </w:r>
      <w:r>
        <w:rPr>
          <w:rFonts w:hint="eastAsia" w:ascii="宋体" w:hAnsi="宋体"/>
          <w:bCs/>
          <w:kern w:val="0"/>
          <w:sz w:val="24"/>
          <w:highlight w:val="none"/>
          <w:lang w:val="zh-CN"/>
        </w:rPr>
        <w:t>评标办法中所涉及</w:t>
      </w:r>
      <w:r>
        <w:rPr>
          <w:rFonts w:hint="eastAsia" w:ascii="宋体" w:hAnsi="宋体"/>
          <w:bCs/>
          <w:kern w:val="0"/>
          <w:sz w:val="24"/>
          <w:highlight w:val="none"/>
          <w:lang w:val="zh-CN"/>
        </w:rPr>
        <w:t>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3</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4</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注：以上证明材料如为复印件均需加盖投标单位公章。为方便评委评审，请投标人按评标办法中所涉及的事项顺序进行编制，可以补充相关材料。</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599B42CC">
      <w:pPr>
        <w:tabs>
          <w:tab w:val="left" w:pos="3375"/>
        </w:tabs>
        <w:autoSpaceDE w:val="0"/>
        <w:autoSpaceDN w:val="0"/>
        <w:spacing w:line="360" w:lineRule="auto"/>
        <w:ind w:firstLine="482" w:firstLineChars="200"/>
        <w:jc w:val="left"/>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四、电子版投标文件（密封至价格标的封袋内）</w:t>
      </w:r>
    </w:p>
    <w:p w14:paraId="5DD11BBF">
      <w:pPr>
        <w:tabs>
          <w:tab w:val="left" w:pos="3375"/>
        </w:tabs>
        <w:autoSpaceDE w:val="0"/>
        <w:autoSpaceDN w:val="0"/>
        <w:spacing w:line="360" w:lineRule="auto"/>
        <w:ind w:firstLine="480" w:firstLineChars="200"/>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文件（包括</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b/>
          <w:sz w:val="24"/>
          <w:highlight w:val="none"/>
        </w:rPr>
        <w:t>，所有盖章后纸质版</w:t>
      </w:r>
      <w:r>
        <w:rPr>
          <w:rFonts w:hint="eastAsia" w:ascii="宋体" w:hAnsi="宋体"/>
          <w:b/>
          <w:sz w:val="24"/>
          <w:highlight w:val="none"/>
          <w:lang w:val="en-US" w:eastAsia="zh-CN"/>
        </w:rPr>
        <w:t>投标</w:t>
      </w:r>
      <w:r>
        <w:rPr>
          <w:rFonts w:hint="eastAsia" w:ascii="宋体" w:hAnsi="宋体"/>
          <w:b/>
          <w:sz w:val="24"/>
          <w:highlight w:val="none"/>
        </w:rPr>
        <w:t>文件的扫描件内容均存入一份U盘即可）</w:t>
      </w:r>
      <w:r>
        <w:rPr>
          <w:rFonts w:hint="eastAsia" w:ascii="宋体" w:hAnsi="宋体"/>
          <w:sz w:val="24"/>
          <w:highlight w:val="none"/>
        </w:rPr>
        <w:t>。</w:t>
      </w:r>
    </w:p>
    <w:p w14:paraId="3A771C4A">
      <w:pPr>
        <w:tabs>
          <w:tab w:val="left" w:pos="3375"/>
        </w:tabs>
        <w:autoSpaceDE w:val="0"/>
        <w:autoSpaceDN w:val="0"/>
        <w:spacing w:line="360" w:lineRule="auto"/>
        <w:ind w:firstLine="480" w:firstLineChars="200"/>
        <w:contextualSpacing/>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w:t>
      </w:r>
      <w:r>
        <w:rPr>
          <w:rFonts w:ascii="宋体" w:hAnsi="宋体"/>
          <w:sz w:val="24"/>
          <w:highlight w:val="none"/>
        </w:rPr>
        <w:t>不得设置密码并保证无病毒。</w:t>
      </w:r>
    </w:p>
    <w:p w14:paraId="4658B0E2">
      <w:pPr>
        <w:adjustRightInd w:val="0"/>
        <w:snapToGrid w:val="0"/>
        <w:spacing w:line="360" w:lineRule="auto"/>
        <w:ind w:firstLine="480" w:firstLineChars="200"/>
        <w:rPr>
          <w:rFonts w:hint="default" w:ascii="宋体" w:hAnsi="宋体" w:cs="宋体"/>
          <w:kern w:val="0"/>
          <w:sz w:val="24"/>
          <w:szCs w:val="24"/>
          <w:highlight w:val="none"/>
          <w:lang w:val="en-US" w:eastAsia="zh-CN"/>
        </w:rPr>
      </w:pPr>
    </w:p>
    <w:p w14:paraId="75F19DA9">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17"/>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43D471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中小企业声明函（工程、服务）</w:t>
      </w:r>
    </w:p>
    <w:p w14:paraId="05B224C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 （联合体）参加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采购活动，工程的施工单位全部为符合政策要求的中小企业（或者：服务部由符合政策要求的中小企业承接）。相关企业（含联合体中的中小企业、签订分包意向协议的中小企业）的具体情 况如下：</w:t>
      </w:r>
    </w:p>
    <w:p w14:paraId="113C2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 xml:space="preserve">； </w:t>
      </w:r>
    </w:p>
    <w:p w14:paraId="03092D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53792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p>
    <w:p w14:paraId="23DCB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7694C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本企业对上述声明内容的真实性负责。如有虚假，将依法承担相应责任。 </w:t>
      </w:r>
    </w:p>
    <w:p w14:paraId="2E73C0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415AF0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企业名称（盖章）： </w:t>
      </w:r>
    </w:p>
    <w:p w14:paraId="0FBA10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500B66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日 期： </w:t>
      </w:r>
    </w:p>
    <w:p w14:paraId="35A2D1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从业人员、营业收入、资产总额填报上一年度数据，无上一年度数据的新成立企业可不填报。</w:t>
      </w:r>
    </w:p>
    <w:p w14:paraId="0F01F04B">
      <w:pPr>
        <w:spacing w:line="560" w:lineRule="exact"/>
        <w:rPr>
          <w:rFonts w:ascii="宋体" w:hAnsi="宋体" w:cs="宋体"/>
          <w:b/>
          <w:bCs/>
          <w:sz w:val="32"/>
          <w:szCs w:val="32"/>
          <w:highlight w:val="none"/>
        </w:rPr>
      </w:pPr>
    </w:p>
    <w:p w14:paraId="5053B93A">
      <w:pPr>
        <w:widowControl/>
        <w:adjustRightInd w:val="0"/>
        <w:snapToGrid w:val="0"/>
        <w:spacing w:line="400" w:lineRule="exact"/>
        <w:ind w:left="141" w:leftChars="67"/>
        <w:rPr>
          <w:rFonts w:ascii="宋体" w:hAnsi="宋体" w:cs="宋体"/>
          <w:kern w:val="0"/>
          <w:szCs w:val="21"/>
          <w:highlight w:val="none"/>
        </w:rPr>
      </w:pPr>
    </w:p>
    <w:p w14:paraId="5D914CD4">
      <w:pPr>
        <w:widowControl/>
        <w:jc w:val="center"/>
        <w:rPr>
          <w:rFonts w:ascii="宋体" w:hAnsi="宋体"/>
          <w:b/>
          <w:color w:val="000000"/>
          <w:sz w:val="30"/>
          <w:szCs w:val="30"/>
          <w:highlight w:val="none"/>
        </w:rPr>
      </w:pPr>
      <w:r>
        <w:rPr>
          <w:rFonts w:ascii="宋体" w:hAnsi="宋体"/>
          <w:b/>
          <w:color w:val="000000"/>
          <w:szCs w:val="21"/>
          <w:highlight w:val="none"/>
        </w:rPr>
        <w:br w:type="page"/>
      </w:r>
      <w:r>
        <w:rPr>
          <w:rFonts w:hint="eastAsia" w:ascii="宋体" w:hAnsi="宋体"/>
          <w:b/>
          <w:color w:val="000000"/>
          <w:sz w:val="30"/>
          <w:szCs w:val="30"/>
          <w:highlight w:val="none"/>
        </w:rPr>
        <w:t>残疾人福利性单位声明函</w:t>
      </w:r>
    </w:p>
    <w:p w14:paraId="0E2B2A20">
      <w:pPr>
        <w:spacing w:line="400" w:lineRule="exact"/>
        <w:rPr>
          <w:rFonts w:ascii="宋体" w:hAnsi="宋体"/>
          <w:b/>
          <w:spacing w:val="6"/>
          <w:szCs w:val="21"/>
          <w:highlight w:val="none"/>
        </w:rPr>
      </w:pPr>
    </w:p>
    <w:p w14:paraId="53FE259A">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本单位郑重声明，根据《财政部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民政部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中国残疾人联合会关于促进残疾人就业政府采购政策的通知》（财库〔</w:t>
      </w:r>
      <w:r>
        <w:rPr>
          <w:rFonts w:ascii="宋体" w:hAnsi="宋体" w:cs="宋体"/>
          <w:kern w:val="0"/>
          <w:sz w:val="24"/>
          <w:szCs w:val="24"/>
          <w:highlight w:val="none"/>
        </w:rPr>
        <w:t>2017</w:t>
      </w:r>
      <w:r>
        <w:rPr>
          <w:rFonts w:hint="eastAsia" w:ascii="宋体" w:hAnsi="宋体" w:cs="宋体"/>
          <w:kern w:val="0"/>
          <w:sz w:val="24"/>
          <w:szCs w:val="24"/>
          <w:highlight w:val="none"/>
        </w:rPr>
        <w:t>〕</w:t>
      </w:r>
      <w:r>
        <w:rPr>
          <w:rFonts w:ascii="宋体" w:hAnsi="宋体" w:cs="宋体"/>
          <w:kern w:val="0"/>
          <w:sz w:val="24"/>
          <w:szCs w:val="24"/>
          <w:highlight w:val="none"/>
        </w:rPr>
        <w:t xml:space="preserve"> 141</w:t>
      </w:r>
      <w:r>
        <w:rPr>
          <w:rFonts w:hint="eastAsia" w:ascii="宋体" w:hAnsi="宋体" w:cs="宋体"/>
          <w:kern w:val="0"/>
          <w:sz w:val="24"/>
          <w:szCs w:val="24"/>
          <w:highlight w:val="none"/>
        </w:rPr>
        <w:t>号）的规定，本单位为符合条件的残疾人福利性单位，且本单位参加</w:t>
      </w:r>
      <w:r>
        <w:rPr>
          <w:rFonts w:ascii="宋体" w:hAnsi="宋体" w:cs="宋体"/>
          <w:kern w:val="0"/>
          <w:sz w:val="24"/>
          <w:szCs w:val="24"/>
          <w:highlight w:val="none"/>
        </w:rPr>
        <w:t>______</w:t>
      </w:r>
      <w:r>
        <w:rPr>
          <w:rFonts w:hint="eastAsia" w:ascii="宋体" w:hAnsi="宋体" w:cs="宋体"/>
          <w:kern w:val="0"/>
          <w:sz w:val="24"/>
          <w:szCs w:val="24"/>
          <w:highlight w:val="none"/>
        </w:rPr>
        <w:t>单位的</w:t>
      </w:r>
      <w:r>
        <w:rPr>
          <w:rFonts w:ascii="宋体" w:hAnsi="宋体" w:cs="宋体"/>
          <w:kern w:val="0"/>
          <w:sz w:val="24"/>
          <w:szCs w:val="24"/>
          <w:highlight w:val="none"/>
        </w:rPr>
        <w:t>______</w:t>
      </w:r>
      <w:r>
        <w:rPr>
          <w:rFonts w:hint="eastAsia" w:ascii="宋体" w:hAnsi="宋体" w:cs="宋体"/>
          <w:kern w:val="0"/>
          <w:sz w:val="24"/>
          <w:szCs w:val="24"/>
          <w:highlight w:val="none"/>
        </w:rPr>
        <w:t>项目采购活动提供本单位制造的货物（由本单位承担工程</w:t>
      </w:r>
      <w:r>
        <w:rPr>
          <w:rFonts w:ascii="宋体" w:hAnsi="宋体" w:cs="宋体"/>
          <w:kern w:val="0"/>
          <w:sz w:val="24"/>
          <w:szCs w:val="24"/>
          <w:highlight w:val="none"/>
        </w:rPr>
        <w:t>/</w:t>
      </w:r>
      <w:r>
        <w:rPr>
          <w:rFonts w:hint="eastAsia" w:ascii="宋体" w:hAnsi="宋体" w:cs="宋体"/>
          <w:kern w:val="0"/>
          <w:sz w:val="24"/>
          <w:szCs w:val="24"/>
          <w:highlight w:val="none"/>
        </w:rPr>
        <w:t>提供服务），或者提供其他残疾人福利性单位制造的货物（不包括使用非残疾人福利性单位注册商标的货物）。</w:t>
      </w:r>
    </w:p>
    <w:p w14:paraId="53F12A75">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本单位对上述声明的真实性负责。如有虚假，将依法承担相应责任。</w:t>
      </w:r>
    </w:p>
    <w:p w14:paraId="1F51591C">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p>
    <w:p w14:paraId="059892EF">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潜在</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公章：</w:t>
      </w:r>
    </w:p>
    <w:p w14:paraId="565E7A7E">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日期：</w:t>
      </w:r>
    </w:p>
    <w:p w14:paraId="38E81BFF">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b/>
          <w:sz w:val="24"/>
          <w:szCs w:val="24"/>
          <w:highlight w:val="none"/>
        </w:rPr>
      </w:pPr>
    </w:p>
    <w:p w14:paraId="3C1B1AC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享受政府采购支持政策的残疾人福利性单位应当同时满足以下条件：</w:t>
      </w:r>
    </w:p>
    <w:p w14:paraId="192C5B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（一）安置的残疾人占本单位在职职工人数的比例不低于</w:t>
      </w:r>
      <w:r>
        <w:rPr>
          <w:rFonts w:ascii="宋体" w:hAnsi="宋体" w:cs="宋体"/>
          <w:kern w:val="0"/>
          <w:sz w:val="24"/>
          <w:szCs w:val="24"/>
          <w:highlight w:val="none"/>
        </w:rPr>
        <w:t>25%</w:t>
      </w:r>
      <w:r>
        <w:rPr>
          <w:rFonts w:hint="eastAsia" w:ascii="宋体" w:hAnsi="宋体" w:cs="宋体"/>
          <w:kern w:val="0"/>
          <w:sz w:val="24"/>
          <w:szCs w:val="24"/>
          <w:highlight w:val="none"/>
        </w:rPr>
        <w:t>（含</w:t>
      </w:r>
      <w:r>
        <w:rPr>
          <w:rFonts w:ascii="宋体" w:hAnsi="宋体" w:cs="宋体"/>
          <w:kern w:val="0"/>
          <w:sz w:val="24"/>
          <w:szCs w:val="24"/>
          <w:highlight w:val="none"/>
        </w:rPr>
        <w:t>25%</w:t>
      </w:r>
      <w:r>
        <w:rPr>
          <w:rFonts w:hint="eastAsia" w:ascii="宋体" w:hAnsi="宋体" w:cs="宋体"/>
          <w:kern w:val="0"/>
          <w:sz w:val="24"/>
          <w:szCs w:val="24"/>
          <w:highlight w:val="none"/>
        </w:rPr>
        <w:t>），并且安置的残疾人人数不少于</w:t>
      </w:r>
      <w:r>
        <w:rPr>
          <w:rFonts w:ascii="宋体" w:hAnsi="宋体" w:cs="宋体"/>
          <w:kern w:val="0"/>
          <w:sz w:val="24"/>
          <w:szCs w:val="24"/>
          <w:highlight w:val="none"/>
        </w:rPr>
        <w:t>10</w:t>
      </w:r>
      <w:r>
        <w:rPr>
          <w:rFonts w:hint="eastAsia" w:ascii="宋体" w:hAnsi="宋体" w:cs="宋体"/>
          <w:kern w:val="0"/>
          <w:sz w:val="24"/>
          <w:szCs w:val="24"/>
          <w:highlight w:val="none"/>
        </w:rPr>
        <w:t>人（含</w:t>
      </w:r>
      <w:r>
        <w:rPr>
          <w:rFonts w:ascii="宋体" w:hAnsi="宋体" w:cs="宋体"/>
          <w:kern w:val="0"/>
          <w:sz w:val="24"/>
          <w:szCs w:val="24"/>
          <w:highlight w:val="none"/>
        </w:rPr>
        <w:t>10</w:t>
      </w:r>
      <w:r>
        <w:rPr>
          <w:rFonts w:hint="eastAsia" w:ascii="宋体" w:hAnsi="宋体" w:cs="宋体"/>
          <w:kern w:val="0"/>
          <w:sz w:val="24"/>
          <w:szCs w:val="24"/>
          <w:highlight w:val="none"/>
        </w:rPr>
        <w:t>人）；</w:t>
      </w:r>
    </w:p>
    <w:p w14:paraId="4FA62FB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（二）依法与安置的每位残疾人签订了一年以上（含一年）的劳动合同或服务协议；</w:t>
      </w:r>
    </w:p>
    <w:p w14:paraId="3C22AA9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（三）为安置的每位残疾人按月足额缴纳了基本养老保险、基本医疗保险、失业保险、工伤保险和生育保险等社会保险费；</w:t>
      </w:r>
    </w:p>
    <w:p w14:paraId="3A11B53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（四）通过银行等金融机构向安置的每位残疾人，按月支付了不低于单位所在区县适用的经省级人民政府批准的月最低工资标准的工资；</w:t>
      </w:r>
    </w:p>
    <w:p w14:paraId="60E068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（五）提供本单位制造的货物、承担的工程或者服务（以下简称产品），或者提供其他残疾人福利性单位制造的货物（不包括使用非残疾人福利性单位注册商标的货物）。</w:t>
      </w:r>
    </w:p>
    <w:p w14:paraId="6DA0961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前款所称残疾人是指法定劳动年龄内，持有《中华人民共和国残疾人证》或者《中华人民共和国残疾军人证（</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8</w:t>
      </w:r>
      <w:r>
        <w:rPr>
          <w:rFonts w:hint="eastAsia" w:ascii="宋体" w:hAnsi="宋体" w:cs="宋体"/>
          <w:kern w:val="0"/>
          <w:sz w:val="24"/>
          <w:szCs w:val="24"/>
          <w:highlight w:val="none"/>
        </w:rPr>
        <w:t>级）》的自然人，包括具有劳动条件和劳动意愿的精神残疾人。在职职工人数是指与残疾人福利性单位建立劳动关系并依法签订劳动合同或者服务协议的雇员人数。</w:t>
      </w:r>
    </w:p>
    <w:p w14:paraId="25BBB599">
      <w:pPr>
        <w:widowControl/>
        <w:shd w:val="clear" w:color="auto" w:fill="FFFFFF"/>
        <w:spacing w:line="400" w:lineRule="exact"/>
        <w:ind w:firstLine="480"/>
        <w:jc w:val="left"/>
        <w:textAlignment w:val="baseline"/>
        <w:rPr>
          <w:rFonts w:ascii="宋体" w:hAnsi="宋体" w:cs="宋体"/>
          <w:kern w:val="0"/>
          <w:sz w:val="24"/>
          <w:szCs w:val="24"/>
          <w:highlight w:val="none"/>
        </w:rPr>
      </w:pPr>
    </w:p>
    <w:p w14:paraId="7C9E23B6">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30"/>
          <w:szCs w:val="30"/>
          <w:highlight w:val="none"/>
        </w:rPr>
      </w:pPr>
      <w:r>
        <w:rPr>
          <w:rFonts w:ascii="宋体" w:hAnsi="宋体"/>
          <w:b/>
          <w:color w:val="000000"/>
          <w:sz w:val="24"/>
          <w:szCs w:val="24"/>
          <w:highlight w:val="none"/>
        </w:rPr>
        <w:br w:type="page"/>
      </w:r>
      <w:r>
        <w:rPr>
          <w:rFonts w:hint="eastAsia" w:ascii="宋体" w:hAnsi="宋体"/>
          <w:b/>
          <w:color w:val="000000"/>
          <w:sz w:val="30"/>
          <w:szCs w:val="30"/>
          <w:highlight w:val="none"/>
        </w:rPr>
        <w:t>监狱企业证明函</w:t>
      </w:r>
    </w:p>
    <w:p w14:paraId="1C37F021">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24"/>
          <w:szCs w:val="24"/>
          <w:highlight w:val="none"/>
        </w:rPr>
      </w:pPr>
    </w:p>
    <w:p w14:paraId="451E7AC7">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司法部关于政府采购支持监狱企业发展有关问题的通知》（财库</w:t>
      </w:r>
      <w:r>
        <w:rPr>
          <w:rFonts w:ascii="宋体" w:hAnsi="宋体" w:cs="宋体"/>
          <w:kern w:val="0"/>
          <w:sz w:val="24"/>
          <w:szCs w:val="24"/>
          <w:highlight w:val="none"/>
        </w:rPr>
        <w:t>[2014]68</w:t>
      </w:r>
      <w:r>
        <w:rPr>
          <w:rFonts w:hint="eastAsia" w:ascii="宋体" w:hAnsi="宋体" w:cs="宋体"/>
          <w:kern w:val="0"/>
          <w:sz w:val="24"/>
          <w:szCs w:val="24"/>
          <w:highlight w:val="none"/>
        </w:rPr>
        <w:t>号）的规定，</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（填写</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法定全称）为监狱企业。</w:t>
      </w:r>
    </w:p>
    <w:p w14:paraId="6E0B08E8">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特此声明。</w:t>
      </w:r>
    </w:p>
    <w:p w14:paraId="29377D50">
      <w:pPr>
        <w:pageBreakBefore w:val="0"/>
        <w:kinsoku/>
        <w:wordWrap/>
        <w:topLinePunct w:val="0"/>
        <w:autoSpaceDE/>
        <w:autoSpaceDN/>
        <w:bidi w:val="0"/>
        <w:adjustRightInd w:val="0"/>
        <w:snapToGrid w:val="0"/>
        <w:spacing w:line="360" w:lineRule="auto"/>
        <w:ind w:firstLine="480" w:firstLineChars="200"/>
        <w:rPr>
          <w:rFonts w:ascii="宋体" w:hAnsi="宋体"/>
          <w:sz w:val="24"/>
          <w:szCs w:val="24"/>
          <w:highlight w:val="none"/>
        </w:rPr>
      </w:pPr>
    </w:p>
    <w:p w14:paraId="68C93344">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sz w:val="24"/>
          <w:szCs w:val="24"/>
          <w:highlight w:val="none"/>
        </w:rPr>
      </w:pPr>
      <w:r>
        <w:rPr>
          <w:rFonts w:hint="eastAsia" w:ascii="宋体" w:hAnsi="宋体" w:cs="宋体"/>
          <w:kern w:val="0"/>
          <w:sz w:val="24"/>
          <w:szCs w:val="24"/>
          <w:highlight w:val="none"/>
        </w:rPr>
        <w:t>省级以上监狱管理局、戒毒管理局（含新疆生产建设兵团）（盖章）：</w:t>
      </w:r>
    </w:p>
    <w:p w14:paraId="29E41865">
      <w:pPr>
        <w:keepNext/>
        <w:keepLines/>
        <w:pageBreakBefore w:val="0"/>
        <w:kinsoku/>
        <w:wordWrap/>
        <w:overflowPunct w:val="0"/>
        <w:topLinePunct w:val="0"/>
        <w:autoSpaceDE/>
        <w:autoSpaceDN/>
        <w:bidi w:val="0"/>
        <w:adjustRightInd w:val="0"/>
        <w:snapToGrid w:val="0"/>
        <w:spacing w:line="360" w:lineRule="auto"/>
        <w:ind w:firstLine="480" w:firstLineChars="200"/>
        <w:jc w:val="center"/>
        <w:textAlignment w:val="baseline"/>
        <w:outlineLvl w:val="1"/>
        <w:rPr>
          <w:rFonts w:ascii="宋体" w:hAnsi="宋体"/>
          <w:bCs/>
          <w:sz w:val="24"/>
          <w:szCs w:val="24"/>
          <w:highlight w:val="none"/>
        </w:rPr>
      </w:pPr>
      <w:r>
        <w:rPr>
          <w:rFonts w:hint="eastAsia" w:ascii="宋体" w:hAnsi="宋体" w:cs="宋体"/>
          <w:bCs/>
          <w:kern w:val="0"/>
          <w:sz w:val="24"/>
          <w:szCs w:val="24"/>
          <w:highlight w:val="none"/>
        </w:rPr>
        <w:t>日期：</w:t>
      </w:r>
    </w:p>
    <w:p w14:paraId="28EC72C4">
      <w:pPr>
        <w:pageBreakBefore w:val="0"/>
        <w:kinsoku/>
        <w:wordWrap/>
        <w:topLinePunct w:val="0"/>
        <w:autoSpaceDE/>
        <w:autoSpaceDN/>
        <w:bidi w:val="0"/>
        <w:adjustRightInd w:val="0"/>
        <w:snapToGrid w:val="0"/>
        <w:spacing w:line="360" w:lineRule="auto"/>
        <w:ind w:firstLine="482" w:firstLineChars="200"/>
        <w:jc w:val="center"/>
        <w:rPr>
          <w:rFonts w:hint="eastAsia" w:ascii="宋体" w:hAnsi="宋体" w:eastAsia="宋体" w:cs="宋体"/>
          <w:b/>
          <w:bCs/>
          <w:i w:val="0"/>
          <w:iCs w:val="0"/>
          <w:color w:val="auto"/>
          <w:sz w:val="24"/>
          <w:szCs w:val="24"/>
          <w:highlight w:val="none"/>
          <w:u w:val="none"/>
          <w:lang w:val="en-US" w:eastAsia="zh-CN"/>
        </w:rPr>
      </w:pPr>
    </w:p>
    <w:p w14:paraId="5EA0A797">
      <w:pPr>
        <w:pageBreakBefore w:val="0"/>
        <w:kinsoku/>
        <w:wordWrap/>
        <w:topLinePunct w:val="0"/>
        <w:autoSpaceDE/>
        <w:autoSpaceDN/>
        <w:bidi w:val="0"/>
        <w:adjustRightInd w:val="0"/>
        <w:snapToGrid w:val="0"/>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br w:type="page"/>
      </w:r>
    </w:p>
    <w:p w14:paraId="1F1BF480">
      <w:pPr>
        <w:jc w:val="center"/>
        <w:rPr>
          <w:rFonts w:ascii="宋体" w:hAnsi="宋体" w:cs="宋体"/>
          <w:b/>
          <w:sz w:val="30"/>
          <w:szCs w:val="30"/>
          <w:highlight w:val="none"/>
        </w:rPr>
      </w:pP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南通市交通运输局信息安全服务项目</w:t>
      </w:r>
      <w:r>
        <w:rPr>
          <w:rFonts w:hint="eastAsia" w:ascii="宋体" w:hAnsi="宋体" w:eastAsia="宋体" w:cs="宋体"/>
          <w:sz w:val="24"/>
          <w:szCs w:val="24"/>
          <w:highlight w:val="none"/>
        </w:rPr>
        <w:t xml:space="preserve">                               </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1ABE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每年</w:t>
            </w:r>
            <w:r>
              <w:rPr>
                <w:rFonts w:hint="eastAsia" w:ascii="宋体" w:hAnsi="宋体" w:eastAsia="宋体" w:cs="宋体"/>
                <w:sz w:val="24"/>
                <w:szCs w:val="24"/>
                <w:highlight w:val="none"/>
              </w:rPr>
              <w:t>投标报价</w:t>
            </w:r>
          </w:p>
        </w:tc>
      </w:tr>
      <w:tr w14:paraId="2C0E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4CD6AEE8">
            <w:pPr>
              <w:pStyle w:val="263"/>
              <w:keepNext w:val="0"/>
              <w:keepLines w:val="0"/>
              <w:pageBreakBefore w:val="0"/>
              <w:kinsoku/>
              <w:wordWrap/>
              <w:overflowPunct/>
              <w:topLinePunct w:val="0"/>
              <w:autoSpaceDE/>
              <w:autoSpaceDN/>
              <w:bidi w:val="0"/>
              <w:adjustRightInd w:val="0"/>
              <w:snapToGrid/>
              <w:spacing w:before="0" w:after="0" w:line="360"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3"/>
              <w:keepNext w:val="0"/>
              <w:keepLines w:val="0"/>
              <w:pageBreakBefore w:val="0"/>
              <w:kinsoku/>
              <w:wordWrap/>
              <w:overflowPunct/>
              <w:topLinePunct w:val="0"/>
              <w:autoSpaceDE/>
              <w:autoSpaceDN/>
              <w:bidi w:val="0"/>
              <w:adjustRightInd w:val="0"/>
              <w:snapToGrid/>
              <w:spacing w:before="0" w:after="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（人民币：元）</w:t>
            </w:r>
          </w:p>
        </w:tc>
      </w:tr>
    </w:tbl>
    <w:p w14:paraId="670EC3D2">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20"/>
          <w:rFonts w:hint="eastAsia" w:ascii="宋体" w:hAnsi="宋体" w:eastAsia="宋体" w:cs="宋体"/>
          <w:color w:val="auto"/>
          <w:sz w:val="24"/>
          <w:szCs w:val="24"/>
          <w:highlight w:val="none"/>
        </w:rPr>
      </w:pPr>
      <w:r>
        <w:rPr>
          <w:rStyle w:val="320"/>
          <w:rFonts w:hint="eastAsia" w:ascii="宋体" w:hAnsi="宋体" w:cs="宋体"/>
          <w:color w:val="auto"/>
          <w:sz w:val="24"/>
          <w:szCs w:val="24"/>
          <w:highlight w:val="none"/>
          <w:lang w:val="en-US" w:eastAsia="zh-CN"/>
        </w:rPr>
        <w:t xml:space="preserve">                               </w:t>
      </w:r>
      <w:r>
        <w:rPr>
          <w:rStyle w:val="320"/>
          <w:rFonts w:hint="eastAsia" w:ascii="宋体" w:hAnsi="宋体" w:eastAsia="宋体" w:cs="宋体"/>
          <w:color w:val="auto"/>
          <w:sz w:val="24"/>
          <w:szCs w:val="24"/>
          <w:highlight w:val="none"/>
          <w:lang w:val="en-US" w:eastAsia="zh-CN"/>
        </w:rPr>
        <w:t>投标</w:t>
      </w:r>
      <w:r>
        <w:rPr>
          <w:rStyle w:val="320"/>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r>
        <w:rPr>
          <w:rFonts w:hint="eastAsia" w:ascii="宋体" w:hAnsi="宋体" w:cs="宋体"/>
          <w:b/>
          <w:bCs/>
          <w:i w:val="0"/>
          <w:iCs w:val="0"/>
          <w:color w:val="auto"/>
          <w:sz w:val="30"/>
          <w:szCs w:val="30"/>
          <w:highlight w:val="none"/>
          <w:u w:val="none"/>
          <w:lang w:val="en-US" w:eastAsia="zh-CN"/>
        </w:rPr>
        <w:t>（每年）</w:t>
      </w:r>
    </w:p>
    <w:p w14:paraId="5DD7E140">
      <w:pPr>
        <w:jc w:val="center"/>
        <w:rPr>
          <w:rFonts w:hint="eastAsia" w:ascii="宋体" w:hAnsi="宋体" w:eastAsia="宋体" w:cs="宋体"/>
          <w:b/>
          <w:sz w:val="30"/>
          <w:szCs w:val="30"/>
          <w:highlight w:val="none"/>
        </w:rPr>
      </w:pPr>
    </w:p>
    <w:p w14:paraId="7129B8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南通市交通运输局信息安全服务项目</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2108"/>
        <w:gridCol w:w="1080"/>
        <w:gridCol w:w="1172"/>
        <w:gridCol w:w="1771"/>
        <w:gridCol w:w="1724"/>
        <w:gridCol w:w="838"/>
      </w:tblGrid>
      <w:tr w14:paraId="75F9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723" w:type="dxa"/>
            <w:noWrap w:val="0"/>
            <w:vAlign w:val="center"/>
          </w:tcPr>
          <w:p w14:paraId="29681B6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序号</w:t>
            </w:r>
          </w:p>
        </w:tc>
        <w:tc>
          <w:tcPr>
            <w:tcW w:w="2108" w:type="dxa"/>
            <w:noWrap w:val="0"/>
            <w:vAlign w:val="center"/>
          </w:tcPr>
          <w:p w14:paraId="0E311CE5">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名称</w:t>
            </w:r>
          </w:p>
        </w:tc>
        <w:tc>
          <w:tcPr>
            <w:tcW w:w="1080" w:type="dxa"/>
            <w:noWrap w:val="0"/>
            <w:vAlign w:val="center"/>
          </w:tcPr>
          <w:p w14:paraId="74596404">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单位</w:t>
            </w:r>
          </w:p>
        </w:tc>
        <w:tc>
          <w:tcPr>
            <w:tcW w:w="1172" w:type="dxa"/>
            <w:noWrap w:val="0"/>
            <w:vAlign w:val="center"/>
          </w:tcPr>
          <w:p w14:paraId="0D90F1A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数量</w:t>
            </w:r>
          </w:p>
        </w:tc>
        <w:tc>
          <w:tcPr>
            <w:tcW w:w="1771" w:type="dxa"/>
            <w:noWrap w:val="0"/>
            <w:vAlign w:val="center"/>
          </w:tcPr>
          <w:p w14:paraId="7A47879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单价（</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1724" w:type="dxa"/>
            <w:noWrap w:val="0"/>
            <w:vAlign w:val="center"/>
          </w:tcPr>
          <w:p w14:paraId="7329218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金额（</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838" w:type="dxa"/>
            <w:noWrap w:val="0"/>
            <w:vAlign w:val="center"/>
          </w:tcPr>
          <w:p w14:paraId="79D4280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备注</w:t>
            </w:r>
          </w:p>
        </w:tc>
      </w:tr>
      <w:tr w14:paraId="7BAA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723" w:type="dxa"/>
            <w:noWrap w:val="0"/>
            <w:vAlign w:val="center"/>
          </w:tcPr>
          <w:p w14:paraId="7E478B2A">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1</w:t>
            </w:r>
          </w:p>
        </w:tc>
        <w:tc>
          <w:tcPr>
            <w:tcW w:w="2108" w:type="dxa"/>
            <w:noWrap w:val="0"/>
            <w:vAlign w:val="center"/>
          </w:tcPr>
          <w:p w14:paraId="486C5F04">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050A14EC">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6D9172B">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1F6598C7">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7E6E3E5D">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1EB4E324">
            <w:pPr>
              <w:autoSpaceDE w:val="0"/>
              <w:autoSpaceDN w:val="0"/>
              <w:jc w:val="center"/>
              <w:rPr>
                <w:rFonts w:hint="eastAsia" w:ascii="宋体" w:hAnsi="宋体" w:eastAsia="宋体" w:cs="宋体"/>
                <w:kern w:val="0"/>
                <w:sz w:val="24"/>
                <w:szCs w:val="24"/>
                <w:highlight w:val="none"/>
                <w:lang w:val="zh-CN" w:bidi="zh-CN"/>
              </w:rPr>
            </w:pPr>
          </w:p>
        </w:tc>
      </w:tr>
      <w:tr w14:paraId="2A81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23" w:type="dxa"/>
            <w:noWrap w:val="0"/>
            <w:vAlign w:val="center"/>
          </w:tcPr>
          <w:p w14:paraId="1DAB98AD">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2</w:t>
            </w:r>
          </w:p>
        </w:tc>
        <w:tc>
          <w:tcPr>
            <w:tcW w:w="2108" w:type="dxa"/>
            <w:noWrap w:val="0"/>
            <w:vAlign w:val="center"/>
          </w:tcPr>
          <w:p w14:paraId="022C1B3B">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5BC9DD4A">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A98E6BF">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54AABEFE">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33C24933">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BB5E691">
            <w:pPr>
              <w:autoSpaceDE w:val="0"/>
              <w:autoSpaceDN w:val="0"/>
              <w:jc w:val="center"/>
              <w:rPr>
                <w:rFonts w:hint="eastAsia" w:ascii="宋体" w:hAnsi="宋体" w:eastAsia="宋体" w:cs="宋体"/>
                <w:kern w:val="0"/>
                <w:sz w:val="24"/>
                <w:szCs w:val="24"/>
                <w:highlight w:val="none"/>
                <w:lang w:val="zh-CN" w:bidi="zh-CN"/>
              </w:rPr>
            </w:pPr>
          </w:p>
        </w:tc>
      </w:tr>
      <w:tr w14:paraId="7112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74C89726">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3</w:t>
            </w:r>
          </w:p>
        </w:tc>
        <w:tc>
          <w:tcPr>
            <w:tcW w:w="2108" w:type="dxa"/>
            <w:noWrap w:val="0"/>
            <w:vAlign w:val="center"/>
          </w:tcPr>
          <w:p w14:paraId="00465BB2">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3E88BF35">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55E81AE8">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3118FCF6">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FF68D08">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0A79D373">
            <w:pPr>
              <w:autoSpaceDE w:val="0"/>
              <w:autoSpaceDN w:val="0"/>
              <w:jc w:val="center"/>
              <w:rPr>
                <w:rFonts w:hint="eastAsia" w:ascii="宋体" w:hAnsi="宋体" w:eastAsia="宋体" w:cs="宋体"/>
                <w:kern w:val="0"/>
                <w:sz w:val="24"/>
                <w:szCs w:val="24"/>
                <w:highlight w:val="none"/>
                <w:lang w:val="zh-CN" w:bidi="zh-CN"/>
              </w:rPr>
            </w:pPr>
          </w:p>
        </w:tc>
      </w:tr>
      <w:tr w14:paraId="7B43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723" w:type="dxa"/>
            <w:noWrap w:val="0"/>
            <w:vAlign w:val="center"/>
          </w:tcPr>
          <w:p w14:paraId="10D6A548">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4</w:t>
            </w:r>
          </w:p>
        </w:tc>
        <w:tc>
          <w:tcPr>
            <w:tcW w:w="2108" w:type="dxa"/>
            <w:noWrap w:val="0"/>
            <w:vAlign w:val="center"/>
          </w:tcPr>
          <w:p w14:paraId="2C7C7C9F">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4D8F1F96">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3F083412">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72574EE3">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EC074EC">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1FD437A">
            <w:pPr>
              <w:autoSpaceDE w:val="0"/>
              <w:autoSpaceDN w:val="0"/>
              <w:jc w:val="center"/>
              <w:rPr>
                <w:rFonts w:hint="eastAsia" w:ascii="宋体" w:hAnsi="宋体" w:eastAsia="宋体" w:cs="宋体"/>
                <w:kern w:val="0"/>
                <w:sz w:val="24"/>
                <w:szCs w:val="24"/>
                <w:highlight w:val="none"/>
                <w:lang w:val="zh-CN" w:bidi="zh-CN"/>
              </w:rPr>
            </w:pPr>
          </w:p>
        </w:tc>
      </w:tr>
      <w:tr w14:paraId="56DD7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3508B423">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w:t>
            </w:r>
          </w:p>
        </w:tc>
        <w:tc>
          <w:tcPr>
            <w:tcW w:w="2108" w:type="dxa"/>
            <w:noWrap w:val="0"/>
            <w:vAlign w:val="center"/>
          </w:tcPr>
          <w:p w14:paraId="46DD6C11">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2A6CC273">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67B23234">
            <w:pPr>
              <w:autoSpaceDE w:val="0"/>
              <w:autoSpaceDN w:val="0"/>
              <w:jc w:val="center"/>
              <w:rPr>
                <w:rFonts w:hint="eastAsia" w:ascii="宋体" w:hAnsi="宋体" w:eastAsia="宋体" w:cs="宋体"/>
                <w:kern w:val="0"/>
                <w:sz w:val="24"/>
                <w:szCs w:val="24"/>
                <w:highlight w:val="none"/>
                <w:lang w:val="zh-CN" w:bidi="zh-CN"/>
              </w:rPr>
            </w:pPr>
          </w:p>
        </w:tc>
        <w:tc>
          <w:tcPr>
            <w:tcW w:w="1771" w:type="dxa"/>
            <w:tcBorders>
              <w:right w:val="single" w:color="auto" w:sz="4" w:space="0"/>
            </w:tcBorders>
            <w:noWrap w:val="0"/>
            <w:vAlign w:val="center"/>
          </w:tcPr>
          <w:p w14:paraId="33D4F37F">
            <w:pPr>
              <w:autoSpaceDE w:val="0"/>
              <w:autoSpaceDN w:val="0"/>
              <w:jc w:val="center"/>
              <w:rPr>
                <w:rFonts w:hint="eastAsia" w:ascii="宋体" w:hAnsi="宋体" w:eastAsia="宋体" w:cs="宋体"/>
                <w:kern w:val="0"/>
                <w:sz w:val="24"/>
                <w:szCs w:val="24"/>
                <w:highlight w:val="none"/>
                <w:lang w:val="zh-CN" w:bidi="zh-CN"/>
              </w:rPr>
            </w:pPr>
          </w:p>
        </w:tc>
        <w:tc>
          <w:tcPr>
            <w:tcW w:w="1724" w:type="dxa"/>
            <w:tcBorders>
              <w:left w:val="single" w:color="auto" w:sz="4" w:space="0"/>
              <w:right w:val="single" w:color="auto" w:sz="4" w:space="0"/>
            </w:tcBorders>
            <w:noWrap w:val="0"/>
            <w:vAlign w:val="center"/>
          </w:tcPr>
          <w:p w14:paraId="538DEE31">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171F38F9">
            <w:pPr>
              <w:autoSpaceDE w:val="0"/>
              <w:autoSpaceDN w:val="0"/>
              <w:jc w:val="center"/>
              <w:rPr>
                <w:rFonts w:hint="eastAsia" w:ascii="宋体" w:hAnsi="宋体" w:eastAsia="宋体" w:cs="宋体"/>
                <w:kern w:val="0"/>
                <w:sz w:val="24"/>
                <w:szCs w:val="24"/>
                <w:highlight w:val="none"/>
                <w:lang w:val="zh-CN" w:bidi="zh-CN"/>
              </w:rPr>
            </w:pPr>
          </w:p>
        </w:tc>
      </w:tr>
      <w:tr w14:paraId="51E5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6854" w:type="dxa"/>
            <w:gridSpan w:val="5"/>
            <w:tcBorders>
              <w:right w:val="single" w:color="auto" w:sz="4" w:space="0"/>
            </w:tcBorders>
            <w:noWrap w:val="0"/>
            <w:vAlign w:val="center"/>
          </w:tcPr>
          <w:p w14:paraId="1521D0EC">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合计（元）</w:t>
            </w:r>
          </w:p>
        </w:tc>
        <w:tc>
          <w:tcPr>
            <w:tcW w:w="1724" w:type="dxa"/>
            <w:tcBorders>
              <w:left w:val="single" w:color="auto" w:sz="4" w:space="0"/>
              <w:right w:val="single" w:color="auto" w:sz="4" w:space="0"/>
            </w:tcBorders>
            <w:noWrap w:val="0"/>
            <w:vAlign w:val="center"/>
          </w:tcPr>
          <w:p w14:paraId="47076127">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585FD796">
            <w:pPr>
              <w:autoSpaceDE w:val="0"/>
              <w:autoSpaceDN w:val="0"/>
              <w:jc w:val="center"/>
              <w:rPr>
                <w:rFonts w:hint="eastAsia" w:ascii="宋体" w:hAnsi="宋体" w:eastAsia="宋体" w:cs="宋体"/>
                <w:kern w:val="0"/>
                <w:sz w:val="24"/>
                <w:szCs w:val="24"/>
                <w:highlight w:val="none"/>
                <w:lang w:val="zh-CN" w:bidi="zh-CN"/>
              </w:rPr>
            </w:pPr>
          </w:p>
        </w:tc>
      </w:tr>
    </w:tbl>
    <w:p w14:paraId="40E2F38D">
      <w:pPr>
        <w:snapToGrid w:val="0"/>
        <w:spacing w:line="360" w:lineRule="auto"/>
        <w:ind w:left="840" w:hanging="843" w:hangingChars="350"/>
        <w:jc w:val="right"/>
        <w:rPr>
          <w:rFonts w:hint="eastAsia" w:ascii="宋体" w:hAnsi="宋体" w:eastAsia="宋体" w:cs="宋体"/>
          <w:b/>
          <w:sz w:val="24"/>
          <w:szCs w:val="24"/>
          <w:highlight w:val="none"/>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20"/>
          <w:rFonts w:hint="eastAsia" w:ascii="宋体" w:hAnsi="宋体" w:eastAsia="宋体" w:cs="宋体"/>
          <w:color w:val="auto"/>
          <w:sz w:val="24"/>
          <w:szCs w:val="24"/>
          <w:highlight w:val="none"/>
        </w:rPr>
      </w:pPr>
      <w:r>
        <w:rPr>
          <w:rStyle w:val="320"/>
          <w:rFonts w:hint="eastAsia" w:ascii="宋体" w:hAnsi="宋体" w:cs="宋体"/>
          <w:color w:val="auto"/>
          <w:sz w:val="24"/>
          <w:szCs w:val="24"/>
          <w:highlight w:val="none"/>
          <w:lang w:val="en-US" w:eastAsia="zh-CN"/>
        </w:rPr>
        <w:t xml:space="preserve">                                </w:t>
      </w:r>
      <w:r>
        <w:rPr>
          <w:rStyle w:val="320"/>
          <w:rFonts w:hint="eastAsia" w:ascii="宋体" w:hAnsi="宋体" w:eastAsia="宋体" w:cs="宋体"/>
          <w:color w:val="auto"/>
          <w:sz w:val="24"/>
          <w:szCs w:val="24"/>
          <w:highlight w:val="none"/>
          <w:lang w:val="en-US" w:eastAsia="zh-CN"/>
        </w:rPr>
        <w:t>投标</w:t>
      </w:r>
      <w:r>
        <w:rPr>
          <w:rStyle w:val="320"/>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35DD6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08F4E5E2">
      <w:pPr>
        <w:pStyle w:val="17"/>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D8282BA-7906-4BB7-8A25-77CBAADDF5C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C130A76-FF64-47AB-8E89-CC5CDB3E6CD9}"/>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20B05030202020202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6E9BA2F-FDDB-4019-B006-ABDDCE0E5893}"/>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29"/>
      <w:jc w:val="center"/>
    </w:pPr>
    <w:r>
      <w:fldChar w:fldCharType="begin"/>
    </w:r>
    <w:r>
      <w:instrText xml:space="preserve">PAGE \* MERGEFORMAT</w:instrText>
    </w:r>
    <w:r>
      <w:fldChar w:fldCharType="separate"/>
    </w:r>
    <w:r>
      <w:t>1</w:t>
    </w:r>
    <w:r>
      <w:fldChar w:fldCharType="end"/>
    </w:r>
  </w:p>
  <w:p w14:paraId="3F6949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304"/>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3BAC14D2"/>
    <w:multiLevelType w:val="singleLevel"/>
    <w:tmpl w:val="3BAC14D2"/>
    <w:lvl w:ilvl="0" w:tentative="0">
      <w:start w:val="8"/>
      <w:numFmt w:val="chineseCounting"/>
      <w:suff w:val="nothing"/>
      <w:lvlText w:val="%1、"/>
      <w:lvlJc w:val="left"/>
      <w:rPr>
        <w:rFonts w:hint="eastAsia"/>
      </w:rPr>
    </w:lvl>
  </w:abstractNum>
  <w:abstractNum w:abstractNumId="2">
    <w:nsid w:val="6F204EC7"/>
    <w:multiLevelType w:val="singleLevel"/>
    <w:tmpl w:val="6F204EC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s>
  <w:rsids>
    <w:rsidRoot w:val="00000000"/>
    <w:rsid w:val="002E23A7"/>
    <w:rsid w:val="00E7366B"/>
    <w:rsid w:val="01065DB3"/>
    <w:rsid w:val="0173619F"/>
    <w:rsid w:val="02003F90"/>
    <w:rsid w:val="035B751F"/>
    <w:rsid w:val="04B05649"/>
    <w:rsid w:val="04C904B8"/>
    <w:rsid w:val="078828AD"/>
    <w:rsid w:val="08435F0C"/>
    <w:rsid w:val="093F7D8B"/>
    <w:rsid w:val="09527D96"/>
    <w:rsid w:val="09C74FB8"/>
    <w:rsid w:val="0A8F22BC"/>
    <w:rsid w:val="0AA66A18"/>
    <w:rsid w:val="0B282299"/>
    <w:rsid w:val="0C130CE1"/>
    <w:rsid w:val="0CAA0BCF"/>
    <w:rsid w:val="0D270472"/>
    <w:rsid w:val="0D8B0A01"/>
    <w:rsid w:val="0DA335E0"/>
    <w:rsid w:val="0E197DBB"/>
    <w:rsid w:val="0F9D0EBF"/>
    <w:rsid w:val="0FB86539"/>
    <w:rsid w:val="10501A8E"/>
    <w:rsid w:val="106A0826"/>
    <w:rsid w:val="10A818CA"/>
    <w:rsid w:val="11D7201F"/>
    <w:rsid w:val="1241376B"/>
    <w:rsid w:val="12977AFE"/>
    <w:rsid w:val="12F40DF6"/>
    <w:rsid w:val="134D3BB6"/>
    <w:rsid w:val="139A181E"/>
    <w:rsid w:val="13B54A2A"/>
    <w:rsid w:val="15977F8D"/>
    <w:rsid w:val="165878EE"/>
    <w:rsid w:val="16931028"/>
    <w:rsid w:val="16BA5EB3"/>
    <w:rsid w:val="16EB42BE"/>
    <w:rsid w:val="185F4F64"/>
    <w:rsid w:val="18DE232D"/>
    <w:rsid w:val="19C2405F"/>
    <w:rsid w:val="19FF69FF"/>
    <w:rsid w:val="1ACF03B6"/>
    <w:rsid w:val="1ADE0EA8"/>
    <w:rsid w:val="1B016DFD"/>
    <w:rsid w:val="1B532B3E"/>
    <w:rsid w:val="1C093180"/>
    <w:rsid w:val="1C3B6584"/>
    <w:rsid w:val="1F180A8E"/>
    <w:rsid w:val="1F6435E0"/>
    <w:rsid w:val="20A01302"/>
    <w:rsid w:val="217B17CC"/>
    <w:rsid w:val="23645B24"/>
    <w:rsid w:val="26753BA5"/>
    <w:rsid w:val="26AB75C6"/>
    <w:rsid w:val="27651E6B"/>
    <w:rsid w:val="27BF5A1F"/>
    <w:rsid w:val="280671AA"/>
    <w:rsid w:val="281309A6"/>
    <w:rsid w:val="28151638"/>
    <w:rsid w:val="292813A2"/>
    <w:rsid w:val="2A0B0BE7"/>
    <w:rsid w:val="2ACD2201"/>
    <w:rsid w:val="2BEA2138"/>
    <w:rsid w:val="2D1C7470"/>
    <w:rsid w:val="2D8F0584"/>
    <w:rsid w:val="2DEC7868"/>
    <w:rsid w:val="2E143CAB"/>
    <w:rsid w:val="2EB8253C"/>
    <w:rsid w:val="2ED578D6"/>
    <w:rsid w:val="2EE858F4"/>
    <w:rsid w:val="2F3542F6"/>
    <w:rsid w:val="2FAF1ED5"/>
    <w:rsid w:val="30EB1246"/>
    <w:rsid w:val="33166F26"/>
    <w:rsid w:val="338A1E39"/>
    <w:rsid w:val="343A71E6"/>
    <w:rsid w:val="34EA2EB6"/>
    <w:rsid w:val="35551771"/>
    <w:rsid w:val="37405B09"/>
    <w:rsid w:val="375A02D5"/>
    <w:rsid w:val="37957501"/>
    <w:rsid w:val="37C56B6C"/>
    <w:rsid w:val="38211DDE"/>
    <w:rsid w:val="38697929"/>
    <w:rsid w:val="38A945A5"/>
    <w:rsid w:val="38C7769E"/>
    <w:rsid w:val="39900D5E"/>
    <w:rsid w:val="39C56140"/>
    <w:rsid w:val="39D30EB6"/>
    <w:rsid w:val="3A9F6F1C"/>
    <w:rsid w:val="3AC0322D"/>
    <w:rsid w:val="3B3616FD"/>
    <w:rsid w:val="3C334F54"/>
    <w:rsid w:val="3C6F58C4"/>
    <w:rsid w:val="3C782375"/>
    <w:rsid w:val="3CCA284C"/>
    <w:rsid w:val="3CED228F"/>
    <w:rsid w:val="3DA81B6D"/>
    <w:rsid w:val="3EED47C8"/>
    <w:rsid w:val="3EEF22EE"/>
    <w:rsid w:val="3F1B30E3"/>
    <w:rsid w:val="40026051"/>
    <w:rsid w:val="40471E5C"/>
    <w:rsid w:val="40A17D01"/>
    <w:rsid w:val="41287D39"/>
    <w:rsid w:val="41E579D9"/>
    <w:rsid w:val="427A6373"/>
    <w:rsid w:val="432804C5"/>
    <w:rsid w:val="433D71E5"/>
    <w:rsid w:val="445B14BB"/>
    <w:rsid w:val="45FD2076"/>
    <w:rsid w:val="46844F52"/>
    <w:rsid w:val="46C557BD"/>
    <w:rsid w:val="46ED3C55"/>
    <w:rsid w:val="47446E38"/>
    <w:rsid w:val="48F826E7"/>
    <w:rsid w:val="493059DD"/>
    <w:rsid w:val="4951496B"/>
    <w:rsid w:val="49834DA9"/>
    <w:rsid w:val="49EE3C94"/>
    <w:rsid w:val="4A8F0E29"/>
    <w:rsid w:val="4B306168"/>
    <w:rsid w:val="4BF57306"/>
    <w:rsid w:val="4BF66718"/>
    <w:rsid w:val="4C60533D"/>
    <w:rsid w:val="4C861952"/>
    <w:rsid w:val="4DC64B62"/>
    <w:rsid w:val="4DEA3E7C"/>
    <w:rsid w:val="4DEA4CF4"/>
    <w:rsid w:val="4DED7C58"/>
    <w:rsid w:val="4E5C1022"/>
    <w:rsid w:val="4E600B13"/>
    <w:rsid w:val="4E9F4991"/>
    <w:rsid w:val="4FB22660"/>
    <w:rsid w:val="52D018D4"/>
    <w:rsid w:val="533D44A5"/>
    <w:rsid w:val="536621CA"/>
    <w:rsid w:val="540D3E2D"/>
    <w:rsid w:val="54173089"/>
    <w:rsid w:val="543529B5"/>
    <w:rsid w:val="54F138EC"/>
    <w:rsid w:val="550975A9"/>
    <w:rsid w:val="550F33CA"/>
    <w:rsid w:val="5613290E"/>
    <w:rsid w:val="5827444F"/>
    <w:rsid w:val="597638E0"/>
    <w:rsid w:val="5A236E98"/>
    <w:rsid w:val="5A581576"/>
    <w:rsid w:val="5AA24261"/>
    <w:rsid w:val="5AB141BB"/>
    <w:rsid w:val="5B392E17"/>
    <w:rsid w:val="5B694D7F"/>
    <w:rsid w:val="5DA271A0"/>
    <w:rsid w:val="5FF2209D"/>
    <w:rsid w:val="5FFA1A80"/>
    <w:rsid w:val="607E0110"/>
    <w:rsid w:val="613227E3"/>
    <w:rsid w:val="616A3BC2"/>
    <w:rsid w:val="61866C5A"/>
    <w:rsid w:val="61CE196F"/>
    <w:rsid w:val="63AC1FBF"/>
    <w:rsid w:val="63B429E0"/>
    <w:rsid w:val="64F1206D"/>
    <w:rsid w:val="650A312E"/>
    <w:rsid w:val="653D52B2"/>
    <w:rsid w:val="65E31721"/>
    <w:rsid w:val="667C7355"/>
    <w:rsid w:val="66EF082E"/>
    <w:rsid w:val="67C44A12"/>
    <w:rsid w:val="67EB7697"/>
    <w:rsid w:val="68525518"/>
    <w:rsid w:val="688558EE"/>
    <w:rsid w:val="68DD74D8"/>
    <w:rsid w:val="6933182A"/>
    <w:rsid w:val="6B55414D"/>
    <w:rsid w:val="6B9424AE"/>
    <w:rsid w:val="6BBB1626"/>
    <w:rsid w:val="6C0E79A8"/>
    <w:rsid w:val="6C477A6C"/>
    <w:rsid w:val="6C5D623A"/>
    <w:rsid w:val="6C8E7995"/>
    <w:rsid w:val="6CF05300"/>
    <w:rsid w:val="6F584FAD"/>
    <w:rsid w:val="6F861AE4"/>
    <w:rsid w:val="6F8E4B6A"/>
    <w:rsid w:val="713C4679"/>
    <w:rsid w:val="723D4B43"/>
    <w:rsid w:val="724539F8"/>
    <w:rsid w:val="73F531FC"/>
    <w:rsid w:val="744C3764"/>
    <w:rsid w:val="754D5AA2"/>
    <w:rsid w:val="75970A0E"/>
    <w:rsid w:val="75A85303"/>
    <w:rsid w:val="77672662"/>
    <w:rsid w:val="782E0265"/>
    <w:rsid w:val="78E74094"/>
    <w:rsid w:val="79200D1B"/>
    <w:rsid w:val="79AB77D5"/>
    <w:rsid w:val="79E81839"/>
    <w:rsid w:val="7B1324E5"/>
    <w:rsid w:val="7CCB4BA1"/>
    <w:rsid w:val="7CFD71E7"/>
    <w:rsid w:val="7D19237D"/>
    <w:rsid w:val="7DA27FCE"/>
    <w:rsid w:val="7E3160A4"/>
    <w:rsid w:val="7E355268"/>
    <w:rsid w:val="7F20035F"/>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33"/>
    <w:qFormat/>
    <w:uiPriority w:val="0"/>
    <w:pPr>
      <w:keepNext/>
      <w:keepLines/>
      <w:spacing w:before="340" w:after="330" w:line="578" w:lineRule="auto"/>
      <w:outlineLvl w:val="0"/>
    </w:pPr>
    <w:rPr>
      <w:b/>
      <w:bCs/>
      <w:sz w:val="44"/>
      <w:szCs w:val="44"/>
    </w:rPr>
  </w:style>
  <w:style w:type="paragraph" w:styleId="3">
    <w:name w:val="heading 2"/>
    <w:basedOn w:val="1"/>
    <w:next w:val="1"/>
    <w:link w:val="2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5"/>
    <w:qFormat/>
    <w:uiPriority w:val="0"/>
    <w:pPr>
      <w:keepNext/>
      <w:keepLines/>
      <w:spacing w:before="260" w:after="260" w:line="416" w:lineRule="auto"/>
      <w:outlineLvl w:val="2"/>
    </w:pPr>
    <w:rPr>
      <w:b/>
      <w:bCs/>
      <w:sz w:val="32"/>
      <w:szCs w:val="32"/>
    </w:rPr>
  </w:style>
  <w:style w:type="paragraph" w:styleId="5">
    <w:name w:val="heading 4"/>
    <w:basedOn w:val="1"/>
    <w:next w:val="1"/>
    <w:link w:val="236"/>
    <w:qFormat/>
    <w:uiPriority w:val="0"/>
    <w:pPr>
      <w:keepNext/>
      <w:jc w:val="center"/>
      <w:outlineLvl w:val="3"/>
    </w:pPr>
    <w:rPr>
      <w:rFonts w:eastAsia="新宋体"/>
      <w:sz w:val="30"/>
      <w:szCs w:val="21"/>
    </w:rPr>
  </w:style>
  <w:style w:type="paragraph" w:styleId="6">
    <w:name w:val="heading 5"/>
    <w:basedOn w:val="1"/>
    <w:next w:val="1"/>
    <w:link w:val="237"/>
    <w:qFormat/>
    <w:uiPriority w:val="0"/>
    <w:pPr>
      <w:keepNext/>
      <w:keepLines/>
      <w:spacing w:before="280" w:after="290" w:line="376" w:lineRule="auto"/>
      <w:outlineLvl w:val="4"/>
    </w:pPr>
    <w:rPr>
      <w:b/>
      <w:bCs/>
      <w:sz w:val="28"/>
      <w:szCs w:val="28"/>
    </w:rPr>
  </w:style>
  <w:style w:type="paragraph" w:styleId="7">
    <w:name w:val="heading 6"/>
    <w:basedOn w:val="1"/>
    <w:next w:val="8"/>
    <w:link w:val="238"/>
    <w:qFormat/>
    <w:uiPriority w:val="0"/>
    <w:pPr>
      <w:keepNext/>
      <w:jc w:val="center"/>
      <w:outlineLvl w:val="5"/>
    </w:pPr>
    <w:rPr>
      <w:b/>
      <w:sz w:val="44"/>
      <w:szCs w:val="20"/>
    </w:rPr>
  </w:style>
  <w:style w:type="paragraph" w:styleId="9">
    <w:name w:val="heading 7"/>
    <w:basedOn w:val="1"/>
    <w:next w:val="1"/>
    <w:link w:val="240"/>
    <w:qFormat/>
    <w:uiPriority w:val="0"/>
    <w:pPr>
      <w:keepNext/>
      <w:keepLines/>
      <w:spacing w:before="240" w:after="64" w:line="320" w:lineRule="auto"/>
      <w:outlineLvl w:val="6"/>
    </w:pPr>
    <w:rPr>
      <w:b/>
      <w:bCs/>
      <w:sz w:val="24"/>
    </w:rPr>
  </w:style>
  <w:style w:type="paragraph" w:styleId="10">
    <w:name w:val="heading 8"/>
    <w:basedOn w:val="1"/>
    <w:next w:val="1"/>
    <w:link w:val="24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42"/>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39"/>
    <w:qFormat/>
    <w:uiPriority w:val="0"/>
    <w:pPr>
      <w:ind w:firstLine="420"/>
    </w:pPr>
    <w:rPr>
      <w:sz w:val="20"/>
      <w:szCs w:val="20"/>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43"/>
    <w:semiHidden/>
    <w:qFormat/>
    <w:uiPriority w:val="0"/>
    <w:pPr>
      <w:shd w:val="clear" w:color="auto" w:fill="000080"/>
    </w:pPr>
    <w:rPr>
      <w:sz w:val="20"/>
    </w:rPr>
  </w:style>
  <w:style w:type="paragraph" w:styleId="15">
    <w:name w:val="annotation text"/>
    <w:basedOn w:val="1"/>
    <w:semiHidden/>
    <w:unhideWhenUsed/>
    <w:qFormat/>
    <w:uiPriority w:val="99"/>
    <w:pPr>
      <w:jc w:val="left"/>
    </w:pPr>
  </w:style>
  <w:style w:type="paragraph" w:styleId="16">
    <w:name w:val="Body Text 3"/>
    <w:basedOn w:val="1"/>
    <w:link w:val="244"/>
    <w:qFormat/>
    <w:uiPriority w:val="0"/>
    <w:pPr>
      <w:spacing w:after="120"/>
    </w:pPr>
    <w:rPr>
      <w:sz w:val="16"/>
      <w:szCs w:val="16"/>
    </w:rPr>
  </w:style>
  <w:style w:type="paragraph" w:styleId="17">
    <w:name w:val="Body Text"/>
    <w:basedOn w:val="1"/>
    <w:next w:val="1"/>
    <w:link w:val="245"/>
    <w:qFormat/>
    <w:uiPriority w:val="0"/>
    <w:rPr>
      <w:rFonts w:ascii="仿宋_GB2312" w:eastAsia="仿宋_GB2312"/>
      <w:sz w:val="24"/>
      <w:szCs w:val="20"/>
    </w:rPr>
  </w:style>
  <w:style w:type="paragraph" w:styleId="18">
    <w:name w:val="Body Text Indent"/>
    <w:basedOn w:val="1"/>
    <w:next w:val="19"/>
    <w:link w:val="246"/>
    <w:qFormat/>
    <w:uiPriority w:val="0"/>
    <w:pPr>
      <w:ind w:left="765"/>
    </w:pPr>
    <w:rPr>
      <w:rFonts w:ascii="仿宋_GB2312" w:eastAsia="仿宋_GB2312"/>
      <w:sz w:val="28"/>
      <w:szCs w:val="20"/>
    </w:rPr>
  </w:style>
  <w:style w:type="paragraph" w:styleId="19">
    <w:name w:val="envelope return"/>
    <w:basedOn w:val="1"/>
    <w:unhideWhenUsed/>
    <w:qFormat/>
    <w:uiPriority w:val="99"/>
    <w:rPr>
      <w:rFonts w:ascii="Arial" w:hAnsi="Arial"/>
    </w:rPr>
  </w:style>
  <w:style w:type="paragraph" w:styleId="20">
    <w:name w:val="index 4"/>
    <w:basedOn w:val="1"/>
    <w:next w:val="1"/>
    <w:unhideWhenUsed/>
    <w:qFormat/>
    <w:uiPriority w:val="99"/>
    <w:pPr>
      <w:ind w:left="6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47"/>
    <w:qFormat/>
    <w:uiPriority w:val="0"/>
    <w:rPr>
      <w:rFonts w:ascii="宋体" w:hAnsi="Courier New"/>
      <w:sz w:val="20"/>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48"/>
    <w:qFormat/>
    <w:uiPriority w:val="0"/>
    <w:rPr>
      <w:sz w:val="24"/>
      <w:szCs w:val="20"/>
    </w:rPr>
  </w:style>
  <w:style w:type="paragraph" w:styleId="26">
    <w:name w:val="Body Text Indent 2"/>
    <w:basedOn w:val="1"/>
    <w:link w:val="249"/>
    <w:qFormat/>
    <w:uiPriority w:val="0"/>
    <w:pPr>
      <w:spacing w:line="500" w:lineRule="exact"/>
      <w:ind w:firstLine="560"/>
    </w:pPr>
    <w:rPr>
      <w:rFonts w:eastAsia="仿宋_GB2312"/>
      <w:sz w:val="28"/>
      <w:szCs w:val="20"/>
    </w:rPr>
  </w:style>
  <w:style w:type="paragraph" w:styleId="27">
    <w:name w:val="endnote text"/>
    <w:basedOn w:val="1"/>
    <w:link w:val="231"/>
    <w:semiHidden/>
    <w:unhideWhenUsed/>
    <w:qFormat/>
    <w:uiPriority w:val="99"/>
    <w:rPr>
      <w:sz w:val="20"/>
    </w:rPr>
  </w:style>
  <w:style w:type="paragraph" w:styleId="28">
    <w:name w:val="Balloon Text"/>
    <w:basedOn w:val="1"/>
    <w:link w:val="250"/>
    <w:semiHidden/>
    <w:qFormat/>
    <w:uiPriority w:val="0"/>
    <w:rPr>
      <w:sz w:val="18"/>
      <w:szCs w:val="18"/>
    </w:rPr>
  </w:style>
  <w:style w:type="paragraph" w:styleId="29">
    <w:name w:val="footer"/>
    <w:basedOn w:val="1"/>
    <w:link w:val="251"/>
    <w:qFormat/>
    <w:uiPriority w:val="99"/>
    <w:pPr>
      <w:tabs>
        <w:tab w:val="center" w:pos="4153"/>
        <w:tab w:val="right" w:pos="8306"/>
      </w:tabs>
      <w:jc w:val="left"/>
    </w:pPr>
    <w:rPr>
      <w:sz w:val="18"/>
      <w:szCs w:val="20"/>
    </w:rPr>
  </w:style>
  <w:style w:type="paragraph" w:styleId="30">
    <w:name w:val="header"/>
    <w:basedOn w:val="1"/>
    <w:link w:val="252"/>
    <w:qFormat/>
    <w:uiPriority w:val="0"/>
    <w:pPr>
      <w:pBdr>
        <w:bottom w:val="single" w:color="000000" w:sz="6" w:space="1"/>
      </w:pBdr>
      <w:tabs>
        <w:tab w:val="center" w:pos="4153"/>
        <w:tab w:val="right" w:pos="8306"/>
      </w:tabs>
      <w:jc w:val="center"/>
    </w:pPr>
    <w:rPr>
      <w:sz w:val="18"/>
      <w:szCs w:val="18"/>
    </w:r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Subtitle"/>
    <w:basedOn w:val="1"/>
    <w:next w:val="1"/>
    <w:link w:val="97"/>
    <w:qFormat/>
    <w:uiPriority w:val="11"/>
    <w:pPr>
      <w:spacing w:before="200" w:after="200"/>
    </w:pPr>
    <w:rPr>
      <w:sz w:val="24"/>
    </w:rPr>
  </w:style>
  <w:style w:type="paragraph" w:styleId="34">
    <w:name w:val="List"/>
    <w:basedOn w:val="1"/>
    <w:qFormat/>
    <w:uiPriority w:val="0"/>
    <w:pPr>
      <w:ind w:left="200" w:hanging="200"/>
    </w:pPr>
  </w:style>
  <w:style w:type="paragraph" w:styleId="35">
    <w:name w:val="footnote text"/>
    <w:basedOn w:val="1"/>
    <w:link w:val="230"/>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54"/>
    <w:qFormat/>
    <w:uiPriority w:val="0"/>
    <w:pPr>
      <w:spacing w:after="120"/>
      <w:ind w:left="420"/>
    </w:pPr>
    <w:rPr>
      <w:sz w:val="16"/>
      <w:szCs w:val="16"/>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Body Text 2"/>
    <w:basedOn w:val="1"/>
    <w:link w:val="255"/>
    <w:qFormat/>
    <w:uiPriority w:val="0"/>
    <w:rPr>
      <w:b/>
      <w:bCs/>
      <w:sz w:val="18"/>
    </w:rPr>
  </w:style>
  <w:style w:type="paragraph" w:styleId="42">
    <w:name w:val="HTML Preformatted"/>
    <w:basedOn w:val="1"/>
    <w:link w:val="2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4">
    <w:name w:val="Title"/>
    <w:basedOn w:val="1"/>
    <w:next w:val="1"/>
    <w:link w:val="96"/>
    <w:qFormat/>
    <w:uiPriority w:val="10"/>
    <w:pPr>
      <w:spacing w:before="300" w:after="200"/>
      <w:contextualSpacing/>
    </w:pPr>
    <w:rPr>
      <w:sz w:val="48"/>
      <w:szCs w:val="48"/>
    </w:rPr>
  </w:style>
  <w:style w:type="paragraph" w:styleId="45">
    <w:name w:val="Body Text First Indent"/>
    <w:basedOn w:val="17"/>
    <w:qFormat/>
    <w:uiPriority w:val="99"/>
    <w:pPr>
      <w:ind w:firstLine="420"/>
    </w:pPr>
  </w:style>
  <w:style w:type="paragraph" w:styleId="46">
    <w:name w:val="Body Text First Indent 2"/>
    <w:basedOn w:val="18"/>
    <w:qFormat/>
    <w:uiPriority w:val="99"/>
    <w:pPr>
      <w:spacing w:line="240" w:lineRule="auto"/>
      <w:ind w:firstLine="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annotation reference"/>
    <w:qFormat/>
    <w:uiPriority w:val="99"/>
    <w:rPr>
      <w:sz w:val="21"/>
      <w:szCs w:val="21"/>
    </w:rPr>
  </w:style>
  <w:style w:type="character" w:styleId="55">
    <w:name w:val="footnote reference"/>
    <w:unhideWhenUsed/>
    <w:qFormat/>
    <w:uiPriority w:val="99"/>
    <w:rPr>
      <w:vertAlign w:val="superscript"/>
    </w:rPr>
  </w:style>
  <w:style w:type="paragraph" w:customStyle="1" w:styleId="56">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7">
    <w:name w:val="正文首行缩进 21"/>
    <w:basedOn w:val="58"/>
    <w:qFormat/>
    <w:uiPriority w:val="0"/>
    <w:pPr>
      <w:spacing w:after="0" w:line="360" w:lineRule="auto"/>
      <w:ind w:left="0" w:firstLine="420"/>
    </w:pPr>
    <w:rPr>
      <w:rFonts w:ascii="宋体" w:hAnsi="宋体"/>
      <w:sz w:val="20"/>
      <w:szCs w:val="20"/>
    </w:rPr>
  </w:style>
  <w:style w:type="paragraph" w:customStyle="1" w:styleId="58">
    <w:name w:val="正文文本缩进1"/>
    <w:basedOn w:val="1"/>
    <w:unhideWhenUsed/>
    <w:qFormat/>
    <w:uiPriority w:val="99"/>
    <w:pPr>
      <w:spacing w:after="120"/>
      <w:ind w:left="420"/>
    </w:pPr>
  </w:style>
  <w:style w:type="table" w:customStyle="1" w:styleId="59">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9">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1">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2">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3">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4">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5">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6">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7">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8">
    <w:name w:val="TOC Heading"/>
    <w:unhideWhenUsed/>
    <w:qFormat/>
    <w:uiPriority w:val="39"/>
    <w:rPr>
      <w:rFonts w:hint="default" w:ascii="Times New Roman" w:hAnsi="Times New Roman" w:eastAsia="宋体" w:cs="Times New Roman"/>
    </w:rPr>
  </w:style>
  <w:style w:type="character" w:customStyle="1" w:styleId="79">
    <w:name w:val="Title Char"/>
    <w:basedOn w:val="49"/>
    <w:qFormat/>
    <w:uiPriority w:val="10"/>
    <w:rPr>
      <w:sz w:val="48"/>
      <w:szCs w:val="48"/>
    </w:rPr>
  </w:style>
  <w:style w:type="character" w:customStyle="1" w:styleId="80">
    <w:name w:val="Subtitle Char"/>
    <w:basedOn w:val="49"/>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Footnote Text Char"/>
    <w:qFormat/>
    <w:uiPriority w:val="99"/>
    <w:rPr>
      <w:sz w:val="18"/>
    </w:rPr>
  </w:style>
  <w:style w:type="character" w:customStyle="1" w:styleId="84">
    <w:name w:val="Endnote Text Char"/>
    <w:qFormat/>
    <w:uiPriority w:val="99"/>
    <w:rPr>
      <w:sz w:val="20"/>
    </w:rPr>
  </w:style>
  <w:style w:type="character" w:customStyle="1" w:styleId="85">
    <w:name w:val="Heading 1 Char"/>
    <w:qFormat/>
    <w:uiPriority w:val="9"/>
    <w:rPr>
      <w:rFonts w:ascii="Arial" w:hAnsi="Arial" w:eastAsia="Arial" w:cs="Arial"/>
      <w:sz w:val="40"/>
      <w:szCs w:val="40"/>
    </w:rPr>
  </w:style>
  <w:style w:type="character" w:customStyle="1" w:styleId="86">
    <w:name w:val="Heading 2 Char"/>
    <w:qFormat/>
    <w:uiPriority w:val="9"/>
    <w:rPr>
      <w:rFonts w:ascii="Arial" w:hAnsi="Arial" w:eastAsia="Arial" w:cs="Arial"/>
      <w:sz w:val="34"/>
    </w:rPr>
  </w:style>
  <w:style w:type="character" w:customStyle="1" w:styleId="87">
    <w:name w:val="Heading 3 Char"/>
    <w:qFormat/>
    <w:uiPriority w:val="9"/>
    <w:rPr>
      <w:rFonts w:ascii="Arial" w:hAnsi="Arial" w:eastAsia="Arial" w:cs="Arial"/>
      <w:sz w:val="30"/>
      <w:szCs w:val="30"/>
    </w:rPr>
  </w:style>
  <w:style w:type="character" w:customStyle="1" w:styleId="88">
    <w:name w:val="Heading 4 Char"/>
    <w:qFormat/>
    <w:uiPriority w:val="9"/>
    <w:rPr>
      <w:rFonts w:ascii="Arial" w:hAnsi="Arial" w:eastAsia="Arial" w:cs="Arial"/>
      <w:b/>
      <w:bCs/>
      <w:sz w:val="26"/>
      <w:szCs w:val="26"/>
    </w:rPr>
  </w:style>
  <w:style w:type="character" w:customStyle="1" w:styleId="89">
    <w:name w:val="Heading 5 Char"/>
    <w:qFormat/>
    <w:uiPriority w:val="9"/>
    <w:rPr>
      <w:rFonts w:ascii="Arial" w:hAnsi="Arial" w:eastAsia="Arial" w:cs="Arial"/>
      <w:b/>
      <w:bCs/>
      <w:sz w:val="24"/>
      <w:szCs w:val="24"/>
    </w:rPr>
  </w:style>
  <w:style w:type="character" w:customStyle="1" w:styleId="90">
    <w:name w:val="Heading 6 Char"/>
    <w:qFormat/>
    <w:uiPriority w:val="9"/>
    <w:rPr>
      <w:rFonts w:ascii="Arial" w:hAnsi="Arial" w:eastAsia="Arial" w:cs="Arial"/>
      <w:b/>
      <w:bCs/>
      <w:sz w:val="22"/>
      <w:szCs w:val="22"/>
    </w:rPr>
  </w:style>
  <w:style w:type="character" w:customStyle="1" w:styleId="91">
    <w:name w:val="Heading 7 Char"/>
    <w:qFormat/>
    <w:uiPriority w:val="9"/>
    <w:rPr>
      <w:rFonts w:ascii="Arial" w:hAnsi="Arial" w:eastAsia="Arial" w:cs="Arial"/>
      <w:b/>
      <w:bCs/>
      <w:i/>
      <w:iCs/>
      <w:sz w:val="22"/>
      <w:szCs w:val="22"/>
    </w:rPr>
  </w:style>
  <w:style w:type="character" w:customStyle="1" w:styleId="92">
    <w:name w:val="Heading 8 Char"/>
    <w:qFormat/>
    <w:uiPriority w:val="9"/>
    <w:rPr>
      <w:rFonts w:ascii="Arial" w:hAnsi="Arial" w:eastAsia="Arial" w:cs="Arial"/>
      <w:i/>
      <w:iCs/>
      <w:sz w:val="22"/>
      <w:szCs w:val="22"/>
    </w:rPr>
  </w:style>
  <w:style w:type="character" w:customStyle="1" w:styleId="93">
    <w:name w:val="Heading 9 Char"/>
    <w:qFormat/>
    <w:uiPriority w:val="9"/>
    <w:rPr>
      <w:rFonts w:ascii="Arial" w:hAnsi="Arial" w:eastAsia="Arial" w:cs="Arial"/>
      <w:i/>
      <w:iCs/>
      <w:sz w:val="21"/>
      <w:szCs w:val="21"/>
    </w:rPr>
  </w:style>
  <w:style w:type="paragraph" w:styleId="94">
    <w:name w:val="List Paragraph"/>
    <w:basedOn w:val="1"/>
    <w:link w:val="260"/>
    <w:qFormat/>
    <w:uiPriority w:val="34"/>
    <w:pPr>
      <w:ind w:firstLine="420"/>
    </w:pPr>
    <w:rPr>
      <w:sz w:val="20"/>
      <w:szCs w:val="20"/>
    </w:rPr>
  </w:style>
  <w:style w:type="paragraph" w:styleId="95">
    <w:name w:val="No Spacing"/>
    <w:qFormat/>
    <w:uiPriority w:val="1"/>
    <w:rPr>
      <w:rFonts w:hint="default" w:ascii="Times New Roman" w:hAnsi="Times New Roman" w:eastAsia="宋体" w:cs="Times New Roman"/>
    </w:rPr>
  </w:style>
  <w:style w:type="character" w:customStyle="1" w:styleId="96">
    <w:name w:val="标题 字符"/>
    <w:link w:val="44"/>
    <w:qFormat/>
    <w:uiPriority w:val="10"/>
    <w:rPr>
      <w:sz w:val="48"/>
      <w:szCs w:val="48"/>
    </w:rPr>
  </w:style>
  <w:style w:type="character" w:customStyle="1" w:styleId="97">
    <w:name w:val="副标题 字符"/>
    <w:link w:val="33"/>
    <w:qFormat/>
    <w:uiPriority w:val="11"/>
    <w:rPr>
      <w:sz w:val="24"/>
      <w:szCs w:val="24"/>
    </w:rPr>
  </w:style>
  <w:style w:type="paragraph" w:styleId="98">
    <w:name w:val="Quote"/>
    <w:basedOn w:val="1"/>
    <w:next w:val="1"/>
    <w:link w:val="99"/>
    <w:qFormat/>
    <w:uiPriority w:val="29"/>
    <w:pPr>
      <w:ind w:left="720" w:right="720"/>
    </w:pPr>
    <w:rPr>
      <w:i/>
    </w:rPr>
  </w:style>
  <w:style w:type="character" w:customStyle="1" w:styleId="99">
    <w:name w:val="引用 字符"/>
    <w:link w:val="98"/>
    <w:qFormat/>
    <w:uiPriority w:val="29"/>
    <w:rPr>
      <w:i/>
    </w:rPr>
  </w:style>
  <w:style w:type="paragraph" w:styleId="100">
    <w:name w:val="Intense Quote"/>
    <w:basedOn w:val="1"/>
    <w:next w:val="1"/>
    <w:link w:val="10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1">
    <w:name w:val="明显引用 字符"/>
    <w:link w:val="100"/>
    <w:qFormat/>
    <w:uiPriority w:val="30"/>
    <w:rPr>
      <w:i/>
    </w:rPr>
  </w:style>
  <w:style w:type="character" w:customStyle="1" w:styleId="102">
    <w:name w:val="Header Char"/>
    <w:qFormat/>
    <w:uiPriority w:val="99"/>
  </w:style>
  <w:style w:type="character" w:customStyle="1" w:styleId="103">
    <w:name w:val="Footer Char"/>
    <w:qFormat/>
    <w:uiPriority w:val="99"/>
  </w:style>
  <w:style w:type="character" w:customStyle="1" w:styleId="104">
    <w:name w:val="Caption Char"/>
    <w:qFormat/>
    <w:uiPriority w:val="99"/>
  </w:style>
  <w:style w:type="table" w:customStyle="1" w:styleId="105">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7">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8">
    <w:name w:val="无格式表格 31"/>
    <w:qFormat/>
    <w:uiPriority w:val="99"/>
    <w:tblPr>
      <w:tblCellMar>
        <w:top w:w="0" w:type="dxa"/>
        <w:left w:w="0" w:type="dxa"/>
        <w:bottom w:w="0" w:type="dxa"/>
        <w:right w:w="0" w:type="dxa"/>
      </w:tblCellMar>
    </w:tblPr>
  </w:style>
  <w:style w:type="table" w:customStyle="1" w:styleId="109">
    <w:name w:val="无格式表格 41"/>
    <w:qFormat/>
    <w:uiPriority w:val="99"/>
    <w:tblPr>
      <w:tblCellMar>
        <w:top w:w="0" w:type="dxa"/>
        <w:left w:w="0" w:type="dxa"/>
        <w:bottom w:w="0" w:type="dxa"/>
        <w:right w:w="0" w:type="dxa"/>
      </w:tblCellMar>
    </w:tblPr>
  </w:style>
  <w:style w:type="table" w:customStyle="1" w:styleId="110">
    <w:name w:val="无格式表格 51"/>
    <w:qFormat/>
    <w:uiPriority w:val="99"/>
    <w:tblPr>
      <w:tblCellMar>
        <w:top w:w="0" w:type="dxa"/>
        <w:left w:w="0" w:type="dxa"/>
        <w:bottom w:w="0" w:type="dxa"/>
        <w:right w:w="0" w:type="dxa"/>
      </w:tblCellMar>
    </w:tblPr>
  </w:style>
  <w:style w:type="table" w:customStyle="1" w:styleId="111">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2">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3">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4">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5">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6">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7">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8">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9">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0">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1">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2">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3">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4">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5">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6">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7">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3">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4">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5">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6">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7">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6">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7">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8">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9">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0">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1">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2">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3">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4">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5">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6">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7">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8">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9">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0">
    <w:name w:val="清单表 1 浅色1"/>
    <w:qFormat/>
    <w:uiPriority w:val="99"/>
    <w:tblPr>
      <w:tblCellMar>
        <w:top w:w="0" w:type="dxa"/>
        <w:left w:w="0" w:type="dxa"/>
        <w:bottom w:w="0" w:type="dxa"/>
        <w:right w:w="0" w:type="dxa"/>
      </w:tblCellMar>
    </w:tblPr>
  </w:style>
  <w:style w:type="table" w:customStyle="1" w:styleId="161">
    <w:name w:val="List Table 1 Light - Accent 1"/>
    <w:qFormat/>
    <w:uiPriority w:val="99"/>
    <w:tblPr>
      <w:tblCellMar>
        <w:top w:w="0" w:type="dxa"/>
        <w:left w:w="0" w:type="dxa"/>
        <w:bottom w:w="0" w:type="dxa"/>
        <w:right w:w="0" w:type="dxa"/>
      </w:tblCellMar>
    </w:tblPr>
  </w:style>
  <w:style w:type="table" w:customStyle="1" w:styleId="162">
    <w:name w:val="List Table 1 Light - Accent 2"/>
    <w:qFormat/>
    <w:uiPriority w:val="99"/>
    <w:tblPr>
      <w:tblCellMar>
        <w:top w:w="0" w:type="dxa"/>
        <w:left w:w="0" w:type="dxa"/>
        <w:bottom w:w="0" w:type="dxa"/>
        <w:right w:w="0" w:type="dxa"/>
      </w:tblCellMar>
    </w:tblPr>
  </w:style>
  <w:style w:type="table" w:customStyle="1" w:styleId="163">
    <w:name w:val="List Table 1 Light - Accent 3"/>
    <w:qFormat/>
    <w:uiPriority w:val="99"/>
    <w:tblPr>
      <w:tblCellMar>
        <w:top w:w="0" w:type="dxa"/>
        <w:left w:w="0" w:type="dxa"/>
        <w:bottom w:w="0" w:type="dxa"/>
        <w:right w:w="0" w:type="dxa"/>
      </w:tblCellMar>
    </w:tblPr>
  </w:style>
  <w:style w:type="table" w:customStyle="1" w:styleId="164">
    <w:name w:val="List Table 1 Light - Accent 4"/>
    <w:qFormat/>
    <w:uiPriority w:val="99"/>
    <w:tblPr>
      <w:tblCellMar>
        <w:top w:w="0" w:type="dxa"/>
        <w:left w:w="0" w:type="dxa"/>
        <w:bottom w:w="0" w:type="dxa"/>
        <w:right w:w="0" w:type="dxa"/>
      </w:tblCellMar>
    </w:tblPr>
  </w:style>
  <w:style w:type="table" w:customStyle="1" w:styleId="165">
    <w:name w:val="List Table 1 Light - Accent 5"/>
    <w:qFormat/>
    <w:uiPriority w:val="99"/>
    <w:tblPr>
      <w:tblCellMar>
        <w:top w:w="0" w:type="dxa"/>
        <w:left w:w="0" w:type="dxa"/>
        <w:bottom w:w="0" w:type="dxa"/>
        <w:right w:w="0" w:type="dxa"/>
      </w:tblCellMar>
    </w:tblPr>
  </w:style>
  <w:style w:type="table" w:customStyle="1" w:styleId="166">
    <w:name w:val="List Table 1 Light - Accent 6"/>
    <w:qFormat/>
    <w:uiPriority w:val="99"/>
    <w:tblPr>
      <w:tblCellMar>
        <w:top w:w="0" w:type="dxa"/>
        <w:left w:w="0" w:type="dxa"/>
        <w:bottom w:w="0" w:type="dxa"/>
        <w:right w:w="0" w:type="dxa"/>
      </w:tblCellMar>
    </w:tblPr>
  </w:style>
  <w:style w:type="table" w:customStyle="1" w:styleId="167">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8">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9">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70">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1">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2">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3">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4">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5">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6">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7">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8">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9">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0">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1">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2">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3">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4">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5">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6">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7">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8">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9">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90">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1">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2">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3">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4">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5">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6">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7">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8">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9">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0">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1">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2">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3">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4">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5">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6">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7">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8">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9">
    <w:name w:val="Lined - Accent"/>
    <w:qFormat/>
    <w:uiPriority w:val="99"/>
    <w:rPr>
      <w:color w:val="404040"/>
    </w:rPr>
    <w:tblPr>
      <w:tblCellMar>
        <w:top w:w="0" w:type="dxa"/>
        <w:left w:w="0" w:type="dxa"/>
        <w:bottom w:w="0" w:type="dxa"/>
        <w:right w:w="0" w:type="dxa"/>
      </w:tblCellMar>
    </w:tblPr>
  </w:style>
  <w:style w:type="table" w:customStyle="1" w:styleId="210">
    <w:name w:val="Lined - Accent 1"/>
    <w:qFormat/>
    <w:uiPriority w:val="99"/>
    <w:rPr>
      <w:color w:val="404040"/>
    </w:rPr>
    <w:tblPr>
      <w:tblCellMar>
        <w:top w:w="0" w:type="dxa"/>
        <w:left w:w="0" w:type="dxa"/>
        <w:bottom w:w="0" w:type="dxa"/>
        <w:right w:w="0" w:type="dxa"/>
      </w:tblCellMar>
    </w:tblPr>
  </w:style>
  <w:style w:type="table" w:customStyle="1" w:styleId="211">
    <w:name w:val="Lined - Accent 2"/>
    <w:qFormat/>
    <w:uiPriority w:val="99"/>
    <w:rPr>
      <w:color w:val="404040"/>
    </w:rPr>
    <w:tblPr>
      <w:tblCellMar>
        <w:top w:w="0" w:type="dxa"/>
        <w:left w:w="0" w:type="dxa"/>
        <w:bottom w:w="0" w:type="dxa"/>
        <w:right w:w="0" w:type="dxa"/>
      </w:tblCellMar>
    </w:tblPr>
  </w:style>
  <w:style w:type="table" w:customStyle="1" w:styleId="212">
    <w:name w:val="Lined - Accent 3"/>
    <w:qFormat/>
    <w:uiPriority w:val="99"/>
    <w:rPr>
      <w:color w:val="404040"/>
    </w:rPr>
    <w:tblPr>
      <w:tblCellMar>
        <w:top w:w="0" w:type="dxa"/>
        <w:left w:w="0" w:type="dxa"/>
        <w:bottom w:w="0" w:type="dxa"/>
        <w:right w:w="0" w:type="dxa"/>
      </w:tblCellMar>
    </w:tblPr>
  </w:style>
  <w:style w:type="table" w:customStyle="1" w:styleId="213">
    <w:name w:val="Lined - Accent 4"/>
    <w:qFormat/>
    <w:uiPriority w:val="99"/>
    <w:rPr>
      <w:color w:val="404040"/>
    </w:rPr>
    <w:tblPr>
      <w:tblCellMar>
        <w:top w:w="0" w:type="dxa"/>
        <w:left w:w="0" w:type="dxa"/>
        <w:bottom w:w="0" w:type="dxa"/>
        <w:right w:w="0" w:type="dxa"/>
      </w:tblCellMar>
    </w:tblPr>
  </w:style>
  <w:style w:type="table" w:customStyle="1" w:styleId="214">
    <w:name w:val="Lined - Accent 5"/>
    <w:qFormat/>
    <w:uiPriority w:val="99"/>
    <w:rPr>
      <w:color w:val="404040"/>
    </w:rPr>
    <w:tblPr>
      <w:tblCellMar>
        <w:top w:w="0" w:type="dxa"/>
        <w:left w:w="0" w:type="dxa"/>
        <w:bottom w:w="0" w:type="dxa"/>
        <w:right w:w="0" w:type="dxa"/>
      </w:tblCellMar>
    </w:tblPr>
  </w:style>
  <w:style w:type="table" w:customStyle="1" w:styleId="215">
    <w:name w:val="Lined - Accent 6"/>
    <w:qFormat/>
    <w:uiPriority w:val="99"/>
    <w:rPr>
      <w:color w:val="404040"/>
    </w:rPr>
    <w:tblPr>
      <w:tblCellMar>
        <w:top w:w="0" w:type="dxa"/>
        <w:left w:w="0" w:type="dxa"/>
        <w:bottom w:w="0" w:type="dxa"/>
        <w:right w:w="0" w:type="dxa"/>
      </w:tblCellMar>
    </w:tblPr>
  </w:style>
  <w:style w:type="table" w:customStyle="1" w:styleId="216">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7">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8">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9">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20">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1">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2">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3">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4">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5">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6">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7">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8">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9">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30">
    <w:name w:val="脚注文本 字符"/>
    <w:link w:val="35"/>
    <w:qFormat/>
    <w:uiPriority w:val="99"/>
    <w:rPr>
      <w:sz w:val="18"/>
    </w:rPr>
  </w:style>
  <w:style w:type="character" w:customStyle="1" w:styleId="231">
    <w:name w:val="尾注文本 字符"/>
    <w:link w:val="27"/>
    <w:qFormat/>
    <w:uiPriority w:val="99"/>
    <w:rPr>
      <w:sz w:val="20"/>
    </w:rPr>
  </w:style>
  <w:style w:type="paragraph" w:customStyle="1" w:styleId="232">
    <w:name w:val="TOC 标题1"/>
    <w:unhideWhenUsed/>
    <w:qFormat/>
    <w:uiPriority w:val="39"/>
    <w:rPr>
      <w:rFonts w:hint="default" w:ascii="Times New Roman" w:hAnsi="Times New Roman" w:eastAsia="宋体" w:cs="Times New Roman"/>
    </w:rPr>
  </w:style>
  <w:style w:type="character" w:customStyle="1" w:styleId="233">
    <w:name w:val="标题 1 字符"/>
    <w:link w:val="2"/>
    <w:qFormat/>
    <w:uiPriority w:val="0"/>
    <w:rPr>
      <w:rFonts w:ascii="Times New Roman" w:hAnsi="Times New Roman" w:eastAsia="宋体" w:cs="Times New Roman"/>
      <w:b/>
      <w:bCs/>
      <w:sz w:val="44"/>
      <w:szCs w:val="44"/>
    </w:rPr>
  </w:style>
  <w:style w:type="character" w:customStyle="1" w:styleId="234">
    <w:name w:val="标题 2 字符"/>
    <w:link w:val="3"/>
    <w:qFormat/>
    <w:uiPriority w:val="0"/>
    <w:rPr>
      <w:rFonts w:ascii="Arial" w:hAnsi="Arial" w:eastAsia="黑体" w:cs="Times New Roman"/>
      <w:b/>
      <w:bCs/>
      <w:sz w:val="32"/>
      <w:szCs w:val="32"/>
    </w:rPr>
  </w:style>
  <w:style w:type="character" w:customStyle="1" w:styleId="235">
    <w:name w:val="标题 3 字符"/>
    <w:link w:val="4"/>
    <w:qFormat/>
    <w:uiPriority w:val="0"/>
    <w:rPr>
      <w:rFonts w:ascii="Times New Roman" w:hAnsi="Times New Roman" w:eastAsia="宋体" w:cs="Times New Roman"/>
      <w:b/>
      <w:bCs/>
      <w:sz w:val="32"/>
      <w:szCs w:val="32"/>
    </w:rPr>
  </w:style>
  <w:style w:type="character" w:customStyle="1" w:styleId="236">
    <w:name w:val="标题 4 字符"/>
    <w:link w:val="5"/>
    <w:qFormat/>
    <w:uiPriority w:val="0"/>
    <w:rPr>
      <w:rFonts w:ascii="Times New Roman" w:hAnsi="Times New Roman" w:eastAsia="新宋体" w:cs="Times New Roman"/>
      <w:sz w:val="30"/>
      <w:szCs w:val="21"/>
    </w:rPr>
  </w:style>
  <w:style w:type="character" w:customStyle="1" w:styleId="237">
    <w:name w:val="标题 5 字符"/>
    <w:link w:val="6"/>
    <w:qFormat/>
    <w:uiPriority w:val="0"/>
    <w:rPr>
      <w:rFonts w:ascii="Times New Roman" w:hAnsi="Times New Roman" w:eastAsia="宋体" w:cs="Times New Roman"/>
      <w:b/>
      <w:bCs/>
      <w:sz w:val="28"/>
      <w:szCs w:val="28"/>
    </w:rPr>
  </w:style>
  <w:style w:type="character" w:customStyle="1" w:styleId="238">
    <w:name w:val="标题 6 字符"/>
    <w:link w:val="7"/>
    <w:qFormat/>
    <w:uiPriority w:val="0"/>
    <w:rPr>
      <w:rFonts w:ascii="Times New Roman" w:hAnsi="Times New Roman" w:eastAsia="宋体" w:cs="Times New Roman"/>
      <w:b/>
      <w:sz w:val="44"/>
      <w:szCs w:val="20"/>
    </w:rPr>
  </w:style>
  <w:style w:type="character" w:customStyle="1" w:styleId="239">
    <w:name w:val="正文缩进 字符"/>
    <w:link w:val="8"/>
    <w:qFormat/>
    <w:uiPriority w:val="0"/>
    <w:rPr>
      <w:rFonts w:ascii="Times New Roman" w:hAnsi="Times New Roman" w:eastAsia="宋体" w:cs="Times New Roman"/>
      <w:sz w:val="20"/>
      <w:szCs w:val="20"/>
    </w:rPr>
  </w:style>
  <w:style w:type="character" w:customStyle="1" w:styleId="240">
    <w:name w:val="标题 7 字符"/>
    <w:link w:val="9"/>
    <w:qFormat/>
    <w:uiPriority w:val="0"/>
    <w:rPr>
      <w:rFonts w:ascii="Times New Roman" w:hAnsi="Times New Roman" w:eastAsia="宋体" w:cs="Times New Roman"/>
      <w:b/>
      <w:bCs/>
      <w:sz w:val="24"/>
      <w:szCs w:val="24"/>
    </w:rPr>
  </w:style>
  <w:style w:type="character" w:customStyle="1" w:styleId="241">
    <w:name w:val="标题 8 字符"/>
    <w:link w:val="10"/>
    <w:qFormat/>
    <w:uiPriority w:val="0"/>
    <w:rPr>
      <w:rFonts w:ascii="Arial" w:hAnsi="Arial" w:eastAsia="黑体" w:cs="Times New Roman"/>
      <w:sz w:val="24"/>
      <w:szCs w:val="24"/>
    </w:rPr>
  </w:style>
  <w:style w:type="character" w:customStyle="1" w:styleId="242">
    <w:name w:val="标题 9 字符"/>
    <w:link w:val="11"/>
    <w:qFormat/>
    <w:uiPriority w:val="0"/>
    <w:rPr>
      <w:rFonts w:ascii="Arial" w:hAnsi="Arial" w:eastAsia="黑体" w:cs="Times New Roman"/>
      <w:sz w:val="24"/>
      <w:szCs w:val="21"/>
    </w:rPr>
  </w:style>
  <w:style w:type="character" w:customStyle="1" w:styleId="243">
    <w:name w:val="文档结构图 字符"/>
    <w:link w:val="14"/>
    <w:semiHidden/>
    <w:qFormat/>
    <w:uiPriority w:val="0"/>
    <w:rPr>
      <w:szCs w:val="24"/>
      <w:shd w:val="clear" w:color="auto" w:fill="000080"/>
    </w:rPr>
  </w:style>
  <w:style w:type="character" w:customStyle="1" w:styleId="244">
    <w:name w:val="正文文本 3 字符"/>
    <w:link w:val="16"/>
    <w:qFormat/>
    <w:uiPriority w:val="0"/>
    <w:rPr>
      <w:rFonts w:ascii="Times New Roman" w:hAnsi="Times New Roman" w:eastAsia="宋体" w:cs="Times New Roman"/>
      <w:sz w:val="16"/>
      <w:szCs w:val="16"/>
    </w:rPr>
  </w:style>
  <w:style w:type="character" w:customStyle="1" w:styleId="245">
    <w:name w:val="正文文本 字符"/>
    <w:link w:val="17"/>
    <w:qFormat/>
    <w:uiPriority w:val="0"/>
    <w:rPr>
      <w:rFonts w:ascii="仿宋_GB2312" w:hAnsi="Times New Roman" w:eastAsia="仿宋_GB2312" w:cs="Times New Roman"/>
      <w:sz w:val="24"/>
      <w:szCs w:val="20"/>
    </w:rPr>
  </w:style>
  <w:style w:type="character" w:customStyle="1" w:styleId="246">
    <w:name w:val="正文文本缩进 字符"/>
    <w:link w:val="18"/>
    <w:qFormat/>
    <w:uiPriority w:val="0"/>
    <w:rPr>
      <w:rFonts w:ascii="仿宋_GB2312" w:hAnsi="Times New Roman" w:eastAsia="仿宋_GB2312" w:cs="Times New Roman"/>
      <w:sz w:val="28"/>
      <w:szCs w:val="20"/>
    </w:rPr>
  </w:style>
  <w:style w:type="character" w:customStyle="1" w:styleId="247">
    <w:name w:val="纯文本 字符"/>
    <w:link w:val="23"/>
    <w:qFormat/>
    <w:uiPriority w:val="0"/>
    <w:rPr>
      <w:rFonts w:ascii="宋体" w:hAnsi="Courier New" w:eastAsia="宋体" w:cs="Courier New"/>
      <w:szCs w:val="21"/>
    </w:rPr>
  </w:style>
  <w:style w:type="character" w:customStyle="1" w:styleId="248">
    <w:name w:val="日期 字符"/>
    <w:link w:val="25"/>
    <w:qFormat/>
    <w:uiPriority w:val="0"/>
    <w:rPr>
      <w:rFonts w:ascii="Times New Roman" w:hAnsi="Times New Roman" w:eastAsia="宋体" w:cs="Times New Roman"/>
      <w:sz w:val="24"/>
      <w:szCs w:val="20"/>
    </w:rPr>
  </w:style>
  <w:style w:type="character" w:customStyle="1" w:styleId="249">
    <w:name w:val="正文文本缩进 2 字符"/>
    <w:link w:val="26"/>
    <w:qFormat/>
    <w:uiPriority w:val="0"/>
    <w:rPr>
      <w:rFonts w:ascii="Times New Roman" w:hAnsi="Times New Roman" w:eastAsia="仿宋_GB2312" w:cs="Times New Roman"/>
      <w:sz w:val="28"/>
      <w:szCs w:val="20"/>
    </w:rPr>
  </w:style>
  <w:style w:type="character" w:customStyle="1" w:styleId="250">
    <w:name w:val="批注框文本 字符"/>
    <w:link w:val="28"/>
    <w:semiHidden/>
    <w:qFormat/>
    <w:uiPriority w:val="0"/>
    <w:rPr>
      <w:sz w:val="18"/>
      <w:szCs w:val="18"/>
    </w:rPr>
  </w:style>
  <w:style w:type="character" w:customStyle="1" w:styleId="251">
    <w:name w:val="页脚 字符"/>
    <w:link w:val="29"/>
    <w:qFormat/>
    <w:uiPriority w:val="99"/>
    <w:rPr>
      <w:rFonts w:ascii="Times New Roman" w:hAnsi="Times New Roman" w:eastAsia="宋体" w:cs="Times New Roman"/>
      <w:sz w:val="18"/>
      <w:szCs w:val="20"/>
    </w:rPr>
  </w:style>
  <w:style w:type="character" w:customStyle="1" w:styleId="252">
    <w:name w:val="页眉 字符"/>
    <w:link w:val="30"/>
    <w:qFormat/>
    <w:uiPriority w:val="0"/>
    <w:rPr>
      <w:rFonts w:ascii="Times New Roman" w:hAnsi="Times New Roman" w:eastAsia="宋体" w:cs="Times New Roman"/>
      <w:sz w:val="18"/>
      <w:szCs w:val="18"/>
    </w:rPr>
  </w:style>
  <w:style w:type="paragraph" w:customStyle="1" w:styleId="253">
    <w:name w:val="目录 11"/>
    <w:basedOn w:val="1"/>
    <w:next w:val="1"/>
    <w:semiHidden/>
    <w:qFormat/>
    <w:uiPriority w:val="0"/>
    <w:rPr>
      <w:sz w:val="24"/>
    </w:rPr>
  </w:style>
  <w:style w:type="character" w:customStyle="1" w:styleId="254">
    <w:name w:val="正文文本缩进 3 字符"/>
    <w:link w:val="37"/>
    <w:qFormat/>
    <w:uiPriority w:val="0"/>
    <w:rPr>
      <w:rFonts w:ascii="Times New Roman" w:hAnsi="Times New Roman" w:eastAsia="宋体" w:cs="Times New Roman"/>
      <w:sz w:val="16"/>
      <w:szCs w:val="16"/>
    </w:rPr>
  </w:style>
  <w:style w:type="character" w:customStyle="1" w:styleId="255">
    <w:name w:val="正文文本 2 字符"/>
    <w:link w:val="41"/>
    <w:qFormat/>
    <w:uiPriority w:val="0"/>
    <w:rPr>
      <w:rFonts w:ascii="Times New Roman" w:hAnsi="Times New Roman" w:eastAsia="宋体" w:cs="Times New Roman"/>
      <w:b/>
      <w:bCs/>
      <w:sz w:val="18"/>
      <w:szCs w:val="24"/>
    </w:rPr>
  </w:style>
  <w:style w:type="character" w:customStyle="1" w:styleId="256">
    <w:name w:val="HTML 预设格式 字符"/>
    <w:link w:val="42"/>
    <w:qFormat/>
    <w:uiPriority w:val="0"/>
    <w:rPr>
      <w:rFonts w:ascii="等线 Light" w:hAnsi="等线 Light" w:eastAsia="幼圆" w:cs="等线 Light"/>
      <w:sz w:val="24"/>
      <w:szCs w:val="22"/>
    </w:rPr>
  </w:style>
  <w:style w:type="paragraph" w:customStyle="1" w:styleId="257">
    <w:name w:val="正文首行缩进1"/>
    <w:basedOn w:val="17"/>
    <w:link w:val="258"/>
    <w:qFormat/>
    <w:uiPriority w:val="0"/>
    <w:pPr>
      <w:spacing w:after="120"/>
      <w:ind w:firstLine="420"/>
    </w:pPr>
    <w:rPr>
      <w:rFonts w:ascii="Times New Roman" w:eastAsia="宋体"/>
      <w:szCs w:val="24"/>
    </w:rPr>
  </w:style>
  <w:style w:type="character" w:customStyle="1" w:styleId="258">
    <w:name w:val="正文文本首行缩进 字符"/>
    <w:link w:val="257"/>
    <w:qFormat/>
    <w:uiPriority w:val="0"/>
    <w:rPr>
      <w:rFonts w:ascii="Times New Roman" w:hAnsi="Times New Roman" w:eastAsia="宋体" w:cs="Times New Roman"/>
      <w:sz w:val="24"/>
      <w:szCs w:val="24"/>
    </w:rPr>
  </w:style>
  <w:style w:type="character" w:customStyle="1" w:styleId="259">
    <w:name w:val="已访问的超链接1"/>
    <w:qFormat/>
    <w:uiPriority w:val="0"/>
    <w:rPr>
      <w:color w:val="800080"/>
      <w:u w:val="single"/>
    </w:rPr>
  </w:style>
  <w:style w:type="character" w:customStyle="1" w:styleId="260">
    <w:name w:val="列表段落 字符1"/>
    <w:link w:val="94"/>
    <w:qFormat/>
    <w:uiPriority w:val="99"/>
  </w:style>
  <w:style w:type="character" w:customStyle="1" w:styleId="261">
    <w:name w:val="文档结构图 Char1"/>
    <w:semiHidden/>
    <w:qFormat/>
    <w:uiPriority w:val="99"/>
    <w:rPr>
      <w:rFonts w:ascii="宋体" w:hAnsi="Times New Roman" w:eastAsia="宋体" w:cs="Times New Roman"/>
      <w:sz w:val="18"/>
      <w:szCs w:val="18"/>
    </w:rPr>
  </w:style>
  <w:style w:type="character" w:customStyle="1" w:styleId="262">
    <w:name w:val="普通正文 Char"/>
    <w:link w:val="263"/>
    <w:qFormat/>
    <w:uiPriority w:val="0"/>
    <w:rPr>
      <w:rFonts w:ascii="Arial" w:hAnsi="Arial"/>
      <w:sz w:val="24"/>
      <w:szCs w:val="24"/>
    </w:rPr>
  </w:style>
  <w:style w:type="paragraph" w:customStyle="1" w:styleId="263">
    <w:name w:val="普通正文"/>
    <w:basedOn w:val="1"/>
    <w:link w:val="262"/>
    <w:qFormat/>
    <w:uiPriority w:val="0"/>
    <w:pPr>
      <w:spacing w:before="120" w:after="120" w:line="360" w:lineRule="auto"/>
      <w:ind w:left="-2" w:right="120" w:firstLine="480"/>
      <w:jc w:val="center"/>
    </w:pPr>
    <w:rPr>
      <w:rFonts w:ascii="Arial" w:hAnsi="Arial"/>
      <w:sz w:val="24"/>
    </w:rPr>
  </w:style>
  <w:style w:type="character" w:customStyle="1" w:styleId="264">
    <w:name w:val="FA正文 Char"/>
    <w:link w:val="265"/>
    <w:qFormat/>
    <w:uiPriority w:val="0"/>
    <w:rPr>
      <w:rFonts w:ascii="宋体" w:hAnsi="宋体" w:eastAsia="宋体" w:cs="Times New Roman"/>
      <w:sz w:val="28"/>
      <w:szCs w:val="28"/>
    </w:rPr>
  </w:style>
  <w:style w:type="paragraph" w:customStyle="1" w:styleId="265">
    <w:name w:val="FA正文"/>
    <w:basedOn w:val="1"/>
    <w:link w:val="264"/>
    <w:qFormat/>
    <w:uiPriority w:val="0"/>
    <w:pPr>
      <w:tabs>
        <w:tab w:val="left" w:pos="3375"/>
      </w:tabs>
      <w:spacing w:line="440" w:lineRule="atLeast"/>
      <w:ind w:firstLine="538"/>
    </w:pPr>
    <w:rPr>
      <w:rFonts w:ascii="宋体" w:hAnsi="宋体"/>
      <w:sz w:val="28"/>
      <w:szCs w:val="28"/>
    </w:rPr>
  </w:style>
  <w:style w:type="character" w:customStyle="1" w:styleId="266">
    <w:name w:val="正文缩进2格 Char"/>
    <w:link w:val="267"/>
    <w:qFormat/>
    <w:uiPriority w:val="0"/>
    <w:rPr>
      <w:rFonts w:ascii="仿宋_GB2312" w:hAnsi="宋体" w:eastAsia="仿宋_GB2312" w:cs="Times New Roman"/>
      <w:sz w:val="31"/>
      <w:szCs w:val="28"/>
    </w:rPr>
  </w:style>
  <w:style w:type="paragraph" w:customStyle="1" w:styleId="267">
    <w:name w:val="正文缩进2格"/>
    <w:basedOn w:val="1"/>
    <w:link w:val="266"/>
    <w:qFormat/>
    <w:uiPriority w:val="0"/>
    <w:pPr>
      <w:spacing w:line="600" w:lineRule="exact"/>
      <w:ind w:firstLine="639"/>
    </w:pPr>
    <w:rPr>
      <w:rFonts w:ascii="仿宋_GB2312" w:hAnsi="宋体" w:eastAsia="仿宋_GB2312"/>
      <w:sz w:val="31"/>
      <w:szCs w:val="28"/>
    </w:rPr>
  </w:style>
  <w:style w:type="character" w:customStyle="1" w:styleId="268">
    <w:name w:val="cn_text1"/>
    <w:qFormat/>
    <w:uiPriority w:val="0"/>
    <w:rPr>
      <w:rFonts w:ascii="ˎ̥" w:hAnsi="ˎ̥"/>
      <w:color w:val="003399"/>
      <w:spacing w:val="15"/>
      <w:sz w:val="18"/>
      <w:szCs w:val="18"/>
    </w:rPr>
  </w:style>
  <w:style w:type="character" w:customStyle="1" w:styleId="269">
    <w:name w:val="ssss Char"/>
    <w:qFormat/>
    <w:uiPriority w:val="0"/>
    <w:rPr>
      <w:rFonts w:eastAsia="宋体"/>
      <w:sz w:val="24"/>
      <w:szCs w:val="24"/>
      <w:lang w:val="en-US" w:eastAsia="zh-CN" w:bidi="ar-SA"/>
    </w:rPr>
  </w:style>
  <w:style w:type="character" w:customStyle="1" w:styleId="270">
    <w:name w:val="ssss Char1"/>
    <w:link w:val="271"/>
    <w:qFormat/>
    <w:uiPriority w:val="0"/>
    <w:rPr>
      <w:rFonts w:ascii="Times New Roman" w:hAnsi="Times New Roman" w:eastAsia="宋体" w:cs="Times New Roman"/>
      <w:sz w:val="24"/>
      <w:szCs w:val="24"/>
    </w:rPr>
  </w:style>
  <w:style w:type="paragraph" w:customStyle="1" w:styleId="271">
    <w:name w:val="ssss"/>
    <w:basedOn w:val="1"/>
    <w:link w:val="270"/>
    <w:qFormat/>
    <w:uiPriority w:val="0"/>
    <w:pPr>
      <w:spacing w:line="360" w:lineRule="auto"/>
      <w:ind w:firstLine="480"/>
    </w:pPr>
    <w:rPr>
      <w:sz w:val="24"/>
    </w:rPr>
  </w:style>
  <w:style w:type="character" w:customStyle="1" w:styleId="272">
    <w:name w:val="标题 4 Char1"/>
    <w:qFormat/>
    <w:uiPriority w:val="0"/>
    <w:rPr>
      <w:rFonts w:ascii="Arial" w:hAnsi="Arial" w:eastAsia="黑体"/>
      <w:b/>
      <w:bCs/>
      <w:sz w:val="28"/>
      <w:szCs w:val="28"/>
      <w:lang w:val="en-US" w:eastAsia="zh-CN" w:bidi="ar-SA"/>
    </w:rPr>
  </w:style>
  <w:style w:type="character" w:customStyle="1" w:styleId="273">
    <w:name w:val="列表段落 字符"/>
    <w:qFormat/>
    <w:uiPriority w:val="34"/>
    <w:rPr>
      <w:rFonts w:ascii="Calibri" w:hAnsi="Calibri"/>
      <w:sz w:val="21"/>
      <w:szCs w:val="22"/>
    </w:rPr>
  </w:style>
  <w:style w:type="character" w:customStyle="1" w:styleId="274">
    <w:name w:val="批注框文本 Char1"/>
    <w:semiHidden/>
    <w:qFormat/>
    <w:uiPriority w:val="99"/>
    <w:rPr>
      <w:rFonts w:ascii="Times New Roman" w:hAnsi="Times New Roman" w:eastAsia="宋体" w:cs="Times New Roman"/>
      <w:sz w:val="18"/>
      <w:szCs w:val="18"/>
    </w:rPr>
  </w:style>
  <w:style w:type="character" w:customStyle="1" w:styleId="275">
    <w:name w:val="样式 ssss + 宋体 五号1 Char"/>
    <w:link w:val="276"/>
    <w:qFormat/>
    <w:uiPriority w:val="0"/>
    <w:rPr>
      <w:rFonts w:ascii="宋体" w:hAnsi="宋体" w:eastAsia="宋体" w:cs="Times New Roman"/>
      <w:sz w:val="24"/>
      <w:szCs w:val="24"/>
    </w:rPr>
  </w:style>
  <w:style w:type="paragraph" w:customStyle="1" w:styleId="276">
    <w:name w:val="样式 ssss + 宋体 五号1"/>
    <w:basedOn w:val="271"/>
    <w:link w:val="275"/>
    <w:qFormat/>
    <w:uiPriority w:val="0"/>
    <w:rPr>
      <w:rFonts w:ascii="宋体" w:hAnsi="宋体"/>
    </w:rPr>
  </w:style>
  <w:style w:type="character" w:customStyle="1" w:styleId="277">
    <w:name w:val="point_normal1"/>
    <w:qFormat/>
    <w:uiPriority w:val="0"/>
    <w:rPr>
      <w:rFonts w:ascii="Arial" w:hAnsi="Arial" w:cs="Arial"/>
      <w:sz w:val="16"/>
      <w:szCs w:val="16"/>
    </w:rPr>
  </w:style>
  <w:style w:type="paragraph" w:customStyle="1" w:styleId="278">
    <w:name w:val="样式 正文文本缩进 3 + 四号"/>
    <w:basedOn w:val="37"/>
    <w:qFormat/>
    <w:uiPriority w:val="0"/>
    <w:pPr>
      <w:spacing w:after="0" w:line="360" w:lineRule="auto"/>
      <w:ind w:left="0" w:firstLine="437"/>
    </w:pPr>
    <w:rPr>
      <w:sz w:val="24"/>
      <w:szCs w:val="21"/>
    </w:rPr>
  </w:style>
  <w:style w:type="paragraph" w:customStyle="1" w:styleId="279">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80">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1">
    <w:name w:val="Char Char Char Char"/>
    <w:basedOn w:val="1"/>
    <w:qFormat/>
    <w:uiPriority w:val="0"/>
    <w:rPr>
      <w:rFonts w:ascii="Tahoma" w:hAnsi="Tahoma"/>
      <w:sz w:val="24"/>
      <w:szCs w:val="20"/>
    </w:rPr>
  </w:style>
  <w:style w:type="paragraph" w:customStyle="1" w:styleId="282">
    <w:name w:val="Char Char Char Char Char Char Char Char Char Char Char Char Char"/>
    <w:basedOn w:val="1"/>
    <w:qFormat/>
    <w:uiPriority w:val="0"/>
  </w:style>
  <w:style w:type="paragraph" w:customStyle="1" w:styleId="283">
    <w:name w:val="表格正文"/>
    <w:basedOn w:val="1"/>
    <w:qFormat/>
    <w:uiPriority w:val="0"/>
    <w:pPr>
      <w:spacing w:line="360" w:lineRule="auto"/>
      <w:jc w:val="left"/>
    </w:pPr>
    <w:rPr>
      <w:rFonts w:ascii="Calibri" w:hAnsi="Calibri"/>
      <w:color w:val="000000"/>
      <w:szCs w:val="28"/>
    </w:rPr>
  </w:style>
  <w:style w:type="paragraph" w:customStyle="1" w:styleId="284">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5">
    <w:name w:val="Char Char Char Char1"/>
    <w:basedOn w:val="1"/>
    <w:qFormat/>
    <w:uiPriority w:val="0"/>
    <w:rPr>
      <w:rFonts w:ascii="Tahoma" w:hAnsi="Tahoma"/>
      <w:sz w:val="24"/>
      <w:szCs w:val="20"/>
    </w:rPr>
  </w:style>
  <w:style w:type="paragraph" w:customStyle="1" w:styleId="286">
    <w:name w:val="Char Char Char"/>
    <w:basedOn w:val="1"/>
    <w:qFormat/>
    <w:uiPriority w:val="0"/>
    <w:rPr>
      <w:rFonts w:ascii="Tahoma" w:hAnsi="Tahoma"/>
      <w:sz w:val="24"/>
      <w:szCs w:val="20"/>
    </w:rPr>
  </w:style>
  <w:style w:type="paragraph" w:customStyle="1" w:styleId="287">
    <w:name w:val="标题-----3"/>
    <w:basedOn w:val="4"/>
    <w:qFormat/>
    <w:uiPriority w:val="0"/>
    <w:pPr>
      <w:spacing w:before="0" w:after="0" w:line="240" w:lineRule="auto"/>
      <w:outlineLvl w:val="0"/>
    </w:pPr>
    <w:rPr>
      <w:rFonts w:ascii="宋体" w:hAnsi="宋体"/>
      <w:b w:val="0"/>
      <w:bCs w:val="0"/>
      <w:sz w:val="28"/>
      <w:szCs w:val="28"/>
    </w:rPr>
  </w:style>
  <w:style w:type="paragraph" w:customStyle="1" w:styleId="288">
    <w:name w:val="样式 ssss + 居中"/>
    <w:basedOn w:val="271"/>
    <w:qFormat/>
    <w:uiPriority w:val="0"/>
    <w:pPr>
      <w:jc w:val="center"/>
    </w:pPr>
    <w:rPr>
      <w:rFonts w:cs="宋体"/>
      <w:szCs w:val="20"/>
    </w:rPr>
  </w:style>
  <w:style w:type="paragraph" w:customStyle="1" w:styleId="28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90">
    <w:name w:val="样式 样式 ssss + 宋体 五号 + 首行缩进:  2 字符"/>
    <w:basedOn w:val="291"/>
    <w:qFormat/>
    <w:uiPriority w:val="0"/>
    <w:pPr>
      <w:ind w:firstLine="480"/>
    </w:pPr>
  </w:style>
  <w:style w:type="paragraph" w:customStyle="1" w:styleId="291">
    <w:name w:val="样式 ssss + 宋体 五号"/>
    <w:basedOn w:val="271"/>
    <w:qFormat/>
    <w:uiPriority w:val="0"/>
    <w:pPr>
      <w:ind w:firstLine="420"/>
    </w:pPr>
    <w:rPr>
      <w:rFonts w:ascii="宋体" w:hAnsi="宋体" w:cs="宋体"/>
      <w:szCs w:val="20"/>
    </w:rPr>
  </w:style>
  <w:style w:type="paragraph" w:customStyle="1" w:styleId="292">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3">
    <w:name w:val="Char"/>
    <w:basedOn w:val="1"/>
    <w:qFormat/>
    <w:uiPriority w:val="0"/>
    <w:rPr>
      <w:rFonts w:ascii="Tahoma" w:hAnsi="Tahoma"/>
      <w:sz w:val="24"/>
      <w:szCs w:val="20"/>
    </w:rPr>
  </w:style>
  <w:style w:type="paragraph" w:customStyle="1" w:styleId="294">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6">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7">
    <w:name w:val="Char Char Char Char Char Char Char Char Char Char Char Char Char1"/>
    <w:basedOn w:val="1"/>
    <w:qFormat/>
    <w:uiPriority w:val="0"/>
    <w:rPr>
      <w:sz w:val="24"/>
    </w:rPr>
  </w:style>
  <w:style w:type="paragraph" w:customStyle="1" w:styleId="298">
    <w:name w:val="表格"/>
    <w:basedOn w:val="1"/>
    <w:qFormat/>
    <w:uiPriority w:val="0"/>
    <w:rPr>
      <w:rFonts w:ascii="Arial" w:hAnsi="Arial"/>
      <w:sz w:val="24"/>
    </w:rPr>
  </w:style>
  <w:style w:type="paragraph" w:customStyle="1" w:styleId="299">
    <w:name w:val="正文样式1"/>
    <w:basedOn w:val="1"/>
    <w:qFormat/>
    <w:uiPriority w:val="0"/>
    <w:pPr>
      <w:spacing w:before="120" w:after="120" w:line="360" w:lineRule="auto"/>
      <w:ind w:firstLine="480"/>
    </w:pPr>
    <w:rPr>
      <w:sz w:val="24"/>
      <w:szCs w:val="20"/>
    </w:rPr>
  </w:style>
  <w:style w:type="paragraph" w:customStyle="1" w:styleId="300">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1">
    <w:name w:val="Char Char Char Char Char Char Char Char Char Char"/>
    <w:basedOn w:val="1"/>
    <w:qFormat/>
    <w:uiPriority w:val="0"/>
    <w:rPr>
      <w:rFonts w:ascii="Tahoma" w:hAnsi="Tahoma"/>
      <w:sz w:val="24"/>
      <w:szCs w:val="20"/>
    </w:rPr>
  </w:style>
  <w:style w:type="paragraph" w:customStyle="1" w:styleId="302">
    <w:name w:val="Char1"/>
    <w:basedOn w:val="1"/>
    <w:qFormat/>
    <w:uiPriority w:val="0"/>
    <w:pPr>
      <w:tabs>
        <w:tab w:val="left" w:pos="360"/>
      </w:tabs>
    </w:pPr>
    <w:rPr>
      <w:sz w:val="24"/>
    </w:rPr>
  </w:style>
  <w:style w:type="paragraph" w:customStyle="1" w:styleId="30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4">
    <w:name w:val="Header2"/>
    <w:basedOn w:val="1"/>
    <w:qFormat/>
    <w:uiPriority w:val="0"/>
    <w:pPr>
      <w:numPr>
        <w:ilvl w:val="0"/>
        <w:numId w:val="1"/>
      </w:numPr>
    </w:pPr>
  </w:style>
  <w:style w:type="paragraph" w:customStyle="1" w:styleId="305">
    <w:name w:val="Char Char 字元 字元 字元 Char Char Char Char"/>
    <w:basedOn w:val="1"/>
    <w:qFormat/>
    <w:uiPriority w:val="0"/>
    <w:pPr>
      <w:spacing w:line="360" w:lineRule="auto"/>
    </w:pPr>
    <w:rPr>
      <w:sz w:val="24"/>
      <w:szCs w:val="20"/>
    </w:rPr>
  </w:style>
  <w:style w:type="paragraph" w:customStyle="1" w:styleId="306">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7">
    <w:name w:val="正文_0_0"/>
    <w:qFormat/>
    <w:uiPriority w:val="0"/>
    <w:pPr>
      <w:widowControl w:val="0"/>
      <w:jc w:val="both"/>
    </w:pPr>
    <w:rPr>
      <w:rFonts w:hint="default" w:ascii="Times New Roman" w:hAnsi="Times New Roman" w:eastAsia="宋体" w:cs="Times New Roman"/>
      <w:sz w:val="21"/>
      <w:szCs w:val="24"/>
    </w:rPr>
  </w:style>
  <w:style w:type="paragraph" w:customStyle="1" w:styleId="308">
    <w:name w:val="正文_1_0"/>
    <w:qFormat/>
    <w:uiPriority w:val="0"/>
    <w:pPr>
      <w:widowControl w:val="0"/>
      <w:jc w:val="both"/>
    </w:pPr>
    <w:rPr>
      <w:rFonts w:hint="default" w:ascii="Times New Roman" w:hAnsi="Times New Roman" w:eastAsia="宋体" w:cs="Times New Roman"/>
      <w:sz w:val="21"/>
      <w:szCs w:val="24"/>
    </w:rPr>
  </w:style>
  <w:style w:type="table" w:customStyle="1" w:styleId="309">
    <w:name w:val="网格型1"/>
    <w:basedOn w:val="47"/>
    <w:qFormat/>
    <w:uiPriority w:val="39"/>
    <w:rPr>
      <w:rFonts w:ascii="等线" w:hAnsi="等线" w:eastAsia="等线"/>
      <w:sz w:val="21"/>
      <w:szCs w:val="22"/>
    </w:rPr>
  </w:style>
  <w:style w:type="paragraph" w:customStyle="1" w:styleId="310">
    <w:name w:val="正文_3"/>
    <w:qFormat/>
    <w:uiPriority w:val="0"/>
    <w:pPr>
      <w:widowControl w:val="0"/>
      <w:jc w:val="both"/>
    </w:pPr>
    <w:rPr>
      <w:rFonts w:hint="default" w:ascii="Times New Roman" w:hAnsi="Times New Roman" w:eastAsia="宋体" w:cs="Times New Roman"/>
      <w:sz w:val="21"/>
      <w:szCs w:val="24"/>
    </w:rPr>
  </w:style>
  <w:style w:type="paragraph" w:customStyle="1" w:styleId="311">
    <w:name w:val="修订1"/>
    <w:unhideWhenUsed/>
    <w:qFormat/>
    <w:uiPriority w:val="99"/>
    <w:rPr>
      <w:rFonts w:hint="default" w:ascii="Times New Roman" w:hAnsi="Times New Roman" w:eastAsia="宋体" w:cs="Times New Roman"/>
      <w:sz w:val="21"/>
      <w:szCs w:val="24"/>
    </w:rPr>
  </w:style>
  <w:style w:type="paragraph" w:customStyle="1" w:styleId="312">
    <w:name w:val="列出段落1"/>
    <w:basedOn w:val="1"/>
    <w:qFormat/>
    <w:uiPriority w:val="0"/>
    <w:pPr>
      <w:ind w:firstLine="200"/>
    </w:pPr>
    <w:rPr>
      <w:rFonts w:ascii="Wingdings" w:hAnsi="Wingdings" w:eastAsia="幼圆" w:cs="Helvetica-Light"/>
      <w:szCs w:val="22"/>
    </w:rPr>
  </w:style>
  <w:style w:type="paragraph" w:customStyle="1" w:styleId="313">
    <w:name w:val="Char1 Char Char Char"/>
    <w:basedOn w:val="1"/>
    <w:qFormat/>
    <w:uiPriority w:val="0"/>
    <w:pPr>
      <w:widowControl/>
      <w:spacing w:after="160" w:line="240" w:lineRule="exact"/>
      <w:jc w:val="left"/>
    </w:pPr>
    <w:rPr>
      <w:szCs w:val="20"/>
    </w:rPr>
  </w:style>
  <w:style w:type="paragraph" w:customStyle="1" w:styleId="314">
    <w:name w:val="正文_2"/>
    <w:qFormat/>
    <w:uiPriority w:val="0"/>
    <w:pPr>
      <w:widowControl w:val="0"/>
      <w:jc w:val="both"/>
    </w:pPr>
    <w:rPr>
      <w:rFonts w:hint="default" w:ascii="等线" w:hAnsi="等线" w:eastAsia="等线" w:cs="等线"/>
      <w:sz w:val="21"/>
    </w:rPr>
  </w:style>
  <w:style w:type="paragraph" w:customStyle="1" w:styleId="315">
    <w:name w:val="列表段落4"/>
    <w:basedOn w:val="1"/>
    <w:qFormat/>
    <w:uiPriority w:val="34"/>
    <w:pPr>
      <w:ind w:firstLine="420"/>
    </w:pPr>
    <w:rPr>
      <w:szCs w:val="22"/>
    </w:rPr>
  </w:style>
  <w:style w:type="character" w:customStyle="1" w:styleId="316">
    <w:name w:val="font51"/>
    <w:basedOn w:val="49"/>
    <w:qFormat/>
    <w:uiPriority w:val="0"/>
    <w:rPr>
      <w:rFonts w:hint="eastAsia" w:ascii="宋体" w:hAnsi="宋体" w:eastAsia="宋体" w:cs="宋体"/>
      <w:color w:val="000000"/>
      <w:sz w:val="24"/>
      <w:szCs w:val="24"/>
      <w:u w:val="none"/>
    </w:rPr>
  </w:style>
  <w:style w:type="character" w:customStyle="1" w:styleId="317">
    <w:name w:val="font71"/>
    <w:basedOn w:val="49"/>
    <w:qFormat/>
    <w:uiPriority w:val="0"/>
    <w:rPr>
      <w:rFonts w:hint="eastAsia" w:ascii="宋体" w:hAnsi="宋体" w:eastAsia="宋体" w:cs="宋体"/>
      <w:color w:val="000000"/>
      <w:sz w:val="24"/>
      <w:szCs w:val="24"/>
      <w:u w:val="none"/>
    </w:rPr>
  </w:style>
  <w:style w:type="character" w:customStyle="1" w:styleId="318">
    <w:name w:val="font61"/>
    <w:basedOn w:val="49"/>
    <w:qFormat/>
    <w:uiPriority w:val="0"/>
    <w:rPr>
      <w:rFonts w:hint="eastAsia" w:ascii="宋体" w:hAnsi="宋体" w:eastAsia="宋体" w:cs="宋体"/>
      <w:color w:val="000000"/>
      <w:sz w:val="24"/>
      <w:szCs w:val="24"/>
      <w:u w:val="none"/>
    </w:rPr>
  </w:style>
  <w:style w:type="character" w:customStyle="1" w:styleId="319">
    <w:name w:val="font81"/>
    <w:basedOn w:val="49"/>
    <w:qFormat/>
    <w:uiPriority w:val="0"/>
    <w:rPr>
      <w:rFonts w:hint="eastAsia" w:ascii="宋体" w:hAnsi="宋体" w:eastAsia="宋体" w:cs="宋体"/>
      <w:color w:val="000000"/>
      <w:sz w:val="24"/>
      <w:szCs w:val="24"/>
      <w:u w:val="none"/>
    </w:rPr>
  </w:style>
  <w:style w:type="character" w:customStyle="1" w:styleId="320">
    <w:name w:val="NormalCharacter"/>
    <w:qFormat/>
    <w:uiPriority w:val="0"/>
  </w:style>
  <w:style w:type="paragraph" w:customStyle="1" w:styleId="321">
    <w:name w:val="BodyText1I2"/>
    <w:basedOn w:val="322"/>
    <w:qFormat/>
    <w:uiPriority w:val="0"/>
    <w:pPr>
      <w:ind w:firstLine="420"/>
    </w:pPr>
  </w:style>
  <w:style w:type="paragraph" w:customStyle="1" w:styleId="322">
    <w:name w:val="BodyTextIndent"/>
    <w:basedOn w:val="1"/>
    <w:next w:val="323"/>
    <w:qFormat/>
    <w:uiPriority w:val="0"/>
    <w:pPr>
      <w:spacing w:line="520" w:lineRule="exact"/>
      <w:ind w:left="570"/>
    </w:pPr>
    <w:rPr>
      <w:rFonts w:ascii="方正仿宋简体" w:hAnsi="创艺简仿宋" w:eastAsia="方正仿宋简体"/>
      <w:sz w:val="24"/>
    </w:rPr>
  </w:style>
  <w:style w:type="paragraph" w:customStyle="1" w:styleId="323">
    <w:name w:val="EnvelopeReturn"/>
    <w:basedOn w:val="1"/>
    <w:qFormat/>
    <w:uiPriority w:val="0"/>
    <w:rPr>
      <w:rFonts w:ascii="Arial" w:hAnsi="Arial"/>
    </w:rPr>
  </w:style>
  <w:style w:type="paragraph" w:customStyle="1" w:styleId="324">
    <w:name w:val="Table Paragraph"/>
    <w:basedOn w:val="1"/>
    <w:qFormat/>
    <w:uiPriority w:val="1"/>
    <w:pPr>
      <w:spacing w:before="31"/>
      <w:ind w:left="107"/>
    </w:pPr>
    <w:rPr>
      <w:rFonts w:ascii="微软雅黑" w:hAnsi="微软雅黑" w:eastAsia="微软雅黑" w:cs="微软雅黑"/>
    </w:rPr>
  </w:style>
  <w:style w:type="paragraph" w:customStyle="1" w:styleId="325">
    <w:name w:val="正文文本1"/>
    <w:basedOn w:val="1"/>
    <w:next w:val="1"/>
    <w:qFormat/>
    <w:uiPriority w:val="0"/>
    <w:rPr>
      <w:rFonts w:ascii="仿宋_GB2312" w:eastAsia="仿宋_GB2312"/>
      <w:sz w:val="24"/>
      <w:szCs w:val="20"/>
    </w:rPr>
  </w:style>
  <w:style w:type="paragraph" w:customStyle="1" w:styleId="32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7">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9002</Words>
  <Characters>9565</Characters>
  <TotalTime>16</TotalTime>
  <ScaleCrop>false</ScaleCrop>
  <LinksUpToDate>false</LinksUpToDate>
  <CharactersWithSpaces>9664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WPS_1542117345</cp:lastModifiedBy>
  <dcterms:modified xsi:type="dcterms:W3CDTF">2025-08-28T09:55:15Z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F82CD4A1765B4F7291C91C55952E8543_13</vt:lpwstr>
  </property>
  <property fmtid="{D5CDD505-2E9C-101B-9397-08002B2CF9AE}" pid="4" name="KSOTemplateDocerSaveRecord">
    <vt:lpwstr>eyJoZGlkIjoiZmMxNTFmN2NlZTk0MGQ1OTkxM2M1ZDNhNDkyN2Q1NDciLCJ1c2VySWQiOiI0Mjc4NTY2NzMifQ==</vt:lpwstr>
  </property>
</Properties>
</file>