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FAC28">
      <w:pPr>
        <w:spacing w:line="240" w:lineRule="auto"/>
        <w:jc w:val="left"/>
        <w:rPr>
          <w:rFonts w:hint="eastAsia" w:ascii="楷体" w:hAnsi="楷体" w:eastAsia="楷体"/>
          <w:b/>
          <w:bCs/>
          <w:color w:val="auto"/>
          <w:sz w:val="44"/>
          <w:szCs w:val="44"/>
          <w:highlight w:val="none"/>
        </w:rPr>
      </w:pPr>
    </w:p>
    <w:p w14:paraId="46BCBC7A">
      <w:pPr>
        <w:spacing w:line="300" w:lineRule="auto"/>
        <w:jc w:val="both"/>
        <w:rPr>
          <w:rFonts w:ascii="楷体" w:hAnsi="楷体" w:eastAsia="楷体"/>
          <w:b/>
          <w:bCs/>
          <w:color w:val="auto"/>
          <w:sz w:val="36"/>
          <w:szCs w:val="36"/>
          <w:highlight w:val="none"/>
        </w:rPr>
      </w:pPr>
      <w:bookmarkStart w:id="0" w:name="_Hlk38442364"/>
    </w:p>
    <w:p w14:paraId="5200F6EC">
      <w:pPr>
        <w:spacing w:line="300" w:lineRule="auto"/>
        <w:jc w:val="center"/>
        <w:rPr>
          <w:rFonts w:ascii="楷体" w:hAnsi="楷体" w:eastAsia="楷体"/>
          <w:b/>
          <w:bCs/>
          <w:color w:val="auto"/>
          <w:sz w:val="36"/>
          <w:szCs w:val="36"/>
          <w:highlight w:val="none"/>
        </w:rPr>
      </w:pPr>
    </w:p>
    <w:bookmarkEnd w:id="0"/>
    <w:p w14:paraId="033B0BEE">
      <w:pPr>
        <w:keepNext w:val="0"/>
        <w:keepLines w:val="0"/>
        <w:pageBreakBefore w:val="0"/>
        <w:widowControl w:val="0"/>
        <w:kinsoku/>
        <w:wordWrap/>
        <w:overflowPunct/>
        <w:topLinePunct w:val="0"/>
        <w:autoSpaceDE/>
        <w:autoSpaceDN/>
        <w:bidi w:val="0"/>
        <w:adjustRightInd/>
        <w:snapToGrid/>
        <w:spacing w:line="360" w:lineRule="auto"/>
        <w:ind w:left="-280" w:leftChars="-100" w:right="-280" w:rightChars="-100"/>
        <w:jc w:val="center"/>
        <w:textAlignment w:val="auto"/>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lang w:eastAsia="zh-CN"/>
        </w:rPr>
        <w:t>通海港区-通州湾港区疏港航道双桥枢纽工程、新江海河船闸工程、新江海河段航道整治工程船艇设计服务项目</w:t>
      </w:r>
      <w:r>
        <w:rPr>
          <w:rFonts w:hint="eastAsia" w:ascii="黑体" w:hAnsi="黑体" w:eastAsia="黑体" w:cs="黑体"/>
          <w:b w:val="0"/>
          <w:bCs w:val="0"/>
          <w:color w:val="auto"/>
          <w:sz w:val="36"/>
          <w:szCs w:val="36"/>
          <w:highlight w:val="none"/>
          <w:u w:val="none"/>
          <w:lang w:eastAsia="zh-CN"/>
        </w:rPr>
        <w:t>THTZ-CTSJ1标段</w:t>
      </w:r>
    </w:p>
    <w:p w14:paraId="41A4E0B1">
      <w:pPr>
        <w:rPr>
          <w:rFonts w:hint="eastAsia" w:ascii="黑体" w:hAnsi="黑体" w:eastAsia="黑体" w:cs="黑体"/>
          <w:b w:val="0"/>
          <w:bCs w:val="0"/>
          <w:color w:val="auto"/>
          <w:highlight w:val="none"/>
        </w:rPr>
      </w:pPr>
    </w:p>
    <w:p w14:paraId="06875351">
      <w:pPr>
        <w:rPr>
          <w:rFonts w:hint="eastAsia" w:ascii="黑体" w:hAnsi="黑体" w:eastAsia="黑体" w:cs="黑体"/>
          <w:b w:val="0"/>
          <w:bCs w:val="0"/>
          <w:color w:val="auto"/>
          <w:highlight w:val="none"/>
        </w:rPr>
      </w:pPr>
    </w:p>
    <w:p w14:paraId="6C06535D">
      <w:pPr>
        <w:rPr>
          <w:rFonts w:hint="eastAsia" w:ascii="黑体" w:hAnsi="黑体" w:eastAsia="黑体" w:cs="黑体"/>
          <w:b w:val="0"/>
          <w:bCs w:val="0"/>
          <w:color w:val="auto"/>
          <w:highlight w:val="none"/>
        </w:rPr>
      </w:pPr>
    </w:p>
    <w:p w14:paraId="76E03320">
      <w:pPr>
        <w:rPr>
          <w:rFonts w:hint="eastAsia" w:ascii="黑体" w:hAnsi="黑体" w:eastAsia="黑体" w:cs="黑体"/>
          <w:b w:val="0"/>
          <w:bCs w:val="0"/>
          <w:color w:val="auto"/>
          <w:highlight w:val="none"/>
        </w:rPr>
      </w:pPr>
    </w:p>
    <w:p w14:paraId="51422A40">
      <w:pPr>
        <w:rPr>
          <w:rFonts w:hint="eastAsia" w:ascii="黑体" w:hAnsi="黑体" w:eastAsia="黑体" w:cs="黑体"/>
          <w:b w:val="0"/>
          <w:bCs w:val="0"/>
          <w:color w:val="auto"/>
          <w:highlight w:val="none"/>
        </w:rPr>
      </w:pPr>
    </w:p>
    <w:p w14:paraId="657ABFBF">
      <w:pPr>
        <w:spacing w:line="1100" w:lineRule="exact"/>
        <w:jc w:val="center"/>
        <w:rPr>
          <w:rFonts w:hint="eastAsia" w:ascii="黑体" w:hAnsi="黑体" w:eastAsia="黑体" w:cs="黑体"/>
          <w:b w:val="0"/>
          <w:bCs w:val="0"/>
          <w:color w:val="auto"/>
          <w:kern w:val="72"/>
          <w:sz w:val="84"/>
          <w:szCs w:val="84"/>
          <w:highlight w:val="none"/>
        </w:rPr>
      </w:pPr>
      <w:r>
        <w:rPr>
          <w:rFonts w:hint="eastAsia" w:ascii="黑体" w:hAnsi="黑体" w:eastAsia="黑体" w:cs="黑体"/>
          <w:b w:val="0"/>
          <w:bCs w:val="0"/>
          <w:color w:val="auto"/>
          <w:kern w:val="72"/>
          <w:sz w:val="84"/>
          <w:szCs w:val="84"/>
          <w:highlight w:val="none"/>
        </w:rPr>
        <w:t>招 标 文 件</w:t>
      </w:r>
    </w:p>
    <w:p w14:paraId="658BDC9E">
      <w:pPr>
        <w:rPr>
          <w:rFonts w:hint="eastAsia" w:ascii="黑体" w:hAnsi="黑体" w:eastAsia="黑体" w:cs="黑体"/>
          <w:b w:val="0"/>
          <w:bCs w:val="0"/>
          <w:color w:val="auto"/>
          <w:highlight w:val="none"/>
        </w:rPr>
      </w:pPr>
    </w:p>
    <w:p w14:paraId="3E119BFC">
      <w:pPr>
        <w:rPr>
          <w:rFonts w:hint="eastAsia" w:ascii="黑体" w:hAnsi="黑体" w:eastAsia="黑体" w:cs="黑体"/>
          <w:b w:val="0"/>
          <w:bCs w:val="0"/>
          <w:color w:val="auto"/>
          <w:highlight w:val="none"/>
        </w:rPr>
      </w:pPr>
    </w:p>
    <w:p w14:paraId="7F4BAD3F">
      <w:pPr>
        <w:rPr>
          <w:rFonts w:hint="eastAsia" w:ascii="黑体" w:hAnsi="黑体" w:eastAsia="黑体" w:cs="黑体"/>
          <w:b w:val="0"/>
          <w:bCs w:val="0"/>
          <w:color w:val="auto"/>
          <w:highlight w:val="none"/>
        </w:rPr>
      </w:pPr>
    </w:p>
    <w:p w14:paraId="42BB0349">
      <w:pPr>
        <w:rPr>
          <w:rFonts w:hint="eastAsia" w:ascii="黑体" w:hAnsi="黑体" w:eastAsia="黑体" w:cs="黑体"/>
          <w:b w:val="0"/>
          <w:bCs w:val="0"/>
          <w:color w:val="auto"/>
          <w:highlight w:val="none"/>
        </w:rPr>
      </w:pPr>
    </w:p>
    <w:p w14:paraId="707D3222">
      <w:pPr>
        <w:rPr>
          <w:rFonts w:hint="eastAsia" w:ascii="黑体" w:hAnsi="黑体" w:eastAsia="黑体" w:cs="黑体"/>
          <w:b w:val="0"/>
          <w:bCs w:val="0"/>
          <w:color w:val="auto"/>
          <w:highlight w:val="none"/>
        </w:rPr>
      </w:pPr>
    </w:p>
    <w:p w14:paraId="52A1507B">
      <w:pPr>
        <w:rPr>
          <w:rFonts w:hint="eastAsia" w:ascii="黑体" w:hAnsi="黑体" w:eastAsia="黑体" w:cs="黑体"/>
          <w:b w:val="0"/>
          <w:bCs w:val="0"/>
          <w:color w:val="auto"/>
          <w:highlight w:val="none"/>
        </w:rPr>
      </w:pPr>
    </w:p>
    <w:tbl>
      <w:tblPr>
        <w:tblStyle w:val="30"/>
        <w:tblW w:w="0" w:type="auto"/>
        <w:jc w:val="center"/>
        <w:tblLayout w:type="fixed"/>
        <w:tblCellMar>
          <w:top w:w="0" w:type="dxa"/>
          <w:left w:w="108" w:type="dxa"/>
          <w:bottom w:w="0" w:type="dxa"/>
          <w:right w:w="108" w:type="dxa"/>
        </w:tblCellMar>
      </w:tblPr>
      <w:tblGrid>
        <w:gridCol w:w="1495"/>
        <w:gridCol w:w="491"/>
        <w:gridCol w:w="4993"/>
      </w:tblGrid>
      <w:tr w14:paraId="1EF1AD5F">
        <w:tblPrEx>
          <w:tblCellMar>
            <w:top w:w="0" w:type="dxa"/>
            <w:left w:w="108" w:type="dxa"/>
            <w:bottom w:w="0" w:type="dxa"/>
            <w:right w:w="108" w:type="dxa"/>
          </w:tblCellMar>
        </w:tblPrEx>
        <w:trPr>
          <w:jc w:val="center"/>
        </w:trPr>
        <w:tc>
          <w:tcPr>
            <w:tcW w:w="1495" w:type="dxa"/>
            <w:noWrap w:val="0"/>
            <w:vAlign w:val="top"/>
          </w:tcPr>
          <w:p w14:paraId="2C9F2F7E">
            <w:pPr>
              <w:jc w:val="distribute"/>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招标人</w:t>
            </w:r>
          </w:p>
        </w:tc>
        <w:tc>
          <w:tcPr>
            <w:tcW w:w="491" w:type="dxa"/>
            <w:noWrap w:val="0"/>
            <w:vAlign w:val="top"/>
          </w:tcPr>
          <w:p w14:paraId="0ACE98DD">
            <w:pPr>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w:t>
            </w:r>
          </w:p>
        </w:tc>
        <w:tc>
          <w:tcPr>
            <w:tcW w:w="4993" w:type="dxa"/>
            <w:noWrap w:val="0"/>
            <w:vAlign w:val="top"/>
          </w:tcPr>
          <w:p w14:paraId="25E0E679">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kern w:val="0"/>
                <w:sz w:val="28"/>
                <w:szCs w:val="28"/>
                <w:highlight w:val="none"/>
                <w:lang w:eastAsia="zh-CN"/>
              </w:rPr>
              <w:t>南通市江海河联运项目建设指挥部</w:t>
            </w:r>
          </w:p>
        </w:tc>
      </w:tr>
      <w:tr w14:paraId="738B8DA4">
        <w:tblPrEx>
          <w:tblCellMar>
            <w:top w:w="0" w:type="dxa"/>
            <w:left w:w="108" w:type="dxa"/>
            <w:bottom w:w="0" w:type="dxa"/>
            <w:right w:w="108" w:type="dxa"/>
          </w:tblCellMar>
        </w:tblPrEx>
        <w:trPr>
          <w:jc w:val="center"/>
        </w:trPr>
        <w:tc>
          <w:tcPr>
            <w:tcW w:w="1495" w:type="dxa"/>
            <w:noWrap w:val="0"/>
            <w:vAlign w:val="top"/>
          </w:tcPr>
          <w:p w14:paraId="5A671397">
            <w:pPr>
              <w:jc w:val="distribute"/>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招标代理</w:t>
            </w:r>
          </w:p>
        </w:tc>
        <w:tc>
          <w:tcPr>
            <w:tcW w:w="491" w:type="dxa"/>
            <w:noWrap w:val="0"/>
            <w:vAlign w:val="top"/>
          </w:tcPr>
          <w:p w14:paraId="781FC4C3">
            <w:pPr>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w:t>
            </w:r>
          </w:p>
        </w:tc>
        <w:tc>
          <w:tcPr>
            <w:tcW w:w="4993" w:type="dxa"/>
            <w:noWrap w:val="0"/>
            <w:vAlign w:val="top"/>
          </w:tcPr>
          <w:p w14:paraId="0A6187B3">
            <w:pPr>
              <w:jc w:val="distribute"/>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国信国际工程咨询集团股份有限公司</w:t>
            </w:r>
          </w:p>
        </w:tc>
      </w:tr>
      <w:tr w14:paraId="3312869D">
        <w:tblPrEx>
          <w:tblCellMar>
            <w:top w:w="0" w:type="dxa"/>
            <w:left w:w="108" w:type="dxa"/>
            <w:bottom w:w="0" w:type="dxa"/>
            <w:right w:w="108" w:type="dxa"/>
          </w:tblCellMar>
        </w:tblPrEx>
        <w:trPr>
          <w:jc w:val="center"/>
        </w:trPr>
        <w:tc>
          <w:tcPr>
            <w:tcW w:w="6979" w:type="dxa"/>
            <w:gridSpan w:val="3"/>
            <w:noWrap w:val="0"/>
            <w:vAlign w:val="top"/>
          </w:tcPr>
          <w:p w14:paraId="67C03B40">
            <w:pPr>
              <w:jc w:val="center"/>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二〇二</w:t>
            </w:r>
            <w:r>
              <w:rPr>
                <w:rFonts w:hint="eastAsia" w:ascii="黑体" w:hAnsi="黑体" w:eastAsia="黑体" w:cs="黑体"/>
                <w:b w:val="0"/>
                <w:bCs w:val="0"/>
                <w:color w:val="auto"/>
                <w:kern w:val="0"/>
                <w:sz w:val="28"/>
                <w:szCs w:val="28"/>
                <w:highlight w:val="none"/>
                <w:lang w:val="en-US" w:eastAsia="zh-CN"/>
              </w:rPr>
              <w:t>六</w:t>
            </w:r>
            <w:r>
              <w:rPr>
                <w:rFonts w:hint="eastAsia" w:ascii="黑体" w:hAnsi="黑体" w:eastAsia="黑体" w:cs="黑体"/>
                <w:b w:val="0"/>
                <w:bCs w:val="0"/>
                <w:color w:val="auto"/>
                <w:kern w:val="0"/>
                <w:sz w:val="28"/>
                <w:szCs w:val="28"/>
                <w:highlight w:val="none"/>
              </w:rPr>
              <w:t>年</w:t>
            </w:r>
            <w:r>
              <w:rPr>
                <w:rFonts w:hint="eastAsia" w:ascii="黑体" w:hAnsi="黑体" w:eastAsia="黑体" w:cs="黑体"/>
                <w:b w:val="0"/>
                <w:bCs w:val="0"/>
                <w:color w:val="auto"/>
                <w:kern w:val="0"/>
                <w:sz w:val="28"/>
                <w:szCs w:val="28"/>
                <w:highlight w:val="none"/>
                <w:lang w:val="en-US" w:eastAsia="zh-CN"/>
              </w:rPr>
              <w:t>一</w:t>
            </w:r>
            <w:r>
              <w:rPr>
                <w:rFonts w:hint="eastAsia" w:ascii="黑体" w:hAnsi="黑体" w:eastAsia="黑体" w:cs="黑体"/>
                <w:b w:val="0"/>
                <w:bCs w:val="0"/>
                <w:color w:val="auto"/>
                <w:kern w:val="0"/>
                <w:sz w:val="28"/>
                <w:szCs w:val="28"/>
                <w:highlight w:val="none"/>
              </w:rPr>
              <w:t>月</w:t>
            </w:r>
          </w:p>
        </w:tc>
      </w:tr>
    </w:tbl>
    <w:p w14:paraId="23AF486F">
      <w:pPr>
        <w:jc w:val="center"/>
        <w:rPr>
          <w:rFonts w:hint="eastAsia" w:ascii="宋体" w:hAnsi="宋体" w:cs="宋体"/>
          <w:color w:val="auto"/>
          <w:highlight w:val="none"/>
        </w:rPr>
      </w:pPr>
    </w:p>
    <w:p w14:paraId="6D1E4C26">
      <w:pPr>
        <w:pStyle w:val="28"/>
        <w:rPr>
          <w:rFonts w:hint="eastAsia" w:ascii="宋体" w:hAnsi="宋体" w:cs="宋体"/>
          <w:color w:val="auto"/>
          <w:highlight w:val="none"/>
        </w:rPr>
      </w:pPr>
      <w:bookmarkStart w:id="1" w:name="_Toc300760817"/>
      <w:r>
        <w:rPr>
          <w:rFonts w:hint="eastAsia" w:ascii="宋体" w:hAnsi="宋体" w:cs="宋体"/>
          <w:color w:val="auto"/>
          <w:highlight w:val="none"/>
        </w:rPr>
        <w:br w:type="page"/>
      </w:r>
      <w:bookmarkStart w:id="2" w:name="_Toc33625852"/>
      <w:bookmarkStart w:id="3" w:name="_Toc369273746"/>
      <w:bookmarkStart w:id="4" w:name="_Toc372633010"/>
      <w:bookmarkStart w:id="5" w:name="_Toc436730360"/>
    </w:p>
    <w:p w14:paraId="259715EA">
      <w:pPr>
        <w:pStyle w:val="28"/>
        <w:rPr>
          <w:rFonts w:hint="eastAsia" w:ascii="宋体" w:hAnsi="宋体" w:cs="宋体"/>
          <w:color w:val="auto"/>
          <w:sz w:val="28"/>
          <w:szCs w:val="28"/>
          <w:highlight w:val="none"/>
        </w:rPr>
      </w:pPr>
    </w:p>
    <w:p w14:paraId="6FF99B17">
      <w:pPr>
        <w:pStyle w:val="28"/>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目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录</w:t>
      </w:r>
      <w:bookmarkEnd w:id="1"/>
      <w:bookmarkEnd w:id="2"/>
      <w:bookmarkEnd w:id="3"/>
      <w:bookmarkEnd w:id="4"/>
      <w:bookmarkEnd w:id="5"/>
    </w:p>
    <w:p w14:paraId="416892CA">
      <w:pPr>
        <w:pStyle w:val="2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begin"/>
      </w:r>
      <w:r>
        <w:rPr>
          <w:rStyle w:val="36"/>
          <w:rFonts w:hint="eastAsia" w:ascii="宋体" w:hAnsi="宋体" w:cs="宋体"/>
          <w:b/>
          <w:bCs/>
          <w:color w:val="auto"/>
          <w:sz w:val="28"/>
          <w:szCs w:val="28"/>
          <w:highlight w:val="none"/>
        </w:rPr>
        <w:instrText xml:space="preserve"> TOC \o "1-3" \h \z \u </w:instrText>
      </w:r>
      <w:r>
        <w:rPr>
          <w:rFonts w:hint="eastAsia" w:ascii="宋体" w:hAnsi="宋体" w:cs="宋体"/>
          <w:b/>
          <w:bCs/>
          <w:color w:val="auto"/>
          <w:sz w:val="28"/>
          <w:szCs w:val="28"/>
          <w:highlight w:val="none"/>
        </w:rPr>
        <w:fldChar w:fldCharType="separate"/>
      </w:r>
    </w:p>
    <w:p w14:paraId="43CEEC1A">
      <w:pPr>
        <w:pStyle w:val="2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begin"/>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instrText xml:space="preserve">HYPERLINK \l "_Toc33625853"</w:instrText>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fldChar w:fldCharType="separate"/>
      </w:r>
      <w:r>
        <w:rPr>
          <w:rStyle w:val="36"/>
          <w:rFonts w:hint="eastAsia" w:ascii="宋体" w:hAnsi="宋体" w:cs="宋体"/>
          <w:b/>
          <w:bCs/>
          <w:color w:val="auto"/>
          <w:sz w:val="28"/>
          <w:szCs w:val="28"/>
          <w:highlight w:val="none"/>
        </w:rPr>
        <w:t>第一章 招标公告</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_Toc33625853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2A467C03">
      <w:pPr>
        <w:pStyle w:val="2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begin"/>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instrText xml:space="preserve">HYPERLINK \l "_Toc33625854"</w:instrText>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fldChar w:fldCharType="separate"/>
      </w:r>
      <w:r>
        <w:rPr>
          <w:rStyle w:val="36"/>
          <w:rFonts w:hint="eastAsia" w:ascii="宋体" w:hAnsi="宋体" w:cs="宋体"/>
          <w:b/>
          <w:bCs/>
          <w:color w:val="auto"/>
          <w:sz w:val="28"/>
          <w:szCs w:val="28"/>
          <w:highlight w:val="none"/>
        </w:rPr>
        <w:t>第二章 投标人须知</w:t>
      </w:r>
      <w:bookmarkStart w:id="6" w:name="_Hlt60013643"/>
      <w:bookmarkStart w:id="7" w:name="_Hlt60013642"/>
      <w:r>
        <w:rPr>
          <w:rFonts w:hint="eastAsia" w:ascii="宋体" w:hAnsi="宋体" w:cs="宋体"/>
          <w:b/>
          <w:bCs/>
          <w:color w:val="auto"/>
          <w:sz w:val="28"/>
          <w:szCs w:val="28"/>
          <w:highlight w:val="none"/>
        </w:rPr>
        <w:tab/>
      </w:r>
      <w:bookmarkEnd w:id="6"/>
      <w:bookmarkEnd w:id="7"/>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_Toc33625854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4</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6C6A5D94">
      <w:pPr>
        <w:pStyle w:val="2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begin"/>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instrText xml:space="preserve">HYPERLINK \l "_Toc33625855"</w:instrText>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fldChar w:fldCharType="separate"/>
      </w:r>
      <w:r>
        <w:rPr>
          <w:rStyle w:val="36"/>
          <w:rFonts w:hint="eastAsia" w:ascii="宋体" w:hAnsi="宋体" w:cs="宋体"/>
          <w:b/>
          <w:bCs/>
          <w:color w:val="auto"/>
          <w:sz w:val="28"/>
          <w:szCs w:val="28"/>
          <w:highlight w:val="none"/>
        </w:rPr>
        <w:t>第三章 评标办法</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_Toc33625855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13</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07C4D853">
      <w:pPr>
        <w:pStyle w:val="2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begin"/>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instrText xml:space="preserve">HYPERLINK \l "_Toc33625856"</w:instrText>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fldChar w:fldCharType="separate"/>
      </w:r>
      <w:r>
        <w:rPr>
          <w:rStyle w:val="36"/>
          <w:rFonts w:hint="eastAsia" w:ascii="宋体" w:hAnsi="宋体" w:cs="宋体"/>
          <w:b/>
          <w:bCs/>
          <w:color w:val="auto"/>
          <w:sz w:val="28"/>
          <w:szCs w:val="28"/>
          <w:highlight w:val="none"/>
        </w:rPr>
        <w:t>第四章 合同条款及格式</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_Toc33625856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21</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1D779891">
      <w:pPr>
        <w:pStyle w:val="2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begin"/>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instrText xml:space="preserve">HYPERLINK \l "_Toc33625862"</w:instrText>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fldChar w:fldCharType="separate"/>
      </w:r>
      <w:r>
        <w:rPr>
          <w:rStyle w:val="36"/>
          <w:rFonts w:hint="eastAsia" w:ascii="宋体" w:hAnsi="宋体" w:cs="宋体"/>
          <w:b/>
          <w:bCs/>
          <w:color w:val="auto"/>
          <w:sz w:val="28"/>
          <w:szCs w:val="28"/>
          <w:highlight w:val="none"/>
        </w:rPr>
        <w:t xml:space="preserve">第五章 </w:t>
      </w:r>
      <w:bookmarkStart w:id="8" w:name="_Hlt50981153"/>
      <w:bookmarkStart w:id="9" w:name="_Hlt50981154"/>
      <w:bookmarkStart w:id="10" w:name="_Hlt33625890"/>
      <w:bookmarkStart w:id="11" w:name="_Hlt33625891"/>
      <w:r>
        <w:rPr>
          <w:rStyle w:val="36"/>
          <w:rFonts w:hint="eastAsia" w:ascii="宋体" w:hAnsi="宋体" w:cs="宋体"/>
          <w:b/>
          <w:bCs/>
          <w:color w:val="auto"/>
          <w:sz w:val="28"/>
          <w:szCs w:val="28"/>
          <w:highlight w:val="none"/>
          <w:lang w:eastAsia="zh-CN"/>
        </w:rPr>
        <w:t>发包人要求</w:t>
      </w:r>
      <w:r>
        <w:rPr>
          <w:rFonts w:hint="eastAsia" w:ascii="宋体" w:hAnsi="宋体" w:cs="宋体"/>
          <w:b/>
          <w:bCs/>
          <w:color w:val="auto"/>
          <w:sz w:val="28"/>
          <w:szCs w:val="28"/>
          <w:highlight w:val="none"/>
        </w:rPr>
        <w:tab/>
      </w:r>
      <w:bookmarkEnd w:id="8"/>
      <w:bookmarkEnd w:id="9"/>
      <w:bookmarkEnd w:id="10"/>
      <w:bookmarkEnd w:id="11"/>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_Toc33625862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33</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0C6764E3">
      <w:pPr>
        <w:pStyle w:val="2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begin"/>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instrText xml:space="preserve">HYPERLINK \l "_Toc33625863"</w:instrText>
      </w:r>
      <w:r>
        <w:rPr>
          <w:rStyle w:val="36"/>
          <w:rFonts w:hint="eastAsia" w:ascii="宋体" w:hAnsi="宋体" w:cs="宋体"/>
          <w:b/>
          <w:bCs/>
          <w:color w:val="auto"/>
          <w:sz w:val="28"/>
          <w:szCs w:val="28"/>
          <w:highlight w:val="none"/>
        </w:rPr>
        <w:instrText xml:space="preserve"> </w:instrText>
      </w:r>
      <w:r>
        <w:rPr>
          <w:rFonts w:hint="eastAsia" w:ascii="宋体" w:hAnsi="宋体" w:cs="宋体"/>
          <w:b/>
          <w:bCs/>
          <w:color w:val="auto"/>
          <w:sz w:val="28"/>
          <w:szCs w:val="28"/>
          <w:highlight w:val="none"/>
        </w:rPr>
        <w:fldChar w:fldCharType="separate"/>
      </w:r>
      <w:r>
        <w:rPr>
          <w:rStyle w:val="36"/>
          <w:rFonts w:hint="eastAsia" w:ascii="宋体" w:hAnsi="宋体" w:cs="宋体"/>
          <w:b/>
          <w:bCs/>
          <w:color w:val="auto"/>
          <w:sz w:val="28"/>
          <w:szCs w:val="28"/>
          <w:highlight w:val="none"/>
        </w:rPr>
        <w:t>第六章 投标文件格式</w:t>
      </w:r>
      <w:bookmarkStart w:id="12" w:name="_Hlt38355084"/>
      <w:bookmarkStart w:id="13" w:name="_Hlt38355083"/>
      <w:r>
        <w:rPr>
          <w:rFonts w:hint="eastAsia" w:ascii="宋体" w:hAnsi="宋体" w:cs="宋体"/>
          <w:b/>
          <w:bCs/>
          <w:color w:val="auto"/>
          <w:sz w:val="28"/>
          <w:szCs w:val="28"/>
          <w:highlight w:val="none"/>
        </w:rPr>
        <w:tab/>
      </w:r>
      <w:bookmarkEnd w:id="12"/>
      <w:bookmarkEnd w:id="13"/>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_Toc33625863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33</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7B2CAB6C">
      <w:pPr>
        <w:pStyle w:val="22"/>
        <w:rPr>
          <w:rFonts w:ascii="宋体" w:hAnsi="宋体"/>
          <w:color w:val="auto"/>
          <w:highlight w:val="none"/>
        </w:rPr>
        <w:sectPr>
          <w:footerReference r:id="rId5" w:type="default"/>
          <w:pgSz w:w="11906" w:h="16838"/>
          <w:pgMar w:top="1361" w:right="1361" w:bottom="1361" w:left="1361" w:header="850" w:footer="964" w:gutter="170"/>
          <w:pgNumType w:start="1"/>
          <w:cols w:space="720" w:num="1"/>
          <w:docGrid w:linePitch="381" w:charSpace="0"/>
        </w:sectPr>
      </w:pPr>
      <w:r>
        <w:rPr>
          <w:rFonts w:hint="eastAsia" w:ascii="宋体" w:hAnsi="宋体" w:cs="宋体"/>
          <w:b/>
          <w:bCs/>
          <w:color w:val="auto"/>
          <w:sz w:val="28"/>
          <w:szCs w:val="28"/>
          <w:highlight w:val="none"/>
        </w:rPr>
        <w:fldChar w:fldCharType="end"/>
      </w:r>
      <w:bookmarkStart w:id="14" w:name="_Toc300760818"/>
    </w:p>
    <w:p w14:paraId="33BF7357">
      <w:pPr>
        <w:pStyle w:val="28"/>
        <w:spacing w:before="120" w:beforeLines="50" w:after="0" w:line="360" w:lineRule="auto"/>
        <w:rPr>
          <w:color w:val="auto"/>
          <w:sz w:val="32"/>
          <w:szCs w:val="22"/>
          <w:highlight w:val="none"/>
        </w:rPr>
      </w:pPr>
      <w:bookmarkStart w:id="15" w:name="_Toc33625853"/>
      <w:r>
        <w:rPr>
          <w:rFonts w:hint="eastAsia"/>
          <w:color w:val="auto"/>
          <w:sz w:val="32"/>
          <w:szCs w:val="22"/>
          <w:highlight w:val="none"/>
        </w:rPr>
        <w:t xml:space="preserve">第一章 </w:t>
      </w:r>
      <w:bookmarkEnd w:id="14"/>
      <w:r>
        <w:rPr>
          <w:rFonts w:hint="eastAsia"/>
          <w:color w:val="auto"/>
          <w:sz w:val="32"/>
          <w:szCs w:val="22"/>
          <w:highlight w:val="none"/>
        </w:rPr>
        <w:t>招标公告</w:t>
      </w:r>
      <w:bookmarkEnd w:id="15"/>
    </w:p>
    <w:p w14:paraId="0923EA59">
      <w:pPr>
        <w:keepNext w:val="0"/>
        <w:keepLines w:val="0"/>
        <w:pageBreakBefore w:val="0"/>
        <w:kinsoku/>
        <w:wordWrap w:val="0"/>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bCs/>
          <w:color w:val="auto"/>
          <w:sz w:val="22"/>
          <w:szCs w:val="22"/>
          <w:highlight w:val="none"/>
        </w:rPr>
      </w:pPr>
      <w:bookmarkStart w:id="16" w:name="_Toc300760819"/>
      <w:r>
        <w:rPr>
          <w:rFonts w:hint="eastAsia" w:ascii="宋体" w:hAnsi="宋体" w:eastAsia="宋体" w:cs="宋体"/>
          <w:b/>
          <w:bCs/>
          <w:color w:val="auto"/>
          <w:sz w:val="22"/>
          <w:szCs w:val="22"/>
          <w:highlight w:val="none"/>
        </w:rPr>
        <w:t>1、招标条件</w:t>
      </w:r>
    </w:p>
    <w:p w14:paraId="68D60370">
      <w:pPr>
        <w:adjustRightInd w:val="0"/>
        <w:snapToGrid w:val="0"/>
        <w:spacing w:line="360" w:lineRule="auto"/>
        <w:ind w:firstLine="440" w:firstLineChars="200"/>
        <w:rPr>
          <w:rFonts w:ascii="宋体" w:hAnsi="宋体" w:cs="Times New Roman"/>
          <w:color w:val="auto"/>
          <w:sz w:val="22"/>
          <w:szCs w:val="22"/>
          <w:highlight w:val="none"/>
        </w:rPr>
      </w:pPr>
      <w:r>
        <w:rPr>
          <w:rFonts w:hint="eastAsia" w:ascii="宋体" w:hAnsi="宋体" w:cs="Times New Roman"/>
          <w:color w:val="auto"/>
          <w:sz w:val="22"/>
          <w:szCs w:val="22"/>
          <w:highlight w:val="none"/>
          <w:u w:val="single"/>
          <w:lang w:eastAsia="zh-CN"/>
        </w:rPr>
        <w:t>通海港区-通州湾港区疏港航道双桥枢纽工程、新江海河船闸工程、新江海河段航道整治工程船艇设计服务项目</w:t>
      </w:r>
      <w:r>
        <w:rPr>
          <w:rFonts w:hint="eastAsia" w:ascii="宋体" w:hAnsi="宋体" w:cs="Times New Roman"/>
          <w:color w:val="auto"/>
          <w:sz w:val="22"/>
          <w:szCs w:val="22"/>
          <w:highlight w:val="none"/>
        </w:rPr>
        <w:t>资金已落实，招标人为</w:t>
      </w:r>
      <w:r>
        <w:rPr>
          <w:rFonts w:hint="eastAsia" w:ascii="宋体" w:hAnsi="宋体" w:cs="Times New Roman"/>
          <w:color w:val="auto"/>
          <w:sz w:val="22"/>
          <w:szCs w:val="22"/>
          <w:highlight w:val="none"/>
          <w:u w:val="single"/>
        </w:rPr>
        <w:t>南通市江海河联运项目建设指挥部</w:t>
      </w:r>
      <w:r>
        <w:rPr>
          <w:rFonts w:hint="eastAsia" w:ascii="宋体" w:hAnsi="宋体" w:cs="Times New Roman"/>
          <w:color w:val="auto"/>
          <w:sz w:val="22"/>
          <w:szCs w:val="22"/>
          <w:highlight w:val="none"/>
        </w:rPr>
        <w:t>。现招标人委托招标代理</w:t>
      </w:r>
      <w:bookmarkStart w:id="17" w:name="OLE_LINK12"/>
      <w:r>
        <w:rPr>
          <w:rFonts w:hint="eastAsia" w:ascii="宋体" w:hAnsi="宋体" w:cs="Times New Roman"/>
          <w:color w:val="auto"/>
          <w:sz w:val="22"/>
          <w:szCs w:val="22"/>
          <w:highlight w:val="none"/>
          <w:u w:val="single"/>
        </w:rPr>
        <w:t>国信国际工程咨询集团股份有限公司</w:t>
      </w:r>
      <w:bookmarkEnd w:id="17"/>
      <w:r>
        <w:rPr>
          <w:rFonts w:hint="eastAsia" w:ascii="宋体" w:hAnsi="宋体" w:cs="Times New Roman"/>
          <w:color w:val="auto"/>
          <w:sz w:val="22"/>
          <w:szCs w:val="22"/>
          <w:highlight w:val="none"/>
        </w:rPr>
        <w:t>对</w:t>
      </w:r>
      <w:bookmarkStart w:id="18" w:name="_Hlk109913398"/>
      <w:r>
        <w:rPr>
          <w:rFonts w:hint="eastAsia" w:ascii="宋体" w:hAnsi="宋体" w:cs="Times New Roman"/>
          <w:color w:val="auto"/>
          <w:sz w:val="22"/>
          <w:szCs w:val="22"/>
          <w:highlight w:val="none"/>
          <w:u w:val="single"/>
          <w:lang w:eastAsia="zh-CN"/>
        </w:rPr>
        <w:t>通海港区-通州湾港区疏港航道双桥枢纽工程、新江海河船闸工程、新江海河段航道整治工程船艇设计服务项目THTZ-CTSJ1</w:t>
      </w:r>
      <w:r>
        <w:rPr>
          <w:rFonts w:hint="eastAsia" w:ascii="宋体" w:hAnsi="宋体" w:cs="Times New Roman"/>
          <w:color w:val="auto"/>
          <w:sz w:val="22"/>
          <w:szCs w:val="22"/>
          <w:highlight w:val="none"/>
          <w:u w:val="single"/>
        </w:rPr>
        <w:t>标段</w:t>
      </w:r>
      <w:bookmarkEnd w:id="18"/>
      <w:r>
        <w:rPr>
          <w:rFonts w:hint="eastAsia" w:ascii="宋体" w:hAnsi="宋体" w:cs="Times New Roman"/>
          <w:color w:val="auto"/>
          <w:sz w:val="22"/>
          <w:szCs w:val="22"/>
          <w:highlight w:val="none"/>
        </w:rPr>
        <w:t>进行国内公开招标，欢迎符合本项目资格要求的单位按招标文件规定的内容和时间要求，参加本项目的投标。</w:t>
      </w:r>
    </w:p>
    <w:p w14:paraId="4250FAE8">
      <w:pPr>
        <w:keepNext w:val="0"/>
        <w:keepLines w:val="0"/>
        <w:pageBreakBefore w:val="0"/>
        <w:kinsoku/>
        <w:wordWrap w:val="0"/>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2、项目概况与招标范围</w:t>
      </w:r>
    </w:p>
    <w:p w14:paraId="3EB4BD7C">
      <w:pPr>
        <w:adjustRightInd w:val="0"/>
        <w:snapToGrid w:val="0"/>
        <w:spacing w:line="360" w:lineRule="auto"/>
        <w:ind w:firstLine="442" w:firstLineChars="200"/>
        <w:rPr>
          <w:rFonts w:hint="eastAsia" w:ascii="宋体" w:hAnsi="宋体" w:cs="Times New Roman"/>
          <w:b/>
          <w:bCs/>
          <w:color w:val="auto"/>
          <w:sz w:val="22"/>
          <w:szCs w:val="22"/>
          <w:highlight w:val="none"/>
        </w:rPr>
      </w:pPr>
      <w:bookmarkStart w:id="19" w:name="OLE_LINK13"/>
      <w:r>
        <w:rPr>
          <w:rFonts w:hint="eastAsia" w:ascii="宋体" w:hAnsi="宋体" w:cs="Times New Roman"/>
          <w:b/>
          <w:bCs/>
          <w:color w:val="auto"/>
          <w:sz w:val="22"/>
          <w:szCs w:val="22"/>
          <w:highlight w:val="none"/>
        </w:rPr>
        <w:t>2</w:t>
      </w:r>
      <w:r>
        <w:rPr>
          <w:rFonts w:ascii="宋体" w:hAnsi="宋体" w:cs="Times New Roman"/>
          <w:b/>
          <w:bCs/>
          <w:color w:val="auto"/>
          <w:sz w:val="22"/>
          <w:szCs w:val="22"/>
          <w:highlight w:val="none"/>
        </w:rPr>
        <w:t>.1</w:t>
      </w:r>
      <w:r>
        <w:rPr>
          <w:rFonts w:hint="eastAsia" w:ascii="宋体" w:hAnsi="宋体" w:cs="Times New Roman"/>
          <w:b/>
          <w:bCs/>
          <w:color w:val="auto"/>
          <w:sz w:val="22"/>
          <w:szCs w:val="22"/>
          <w:highlight w:val="none"/>
        </w:rPr>
        <w:t>项目概况</w:t>
      </w:r>
    </w:p>
    <w:p w14:paraId="429EC6A7">
      <w:pPr>
        <w:adjustRightInd w:val="0"/>
        <w:snapToGrid w:val="0"/>
        <w:spacing w:line="360" w:lineRule="auto"/>
        <w:ind w:firstLine="440" w:firstLineChars="200"/>
        <w:rPr>
          <w:rFonts w:hint="eastAsia" w:ascii="宋体" w:hAnsi="宋体" w:cs="Times New Roman"/>
          <w:b w:val="0"/>
          <w:bCs w:val="0"/>
          <w:color w:val="auto"/>
          <w:kern w:val="2"/>
          <w:sz w:val="22"/>
          <w:szCs w:val="22"/>
          <w:highlight w:val="none"/>
          <w:lang w:val="en-US" w:eastAsia="zh-CN" w:bidi="ar-SA"/>
        </w:rPr>
      </w:pPr>
      <w:r>
        <w:rPr>
          <w:rFonts w:hint="eastAsia" w:ascii="宋体" w:hAnsi="宋体" w:cs="Times New Roman"/>
          <w:b w:val="0"/>
          <w:bCs w:val="0"/>
          <w:color w:val="auto"/>
          <w:kern w:val="2"/>
          <w:sz w:val="22"/>
          <w:szCs w:val="22"/>
          <w:highlight w:val="none"/>
          <w:lang w:val="en-US" w:eastAsia="zh-CN" w:bidi="ar-SA"/>
        </w:rPr>
        <w:t>依据江苏省发展和改革委员会《省发展改革委关于通海港区-通州湾港区疏港航道双桥枢纽工程初步设计的批复》、《省发展改革委关于通海港区-通州湾港区疏港航道整治工程新江海河船闸工程初步设计的批复》、《省发展改革委关于通海港区-通州湾港区疏港航道新江海河段航道整治工程初步设计的批复》，通海港区-通州湾港区疏港航道双桥枢纽工程、新江海河船闸工程、新江海河段航道整治工程均包含船艇建设分项配套工程，为确保船艇能够满足各项技术及通航需求，现开展船艇建造前期图纸设计工作。</w:t>
      </w:r>
    </w:p>
    <w:p w14:paraId="582E415E">
      <w:pPr>
        <w:adjustRightInd w:val="0"/>
        <w:snapToGrid w:val="0"/>
        <w:spacing w:line="360" w:lineRule="auto"/>
        <w:ind w:firstLine="442" w:firstLineChars="200"/>
        <w:rPr>
          <w:rFonts w:hint="eastAsia" w:ascii="宋体" w:hAnsi="宋体" w:cs="Times New Roman"/>
          <w:b/>
          <w:bCs/>
          <w:color w:val="auto"/>
          <w:sz w:val="22"/>
          <w:szCs w:val="22"/>
          <w:highlight w:val="none"/>
        </w:rPr>
      </w:pPr>
      <w:r>
        <w:rPr>
          <w:rFonts w:hint="eastAsia" w:ascii="宋体" w:hAnsi="宋体" w:cs="Times New Roman"/>
          <w:b/>
          <w:bCs/>
          <w:color w:val="auto"/>
          <w:sz w:val="22"/>
          <w:szCs w:val="22"/>
          <w:highlight w:val="none"/>
        </w:rPr>
        <w:t>2.</w:t>
      </w:r>
      <w:r>
        <w:rPr>
          <w:rFonts w:ascii="宋体" w:hAnsi="宋体" w:cs="Times New Roman"/>
          <w:b/>
          <w:bCs/>
          <w:color w:val="auto"/>
          <w:sz w:val="22"/>
          <w:szCs w:val="22"/>
          <w:highlight w:val="none"/>
        </w:rPr>
        <w:t>2</w:t>
      </w:r>
      <w:r>
        <w:rPr>
          <w:rFonts w:hint="eastAsia" w:ascii="宋体" w:hAnsi="宋体" w:cs="Times New Roman"/>
          <w:b/>
          <w:bCs/>
          <w:color w:val="auto"/>
          <w:sz w:val="22"/>
          <w:szCs w:val="22"/>
          <w:highlight w:val="none"/>
        </w:rPr>
        <w:t>招标范围</w:t>
      </w:r>
    </w:p>
    <w:p w14:paraId="2B552A16">
      <w:pPr>
        <w:numPr>
          <w:ilvl w:val="0"/>
          <w:numId w:val="0"/>
        </w:numPr>
        <w:adjustRightInd w:val="0"/>
        <w:snapToGrid w:val="0"/>
        <w:spacing w:line="360" w:lineRule="auto"/>
        <w:ind w:firstLine="440" w:firstLineChars="200"/>
        <w:rPr>
          <w:rFonts w:hint="default" w:ascii="宋体" w:hAnsi="宋体" w:eastAsia="宋体" w:cs="Times New Roman"/>
          <w:b w:val="0"/>
          <w:bCs w:val="0"/>
          <w:color w:val="auto"/>
          <w:kern w:val="2"/>
          <w:sz w:val="22"/>
          <w:szCs w:val="22"/>
          <w:highlight w:val="none"/>
          <w:lang w:val="en-US" w:eastAsia="zh-CN" w:bidi="ar-SA"/>
        </w:rPr>
      </w:pPr>
      <w:bookmarkStart w:id="20" w:name="OLE_LINK2"/>
      <w:r>
        <w:rPr>
          <w:rFonts w:hint="eastAsia" w:ascii="宋体" w:hAnsi="宋体" w:eastAsia="宋体" w:cs="Times New Roman"/>
          <w:b w:val="0"/>
          <w:bCs w:val="0"/>
          <w:color w:val="auto"/>
          <w:kern w:val="2"/>
          <w:sz w:val="22"/>
          <w:szCs w:val="22"/>
          <w:highlight w:val="none"/>
          <w:lang w:val="en-US" w:eastAsia="zh-CN" w:bidi="ar-SA"/>
        </w:rPr>
        <w:t xml:space="preserve">本项目共设1个标段，即THTZ-CTSJ1标段，其中通海港区-通州湾港区疏港航道双桥枢纽工程包括15米排档船2艘，船艇投资额约420万元；通海港区-通州湾港区疏港航道整治工程新江海河船闸工程包括15米排档船1艘，船艇投资额约210万元；通海港区-通州湾港区疏港航道新江海河段航道整治工程包括17米工作保障船1艘，船艇投资额约260万元。具体要求详见第五章 </w:t>
      </w:r>
      <w:r>
        <w:rPr>
          <w:rFonts w:hint="eastAsia" w:ascii="宋体" w:hAnsi="宋体" w:cs="Times New Roman"/>
          <w:b w:val="0"/>
          <w:bCs w:val="0"/>
          <w:color w:val="auto"/>
          <w:kern w:val="2"/>
          <w:sz w:val="22"/>
          <w:szCs w:val="22"/>
          <w:highlight w:val="none"/>
          <w:lang w:val="en-US" w:eastAsia="zh-CN" w:bidi="ar-SA"/>
        </w:rPr>
        <w:t>项目需求。</w:t>
      </w:r>
    </w:p>
    <w:p w14:paraId="4C4DBA81">
      <w:pPr>
        <w:numPr>
          <w:ilvl w:val="0"/>
          <w:numId w:val="0"/>
        </w:numPr>
        <w:adjustRightInd w:val="0"/>
        <w:snapToGrid w:val="0"/>
        <w:spacing w:line="360" w:lineRule="auto"/>
        <w:ind w:firstLine="440" w:firstLineChars="200"/>
        <w:rPr>
          <w:rFonts w:hint="eastAsia" w:ascii="宋体" w:hAnsi="宋体" w:eastAsia="宋体" w:cs="Times New Roman"/>
          <w:b w:val="0"/>
          <w:bCs w:val="0"/>
          <w:color w:val="auto"/>
          <w:kern w:val="2"/>
          <w:sz w:val="22"/>
          <w:szCs w:val="22"/>
          <w:highlight w:val="none"/>
          <w:lang w:val="en-US" w:eastAsia="zh-CN" w:bidi="ar-SA"/>
        </w:rPr>
      </w:pPr>
      <w:r>
        <w:rPr>
          <w:rFonts w:hint="eastAsia" w:ascii="宋体" w:hAnsi="宋体" w:eastAsia="宋体" w:cs="Times New Roman"/>
          <w:b w:val="0"/>
          <w:bCs w:val="0"/>
          <w:color w:val="auto"/>
          <w:kern w:val="2"/>
          <w:sz w:val="22"/>
          <w:szCs w:val="22"/>
          <w:highlight w:val="none"/>
          <w:lang w:val="en-US" w:eastAsia="zh-CN" w:bidi="ar-SA"/>
        </w:rPr>
        <w:t>工作内容为（包括但不限于）：船艇建造项目方案设计（含规格书、船舶造价概算编制）、技术规格书编制、技术设计（详细设计）、船舶设计图纸及送审、船舶建造主要设备招标技术文件编制、技术咨询服务、配合完成生产设计、配合建造和技术支持，完成交船完工文件的编制及送审，配合竣工验收和后评价验收等全过程服务。上述有关图纸设计成果文件须通过江苏省交通运输主管部门的施工图审查并取得批文，确定建造单位后，完成船检部门审查并取得批文。</w:t>
      </w:r>
    </w:p>
    <w:p w14:paraId="1F59C588">
      <w:pPr>
        <w:adjustRightInd w:val="0"/>
        <w:snapToGrid w:val="0"/>
        <w:spacing w:line="360" w:lineRule="auto"/>
        <w:ind w:firstLine="442" w:firstLineChars="200"/>
        <w:rPr>
          <w:rFonts w:hint="eastAsia" w:ascii="宋体" w:hAnsi="宋体" w:cs="Times New Roman"/>
          <w:b/>
          <w:bCs/>
          <w:color w:val="auto"/>
          <w:sz w:val="22"/>
          <w:szCs w:val="22"/>
          <w:highlight w:val="none"/>
        </w:rPr>
      </w:pPr>
      <w:r>
        <w:rPr>
          <w:rFonts w:hint="eastAsia" w:ascii="宋体" w:hAnsi="宋体" w:cs="Times New Roman"/>
          <w:b/>
          <w:bCs/>
          <w:color w:val="auto"/>
          <w:sz w:val="22"/>
          <w:szCs w:val="22"/>
          <w:highlight w:val="none"/>
        </w:rPr>
        <w:t>2.3服务期</w:t>
      </w:r>
    </w:p>
    <w:bookmarkEnd w:id="19"/>
    <w:bookmarkEnd w:id="20"/>
    <w:p w14:paraId="3FF96382">
      <w:pPr>
        <w:keepNext w:val="0"/>
        <w:keepLines w:val="0"/>
        <w:pageBreakBefore w:val="0"/>
        <w:widowControl w:val="0"/>
        <w:kinsoku/>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Times New Roman"/>
          <w:color w:val="auto"/>
          <w:sz w:val="22"/>
          <w:szCs w:val="22"/>
          <w:highlight w:val="none"/>
          <w:lang w:val="en-US" w:eastAsia="zh-CN"/>
        </w:rPr>
        <w:t>合同签订后</w:t>
      </w:r>
      <w:r>
        <w:rPr>
          <w:rFonts w:hint="eastAsia" w:ascii="宋体" w:hAnsi="宋体" w:cs="Times New Roman"/>
          <w:color w:val="auto"/>
          <w:sz w:val="22"/>
          <w:szCs w:val="22"/>
          <w:highlight w:val="none"/>
          <w:lang w:val="en-US" w:eastAsia="zh-CN"/>
        </w:rPr>
        <w:t>10</w:t>
      </w:r>
      <w:r>
        <w:rPr>
          <w:rFonts w:hint="eastAsia" w:ascii="宋体" w:hAnsi="宋体" w:eastAsia="宋体" w:cs="Times New Roman"/>
          <w:color w:val="auto"/>
          <w:sz w:val="22"/>
          <w:szCs w:val="22"/>
          <w:highlight w:val="none"/>
          <w:lang w:val="en-US" w:eastAsia="zh-CN"/>
        </w:rPr>
        <w:t>日内完成设计方案（含规格书、船舶造价概算编制)并具备召开方案审查会的条件；合同签订后30天内施工图设计具备江苏省交通运输主管部门的审查条件；确定建造单位后，15天内完成船检部门审查并取得批文。（实际工作期可能会发生相应调整，应服从发包人的统一工作安排）。</w:t>
      </w:r>
    </w:p>
    <w:p w14:paraId="09633399">
      <w:pPr>
        <w:keepNext w:val="0"/>
        <w:keepLines w:val="0"/>
        <w:pageBreakBefore w:val="0"/>
        <w:kinsoku/>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投标人资格要求</w:t>
      </w:r>
    </w:p>
    <w:p w14:paraId="3997E8D5">
      <w:pPr>
        <w:keepNext w:val="0"/>
        <w:keepLines w:val="0"/>
        <w:pageBreakBefore w:val="0"/>
        <w:kinsoku/>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3.1资质要求：</w:t>
      </w:r>
    </w:p>
    <w:p w14:paraId="2D919FCC">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bidi="ar"/>
        </w:rPr>
      </w:pPr>
      <w:r>
        <w:rPr>
          <w:rFonts w:hint="eastAsia" w:ascii="宋体" w:hAnsi="宋体" w:eastAsia="宋体" w:cs="宋体"/>
          <w:color w:val="auto"/>
          <w:kern w:val="2"/>
          <w:sz w:val="22"/>
          <w:szCs w:val="22"/>
          <w:highlight w:val="none"/>
          <w:lang w:val="en-US" w:eastAsia="zh-CN" w:bidi="ar"/>
        </w:rPr>
        <w:t>（1）</w:t>
      </w:r>
      <w:r>
        <w:rPr>
          <w:rFonts w:hint="eastAsia" w:ascii="宋体" w:hAnsi="宋体" w:eastAsia="宋体" w:cs="宋体"/>
          <w:bCs/>
          <w:color w:val="auto"/>
          <w:sz w:val="22"/>
          <w:szCs w:val="22"/>
          <w:highlight w:val="none"/>
        </w:rPr>
        <w:t>投标人</w:t>
      </w:r>
      <w:r>
        <w:rPr>
          <w:rFonts w:hint="eastAsia" w:ascii="宋体" w:hAnsi="宋体" w:eastAsia="宋体" w:cs="宋体"/>
          <w:color w:val="auto"/>
          <w:sz w:val="22"/>
          <w:szCs w:val="22"/>
          <w:highlight w:val="none"/>
          <w:lang w:val="en-US" w:eastAsia="zh-CN"/>
        </w:rPr>
        <w:t>应</w:t>
      </w:r>
      <w:r>
        <w:rPr>
          <w:rFonts w:hint="eastAsia" w:ascii="宋体" w:hAnsi="宋体" w:eastAsia="宋体" w:cs="宋体"/>
          <w:color w:val="auto"/>
          <w:sz w:val="22"/>
          <w:szCs w:val="22"/>
          <w:highlight w:val="none"/>
        </w:rPr>
        <w:t>为独立企业法人或事业法人，具有</w:t>
      </w:r>
      <w:r>
        <w:rPr>
          <w:rFonts w:hint="eastAsia" w:ascii="宋体" w:hAnsi="宋体" w:eastAsia="宋体" w:cs="宋体"/>
          <w:color w:val="auto"/>
          <w:sz w:val="22"/>
          <w:szCs w:val="22"/>
          <w:highlight w:val="none"/>
          <w:lang w:val="en-US" w:eastAsia="zh-CN"/>
        </w:rPr>
        <w:t>有效的</w:t>
      </w:r>
      <w:r>
        <w:rPr>
          <w:rFonts w:hint="eastAsia" w:ascii="宋体" w:hAnsi="宋体" w:eastAsia="宋体" w:cs="宋体"/>
          <w:color w:val="auto"/>
          <w:sz w:val="22"/>
          <w:szCs w:val="22"/>
          <w:highlight w:val="none"/>
        </w:rPr>
        <w:t>企业法人营业执照或事业单位法人证书</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lang w:bidi="ar"/>
        </w:rPr>
        <w:t xml:space="preserve"> </w:t>
      </w:r>
    </w:p>
    <w:p w14:paraId="1E96E4D0">
      <w:pPr>
        <w:keepNext w:val="0"/>
        <w:keepLines w:val="0"/>
        <w:pageBreakBefore w:val="0"/>
        <w:numPr>
          <w:ilvl w:val="0"/>
          <w:numId w:val="0"/>
        </w:numPr>
        <w:kinsoku/>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color w:val="auto"/>
          <w:sz w:val="22"/>
          <w:szCs w:val="22"/>
          <w:highlight w:val="none"/>
          <w:lang w:bidi="ar"/>
        </w:rPr>
      </w:pPr>
      <w:r>
        <w:rPr>
          <w:rFonts w:hint="eastAsia" w:ascii="宋体" w:hAnsi="宋体" w:eastAsia="宋体" w:cs="宋体"/>
          <w:b/>
          <w:bCs/>
          <w:color w:val="auto"/>
          <w:sz w:val="22"/>
          <w:szCs w:val="22"/>
          <w:highlight w:val="none"/>
          <w:lang w:bidi="ar"/>
        </w:rPr>
        <w:t>（2）</w:t>
      </w:r>
      <w:r>
        <w:rPr>
          <w:rFonts w:hint="eastAsia" w:ascii="宋体" w:hAnsi="宋体" w:cs="宋体"/>
          <w:b/>
          <w:bCs/>
          <w:color w:val="auto"/>
          <w:sz w:val="22"/>
          <w:szCs w:val="22"/>
          <w:highlight w:val="none"/>
          <w:lang w:eastAsia="zh-CN" w:bidi="ar"/>
        </w:rPr>
        <w:t>投标人</w:t>
      </w:r>
      <w:r>
        <w:rPr>
          <w:rFonts w:hint="eastAsia" w:ascii="宋体" w:hAnsi="宋体" w:eastAsia="宋体" w:cs="宋体"/>
          <w:b/>
          <w:bCs/>
          <w:color w:val="auto"/>
          <w:sz w:val="22"/>
          <w:szCs w:val="22"/>
          <w:highlight w:val="none"/>
          <w:lang w:bidi="ar"/>
        </w:rPr>
        <w:t>具有船舶设计丙级及以上资质</w:t>
      </w:r>
      <w:r>
        <w:rPr>
          <w:rFonts w:hint="eastAsia" w:ascii="宋体" w:hAnsi="宋体" w:eastAsia="宋体" w:cs="宋体"/>
          <w:color w:val="auto"/>
          <w:sz w:val="22"/>
          <w:szCs w:val="22"/>
          <w:highlight w:val="none"/>
          <w:lang w:bidi="ar"/>
        </w:rPr>
        <w:t>(</w:t>
      </w:r>
      <w:r>
        <w:rPr>
          <w:rFonts w:hint="eastAsia" w:ascii="宋体" w:hAnsi="宋体" w:cs="宋体"/>
          <w:color w:val="auto"/>
          <w:sz w:val="22"/>
          <w:szCs w:val="22"/>
          <w:highlight w:val="none"/>
          <w:lang w:val="en-US" w:eastAsia="zh-CN" w:bidi="ar"/>
        </w:rPr>
        <w:t>相关</w:t>
      </w:r>
      <w:r>
        <w:rPr>
          <w:rFonts w:hint="eastAsia" w:ascii="宋体" w:hAnsi="宋体" w:eastAsia="宋体" w:cs="宋体"/>
          <w:color w:val="auto"/>
          <w:sz w:val="22"/>
          <w:szCs w:val="22"/>
          <w:highlight w:val="none"/>
          <w:lang w:bidi="ar"/>
        </w:rPr>
        <w:t>部门颁发的“一般船舶设计单位设计条件证书”或相关部门出具的“船舶设计单位基本条件评估报告”)。</w:t>
      </w:r>
    </w:p>
    <w:p w14:paraId="25D08B4A">
      <w:pPr>
        <w:keepNext w:val="0"/>
        <w:keepLines w:val="0"/>
        <w:pageBreakBefore w:val="0"/>
        <w:kinsoku/>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3.2信誉要求：</w:t>
      </w:r>
    </w:p>
    <w:p w14:paraId="32023C80">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①截止递交</w:t>
      </w:r>
      <w:r>
        <w:rPr>
          <w:rFonts w:hint="eastAsia" w:ascii="宋体" w:hAnsi="宋体" w:eastAsia="宋体" w:cs="宋体"/>
          <w:bCs/>
          <w:color w:val="auto"/>
          <w:sz w:val="22"/>
          <w:szCs w:val="22"/>
          <w:highlight w:val="none"/>
        </w:rPr>
        <w:t>投标</w:t>
      </w:r>
      <w:r>
        <w:rPr>
          <w:rFonts w:hint="eastAsia" w:ascii="宋体" w:hAnsi="宋体" w:eastAsia="宋体" w:cs="宋体"/>
          <w:color w:val="auto"/>
          <w:sz w:val="22"/>
          <w:szCs w:val="22"/>
          <w:highlight w:val="none"/>
        </w:rPr>
        <w:t>文件当日，未在“信用中国”网站（http://www.creditchina.gov.cn/）中被列为失信被执行人；</w:t>
      </w:r>
    </w:p>
    <w:p w14:paraId="7E9F7868">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②截止递交</w:t>
      </w:r>
      <w:r>
        <w:rPr>
          <w:rFonts w:hint="eastAsia" w:ascii="宋体" w:hAnsi="宋体" w:eastAsia="宋体" w:cs="宋体"/>
          <w:bCs/>
          <w:color w:val="auto"/>
          <w:sz w:val="22"/>
          <w:szCs w:val="22"/>
          <w:highlight w:val="none"/>
        </w:rPr>
        <w:t>投标</w:t>
      </w:r>
      <w:r>
        <w:rPr>
          <w:rFonts w:hint="eastAsia" w:ascii="宋体" w:hAnsi="宋体" w:eastAsia="宋体" w:cs="宋体"/>
          <w:color w:val="auto"/>
          <w:sz w:val="22"/>
          <w:szCs w:val="22"/>
          <w:highlight w:val="none"/>
        </w:rPr>
        <w:t>文件当日，未在国家企业信用信息公示系统（http://www.gsxt.gov.cn/）中被列入严重违法失信企业名单</w:t>
      </w:r>
      <w:r>
        <w:rPr>
          <w:rFonts w:hint="eastAsia" w:ascii="宋体" w:hAnsi="宋体" w:cs="宋体"/>
          <w:color w:val="auto"/>
          <w:sz w:val="22"/>
          <w:szCs w:val="22"/>
          <w:highlight w:val="none"/>
          <w:lang w:eastAsia="zh-CN"/>
        </w:rPr>
        <w:t>；</w:t>
      </w:r>
    </w:p>
    <w:p w14:paraId="22D6D431">
      <w:pPr>
        <w:keepNext w:val="0"/>
        <w:keepLines w:val="0"/>
        <w:pageBreakBefore w:val="0"/>
        <w:kinsoku/>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3.3业绩要求：</w:t>
      </w:r>
    </w:p>
    <w:p w14:paraId="72AA897A">
      <w:pPr>
        <w:keepNext w:val="0"/>
        <w:keepLines w:val="0"/>
        <w:pageBreakBefore w:val="0"/>
        <w:kinsoku/>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2020年1月1日以来（以合同签订时间为准），</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完成过船艇设计项目</w:t>
      </w:r>
      <w:r>
        <w:rPr>
          <w:rFonts w:hint="eastAsia" w:ascii="宋体" w:hAnsi="宋体" w:eastAsia="宋体" w:cs="宋体"/>
          <w:color w:val="auto"/>
          <w:sz w:val="22"/>
          <w:szCs w:val="22"/>
          <w:highlight w:val="none"/>
          <w:lang w:eastAsia="zh-CN"/>
        </w:rPr>
        <w:t>。</w:t>
      </w:r>
    </w:p>
    <w:p w14:paraId="1F3E9CFE">
      <w:pPr>
        <w:keepNext w:val="0"/>
        <w:keepLines w:val="0"/>
        <w:pageBreakBefore w:val="0"/>
        <w:kinsoku/>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3.4项目负责人要求：</w:t>
      </w:r>
    </w:p>
    <w:p w14:paraId="64F61F8F">
      <w:pPr>
        <w:keepNext w:val="0"/>
        <w:keepLines w:val="0"/>
        <w:pageBreakBefore w:val="0"/>
        <w:kinsoku/>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拟投入的项目负责人</w:t>
      </w:r>
      <w:r>
        <w:rPr>
          <w:rFonts w:hint="eastAsia" w:ascii="宋体" w:hAnsi="宋体" w:cs="宋体"/>
          <w:color w:val="auto"/>
          <w:kern w:val="2"/>
          <w:sz w:val="22"/>
          <w:szCs w:val="22"/>
          <w:highlight w:val="none"/>
          <w:lang w:val="en-US" w:eastAsia="zh-CN" w:bidi="ar-SA"/>
        </w:rPr>
        <w:t>具有</w:t>
      </w:r>
      <w:r>
        <w:rPr>
          <w:rFonts w:hint="eastAsia" w:ascii="宋体" w:hAnsi="宋体" w:eastAsia="宋体" w:cs="宋体"/>
          <w:color w:val="auto"/>
          <w:kern w:val="2"/>
          <w:sz w:val="22"/>
          <w:szCs w:val="22"/>
          <w:highlight w:val="none"/>
          <w:lang w:val="en-US" w:eastAsia="zh-CN" w:bidi="ar-SA"/>
        </w:rPr>
        <w:t>工程师及以上</w:t>
      </w:r>
      <w:r>
        <w:rPr>
          <w:rFonts w:hint="eastAsia" w:ascii="宋体" w:hAnsi="宋体" w:cs="宋体"/>
          <w:color w:val="auto"/>
          <w:kern w:val="2"/>
          <w:sz w:val="22"/>
          <w:szCs w:val="22"/>
          <w:highlight w:val="none"/>
          <w:lang w:val="en-US" w:eastAsia="zh-CN" w:bidi="ar-SA"/>
        </w:rPr>
        <w:t>技术</w:t>
      </w:r>
      <w:r>
        <w:rPr>
          <w:rFonts w:hint="eastAsia" w:ascii="宋体" w:hAnsi="宋体" w:eastAsia="宋体" w:cs="宋体"/>
          <w:color w:val="auto"/>
          <w:kern w:val="2"/>
          <w:sz w:val="22"/>
          <w:szCs w:val="22"/>
          <w:highlight w:val="none"/>
          <w:lang w:val="en-US" w:eastAsia="zh-CN" w:bidi="ar-SA"/>
        </w:rPr>
        <w:t>职称；2020年1月1日以来（以合同签订时间为准），完成过船艇设计项目并担任项目负责人。</w:t>
      </w:r>
    </w:p>
    <w:p w14:paraId="168A1981">
      <w:pPr>
        <w:keepNext w:val="0"/>
        <w:keepLines w:val="0"/>
        <w:pageBreakBefore w:val="0"/>
        <w:kinsoku/>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3.5其他要求：</w:t>
      </w:r>
    </w:p>
    <w:p w14:paraId="411E8E79">
      <w:pPr>
        <w:keepNext w:val="0"/>
        <w:keepLines w:val="0"/>
        <w:pageBreakBefore w:val="0"/>
        <w:kinsoku/>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3.5.1本次招标</w:t>
      </w:r>
      <w:r>
        <w:rPr>
          <w:rFonts w:hint="eastAsia" w:ascii="宋体" w:hAnsi="宋体" w:eastAsia="宋体" w:cs="宋体"/>
          <w:b/>
          <w:bCs/>
          <w:color w:val="auto"/>
          <w:sz w:val="22"/>
          <w:szCs w:val="22"/>
          <w:highlight w:val="none"/>
          <w:u w:val="single"/>
          <w:lang w:val="en-US" w:eastAsia="zh-CN"/>
        </w:rPr>
        <w:t>不</w:t>
      </w:r>
      <w:r>
        <w:rPr>
          <w:rFonts w:hint="eastAsia" w:ascii="宋体" w:hAnsi="宋体" w:eastAsia="宋体" w:cs="宋体"/>
          <w:b/>
          <w:bCs/>
          <w:color w:val="auto"/>
          <w:sz w:val="22"/>
          <w:szCs w:val="22"/>
          <w:highlight w:val="none"/>
          <w:u w:val="single"/>
        </w:rPr>
        <w:t>接受</w:t>
      </w:r>
      <w:r>
        <w:rPr>
          <w:rFonts w:hint="eastAsia" w:ascii="宋体" w:hAnsi="宋体" w:eastAsia="宋体" w:cs="宋体"/>
          <w:color w:val="auto"/>
          <w:sz w:val="22"/>
          <w:szCs w:val="22"/>
          <w:highlight w:val="none"/>
        </w:rPr>
        <w:t>联合体投标。</w:t>
      </w:r>
    </w:p>
    <w:p w14:paraId="0C5C0EE5">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3.5.2与招标人存在利害关系可能影响招标公正性的法人、其他组织或者个人，不得参加投标。单位负责人为同一人或者存在控股、管理关系的不同单位，不得参加同一标段投标或者未划分标段的同一招标项目投标，否则均按否决投标处理。</w:t>
      </w:r>
    </w:p>
    <w:p w14:paraId="36E788A2">
      <w:pPr>
        <w:keepNext w:val="0"/>
        <w:keepLines w:val="0"/>
        <w:pageBreakBefore w:val="0"/>
        <w:kinsoku/>
        <w:wordWrap w:val="0"/>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4、招标文件的获取</w:t>
      </w:r>
    </w:p>
    <w:p w14:paraId="16BA3FE8">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（1）获取时间：202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年1月20日至202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年1月27日，每天上午9:00-11:30，下午14:00-17:30（法定节假日除外）。</w:t>
      </w:r>
    </w:p>
    <w:p w14:paraId="44323A79">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（2）凡有意参加者，添加代理的工作QQ：2177572758，请自行将以下相关资料：单位介绍信或授权书（加盖公章）、经办人身份证扫描件（加盖公章）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申请函（加盖公章）</w:t>
      </w:r>
      <w:r>
        <w:rPr>
          <w:rFonts w:hint="eastAsia" w:ascii="宋体" w:hAnsi="宋体" w:eastAsia="宋体" w:cs="宋体"/>
          <w:color w:val="auto"/>
          <w:sz w:val="22"/>
          <w:szCs w:val="22"/>
          <w:highlight w:val="none"/>
        </w:rPr>
        <w:t>发送至代理的工作QQ，经代理机构确认后获取招标文件。</w:t>
      </w:r>
    </w:p>
    <w:p w14:paraId="33C44FE6">
      <w:pPr>
        <w:keepNext w:val="0"/>
        <w:keepLines w:val="0"/>
        <w:pageBreakBefore w:val="0"/>
        <w:kinsoku/>
        <w:wordWrap w:val="0"/>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5、投标文件的递交及相关事宜</w:t>
      </w:r>
    </w:p>
    <w:p w14:paraId="5A29B540">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5.1招标人不统一组织进行工程现场踏勘及召开投标预备会。</w:t>
      </w:r>
    </w:p>
    <w:p w14:paraId="446CB6EC">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5.2投标人的投标文件将统一在投标会上送交</w:t>
      </w:r>
      <w:bookmarkStart w:id="168" w:name="_GoBack"/>
      <w:bookmarkEnd w:id="168"/>
      <w:r>
        <w:rPr>
          <w:rFonts w:hint="eastAsia" w:ascii="宋体" w:hAnsi="宋体" w:eastAsia="宋体" w:cs="宋体"/>
          <w:color w:val="auto"/>
          <w:sz w:val="22"/>
          <w:szCs w:val="22"/>
          <w:highlight w:val="none"/>
        </w:rPr>
        <w:t>。</w:t>
      </w:r>
    </w:p>
    <w:p w14:paraId="054CAABF">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送交投标文件的开始时间为：</w:t>
      </w:r>
      <w:r>
        <w:rPr>
          <w:rFonts w:hint="eastAsia" w:ascii="宋体" w:hAnsi="宋体" w:eastAsia="宋体" w:cs="宋体"/>
          <w:b/>
          <w:bCs/>
          <w:color w:val="auto"/>
          <w:sz w:val="22"/>
          <w:szCs w:val="22"/>
          <w:highlight w:val="none"/>
          <w:u w:val="single"/>
          <w:lang w:val="en-US" w:eastAsia="zh-CN"/>
        </w:rPr>
        <w:t>202</w:t>
      </w:r>
      <w:r>
        <w:rPr>
          <w:rFonts w:hint="eastAsia" w:ascii="宋体" w:hAnsi="宋体" w:cs="宋体"/>
          <w:b/>
          <w:bCs/>
          <w:color w:val="auto"/>
          <w:sz w:val="22"/>
          <w:szCs w:val="22"/>
          <w:highlight w:val="none"/>
          <w:u w:val="single"/>
          <w:lang w:val="en-US" w:eastAsia="zh-CN"/>
        </w:rPr>
        <w:t>6</w:t>
      </w:r>
      <w:r>
        <w:rPr>
          <w:rFonts w:hint="eastAsia" w:ascii="宋体" w:hAnsi="宋体" w:eastAsia="宋体" w:cs="宋体"/>
          <w:b/>
          <w:bCs/>
          <w:color w:val="auto"/>
          <w:sz w:val="22"/>
          <w:szCs w:val="22"/>
          <w:highlight w:val="none"/>
          <w:u w:val="single"/>
          <w:lang w:val="en-US" w:eastAsia="zh-CN"/>
        </w:rPr>
        <w:t>年2月</w:t>
      </w:r>
      <w:r>
        <w:rPr>
          <w:rFonts w:hint="eastAsia" w:ascii="宋体" w:hAnsi="宋体" w:cs="宋体"/>
          <w:b/>
          <w:bCs/>
          <w:color w:val="auto"/>
          <w:sz w:val="22"/>
          <w:szCs w:val="22"/>
          <w:highlight w:val="none"/>
          <w:u w:val="single"/>
          <w:lang w:val="en-US" w:eastAsia="zh-CN"/>
        </w:rPr>
        <w:t>10</w:t>
      </w:r>
      <w:r>
        <w:rPr>
          <w:rFonts w:hint="eastAsia" w:ascii="宋体" w:hAnsi="宋体" w:eastAsia="宋体" w:cs="宋体"/>
          <w:b/>
          <w:bCs/>
          <w:color w:val="auto"/>
          <w:sz w:val="22"/>
          <w:szCs w:val="22"/>
          <w:highlight w:val="none"/>
          <w:u w:val="single"/>
          <w:lang w:val="en-US" w:eastAsia="zh-CN"/>
        </w:rPr>
        <w:t>日</w:t>
      </w:r>
      <w:r>
        <w:rPr>
          <w:rFonts w:hint="eastAsia" w:ascii="宋体" w:hAnsi="宋体" w:cs="宋体"/>
          <w:b/>
          <w:bCs/>
          <w:color w:val="auto"/>
          <w:sz w:val="22"/>
          <w:szCs w:val="22"/>
          <w:highlight w:val="none"/>
          <w:u w:val="single"/>
          <w:lang w:val="en-US" w:eastAsia="zh-CN"/>
        </w:rPr>
        <w:t>9</w:t>
      </w:r>
      <w:r>
        <w:rPr>
          <w:rFonts w:hint="eastAsia" w:ascii="宋体" w:hAnsi="宋体" w:eastAsia="宋体" w:cs="宋体"/>
          <w:b/>
          <w:bCs/>
          <w:color w:val="auto"/>
          <w:sz w:val="22"/>
          <w:szCs w:val="22"/>
          <w:highlight w:val="none"/>
          <w:u w:val="single"/>
          <w:lang w:val="en-US" w:eastAsia="zh-CN"/>
        </w:rPr>
        <w:t>时</w:t>
      </w:r>
      <w:r>
        <w:rPr>
          <w:rFonts w:hint="eastAsia" w:ascii="宋体" w:hAnsi="宋体" w:cs="宋体"/>
          <w:b/>
          <w:bCs/>
          <w:color w:val="auto"/>
          <w:sz w:val="22"/>
          <w:szCs w:val="22"/>
          <w:highlight w:val="none"/>
          <w:u w:val="single"/>
          <w:lang w:val="en-US" w:eastAsia="zh-CN"/>
        </w:rPr>
        <w:t>0</w:t>
      </w:r>
      <w:r>
        <w:rPr>
          <w:rFonts w:hint="eastAsia" w:ascii="宋体" w:hAnsi="宋体" w:eastAsia="宋体" w:cs="宋体"/>
          <w:b/>
          <w:bCs/>
          <w:color w:val="auto"/>
          <w:sz w:val="22"/>
          <w:szCs w:val="22"/>
          <w:highlight w:val="none"/>
          <w:u w:val="single"/>
          <w:lang w:val="en-US" w:eastAsia="zh-CN"/>
        </w:rPr>
        <w:t>0分</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送交投标文件的截止时间为：</w:t>
      </w:r>
      <w:r>
        <w:rPr>
          <w:rFonts w:hint="eastAsia" w:ascii="宋体" w:hAnsi="宋体" w:eastAsia="宋体" w:cs="宋体"/>
          <w:b/>
          <w:bCs/>
          <w:color w:val="auto"/>
          <w:sz w:val="22"/>
          <w:szCs w:val="22"/>
          <w:highlight w:val="none"/>
          <w:u w:val="single"/>
          <w:lang w:val="en-US" w:eastAsia="zh-CN"/>
        </w:rPr>
        <w:t>202</w:t>
      </w:r>
      <w:r>
        <w:rPr>
          <w:rFonts w:hint="eastAsia" w:ascii="宋体" w:hAnsi="宋体" w:cs="宋体"/>
          <w:b/>
          <w:bCs/>
          <w:color w:val="auto"/>
          <w:sz w:val="22"/>
          <w:szCs w:val="22"/>
          <w:highlight w:val="none"/>
          <w:u w:val="single"/>
          <w:lang w:val="en-US" w:eastAsia="zh-CN"/>
        </w:rPr>
        <w:t>6</w:t>
      </w:r>
      <w:r>
        <w:rPr>
          <w:rFonts w:hint="eastAsia" w:ascii="宋体" w:hAnsi="宋体" w:eastAsia="宋体" w:cs="宋体"/>
          <w:b/>
          <w:bCs/>
          <w:color w:val="auto"/>
          <w:sz w:val="22"/>
          <w:szCs w:val="22"/>
          <w:highlight w:val="none"/>
          <w:u w:val="single"/>
          <w:lang w:val="en-US" w:eastAsia="zh-CN"/>
        </w:rPr>
        <w:t>年2月</w:t>
      </w:r>
      <w:r>
        <w:rPr>
          <w:rFonts w:hint="eastAsia" w:ascii="宋体" w:hAnsi="宋体" w:cs="宋体"/>
          <w:b/>
          <w:bCs/>
          <w:color w:val="auto"/>
          <w:sz w:val="22"/>
          <w:szCs w:val="22"/>
          <w:highlight w:val="none"/>
          <w:u w:val="single"/>
          <w:lang w:val="en-US" w:eastAsia="zh-CN"/>
        </w:rPr>
        <w:t>10</w:t>
      </w:r>
      <w:r>
        <w:rPr>
          <w:rFonts w:hint="eastAsia" w:ascii="宋体" w:hAnsi="宋体" w:eastAsia="宋体" w:cs="宋体"/>
          <w:b/>
          <w:bCs/>
          <w:color w:val="auto"/>
          <w:sz w:val="22"/>
          <w:szCs w:val="22"/>
          <w:highlight w:val="none"/>
          <w:u w:val="single"/>
          <w:lang w:val="en-US" w:eastAsia="zh-CN"/>
        </w:rPr>
        <w:t>日</w:t>
      </w:r>
      <w:r>
        <w:rPr>
          <w:rFonts w:hint="eastAsia" w:ascii="宋体" w:hAnsi="宋体" w:cs="宋体"/>
          <w:b/>
          <w:bCs/>
          <w:color w:val="auto"/>
          <w:sz w:val="22"/>
          <w:szCs w:val="22"/>
          <w:highlight w:val="none"/>
          <w:u w:val="single"/>
          <w:lang w:val="en-US" w:eastAsia="zh-CN"/>
        </w:rPr>
        <w:t>9</w:t>
      </w:r>
      <w:r>
        <w:rPr>
          <w:rFonts w:hint="eastAsia" w:ascii="宋体" w:hAnsi="宋体" w:eastAsia="宋体" w:cs="宋体"/>
          <w:b/>
          <w:bCs/>
          <w:color w:val="auto"/>
          <w:sz w:val="22"/>
          <w:szCs w:val="22"/>
          <w:highlight w:val="none"/>
          <w:u w:val="single"/>
          <w:lang w:val="en-US" w:eastAsia="zh-CN"/>
        </w:rPr>
        <w:t>时</w:t>
      </w:r>
      <w:r>
        <w:rPr>
          <w:rFonts w:hint="eastAsia" w:ascii="宋体" w:hAnsi="宋体" w:cs="宋体"/>
          <w:b/>
          <w:bCs/>
          <w:color w:val="auto"/>
          <w:sz w:val="22"/>
          <w:szCs w:val="22"/>
          <w:highlight w:val="none"/>
          <w:u w:val="single"/>
          <w:lang w:val="en-US" w:eastAsia="zh-CN"/>
        </w:rPr>
        <w:t>30</w:t>
      </w:r>
      <w:r>
        <w:rPr>
          <w:rFonts w:hint="eastAsia" w:ascii="宋体" w:hAnsi="宋体" w:eastAsia="宋体" w:cs="宋体"/>
          <w:b/>
          <w:bCs/>
          <w:color w:val="auto"/>
          <w:sz w:val="22"/>
          <w:szCs w:val="22"/>
          <w:highlight w:val="none"/>
          <w:u w:val="single"/>
          <w:lang w:val="en-US" w:eastAsia="zh-CN"/>
        </w:rPr>
        <w:t>分</w:t>
      </w:r>
      <w:r>
        <w:rPr>
          <w:rFonts w:hint="eastAsia" w:ascii="宋体" w:hAnsi="宋体" w:eastAsia="宋体" w:cs="宋体"/>
          <w:b/>
          <w:bCs/>
          <w:color w:val="auto"/>
          <w:sz w:val="22"/>
          <w:szCs w:val="22"/>
          <w:highlight w:val="none"/>
          <w:u w:val="none"/>
        </w:rPr>
        <w:t>。</w:t>
      </w:r>
    </w:p>
    <w:p w14:paraId="5B829B75">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投标文件必须在上述时间段内送交到投标会现场，递交地点为</w:t>
      </w:r>
      <w:r>
        <w:rPr>
          <w:rFonts w:hint="eastAsia" w:ascii="宋体" w:hAnsi="宋体" w:eastAsia="宋体" w:cs="宋体"/>
          <w:color w:val="auto"/>
          <w:sz w:val="22"/>
          <w:szCs w:val="22"/>
          <w:highlight w:val="none"/>
          <w:lang w:eastAsia="zh-CN"/>
        </w:rPr>
        <w:t>：</w:t>
      </w:r>
      <w:r>
        <w:rPr>
          <w:rFonts w:hint="eastAsia" w:ascii="宋体" w:hAnsi="宋体" w:cs="宋体"/>
          <w:b/>
          <w:bCs/>
          <w:color w:val="auto"/>
          <w:sz w:val="22"/>
          <w:szCs w:val="22"/>
          <w:highlight w:val="none"/>
          <w:u w:val="single"/>
          <w:lang w:val="en-US" w:eastAsia="zh-CN"/>
        </w:rPr>
        <w:t>南通市崇川区鸿运城市花苑18栋</w:t>
      </w:r>
      <w:r>
        <w:rPr>
          <w:rFonts w:hint="eastAsia" w:ascii="宋体" w:hAnsi="宋体" w:eastAsia="宋体" w:cs="宋体"/>
          <w:color w:val="auto"/>
          <w:sz w:val="22"/>
          <w:szCs w:val="22"/>
          <w:highlight w:val="none"/>
        </w:rPr>
        <w:t>。投标截止的同一时间，同一地点举行开标会，投标人如对开标过程有异议，应在现场提出，未提出的视为默认开标结果。</w:t>
      </w:r>
    </w:p>
    <w:p w14:paraId="00DE5D08">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5.3逾期送达的或者未送达指定地点的投标文件，招标人不予受理。</w:t>
      </w:r>
    </w:p>
    <w:p w14:paraId="7A26099B">
      <w:pPr>
        <w:keepNext w:val="0"/>
        <w:keepLines w:val="0"/>
        <w:pageBreakBefore w:val="0"/>
        <w:kinsoku/>
        <w:wordWrap w:val="0"/>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6、本项目实行资格后审，评标办法采用综合评估法（双信封）。</w:t>
      </w:r>
    </w:p>
    <w:p w14:paraId="46F27BB0">
      <w:pPr>
        <w:keepNext w:val="0"/>
        <w:keepLines w:val="0"/>
        <w:pageBreakBefore w:val="0"/>
        <w:kinsoku/>
        <w:wordWrap w:val="0"/>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7、发布公告的媒介</w:t>
      </w:r>
    </w:p>
    <w:p w14:paraId="715C75ED">
      <w:pPr>
        <w:keepNext w:val="0"/>
        <w:keepLines w:val="0"/>
        <w:pageBreakBefore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本次招标公告在</w:t>
      </w:r>
      <w:r>
        <w:rPr>
          <w:rFonts w:hint="eastAsia" w:ascii="宋体" w:hAnsi="宋体" w:eastAsia="宋体" w:cs="宋体"/>
          <w:b/>
          <w:bCs w:val="0"/>
          <w:color w:val="auto"/>
          <w:sz w:val="22"/>
          <w:szCs w:val="22"/>
          <w:highlight w:val="none"/>
          <w:u w:val="single"/>
        </w:rPr>
        <w:t>南通市交通运输局</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江苏招标采购服务平台、中国招标投标公共服务平台</w:t>
      </w:r>
      <w:r>
        <w:rPr>
          <w:rFonts w:hint="eastAsia" w:ascii="宋体" w:hAnsi="宋体" w:eastAsia="宋体" w:cs="宋体"/>
          <w:bCs/>
          <w:color w:val="auto"/>
          <w:sz w:val="22"/>
          <w:szCs w:val="22"/>
          <w:highlight w:val="none"/>
        </w:rPr>
        <w:t>上发布。</w:t>
      </w:r>
    </w:p>
    <w:p w14:paraId="5DC5F985">
      <w:pPr>
        <w:keepNext w:val="0"/>
        <w:keepLines w:val="0"/>
        <w:pageBreakBefore w:val="0"/>
        <w:widowControl w:val="0"/>
        <w:kinsoku/>
        <w:wordWrap w:val="0"/>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8、联系方式</w:t>
      </w:r>
    </w:p>
    <w:p w14:paraId="48E37A1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招</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标</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人：</w:t>
      </w:r>
      <w:r>
        <w:rPr>
          <w:rFonts w:hint="eastAsia" w:ascii="宋体" w:hAnsi="宋体" w:eastAsia="宋体" w:cs="宋体"/>
          <w:color w:val="auto"/>
          <w:sz w:val="22"/>
          <w:szCs w:val="22"/>
          <w:highlight w:val="none"/>
          <w:lang w:eastAsia="zh-CN"/>
        </w:rPr>
        <w:t>南通市江海河联运项目建设指挥部</w:t>
      </w:r>
    </w:p>
    <w:p w14:paraId="1901E37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址：</w:t>
      </w:r>
      <w:r>
        <w:rPr>
          <w:rFonts w:hint="eastAsia" w:ascii="宋体" w:hAnsi="宋体" w:eastAsia="宋体" w:cs="宋体"/>
          <w:color w:val="auto"/>
          <w:sz w:val="22"/>
          <w:szCs w:val="22"/>
          <w:highlight w:val="none"/>
          <w:lang w:eastAsia="zh-CN"/>
        </w:rPr>
        <w:t>南通市外环西路99号</w:t>
      </w:r>
    </w:p>
    <w:p w14:paraId="395F2B2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cs="宋体"/>
          <w:color w:val="auto"/>
          <w:sz w:val="22"/>
          <w:szCs w:val="22"/>
          <w:highlight w:val="none"/>
          <w:lang w:val="en-US" w:eastAsia="zh-CN"/>
        </w:rPr>
        <w:t>蔚丰穗</w:t>
      </w:r>
    </w:p>
    <w:p w14:paraId="29F68DA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eastAsia="zh-CN"/>
        </w:rPr>
        <w:t>0513-83549373</w:t>
      </w:r>
    </w:p>
    <w:p w14:paraId="2B989E5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p>
    <w:p w14:paraId="3CE220E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招标代理：国信国际工程咨询集团股份有限公司</w:t>
      </w:r>
    </w:p>
    <w:p w14:paraId="277CC72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址：南京市建邺区奥体大街68号新城科技园国际研发总部园2</w:t>
      </w:r>
      <w:r>
        <w:rPr>
          <w:rFonts w:hint="eastAsia" w:ascii="宋体" w:hAnsi="宋体" w:eastAsia="宋体" w:cs="宋体"/>
          <w:color w:val="auto"/>
          <w:sz w:val="22"/>
          <w:szCs w:val="22"/>
          <w:highlight w:val="none"/>
          <w:lang w:val="en-US" w:eastAsia="zh-CN"/>
        </w:rPr>
        <w:t>栋</w:t>
      </w:r>
      <w:r>
        <w:rPr>
          <w:rFonts w:hint="eastAsia" w:ascii="宋体" w:hAnsi="宋体" w:eastAsia="宋体" w:cs="宋体"/>
          <w:color w:val="auto"/>
          <w:sz w:val="22"/>
          <w:szCs w:val="22"/>
          <w:highlight w:val="none"/>
        </w:rPr>
        <w:t>7层</w:t>
      </w:r>
    </w:p>
    <w:p w14:paraId="1EB52B3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人：徐振扬、</w:t>
      </w:r>
      <w:r>
        <w:rPr>
          <w:rFonts w:hint="eastAsia" w:ascii="宋体" w:hAnsi="宋体" w:cs="宋体"/>
          <w:color w:val="auto"/>
          <w:sz w:val="22"/>
          <w:szCs w:val="22"/>
          <w:highlight w:val="none"/>
          <w:lang w:val="en-US" w:eastAsia="zh-CN"/>
        </w:rPr>
        <w:t>胡继军</w:t>
      </w:r>
    </w:p>
    <w:p w14:paraId="0CEF1D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话：025-86602545-8012（分机号）</w:t>
      </w:r>
    </w:p>
    <w:p w14:paraId="26FDFFA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 作Q</w:t>
      </w:r>
      <w:r>
        <w:rPr>
          <w:rFonts w:hint="eastAsia" w:ascii="宋体" w:hAnsi="宋体" w:eastAsia="宋体" w:cs="宋体"/>
          <w:color w:val="auto"/>
          <w:sz w:val="10"/>
          <w:szCs w:val="10"/>
          <w:highlight w:val="none"/>
          <w:lang w:val="en-US" w:eastAsia="zh-CN"/>
        </w:rPr>
        <w:t xml:space="preserve"> </w:t>
      </w:r>
      <w:r>
        <w:rPr>
          <w:rFonts w:hint="eastAsia" w:ascii="宋体" w:hAnsi="宋体" w:eastAsia="宋体" w:cs="宋体"/>
          <w:color w:val="auto"/>
          <w:sz w:val="22"/>
          <w:szCs w:val="22"/>
          <w:highlight w:val="none"/>
        </w:rPr>
        <w:t xml:space="preserve">Q：2177572758（投标申请人主动添加QQ） </w:t>
      </w:r>
    </w:p>
    <w:p w14:paraId="69A4618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工作邮箱：2177572758@qq.com</w:t>
      </w:r>
    </w:p>
    <w:p w14:paraId="68FE49B9">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本项目接收异议的联系人和联系方式：</w:t>
      </w:r>
      <w:r>
        <w:rPr>
          <w:rFonts w:hint="eastAsia" w:ascii="宋体" w:hAnsi="宋体" w:cs="宋体"/>
          <w:color w:val="auto"/>
          <w:sz w:val="22"/>
          <w:szCs w:val="22"/>
          <w:highlight w:val="none"/>
          <w:lang w:val="en-US" w:eastAsia="zh-CN"/>
        </w:rPr>
        <w:t>蔚丰穗</w:t>
      </w:r>
      <w:r>
        <w:rPr>
          <w:rFonts w:hint="eastAsia" w:ascii="宋体" w:hAnsi="宋体" w:eastAsia="宋体" w:cs="宋体"/>
          <w:color w:val="auto"/>
          <w:sz w:val="22"/>
          <w:szCs w:val="22"/>
          <w:highlight w:val="none"/>
        </w:rPr>
        <w:t>、徐振扬/</w:t>
      </w:r>
      <w:r>
        <w:rPr>
          <w:rFonts w:hint="eastAsia" w:ascii="宋体" w:hAnsi="宋体" w:eastAsia="宋体" w:cs="宋体"/>
          <w:color w:val="auto"/>
          <w:sz w:val="22"/>
          <w:szCs w:val="22"/>
          <w:highlight w:val="none"/>
          <w:lang w:eastAsia="zh-CN"/>
        </w:rPr>
        <w:t>0513-83549373</w:t>
      </w:r>
      <w:r>
        <w:rPr>
          <w:rFonts w:hint="eastAsia" w:ascii="宋体" w:hAnsi="宋体" w:eastAsia="宋体" w:cs="宋体"/>
          <w:color w:val="auto"/>
          <w:sz w:val="22"/>
          <w:szCs w:val="22"/>
          <w:highlight w:val="none"/>
        </w:rPr>
        <w:t>、025-86602545-8012（分机号）</w:t>
      </w:r>
    </w:p>
    <w:p w14:paraId="7C97EA7D">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（注：以上时间均为北京时间，具体事宜请与招标代理联系</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1F837877">
      <w:pPr>
        <w:keepNext w:val="0"/>
        <w:keepLines w:val="0"/>
        <w:pageBreakBefore w:val="0"/>
        <w:kinsoku/>
        <w:wordWrap w:val="0"/>
        <w:overflowPunct/>
        <w:topLinePunct w:val="0"/>
        <w:autoSpaceDE/>
        <w:autoSpaceDN/>
        <w:bidi w:val="0"/>
        <w:adjustRightInd/>
        <w:snapToGrid/>
        <w:spacing w:line="360" w:lineRule="auto"/>
        <w:ind w:firstLine="440"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03566BA">
      <w:pPr>
        <w:keepNext w:val="0"/>
        <w:keepLines w:val="0"/>
        <w:pageBreakBefore w:val="0"/>
        <w:kinsoku/>
        <w:wordWrap w:val="0"/>
        <w:overflowPunct/>
        <w:topLinePunct w:val="0"/>
        <w:autoSpaceDE/>
        <w:autoSpaceDN/>
        <w:bidi w:val="0"/>
        <w:adjustRightInd/>
        <w:snapToGrid/>
        <w:spacing w:line="360" w:lineRule="auto"/>
        <w:ind w:firstLine="44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z w:val="22"/>
          <w:szCs w:val="22"/>
          <w:highlight w:val="none"/>
          <w:lang w:val="en-US" w:eastAsia="zh-CN"/>
        </w:rPr>
        <w:t>202</w:t>
      </w: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年</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月</w:t>
      </w:r>
      <w:r>
        <w:rPr>
          <w:rFonts w:hint="eastAsia" w:ascii="宋体" w:hAnsi="宋体" w:cs="宋体"/>
          <w:b/>
          <w:bCs/>
          <w:color w:val="auto"/>
          <w:sz w:val="22"/>
          <w:szCs w:val="22"/>
          <w:highlight w:val="none"/>
          <w:lang w:val="en-US" w:eastAsia="zh-CN"/>
        </w:rPr>
        <w:t>20</w:t>
      </w:r>
      <w:r>
        <w:rPr>
          <w:rFonts w:hint="eastAsia" w:ascii="宋体" w:hAnsi="宋体" w:eastAsia="宋体" w:cs="宋体"/>
          <w:b/>
          <w:bCs/>
          <w:color w:val="auto"/>
          <w:sz w:val="22"/>
          <w:szCs w:val="22"/>
          <w:highlight w:val="none"/>
        </w:rPr>
        <w:t>日</w:t>
      </w:r>
    </w:p>
    <w:p w14:paraId="452995C7">
      <w:pPr>
        <w:rPr>
          <w:rFonts w:hint="eastAsia" w:cs="Arial"/>
          <w:color w:val="auto"/>
          <w:sz w:val="32"/>
          <w:szCs w:val="22"/>
          <w:highlight w:val="none"/>
        </w:rPr>
      </w:pPr>
      <w:bookmarkStart w:id="21" w:name="_Toc33625854"/>
      <w:r>
        <w:rPr>
          <w:rFonts w:hint="eastAsia" w:cs="Arial"/>
          <w:color w:val="auto"/>
          <w:sz w:val="32"/>
          <w:szCs w:val="22"/>
          <w:highlight w:val="none"/>
        </w:rPr>
        <w:br w:type="page"/>
      </w:r>
    </w:p>
    <w:p w14:paraId="489ED53E">
      <w:pPr>
        <w:pStyle w:val="28"/>
        <w:spacing w:before="120" w:beforeLines="50" w:after="0" w:line="360" w:lineRule="auto"/>
        <w:jc w:val="center"/>
        <w:rPr>
          <w:color w:val="auto"/>
          <w:sz w:val="32"/>
          <w:szCs w:val="22"/>
          <w:highlight w:val="none"/>
        </w:rPr>
      </w:pPr>
      <w:r>
        <w:rPr>
          <w:rFonts w:hint="eastAsia" w:cs="Arial"/>
          <w:color w:val="auto"/>
          <w:sz w:val="32"/>
          <w:szCs w:val="22"/>
          <w:highlight w:val="none"/>
        </w:rPr>
        <w:t>第二章 投标人须知</w:t>
      </w:r>
      <w:bookmarkEnd w:id="16"/>
      <w:bookmarkEnd w:id="21"/>
    </w:p>
    <w:p w14:paraId="37F52B5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宋体" w:hAnsi="宋体" w:eastAsia="宋体" w:cs="宋体"/>
          <w:b/>
          <w:color w:val="auto"/>
          <w:sz w:val="22"/>
          <w:szCs w:val="22"/>
          <w:highlight w:val="none"/>
        </w:rPr>
      </w:pPr>
      <w:bookmarkStart w:id="22" w:name="_Toc185412927"/>
      <w:r>
        <w:rPr>
          <w:rFonts w:hint="eastAsia" w:ascii="宋体" w:hAnsi="宋体" w:eastAsia="宋体" w:cs="宋体"/>
          <w:b/>
          <w:color w:val="auto"/>
          <w:sz w:val="22"/>
          <w:szCs w:val="22"/>
          <w:highlight w:val="none"/>
        </w:rPr>
        <w:t>一、总则</w:t>
      </w:r>
      <w:bookmarkEnd w:id="22"/>
    </w:p>
    <w:p w14:paraId="77147DC1">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  工程说明</w:t>
      </w:r>
    </w:p>
    <w:p w14:paraId="65D38C3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 定义和解释</w:t>
      </w:r>
    </w:p>
    <w:p w14:paraId="5ACFEF73">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招标人（发包人）：</w:t>
      </w:r>
      <w:r>
        <w:rPr>
          <w:rFonts w:hint="eastAsia" w:ascii="宋体" w:hAnsi="宋体" w:eastAsia="宋体" w:cs="宋体"/>
          <w:snapToGrid w:val="0"/>
          <w:color w:val="auto"/>
          <w:kern w:val="0"/>
          <w:sz w:val="22"/>
          <w:szCs w:val="22"/>
          <w:highlight w:val="none"/>
          <w:u w:val="single"/>
          <w:lang w:eastAsia="zh-CN"/>
        </w:rPr>
        <w:t>南通市江海河联运项目建设指挥部</w:t>
      </w:r>
      <w:r>
        <w:rPr>
          <w:rFonts w:hint="eastAsia" w:ascii="宋体" w:hAnsi="宋体" w:eastAsia="宋体" w:cs="宋体"/>
          <w:snapToGrid w:val="0"/>
          <w:color w:val="auto"/>
          <w:kern w:val="0"/>
          <w:sz w:val="22"/>
          <w:szCs w:val="22"/>
          <w:highlight w:val="none"/>
        </w:rPr>
        <w:t>。</w:t>
      </w:r>
    </w:p>
    <w:p w14:paraId="3EA4D691">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招标代理：受招标人委托，在招标人（发包人）授权范围内组织招标工作的机构。本项目招标代理为</w:t>
      </w:r>
      <w:r>
        <w:rPr>
          <w:rFonts w:hint="eastAsia" w:ascii="宋体" w:hAnsi="宋体" w:eastAsia="宋体" w:cs="宋体"/>
          <w:snapToGrid w:val="0"/>
          <w:color w:val="auto"/>
          <w:kern w:val="0"/>
          <w:sz w:val="22"/>
          <w:szCs w:val="22"/>
          <w:highlight w:val="none"/>
          <w:u w:val="single"/>
        </w:rPr>
        <w:t>国信国际工程咨询集团股份有限公司</w:t>
      </w:r>
      <w:r>
        <w:rPr>
          <w:rFonts w:hint="eastAsia" w:ascii="宋体" w:hAnsi="宋体" w:eastAsia="宋体" w:cs="宋体"/>
          <w:snapToGrid w:val="0"/>
          <w:color w:val="auto"/>
          <w:kern w:val="0"/>
          <w:sz w:val="22"/>
          <w:szCs w:val="22"/>
          <w:highlight w:val="none"/>
        </w:rPr>
        <w:t>，下称招标代理。</w:t>
      </w:r>
    </w:p>
    <w:p w14:paraId="79E65436">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投标人：是指参与投标竞争，具备相应资质（资格）的服务单位。</w:t>
      </w:r>
    </w:p>
    <w:p w14:paraId="10B47408">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中标人：是指最后中标的投标人。</w:t>
      </w:r>
    </w:p>
    <w:p w14:paraId="0C2FF069">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1.2 项目概况：详见</w:t>
      </w:r>
      <w:r>
        <w:rPr>
          <w:rFonts w:hint="eastAsia" w:ascii="宋体" w:hAnsi="宋体" w:eastAsia="宋体" w:cs="宋体"/>
          <w:snapToGrid w:val="0"/>
          <w:color w:val="auto"/>
          <w:kern w:val="0"/>
          <w:sz w:val="22"/>
          <w:szCs w:val="22"/>
          <w:highlight w:val="none"/>
          <w:lang w:val="en-US" w:eastAsia="zh-CN"/>
        </w:rPr>
        <w:t xml:space="preserve">第一章 </w:t>
      </w:r>
      <w:r>
        <w:rPr>
          <w:rFonts w:hint="eastAsia" w:ascii="宋体" w:hAnsi="宋体" w:eastAsia="宋体" w:cs="宋体"/>
          <w:snapToGrid w:val="0"/>
          <w:color w:val="auto"/>
          <w:kern w:val="0"/>
          <w:sz w:val="22"/>
          <w:szCs w:val="22"/>
          <w:highlight w:val="none"/>
        </w:rPr>
        <w:t>招标公告。</w:t>
      </w:r>
    </w:p>
    <w:p w14:paraId="07BFC790">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w:t>
      </w:r>
      <w:r>
        <w:rPr>
          <w:rFonts w:hint="eastAsia" w:ascii="宋体" w:hAnsi="宋体" w:eastAsia="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 xml:space="preserve"> </w:t>
      </w:r>
      <w:r>
        <w:rPr>
          <w:rFonts w:hint="eastAsia" w:ascii="宋体" w:hAnsi="宋体" w:eastAsia="宋体" w:cs="宋体"/>
          <w:snapToGrid w:val="0"/>
          <w:color w:val="auto"/>
          <w:kern w:val="0"/>
          <w:sz w:val="22"/>
          <w:szCs w:val="22"/>
          <w:highlight w:val="none"/>
          <w:lang w:val="en-US" w:eastAsia="zh-CN"/>
        </w:rPr>
        <w:t>招标范围</w:t>
      </w:r>
      <w:r>
        <w:rPr>
          <w:rFonts w:hint="eastAsia" w:ascii="宋体" w:hAnsi="宋体" w:eastAsia="宋体" w:cs="宋体"/>
          <w:snapToGrid w:val="0"/>
          <w:color w:val="auto"/>
          <w:kern w:val="0"/>
          <w:sz w:val="22"/>
          <w:szCs w:val="22"/>
          <w:highlight w:val="none"/>
        </w:rPr>
        <w:t>：详见</w:t>
      </w:r>
      <w:r>
        <w:rPr>
          <w:rFonts w:hint="eastAsia" w:ascii="宋体" w:hAnsi="宋体" w:eastAsia="宋体" w:cs="宋体"/>
          <w:snapToGrid w:val="0"/>
          <w:color w:val="auto"/>
          <w:kern w:val="0"/>
          <w:sz w:val="22"/>
          <w:szCs w:val="22"/>
          <w:highlight w:val="none"/>
          <w:lang w:val="en-US" w:eastAsia="zh-CN"/>
        </w:rPr>
        <w:t xml:space="preserve">第一章 </w:t>
      </w:r>
      <w:r>
        <w:rPr>
          <w:rFonts w:hint="eastAsia" w:ascii="宋体" w:hAnsi="宋体" w:eastAsia="宋体" w:cs="宋体"/>
          <w:snapToGrid w:val="0"/>
          <w:color w:val="auto"/>
          <w:kern w:val="0"/>
          <w:sz w:val="22"/>
          <w:szCs w:val="22"/>
          <w:highlight w:val="none"/>
        </w:rPr>
        <w:t>招标公告。</w:t>
      </w:r>
    </w:p>
    <w:p w14:paraId="4BB2262E">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w:t>
      </w: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rPr>
        <w:t xml:space="preserve"> </w:t>
      </w:r>
      <w:r>
        <w:rPr>
          <w:rFonts w:hint="eastAsia" w:ascii="宋体" w:hAnsi="宋体" w:eastAsia="宋体" w:cs="宋体"/>
          <w:snapToGrid w:val="0"/>
          <w:color w:val="auto"/>
          <w:kern w:val="0"/>
          <w:sz w:val="22"/>
          <w:szCs w:val="22"/>
          <w:highlight w:val="none"/>
          <w:lang w:eastAsia="zh-CN"/>
        </w:rPr>
        <w:t>服务</w:t>
      </w:r>
      <w:r>
        <w:rPr>
          <w:rFonts w:hint="eastAsia" w:cs="宋体"/>
          <w:snapToGrid w:val="0"/>
          <w:color w:val="auto"/>
          <w:kern w:val="0"/>
          <w:sz w:val="22"/>
          <w:szCs w:val="22"/>
          <w:highlight w:val="none"/>
          <w:lang w:val="en-US" w:eastAsia="zh-CN"/>
        </w:rPr>
        <w:t>周</w:t>
      </w:r>
      <w:r>
        <w:rPr>
          <w:rFonts w:hint="eastAsia" w:ascii="宋体" w:hAnsi="宋体" w:eastAsia="宋体" w:cs="宋体"/>
          <w:snapToGrid w:val="0"/>
          <w:color w:val="auto"/>
          <w:kern w:val="0"/>
          <w:sz w:val="22"/>
          <w:szCs w:val="22"/>
          <w:highlight w:val="none"/>
          <w:lang w:eastAsia="zh-CN"/>
        </w:rPr>
        <w:t>期</w:t>
      </w:r>
      <w:r>
        <w:rPr>
          <w:rFonts w:hint="eastAsia" w:ascii="宋体" w:hAnsi="宋体" w:eastAsia="宋体" w:cs="宋体"/>
          <w:snapToGrid w:val="0"/>
          <w:color w:val="auto"/>
          <w:kern w:val="0"/>
          <w:sz w:val="22"/>
          <w:szCs w:val="22"/>
          <w:highlight w:val="none"/>
        </w:rPr>
        <w:t>：详见</w:t>
      </w:r>
      <w:r>
        <w:rPr>
          <w:rFonts w:hint="eastAsia" w:ascii="宋体" w:hAnsi="宋体" w:eastAsia="宋体" w:cs="宋体"/>
          <w:snapToGrid w:val="0"/>
          <w:color w:val="auto"/>
          <w:kern w:val="0"/>
          <w:sz w:val="22"/>
          <w:szCs w:val="22"/>
          <w:highlight w:val="none"/>
          <w:lang w:val="en-US" w:eastAsia="zh-CN"/>
        </w:rPr>
        <w:t xml:space="preserve">第一章 </w:t>
      </w:r>
      <w:r>
        <w:rPr>
          <w:rFonts w:hint="eastAsia" w:ascii="宋体" w:hAnsi="宋体" w:eastAsia="宋体" w:cs="宋体"/>
          <w:snapToGrid w:val="0"/>
          <w:color w:val="auto"/>
          <w:kern w:val="0"/>
          <w:sz w:val="22"/>
          <w:szCs w:val="22"/>
          <w:highlight w:val="none"/>
        </w:rPr>
        <w:t>招标公告。</w:t>
      </w:r>
    </w:p>
    <w:p w14:paraId="4E33F330">
      <w:pPr>
        <w:pStyle w:val="73"/>
        <w:keepNext w:val="0"/>
        <w:keepLines w:val="0"/>
        <w:pageBreakBefore w:val="0"/>
        <w:widowControl w:val="0"/>
        <w:kinsoku/>
        <w:wordWrap/>
        <w:overflowPunct/>
        <w:topLinePunct/>
        <w:autoSpaceDE/>
        <w:autoSpaceDN/>
        <w:bidi w:val="0"/>
        <w:adjustRightInd/>
        <w:snapToGrid/>
        <w:spacing w:line="360" w:lineRule="auto"/>
        <w:ind w:left="0" w:firstLine="0" w:firstLineChars="0"/>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2  项目资金</w:t>
      </w:r>
    </w:p>
    <w:p w14:paraId="7E513F5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2.1 本招标项目已由政府批准建设，所需建设资金已落实。投标报价和中标后的工程价款的货币种类均为人民币。</w:t>
      </w:r>
    </w:p>
    <w:p w14:paraId="2CCD3851">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hanging="497" w:hangingChars="225"/>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3  投标人的合格条件</w:t>
      </w:r>
    </w:p>
    <w:p w14:paraId="5318368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3.1 本项目实行公开招标，资格后审，通过资格审查是投标参与评标及中标的前提条件。</w:t>
      </w:r>
    </w:p>
    <w:p w14:paraId="4DCD3A76">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投标人应为具有与本次招标项目相应的资质和工作经验,具备承担本次招标的人员、设备等技术力量和能力的法人单位，具体要求详见</w:t>
      </w:r>
      <w:r>
        <w:rPr>
          <w:rFonts w:hint="eastAsia" w:ascii="宋体" w:hAnsi="宋体" w:eastAsia="宋体" w:cs="宋体"/>
          <w:snapToGrid w:val="0"/>
          <w:color w:val="auto"/>
          <w:kern w:val="0"/>
          <w:sz w:val="22"/>
          <w:szCs w:val="22"/>
          <w:highlight w:val="none"/>
          <w:lang w:val="en-US" w:eastAsia="zh-CN"/>
        </w:rPr>
        <w:t xml:space="preserve">第一章 </w:t>
      </w:r>
      <w:r>
        <w:rPr>
          <w:rFonts w:hint="eastAsia" w:ascii="宋体" w:hAnsi="宋体" w:eastAsia="宋体" w:cs="宋体"/>
          <w:snapToGrid w:val="0"/>
          <w:color w:val="auto"/>
          <w:kern w:val="0"/>
          <w:sz w:val="22"/>
          <w:szCs w:val="22"/>
          <w:highlight w:val="none"/>
        </w:rPr>
        <w:t>招标公告。</w:t>
      </w:r>
    </w:p>
    <w:p w14:paraId="22736036">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 xml:space="preserve">3.2 </w:t>
      </w:r>
      <w:r>
        <w:rPr>
          <w:rFonts w:hint="eastAsia" w:ascii="宋体" w:hAnsi="宋体" w:eastAsia="宋体" w:cs="宋体"/>
          <w:b/>
          <w:bCs/>
          <w:snapToGrid w:val="0"/>
          <w:color w:val="auto"/>
          <w:kern w:val="0"/>
          <w:sz w:val="22"/>
          <w:szCs w:val="22"/>
          <w:highlight w:val="none"/>
          <w:u w:val="none"/>
          <w:lang w:val="en-US" w:eastAsia="zh-CN"/>
        </w:rPr>
        <w:t>本项目不允许分包</w:t>
      </w:r>
      <w:r>
        <w:rPr>
          <w:rFonts w:hint="eastAsia" w:ascii="宋体" w:hAnsi="宋体" w:eastAsia="宋体" w:cs="宋体"/>
          <w:snapToGrid w:val="0"/>
          <w:color w:val="auto"/>
          <w:kern w:val="0"/>
          <w:sz w:val="22"/>
          <w:szCs w:val="22"/>
          <w:highlight w:val="none"/>
          <w:lang w:val="en-US" w:eastAsia="zh-CN"/>
        </w:rPr>
        <w:t>。</w:t>
      </w:r>
    </w:p>
    <w:p w14:paraId="1DE951E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hanging="497" w:hangingChars="225"/>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4  投标费用</w:t>
      </w:r>
    </w:p>
    <w:p w14:paraId="18F058D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4.1 投标人在投标过程中的一切费用，无论中标与否，均由投标人自行承担。</w:t>
      </w:r>
    </w:p>
    <w:p w14:paraId="268BBE6C">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hanging="497" w:hangingChars="225"/>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5  现场考察</w:t>
      </w:r>
    </w:p>
    <w:p w14:paraId="4E0C74B1">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5.1 招标人将不组织投标人进行现场考察，投标人认为需要的,可自行进行现场考察，招标人将予以必要的协助，费用由投标人自理。</w:t>
      </w:r>
    </w:p>
    <w:p w14:paraId="5480C5C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5.2 在现场考察过程中，投标人如果发生人身伤亡、财物或其他损失，无论何种原因所造成，招标人和招标代理均不负责。</w:t>
      </w:r>
    </w:p>
    <w:p w14:paraId="1C60777C">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5.3 由招标人提供的资料和数据，仅供投标人参考，招标人和招标代理对投标人由此做出的推论、解释和结论概不负责。</w:t>
      </w:r>
    </w:p>
    <w:p w14:paraId="21B5A825">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hanging="497" w:hangingChars="225"/>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6  标前会议</w:t>
      </w:r>
    </w:p>
    <w:p w14:paraId="3041D737">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23" w:name="_Toc44814581"/>
      <w:r>
        <w:rPr>
          <w:rFonts w:hint="eastAsia" w:ascii="宋体" w:hAnsi="宋体" w:eastAsia="宋体" w:cs="宋体"/>
          <w:snapToGrid w:val="0"/>
          <w:color w:val="auto"/>
          <w:kern w:val="0"/>
          <w:sz w:val="22"/>
          <w:szCs w:val="22"/>
          <w:highlight w:val="none"/>
        </w:rPr>
        <w:t>6.1 不组织标前会议。</w:t>
      </w:r>
    </w:p>
    <w:p w14:paraId="05618812">
      <w:pPr>
        <w:keepNext w:val="0"/>
        <w:keepLines w:val="0"/>
        <w:pageBreakBefore w:val="0"/>
        <w:widowControl w:val="0"/>
        <w:kinsoku/>
        <w:wordWrap/>
        <w:overflowPunct/>
        <w:topLinePunct/>
        <w:autoSpaceDE/>
        <w:autoSpaceDN/>
        <w:bidi w:val="0"/>
        <w:adjustRightInd/>
        <w:snapToGrid/>
        <w:spacing w:line="360" w:lineRule="auto"/>
        <w:ind w:lef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二、招标文件</w:t>
      </w:r>
      <w:bookmarkEnd w:id="23"/>
    </w:p>
    <w:p w14:paraId="31EE7A31">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7  招标文件的内容</w:t>
      </w:r>
    </w:p>
    <w:p w14:paraId="110A5F4F">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7.1 本项目招标文件由下列文件组成：</w:t>
      </w:r>
    </w:p>
    <w:p w14:paraId="2384122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第一章  招标公告</w:t>
      </w:r>
    </w:p>
    <w:p w14:paraId="467E0DA7">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第二章  投标人须知</w:t>
      </w:r>
    </w:p>
    <w:p w14:paraId="33906D7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第三章  评标办法</w:t>
      </w:r>
    </w:p>
    <w:p w14:paraId="71CF8232">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第四章  合同条款</w:t>
      </w:r>
    </w:p>
    <w:p w14:paraId="15D75382">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 xml:space="preserve">第五章  </w:t>
      </w:r>
      <w:r>
        <w:rPr>
          <w:rFonts w:hint="eastAsia" w:cs="宋体"/>
          <w:snapToGrid w:val="0"/>
          <w:color w:val="auto"/>
          <w:kern w:val="0"/>
          <w:sz w:val="22"/>
          <w:szCs w:val="22"/>
          <w:highlight w:val="none"/>
          <w:lang w:eastAsia="zh-CN"/>
        </w:rPr>
        <w:t>发包人要求</w:t>
      </w:r>
    </w:p>
    <w:p w14:paraId="00394D3F">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第六章  投标文件格式</w:t>
      </w:r>
    </w:p>
    <w:p w14:paraId="71290306">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24" w:name="_Toc298415767"/>
      <w:r>
        <w:rPr>
          <w:rFonts w:hint="eastAsia" w:ascii="宋体" w:hAnsi="宋体" w:eastAsia="宋体" w:cs="宋体"/>
          <w:snapToGrid w:val="0"/>
          <w:color w:val="auto"/>
          <w:kern w:val="0"/>
          <w:sz w:val="22"/>
          <w:szCs w:val="22"/>
          <w:highlight w:val="none"/>
        </w:rPr>
        <w:t>招标人在招标期间发出的所有有编号的补遗书以及其它正式有效函件，均是招标文件的组成部分。</w:t>
      </w:r>
      <w:bookmarkEnd w:id="24"/>
    </w:p>
    <w:p w14:paraId="568C19B8">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7.2 投标人应认真阅读招标文件中所有条款、格式、规范和清单，并按招标文件的规定与要求编写投标文件。如果投标文件与招标文件的规定和要求不符合，则投标人应自行负责。凡与招标文件的规定有重大偏离或保留的投标文件，其投标将被拒绝。</w:t>
      </w:r>
    </w:p>
    <w:p w14:paraId="2B10D8C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7.3 无论是否提交投标文件，投标人都不应扩散招标文件的内容。</w:t>
      </w:r>
    </w:p>
    <w:p w14:paraId="64BE292C">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8  招标文件的澄清和解答</w:t>
      </w:r>
    </w:p>
    <w:p w14:paraId="58B343C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8.1 要求澄清招标文件的投标人应以书面（含邮件）的方式在投标截止期16天以前通知招标人。招标人将在投标截止时间15天以前，以有编号的补遗书方式书面（含邮件）答复（包括对询问的解释，但不说明询问的来源）。招标人的答复将发给所有投标人。投标人在收到书面答复后，应立即以邮件的方式通知招标代理，确认已收到该书面答复。</w:t>
      </w:r>
    </w:p>
    <w:p w14:paraId="6BD516F4">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9  招标文件的修改</w:t>
      </w:r>
    </w:p>
    <w:p w14:paraId="229F05A3">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25" w:name="_Toc44814582"/>
      <w:r>
        <w:rPr>
          <w:rFonts w:hint="eastAsia" w:ascii="宋体" w:hAnsi="宋体" w:eastAsia="宋体" w:cs="宋体"/>
          <w:snapToGrid w:val="0"/>
          <w:color w:val="auto"/>
          <w:kern w:val="0"/>
          <w:sz w:val="22"/>
          <w:szCs w:val="22"/>
          <w:highlight w:val="none"/>
        </w:rPr>
        <w:t>9.1 在投标截止期15天前，招标人可能会因各种原因，对招标文件进行修改，并以补遗书形式发给所有购买招标文件的投标人，投标人收到书面材料后，应在24小时以内以邮件形式通知招标代理，确认已收到该补遗书。</w:t>
      </w:r>
    </w:p>
    <w:p w14:paraId="627C39B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9.2 为了给投标人合理的时间，使他们在编制投标文件时把补遗书的内容考虑进去，招标人可按照本须知第17条的规定，酌情延长递交投标文件的截止时间。</w:t>
      </w:r>
    </w:p>
    <w:p w14:paraId="6DAB763B">
      <w:pPr>
        <w:keepNext w:val="0"/>
        <w:keepLines w:val="0"/>
        <w:pageBreakBefore w:val="0"/>
        <w:widowControl w:val="0"/>
        <w:kinsoku/>
        <w:wordWrap/>
        <w:overflowPunct/>
        <w:topLinePunct/>
        <w:autoSpaceDE/>
        <w:autoSpaceDN/>
        <w:bidi w:val="0"/>
        <w:adjustRightInd/>
        <w:snapToGrid/>
        <w:spacing w:line="360" w:lineRule="auto"/>
        <w:ind w:lef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三、投标文件的编制</w:t>
      </w:r>
      <w:bookmarkEnd w:id="25"/>
    </w:p>
    <w:p w14:paraId="7878FC4C">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10  投标文件的语言</w:t>
      </w:r>
    </w:p>
    <w:p w14:paraId="409CF6D0">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10.1 投标文件及投标人与招标人之间的来往信函、文件均使用中文。</w:t>
      </w:r>
    </w:p>
    <w:p w14:paraId="1249DB1D">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11  投标文件的组成</w:t>
      </w:r>
    </w:p>
    <w:p w14:paraId="1D0E9F5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26" w:name="_Toc298415780"/>
      <w:r>
        <w:rPr>
          <w:rFonts w:hint="eastAsia" w:ascii="宋体" w:hAnsi="宋体" w:eastAsia="宋体" w:cs="宋体"/>
          <w:snapToGrid w:val="0"/>
          <w:color w:val="auto"/>
          <w:kern w:val="0"/>
          <w:sz w:val="22"/>
          <w:szCs w:val="22"/>
          <w:highlight w:val="none"/>
        </w:rPr>
        <w:t>11.1 投标人编写的投标文件，应包括下列各项：</w:t>
      </w:r>
      <w:bookmarkEnd w:id="26"/>
    </w:p>
    <w:p w14:paraId="36786DC2">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第一个信封（商务及技术文件）</w:t>
      </w:r>
    </w:p>
    <w:p w14:paraId="24140859">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一  投标函</w:t>
      </w:r>
    </w:p>
    <w:p w14:paraId="590AACF6">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二  法定代表人身份证明</w:t>
      </w:r>
      <w:r>
        <w:rPr>
          <w:rFonts w:hint="eastAsia" w:cs="宋体"/>
          <w:snapToGrid w:val="0"/>
          <w:color w:val="auto"/>
          <w:kern w:val="0"/>
          <w:sz w:val="22"/>
          <w:szCs w:val="22"/>
          <w:highlight w:val="none"/>
          <w:lang w:val="en-US" w:eastAsia="zh-CN"/>
        </w:rPr>
        <w:t>及</w:t>
      </w:r>
      <w:r>
        <w:rPr>
          <w:rFonts w:hint="eastAsia" w:ascii="宋体" w:hAnsi="宋体" w:eastAsia="宋体" w:cs="宋体"/>
          <w:snapToGrid w:val="0"/>
          <w:color w:val="auto"/>
          <w:kern w:val="0"/>
          <w:sz w:val="22"/>
          <w:szCs w:val="22"/>
          <w:highlight w:val="none"/>
        </w:rPr>
        <w:t>授权委托书</w:t>
      </w:r>
    </w:p>
    <w:p w14:paraId="02532E98">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三</w:t>
      </w:r>
      <w:r>
        <w:rPr>
          <w:rFonts w:hint="eastAsia" w:ascii="宋体" w:hAnsi="宋体" w:eastAsia="宋体" w:cs="宋体"/>
          <w:snapToGrid w:val="0"/>
          <w:color w:val="auto"/>
          <w:kern w:val="0"/>
          <w:sz w:val="22"/>
          <w:szCs w:val="22"/>
          <w:highlight w:val="none"/>
        </w:rPr>
        <w:t xml:space="preserve">  资格审查资料</w:t>
      </w:r>
    </w:p>
    <w:p w14:paraId="584CDEFF">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四</w:t>
      </w:r>
      <w:r>
        <w:rPr>
          <w:rFonts w:hint="eastAsia" w:ascii="宋体" w:hAnsi="宋体" w:eastAsia="宋体" w:cs="宋体"/>
          <w:snapToGrid w:val="0"/>
          <w:color w:val="auto"/>
          <w:kern w:val="0"/>
          <w:sz w:val="22"/>
          <w:szCs w:val="22"/>
          <w:highlight w:val="none"/>
        </w:rPr>
        <w:t xml:space="preserve">  承诺书</w:t>
      </w:r>
    </w:p>
    <w:p w14:paraId="2B33178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五</w:t>
      </w:r>
      <w:r>
        <w:rPr>
          <w:rFonts w:hint="eastAsia" w:ascii="宋体" w:hAnsi="宋体" w:eastAsia="宋体" w:cs="宋体"/>
          <w:snapToGrid w:val="0"/>
          <w:color w:val="auto"/>
          <w:kern w:val="0"/>
          <w:sz w:val="22"/>
          <w:szCs w:val="22"/>
          <w:highlight w:val="none"/>
        </w:rPr>
        <w:t xml:space="preserve">  工作大纲</w:t>
      </w:r>
    </w:p>
    <w:p w14:paraId="350A5138">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六</w:t>
      </w:r>
      <w:r>
        <w:rPr>
          <w:rFonts w:hint="eastAsia" w:ascii="宋体" w:hAnsi="宋体" w:eastAsia="宋体" w:cs="宋体"/>
          <w:snapToGrid w:val="0"/>
          <w:color w:val="auto"/>
          <w:kern w:val="0"/>
          <w:sz w:val="22"/>
          <w:szCs w:val="22"/>
          <w:highlight w:val="none"/>
        </w:rPr>
        <w:t xml:space="preserve">  其他材料</w:t>
      </w:r>
    </w:p>
    <w:p w14:paraId="73EDF26F">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2"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第二个信封（报价文件）</w:t>
      </w:r>
    </w:p>
    <w:p w14:paraId="6BF08DF9">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一  投标函</w:t>
      </w:r>
    </w:p>
    <w:p w14:paraId="1D50DE65">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二  报价清单</w:t>
      </w:r>
    </w:p>
    <w:p w14:paraId="654B259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11.2 投标人应使用招标文件中提供的格式或大纲编写，并按上述顺序装订，但表格可以按同样格式扩展。投标文件应标注连续页码；投标文件应编制目录，并注明页码。</w:t>
      </w:r>
    </w:p>
    <w:p w14:paraId="0D207BE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11.3 在提交投标文件时应同时提交一份其投标文件的文字录入部分的电子文档</w:t>
      </w:r>
      <w:r>
        <w:rPr>
          <w:rFonts w:hint="eastAsia" w:cs="宋体"/>
          <w:snapToGrid w:val="0"/>
          <w:color w:val="auto"/>
          <w:kern w:val="0"/>
          <w:sz w:val="22"/>
          <w:szCs w:val="22"/>
          <w:highlight w:val="none"/>
          <w:lang w:eastAsia="zh-CN"/>
        </w:rPr>
        <w:t>（</w:t>
      </w:r>
      <w:r>
        <w:rPr>
          <w:rFonts w:hint="eastAsia" w:cs="宋体"/>
          <w:b/>
          <w:bCs/>
          <w:snapToGrid w:val="0"/>
          <w:color w:val="auto"/>
          <w:kern w:val="0"/>
          <w:sz w:val="22"/>
          <w:szCs w:val="22"/>
          <w:highlight w:val="none"/>
          <w:lang w:val="en-US" w:eastAsia="zh-CN"/>
        </w:rPr>
        <w:t>包含盖章扫描件</w:t>
      </w:r>
      <w:r>
        <w:rPr>
          <w:rFonts w:hint="eastAsia"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，文件用WORD软件制作，报价用EXCEL软件制作，文件均不得设置密码，并将文件拷入</w:t>
      </w:r>
      <w:r>
        <w:rPr>
          <w:rFonts w:hint="eastAsia" w:ascii="宋体" w:hAnsi="宋体" w:eastAsia="宋体" w:cs="宋体"/>
          <w:b/>
          <w:bCs/>
          <w:snapToGrid w:val="0"/>
          <w:color w:val="auto"/>
          <w:kern w:val="0"/>
          <w:sz w:val="22"/>
          <w:szCs w:val="22"/>
          <w:highlight w:val="none"/>
        </w:rPr>
        <w:t>U盘</w:t>
      </w:r>
      <w:r>
        <w:rPr>
          <w:rFonts w:hint="eastAsia" w:ascii="宋体" w:hAnsi="宋体" w:eastAsia="宋体" w:cs="宋体"/>
          <w:snapToGrid w:val="0"/>
          <w:color w:val="auto"/>
          <w:kern w:val="0"/>
          <w:sz w:val="22"/>
          <w:szCs w:val="22"/>
          <w:highlight w:val="none"/>
        </w:rPr>
        <w:t>，</w:t>
      </w:r>
      <w:r>
        <w:rPr>
          <w:rFonts w:hint="eastAsia" w:cs="宋体"/>
          <w:snapToGrid w:val="0"/>
          <w:color w:val="auto"/>
          <w:kern w:val="0"/>
          <w:sz w:val="22"/>
          <w:szCs w:val="22"/>
          <w:highlight w:val="none"/>
          <w:lang w:val="en-US" w:eastAsia="zh-CN"/>
        </w:rPr>
        <w:t>两个信封需分别提交，</w:t>
      </w:r>
      <w:r>
        <w:rPr>
          <w:rFonts w:hint="eastAsia" w:ascii="宋体" w:hAnsi="宋体" w:eastAsia="宋体" w:cs="宋体"/>
          <w:snapToGrid w:val="0"/>
          <w:color w:val="auto"/>
          <w:kern w:val="0"/>
          <w:sz w:val="22"/>
          <w:szCs w:val="22"/>
          <w:highlight w:val="none"/>
        </w:rPr>
        <w:t>投标人应保证其提交的电子文件无病毒。U盘上需标明标段名称和投标人名称。</w:t>
      </w:r>
    </w:p>
    <w:p w14:paraId="7A87C2B6">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11.4 投标文件的正本与副本应分别装订成册，投标文件不得采用活页夹装订，否则，招标人对由于投标文件装订松散而造成的丢失或其他后果不承担任何责任。</w:t>
      </w:r>
    </w:p>
    <w:p w14:paraId="1777DE8A">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12  投标价格</w:t>
      </w:r>
    </w:p>
    <w:p w14:paraId="289B575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2" w:firstLineChars="200"/>
        <w:rPr>
          <w:rFonts w:hint="eastAsia" w:ascii="宋体" w:hAnsi="宋体" w:eastAsia="宋体" w:cs="宋体"/>
          <w:b/>
          <w:bCs/>
          <w:snapToGrid w:val="0"/>
          <w:color w:val="auto"/>
          <w:kern w:val="0"/>
          <w:sz w:val="22"/>
          <w:szCs w:val="22"/>
          <w:highlight w:val="none"/>
          <w:u w:val="single"/>
          <w:lang w:val="en-US" w:eastAsia="zh-CN"/>
        </w:rPr>
      </w:pPr>
      <w:r>
        <w:rPr>
          <w:rFonts w:hint="eastAsia" w:ascii="宋体" w:hAnsi="宋体" w:eastAsia="宋体" w:cs="宋体"/>
          <w:b/>
          <w:bCs/>
          <w:snapToGrid w:val="0"/>
          <w:color w:val="auto"/>
          <w:kern w:val="0"/>
          <w:sz w:val="22"/>
          <w:szCs w:val="22"/>
          <w:highlight w:val="none"/>
        </w:rPr>
        <w:t xml:space="preserve">12.1 </w:t>
      </w:r>
      <w:bookmarkStart w:id="27" w:name="_Toc298415800"/>
      <w:r>
        <w:rPr>
          <w:rFonts w:hint="eastAsia" w:ascii="宋体" w:hAnsi="宋体" w:eastAsia="宋体" w:cs="宋体"/>
          <w:b/>
          <w:bCs/>
          <w:snapToGrid w:val="0"/>
          <w:color w:val="auto"/>
          <w:kern w:val="0"/>
          <w:sz w:val="22"/>
          <w:szCs w:val="22"/>
          <w:highlight w:val="none"/>
        </w:rPr>
        <w:t>招标人设有最高投标限价，招标人设定的最高投标限价为</w:t>
      </w:r>
      <w:r>
        <w:rPr>
          <w:rFonts w:hint="eastAsia" w:ascii="宋体" w:hAnsi="宋体" w:eastAsia="宋体" w:cs="宋体"/>
          <w:b/>
          <w:bCs/>
          <w:snapToGrid w:val="0"/>
          <w:color w:val="auto"/>
          <w:kern w:val="0"/>
          <w:sz w:val="22"/>
          <w:szCs w:val="22"/>
          <w:highlight w:val="none"/>
          <w:u w:val="single"/>
        </w:rPr>
        <w:t>人民币</w:t>
      </w:r>
      <w:r>
        <w:rPr>
          <w:rFonts w:hint="eastAsia" w:cs="宋体"/>
          <w:b/>
          <w:bCs/>
          <w:snapToGrid w:val="0"/>
          <w:color w:val="auto"/>
          <w:kern w:val="0"/>
          <w:sz w:val="22"/>
          <w:szCs w:val="22"/>
          <w:highlight w:val="none"/>
          <w:u w:val="single"/>
          <w:lang w:val="en-US" w:eastAsia="zh-CN"/>
        </w:rPr>
        <w:t>贰</w:t>
      </w:r>
      <w:r>
        <w:rPr>
          <w:rFonts w:hint="eastAsia" w:ascii="宋体" w:hAnsi="宋体" w:eastAsia="宋体" w:cs="宋体"/>
          <w:b/>
          <w:bCs/>
          <w:snapToGrid w:val="0"/>
          <w:color w:val="auto"/>
          <w:kern w:val="0"/>
          <w:sz w:val="22"/>
          <w:szCs w:val="22"/>
          <w:highlight w:val="none"/>
          <w:u w:val="single"/>
        </w:rPr>
        <w:t>拾伍万元整（¥</w:t>
      </w:r>
      <w:r>
        <w:rPr>
          <w:rFonts w:hint="eastAsia" w:cs="宋体"/>
          <w:b/>
          <w:bCs/>
          <w:snapToGrid w:val="0"/>
          <w:color w:val="auto"/>
          <w:kern w:val="0"/>
          <w:sz w:val="22"/>
          <w:szCs w:val="22"/>
          <w:highlight w:val="none"/>
          <w:u w:val="single"/>
          <w:lang w:val="en-US" w:eastAsia="zh-CN"/>
        </w:rPr>
        <w:t>250000</w:t>
      </w:r>
      <w:r>
        <w:rPr>
          <w:rFonts w:hint="eastAsia" w:ascii="宋体" w:hAnsi="宋体" w:eastAsia="宋体" w:cs="宋体"/>
          <w:b/>
          <w:bCs/>
          <w:snapToGrid w:val="0"/>
          <w:color w:val="auto"/>
          <w:kern w:val="0"/>
          <w:sz w:val="22"/>
          <w:szCs w:val="22"/>
          <w:highlight w:val="none"/>
          <w:u w:val="single"/>
        </w:rPr>
        <w:t>元）</w:t>
      </w:r>
      <w:r>
        <w:rPr>
          <w:rFonts w:hint="eastAsia" w:ascii="宋体" w:hAnsi="宋体" w:eastAsia="宋体" w:cs="宋体"/>
          <w:b/>
          <w:bCs/>
          <w:snapToGrid w:val="0"/>
          <w:color w:val="auto"/>
          <w:kern w:val="0"/>
          <w:sz w:val="22"/>
          <w:szCs w:val="22"/>
          <w:highlight w:val="none"/>
          <w:u w:val="none"/>
        </w:rPr>
        <w:t>。</w:t>
      </w:r>
      <w:r>
        <w:rPr>
          <w:rFonts w:hint="eastAsia" w:cs="宋体"/>
          <w:b/>
          <w:bCs/>
          <w:snapToGrid w:val="0"/>
          <w:color w:val="auto"/>
          <w:kern w:val="0"/>
          <w:sz w:val="22"/>
          <w:szCs w:val="22"/>
          <w:highlight w:val="none"/>
          <w:u w:val="none"/>
          <w:lang w:val="en-US" w:eastAsia="zh-CN"/>
        </w:rPr>
        <w:t>其中通海港区-通州湾港区疏港航道双桥枢纽工程包括的15米排档船2艘分项限价为</w:t>
      </w:r>
      <w:r>
        <w:rPr>
          <w:rFonts w:hint="eastAsia" w:cs="宋体"/>
          <w:b/>
          <w:bCs/>
          <w:snapToGrid w:val="0"/>
          <w:color w:val="auto"/>
          <w:kern w:val="0"/>
          <w:sz w:val="22"/>
          <w:szCs w:val="22"/>
          <w:highlight w:val="none"/>
          <w:u w:val="single"/>
          <w:lang w:val="en-US" w:eastAsia="zh-CN"/>
        </w:rPr>
        <w:t>人民币拾万元整（¥100000元）</w:t>
      </w:r>
      <w:r>
        <w:rPr>
          <w:rFonts w:hint="eastAsia" w:cs="宋体"/>
          <w:b/>
          <w:bCs/>
          <w:snapToGrid w:val="0"/>
          <w:color w:val="auto"/>
          <w:kern w:val="0"/>
          <w:sz w:val="22"/>
          <w:szCs w:val="22"/>
          <w:highlight w:val="none"/>
          <w:u w:val="none"/>
          <w:lang w:eastAsia="zh-CN"/>
        </w:rPr>
        <w:t>，通海港区-通州湾港区疏港航道整治工程新江海河船闸工程</w:t>
      </w:r>
      <w:r>
        <w:rPr>
          <w:rFonts w:hint="eastAsia" w:cs="宋体"/>
          <w:b/>
          <w:bCs/>
          <w:snapToGrid w:val="0"/>
          <w:color w:val="auto"/>
          <w:kern w:val="0"/>
          <w:sz w:val="22"/>
          <w:szCs w:val="22"/>
          <w:highlight w:val="none"/>
          <w:u w:val="none"/>
          <w:lang w:val="en-US" w:eastAsia="zh-CN"/>
        </w:rPr>
        <w:t>15米排档船1艘分项限价为</w:t>
      </w:r>
      <w:r>
        <w:rPr>
          <w:rFonts w:hint="eastAsia" w:cs="宋体"/>
          <w:b/>
          <w:bCs/>
          <w:snapToGrid w:val="0"/>
          <w:color w:val="auto"/>
          <w:kern w:val="0"/>
          <w:sz w:val="22"/>
          <w:szCs w:val="22"/>
          <w:highlight w:val="none"/>
          <w:u w:val="single"/>
          <w:lang w:val="en-US" w:eastAsia="zh-CN"/>
        </w:rPr>
        <w:t>人民币伍万元整（¥50000元）</w:t>
      </w:r>
      <w:r>
        <w:rPr>
          <w:rFonts w:hint="eastAsia" w:cs="宋体"/>
          <w:b/>
          <w:bCs/>
          <w:snapToGrid w:val="0"/>
          <w:color w:val="auto"/>
          <w:kern w:val="0"/>
          <w:sz w:val="22"/>
          <w:szCs w:val="22"/>
          <w:highlight w:val="none"/>
          <w:u w:val="none"/>
          <w:lang w:eastAsia="zh-CN"/>
        </w:rPr>
        <w:t>，通海港区-通州湾港区疏港航道新江海河段航道整治工程包括</w:t>
      </w:r>
      <w:r>
        <w:rPr>
          <w:rFonts w:hint="eastAsia" w:cs="宋体"/>
          <w:b/>
          <w:bCs/>
          <w:snapToGrid w:val="0"/>
          <w:color w:val="auto"/>
          <w:kern w:val="0"/>
          <w:sz w:val="22"/>
          <w:szCs w:val="22"/>
          <w:highlight w:val="none"/>
          <w:u w:val="none"/>
          <w:lang w:val="en-US" w:eastAsia="zh-CN"/>
        </w:rPr>
        <w:t>的</w:t>
      </w:r>
      <w:r>
        <w:rPr>
          <w:rFonts w:hint="eastAsia" w:cs="宋体"/>
          <w:b/>
          <w:bCs/>
          <w:snapToGrid w:val="0"/>
          <w:color w:val="auto"/>
          <w:kern w:val="0"/>
          <w:sz w:val="22"/>
          <w:szCs w:val="22"/>
          <w:highlight w:val="none"/>
          <w:u w:val="none"/>
          <w:lang w:eastAsia="zh-CN"/>
        </w:rPr>
        <w:t>17米工作保障船1艘</w:t>
      </w:r>
      <w:r>
        <w:rPr>
          <w:rFonts w:hint="eastAsia" w:cs="宋体"/>
          <w:b/>
          <w:bCs/>
          <w:snapToGrid w:val="0"/>
          <w:color w:val="auto"/>
          <w:kern w:val="0"/>
          <w:sz w:val="22"/>
          <w:szCs w:val="22"/>
          <w:highlight w:val="none"/>
          <w:u w:val="none"/>
          <w:lang w:val="en-US" w:eastAsia="zh-CN"/>
        </w:rPr>
        <w:t>分项限价为</w:t>
      </w:r>
      <w:r>
        <w:rPr>
          <w:rFonts w:hint="eastAsia" w:ascii="宋体" w:hAnsi="宋体" w:eastAsia="宋体" w:cs="宋体"/>
          <w:b/>
          <w:bCs/>
          <w:snapToGrid w:val="0"/>
          <w:color w:val="auto"/>
          <w:kern w:val="0"/>
          <w:sz w:val="22"/>
          <w:szCs w:val="22"/>
          <w:highlight w:val="none"/>
          <w:u w:val="single"/>
        </w:rPr>
        <w:t>人民币拾万元整（¥1</w:t>
      </w:r>
      <w:r>
        <w:rPr>
          <w:rFonts w:hint="eastAsia" w:cs="宋体"/>
          <w:b/>
          <w:bCs/>
          <w:snapToGrid w:val="0"/>
          <w:color w:val="auto"/>
          <w:kern w:val="0"/>
          <w:sz w:val="22"/>
          <w:szCs w:val="22"/>
          <w:highlight w:val="none"/>
          <w:u w:val="single"/>
          <w:lang w:val="en-US" w:eastAsia="zh-CN"/>
        </w:rPr>
        <w:t>00</w:t>
      </w:r>
      <w:r>
        <w:rPr>
          <w:rFonts w:hint="eastAsia" w:ascii="宋体" w:hAnsi="宋体" w:eastAsia="宋体" w:cs="宋体"/>
          <w:b/>
          <w:bCs/>
          <w:snapToGrid w:val="0"/>
          <w:color w:val="auto"/>
          <w:kern w:val="0"/>
          <w:sz w:val="22"/>
          <w:szCs w:val="22"/>
          <w:highlight w:val="none"/>
          <w:u w:val="single"/>
        </w:rPr>
        <w:t>000元）</w:t>
      </w:r>
      <w:r>
        <w:rPr>
          <w:rFonts w:hint="eastAsia" w:cs="宋体"/>
          <w:b/>
          <w:bCs/>
          <w:snapToGrid w:val="0"/>
          <w:color w:val="auto"/>
          <w:kern w:val="0"/>
          <w:sz w:val="22"/>
          <w:szCs w:val="22"/>
          <w:highlight w:val="none"/>
          <w:u w:val="single"/>
          <w:lang w:eastAsia="zh-CN"/>
        </w:rPr>
        <w:t>。</w:t>
      </w:r>
    </w:p>
    <w:p w14:paraId="602D0223">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开标时投标人投标报价超出招标人设定的最高投标限价</w:t>
      </w:r>
      <w:r>
        <w:rPr>
          <w:rFonts w:hint="eastAsia" w:cs="宋体"/>
          <w:b/>
          <w:bCs/>
          <w:snapToGrid w:val="0"/>
          <w:color w:val="auto"/>
          <w:kern w:val="0"/>
          <w:sz w:val="22"/>
          <w:szCs w:val="22"/>
          <w:highlight w:val="none"/>
          <w:lang w:val="en-US" w:eastAsia="zh-CN"/>
        </w:rPr>
        <w:t>或分项限价</w:t>
      </w:r>
      <w:r>
        <w:rPr>
          <w:rFonts w:hint="eastAsia" w:ascii="宋体" w:hAnsi="宋体" w:eastAsia="宋体" w:cs="宋体"/>
          <w:b/>
          <w:bCs/>
          <w:snapToGrid w:val="0"/>
          <w:color w:val="auto"/>
          <w:kern w:val="0"/>
          <w:sz w:val="22"/>
          <w:szCs w:val="22"/>
          <w:highlight w:val="none"/>
        </w:rPr>
        <w:t>的，招标人不予接受，作否决投标处理。</w:t>
      </w:r>
    </w:p>
    <w:p w14:paraId="3A5FE818">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12.2 投标人的投标报价：</w:t>
      </w:r>
    </w:p>
    <w:bookmarkEnd w:id="27"/>
    <w:p w14:paraId="63C932F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2" w:firstLineChars="200"/>
        <w:rPr>
          <w:rFonts w:hint="eastAsia" w:ascii="宋体" w:hAnsi="宋体" w:eastAsia="宋体" w:cs="宋体"/>
          <w:b/>
          <w:bCs w:val="0"/>
          <w:snapToGrid w:val="0"/>
          <w:color w:val="auto"/>
          <w:kern w:val="0"/>
          <w:sz w:val="22"/>
          <w:szCs w:val="22"/>
          <w:highlight w:val="none"/>
          <w:lang w:eastAsia="zh-CN"/>
        </w:rPr>
      </w:pPr>
      <w:r>
        <w:rPr>
          <w:rFonts w:hint="eastAsia" w:ascii="宋体" w:hAnsi="宋体" w:eastAsia="宋体" w:cs="宋体"/>
          <w:b/>
          <w:bCs w:val="0"/>
          <w:snapToGrid w:val="0"/>
          <w:color w:val="auto"/>
          <w:kern w:val="0"/>
          <w:sz w:val="22"/>
          <w:szCs w:val="22"/>
          <w:highlight w:val="none"/>
        </w:rPr>
        <w:t>（1）本项目为总价合同，</w:t>
      </w:r>
      <w:r>
        <w:rPr>
          <w:rFonts w:hint="eastAsia" w:ascii="宋体" w:hAnsi="宋体" w:eastAsia="宋体" w:cs="宋体"/>
          <w:b/>
          <w:bCs w:val="0"/>
          <w:snapToGrid w:val="0"/>
          <w:color w:val="auto"/>
          <w:kern w:val="0"/>
          <w:sz w:val="22"/>
          <w:szCs w:val="22"/>
          <w:highlight w:val="none"/>
          <w:lang w:eastAsia="zh-CN"/>
        </w:rPr>
        <w:t>投标人的投标报价应视为包括方案编制费、图纸设计编制费、效果图出图费及送审费、劳务费、交通费、餐费、住宿费等与履行本合同有关的一切费用。</w:t>
      </w:r>
    </w:p>
    <w:p w14:paraId="2988F0D8">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2</w:t>
      </w: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rPr>
        <w:t>在合同实施期间，本项目合同费用不随估算投资额的变化而调整，不随国家政策或法规、标准及市场因素的变化而调整。除非在合同条款中另有规定，</w:t>
      </w:r>
      <w:r>
        <w:rPr>
          <w:rFonts w:hint="eastAsia" w:ascii="宋体" w:hAnsi="宋体" w:eastAsia="宋体" w:cs="宋体"/>
          <w:bCs/>
          <w:snapToGrid w:val="0"/>
          <w:color w:val="auto"/>
          <w:kern w:val="0"/>
          <w:sz w:val="22"/>
          <w:szCs w:val="22"/>
          <w:highlight w:val="none"/>
          <w:lang w:eastAsia="zh-CN"/>
        </w:rPr>
        <w:t>投标人</w:t>
      </w:r>
      <w:r>
        <w:rPr>
          <w:rFonts w:hint="eastAsia" w:ascii="宋体" w:hAnsi="宋体" w:eastAsia="宋体" w:cs="宋体"/>
          <w:bCs/>
          <w:snapToGrid w:val="0"/>
          <w:color w:val="auto"/>
          <w:kern w:val="0"/>
          <w:sz w:val="22"/>
          <w:szCs w:val="22"/>
          <w:highlight w:val="none"/>
        </w:rPr>
        <w:t>所报的价格在合同实施期间不予调整。</w:t>
      </w:r>
    </w:p>
    <w:p w14:paraId="68C2399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3</w:t>
      </w: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rPr>
        <w:t>本项目发包人不提供任何设施与物品，受托人的现场生活、办公用房，办公、生活设施以及交通、水电、通讯等问题由</w:t>
      </w:r>
      <w:r>
        <w:rPr>
          <w:rFonts w:hint="eastAsia" w:ascii="宋体" w:hAnsi="宋体" w:eastAsia="宋体" w:cs="宋体"/>
          <w:bCs/>
          <w:snapToGrid w:val="0"/>
          <w:color w:val="auto"/>
          <w:kern w:val="0"/>
          <w:sz w:val="22"/>
          <w:szCs w:val="22"/>
          <w:highlight w:val="none"/>
          <w:lang w:eastAsia="zh-CN"/>
        </w:rPr>
        <w:t>投标人</w:t>
      </w:r>
      <w:r>
        <w:rPr>
          <w:rFonts w:hint="eastAsia" w:ascii="宋体" w:hAnsi="宋体" w:eastAsia="宋体" w:cs="宋体"/>
          <w:bCs/>
          <w:snapToGrid w:val="0"/>
          <w:color w:val="auto"/>
          <w:kern w:val="0"/>
          <w:sz w:val="22"/>
          <w:szCs w:val="22"/>
          <w:highlight w:val="none"/>
        </w:rPr>
        <w:t>在报价时自行考虑，不单独列项。</w:t>
      </w:r>
    </w:p>
    <w:p w14:paraId="61FBC05E">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4</w:t>
      </w: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rPr>
        <w:t>受托人的雇员及装备的保险由受托人自行投保，包含在报价中，不单独计量与支付。</w:t>
      </w:r>
    </w:p>
    <w:p w14:paraId="6DED98D0">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5</w:t>
      </w: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rPr>
        <w:t>受托人应为投入的工作人员进行必要的安全教育，配备必要的安全装备，并为相关现场服务人员投保并承担费用，相关费用在报价中充分考虑。</w:t>
      </w:r>
    </w:p>
    <w:p w14:paraId="3B55381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6</w:t>
      </w: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rPr>
        <w:t>受托人应按相关规定取得相关部门的批复文件，因此发生的一切费用应含在报价中。</w:t>
      </w:r>
    </w:p>
    <w:p w14:paraId="16F90525">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7</w:t>
      </w:r>
      <w:r>
        <w:rPr>
          <w:rFonts w:hint="eastAsia" w:ascii="宋体" w:hAnsi="宋体" w:eastAsia="宋体" w:cs="宋体"/>
          <w:bCs/>
          <w:snapToGrid w:val="0"/>
          <w:color w:val="auto"/>
          <w:kern w:val="0"/>
          <w:sz w:val="22"/>
          <w:szCs w:val="22"/>
          <w:highlight w:val="none"/>
          <w:lang w:eastAsia="zh-CN"/>
        </w:rPr>
        <w:t>）投标人</w:t>
      </w:r>
      <w:r>
        <w:rPr>
          <w:rFonts w:hint="eastAsia" w:ascii="宋体" w:hAnsi="宋体" w:eastAsia="宋体" w:cs="宋体"/>
          <w:bCs/>
          <w:snapToGrid w:val="0"/>
          <w:color w:val="auto"/>
          <w:kern w:val="0"/>
          <w:sz w:val="22"/>
          <w:szCs w:val="22"/>
          <w:highlight w:val="none"/>
        </w:rPr>
        <w:t>在编制报价时需充分考虑市场风险和国家政策性调整风险等一切因素，并计入报价中。</w:t>
      </w:r>
    </w:p>
    <w:p w14:paraId="6AF67BF1">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8</w:t>
      </w:r>
      <w:r>
        <w:rPr>
          <w:rFonts w:hint="eastAsia" w:ascii="宋体" w:hAnsi="宋体" w:eastAsia="宋体" w:cs="宋体"/>
          <w:bCs/>
          <w:snapToGrid w:val="0"/>
          <w:color w:val="auto"/>
          <w:kern w:val="0"/>
          <w:sz w:val="22"/>
          <w:szCs w:val="22"/>
          <w:highlight w:val="none"/>
          <w:lang w:eastAsia="zh-CN"/>
        </w:rPr>
        <w:t>）投标人</w:t>
      </w:r>
      <w:r>
        <w:rPr>
          <w:rFonts w:hint="eastAsia" w:ascii="宋体" w:hAnsi="宋体" w:eastAsia="宋体" w:cs="宋体"/>
          <w:bCs/>
          <w:snapToGrid w:val="0"/>
          <w:color w:val="auto"/>
          <w:kern w:val="0"/>
          <w:sz w:val="22"/>
          <w:szCs w:val="22"/>
          <w:highlight w:val="none"/>
        </w:rPr>
        <w:t>若发现</w:t>
      </w:r>
      <w:r>
        <w:rPr>
          <w:rFonts w:hint="eastAsia" w:ascii="宋体" w:hAnsi="宋体" w:eastAsia="宋体" w:cs="宋体"/>
          <w:bCs/>
          <w:snapToGrid w:val="0"/>
          <w:color w:val="auto"/>
          <w:kern w:val="0"/>
          <w:sz w:val="22"/>
          <w:szCs w:val="22"/>
          <w:highlight w:val="none"/>
          <w:lang w:eastAsia="zh-CN"/>
        </w:rPr>
        <w:t>招标人</w:t>
      </w:r>
      <w:r>
        <w:rPr>
          <w:rFonts w:hint="eastAsia" w:ascii="宋体" w:hAnsi="宋体" w:eastAsia="宋体" w:cs="宋体"/>
          <w:bCs/>
          <w:snapToGrid w:val="0"/>
          <w:color w:val="auto"/>
          <w:kern w:val="0"/>
          <w:sz w:val="22"/>
          <w:szCs w:val="22"/>
          <w:highlight w:val="none"/>
        </w:rPr>
        <w:t>提供的服务费用报价清单存在问题，可书面向</w:t>
      </w:r>
      <w:r>
        <w:rPr>
          <w:rFonts w:hint="eastAsia" w:ascii="宋体" w:hAnsi="宋体" w:eastAsia="宋体" w:cs="宋体"/>
          <w:bCs/>
          <w:snapToGrid w:val="0"/>
          <w:color w:val="auto"/>
          <w:kern w:val="0"/>
          <w:sz w:val="22"/>
          <w:szCs w:val="22"/>
          <w:highlight w:val="none"/>
          <w:lang w:eastAsia="zh-CN"/>
        </w:rPr>
        <w:t>招标人</w:t>
      </w:r>
      <w:r>
        <w:rPr>
          <w:rFonts w:hint="eastAsia" w:ascii="宋体" w:hAnsi="宋体" w:eastAsia="宋体" w:cs="宋体"/>
          <w:bCs/>
          <w:snapToGrid w:val="0"/>
          <w:color w:val="auto"/>
          <w:kern w:val="0"/>
          <w:sz w:val="22"/>
          <w:szCs w:val="22"/>
          <w:highlight w:val="none"/>
        </w:rPr>
        <w:t>提出。但未经</w:t>
      </w:r>
      <w:r>
        <w:rPr>
          <w:rFonts w:hint="eastAsia" w:ascii="宋体" w:hAnsi="宋体" w:eastAsia="宋体" w:cs="宋体"/>
          <w:bCs/>
          <w:snapToGrid w:val="0"/>
          <w:color w:val="auto"/>
          <w:kern w:val="0"/>
          <w:sz w:val="22"/>
          <w:szCs w:val="22"/>
          <w:highlight w:val="none"/>
          <w:lang w:eastAsia="zh-CN"/>
        </w:rPr>
        <w:t>招标人</w:t>
      </w:r>
      <w:r>
        <w:rPr>
          <w:rFonts w:hint="eastAsia" w:ascii="宋体" w:hAnsi="宋体" w:eastAsia="宋体" w:cs="宋体"/>
          <w:bCs/>
          <w:snapToGrid w:val="0"/>
          <w:color w:val="auto"/>
          <w:kern w:val="0"/>
          <w:sz w:val="22"/>
          <w:szCs w:val="22"/>
          <w:highlight w:val="none"/>
        </w:rPr>
        <w:t>书面认可或修改，</w:t>
      </w:r>
      <w:r>
        <w:rPr>
          <w:rFonts w:hint="eastAsia" w:ascii="宋体" w:hAnsi="宋体" w:eastAsia="宋体" w:cs="宋体"/>
          <w:bCs/>
          <w:snapToGrid w:val="0"/>
          <w:color w:val="auto"/>
          <w:kern w:val="0"/>
          <w:sz w:val="22"/>
          <w:szCs w:val="22"/>
          <w:highlight w:val="none"/>
          <w:lang w:eastAsia="zh-CN"/>
        </w:rPr>
        <w:t>投标人</w:t>
      </w:r>
      <w:r>
        <w:rPr>
          <w:rFonts w:hint="eastAsia" w:ascii="宋体" w:hAnsi="宋体" w:eastAsia="宋体" w:cs="宋体"/>
          <w:bCs/>
          <w:snapToGrid w:val="0"/>
          <w:color w:val="auto"/>
          <w:kern w:val="0"/>
          <w:sz w:val="22"/>
          <w:szCs w:val="22"/>
          <w:highlight w:val="none"/>
        </w:rPr>
        <w:t>不得擅自修改。</w:t>
      </w:r>
    </w:p>
    <w:p w14:paraId="3320EFB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lang w:val="en-US" w:eastAsia="zh-CN"/>
        </w:rPr>
        <w:t>9</w:t>
      </w:r>
      <w:r>
        <w:rPr>
          <w:rFonts w:hint="eastAsia" w:ascii="宋体" w:hAnsi="宋体" w:eastAsia="宋体" w:cs="宋体"/>
          <w:bCs/>
          <w:snapToGrid w:val="0"/>
          <w:color w:val="auto"/>
          <w:kern w:val="0"/>
          <w:sz w:val="22"/>
          <w:szCs w:val="22"/>
          <w:highlight w:val="none"/>
          <w:lang w:eastAsia="zh-CN"/>
        </w:rPr>
        <w:t>）</w:t>
      </w:r>
      <w:r>
        <w:rPr>
          <w:rFonts w:hint="eastAsia" w:ascii="宋体" w:hAnsi="宋体" w:eastAsia="宋体" w:cs="宋体"/>
          <w:bCs/>
          <w:snapToGrid w:val="0"/>
          <w:color w:val="auto"/>
          <w:kern w:val="0"/>
          <w:sz w:val="22"/>
          <w:szCs w:val="22"/>
          <w:highlight w:val="none"/>
        </w:rPr>
        <w:t>本项目无暂列金额。</w:t>
      </w:r>
    </w:p>
    <w:p w14:paraId="53C6EED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w:t>
      </w:r>
      <w:r>
        <w:rPr>
          <w:rFonts w:hint="eastAsia" w:ascii="宋体" w:hAnsi="宋体" w:eastAsia="宋体" w:cs="宋体"/>
          <w:bCs/>
          <w:snapToGrid w:val="0"/>
          <w:color w:val="auto"/>
          <w:kern w:val="0"/>
          <w:sz w:val="22"/>
          <w:szCs w:val="22"/>
          <w:highlight w:val="none"/>
          <w:lang w:val="en-US" w:eastAsia="zh-CN"/>
        </w:rPr>
        <w:t>10</w:t>
      </w:r>
      <w:r>
        <w:rPr>
          <w:rFonts w:hint="eastAsia" w:ascii="宋体" w:hAnsi="宋体" w:eastAsia="宋体" w:cs="宋体"/>
          <w:bCs/>
          <w:snapToGrid w:val="0"/>
          <w:color w:val="auto"/>
          <w:kern w:val="0"/>
          <w:sz w:val="22"/>
          <w:szCs w:val="22"/>
          <w:highlight w:val="none"/>
        </w:rPr>
        <w:t>）招标代理服务费用﹝本项目招标代理服务包含全过程招标代理（含会务费用）、工程量清单及招标控制价编制﹞由中标人承担，不单独列支计入投标人投标报价中。中标人须按中标金额，分别参照国家发改委发改价格【2011】534号文（服务招标类，按标准费率8.8折计取）和江苏省物价局、江苏省住房和城乡建设厅苏价服【2014】383号中附件：序号8收费项目（按标准费率8.8折计取）的规定，中标人在收到中标通知书后7日内，向招标代理机构一次性支付上述全部服务费用。</w:t>
      </w:r>
    </w:p>
    <w:p w14:paraId="510AE70E">
      <w:pPr>
        <w:pStyle w:val="87"/>
        <w:keepNext w:val="0"/>
        <w:keepLines w:val="0"/>
        <w:pageBreakBefore w:val="0"/>
        <w:widowControl w:val="0"/>
        <w:tabs>
          <w:tab w:val="left" w:pos="540"/>
        </w:tabs>
        <w:kinsoku/>
        <w:wordWrap/>
        <w:overflowPunct/>
        <w:topLinePunct/>
        <w:autoSpaceDE/>
        <w:autoSpaceDN/>
        <w:bidi w:val="0"/>
        <w:adjustRightInd/>
        <w:snapToGrid/>
        <w:spacing w:line="360" w:lineRule="auto"/>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13  投标有效期</w:t>
      </w:r>
    </w:p>
    <w:p w14:paraId="003FF1B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13.1 自规定的投标截止日算起，投标文件有效期为90日历天。</w:t>
      </w:r>
    </w:p>
    <w:p w14:paraId="6C812FF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13.2 在原定投标文件有效期满之前，如果出现特殊情况，招标人可向投标人提出延长有效期的要求，这种要求应以邮件等书面形式进行。投标人应在收到此要求的24小时内以邮件等书面形式对此要求向招标人作出答复，在此时限内不予答复的视为同意招标人的要求。投标人可以拒绝招标人的要求，但其投标文件将不予评审。</w:t>
      </w:r>
    </w:p>
    <w:p w14:paraId="11C7FDB1">
      <w:pPr>
        <w:pStyle w:val="87"/>
        <w:keepNext w:val="0"/>
        <w:keepLines w:val="0"/>
        <w:pageBreakBefore w:val="0"/>
        <w:widowControl w:val="0"/>
        <w:tabs>
          <w:tab w:val="left" w:pos="540"/>
        </w:tabs>
        <w:kinsoku/>
        <w:wordWrap/>
        <w:overflowPunct/>
        <w:topLinePunct/>
        <w:autoSpaceDE/>
        <w:autoSpaceDN/>
        <w:bidi w:val="0"/>
        <w:adjustRightInd/>
        <w:snapToGrid/>
        <w:spacing w:line="360" w:lineRule="auto"/>
        <w:rPr>
          <w:rFonts w:hint="eastAsia" w:ascii="宋体" w:hAnsi="宋体" w:eastAsia="宋体" w:cs="宋体"/>
          <w:b/>
          <w:bCs w:val="0"/>
          <w:snapToGrid w:val="0"/>
          <w:color w:val="auto"/>
          <w:sz w:val="22"/>
          <w:szCs w:val="22"/>
          <w:highlight w:val="none"/>
          <w:u w:val="single"/>
        </w:rPr>
      </w:pPr>
      <w:bookmarkStart w:id="28" w:name="_Toc139855939"/>
      <w:bookmarkStart w:id="29" w:name="_Toc139877837"/>
      <w:bookmarkStart w:id="30" w:name="_Toc137468119"/>
      <w:bookmarkStart w:id="31" w:name="_Toc139075255"/>
      <w:bookmarkStart w:id="32" w:name="_Toc138045917"/>
      <w:bookmarkStart w:id="33" w:name="_Toc138820288"/>
      <w:bookmarkStart w:id="34" w:name="_Toc135192149"/>
      <w:bookmarkStart w:id="35" w:name="_Toc139183004"/>
      <w:bookmarkStart w:id="36" w:name="_Toc139074757"/>
      <w:bookmarkStart w:id="37" w:name="_Toc139185699"/>
      <w:bookmarkStart w:id="38" w:name="_Toc138559784"/>
      <w:r>
        <w:rPr>
          <w:rFonts w:hint="eastAsia" w:ascii="宋体" w:hAnsi="宋体" w:eastAsia="宋体" w:cs="宋体"/>
          <w:b/>
          <w:bCs w:val="0"/>
          <w:snapToGrid w:val="0"/>
          <w:color w:val="auto"/>
          <w:kern w:val="0"/>
          <w:sz w:val="22"/>
          <w:szCs w:val="22"/>
          <w:highlight w:val="none"/>
        </w:rPr>
        <w:t xml:space="preserve">14  </w:t>
      </w:r>
      <w:r>
        <w:rPr>
          <w:rFonts w:hint="eastAsia" w:ascii="宋体" w:hAnsi="宋体" w:eastAsia="宋体" w:cs="宋体"/>
          <w:b/>
          <w:bCs w:val="0"/>
          <w:snapToGrid w:val="0"/>
          <w:color w:val="auto"/>
          <w:sz w:val="22"/>
          <w:szCs w:val="22"/>
          <w:highlight w:val="none"/>
        </w:rPr>
        <w:t>投标</w:t>
      </w:r>
      <w:bookmarkEnd w:id="28"/>
      <w:bookmarkEnd w:id="29"/>
      <w:bookmarkEnd w:id="30"/>
      <w:bookmarkEnd w:id="31"/>
      <w:bookmarkEnd w:id="32"/>
      <w:bookmarkEnd w:id="33"/>
      <w:bookmarkEnd w:id="34"/>
      <w:bookmarkEnd w:id="35"/>
      <w:bookmarkEnd w:id="36"/>
      <w:bookmarkEnd w:id="37"/>
      <w:bookmarkEnd w:id="38"/>
      <w:r>
        <w:rPr>
          <w:rFonts w:hint="eastAsia" w:ascii="宋体" w:hAnsi="宋体" w:eastAsia="宋体" w:cs="宋体"/>
          <w:b/>
          <w:bCs w:val="0"/>
          <w:snapToGrid w:val="0"/>
          <w:color w:val="auto"/>
          <w:sz w:val="22"/>
          <w:szCs w:val="22"/>
          <w:highlight w:val="none"/>
        </w:rPr>
        <w:t>保证金：</w:t>
      </w:r>
      <w:r>
        <w:rPr>
          <w:rFonts w:hint="eastAsia" w:ascii="宋体" w:hAnsi="宋体" w:eastAsia="宋体" w:cs="宋体"/>
          <w:b/>
          <w:bCs w:val="0"/>
          <w:snapToGrid w:val="0"/>
          <w:color w:val="auto"/>
          <w:sz w:val="22"/>
          <w:szCs w:val="22"/>
          <w:highlight w:val="none"/>
          <w:u w:val="single"/>
        </w:rPr>
        <w:t>不收取。</w:t>
      </w:r>
    </w:p>
    <w:p w14:paraId="6C109787">
      <w:pPr>
        <w:keepNext w:val="0"/>
        <w:keepLines w:val="0"/>
        <w:pageBreakBefore w:val="0"/>
        <w:widowControl w:val="0"/>
        <w:kinsoku/>
        <w:wordWrap/>
        <w:overflowPunct/>
        <w:topLinePunct/>
        <w:autoSpaceDE/>
        <w:autoSpaceDN/>
        <w:bidi w:val="0"/>
        <w:adjustRightInd/>
        <w:snapToGrid/>
        <w:spacing w:line="360" w:lineRule="auto"/>
        <w:ind w:left="0"/>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15  投标文件的格式和签署</w:t>
      </w:r>
    </w:p>
    <w:p w14:paraId="3F4E4E8F">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39" w:name="_Toc44814583"/>
      <w:r>
        <w:rPr>
          <w:rFonts w:hint="eastAsia" w:ascii="宋体" w:hAnsi="宋体" w:eastAsia="宋体" w:cs="宋体"/>
          <w:snapToGrid w:val="0"/>
          <w:color w:val="auto"/>
          <w:kern w:val="0"/>
          <w:sz w:val="22"/>
          <w:szCs w:val="22"/>
          <w:highlight w:val="none"/>
        </w:rPr>
        <w:t>15.1 投标人应按本须知的规定，向招标人递交投标文件</w:t>
      </w:r>
      <w:r>
        <w:rPr>
          <w:rFonts w:hint="eastAsia" w:ascii="宋体" w:hAnsi="宋体" w:eastAsia="宋体" w:cs="宋体"/>
          <w:b/>
          <w:bCs/>
          <w:snapToGrid w:val="0"/>
          <w:color w:val="auto"/>
          <w:kern w:val="0"/>
          <w:sz w:val="22"/>
          <w:szCs w:val="22"/>
          <w:highlight w:val="none"/>
        </w:rPr>
        <w:t>正本一份和副本二份</w:t>
      </w:r>
      <w:r>
        <w:rPr>
          <w:rFonts w:hint="eastAsia" w:ascii="宋体" w:hAnsi="宋体" w:eastAsia="宋体" w:cs="宋体"/>
          <w:snapToGrid w:val="0"/>
          <w:color w:val="auto"/>
          <w:kern w:val="0"/>
          <w:sz w:val="22"/>
          <w:szCs w:val="22"/>
          <w:highlight w:val="none"/>
        </w:rPr>
        <w:t>（副本为正本的复印件），并在文件封面右上角醒目注明“正本”或“副本”字样。正本和副本如有不一致之处，以正本为准。投标文件的正本与副本应分别装订成册（A4纸幅），并编制目录、且逐页标注连续页码。中标单位按发包人要求提供相应数量的投标文件副本。</w:t>
      </w:r>
    </w:p>
    <w:p w14:paraId="55EAFDA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15.2 投标文件正本应使用不褪色的墨水书写或打印，应按照招标文件规定的格式签字、盖单位公章。</w:t>
      </w:r>
    </w:p>
    <w:p w14:paraId="737193C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15.3 投标文件的任何一页都不应涂改、行间插字或删除。如果出现上述情况，不论何种原因造成，均应由投标文件签字人在改动处小签或盖单位公章。</w:t>
      </w:r>
    </w:p>
    <w:p w14:paraId="4587D02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15.4 投标人不得递交备选投标方案。</w:t>
      </w:r>
    </w:p>
    <w:p w14:paraId="5E89C30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15.5 如果投标文件由委托代理人签署，则投标人需提交附有法定代表人身份证明的授权委托书，授权委托书应按规定的书面方式出具，并由法定代表人和委托代理人签字、盖单位公章。如果由投标人的法定代表人亲自签署投标文件，则不需提交授权委托书。</w:t>
      </w:r>
    </w:p>
    <w:p w14:paraId="34D9BD14">
      <w:pPr>
        <w:keepNext w:val="0"/>
        <w:keepLines w:val="0"/>
        <w:pageBreakBefore w:val="0"/>
        <w:widowControl w:val="0"/>
        <w:kinsoku/>
        <w:wordWrap/>
        <w:overflowPunct/>
        <w:topLinePunct/>
        <w:autoSpaceDE/>
        <w:autoSpaceDN/>
        <w:bidi w:val="0"/>
        <w:adjustRightInd/>
        <w:snapToGrid/>
        <w:spacing w:line="360" w:lineRule="auto"/>
        <w:ind w:lef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四、投标文件的递交</w:t>
      </w:r>
      <w:bookmarkEnd w:id="39"/>
    </w:p>
    <w:p w14:paraId="706B4AB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hanging="627" w:hangingChars="284"/>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16  投标文件的密封与标记</w:t>
      </w:r>
    </w:p>
    <w:p w14:paraId="5371531F">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 投标文件应采用双信封形式密封。投标文件第一个信封（商务及技术文件）以及第二个信封（报价文件）应</w:t>
      </w:r>
      <w:r>
        <w:rPr>
          <w:rFonts w:hint="eastAsia" w:ascii="宋体" w:hAnsi="宋体" w:eastAsia="宋体" w:cs="宋体"/>
          <w:b/>
          <w:bCs/>
          <w:color w:val="auto"/>
          <w:sz w:val="22"/>
          <w:szCs w:val="22"/>
          <w:highlight w:val="none"/>
        </w:rPr>
        <w:t>单独</w:t>
      </w:r>
      <w:r>
        <w:rPr>
          <w:rFonts w:hint="eastAsia" w:ascii="宋体" w:hAnsi="宋体" w:eastAsia="宋体" w:cs="宋体"/>
          <w:color w:val="auto"/>
          <w:sz w:val="22"/>
          <w:szCs w:val="22"/>
          <w:highlight w:val="none"/>
        </w:rPr>
        <w:t>密封包装。商务及技术文件的正副本及对应投标文件电子版文件（U盘）应统一密封在一个封套中。报价文件的正副本及对应投标文件电子版文件（U盘）应统一密封在另一个封套中。</w:t>
      </w:r>
      <w:r>
        <w:rPr>
          <w:rFonts w:hint="eastAsia" w:ascii="宋体" w:hAnsi="宋体" w:eastAsia="宋体" w:cs="宋体"/>
          <w:b/>
          <w:bCs/>
          <w:color w:val="auto"/>
          <w:sz w:val="22"/>
          <w:szCs w:val="22"/>
          <w:highlight w:val="none"/>
        </w:rPr>
        <w:t>封套应加贴封条，并在封套的封口处加盖投标人单位章或由投标人的法定代表人或其委托代理人签字。</w:t>
      </w:r>
    </w:p>
    <w:p w14:paraId="5EAE4C2C">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16.2 封套标识</w:t>
      </w:r>
    </w:p>
    <w:p w14:paraId="7482D7E6">
      <w:pPr>
        <w:pStyle w:val="85"/>
        <w:keepNext w:val="0"/>
        <w:keepLines w:val="0"/>
        <w:pageBreakBefore w:val="0"/>
        <w:widowControl w:val="0"/>
        <w:kinsoku/>
        <w:wordWrap/>
        <w:overflowPunct/>
        <w:autoSpaceDE/>
        <w:autoSpaceDN/>
        <w:bidi w:val="0"/>
        <w:adjustRightInd/>
        <w:snapToGrid/>
        <w:spacing w:before="0" w:after="0" w:line="360" w:lineRule="auto"/>
        <w:ind w:left="0" w:firstLine="442"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snapToGrid w:val="0"/>
          <w:color w:val="auto"/>
          <w:sz w:val="22"/>
          <w:szCs w:val="22"/>
          <w:highlight w:val="none"/>
        </w:rPr>
        <w:t>投标文件第一个信封（商务及技术文件）封套：</w:t>
      </w:r>
    </w:p>
    <w:p w14:paraId="478A290C">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招标人名称：</w:t>
      </w:r>
      <w:r>
        <w:rPr>
          <w:rFonts w:hint="eastAsia" w:ascii="宋体" w:hAnsi="宋体" w:eastAsia="宋体" w:cs="宋体"/>
          <w:b w:val="0"/>
          <w:bCs/>
          <w:snapToGrid w:val="0"/>
          <w:color w:val="auto"/>
          <w:sz w:val="22"/>
          <w:szCs w:val="22"/>
          <w:highlight w:val="none"/>
          <w:u w:val="single"/>
          <w:lang w:eastAsia="zh-CN"/>
        </w:rPr>
        <w:t>南通市江海河联运项目建设指挥部</w:t>
      </w:r>
      <w:r>
        <w:rPr>
          <w:rFonts w:hint="eastAsia" w:ascii="宋体" w:hAnsi="宋体" w:eastAsia="宋体" w:cs="宋体"/>
          <w:b w:val="0"/>
          <w:bCs/>
          <w:snapToGrid w:val="0"/>
          <w:color w:val="auto"/>
          <w:sz w:val="22"/>
          <w:szCs w:val="22"/>
          <w:highlight w:val="none"/>
        </w:rPr>
        <w:t xml:space="preserve">               </w:t>
      </w:r>
    </w:p>
    <w:p w14:paraId="23909B3B">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招标人地址：</w:t>
      </w:r>
      <w:r>
        <w:rPr>
          <w:rFonts w:hint="eastAsia" w:ascii="宋体" w:hAnsi="宋体" w:eastAsia="宋体" w:cs="宋体"/>
          <w:b w:val="0"/>
          <w:bCs/>
          <w:snapToGrid w:val="0"/>
          <w:color w:val="auto"/>
          <w:sz w:val="22"/>
          <w:szCs w:val="22"/>
          <w:highlight w:val="none"/>
          <w:u w:val="single"/>
        </w:rPr>
        <w:t>南通市外环西路99号</w:t>
      </w:r>
      <w:r>
        <w:rPr>
          <w:rFonts w:hint="eastAsia" w:ascii="宋体" w:hAnsi="宋体" w:eastAsia="宋体" w:cs="宋体"/>
          <w:b w:val="0"/>
          <w:bCs/>
          <w:snapToGrid w:val="0"/>
          <w:color w:val="auto"/>
          <w:sz w:val="22"/>
          <w:szCs w:val="22"/>
          <w:highlight w:val="none"/>
        </w:rPr>
        <w:t xml:space="preserve">           </w:t>
      </w:r>
    </w:p>
    <w:p w14:paraId="78326926">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cs="宋体"/>
          <w:b w:val="0"/>
          <w:bCs/>
          <w:snapToGrid w:val="0"/>
          <w:color w:val="auto"/>
          <w:sz w:val="22"/>
          <w:szCs w:val="22"/>
          <w:highlight w:val="none"/>
          <w:u w:val="single"/>
          <w:lang w:eastAsia="zh-CN"/>
        </w:rPr>
        <w:t>通海港区-通州湾港区疏港航道双桥枢纽工程、新江海河船闸工程、新江海河段航道整治工程船艇设计服务项目THTZ-CTSJ1标段</w:t>
      </w:r>
      <w:r>
        <w:rPr>
          <w:rFonts w:hint="eastAsia" w:ascii="宋体" w:hAnsi="宋体" w:eastAsia="宋体" w:cs="宋体"/>
          <w:b w:val="0"/>
          <w:bCs/>
          <w:snapToGrid w:val="0"/>
          <w:color w:val="auto"/>
          <w:sz w:val="22"/>
          <w:szCs w:val="22"/>
          <w:highlight w:val="none"/>
        </w:rPr>
        <w:t>第一个信封（商务及技术文件）投标文件</w:t>
      </w:r>
    </w:p>
    <w:p w14:paraId="211ACE9F">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在</w:t>
      </w:r>
      <w:r>
        <w:rPr>
          <w:rFonts w:hint="eastAsia" w:ascii="宋体" w:hAnsi="宋体" w:eastAsia="宋体" w:cs="宋体"/>
          <w:b w:val="0"/>
          <w:bCs/>
          <w:snapToGrid w:val="0"/>
          <w:color w:val="auto"/>
          <w:sz w:val="22"/>
          <w:szCs w:val="22"/>
          <w:highlight w:val="none"/>
          <w:lang w:val="en-US" w:eastAsia="zh-CN"/>
        </w:rPr>
        <w:t>202</w:t>
      </w:r>
      <w:r>
        <w:rPr>
          <w:rFonts w:hint="eastAsia" w:ascii="宋体" w:hAnsi="宋体" w:cs="宋体"/>
          <w:b w:val="0"/>
          <w:bCs/>
          <w:snapToGrid w:val="0"/>
          <w:color w:val="auto"/>
          <w:sz w:val="22"/>
          <w:szCs w:val="22"/>
          <w:highlight w:val="none"/>
          <w:lang w:val="en-US" w:eastAsia="zh-CN"/>
        </w:rPr>
        <w:t>6</w:t>
      </w:r>
      <w:r>
        <w:rPr>
          <w:rFonts w:hint="eastAsia" w:ascii="宋体" w:hAnsi="宋体" w:eastAsia="宋体" w:cs="宋体"/>
          <w:b w:val="0"/>
          <w:bCs/>
          <w:snapToGrid w:val="0"/>
          <w:color w:val="auto"/>
          <w:sz w:val="22"/>
          <w:szCs w:val="22"/>
          <w:highlight w:val="none"/>
        </w:rPr>
        <w:t>年</w:t>
      </w:r>
      <w:r>
        <w:rPr>
          <w:rFonts w:hint="eastAsia" w:ascii="宋体" w:hAnsi="宋体" w:eastAsia="宋体" w:cs="宋体"/>
          <w:b w:val="0"/>
          <w:bCs/>
          <w:snapToGrid w:val="0"/>
          <w:color w:val="auto"/>
          <w:sz w:val="22"/>
          <w:szCs w:val="22"/>
          <w:highlight w:val="none"/>
          <w:u w:val="single"/>
        </w:rPr>
        <w:t xml:space="preserve">    </w:t>
      </w:r>
      <w:r>
        <w:rPr>
          <w:rFonts w:hint="eastAsia" w:ascii="宋体" w:hAnsi="宋体" w:eastAsia="宋体" w:cs="宋体"/>
          <w:b w:val="0"/>
          <w:bCs/>
          <w:snapToGrid w:val="0"/>
          <w:color w:val="auto"/>
          <w:sz w:val="22"/>
          <w:szCs w:val="22"/>
          <w:highlight w:val="none"/>
        </w:rPr>
        <w:t>月</w:t>
      </w:r>
      <w:r>
        <w:rPr>
          <w:rFonts w:hint="eastAsia" w:ascii="宋体" w:hAnsi="宋体" w:eastAsia="宋体" w:cs="宋体"/>
          <w:b w:val="0"/>
          <w:bCs/>
          <w:snapToGrid w:val="0"/>
          <w:color w:val="auto"/>
          <w:sz w:val="22"/>
          <w:szCs w:val="22"/>
          <w:highlight w:val="none"/>
          <w:u w:val="single"/>
        </w:rPr>
        <w:t xml:space="preserve">    </w:t>
      </w:r>
      <w:r>
        <w:rPr>
          <w:rFonts w:hint="eastAsia" w:ascii="宋体" w:hAnsi="宋体" w:eastAsia="宋体" w:cs="宋体"/>
          <w:b w:val="0"/>
          <w:bCs/>
          <w:snapToGrid w:val="0"/>
          <w:color w:val="auto"/>
          <w:sz w:val="22"/>
          <w:szCs w:val="22"/>
          <w:highlight w:val="none"/>
        </w:rPr>
        <w:t>日</w:t>
      </w:r>
      <w:r>
        <w:rPr>
          <w:rFonts w:hint="eastAsia" w:ascii="宋体" w:hAnsi="宋体" w:eastAsia="宋体" w:cs="宋体"/>
          <w:b w:val="0"/>
          <w:bCs/>
          <w:snapToGrid w:val="0"/>
          <w:color w:val="auto"/>
          <w:sz w:val="22"/>
          <w:szCs w:val="22"/>
          <w:highlight w:val="none"/>
          <w:u w:val="single"/>
        </w:rPr>
        <w:t xml:space="preserve">    </w:t>
      </w:r>
      <w:r>
        <w:rPr>
          <w:rFonts w:hint="eastAsia" w:ascii="宋体" w:hAnsi="宋体" w:eastAsia="宋体" w:cs="宋体"/>
          <w:b w:val="0"/>
          <w:bCs/>
          <w:snapToGrid w:val="0"/>
          <w:color w:val="auto"/>
          <w:sz w:val="22"/>
          <w:szCs w:val="22"/>
          <w:highlight w:val="none"/>
        </w:rPr>
        <w:t>时</w:t>
      </w:r>
      <w:r>
        <w:rPr>
          <w:rFonts w:hint="eastAsia" w:ascii="宋体" w:hAnsi="宋体" w:eastAsia="宋体" w:cs="宋体"/>
          <w:b w:val="0"/>
          <w:bCs/>
          <w:snapToGrid w:val="0"/>
          <w:color w:val="auto"/>
          <w:sz w:val="22"/>
          <w:szCs w:val="22"/>
          <w:highlight w:val="none"/>
          <w:u w:val="single"/>
        </w:rPr>
        <w:t xml:space="preserve">    </w:t>
      </w:r>
      <w:r>
        <w:rPr>
          <w:rFonts w:hint="eastAsia" w:ascii="宋体" w:hAnsi="宋体" w:eastAsia="宋体" w:cs="宋体"/>
          <w:b w:val="0"/>
          <w:bCs/>
          <w:snapToGrid w:val="0"/>
          <w:color w:val="auto"/>
          <w:sz w:val="22"/>
          <w:szCs w:val="22"/>
          <w:highlight w:val="none"/>
        </w:rPr>
        <w:t>分前不得开启</w:t>
      </w:r>
    </w:p>
    <w:p w14:paraId="2C10F928">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投标人名称：</w:t>
      </w:r>
      <w:r>
        <w:rPr>
          <w:rFonts w:hint="eastAsia" w:ascii="宋体" w:hAnsi="宋体" w:eastAsia="宋体" w:cs="宋体"/>
          <w:b w:val="0"/>
          <w:bCs/>
          <w:snapToGrid w:val="0"/>
          <w:color w:val="auto"/>
          <w:sz w:val="22"/>
          <w:szCs w:val="22"/>
          <w:highlight w:val="none"/>
          <w:u w:val="single"/>
          <w:lang w:val="en-US" w:eastAsia="zh-CN"/>
        </w:rPr>
        <w:t xml:space="preserve">                               </w:t>
      </w:r>
      <w:r>
        <w:rPr>
          <w:rFonts w:hint="eastAsia" w:ascii="宋体" w:hAnsi="宋体" w:eastAsia="宋体" w:cs="宋体"/>
          <w:b w:val="0"/>
          <w:bCs/>
          <w:snapToGrid w:val="0"/>
          <w:color w:val="auto"/>
          <w:sz w:val="22"/>
          <w:szCs w:val="22"/>
          <w:highlight w:val="none"/>
        </w:rPr>
        <w:t xml:space="preserve">             </w:t>
      </w:r>
    </w:p>
    <w:p w14:paraId="749D1B17">
      <w:pPr>
        <w:pStyle w:val="85"/>
        <w:keepNext w:val="0"/>
        <w:keepLines w:val="0"/>
        <w:pageBreakBefore w:val="0"/>
        <w:widowControl w:val="0"/>
        <w:kinsoku/>
        <w:wordWrap/>
        <w:overflowPunct/>
        <w:autoSpaceDE/>
        <w:autoSpaceDN/>
        <w:bidi w:val="0"/>
        <w:adjustRightInd/>
        <w:snapToGrid/>
        <w:spacing w:before="0" w:after="0" w:line="360" w:lineRule="auto"/>
        <w:ind w:left="0" w:firstLine="442"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snapToGrid w:val="0"/>
          <w:color w:val="auto"/>
          <w:sz w:val="22"/>
          <w:szCs w:val="22"/>
          <w:highlight w:val="none"/>
        </w:rPr>
        <w:t>投标文件第二个信封（报价文件）封套：</w:t>
      </w:r>
    </w:p>
    <w:p w14:paraId="35A54815">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招标人名称：</w:t>
      </w:r>
      <w:r>
        <w:rPr>
          <w:rFonts w:hint="eastAsia" w:ascii="宋体" w:hAnsi="宋体" w:eastAsia="宋体" w:cs="宋体"/>
          <w:b w:val="0"/>
          <w:bCs/>
          <w:snapToGrid w:val="0"/>
          <w:color w:val="auto"/>
          <w:sz w:val="22"/>
          <w:szCs w:val="22"/>
          <w:highlight w:val="none"/>
          <w:u w:val="single"/>
          <w:lang w:eastAsia="zh-CN"/>
        </w:rPr>
        <w:t>南通市江海河联运项目建设指挥部</w:t>
      </w:r>
      <w:r>
        <w:rPr>
          <w:rFonts w:hint="eastAsia" w:ascii="宋体" w:hAnsi="宋体" w:eastAsia="宋体" w:cs="宋体"/>
          <w:b w:val="0"/>
          <w:bCs/>
          <w:snapToGrid w:val="0"/>
          <w:color w:val="auto"/>
          <w:sz w:val="22"/>
          <w:szCs w:val="22"/>
          <w:highlight w:val="none"/>
        </w:rPr>
        <w:t xml:space="preserve">               </w:t>
      </w:r>
    </w:p>
    <w:p w14:paraId="2528B562">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招标人地址：</w:t>
      </w:r>
      <w:r>
        <w:rPr>
          <w:rFonts w:hint="eastAsia" w:ascii="宋体" w:hAnsi="宋体" w:eastAsia="宋体" w:cs="宋体"/>
          <w:b w:val="0"/>
          <w:bCs/>
          <w:snapToGrid w:val="0"/>
          <w:color w:val="auto"/>
          <w:sz w:val="22"/>
          <w:szCs w:val="22"/>
          <w:highlight w:val="none"/>
          <w:u w:val="single"/>
        </w:rPr>
        <w:t>南通市外环西路99号</w:t>
      </w:r>
      <w:r>
        <w:rPr>
          <w:rFonts w:hint="eastAsia" w:ascii="宋体" w:hAnsi="宋体" w:eastAsia="宋体" w:cs="宋体"/>
          <w:b w:val="0"/>
          <w:bCs/>
          <w:snapToGrid w:val="0"/>
          <w:color w:val="auto"/>
          <w:sz w:val="22"/>
          <w:szCs w:val="22"/>
          <w:highlight w:val="none"/>
        </w:rPr>
        <w:t xml:space="preserve">                  </w:t>
      </w:r>
    </w:p>
    <w:p w14:paraId="166168A1">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cs="宋体"/>
          <w:b w:val="0"/>
          <w:bCs/>
          <w:snapToGrid w:val="0"/>
          <w:color w:val="auto"/>
          <w:sz w:val="22"/>
          <w:szCs w:val="22"/>
          <w:highlight w:val="none"/>
          <w:u w:val="single"/>
          <w:lang w:eastAsia="zh-CN"/>
        </w:rPr>
        <w:t>通海港区-通州湾港区疏港航道双桥枢纽工程、新江海河船闸工程、新江海河段航道整治工程船艇设计服务项目THTZ-CTSJ1标段</w:t>
      </w:r>
      <w:r>
        <w:rPr>
          <w:rFonts w:hint="eastAsia" w:ascii="宋体" w:hAnsi="宋体" w:eastAsia="宋体" w:cs="宋体"/>
          <w:b w:val="0"/>
          <w:bCs/>
          <w:snapToGrid w:val="0"/>
          <w:color w:val="auto"/>
          <w:sz w:val="22"/>
          <w:szCs w:val="22"/>
          <w:highlight w:val="none"/>
        </w:rPr>
        <w:t>第二个信封（报价文件）投标文件</w:t>
      </w:r>
    </w:p>
    <w:p w14:paraId="47D0BD4C">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在投标文件第二个信封（报价文件）开标前不得开启</w:t>
      </w:r>
    </w:p>
    <w:p w14:paraId="551095EE">
      <w:pPr>
        <w:pStyle w:val="85"/>
        <w:keepNext w:val="0"/>
        <w:keepLines w:val="0"/>
        <w:pageBreakBefore w:val="0"/>
        <w:widowControl w:val="0"/>
        <w:kinsoku/>
        <w:wordWrap/>
        <w:overflowPunct/>
        <w:autoSpaceDE/>
        <w:autoSpaceDN/>
        <w:bidi w:val="0"/>
        <w:adjustRightInd/>
        <w:snapToGrid/>
        <w:spacing w:before="0" w:after="0" w:line="360" w:lineRule="auto"/>
        <w:ind w:left="0" w:firstLine="440" w:firstLineChars="200"/>
        <w:rPr>
          <w:rFonts w:hint="eastAsia" w:ascii="宋体" w:hAnsi="宋体" w:eastAsia="宋体" w:cs="宋体"/>
          <w:b w:val="0"/>
          <w:bCs/>
          <w:snapToGrid w:val="0"/>
          <w:color w:val="auto"/>
          <w:sz w:val="22"/>
          <w:szCs w:val="22"/>
          <w:highlight w:val="none"/>
        </w:rPr>
      </w:pPr>
      <w:r>
        <w:rPr>
          <w:rFonts w:hint="eastAsia" w:ascii="宋体" w:hAnsi="宋体" w:eastAsia="宋体" w:cs="宋体"/>
          <w:b w:val="0"/>
          <w:bCs/>
          <w:snapToGrid w:val="0"/>
          <w:color w:val="auto"/>
          <w:sz w:val="22"/>
          <w:szCs w:val="22"/>
          <w:highlight w:val="none"/>
        </w:rPr>
        <w:t>投标人名称：</w:t>
      </w:r>
      <w:r>
        <w:rPr>
          <w:rFonts w:hint="eastAsia" w:ascii="宋体" w:hAnsi="宋体" w:eastAsia="宋体" w:cs="宋体"/>
          <w:b w:val="0"/>
          <w:bCs/>
          <w:snapToGrid w:val="0"/>
          <w:color w:val="auto"/>
          <w:sz w:val="22"/>
          <w:szCs w:val="22"/>
          <w:highlight w:val="none"/>
          <w:u w:val="single"/>
          <w:lang w:val="en-US" w:eastAsia="zh-CN"/>
        </w:rPr>
        <w:t xml:space="preserve">                                  </w:t>
      </w:r>
      <w:r>
        <w:rPr>
          <w:rFonts w:hint="eastAsia" w:ascii="宋体" w:hAnsi="宋体" w:eastAsia="宋体" w:cs="宋体"/>
          <w:b w:val="0"/>
          <w:bCs/>
          <w:snapToGrid w:val="0"/>
          <w:color w:val="auto"/>
          <w:sz w:val="22"/>
          <w:szCs w:val="22"/>
          <w:highlight w:val="none"/>
        </w:rPr>
        <w:t xml:space="preserve">             </w:t>
      </w:r>
    </w:p>
    <w:p w14:paraId="6FE2DF32">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16.3 如果因密封不严、标记不明而造成过早启封、失密等情况，招标人和招标代理概不负责。</w:t>
      </w:r>
    </w:p>
    <w:p w14:paraId="09653E4C">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16.4 </w:t>
      </w:r>
      <w:r>
        <w:rPr>
          <w:rFonts w:hint="eastAsia" w:ascii="宋体" w:hAnsi="宋体" w:eastAsia="宋体" w:cs="宋体"/>
          <w:color w:val="auto"/>
          <w:sz w:val="22"/>
          <w:szCs w:val="22"/>
          <w:highlight w:val="none"/>
        </w:rPr>
        <w:t>为便于投标工作高效准确进行，投标人在提交投标文件时应同时提交一份其投标文件的文字录入部分的电子文档</w:t>
      </w:r>
      <w:r>
        <w:rPr>
          <w:rFonts w:hint="eastAsia" w:cs="宋体"/>
          <w:color w:val="auto"/>
          <w:sz w:val="22"/>
          <w:szCs w:val="22"/>
          <w:highlight w:val="none"/>
          <w:lang w:val="en-US" w:eastAsia="zh-CN"/>
        </w:rPr>
        <w:t>并且需包含盖章扫描件</w:t>
      </w:r>
      <w:r>
        <w:rPr>
          <w:rFonts w:hint="eastAsia" w:ascii="宋体" w:hAnsi="宋体" w:eastAsia="宋体" w:cs="宋体"/>
          <w:color w:val="auto"/>
          <w:sz w:val="22"/>
          <w:szCs w:val="22"/>
          <w:highlight w:val="none"/>
        </w:rPr>
        <w:t>，文件用WORD软件制作，文件均不得设置密码，并将文件拷入U盘，投标人应保证其提交的电子文件无病毒。U盘上需标明单位名称和标段号。如电子文件与正本文件不一致时，以正本文件为准。</w:t>
      </w:r>
    </w:p>
    <w:p w14:paraId="73BD70D1">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17  投标文件的递交</w:t>
      </w:r>
    </w:p>
    <w:p w14:paraId="7873C2B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17.1 投标人必须按招标公告中所规定的地点、截止时间，将投标文件送达招标人。</w:t>
      </w:r>
    </w:p>
    <w:p w14:paraId="52F23E7E">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17.2 招标人或招标代理可以通过发出本须知第8条规定的补遗书的方式，酌情延长递交投标文件的截止时间。招标人如果决定延后投标截止时间，应在原投标截止时间3天前，以书面形式通知所有投标人延后投标截止时间。在此情况下，招标人和投标人的权利和义务相应延后至新的投标截止时间。</w:t>
      </w:r>
    </w:p>
    <w:p w14:paraId="6421F989">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18  迟到的投标文件</w:t>
      </w:r>
    </w:p>
    <w:p w14:paraId="5F5939E0">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40" w:name="_Toc298415845"/>
      <w:r>
        <w:rPr>
          <w:rFonts w:hint="eastAsia" w:ascii="宋体" w:hAnsi="宋体" w:eastAsia="宋体" w:cs="宋体"/>
          <w:snapToGrid w:val="0"/>
          <w:color w:val="auto"/>
          <w:kern w:val="0"/>
          <w:sz w:val="22"/>
          <w:szCs w:val="22"/>
          <w:highlight w:val="none"/>
        </w:rPr>
        <w:t>18.1 招标人或招标代理将拒绝接受在递交投标文件截止时间后收到的投标文件。</w:t>
      </w:r>
      <w:bookmarkEnd w:id="40"/>
    </w:p>
    <w:p w14:paraId="61AF49FE">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19  投标文件的更改与撤回</w:t>
      </w:r>
    </w:p>
    <w:p w14:paraId="75BDBE6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19.1 在递交投标文件截止时间以前，投标人可以更改或撤回投标文件，但必须以书面形式提出，并经法定代表人或授权的代理人签署。更改、撤回的确认书必须在递交投标文件截止期前送交给招标人或招标代理。</w:t>
      </w:r>
    </w:p>
    <w:p w14:paraId="4D4554D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19.2 更改的投标文件应同样按照招标文件规定的要求进行编制、密封、标记（在包封上标明“更改”或“撤回”字样）和递交。</w:t>
      </w:r>
    </w:p>
    <w:p w14:paraId="68B52555">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19.3 送交投标文件截止期以后，投标文件不得更改。需作澄清时，必须按评标办法的规定办理。</w:t>
      </w:r>
    </w:p>
    <w:p w14:paraId="097773F1">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19.4 如果在投标文件有效期内撤销投标文件，则按本须知规定没收其投标担保。</w:t>
      </w:r>
    </w:p>
    <w:p w14:paraId="1B603F3B">
      <w:pPr>
        <w:keepNext w:val="0"/>
        <w:keepLines w:val="0"/>
        <w:pageBreakBefore w:val="0"/>
        <w:widowControl w:val="0"/>
        <w:kinsoku/>
        <w:wordWrap/>
        <w:overflowPunct/>
        <w:topLinePunct/>
        <w:autoSpaceDE/>
        <w:autoSpaceDN/>
        <w:bidi w:val="0"/>
        <w:adjustRightInd/>
        <w:snapToGrid/>
        <w:spacing w:line="360" w:lineRule="auto"/>
        <w:ind w:left="0"/>
        <w:jc w:val="center"/>
        <w:rPr>
          <w:rFonts w:hint="eastAsia" w:ascii="宋体" w:hAnsi="宋体" w:eastAsia="宋体" w:cs="宋体"/>
          <w:b/>
          <w:color w:val="auto"/>
          <w:sz w:val="22"/>
          <w:szCs w:val="22"/>
          <w:highlight w:val="none"/>
        </w:rPr>
      </w:pPr>
      <w:bookmarkStart w:id="41" w:name="_Toc44814584"/>
      <w:r>
        <w:rPr>
          <w:rFonts w:hint="eastAsia" w:ascii="宋体" w:hAnsi="宋体" w:eastAsia="宋体" w:cs="宋体"/>
          <w:b/>
          <w:color w:val="auto"/>
          <w:sz w:val="22"/>
          <w:szCs w:val="22"/>
          <w:highlight w:val="none"/>
        </w:rPr>
        <w:t>五、开标与评标</w:t>
      </w:r>
      <w:bookmarkEnd w:id="41"/>
    </w:p>
    <w:p w14:paraId="06235ABD">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bookmarkStart w:id="42" w:name="_Toc44814585"/>
      <w:r>
        <w:rPr>
          <w:rFonts w:hint="eastAsia" w:ascii="宋体" w:hAnsi="宋体" w:eastAsia="宋体" w:cs="宋体"/>
          <w:snapToGrid w:val="0"/>
          <w:color w:val="auto"/>
          <w:sz w:val="22"/>
          <w:szCs w:val="22"/>
          <w:highlight w:val="none"/>
        </w:rPr>
        <w:t>20  开标</w:t>
      </w:r>
    </w:p>
    <w:p w14:paraId="5FBA253E">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20.1 招标人按投标人须知资料表中规定的时间和地点（如有补遗书和其他有效函件，以最后发出的内容为准），对所有按时递交的投标文件进行开标。投标人的法定代表人或其授权代理人应携带身份证等有效身份证明准时到场，并在签到表上签字以证明其出席。未参加开标活动视为其默认开标结果。</w:t>
      </w:r>
    </w:p>
    <w:p w14:paraId="6BC51054">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 xml:space="preserve">20.2 </w:t>
      </w:r>
      <w:r>
        <w:rPr>
          <w:rFonts w:hint="eastAsia" w:ascii="宋体" w:hAnsi="宋体" w:eastAsia="宋体" w:cs="宋体"/>
          <w:color w:val="auto"/>
          <w:sz w:val="22"/>
          <w:szCs w:val="22"/>
          <w:highlight w:val="none"/>
        </w:rPr>
        <w:t>开标程序</w:t>
      </w:r>
    </w:p>
    <w:p w14:paraId="112F9C51">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20.2.1主持人按下列程序进行开标：</w:t>
      </w:r>
    </w:p>
    <w:p w14:paraId="2027B29E">
      <w:pPr>
        <w:keepNext w:val="0"/>
        <w:keepLines w:val="0"/>
        <w:pageBreakBefore w:val="0"/>
        <w:widowControl w:val="0"/>
        <w:kinsoku/>
        <w:wordWrap/>
        <w:overflowPunct/>
        <w:autoSpaceDE/>
        <w:autoSpaceDN/>
        <w:bidi w:val="0"/>
        <w:adjustRightInd/>
        <w:snapToGrid/>
        <w:spacing w:line="360" w:lineRule="auto"/>
        <w:ind w:lef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1、主持人按下列程序对投标文件</w:t>
      </w:r>
      <w:r>
        <w:rPr>
          <w:rFonts w:hint="eastAsia" w:ascii="宋体" w:hAnsi="宋体" w:eastAsia="宋体" w:cs="宋体"/>
          <w:b/>
          <w:color w:val="auto"/>
          <w:sz w:val="22"/>
          <w:szCs w:val="22"/>
          <w:highlight w:val="none"/>
          <w:lang w:eastAsia="zh-CN"/>
        </w:rPr>
        <w:t>第一个信封（商务及技术文件）</w:t>
      </w:r>
      <w:r>
        <w:rPr>
          <w:rFonts w:hint="eastAsia" w:ascii="宋体" w:hAnsi="宋体" w:eastAsia="宋体" w:cs="宋体"/>
          <w:b/>
          <w:color w:val="auto"/>
          <w:sz w:val="22"/>
          <w:szCs w:val="22"/>
          <w:highlight w:val="none"/>
        </w:rPr>
        <w:t>进行开标：</w:t>
      </w:r>
    </w:p>
    <w:p w14:paraId="5D315D23">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（1）宣布开标纪律；</w:t>
      </w:r>
    </w:p>
    <w:p w14:paraId="0F5D7F98">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（2）公布在投标截止时间前递交投标文件的投标人名称；</w:t>
      </w:r>
    </w:p>
    <w:p w14:paraId="782BD74C">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（3）检查投标文件的密封情况；</w:t>
      </w:r>
    </w:p>
    <w:p w14:paraId="1C0A70D5">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（4）按照宣布的开标顺序当众开标，公布投标人名称、标段名称、投标文件的相关内容，并记录在案；</w:t>
      </w:r>
    </w:p>
    <w:p w14:paraId="650E4E58">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（5）投标人代表、监标人、记录人等有关人员在开标记录上签字确认；</w:t>
      </w:r>
    </w:p>
    <w:p w14:paraId="3E0C8667">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若招标人宣读的内容与投标文件不符时，投标人有权在开标现场提出异议，经监标人当场核查确认之后，可重新宣读其投标文件。若投标人现场未提出异议，则认为投标人已确认招标人宣读的内容。</w:t>
      </w:r>
    </w:p>
    <w:p w14:paraId="1B71DC30">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（6）由监标人在现场对所有密封性检查合格的投标人投标文件的第二信封（投标报价）当众进行加封和保存；</w:t>
      </w:r>
    </w:p>
    <w:p w14:paraId="44EA63DB">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（7）开标会议结束。</w:t>
      </w:r>
    </w:p>
    <w:p w14:paraId="43B7B4F5">
      <w:pPr>
        <w:keepNext w:val="0"/>
        <w:keepLines w:val="0"/>
        <w:pageBreakBefore w:val="0"/>
        <w:widowControl w:val="0"/>
        <w:kinsoku/>
        <w:wordWrap/>
        <w:overflowPunct/>
        <w:autoSpaceDE/>
        <w:autoSpaceDN/>
        <w:bidi w:val="0"/>
        <w:adjustRightInd/>
        <w:snapToGrid/>
        <w:spacing w:line="360" w:lineRule="auto"/>
        <w:ind w:lef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若投标人的</w:t>
      </w:r>
      <w:r>
        <w:rPr>
          <w:rFonts w:hint="eastAsia" w:ascii="宋体" w:hAnsi="宋体" w:eastAsia="宋体" w:cs="宋体"/>
          <w:b/>
          <w:color w:val="auto"/>
          <w:sz w:val="22"/>
          <w:szCs w:val="22"/>
          <w:highlight w:val="none"/>
          <w:lang w:eastAsia="zh-CN"/>
        </w:rPr>
        <w:t>第一个信封（商务及技术文件）</w:t>
      </w:r>
      <w:r>
        <w:rPr>
          <w:rFonts w:hint="eastAsia" w:ascii="宋体" w:hAnsi="宋体" w:eastAsia="宋体" w:cs="宋体"/>
          <w:b/>
          <w:color w:val="auto"/>
          <w:sz w:val="22"/>
          <w:szCs w:val="22"/>
          <w:highlight w:val="none"/>
        </w:rPr>
        <w:t>发现以下情况之一者，招标人当场宣布该投标人的投标文件为否决投标，“</w:t>
      </w:r>
      <w:r>
        <w:rPr>
          <w:rFonts w:hint="eastAsia" w:ascii="宋体" w:hAnsi="宋体" w:eastAsia="宋体" w:cs="宋体"/>
          <w:b/>
          <w:color w:val="auto"/>
          <w:sz w:val="22"/>
          <w:szCs w:val="22"/>
          <w:highlight w:val="none"/>
          <w:lang w:eastAsia="zh-CN"/>
        </w:rPr>
        <w:t>第二个信封（报价文件）</w:t>
      </w:r>
      <w:r>
        <w:rPr>
          <w:rFonts w:hint="eastAsia" w:ascii="宋体" w:hAnsi="宋体" w:eastAsia="宋体" w:cs="宋体"/>
          <w:b/>
          <w:color w:val="auto"/>
          <w:sz w:val="22"/>
          <w:szCs w:val="22"/>
          <w:highlight w:val="none"/>
        </w:rPr>
        <w:t>”于</w:t>
      </w:r>
      <w:r>
        <w:rPr>
          <w:rFonts w:hint="eastAsia" w:ascii="宋体" w:hAnsi="宋体" w:eastAsia="宋体" w:cs="宋体"/>
          <w:b/>
          <w:color w:val="auto"/>
          <w:sz w:val="22"/>
          <w:szCs w:val="22"/>
          <w:highlight w:val="none"/>
          <w:lang w:eastAsia="zh-CN"/>
        </w:rPr>
        <w:t>第一个信封（商务及技术文件）</w:t>
      </w:r>
      <w:r>
        <w:rPr>
          <w:rFonts w:hint="eastAsia" w:ascii="宋体" w:hAnsi="宋体" w:eastAsia="宋体" w:cs="宋体"/>
          <w:b/>
          <w:color w:val="auto"/>
          <w:sz w:val="22"/>
          <w:szCs w:val="22"/>
          <w:highlight w:val="none"/>
        </w:rPr>
        <w:t>开标结束后退还给投标人：</w:t>
      </w:r>
    </w:p>
    <w:p w14:paraId="5100E86D">
      <w:pPr>
        <w:keepNext w:val="0"/>
        <w:keepLines w:val="0"/>
        <w:pageBreakBefore w:val="0"/>
        <w:widowControl w:val="0"/>
        <w:kinsoku/>
        <w:wordWrap/>
        <w:overflowPunct/>
        <w:autoSpaceDE/>
        <w:autoSpaceDN/>
        <w:bidi w:val="0"/>
        <w:adjustRightInd/>
        <w:snapToGrid/>
        <w:spacing w:line="360" w:lineRule="auto"/>
        <w:ind w:left="0" w:firstLine="442" w:firstLineChars="200"/>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highlight w:val="none"/>
          <w:u w:val="none"/>
        </w:rPr>
        <w:t>a.未按投标人须知16.1款密封；</w:t>
      </w:r>
    </w:p>
    <w:p w14:paraId="3BFAD2A8">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招标人宣读的内容与投标文件不符时，投标人有权在开标现场提出异议，经监标人当场核查确认后，可重新宣读其投标文件。投标人现场未提出异议，则认为投标人已确认招标人宣读的内容。</w:t>
      </w:r>
    </w:p>
    <w:p w14:paraId="44C6253A">
      <w:pPr>
        <w:keepNext w:val="0"/>
        <w:keepLines w:val="0"/>
        <w:pageBreakBefore w:val="0"/>
        <w:widowControl w:val="0"/>
        <w:kinsoku/>
        <w:wordWrap/>
        <w:overflowPunct/>
        <w:autoSpaceDE/>
        <w:autoSpaceDN/>
        <w:bidi w:val="0"/>
        <w:adjustRightInd/>
        <w:snapToGrid/>
        <w:spacing w:line="360" w:lineRule="auto"/>
        <w:ind w:lef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2、招标人将按照本章第20.1款规定的时间和地点对封存的投标文件</w:t>
      </w:r>
      <w:r>
        <w:rPr>
          <w:rFonts w:hint="eastAsia" w:ascii="宋体" w:hAnsi="宋体" w:eastAsia="宋体" w:cs="宋体"/>
          <w:b/>
          <w:color w:val="auto"/>
          <w:sz w:val="22"/>
          <w:szCs w:val="22"/>
          <w:highlight w:val="none"/>
          <w:lang w:eastAsia="zh-CN"/>
        </w:rPr>
        <w:t>第二个信封（报价文件）</w:t>
      </w:r>
      <w:r>
        <w:rPr>
          <w:rFonts w:hint="eastAsia" w:ascii="宋体" w:hAnsi="宋体" w:eastAsia="宋体" w:cs="宋体"/>
          <w:b/>
          <w:color w:val="auto"/>
          <w:sz w:val="22"/>
          <w:szCs w:val="22"/>
          <w:highlight w:val="none"/>
        </w:rPr>
        <w:t>进行开标。主持人按下列程序进行开标：</w:t>
      </w:r>
    </w:p>
    <w:p w14:paraId="26343E36">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（1）宣布开标纪律；</w:t>
      </w:r>
    </w:p>
    <w:p w14:paraId="7B94EED3">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（2）当众宣布通过投标文件</w:t>
      </w:r>
      <w:r>
        <w:rPr>
          <w:rFonts w:hint="eastAsia" w:ascii="宋体" w:hAnsi="宋体" w:eastAsia="宋体" w:cs="宋体"/>
          <w:color w:val="auto"/>
          <w:sz w:val="22"/>
          <w:szCs w:val="22"/>
          <w:highlight w:val="none"/>
          <w:lang w:eastAsia="zh-CN"/>
        </w:rPr>
        <w:t>第一个信封（商务及技术文件）</w:t>
      </w:r>
      <w:r>
        <w:rPr>
          <w:rFonts w:hint="eastAsia" w:ascii="宋体" w:hAnsi="宋体" w:eastAsia="宋体" w:cs="宋体"/>
          <w:color w:val="auto"/>
          <w:sz w:val="22"/>
          <w:szCs w:val="22"/>
          <w:highlight w:val="none"/>
        </w:rPr>
        <w:t>评审的投标人名单；</w:t>
      </w:r>
    </w:p>
    <w:p w14:paraId="4E31C309">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（3）由投标人代表检查投标文件密封情况； </w:t>
      </w:r>
    </w:p>
    <w:p w14:paraId="72E2C46C">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（4）由招标人纪检在开标现场随机抽取“T—投标控制价上限权重值”和“K—评标基准价浮动系数”；</w:t>
      </w:r>
    </w:p>
    <w:p w14:paraId="0D9CC51B">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）对通过投标文件</w:t>
      </w:r>
      <w:r>
        <w:rPr>
          <w:rFonts w:hint="eastAsia" w:ascii="宋体" w:hAnsi="宋体" w:eastAsia="宋体" w:cs="宋体"/>
          <w:color w:val="auto"/>
          <w:sz w:val="22"/>
          <w:szCs w:val="22"/>
          <w:highlight w:val="none"/>
          <w:lang w:eastAsia="zh-CN"/>
        </w:rPr>
        <w:t>第一个信封（商务及技术文件）</w:t>
      </w:r>
      <w:r>
        <w:rPr>
          <w:rFonts w:hint="eastAsia" w:ascii="宋体" w:hAnsi="宋体" w:eastAsia="宋体" w:cs="宋体"/>
          <w:color w:val="auto"/>
          <w:sz w:val="22"/>
          <w:szCs w:val="22"/>
          <w:highlight w:val="none"/>
        </w:rPr>
        <w:t>评审的投标文件</w:t>
      </w:r>
      <w:r>
        <w:rPr>
          <w:rFonts w:hint="eastAsia" w:ascii="宋体" w:hAnsi="宋体" w:eastAsia="宋体" w:cs="宋体"/>
          <w:color w:val="auto"/>
          <w:sz w:val="22"/>
          <w:szCs w:val="22"/>
          <w:highlight w:val="none"/>
          <w:lang w:eastAsia="zh-CN"/>
        </w:rPr>
        <w:t>第二个信封（报价文件）</w:t>
      </w:r>
      <w:r>
        <w:rPr>
          <w:rFonts w:hint="eastAsia" w:ascii="宋体" w:hAnsi="宋体" w:eastAsia="宋体" w:cs="宋体"/>
          <w:color w:val="auto"/>
          <w:sz w:val="22"/>
          <w:szCs w:val="22"/>
          <w:highlight w:val="none"/>
        </w:rPr>
        <w:t>当众开标，并公布这些投标文件</w:t>
      </w:r>
      <w:r>
        <w:rPr>
          <w:rFonts w:hint="eastAsia" w:ascii="宋体" w:hAnsi="宋体" w:eastAsia="宋体" w:cs="宋体"/>
          <w:color w:val="auto"/>
          <w:sz w:val="22"/>
          <w:szCs w:val="22"/>
          <w:highlight w:val="none"/>
          <w:lang w:eastAsia="zh-CN"/>
        </w:rPr>
        <w:t>第二个信封（报价文件）</w:t>
      </w:r>
      <w:r>
        <w:rPr>
          <w:rFonts w:hint="eastAsia" w:ascii="宋体" w:hAnsi="宋体" w:eastAsia="宋体" w:cs="宋体"/>
          <w:color w:val="auto"/>
          <w:sz w:val="22"/>
          <w:szCs w:val="22"/>
          <w:highlight w:val="none"/>
        </w:rPr>
        <w:t>的投标人名称、标段名称、投标报价，并记录在案；</w:t>
      </w:r>
    </w:p>
    <w:p w14:paraId="0AF5D7D3">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）投标人代表、记录人等有关人员在开标记录上签字确认； </w:t>
      </w:r>
    </w:p>
    <w:p w14:paraId="31CD981F">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若招标人宣读的内容与投标文件不符时，投标人有权在开标现场提出异议，经监标人当场核查确认之后，可重新宣读其投标文件。若投标人现场未提出异议，则认为投标人已确认招标人宣读的内容。</w:t>
      </w:r>
      <w:r>
        <w:rPr>
          <w:rFonts w:hint="eastAsia" w:ascii="宋体" w:hAnsi="宋体" w:eastAsia="宋体" w:cs="宋体"/>
          <w:b/>
          <w:bCs/>
          <w:color w:val="auto"/>
          <w:sz w:val="22"/>
          <w:szCs w:val="22"/>
          <w:highlight w:val="none"/>
        </w:rPr>
        <w:t>投标人若未派法定代表人或委托代理人出席投标文件第二信封开标活动，视为该投标人默认开标结果。</w:t>
      </w:r>
    </w:p>
    <w:p w14:paraId="122684B8">
      <w:pPr>
        <w:keepNext w:val="0"/>
        <w:keepLines w:val="0"/>
        <w:pageBreakBefore w:val="0"/>
        <w:widowControl w:val="0"/>
        <w:kinsoku/>
        <w:wordWrap/>
        <w:overflowPunct/>
        <w:autoSpaceDE/>
        <w:autoSpaceDN/>
        <w:bidi w:val="0"/>
        <w:adjustRightInd/>
        <w:snapToGrid/>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（6）开标会议结束。</w:t>
      </w:r>
    </w:p>
    <w:p w14:paraId="07B37156">
      <w:pPr>
        <w:keepNext w:val="0"/>
        <w:keepLines w:val="0"/>
        <w:pageBreakBefore w:val="0"/>
        <w:widowControl w:val="0"/>
        <w:kinsoku/>
        <w:wordWrap/>
        <w:overflowPunct/>
        <w:autoSpaceDE/>
        <w:autoSpaceDN/>
        <w:bidi w:val="0"/>
        <w:adjustRightInd/>
        <w:snapToGrid/>
        <w:spacing w:line="360" w:lineRule="auto"/>
        <w:ind w:left="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第二信封开标过程中，若招标人发现投标文件出现以下任一情况，其投标报价将不再参加评标基准价的计算： </w:t>
      </w:r>
    </w:p>
    <w:p w14:paraId="263C854B">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2" w:firstLineChars="200"/>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（1）未在投标函上填写投标总价；</w:t>
      </w:r>
    </w:p>
    <w:p w14:paraId="0E4E0563">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2" w:firstLineChars="200"/>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（2）投标报价或调价函中的报价超出招标人公布的最高投标限价</w:t>
      </w:r>
      <w:r>
        <w:rPr>
          <w:rFonts w:hint="eastAsia" w:cs="宋体"/>
          <w:b/>
          <w:bCs/>
          <w:color w:val="auto"/>
          <w:sz w:val="22"/>
          <w:szCs w:val="22"/>
          <w:highlight w:val="none"/>
          <w:u w:val="none"/>
          <w:lang w:val="en-US" w:eastAsia="zh-CN"/>
        </w:rPr>
        <w:t>及分项限价</w:t>
      </w:r>
      <w:r>
        <w:rPr>
          <w:rFonts w:hint="eastAsia" w:ascii="宋体" w:hAnsi="宋体" w:eastAsia="宋体" w:cs="宋体"/>
          <w:b/>
          <w:bCs/>
          <w:color w:val="auto"/>
          <w:sz w:val="22"/>
          <w:szCs w:val="22"/>
          <w:highlight w:val="none"/>
          <w:u w:val="none"/>
        </w:rPr>
        <w:t>（如有）；</w:t>
      </w:r>
    </w:p>
    <w:p w14:paraId="76697FB8">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2" w:firstLineChars="200"/>
        <w:rPr>
          <w:rFonts w:hint="eastAsia" w:ascii="宋体" w:hAnsi="宋体" w:eastAsia="宋体" w:cs="宋体"/>
          <w:snapToGrid w:val="0"/>
          <w:color w:val="auto"/>
          <w:kern w:val="0"/>
          <w:sz w:val="22"/>
          <w:szCs w:val="22"/>
          <w:highlight w:val="none"/>
          <w:u w:val="none"/>
        </w:rPr>
      </w:pPr>
      <w:r>
        <w:rPr>
          <w:rFonts w:hint="eastAsia" w:ascii="宋体" w:hAnsi="宋体" w:eastAsia="宋体" w:cs="宋体"/>
          <w:b/>
          <w:bCs/>
          <w:color w:val="auto"/>
          <w:sz w:val="22"/>
          <w:szCs w:val="22"/>
          <w:highlight w:val="none"/>
          <w:u w:val="none"/>
        </w:rPr>
        <w:t>（3）投标报价或调价函中报价的大写金额无法确定具体数值；</w:t>
      </w:r>
    </w:p>
    <w:p w14:paraId="04124717">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20.3 当参加投标的投标人少于三家时，招标人将重新组织招标，已递交的投标文件不予开启，原封退还给投标人。</w:t>
      </w:r>
    </w:p>
    <w:p w14:paraId="1DF7039F">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21  评标过程的保密</w:t>
      </w:r>
    </w:p>
    <w:p w14:paraId="2900B983">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jc w:val="left"/>
        <w:rPr>
          <w:rFonts w:hint="eastAsia" w:ascii="宋体" w:hAnsi="宋体" w:eastAsia="宋体" w:cs="宋体"/>
          <w:snapToGrid w:val="0"/>
          <w:color w:val="auto"/>
          <w:kern w:val="0"/>
          <w:sz w:val="22"/>
          <w:szCs w:val="22"/>
          <w:highlight w:val="none"/>
        </w:rPr>
      </w:pPr>
      <w:bookmarkStart w:id="43" w:name="_Toc298415863"/>
      <w:r>
        <w:rPr>
          <w:rFonts w:hint="eastAsia" w:ascii="宋体" w:hAnsi="宋体" w:eastAsia="宋体" w:cs="宋体"/>
          <w:snapToGrid w:val="0"/>
          <w:color w:val="auto"/>
          <w:kern w:val="0"/>
          <w:sz w:val="22"/>
          <w:szCs w:val="22"/>
          <w:highlight w:val="none"/>
        </w:rPr>
        <w:t>21.1 开标后，直到签订合同书为止，凡有关投标文件的审查、澄清和评价工作，都应在保密的情况下进行，任何信息和资料均不得向投标人或其他人泄露。</w:t>
      </w:r>
      <w:bookmarkEnd w:id="43"/>
    </w:p>
    <w:p w14:paraId="46286B10">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jc w:val="left"/>
        <w:rPr>
          <w:rFonts w:hint="eastAsia" w:ascii="宋体" w:hAnsi="宋体" w:eastAsia="宋体" w:cs="宋体"/>
          <w:snapToGrid w:val="0"/>
          <w:color w:val="auto"/>
          <w:kern w:val="0"/>
          <w:sz w:val="22"/>
          <w:szCs w:val="22"/>
          <w:highlight w:val="none"/>
        </w:rPr>
      </w:pPr>
      <w:bookmarkStart w:id="44" w:name="_Toc298415864"/>
      <w:r>
        <w:rPr>
          <w:rFonts w:hint="eastAsia" w:ascii="宋体" w:hAnsi="宋体" w:eastAsia="宋体" w:cs="宋体"/>
          <w:snapToGrid w:val="0"/>
          <w:color w:val="auto"/>
          <w:kern w:val="0"/>
          <w:sz w:val="22"/>
          <w:szCs w:val="22"/>
          <w:highlight w:val="none"/>
        </w:rPr>
        <w:t>21.2 投标人在投标文件的审查、澄清、评价和比较以及授予合同的过程中，对招标人施加影响的任何行为，都将导致取消其中标资格。</w:t>
      </w:r>
      <w:bookmarkEnd w:id="44"/>
    </w:p>
    <w:p w14:paraId="7475A92E">
      <w:pPr>
        <w:pStyle w:val="85"/>
        <w:keepNext w:val="0"/>
        <w:keepLines w:val="0"/>
        <w:pageBreakBefore w:val="0"/>
        <w:widowControl w:val="0"/>
        <w:kinsoku/>
        <w:wordWrap/>
        <w:overflowPunct/>
        <w:topLinePunct/>
        <w:autoSpaceDE/>
        <w:autoSpaceDN/>
        <w:bidi w:val="0"/>
        <w:adjustRightInd/>
        <w:snapToGrid/>
        <w:spacing w:before="0" w:after="0" w:line="360" w:lineRule="auto"/>
        <w:ind w:left="0" w:firstLine="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22  评标</w:t>
      </w:r>
    </w:p>
    <w:p w14:paraId="05B02C76">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b w:val="0"/>
          <w:bCs w:val="0"/>
          <w:snapToGrid w:val="0"/>
          <w:color w:val="auto"/>
          <w:kern w:val="0"/>
          <w:sz w:val="22"/>
          <w:szCs w:val="22"/>
          <w:highlight w:val="none"/>
        </w:rPr>
      </w:pPr>
      <w:r>
        <w:rPr>
          <w:rFonts w:hint="eastAsia" w:ascii="宋体" w:hAnsi="宋体" w:eastAsia="宋体" w:cs="宋体"/>
          <w:b w:val="0"/>
          <w:bCs w:val="0"/>
          <w:snapToGrid w:val="0"/>
          <w:color w:val="auto"/>
          <w:kern w:val="0"/>
          <w:sz w:val="22"/>
          <w:szCs w:val="22"/>
          <w:highlight w:val="none"/>
        </w:rPr>
        <w:t>22.1 评标由招标人依法组建的评标委员会负责。评标委员会由招标人熟悉相关业务的代表，以及有关技术、经济等方面的专家组成。评标委员会人数为5人或5人以上单数，其中技术、经济等方面专家人数应不少于成员总数的2/3。</w:t>
      </w:r>
    </w:p>
    <w:p w14:paraId="02FBAE0F">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22.2 评标委员会成员有下列情形之一的，应当回避：</w:t>
      </w:r>
    </w:p>
    <w:p w14:paraId="78583F95">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（1）招标人或投标人的主要负责人的近亲属；</w:t>
      </w:r>
    </w:p>
    <w:p w14:paraId="2B09D33F">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（2）为负责招标项目监督管理的交通运输主管部门的工作人员；</w:t>
      </w:r>
    </w:p>
    <w:p w14:paraId="7370BFB1">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（3）与投标人有经济利益关系，可能影响对投标公正评审的；</w:t>
      </w:r>
    </w:p>
    <w:p w14:paraId="7C4883C1">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（4）曾因在招标、评标以及其他与招标投标有关活动中从事违法行为而受过行政处罚或刑事处罚的。</w:t>
      </w:r>
    </w:p>
    <w:p w14:paraId="42A291A5">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22.3 评标原则评标活动遵循公平、公正、科学和择优的原则。</w:t>
      </w:r>
    </w:p>
    <w:p w14:paraId="6A70CE4A">
      <w:pPr>
        <w:pStyle w:val="87"/>
        <w:keepNext w:val="0"/>
        <w:keepLines w:val="0"/>
        <w:pageBreakBefore w:val="0"/>
        <w:widowControl w:val="0"/>
        <w:tabs>
          <w:tab w:val="left" w:pos="540"/>
        </w:tabs>
        <w:kinsoku/>
        <w:wordWrap/>
        <w:overflow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22.4 评标采用综合评估法。</w:t>
      </w:r>
    </w:p>
    <w:p w14:paraId="4361616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22.5 评标结果公示在</w:t>
      </w:r>
      <w:r>
        <w:rPr>
          <w:rFonts w:hint="eastAsia" w:ascii="宋体" w:hAnsi="宋体" w:eastAsia="宋体" w:cs="宋体"/>
          <w:snapToGrid w:val="0"/>
          <w:color w:val="auto"/>
          <w:kern w:val="0"/>
          <w:sz w:val="22"/>
          <w:szCs w:val="22"/>
          <w:highlight w:val="none"/>
          <w:u w:val="single"/>
        </w:rPr>
        <w:t>南通市交通运输局</w:t>
      </w:r>
      <w:r>
        <w:rPr>
          <w:rFonts w:hint="eastAsia" w:cs="宋体"/>
          <w:snapToGrid w:val="0"/>
          <w:color w:val="auto"/>
          <w:kern w:val="0"/>
          <w:sz w:val="22"/>
          <w:szCs w:val="22"/>
          <w:highlight w:val="none"/>
          <w:u w:val="single"/>
          <w:lang w:eastAsia="zh-CN"/>
        </w:rPr>
        <w:t>、江苏招标采购服务平台、中国招标投标公共服务平台</w:t>
      </w:r>
      <w:r>
        <w:rPr>
          <w:rFonts w:hint="eastAsia" w:ascii="宋体" w:hAnsi="宋体" w:eastAsia="宋体" w:cs="宋体"/>
          <w:snapToGrid w:val="0"/>
          <w:color w:val="auto"/>
          <w:kern w:val="0"/>
          <w:sz w:val="22"/>
          <w:szCs w:val="22"/>
          <w:highlight w:val="none"/>
        </w:rPr>
        <w:t>上公示。</w:t>
      </w:r>
    </w:p>
    <w:p w14:paraId="34F6A36A">
      <w:pPr>
        <w:keepNext w:val="0"/>
        <w:keepLines w:val="0"/>
        <w:pageBreakBefore w:val="0"/>
        <w:widowControl w:val="0"/>
        <w:kinsoku/>
        <w:wordWrap/>
        <w:overflowPunct/>
        <w:topLinePunct/>
        <w:autoSpaceDE/>
        <w:autoSpaceDN/>
        <w:bidi w:val="0"/>
        <w:adjustRightInd/>
        <w:snapToGrid/>
        <w:spacing w:line="360" w:lineRule="auto"/>
        <w:ind w:lef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六、授予合同</w:t>
      </w:r>
      <w:bookmarkEnd w:id="42"/>
    </w:p>
    <w:p w14:paraId="57045D2F">
      <w:pPr>
        <w:keepNext w:val="0"/>
        <w:keepLines w:val="0"/>
        <w:pageBreakBefore w:val="0"/>
        <w:widowControl w:val="0"/>
        <w:kinsoku/>
        <w:wordWrap/>
        <w:overflowPunct/>
        <w:topLinePunct/>
        <w:autoSpaceDE/>
        <w:autoSpaceDN/>
        <w:bidi w:val="0"/>
        <w:adjustRightInd/>
        <w:snapToGrid/>
        <w:spacing w:line="360" w:lineRule="auto"/>
        <w:ind w:left="0"/>
        <w:rPr>
          <w:rFonts w:hint="eastAsia" w:ascii="宋体" w:hAnsi="宋体" w:eastAsia="宋体" w:cs="宋体"/>
          <w:b/>
          <w:snapToGrid w:val="0"/>
          <w:color w:val="auto"/>
          <w:kern w:val="0"/>
          <w:sz w:val="22"/>
          <w:szCs w:val="22"/>
          <w:highlight w:val="none"/>
        </w:rPr>
      </w:pPr>
      <w:r>
        <w:rPr>
          <w:rFonts w:hint="eastAsia" w:ascii="宋体" w:hAnsi="宋体" w:eastAsia="宋体" w:cs="宋体"/>
          <w:b/>
          <w:color w:val="auto"/>
          <w:sz w:val="22"/>
          <w:szCs w:val="22"/>
          <w:highlight w:val="none"/>
        </w:rPr>
        <w:t>23  合同授予的标准</w:t>
      </w:r>
    </w:p>
    <w:p w14:paraId="4848AB2E">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45" w:name="_Toc298415872"/>
      <w:r>
        <w:rPr>
          <w:rFonts w:hint="eastAsia" w:ascii="宋体" w:hAnsi="宋体" w:eastAsia="宋体" w:cs="宋体"/>
          <w:snapToGrid w:val="0"/>
          <w:color w:val="auto"/>
          <w:kern w:val="0"/>
          <w:sz w:val="22"/>
          <w:szCs w:val="22"/>
          <w:highlight w:val="none"/>
        </w:rPr>
        <w:t>23.1 招标人根据评标委员会提出的书面评标报告和推荐的中标候选人，将合同授予评标委员会推荐的中标候选人。招标人根据本须知第24条规定享有的权力不受本条限制。</w:t>
      </w:r>
      <w:bookmarkEnd w:id="45"/>
    </w:p>
    <w:p w14:paraId="60481E43">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46" w:name="_Toc298415873"/>
      <w:r>
        <w:rPr>
          <w:rFonts w:hint="eastAsia" w:ascii="宋体" w:hAnsi="宋体" w:eastAsia="宋体" w:cs="宋体"/>
          <w:snapToGrid w:val="0"/>
          <w:color w:val="auto"/>
          <w:kern w:val="0"/>
          <w:sz w:val="22"/>
          <w:szCs w:val="22"/>
          <w:highlight w:val="none"/>
        </w:rPr>
        <w:t xml:space="preserve">23.2 </w:t>
      </w:r>
      <w:bookmarkEnd w:id="46"/>
      <w:r>
        <w:rPr>
          <w:rFonts w:hint="eastAsia" w:ascii="宋体" w:hAnsi="宋体" w:eastAsia="宋体" w:cs="宋体"/>
          <w:snapToGrid w:val="0"/>
          <w:color w:val="auto"/>
          <w:kern w:val="0"/>
          <w:sz w:val="22"/>
          <w:szCs w:val="22"/>
          <w:highlight w:val="none"/>
        </w:rPr>
        <w:t>招标人按评标办法规定，确定评标委员会推荐的第一中标候选人为中标人的，如第一中标候选人放弃中标或因不可抗力提出不能履行合同，招标人可以确定第二中标候选人为中标人。</w:t>
      </w:r>
    </w:p>
    <w:p w14:paraId="5BA38C4F">
      <w:pPr>
        <w:keepNext w:val="0"/>
        <w:keepLines w:val="0"/>
        <w:pageBreakBefore w:val="0"/>
        <w:widowControl w:val="0"/>
        <w:kinsoku/>
        <w:wordWrap/>
        <w:overflowPunct/>
        <w:topLinePunct/>
        <w:autoSpaceDE/>
        <w:autoSpaceDN/>
        <w:bidi w:val="0"/>
        <w:adjustRightInd/>
        <w:snapToGrid/>
        <w:spacing w:line="360" w:lineRule="auto"/>
        <w:ind w:left="0"/>
        <w:rPr>
          <w:rFonts w:hint="eastAsia" w:ascii="宋体" w:hAnsi="宋体" w:eastAsia="宋体" w:cs="宋体"/>
          <w:b/>
          <w:color w:val="auto"/>
          <w:sz w:val="22"/>
          <w:szCs w:val="22"/>
          <w:highlight w:val="none"/>
        </w:rPr>
      </w:pPr>
      <w:bookmarkStart w:id="47" w:name="_Toc298415875"/>
      <w:bookmarkStart w:id="48" w:name="_Toc246470947"/>
      <w:r>
        <w:rPr>
          <w:rFonts w:hint="eastAsia" w:ascii="宋体" w:hAnsi="宋体" w:eastAsia="宋体" w:cs="宋体"/>
          <w:b/>
          <w:color w:val="auto"/>
          <w:sz w:val="22"/>
          <w:szCs w:val="22"/>
          <w:highlight w:val="none"/>
        </w:rPr>
        <w:t>24  招标人接受和拒绝投标的权力</w:t>
      </w:r>
      <w:bookmarkEnd w:id="47"/>
      <w:bookmarkEnd w:id="48"/>
    </w:p>
    <w:p w14:paraId="0B69769C">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49" w:name="_Toc298415876"/>
      <w:r>
        <w:rPr>
          <w:rFonts w:hint="eastAsia" w:ascii="宋体" w:hAnsi="宋体" w:eastAsia="宋体" w:cs="宋体"/>
          <w:snapToGrid w:val="0"/>
          <w:color w:val="auto"/>
          <w:kern w:val="0"/>
          <w:sz w:val="22"/>
          <w:szCs w:val="22"/>
          <w:highlight w:val="none"/>
        </w:rPr>
        <w:t>24.1 招标人在发出中标通知书前因项目发生变化或不可抗力等原因有权宣布投标程序无效或拒绝所有投标，并对由此引起的对投标人的影响不承担任何责任，也无须将这样做的理由通知受影响的投标人，但招标人应将投标担保退还给投标人。</w:t>
      </w:r>
      <w:bookmarkEnd w:id="49"/>
      <w:bookmarkStart w:id="50" w:name="_Toc298415877"/>
      <w:bookmarkStart w:id="51" w:name="_Toc246470948"/>
    </w:p>
    <w:p w14:paraId="4719A0AF">
      <w:pPr>
        <w:keepNext w:val="0"/>
        <w:keepLines w:val="0"/>
        <w:pageBreakBefore w:val="0"/>
        <w:widowControl w:val="0"/>
        <w:kinsoku/>
        <w:wordWrap/>
        <w:overflowPunct/>
        <w:topLinePunct/>
        <w:autoSpaceDE/>
        <w:autoSpaceDN/>
        <w:bidi w:val="0"/>
        <w:adjustRightInd/>
        <w:snapToGrid/>
        <w:spacing w:line="360" w:lineRule="auto"/>
        <w:ind w:lef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25  中标通知书</w:t>
      </w:r>
      <w:bookmarkEnd w:id="50"/>
      <w:bookmarkEnd w:id="51"/>
    </w:p>
    <w:p w14:paraId="15EB9A98">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52" w:name="_Toc298415878"/>
      <w:r>
        <w:rPr>
          <w:rFonts w:hint="eastAsia" w:ascii="宋体" w:hAnsi="宋体" w:eastAsia="宋体" w:cs="宋体"/>
          <w:snapToGrid w:val="0"/>
          <w:color w:val="auto"/>
          <w:kern w:val="0"/>
          <w:sz w:val="22"/>
          <w:szCs w:val="22"/>
          <w:highlight w:val="none"/>
        </w:rPr>
        <w:t>25.1</w:t>
      </w:r>
      <w:bookmarkEnd w:id="52"/>
      <w:r>
        <w:rPr>
          <w:rFonts w:hint="eastAsia" w:ascii="宋体" w:hAnsi="宋体" w:eastAsia="宋体" w:cs="宋体"/>
          <w:snapToGrid w:val="0"/>
          <w:color w:val="auto"/>
          <w:kern w:val="0"/>
          <w:sz w:val="22"/>
          <w:szCs w:val="22"/>
          <w:highlight w:val="none"/>
        </w:rPr>
        <w:t xml:space="preserve"> 在规定的投标有效期截止前，招标人将以书面形式通知中标的投标人其投标被接受。</w:t>
      </w:r>
    </w:p>
    <w:p w14:paraId="4F7900E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53" w:name="_Toc298415879"/>
      <w:r>
        <w:rPr>
          <w:rFonts w:hint="eastAsia" w:ascii="宋体" w:hAnsi="宋体" w:eastAsia="宋体" w:cs="宋体"/>
          <w:snapToGrid w:val="0"/>
          <w:color w:val="auto"/>
          <w:kern w:val="0"/>
          <w:sz w:val="22"/>
          <w:szCs w:val="22"/>
          <w:highlight w:val="none"/>
        </w:rPr>
        <w:t>25.2 中标通知书是合同文件的组成部分。</w:t>
      </w:r>
      <w:bookmarkEnd w:id="53"/>
      <w:bookmarkStart w:id="54" w:name="_Toc246470950"/>
      <w:bookmarkStart w:id="55" w:name="_Toc29350079"/>
      <w:bookmarkStart w:id="56" w:name="_Toc298415882"/>
    </w:p>
    <w:p w14:paraId="53FE98B0">
      <w:pPr>
        <w:keepNext w:val="0"/>
        <w:keepLines w:val="0"/>
        <w:pageBreakBefore w:val="0"/>
        <w:widowControl w:val="0"/>
        <w:tabs>
          <w:tab w:val="left" w:pos="1260"/>
        </w:tabs>
        <w:kinsoku/>
        <w:wordWrap/>
        <w:overflowPunct/>
        <w:topLinePunct/>
        <w:autoSpaceDE/>
        <w:autoSpaceDN/>
        <w:bidi w:val="0"/>
        <w:adjustRightInd/>
        <w:snapToGrid/>
        <w:spacing w:line="360" w:lineRule="auto"/>
        <w:ind w:lef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26  合同协议书的签署</w:t>
      </w:r>
      <w:bookmarkEnd w:id="54"/>
      <w:bookmarkEnd w:id="55"/>
      <w:bookmarkEnd w:id="56"/>
    </w:p>
    <w:p w14:paraId="09868215">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57" w:name="_Toc298415883"/>
      <w:r>
        <w:rPr>
          <w:rFonts w:hint="eastAsia" w:ascii="宋体" w:hAnsi="宋体" w:eastAsia="宋体" w:cs="宋体"/>
          <w:snapToGrid w:val="0"/>
          <w:color w:val="auto"/>
          <w:kern w:val="0"/>
          <w:sz w:val="22"/>
          <w:szCs w:val="22"/>
          <w:highlight w:val="none"/>
        </w:rPr>
        <w:t>26.1</w:t>
      </w:r>
      <w:bookmarkEnd w:id="57"/>
      <w:r>
        <w:rPr>
          <w:rFonts w:hint="eastAsia" w:ascii="宋体" w:hAnsi="宋体" w:eastAsia="宋体" w:cs="宋体"/>
          <w:snapToGrid w:val="0"/>
          <w:color w:val="auto"/>
          <w:kern w:val="0"/>
          <w:sz w:val="22"/>
          <w:szCs w:val="22"/>
          <w:highlight w:val="none"/>
        </w:rPr>
        <w:t xml:space="preserve"> 中标人在中标通知书发出之日起30日内，应派代表与招标人协商签订合同事宜。签约的地点将在中标通知书中明确。</w:t>
      </w:r>
      <w:bookmarkStart w:id="58" w:name="_Toc298415884"/>
    </w:p>
    <w:p w14:paraId="17334A14">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26.2 履约担保</w:t>
      </w:r>
    </w:p>
    <w:p w14:paraId="2E8712F2">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2"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履约担保</w:t>
      </w:r>
      <w:r>
        <w:rPr>
          <w:rFonts w:hint="eastAsia" w:ascii="宋体" w:hAnsi="宋体" w:eastAsia="宋体" w:cs="宋体"/>
          <w:b/>
          <w:bCs/>
          <w:snapToGrid w:val="0"/>
          <w:color w:val="auto"/>
          <w:kern w:val="0"/>
          <w:sz w:val="22"/>
          <w:szCs w:val="22"/>
          <w:highlight w:val="none"/>
          <w:lang w:eastAsia="zh-CN"/>
        </w:rPr>
        <w:t>：</w:t>
      </w:r>
      <w:r>
        <w:rPr>
          <w:rFonts w:hint="eastAsia" w:ascii="宋体" w:hAnsi="宋体" w:eastAsia="宋体" w:cs="宋体"/>
          <w:b/>
          <w:bCs/>
          <w:snapToGrid w:val="0"/>
          <w:color w:val="auto"/>
          <w:kern w:val="0"/>
          <w:sz w:val="22"/>
          <w:szCs w:val="22"/>
          <w:highlight w:val="none"/>
          <w:u w:val="single"/>
          <w:lang w:val="en-US" w:eastAsia="zh-CN"/>
        </w:rPr>
        <w:t>不收取</w:t>
      </w:r>
      <w:r>
        <w:rPr>
          <w:rFonts w:hint="eastAsia" w:ascii="宋体" w:hAnsi="宋体" w:eastAsia="宋体" w:cs="宋体"/>
          <w:b/>
          <w:bCs/>
          <w:snapToGrid w:val="0"/>
          <w:color w:val="auto"/>
          <w:kern w:val="0"/>
          <w:sz w:val="22"/>
          <w:szCs w:val="22"/>
          <w:highlight w:val="none"/>
          <w:u w:val="single"/>
        </w:rPr>
        <w:t>。</w:t>
      </w:r>
    </w:p>
    <w:p w14:paraId="5120B13A">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26.3 合同协议书经双方法定代表人或其授权代理人签署、加盖公章后生效。</w:t>
      </w:r>
      <w:bookmarkEnd w:id="58"/>
    </w:p>
    <w:p w14:paraId="16A0526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59" w:name="_Toc298415885"/>
      <w:r>
        <w:rPr>
          <w:rFonts w:hint="eastAsia" w:ascii="宋体" w:hAnsi="宋体" w:eastAsia="宋体" w:cs="宋体"/>
          <w:snapToGrid w:val="0"/>
          <w:color w:val="auto"/>
          <w:kern w:val="0"/>
          <w:sz w:val="22"/>
          <w:szCs w:val="22"/>
          <w:highlight w:val="none"/>
        </w:rPr>
        <w:t>26.4 如果中标人未能遵守本须知第26.1款的规定，招标人将宣布其中标无效。在此情况下，招标人可将合同授予下一个中标候选人。如果没有其他合适投标人时，则重新招标。</w:t>
      </w:r>
      <w:bookmarkEnd w:id="59"/>
    </w:p>
    <w:p w14:paraId="0FE215E5">
      <w:pPr>
        <w:keepNext w:val="0"/>
        <w:keepLines w:val="0"/>
        <w:pageBreakBefore w:val="0"/>
        <w:widowControl w:val="0"/>
        <w:kinsoku/>
        <w:wordWrap/>
        <w:overflowPunct/>
        <w:topLinePunct/>
        <w:autoSpaceDE/>
        <w:autoSpaceDN/>
        <w:bidi w:val="0"/>
        <w:adjustRightInd/>
        <w:snapToGrid/>
        <w:spacing w:line="360" w:lineRule="auto"/>
        <w:ind w:left="0"/>
        <w:jc w:val="center"/>
        <w:rPr>
          <w:rFonts w:hint="eastAsia" w:ascii="宋体" w:hAnsi="宋体" w:eastAsia="宋体" w:cs="宋体"/>
          <w:snapToGrid w:val="0"/>
          <w:color w:val="auto"/>
          <w:sz w:val="22"/>
          <w:szCs w:val="22"/>
          <w:highlight w:val="none"/>
        </w:rPr>
      </w:pPr>
      <w:bookmarkStart w:id="60" w:name="_Toc44814586"/>
      <w:r>
        <w:rPr>
          <w:rFonts w:hint="eastAsia" w:ascii="宋体" w:hAnsi="宋体" w:eastAsia="宋体" w:cs="宋体"/>
          <w:b/>
          <w:color w:val="auto"/>
          <w:sz w:val="22"/>
          <w:szCs w:val="22"/>
          <w:highlight w:val="none"/>
        </w:rPr>
        <w:t>七</w:t>
      </w:r>
      <w:bookmarkEnd w:id="60"/>
      <w:r>
        <w:rPr>
          <w:rFonts w:hint="eastAsia" w:ascii="宋体" w:hAnsi="宋体" w:eastAsia="宋体" w:cs="宋体"/>
          <w:b/>
          <w:color w:val="auto"/>
          <w:sz w:val="22"/>
          <w:szCs w:val="22"/>
          <w:highlight w:val="none"/>
        </w:rPr>
        <w:t>、其他</w:t>
      </w:r>
    </w:p>
    <w:p w14:paraId="25453EFF">
      <w:pPr>
        <w:keepNext w:val="0"/>
        <w:keepLines w:val="0"/>
        <w:pageBreakBefore w:val="0"/>
        <w:widowControl w:val="0"/>
        <w:tabs>
          <w:tab w:val="left" w:pos="1260"/>
        </w:tabs>
        <w:kinsoku/>
        <w:wordWrap/>
        <w:overflowPunct/>
        <w:topLinePunct/>
        <w:autoSpaceDE/>
        <w:autoSpaceDN/>
        <w:bidi w:val="0"/>
        <w:adjustRightInd/>
        <w:snapToGrid/>
        <w:spacing w:line="360" w:lineRule="auto"/>
        <w:ind w:lef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27  纪律与监督</w:t>
      </w:r>
    </w:p>
    <w:p w14:paraId="1C78FB2F">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27.1 严禁投标人向参与招标、评标工作的有关人员行贿，使其泄露一切与招标、评标工作的有关信息。在招标、评标期间，不得邀请参与招标、评标工作的有关人员到投标人单位参观考察或出席投标人主办的或赞助的任何活动。</w:t>
      </w:r>
    </w:p>
    <w:p w14:paraId="174E30B3">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27.2 投标人在投标过程中严禁互相串通、结盟，损害招标的公正性和竞争性，或以任何方式影响其他投标人参与正当投标。</w:t>
      </w:r>
    </w:p>
    <w:p w14:paraId="1C59369B">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27.3 如发现投标人有上述不正当竞争行为，将取消其投标资格或中标资格。</w:t>
      </w:r>
    </w:p>
    <w:p w14:paraId="7C732F8E">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bookmarkStart w:id="61" w:name="_Toc298415890"/>
      <w:r>
        <w:rPr>
          <w:rFonts w:hint="eastAsia" w:ascii="宋体" w:hAnsi="宋体" w:eastAsia="宋体" w:cs="宋体"/>
          <w:snapToGrid w:val="0"/>
          <w:color w:val="auto"/>
          <w:kern w:val="0"/>
          <w:sz w:val="22"/>
          <w:szCs w:val="22"/>
          <w:highlight w:val="none"/>
        </w:rPr>
        <w:t>27.4 本项目监督部门：</w:t>
      </w:r>
      <w:bookmarkEnd w:id="61"/>
    </w:p>
    <w:p w14:paraId="0E2B494D">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lang w:val="en-US" w:eastAsia="zh-CN"/>
        </w:rPr>
      </w:pPr>
      <w:bookmarkStart w:id="62" w:name="_Toc246470953"/>
      <w:bookmarkStart w:id="63" w:name="_Toc29350082"/>
      <w:bookmarkStart w:id="64" w:name="_Toc298415898"/>
      <w:r>
        <w:rPr>
          <w:rFonts w:hint="eastAsia" w:ascii="宋体" w:hAnsi="宋体" w:eastAsia="宋体" w:cs="宋体"/>
          <w:snapToGrid w:val="0"/>
          <w:color w:val="auto"/>
          <w:kern w:val="0"/>
          <w:sz w:val="22"/>
          <w:szCs w:val="22"/>
          <w:highlight w:val="none"/>
          <w:lang w:val="en-US" w:eastAsia="zh-CN"/>
        </w:rPr>
        <w:t>监  督：南通市江海河联运项目建设指挥部党建纪检办</w:t>
      </w:r>
    </w:p>
    <w:p w14:paraId="08F16087">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地  址：南通市外环西路99号</w:t>
      </w:r>
    </w:p>
    <w:p w14:paraId="13998286">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电  话：0513-83549393</w:t>
      </w:r>
    </w:p>
    <w:p w14:paraId="7045A385">
      <w:pPr>
        <w:keepNext w:val="0"/>
        <w:keepLines w:val="0"/>
        <w:pageBreakBefore w:val="0"/>
        <w:widowControl w:val="0"/>
        <w:tabs>
          <w:tab w:val="left" w:pos="1260"/>
        </w:tabs>
        <w:kinsoku/>
        <w:wordWrap/>
        <w:overflowPunct/>
        <w:topLinePunct/>
        <w:autoSpaceDE/>
        <w:autoSpaceDN/>
        <w:bidi w:val="0"/>
        <w:adjustRightInd/>
        <w:snapToGrid/>
        <w:spacing w:line="360" w:lineRule="auto"/>
        <w:ind w:lef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28  版权</w:t>
      </w:r>
      <w:bookmarkEnd w:id="62"/>
      <w:bookmarkEnd w:id="63"/>
      <w:bookmarkEnd w:id="64"/>
    </w:p>
    <w:p w14:paraId="4BB987C1">
      <w:pPr>
        <w:pStyle w:val="87"/>
        <w:keepNext w:val="0"/>
        <w:keepLines w:val="0"/>
        <w:pageBreakBefore w:val="0"/>
        <w:widowControl w:val="0"/>
        <w:tabs>
          <w:tab w:val="left" w:pos="540"/>
        </w:tabs>
        <w:kinsoku/>
        <w:wordWrap/>
        <w:overflowPunct/>
        <w:topLinePunct/>
        <w:autoSpaceDE/>
        <w:autoSpaceDN/>
        <w:bidi w:val="0"/>
        <w:adjustRightInd/>
        <w:snapToGrid/>
        <w:spacing w:line="360" w:lineRule="auto"/>
        <w:ind w:left="0" w:firstLine="440" w:firstLineChars="200"/>
        <w:rPr>
          <w:snapToGrid w:val="0"/>
          <w:color w:val="auto"/>
          <w:kern w:val="0"/>
          <w:sz w:val="21"/>
          <w:szCs w:val="21"/>
          <w:highlight w:val="none"/>
        </w:rPr>
      </w:pPr>
      <w:bookmarkStart w:id="65" w:name="_Toc298415899"/>
      <w:r>
        <w:rPr>
          <w:rFonts w:hint="eastAsia" w:ascii="宋体" w:hAnsi="宋体" w:eastAsia="宋体" w:cs="宋体"/>
          <w:snapToGrid w:val="0"/>
          <w:color w:val="auto"/>
          <w:kern w:val="0"/>
          <w:sz w:val="22"/>
          <w:szCs w:val="22"/>
          <w:highlight w:val="none"/>
        </w:rPr>
        <w:t>28.1 招标人对所提供的资料及本工程的成果拥有版权，未经招标人许可，投标人不得复制或出版。</w:t>
      </w:r>
      <w:bookmarkEnd w:id="65"/>
      <w:r>
        <w:rPr>
          <w:rFonts w:hint="eastAsia"/>
          <w:snapToGrid w:val="0"/>
          <w:color w:val="auto"/>
          <w:kern w:val="0"/>
          <w:sz w:val="21"/>
          <w:szCs w:val="21"/>
          <w:highlight w:val="none"/>
        </w:rPr>
        <w:t xml:space="preserve">  </w:t>
      </w:r>
    </w:p>
    <w:p w14:paraId="4620C476">
      <w:pPr>
        <w:pStyle w:val="28"/>
        <w:spacing w:before="120" w:beforeLines="50" w:after="0" w:line="360" w:lineRule="auto"/>
        <w:rPr>
          <w:color w:val="auto"/>
          <w:sz w:val="32"/>
          <w:szCs w:val="22"/>
          <w:highlight w:val="none"/>
        </w:rPr>
      </w:pPr>
      <w:bookmarkStart w:id="66" w:name="_Toc353197095"/>
      <w:bookmarkStart w:id="67" w:name="_Toc33625855"/>
      <w:bookmarkStart w:id="68" w:name="_Toc428299627"/>
      <w:r>
        <w:rPr>
          <w:rFonts w:hint="eastAsia" w:cs="Arial"/>
          <w:color w:val="auto"/>
          <w:sz w:val="32"/>
          <w:szCs w:val="22"/>
          <w:highlight w:val="none"/>
        </w:rPr>
        <w:br w:type="page"/>
      </w:r>
      <w:r>
        <w:rPr>
          <w:rFonts w:hint="eastAsia" w:cs="Arial"/>
          <w:color w:val="auto"/>
          <w:sz w:val="32"/>
          <w:szCs w:val="22"/>
          <w:highlight w:val="none"/>
        </w:rPr>
        <w:t>第三章</w:t>
      </w:r>
      <w:r>
        <w:rPr>
          <w:rFonts w:hint="eastAsia" w:cs="Arial"/>
          <w:color w:val="auto"/>
          <w:sz w:val="32"/>
          <w:szCs w:val="22"/>
          <w:highlight w:val="none"/>
          <w:lang w:val="en-US" w:eastAsia="zh-CN"/>
        </w:rPr>
        <w:t xml:space="preserve"> </w:t>
      </w:r>
      <w:r>
        <w:rPr>
          <w:rFonts w:hint="eastAsia" w:cs="Arial"/>
          <w:color w:val="auto"/>
          <w:sz w:val="32"/>
          <w:szCs w:val="22"/>
          <w:highlight w:val="none"/>
        </w:rPr>
        <w:t>评标办法</w:t>
      </w:r>
      <w:bookmarkEnd w:id="66"/>
      <w:bookmarkEnd w:id="67"/>
      <w:bookmarkEnd w:id="68"/>
      <w:r>
        <w:rPr>
          <w:rFonts w:hint="eastAsia" w:cs="Arial"/>
          <w:color w:val="auto"/>
          <w:sz w:val="32"/>
          <w:szCs w:val="22"/>
          <w:highlight w:val="none"/>
        </w:rPr>
        <w:t>（双信封 综合评估法）</w:t>
      </w:r>
    </w:p>
    <w:p w14:paraId="68C6D312">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评标办法前附表</w:t>
      </w:r>
    </w:p>
    <w:tbl>
      <w:tblPr>
        <w:tblStyle w:val="30"/>
        <w:tblW w:w="95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1278"/>
        <w:gridCol w:w="7241"/>
      </w:tblGrid>
      <w:tr w14:paraId="471CC5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86" w:type="dxa"/>
            <w:noWrap w:val="0"/>
            <w:vAlign w:val="center"/>
          </w:tcPr>
          <w:p w14:paraId="34B3BAB4">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1278" w:type="dxa"/>
            <w:noWrap w:val="0"/>
            <w:vAlign w:val="center"/>
          </w:tcPr>
          <w:p w14:paraId="74BC75D0">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条款名称</w:t>
            </w:r>
          </w:p>
        </w:tc>
        <w:tc>
          <w:tcPr>
            <w:tcW w:w="7241" w:type="dxa"/>
            <w:noWrap w:val="0"/>
            <w:vAlign w:val="center"/>
          </w:tcPr>
          <w:p w14:paraId="3882CFEF">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评审因素与评审标准</w:t>
            </w:r>
          </w:p>
        </w:tc>
      </w:tr>
      <w:tr w14:paraId="0E508D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86" w:type="dxa"/>
            <w:noWrap w:val="0"/>
            <w:vAlign w:val="center"/>
          </w:tcPr>
          <w:p w14:paraId="29307C0F">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w:t>
            </w:r>
          </w:p>
        </w:tc>
        <w:tc>
          <w:tcPr>
            <w:tcW w:w="1278" w:type="dxa"/>
            <w:noWrap w:val="0"/>
            <w:vAlign w:val="center"/>
          </w:tcPr>
          <w:p w14:paraId="1A43646D">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第一信封</w:t>
            </w:r>
          </w:p>
          <w:p w14:paraId="31B425B9">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资格审查</w:t>
            </w:r>
          </w:p>
        </w:tc>
        <w:tc>
          <w:tcPr>
            <w:tcW w:w="7241" w:type="dxa"/>
            <w:noWrap w:val="0"/>
            <w:vAlign w:val="center"/>
          </w:tcPr>
          <w:p w14:paraId="64D62B6D">
            <w:pPr>
              <w:keepNext w:val="0"/>
              <w:keepLines w:val="0"/>
              <w:pageBreakBefore w:val="0"/>
              <w:tabs>
                <w:tab w:val="left" w:pos="0"/>
              </w:tabs>
              <w:kinsoku/>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（1）资质</w:t>
            </w:r>
            <w:r>
              <w:rPr>
                <w:rFonts w:hint="eastAsia" w:ascii="宋体" w:hAnsi="宋体" w:eastAsia="宋体" w:cs="宋体"/>
                <w:b/>
                <w:color w:val="auto"/>
                <w:sz w:val="22"/>
                <w:szCs w:val="22"/>
                <w:highlight w:val="none"/>
                <w:lang w:val="en-US" w:eastAsia="zh-CN"/>
              </w:rPr>
              <w:t>要求</w:t>
            </w:r>
            <w:r>
              <w:rPr>
                <w:rFonts w:hint="eastAsia" w:ascii="宋体" w:hAnsi="宋体" w:eastAsia="宋体" w:cs="宋体"/>
                <w:b/>
                <w:color w:val="auto"/>
                <w:sz w:val="22"/>
                <w:szCs w:val="22"/>
                <w:highlight w:val="none"/>
              </w:rPr>
              <w:t>：详见</w:t>
            </w:r>
            <w:r>
              <w:rPr>
                <w:rFonts w:hint="eastAsia" w:ascii="宋体" w:hAnsi="宋体" w:eastAsia="宋体" w:cs="宋体"/>
                <w:b/>
                <w:color w:val="auto"/>
                <w:sz w:val="22"/>
                <w:szCs w:val="22"/>
                <w:highlight w:val="none"/>
                <w:lang w:val="en-US" w:eastAsia="zh-CN"/>
              </w:rPr>
              <w:t xml:space="preserve">第一章 </w:t>
            </w:r>
            <w:r>
              <w:rPr>
                <w:rFonts w:hint="eastAsia" w:ascii="宋体" w:hAnsi="宋体" w:eastAsia="宋体" w:cs="宋体"/>
                <w:b/>
                <w:color w:val="auto"/>
                <w:sz w:val="22"/>
                <w:szCs w:val="22"/>
                <w:highlight w:val="none"/>
              </w:rPr>
              <w:t>招标公告。</w:t>
            </w:r>
          </w:p>
          <w:p w14:paraId="6AE22C46">
            <w:pPr>
              <w:keepNext w:val="0"/>
              <w:keepLines w:val="0"/>
              <w:pageBreakBefore w:val="0"/>
              <w:tabs>
                <w:tab w:val="left" w:pos="0"/>
              </w:tabs>
              <w:kinsoku/>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（2）信誉</w:t>
            </w:r>
            <w:r>
              <w:rPr>
                <w:rFonts w:hint="eastAsia" w:ascii="宋体" w:hAnsi="宋体" w:eastAsia="宋体" w:cs="宋体"/>
                <w:b/>
                <w:color w:val="auto"/>
                <w:sz w:val="22"/>
                <w:szCs w:val="22"/>
                <w:highlight w:val="none"/>
                <w:lang w:val="en-US" w:eastAsia="zh-CN"/>
              </w:rPr>
              <w:t>要求</w:t>
            </w:r>
            <w:r>
              <w:rPr>
                <w:rFonts w:hint="eastAsia" w:ascii="宋体" w:hAnsi="宋体" w:eastAsia="宋体" w:cs="宋体"/>
                <w:b/>
                <w:color w:val="auto"/>
                <w:sz w:val="22"/>
                <w:szCs w:val="22"/>
                <w:highlight w:val="none"/>
              </w:rPr>
              <w:t>：详见</w:t>
            </w:r>
            <w:r>
              <w:rPr>
                <w:rFonts w:hint="eastAsia" w:ascii="宋体" w:hAnsi="宋体" w:eastAsia="宋体" w:cs="宋体"/>
                <w:b/>
                <w:color w:val="auto"/>
                <w:sz w:val="22"/>
                <w:szCs w:val="22"/>
                <w:highlight w:val="none"/>
                <w:lang w:val="en-US" w:eastAsia="zh-CN"/>
              </w:rPr>
              <w:t xml:space="preserve">第一章 </w:t>
            </w:r>
            <w:r>
              <w:rPr>
                <w:rFonts w:hint="eastAsia" w:ascii="宋体" w:hAnsi="宋体" w:eastAsia="宋体" w:cs="宋体"/>
                <w:b/>
                <w:color w:val="auto"/>
                <w:sz w:val="22"/>
                <w:szCs w:val="22"/>
                <w:highlight w:val="none"/>
              </w:rPr>
              <w:t>招标公告。</w:t>
            </w:r>
          </w:p>
          <w:p w14:paraId="2A287BA5">
            <w:pPr>
              <w:keepNext w:val="0"/>
              <w:keepLines w:val="0"/>
              <w:pageBreakBefore w:val="0"/>
              <w:tabs>
                <w:tab w:val="left" w:pos="0"/>
              </w:tabs>
              <w:kinsoku/>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（3）业绩</w:t>
            </w:r>
            <w:r>
              <w:rPr>
                <w:rFonts w:hint="eastAsia" w:ascii="宋体" w:hAnsi="宋体" w:eastAsia="宋体" w:cs="宋体"/>
                <w:b/>
                <w:color w:val="auto"/>
                <w:sz w:val="22"/>
                <w:szCs w:val="22"/>
                <w:highlight w:val="none"/>
                <w:lang w:val="en-US" w:eastAsia="zh-CN"/>
              </w:rPr>
              <w:t>要求</w:t>
            </w:r>
            <w:r>
              <w:rPr>
                <w:rFonts w:hint="eastAsia" w:ascii="宋体" w:hAnsi="宋体" w:eastAsia="宋体" w:cs="宋体"/>
                <w:b/>
                <w:color w:val="auto"/>
                <w:sz w:val="22"/>
                <w:szCs w:val="22"/>
                <w:highlight w:val="none"/>
              </w:rPr>
              <w:t>：详见</w:t>
            </w:r>
            <w:r>
              <w:rPr>
                <w:rFonts w:hint="eastAsia" w:ascii="宋体" w:hAnsi="宋体" w:eastAsia="宋体" w:cs="宋体"/>
                <w:b/>
                <w:color w:val="auto"/>
                <w:sz w:val="22"/>
                <w:szCs w:val="22"/>
                <w:highlight w:val="none"/>
                <w:lang w:val="en-US" w:eastAsia="zh-CN"/>
              </w:rPr>
              <w:t xml:space="preserve">第一章 </w:t>
            </w:r>
            <w:r>
              <w:rPr>
                <w:rFonts w:hint="eastAsia" w:ascii="宋体" w:hAnsi="宋体" w:eastAsia="宋体" w:cs="宋体"/>
                <w:b/>
                <w:color w:val="auto"/>
                <w:sz w:val="22"/>
                <w:szCs w:val="22"/>
                <w:highlight w:val="none"/>
              </w:rPr>
              <w:t>招标公告。</w:t>
            </w:r>
          </w:p>
          <w:p w14:paraId="19D5C33A">
            <w:pPr>
              <w:keepNext w:val="0"/>
              <w:keepLines w:val="0"/>
              <w:pageBreakBefore w:val="0"/>
              <w:tabs>
                <w:tab w:val="left" w:pos="0"/>
              </w:tabs>
              <w:kinsoku/>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（4）项目负责人</w:t>
            </w:r>
            <w:r>
              <w:rPr>
                <w:rFonts w:hint="eastAsia" w:ascii="宋体" w:hAnsi="宋体" w:eastAsia="宋体" w:cs="宋体"/>
                <w:b/>
                <w:color w:val="auto"/>
                <w:sz w:val="22"/>
                <w:szCs w:val="22"/>
                <w:highlight w:val="none"/>
                <w:lang w:val="en-US" w:eastAsia="zh-CN"/>
              </w:rPr>
              <w:t>要求</w:t>
            </w:r>
            <w:r>
              <w:rPr>
                <w:rFonts w:hint="eastAsia" w:ascii="宋体" w:hAnsi="宋体" w:eastAsia="宋体" w:cs="宋体"/>
                <w:b/>
                <w:color w:val="auto"/>
                <w:sz w:val="22"/>
                <w:szCs w:val="22"/>
                <w:highlight w:val="none"/>
              </w:rPr>
              <w:t>：详见</w:t>
            </w:r>
            <w:r>
              <w:rPr>
                <w:rFonts w:hint="eastAsia" w:ascii="宋体" w:hAnsi="宋体" w:eastAsia="宋体" w:cs="宋体"/>
                <w:b/>
                <w:color w:val="auto"/>
                <w:sz w:val="22"/>
                <w:szCs w:val="22"/>
                <w:highlight w:val="none"/>
                <w:lang w:val="en-US" w:eastAsia="zh-CN"/>
              </w:rPr>
              <w:t xml:space="preserve">第一章 </w:t>
            </w:r>
            <w:r>
              <w:rPr>
                <w:rFonts w:hint="eastAsia" w:ascii="宋体" w:hAnsi="宋体" w:eastAsia="宋体" w:cs="宋体"/>
                <w:b/>
                <w:color w:val="auto"/>
                <w:sz w:val="22"/>
                <w:szCs w:val="22"/>
                <w:highlight w:val="none"/>
              </w:rPr>
              <w:t>招标公告。</w:t>
            </w:r>
          </w:p>
          <w:p w14:paraId="0140CDE2">
            <w:pPr>
              <w:keepNext w:val="0"/>
              <w:keepLines w:val="0"/>
              <w:pageBreakBefore w:val="0"/>
              <w:tabs>
                <w:tab w:val="left" w:pos="0"/>
              </w:tabs>
              <w:kinsoku/>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en-US" w:eastAsia="zh-CN"/>
              </w:rPr>
              <w:t>其他要求：</w:t>
            </w:r>
            <w:r>
              <w:rPr>
                <w:rFonts w:hint="eastAsia" w:ascii="宋体" w:hAnsi="宋体" w:eastAsia="宋体" w:cs="宋体"/>
                <w:b/>
                <w:color w:val="auto"/>
                <w:sz w:val="22"/>
                <w:szCs w:val="22"/>
                <w:highlight w:val="none"/>
              </w:rPr>
              <w:t>详见</w:t>
            </w:r>
            <w:r>
              <w:rPr>
                <w:rFonts w:hint="eastAsia" w:ascii="宋体" w:hAnsi="宋体" w:eastAsia="宋体" w:cs="宋体"/>
                <w:b/>
                <w:color w:val="auto"/>
                <w:sz w:val="22"/>
                <w:szCs w:val="22"/>
                <w:highlight w:val="none"/>
                <w:lang w:val="en-US" w:eastAsia="zh-CN"/>
              </w:rPr>
              <w:t xml:space="preserve">第一章 </w:t>
            </w:r>
            <w:r>
              <w:rPr>
                <w:rFonts w:hint="eastAsia" w:ascii="宋体" w:hAnsi="宋体" w:eastAsia="宋体" w:cs="宋体"/>
                <w:b/>
                <w:color w:val="auto"/>
                <w:sz w:val="22"/>
                <w:szCs w:val="22"/>
                <w:highlight w:val="none"/>
              </w:rPr>
              <w:t>招标公告。</w:t>
            </w:r>
          </w:p>
        </w:tc>
      </w:tr>
      <w:tr w14:paraId="36A66A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86" w:type="dxa"/>
            <w:noWrap w:val="0"/>
            <w:vAlign w:val="center"/>
          </w:tcPr>
          <w:p w14:paraId="6D94AA7F">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2.3</w:t>
            </w:r>
          </w:p>
        </w:tc>
        <w:tc>
          <w:tcPr>
            <w:tcW w:w="1278" w:type="dxa"/>
            <w:noWrap w:val="0"/>
            <w:vAlign w:val="center"/>
          </w:tcPr>
          <w:p w14:paraId="72668CE9">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第一信封</w:t>
            </w:r>
          </w:p>
          <w:p w14:paraId="04C2601E">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形式与响应性评审</w:t>
            </w:r>
          </w:p>
        </w:tc>
        <w:tc>
          <w:tcPr>
            <w:tcW w:w="7241" w:type="dxa"/>
            <w:noWrap w:val="0"/>
            <w:vAlign w:val="center"/>
          </w:tcPr>
          <w:p w14:paraId="6A42DF20">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（1）投标文件中，法定代表人或其授权代理人签字以及盖单位公章齐全。</w:t>
            </w:r>
          </w:p>
          <w:p w14:paraId="75BD446B">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（2）按招标文件规定格式</w:t>
            </w:r>
            <w:r>
              <w:rPr>
                <w:rFonts w:hint="eastAsia" w:ascii="宋体" w:hAnsi="宋体" w:cs="宋体"/>
                <w:b/>
                <w:color w:val="auto"/>
                <w:sz w:val="22"/>
                <w:szCs w:val="22"/>
                <w:highlight w:val="none"/>
                <w:lang w:val="en-US" w:eastAsia="zh-CN"/>
              </w:rPr>
              <w:t>要求</w:t>
            </w:r>
            <w:r>
              <w:rPr>
                <w:rFonts w:hint="eastAsia" w:ascii="宋体" w:hAnsi="宋体" w:eastAsia="宋体" w:cs="宋体"/>
                <w:b/>
                <w:color w:val="auto"/>
                <w:sz w:val="22"/>
                <w:szCs w:val="22"/>
                <w:highlight w:val="none"/>
              </w:rPr>
              <w:t>编制投标文件，内容齐全，字迹清晰可辨。</w:t>
            </w:r>
          </w:p>
          <w:p w14:paraId="5553A287">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（3）如投标文件法定代表人亲自签署，提供了法定代表人身份证明。</w:t>
            </w:r>
          </w:p>
          <w:p w14:paraId="7A060BF0">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（4）如投标文件非法定代表人签署，提供了法定代表人身份证明</w:t>
            </w:r>
            <w:r>
              <w:rPr>
                <w:rFonts w:hint="eastAsia" w:ascii="宋体" w:hAnsi="宋体" w:cs="宋体"/>
                <w:b/>
                <w:color w:val="auto"/>
                <w:sz w:val="22"/>
                <w:szCs w:val="22"/>
                <w:highlight w:val="none"/>
                <w:lang w:val="en-US" w:eastAsia="zh-CN"/>
              </w:rPr>
              <w:t>和</w:t>
            </w:r>
            <w:r>
              <w:rPr>
                <w:rFonts w:hint="eastAsia" w:ascii="宋体" w:hAnsi="宋体" w:eastAsia="宋体" w:cs="宋体"/>
                <w:b/>
                <w:color w:val="auto"/>
                <w:sz w:val="22"/>
                <w:szCs w:val="22"/>
                <w:highlight w:val="none"/>
              </w:rPr>
              <w:t>授权委托书，并符合下列要求：授权人和被授权人均在授权书上签字，</w:t>
            </w:r>
            <w:r>
              <w:rPr>
                <w:rFonts w:hint="eastAsia" w:ascii="宋体" w:hAnsi="宋体" w:cs="宋体"/>
                <w:b/>
                <w:color w:val="auto"/>
                <w:sz w:val="22"/>
                <w:szCs w:val="22"/>
                <w:highlight w:val="none"/>
                <w:lang w:val="en-US" w:eastAsia="zh-CN"/>
              </w:rPr>
              <w:t>也</w:t>
            </w:r>
            <w:r>
              <w:rPr>
                <w:rFonts w:hint="eastAsia" w:ascii="宋体" w:hAnsi="宋体" w:eastAsia="宋体" w:cs="宋体"/>
                <w:b/>
                <w:color w:val="auto"/>
                <w:sz w:val="22"/>
                <w:szCs w:val="22"/>
                <w:highlight w:val="none"/>
              </w:rPr>
              <w:t>可使用印章或签名章</w:t>
            </w:r>
            <w:r>
              <w:rPr>
                <w:rFonts w:hint="eastAsia" w:ascii="宋体" w:hAnsi="宋体" w:cs="宋体"/>
                <w:b/>
                <w:color w:val="auto"/>
                <w:sz w:val="22"/>
                <w:szCs w:val="22"/>
                <w:highlight w:val="none"/>
                <w:lang w:eastAsia="zh-CN"/>
              </w:rPr>
              <w:t>。</w:t>
            </w:r>
          </w:p>
          <w:p w14:paraId="0AC6AA3F">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）同一投标人未提交两个以上不同的投标，但招标文件要求提交备选投标的除外。</w:t>
            </w:r>
          </w:p>
          <w:p w14:paraId="77D69858">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）投标文件中未出现有关投标报价的内容。</w:t>
            </w:r>
          </w:p>
          <w:p w14:paraId="48DCC87A">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）投标函中招标项目完成期限未超过招标文件规定的期限。</w:t>
            </w:r>
          </w:p>
          <w:p w14:paraId="68430B77">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）投标文件未附有招标人不能接受的条件。</w:t>
            </w:r>
          </w:p>
          <w:p w14:paraId="3A0CF7A6">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权利义务符合招标文件规定：a.投标人应接受招标文件规定的风险划分原则，不得提出新的风险划分办法；b.投标人不得增加招标人的责任范围，或减少投标人义务；c.投标人不得提出不同的工程验收、计量、考核支付办法；d.投标人对合同纠纷、事故处理办法不得提出异议；e.投标人在投标活动中不得含有欺诈行为；f.投标人不得对合同条款有重要保留。</w:t>
            </w:r>
          </w:p>
          <w:p w14:paraId="29BF472C">
            <w:pPr>
              <w:keepNext w:val="0"/>
              <w:keepLines w:val="0"/>
              <w:pageBreakBefore w:val="0"/>
              <w:tabs>
                <w:tab w:val="left" w:pos="0"/>
              </w:tabs>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）与招标文件要求不存在重大偏离或保留。</w:t>
            </w:r>
          </w:p>
        </w:tc>
      </w:tr>
    </w:tbl>
    <w:p w14:paraId="1BDA9F2C">
      <w:pPr>
        <w:keepNext w:val="0"/>
        <w:keepLines w:val="0"/>
        <w:pageBreakBefore w:val="0"/>
        <w:widowControl/>
        <w:kinsoku/>
        <w:overflowPunct/>
        <w:topLinePunct w:val="0"/>
        <w:autoSpaceDE/>
        <w:autoSpaceDN/>
        <w:bidi w:val="0"/>
        <w:adjustRightInd/>
        <w:snapToGrid/>
        <w:spacing w:line="36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续上表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9"/>
        <w:gridCol w:w="1305"/>
        <w:gridCol w:w="7114"/>
      </w:tblGrid>
      <w:tr w14:paraId="6BAB42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979" w:type="dxa"/>
            <w:noWrap w:val="0"/>
            <w:vAlign w:val="center"/>
          </w:tcPr>
          <w:p w14:paraId="286E9FBC">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1305" w:type="dxa"/>
            <w:noWrap w:val="0"/>
            <w:vAlign w:val="center"/>
          </w:tcPr>
          <w:p w14:paraId="3BCEBA5E">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条款名称</w:t>
            </w:r>
          </w:p>
        </w:tc>
        <w:tc>
          <w:tcPr>
            <w:tcW w:w="7114" w:type="dxa"/>
            <w:noWrap w:val="0"/>
            <w:vAlign w:val="center"/>
          </w:tcPr>
          <w:p w14:paraId="132EA2B6">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评审因素与评审标准</w:t>
            </w:r>
          </w:p>
        </w:tc>
      </w:tr>
      <w:tr w14:paraId="13A57F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979" w:type="dxa"/>
            <w:noWrap w:val="0"/>
            <w:vAlign w:val="center"/>
          </w:tcPr>
          <w:p w14:paraId="26777560">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2.5</w:t>
            </w:r>
          </w:p>
        </w:tc>
        <w:tc>
          <w:tcPr>
            <w:tcW w:w="1305" w:type="dxa"/>
            <w:noWrap w:val="0"/>
            <w:vAlign w:val="center"/>
          </w:tcPr>
          <w:p w14:paraId="606B4561">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第一信封</w:t>
            </w:r>
          </w:p>
          <w:p w14:paraId="0CCA9FE6">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详细评审</w:t>
            </w:r>
          </w:p>
        </w:tc>
        <w:tc>
          <w:tcPr>
            <w:tcW w:w="7114" w:type="dxa"/>
            <w:noWrap w:val="0"/>
            <w:vAlign w:val="center"/>
          </w:tcPr>
          <w:p w14:paraId="0C7A3D74">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第一个信封（商务及技术文件）评分分值构成：</w:t>
            </w:r>
          </w:p>
          <w:p w14:paraId="75D9799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类似</w:t>
            </w:r>
            <w:r>
              <w:rPr>
                <w:rFonts w:hint="eastAsia" w:ascii="宋体" w:hAnsi="宋体" w:eastAsia="宋体" w:cs="宋体"/>
                <w:color w:val="auto"/>
                <w:sz w:val="22"/>
                <w:szCs w:val="22"/>
                <w:highlight w:val="none"/>
              </w:rPr>
              <w:t>业绩</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p w14:paraId="3E04629E">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项目负责人：15</w:t>
            </w:r>
            <w:r>
              <w:rPr>
                <w:rFonts w:hint="eastAsia" w:ascii="宋体" w:hAnsi="宋体" w:eastAsia="宋体" w:cs="宋体"/>
                <w:color w:val="auto"/>
                <w:sz w:val="22"/>
                <w:szCs w:val="22"/>
                <w:highlight w:val="none"/>
              </w:rPr>
              <w:t>分</w:t>
            </w:r>
          </w:p>
          <w:p w14:paraId="10A4B37E">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其他主要技术人员：</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p w14:paraId="0CF0BE5A">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工作大纲</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50</w:t>
            </w:r>
            <w:r>
              <w:rPr>
                <w:rFonts w:hint="eastAsia" w:ascii="宋体" w:hAnsi="宋体" w:eastAsia="宋体" w:cs="宋体"/>
                <w:color w:val="auto"/>
                <w:sz w:val="22"/>
                <w:szCs w:val="22"/>
                <w:highlight w:val="none"/>
              </w:rPr>
              <w:t>分</w:t>
            </w:r>
          </w:p>
        </w:tc>
      </w:tr>
      <w:tr w14:paraId="1C9401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63" w:hRule="atLeast"/>
          <w:jc w:val="center"/>
        </w:trPr>
        <w:tc>
          <w:tcPr>
            <w:tcW w:w="979" w:type="dxa"/>
            <w:noWrap w:val="0"/>
            <w:vAlign w:val="center"/>
          </w:tcPr>
          <w:p w14:paraId="2A426689">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2.7</w:t>
            </w:r>
          </w:p>
        </w:tc>
        <w:tc>
          <w:tcPr>
            <w:tcW w:w="1305" w:type="dxa"/>
            <w:noWrap w:val="0"/>
            <w:vAlign w:val="center"/>
          </w:tcPr>
          <w:p w14:paraId="580EF5B4">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第二信封</w:t>
            </w:r>
          </w:p>
          <w:p w14:paraId="3F120D20">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初步评审</w:t>
            </w:r>
          </w:p>
        </w:tc>
        <w:tc>
          <w:tcPr>
            <w:tcW w:w="7114" w:type="dxa"/>
            <w:noWrap w:val="0"/>
            <w:vAlign w:val="center"/>
          </w:tcPr>
          <w:p w14:paraId="4DCED3A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投标文件按照招标文件规定的格式、内容填写，字迹清晰可辨，内容齐全完整：a.投标函按招标文件规定填报了项目名称、标段号、补遗书编号（如有）、投标价；b.投标文件组成齐全完整，内容均按规定填写。</w:t>
            </w:r>
          </w:p>
          <w:p w14:paraId="50A590CD">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（2）投标文件上法定代表人或其委托代理人的签字、投标人的单位章盖章齐全，符合招标文件规定。</w:t>
            </w:r>
          </w:p>
          <w:p w14:paraId="3EA1A2F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（3）投标报价超出招标人设定的最高投标限价</w:t>
            </w:r>
            <w:r>
              <w:rPr>
                <w:rFonts w:hint="eastAsia" w:ascii="宋体" w:hAnsi="宋体" w:cs="宋体"/>
                <w:b/>
                <w:bCs/>
                <w:color w:val="auto"/>
                <w:sz w:val="22"/>
                <w:szCs w:val="22"/>
                <w:highlight w:val="none"/>
                <w:lang w:val="en-US" w:eastAsia="zh-CN"/>
              </w:rPr>
              <w:t>或分项限价</w:t>
            </w:r>
            <w:r>
              <w:rPr>
                <w:rFonts w:hint="eastAsia" w:ascii="宋体" w:hAnsi="宋体" w:eastAsia="宋体" w:cs="宋体"/>
                <w:b/>
                <w:bCs/>
                <w:color w:val="auto"/>
                <w:sz w:val="22"/>
                <w:szCs w:val="22"/>
                <w:highlight w:val="none"/>
              </w:rPr>
              <w:t>的</w:t>
            </w:r>
            <w:r>
              <w:rPr>
                <w:rFonts w:hint="eastAsia" w:ascii="宋体" w:hAnsi="宋体" w:cs="宋体"/>
                <w:b/>
                <w:bCs/>
                <w:color w:val="auto"/>
                <w:sz w:val="22"/>
                <w:szCs w:val="22"/>
                <w:highlight w:val="none"/>
                <w:lang w:eastAsia="zh-CN"/>
              </w:rPr>
              <w:t>。</w:t>
            </w:r>
          </w:p>
          <w:p w14:paraId="3376EE09">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（4）同一投标人未提交两个以上不同的投标报价。</w:t>
            </w:r>
          </w:p>
          <w:p w14:paraId="18F97A7D">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（5）投标报价的大写金额能够确定具体数值。</w:t>
            </w:r>
          </w:p>
        </w:tc>
      </w:tr>
      <w:tr w14:paraId="177C9F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5" w:hRule="atLeast"/>
          <w:jc w:val="center"/>
        </w:trPr>
        <w:tc>
          <w:tcPr>
            <w:tcW w:w="979" w:type="dxa"/>
            <w:noWrap w:val="0"/>
            <w:vAlign w:val="center"/>
          </w:tcPr>
          <w:p w14:paraId="3F579084">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1305" w:type="dxa"/>
            <w:noWrap w:val="0"/>
            <w:vAlign w:val="center"/>
          </w:tcPr>
          <w:p w14:paraId="4A66EC26">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第二信封</w:t>
            </w:r>
          </w:p>
          <w:p w14:paraId="549E1043">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澄清</w:t>
            </w:r>
          </w:p>
        </w:tc>
        <w:tc>
          <w:tcPr>
            <w:tcW w:w="7114" w:type="dxa"/>
            <w:noWrap w:val="0"/>
            <w:vAlign w:val="center"/>
          </w:tcPr>
          <w:p w14:paraId="32152CD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第二信封澄清过程中，发生以下任一情形的，作否决投标处理：</w:t>
            </w:r>
          </w:p>
          <w:p w14:paraId="72C4B68F">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（1）投标人拒绝确认算术性修正后的报价；</w:t>
            </w:r>
          </w:p>
          <w:p w14:paraId="74D0B726">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（2）修正后的最终投标报价超过最高投标限价</w:t>
            </w:r>
            <w:r>
              <w:rPr>
                <w:rFonts w:hint="eastAsia" w:ascii="宋体" w:hAnsi="宋体" w:cs="宋体"/>
                <w:color w:val="auto"/>
                <w:sz w:val="22"/>
                <w:szCs w:val="22"/>
                <w:highlight w:val="none"/>
                <w:lang w:val="en-US" w:eastAsia="zh-CN"/>
              </w:rPr>
              <w:t>或分项限价</w:t>
            </w:r>
            <w:r>
              <w:rPr>
                <w:rFonts w:hint="eastAsia" w:ascii="宋体" w:hAnsi="宋体" w:eastAsia="宋体" w:cs="宋体"/>
                <w:color w:val="auto"/>
                <w:sz w:val="22"/>
                <w:szCs w:val="22"/>
                <w:highlight w:val="none"/>
              </w:rPr>
              <w:t>。</w:t>
            </w:r>
          </w:p>
        </w:tc>
      </w:tr>
      <w:tr w14:paraId="1C7144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9" w:hRule="atLeast"/>
          <w:jc w:val="center"/>
        </w:trPr>
        <w:tc>
          <w:tcPr>
            <w:tcW w:w="979" w:type="dxa"/>
            <w:noWrap w:val="0"/>
            <w:vAlign w:val="center"/>
          </w:tcPr>
          <w:p w14:paraId="5BA17FDB">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2.10</w:t>
            </w:r>
          </w:p>
        </w:tc>
        <w:tc>
          <w:tcPr>
            <w:tcW w:w="1305" w:type="dxa"/>
            <w:noWrap w:val="0"/>
            <w:vAlign w:val="center"/>
          </w:tcPr>
          <w:p w14:paraId="315288C6">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第二信封</w:t>
            </w:r>
          </w:p>
          <w:p w14:paraId="712D1309">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详细评审</w:t>
            </w:r>
          </w:p>
        </w:tc>
        <w:tc>
          <w:tcPr>
            <w:tcW w:w="7114" w:type="dxa"/>
            <w:noWrap w:val="0"/>
            <w:vAlign w:val="center"/>
          </w:tcPr>
          <w:p w14:paraId="1B8F9CC6">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r>
              <w:rPr>
                <w:rFonts w:hint="eastAsia" w:ascii="宋体" w:hAnsi="宋体" w:eastAsia="宋体" w:cs="宋体"/>
                <w:b/>
                <w:bCs/>
                <w:color w:val="auto"/>
                <w:sz w:val="22"/>
                <w:szCs w:val="22"/>
                <w:highlight w:val="none"/>
              </w:rPr>
              <w:t>（满分10分）</w:t>
            </w:r>
          </w:p>
          <w:p w14:paraId="3873E8D8">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bCs/>
                <w:snapToGrid w:val="0"/>
                <w:color w:val="auto"/>
                <w:kern w:val="0"/>
                <w:sz w:val="22"/>
                <w:szCs w:val="22"/>
                <w:highlight w:val="none"/>
              </w:rPr>
              <w:t>未通过第一信封评审和第二信封初步</w:t>
            </w:r>
            <w:r>
              <w:rPr>
                <w:rFonts w:hint="eastAsia" w:ascii="宋体" w:hAnsi="宋体" w:eastAsia="宋体" w:cs="宋体"/>
                <w:b/>
                <w:bCs/>
                <w:snapToGrid w:val="0"/>
                <w:color w:val="auto"/>
                <w:kern w:val="0"/>
                <w:sz w:val="22"/>
                <w:szCs w:val="22"/>
                <w:highlight w:val="none"/>
                <w:lang w:val="en-US" w:eastAsia="zh-CN"/>
              </w:rPr>
              <w:t>评审</w:t>
            </w:r>
            <w:r>
              <w:rPr>
                <w:rFonts w:hint="eastAsia" w:ascii="宋体" w:hAnsi="宋体" w:eastAsia="宋体" w:cs="宋体"/>
                <w:b/>
                <w:bCs/>
                <w:snapToGrid w:val="0"/>
                <w:color w:val="auto"/>
                <w:kern w:val="0"/>
                <w:sz w:val="22"/>
                <w:szCs w:val="22"/>
                <w:highlight w:val="none"/>
              </w:rPr>
              <w:t>和澄清的，</w:t>
            </w:r>
            <w:r>
              <w:rPr>
                <w:rFonts w:hint="eastAsia" w:ascii="宋体" w:hAnsi="宋体" w:eastAsia="宋体" w:cs="宋体"/>
                <w:b/>
                <w:color w:val="auto"/>
                <w:sz w:val="22"/>
                <w:szCs w:val="22"/>
                <w:highlight w:val="none"/>
              </w:rPr>
              <w:t>不再参与评第二信封详细评审。</w:t>
            </w:r>
          </w:p>
        </w:tc>
      </w:tr>
      <w:tr w14:paraId="44C1AD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979" w:type="dxa"/>
            <w:noWrap w:val="0"/>
            <w:vAlign w:val="center"/>
          </w:tcPr>
          <w:p w14:paraId="0F4A9697">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w:t>
            </w:r>
          </w:p>
        </w:tc>
        <w:tc>
          <w:tcPr>
            <w:tcW w:w="1305" w:type="dxa"/>
            <w:noWrap w:val="0"/>
            <w:vAlign w:val="center"/>
          </w:tcPr>
          <w:p w14:paraId="293A3B30">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评标结果</w:t>
            </w:r>
          </w:p>
        </w:tc>
        <w:tc>
          <w:tcPr>
            <w:tcW w:w="7114" w:type="dxa"/>
            <w:noWrap w:val="0"/>
            <w:vAlign w:val="center"/>
          </w:tcPr>
          <w:p w14:paraId="4294A32E">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u w:val="none"/>
              </w:rPr>
              <w:t>推荐的中标候选人的人数为3名（分别为第一、二、三中标候选人，不足三名，则按实际数量推荐）</w:t>
            </w:r>
            <w:r>
              <w:rPr>
                <w:rFonts w:hint="eastAsia" w:ascii="宋体" w:hAnsi="宋体" w:eastAsia="宋体" w:cs="宋体"/>
                <w:b w:val="0"/>
                <w:bCs w:val="0"/>
                <w:color w:val="auto"/>
                <w:kern w:val="0"/>
                <w:sz w:val="22"/>
                <w:szCs w:val="22"/>
                <w:highlight w:val="none"/>
                <w:u w:val="none"/>
              </w:rPr>
              <w:t>。</w:t>
            </w:r>
          </w:p>
        </w:tc>
      </w:tr>
    </w:tbl>
    <w:p w14:paraId="44588752">
      <w:pPr>
        <w:keepNext w:val="0"/>
        <w:keepLines w:val="0"/>
        <w:pageBreakBefore w:val="0"/>
        <w:widowControl/>
        <w:kinsoku/>
        <w:overflowPunct/>
        <w:topLinePunct w:val="0"/>
        <w:autoSpaceDE/>
        <w:autoSpaceDN/>
        <w:bidi w:val="0"/>
        <w:adjustRightInd/>
        <w:snapToGrid/>
        <w:spacing w:line="36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续上表</w:t>
      </w:r>
    </w:p>
    <w:tbl>
      <w:tblPr>
        <w:tblStyle w:val="30"/>
        <w:tblW w:w="95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16"/>
        <w:gridCol w:w="1959"/>
        <w:gridCol w:w="1215"/>
        <w:gridCol w:w="5675"/>
      </w:tblGrid>
      <w:tr w14:paraId="459C1F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890" w:type="dxa"/>
            <w:gridSpan w:val="3"/>
            <w:noWrap w:val="0"/>
            <w:vAlign w:val="center"/>
          </w:tcPr>
          <w:p w14:paraId="389EC6DD">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评审因素与评分值</w:t>
            </w:r>
          </w:p>
        </w:tc>
        <w:tc>
          <w:tcPr>
            <w:tcW w:w="5675" w:type="dxa"/>
            <w:vMerge w:val="restart"/>
            <w:noWrap w:val="0"/>
            <w:vAlign w:val="center"/>
          </w:tcPr>
          <w:p w14:paraId="04F93947">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各评审因素细分项</w:t>
            </w:r>
          </w:p>
        </w:tc>
      </w:tr>
      <w:tr w14:paraId="69E69E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716" w:type="dxa"/>
            <w:noWrap w:val="0"/>
            <w:vAlign w:val="center"/>
          </w:tcPr>
          <w:p w14:paraId="24A40E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959" w:type="dxa"/>
            <w:noWrap w:val="0"/>
            <w:vAlign w:val="center"/>
          </w:tcPr>
          <w:p w14:paraId="0A4922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w:t>
            </w:r>
          </w:p>
        </w:tc>
        <w:tc>
          <w:tcPr>
            <w:tcW w:w="1215" w:type="dxa"/>
            <w:noWrap w:val="0"/>
            <w:vAlign w:val="center"/>
          </w:tcPr>
          <w:p w14:paraId="3CC0E4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评分因素权重分值</w:t>
            </w:r>
          </w:p>
        </w:tc>
        <w:tc>
          <w:tcPr>
            <w:tcW w:w="5675" w:type="dxa"/>
            <w:vMerge w:val="continue"/>
            <w:noWrap w:val="0"/>
            <w:vAlign w:val="center"/>
          </w:tcPr>
          <w:p w14:paraId="49F2ADE4">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highlight w:val="none"/>
              </w:rPr>
            </w:pPr>
          </w:p>
        </w:tc>
      </w:tr>
      <w:tr w14:paraId="5A96F6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2D9CE49E">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p>
        </w:tc>
        <w:tc>
          <w:tcPr>
            <w:tcW w:w="1959" w:type="dxa"/>
            <w:noWrap w:val="0"/>
            <w:vAlign w:val="center"/>
          </w:tcPr>
          <w:p w14:paraId="103C8D88">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类似业绩</w:t>
            </w:r>
          </w:p>
        </w:tc>
        <w:tc>
          <w:tcPr>
            <w:tcW w:w="1215" w:type="dxa"/>
            <w:noWrap w:val="0"/>
            <w:vAlign w:val="center"/>
          </w:tcPr>
          <w:p w14:paraId="7D3B0C11">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20</w:t>
            </w:r>
          </w:p>
        </w:tc>
        <w:tc>
          <w:tcPr>
            <w:tcW w:w="5675" w:type="dxa"/>
            <w:noWrap w:val="0"/>
            <w:vAlign w:val="center"/>
          </w:tcPr>
          <w:p w14:paraId="3844FE6C">
            <w:pPr>
              <w:keepNext w:val="0"/>
              <w:keepLines w:val="0"/>
              <w:pageBreakBefore w:val="0"/>
              <w:kinsoku/>
              <w:wordWrap/>
              <w:overflowPunct/>
              <w:topLinePunct w:val="0"/>
              <w:bidi w:val="0"/>
              <w:adjustRightInd/>
              <w:snapToGrid/>
              <w:spacing w:line="340" w:lineRule="exact"/>
              <w:textAlignment w:val="auto"/>
              <w:rPr>
                <w:rFonts w:hint="eastAsia" w:ascii="宋体" w:hAnsi="宋体" w:eastAsia="宋体" w:cs="宋体"/>
                <w:b w:val="0"/>
                <w:bCs w:val="0"/>
                <w:snapToGrid w:val="0"/>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满足资格条件要求的得基本分14分，在此基础上，每增加一个满足资格条件的企业业绩加2分，最多可加6分。</w:t>
            </w:r>
            <w:r>
              <w:rPr>
                <w:rFonts w:hint="eastAsia" w:ascii="宋体" w:hAnsi="宋体" w:cs="宋体"/>
                <w:b/>
                <w:bCs/>
                <w:color w:val="auto"/>
                <w:sz w:val="22"/>
                <w:szCs w:val="22"/>
                <w:highlight w:val="none"/>
                <w:lang w:val="en-US" w:eastAsia="zh-CN"/>
              </w:rPr>
              <w:t>注：须提供业绩合同扫描件、发包人证明材料（如有）等相关证明材料并加盖公章，否则不得分。</w:t>
            </w:r>
          </w:p>
        </w:tc>
      </w:tr>
      <w:tr w14:paraId="40EA81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2A52B005">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w:t>
            </w:r>
          </w:p>
        </w:tc>
        <w:tc>
          <w:tcPr>
            <w:tcW w:w="1959" w:type="dxa"/>
            <w:noWrap w:val="0"/>
            <w:vAlign w:val="center"/>
          </w:tcPr>
          <w:p w14:paraId="700E6694">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项目负责人</w:t>
            </w:r>
          </w:p>
        </w:tc>
        <w:tc>
          <w:tcPr>
            <w:tcW w:w="1215" w:type="dxa"/>
            <w:noWrap w:val="0"/>
            <w:vAlign w:val="center"/>
          </w:tcPr>
          <w:p w14:paraId="6AE1BA7B">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w:t>
            </w:r>
          </w:p>
        </w:tc>
        <w:tc>
          <w:tcPr>
            <w:tcW w:w="5675" w:type="dxa"/>
            <w:noWrap w:val="0"/>
            <w:vAlign w:val="center"/>
          </w:tcPr>
          <w:p w14:paraId="57D4D6E0">
            <w:pPr>
              <w:keepNext w:val="0"/>
              <w:keepLines w:val="0"/>
              <w:pageBreakBefore w:val="0"/>
              <w:kinsoku/>
              <w:wordWrap/>
              <w:overflowPunct/>
              <w:topLinePunct w:val="0"/>
              <w:bidi w:val="0"/>
              <w:adjustRightInd/>
              <w:snapToGrid/>
              <w:spacing w:line="340" w:lineRule="exact"/>
              <w:textAlignment w:val="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满足资格条件要求的得基本分9分，在此基础上进行加分：</w:t>
            </w:r>
          </w:p>
          <w:p w14:paraId="1E2F5DBF">
            <w:pPr>
              <w:keepNext w:val="0"/>
              <w:keepLines w:val="0"/>
              <w:pageBreakBefore w:val="0"/>
              <w:kinsoku/>
              <w:wordWrap/>
              <w:overflowPunct/>
              <w:topLinePunct w:val="0"/>
              <w:bidi w:val="0"/>
              <w:adjustRightInd/>
              <w:snapToGrid/>
              <w:spacing w:line="3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①具有高级</w:t>
            </w:r>
            <w:r>
              <w:rPr>
                <w:rFonts w:hint="eastAsia" w:ascii="宋体" w:hAnsi="宋体" w:cs="宋体"/>
                <w:color w:val="auto"/>
                <w:sz w:val="22"/>
                <w:szCs w:val="22"/>
                <w:highlight w:val="none"/>
                <w:lang w:val="en-US" w:eastAsia="zh-CN"/>
              </w:rPr>
              <w:t>工程师</w:t>
            </w:r>
            <w:r>
              <w:rPr>
                <w:rFonts w:hint="eastAsia" w:ascii="宋体" w:hAnsi="宋体" w:eastAsia="宋体" w:cs="宋体"/>
                <w:color w:val="auto"/>
                <w:sz w:val="22"/>
                <w:szCs w:val="22"/>
                <w:highlight w:val="none"/>
                <w:lang w:val="en-US" w:eastAsia="zh-CN"/>
              </w:rPr>
              <w:t>或以上技术职称的加</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p w14:paraId="761DAF76">
            <w:pPr>
              <w:keepNext w:val="0"/>
              <w:keepLines w:val="0"/>
              <w:pageBreakBefore w:val="0"/>
              <w:kinsoku/>
              <w:wordWrap/>
              <w:overflowPunct/>
              <w:topLinePunct w:val="0"/>
              <w:bidi w:val="0"/>
              <w:adjustRightInd/>
              <w:snapToGrid/>
              <w:spacing w:line="340" w:lineRule="exac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②项目负责人每增加一个</w:t>
            </w:r>
            <w:r>
              <w:rPr>
                <w:rFonts w:hint="eastAsia" w:ascii="宋体" w:hAnsi="宋体" w:cs="宋体"/>
                <w:color w:val="auto"/>
                <w:sz w:val="22"/>
                <w:szCs w:val="22"/>
                <w:highlight w:val="none"/>
                <w:lang w:val="en-US" w:eastAsia="zh-CN"/>
              </w:rPr>
              <w:t>满足资格</w:t>
            </w:r>
            <w:r>
              <w:rPr>
                <w:rFonts w:hint="eastAsia" w:ascii="宋体" w:hAnsi="宋体" w:cs="宋体"/>
                <w:b w:val="0"/>
                <w:bCs w:val="0"/>
                <w:color w:val="auto"/>
                <w:sz w:val="22"/>
                <w:szCs w:val="22"/>
                <w:highlight w:val="none"/>
                <w:lang w:val="en-US" w:eastAsia="zh-CN"/>
              </w:rPr>
              <w:t>条件的</w:t>
            </w:r>
            <w:r>
              <w:rPr>
                <w:rFonts w:hint="eastAsia" w:ascii="宋体" w:hAnsi="宋体" w:eastAsia="宋体" w:cs="宋体"/>
                <w:b w:val="0"/>
                <w:bCs w:val="0"/>
                <w:color w:val="auto"/>
                <w:sz w:val="22"/>
                <w:szCs w:val="22"/>
                <w:highlight w:val="none"/>
                <w:lang w:val="en-US" w:eastAsia="zh-CN"/>
              </w:rPr>
              <w:t>业绩加</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分，最多加</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分。</w:t>
            </w:r>
          </w:p>
          <w:p w14:paraId="4F950F65">
            <w:pPr>
              <w:keepNext w:val="0"/>
              <w:keepLines w:val="0"/>
              <w:pageBreakBefore w:val="0"/>
              <w:kinsoku/>
              <w:wordWrap/>
              <w:overflowPunct/>
              <w:topLinePunct w:val="0"/>
              <w:bidi w:val="0"/>
              <w:adjustRightInd/>
              <w:snapToGrid/>
              <w:spacing w:line="340" w:lineRule="exac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注：须提供业绩合同扫描件、发包人证明材料（如有）等相关证明材料并加盖公章</w:t>
            </w:r>
            <w:r>
              <w:rPr>
                <w:rFonts w:hint="eastAsia" w:ascii="宋体" w:hAnsi="宋体" w:cs="宋体"/>
                <w:b w:val="0"/>
                <w:bCs w:val="0"/>
                <w:color w:val="auto"/>
                <w:sz w:val="22"/>
                <w:szCs w:val="22"/>
                <w:highlight w:val="none"/>
                <w:lang w:val="en-US" w:eastAsia="zh-CN"/>
              </w:rPr>
              <w:t>（证明材料需体现项目负责人在某项目中所担任的职务）</w:t>
            </w:r>
            <w:r>
              <w:rPr>
                <w:rFonts w:hint="eastAsia" w:ascii="宋体" w:hAnsi="宋体" w:eastAsia="宋体" w:cs="宋体"/>
                <w:b w:val="0"/>
                <w:bCs w:val="0"/>
                <w:color w:val="auto"/>
                <w:sz w:val="22"/>
                <w:szCs w:val="22"/>
                <w:highlight w:val="none"/>
                <w:lang w:val="en-US" w:eastAsia="zh-CN"/>
              </w:rPr>
              <w:t>，否则不得分。</w:t>
            </w:r>
          </w:p>
        </w:tc>
      </w:tr>
      <w:tr w14:paraId="7D0446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3000D8AA">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w:t>
            </w:r>
          </w:p>
        </w:tc>
        <w:tc>
          <w:tcPr>
            <w:tcW w:w="1959" w:type="dxa"/>
            <w:noWrap w:val="0"/>
            <w:vAlign w:val="center"/>
          </w:tcPr>
          <w:p w14:paraId="3353BE2B">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其他主要技术人员</w:t>
            </w:r>
          </w:p>
        </w:tc>
        <w:tc>
          <w:tcPr>
            <w:tcW w:w="1215" w:type="dxa"/>
            <w:noWrap w:val="0"/>
            <w:vAlign w:val="center"/>
          </w:tcPr>
          <w:p w14:paraId="6FABB54F">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w:t>
            </w:r>
          </w:p>
        </w:tc>
        <w:tc>
          <w:tcPr>
            <w:tcW w:w="5675" w:type="dxa"/>
            <w:noWrap w:val="0"/>
            <w:vAlign w:val="center"/>
          </w:tcPr>
          <w:p w14:paraId="1D967D5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color w:val="auto"/>
                <w:sz w:val="22"/>
                <w:szCs w:val="22"/>
                <w:highlight w:val="none"/>
              </w:rPr>
              <w:t>拟投入本项目的其他成员（项目负责人除外）从业经历、资质、技术职称、工作年限等方面进行综合评分。</w:t>
            </w:r>
          </w:p>
        </w:tc>
      </w:tr>
      <w:tr w14:paraId="5A07B9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716" w:type="dxa"/>
            <w:noWrap w:val="0"/>
            <w:vAlign w:val="center"/>
          </w:tcPr>
          <w:p w14:paraId="0B74F845">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4</w:t>
            </w:r>
          </w:p>
        </w:tc>
        <w:tc>
          <w:tcPr>
            <w:tcW w:w="8849" w:type="dxa"/>
            <w:gridSpan w:val="3"/>
            <w:noWrap w:val="0"/>
            <w:vAlign w:val="center"/>
          </w:tcPr>
          <w:p w14:paraId="5C09095E">
            <w:pPr>
              <w:keepNext w:val="0"/>
              <w:keepLines w:val="0"/>
              <w:pageBreakBefore w:val="0"/>
              <w:widowControl w:val="0"/>
              <w:kinsoku/>
              <w:overflowPunct/>
              <w:topLinePunct w:val="0"/>
              <w:autoSpaceDE/>
              <w:autoSpaceDN/>
              <w:bidi w:val="0"/>
              <w:adjustRightInd/>
              <w:snapToGrid/>
              <w:spacing w:line="3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snapToGrid w:val="0"/>
                <w:color w:val="auto"/>
                <w:kern w:val="0"/>
                <w:sz w:val="22"/>
                <w:szCs w:val="22"/>
                <w:highlight w:val="none"/>
              </w:rPr>
              <w:t>工作大纲</w:t>
            </w:r>
          </w:p>
        </w:tc>
      </w:tr>
      <w:tr w14:paraId="1BE717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0EE2FA76">
            <w:pPr>
              <w:keepNext w:val="0"/>
              <w:keepLines w:val="0"/>
              <w:pageBreakBefore w:val="0"/>
              <w:widowControl w:val="0"/>
              <w:kinsoku/>
              <w:overflowPunct/>
              <w:topLinePunct w:val="0"/>
              <w:autoSpaceDE/>
              <w:autoSpaceDN/>
              <w:bidi w:val="0"/>
              <w:adjustRightInd/>
              <w:snapToGrid/>
              <w:spacing w:line="340" w:lineRule="exact"/>
              <w:jc w:val="righ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p>
        </w:tc>
        <w:tc>
          <w:tcPr>
            <w:tcW w:w="1959" w:type="dxa"/>
            <w:noWrap w:val="0"/>
            <w:vAlign w:val="center"/>
          </w:tcPr>
          <w:p w14:paraId="7246F4CC">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对船艇设计的理解和认识</w:t>
            </w:r>
          </w:p>
        </w:tc>
        <w:tc>
          <w:tcPr>
            <w:tcW w:w="1215" w:type="dxa"/>
            <w:noWrap w:val="0"/>
            <w:vAlign w:val="center"/>
          </w:tcPr>
          <w:p w14:paraId="2D472A34">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w:t>
            </w:r>
          </w:p>
        </w:tc>
        <w:tc>
          <w:tcPr>
            <w:tcW w:w="5675" w:type="dxa"/>
            <w:noWrap w:val="0"/>
            <w:vAlign w:val="center"/>
          </w:tcPr>
          <w:p w14:paraId="571E8AFA">
            <w:pPr>
              <w:keepNext w:val="0"/>
              <w:keepLines w:val="0"/>
              <w:pageBreakBefore w:val="0"/>
              <w:kinsoku/>
              <w:wordWrap/>
              <w:overflowPunct/>
              <w:topLinePunct w:val="0"/>
              <w:bidi w:val="0"/>
              <w:adjustRightInd/>
              <w:snapToGrid/>
              <w:spacing w:line="34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根据投标人针对本项目的理解和认识进行评分</w:t>
            </w:r>
          </w:p>
        </w:tc>
      </w:tr>
      <w:tr w14:paraId="7291A7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2BF3B689">
            <w:pPr>
              <w:keepNext w:val="0"/>
              <w:keepLines w:val="0"/>
              <w:pageBreakBefore w:val="0"/>
              <w:widowControl w:val="0"/>
              <w:kinsoku/>
              <w:overflowPunct/>
              <w:topLinePunct w:val="0"/>
              <w:autoSpaceDE/>
              <w:autoSpaceDN/>
              <w:bidi w:val="0"/>
              <w:adjustRightInd/>
              <w:snapToGrid/>
              <w:spacing w:line="340" w:lineRule="exact"/>
              <w:jc w:val="righ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w:t>
            </w:r>
          </w:p>
        </w:tc>
        <w:tc>
          <w:tcPr>
            <w:tcW w:w="1959" w:type="dxa"/>
            <w:noWrap w:val="0"/>
            <w:vAlign w:val="center"/>
          </w:tcPr>
          <w:p w14:paraId="65C871E4">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设计实施的重点、难点分析和合理化建议</w:t>
            </w:r>
          </w:p>
        </w:tc>
        <w:tc>
          <w:tcPr>
            <w:tcW w:w="1215" w:type="dxa"/>
            <w:noWrap w:val="0"/>
            <w:vAlign w:val="center"/>
          </w:tcPr>
          <w:p w14:paraId="77D112E9">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0</w:t>
            </w:r>
          </w:p>
        </w:tc>
        <w:tc>
          <w:tcPr>
            <w:tcW w:w="5675" w:type="dxa"/>
            <w:noWrap w:val="0"/>
            <w:vAlign w:val="center"/>
          </w:tcPr>
          <w:p w14:paraId="7DD5340B">
            <w:pPr>
              <w:keepNext w:val="0"/>
              <w:keepLines w:val="0"/>
              <w:pageBreakBefore w:val="0"/>
              <w:kinsoku/>
              <w:wordWrap/>
              <w:overflowPunct/>
              <w:topLinePunct w:val="0"/>
              <w:bidi w:val="0"/>
              <w:adjustRightInd/>
              <w:snapToGrid/>
              <w:spacing w:line="340" w:lineRule="exact"/>
              <w:textAlignment w:val="auto"/>
              <w:rPr>
                <w:rFonts w:hint="eastAsia" w:ascii="宋体" w:hAnsi="宋体" w:cs="宋体"/>
                <w:color w:val="auto"/>
                <w:sz w:val="22"/>
                <w:szCs w:val="22"/>
                <w:highlight w:val="none"/>
                <w:lang w:val="en-GB" w:eastAsia="zh-CN"/>
              </w:rPr>
            </w:pPr>
            <w:r>
              <w:rPr>
                <w:rFonts w:hint="eastAsia" w:ascii="宋体" w:hAnsi="宋体" w:cs="宋体"/>
                <w:color w:val="auto"/>
                <w:sz w:val="22"/>
                <w:szCs w:val="22"/>
                <w:highlight w:val="none"/>
                <w:lang w:val="en-US" w:eastAsia="zh-CN"/>
              </w:rPr>
              <w:t>根据投标人针对本项目船舶设计的难点、重点的分析及提出的合理化建议进行评分。</w:t>
            </w:r>
          </w:p>
        </w:tc>
      </w:tr>
      <w:tr w14:paraId="609E3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716" w:type="dxa"/>
            <w:noWrap w:val="0"/>
            <w:vAlign w:val="center"/>
          </w:tcPr>
          <w:p w14:paraId="468325AE">
            <w:pPr>
              <w:keepNext w:val="0"/>
              <w:keepLines w:val="0"/>
              <w:pageBreakBefore w:val="0"/>
              <w:widowControl w:val="0"/>
              <w:kinsoku/>
              <w:overflowPunct/>
              <w:topLinePunct w:val="0"/>
              <w:autoSpaceDE/>
              <w:autoSpaceDN/>
              <w:bidi w:val="0"/>
              <w:adjustRightInd/>
              <w:snapToGrid/>
              <w:spacing w:line="340" w:lineRule="exact"/>
              <w:jc w:val="righ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w:t>
            </w:r>
          </w:p>
        </w:tc>
        <w:tc>
          <w:tcPr>
            <w:tcW w:w="1959" w:type="dxa"/>
            <w:noWrap w:val="0"/>
            <w:vAlign w:val="center"/>
          </w:tcPr>
          <w:p w14:paraId="2E95B12D">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设计技术方案说明</w:t>
            </w:r>
          </w:p>
        </w:tc>
        <w:tc>
          <w:tcPr>
            <w:tcW w:w="1215" w:type="dxa"/>
            <w:noWrap w:val="0"/>
            <w:vAlign w:val="center"/>
          </w:tcPr>
          <w:p w14:paraId="1D5B54B3">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5</w:t>
            </w:r>
          </w:p>
        </w:tc>
        <w:tc>
          <w:tcPr>
            <w:tcW w:w="5675" w:type="dxa"/>
            <w:noWrap w:val="0"/>
            <w:vAlign w:val="center"/>
          </w:tcPr>
          <w:p w14:paraId="63730E59">
            <w:pPr>
              <w:keepNext w:val="0"/>
              <w:keepLines w:val="0"/>
              <w:pageBreakBefore w:val="0"/>
              <w:kinsoku/>
              <w:wordWrap/>
              <w:overflowPunct/>
              <w:topLinePunct w:val="0"/>
              <w:bidi w:val="0"/>
              <w:adjustRightInd/>
              <w:snapToGrid/>
              <w:spacing w:line="34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根据投标人提供的设计技术方案的明晰程度、符合性、针对性、合理性、可行性等方面进行综合评审。</w:t>
            </w:r>
          </w:p>
        </w:tc>
      </w:tr>
      <w:tr w14:paraId="6488E4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56A58505">
            <w:pPr>
              <w:keepNext w:val="0"/>
              <w:keepLines w:val="0"/>
              <w:pageBreakBefore w:val="0"/>
              <w:widowControl w:val="0"/>
              <w:kinsoku/>
              <w:overflowPunct/>
              <w:topLinePunct w:val="0"/>
              <w:autoSpaceDE/>
              <w:autoSpaceDN/>
              <w:bidi w:val="0"/>
              <w:adjustRightInd/>
              <w:snapToGrid/>
              <w:spacing w:line="340" w:lineRule="exact"/>
              <w:jc w:val="righ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w:t>
            </w:r>
          </w:p>
        </w:tc>
        <w:tc>
          <w:tcPr>
            <w:tcW w:w="1959" w:type="dxa"/>
            <w:noWrap w:val="0"/>
            <w:vAlign w:val="center"/>
          </w:tcPr>
          <w:p w14:paraId="2CD30EF2">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进度安排和质量保证措施</w:t>
            </w:r>
          </w:p>
        </w:tc>
        <w:tc>
          <w:tcPr>
            <w:tcW w:w="1215" w:type="dxa"/>
            <w:noWrap w:val="0"/>
            <w:vAlign w:val="center"/>
          </w:tcPr>
          <w:p w14:paraId="281A4D2C">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w:t>
            </w:r>
          </w:p>
        </w:tc>
        <w:tc>
          <w:tcPr>
            <w:tcW w:w="5675" w:type="dxa"/>
            <w:noWrap w:val="0"/>
            <w:vAlign w:val="center"/>
          </w:tcPr>
          <w:p w14:paraId="27B6AA6A">
            <w:pPr>
              <w:keepNext w:val="0"/>
              <w:keepLines w:val="0"/>
              <w:pageBreakBefore w:val="0"/>
              <w:kinsoku/>
              <w:wordWrap/>
              <w:overflowPunct/>
              <w:topLinePunct w:val="0"/>
              <w:bidi w:val="0"/>
              <w:adjustRightInd/>
              <w:snapToGrid/>
              <w:spacing w:line="34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根据投标人对本项目的进度安排和质量保证措施进行综合评审。</w:t>
            </w:r>
          </w:p>
        </w:tc>
      </w:tr>
      <w:tr w14:paraId="11C01E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492B25E4">
            <w:pPr>
              <w:keepNext w:val="0"/>
              <w:keepLines w:val="0"/>
              <w:pageBreakBefore w:val="0"/>
              <w:widowControl w:val="0"/>
              <w:kinsoku/>
              <w:overflowPunct/>
              <w:topLinePunct w:val="0"/>
              <w:autoSpaceDE/>
              <w:autoSpaceDN/>
              <w:bidi w:val="0"/>
              <w:adjustRightInd/>
              <w:snapToGrid/>
              <w:spacing w:line="340" w:lineRule="exact"/>
              <w:jc w:val="righ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w:t>
            </w:r>
          </w:p>
        </w:tc>
        <w:tc>
          <w:tcPr>
            <w:tcW w:w="1959" w:type="dxa"/>
            <w:noWrap w:val="0"/>
            <w:vAlign w:val="center"/>
          </w:tcPr>
          <w:p w14:paraId="6C704D0C">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服务承诺</w:t>
            </w:r>
          </w:p>
        </w:tc>
        <w:tc>
          <w:tcPr>
            <w:tcW w:w="1215" w:type="dxa"/>
            <w:noWrap w:val="0"/>
            <w:vAlign w:val="center"/>
          </w:tcPr>
          <w:p w14:paraId="6BEACB4B">
            <w:pPr>
              <w:keepNext w:val="0"/>
              <w:keepLines w:val="0"/>
              <w:pageBreakBefore w:val="0"/>
              <w:widowControl w:val="0"/>
              <w:tabs>
                <w:tab w:val="left" w:pos="993"/>
              </w:tabs>
              <w:kinsoku/>
              <w:wordWrap/>
              <w:overflowPunct/>
              <w:topLinePunct w:val="0"/>
              <w:autoSpaceDE w:val="0"/>
              <w:autoSpaceDN w:val="0"/>
              <w:bidi w:val="0"/>
              <w:adjustRightInd/>
              <w:snapToGrid/>
              <w:spacing w:line="3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w:t>
            </w:r>
          </w:p>
        </w:tc>
        <w:tc>
          <w:tcPr>
            <w:tcW w:w="5675" w:type="dxa"/>
            <w:noWrap w:val="0"/>
            <w:vAlign w:val="center"/>
          </w:tcPr>
          <w:p w14:paraId="79D5798D">
            <w:pPr>
              <w:keepNext w:val="0"/>
              <w:keepLines w:val="0"/>
              <w:pageBreakBefore w:val="0"/>
              <w:kinsoku/>
              <w:wordWrap/>
              <w:overflowPunct/>
              <w:topLinePunct w:val="0"/>
              <w:bidi w:val="0"/>
              <w:adjustRightInd/>
              <w:snapToGrid/>
              <w:spacing w:line="34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根据投标人对本项目后续提供的服务承诺进行综合评审。</w:t>
            </w:r>
          </w:p>
        </w:tc>
      </w:tr>
      <w:tr w14:paraId="2A716F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716" w:type="dxa"/>
            <w:noWrap w:val="0"/>
            <w:vAlign w:val="center"/>
          </w:tcPr>
          <w:p w14:paraId="1DE87788">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959" w:type="dxa"/>
            <w:noWrap w:val="0"/>
            <w:vAlign w:val="center"/>
          </w:tcPr>
          <w:p w14:paraId="46733B47">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评标价</w:t>
            </w:r>
          </w:p>
        </w:tc>
        <w:tc>
          <w:tcPr>
            <w:tcW w:w="1215" w:type="dxa"/>
            <w:noWrap w:val="0"/>
            <w:vAlign w:val="center"/>
          </w:tcPr>
          <w:p w14:paraId="25DFC62C">
            <w:pPr>
              <w:keepNext w:val="0"/>
              <w:keepLines w:val="0"/>
              <w:pageBreakBefore w:val="0"/>
              <w:widowControl w:val="0"/>
              <w:kinsoku/>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5675" w:type="dxa"/>
            <w:noWrap w:val="0"/>
            <w:vAlign w:val="center"/>
          </w:tcPr>
          <w:p w14:paraId="7398087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评标基准价的计算：</w:t>
            </w:r>
          </w:p>
          <w:p w14:paraId="698498C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在开标现场，招标人将当场计算并宣布评标基准价</w:t>
            </w:r>
          </w:p>
          <w:p w14:paraId="0D89C16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(1)评标价的确定：</w:t>
            </w:r>
          </w:p>
          <w:p w14:paraId="573F031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评标价=投标函文字报价</w:t>
            </w:r>
          </w:p>
          <w:p w14:paraId="647FCBB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(2)基准价</w:t>
            </w:r>
            <w:r>
              <w:rPr>
                <w:rFonts w:hint="eastAsia" w:ascii="宋体" w:hAnsi="宋体" w:cs="宋体"/>
                <w:b/>
                <w:bCs/>
                <w:color w:val="auto"/>
                <w:kern w:val="0"/>
                <w:sz w:val="22"/>
                <w:szCs w:val="22"/>
                <w:highlight w:val="none"/>
                <w:lang w:val="en-US" w:eastAsia="zh-CN" w:bidi="ar"/>
              </w:rPr>
              <w:t>计算公式</w:t>
            </w:r>
            <w:r>
              <w:rPr>
                <w:rFonts w:hint="eastAsia" w:ascii="宋体" w:hAnsi="宋体" w:eastAsia="宋体" w:cs="宋体"/>
                <w:b/>
                <w:bCs/>
                <w:color w:val="auto"/>
                <w:kern w:val="0"/>
                <w:sz w:val="22"/>
                <w:szCs w:val="22"/>
                <w:highlight w:val="none"/>
                <w:lang w:val="en-US" w:eastAsia="zh-CN" w:bidi="ar"/>
              </w:rPr>
              <w:t>：</w:t>
            </w:r>
          </w:p>
          <w:p w14:paraId="60CB7AC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当n&lt;5时：C=[A*T+((a1+a2+a3+...+an)/n)*(1-T)]*K</w:t>
            </w:r>
          </w:p>
          <w:p w14:paraId="5ECB599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当5&lt;=n&lt;12时：</w:t>
            </w:r>
          </w:p>
          <w:p w14:paraId="5697737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C=[A*T+((a1+a2+a3+...+an-M1-N1)/(n-2))*(1-T)]*K</w:t>
            </w:r>
          </w:p>
          <w:p w14:paraId="08B8B2F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当12&lt;=n&lt;18时：</w:t>
            </w:r>
          </w:p>
          <w:p w14:paraId="084708E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C=[A*T+((a1+a2+a3+...+an-M1-M2-N1-N2)/(n-4))*(1-T)]*K</w:t>
            </w:r>
          </w:p>
          <w:p w14:paraId="6373605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当18&lt;=n&lt;24时：</w:t>
            </w:r>
          </w:p>
          <w:p w14:paraId="600EB42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C=[A*T+((a1+a2+a3+...+an-M1-M2-M3-N1-N2-N3)/(n-6))*(1-T)]*K</w:t>
            </w:r>
          </w:p>
          <w:p w14:paraId="7CA0F2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当24&lt;=n时：</w:t>
            </w:r>
          </w:p>
          <w:p w14:paraId="6C58D79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C=[A*T+((a1+a2+a3+...+an-M1-M2-M3-M4-N1-N2-N3-N4)/(n-8))*(1-T)]*K</w:t>
            </w:r>
          </w:p>
          <w:p w14:paraId="1C025E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A=招标人设定投标控制价上限；</w:t>
            </w:r>
          </w:p>
          <w:p w14:paraId="199FCB7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C—评标基准价；</w:t>
            </w:r>
          </w:p>
          <w:p w14:paraId="77E4715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T—投标控制价上限权重值，T的数值为0.3、0.35、0.4三个数值之一，开标现场由招标人纪检、招标人代表或招标代理随机抽取产生；</w:t>
            </w:r>
          </w:p>
          <w:p w14:paraId="13EB7FD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K—评标基准价浮动系数，K的数值为0.99、1、1.01三个数值之一，开标现场由招标人纪检、招标人代表或招标代理随机抽取产生；</w:t>
            </w:r>
          </w:p>
          <w:p w14:paraId="7CDCE9B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ai—进入评标基准价计算的合格投标人的评标价（i＝1，2，…，n）；</w:t>
            </w:r>
          </w:p>
          <w:p w14:paraId="1B8012B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n—进入评标基准价计算的合格投标人个数；</w:t>
            </w:r>
          </w:p>
          <w:p w14:paraId="66823D9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M—进入评标基准价计算的最高的合格投标人的评标价（M1为第一个最高评标价、M2为去掉M1后的一个最高评标价，M3为去掉M1和M2后的一个最高评标价，M4为去掉M1、M2和M3后的一个最高评标价）；</w:t>
            </w:r>
          </w:p>
          <w:p w14:paraId="6A51851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N—进入基准价计算最低的合格投标人有效报价（N1为第一个最低评标价、N2为去掉N1后的一个最低评标价，N3为去掉N1和N2后的一个最低评标价，N4为去掉N1、N2和N3后的一个最低评标价）</w:t>
            </w:r>
          </w:p>
          <w:p w14:paraId="639E0CE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偏差率=100%×(投标人评标价－评标基准价)/评标基准价</w:t>
            </w:r>
          </w:p>
          <w:p w14:paraId="3AD295E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当偏差率大于0：偏差率从0开始每递升1%减</w:t>
            </w:r>
            <w:r>
              <w:rPr>
                <w:rFonts w:hint="eastAsia" w:ascii="宋体" w:hAnsi="宋体" w:cs="宋体"/>
                <w:b/>
                <w:bCs/>
                <w:color w:val="auto"/>
                <w:kern w:val="0"/>
                <w:sz w:val="22"/>
                <w:szCs w:val="22"/>
                <w:highlight w:val="none"/>
                <w:lang w:val="en-US" w:eastAsia="zh-CN" w:bidi="ar"/>
              </w:rPr>
              <w:t>0.2</w:t>
            </w:r>
            <w:r>
              <w:rPr>
                <w:rFonts w:hint="eastAsia" w:ascii="宋体" w:hAnsi="宋体" w:eastAsia="宋体" w:cs="宋体"/>
                <w:b/>
                <w:bCs/>
                <w:color w:val="auto"/>
                <w:kern w:val="0"/>
                <w:sz w:val="22"/>
                <w:szCs w:val="22"/>
                <w:highlight w:val="none"/>
                <w:lang w:val="en-US" w:eastAsia="zh-CN" w:bidi="ar"/>
              </w:rPr>
              <w:t>分；</w:t>
            </w:r>
          </w:p>
          <w:p w14:paraId="62BBDC8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当偏差率等于0：报价分为满分；</w:t>
            </w:r>
          </w:p>
          <w:p w14:paraId="0F02577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ascii="Times New Roman" w:hAnsi="Times New Roman" w:cs="Times New Roman"/>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当偏差率小于0：偏差率从0开始每降1%减0.</w:t>
            </w:r>
            <w:r>
              <w:rPr>
                <w:rFonts w:hint="eastAsia" w:ascii="宋体" w:hAnsi="宋体" w:cs="宋体"/>
                <w:b/>
                <w:bCs/>
                <w:color w:val="auto"/>
                <w:kern w:val="0"/>
                <w:sz w:val="22"/>
                <w:szCs w:val="22"/>
                <w:highlight w:val="none"/>
                <w:lang w:val="en-US" w:eastAsia="zh-CN" w:bidi="ar"/>
              </w:rPr>
              <w:t>1</w:t>
            </w:r>
            <w:r>
              <w:rPr>
                <w:rFonts w:hint="eastAsia" w:ascii="宋体" w:hAnsi="宋体" w:eastAsia="宋体" w:cs="宋体"/>
                <w:b/>
                <w:bCs/>
                <w:color w:val="auto"/>
                <w:kern w:val="0"/>
                <w:sz w:val="22"/>
                <w:szCs w:val="22"/>
                <w:highlight w:val="none"/>
                <w:lang w:val="en-US" w:eastAsia="zh-CN" w:bidi="ar"/>
              </w:rPr>
              <w:t>分。</w:t>
            </w:r>
          </w:p>
          <w:p w14:paraId="0D8D0457">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kern w:val="0"/>
                <w:sz w:val="22"/>
                <w:szCs w:val="22"/>
                <w:highlight w:val="none"/>
                <w:u w:val="none"/>
                <w:lang w:val="en-US" w:eastAsia="zh-CN"/>
              </w:rPr>
              <w:t>评标价得分最低分值为零分。评标价得分精确至小数点后两位。</w:t>
            </w:r>
          </w:p>
          <w:p w14:paraId="59E638B7">
            <w:pPr>
              <w:keepNext w:val="0"/>
              <w:keepLines w:val="0"/>
              <w:pageBreakBefore w:val="0"/>
              <w:widowControl w:val="0"/>
              <w:kinsoku/>
              <w:overflowPunct/>
              <w:topLinePunct w:val="0"/>
              <w:autoSpaceDE/>
              <w:autoSpaceDN/>
              <w:bidi w:val="0"/>
              <w:adjustRightInd/>
              <w:snapToGrid/>
              <w:spacing w:line="340" w:lineRule="exact"/>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b/>
                <w:bCs/>
                <w:color w:val="auto"/>
                <w:kern w:val="0"/>
                <w:sz w:val="22"/>
                <w:szCs w:val="22"/>
                <w:highlight w:val="none"/>
                <w:lang w:val="en-US" w:eastAsia="zh-CN" w:bidi="ar"/>
              </w:rPr>
              <w:t>在评标过程中，评标委员会应对招标人计算的评标基准价进行复核，存在计算错误的应予以修正并在评标报告中做出说明。除此之外，评标基准价在整个评标期间保持不变，不随任何因素发生变化。（包括因投诉或其他原因而进行的评标复议期间）</w:t>
            </w:r>
          </w:p>
        </w:tc>
      </w:tr>
      <w:tr w14:paraId="5AF007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565" w:type="dxa"/>
            <w:gridSpan w:val="4"/>
            <w:noWrap w:val="0"/>
            <w:vAlign w:val="center"/>
          </w:tcPr>
          <w:p w14:paraId="71D0A6C0">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需要补充的其他内容：</w:t>
            </w:r>
          </w:p>
          <w:p w14:paraId="23AC900E">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1.评标委员会首先依据本章第2.2款的规定对投标文件第一个信封（商务及技术文件）进行资格审查，有一项不符合评审标准的，作否决投标处理，且不再参与投标文件第二个信封（报价文件）开标、评审。</w:t>
            </w:r>
          </w:p>
          <w:p w14:paraId="358412A8">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2.评标委员会根据本章第2.3款的规定对投标文件第一个信封（商务及技术文件）进行形式与响应</w:t>
            </w:r>
            <w:r>
              <w:rPr>
                <w:rFonts w:hint="eastAsia" w:ascii="宋体" w:hAnsi="宋体" w:cs="宋体"/>
                <w:color w:val="auto"/>
                <w:sz w:val="22"/>
                <w:szCs w:val="22"/>
                <w:highlight w:val="none"/>
                <w:lang w:val="en-US" w:eastAsia="zh-CN"/>
              </w:rPr>
              <w:t>性</w:t>
            </w:r>
            <w:r>
              <w:rPr>
                <w:rFonts w:hint="eastAsia" w:ascii="宋体" w:hAnsi="宋体" w:eastAsia="宋体" w:cs="宋体"/>
                <w:color w:val="auto"/>
                <w:sz w:val="22"/>
                <w:szCs w:val="22"/>
                <w:highlight w:val="none"/>
              </w:rPr>
              <w:t>评审，有一项不符合评审标准的，作否决投标处理，且不再参与投标文件第二个信封（报价文件）开标、评审。</w:t>
            </w:r>
          </w:p>
          <w:p w14:paraId="46CA63CE">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若有效投标文件不足三个，评标委员会应当认真审查有效投标是否具有竞争性，如认定投标具有竞争性的，可以进行评标，并在评标报告中载明；如认定投标明显缺乏竞争，决定否决全部投标的，招标人应当依法重新招标。</w:t>
            </w:r>
          </w:p>
          <w:p w14:paraId="4735E86A">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4.评标委员会各成员应以投标人的投标文件及根据要求所提交的澄清文件为依据，在讨论的基础上独立评分，</w:t>
            </w:r>
            <w:r>
              <w:rPr>
                <w:rFonts w:hint="eastAsia" w:ascii="宋体" w:hAnsi="宋体" w:eastAsia="宋体" w:cs="宋体"/>
                <w:b/>
                <w:bCs/>
                <w:color w:val="auto"/>
                <w:sz w:val="22"/>
                <w:szCs w:val="22"/>
                <w:highlight w:val="none"/>
              </w:rPr>
              <w:t>各评分均保留至小数点后一位</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评分分值计算保留小数点后两位</w:t>
            </w:r>
            <w:r>
              <w:rPr>
                <w:rFonts w:hint="eastAsia" w:ascii="宋体" w:hAnsi="宋体" w:eastAsia="宋体" w:cs="宋体"/>
                <w:color w:val="auto"/>
                <w:sz w:val="22"/>
                <w:szCs w:val="22"/>
                <w:highlight w:val="none"/>
              </w:rPr>
              <w:t>。对各评分因素评分低于其权重得分60%的需在评标报告予以说明。</w:t>
            </w:r>
          </w:p>
          <w:p w14:paraId="57AA7CEC">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各评分因素细分项的得分以评标委员会各成员的评分平均值确定，评标委员会成员总数为7人及以上时，该平均值以去掉一个最高和一个最低分后计算；投标文件第一个信封评分分值为各项的评分之和。计算结果保留2位小数，小数点后第三位“四舍五入”。</w:t>
            </w:r>
          </w:p>
          <w:p w14:paraId="039CF83C">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6.招标人仅对通过投标文件第一个信封商务及技术评审的投标人的投标文件第二个信封（报价文件）进行开标。</w:t>
            </w:r>
          </w:p>
          <w:p w14:paraId="40FEEAB9">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strike/>
                <w:dstrike w:val="0"/>
                <w:color w:val="auto"/>
                <w:sz w:val="22"/>
                <w:szCs w:val="22"/>
                <w:highlight w:val="none"/>
                <w:u w:val="none"/>
              </w:rPr>
            </w:pPr>
            <w:r>
              <w:rPr>
                <w:rFonts w:hint="eastAsia" w:ascii="宋体" w:hAnsi="宋体" w:eastAsia="宋体" w:cs="宋体"/>
                <w:color w:val="auto"/>
                <w:sz w:val="22"/>
                <w:szCs w:val="22"/>
                <w:highlight w:val="none"/>
              </w:rPr>
              <w:t>7.评标委员会依据本章第2.7款的规定对投标文件第二个信封（报价文件）进行初步评审。</w:t>
            </w:r>
          </w:p>
          <w:p w14:paraId="72768F14">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.评标委员会按照综合得分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第一信封得分和第二信封得分合计</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从高到低的顺序推荐中标候选人，得分最高者为第一中标候选人、第二、第三名依次为第二、第三中标候选人。综合得分相等时，评标委员会按照以下优先顺序推荐中标候选人：</w:t>
            </w:r>
          </w:p>
          <w:p w14:paraId="6C523F7A">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（1）评标价低的投标人优先；</w:t>
            </w:r>
          </w:p>
          <w:p w14:paraId="1C910A64">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）工作大纲得分较高的投标人优先；</w:t>
            </w:r>
          </w:p>
          <w:p w14:paraId="2A4AE5D0">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）评标委员会全体成员记名票决确定中标候选人。</w:t>
            </w:r>
          </w:p>
          <w:p w14:paraId="4434FBE3">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.如果评标委员会认为在评标过程中有影响最终评标结果的不能确定的特殊问题，应在评标意见中记载并提请招标人决定。</w:t>
            </w:r>
          </w:p>
        </w:tc>
      </w:tr>
    </w:tbl>
    <w:p w14:paraId="7A4BFF8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b/>
          <w:color w:val="auto"/>
          <w:sz w:val="22"/>
          <w:szCs w:val="22"/>
          <w:highlight w:val="none"/>
        </w:rPr>
      </w:pPr>
      <w:r>
        <w:rPr>
          <w:rFonts w:hint="eastAsia" w:ascii="宋体" w:hAnsi="宋体" w:cs="宋体"/>
          <w:color w:val="auto"/>
          <w:sz w:val="21"/>
          <w:szCs w:val="21"/>
          <w:highlight w:val="none"/>
        </w:rPr>
        <w:br w:type="page"/>
      </w:r>
      <w:r>
        <w:rPr>
          <w:rFonts w:hint="eastAsia" w:ascii="宋体" w:hAnsi="宋体" w:cs="宋体"/>
          <w:b/>
          <w:color w:val="auto"/>
          <w:sz w:val="22"/>
          <w:szCs w:val="22"/>
          <w:highlight w:val="none"/>
        </w:rPr>
        <w:t>1.总则</w:t>
      </w:r>
    </w:p>
    <w:p w14:paraId="662D13ED">
      <w:pPr>
        <w:keepNext w:val="0"/>
        <w:keepLines w:val="0"/>
        <w:pageBreakBefore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本次评标采用综合评估法。评标委员会对满足招标文件实质性要求的投标文件，按照本章第2条规定的评分标准进行打分，并按得分由高到低顺序推荐中标候选人，或根据招标人授权直接确定中标人。</w:t>
      </w:r>
    </w:p>
    <w:p w14:paraId="42CE6C46">
      <w:pPr>
        <w:keepNext w:val="0"/>
        <w:keepLines w:val="0"/>
        <w:pageBreakBefore w:val="0"/>
        <w:kinsoku/>
        <w:wordWrap/>
        <w:overflowPunct/>
        <w:topLinePunct w:val="0"/>
        <w:autoSpaceDE/>
        <w:autoSpaceDN/>
        <w:bidi w:val="0"/>
        <w:adjustRightInd w:val="0"/>
        <w:snapToGrid w:val="0"/>
        <w:spacing w:line="360" w:lineRule="auto"/>
        <w:ind w:firstLine="442" w:firstLineChars="200"/>
        <w:jc w:val="left"/>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2.评标程序和评审标准</w:t>
      </w:r>
    </w:p>
    <w:p w14:paraId="41841978">
      <w:pPr>
        <w:keepNext w:val="0"/>
        <w:keepLines w:val="0"/>
        <w:pageBreakBefore w:val="0"/>
        <w:kinsoku/>
        <w:wordWrap/>
        <w:overflowPunct/>
        <w:topLinePunct w:val="0"/>
        <w:autoSpaceDE/>
        <w:autoSpaceDN/>
        <w:bidi w:val="0"/>
        <w:adjustRightInd w:val="0"/>
        <w:snapToGrid w:val="0"/>
        <w:spacing w:line="360" w:lineRule="auto"/>
        <w:ind w:firstLine="442" w:firstLineChars="200"/>
        <w:jc w:val="left"/>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2.1 评标程序</w:t>
      </w:r>
    </w:p>
    <w:p w14:paraId="55AAF9B2">
      <w:pPr>
        <w:keepNext w:val="0"/>
        <w:keepLines w:val="0"/>
        <w:pageBreakBefore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评标工作按以下程序进行：</w:t>
      </w:r>
    </w:p>
    <w:p w14:paraId="4E60E439">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 第一信封资格审查；</w:t>
      </w:r>
    </w:p>
    <w:p w14:paraId="69D76707">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第一信封形式与响应性评审；</w:t>
      </w:r>
    </w:p>
    <w:p w14:paraId="35C5AB76">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第一信封澄清（如果需要）；</w:t>
      </w:r>
    </w:p>
    <w:p w14:paraId="6BC13EBA">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第一信封详细评审。</w:t>
      </w:r>
    </w:p>
    <w:p w14:paraId="45814F45">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2.1.2 第二信封初步评审；</w:t>
      </w:r>
    </w:p>
    <w:p w14:paraId="6E69F97F">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第二信封算术性修正</w:t>
      </w:r>
    </w:p>
    <w:p w14:paraId="0AD4FCF2">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第二信封澄清（如果需要）；</w:t>
      </w:r>
    </w:p>
    <w:p w14:paraId="5C82B100">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第二信封详细评审。</w:t>
      </w:r>
    </w:p>
    <w:p w14:paraId="5A65BECE">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2.1.3 综合评价，推荐中标候选人。</w:t>
      </w:r>
    </w:p>
    <w:p w14:paraId="5EEFAE10">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2.1.4 编写评标报告。</w:t>
      </w:r>
    </w:p>
    <w:p w14:paraId="74CE7F9C">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2.2 第一信封资格审查</w:t>
      </w:r>
    </w:p>
    <w:p w14:paraId="13C897AE">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评标委员会首先对投标人提交的资格审查表进行审查，有一项不符合评审标准的，作废标处理。通过资格审查的标准见“评标办法前附表”。评标委员会可以要求投标人提交有关证明和证件的原件，以便核验。</w:t>
      </w:r>
    </w:p>
    <w:p w14:paraId="2F3DC3FC">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2.3 第一信封形式与响应性评审</w:t>
      </w:r>
    </w:p>
    <w:p w14:paraId="0BAA0C9F">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t>评标委员会对通过资格审查的投标文件</w:t>
      </w:r>
      <w:r>
        <w:rPr>
          <w:rFonts w:hint="eastAsia" w:ascii="宋体" w:hAnsi="宋体" w:cs="宋体"/>
          <w:b w:val="0"/>
          <w:bCs w:val="0"/>
          <w:color w:val="auto"/>
          <w:sz w:val="22"/>
          <w:szCs w:val="22"/>
          <w:highlight w:val="none"/>
          <w:lang w:eastAsia="zh-CN"/>
        </w:rPr>
        <w:t>第一个信封（商务及技术文件）</w:t>
      </w:r>
      <w:r>
        <w:rPr>
          <w:rFonts w:hint="eastAsia" w:ascii="宋体" w:hAnsi="宋体" w:cs="宋体"/>
          <w:b w:val="0"/>
          <w:bCs w:val="0"/>
          <w:color w:val="auto"/>
          <w:sz w:val="22"/>
          <w:szCs w:val="22"/>
          <w:highlight w:val="none"/>
        </w:rPr>
        <w:t>进行初步形式与响应性评审，有一项不符合评审标准的，作废标处理。通过初步评审的标准见“评标办法前附表”。</w:t>
      </w:r>
    </w:p>
    <w:p w14:paraId="64CC96A1">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2.4 第一信封澄清</w:t>
      </w:r>
    </w:p>
    <w:p w14:paraId="339BD6C3">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在评标过程中，评标委员会可以书面形式要求投标人对所提交投标文件中含义不明确、对同类问题表述不一致或者有明显文字错误的内容作必要的澄清、说明或者补正。评标委员会不接受投标人主动提出的澄清、说明或补正。</w:t>
      </w:r>
    </w:p>
    <w:p w14:paraId="79577562">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澄清、说明或者补正应以书面方式进行，并不得超出投标文件的范围或者改变投标文件的实质性内容。投标人的书面澄清、说明和补正属于投标文件的组成部分。</w:t>
      </w:r>
    </w:p>
    <w:p w14:paraId="5CF7A2D8">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对投标人提交的澄清、说明或补正有疑问的，可以要求投标人进一步澄清、说明或补正，直至满足评标委员会的要求。凡超出招标文件规定的或给发包人带来未曾要求的利益的变化、偏差或其他因素在评标时不予考虑。</w:t>
      </w:r>
    </w:p>
    <w:p w14:paraId="1706C723">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2.5 第一信封详细评审</w:t>
      </w:r>
    </w:p>
    <w:p w14:paraId="36BA44E7">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评标委员会只对通过初步评审的投标文件</w:t>
      </w:r>
      <w:r>
        <w:rPr>
          <w:rFonts w:hint="eastAsia" w:ascii="宋体" w:hAnsi="宋体" w:cs="宋体"/>
          <w:color w:val="auto"/>
          <w:sz w:val="22"/>
          <w:szCs w:val="22"/>
          <w:highlight w:val="none"/>
          <w:lang w:eastAsia="zh-CN"/>
        </w:rPr>
        <w:t>第一个信封（商务及技术文件）</w:t>
      </w:r>
      <w:r>
        <w:rPr>
          <w:rFonts w:hint="eastAsia" w:ascii="宋体" w:hAnsi="宋体" w:cs="宋体"/>
          <w:color w:val="auto"/>
          <w:sz w:val="22"/>
          <w:szCs w:val="22"/>
          <w:highlight w:val="none"/>
        </w:rPr>
        <w:t>进行详细评审。评标委员会按“评标办法前附表”规定的评审因素和评分值进行评分，并计算出各投标人的商务和技术得分。</w:t>
      </w:r>
    </w:p>
    <w:p w14:paraId="2B1B3010">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2.6  第二信封开标</w:t>
      </w:r>
    </w:p>
    <w:p w14:paraId="299D2846">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第一个信封（商务及技术文件）</w:t>
      </w:r>
      <w:r>
        <w:rPr>
          <w:rFonts w:hint="eastAsia" w:ascii="宋体" w:hAnsi="宋体" w:cs="宋体"/>
          <w:color w:val="auto"/>
          <w:sz w:val="22"/>
          <w:szCs w:val="22"/>
          <w:highlight w:val="none"/>
        </w:rPr>
        <w:t>评审结束后，招标人将对通过投标文件</w:t>
      </w:r>
      <w:r>
        <w:rPr>
          <w:rFonts w:hint="eastAsia" w:ascii="宋体" w:hAnsi="宋体" w:cs="宋体"/>
          <w:color w:val="auto"/>
          <w:sz w:val="22"/>
          <w:szCs w:val="22"/>
          <w:highlight w:val="none"/>
          <w:lang w:eastAsia="zh-CN"/>
        </w:rPr>
        <w:t>第一个信封（商务及技术文件）</w:t>
      </w:r>
      <w:r>
        <w:rPr>
          <w:rFonts w:hint="eastAsia" w:ascii="宋体" w:hAnsi="宋体" w:cs="宋体"/>
          <w:color w:val="auto"/>
          <w:sz w:val="22"/>
          <w:szCs w:val="22"/>
          <w:highlight w:val="none"/>
        </w:rPr>
        <w:t>评审的投标文件</w:t>
      </w:r>
      <w:r>
        <w:rPr>
          <w:rFonts w:hint="eastAsia" w:ascii="宋体" w:hAnsi="宋体" w:cs="宋体"/>
          <w:color w:val="auto"/>
          <w:sz w:val="22"/>
          <w:szCs w:val="22"/>
          <w:highlight w:val="none"/>
          <w:lang w:eastAsia="zh-CN"/>
        </w:rPr>
        <w:t>第二个信封（报价文件）</w:t>
      </w:r>
      <w:r>
        <w:rPr>
          <w:rFonts w:hint="eastAsia" w:ascii="宋体" w:hAnsi="宋体" w:cs="宋体"/>
          <w:color w:val="auto"/>
          <w:sz w:val="22"/>
          <w:szCs w:val="22"/>
          <w:highlight w:val="none"/>
        </w:rPr>
        <w:t>进行开标。未通过第一信封评审的，不再参与投标文件第二个信封（报价文件）开标、评审。</w:t>
      </w:r>
    </w:p>
    <w:p w14:paraId="5456B809">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2.7 第二信封初步评审</w:t>
      </w:r>
    </w:p>
    <w:p w14:paraId="190537C1">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评标委员会对通过投标文件</w:t>
      </w:r>
      <w:r>
        <w:rPr>
          <w:rFonts w:hint="eastAsia" w:ascii="宋体" w:hAnsi="宋体" w:cs="宋体"/>
          <w:color w:val="auto"/>
          <w:sz w:val="22"/>
          <w:szCs w:val="22"/>
          <w:highlight w:val="none"/>
          <w:lang w:eastAsia="zh-CN"/>
        </w:rPr>
        <w:t>第一个信封（商务及技术文件）</w:t>
      </w:r>
      <w:r>
        <w:rPr>
          <w:rFonts w:hint="eastAsia" w:ascii="宋体" w:hAnsi="宋体" w:cs="宋体"/>
          <w:color w:val="auto"/>
          <w:sz w:val="22"/>
          <w:szCs w:val="22"/>
          <w:highlight w:val="none"/>
        </w:rPr>
        <w:t>评审的投标文件</w:t>
      </w:r>
      <w:r>
        <w:rPr>
          <w:rFonts w:hint="eastAsia" w:ascii="宋体" w:hAnsi="宋体" w:cs="宋体"/>
          <w:color w:val="auto"/>
          <w:sz w:val="22"/>
          <w:szCs w:val="22"/>
          <w:highlight w:val="none"/>
          <w:lang w:eastAsia="zh-CN"/>
        </w:rPr>
        <w:t>第二个信封（报价文件）</w:t>
      </w:r>
      <w:r>
        <w:rPr>
          <w:rFonts w:hint="eastAsia" w:ascii="宋体" w:hAnsi="宋体" w:cs="宋体"/>
          <w:color w:val="auto"/>
          <w:sz w:val="22"/>
          <w:szCs w:val="22"/>
          <w:highlight w:val="none"/>
        </w:rPr>
        <w:t>进行初步评审，有一项不符合评审标准的，作废标处理。通过初步评审的标准见“评标办法前附表”。</w:t>
      </w:r>
    </w:p>
    <w:p w14:paraId="1F79D7A7">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2.8 第二信封算术性修正</w:t>
      </w:r>
    </w:p>
    <w:p w14:paraId="2754AF75">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评标委员会对通过投标文件</w:t>
      </w:r>
      <w:r>
        <w:rPr>
          <w:rFonts w:hint="eastAsia" w:ascii="宋体" w:hAnsi="宋体" w:cs="宋体"/>
          <w:color w:val="auto"/>
          <w:sz w:val="22"/>
          <w:szCs w:val="22"/>
          <w:highlight w:val="none"/>
          <w:lang w:eastAsia="zh-CN"/>
        </w:rPr>
        <w:t>第二个信封（报价文件）</w:t>
      </w:r>
      <w:r>
        <w:rPr>
          <w:rFonts w:hint="eastAsia" w:ascii="宋体" w:hAnsi="宋体" w:cs="宋体"/>
          <w:color w:val="auto"/>
          <w:sz w:val="22"/>
          <w:szCs w:val="22"/>
          <w:highlight w:val="none"/>
        </w:rPr>
        <w:t>初步评审的投标人的投标报价进行校核，并对其中的算术性错误予以修正。修正的原则如下：</w:t>
      </w:r>
    </w:p>
    <w:p w14:paraId="27BB1B84">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（1）大写金额与小写金额不一致的，以大写金额为准；</w:t>
      </w:r>
    </w:p>
    <w:p w14:paraId="4164C24F">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（2）单价金额与数量相乘与合价金额不一致的，以单价金额为准；如果单价金额有明显的小数点位置差错，应以标出的合价金额为准，同时对单价金额予以修正；</w:t>
      </w:r>
    </w:p>
    <w:p w14:paraId="331BC810">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（3）合价金额累计与总价金额不一致的，以合价金额为准，修正总价金额。</w:t>
      </w:r>
    </w:p>
    <w:p w14:paraId="00477BCB">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2.9 第二信封澄清</w:t>
      </w:r>
    </w:p>
    <w:p w14:paraId="448B650A">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算术性修正后的报价如果与投标人原报价不同，评标时将书面通知投标人进行澄清，投标人应确认算术性修正后的报价；如投标人拒绝确认，则其投标文件将不予评审，作废标处理。修正后的最终投标报价若超过最高投标限价，投标人的投标文件作废标处理。</w:t>
      </w:r>
    </w:p>
    <w:p w14:paraId="196CE3B6">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2.10 第二信封详细评审</w:t>
      </w:r>
    </w:p>
    <w:p w14:paraId="2C9F0678">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计算所有通过</w:t>
      </w:r>
      <w:r>
        <w:rPr>
          <w:rFonts w:hint="eastAsia" w:ascii="宋体" w:hAnsi="宋体" w:cs="宋体"/>
          <w:color w:val="auto"/>
          <w:sz w:val="22"/>
          <w:szCs w:val="22"/>
          <w:highlight w:val="none"/>
          <w:lang w:eastAsia="zh-CN"/>
        </w:rPr>
        <w:t>第二个信封（报价文件）</w:t>
      </w:r>
      <w:r>
        <w:rPr>
          <w:rFonts w:hint="eastAsia" w:ascii="宋体" w:hAnsi="宋体" w:cs="宋体"/>
          <w:color w:val="auto"/>
          <w:sz w:val="22"/>
          <w:szCs w:val="22"/>
          <w:highlight w:val="none"/>
        </w:rPr>
        <w:t>初步评审以及算术性修正后的投标人的投标价得分。投标价得分的计算方法见“评标办法前附表”。</w:t>
      </w:r>
    </w:p>
    <w:p w14:paraId="309C5988">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2.11 评标排序</w:t>
      </w:r>
    </w:p>
    <w:p w14:paraId="33B9A490">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评标委员会成员应当按照评标办法的规定，独立评分并署名。各投标人的综合得分为商务和技术得分与报价得分之和。按照综合得分由高到低的顺序，评标委员会对投标人进行排名。</w:t>
      </w:r>
    </w:p>
    <w:p w14:paraId="5CEA1C6D">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评标委员会推荐综合得分排名第一的投标人为第一中标候选人，综合得分排名第二、第三的投标人分别为第二、第三中标候选人。</w:t>
      </w:r>
    </w:p>
    <w:p w14:paraId="735E7E8D">
      <w:pPr>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2.12 评标结果</w:t>
      </w:r>
    </w:p>
    <w:p w14:paraId="05E55CCB">
      <w:pPr>
        <w:pStyle w:val="28"/>
        <w:spacing w:before="0" w:after="0" w:line="360" w:lineRule="auto"/>
        <w:ind w:firstLine="440" w:firstLineChars="200"/>
        <w:jc w:val="left"/>
        <w:outlineLvl w:val="9"/>
        <w:rPr>
          <w:rFonts w:hint="eastAsia" w:ascii="宋体" w:hAnsi="宋体" w:cs="宋体"/>
          <w:b w:val="0"/>
          <w:bCs w:val="0"/>
          <w:color w:val="auto"/>
          <w:kern w:val="2"/>
          <w:sz w:val="22"/>
          <w:szCs w:val="22"/>
          <w:highlight w:val="none"/>
        </w:rPr>
      </w:pPr>
      <w:r>
        <w:rPr>
          <w:rFonts w:hint="eastAsia" w:ascii="宋体" w:hAnsi="宋体" w:cs="宋体"/>
          <w:b w:val="0"/>
          <w:bCs w:val="0"/>
          <w:color w:val="auto"/>
          <w:kern w:val="2"/>
          <w:sz w:val="22"/>
          <w:szCs w:val="22"/>
          <w:highlight w:val="none"/>
        </w:rPr>
        <w:t>评标委员会应当在评标工作完成后，按“评标办法前附表”规定的人数推荐中标候选人并向招标人提交书面评标报告。</w:t>
      </w:r>
    </w:p>
    <w:p w14:paraId="31FC78BA">
      <w:pPr>
        <w:pStyle w:val="28"/>
        <w:spacing w:before="0" w:after="0" w:line="360" w:lineRule="auto"/>
        <w:rPr>
          <w:rFonts w:hint="eastAsia" w:cs="Arial"/>
          <w:color w:val="auto"/>
          <w:sz w:val="32"/>
          <w:szCs w:val="22"/>
          <w:highlight w:val="none"/>
        </w:rPr>
      </w:pPr>
      <w:r>
        <w:rPr>
          <w:rFonts w:ascii="宋体" w:hAnsi="宋体"/>
          <w:color w:val="auto"/>
          <w:sz w:val="22"/>
          <w:szCs w:val="22"/>
          <w:highlight w:val="none"/>
        </w:rPr>
        <w:br w:type="page"/>
      </w:r>
      <w:bookmarkStart w:id="69" w:name="_Toc300760821"/>
      <w:bookmarkStart w:id="70" w:name="_Toc33625856"/>
      <w:r>
        <w:rPr>
          <w:rFonts w:hint="eastAsia" w:cs="Arial"/>
          <w:color w:val="auto"/>
          <w:sz w:val="32"/>
          <w:szCs w:val="22"/>
          <w:highlight w:val="none"/>
        </w:rPr>
        <w:t>第四章 合同条款</w:t>
      </w:r>
      <w:bookmarkEnd w:id="69"/>
      <w:bookmarkStart w:id="71" w:name="_Toc142466840"/>
      <w:bookmarkStart w:id="72" w:name="_Toc43117627"/>
      <w:bookmarkStart w:id="73" w:name="_Toc142467793"/>
      <w:bookmarkStart w:id="74" w:name="_Toc258313639"/>
      <w:bookmarkStart w:id="75" w:name="_Toc16408980"/>
      <w:r>
        <w:rPr>
          <w:rFonts w:hint="eastAsia" w:cs="Arial"/>
          <w:color w:val="auto"/>
          <w:sz w:val="32"/>
          <w:szCs w:val="22"/>
          <w:highlight w:val="none"/>
        </w:rPr>
        <w:t>及格式</w:t>
      </w:r>
      <w:bookmarkEnd w:id="70"/>
    </w:p>
    <w:p w14:paraId="2E618E6D">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76" w:name="_Toc143763565"/>
      <w:bookmarkStart w:id="77" w:name="_Toc510442597"/>
      <w:bookmarkStart w:id="78" w:name="_Toc393638320"/>
      <w:r>
        <w:rPr>
          <w:rFonts w:hint="eastAsia" w:ascii="宋体" w:hAnsi="宋体" w:cs="宋体"/>
          <w:b/>
          <w:snapToGrid w:val="0"/>
          <w:color w:val="000000"/>
          <w:kern w:val="0"/>
          <w:sz w:val="22"/>
          <w:szCs w:val="22"/>
          <w:highlight w:val="none"/>
        </w:rPr>
        <w:t>一、定义与解释</w:t>
      </w:r>
      <w:bookmarkEnd w:id="76"/>
      <w:bookmarkEnd w:id="77"/>
      <w:bookmarkEnd w:id="78"/>
    </w:p>
    <w:p w14:paraId="1F36C037">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本合同条款下述定义和解释仅限于本招标文件使用。</w:t>
      </w:r>
    </w:p>
    <w:p w14:paraId="3141E69B">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：本合同的</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为</w:t>
      </w:r>
      <w:r>
        <w:rPr>
          <w:rFonts w:hint="eastAsia" w:ascii="宋体" w:hAnsi="宋体" w:cs="宋体"/>
          <w:color w:val="000000"/>
          <w:sz w:val="22"/>
          <w:szCs w:val="22"/>
          <w:highlight w:val="none"/>
          <w:lang w:eastAsia="zh-CN"/>
        </w:rPr>
        <w:t>南通市江海河联运项目建设指挥部</w:t>
      </w:r>
      <w:r>
        <w:rPr>
          <w:rFonts w:hint="eastAsia" w:ascii="宋体" w:hAnsi="宋体" w:cs="宋体"/>
          <w:color w:val="000000"/>
          <w:sz w:val="22"/>
          <w:szCs w:val="22"/>
          <w:highlight w:val="none"/>
        </w:rPr>
        <w:t>。</w:t>
      </w:r>
    </w:p>
    <w:p w14:paraId="5ED6332B">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：是指其投标函已为</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所接受，并与</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签订了合同书承担本项目服务的机构，以及取得该当事机构资格的合法继承人。</w:t>
      </w:r>
    </w:p>
    <w:p w14:paraId="26310F24">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3、项目负责人：是指由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书面委任的负责本项目质量技术服务工作的组织管理者。</w:t>
      </w:r>
    </w:p>
    <w:p w14:paraId="472E2B0A">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4、天：指日历日。年、月、日按公历计算。</w:t>
      </w:r>
    </w:p>
    <w:p w14:paraId="23BE3163">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5、时间：本招标文件所指时间均为北京时间。</w:t>
      </w:r>
    </w:p>
    <w:p w14:paraId="1DD8D5EC">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79" w:name="_Toc510442598"/>
      <w:bookmarkStart w:id="80" w:name="_Toc393638321"/>
      <w:bookmarkStart w:id="81" w:name="_Toc143763566"/>
      <w:r>
        <w:rPr>
          <w:rFonts w:hint="eastAsia" w:ascii="宋体" w:hAnsi="宋体" w:cs="宋体"/>
          <w:b/>
          <w:snapToGrid w:val="0"/>
          <w:color w:val="000000"/>
          <w:kern w:val="0"/>
          <w:sz w:val="22"/>
          <w:szCs w:val="22"/>
          <w:highlight w:val="none"/>
        </w:rPr>
        <w:t>二、委托的项目名称</w:t>
      </w:r>
      <w:bookmarkEnd w:id="79"/>
      <w:bookmarkEnd w:id="80"/>
      <w:bookmarkEnd w:id="81"/>
    </w:p>
    <w:p w14:paraId="455E00B9">
      <w:pPr>
        <w:spacing w:line="360" w:lineRule="auto"/>
        <w:ind w:firstLine="440" w:firstLineChars="200"/>
        <w:jc w:val="left"/>
        <w:textAlignment w:val="baseline"/>
        <w:rPr>
          <w:rFonts w:hint="eastAsia" w:ascii="宋体" w:hAnsi="宋体" w:eastAsia="宋体" w:cs="宋体"/>
          <w:color w:val="000000"/>
          <w:kern w:val="0"/>
          <w:sz w:val="22"/>
          <w:szCs w:val="22"/>
          <w:highlight w:val="none"/>
          <w:lang w:eastAsia="zh-CN"/>
        </w:rPr>
      </w:pPr>
      <w:bookmarkStart w:id="82" w:name="_Toc393638322"/>
      <w:bookmarkStart w:id="83" w:name="_Toc510442599"/>
      <w:bookmarkStart w:id="84" w:name="_Toc143763567"/>
      <w:r>
        <w:rPr>
          <w:rFonts w:hint="eastAsia" w:ascii="宋体" w:hAnsi="宋体" w:cs="宋体"/>
          <w:color w:val="000000"/>
          <w:kern w:val="0"/>
          <w:sz w:val="22"/>
          <w:szCs w:val="22"/>
          <w:highlight w:val="none"/>
          <w:lang w:eastAsia="zh-CN"/>
        </w:rPr>
        <w:t>通海港区-通州湾港区疏港航道双桥枢纽工程、新江海河船闸工程、新江海河段航道整治工程船艇设计服务项目</w:t>
      </w:r>
    </w:p>
    <w:p w14:paraId="6FFAE686">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r>
        <w:rPr>
          <w:rFonts w:hint="eastAsia" w:ascii="宋体" w:hAnsi="宋体" w:cs="宋体"/>
          <w:b/>
          <w:snapToGrid w:val="0"/>
          <w:color w:val="000000"/>
          <w:kern w:val="0"/>
          <w:sz w:val="22"/>
          <w:szCs w:val="22"/>
          <w:highlight w:val="none"/>
        </w:rPr>
        <w:t>三、委托的内容</w:t>
      </w:r>
      <w:bookmarkEnd w:id="82"/>
      <w:bookmarkEnd w:id="83"/>
      <w:bookmarkEnd w:id="84"/>
      <w:r>
        <w:rPr>
          <w:rFonts w:hint="eastAsia" w:ascii="宋体" w:hAnsi="宋体" w:cs="宋体"/>
          <w:b/>
          <w:snapToGrid w:val="0"/>
          <w:color w:val="000000"/>
          <w:kern w:val="0"/>
          <w:sz w:val="22"/>
          <w:szCs w:val="22"/>
          <w:highlight w:val="none"/>
        </w:rPr>
        <w:t>和成果要求</w:t>
      </w:r>
    </w:p>
    <w:p w14:paraId="7F5C7B1D">
      <w:pPr>
        <w:tabs>
          <w:tab w:val="left" w:pos="360"/>
        </w:tabs>
        <w:autoSpaceDE w:val="0"/>
        <w:autoSpaceDN w:val="0"/>
        <w:spacing w:line="360" w:lineRule="auto"/>
        <w:ind w:firstLine="442" w:firstLineChars="200"/>
        <w:jc w:val="left"/>
        <w:textAlignment w:val="bottom"/>
        <w:rPr>
          <w:rFonts w:hint="eastAsia" w:ascii="宋体" w:hAnsi="宋体" w:cs="宋体"/>
          <w:b/>
          <w:color w:val="000000"/>
          <w:sz w:val="22"/>
          <w:szCs w:val="22"/>
          <w:highlight w:val="none"/>
        </w:rPr>
      </w:pPr>
      <w:r>
        <w:rPr>
          <w:rFonts w:hint="eastAsia" w:ascii="宋体" w:hAnsi="宋体" w:cs="宋体"/>
          <w:b/>
          <w:color w:val="000000"/>
          <w:sz w:val="22"/>
          <w:szCs w:val="22"/>
          <w:highlight w:val="none"/>
        </w:rPr>
        <w:t>1、委托的内容：</w:t>
      </w:r>
    </w:p>
    <w:p w14:paraId="733DCCD1">
      <w:pPr>
        <w:spacing w:line="360" w:lineRule="auto"/>
        <w:ind w:firstLine="440" w:firstLineChars="200"/>
        <w:jc w:val="left"/>
        <w:textAlignment w:val="baseline"/>
        <w:rPr>
          <w:rFonts w:hint="eastAsia" w:ascii="宋体" w:hAnsi="宋体" w:cs="宋体"/>
          <w:bCs/>
          <w:color w:val="000000"/>
          <w:kern w:val="0"/>
          <w:sz w:val="22"/>
          <w:szCs w:val="22"/>
          <w:highlight w:val="none"/>
        </w:rPr>
      </w:pPr>
      <w:bookmarkStart w:id="85" w:name="_Toc510442600"/>
      <w:bookmarkStart w:id="86" w:name="_Toc393638323"/>
      <w:bookmarkStart w:id="87" w:name="_Toc143763568"/>
      <w:r>
        <w:rPr>
          <w:rFonts w:hint="eastAsia" w:ascii="宋体" w:hAnsi="宋体" w:cs="宋体"/>
          <w:bCs/>
          <w:color w:val="000000"/>
          <w:kern w:val="0"/>
          <w:sz w:val="22"/>
          <w:szCs w:val="22"/>
          <w:highlight w:val="none"/>
        </w:rPr>
        <w:t>本项目共设1个标段，即THTZ-CTSJ1标段，其中通海港区-通州湾港区疏港航道双桥枢纽工程包括15米排档船2艘，船艇投资额约420万元；通海港区-通州湾港区疏港航道整治工程新江海河船闸工程包括15米排档船1艘，船艇投资额约210万元；通海港区-通州湾港区疏港航道新江海河段航道整治工程包括17米工作保障船1艘，船艇投资额约260万元。</w:t>
      </w:r>
    </w:p>
    <w:p w14:paraId="3DE04762">
      <w:pPr>
        <w:spacing w:line="360" w:lineRule="auto"/>
        <w:ind w:firstLine="440" w:firstLineChars="200"/>
        <w:jc w:val="left"/>
        <w:textAlignment w:val="baseline"/>
        <w:rPr>
          <w:rFonts w:hint="eastAsia" w:ascii="宋体" w:hAnsi="宋体" w:cs="宋体"/>
          <w:bCs/>
          <w:color w:val="000000"/>
          <w:kern w:val="0"/>
          <w:sz w:val="22"/>
          <w:szCs w:val="22"/>
          <w:highlight w:val="none"/>
        </w:rPr>
      </w:pPr>
      <w:r>
        <w:rPr>
          <w:rFonts w:hint="eastAsia" w:ascii="宋体" w:hAnsi="宋体" w:cs="宋体"/>
          <w:bCs/>
          <w:color w:val="000000"/>
          <w:kern w:val="0"/>
          <w:sz w:val="22"/>
          <w:szCs w:val="22"/>
          <w:highlight w:val="none"/>
        </w:rPr>
        <w:t>工作内容为（包括但不限于）：船艇建造项目方案设计（含规格书、船舶造价概算编制）、技术规格书编制、技术设计（详细设计）、船舶设计图纸及送审、船舶建造主要设备招标技术文件编制、技术咨询服务、配合完成生产设计、配合建造和技术支持，完成交船完工文件的编制及送审，配合竣工验收和后评价验收等全过程服务。上述有关图纸设计成果文件须通过江苏省交通运输主管部门的施工图审查并取得批文，确定建造单位后，完成船检部门审查并取得批文。</w:t>
      </w:r>
    </w:p>
    <w:p w14:paraId="1365618D">
      <w:pPr>
        <w:spacing w:line="360" w:lineRule="auto"/>
        <w:ind w:firstLine="440" w:firstLineChars="200"/>
        <w:jc w:val="left"/>
        <w:textAlignment w:val="baseline"/>
        <w:rPr>
          <w:rFonts w:hint="eastAsia" w:ascii="宋体" w:hAnsi="宋体" w:cs="宋体"/>
          <w:bCs/>
          <w:color w:val="000000"/>
          <w:kern w:val="0"/>
          <w:sz w:val="22"/>
          <w:szCs w:val="22"/>
          <w:highlight w:val="none"/>
        </w:rPr>
      </w:pPr>
      <w:r>
        <w:rPr>
          <w:rFonts w:hint="eastAsia" w:ascii="宋体" w:hAnsi="宋体" w:cs="宋体"/>
          <w:bCs/>
          <w:color w:val="000000"/>
          <w:kern w:val="0"/>
          <w:sz w:val="22"/>
          <w:szCs w:val="22"/>
          <w:highlight w:val="none"/>
        </w:rPr>
        <w:t>2、服务期：合同签订后</w:t>
      </w:r>
      <w:r>
        <w:rPr>
          <w:rFonts w:hint="eastAsia" w:ascii="宋体" w:hAnsi="宋体" w:cs="宋体"/>
          <w:bCs/>
          <w:color w:val="000000"/>
          <w:kern w:val="0"/>
          <w:sz w:val="22"/>
          <w:szCs w:val="22"/>
          <w:highlight w:val="none"/>
          <w:lang w:val="en-US" w:eastAsia="zh-CN"/>
        </w:rPr>
        <w:t>10</w:t>
      </w:r>
      <w:r>
        <w:rPr>
          <w:rFonts w:hint="eastAsia" w:ascii="宋体" w:hAnsi="宋体" w:cs="宋体"/>
          <w:bCs/>
          <w:color w:val="000000"/>
          <w:kern w:val="0"/>
          <w:sz w:val="22"/>
          <w:szCs w:val="22"/>
          <w:highlight w:val="none"/>
        </w:rPr>
        <w:t>日内完成设计方案（含规格书、船舶造价概算编制)并具备召开方案审查会的条件；合同签订后30天内施工图设计具备江苏省交通运输主管部门的审查条件；确定建造单位后，15天内完成船检部门审查并取得批文。（实际工作期可能会发生相应调整，应服从发包人的统一工作安排）。</w:t>
      </w:r>
    </w:p>
    <w:p w14:paraId="71285D6E">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r>
        <w:rPr>
          <w:rFonts w:hint="eastAsia" w:ascii="宋体" w:hAnsi="宋体" w:cs="宋体"/>
          <w:b/>
          <w:snapToGrid w:val="0"/>
          <w:color w:val="000000"/>
          <w:kern w:val="0"/>
          <w:sz w:val="22"/>
          <w:szCs w:val="22"/>
          <w:highlight w:val="none"/>
        </w:rPr>
        <w:t>四、各方的责任</w:t>
      </w:r>
      <w:bookmarkEnd w:id="85"/>
      <w:bookmarkEnd w:id="86"/>
      <w:bookmarkEnd w:id="87"/>
    </w:p>
    <w:p w14:paraId="0297A736">
      <w:pPr>
        <w:tabs>
          <w:tab w:val="left" w:pos="360"/>
        </w:tabs>
        <w:autoSpaceDE w:val="0"/>
        <w:autoSpaceDN w:val="0"/>
        <w:spacing w:line="360" w:lineRule="auto"/>
        <w:ind w:firstLine="442" w:firstLineChars="200"/>
        <w:jc w:val="left"/>
        <w:textAlignment w:val="bottom"/>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一）、</w:t>
      </w:r>
      <w:r>
        <w:rPr>
          <w:rFonts w:hint="eastAsia" w:ascii="宋体" w:hAnsi="宋体" w:cs="宋体"/>
          <w:b/>
          <w:bCs/>
          <w:color w:val="000000"/>
          <w:sz w:val="22"/>
          <w:szCs w:val="22"/>
          <w:highlight w:val="none"/>
          <w:lang w:eastAsia="zh-CN"/>
        </w:rPr>
        <w:t>委托人</w:t>
      </w:r>
      <w:r>
        <w:rPr>
          <w:rFonts w:hint="eastAsia" w:ascii="宋体" w:hAnsi="宋体" w:cs="宋体"/>
          <w:b/>
          <w:bCs/>
          <w:color w:val="000000"/>
          <w:sz w:val="22"/>
          <w:szCs w:val="22"/>
          <w:highlight w:val="none"/>
        </w:rPr>
        <w:t>的责任：</w:t>
      </w:r>
    </w:p>
    <w:p w14:paraId="604375C4">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1、按合同的约定负责承担并支付</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的相关费用；</w:t>
      </w:r>
    </w:p>
    <w:p w14:paraId="72AE171B">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负责本项目的管理；</w:t>
      </w:r>
    </w:p>
    <w:p w14:paraId="2752910F">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3、对服务过程、结果进行监督、对</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履约情况进行考核；</w:t>
      </w:r>
    </w:p>
    <w:p w14:paraId="7DC7CA8F">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负责提供项目基本情况资料等；指定专人负责与</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的工作联系，协调各方面工作，帮助</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的工作队伍进入现场工作；</w:t>
      </w:r>
    </w:p>
    <w:p w14:paraId="08FF02F7">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5、在合同规定的时间内，就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书面提交并要求答复的重大问题，作出书面决定；</w:t>
      </w:r>
    </w:p>
    <w:p w14:paraId="31D2DC0A">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6、有权对</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派出的机构与人员组织提出要求，对不称职的、严重失职的人员有权要求</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更换；</w:t>
      </w:r>
    </w:p>
    <w:p w14:paraId="2DD669FF">
      <w:pPr>
        <w:tabs>
          <w:tab w:val="left" w:pos="360"/>
        </w:tabs>
        <w:spacing w:line="360" w:lineRule="auto"/>
        <w:ind w:firstLine="442" w:firstLineChars="200"/>
        <w:jc w:val="left"/>
        <w:rPr>
          <w:rFonts w:hint="eastAsia" w:ascii="宋体" w:hAnsi="宋体" w:cs="宋体"/>
          <w:b/>
          <w:bCs/>
          <w:color w:val="000000"/>
          <w:sz w:val="22"/>
          <w:szCs w:val="22"/>
          <w:highlight w:val="none"/>
        </w:rPr>
      </w:pPr>
      <w:r>
        <w:rPr>
          <w:rFonts w:hint="eastAsia" w:ascii="宋体" w:hAnsi="宋体" w:cs="宋体"/>
          <w:b/>
          <w:bCs/>
          <w:color w:val="000000"/>
          <w:sz w:val="22"/>
          <w:szCs w:val="22"/>
          <w:highlight w:val="none"/>
        </w:rPr>
        <w:t>二）、</w:t>
      </w:r>
      <w:r>
        <w:rPr>
          <w:rFonts w:hint="eastAsia" w:ascii="宋体" w:hAnsi="宋体" w:cs="宋体"/>
          <w:b/>
          <w:bCs/>
          <w:color w:val="000000"/>
          <w:sz w:val="22"/>
          <w:szCs w:val="22"/>
          <w:highlight w:val="none"/>
          <w:lang w:eastAsia="zh-CN"/>
        </w:rPr>
        <w:t>受托人</w:t>
      </w:r>
      <w:r>
        <w:rPr>
          <w:rFonts w:hint="eastAsia" w:ascii="宋体" w:hAnsi="宋体" w:cs="宋体"/>
          <w:b/>
          <w:bCs/>
          <w:color w:val="000000"/>
          <w:sz w:val="22"/>
          <w:szCs w:val="22"/>
          <w:highlight w:val="none"/>
        </w:rPr>
        <w:t>的责任：</w:t>
      </w:r>
    </w:p>
    <w:p w14:paraId="285CE1B2">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负责按照本招标文件、投标文件和</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的要求开展服务。</w:t>
      </w:r>
    </w:p>
    <w:p w14:paraId="10704B9A">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在合同执行过程中投入的人员必须与投标文件所列一致，未经</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批准不得更换。</w:t>
      </w:r>
    </w:p>
    <w:p w14:paraId="3AE5F430">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3、在合同期内，未经</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同意，不得随意更换人员。若确因特殊原因需要更换项目负责人时，须提前3天提交与拟更换人员具备同等或更高资质的人员资质报</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批准，经</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批准后，</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必须按照“五、违约责任”支付</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违约金。</w:t>
      </w:r>
    </w:p>
    <w:p w14:paraId="16BCF3A2">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4、若</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提出人员更换要求，</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应在接到通知的3天内选派资格和经验为</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接受的人员进行更换。由于更换人员引起的费用由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承担。</w:t>
      </w:r>
    </w:p>
    <w:p w14:paraId="14A75CF2">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6、</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应做好质量管理工作，建立健全质量保证体系，加强工作全过程的质量控制，应按期、按质、按量地完成委托的各项工作内容，并对技术服务的数据、结果负法律责任。</w:t>
      </w:r>
    </w:p>
    <w:p w14:paraId="545319CB">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7、</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应为其完成本合同的人员和设备投保，费用由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承担。若</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在合同履行期间发生人员伤亡或财产的损失，或者造成第三方的人员伤亡或财产损失，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应承担全部责任，并保障</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和业主方免于承担由此造成的一切损害和损失。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应确保安全生产，应承担由此造成的一切损害和损失。</w:t>
      </w:r>
    </w:p>
    <w:p w14:paraId="771D6BAD">
      <w:pPr>
        <w:tabs>
          <w:tab w:val="left" w:pos="360"/>
        </w:tabs>
        <w:spacing w:line="360" w:lineRule="auto"/>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8、在合同有效期间或合同条款规定的期限内，未经</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的书面同意，</w:t>
      </w:r>
      <w:r>
        <w:rPr>
          <w:rFonts w:hint="eastAsia" w:ascii="宋体" w:hAnsi="宋体" w:cs="宋体"/>
          <w:color w:val="000000"/>
          <w:kern w:val="0"/>
          <w:sz w:val="22"/>
          <w:szCs w:val="22"/>
          <w:highlight w:val="none"/>
          <w:lang w:eastAsia="zh-CN"/>
        </w:rPr>
        <w:t>受托人</w:t>
      </w:r>
      <w:r>
        <w:rPr>
          <w:rFonts w:hint="eastAsia" w:ascii="宋体" w:hAnsi="宋体" w:cs="宋体"/>
          <w:color w:val="000000"/>
          <w:kern w:val="0"/>
          <w:sz w:val="22"/>
          <w:szCs w:val="22"/>
          <w:highlight w:val="none"/>
        </w:rPr>
        <w:t>不得泄露</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与本项目、本工程、本合同有关的保密资料。</w:t>
      </w:r>
      <w:r>
        <w:rPr>
          <w:rFonts w:hint="eastAsia" w:ascii="宋体" w:hAnsi="宋体" w:cs="宋体"/>
          <w:color w:val="000000"/>
          <w:kern w:val="0"/>
          <w:sz w:val="22"/>
          <w:szCs w:val="22"/>
          <w:highlight w:val="none"/>
          <w:lang w:eastAsia="zh-CN"/>
        </w:rPr>
        <w:t>受托人</w:t>
      </w:r>
      <w:r>
        <w:rPr>
          <w:rFonts w:hint="eastAsia" w:ascii="宋体" w:hAnsi="宋体" w:cs="宋体"/>
          <w:color w:val="000000"/>
          <w:kern w:val="0"/>
          <w:sz w:val="22"/>
          <w:szCs w:val="22"/>
          <w:highlight w:val="none"/>
        </w:rPr>
        <w:t>在工作周期间及合格的数据交付后3年时间内，不得将工程的任何资料向第三方泄露，除非征得</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的书面同意。</w:t>
      </w:r>
    </w:p>
    <w:p w14:paraId="0B2D16BE">
      <w:pPr>
        <w:tabs>
          <w:tab w:val="left" w:pos="360"/>
        </w:tabs>
        <w:spacing w:line="360" w:lineRule="auto"/>
        <w:ind w:firstLine="440" w:firstLineChars="20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w:t>
      </w:r>
      <w:r>
        <w:rPr>
          <w:rFonts w:hint="eastAsia" w:ascii="宋体" w:hAnsi="宋体" w:cs="宋体"/>
          <w:color w:val="000000"/>
          <w:kern w:val="0"/>
          <w:sz w:val="22"/>
          <w:szCs w:val="22"/>
          <w:highlight w:val="none"/>
          <w:lang w:eastAsia="zh-CN"/>
        </w:rPr>
        <w:t>受托人</w:t>
      </w:r>
      <w:r>
        <w:rPr>
          <w:rFonts w:hint="eastAsia" w:ascii="宋体" w:hAnsi="宋体" w:cs="宋体"/>
          <w:color w:val="000000"/>
          <w:kern w:val="0"/>
          <w:sz w:val="22"/>
          <w:szCs w:val="22"/>
          <w:highlight w:val="none"/>
        </w:rPr>
        <w:t>如需查阅本工程的有关设计文件、技术资料等，应征得</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同意。</w:t>
      </w:r>
    </w:p>
    <w:p w14:paraId="6620121D">
      <w:pPr>
        <w:tabs>
          <w:tab w:val="left" w:pos="360"/>
        </w:tabs>
        <w:spacing w:line="360" w:lineRule="auto"/>
        <w:ind w:firstLine="440" w:firstLineChars="20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10、</w:t>
      </w:r>
      <w:r>
        <w:rPr>
          <w:rFonts w:hint="eastAsia" w:ascii="宋体" w:hAnsi="宋体" w:cs="宋体"/>
          <w:color w:val="000000"/>
          <w:kern w:val="0"/>
          <w:sz w:val="22"/>
          <w:szCs w:val="22"/>
          <w:highlight w:val="none"/>
          <w:lang w:eastAsia="zh-CN"/>
        </w:rPr>
        <w:t>受托人</w:t>
      </w:r>
      <w:r>
        <w:rPr>
          <w:rFonts w:hint="eastAsia" w:ascii="宋体" w:hAnsi="宋体" w:cs="宋体"/>
          <w:color w:val="000000"/>
          <w:kern w:val="0"/>
          <w:sz w:val="22"/>
          <w:szCs w:val="22"/>
          <w:highlight w:val="none"/>
        </w:rPr>
        <w:t>可以按照合同约定获得</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等相关单位必要的帮助与配合。</w:t>
      </w:r>
    </w:p>
    <w:p w14:paraId="3D95763B">
      <w:pPr>
        <w:spacing w:line="360" w:lineRule="auto"/>
        <w:ind w:firstLine="442" w:firstLineChars="200"/>
        <w:textAlignment w:val="baseline"/>
        <w:rPr>
          <w:rFonts w:hint="eastAsia" w:ascii="宋体" w:hAnsi="宋体" w:cs="宋体"/>
          <w:b/>
          <w:snapToGrid w:val="0"/>
          <w:color w:val="000000"/>
          <w:kern w:val="0"/>
          <w:sz w:val="22"/>
          <w:szCs w:val="22"/>
          <w:highlight w:val="none"/>
        </w:rPr>
      </w:pPr>
      <w:bookmarkStart w:id="88" w:name="_Toc393638324"/>
      <w:bookmarkStart w:id="89" w:name="_Toc510442601"/>
      <w:bookmarkStart w:id="90" w:name="_Toc143763569"/>
      <w:r>
        <w:rPr>
          <w:rFonts w:hint="eastAsia" w:ascii="宋体" w:hAnsi="宋体" w:cs="宋体"/>
          <w:b/>
          <w:snapToGrid w:val="0"/>
          <w:color w:val="000000"/>
          <w:kern w:val="0"/>
          <w:sz w:val="22"/>
          <w:szCs w:val="22"/>
          <w:highlight w:val="none"/>
        </w:rPr>
        <w:t>五、违约责任</w:t>
      </w:r>
      <w:bookmarkEnd w:id="88"/>
      <w:bookmarkEnd w:id="89"/>
      <w:bookmarkEnd w:id="90"/>
    </w:p>
    <w:p w14:paraId="5BA0BA53">
      <w:pPr>
        <w:tabs>
          <w:tab w:val="left" w:pos="360"/>
        </w:tabs>
        <w:spacing w:line="360" w:lineRule="auto"/>
        <w:ind w:firstLine="440" w:firstLineChars="20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的违约：合同生效后，因</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原因，</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提出终止合同，</w:t>
      </w:r>
      <w:r>
        <w:rPr>
          <w:rFonts w:hint="eastAsia" w:ascii="宋体" w:hAnsi="宋体" w:cs="宋体"/>
          <w:color w:val="000000"/>
          <w:kern w:val="0"/>
          <w:sz w:val="22"/>
          <w:szCs w:val="22"/>
          <w:highlight w:val="none"/>
          <w:lang w:eastAsia="zh-CN"/>
        </w:rPr>
        <w:t>委托人</w:t>
      </w:r>
      <w:r>
        <w:rPr>
          <w:rFonts w:hint="eastAsia" w:ascii="宋体" w:hAnsi="宋体" w:cs="宋体"/>
          <w:color w:val="000000"/>
          <w:kern w:val="0"/>
          <w:sz w:val="22"/>
          <w:szCs w:val="22"/>
          <w:highlight w:val="none"/>
        </w:rPr>
        <w:t>将给予</w:t>
      </w:r>
      <w:r>
        <w:rPr>
          <w:rFonts w:hint="eastAsia" w:ascii="宋体" w:hAnsi="宋体" w:cs="宋体"/>
          <w:color w:val="000000"/>
          <w:kern w:val="0"/>
          <w:sz w:val="22"/>
          <w:szCs w:val="22"/>
          <w:highlight w:val="none"/>
          <w:lang w:eastAsia="zh-CN"/>
        </w:rPr>
        <w:t>受托人</w:t>
      </w:r>
      <w:r>
        <w:rPr>
          <w:rFonts w:hint="eastAsia" w:ascii="宋体" w:hAnsi="宋体" w:cs="宋体"/>
          <w:color w:val="000000"/>
          <w:kern w:val="0"/>
          <w:sz w:val="22"/>
          <w:szCs w:val="22"/>
          <w:highlight w:val="none"/>
        </w:rPr>
        <w:t>1万～2万元违约罚款。</w:t>
      </w:r>
    </w:p>
    <w:p w14:paraId="0C95C6B4">
      <w:pPr>
        <w:tabs>
          <w:tab w:val="left" w:pos="360"/>
          <w:tab w:val="left" w:pos="1260"/>
        </w:tabs>
        <w:spacing w:line="360" w:lineRule="auto"/>
        <w:ind w:firstLine="440" w:firstLineChars="200"/>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的违约</w:t>
      </w:r>
    </w:p>
    <w:p w14:paraId="3CCAFFE3">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（1）如果</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将任务转包或者分包，除整改外</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将按合同价的5%～10%扣除</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的违约金。</w:t>
      </w:r>
    </w:p>
    <w:p w14:paraId="2007BC0C">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未按</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规定的时间进场开展工作，或未按照国家现行的标准或规范开展工作，或未根据</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的指令进行变更，或</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因自身原因未按期向</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提交服务成果，给</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造成损失等，如发生上述任何行为，</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将按合同价的5%～10%扣除</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的违约金。</w:t>
      </w:r>
    </w:p>
    <w:p w14:paraId="7F30A221">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（3）合同生效后，如</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提出终止合同，应给予</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5万元违约罚款。</w:t>
      </w:r>
    </w:p>
    <w:p w14:paraId="3C1EBD06">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（4）未经</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许可，本项目更换项目负责人时，</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必须支付</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5万元人员违约金。</w:t>
      </w:r>
    </w:p>
    <w:p w14:paraId="129D5035">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（5）违反本合同有关廉洁条款的规定，</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将给予</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1万～2万元违约罚款。</w:t>
      </w:r>
    </w:p>
    <w:p w14:paraId="50FECE28">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（6）上述（1）～（5）款累计违约金限额为合同总价的30%。若发生上述（1）～（5）情况中任一款，</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有权收回已委托的全部或部分工作，</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无条件接受。</w:t>
      </w:r>
    </w:p>
    <w:p w14:paraId="09D236AD">
      <w:pPr>
        <w:tabs>
          <w:tab w:val="left" w:pos="360"/>
          <w:tab w:val="left" w:pos="1260"/>
        </w:tabs>
        <w:spacing w:line="360" w:lineRule="auto"/>
        <w:ind w:firstLine="440" w:firstLineChars="200"/>
        <w:rPr>
          <w:rFonts w:hint="eastAsia" w:ascii="宋体" w:hAnsi="宋体" w:cs="宋体"/>
          <w:color w:val="000000"/>
          <w:sz w:val="22"/>
          <w:szCs w:val="22"/>
          <w:highlight w:val="none"/>
        </w:rPr>
      </w:pPr>
      <w:r>
        <w:rPr>
          <w:rFonts w:hint="eastAsia" w:ascii="宋体" w:hAnsi="宋体" w:cs="宋体"/>
          <w:color w:val="000000"/>
          <w:sz w:val="22"/>
          <w:szCs w:val="22"/>
          <w:highlight w:val="none"/>
        </w:rPr>
        <w:t>3、责任的期限</w:t>
      </w:r>
    </w:p>
    <w:p w14:paraId="36CDD253">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与</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双方的责任与义务期限为合同协议书或合同条款规定的时间范围。</w:t>
      </w:r>
    </w:p>
    <w:p w14:paraId="54AE4959">
      <w:pPr>
        <w:spacing w:line="360" w:lineRule="auto"/>
        <w:ind w:firstLine="442" w:firstLineChars="200"/>
        <w:textAlignment w:val="baseline"/>
        <w:rPr>
          <w:rFonts w:hint="eastAsia" w:ascii="宋体" w:hAnsi="宋体" w:cs="宋体"/>
          <w:b/>
          <w:snapToGrid w:val="0"/>
          <w:color w:val="000000"/>
          <w:kern w:val="0"/>
          <w:sz w:val="22"/>
          <w:szCs w:val="22"/>
          <w:highlight w:val="none"/>
        </w:rPr>
      </w:pPr>
      <w:bookmarkStart w:id="91" w:name="_Toc510442602"/>
      <w:bookmarkStart w:id="92" w:name="_Toc393638325"/>
      <w:r>
        <w:rPr>
          <w:rFonts w:hint="eastAsia" w:ascii="宋体" w:hAnsi="宋体" w:cs="宋体"/>
          <w:b/>
          <w:snapToGrid w:val="0"/>
          <w:color w:val="000000"/>
          <w:kern w:val="0"/>
          <w:sz w:val="22"/>
          <w:szCs w:val="22"/>
          <w:highlight w:val="none"/>
        </w:rPr>
        <w:t>六、安全措施</w:t>
      </w:r>
      <w:bookmarkEnd w:id="91"/>
      <w:bookmarkEnd w:id="92"/>
    </w:p>
    <w:p w14:paraId="198592D0">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在现场工作时，</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应遵守政府有关部门、业主方及有关单位安全保卫制度，并对其人员的安全负责，</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应对由于自己或其代理人的过错，包括侵犯版权或发明权而给</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或任何第三方造成的损失负赔偿责任。在作业现场，</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应采取必要的安全措施，并应保障</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免于承担由此导致的一切诉讼、争执、索赔、罚款。</w:t>
      </w:r>
    </w:p>
    <w:p w14:paraId="12D69AA3">
      <w:pPr>
        <w:spacing w:line="360" w:lineRule="auto"/>
        <w:ind w:firstLine="442" w:firstLineChars="200"/>
        <w:textAlignment w:val="baseline"/>
        <w:rPr>
          <w:rFonts w:hint="eastAsia" w:ascii="宋体" w:hAnsi="宋体" w:cs="宋体"/>
          <w:b/>
          <w:snapToGrid w:val="0"/>
          <w:color w:val="000000"/>
          <w:kern w:val="0"/>
          <w:sz w:val="22"/>
          <w:szCs w:val="22"/>
          <w:highlight w:val="none"/>
        </w:rPr>
      </w:pPr>
      <w:bookmarkStart w:id="93" w:name="_Toc393638326"/>
      <w:bookmarkStart w:id="94" w:name="_Toc510442603"/>
      <w:r>
        <w:rPr>
          <w:rFonts w:hint="eastAsia" w:ascii="宋体" w:hAnsi="宋体" w:cs="宋体"/>
          <w:b/>
          <w:snapToGrid w:val="0"/>
          <w:color w:val="000000"/>
          <w:kern w:val="0"/>
          <w:sz w:val="22"/>
          <w:szCs w:val="22"/>
          <w:highlight w:val="none"/>
        </w:rPr>
        <w:t>安全目标：贯彻国家安全生产方面的法律法规，按照合同要求监督</w:t>
      </w:r>
      <w:r>
        <w:rPr>
          <w:rFonts w:hint="eastAsia" w:ascii="宋体" w:hAnsi="宋体" w:cs="宋体"/>
          <w:b/>
          <w:snapToGrid w:val="0"/>
          <w:color w:val="000000"/>
          <w:kern w:val="0"/>
          <w:sz w:val="22"/>
          <w:szCs w:val="22"/>
          <w:highlight w:val="none"/>
          <w:lang w:eastAsia="zh-CN"/>
        </w:rPr>
        <w:t>受托人</w:t>
      </w:r>
      <w:r>
        <w:rPr>
          <w:rFonts w:hint="eastAsia" w:ascii="宋体" w:hAnsi="宋体" w:cs="宋体"/>
          <w:b/>
          <w:snapToGrid w:val="0"/>
          <w:color w:val="000000"/>
          <w:kern w:val="0"/>
          <w:sz w:val="22"/>
          <w:szCs w:val="22"/>
          <w:highlight w:val="none"/>
        </w:rPr>
        <w:t>实施各项安全保护措施，零事故、零伤亡。</w:t>
      </w:r>
    </w:p>
    <w:p w14:paraId="019A7DD7">
      <w:pPr>
        <w:spacing w:line="360" w:lineRule="auto"/>
        <w:ind w:firstLine="442" w:firstLineChars="200"/>
        <w:textAlignment w:val="baseline"/>
        <w:rPr>
          <w:rFonts w:hint="eastAsia" w:ascii="宋体" w:hAnsi="宋体" w:cs="宋体"/>
          <w:b/>
          <w:snapToGrid w:val="0"/>
          <w:color w:val="000000"/>
          <w:kern w:val="0"/>
          <w:sz w:val="22"/>
          <w:szCs w:val="22"/>
          <w:highlight w:val="none"/>
        </w:rPr>
      </w:pPr>
      <w:r>
        <w:rPr>
          <w:rFonts w:hint="eastAsia" w:ascii="宋体" w:hAnsi="宋体" w:cs="宋体"/>
          <w:b/>
          <w:snapToGrid w:val="0"/>
          <w:color w:val="000000"/>
          <w:kern w:val="0"/>
          <w:sz w:val="22"/>
          <w:szCs w:val="22"/>
          <w:highlight w:val="none"/>
        </w:rPr>
        <w:t>七、保险</w:t>
      </w:r>
      <w:bookmarkEnd w:id="93"/>
      <w:bookmarkEnd w:id="94"/>
    </w:p>
    <w:p w14:paraId="27A567F7">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本项目的</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装备险和</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职工的（人身）事故险均由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投保，保险费由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承担并支付，并包含在合同总价中，不单独计量与支付。在本合同工程实施过程中，</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雇员的人身死亡或伤残，或财产（设备）的损失或损害，由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自行负责，</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不予赔偿。</w:t>
      </w:r>
    </w:p>
    <w:p w14:paraId="0C100E0A">
      <w:pPr>
        <w:spacing w:line="360" w:lineRule="auto"/>
        <w:ind w:firstLine="442" w:firstLineChars="200"/>
        <w:jc w:val="left"/>
        <w:textAlignment w:val="baseline"/>
        <w:rPr>
          <w:rFonts w:hint="eastAsia" w:ascii="宋体" w:hAnsi="宋体" w:cs="宋体"/>
          <w:b/>
          <w:strike w:val="0"/>
          <w:dstrike w:val="0"/>
          <w:snapToGrid w:val="0"/>
          <w:color w:val="000000"/>
          <w:kern w:val="0"/>
          <w:sz w:val="22"/>
          <w:szCs w:val="22"/>
          <w:highlight w:val="none"/>
        </w:rPr>
      </w:pPr>
      <w:bookmarkStart w:id="95" w:name="_Toc393638327"/>
      <w:bookmarkStart w:id="96" w:name="_Toc143763570"/>
      <w:bookmarkStart w:id="97" w:name="_Toc510442604"/>
      <w:r>
        <w:rPr>
          <w:rFonts w:hint="eastAsia" w:ascii="宋体" w:hAnsi="宋体" w:cs="宋体"/>
          <w:b/>
          <w:strike w:val="0"/>
          <w:dstrike w:val="0"/>
          <w:snapToGrid w:val="0"/>
          <w:color w:val="000000"/>
          <w:kern w:val="0"/>
          <w:sz w:val="22"/>
          <w:szCs w:val="22"/>
          <w:highlight w:val="none"/>
        </w:rPr>
        <w:t>八、合同费用与支付</w:t>
      </w:r>
      <w:bookmarkEnd w:id="95"/>
      <w:bookmarkEnd w:id="96"/>
      <w:bookmarkEnd w:id="97"/>
    </w:p>
    <w:p w14:paraId="249B9FFF">
      <w:pPr>
        <w:autoSpaceDE w:val="0"/>
        <w:autoSpaceDN w:val="0"/>
        <w:spacing w:line="360" w:lineRule="auto"/>
        <w:ind w:firstLine="442" w:firstLineChars="200"/>
        <w:jc w:val="left"/>
        <w:textAlignment w:val="bottom"/>
        <w:rPr>
          <w:rFonts w:hint="eastAsia" w:ascii="宋体" w:hAnsi="宋体" w:cs="宋体"/>
          <w:b/>
          <w:bCs/>
          <w:strike w:val="0"/>
          <w:dstrike w:val="0"/>
          <w:color w:val="000000"/>
          <w:sz w:val="22"/>
          <w:szCs w:val="22"/>
          <w:highlight w:val="none"/>
          <w:lang w:val="en-US" w:eastAsia="zh-CN"/>
        </w:rPr>
      </w:pPr>
      <w:bookmarkStart w:id="98" w:name="_Toc143763571"/>
      <w:r>
        <w:rPr>
          <w:rFonts w:hint="eastAsia" w:ascii="宋体" w:hAnsi="宋体" w:cs="宋体"/>
          <w:b/>
          <w:bCs/>
          <w:strike w:val="0"/>
          <w:dstrike w:val="0"/>
          <w:color w:val="000000"/>
          <w:sz w:val="22"/>
          <w:szCs w:val="22"/>
          <w:highlight w:val="none"/>
          <w:lang w:val="en-US" w:eastAsia="zh-CN"/>
        </w:rPr>
        <w:t>1.获得江苏省交通运输主管部门的施工图批文后支付对应项目船艇设计合同金额的60%，对应项目的所有船艇建造完成并交付后支付对应项目船艇设计的合同余款。</w:t>
      </w:r>
    </w:p>
    <w:p w14:paraId="04374EE1">
      <w:pPr>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strike w:val="0"/>
          <w:dstrike w:val="0"/>
          <w:color w:val="000000"/>
          <w:sz w:val="22"/>
          <w:szCs w:val="22"/>
          <w:highlight w:val="none"/>
          <w:lang w:val="en-US" w:eastAsia="zh-CN"/>
        </w:rPr>
        <w:t>2</w:t>
      </w:r>
      <w:r>
        <w:rPr>
          <w:rFonts w:hint="eastAsia" w:ascii="宋体" w:hAnsi="宋体" w:cs="宋体"/>
          <w:strike w:val="0"/>
          <w:dstrike w:val="0"/>
          <w:color w:val="000000"/>
          <w:sz w:val="22"/>
          <w:szCs w:val="22"/>
          <w:highlight w:val="none"/>
        </w:rPr>
        <w:t>、在合同实施过程中，技</w:t>
      </w:r>
      <w:r>
        <w:rPr>
          <w:rFonts w:hint="eastAsia" w:ascii="宋体" w:hAnsi="宋体" w:cs="宋体"/>
          <w:color w:val="000000"/>
          <w:sz w:val="22"/>
          <w:szCs w:val="22"/>
          <w:highlight w:val="none"/>
        </w:rPr>
        <w:t>术服务工作如有推迟或延误而超过约定的服务期限，应相应延长服务期，但并不因工作周期的延长原因调整各项单价及总价。</w:t>
      </w:r>
    </w:p>
    <w:p w14:paraId="06ABEF17">
      <w:pPr>
        <w:autoSpaceDE w:val="0"/>
        <w:autoSpaceDN w:val="0"/>
        <w:spacing w:line="360" w:lineRule="auto"/>
        <w:ind w:firstLine="440" w:firstLineChars="200"/>
        <w:jc w:val="left"/>
        <w:textAlignment w:val="bottom"/>
        <w:rPr>
          <w:rFonts w:hint="eastAsia" w:ascii="宋体" w:hAnsi="宋体" w:cs="宋体"/>
          <w:bCs/>
          <w:color w:val="000000"/>
          <w:sz w:val="22"/>
          <w:szCs w:val="22"/>
          <w:highlight w:val="none"/>
        </w:rPr>
      </w:pPr>
      <w:r>
        <w:rPr>
          <w:rFonts w:hint="eastAsia" w:ascii="宋体" w:hAnsi="宋体" w:cs="宋体"/>
          <w:bCs/>
          <w:color w:val="000000"/>
          <w:sz w:val="22"/>
          <w:szCs w:val="22"/>
          <w:highlight w:val="none"/>
          <w:lang w:val="en-US" w:eastAsia="zh-CN"/>
        </w:rPr>
        <w:t>3</w:t>
      </w:r>
      <w:r>
        <w:rPr>
          <w:rFonts w:hint="eastAsia" w:ascii="宋体" w:hAnsi="宋体" w:cs="宋体"/>
          <w:bCs/>
          <w:color w:val="000000"/>
          <w:sz w:val="22"/>
          <w:szCs w:val="22"/>
          <w:highlight w:val="none"/>
        </w:rPr>
        <w:t>、合同实施过程中，技术服务范围发生变化时，相应服务费用予以扣除，不再支付。</w:t>
      </w:r>
    </w:p>
    <w:p w14:paraId="2B54F5A2">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99" w:name="_Toc510442605"/>
      <w:bookmarkStart w:id="100" w:name="_Toc393638328"/>
      <w:r>
        <w:rPr>
          <w:rFonts w:hint="eastAsia" w:ascii="宋体" w:hAnsi="宋体" w:cs="宋体"/>
          <w:b/>
          <w:snapToGrid w:val="0"/>
          <w:color w:val="000000"/>
          <w:kern w:val="0"/>
          <w:sz w:val="22"/>
          <w:szCs w:val="22"/>
          <w:highlight w:val="none"/>
        </w:rPr>
        <w:t>九、合同的调价</w:t>
      </w:r>
      <w:bookmarkEnd w:id="98"/>
      <w:bookmarkEnd w:id="99"/>
      <w:bookmarkEnd w:id="100"/>
    </w:p>
    <w:p w14:paraId="6EBE0762">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在签订本合同后，因法律、法规发生变化引起该技术服务费变化，以及因物价变动、规范性文件发生变化等其他因素而引起费用变化，合同价格不作调整。</w:t>
      </w:r>
    </w:p>
    <w:p w14:paraId="6D0CA8B2">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101" w:name="_Toc510442606"/>
      <w:bookmarkStart w:id="102" w:name="_Toc393638329"/>
      <w:r>
        <w:rPr>
          <w:rFonts w:hint="eastAsia" w:ascii="宋体" w:hAnsi="宋体" w:cs="宋体"/>
          <w:b/>
          <w:snapToGrid w:val="0"/>
          <w:color w:val="000000"/>
          <w:kern w:val="0"/>
          <w:sz w:val="22"/>
          <w:szCs w:val="22"/>
          <w:highlight w:val="none"/>
        </w:rPr>
        <w:t>十、转包与分包</w:t>
      </w:r>
      <w:bookmarkEnd w:id="101"/>
      <w:bookmarkEnd w:id="102"/>
    </w:p>
    <w:p w14:paraId="2D8F0463">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bookmarkStart w:id="103" w:name="_Toc393638330"/>
      <w:r>
        <w:rPr>
          <w:rFonts w:hint="eastAsia" w:ascii="宋体" w:hAnsi="宋体" w:cs="宋体"/>
          <w:snapToGrid w:val="0"/>
          <w:color w:val="000000"/>
          <w:kern w:val="0"/>
          <w:sz w:val="22"/>
          <w:szCs w:val="22"/>
          <w:highlight w:val="none"/>
        </w:rPr>
        <w:t>本项目不得转包与分包</w:t>
      </w:r>
      <w:r>
        <w:rPr>
          <w:rFonts w:hint="eastAsia" w:ascii="宋体" w:hAnsi="宋体" w:cs="宋体"/>
          <w:color w:val="000000"/>
          <w:sz w:val="22"/>
          <w:szCs w:val="22"/>
          <w:highlight w:val="none"/>
        </w:rPr>
        <w:t>。</w:t>
      </w:r>
      <w:bookmarkEnd w:id="103"/>
    </w:p>
    <w:p w14:paraId="0E1959D2">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104" w:name="_Toc393638331"/>
      <w:bookmarkStart w:id="105" w:name="_Toc510442607"/>
      <w:r>
        <w:rPr>
          <w:rFonts w:hint="eastAsia" w:ascii="宋体" w:hAnsi="宋体" w:cs="宋体"/>
          <w:b/>
          <w:snapToGrid w:val="0"/>
          <w:color w:val="000000"/>
          <w:kern w:val="0"/>
          <w:sz w:val="22"/>
          <w:szCs w:val="22"/>
          <w:highlight w:val="none"/>
        </w:rPr>
        <w:t>十一、不可抗力</w:t>
      </w:r>
      <w:bookmarkEnd w:id="104"/>
      <w:bookmarkEnd w:id="105"/>
    </w:p>
    <w:p w14:paraId="2160AFC8">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1、除非合同另有约定，不可抗力系指</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和</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都不可预见、不可避免、不能克服的超出认识控制和防范能力的事件。这类事件使合同一方的履约已变得不可能。不可抗力可以包括（但不限于）下列情况：</w:t>
      </w:r>
    </w:p>
    <w:p w14:paraId="099862FE">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（1）战争、敌对行动（不论宣战与否）、入侵、外敌行动；</w:t>
      </w:r>
    </w:p>
    <w:p w14:paraId="61F3E37F">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（2）叛乱、革命、暴动或军事政变或篡夺政权，或内战；</w:t>
      </w:r>
    </w:p>
    <w:p w14:paraId="2D919FAA">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（3）暴乱、骚乱或混乱，但对于完全局限在</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雇用人员内部并且是由于从事本工程而发生的事件除外；</w:t>
      </w:r>
    </w:p>
    <w:p w14:paraId="2CCB1693">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（4）离子辐射或放射性污染；</w:t>
      </w:r>
    </w:p>
    <w:p w14:paraId="119EB82C">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（5）以音速或超音速飞行的飞机或其他飞行装置产生的压力波，飞行器坠落；</w:t>
      </w:r>
    </w:p>
    <w:p w14:paraId="4D80D467">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（6）自然灾害（地震、洪水、海啸、飓风、超强台风、雷击）。</w:t>
      </w:r>
    </w:p>
    <w:p w14:paraId="0BDF6ABE">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遇有不可抗力事件的一方因此影响合同执行时，应在不可抗力事件发生后立即以书面形式通知对方，并应在不可抗力事情发生后15天内，提供事件详细及合同不能履行、或者部分不能履行、或者需要延期履行的理由的有效证明文件。按照事件对履行合同的影响程度，由双方协商解决是否解除合同，或者部分免除履行合同的责任，或者延期履行合同。</w:t>
      </w:r>
    </w:p>
    <w:p w14:paraId="3255F2B2">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3、因合同一方拖延履行合同后发生不可抗力的，不能免除拖延履行方的相应责任。</w:t>
      </w:r>
    </w:p>
    <w:p w14:paraId="36A2B577">
      <w:pPr>
        <w:spacing w:line="360" w:lineRule="auto"/>
        <w:ind w:firstLine="442" w:firstLineChars="200"/>
        <w:textAlignment w:val="baseline"/>
        <w:rPr>
          <w:rFonts w:hint="eastAsia" w:ascii="宋体" w:hAnsi="宋体" w:cs="宋体"/>
          <w:b/>
          <w:snapToGrid w:val="0"/>
          <w:color w:val="000000"/>
          <w:kern w:val="0"/>
          <w:sz w:val="22"/>
          <w:szCs w:val="22"/>
          <w:highlight w:val="none"/>
        </w:rPr>
      </w:pPr>
      <w:bookmarkStart w:id="106" w:name="_Toc393638332"/>
      <w:bookmarkStart w:id="107" w:name="_Toc510442608"/>
      <w:r>
        <w:rPr>
          <w:rFonts w:hint="eastAsia" w:ascii="宋体" w:hAnsi="宋体" w:cs="宋体"/>
          <w:b/>
          <w:snapToGrid w:val="0"/>
          <w:color w:val="000000"/>
          <w:kern w:val="0"/>
          <w:sz w:val="22"/>
          <w:szCs w:val="22"/>
          <w:highlight w:val="none"/>
        </w:rPr>
        <w:t>十二、索赔</w:t>
      </w:r>
      <w:bookmarkEnd w:id="106"/>
      <w:bookmarkEnd w:id="107"/>
    </w:p>
    <w:p w14:paraId="296BA8FD">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1、当一方提出索赔时，要有正当索赔理由，且有索赔事件发生时的有效证据。</w:t>
      </w:r>
    </w:p>
    <w:p w14:paraId="2F9214CA">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未能按合同约定履行自己的各项义务，以及应由</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承担责任的其他情况，造成</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的经济损失，</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可按下列程序以书面形式向</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索赔：</w:t>
      </w:r>
    </w:p>
    <w:p w14:paraId="4EF3AE6C">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（1）索赔事件发生后28日内，发出索赔意向通知；</w:t>
      </w:r>
    </w:p>
    <w:p w14:paraId="6C529610">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在收到</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送交的索赔报告和有关资料后，于28日内给予答复，或要求</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进一步补充索赔理由和证据；</w:t>
      </w:r>
    </w:p>
    <w:p w14:paraId="1593FB6F">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在收到</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送交的索赔报告和有关资料后28内给予答复或未对</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作进一步要求，视为该项索赔已经认可；</w:t>
      </w:r>
    </w:p>
    <w:p w14:paraId="2BAAE6F7">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（4）当该索赔事件持续进行时，</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应当阶段性向</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发出索赔意向，在索赔事件终了后28日内，向</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送交索赔的有关资料和最终索赔报告。索赔的程序与（2）、（3）规定相同。</w:t>
      </w:r>
    </w:p>
    <w:p w14:paraId="297BDDF9">
      <w:pPr>
        <w:tabs>
          <w:tab w:val="left" w:pos="360"/>
        </w:tabs>
        <w:autoSpaceDE w:val="0"/>
        <w:autoSpaceDN w:val="0"/>
        <w:spacing w:line="360" w:lineRule="auto"/>
        <w:ind w:firstLine="440" w:firstLineChars="200"/>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未能按合同约定履行自己的各项义务或发生错误，造成工期延误和（或）对</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造成的其它经济损失，</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可按本条第2款确定的时限和方式向</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提出索赔。</w:t>
      </w:r>
    </w:p>
    <w:p w14:paraId="2D073967">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108" w:name="_Toc393638333"/>
      <w:bookmarkStart w:id="109" w:name="_Toc510442609"/>
      <w:r>
        <w:rPr>
          <w:rFonts w:hint="eastAsia" w:ascii="宋体" w:hAnsi="宋体" w:cs="宋体"/>
          <w:b/>
          <w:snapToGrid w:val="0"/>
          <w:color w:val="000000"/>
          <w:kern w:val="0"/>
          <w:sz w:val="22"/>
          <w:szCs w:val="22"/>
          <w:highlight w:val="none"/>
        </w:rPr>
        <w:t>十三、合同生效、变更、中止、解除和终止</w:t>
      </w:r>
      <w:bookmarkEnd w:id="108"/>
      <w:bookmarkEnd w:id="109"/>
    </w:p>
    <w:p w14:paraId="796CF81A">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1、对本合同条款的任何变更、修改或增减，须经双方协商同意后由法定代表人或其委托代理人签署书面补充文件，作为本合同的组成部分。</w:t>
      </w:r>
    </w:p>
    <w:p w14:paraId="15294EB3">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如果要求</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全部或部分中止执行服务或终止合同，则应当在14日前通知</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应当立即安排停止执行技术服务工作。</w:t>
      </w:r>
    </w:p>
    <w:p w14:paraId="542FE0CE">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3、如</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发生违约行为，</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除偿付</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违约金和损失赔偿费外，</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有权解除本合同。合同解除后，</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不承担责任。</w:t>
      </w:r>
    </w:p>
    <w:p w14:paraId="5A6B3322">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4、双方因不可抗力致使合同无法履行，可以解除合同。</w:t>
      </w:r>
    </w:p>
    <w:p w14:paraId="00BA763E">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5、一方根据上述条款约定要求解除合同的，应以书面形式向对方发出解除合同的通知，并在发出通知前14日告知对方，通知达到对方时合同解除。对解除合同有争议的，按本合同第16款“2、争议的解决”关于争议的约定处理。</w:t>
      </w:r>
    </w:p>
    <w:p w14:paraId="27B9F13D">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6、合同解除后，不影响双方在合同中约定的结算、清理和损害赔偿条款及争议的效力。</w:t>
      </w:r>
    </w:p>
    <w:p w14:paraId="6C775985">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110" w:name="_Toc393638335"/>
      <w:bookmarkStart w:id="111" w:name="_Toc510442610"/>
      <w:r>
        <w:rPr>
          <w:rFonts w:hint="eastAsia" w:ascii="宋体" w:hAnsi="宋体" w:cs="宋体"/>
          <w:b/>
          <w:snapToGrid w:val="0"/>
          <w:color w:val="000000"/>
          <w:kern w:val="0"/>
          <w:sz w:val="22"/>
          <w:szCs w:val="22"/>
          <w:highlight w:val="none"/>
        </w:rPr>
        <w:t>十四、廉洁条款</w:t>
      </w:r>
      <w:bookmarkEnd w:id="110"/>
      <w:bookmarkEnd w:id="111"/>
    </w:p>
    <w:p w14:paraId="765B6122">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和</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人员应当自觉遵守国家、江苏省关于建设工程廉政建设的有关规定。</w:t>
      </w:r>
    </w:p>
    <w:p w14:paraId="5E8E8543">
      <w:pPr>
        <w:spacing w:line="360" w:lineRule="auto"/>
        <w:ind w:firstLine="442" w:firstLineChars="200"/>
        <w:jc w:val="left"/>
        <w:textAlignment w:val="baseline"/>
        <w:rPr>
          <w:rFonts w:hint="eastAsia" w:ascii="宋体" w:hAnsi="宋体" w:cs="宋体"/>
          <w:b/>
          <w:snapToGrid w:val="0"/>
          <w:color w:val="000000"/>
          <w:kern w:val="0"/>
          <w:sz w:val="22"/>
          <w:szCs w:val="22"/>
          <w:highlight w:val="none"/>
        </w:rPr>
      </w:pPr>
      <w:bookmarkStart w:id="112" w:name="_Toc143763572"/>
      <w:bookmarkStart w:id="113" w:name="_Toc393638336"/>
      <w:bookmarkStart w:id="114" w:name="_Toc510442611"/>
      <w:r>
        <w:rPr>
          <w:rFonts w:hint="eastAsia" w:ascii="宋体" w:hAnsi="宋体" w:cs="宋体"/>
          <w:b/>
          <w:snapToGrid w:val="0"/>
          <w:color w:val="000000"/>
          <w:kern w:val="0"/>
          <w:sz w:val="22"/>
          <w:szCs w:val="22"/>
          <w:highlight w:val="none"/>
        </w:rPr>
        <w:t>十五、其它</w:t>
      </w:r>
      <w:bookmarkEnd w:id="112"/>
      <w:bookmarkEnd w:id="113"/>
      <w:bookmarkEnd w:id="114"/>
    </w:p>
    <w:p w14:paraId="5FC5A1B7">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bookmarkStart w:id="115" w:name="_Toc393638337"/>
      <w:r>
        <w:rPr>
          <w:rFonts w:hint="eastAsia" w:ascii="宋体" w:hAnsi="宋体" w:cs="宋体"/>
          <w:color w:val="000000"/>
          <w:sz w:val="22"/>
          <w:szCs w:val="22"/>
          <w:highlight w:val="none"/>
        </w:rPr>
        <w:t>1、法律和法规</w:t>
      </w:r>
      <w:bookmarkEnd w:id="115"/>
    </w:p>
    <w:p w14:paraId="29CCACB3">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本合同必须服从国家的现行法律和法规，对合同的解释应以国家的现行法律和法规为准。</w:t>
      </w:r>
    </w:p>
    <w:p w14:paraId="4535CF8C">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双方根据有关法律、行政法规规定，结合工程实际，经协商一致后，可对本服务合同条款进行补充或修改，另行签订补充协议，作为本合同的组成部分。</w:t>
      </w:r>
    </w:p>
    <w:p w14:paraId="09519F96">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2、争议的解决</w:t>
      </w:r>
    </w:p>
    <w:p w14:paraId="67686EB7">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争议的解决方式：双方在此约定：对合同执行过程中的争端最终由委托人（</w:t>
      </w:r>
      <w:r>
        <w:rPr>
          <w:rFonts w:hint="eastAsia" w:ascii="宋体" w:hAnsi="宋体" w:cs="宋体"/>
          <w:color w:val="000000"/>
          <w:sz w:val="22"/>
          <w:szCs w:val="22"/>
          <w:highlight w:val="none"/>
          <w:lang w:eastAsia="zh-CN"/>
        </w:rPr>
        <w:t>南通市江海河联运项目建设指挥部</w:t>
      </w:r>
      <w:r>
        <w:rPr>
          <w:rFonts w:hint="eastAsia" w:ascii="宋体" w:hAnsi="宋体" w:cs="宋体"/>
          <w:color w:val="000000"/>
          <w:sz w:val="22"/>
          <w:szCs w:val="22"/>
          <w:highlight w:val="none"/>
        </w:rPr>
        <w:t>）所在地的仲裁委员会仲裁解决。</w:t>
      </w:r>
    </w:p>
    <w:p w14:paraId="4A852855">
      <w:pPr>
        <w:keepNext w:val="0"/>
        <w:keepLines w:val="0"/>
        <w:tabs>
          <w:tab w:val="left" w:pos="360"/>
        </w:tabs>
        <w:autoSpaceDE w:val="0"/>
        <w:autoSpaceDN w:val="0"/>
        <w:adjustRightInd/>
        <w:snapToGrid/>
        <w:spacing w:line="360" w:lineRule="auto"/>
        <w:ind w:firstLine="440" w:firstLineChars="200"/>
        <w:jc w:val="left"/>
        <w:textAlignment w:val="bottom"/>
        <w:outlineLvl w:val="9"/>
        <w:rPr>
          <w:rFonts w:hint="eastAsia" w:ascii="宋体" w:hAnsi="宋体" w:cs="宋体"/>
          <w:b w:val="0"/>
          <w:color w:val="000000"/>
          <w:kern w:val="2"/>
          <w:sz w:val="22"/>
          <w:szCs w:val="22"/>
          <w:highlight w:val="none"/>
        </w:rPr>
      </w:pPr>
      <w:r>
        <w:rPr>
          <w:rFonts w:hint="eastAsia" w:ascii="宋体" w:hAnsi="宋体" w:cs="宋体"/>
          <w:color w:val="000000"/>
          <w:sz w:val="22"/>
          <w:szCs w:val="22"/>
          <w:highlight w:val="none"/>
        </w:rPr>
        <w:t>3.</w:t>
      </w:r>
      <w:r>
        <w:rPr>
          <w:rFonts w:hint="eastAsia" w:ascii="宋体" w:hAnsi="宋体" w:cs="宋体"/>
          <w:b w:val="0"/>
          <w:color w:val="000000"/>
          <w:kern w:val="2"/>
          <w:sz w:val="22"/>
          <w:szCs w:val="22"/>
          <w:highlight w:val="none"/>
        </w:rPr>
        <w:t>因</w:t>
      </w:r>
      <w:r>
        <w:rPr>
          <w:rFonts w:hint="eastAsia" w:ascii="宋体" w:hAnsi="宋体" w:cs="宋体"/>
          <w:color w:val="000000"/>
          <w:sz w:val="22"/>
          <w:szCs w:val="22"/>
          <w:highlight w:val="none"/>
          <w:lang w:eastAsia="zh-CN"/>
        </w:rPr>
        <w:t>受托人</w:t>
      </w:r>
      <w:r>
        <w:rPr>
          <w:rFonts w:hint="eastAsia" w:ascii="宋体" w:hAnsi="宋体" w:cs="宋体"/>
          <w:b w:val="0"/>
          <w:color w:val="000000"/>
          <w:kern w:val="2"/>
          <w:sz w:val="22"/>
          <w:szCs w:val="22"/>
          <w:highlight w:val="none"/>
        </w:rPr>
        <w:t>原因引起</w:t>
      </w:r>
      <w:r>
        <w:rPr>
          <w:rFonts w:hint="eastAsia" w:ascii="宋体" w:hAnsi="宋体" w:cs="宋体"/>
          <w:color w:val="000000"/>
          <w:sz w:val="22"/>
          <w:szCs w:val="22"/>
          <w:highlight w:val="none"/>
          <w:lang w:eastAsia="zh-CN"/>
        </w:rPr>
        <w:t>委托人</w:t>
      </w:r>
      <w:r>
        <w:rPr>
          <w:rFonts w:hint="eastAsia" w:ascii="宋体" w:hAnsi="宋体" w:cs="宋体"/>
          <w:b w:val="0"/>
          <w:color w:val="000000"/>
          <w:kern w:val="2"/>
          <w:sz w:val="22"/>
          <w:szCs w:val="22"/>
          <w:highlight w:val="none"/>
          <w:lang w:val="en-US" w:eastAsia="zh-CN"/>
        </w:rPr>
        <w:t>仲裁</w:t>
      </w:r>
      <w:r>
        <w:rPr>
          <w:rFonts w:hint="eastAsia" w:ascii="宋体" w:hAnsi="宋体" w:cs="宋体"/>
          <w:b w:val="0"/>
          <w:color w:val="000000"/>
          <w:kern w:val="2"/>
          <w:sz w:val="22"/>
          <w:szCs w:val="22"/>
          <w:highlight w:val="none"/>
        </w:rPr>
        <w:t>（包括但不限于诉讼、仲裁等），</w:t>
      </w:r>
      <w:r>
        <w:rPr>
          <w:rFonts w:hint="eastAsia" w:ascii="宋体" w:hAnsi="宋体" w:cs="宋体"/>
          <w:color w:val="000000"/>
          <w:sz w:val="22"/>
          <w:szCs w:val="22"/>
          <w:highlight w:val="none"/>
          <w:lang w:eastAsia="zh-CN"/>
        </w:rPr>
        <w:t>委托人</w:t>
      </w:r>
      <w:r>
        <w:rPr>
          <w:rFonts w:hint="eastAsia" w:ascii="宋体" w:hAnsi="宋体" w:cs="宋体"/>
          <w:b w:val="0"/>
          <w:color w:val="000000"/>
          <w:kern w:val="2"/>
          <w:sz w:val="22"/>
          <w:szCs w:val="22"/>
          <w:highlight w:val="none"/>
        </w:rPr>
        <w:t>实现债权的费用由</w:t>
      </w:r>
      <w:r>
        <w:rPr>
          <w:rFonts w:hint="eastAsia" w:ascii="宋体" w:hAnsi="宋体" w:cs="宋体"/>
          <w:color w:val="000000"/>
          <w:sz w:val="22"/>
          <w:szCs w:val="22"/>
          <w:highlight w:val="none"/>
          <w:lang w:eastAsia="zh-CN"/>
        </w:rPr>
        <w:t>受托人</w:t>
      </w:r>
      <w:r>
        <w:rPr>
          <w:rFonts w:hint="eastAsia" w:ascii="宋体" w:hAnsi="宋体" w:cs="宋体"/>
          <w:b w:val="0"/>
          <w:color w:val="000000"/>
          <w:kern w:val="2"/>
          <w:sz w:val="22"/>
          <w:szCs w:val="22"/>
          <w:highlight w:val="none"/>
        </w:rPr>
        <w:t>承担，实现债权的费用包括但不限于诉讼费、保全费、律师费、执行费及差旅费、公证费等费用。</w:t>
      </w:r>
    </w:p>
    <w:p w14:paraId="30FEF20C">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4、利益的冲突</w:t>
      </w:r>
    </w:p>
    <w:p w14:paraId="56C0885A">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除合同另有规定外，</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及其雇员不应接受本合同规定以外的与本工程有关的利益和报酬。</w:t>
      </w:r>
    </w:p>
    <w:p w14:paraId="6F9A0D6D">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5、版权</w:t>
      </w:r>
    </w:p>
    <w:p w14:paraId="5C9CCAB4">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rPr>
        <w:t>对</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拥有版权并已用于本项目服务中的所有文件，</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有权在合同项目中使用或复制。但未经</w:t>
      </w: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同意，</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不得将上述文件直接或间接用于其他项目、工程或服务之中。</w:t>
      </w:r>
    </w:p>
    <w:p w14:paraId="7EAF4665">
      <w:pPr>
        <w:tabs>
          <w:tab w:val="left" w:pos="360"/>
        </w:tabs>
        <w:autoSpaceDE w:val="0"/>
        <w:autoSpaceDN w:val="0"/>
        <w:spacing w:line="360" w:lineRule="auto"/>
        <w:ind w:firstLine="440" w:firstLineChars="200"/>
        <w:jc w:val="left"/>
        <w:textAlignment w:val="bottom"/>
        <w:rPr>
          <w:rFonts w:hint="eastAsia" w:ascii="宋体" w:hAnsi="宋体" w:cs="宋体"/>
          <w:color w:val="000000"/>
          <w:sz w:val="22"/>
          <w:szCs w:val="22"/>
          <w:highlight w:val="none"/>
        </w:rPr>
      </w:pP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应对由于自己或其招标代理的过错包括侵犯版权或发明权而给</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或任何第三方造成的损失负赔偿责任。</w:t>
      </w:r>
    </w:p>
    <w:p w14:paraId="0B392A38">
      <w:pPr>
        <w:autoSpaceDN w:val="0"/>
        <w:spacing w:line="360" w:lineRule="auto"/>
        <w:ind w:firstLine="440" w:firstLineChars="200"/>
        <w:rPr>
          <w:rFonts w:hint="eastAsia" w:ascii="宋体" w:hAnsi="宋体" w:cs="宋体"/>
          <w:color w:val="000000"/>
          <w:sz w:val="22"/>
          <w:szCs w:val="22"/>
          <w:highlight w:val="none"/>
        </w:rPr>
      </w:pPr>
      <w:r>
        <w:rPr>
          <w:rFonts w:hint="eastAsia" w:ascii="宋体" w:hAnsi="宋体" w:cs="宋体"/>
          <w:color w:val="000000"/>
          <w:sz w:val="22"/>
          <w:szCs w:val="22"/>
          <w:highlight w:val="none"/>
          <w:lang w:eastAsia="zh-CN"/>
        </w:rPr>
        <w:t>受托人</w:t>
      </w:r>
      <w:r>
        <w:rPr>
          <w:rFonts w:hint="eastAsia" w:ascii="宋体" w:hAnsi="宋体" w:cs="宋体"/>
          <w:color w:val="000000"/>
          <w:sz w:val="22"/>
          <w:szCs w:val="22"/>
          <w:highlight w:val="none"/>
        </w:rPr>
        <w:t>要出版与本项目相关的一切资料，必须事先征得</w:t>
      </w:r>
      <w:r>
        <w:rPr>
          <w:rFonts w:hint="eastAsia" w:ascii="宋体" w:hAnsi="宋体" w:cs="宋体"/>
          <w:color w:val="000000"/>
          <w:sz w:val="22"/>
          <w:szCs w:val="22"/>
          <w:highlight w:val="none"/>
          <w:lang w:eastAsia="zh-CN"/>
        </w:rPr>
        <w:t>委托人</w:t>
      </w:r>
      <w:r>
        <w:rPr>
          <w:rFonts w:hint="eastAsia" w:ascii="宋体" w:hAnsi="宋体" w:cs="宋体"/>
          <w:color w:val="000000"/>
          <w:sz w:val="22"/>
          <w:szCs w:val="22"/>
          <w:highlight w:val="none"/>
        </w:rPr>
        <w:t>的书面同意。</w:t>
      </w:r>
    </w:p>
    <w:p w14:paraId="05C45B78">
      <w:pPr>
        <w:keepNext w:val="0"/>
        <w:keepLines w:val="0"/>
        <w:pageBreakBefore w:val="0"/>
        <w:kinsoku/>
        <w:wordWrap/>
        <w:overflowPunct/>
        <w:topLinePunct w:val="0"/>
        <w:autoSpaceDE w:val="0"/>
        <w:autoSpaceDN w:val="0"/>
        <w:bidi w:val="0"/>
        <w:adjustRightInd/>
        <w:snapToGrid/>
        <w:spacing w:line="360" w:lineRule="auto"/>
        <w:ind w:left="0" w:leftChars="0"/>
        <w:textAlignment w:val="bottom"/>
        <w:rPr>
          <w:rFonts w:hint="eastAsia" w:ascii="宋体" w:hAnsi="宋体" w:eastAsia="宋体" w:cs="宋体"/>
          <w:color w:val="auto"/>
          <w:sz w:val="21"/>
          <w:szCs w:val="21"/>
          <w:highlight w:val="none"/>
        </w:rPr>
      </w:pPr>
    </w:p>
    <w:p w14:paraId="194E0038">
      <w:pPr>
        <w:adjustRightInd w:val="0"/>
        <w:snapToGrid w:val="0"/>
        <w:spacing w:line="360" w:lineRule="auto"/>
        <w:ind w:firstLine="422" w:firstLineChars="200"/>
        <w:jc w:val="center"/>
        <w:textAlignment w:val="baseline"/>
        <w:rPr>
          <w:rFonts w:hint="eastAsia" w:ascii="宋体" w:hAnsi="宋体" w:cs="宋体"/>
          <w:bCs/>
          <w:color w:val="000000"/>
          <w:kern w:val="0"/>
          <w:sz w:val="21"/>
          <w:szCs w:val="21"/>
          <w:highlight w:val="none"/>
        </w:rPr>
      </w:pPr>
      <w:r>
        <w:rPr>
          <w:rFonts w:hint="eastAsia" w:ascii="宋体" w:hAnsi="宋体" w:eastAsia="宋体" w:cs="宋体"/>
          <w:b/>
          <w:bCs/>
          <w:color w:val="auto"/>
          <w:sz w:val="21"/>
          <w:szCs w:val="21"/>
          <w:highlight w:val="none"/>
        </w:rPr>
        <w:br w:type="page"/>
      </w:r>
      <w:bookmarkStart w:id="116" w:name="_Toc393638338"/>
      <w:bookmarkStart w:id="117" w:name="_Toc510442612"/>
      <w:bookmarkStart w:id="118" w:name="_Toc11237"/>
      <w:bookmarkStart w:id="119" w:name="_Toc6483"/>
      <w:bookmarkStart w:id="120" w:name="_Toc143763573"/>
      <w:bookmarkStart w:id="121" w:name="_Toc62140754"/>
      <w:r>
        <w:rPr>
          <w:rFonts w:hint="eastAsia" w:ascii="宋体" w:hAnsi="宋体" w:eastAsia="宋体" w:cs="宋体"/>
          <w:b/>
          <w:bCs/>
          <w:color w:val="auto"/>
          <w:sz w:val="22"/>
          <w:szCs w:val="22"/>
          <w:highlight w:val="none"/>
        </w:rPr>
        <w:t>A、合同协议书格式（投标时不须填写）</w:t>
      </w:r>
      <w:bookmarkEnd w:id="116"/>
      <w:bookmarkEnd w:id="117"/>
      <w:bookmarkEnd w:id="118"/>
      <w:bookmarkEnd w:id="119"/>
      <w:bookmarkEnd w:id="120"/>
      <w:bookmarkEnd w:id="121"/>
      <w:bookmarkStart w:id="122" w:name="_Toc143763574"/>
      <w:bookmarkStart w:id="123" w:name="_Toc393638339"/>
      <w:bookmarkStart w:id="124" w:name="_Toc13038"/>
      <w:bookmarkStart w:id="125" w:name="_Toc13450"/>
    </w:p>
    <w:p w14:paraId="37ED1D20">
      <w:pPr>
        <w:widowControl w:val="0"/>
        <w:spacing w:after="120" w:line="360" w:lineRule="auto"/>
        <w:ind w:left="0" w:leftChars="0" w:firstLine="0" w:firstLineChars="0"/>
        <w:jc w:val="left"/>
        <w:rPr>
          <w:rFonts w:hint="eastAsia"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lang w:val="en-US" w:eastAsia="zh-CN" w:bidi="ar-SA"/>
        </w:rPr>
        <w:t>甲方(</w:t>
      </w:r>
      <w:r>
        <w:rPr>
          <w:rFonts w:hint="eastAsia" w:ascii="宋体" w:hAnsi="宋体" w:cs="宋体"/>
          <w:kern w:val="0"/>
          <w:sz w:val="24"/>
          <w:szCs w:val="24"/>
          <w:highlight w:val="none"/>
          <w:lang w:val="en-US" w:eastAsia="zh-CN" w:bidi="ar-SA"/>
        </w:rPr>
        <w:t>委托人</w:t>
      </w:r>
      <w:r>
        <w:rPr>
          <w:rFonts w:hint="eastAsia" w:ascii="宋体" w:hAnsi="宋体" w:eastAsia="宋体" w:cs="宋体"/>
          <w:kern w:val="0"/>
          <w:sz w:val="24"/>
          <w:szCs w:val="24"/>
          <w:highlight w:val="none"/>
          <w:lang w:val="en-US" w:eastAsia="zh-CN" w:bidi="ar-SA"/>
        </w:rPr>
        <w:t>)：</w:t>
      </w:r>
      <w:r>
        <w:rPr>
          <w:rFonts w:hint="eastAsia" w:ascii="宋体" w:hAnsi="宋体" w:eastAsia="宋体" w:cs="宋体"/>
          <w:kern w:val="0"/>
          <w:sz w:val="24"/>
          <w:szCs w:val="24"/>
          <w:highlight w:val="none"/>
          <w:u w:val="single"/>
          <w:lang w:val="en-US" w:eastAsia="zh-CN" w:bidi="ar-SA"/>
        </w:rPr>
        <w:t>南通市江海河联运项目建设指挥部</w:t>
      </w:r>
    </w:p>
    <w:p w14:paraId="7D795F08">
      <w:pPr>
        <w:widowControl w:val="0"/>
        <w:spacing w:after="120" w:line="360" w:lineRule="auto"/>
        <w:ind w:left="0" w:leftChars="0" w:firstLine="0" w:firstLineChars="0"/>
        <w:jc w:val="left"/>
        <w:rPr>
          <w:rFonts w:hint="eastAsia"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lang w:val="en-US" w:eastAsia="zh-CN" w:bidi="ar-SA"/>
        </w:rPr>
        <w:t>乙方(</w:t>
      </w:r>
      <w:r>
        <w:rPr>
          <w:rFonts w:hint="eastAsia" w:ascii="宋体" w:hAnsi="宋体" w:cs="宋体"/>
          <w:kern w:val="0"/>
          <w:sz w:val="24"/>
          <w:szCs w:val="24"/>
          <w:highlight w:val="none"/>
          <w:lang w:val="en-US" w:eastAsia="zh-CN" w:bidi="ar-SA"/>
        </w:rPr>
        <w:t>受托人</w:t>
      </w:r>
      <w:r>
        <w:rPr>
          <w:rFonts w:hint="eastAsia" w:ascii="宋体" w:hAnsi="宋体" w:eastAsia="宋体" w:cs="宋体"/>
          <w:kern w:val="0"/>
          <w:sz w:val="24"/>
          <w:szCs w:val="24"/>
          <w:highlight w:val="none"/>
          <w:lang w:val="en-US" w:eastAsia="zh-CN" w:bidi="ar-SA"/>
        </w:rPr>
        <w:t>)：</w:t>
      </w:r>
      <w:r>
        <w:rPr>
          <w:rFonts w:hint="eastAsia" w:ascii="宋体" w:hAnsi="宋体" w:eastAsia="宋体" w:cs="宋体"/>
          <w:kern w:val="0"/>
          <w:sz w:val="24"/>
          <w:szCs w:val="24"/>
          <w:highlight w:val="none"/>
          <w:u w:val="single"/>
          <w:lang w:val="en-US" w:eastAsia="zh-CN" w:bidi="ar-SA"/>
        </w:rPr>
        <w:t xml:space="preserve">                     </w:t>
      </w:r>
    </w:p>
    <w:p w14:paraId="0F1E3DFE">
      <w:pPr>
        <w:widowControl w:val="0"/>
        <w:spacing w:after="120" w:line="360" w:lineRule="auto"/>
        <w:ind w:left="0" w:leftChars="0"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根据《中华人民共和国民法典》和</w:t>
      </w:r>
      <w:r>
        <w:rPr>
          <w:rFonts w:hint="eastAsia" w:ascii="宋体" w:hAnsi="宋体" w:eastAsia="宋体" w:cs="宋体"/>
          <w:kern w:val="0"/>
          <w:sz w:val="24"/>
          <w:szCs w:val="24"/>
          <w:highlight w:val="none"/>
          <w:u w:val="single"/>
          <w:lang w:val="en-US" w:eastAsia="zh-CN" w:bidi="ar-SA"/>
        </w:rPr>
        <w:t>（项目名称）（标段名称）</w:t>
      </w:r>
      <w:r>
        <w:rPr>
          <w:rFonts w:hint="eastAsia" w:ascii="宋体" w:hAnsi="宋体" w:eastAsia="宋体" w:cs="宋体"/>
          <w:kern w:val="0"/>
          <w:sz w:val="24"/>
          <w:szCs w:val="24"/>
          <w:highlight w:val="none"/>
          <w:lang w:val="en-US" w:eastAsia="zh-CN" w:bidi="ar-SA"/>
        </w:rPr>
        <w:t>结果及有关法律规定，遵循平等、自愿、公平和诚实信用的原则，双方就</w:t>
      </w:r>
      <w:r>
        <w:rPr>
          <w:rFonts w:hint="eastAsia" w:ascii="宋体" w:hAnsi="宋体" w:eastAsia="宋体" w:cs="宋体"/>
          <w:kern w:val="0"/>
          <w:sz w:val="24"/>
          <w:szCs w:val="24"/>
          <w:highlight w:val="none"/>
          <w:u w:val="single"/>
          <w:lang w:val="en-US" w:eastAsia="zh-CN" w:bidi="ar-SA"/>
        </w:rPr>
        <w:t>（项目名称）（标段名称）</w:t>
      </w:r>
      <w:r>
        <w:rPr>
          <w:rFonts w:hint="eastAsia" w:ascii="宋体" w:hAnsi="宋体" w:eastAsia="宋体" w:cs="宋体"/>
          <w:kern w:val="0"/>
          <w:sz w:val="24"/>
          <w:szCs w:val="24"/>
          <w:highlight w:val="none"/>
          <w:lang w:val="en-US" w:eastAsia="zh-CN" w:bidi="ar-SA"/>
        </w:rPr>
        <w:t>及有关事项协商一致，共同达成如下协议：</w:t>
      </w:r>
    </w:p>
    <w:p w14:paraId="59C410D9">
      <w:pPr>
        <w:widowControl w:val="0"/>
        <w:spacing w:after="120" w:line="360" w:lineRule="auto"/>
        <w:ind w:left="0" w:leftChars="0" w:firstLine="0" w:firstLineChars="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一、项目概况</w:t>
      </w:r>
    </w:p>
    <w:p w14:paraId="67E5CF28">
      <w:pPr>
        <w:widowControl w:val="0"/>
        <w:spacing w:after="120" w:line="360" w:lineRule="auto"/>
        <w:ind w:left="0" w:leftChars="0"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1、项目名称：</w:t>
      </w:r>
      <w:r>
        <w:rPr>
          <w:rFonts w:hint="eastAsia" w:ascii="宋体" w:hAnsi="宋体" w:cs="宋体"/>
          <w:kern w:val="0"/>
          <w:sz w:val="24"/>
          <w:szCs w:val="24"/>
          <w:highlight w:val="none"/>
          <w:u w:val="single"/>
          <w:lang w:val="en-US" w:eastAsia="zh-CN" w:bidi="ar-SA"/>
        </w:rPr>
        <w:t>通海港区-通州湾港区疏港航道双桥枢纽工程、新江海河船闸工程、新江海河段航道整治工程船艇设计服务项目</w:t>
      </w:r>
    </w:p>
    <w:p w14:paraId="42B1C316">
      <w:pPr>
        <w:spacing w:line="360" w:lineRule="auto"/>
        <w:ind w:firstLine="480" w:firstLineChars="200"/>
        <w:rPr>
          <w:rFonts w:hint="eastAsia" w:ascii="宋体" w:hAnsi="宋体" w:eastAsia="宋体" w:cs="宋体"/>
          <w:kern w:val="0"/>
          <w:sz w:val="24"/>
          <w:highlight w:val="none"/>
        </w:rPr>
      </w:pPr>
      <w:r>
        <w:rPr>
          <w:rFonts w:hint="eastAsia" w:ascii="宋体" w:hAnsi="Times New Roman" w:eastAsia="宋体" w:cs="宋体"/>
          <w:sz w:val="24"/>
          <w:highlight w:val="none"/>
        </w:rPr>
        <w:t>2、</w:t>
      </w:r>
      <w:r>
        <w:rPr>
          <w:rFonts w:hint="eastAsia" w:ascii="宋体" w:hAnsi="宋体" w:eastAsia="宋体" w:cs="宋体"/>
          <w:kern w:val="0"/>
          <w:sz w:val="24"/>
          <w:highlight w:val="none"/>
        </w:rPr>
        <w:t>本项目共设1个标段，即THTZ-CTSJ1标段，其中通海港区-通州湾港区疏港航道双桥枢纽工程包括15米排档船2艘，船艇投资额约420万元；通海港区-通州湾港区疏港航道整治工程新江海河船闸工程包括15米排档船1艘，船艇投资额约210万元；通海港区-通州湾港区疏港航道新江海河段航道整治工程包括17米工作保障船1艘，船艇投资额约260万元。</w:t>
      </w:r>
    </w:p>
    <w:p w14:paraId="68E6C12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工作内容为（包括但不限于）：船艇建造项目方案设计（含规格书、船舶造价概算编制）、技术规格书编制、技术设计（详细设计）、船舶设计图纸及送审、船舶建造主要设备招标技术文件编制、技术咨询服务、配合完成生产设计、配合建造和技术支持，完成交船完工文件的编制及送审，配合竣工验收和后评价验收等全过程服务。上述有关图纸设计成果文件须通过江苏省交通运输主管部门的施工图审查并取得批文，确定建造单位后，完成船检部门审查并取得批文。</w:t>
      </w:r>
    </w:p>
    <w:p w14:paraId="7650640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5、服务期：合同签订后</w:t>
      </w: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rPr>
        <w:t>日内完成设计方案（含规格书、船舶造价概算编制)并具备召开方案审查会的条件；合同签订后30天内施工图设计具备江苏省交通运输主管部门的审查条件；确定建造单位后，15天内完成船检部门审查并取得批文。（实际工作期可能会发生相应调整，应服从发包人的统一工作安排）。</w:t>
      </w:r>
    </w:p>
    <w:p w14:paraId="04E01AE8">
      <w:pPr>
        <w:widowControl w:val="0"/>
        <w:spacing w:after="120" w:line="360" w:lineRule="auto"/>
        <w:ind w:left="0" w:leftChars="0" w:firstLine="0" w:firstLineChars="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二、合同价款及支付</w:t>
      </w:r>
    </w:p>
    <w:p w14:paraId="7DE9954A">
      <w:pPr>
        <w:widowControl w:val="0"/>
        <w:spacing w:after="120" w:line="360" w:lineRule="auto"/>
        <w:ind w:left="0" w:leftChars="0"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1.合同价格形式：</w:t>
      </w:r>
      <w:r>
        <w:rPr>
          <w:rFonts w:hint="eastAsia" w:ascii="宋体" w:hAnsi="宋体" w:eastAsia="宋体" w:cs="宋体"/>
          <w:kern w:val="0"/>
          <w:sz w:val="24"/>
          <w:szCs w:val="24"/>
          <w:highlight w:val="none"/>
          <w:u w:val="single"/>
          <w:lang w:val="en-US" w:eastAsia="zh-CN" w:bidi="ar-SA"/>
        </w:rPr>
        <w:t>固定总价合同</w:t>
      </w:r>
      <w:r>
        <w:rPr>
          <w:rFonts w:hint="eastAsia" w:ascii="宋体" w:hAnsi="宋体" w:eastAsia="宋体" w:cs="宋体"/>
          <w:kern w:val="0"/>
          <w:sz w:val="24"/>
          <w:szCs w:val="24"/>
          <w:highlight w:val="none"/>
          <w:lang w:val="en-US" w:eastAsia="zh-CN" w:bidi="ar-SA"/>
        </w:rPr>
        <w:t>。</w:t>
      </w:r>
    </w:p>
    <w:p w14:paraId="2CE6275D">
      <w:pPr>
        <w:widowControl w:val="0"/>
        <w:spacing w:after="120" w:line="360" w:lineRule="auto"/>
        <w:ind w:left="0" w:leftChars="0" w:firstLine="480" w:firstLineChars="200"/>
        <w:jc w:val="left"/>
        <w:rPr>
          <w:rFonts w:hint="eastAsia" w:ascii="宋体" w:hAnsi="宋体" w:eastAsia="宋体" w:cs="宋体"/>
          <w:strike w:val="0"/>
          <w:dstrike w:val="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2.合同金额（含税）：人民币(大写) </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 xml:space="preserve"> 元(¥</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元)，税率  %，开具增值税普通发票。</w:t>
      </w:r>
    </w:p>
    <w:p w14:paraId="1C8D3C86">
      <w:pPr>
        <w:widowControl w:val="0"/>
        <w:spacing w:after="120" w:line="360" w:lineRule="auto"/>
        <w:ind w:left="0" w:leftChars="0" w:firstLine="480" w:firstLineChars="200"/>
        <w:jc w:val="left"/>
        <w:rPr>
          <w:rFonts w:hint="eastAsia" w:ascii="宋体" w:hAnsi="宋体" w:eastAsia="宋体" w:cs="宋体"/>
          <w:strike w:val="0"/>
          <w:dstrike w:val="0"/>
          <w:kern w:val="0"/>
          <w:sz w:val="24"/>
          <w:szCs w:val="24"/>
          <w:highlight w:val="none"/>
          <w:lang w:val="en-US" w:eastAsia="zh-CN" w:bidi="ar-SA"/>
        </w:rPr>
      </w:pPr>
      <w:r>
        <w:rPr>
          <w:rFonts w:hint="eastAsia" w:ascii="宋体" w:hAnsi="宋体" w:eastAsia="宋体" w:cs="宋体"/>
          <w:strike w:val="0"/>
          <w:dstrike w:val="0"/>
          <w:kern w:val="0"/>
          <w:sz w:val="24"/>
          <w:szCs w:val="24"/>
          <w:highlight w:val="none"/>
          <w:lang w:val="en-US" w:eastAsia="zh-CN" w:bidi="ar-SA"/>
        </w:rPr>
        <w:t>3.关于合同价款支付的约定：</w:t>
      </w:r>
      <w:r>
        <w:rPr>
          <w:rFonts w:hint="eastAsia" w:ascii="宋体" w:hAnsi="宋体" w:cs="宋体"/>
          <w:b/>
          <w:bCs/>
          <w:strike w:val="0"/>
          <w:dstrike w:val="0"/>
          <w:kern w:val="0"/>
          <w:sz w:val="24"/>
          <w:szCs w:val="24"/>
          <w:highlight w:val="none"/>
          <w:u w:val="single"/>
          <w:lang w:val="en-US" w:eastAsia="zh-CN" w:bidi="ar-SA"/>
        </w:rPr>
        <w:t>获得江苏省交通运输主管部门的施工图批文后支付对应项目船艇设计合同金额的60%，对应项目的所有船艇建造完成并交付后支付对应项目船艇设计的合同余款。</w:t>
      </w:r>
    </w:p>
    <w:p w14:paraId="692D4600">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三、知识产权</w:t>
      </w:r>
    </w:p>
    <w:p w14:paraId="1C7E633C">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乙方在合同签订后，为甲方设计的所有成果，其知识产权归甲方所有。乙方不得擅自使用、披露或允许他人使用这些成果，除非得到甲方的书面同意。甲方有权对设计成果进行使用、披露或允许他人使用，无需收到乙方的限制。</w:t>
      </w:r>
    </w:p>
    <w:p w14:paraId="6DE3E0E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2.乙方保证甲方在使用本项目成果时不受第三方提出侵犯其专利权、版权、商标权和工业设计权等知识产权的起诉。一旦出现侵权，由乙方承担全部责任，并承担甲方因此遭受的直接或间接损失。</w:t>
      </w:r>
    </w:p>
    <w:p w14:paraId="31DF8247">
      <w:pPr>
        <w:widowControl w:val="0"/>
        <w:spacing w:line="360" w:lineRule="auto"/>
        <w:jc w:val="both"/>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四、人员要求</w:t>
      </w:r>
    </w:p>
    <w:p w14:paraId="39773C39">
      <w:pPr>
        <w:adjustRightInd w:val="0"/>
        <w:snapToGrid w:val="0"/>
        <w:spacing w:line="360" w:lineRule="auto"/>
        <w:ind w:firstLine="480" w:firstLineChars="200"/>
        <w:rPr>
          <w:rFonts w:hint="eastAsia" w:ascii="宋体" w:hAnsi="宋体" w:eastAsia="宋体" w:cs="宋体"/>
          <w:sz w:val="24"/>
          <w:highlight w:val="none"/>
        </w:rPr>
      </w:pPr>
      <w:bookmarkStart w:id="126" w:name="_Toc223404485"/>
      <w:r>
        <w:rPr>
          <w:rFonts w:hint="eastAsia" w:ascii="宋体" w:hAnsi="宋体" w:eastAsia="宋体" w:cs="宋体"/>
          <w:sz w:val="24"/>
          <w:highlight w:val="none"/>
        </w:rPr>
        <w:t>如果乙方响应文件中的项目负责人及团队人员需要更换，需有合理理由且征得甲方书面同意，方可更换，否则按违约处理。甲方有权在最高限额范围内酌情予以处罚，最高限额为合同价款*所换人数/总团队人数。减少团队人员也参照此条处罚。</w:t>
      </w:r>
    </w:p>
    <w:p w14:paraId="2D7191BE">
      <w:pPr>
        <w:widowControl w:val="0"/>
        <w:spacing w:line="36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五、</w:t>
      </w:r>
      <w:bookmarkEnd w:id="126"/>
      <w:r>
        <w:rPr>
          <w:rFonts w:hint="eastAsia" w:ascii="宋体" w:hAnsi="宋体" w:eastAsia="宋体" w:cs="宋体"/>
          <w:b/>
          <w:kern w:val="0"/>
          <w:sz w:val="24"/>
          <w:szCs w:val="24"/>
          <w:highlight w:val="none"/>
          <w:lang w:val="en-US" w:eastAsia="zh-CN" w:bidi="ar-SA"/>
        </w:rPr>
        <w:t>保密条款</w:t>
      </w:r>
    </w:p>
    <w:p w14:paraId="67120D25">
      <w:pPr>
        <w:adjustRightInd w:val="0"/>
        <w:snapToGrid w:val="0"/>
        <w:spacing w:line="360" w:lineRule="auto"/>
        <w:ind w:firstLine="480" w:firstLineChars="200"/>
        <w:rPr>
          <w:rFonts w:hint="eastAsia" w:ascii="宋体" w:hAnsi="宋体" w:eastAsia="宋体" w:cs="宋体"/>
          <w:sz w:val="24"/>
          <w:highlight w:val="none"/>
        </w:rPr>
      </w:pPr>
      <w:bookmarkStart w:id="127" w:name="_Toc223404486"/>
      <w:r>
        <w:rPr>
          <w:rFonts w:hint="eastAsia" w:ascii="宋体" w:hAnsi="宋体" w:eastAsia="宋体" w:cs="宋体"/>
          <w:sz w:val="24"/>
          <w:highlight w:val="none"/>
        </w:rPr>
        <w:t>1.乙方在工作过程中接触到的甲方的任何资料、文件、数据（无论书面的还是电子的），以及对为甲方服务形成的任何交付物，负有为甲方保密的责任。未经甲方书面同意，乙方不得以任何方式向任何第三方提供或透露。</w:t>
      </w:r>
    </w:p>
    <w:p w14:paraId="0B6F112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2.甲方向乙方提供的任何资料、文件和信息，在乙方服务结束后，乙方均应及时归还甲方，电子文档的应从自己的电脑等存储设备上予以删除。</w:t>
      </w:r>
    </w:p>
    <w:p w14:paraId="47E3301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3.乙方人员违反上述保密规定事件，乙方应承担相应法律责任。</w:t>
      </w:r>
    </w:p>
    <w:bookmarkEnd w:id="127"/>
    <w:p w14:paraId="2D1425E0">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六、转包或分包</w:t>
      </w:r>
    </w:p>
    <w:p w14:paraId="09543E4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1.本合同范围的设计工作，应由乙方直接设计，除非得到甲方的书面同意，不得转让他人设计。</w:t>
      </w:r>
    </w:p>
    <w:p w14:paraId="53894D0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2.如有转让和未经甲方同意的分包行为，甲方有权解除合同，并追究乙方的违约责任。</w:t>
      </w:r>
    </w:p>
    <w:p w14:paraId="45336487">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七、后续服务</w:t>
      </w:r>
      <w:r>
        <w:rPr>
          <w:rFonts w:hint="eastAsia" w:ascii="Times New Roman" w:hAnsi="宋体" w:eastAsia="宋体" w:cs="宋体"/>
          <w:b/>
          <w:bCs/>
          <w:sz w:val="24"/>
          <w:highlight w:val="none"/>
        </w:rPr>
        <w:t>期</w:t>
      </w:r>
    </w:p>
    <w:p w14:paraId="4E49911E">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后续服务期：设计</w:t>
      </w:r>
      <w:r>
        <w:rPr>
          <w:rFonts w:hint="eastAsia" w:ascii="宋体" w:hAnsi="宋体" w:eastAsia="宋体" w:cs="宋体"/>
          <w:snapToGrid w:val="0"/>
          <w:kern w:val="0"/>
          <w:sz w:val="24"/>
          <w:szCs w:val="16"/>
          <w:highlight w:val="none"/>
          <w:lang w:val="en-US" w:eastAsia="zh-CN" w:bidi="ar-SA"/>
        </w:rPr>
        <w:t>成果</w:t>
      </w:r>
      <w:r>
        <w:rPr>
          <w:rFonts w:hint="eastAsia" w:ascii="宋体" w:hAnsi="宋体" w:eastAsia="宋体" w:cs="宋体"/>
          <w:kern w:val="0"/>
          <w:sz w:val="24"/>
          <w:szCs w:val="24"/>
          <w:highlight w:val="none"/>
          <w:lang w:val="en-US" w:eastAsia="zh-CN" w:bidi="ar-SA"/>
        </w:rPr>
        <w:t>文件交付验收后至船艇建造交船验收。</w:t>
      </w:r>
    </w:p>
    <w:p w14:paraId="73DF0F55">
      <w:pPr>
        <w:widowControl w:val="0"/>
        <w:adjustRightInd w:val="0"/>
        <w:snapToGrid w:val="0"/>
        <w:spacing w:line="36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八、交付期、交付地点及验收标准</w:t>
      </w:r>
    </w:p>
    <w:p w14:paraId="59D4B3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1.交付期：服务期限内交付。</w:t>
      </w:r>
    </w:p>
    <w:p w14:paraId="71FF40C5">
      <w:pPr>
        <w:autoSpaceDE w:val="0"/>
        <w:autoSpaceDN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2.交付地点：</w:t>
      </w:r>
      <w:r>
        <w:rPr>
          <w:rFonts w:hint="eastAsia" w:ascii="宋体" w:hAnsi="宋体" w:eastAsia="宋体" w:cs="宋体"/>
          <w:sz w:val="24"/>
          <w:highlight w:val="none"/>
          <w:lang w:val="en-US" w:eastAsia="zh-CN"/>
        </w:rPr>
        <w:t>江苏省南通市</w:t>
      </w:r>
    </w:p>
    <w:p w14:paraId="259181F8">
      <w:pPr>
        <w:autoSpaceDE w:val="0"/>
        <w:autoSpaceDN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napToGrid w:val="0"/>
          <w:kern w:val="0"/>
          <w:sz w:val="24"/>
          <w:szCs w:val="16"/>
          <w:highlight w:val="none"/>
        </w:rPr>
        <w:t>3</w:t>
      </w:r>
      <w:r>
        <w:rPr>
          <w:rFonts w:hint="eastAsia" w:ascii="宋体" w:hAnsi="宋体" w:eastAsia="宋体" w:cs="宋体"/>
          <w:sz w:val="24"/>
          <w:highlight w:val="none"/>
        </w:rPr>
        <w:t>.</w:t>
      </w:r>
      <w:r>
        <w:rPr>
          <w:rFonts w:hint="eastAsia" w:ascii="宋体" w:hAnsi="宋体" w:eastAsia="宋体" w:cs="宋体"/>
          <w:snapToGrid w:val="0"/>
          <w:kern w:val="0"/>
          <w:sz w:val="24"/>
          <w:szCs w:val="16"/>
          <w:highlight w:val="none"/>
        </w:rPr>
        <w:t>验收标准：乙方向甲方提供船检部门审查通过的设计成果文件。</w:t>
      </w:r>
    </w:p>
    <w:p w14:paraId="31965DD7">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九.税</w:t>
      </w:r>
    </w:p>
    <w:p w14:paraId="6807C02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本合同执行中相关的一切税费均由乙方负担。</w:t>
      </w:r>
    </w:p>
    <w:p w14:paraId="2FC53820">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十.双方权利义务</w:t>
      </w:r>
    </w:p>
    <w:p w14:paraId="68A63D5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（一）甲方权利及义务</w:t>
      </w:r>
    </w:p>
    <w:p w14:paraId="6F8BD77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1.甲方向乙方提供项目相关的技术资料和设计标准；</w:t>
      </w:r>
    </w:p>
    <w:p w14:paraId="75B590D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2.甲方根据本合同约定向乙方支付项目费用；</w:t>
      </w:r>
    </w:p>
    <w:p w14:paraId="05E89AA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3.乙方提供初稿及修改稿后，乙方组织专家审核，甲方负责质量把控，做好项目工作进度跟踪和业务指导；</w:t>
      </w:r>
    </w:p>
    <w:p w14:paraId="7F6E331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4.项目成果的所有权和使用权归甲方所有；</w:t>
      </w:r>
    </w:p>
    <w:p w14:paraId="528DFAE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（二）乙方权利及义务</w:t>
      </w:r>
    </w:p>
    <w:p w14:paraId="5AEDEAF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1.乙方保证项目成果不含有中华人民共和国法律及《出版管理条例》等各项规定所禁止出版的内容；</w:t>
      </w:r>
    </w:p>
    <w:p w14:paraId="6EE74AF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2.乙方应当确保作品的原创性，如涉及侵犯他人著作权、肖像权、署名权等权利的，乙方承担全部责任并赔偿因此给甲方造成的经济损失，甲方同时享有合同解除权。</w:t>
      </w:r>
    </w:p>
    <w:p w14:paraId="07D5DD4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3.乙方应当在合同约定的期限内将本成果交付甲方。</w:t>
      </w:r>
    </w:p>
    <w:p w14:paraId="0297A88D">
      <w:pPr>
        <w:widowControl w:val="0"/>
        <w:adjustRightInd w:val="0"/>
        <w:snapToGrid w:val="0"/>
        <w:spacing w:line="36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十一、违约责任</w:t>
      </w:r>
    </w:p>
    <w:p w14:paraId="101F7AC7">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乙方逾期交付文件的，乙方应按合同总额每日千分之五向甲方支付逾期违约金，由甲方从待付服务费中扣除。乙方因逾期交付或因其他违约行为导致甲方解除合同的，乙方应向甲方支付合同总值20%的违约金，如甲方损失超过合同违约金的，超出部分由乙方继续承担赔偿责任。</w:t>
      </w:r>
    </w:p>
    <w:p w14:paraId="281DC105">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乙方所修订的文书不符合合同规定及磋商文件规定标准的，甲方有权拒收该文书，乙方应及时更换文书。若因更换文书导致逾期交付的，按乙方逾期交付处理。乙方拒绝更换文书的，甲方可单方面解除合同，并追究乙方的违约责任。</w:t>
      </w:r>
    </w:p>
    <w:p w14:paraId="7CB9A158">
      <w:pPr>
        <w:widowControl w:val="0"/>
        <w:adjustRightInd w:val="0"/>
        <w:snapToGrid w:val="0"/>
        <w:spacing w:line="36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十二、不可抗力事件处理</w:t>
      </w:r>
    </w:p>
    <w:p w14:paraId="42A4B0CB">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1.在合同有效期内，任何一方因不可抗力事件导致不能履行合同，则合同履行期可延长，其延长期与不可抗力影响期相同。</w:t>
      </w:r>
    </w:p>
    <w:p w14:paraId="52FE8A99">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2.不可抗力事件发生后，应立即通知对方，并寄送有关权威机构出具的证明。</w:t>
      </w:r>
    </w:p>
    <w:p w14:paraId="05DF1B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3.不可抗力事件延续120天以上，双方应通过友好协商，确定是否继续履行合同。</w:t>
      </w:r>
    </w:p>
    <w:p w14:paraId="21C7B62B">
      <w:pPr>
        <w:widowControl w:val="0"/>
        <w:adjustRightInd w:val="0"/>
        <w:snapToGrid w:val="0"/>
        <w:spacing w:line="36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十三、争议解决</w:t>
      </w:r>
    </w:p>
    <w:p w14:paraId="43A5C088">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争议的解决方式：双方在此约定：对合同执行过程中的争端最终由委托人（南通市江海河联运项目建设指挥部）所在地的仲裁委员会仲裁解决。</w:t>
      </w:r>
    </w:p>
    <w:p w14:paraId="35B33B71">
      <w:pPr>
        <w:widowControl w:val="0"/>
        <w:adjustRightInd w:val="0"/>
        <w:snapToGrid w:val="0"/>
        <w:spacing w:line="36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十四、合同生效及其它</w:t>
      </w:r>
    </w:p>
    <w:p w14:paraId="16ECAC73">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1.本合同未尽事宜，由双方友好协商订立。</w:t>
      </w:r>
    </w:p>
    <w:p w14:paraId="75022F1F">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2.本合同有效期至本合同签订之日起，至本合同履行完毕之日止。</w:t>
      </w:r>
    </w:p>
    <w:p w14:paraId="6AA35751">
      <w:pPr>
        <w:widowControl w:val="0"/>
        <w:adjustRightInd w:val="0"/>
        <w:snapToGrid w:val="0"/>
        <w:spacing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3.本合同正本一式捌份，合</w:t>
      </w:r>
      <w:r>
        <w:rPr>
          <w:rFonts w:hint="eastAsia" w:ascii="宋体" w:hAnsi="宋体" w:eastAsia="宋体" w:cs="宋体"/>
          <w:kern w:val="0"/>
          <w:sz w:val="24"/>
          <w:szCs w:val="24"/>
          <w:highlight w:val="none"/>
          <w:u w:val="none"/>
          <w:lang w:val="en-US" w:eastAsia="zh-CN" w:bidi="ar-SA"/>
        </w:rPr>
        <w:t>同双方各执肆份</w:t>
      </w:r>
      <w:r>
        <w:rPr>
          <w:rFonts w:hint="eastAsia" w:ascii="宋体" w:hAnsi="宋体" w:eastAsia="宋体" w:cs="宋体"/>
          <w:kern w:val="0"/>
          <w:sz w:val="24"/>
          <w:szCs w:val="24"/>
          <w:highlight w:val="none"/>
          <w:lang w:val="en-US" w:eastAsia="zh-CN" w:bidi="ar-SA"/>
        </w:rPr>
        <w:t xml:space="preserve"> 。本合同经甲乙双方签字盖章后生效。</w:t>
      </w:r>
    </w:p>
    <w:p w14:paraId="18B7679E">
      <w:pPr>
        <w:keepNext w:val="0"/>
        <w:keepLines w:val="0"/>
        <w:pageBreakBefore w:val="0"/>
        <w:kinsoku/>
        <w:wordWrap/>
        <w:overflowPunct/>
        <w:topLinePunct w:val="0"/>
        <w:autoSpaceDN w:val="0"/>
        <w:bidi w:val="0"/>
        <w:adjustRightInd/>
        <w:snapToGrid/>
        <w:spacing w:line="360" w:lineRule="auto"/>
        <w:ind w:left="0" w:leftChars="0"/>
        <w:jc w:val="left"/>
        <w:rPr>
          <w:rFonts w:hint="eastAsia" w:ascii="宋体" w:hAnsi="宋体" w:eastAsia="宋体" w:cs="宋体"/>
          <w:color w:val="auto"/>
          <w:sz w:val="22"/>
          <w:szCs w:val="22"/>
          <w:highlight w:val="none"/>
        </w:rPr>
      </w:pPr>
    </w:p>
    <w:p w14:paraId="1225189F">
      <w:pPr>
        <w:keepNext w:val="0"/>
        <w:keepLines w:val="0"/>
        <w:pageBreakBefore w:val="0"/>
        <w:kinsoku/>
        <w:wordWrap/>
        <w:overflowPunct/>
        <w:topLinePunct w:val="0"/>
        <w:autoSpaceDN w:val="0"/>
        <w:bidi w:val="0"/>
        <w:adjustRightInd/>
        <w:snapToGrid/>
        <w:spacing w:line="360" w:lineRule="auto"/>
        <w:ind w:left="0" w:leftChars="0"/>
        <w:jc w:val="left"/>
        <w:rPr>
          <w:rFonts w:hint="eastAsia" w:ascii="宋体" w:hAnsi="宋体" w:eastAsia="宋体" w:cs="宋体"/>
          <w:color w:val="auto"/>
          <w:sz w:val="22"/>
          <w:szCs w:val="22"/>
          <w:highlight w:val="none"/>
        </w:rPr>
        <w:sectPr>
          <w:headerReference r:id="rId6" w:type="default"/>
          <w:footerReference r:id="rId7" w:type="default"/>
          <w:pgSz w:w="11906" w:h="16838"/>
          <w:pgMar w:top="1247" w:right="1417" w:bottom="1247" w:left="1417" w:header="851" w:footer="992" w:gutter="0"/>
          <w:pgNumType w:fmt="decimal" w:start="1"/>
          <w:cols w:space="720" w:num="1"/>
          <w:docGrid w:linePitch="312" w:charSpace="0"/>
        </w:sectPr>
      </w:pPr>
    </w:p>
    <w:p w14:paraId="6C3DCF45">
      <w:pPr>
        <w:autoSpaceDE w:val="0"/>
        <w:autoSpaceDN w:val="0"/>
        <w:adjustRightInd w:val="0"/>
        <w:snapToGrid w:val="0"/>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甲方：</w:t>
      </w:r>
      <w:r>
        <w:rPr>
          <w:rFonts w:hint="eastAsia" w:ascii="宋体" w:hAnsi="宋体" w:eastAsia="宋体" w:cs="宋体"/>
          <w:sz w:val="24"/>
          <w:highlight w:val="none"/>
          <w:lang w:eastAsia="zh-CN"/>
        </w:rPr>
        <w:t>南通市江海河联运项目建设指挥部</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乙方：</w:t>
      </w:r>
    </w:p>
    <w:p w14:paraId="09F5FE34">
      <w:pPr>
        <w:autoSpaceDE w:val="0"/>
        <w:autoSpaceDN w:val="0"/>
        <w:adjustRightInd w:val="0"/>
        <w:snapToGrid w:val="0"/>
        <w:spacing w:line="48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法人或其授权代表：</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 xml:space="preserve">法人或其授权代表：                                      </w:t>
      </w:r>
    </w:p>
    <w:p w14:paraId="5B4EE91E">
      <w:pPr>
        <w:autoSpaceDE w:val="0"/>
        <w:autoSpaceDN w:val="0"/>
        <w:adjustRightInd w:val="0"/>
        <w:snapToGrid w:val="0"/>
        <w:spacing w:line="480" w:lineRule="auto"/>
        <w:ind w:right="12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zh-CN"/>
        </w:rPr>
        <w:t>联系电话：</w:t>
      </w:r>
      <w:r>
        <w:rPr>
          <w:rFonts w:hint="eastAsia" w:ascii="宋体" w:hAnsi="宋体" w:eastAsia="宋体" w:cs="宋体"/>
          <w:sz w:val="24"/>
          <w:highlight w:val="none"/>
        </w:rPr>
        <w:t xml:space="preserve">                              联系</w:t>
      </w:r>
      <w:r>
        <w:rPr>
          <w:rFonts w:hint="eastAsia" w:ascii="宋体" w:hAnsi="宋体" w:eastAsia="宋体" w:cs="宋体"/>
          <w:sz w:val="24"/>
          <w:highlight w:val="none"/>
          <w:lang w:val="zh-CN"/>
        </w:rPr>
        <w:t>电话：</w:t>
      </w:r>
      <w:r>
        <w:rPr>
          <w:rFonts w:hint="eastAsia" w:ascii="宋体" w:hAnsi="宋体" w:eastAsia="宋体" w:cs="宋体"/>
          <w:sz w:val="24"/>
          <w:highlight w:val="none"/>
        </w:rPr>
        <w:t xml:space="preserve"> </w:t>
      </w:r>
    </w:p>
    <w:p w14:paraId="5677F3D1">
      <w:pPr>
        <w:keepNext w:val="0"/>
        <w:keepLines w:val="0"/>
        <w:pageBreakBefore w:val="0"/>
        <w:kinsoku/>
        <w:wordWrap/>
        <w:overflowPunct/>
        <w:topLinePunct w:val="0"/>
        <w:autoSpaceDN w:val="0"/>
        <w:bidi w:val="0"/>
        <w:adjustRightInd/>
        <w:snapToGrid/>
        <w:spacing w:line="360" w:lineRule="auto"/>
        <w:ind w:left="0" w:leftChars="0"/>
        <w:jc w:val="right"/>
        <w:rPr>
          <w:rFonts w:hint="eastAsia" w:ascii="宋体" w:hAnsi="宋体" w:eastAsia="宋体" w:cs="宋体"/>
          <w:color w:val="auto"/>
          <w:sz w:val="22"/>
          <w:szCs w:val="22"/>
          <w:highlight w:val="none"/>
        </w:rPr>
        <w:sectPr>
          <w:type w:val="continuous"/>
          <w:pgSz w:w="11906" w:h="16838"/>
          <w:pgMar w:top="1247" w:right="1417" w:bottom="1247" w:left="1417" w:header="851" w:footer="992" w:gutter="0"/>
          <w:pgNumType w:fmt="decimal"/>
          <w:cols w:space="720" w:num="1"/>
          <w:docGrid w:linePitch="312" w:charSpace="0"/>
        </w:sectPr>
      </w:pPr>
      <w:r>
        <w:rPr>
          <w:rFonts w:hint="eastAsia" w:ascii="宋体" w:hAnsi="宋体" w:eastAsia="宋体" w:cs="宋体"/>
          <w:color w:val="auto"/>
          <w:sz w:val="22"/>
          <w:szCs w:val="22"/>
          <w:highlight w:val="none"/>
        </w:rPr>
        <w:t>日期：  年  月  日</w:t>
      </w:r>
    </w:p>
    <w:bookmarkEnd w:id="122"/>
    <w:p w14:paraId="7C70FCBA">
      <w:pPr>
        <w:keepNext w:val="0"/>
        <w:keepLines w:val="0"/>
        <w:pageBreakBefore w:val="0"/>
        <w:kinsoku/>
        <w:wordWrap/>
        <w:overflowPunct/>
        <w:topLinePunct w:val="0"/>
        <w:bidi w:val="0"/>
        <w:adjustRightInd/>
        <w:snapToGrid/>
        <w:spacing w:line="360" w:lineRule="auto"/>
        <w:ind w:left="0" w:leftChars="0"/>
        <w:jc w:val="center"/>
        <w:outlineLvl w:val="2"/>
        <w:rPr>
          <w:rFonts w:hint="eastAsia" w:ascii="宋体" w:hAnsi="宋体" w:eastAsia="宋体" w:cs="宋体"/>
          <w:b/>
          <w:bCs/>
          <w:color w:val="auto"/>
          <w:sz w:val="22"/>
          <w:szCs w:val="22"/>
          <w:highlight w:val="none"/>
        </w:rPr>
      </w:pPr>
      <w:bookmarkStart w:id="128" w:name="_Toc393638340"/>
      <w:bookmarkStart w:id="129" w:name="_Toc324860499"/>
      <w:bookmarkStart w:id="130" w:name="_Toc62140755"/>
      <w:bookmarkStart w:id="131" w:name="_Toc296001996"/>
      <w:bookmarkStart w:id="132" w:name="_Toc510442613"/>
      <w:bookmarkStart w:id="133" w:name="_Toc510442614"/>
      <w:r>
        <w:rPr>
          <w:rFonts w:hint="eastAsia" w:ascii="宋体" w:hAnsi="宋体" w:eastAsia="宋体" w:cs="宋体"/>
          <w:b/>
          <w:bCs/>
          <w:color w:val="auto"/>
          <w:sz w:val="22"/>
          <w:szCs w:val="22"/>
          <w:highlight w:val="none"/>
        </w:rPr>
        <w:t>B、</w:t>
      </w:r>
      <w:bookmarkEnd w:id="123"/>
      <w:bookmarkEnd w:id="128"/>
      <w:bookmarkEnd w:id="129"/>
      <w:bookmarkEnd w:id="130"/>
      <w:bookmarkEnd w:id="131"/>
      <w:bookmarkEnd w:id="132"/>
      <w:bookmarkEnd w:id="133"/>
      <w:r>
        <w:rPr>
          <w:rFonts w:hint="eastAsia" w:ascii="宋体" w:hAnsi="宋体" w:eastAsia="宋体" w:cs="宋体"/>
          <w:b/>
          <w:bCs/>
          <w:color w:val="auto"/>
          <w:sz w:val="22"/>
          <w:szCs w:val="22"/>
          <w:highlight w:val="none"/>
        </w:rPr>
        <w:t>廉政合同</w:t>
      </w:r>
      <w:bookmarkEnd w:id="124"/>
      <w:bookmarkEnd w:id="125"/>
    </w:p>
    <w:p w14:paraId="4507D8B0">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（以下称委托人）与服务单位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（以下称受托人），特订立如下合同。</w:t>
      </w:r>
    </w:p>
    <w:p w14:paraId="64CC2341">
      <w:pPr>
        <w:keepNext w:val="0"/>
        <w:keepLines w:val="0"/>
        <w:pageBreakBefore w:val="0"/>
        <w:kinsoku/>
        <w:wordWrap/>
        <w:overflowPunct/>
        <w:topLinePunct w:val="0"/>
        <w:bidi w:val="0"/>
        <w:adjustRightInd/>
        <w:snapToGrid/>
        <w:spacing w:line="360" w:lineRule="auto"/>
        <w:ind w:left="0" w:leftChars="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第一条  委托人、受托人双方的权利和义务</w:t>
      </w:r>
    </w:p>
    <w:p w14:paraId="01A6CBE7">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（一）严格遵守党和国家有关法律法规及交通部的有关规定。</w:t>
      </w:r>
    </w:p>
    <w:p w14:paraId="6EE83AD3">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（二）严格遵守</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的合同文件，自觉按合同办事。</w:t>
      </w:r>
    </w:p>
    <w:p w14:paraId="423DDD76">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（三）双方的业务活动坚持公开、公正、诚信、透明的原则（除法律认定的商业秘密和合同文件另有规定之外），不得损害国家和集体利益，违反工程建设管理规章制度。</w:t>
      </w:r>
    </w:p>
    <w:p w14:paraId="5D2914E0">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（四）建立健全廉政制度，开展廉政教育，设立廉政告示牌，公布举报电话，监督并认真查处违法违纪行为。</w:t>
      </w:r>
    </w:p>
    <w:p w14:paraId="4E4B68BB">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（五）发现对方在业务活动中有违反廉政规定的行为，有及时提醒对方纠正的权利和义务。</w:t>
      </w:r>
    </w:p>
    <w:p w14:paraId="20B76A78">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（六）发现对方严重违反本合同义务条款的行为，有向其上级有关部门举报、建议给予处理并要求告</w:t>
      </w:r>
      <w:r>
        <w:rPr>
          <w:rFonts w:hint="eastAsia" w:ascii="宋体" w:hAnsi="宋体" w:cs="宋体"/>
          <w:color w:val="auto"/>
          <w:sz w:val="22"/>
          <w:szCs w:val="22"/>
          <w:highlight w:val="none"/>
          <w:lang w:val="en-US" w:eastAsia="zh-CN"/>
        </w:rPr>
        <w:t>知</w:t>
      </w:r>
      <w:r>
        <w:rPr>
          <w:rFonts w:hint="eastAsia" w:ascii="宋体" w:hAnsi="宋体" w:eastAsia="宋体" w:cs="宋体"/>
          <w:color w:val="auto"/>
          <w:sz w:val="22"/>
          <w:szCs w:val="22"/>
          <w:highlight w:val="none"/>
        </w:rPr>
        <w:t>处理结果的权利。</w:t>
      </w:r>
    </w:p>
    <w:p w14:paraId="6E9CCC38">
      <w:pPr>
        <w:keepNext w:val="0"/>
        <w:keepLines w:val="0"/>
        <w:pageBreakBefore w:val="0"/>
        <w:kinsoku/>
        <w:wordWrap/>
        <w:overflowPunct/>
        <w:topLinePunct w:val="0"/>
        <w:bidi w:val="0"/>
        <w:adjustRightInd/>
        <w:snapToGrid/>
        <w:spacing w:line="360" w:lineRule="auto"/>
        <w:ind w:left="0" w:leftChars="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第二条  委托人的义务</w:t>
      </w:r>
    </w:p>
    <w:p w14:paraId="296C9AA7">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（一）委托人及其工作人员不得索要或接受受托人的礼金、有价证券和贵重物品，不得在受托人报销任何应由委托人或个人支付的费用等。</w:t>
      </w:r>
    </w:p>
    <w:p w14:paraId="16C38695">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（二）委托人工作人员不得参加受托人安排的超标准宴请和娱乐活动；不得接受受托人提供的通讯工具、交通工具和高档办公用品等。</w:t>
      </w:r>
    </w:p>
    <w:p w14:paraId="7E9DDA3D">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（三）委托人及其工作人员不得要求或者接受受托人为其住房装修、婚丧嫁娶活动、配偶子女的工作安排以及出国出境、旅游等提供方便等。</w:t>
      </w:r>
    </w:p>
    <w:p w14:paraId="4F61F48D">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（四）委托人及其工作人员不得以任何理由向受托人推荐分包单位，不得要求受托人购买合同规定外的材料和设备。</w:t>
      </w:r>
    </w:p>
    <w:p w14:paraId="25900BF3">
      <w:pPr>
        <w:keepNext w:val="0"/>
        <w:keepLines w:val="0"/>
        <w:pageBreakBefore w:val="0"/>
        <w:kinsoku/>
        <w:wordWrap/>
        <w:overflowPunct/>
        <w:topLinePunct w:val="0"/>
        <w:bidi w:val="0"/>
        <w:adjustRightInd/>
        <w:snapToGrid/>
        <w:spacing w:line="360" w:lineRule="auto"/>
        <w:ind w:left="0" w:leftChars="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第三条  受托人义务</w:t>
      </w:r>
    </w:p>
    <w:p w14:paraId="22588789">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（一）受托人不得以任何理由向委托人及其工作人员行贿或馈赠礼金、有价证券、贵重礼品。</w:t>
      </w:r>
    </w:p>
    <w:p w14:paraId="476AE760">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（二）受托人不得以任何名义为委托人及其工作人员报销应由委托人单位或个人支付的任何费用。</w:t>
      </w:r>
    </w:p>
    <w:p w14:paraId="6BD6DF66">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（三）受托人不得以任何理由安排委托人工作人员参加超标准宴请及娱乐活动。</w:t>
      </w:r>
    </w:p>
    <w:p w14:paraId="615D3CC2">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（四）受托人不得为委托人单位和个人购置或提供通讯工具、交通工具和高档办公用品等。</w:t>
      </w:r>
    </w:p>
    <w:p w14:paraId="121B0B31">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（五）受托人不应接受委托评估合同约定以外的与本合同评估工作有关的任何报酬。</w:t>
      </w:r>
    </w:p>
    <w:p w14:paraId="094F30F0">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（六）受托人不得参与合同规定的与委托人利益相冲突的任何活动。</w:t>
      </w:r>
    </w:p>
    <w:p w14:paraId="1EC26BCD">
      <w:pPr>
        <w:keepNext w:val="0"/>
        <w:keepLines w:val="0"/>
        <w:pageBreakBefore w:val="0"/>
        <w:kinsoku/>
        <w:wordWrap/>
        <w:overflowPunct/>
        <w:topLinePunct w:val="0"/>
        <w:bidi w:val="0"/>
        <w:adjustRightInd/>
        <w:snapToGrid/>
        <w:spacing w:line="360" w:lineRule="auto"/>
        <w:ind w:left="0" w:leftChars="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第四条  违约责任</w:t>
      </w:r>
    </w:p>
    <w:p w14:paraId="4864179D">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（一）委托人及其工作人员违反本合同第一、二条，按管理权限，依据有关规定给予党纪、政纪或组织处理；涉嫌犯罪的，移交司法机关追究刑事责任；给受托人单位造成经济损失的，应予以赔偿。</w:t>
      </w:r>
    </w:p>
    <w:p w14:paraId="69135B04">
      <w:pPr>
        <w:keepNext w:val="0"/>
        <w:keepLines w:val="0"/>
        <w:pageBreakBefore w:val="0"/>
        <w:kinsoku/>
        <w:wordWrap/>
        <w:overflowPunct/>
        <w:topLinePunct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017225D9">
      <w:pPr>
        <w:keepNext w:val="0"/>
        <w:keepLines w:val="0"/>
        <w:pageBreakBefore w:val="0"/>
        <w:kinsoku/>
        <w:wordWrap/>
        <w:overflowPunct/>
        <w:topLinePunct w:val="0"/>
        <w:bidi w:val="0"/>
        <w:adjustRightInd/>
        <w:snapToGrid/>
        <w:spacing w:line="360" w:lineRule="auto"/>
        <w:ind w:left="0" w:leftChars="0" w:firstLine="442" w:firstLineChars="200"/>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第五条</w:t>
      </w:r>
      <w:r>
        <w:rPr>
          <w:rFonts w:hint="eastAsia" w:ascii="宋体" w:hAnsi="宋体" w:eastAsia="宋体" w:cs="宋体"/>
          <w:bCs/>
          <w:color w:val="auto"/>
          <w:sz w:val="22"/>
          <w:szCs w:val="22"/>
          <w:highlight w:val="none"/>
        </w:rPr>
        <w:t xml:space="preserve">  本合同有效期为委托人、受托人双方签署之日起至</w:t>
      </w:r>
      <w:r>
        <w:rPr>
          <w:rFonts w:hint="eastAsia" w:ascii="宋体" w:hAnsi="宋体" w:cs="宋体"/>
          <w:bCs/>
          <w:color w:val="auto"/>
          <w:sz w:val="22"/>
          <w:szCs w:val="22"/>
          <w:highlight w:val="none"/>
          <w:lang w:val="en-US" w:eastAsia="zh-CN"/>
        </w:rPr>
        <w:t>合同结束为</w:t>
      </w:r>
      <w:r>
        <w:rPr>
          <w:rFonts w:hint="eastAsia" w:ascii="宋体" w:hAnsi="宋体" w:eastAsia="宋体" w:cs="宋体"/>
          <w:bCs/>
          <w:color w:val="auto"/>
          <w:sz w:val="22"/>
          <w:szCs w:val="22"/>
          <w:highlight w:val="none"/>
        </w:rPr>
        <w:t>止。</w:t>
      </w:r>
    </w:p>
    <w:p w14:paraId="14BD29BD">
      <w:pPr>
        <w:keepNext w:val="0"/>
        <w:keepLines w:val="0"/>
        <w:pageBreakBefore w:val="0"/>
        <w:kinsoku/>
        <w:wordWrap/>
        <w:overflowPunct/>
        <w:topLinePunct w:val="0"/>
        <w:bidi w:val="0"/>
        <w:adjustRightInd/>
        <w:snapToGrid/>
        <w:spacing w:line="360" w:lineRule="auto"/>
        <w:ind w:left="0" w:leftChars="0"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第六条</w:t>
      </w:r>
      <w:r>
        <w:rPr>
          <w:rFonts w:hint="eastAsia" w:ascii="宋体" w:hAnsi="宋体" w:eastAsia="宋体" w:cs="宋体"/>
          <w:bCs/>
          <w:color w:val="auto"/>
          <w:sz w:val="22"/>
          <w:szCs w:val="22"/>
          <w:highlight w:val="none"/>
        </w:rPr>
        <w:t xml:space="preserve">  本合同作为</w:t>
      </w:r>
      <w:r>
        <w:rPr>
          <w:rFonts w:hint="eastAsia" w:ascii="宋体" w:hAnsi="宋体" w:eastAsia="宋体" w:cs="宋体"/>
          <w:bCs/>
          <w:color w:val="auto"/>
          <w:sz w:val="22"/>
          <w:szCs w:val="22"/>
          <w:highlight w:val="none"/>
          <w:u w:val="single"/>
        </w:rPr>
        <w:t>（项目名称）</w:t>
      </w:r>
      <w:r>
        <w:rPr>
          <w:rFonts w:hint="eastAsia" w:ascii="宋体" w:hAnsi="宋体" w:eastAsia="宋体" w:cs="宋体"/>
          <w:bCs/>
          <w:color w:val="auto"/>
          <w:sz w:val="22"/>
          <w:szCs w:val="22"/>
          <w:highlight w:val="none"/>
        </w:rPr>
        <w:t>合同的附件，与合同具有</w:t>
      </w:r>
      <w:r>
        <w:rPr>
          <w:rFonts w:hint="eastAsia" w:ascii="宋体" w:hAnsi="宋体" w:eastAsia="宋体" w:cs="宋体"/>
          <w:color w:val="auto"/>
          <w:sz w:val="22"/>
          <w:szCs w:val="22"/>
          <w:highlight w:val="none"/>
        </w:rPr>
        <w:t>同等的法律效力，经合同双方签署立即生效。</w:t>
      </w:r>
    </w:p>
    <w:p w14:paraId="5963FA4F">
      <w:pPr>
        <w:keepNext w:val="0"/>
        <w:keepLines w:val="0"/>
        <w:pageBreakBefore w:val="0"/>
        <w:kinsoku/>
        <w:wordWrap/>
        <w:overflowPunct/>
        <w:topLinePunct w:val="0"/>
        <w:bidi w:val="0"/>
        <w:adjustRightInd/>
        <w:snapToGrid/>
        <w:spacing w:line="360" w:lineRule="auto"/>
        <w:ind w:left="0" w:leftChars="0" w:firstLine="442" w:firstLineChars="200"/>
        <w:rPr>
          <w:rFonts w:hint="eastAsia" w:ascii="宋体" w:hAnsi="宋体" w:eastAsia="宋体" w:cs="宋体"/>
          <w:bCs/>
          <w:color w:val="auto"/>
          <w:sz w:val="22"/>
          <w:szCs w:val="22"/>
          <w:highlight w:val="none"/>
        </w:rPr>
      </w:pPr>
      <w:r>
        <w:rPr>
          <w:rFonts w:hint="eastAsia" w:ascii="宋体" w:hAnsi="宋体" w:eastAsia="宋体" w:cs="宋体"/>
          <w:b/>
          <w:bCs/>
          <w:color w:val="auto"/>
          <w:sz w:val="22"/>
          <w:szCs w:val="22"/>
          <w:highlight w:val="none"/>
        </w:rPr>
        <w:t>第七条</w:t>
      </w:r>
      <w:r>
        <w:rPr>
          <w:rFonts w:hint="eastAsia" w:ascii="宋体" w:hAnsi="宋体" w:eastAsia="宋体" w:cs="宋体"/>
          <w:color w:val="auto"/>
          <w:sz w:val="22"/>
          <w:szCs w:val="22"/>
          <w:highlight w:val="none"/>
        </w:rPr>
        <w:t xml:space="preserve">  本合同共</w:t>
      </w:r>
      <w:r>
        <w:rPr>
          <w:rFonts w:hint="eastAsia" w:ascii="宋体" w:hAnsi="宋体" w:cs="宋体"/>
          <w:color w:val="auto"/>
          <w:sz w:val="22"/>
          <w:szCs w:val="22"/>
          <w:highlight w:val="none"/>
          <w:u w:val="single"/>
          <w:lang w:val="en-US" w:eastAsia="zh-CN"/>
        </w:rPr>
        <w:t>伍</w:t>
      </w:r>
      <w:r>
        <w:rPr>
          <w:rFonts w:hint="eastAsia" w:ascii="宋体" w:hAnsi="宋体" w:eastAsia="宋体" w:cs="宋体"/>
          <w:bCs/>
          <w:color w:val="auto"/>
          <w:sz w:val="22"/>
          <w:szCs w:val="22"/>
          <w:highlight w:val="none"/>
        </w:rPr>
        <w:t>份，双方各执二份</w:t>
      </w:r>
      <w:r>
        <w:rPr>
          <w:rFonts w:hint="eastAsia" w:ascii="宋体" w:hAnsi="宋体" w:cs="宋体"/>
          <w:bCs/>
          <w:color w:val="auto"/>
          <w:sz w:val="22"/>
          <w:szCs w:val="22"/>
          <w:highlight w:val="none"/>
          <w:lang w:eastAsia="zh-CN"/>
        </w:rPr>
        <w:t>，送交委托人监督部门一份备案</w:t>
      </w:r>
      <w:r>
        <w:rPr>
          <w:rFonts w:hint="eastAsia" w:ascii="宋体" w:hAnsi="宋体" w:eastAsia="宋体" w:cs="宋体"/>
          <w:bCs/>
          <w:color w:val="auto"/>
          <w:sz w:val="22"/>
          <w:szCs w:val="22"/>
          <w:highlight w:val="none"/>
        </w:rPr>
        <w:t>。</w:t>
      </w:r>
    </w:p>
    <w:p w14:paraId="77D9DD26">
      <w:pPr>
        <w:keepNext w:val="0"/>
        <w:keepLines w:val="0"/>
        <w:pageBreakBefore w:val="0"/>
        <w:tabs>
          <w:tab w:val="left" w:pos="1425"/>
          <w:tab w:val="left" w:pos="6360"/>
        </w:tabs>
        <w:kinsoku/>
        <w:wordWrap/>
        <w:overflowPunct/>
        <w:topLinePunct w:val="0"/>
        <w:bidi w:val="0"/>
        <w:adjustRightInd/>
        <w:snapToGrid/>
        <w:spacing w:line="360" w:lineRule="auto"/>
        <w:ind w:left="0" w:leftChars="0"/>
        <w:rPr>
          <w:rFonts w:hint="eastAsia" w:ascii="宋体" w:hAnsi="宋体" w:eastAsia="宋体" w:cs="宋体"/>
          <w:color w:val="auto"/>
          <w:sz w:val="22"/>
          <w:szCs w:val="22"/>
          <w:highlight w:val="none"/>
        </w:rPr>
      </w:pPr>
    </w:p>
    <w:p w14:paraId="5B825C75">
      <w:pPr>
        <w:keepNext w:val="0"/>
        <w:keepLines w:val="0"/>
        <w:pageBreakBefore w:val="0"/>
        <w:tabs>
          <w:tab w:val="left" w:pos="4500"/>
        </w:tabs>
        <w:kinsoku/>
        <w:wordWrap/>
        <w:overflowPunct/>
        <w:topLinePunct w:val="0"/>
        <w:bidi w:val="0"/>
        <w:adjustRightInd/>
        <w:snapToGrid/>
        <w:spacing w:line="360" w:lineRule="auto"/>
        <w:ind w:left="0" w:leftChars="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委托人：</w:t>
      </w:r>
      <w:r>
        <w:rPr>
          <w:rFonts w:hint="eastAsia" w:ascii="宋体" w:hAnsi="宋体" w:eastAsia="宋体" w:cs="宋体"/>
          <w:color w:val="auto"/>
          <w:sz w:val="22"/>
          <w:szCs w:val="22"/>
          <w:highlight w:val="none"/>
          <w:u w:val="single"/>
        </w:rPr>
        <w:t xml:space="preserve">  （单位全称）（盖章）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受托人：</w:t>
      </w:r>
      <w:r>
        <w:rPr>
          <w:rFonts w:hint="eastAsia" w:ascii="宋体" w:hAnsi="宋体" w:eastAsia="宋体" w:cs="宋体"/>
          <w:color w:val="auto"/>
          <w:sz w:val="22"/>
          <w:szCs w:val="22"/>
          <w:highlight w:val="none"/>
          <w:u w:val="single"/>
        </w:rPr>
        <w:t xml:space="preserve">  （单位全称）（盖章）    </w:t>
      </w:r>
    </w:p>
    <w:p w14:paraId="39AE1AC5">
      <w:pPr>
        <w:keepNext w:val="0"/>
        <w:keepLines w:val="0"/>
        <w:pageBreakBefore w:val="0"/>
        <w:tabs>
          <w:tab w:val="left" w:pos="4500"/>
        </w:tabs>
        <w:kinsoku/>
        <w:wordWrap/>
        <w:overflowPunct/>
        <w:topLinePunct w:val="0"/>
        <w:bidi w:val="0"/>
        <w:adjustRightInd/>
        <w:snapToGrid/>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法定代表人或</w:t>
      </w:r>
    </w:p>
    <w:p w14:paraId="54902890">
      <w:pPr>
        <w:keepNext w:val="0"/>
        <w:keepLines w:val="0"/>
        <w:pageBreakBefore w:val="0"/>
        <w:tabs>
          <w:tab w:val="left" w:pos="4500"/>
        </w:tabs>
        <w:kinsoku/>
        <w:wordWrap/>
        <w:overflowPunct/>
        <w:topLinePunct w:val="0"/>
        <w:bidi w:val="0"/>
        <w:adjustRightInd/>
        <w:snapToGrid/>
        <w:spacing w:line="360" w:lineRule="auto"/>
        <w:ind w:left="0" w:leftChars="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其授权的代理人：</w:t>
      </w:r>
      <w:r>
        <w:rPr>
          <w:rFonts w:hint="eastAsia" w:ascii="宋体" w:hAnsi="宋体" w:eastAsia="宋体" w:cs="宋体"/>
          <w:color w:val="auto"/>
          <w:sz w:val="22"/>
          <w:szCs w:val="22"/>
          <w:highlight w:val="none"/>
          <w:u w:val="single"/>
        </w:rPr>
        <w:t xml:space="preserve">   （职务）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其授权的代理人：</w:t>
      </w:r>
      <w:r>
        <w:rPr>
          <w:rFonts w:hint="eastAsia" w:ascii="宋体" w:hAnsi="宋体" w:eastAsia="宋体" w:cs="宋体"/>
          <w:color w:val="auto"/>
          <w:sz w:val="22"/>
          <w:szCs w:val="22"/>
          <w:highlight w:val="none"/>
          <w:u w:val="single"/>
        </w:rPr>
        <w:t xml:space="preserve">   （职务）      </w:t>
      </w:r>
    </w:p>
    <w:p w14:paraId="29D8E926">
      <w:pPr>
        <w:keepNext w:val="0"/>
        <w:keepLines w:val="0"/>
        <w:pageBreakBefore w:val="0"/>
        <w:tabs>
          <w:tab w:val="left" w:pos="1380"/>
          <w:tab w:val="left" w:pos="6270"/>
        </w:tabs>
        <w:kinsoku/>
        <w:wordWrap/>
        <w:overflowPunct/>
        <w:topLinePunct w:val="0"/>
        <w:bidi w:val="0"/>
        <w:adjustRightInd/>
        <w:snapToGrid/>
        <w:spacing w:line="360" w:lineRule="auto"/>
        <w:ind w:left="0" w:leftChars="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u w:val="single"/>
        </w:rPr>
        <w:t xml:space="preserve">    （姓名）  （签字）</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u w:val="single"/>
        </w:rPr>
        <w:t xml:space="preserve">（姓名）（签字） </w:t>
      </w:r>
    </w:p>
    <w:p w14:paraId="2D7891EB">
      <w:pPr>
        <w:keepNext w:val="0"/>
        <w:keepLines w:val="0"/>
        <w:pageBreakBefore w:val="0"/>
        <w:kinsoku/>
        <w:wordWrap/>
        <w:overflowPunct/>
        <w:topLinePunct w:val="0"/>
        <w:autoSpaceDN w:val="0"/>
        <w:bidi w:val="0"/>
        <w:adjustRightInd/>
        <w:snapToGrid/>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年    月    日</w:t>
      </w:r>
    </w:p>
    <w:p w14:paraId="0E0375D7">
      <w:pPr>
        <w:keepNext w:val="0"/>
        <w:keepLines w:val="0"/>
        <w:pageBreakBefore w:val="0"/>
        <w:kinsoku/>
        <w:wordWrap/>
        <w:overflowPunct/>
        <w:topLinePunct w:val="0"/>
        <w:bidi w:val="0"/>
        <w:adjustRightInd/>
        <w:snapToGrid/>
        <w:spacing w:line="360" w:lineRule="auto"/>
        <w:ind w:left="0" w:leftChars="0"/>
        <w:jc w:val="center"/>
        <w:outlineLvl w:val="3"/>
        <w:rPr>
          <w:rFonts w:hint="eastAsia" w:ascii="宋体" w:hAnsi="宋体" w:eastAsia="宋体" w:cs="宋体"/>
          <w:color w:val="auto"/>
          <w:sz w:val="22"/>
          <w:szCs w:val="22"/>
          <w:highlight w:val="none"/>
        </w:rPr>
      </w:pPr>
    </w:p>
    <w:p w14:paraId="04460728">
      <w:pPr>
        <w:keepNext w:val="0"/>
        <w:keepLines w:val="0"/>
        <w:pageBreakBefore w:val="0"/>
        <w:kinsoku/>
        <w:wordWrap/>
        <w:overflowPunct/>
        <w:topLinePunct w:val="0"/>
        <w:bidi w:val="0"/>
        <w:adjustRightInd/>
        <w:snapToGrid/>
        <w:spacing w:line="360" w:lineRule="auto"/>
        <w:ind w:left="0" w:leftChars="0"/>
        <w:jc w:val="both"/>
        <w:outlineLvl w:val="3"/>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rPr>
        <w:t>委托人监督部门：</w:t>
      </w:r>
      <w:r>
        <w:rPr>
          <w:rFonts w:hint="eastAsia" w:ascii="宋体" w:hAnsi="宋体" w:eastAsia="宋体" w:cs="宋体"/>
          <w:color w:val="auto"/>
          <w:sz w:val="22"/>
          <w:szCs w:val="22"/>
          <w:highlight w:val="none"/>
          <w:u w:val="single"/>
        </w:rPr>
        <w:t xml:space="preserve">  （单位全称）（盖章）</w:t>
      </w:r>
      <w:r>
        <w:rPr>
          <w:rFonts w:hint="eastAsia" w:ascii="宋体" w:hAnsi="宋体" w:eastAsia="宋体" w:cs="宋体"/>
          <w:color w:val="auto"/>
          <w:sz w:val="22"/>
          <w:szCs w:val="22"/>
          <w:highlight w:val="none"/>
          <w:u w:val="none"/>
        </w:rPr>
        <w:t xml:space="preserve"> </w:t>
      </w:r>
    </w:p>
    <w:bookmarkEnd w:id="71"/>
    <w:bookmarkEnd w:id="72"/>
    <w:bookmarkEnd w:id="73"/>
    <w:bookmarkEnd w:id="74"/>
    <w:bookmarkEnd w:id="75"/>
    <w:p w14:paraId="616F28AB">
      <w:pPr>
        <w:pStyle w:val="2"/>
        <w:pageBreakBefore w:val="0"/>
        <w:widowControl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bookmarkStart w:id="134" w:name="_Toc55112876"/>
      <w:bookmarkStart w:id="135" w:name="_Toc55239799"/>
      <w:bookmarkStart w:id="136" w:name="_Toc326739087"/>
      <w:bookmarkStart w:id="137" w:name="_Toc51042476"/>
      <w:bookmarkStart w:id="138" w:name="_Toc282677869"/>
      <w:bookmarkStart w:id="139" w:name="_Toc76356748"/>
      <w:bookmarkStart w:id="140" w:name="_Toc25042"/>
      <w:bookmarkStart w:id="141" w:name="_Toc305846554"/>
    </w:p>
    <w:p w14:paraId="120F1169">
      <w:pPr>
        <w:spacing w:line="440" w:lineRule="exact"/>
        <w:rPr>
          <w:rFonts w:hint="eastAsia" w:ascii="宋体" w:hAnsi="宋体" w:cs="宋体"/>
          <w:color w:val="auto"/>
          <w:sz w:val="21"/>
          <w:szCs w:val="21"/>
          <w:highlight w:val="none"/>
        </w:rPr>
      </w:pPr>
    </w:p>
    <w:p w14:paraId="748F0FB7">
      <w:pPr>
        <w:autoSpaceDE w:val="0"/>
        <w:autoSpaceDN w:val="0"/>
        <w:spacing w:line="360" w:lineRule="auto"/>
        <w:textAlignment w:val="bottom"/>
        <w:rPr>
          <w:rFonts w:hint="eastAsia" w:ascii="宋体" w:hAnsi="宋体" w:cs="宋体"/>
          <w:color w:val="auto"/>
          <w:sz w:val="21"/>
          <w:szCs w:val="21"/>
          <w:highlight w:val="none"/>
        </w:rPr>
      </w:pPr>
    </w:p>
    <w:p w14:paraId="642028BD">
      <w:pPr>
        <w:pStyle w:val="28"/>
        <w:wordWrap w:val="0"/>
        <w:spacing w:before="120" w:beforeLines="50" w:after="0" w:line="360" w:lineRule="auto"/>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rPr>
        <w:br w:type="page"/>
      </w:r>
      <w:bookmarkEnd w:id="134"/>
      <w:bookmarkEnd w:id="135"/>
      <w:bookmarkEnd w:id="136"/>
      <w:bookmarkEnd w:id="137"/>
      <w:bookmarkEnd w:id="138"/>
      <w:bookmarkEnd w:id="139"/>
      <w:bookmarkEnd w:id="140"/>
      <w:bookmarkEnd w:id="141"/>
      <w:bookmarkStart w:id="142" w:name="_Toc33625862"/>
      <w:bookmarkStart w:id="143" w:name="_Toc300760822"/>
      <w:bookmarkStart w:id="144" w:name="_Toc258313649"/>
      <w:r>
        <w:rPr>
          <w:rFonts w:hint="eastAsia" w:cs="Arial"/>
          <w:color w:val="auto"/>
          <w:sz w:val="32"/>
          <w:szCs w:val="22"/>
          <w:highlight w:val="none"/>
        </w:rPr>
        <w:t xml:space="preserve">第五章 </w:t>
      </w:r>
      <w:bookmarkEnd w:id="142"/>
      <w:bookmarkEnd w:id="143"/>
      <w:bookmarkEnd w:id="144"/>
      <w:r>
        <w:rPr>
          <w:rFonts w:hint="eastAsia" w:cs="Arial"/>
          <w:color w:val="auto"/>
          <w:sz w:val="32"/>
          <w:szCs w:val="22"/>
          <w:highlight w:val="none"/>
          <w:lang w:val="en-US" w:eastAsia="zh-CN"/>
        </w:rPr>
        <w:t>项目需求</w:t>
      </w:r>
    </w:p>
    <w:p w14:paraId="0CC640DF">
      <w:pPr>
        <w:adjustRightInd w:val="0"/>
        <w:snapToGrid w:val="0"/>
        <w:spacing w:line="360" w:lineRule="auto"/>
        <w:ind w:firstLine="422" w:firstLineChars="200"/>
        <w:rPr>
          <w:rFonts w:hint="eastAsia" w:ascii="宋体" w:hAnsi="宋体" w:eastAsia="宋体" w:cs="宋体"/>
          <w:b/>
          <w:snapToGrid w:val="0"/>
          <w:color w:val="auto"/>
          <w:kern w:val="0"/>
          <w:sz w:val="21"/>
          <w:szCs w:val="21"/>
          <w:highlight w:val="none"/>
          <w:lang w:val="en-US" w:eastAsia="zh-CN" w:bidi="ar-SA"/>
        </w:rPr>
      </w:pPr>
      <w:bookmarkStart w:id="145" w:name="_Toc300760824"/>
      <w:bookmarkStart w:id="146" w:name="_Toc258313653"/>
      <w:bookmarkStart w:id="147" w:name="_Toc33625863"/>
      <w:r>
        <w:rPr>
          <w:rFonts w:hint="eastAsia" w:ascii="宋体" w:hAnsi="宋体" w:eastAsia="宋体" w:cs="宋体"/>
          <w:b/>
          <w:snapToGrid w:val="0"/>
          <w:color w:val="auto"/>
          <w:kern w:val="0"/>
          <w:sz w:val="21"/>
          <w:szCs w:val="21"/>
          <w:highlight w:val="none"/>
          <w:lang w:val="en-US" w:eastAsia="zh-CN" w:bidi="ar-SA"/>
        </w:rPr>
        <w:t>一、</w:t>
      </w:r>
      <w:r>
        <w:rPr>
          <w:rFonts w:hint="eastAsia" w:ascii="宋体" w:hAnsi="宋体" w:cs="宋体"/>
          <w:b/>
          <w:snapToGrid w:val="0"/>
          <w:color w:val="auto"/>
          <w:kern w:val="0"/>
          <w:sz w:val="21"/>
          <w:szCs w:val="21"/>
          <w:highlight w:val="none"/>
          <w:lang w:val="en-US" w:eastAsia="zh-CN" w:bidi="ar-SA"/>
        </w:rPr>
        <w:t>项目需求</w:t>
      </w:r>
    </w:p>
    <w:p w14:paraId="0FDD7A9A">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1、15m排档船</w:t>
      </w:r>
    </w:p>
    <w:p w14:paraId="7B7CF6F0">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适用于A级航区的排档，兼有救助等功能;采用双机、双桨推进装置，确保具有较大的顶推和拖带能力，并具有良好的操纵性;全船采用钢质全焊接结构型式，并优化全船结构。本船主要尺度:最大船长15.60m、水线长15.10m、型宽4.8m、型深2.1m、吃水1.35m。主机:功率不小于120kWx2，系柱拖力不小于3t，辅机功率不小于 12Kw，航区A级本项目研发的 15m 排档船能满足最新的规范和法规要求，结构牢固、抗撞、重心较低、稳性好，并达到经济、节能、环保等要求，满足排档要求，综合研发水平达到国内先进。</w:t>
      </w:r>
    </w:p>
    <w:p w14:paraId="4930D43B">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2、17m 保障工作船</w:t>
      </w:r>
    </w:p>
    <w:p w14:paraId="37F72677">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适用于A级航区的巡航,兼有公务艇功能;采用双机、双桨推进装置，确保具有较高航速(最大航速不低于30Km/h)，并具有良好的操纵性;全船采用钢质全焊接结构型式，上棚采用铝合金结构，并优化全船结构。本船主要尺度:最大船长19.41m、水线长17.6m、型宽4.00m、型深1.8m、空载吃水~1m以内。主机:功率不小于140kW*2、航区 A级。</w:t>
      </w:r>
    </w:p>
    <w:p w14:paraId="41D30A27">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本项目研发的17m 工作保障船能满足最新的规范和法规要求，结构牢固、重心较低、稳性好，船体上部结构空间宽敞明亮、视线佳，并达到经济、节能、环保等要求，综合研发水平达到国内先进。驾驶室前部采用折角型，顶棚采用边折角形式，侧窗采用玻璃幕墙，舱室布置左侧采用单人座椅:右侧采用双人座椅+长条桌(茶几)的卡座布置形式，舱室前部为驾驶台，工作人员10人。</w:t>
      </w:r>
    </w:p>
    <w:p w14:paraId="02F75AAD">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3、13m保障工作船</w:t>
      </w:r>
    </w:p>
    <w:p w14:paraId="2953FA4C">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适用于A级航区的巡航;采用单机、单桨推进装置，应具有较高航速(最大航速不低于18km/h)，并具有良好的操纵性;全船采用钢质全焊接结构型式，上棚采用铝合金结构，并优化全船结构。本船主要尺度:最大船长14.6m、水线长13.5m、型宽 3.3m、型深1.45m、空载吃水0.9m 以内。主机功率不小于 120kW、航区 A 级。</w:t>
      </w:r>
    </w:p>
    <w:p w14:paraId="22D82FEA">
      <w:pPr>
        <w:adjustRightInd w:val="0"/>
        <w:snapToGrid w:val="0"/>
        <w:spacing w:line="360" w:lineRule="auto"/>
        <w:ind w:firstLine="420" w:firstLineChars="200"/>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bidi="ar-SA"/>
        </w:rPr>
        <w:t>本项目研发的13m工作保障船能满足最新的规范和法规要求，结构牢固、重心较低、稳性好，并达到经济、节能环保等要求，综合研发水平达到国内先进。</w:t>
      </w:r>
    </w:p>
    <w:p w14:paraId="23CAFC12">
      <w:pPr>
        <w:adjustRightInd w:val="0"/>
        <w:snapToGrid w:val="0"/>
        <w:spacing w:line="360" w:lineRule="auto"/>
        <w:ind w:firstLine="420" w:firstLineChars="200"/>
        <w:rPr>
          <w:rFonts w:hint="eastAsia" w:ascii="宋体" w:hAnsi="宋体" w:cs="宋体"/>
          <w:b w:val="0"/>
          <w:bCs/>
          <w:snapToGrid w:val="0"/>
          <w:color w:val="auto"/>
          <w:kern w:val="0"/>
          <w:sz w:val="21"/>
          <w:szCs w:val="21"/>
          <w:highlight w:val="none"/>
          <w:lang w:val="en-US" w:eastAsia="zh-CN" w:bidi="ar-SA"/>
        </w:rPr>
      </w:pPr>
      <w:r>
        <w:rPr>
          <w:rFonts w:hint="eastAsia" w:ascii="宋体" w:hAnsi="宋体" w:cs="宋体"/>
          <w:b w:val="0"/>
          <w:bCs/>
          <w:snapToGrid w:val="0"/>
          <w:color w:val="auto"/>
          <w:kern w:val="0"/>
          <w:sz w:val="21"/>
          <w:szCs w:val="21"/>
          <w:highlight w:val="none"/>
          <w:lang w:val="en-US" w:eastAsia="zh-CN" w:bidi="ar-SA"/>
        </w:rPr>
        <w:t>二、本船需满足的有关规范、规则：</w:t>
      </w:r>
    </w:p>
    <w:p w14:paraId="2C162AED">
      <w:pPr>
        <w:adjustRightInd w:val="0"/>
        <w:snapToGrid w:val="0"/>
        <w:spacing w:line="360" w:lineRule="auto"/>
        <w:ind w:firstLine="420" w:firstLineChars="200"/>
        <w:rPr>
          <w:rFonts w:hint="eastAsia" w:ascii="宋体" w:hAnsi="宋体" w:cs="宋体"/>
          <w:b w:val="0"/>
          <w:bCs/>
          <w:snapToGrid w:val="0"/>
          <w:color w:val="auto"/>
          <w:kern w:val="0"/>
          <w:sz w:val="21"/>
          <w:szCs w:val="21"/>
          <w:highlight w:val="none"/>
          <w:lang w:val="en-US" w:eastAsia="zh-CN" w:bidi="ar-SA"/>
        </w:rPr>
      </w:pPr>
      <w:r>
        <w:rPr>
          <w:rFonts w:hint="eastAsia" w:ascii="宋体" w:hAnsi="宋体" w:cs="宋体"/>
          <w:b w:val="0"/>
          <w:bCs/>
          <w:snapToGrid w:val="0"/>
          <w:color w:val="auto"/>
          <w:kern w:val="0"/>
          <w:sz w:val="21"/>
          <w:szCs w:val="21"/>
          <w:highlight w:val="none"/>
          <w:lang w:val="en-US" w:eastAsia="zh-CN" w:bidi="ar-SA"/>
        </w:rPr>
        <w:t xml:space="preserve">中华人民共和国海事局《内河船舶法定检验技术规则》（2019）及其修改通报； </w:t>
      </w:r>
    </w:p>
    <w:p w14:paraId="1956D290">
      <w:pPr>
        <w:adjustRightInd w:val="0"/>
        <w:snapToGrid w:val="0"/>
        <w:spacing w:line="360" w:lineRule="auto"/>
        <w:ind w:firstLine="420" w:firstLineChars="200"/>
        <w:rPr>
          <w:rFonts w:hint="eastAsia" w:ascii="宋体" w:hAnsi="宋体" w:cs="宋体"/>
          <w:b w:val="0"/>
          <w:bCs/>
          <w:snapToGrid w:val="0"/>
          <w:color w:val="auto"/>
          <w:kern w:val="0"/>
          <w:sz w:val="21"/>
          <w:szCs w:val="21"/>
          <w:highlight w:val="none"/>
          <w:lang w:val="en-US" w:eastAsia="zh-CN" w:bidi="ar-SA"/>
        </w:rPr>
      </w:pPr>
      <w:r>
        <w:rPr>
          <w:rFonts w:hint="eastAsia" w:ascii="宋体" w:hAnsi="宋体" w:cs="宋体"/>
          <w:b w:val="0"/>
          <w:bCs/>
          <w:snapToGrid w:val="0"/>
          <w:color w:val="auto"/>
          <w:kern w:val="0"/>
          <w:sz w:val="21"/>
          <w:szCs w:val="21"/>
          <w:highlight w:val="none"/>
          <w:lang w:val="en-US" w:eastAsia="zh-CN" w:bidi="ar-SA"/>
        </w:rPr>
        <w:t>中国船级社《材料与焊接规范》（2023）；</w:t>
      </w:r>
    </w:p>
    <w:p w14:paraId="5A0EAE84">
      <w:pPr>
        <w:adjustRightInd w:val="0"/>
        <w:snapToGrid w:val="0"/>
        <w:spacing w:line="360" w:lineRule="auto"/>
        <w:ind w:firstLine="420" w:firstLineChars="200"/>
        <w:rPr>
          <w:rFonts w:hint="eastAsia" w:ascii="宋体" w:hAnsi="宋体" w:cs="宋体"/>
          <w:b w:val="0"/>
          <w:bCs/>
          <w:snapToGrid w:val="0"/>
          <w:color w:val="auto"/>
          <w:kern w:val="0"/>
          <w:sz w:val="21"/>
          <w:szCs w:val="21"/>
          <w:highlight w:val="none"/>
          <w:lang w:val="en-US" w:eastAsia="zh-CN" w:bidi="ar-SA"/>
        </w:rPr>
      </w:pPr>
      <w:r>
        <w:rPr>
          <w:rFonts w:hint="eastAsia" w:ascii="宋体" w:hAnsi="宋体" w:cs="宋体"/>
          <w:b w:val="0"/>
          <w:bCs/>
          <w:snapToGrid w:val="0"/>
          <w:color w:val="auto"/>
          <w:kern w:val="0"/>
          <w:sz w:val="21"/>
          <w:szCs w:val="21"/>
          <w:highlight w:val="none"/>
          <w:lang w:val="en-US" w:eastAsia="zh-CN" w:bidi="ar-SA"/>
        </w:rPr>
        <w:t>中华人民共和国海事局《公务船技术规则》（2020）；</w:t>
      </w:r>
    </w:p>
    <w:p w14:paraId="583C035E">
      <w:pPr>
        <w:adjustRightInd w:val="0"/>
        <w:snapToGrid w:val="0"/>
        <w:spacing w:line="360" w:lineRule="auto"/>
        <w:ind w:firstLine="420" w:firstLineChars="200"/>
        <w:rPr>
          <w:rFonts w:hint="eastAsia" w:ascii="宋体" w:hAnsi="宋体" w:cs="宋体"/>
          <w:b w:val="0"/>
          <w:bCs/>
          <w:snapToGrid w:val="0"/>
          <w:color w:val="auto"/>
          <w:kern w:val="0"/>
          <w:sz w:val="21"/>
          <w:szCs w:val="21"/>
          <w:highlight w:val="none"/>
          <w:lang w:val="en-US" w:eastAsia="zh-CN" w:bidi="ar-SA"/>
        </w:rPr>
      </w:pPr>
      <w:r>
        <w:rPr>
          <w:rFonts w:hint="eastAsia" w:ascii="宋体" w:hAnsi="宋体" w:cs="宋体"/>
          <w:b w:val="0"/>
          <w:bCs/>
          <w:snapToGrid w:val="0"/>
          <w:color w:val="auto"/>
          <w:kern w:val="0"/>
          <w:sz w:val="21"/>
          <w:szCs w:val="21"/>
          <w:highlight w:val="none"/>
          <w:lang w:val="en-US" w:eastAsia="zh-CN" w:bidi="ar-SA"/>
        </w:rPr>
        <w:t>中国船级社《钢质内河船舶建造规范》（2016）及修改通报；</w:t>
      </w:r>
    </w:p>
    <w:p w14:paraId="7D99A2D6">
      <w:pPr>
        <w:adjustRightInd w:val="0"/>
        <w:snapToGrid w:val="0"/>
        <w:spacing w:line="360" w:lineRule="auto"/>
        <w:ind w:firstLine="420" w:firstLineChars="200"/>
        <w:rPr>
          <w:rFonts w:hint="eastAsia" w:ascii="宋体" w:hAnsi="宋体" w:cs="宋体"/>
          <w:b w:val="0"/>
          <w:bCs/>
          <w:snapToGrid w:val="0"/>
          <w:color w:val="auto"/>
          <w:kern w:val="0"/>
          <w:sz w:val="21"/>
          <w:szCs w:val="21"/>
          <w:highlight w:val="none"/>
          <w:lang w:val="en-US" w:eastAsia="zh-CN" w:bidi="ar-SA"/>
        </w:rPr>
      </w:pPr>
      <w:r>
        <w:rPr>
          <w:rFonts w:hint="eastAsia" w:ascii="宋体" w:hAnsi="宋体" w:cs="宋体"/>
          <w:b w:val="0"/>
          <w:bCs/>
          <w:snapToGrid w:val="0"/>
          <w:color w:val="auto"/>
          <w:kern w:val="0"/>
          <w:sz w:val="21"/>
          <w:szCs w:val="21"/>
          <w:highlight w:val="none"/>
          <w:lang w:val="en-US" w:eastAsia="zh-CN" w:bidi="ar-SA"/>
        </w:rPr>
        <w:t>中国船级社《船舶应用电池动力规范》（2023）；</w:t>
      </w:r>
    </w:p>
    <w:p w14:paraId="7A216934">
      <w:pPr>
        <w:adjustRightInd w:val="0"/>
        <w:snapToGrid w:val="0"/>
        <w:spacing w:line="360" w:lineRule="auto"/>
        <w:ind w:firstLine="420" w:firstLineChars="200"/>
        <w:rPr>
          <w:rFonts w:hint="eastAsia" w:ascii="宋体" w:hAnsi="宋体" w:cs="宋体"/>
          <w:b w:val="0"/>
          <w:bCs/>
          <w:snapToGrid w:val="0"/>
          <w:color w:val="auto"/>
          <w:kern w:val="0"/>
          <w:sz w:val="21"/>
          <w:szCs w:val="21"/>
          <w:highlight w:val="none"/>
          <w:lang w:val="en-US" w:eastAsia="zh-CN" w:bidi="ar-SA"/>
        </w:rPr>
      </w:pPr>
      <w:r>
        <w:rPr>
          <w:rFonts w:hint="eastAsia" w:ascii="宋体" w:hAnsi="宋体" w:cs="宋体"/>
          <w:b w:val="0"/>
          <w:bCs/>
          <w:snapToGrid w:val="0"/>
          <w:color w:val="auto"/>
          <w:kern w:val="0"/>
          <w:sz w:val="21"/>
          <w:szCs w:val="21"/>
          <w:highlight w:val="none"/>
          <w:lang w:val="en-US" w:eastAsia="zh-CN" w:bidi="ar-SA"/>
        </w:rPr>
        <w:t>中国船级社《混合动力船舶检验指南》（2019）。</w:t>
      </w:r>
    </w:p>
    <w:p w14:paraId="0D5F0A17">
      <w:pPr>
        <w:adjustRightInd w:val="0"/>
        <w:snapToGrid w:val="0"/>
        <w:spacing w:line="360" w:lineRule="auto"/>
        <w:ind w:firstLine="420" w:firstLineChars="200"/>
        <w:rPr>
          <w:rFonts w:hint="eastAsia" w:ascii="宋体" w:hAnsi="宋体" w:eastAsia="宋体" w:cs="Times New Roman"/>
          <w:color w:val="auto"/>
          <w:sz w:val="22"/>
          <w:szCs w:val="22"/>
          <w:highlight w:val="none"/>
        </w:rPr>
      </w:pPr>
      <w:r>
        <w:rPr>
          <w:rFonts w:hint="eastAsia" w:ascii="宋体" w:hAnsi="宋体" w:cs="宋体"/>
          <w:b w:val="0"/>
          <w:bCs/>
          <w:snapToGrid w:val="0"/>
          <w:color w:val="auto"/>
          <w:kern w:val="0"/>
          <w:sz w:val="21"/>
          <w:szCs w:val="21"/>
          <w:highlight w:val="none"/>
          <w:lang w:val="en-US" w:eastAsia="zh-CN" w:bidi="ar-SA"/>
        </w:rPr>
        <w:t>以上规范、规则及标准均为现行版。</w:t>
      </w:r>
      <w:r>
        <w:rPr>
          <w:rFonts w:hint="eastAsia" w:ascii="宋体" w:hAnsi="宋体" w:eastAsia="宋体" w:cs="Times New Roman"/>
          <w:color w:val="auto"/>
          <w:sz w:val="22"/>
          <w:szCs w:val="22"/>
          <w:highlight w:val="none"/>
        </w:rPr>
        <w:br w:type="page"/>
      </w:r>
    </w:p>
    <w:p w14:paraId="4F8787A3">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42" w:firstLineChars="200"/>
        <w:jc w:val="left"/>
        <w:textAlignment w:val="baseline"/>
        <w:rPr>
          <w:rFonts w:hint="eastAsia" w:ascii="宋体" w:hAnsi="宋体" w:eastAsia="宋体" w:cs="宋体"/>
          <w:b/>
          <w:bCs/>
          <w:color w:val="auto"/>
          <w:kern w:val="0"/>
          <w:sz w:val="22"/>
          <w:szCs w:val="22"/>
          <w:highlight w:val="none"/>
          <w:lang w:val="en-US" w:eastAsia="zh-CN" w:bidi="ar-SA"/>
        </w:rPr>
      </w:pPr>
    </w:p>
    <w:p w14:paraId="1ED3BB76">
      <w:pPr>
        <w:keepNext w:val="0"/>
        <w:keepLines w:val="0"/>
        <w:pageBreakBefore w:val="0"/>
        <w:widowControl w:val="0"/>
        <w:kinsoku/>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p>
    <w:p w14:paraId="6352A2FB">
      <w:pPr>
        <w:pStyle w:val="28"/>
        <w:spacing w:before="120" w:beforeLines="50" w:after="0" w:line="360" w:lineRule="auto"/>
        <w:outlineLvl w:val="9"/>
        <w:rPr>
          <w:rFonts w:hint="eastAsia" w:cs="Arial"/>
          <w:color w:val="auto"/>
          <w:sz w:val="32"/>
          <w:szCs w:val="22"/>
          <w:highlight w:val="none"/>
        </w:rPr>
      </w:pPr>
    </w:p>
    <w:p w14:paraId="14973E79">
      <w:pPr>
        <w:pStyle w:val="28"/>
        <w:spacing w:before="120" w:beforeLines="50" w:after="0" w:line="360" w:lineRule="auto"/>
        <w:outlineLvl w:val="9"/>
        <w:rPr>
          <w:rFonts w:hint="eastAsia" w:cs="Arial"/>
          <w:color w:val="auto"/>
          <w:sz w:val="32"/>
          <w:szCs w:val="22"/>
          <w:highlight w:val="none"/>
        </w:rPr>
      </w:pPr>
    </w:p>
    <w:p w14:paraId="03888428">
      <w:pPr>
        <w:pStyle w:val="28"/>
        <w:spacing w:before="120" w:beforeLines="50" w:after="0" w:line="360" w:lineRule="auto"/>
        <w:outlineLvl w:val="9"/>
        <w:rPr>
          <w:rFonts w:hint="eastAsia" w:cs="Arial"/>
          <w:color w:val="auto"/>
          <w:sz w:val="32"/>
          <w:szCs w:val="22"/>
          <w:highlight w:val="none"/>
        </w:rPr>
      </w:pPr>
    </w:p>
    <w:p w14:paraId="6E2B18CE">
      <w:pPr>
        <w:pStyle w:val="28"/>
        <w:spacing w:before="120" w:beforeLines="50" w:after="0" w:line="360" w:lineRule="auto"/>
        <w:outlineLvl w:val="9"/>
        <w:rPr>
          <w:rFonts w:hint="eastAsia" w:cs="Arial"/>
          <w:color w:val="auto"/>
          <w:sz w:val="32"/>
          <w:szCs w:val="22"/>
          <w:highlight w:val="none"/>
        </w:rPr>
      </w:pPr>
    </w:p>
    <w:p w14:paraId="077BA862">
      <w:pPr>
        <w:pStyle w:val="28"/>
        <w:spacing w:before="120" w:beforeLines="50" w:after="0" w:line="360" w:lineRule="auto"/>
        <w:outlineLvl w:val="9"/>
        <w:rPr>
          <w:rFonts w:hint="eastAsia" w:cs="Arial"/>
          <w:color w:val="auto"/>
          <w:sz w:val="32"/>
          <w:szCs w:val="22"/>
          <w:highlight w:val="none"/>
        </w:rPr>
      </w:pPr>
    </w:p>
    <w:p w14:paraId="45E5FF78">
      <w:pPr>
        <w:pStyle w:val="28"/>
        <w:spacing w:before="120" w:beforeLines="50" w:after="0" w:line="360" w:lineRule="auto"/>
        <w:outlineLvl w:val="9"/>
        <w:rPr>
          <w:rFonts w:hint="eastAsia" w:cs="Arial"/>
          <w:color w:val="auto"/>
          <w:sz w:val="32"/>
          <w:szCs w:val="22"/>
          <w:highlight w:val="none"/>
        </w:rPr>
      </w:pPr>
    </w:p>
    <w:p w14:paraId="0B650A61">
      <w:pPr>
        <w:pStyle w:val="28"/>
        <w:spacing w:before="120" w:beforeLines="50" w:after="0" w:line="360" w:lineRule="auto"/>
        <w:jc w:val="center"/>
        <w:rPr>
          <w:rFonts w:hint="eastAsia" w:cs="Arial"/>
          <w:color w:val="auto"/>
          <w:sz w:val="32"/>
          <w:szCs w:val="22"/>
          <w:highlight w:val="none"/>
        </w:rPr>
      </w:pPr>
      <w:r>
        <w:rPr>
          <w:rFonts w:hint="eastAsia" w:cs="Arial"/>
          <w:color w:val="auto"/>
          <w:sz w:val="32"/>
          <w:szCs w:val="22"/>
          <w:highlight w:val="none"/>
        </w:rPr>
        <w:t>第六章 投标文件格式</w:t>
      </w:r>
      <w:bookmarkEnd w:id="145"/>
      <w:bookmarkEnd w:id="146"/>
      <w:bookmarkEnd w:id="147"/>
    </w:p>
    <w:p w14:paraId="5E6C204F">
      <w:pPr>
        <w:pStyle w:val="28"/>
        <w:spacing w:line="400" w:lineRule="exact"/>
        <w:jc w:val="right"/>
        <w:rPr>
          <w:rFonts w:ascii="宋体" w:hAnsi="宋体"/>
          <w:color w:val="auto"/>
          <w:highlight w:val="none"/>
        </w:rPr>
      </w:pPr>
      <w:r>
        <w:rPr>
          <w:rFonts w:ascii="宋体" w:hAnsi="宋体"/>
          <w:color w:val="auto"/>
          <w:highlight w:val="none"/>
        </w:rPr>
        <w:br w:type="page"/>
      </w:r>
      <w:bookmarkStart w:id="148" w:name="_Toc33625864"/>
      <w:r>
        <w:rPr>
          <w:rFonts w:hint="eastAsia" w:ascii="宋体" w:hAnsi="宋体"/>
          <w:b w:val="0"/>
          <w:color w:val="auto"/>
          <w:spacing w:val="30"/>
          <w:sz w:val="36"/>
          <w:highlight w:val="none"/>
        </w:rPr>
        <w:t>封面（格式）</w:t>
      </w:r>
      <w:bookmarkEnd w:id="148"/>
    </w:p>
    <w:tbl>
      <w:tblPr>
        <w:tblStyle w:val="30"/>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66"/>
      </w:tblGrid>
      <w:tr w14:paraId="2C3D080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69" w:hRule="atLeast"/>
          <w:jc w:val="center"/>
        </w:trPr>
        <w:tc>
          <w:tcPr>
            <w:tcW w:w="8766" w:type="dxa"/>
            <w:noWrap w:val="0"/>
            <w:vAlign w:val="top"/>
          </w:tcPr>
          <w:p w14:paraId="63F7FA73">
            <w:pPr>
              <w:jc w:val="right"/>
              <w:rPr>
                <w:rFonts w:ascii="宋体" w:hAnsi="宋体"/>
                <w:b/>
                <w:color w:val="auto"/>
                <w:spacing w:val="30"/>
                <w:sz w:val="32"/>
                <w:highlight w:val="none"/>
              </w:rPr>
            </w:pPr>
            <w:r>
              <w:rPr>
                <w:rFonts w:hint="eastAsia" w:ascii="宋体" w:hAnsi="宋体"/>
                <w:b/>
                <w:color w:val="auto"/>
                <w:spacing w:val="30"/>
                <w:sz w:val="32"/>
                <w:highlight w:val="none"/>
              </w:rPr>
              <w:t xml:space="preserve">　　　　　　　　　　　　　　 </w:t>
            </w:r>
          </w:p>
          <w:p w14:paraId="2AC59D1A">
            <w:pPr>
              <w:jc w:val="center"/>
              <w:rPr>
                <w:rFonts w:hint="eastAsia" w:ascii="宋体" w:hAnsi="宋体" w:eastAsia="宋体" w:cs="宋体"/>
                <w:b/>
                <w:color w:val="auto"/>
                <w:spacing w:val="30"/>
                <w:sz w:val="36"/>
                <w:szCs w:val="36"/>
                <w:highlight w:val="none"/>
                <w:lang w:eastAsia="zh-CN"/>
              </w:rPr>
            </w:pPr>
            <w:r>
              <w:rPr>
                <w:rFonts w:hint="eastAsia" w:ascii="宋体" w:hAnsi="宋体" w:cs="宋体"/>
                <w:b/>
                <w:color w:val="auto"/>
                <w:sz w:val="36"/>
                <w:szCs w:val="36"/>
                <w:highlight w:val="none"/>
                <w:lang w:eastAsia="zh-CN"/>
              </w:rPr>
              <w:t>通海港区-通州湾港区疏港航道双桥枢纽工程、新江海河船闸工程、新江海河段航道整治工程船艇设计服务项目THTZ-CTSJ1标段</w:t>
            </w:r>
          </w:p>
          <w:p w14:paraId="7440E078">
            <w:pPr>
              <w:jc w:val="center"/>
              <w:rPr>
                <w:rFonts w:ascii="宋体" w:hAnsi="宋体"/>
                <w:b/>
                <w:color w:val="auto"/>
                <w:spacing w:val="30"/>
                <w:sz w:val="36"/>
                <w:highlight w:val="none"/>
              </w:rPr>
            </w:pPr>
          </w:p>
          <w:p w14:paraId="3073CA5E">
            <w:pPr>
              <w:jc w:val="center"/>
              <w:rPr>
                <w:rFonts w:ascii="宋体" w:hAnsi="宋体"/>
                <w:b/>
                <w:color w:val="auto"/>
                <w:spacing w:val="30"/>
                <w:sz w:val="36"/>
                <w:highlight w:val="none"/>
              </w:rPr>
            </w:pPr>
          </w:p>
          <w:p w14:paraId="64A04065">
            <w:pPr>
              <w:jc w:val="center"/>
              <w:rPr>
                <w:rFonts w:ascii="宋体" w:hAnsi="宋体"/>
                <w:b/>
                <w:color w:val="auto"/>
                <w:spacing w:val="30"/>
                <w:sz w:val="36"/>
                <w:highlight w:val="none"/>
              </w:rPr>
            </w:pPr>
          </w:p>
          <w:p w14:paraId="7DE75F0C">
            <w:pPr>
              <w:jc w:val="center"/>
              <w:rPr>
                <w:rFonts w:ascii="宋体" w:hAnsi="宋体"/>
                <w:b/>
                <w:color w:val="auto"/>
                <w:spacing w:val="30"/>
                <w:sz w:val="36"/>
                <w:highlight w:val="none"/>
              </w:rPr>
            </w:pPr>
          </w:p>
          <w:p w14:paraId="136EA546">
            <w:pPr>
              <w:jc w:val="center"/>
              <w:rPr>
                <w:rFonts w:ascii="宋体" w:hAnsi="宋体"/>
                <w:b/>
                <w:color w:val="auto"/>
                <w:spacing w:val="30"/>
                <w:sz w:val="36"/>
                <w:highlight w:val="none"/>
              </w:rPr>
            </w:pPr>
          </w:p>
          <w:p w14:paraId="61D81E7C">
            <w:pPr>
              <w:jc w:val="center"/>
              <w:rPr>
                <w:rFonts w:ascii="宋体" w:hAnsi="宋体"/>
                <w:b/>
                <w:color w:val="auto"/>
                <w:spacing w:val="30"/>
                <w:sz w:val="36"/>
                <w:highlight w:val="none"/>
              </w:rPr>
            </w:pPr>
          </w:p>
          <w:p w14:paraId="73AB4E80">
            <w:pPr>
              <w:spacing w:line="240" w:lineRule="auto"/>
              <w:jc w:val="center"/>
              <w:rPr>
                <w:rFonts w:hint="eastAsia" w:ascii="宋体" w:hAnsi="宋体" w:cs="宋体"/>
                <w:b/>
                <w:color w:val="auto"/>
                <w:sz w:val="72"/>
                <w:highlight w:val="none"/>
              </w:rPr>
            </w:pPr>
            <w:r>
              <w:rPr>
                <w:rFonts w:hint="eastAsia" w:ascii="宋体" w:hAnsi="宋体" w:cs="宋体"/>
                <w:b/>
                <w:color w:val="auto"/>
                <w:sz w:val="72"/>
                <w:highlight w:val="none"/>
              </w:rPr>
              <w:t>投  标  文  件</w:t>
            </w:r>
          </w:p>
          <w:p w14:paraId="05E75135">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第一个信封  商务及技术文件</w:t>
            </w:r>
          </w:p>
          <w:p w14:paraId="5962FC8E">
            <w:pPr>
              <w:rPr>
                <w:rFonts w:hint="eastAsia" w:ascii="宋体" w:hAnsi="宋体" w:cs="宋体"/>
                <w:color w:val="auto"/>
                <w:highlight w:val="none"/>
              </w:rPr>
            </w:pPr>
          </w:p>
          <w:p w14:paraId="66C52CC7">
            <w:pPr>
              <w:rPr>
                <w:rFonts w:hint="eastAsia" w:ascii="宋体" w:hAnsi="宋体" w:cs="宋体"/>
                <w:color w:val="auto"/>
                <w:highlight w:val="none"/>
              </w:rPr>
            </w:pPr>
          </w:p>
          <w:p w14:paraId="4461C3AC">
            <w:pPr>
              <w:rPr>
                <w:rFonts w:hint="eastAsia" w:ascii="宋体" w:hAnsi="宋体" w:cs="宋体"/>
                <w:color w:val="auto"/>
                <w:highlight w:val="none"/>
              </w:rPr>
            </w:pPr>
          </w:p>
          <w:p w14:paraId="46B1A662">
            <w:pPr>
              <w:rPr>
                <w:rFonts w:hint="eastAsia" w:ascii="宋体" w:hAnsi="宋体" w:cs="宋体"/>
                <w:color w:val="auto"/>
                <w:highlight w:val="none"/>
              </w:rPr>
            </w:pPr>
          </w:p>
          <w:p w14:paraId="2D966EF8">
            <w:pPr>
              <w:rPr>
                <w:rFonts w:hint="eastAsia" w:ascii="宋体" w:hAnsi="宋体" w:cs="宋体"/>
                <w:color w:val="auto"/>
                <w:sz w:val="36"/>
                <w:highlight w:val="none"/>
              </w:rPr>
            </w:pPr>
          </w:p>
          <w:p w14:paraId="37634A30">
            <w:pPr>
              <w:spacing w:line="360" w:lineRule="auto"/>
              <w:ind w:firstLine="2160" w:firstLineChars="600"/>
              <w:rPr>
                <w:rFonts w:hint="eastAsia" w:ascii="宋体" w:hAnsi="宋体" w:cs="宋体"/>
                <w:color w:val="auto"/>
                <w:sz w:val="36"/>
                <w:highlight w:val="none"/>
                <w:u w:val="single"/>
              </w:rPr>
            </w:pPr>
            <w:r>
              <w:rPr>
                <w:rFonts w:hint="eastAsia" w:ascii="宋体" w:hAnsi="宋体" w:cs="宋体"/>
                <w:color w:val="auto"/>
                <w:sz w:val="36"/>
                <w:highlight w:val="none"/>
              </w:rPr>
              <w:t>投 标 人：</w:t>
            </w:r>
            <w:r>
              <w:rPr>
                <w:rFonts w:hint="eastAsia" w:ascii="宋体" w:hAnsi="宋体" w:cs="宋体"/>
                <w:color w:val="auto"/>
                <w:sz w:val="36"/>
                <w:highlight w:val="none"/>
                <w:u w:val="single"/>
              </w:rPr>
              <w:t xml:space="preserve">   （盖单位章）   </w:t>
            </w:r>
          </w:p>
          <w:p w14:paraId="244D449E">
            <w:pPr>
              <w:spacing w:line="360" w:lineRule="auto"/>
              <w:jc w:val="center"/>
              <w:rPr>
                <w:rFonts w:hint="default" w:ascii="宋体" w:hAnsi="宋体" w:eastAsia="宋体" w:cs="宋体"/>
                <w:b/>
                <w:color w:val="auto"/>
                <w:sz w:val="30"/>
                <w:highlight w:val="none"/>
                <w:u w:val="single"/>
                <w:lang w:val="en-US" w:eastAsia="zh-CN"/>
              </w:rPr>
            </w:pPr>
            <w:r>
              <w:rPr>
                <w:rFonts w:hint="eastAsia" w:ascii="宋体" w:hAnsi="宋体" w:cs="宋体"/>
                <w:color w:val="auto"/>
                <w:sz w:val="36"/>
                <w:highlight w:val="none"/>
              </w:rPr>
              <w:t xml:space="preserve">  </w:t>
            </w:r>
            <w:r>
              <w:rPr>
                <w:rFonts w:hint="eastAsia" w:ascii="宋体" w:hAnsi="宋体" w:cs="宋体"/>
                <w:color w:val="auto"/>
                <w:sz w:val="36"/>
                <w:highlight w:val="none"/>
                <w:u w:val="single"/>
              </w:rPr>
              <w:t xml:space="preserve">     </w:t>
            </w:r>
            <w:r>
              <w:rPr>
                <w:rFonts w:hint="eastAsia" w:ascii="宋体" w:hAnsi="宋体" w:cs="宋体"/>
                <w:color w:val="auto"/>
                <w:sz w:val="36"/>
                <w:highlight w:val="none"/>
              </w:rPr>
              <w:t>年</w:t>
            </w:r>
            <w:r>
              <w:rPr>
                <w:rFonts w:hint="eastAsia" w:ascii="宋体" w:hAnsi="宋体" w:cs="宋体"/>
                <w:color w:val="auto"/>
                <w:sz w:val="36"/>
                <w:highlight w:val="none"/>
                <w:u w:val="single"/>
              </w:rPr>
              <w:t xml:space="preserve">     </w:t>
            </w:r>
            <w:r>
              <w:rPr>
                <w:rFonts w:hint="eastAsia" w:ascii="宋体" w:hAnsi="宋体" w:cs="宋体"/>
                <w:color w:val="auto"/>
                <w:sz w:val="36"/>
                <w:highlight w:val="none"/>
              </w:rPr>
              <w:t>月</w:t>
            </w:r>
            <w:r>
              <w:rPr>
                <w:rFonts w:hint="eastAsia" w:ascii="宋体" w:hAnsi="宋体" w:cs="宋体"/>
                <w:color w:val="auto"/>
                <w:sz w:val="36"/>
                <w:highlight w:val="none"/>
                <w:u w:val="single"/>
                <w:lang w:val="en-US" w:eastAsia="zh-CN"/>
              </w:rPr>
              <w:t xml:space="preserve">     </w:t>
            </w:r>
            <w:r>
              <w:rPr>
                <w:rFonts w:hint="eastAsia" w:ascii="宋体" w:hAnsi="宋体" w:cs="宋体"/>
                <w:color w:val="auto"/>
                <w:sz w:val="36"/>
                <w:highlight w:val="none"/>
                <w:u w:val="none"/>
                <w:lang w:val="en-US" w:eastAsia="zh-CN"/>
              </w:rPr>
              <w:t>日</w:t>
            </w:r>
          </w:p>
          <w:p w14:paraId="16D1CB78">
            <w:pPr>
              <w:ind w:firstLine="1686" w:firstLineChars="400"/>
              <w:rPr>
                <w:rFonts w:ascii="宋体" w:hAnsi="宋体"/>
                <w:b/>
                <w:color w:val="auto"/>
                <w:spacing w:val="30"/>
                <w:sz w:val="36"/>
                <w:highlight w:val="none"/>
              </w:rPr>
            </w:pPr>
          </w:p>
        </w:tc>
      </w:tr>
    </w:tbl>
    <w:p w14:paraId="6541D742">
      <w:pPr>
        <w:spacing w:before="120" w:beforeLines="50" w:line="360" w:lineRule="auto"/>
        <w:jc w:val="center"/>
        <w:rPr>
          <w:rFonts w:ascii="宋体" w:hAnsi="宋体"/>
          <w:color w:val="auto"/>
          <w:highlight w:val="none"/>
        </w:rPr>
      </w:pPr>
    </w:p>
    <w:p w14:paraId="52B5E99C">
      <w:pPr>
        <w:spacing w:before="120" w:beforeLines="50" w:line="24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目</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录</w:t>
      </w:r>
    </w:p>
    <w:p w14:paraId="039A3877">
      <w:pPr>
        <w:spacing w:before="120" w:beforeLines="50" w:line="240" w:lineRule="auto"/>
        <w:jc w:val="center"/>
        <w:rPr>
          <w:rFonts w:ascii="宋体" w:hAnsi="宋体"/>
          <w:color w:val="auto"/>
          <w:sz w:val="32"/>
          <w:szCs w:val="32"/>
          <w:highlight w:val="none"/>
        </w:rPr>
      </w:pPr>
    </w:p>
    <w:p w14:paraId="46733F81">
      <w:pPr>
        <w:pStyle w:val="88"/>
        <w:spacing w:before="120" w:beforeLines="50" w:after="120" w:afterLines="50" w:line="360" w:lineRule="auto"/>
        <w:ind w:left="562" w:hanging="562"/>
        <w:jc w:val="left"/>
        <w:outlineLvl w:val="9"/>
        <w:rPr>
          <w:rFonts w:hint="eastAsia" w:ascii="宋体" w:hAnsi="宋体"/>
          <w:b w:val="0"/>
          <w:bCs w:val="0"/>
          <w:color w:val="auto"/>
          <w:sz w:val="24"/>
          <w:highlight w:val="none"/>
        </w:rPr>
      </w:pPr>
      <w:r>
        <w:rPr>
          <w:rFonts w:hint="eastAsia" w:ascii="宋体" w:hAnsi="宋体"/>
          <w:b w:val="0"/>
          <w:bCs w:val="0"/>
          <w:color w:val="auto"/>
          <w:sz w:val="24"/>
          <w:highlight w:val="none"/>
        </w:rPr>
        <w:t>一  投标函</w:t>
      </w:r>
    </w:p>
    <w:p w14:paraId="56D72C24">
      <w:pPr>
        <w:pStyle w:val="88"/>
        <w:spacing w:before="120" w:beforeLines="50" w:after="120" w:afterLines="50" w:line="360" w:lineRule="auto"/>
        <w:ind w:left="562" w:hanging="562"/>
        <w:jc w:val="left"/>
        <w:outlineLvl w:val="9"/>
        <w:rPr>
          <w:rFonts w:hint="eastAsia" w:ascii="宋体" w:hAnsi="宋体"/>
          <w:b w:val="0"/>
          <w:bCs w:val="0"/>
          <w:color w:val="auto"/>
          <w:sz w:val="24"/>
          <w:highlight w:val="none"/>
        </w:rPr>
      </w:pPr>
      <w:r>
        <w:rPr>
          <w:rFonts w:hint="eastAsia" w:ascii="宋体" w:hAnsi="宋体"/>
          <w:b w:val="0"/>
          <w:bCs w:val="0"/>
          <w:color w:val="auto"/>
          <w:sz w:val="24"/>
          <w:highlight w:val="none"/>
        </w:rPr>
        <w:t>二  法定代表人身份证明</w:t>
      </w:r>
      <w:r>
        <w:rPr>
          <w:rFonts w:hint="eastAsia" w:ascii="宋体" w:hAnsi="宋体"/>
          <w:b w:val="0"/>
          <w:bCs w:val="0"/>
          <w:color w:val="auto"/>
          <w:sz w:val="24"/>
          <w:highlight w:val="none"/>
          <w:lang w:val="en-US" w:eastAsia="zh-CN"/>
        </w:rPr>
        <w:t>及</w:t>
      </w:r>
      <w:r>
        <w:rPr>
          <w:rFonts w:hint="eastAsia" w:ascii="宋体" w:hAnsi="宋体"/>
          <w:b w:val="0"/>
          <w:bCs w:val="0"/>
          <w:color w:val="auto"/>
          <w:sz w:val="24"/>
          <w:highlight w:val="none"/>
        </w:rPr>
        <w:t>授权委托书</w:t>
      </w:r>
    </w:p>
    <w:p w14:paraId="3E5576D8">
      <w:pPr>
        <w:pStyle w:val="88"/>
        <w:spacing w:before="120" w:beforeLines="50" w:after="120" w:afterLines="50" w:line="360" w:lineRule="auto"/>
        <w:ind w:left="562" w:hanging="562"/>
        <w:jc w:val="left"/>
        <w:outlineLvl w:val="9"/>
        <w:rPr>
          <w:rFonts w:ascii="宋体" w:hAnsi="宋体"/>
          <w:b w:val="0"/>
          <w:bCs w:val="0"/>
          <w:color w:val="auto"/>
          <w:sz w:val="24"/>
          <w:highlight w:val="none"/>
        </w:rPr>
      </w:pPr>
      <w:r>
        <w:rPr>
          <w:rFonts w:hint="eastAsia" w:ascii="宋体" w:hAnsi="宋体"/>
          <w:b w:val="0"/>
          <w:bCs w:val="0"/>
          <w:color w:val="auto"/>
          <w:sz w:val="24"/>
          <w:highlight w:val="none"/>
          <w:lang w:val="en-US" w:eastAsia="zh-CN"/>
        </w:rPr>
        <w:t>三</w:t>
      </w:r>
      <w:r>
        <w:rPr>
          <w:rFonts w:hint="eastAsia" w:ascii="宋体" w:hAnsi="宋体"/>
          <w:b w:val="0"/>
          <w:bCs w:val="0"/>
          <w:color w:val="auto"/>
          <w:sz w:val="24"/>
          <w:highlight w:val="none"/>
        </w:rPr>
        <w:t xml:space="preserve">  资格审查资料</w:t>
      </w:r>
    </w:p>
    <w:p w14:paraId="3D108D6F">
      <w:pPr>
        <w:pStyle w:val="88"/>
        <w:spacing w:before="120" w:beforeLines="50" w:after="120" w:afterLines="50" w:line="360" w:lineRule="auto"/>
        <w:ind w:left="562" w:hanging="562"/>
        <w:jc w:val="left"/>
        <w:outlineLvl w:val="9"/>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四</w:t>
      </w:r>
      <w:r>
        <w:rPr>
          <w:rFonts w:hint="eastAsia" w:ascii="宋体" w:hAnsi="宋体"/>
          <w:b w:val="0"/>
          <w:bCs w:val="0"/>
          <w:color w:val="auto"/>
          <w:sz w:val="24"/>
          <w:highlight w:val="none"/>
        </w:rPr>
        <w:t xml:space="preserve">  承诺书</w:t>
      </w:r>
    </w:p>
    <w:p w14:paraId="6B261EAB">
      <w:pPr>
        <w:pStyle w:val="88"/>
        <w:spacing w:before="120" w:beforeLines="50" w:after="120" w:afterLines="50" w:line="360" w:lineRule="auto"/>
        <w:ind w:left="562" w:hanging="562"/>
        <w:jc w:val="left"/>
        <w:outlineLvl w:val="9"/>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五</w:t>
      </w:r>
      <w:r>
        <w:rPr>
          <w:rFonts w:hint="eastAsia" w:ascii="宋体" w:hAnsi="宋体"/>
          <w:b w:val="0"/>
          <w:bCs w:val="0"/>
          <w:color w:val="auto"/>
          <w:sz w:val="24"/>
          <w:highlight w:val="none"/>
        </w:rPr>
        <w:t xml:space="preserve">  工作大纲</w:t>
      </w:r>
    </w:p>
    <w:p w14:paraId="0D3E87CE">
      <w:pPr>
        <w:pStyle w:val="88"/>
        <w:spacing w:before="120" w:beforeLines="50" w:after="120" w:afterLines="50" w:line="360" w:lineRule="auto"/>
        <w:ind w:left="562" w:hanging="562"/>
        <w:jc w:val="left"/>
        <w:outlineLvl w:val="9"/>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六</w:t>
      </w:r>
      <w:r>
        <w:rPr>
          <w:rFonts w:hint="eastAsia" w:ascii="宋体" w:hAnsi="宋体"/>
          <w:b w:val="0"/>
          <w:bCs w:val="0"/>
          <w:color w:val="auto"/>
          <w:sz w:val="24"/>
          <w:highlight w:val="none"/>
        </w:rPr>
        <w:t xml:space="preserve">  其他材料</w:t>
      </w:r>
    </w:p>
    <w:p w14:paraId="214FDBEB">
      <w:pPr>
        <w:pStyle w:val="88"/>
        <w:spacing w:before="120" w:beforeLines="50" w:after="120" w:afterLines="50" w:line="360" w:lineRule="auto"/>
        <w:ind w:left="562" w:hanging="562"/>
        <w:jc w:val="left"/>
        <w:outlineLvl w:val="9"/>
        <w:rPr>
          <w:rFonts w:hint="eastAsia" w:ascii="宋体" w:hAnsi="宋体"/>
          <w:b w:val="0"/>
          <w:bCs w:val="0"/>
          <w:color w:val="auto"/>
          <w:sz w:val="24"/>
          <w:highlight w:val="none"/>
        </w:rPr>
      </w:pPr>
    </w:p>
    <w:p w14:paraId="2AA424EE">
      <w:pPr>
        <w:pStyle w:val="88"/>
        <w:spacing w:before="120" w:beforeLines="50" w:after="120" w:afterLines="50" w:line="360" w:lineRule="auto"/>
        <w:ind w:left="562" w:hanging="562"/>
        <w:jc w:val="left"/>
        <w:outlineLvl w:val="9"/>
        <w:rPr>
          <w:rFonts w:hint="eastAsia" w:ascii="宋体" w:hAnsi="宋体"/>
          <w:b w:val="0"/>
          <w:bCs w:val="0"/>
          <w:color w:val="auto"/>
          <w:sz w:val="24"/>
          <w:highlight w:val="none"/>
        </w:rPr>
      </w:pPr>
    </w:p>
    <w:p w14:paraId="2A6128DB">
      <w:pPr>
        <w:pStyle w:val="88"/>
        <w:keepNext/>
        <w:keepLines/>
        <w:pageBreakBefore w:val="0"/>
        <w:widowControl w:val="0"/>
        <w:kinsoku/>
        <w:wordWrap/>
        <w:overflowPunct/>
        <w:topLinePunct w:val="0"/>
        <w:autoSpaceDE/>
        <w:autoSpaceDN/>
        <w:bidi w:val="0"/>
        <w:adjustRightInd/>
        <w:snapToGrid/>
        <w:spacing w:before="120" w:beforeLines="50" w:after="120" w:afterLines="50" w:line="360" w:lineRule="auto"/>
        <w:ind w:left="0" w:firstLine="0"/>
        <w:jc w:val="center"/>
        <w:textAlignment w:val="auto"/>
        <w:rPr>
          <w:color w:val="auto"/>
          <w:highlight w:val="none"/>
        </w:rPr>
      </w:pPr>
      <w:r>
        <w:rPr>
          <w:rFonts w:ascii="宋体" w:hAnsi="宋体"/>
          <w:color w:val="auto"/>
          <w:highlight w:val="none"/>
        </w:rPr>
        <w:br w:type="page"/>
      </w:r>
      <w:bookmarkStart w:id="149" w:name="_Toc33625865"/>
      <w:bookmarkStart w:id="150" w:name="_Toc436730370"/>
      <w:bookmarkStart w:id="151" w:name="_Toc372633022"/>
      <w:r>
        <w:rPr>
          <w:rFonts w:hint="eastAsia"/>
          <w:color w:val="auto"/>
          <w:highlight w:val="none"/>
        </w:rPr>
        <w:t>一、投标函</w:t>
      </w:r>
      <w:bookmarkEnd w:id="149"/>
      <w:bookmarkEnd w:id="150"/>
      <w:bookmarkEnd w:id="151"/>
    </w:p>
    <w:p w14:paraId="7AD9AC6C">
      <w:pPr>
        <w:spacing w:line="360" w:lineRule="auto"/>
        <w:rPr>
          <w:rFonts w:hint="eastAsia" w:ascii="宋体" w:hAnsi="宋体" w:eastAsia="宋体" w:cs="宋体"/>
          <w:snapToGrid w:val="0"/>
          <w:color w:val="auto"/>
          <w:kern w:val="0"/>
          <w:sz w:val="21"/>
          <w:szCs w:val="21"/>
          <w:highlight w:val="none"/>
          <w:u w:val="single"/>
          <w:lang w:eastAsia="zh-CN"/>
        </w:rPr>
      </w:pPr>
      <w:r>
        <w:rPr>
          <w:rFonts w:hint="eastAsia" w:ascii="宋体" w:hAnsi="宋体" w:cs="宋体"/>
          <w:snapToGrid w:val="0"/>
          <w:color w:val="auto"/>
          <w:kern w:val="0"/>
          <w:sz w:val="21"/>
          <w:szCs w:val="21"/>
          <w:highlight w:val="none"/>
        </w:rPr>
        <w:t>致：</w:t>
      </w:r>
      <w:r>
        <w:rPr>
          <w:rFonts w:hint="eastAsia" w:ascii="宋体" w:hAnsi="宋体" w:cs="宋体"/>
          <w:snapToGrid w:val="0"/>
          <w:color w:val="auto"/>
          <w:kern w:val="0"/>
          <w:sz w:val="21"/>
          <w:szCs w:val="21"/>
          <w:highlight w:val="none"/>
          <w:u w:val="single"/>
          <w:lang w:eastAsia="zh-CN"/>
        </w:rPr>
        <w:t>南通市江海河联运项目建设指挥部</w:t>
      </w:r>
    </w:p>
    <w:p w14:paraId="486A753E">
      <w:pPr>
        <w:wordWrap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1、我方在仔细研究了</w:t>
      </w:r>
      <w:r>
        <w:rPr>
          <w:rFonts w:hint="eastAsia" w:ascii="宋体" w:hAnsi="宋体" w:cs="宋体"/>
          <w:bCs/>
          <w:color w:val="auto"/>
          <w:sz w:val="21"/>
          <w:szCs w:val="21"/>
          <w:highlight w:val="none"/>
          <w:u w:val="single"/>
          <w:lang w:eastAsia="zh-CN"/>
        </w:rPr>
        <w:t>通海港区-通州湾港区疏港航道双桥枢纽工程、新江海河船闸工程、新江海河段航道整治工程船艇设计服务项目THTZ-CTSJ1标段</w:t>
      </w:r>
      <w:r>
        <w:rPr>
          <w:rFonts w:hint="eastAsia" w:ascii="宋体" w:hAnsi="宋体" w:cs="宋体"/>
          <w:color w:val="auto"/>
          <w:sz w:val="21"/>
          <w:szCs w:val="21"/>
          <w:highlight w:val="none"/>
        </w:rPr>
        <w:t>的招标文件并了解该项目基本情况后，决定参加该项目投标。在此郑重表示，我们愿意按照招标文件确定的投入力量和工作方案、遵照招标文件规定的责任和义务、并以投标文件第二个信封报价函上的投标总价，承担本项目的服务工作。</w:t>
      </w:r>
    </w:p>
    <w:p w14:paraId="7EBC733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2、我单位一旦中标，将保证按本投标文件配备的人员提供服务，即</w:t>
      </w:r>
    </w:p>
    <w:p w14:paraId="6BD02D8D">
      <w:pP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（1）项目负责人：_____________ ，身份证号为（</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w:t>
      </w:r>
    </w:p>
    <w:p w14:paraId="49655926">
      <w:pPr>
        <w:adjustRightInd w:val="0"/>
        <w:snapToGrid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3、</w:t>
      </w:r>
      <w:r>
        <w:rPr>
          <w:rFonts w:hint="eastAsia" w:ascii="宋体" w:hAnsi="宋体" w:cs="宋体"/>
          <w:b w:val="0"/>
          <w:bCs w:val="0"/>
          <w:color w:val="auto"/>
          <w:sz w:val="21"/>
          <w:szCs w:val="21"/>
          <w:highlight w:val="none"/>
          <w:lang w:eastAsia="zh-CN"/>
        </w:rPr>
        <w:t>服务周期</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u w:val="single"/>
          <w:lang w:val="en-US" w:eastAsia="zh-CN"/>
        </w:rPr>
        <w:t>满足招标文件规定</w:t>
      </w:r>
      <w:r>
        <w:rPr>
          <w:rFonts w:hint="eastAsia" w:ascii="宋体" w:hAnsi="宋体" w:cs="宋体"/>
          <w:b w:val="0"/>
          <w:bCs w:val="0"/>
          <w:color w:val="auto"/>
          <w:sz w:val="21"/>
          <w:szCs w:val="21"/>
          <w:highlight w:val="none"/>
          <w:u w:val="single"/>
        </w:rPr>
        <w:t>。</w:t>
      </w:r>
    </w:p>
    <w:p w14:paraId="417EC8E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4、我方同意所递交的投标文件在“投标人须知”规定的投标有效期内有效，在此期限届满之前，本投标函将始终对我方具有约束力，并随时接受中标。</w:t>
      </w:r>
    </w:p>
    <w:p w14:paraId="4263603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5、如果你单位接受我们的投标文件，我们保证按照投标文件的约定及时与你方按招标文件中服务合同的格式及内容签署服务合同。</w:t>
      </w:r>
    </w:p>
    <w:p w14:paraId="296FE30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6、除非另外达成协议并生效，你方的招标文件、中标通知书和本投标文件将构成约束我们双方的合同。</w:t>
      </w:r>
    </w:p>
    <w:p w14:paraId="014B3E2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（其他补充说明）。</w:t>
      </w:r>
    </w:p>
    <w:p w14:paraId="73ECFA89">
      <w:pPr>
        <w:spacing w:line="360" w:lineRule="auto"/>
        <w:ind w:firstLine="420" w:firstLineChars="200"/>
        <w:rPr>
          <w:rFonts w:hint="eastAsia" w:ascii="宋体" w:hAnsi="宋体" w:cs="宋体"/>
          <w:snapToGrid w:val="0"/>
          <w:color w:val="auto"/>
          <w:kern w:val="0"/>
          <w:sz w:val="21"/>
          <w:szCs w:val="21"/>
          <w:highlight w:val="none"/>
        </w:rPr>
      </w:pPr>
    </w:p>
    <w:p w14:paraId="00FA5F62">
      <w:pPr>
        <w:spacing w:line="360" w:lineRule="auto"/>
        <w:ind w:firstLine="420" w:firstLineChars="200"/>
        <w:jc w:val="righ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（全称）（盖章）    </w:t>
      </w:r>
    </w:p>
    <w:p w14:paraId="4BE40D56">
      <w:pPr>
        <w:spacing w:line="360" w:lineRule="auto"/>
        <w:ind w:firstLine="420" w:firstLineChars="2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法定代表人或其授权代理人：</w:t>
      </w:r>
      <w:r>
        <w:rPr>
          <w:rFonts w:hint="eastAsia" w:ascii="宋体" w:hAnsi="宋体" w:cs="宋体"/>
          <w:color w:val="auto"/>
          <w:sz w:val="21"/>
          <w:szCs w:val="21"/>
          <w:highlight w:val="none"/>
          <w:u w:val="single"/>
        </w:rPr>
        <w:t xml:space="preserve">   （签字</w:t>
      </w:r>
      <w:r>
        <w:rPr>
          <w:rFonts w:hint="eastAsia" w:ascii="宋体" w:hAnsi="宋体" w:cs="宋体"/>
          <w:color w:val="auto"/>
          <w:sz w:val="21"/>
          <w:szCs w:val="21"/>
          <w:highlight w:val="none"/>
          <w:u w:val="single"/>
          <w:lang w:val="en-US" w:eastAsia="zh-CN"/>
        </w:rPr>
        <w:t>或签章</w:t>
      </w:r>
      <w:r>
        <w:rPr>
          <w:rFonts w:hint="eastAsia" w:ascii="宋体" w:hAnsi="宋体" w:cs="宋体"/>
          <w:color w:val="auto"/>
          <w:sz w:val="21"/>
          <w:szCs w:val="21"/>
          <w:highlight w:val="none"/>
          <w:u w:val="single"/>
        </w:rPr>
        <w:t xml:space="preserve">） </w:t>
      </w:r>
    </w:p>
    <w:p w14:paraId="41E278FE">
      <w:pPr>
        <w:spacing w:line="360" w:lineRule="auto"/>
        <w:ind w:firstLine="420" w:firstLineChars="200"/>
        <w:jc w:val="right"/>
        <w:rPr>
          <w:rFonts w:hint="eastAsia" w:ascii="宋体" w:hAnsi="宋体" w:cs="宋体"/>
          <w:color w:val="auto"/>
          <w:sz w:val="21"/>
          <w:szCs w:val="21"/>
          <w:highlight w:val="none"/>
        </w:rPr>
        <w:sectPr>
          <w:headerReference r:id="rId8" w:type="default"/>
          <w:footerReference r:id="rId9" w:type="default"/>
          <w:pgSz w:w="11906" w:h="16838"/>
          <w:pgMar w:top="1361" w:right="1361" w:bottom="1361" w:left="1361" w:header="850" w:footer="964" w:gutter="170"/>
          <w:pgNumType w:fmt="decimal"/>
          <w:cols w:space="720" w:num="1"/>
          <w:docGrid w:linePitch="381" w:charSpace="0"/>
        </w:sectPr>
      </w:pPr>
      <w:r>
        <w:rPr>
          <w:rFonts w:hint="eastAsia" w:ascii="宋体" w:hAnsi="宋体" w:cs="宋体"/>
          <w:color w:val="auto"/>
          <w:sz w:val="21"/>
          <w:szCs w:val="21"/>
          <w:highlight w:val="none"/>
        </w:rPr>
        <w:t>日期：_____年___月___日</w:t>
      </w:r>
      <w:bookmarkStart w:id="152" w:name="_Toc255930403"/>
      <w:bookmarkStart w:id="153" w:name="_Toc258313656"/>
    </w:p>
    <w:p w14:paraId="47257957">
      <w:pPr>
        <w:pStyle w:val="88"/>
        <w:keepNext/>
        <w:keepLines/>
        <w:pageBreakBefore w:val="0"/>
        <w:widowControl w:val="0"/>
        <w:kinsoku/>
        <w:wordWrap/>
        <w:overflowPunct/>
        <w:topLinePunct w:val="0"/>
        <w:autoSpaceDE/>
        <w:autoSpaceDN/>
        <w:bidi w:val="0"/>
        <w:adjustRightInd/>
        <w:snapToGrid/>
        <w:spacing w:before="0" w:line="360" w:lineRule="auto"/>
        <w:ind w:left="0" w:firstLine="0"/>
        <w:textAlignment w:val="auto"/>
        <w:rPr>
          <w:color w:val="auto"/>
          <w:highlight w:val="none"/>
        </w:rPr>
      </w:pPr>
      <w:r>
        <w:rPr>
          <w:color w:val="auto"/>
          <w:highlight w:val="none"/>
        </w:rPr>
        <w:t>二、法定代表人身份证明及授权委托书</w:t>
      </w:r>
    </w:p>
    <w:p w14:paraId="0138BD0F">
      <w:pPr>
        <w:spacing w:line="360" w:lineRule="auto"/>
        <w:jc w:val="center"/>
        <w:rPr>
          <w:b/>
          <w:color w:val="auto"/>
          <w:sz w:val="32"/>
          <w:szCs w:val="32"/>
          <w:highlight w:val="none"/>
        </w:rPr>
      </w:pPr>
      <w:r>
        <w:rPr>
          <w:color w:val="auto"/>
          <w:sz w:val="32"/>
          <w:szCs w:val="32"/>
          <w:highlight w:val="none"/>
        </w:rPr>
        <w:t xml:space="preserve"> </w:t>
      </w:r>
      <w:r>
        <w:rPr>
          <w:b/>
          <w:color w:val="auto"/>
          <w:sz w:val="32"/>
          <w:szCs w:val="32"/>
          <w:highlight w:val="none"/>
        </w:rPr>
        <w:t xml:space="preserve"> </w:t>
      </w:r>
    </w:p>
    <w:p w14:paraId="0DB01C56">
      <w:pPr>
        <w:spacing w:line="360" w:lineRule="auto"/>
        <w:jc w:val="center"/>
        <w:rPr>
          <w:b/>
          <w:color w:val="auto"/>
          <w:sz w:val="24"/>
          <w:highlight w:val="none"/>
        </w:rPr>
      </w:pPr>
      <w:r>
        <w:rPr>
          <w:b/>
          <w:color w:val="auto"/>
          <w:sz w:val="24"/>
          <w:highlight w:val="none"/>
        </w:rPr>
        <w:t>（一）法定代表人身份证明</w:t>
      </w:r>
    </w:p>
    <w:p w14:paraId="0CF7FB7A">
      <w:pPr>
        <w:spacing w:line="340" w:lineRule="exact"/>
        <w:jc w:val="right"/>
        <w:rPr>
          <w:color w:val="auto"/>
          <w:sz w:val="24"/>
          <w:highlight w:val="none"/>
        </w:rPr>
      </w:pPr>
    </w:p>
    <w:p w14:paraId="655EEB8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投标人名称：_____________________</w:t>
      </w:r>
    </w:p>
    <w:p w14:paraId="14CAF886">
      <w:pPr>
        <w:spacing w:line="360" w:lineRule="auto"/>
        <w:ind w:firstLine="420" w:firstLineChars="200"/>
        <w:rPr>
          <w:rFonts w:hint="eastAsia" w:ascii="宋体" w:hAnsi="宋体" w:cs="宋体"/>
          <w:b/>
          <w:bCs/>
          <w:color w:val="auto"/>
          <w:sz w:val="32"/>
          <w:szCs w:val="32"/>
          <w:highlight w:val="none"/>
          <w:u w:val="singl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b/>
          <w:bCs/>
          <w:color w:val="auto"/>
          <w:sz w:val="32"/>
          <w:szCs w:val="32"/>
          <w:highlight w:val="none"/>
          <w:u w:val="single"/>
        </w:rPr>
        <w:t>（签字</w:t>
      </w:r>
      <w:r>
        <w:rPr>
          <w:rFonts w:hint="eastAsia" w:ascii="宋体" w:hAnsi="宋体" w:cs="宋体"/>
          <w:b/>
          <w:bCs/>
          <w:color w:val="auto"/>
          <w:sz w:val="32"/>
          <w:szCs w:val="32"/>
          <w:highlight w:val="none"/>
          <w:u w:val="single"/>
          <w:lang w:val="en-US" w:eastAsia="zh-CN"/>
        </w:rPr>
        <w:t>或签章</w:t>
      </w:r>
      <w:r>
        <w:rPr>
          <w:rFonts w:hint="eastAsia" w:ascii="宋体" w:hAnsi="宋体" w:cs="宋体"/>
          <w:b/>
          <w:bCs/>
          <w:color w:val="auto"/>
          <w:sz w:val="32"/>
          <w:szCs w:val="32"/>
          <w:highlight w:val="none"/>
          <w:u w:val="single"/>
        </w:rPr>
        <w:t>）</w:t>
      </w:r>
    </w:p>
    <w:p w14:paraId="4610779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性别：____年龄：_____职务：_____</w:t>
      </w:r>
    </w:p>
    <w:p w14:paraId="25E4791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系_________（投标人名称）的法定代表人。</w:t>
      </w:r>
    </w:p>
    <w:p w14:paraId="5E7971E0">
      <w:pPr>
        <w:spacing w:line="360" w:lineRule="auto"/>
        <w:rPr>
          <w:rFonts w:hint="eastAsia" w:ascii="宋体" w:hAnsi="宋体" w:cs="宋体"/>
          <w:color w:val="auto"/>
          <w:sz w:val="21"/>
          <w:szCs w:val="21"/>
          <w:highlight w:val="none"/>
        </w:rPr>
      </w:pPr>
    </w:p>
    <w:p w14:paraId="08E6DA0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特此证明。</w:t>
      </w:r>
    </w:p>
    <w:p w14:paraId="06ECFFB2">
      <w:pPr>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附：法定代表人身份证复印件（双面）。</w:t>
      </w:r>
    </w:p>
    <w:p w14:paraId="556F6FFF">
      <w:pPr>
        <w:spacing w:line="360" w:lineRule="auto"/>
        <w:rPr>
          <w:rFonts w:hint="eastAsia" w:ascii="宋体" w:hAnsi="宋体" w:cs="宋体"/>
          <w:color w:val="auto"/>
          <w:sz w:val="21"/>
          <w:szCs w:val="21"/>
          <w:highlight w:val="none"/>
        </w:rPr>
      </w:pPr>
    </w:p>
    <w:p w14:paraId="33B72CD9">
      <w:pPr>
        <w:spacing w:line="360" w:lineRule="auto"/>
        <w:rPr>
          <w:rFonts w:hint="eastAsia" w:ascii="宋体" w:hAnsi="宋体" w:cs="宋体"/>
          <w:color w:val="auto"/>
          <w:sz w:val="21"/>
          <w:szCs w:val="21"/>
          <w:highlight w:val="none"/>
        </w:rPr>
      </w:pPr>
    </w:p>
    <w:p w14:paraId="407A7A75">
      <w:pPr>
        <w:spacing w:line="360" w:lineRule="auto"/>
        <w:jc w:val="right"/>
        <w:rPr>
          <w:rFonts w:hint="eastAsia" w:ascii="宋体" w:hAnsi="宋体" w:cs="宋体"/>
          <w:color w:val="auto"/>
          <w:sz w:val="21"/>
          <w:szCs w:val="21"/>
          <w:highlight w:val="none"/>
        </w:rPr>
      </w:pPr>
    </w:p>
    <w:p w14:paraId="3D536D7A">
      <w:pPr>
        <w:spacing w:line="360" w:lineRule="auto"/>
        <w:jc w:val="right"/>
        <w:rPr>
          <w:rFonts w:hint="eastAsia" w:ascii="宋体" w:hAnsi="宋体" w:cs="宋体"/>
          <w:color w:val="auto"/>
          <w:sz w:val="21"/>
          <w:szCs w:val="21"/>
          <w:highlight w:val="none"/>
        </w:rPr>
      </w:pPr>
    </w:p>
    <w:p w14:paraId="2068F704">
      <w:pPr>
        <w:spacing w:line="360" w:lineRule="auto"/>
        <w:jc w:val="right"/>
        <w:rPr>
          <w:rFonts w:hint="eastAsia" w:ascii="宋体" w:hAnsi="宋体" w:cs="宋体"/>
          <w:color w:val="auto"/>
          <w:sz w:val="21"/>
          <w:szCs w:val="21"/>
          <w:highlight w:val="none"/>
        </w:rPr>
      </w:pPr>
    </w:p>
    <w:p w14:paraId="740F82F4">
      <w:pPr>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投标人：___________________（盖单位章）</w:t>
      </w:r>
    </w:p>
    <w:p w14:paraId="0B64F313">
      <w:pPr>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______年_____月_______日</w:t>
      </w:r>
    </w:p>
    <w:p w14:paraId="39DE2543">
      <w:pPr>
        <w:spacing w:line="360" w:lineRule="auto"/>
        <w:jc w:val="right"/>
        <w:rPr>
          <w:color w:val="auto"/>
          <w:sz w:val="21"/>
          <w:szCs w:val="21"/>
          <w:highlight w:val="none"/>
        </w:rPr>
      </w:pPr>
    </w:p>
    <w:p w14:paraId="2244EBC5">
      <w:pPr>
        <w:spacing w:line="360" w:lineRule="auto"/>
        <w:jc w:val="left"/>
        <w:rPr>
          <w:rFonts w:hint="eastAsia" w:ascii="宋体" w:hAnsi="宋体" w:cs="宋体"/>
          <w:color w:val="auto"/>
          <w:sz w:val="21"/>
          <w:szCs w:val="21"/>
          <w:highlight w:val="none"/>
        </w:rPr>
      </w:pPr>
      <w:r>
        <w:rPr>
          <w:rFonts w:hint="eastAsia" w:ascii="宋体" w:hAnsi="宋体" w:cs="宋体"/>
          <w:b/>
          <w:color w:val="auto"/>
          <w:sz w:val="21"/>
          <w:szCs w:val="21"/>
          <w:highlight w:val="none"/>
          <w:lang w:val="en-US" w:eastAsia="zh-CN"/>
        </w:rPr>
        <w:t>注：</w:t>
      </w:r>
      <w:r>
        <w:rPr>
          <w:rFonts w:hint="eastAsia" w:ascii="宋体" w:hAnsi="宋体" w:cs="宋体"/>
          <w:b/>
          <w:color w:val="auto"/>
          <w:sz w:val="21"/>
          <w:szCs w:val="21"/>
          <w:highlight w:val="none"/>
        </w:rPr>
        <w:t>无论由投标人的法定代表人或委托代理人签署投标文件，法定代表人身份证明</w:t>
      </w:r>
      <w:r>
        <w:rPr>
          <w:rFonts w:hint="eastAsia" w:ascii="宋体" w:hAnsi="宋体" w:cs="宋体"/>
          <w:b/>
          <w:color w:val="auto"/>
          <w:sz w:val="21"/>
          <w:szCs w:val="21"/>
          <w:highlight w:val="none"/>
          <w:lang w:val="en-US" w:eastAsia="zh-CN"/>
        </w:rPr>
        <w:t>都</w:t>
      </w:r>
      <w:r>
        <w:rPr>
          <w:rFonts w:hint="eastAsia" w:ascii="宋体" w:hAnsi="宋体" w:cs="宋体"/>
          <w:b/>
          <w:color w:val="auto"/>
          <w:sz w:val="21"/>
          <w:szCs w:val="21"/>
          <w:highlight w:val="none"/>
        </w:rPr>
        <w:t>必须提供。如果由投标人的法定代表人签署投标文件，则无须提交授权委托书</w:t>
      </w:r>
      <w:r>
        <w:rPr>
          <w:rFonts w:hint="eastAsia" w:ascii="黑体" w:eastAsia="黑体"/>
          <w:b/>
          <w:color w:val="auto"/>
          <w:sz w:val="21"/>
          <w:szCs w:val="21"/>
          <w:highlight w:val="none"/>
        </w:rPr>
        <w:t>。</w:t>
      </w:r>
    </w:p>
    <w:p w14:paraId="0D2F27A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sz w:val="21"/>
          <w:szCs w:val="21"/>
          <w:highlight w:val="none"/>
        </w:rPr>
      </w:pPr>
    </w:p>
    <w:p w14:paraId="1F007603">
      <w:pPr>
        <w:pStyle w:val="6"/>
        <w:rPr>
          <w:color w:val="auto"/>
          <w:highlight w:val="none"/>
        </w:rPr>
      </w:pPr>
    </w:p>
    <w:p w14:paraId="14ADE088">
      <w:pPr>
        <w:spacing w:line="360" w:lineRule="auto"/>
        <w:jc w:val="right"/>
        <w:rPr>
          <w:color w:val="auto"/>
          <w:sz w:val="21"/>
          <w:szCs w:val="21"/>
          <w:highlight w:val="none"/>
        </w:rPr>
      </w:pPr>
    </w:p>
    <w:p w14:paraId="6047593C">
      <w:pPr>
        <w:spacing w:line="360" w:lineRule="auto"/>
        <w:jc w:val="right"/>
        <w:rPr>
          <w:color w:val="auto"/>
          <w:sz w:val="21"/>
          <w:szCs w:val="21"/>
          <w:highlight w:val="none"/>
        </w:rPr>
      </w:pPr>
    </w:p>
    <w:p w14:paraId="7EF4EC2D">
      <w:pPr>
        <w:spacing w:line="360" w:lineRule="auto"/>
        <w:jc w:val="right"/>
        <w:rPr>
          <w:color w:val="auto"/>
          <w:sz w:val="21"/>
          <w:szCs w:val="21"/>
          <w:highlight w:val="none"/>
        </w:rPr>
      </w:pPr>
    </w:p>
    <w:p w14:paraId="2DA96CFF">
      <w:pPr>
        <w:spacing w:line="360" w:lineRule="auto"/>
        <w:jc w:val="right"/>
        <w:rPr>
          <w:color w:val="auto"/>
          <w:sz w:val="21"/>
          <w:szCs w:val="21"/>
          <w:highlight w:val="none"/>
        </w:rPr>
      </w:pPr>
    </w:p>
    <w:p w14:paraId="40CB79CF">
      <w:pPr>
        <w:spacing w:line="360" w:lineRule="auto"/>
        <w:jc w:val="right"/>
        <w:rPr>
          <w:color w:val="auto"/>
          <w:sz w:val="21"/>
          <w:szCs w:val="21"/>
          <w:highlight w:val="none"/>
        </w:rPr>
      </w:pPr>
    </w:p>
    <w:p w14:paraId="2CD0DF68">
      <w:pPr>
        <w:spacing w:line="360" w:lineRule="auto"/>
        <w:jc w:val="right"/>
        <w:rPr>
          <w:color w:val="auto"/>
          <w:sz w:val="21"/>
          <w:szCs w:val="21"/>
          <w:highlight w:val="none"/>
        </w:rPr>
      </w:pPr>
    </w:p>
    <w:p w14:paraId="7EC8B632">
      <w:pPr>
        <w:widowControl/>
        <w:spacing w:line="240" w:lineRule="auto"/>
        <w:jc w:val="center"/>
        <w:rPr>
          <w:b/>
          <w:color w:val="auto"/>
          <w:sz w:val="24"/>
          <w:highlight w:val="none"/>
        </w:rPr>
      </w:pPr>
      <w:r>
        <w:rPr>
          <w:b/>
          <w:color w:val="auto"/>
          <w:sz w:val="24"/>
          <w:highlight w:val="none"/>
        </w:rPr>
        <w:t>（二）授权委托书</w:t>
      </w:r>
    </w:p>
    <w:p w14:paraId="38EBEF32">
      <w:pPr>
        <w:spacing w:line="340" w:lineRule="exact"/>
        <w:jc w:val="center"/>
        <w:rPr>
          <w:b/>
          <w:color w:val="auto"/>
          <w:sz w:val="24"/>
          <w:highlight w:val="none"/>
        </w:rPr>
      </w:pPr>
    </w:p>
    <w:p w14:paraId="5F8A7A24">
      <w:pPr>
        <w:spacing w:line="365" w:lineRule="auto"/>
        <w:ind w:firstLine="479"/>
        <w:rPr>
          <w:rFonts w:hint="eastAsia"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（投标人名称）的法定代表人，现委托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 为我方代理人。代理人根据授权，以我方名义签署、澄清确认、递交、撤回、修改</w:t>
      </w:r>
      <w:r>
        <w:rPr>
          <w:rFonts w:hint="eastAsia" w:ascii="宋体" w:hAnsi="宋体" w:cs="宋体"/>
          <w:color w:val="auto"/>
          <w:sz w:val="21"/>
          <w:szCs w:val="21"/>
          <w:highlight w:val="none"/>
          <w:u w:val="single"/>
          <w:lang w:eastAsia="zh-CN"/>
        </w:rPr>
        <w:t>通海港区-通州湾港区疏港航道双桥枢纽工程、新江海河船闸工程、新江海河段航道整治工程船艇设计服务项目THTZ-CTSJ1标段</w:t>
      </w:r>
      <w:r>
        <w:rPr>
          <w:rFonts w:hint="eastAsia" w:ascii="宋体" w:hAnsi="宋体" w:cs="宋体"/>
          <w:color w:val="auto"/>
          <w:sz w:val="21"/>
          <w:szCs w:val="21"/>
          <w:highlight w:val="none"/>
        </w:rPr>
        <w:t>投标文件、签订合同和处理有关事宜，其法律后果由我方承担。</w:t>
      </w:r>
    </w:p>
    <w:p w14:paraId="37C6C955">
      <w:pPr>
        <w:spacing w:before="3" w:line="365"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委托期限：</w:t>
      </w:r>
      <w:r>
        <w:rPr>
          <w:rFonts w:hint="eastAsia" w:ascii="宋体" w:hAnsi="宋体" w:cs="宋体"/>
          <w:color w:val="auto"/>
          <w:sz w:val="21"/>
          <w:szCs w:val="21"/>
          <w:highlight w:val="none"/>
          <w:u w:val="single"/>
        </w:rPr>
        <w:t>自本委托书签署之日起至投标有效期满</w:t>
      </w:r>
    </w:p>
    <w:p w14:paraId="33A85EE2">
      <w:pPr>
        <w:spacing w:before="3" w:line="3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代理人无转委托权。</w:t>
      </w:r>
    </w:p>
    <w:p w14:paraId="6279BA5F">
      <w:pPr>
        <w:spacing w:before="2"/>
        <w:rPr>
          <w:rFonts w:hint="eastAsia" w:ascii="宋体" w:hAnsi="宋体" w:cs="宋体"/>
          <w:color w:val="auto"/>
          <w:sz w:val="21"/>
          <w:szCs w:val="21"/>
          <w:highlight w:val="none"/>
        </w:rPr>
      </w:pPr>
      <w:r>
        <w:rPr>
          <w:rFonts w:hint="eastAsia" w:ascii="宋体" w:hAnsi="宋体" w:cs="宋体"/>
          <w:color w:val="auto"/>
          <w:sz w:val="21"/>
          <w:szCs w:val="21"/>
          <w:highlight w:val="none"/>
        </w:rPr>
        <w:t>附：法定代表人身份证复印件（双面）及委托代理人身份证复印件（双面）</w:t>
      </w:r>
    </w:p>
    <w:p w14:paraId="02C17F57">
      <w:pPr>
        <w:pStyle w:val="12"/>
        <w:rPr>
          <w:rFonts w:hint="eastAsia" w:ascii="宋体" w:hAnsi="宋体" w:eastAsia="宋体" w:cs="宋体"/>
          <w:color w:val="auto"/>
          <w:sz w:val="24"/>
          <w:highlight w:val="none"/>
        </w:rPr>
      </w:pPr>
    </w:p>
    <w:p w14:paraId="31C516A0">
      <w:pPr>
        <w:pStyle w:val="12"/>
        <w:spacing w:before="10"/>
        <w:rPr>
          <w:rFonts w:hint="eastAsia" w:ascii="宋体" w:hAnsi="宋体" w:eastAsia="宋体" w:cs="宋体"/>
          <w:color w:val="auto"/>
          <w:sz w:val="24"/>
          <w:highlight w:val="none"/>
        </w:rPr>
      </w:pPr>
    </w:p>
    <w:p w14:paraId="5B89D166">
      <w:pPr>
        <w:tabs>
          <w:tab w:val="left" w:pos="7631"/>
          <w:tab w:val="left" w:pos="7752"/>
          <w:tab w:val="left" w:pos="9007"/>
        </w:tabs>
        <w:spacing w:line="393" w:lineRule="auto"/>
        <w:ind w:firstLine="3780" w:firstLineChars="18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（盖单位章） </w:t>
      </w:r>
    </w:p>
    <w:p w14:paraId="7EDA374A">
      <w:pPr>
        <w:tabs>
          <w:tab w:val="left" w:pos="7631"/>
          <w:tab w:val="left" w:pos="7752"/>
          <w:tab w:val="left" w:pos="9007"/>
        </w:tabs>
        <w:spacing w:line="393" w:lineRule="auto"/>
        <w:ind w:firstLine="3780" w:firstLineChars="18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rPr>
        <w:t>（签字或签章）</w:t>
      </w:r>
      <w:r>
        <w:rPr>
          <w:rFonts w:hint="eastAsia" w:ascii="宋体" w:hAnsi="宋体" w:cs="宋体"/>
          <w:color w:val="auto"/>
          <w:sz w:val="21"/>
          <w:szCs w:val="21"/>
          <w:highlight w:val="none"/>
        </w:rPr>
        <w:t xml:space="preserve"> </w:t>
      </w:r>
    </w:p>
    <w:p w14:paraId="1A72E424">
      <w:pPr>
        <w:tabs>
          <w:tab w:val="left" w:pos="7631"/>
          <w:tab w:val="left" w:pos="7752"/>
          <w:tab w:val="left" w:pos="9007"/>
        </w:tabs>
        <w:spacing w:line="393" w:lineRule="auto"/>
        <w:ind w:firstLine="3780" w:firstLineChars="18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2A32FC8">
      <w:pPr>
        <w:tabs>
          <w:tab w:val="left" w:pos="7631"/>
          <w:tab w:val="left" w:pos="8407"/>
        </w:tabs>
        <w:spacing w:line="381" w:lineRule="auto"/>
        <w:ind w:firstLine="3780" w:firstLineChars="18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rPr>
        <w:t>（签字</w:t>
      </w:r>
      <w:r>
        <w:rPr>
          <w:rFonts w:hint="eastAsia" w:ascii="宋体" w:hAnsi="宋体" w:cs="宋体"/>
          <w:bCs/>
          <w:color w:val="auto"/>
          <w:sz w:val="21"/>
          <w:szCs w:val="21"/>
          <w:highlight w:val="none"/>
          <w:lang w:val="en-US" w:eastAsia="zh-CN"/>
        </w:rPr>
        <w:t>或签章</w:t>
      </w:r>
      <w:r>
        <w:rPr>
          <w:rFonts w:hint="eastAsia" w:ascii="宋体" w:hAnsi="宋体" w:cs="宋体"/>
          <w:bCs/>
          <w:color w:val="auto"/>
          <w:sz w:val="21"/>
          <w:szCs w:val="21"/>
          <w:highlight w:val="none"/>
        </w:rPr>
        <w:t>）</w:t>
      </w:r>
      <w:r>
        <w:rPr>
          <w:rFonts w:hint="eastAsia" w:ascii="宋体" w:hAnsi="宋体" w:cs="宋体"/>
          <w:color w:val="auto"/>
          <w:sz w:val="21"/>
          <w:szCs w:val="21"/>
          <w:highlight w:val="none"/>
        </w:rPr>
        <w:t xml:space="preserve"> </w:t>
      </w:r>
    </w:p>
    <w:p w14:paraId="7E058983">
      <w:pPr>
        <w:tabs>
          <w:tab w:val="left" w:pos="7631"/>
          <w:tab w:val="left" w:pos="8407"/>
        </w:tabs>
        <w:spacing w:line="381" w:lineRule="auto"/>
        <w:ind w:firstLine="3780" w:firstLineChars="1800"/>
        <w:jc w:val="left"/>
        <w:rPr>
          <w:rFonts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463E9D36">
      <w:pPr>
        <w:tabs>
          <w:tab w:val="left" w:pos="6318"/>
          <w:tab w:val="left" w:pos="7278"/>
          <w:tab w:val="left" w:pos="8239"/>
        </w:tabs>
        <w:spacing w:before="74"/>
        <w:jc w:val="right"/>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297B313">
      <w:pPr>
        <w:tabs>
          <w:tab w:val="left" w:pos="6318"/>
          <w:tab w:val="left" w:pos="7278"/>
          <w:tab w:val="left" w:pos="8239"/>
        </w:tabs>
        <w:spacing w:before="74"/>
        <w:ind w:left="7000" w:leftChars="2500"/>
        <w:jc w:val="right"/>
        <w:rPr>
          <w:rFonts w:hint="eastAsia" w:ascii="宋体" w:hAnsi="宋体" w:cs="宋体"/>
          <w:color w:val="auto"/>
          <w:sz w:val="24"/>
          <w:highlight w:val="none"/>
        </w:rPr>
      </w:pPr>
    </w:p>
    <w:p w14:paraId="5B23E0F8">
      <w:pPr>
        <w:spacing w:line="360" w:lineRule="auto"/>
        <w:jc w:val="left"/>
        <w:rPr>
          <w:rFonts w:hint="eastAsia" w:ascii="宋体" w:hAnsi="宋体" w:cs="宋体"/>
          <w:color w:val="auto"/>
          <w:sz w:val="21"/>
          <w:szCs w:val="21"/>
          <w:highlight w:val="none"/>
        </w:rPr>
      </w:pPr>
    </w:p>
    <w:p w14:paraId="0088C289">
      <w:pPr>
        <w:spacing w:line="360" w:lineRule="auto"/>
        <w:jc w:val="right"/>
        <w:rPr>
          <w:color w:val="auto"/>
          <w:sz w:val="24"/>
          <w:highlight w:val="none"/>
        </w:rPr>
      </w:pPr>
    </w:p>
    <w:p w14:paraId="49A2803D">
      <w:pPr>
        <w:spacing w:line="360" w:lineRule="auto"/>
        <w:jc w:val="center"/>
        <w:rPr>
          <w:color w:val="auto"/>
          <w:sz w:val="21"/>
          <w:szCs w:val="21"/>
          <w:highlight w:val="none"/>
        </w:rPr>
      </w:pPr>
    </w:p>
    <w:p w14:paraId="55645B34">
      <w:pPr>
        <w:spacing w:line="360" w:lineRule="auto"/>
        <w:jc w:val="center"/>
        <w:rPr>
          <w:color w:val="auto"/>
          <w:sz w:val="21"/>
          <w:szCs w:val="21"/>
          <w:highlight w:val="none"/>
        </w:rPr>
      </w:pPr>
    </w:p>
    <w:p w14:paraId="6CADBA05">
      <w:pPr>
        <w:spacing w:line="360" w:lineRule="auto"/>
        <w:jc w:val="center"/>
        <w:rPr>
          <w:color w:val="auto"/>
          <w:sz w:val="21"/>
          <w:szCs w:val="21"/>
          <w:highlight w:val="none"/>
        </w:rPr>
      </w:pPr>
    </w:p>
    <w:p w14:paraId="3817A590">
      <w:pPr>
        <w:spacing w:line="360" w:lineRule="auto"/>
        <w:jc w:val="center"/>
        <w:rPr>
          <w:color w:val="auto"/>
          <w:sz w:val="21"/>
          <w:szCs w:val="21"/>
          <w:highlight w:val="none"/>
        </w:rPr>
      </w:pPr>
    </w:p>
    <w:p w14:paraId="7E52D195">
      <w:pPr>
        <w:spacing w:line="360" w:lineRule="auto"/>
        <w:jc w:val="center"/>
        <w:rPr>
          <w:color w:val="auto"/>
          <w:sz w:val="21"/>
          <w:szCs w:val="21"/>
          <w:highlight w:val="none"/>
        </w:rPr>
      </w:pPr>
    </w:p>
    <w:p w14:paraId="197973A6">
      <w:pPr>
        <w:spacing w:line="360" w:lineRule="auto"/>
        <w:jc w:val="center"/>
        <w:rPr>
          <w:color w:val="auto"/>
          <w:sz w:val="21"/>
          <w:szCs w:val="21"/>
          <w:highlight w:val="none"/>
        </w:rPr>
      </w:pPr>
    </w:p>
    <w:p w14:paraId="4725BAD3">
      <w:pPr>
        <w:spacing w:line="360" w:lineRule="auto"/>
        <w:jc w:val="center"/>
        <w:rPr>
          <w:color w:val="auto"/>
          <w:sz w:val="21"/>
          <w:szCs w:val="21"/>
          <w:highlight w:val="none"/>
        </w:rPr>
      </w:pPr>
    </w:p>
    <w:p w14:paraId="023FDAFF">
      <w:pPr>
        <w:spacing w:line="360" w:lineRule="auto"/>
        <w:jc w:val="center"/>
        <w:rPr>
          <w:color w:val="auto"/>
          <w:sz w:val="21"/>
          <w:szCs w:val="21"/>
          <w:highlight w:val="none"/>
        </w:rPr>
      </w:pPr>
    </w:p>
    <w:p w14:paraId="44424DE7">
      <w:pPr>
        <w:jc w:val="both"/>
        <w:rPr>
          <w:rFonts w:hint="eastAsia" w:ascii="宋体" w:hAnsi="宋体" w:cs="宋体"/>
          <w:color w:val="auto"/>
          <w:sz w:val="21"/>
          <w:szCs w:val="21"/>
          <w:highlight w:val="none"/>
        </w:rPr>
      </w:pPr>
      <w:r>
        <w:rPr>
          <w:rFonts w:ascii="宋体" w:hAnsi="宋体"/>
          <w:b w:val="0"/>
          <w:color w:val="auto"/>
          <w:highlight w:val="none"/>
        </w:rPr>
        <w:br w:type="page"/>
      </w:r>
      <w:bookmarkStart w:id="154" w:name="_Toc372633024"/>
      <w:bookmarkStart w:id="155" w:name="_Toc33625866"/>
      <w:bookmarkStart w:id="156" w:name="_Toc436730372"/>
    </w:p>
    <w:p w14:paraId="7D63DE42">
      <w:pPr>
        <w:spacing w:line="380" w:lineRule="exact"/>
        <w:jc w:val="center"/>
        <w:rPr>
          <w:rFonts w:ascii="宋体" w:hAnsi="宋体" w:cs="宋体"/>
          <w:b/>
          <w:color w:val="auto"/>
          <w:sz w:val="30"/>
          <w:szCs w:val="30"/>
          <w:highlight w:val="none"/>
        </w:rPr>
        <w:sectPr>
          <w:pgSz w:w="11906" w:h="16838"/>
          <w:pgMar w:top="1361" w:right="1361" w:bottom="1361" w:left="1361" w:header="851" w:footer="964" w:gutter="0"/>
          <w:cols w:space="720" w:num="1"/>
          <w:titlePg/>
          <w:docGrid w:type="lines" w:linePitch="312" w:charSpace="0"/>
        </w:sectPr>
      </w:pPr>
    </w:p>
    <w:bookmarkEnd w:id="152"/>
    <w:bookmarkEnd w:id="153"/>
    <w:bookmarkEnd w:id="154"/>
    <w:bookmarkEnd w:id="155"/>
    <w:bookmarkEnd w:id="156"/>
    <w:p w14:paraId="720FFCD5">
      <w:pPr>
        <w:pStyle w:val="88"/>
        <w:numPr>
          <w:ilvl w:val="0"/>
          <w:numId w:val="0"/>
        </w:numPr>
        <w:spacing w:before="120" w:beforeLines="50" w:after="120" w:afterLines="50" w:line="360" w:lineRule="auto"/>
        <w:ind w:leftChars="0"/>
        <w:jc w:val="center"/>
        <w:rPr>
          <w:color w:val="auto"/>
          <w:highlight w:val="none"/>
        </w:rPr>
      </w:pPr>
      <w:bookmarkStart w:id="157" w:name="_Toc33625867"/>
      <w:r>
        <w:rPr>
          <w:rFonts w:hint="eastAsia" w:ascii="宋体" w:hAnsi="宋体"/>
          <w:b/>
          <w:bCs w:val="0"/>
          <w:color w:val="auto"/>
          <w:highlight w:val="none"/>
          <w:lang w:val="en-US" w:eastAsia="zh-CN"/>
        </w:rPr>
        <w:t>三、</w:t>
      </w:r>
      <w:r>
        <w:rPr>
          <w:rFonts w:hint="eastAsia"/>
          <w:b/>
          <w:bCs w:val="0"/>
          <w:color w:val="auto"/>
          <w:highlight w:val="none"/>
        </w:rPr>
        <w:t>资格审查资料</w:t>
      </w:r>
      <w:bookmarkEnd w:id="157"/>
    </w:p>
    <w:p w14:paraId="2FF06890">
      <w:pPr>
        <w:spacing w:line="360" w:lineRule="auto"/>
        <w:ind w:firstLine="539" w:firstLineChars="257"/>
        <w:rPr>
          <w:rFonts w:hint="eastAsia" w:ascii="宋体" w:hAnsi="宋体" w:cs="宋体"/>
          <w:color w:val="auto"/>
          <w:sz w:val="21"/>
          <w:szCs w:val="21"/>
          <w:highlight w:val="none"/>
        </w:rPr>
      </w:pPr>
      <w:bookmarkStart w:id="158" w:name="_Toc33625868"/>
    </w:p>
    <w:p w14:paraId="3886460D">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表1 企业信息基本表</w:t>
      </w:r>
    </w:p>
    <w:p w14:paraId="00447D83">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表2 拟投入本标段主要人员情况表</w:t>
      </w:r>
    </w:p>
    <w:p w14:paraId="1E85B200">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表3 拟投入本标段主要人员经历表</w:t>
      </w:r>
    </w:p>
    <w:p w14:paraId="3B85F205">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表4 已完成类似项目表</w:t>
      </w:r>
    </w:p>
    <w:p w14:paraId="292B9609">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表5 申请人(投标人)与其他单位存在控股、管理关系</w:t>
      </w:r>
    </w:p>
    <w:p w14:paraId="743AA4A5">
      <w:pPr>
        <w:spacing w:line="360" w:lineRule="auto"/>
        <w:ind w:firstLine="491" w:firstLineChars="233"/>
        <w:rPr>
          <w:rFonts w:hint="eastAsia" w:ascii="宋体" w:hAnsi="宋体" w:cs="宋体"/>
          <w:b/>
          <w:bCs/>
          <w:color w:val="auto"/>
          <w:kern w:val="0"/>
          <w:sz w:val="21"/>
          <w:szCs w:val="21"/>
          <w:highlight w:val="none"/>
        </w:rPr>
      </w:pPr>
    </w:p>
    <w:p w14:paraId="45D02DC4">
      <w:pPr>
        <w:wordWrap w:val="0"/>
        <w:snapToGrid w:val="0"/>
        <w:spacing w:before="120" w:beforeLines="50" w:after="120" w:afterLines="50"/>
        <w:jc w:val="center"/>
        <w:rPr>
          <w:rFonts w:hint="eastAsia" w:ascii="宋体" w:hAnsi="宋体" w:cs="宋体"/>
          <w:b/>
          <w:color w:val="auto"/>
          <w:kern w:val="0"/>
          <w:sz w:val="21"/>
          <w:szCs w:val="21"/>
          <w:highlight w:val="none"/>
          <w:u w:val="single"/>
        </w:rPr>
        <w:sectPr>
          <w:pgSz w:w="11907" w:h="16840"/>
          <w:pgMar w:top="1418" w:right="1474" w:bottom="1247" w:left="1588" w:header="851" w:footer="711" w:gutter="0"/>
          <w:paperSrc w:first="7" w:other="7"/>
          <w:pgNumType w:fmt="decimal"/>
          <w:cols w:space="720" w:num="1"/>
          <w:docGrid w:linePitch="312" w:charSpace="0"/>
        </w:sectPr>
      </w:pPr>
    </w:p>
    <w:p w14:paraId="3445434B">
      <w:pPr>
        <w:wordWrap w:val="0"/>
        <w:snapToGrid w:val="0"/>
        <w:spacing w:before="120" w:beforeLines="50" w:after="120" w:afterLines="50"/>
        <w:jc w:val="center"/>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表1 企业信息基本表</w:t>
      </w:r>
    </w:p>
    <w:tbl>
      <w:tblPr>
        <w:tblStyle w:val="30"/>
        <w:tblW w:w="9366" w:type="dxa"/>
        <w:jc w:val="center"/>
        <w:tblLayout w:type="fixed"/>
        <w:tblCellMar>
          <w:top w:w="0" w:type="dxa"/>
          <w:left w:w="108" w:type="dxa"/>
          <w:bottom w:w="0" w:type="dxa"/>
          <w:right w:w="108" w:type="dxa"/>
        </w:tblCellMar>
      </w:tblPr>
      <w:tblGrid>
        <w:gridCol w:w="2266"/>
        <w:gridCol w:w="987"/>
        <w:gridCol w:w="2328"/>
        <w:gridCol w:w="854"/>
        <w:gridCol w:w="1951"/>
        <w:gridCol w:w="980"/>
      </w:tblGrid>
      <w:tr w14:paraId="548F7575">
        <w:tblPrEx>
          <w:tblCellMar>
            <w:top w:w="0" w:type="dxa"/>
            <w:left w:w="108" w:type="dxa"/>
            <w:bottom w:w="0" w:type="dxa"/>
            <w:right w:w="108" w:type="dxa"/>
          </w:tblCellMar>
        </w:tblPrEx>
        <w:trPr>
          <w:trHeight w:val="20" w:hRule="atLeast"/>
          <w:jc w:val="center"/>
        </w:trPr>
        <w:tc>
          <w:tcPr>
            <w:tcW w:w="2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479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申请人全称：</w:t>
            </w:r>
          </w:p>
        </w:tc>
        <w:tc>
          <w:tcPr>
            <w:tcW w:w="7100" w:type="dxa"/>
            <w:gridSpan w:val="5"/>
            <w:tcBorders>
              <w:top w:val="single" w:color="000000" w:sz="4" w:space="0"/>
              <w:left w:val="nil"/>
              <w:bottom w:val="single" w:color="000000" w:sz="4" w:space="0"/>
              <w:right w:val="single" w:color="000000" w:sz="4" w:space="0"/>
            </w:tcBorders>
            <w:shd w:val="clear" w:color="000000" w:fill="FFFFFF"/>
            <w:noWrap w:val="0"/>
            <w:vAlign w:val="center"/>
          </w:tcPr>
          <w:p w14:paraId="3CF6056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62D56A97">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5758FF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主要业务：</w:t>
            </w:r>
          </w:p>
        </w:tc>
        <w:tc>
          <w:tcPr>
            <w:tcW w:w="7100" w:type="dxa"/>
            <w:gridSpan w:val="5"/>
            <w:tcBorders>
              <w:top w:val="single" w:color="000000" w:sz="4" w:space="0"/>
              <w:left w:val="nil"/>
              <w:bottom w:val="single" w:color="000000" w:sz="4" w:space="0"/>
              <w:right w:val="single" w:color="000000" w:sz="4" w:space="0"/>
            </w:tcBorders>
            <w:shd w:val="clear" w:color="000000" w:fill="FFFFFF"/>
            <w:noWrap w:val="0"/>
            <w:vAlign w:val="center"/>
          </w:tcPr>
          <w:p w14:paraId="24445E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6EFCE55F">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161051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营业范围：</w:t>
            </w:r>
          </w:p>
        </w:tc>
        <w:tc>
          <w:tcPr>
            <w:tcW w:w="7100" w:type="dxa"/>
            <w:gridSpan w:val="5"/>
            <w:tcBorders>
              <w:top w:val="single" w:color="000000" w:sz="4" w:space="0"/>
              <w:left w:val="nil"/>
              <w:bottom w:val="single" w:color="000000" w:sz="4" w:space="0"/>
              <w:right w:val="single" w:color="000000" w:sz="4" w:space="0"/>
            </w:tcBorders>
            <w:shd w:val="clear" w:color="000000" w:fill="FFFFFF"/>
            <w:noWrap w:val="0"/>
            <w:vAlign w:val="center"/>
          </w:tcPr>
          <w:p w14:paraId="763C23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78E1FFAA">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3ED86DB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统一社会信用代码：</w:t>
            </w:r>
          </w:p>
        </w:tc>
        <w:tc>
          <w:tcPr>
            <w:tcW w:w="987" w:type="dxa"/>
            <w:tcBorders>
              <w:top w:val="nil"/>
              <w:left w:val="nil"/>
              <w:bottom w:val="single" w:color="000000" w:sz="4" w:space="0"/>
              <w:right w:val="single" w:color="000000" w:sz="4" w:space="0"/>
            </w:tcBorders>
            <w:shd w:val="clear" w:color="000000" w:fill="FFFFFF"/>
            <w:noWrap w:val="0"/>
            <w:vAlign w:val="center"/>
          </w:tcPr>
          <w:p w14:paraId="0A7FBD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7D64057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注册资本(元)：</w:t>
            </w:r>
          </w:p>
        </w:tc>
        <w:tc>
          <w:tcPr>
            <w:tcW w:w="3785" w:type="dxa"/>
            <w:gridSpan w:val="3"/>
            <w:tcBorders>
              <w:top w:val="nil"/>
              <w:left w:val="nil"/>
              <w:bottom w:val="single" w:color="000000" w:sz="4" w:space="0"/>
              <w:right w:val="single" w:color="000000" w:sz="4" w:space="0"/>
            </w:tcBorders>
            <w:shd w:val="clear" w:color="000000" w:fill="FFFFFF"/>
            <w:noWrap w:val="0"/>
            <w:vAlign w:val="center"/>
          </w:tcPr>
          <w:p w14:paraId="7B6CA7D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4FE26411">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548FBDA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建立日期：</w:t>
            </w:r>
          </w:p>
        </w:tc>
        <w:tc>
          <w:tcPr>
            <w:tcW w:w="987" w:type="dxa"/>
            <w:tcBorders>
              <w:top w:val="nil"/>
              <w:left w:val="nil"/>
              <w:bottom w:val="single" w:color="000000" w:sz="4" w:space="0"/>
              <w:right w:val="single" w:color="000000" w:sz="4" w:space="0"/>
            </w:tcBorders>
            <w:shd w:val="clear" w:color="000000" w:fill="FFFFFF"/>
            <w:noWrap w:val="0"/>
            <w:vAlign w:val="center"/>
          </w:tcPr>
          <w:p w14:paraId="0718AE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176992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现有职工总人数(人)：</w:t>
            </w:r>
          </w:p>
        </w:tc>
        <w:tc>
          <w:tcPr>
            <w:tcW w:w="3785" w:type="dxa"/>
            <w:gridSpan w:val="3"/>
            <w:tcBorders>
              <w:top w:val="single" w:color="000000" w:sz="4" w:space="0"/>
              <w:left w:val="nil"/>
              <w:bottom w:val="single" w:color="000000" w:sz="4" w:space="0"/>
              <w:right w:val="single" w:color="000000" w:sz="4" w:space="0"/>
            </w:tcBorders>
            <w:shd w:val="clear" w:color="000000" w:fill="FFFFFF"/>
            <w:noWrap w:val="0"/>
            <w:vAlign w:val="center"/>
          </w:tcPr>
          <w:p w14:paraId="11BD36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67DFC4DE">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42A5C2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办公地址：</w:t>
            </w:r>
          </w:p>
        </w:tc>
        <w:tc>
          <w:tcPr>
            <w:tcW w:w="4169" w:type="dxa"/>
            <w:gridSpan w:val="3"/>
            <w:tcBorders>
              <w:top w:val="single" w:color="000000" w:sz="4" w:space="0"/>
              <w:left w:val="nil"/>
              <w:bottom w:val="single" w:color="000000" w:sz="4" w:space="0"/>
              <w:right w:val="single" w:color="000000" w:sz="4" w:space="0"/>
            </w:tcBorders>
            <w:shd w:val="clear" w:color="000000" w:fill="FFFFFF"/>
            <w:noWrap w:val="0"/>
            <w:vAlign w:val="center"/>
          </w:tcPr>
          <w:p w14:paraId="2266EA2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1951" w:type="dxa"/>
            <w:tcBorders>
              <w:top w:val="nil"/>
              <w:left w:val="nil"/>
              <w:bottom w:val="single" w:color="000000" w:sz="4" w:space="0"/>
              <w:right w:val="single" w:color="000000" w:sz="4" w:space="0"/>
            </w:tcBorders>
            <w:shd w:val="clear" w:color="000000" w:fill="FFFFFF"/>
            <w:noWrap w:val="0"/>
            <w:vAlign w:val="center"/>
          </w:tcPr>
          <w:p w14:paraId="67D68CA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邮编：</w:t>
            </w:r>
          </w:p>
        </w:tc>
        <w:tc>
          <w:tcPr>
            <w:tcW w:w="980" w:type="dxa"/>
            <w:tcBorders>
              <w:top w:val="nil"/>
              <w:left w:val="nil"/>
              <w:bottom w:val="single" w:color="000000" w:sz="4" w:space="0"/>
              <w:right w:val="single" w:color="000000" w:sz="4" w:space="0"/>
            </w:tcBorders>
            <w:shd w:val="clear" w:color="000000" w:fill="FFFFFF"/>
            <w:noWrap w:val="0"/>
            <w:vAlign w:val="center"/>
          </w:tcPr>
          <w:p w14:paraId="14BE366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48EA1D4F">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582597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987" w:type="dxa"/>
            <w:tcBorders>
              <w:top w:val="nil"/>
              <w:left w:val="nil"/>
              <w:bottom w:val="single" w:color="000000" w:sz="4" w:space="0"/>
              <w:right w:val="single" w:color="000000" w:sz="4" w:space="0"/>
            </w:tcBorders>
            <w:shd w:val="clear" w:color="000000" w:fill="FFFFFF"/>
            <w:noWrap w:val="0"/>
            <w:vAlign w:val="center"/>
          </w:tcPr>
          <w:p w14:paraId="47E0AD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1E4AD9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tc>
        <w:tc>
          <w:tcPr>
            <w:tcW w:w="3785" w:type="dxa"/>
            <w:gridSpan w:val="3"/>
            <w:tcBorders>
              <w:top w:val="single" w:color="000000" w:sz="4" w:space="0"/>
              <w:left w:val="nil"/>
              <w:bottom w:val="single" w:color="000000" w:sz="4" w:space="0"/>
              <w:right w:val="single" w:color="000000" w:sz="4" w:space="0"/>
            </w:tcBorders>
            <w:shd w:val="clear" w:color="000000" w:fill="FFFFFF"/>
            <w:noWrap w:val="0"/>
            <w:vAlign w:val="center"/>
          </w:tcPr>
          <w:p w14:paraId="7355C12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788624E3">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4B0920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法人代表姓名：</w:t>
            </w:r>
          </w:p>
        </w:tc>
        <w:tc>
          <w:tcPr>
            <w:tcW w:w="987" w:type="dxa"/>
            <w:tcBorders>
              <w:top w:val="nil"/>
              <w:left w:val="nil"/>
              <w:bottom w:val="single" w:color="000000" w:sz="4" w:space="0"/>
              <w:right w:val="single" w:color="000000" w:sz="4" w:space="0"/>
            </w:tcBorders>
            <w:shd w:val="clear" w:color="000000" w:fill="FFFFFF"/>
            <w:noWrap w:val="0"/>
            <w:vAlign w:val="center"/>
          </w:tcPr>
          <w:p w14:paraId="22DF97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5B764F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854" w:type="dxa"/>
            <w:tcBorders>
              <w:top w:val="nil"/>
              <w:left w:val="nil"/>
              <w:bottom w:val="single" w:color="000000" w:sz="4" w:space="0"/>
              <w:right w:val="single" w:color="000000" w:sz="4" w:space="0"/>
            </w:tcBorders>
            <w:shd w:val="clear" w:color="000000" w:fill="FFFFFF"/>
            <w:noWrap w:val="0"/>
            <w:vAlign w:val="center"/>
          </w:tcPr>
          <w:p w14:paraId="342B2F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1951" w:type="dxa"/>
            <w:tcBorders>
              <w:top w:val="nil"/>
              <w:left w:val="nil"/>
              <w:bottom w:val="single" w:color="000000" w:sz="4" w:space="0"/>
              <w:right w:val="single" w:color="000000" w:sz="4" w:space="0"/>
            </w:tcBorders>
            <w:shd w:val="clear" w:color="000000" w:fill="FFFFFF"/>
            <w:noWrap w:val="0"/>
            <w:vAlign w:val="center"/>
          </w:tcPr>
          <w:p w14:paraId="0FDD25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980" w:type="dxa"/>
            <w:tcBorders>
              <w:top w:val="nil"/>
              <w:left w:val="nil"/>
              <w:bottom w:val="single" w:color="000000" w:sz="4" w:space="0"/>
              <w:right w:val="single" w:color="000000" w:sz="4" w:space="0"/>
            </w:tcBorders>
            <w:shd w:val="clear" w:color="000000" w:fill="FFFFFF"/>
            <w:noWrap w:val="0"/>
            <w:vAlign w:val="center"/>
          </w:tcPr>
          <w:p w14:paraId="587303C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1F33288B">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174095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技术负责人姓名：</w:t>
            </w:r>
          </w:p>
        </w:tc>
        <w:tc>
          <w:tcPr>
            <w:tcW w:w="987" w:type="dxa"/>
            <w:tcBorders>
              <w:top w:val="nil"/>
              <w:left w:val="nil"/>
              <w:bottom w:val="single" w:color="000000" w:sz="4" w:space="0"/>
              <w:right w:val="single" w:color="000000" w:sz="4" w:space="0"/>
            </w:tcBorders>
            <w:shd w:val="clear" w:color="000000" w:fill="FFFFFF"/>
            <w:noWrap w:val="0"/>
            <w:vAlign w:val="center"/>
          </w:tcPr>
          <w:p w14:paraId="32DE9A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4C13E5D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技术负责人职务：</w:t>
            </w:r>
          </w:p>
        </w:tc>
        <w:tc>
          <w:tcPr>
            <w:tcW w:w="854" w:type="dxa"/>
            <w:tcBorders>
              <w:top w:val="nil"/>
              <w:left w:val="nil"/>
              <w:bottom w:val="single" w:color="000000" w:sz="4" w:space="0"/>
              <w:right w:val="single" w:color="000000" w:sz="4" w:space="0"/>
            </w:tcBorders>
            <w:shd w:val="clear" w:color="000000" w:fill="FFFFFF"/>
            <w:noWrap w:val="0"/>
            <w:vAlign w:val="center"/>
          </w:tcPr>
          <w:p w14:paraId="2B743E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1951" w:type="dxa"/>
            <w:tcBorders>
              <w:top w:val="nil"/>
              <w:left w:val="nil"/>
              <w:bottom w:val="single" w:color="000000" w:sz="4" w:space="0"/>
              <w:right w:val="single" w:color="000000" w:sz="4" w:space="0"/>
            </w:tcBorders>
            <w:shd w:val="clear" w:color="000000" w:fill="FFFFFF"/>
            <w:noWrap w:val="0"/>
            <w:vAlign w:val="center"/>
          </w:tcPr>
          <w:p w14:paraId="585903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技术负责人电话：</w:t>
            </w:r>
          </w:p>
        </w:tc>
        <w:tc>
          <w:tcPr>
            <w:tcW w:w="980" w:type="dxa"/>
            <w:tcBorders>
              <w:top w:val="nil"/>
              <w:left w:val="nil"/>
              <w:bottom w:val="single" w:color="000000" w:sz="4" w:space="0"/>
              <w:right w:val="single" w:color="000000" w:sz="4" w:space="0"/>
            </w:tcBorders>
            <w:shd w:val="clear" w:color="000000" w:fill="FFFFFF"/>
            <w:noWrap w:val="0"/>
            <w:vAlign w:val="center"/>
          </w:tcPr>
          <w:p w14:paraId="6224442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4D798281">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2C115D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联系人姓名：</w:t>
            </w:r>
          </w:p>
        </w:tc>
        <w:tc>
          <w:tcPr>
            <w:tcW w:w="987" w:type="dxa"/>
            <w:tcBorders>
              <w:top w:val="nil"/>
              <w:left w:val="nil"/>
              <w:bottom w:val="single" w:color="000000" w:sz="4" w:space="0"/>
              <w:right w:val="single" w:color="000000" w:sz="4" w:space="0"/>
            </w:tcBorders>
            <w:shd w:val="clear" w:color="000000" w:fill="FFFFFF"/>
            <w:noWrap w:val="0"/>
            <w:vAlign w:val="center"/>
          </w:tcPr>
          <w:p w14:paraId="19D45E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19772D4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联系人职务：</w:t>
            </w:r>
          </w:p>
        </w:tc>
        <w:tc>
          <w:tcPr>
            <w:tcW w:w="854" w:type="dxa"/>
            <w:tcBorders>
              <w:top w:val="nil"/>
              <w:left w:val="nil"/>
              <w:bottom w:val="single" w:color="000000" w:sz="4" w:space="0"/>
              <w:right w:val="single" w:color="000000" w:sz="4" w:space="0"/>
            </w:tcBorders>
            <w:shd w:val="clear" w:color="000000" w:fill="FFFFFF"/>
            <w:noWrap w:val="0"/>
            <w:vAlign w:val="center"/>
          </w:tcPr>
          <w:p w14:paraId="6751B5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1951" w:type="dxa"/>
            <w:tcBorders>
              <w:top w:val="nil"/>
              <w:left w:val="nil"/>
              <w:bottom w:val="single" w:color="000000" w:sz="4" w:space="0"/>
              <w:right w:val="single" w:color="000000" w:sz="4" w:space="0"/>
            </w:tcBorders>
            <w:shd w:val="clear" w:color="000000" w:fill="FFFFFF"/>
            <w:noWrap w:val="0"/>
            <w:vAlign w:val="center"/>
          </w:tcPr>
          <w:p w14:paraId="1BFD29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联系人电话：</w:t>
            </w:r>
          </w:p>
        </w:tc>
        <w:tc>
          <w:tcPr>
            <w:tcW w:w="980" w:type="dxa"/>
            <w:tcBorders>
              <w:top w:val="nil"/>
              <w:left w:val="nil"/>
              <w:bottom w:val="single" w:color="000000" w:sz="4" w:space="0"/>
              <w:right w:val="single" w:color="000000" w:sz="4" w:space="0"/>
            </w:tcBorders>
            <w:shd w:val="clear" w:color="000000" w:fill="FFFFFF"/>
            <w:noWrap w:val="0"/>
            <w:vAlign w:val="center"/>
          </w:tcPr>
          <w:p w14:paraId="2ADCE5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091E9D7A">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0C123C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联系人邮箱：</w:t>
            </w:r>
          </w:p>
        </w:tc>
        <w:tc>
          <w:tcPr>
            <w:tcW w:w="7100" w:type="dxa"/>
            <w:gridSpan w:val="5"/>
            <w:tcBorders>
              <w:top w:val="single" w:color="000000" w:sz="4" w:space="0"/>
              <w:left w:val="nil"/>
              <w:bottom w:val="single" w:color="000000" w:sz="4" w:space="0"/>
              <w:right w:val="single" w:color="000000" w:sz="4" w:space="0"/>
            </w:tcBorders>
            <w:shd w:val="clear" w:color="000000" w:fill="FFFFFF"/>
            <w:noWrap w:val="0"/>
            <w:vAlign w:val="center"/>
          </w:tcPr>
          <w:p w14:paraId="11770AC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3A59EE56">
        <w:tblPrEx>
          <w:tblCellMar>
            <w:top w:w="0" w:type="dxa"/>
            <w:left w:w="108" w:type="dxa"/>
            <w:bottom w:w="0" w:type="dxa"/>
            <w:right w:w="108" w:type="dxa"/>
          </w:tblCellMar>
        </w:tblPrEx>
        <w:trPr>
          <w:trHeight w:val="571"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547F09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企业资质名称及等级：</w:t>
            </w:r>
          </w:p>
        </w:tc>
        <w:tc>
          <w:tcPr>
            <w:tcW w:w="987" w:type="dxa"/>
            <w:tcBorders>
              <w:top w:val="nil"/>
              <w:left w:val="nil"/>
              <w:bottom w:val="single" w:color="000000" w:sz="4" w:space="0"/>
              <w:right w:val="single" w:color="000000" w:sz="4" w:space="0"/>
            </w:tcBorders>
            <w:shd w:val="clear" w:color="000000" w:fill="FFFFFF"/>
            <w:noWrap w:val="0"/>
            <w:vAlign w:val="center"/>
          </w:tcPr>
          <w:p w14:paraId="08D60C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5FCA02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企业资质证书号：</w:t>
            </w:r>
          </w:p>
        </w:tc>
        <w:tc>
          <w:tcPr>
            <w:tcW w:w="854" w:type="dxa"/>
            <w:tcBorders>
              <w:top w:val="nil"/>
              <w:left w:val="nil"/>
              <w:bottom w:val="single" w:color="000000" w:sz="4" w:space="0"/>
              <w:right w:val="single" w:color="000000" w:sz="4" w:space="0"/>
            </w:tcBorders>
            <w:shd w:val="clear" w:color="000000" w:fill="FFFFFF"/>
            <w:noWrap w:val="0"/>
            <w:vAlign w:val="center"/>
          </w:tcPr>
          <w:p w14:paraId="62FDDF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1951" w:type="dxa"/>
            <w:tcBorders>
              <w:top w:val="nil"/>
              <w:left w:val="nil"/>
              <w:bottom w:val="single" w:color="000000" w:sz="4" w:space="0"/>
              <w:right w:val="single" w:color="000000" w:sz="4" w:space="0"/>
            </w:tcBorders>
            <w:shd w:val="clear" w:color="000000" w:fill="FFFFFF"/>
            <w:noWrap w:val="0"/>
            <w:vAlign w:val="center"/>
          </w:tcPr>
          <w:p w14:paraId="3B0508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企业资质有效期：</w:t>
            </w:r>
          </w:p>
        </w:tc>
        <w:tc>
          <w:tcPr>
            <w:tcW w:w="980" w:type="dxa"/>
            <w:tcBorders>
              <w:top w:val="nil"/>
              <w:left w:val="nil"/>
              <w:bottom w:val="single" w:color="000000" w:sz="4" w:space="0"/>
              <w:right w:val="single" w:color="000000" w:sz="4" w:space="0"/>
            </w:tcBorders>
            <w:shd w:val="clear" w:color="000000" w:fill="FFFFFF"/>
            <w:noWrap w:val="0"/>
            <w:vAlign w:val="center"/>
          </w:tcPr>
          <w:p w14:paraId="6815AB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6542BB13">
        <w:tblPrEx>
          <w:tblCellMar>
            <w:top w:w="0" w:type="dxa"/>
            <w:left w:w="108" w:type="dxa"/>
            <w:bottom w:w="0" w:type="dxa"/>
            <w:right w:w="108" w:type="dxa"/>
          </w:tblCellMar>
        </w:tblPrEx>
        <w:trPr>
          <w:trHeight w:val="571"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2399C1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p>
        </w:tc>
        <w:tc>
          <w:tcPr>
            <w:tcW w:w="987" w:type="dxa"/>
            <w:tcBorders>
              <w:top w:val="nil"/>
              <w:left w:val="nil"/>
              <w:bottom w:val="single" w:color="000000" w:sz="4" w:space="0"/>
              <w:right w:val="single" w:color="000000" w:sz="4" w:space="0"/>
            </w:tcBorders>
            <w:shd w:val="clear" w:color="000000" w:fill="FFFFFF"/>
            <w:noWrap w:val="0"/>
            <w:vAlign w:val="center"/>
          </w:tcPr>
          <w:p w14:paraId="0980404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2328" w:type="dxa"/>
            <w:tcBorders>
              <w:top w:val="nil"/>
              <w:left w:val="nil"/>
              <w:bottom w:val="single" w:color="000000" w:sz="4" w:space="0"/>
              <w:right w:val="single" w:color="000000" w:sz="4" w:space="0"/>
            </w:tcBorders>
            <w:shd w:val="clear" w:color="000000" w:fill="FFFFFF"/>
            <w:noWrap w:val="0"/>
            <w:vAlign w:val="center"/>
          </w:tcPr>
          <w:p w14:paraId="4B2CF0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p>
        </w:tc>
        <w:tc>
          <w:tcPr>
            <w:tcW w:w="854" w:type="dxa"/>
            <w:tcBorders>
              <w:top w:val="nil"/>
              <w:left w:val="nil"/>
              <w:bottom w:val="single" w:color="000000" w:sz="4" w:space="0"/>
              <w:right w:val="single" w:color="000000" w:sz="4" w:space="0"/>
            </w:tcBorders>
            <w:shd w:val="clear" w:color="000000" w:fill="FFFFFF"/>
            <w:noWrap w:val="0"/>
            <w:vAlign w:val="center"/>
          </w:tcPr>
          <w:p w14:paraId="369D95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1951" w:type="dxa"/>
            <w:tcBorders>
              <w:top w:val="nil"/>
              <w:left w:val="nil"/>
              <w:bottom w:val="single" w:color="000000" w:sz="4" w:space="0"/>
              <w:right w:val="single" w:color="000000" w:sz="4" w:space="0"/>
            </w:tcBorders>
            <w:shd w:val="clear" w:color="000000" w:fill="FFFFFF"/>
            <w:noWrap w:val="0"/>
            <w:vAlign w:val="center"/>
          </w:tcPr>
          <w:p w14:paraId="0BBF59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p>
        </w:tc>
        <w:tc>
          <w:tcPr>
            <w:tcW w:w="980" w:type="dxa"/>
            <w:tcBorders>
              <w:top w:val="nil"/>
              <w:left w:val="nil"/>
              <w:bottom w:val="single" w:color="000000" w:sz="4" w:space="0"/>
              <w:right w:val="single" w:color="000000" w:sz="4" w:space="0"/>
            </w:tcBorders>
            <w:shd w:val="clear" w:color="000000" w:fill="FFFFFF"/>
            <w:noWrap w:val="0"/>
            <w:vAlign w:val="center"/>
          </w:tcPr>
          <w:p w14:paraId="6592E73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7946794D">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7275D6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信用等级</w:t>
            </w:r>
          </w:p>
        </w:tc>
        <w:tc>
          <w:tcPr>
            <w:tcW w:w="7100" w:type="dxa"/>
            <w:gridSpan w:val="5"/>
            <w:tcBorders>
              <w:top w:val="nil"/>
              <w:left w:val="nil"/>
              <w:bottom w:val="single" w:color="000000" w:sz="4" w:space="0"/>
              <w:right w:val="single" w:color="000000" w:sz="4" w:space="0"/>
            </w:tcBorders>
            <w:shd w:val="clear" w:color="000000" w:fill="FFFFFF"/>
            <w:noWrap w:val="0"/>
            <w:vAlign w:val="center"/>
          </w:tcPr>
          <w:p w14:paraId="14020B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33A23919">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1A8F35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基本户开户行：</w:t>
            </w:r>
          </w:p>
        </w:tc>
        <w:tc>
          <w:tcPr>
            <w:tcW w:w="4169" w:type="dxa"/>
            <w:gridSpan w:val="3"/>
            <w:tcBorders>
              <w:top w:val="single" w:color="000000" w:sz="4" w:space="0"/>
              <w:left w:val="nil"/>
              <w:bottom w:val="single" w:color="000000" w:sz="4" w:space="0"/>
              <w:right w:val="single" w:color="000000" w:sz="4" w:space="0"/>
            </w:tcBorders>
            <w:shd w:val="clear" w:color="000000" w:fill="FFFFFF"/>
            <w:noWrap w:val="0"/>
            <w:vAlign w:val="center"/>
          </w:tcPr>
          <w:p w14:paraId="46AA798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c>
          <w:tcPr>
            <w:tcW w:w="1951" w:type="dxa"/>
            <w:tcBorders>
              <w:top w:val="nil"/>
              <w:left w:val="nil"/>
              <w:bottom w:val="single" w:color="000000" w:sz="4" w:space="0"/>
              <w:right w:val="single" w:color="000000" w:sz="4" w:space="0"/>
            </w:tcBorders>
            <w:shd w:val="clear" w:color="000000" w:fill="FFFFFF"/>
            <w:noWrap w:val="0"/>
            <w:vAlign w:val="center"/>
          </w:tcPr>
          <w:p w14:paraId="0EE020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基本户户名：</w:t>
            </w:r>
          </w:p>
        </w:tc>
        <w:tc>
          <w:tcPr>
            <w:tcW w:w="980" w:type="dxa"/>
            <w:tcBorders>
              <w:top w:val="nil"/>
              <w:left w:val="nil"/>
              <w:bottom w:val="single" w:color="000000" w:sz="4" w:space="0"/>
              <w:right w:val="single" w:color="000000" w:sz="4" w:space="0"/>
            </w:tcBorders>
            <w:shd w:val="clear" w:color="000000" w:fill="FFFFFF"/>
            <w:noWrap w:val="0"/>
            <w:vAlign w:val="center"/>
          </w:tcPr>
          <w:p w14:paraId="4C0539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r w14:paraId="082C6289">
        <w:tblPrEx>
          <w:tblCellMar>
            <w:top w:w="0" w:type="dxa"/>
            <w:left w:w="108" w:type="dxa"/>
            <w:bottom w:w="0" w:type="dxa"/>
            <w:right w:w="108" w:type="dxa"/>
          </w:tblCellMar>
        </w:tblPrEx>
        <w:trPr>
          <w:trHeight w:val="20" w:hRule="atLeast"/>
          <w:jc w:val="center"/>
        </w:trPr>
        <w:tc>
          <w:tcPr>
            <w:tcW w:w="2266" w:type="dxa"/>
            <w:tcBorders>
              <w:top w:val="nil"/>
              <w:left w:val="single" w:color="000000" w:sz="4" w:space="0"/>
              <w:bottom w:val="single" w:color="000000" w:sz="4" w:space="0"/>
              <w:right w:val="single" w:color="000000" w:sz="4" w:space="0"/>
            </w:tcBorders>
            <w:shd w:val="clear" w:color="000000" w:fill="FFFFFF"/>
            <w:noWrap w:val="0"/>
            <w:vAlign w:val="center"/>
          </w:tcPr>
          <w:p w14:paraId="65194D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基本户账号：</w:t>
            </w:r>
          </w:p>
        </w:tc>
        <w:tc>
          <w:tcPr>
            <w:tcW w:w="7100" w:type="dxa"/>
            <w:gridSpan w:val="5"/>
            <w:tcBorders>
              <w:top w:val="single" w:color="000000" w:sz="4" w:space="0"/>
              <w:left w:val="nil"/>
              <w:bottom w:val="single" w:color="000000" w:sz="4" w:space="0"/>
              <w:right w:val="single" w:color="000000" w:sz="4" w:space="0"/>
            </w:tcBorders>
            <w:shd w:val="clear" w:color="000000" w:fill="FFFFFF"/>
            <w:noWrap w:val="0"/>
            <w:vAlign w:val="center"/>
          </w:tcPr>
          <w:p w14:paraId="63B6B8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sz w:val="21"/>
                <w:szCs w:val="21"/>
                <w:highlight w:val="none"/>
              </w:rPr>
            </w:pPr>
          </w:p>
        </w:tc>
      </w:tr>
    </w:tbl>
    <w:p w14:paraId="699EE806">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p>
    <w:p w14:paraId="4A57C821">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w:t>
      </w:r>
    </w:p>
    <w:p w14:paraId="72FE7F55">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1、格式可扩展，本表后附资格</w:t>
      </w:r>
      <w:r>
        <w:rPr>
          <w:rFonts w:hint="eastAsia" w:ascii="宋体" w:hAnsi="宋体" w:cs="宋体"/>
          <w:b/>
          <w:color w:val="auto"/>
          <w:kern w:val="0"/>
          <w:sz w:val="21"/>
          <w:szCs w:val="21"/>
          <w:highlight w:val="none"/>
          <w:lang w:val="en-US" w:eastAsia="zh-CN"/>
        </w:rPr>
        <w:t>要求</w:t>
      </w:r>
      <w:r>
        <w:rPr>
          <w:rFonts w:hint="eastAsia" w:ascii="宋体" w:hAnsi="宋体" w:cs="宋体"/>
          <w:b/>
          <w:color w:val="auto"/>
          <w:kern w:val="0"/>
          <w:sz w:val="21"/>
          <w:szCs w:val="21"/>
          <w:highlight w:val="none"/>
        </w:rPr>
        <w:t>所涉内容的证明材料</w:t>
      </w:r>
      <w:r>
        <w:rPr>
          <w:rFonts w:hint="eastAsia" w:ascii="宋体" w:hAnsi="宋体" w:cs="宋体"/>
          <w:b/>
          <w:color w:val="auto"/>
          <w:kern w:val="0"/>
          <w:sz w:val="21"/>
          <w:szCs w:val="21"/>
          <w:highlight w:val="none"/>
          <w:lang w:val="en-US" w:eastAsia="zh-CN"/>
        </w:rPr>
        <w:t>复印件或</w:t>
      </w:r>
      <w:r>
        <w:rPr>
          <w:rFonts w:hint="eastAsia" w:ascii="宋体" w:hAnsi="宋体" w:cs="宋体"/>
          <w:b/>
          <w:color w:val="auto"/>
          <w:kern w:val="0"/>
          <w:sz w:val="21"/>
          <w:szCs w:val="21"/>
          <w:highlight w:val="none"/>
        </w:rPr>
        <w:t>扫描件，并</w:t>
      </w:r>
      <w:r>
        <w:rPr>
          <w:rFonts w:hint="eastAsia" w:ascii="宋体" w:hAnsi="宋体" w:cs="宋体"/>
          <w:b/>
          <w:color w:val="auto"/>
          <w:kern w:val="0"/>
          <w:sz w:val="21"/>
          <w:szCs w:val="21"/>
          <w:highlight w:val="none"/>
          <w:u w:val="single"/>
        </w:rPr>
        <w:t>加盖单位公章</w:t>
      </w:r>
      <w:r>
        <w:rPr>
          <w:rFonts w:hint="eastAsia" w:ascii="宋体" w:hAnsi="宋体" w:cs="宋体"/>
          <w:b/>
          <w:color w:val="auto"/>
          <w:kern w:val="0"/>
          <w:sz w:val="21"/>
          <w:szCs w:val="21"/>
          <w:highlight w:val="none"/>
        </w:rPr>
        <w:t>。</w:t>
      </w:r>
    </w:p>
    <w:p w14:paraId="069C88BA">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p>
    <w:p w14:paraId="2F0A38BC">
      <w:pPr>
        <w:wordWrap w:val="0"/>
        <w:snapToGrid w:val="0"/>
        <w:spacing w:before="120" w:beforeLines="50" w:after="120" w:afterLines="50"/>
        <w:jc w:val="center"/>
        <w:outlineLvl w:val="2"/>
        <w:rPr>
          <w:rFonts w:hint="eastAsia" w:ascii="宋体" w:hAnsi="宋体" w:cs="宋体"/>
          <w:b/>
          <w:color w:val="auto"/>
          <w:kern w:val="0"/>
          <w:sz w:val="24"/>
          <w:highlight w:val="none"/>
        </w:rPr>
      </w:pPr>
      <w:r>
        <w:rPr>
          <w:rFonts w:hint="eastAsia" w:ascii="宋体" w:hAnsi="宋体" w:cs="宋体"/>
          <w:b/>
          <w:color w:val="auto"/>
          <w:kern w:val="0"/>
          <w:sz w:val="21"/>
          <w:szCs w:val="21"/>
          <w:highlight w:val="none"/>
        </w:rPr>
        <w:br w:type="page"/>
      </w:r>
      <w:r>
        <w:rPr>
          <w:rFonts w:hint="eastAsia" w:ascii="宋体" w:hAnsi="宋体" w:cs="宋体"/>
          <w:b/>
          <w:color w:val="auto"/>
          <w:kern w:val="0"/>
          <w:sz w:val="24"/>
          <w:highlight w:val="none"/>
        </w:rPr>
        <w:t>表2 拟投入本标段主要人员情况表</w:t>
      </w:r>
    </w:p>
    <w:tbl>
      <w:tblPr>
        <w:tblStyle w:val="30"/>
        <w:tblW w:w="10003" w:type="dxa"/>
        <w:jc w:val="center"/>
        <w:tblLayout w:type="fixed"/>
        <w:tblCellMar>
          <w:top w:w="0" w:type="dxa"/>
          <w:left w:w="108" w:type="dxa"/>
          <w:bottom w:w="0" w:type="dxa"/>
          <w:right w:w="108" w:type="dxa"/>
        </w:tblCellMar>
      </w:tblPr>
      <w:tblGrid>
        <w:gridCol w:w="645"/>
        <w:gridCol w:w="1383"/>
        <w:gridCol w:w="803"/>
        <w:gridCol w:w="719"/>
        <w:gridCol w:w="725"/>
        <w:gridCol w:w="948"/>
        <w:gridCol w:w="717"/>
        <w:gridCol w:w="1014"/>
        <w:gridCol w:w="1062"/>
        <w:gridCol w:w="1222"/>
        <w:gridCol w:w="765"/>
      </w:tblGrid>
      <w:tr w14:paraId="19B92314">
        <w:tblPrEx>
          <w:tblCellMar>
            <w:top w:w="0" w:type="dxa"/>
            <w:left w:w="108" w:type="dxa"/>
            <w:bottom w:w="0" w:type="dxa"/>
            <w:right w:w="108" w:type="dxa"/>
          </w:tblCellMar>
        </w:tblPrEx>
        <w:trPr>
          <w:trHeight w:val="20"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0F21D72">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383" w:type="dxa"/>
            <w:tcBorders>
              <w:top w:val="single" w:color="000000" w:sz="4" w:space="0"/>
              <w:left w:val="nil"/>
              <w:bottom w:val="single" w:color="auto" w:sz="4" w:space="0"/>
              <w:right w:val="single" w:color="000000" w:sz="4" w:space="0"/>
            </w:tcBorders>
            <w:shd w:val="clear" w:color="000000" w:fill="FFFFFF"/>
            <w:noWrap w:val="0"/>
            <w:vAlign w:val="center"/>
          </w:tcPr>
          <w:p w14:paraId="48A9D8B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在本项目中</w:t>
            </w:r>
          </w:p>
          <w:p w14:paraId="7BC41FB3">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担任职务</w:t>
            </w:r>
          </w:p>
        </w:tc>
        <w:tc>
          <w:tcPr>
            <w:tcW w:w="803" w:type="dxa"/>
            <w:tcBorders>
              <w:top w:val="single" w:color="000000" w:sz="4" w:space="0"/>
              <w:left w:val="nil"/>
              <w:bottom w:val="single" w:color="auto" w:sz="4" w:space="0"/>
              <w:right w:val="single" w:color="000000" w:sz="4" w:space="0"/>
            </w:tcBorders>
            <w:shd w:val="clear" w:color="000000" w:fill="FFFFFF"/>
            <w:noWrap w:val="0"/>
            <w:vAlign w:val="center"/>
          </w:tcPr>
          <w:p w14:paraId="4A33691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719" w:type="dxa"/>
            <w:tcBorders>
              <w:top w:val="single" w:color="000000" w:sz="4" w:space="0"/>
              <w:left w:val="nil"/>
              <w:bottom w:val="single" w:color="auto" w:sz="4" w:space="0"/>
              <w:right w:val="single" w:color="000000" w:sz="4" w:space="0"/>
            </w:tcBorders>
            <w:shd w:val="clear" w:color="000000" w:fill="FFFFFF"/>
            <w:noWrap w:val="0"/>
            <w:vAlign w:val="center"/>
          </w:tcPr>
          <w:p w14:paraId="463E9337">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年龄</w:t>
            </w:r>
          </w:p>
        </w:tc>
        <w:tc>
          <w:tcPr>
            <w:tcW w:w="725" w:type="dxa"/>
            <w:tcBorders>
              <w:top w:val="single" w:color="000000" w:sz="4" w:space="0"/>
              <w:left w:val="nil"/>
              <w:bottom w:val="single" w:color="auto" w:sz="4" w:space="0"/>
              <w:right w:val="single" w:color="000000" w:sz="4" w:space="0"/>
            </w:tcBorders>
            <w:shd w:val="clear" w:color="000000" w:fill="FFFFFF"/>
            <w:noWrap w:val="0"/>
            <w:vAlign w:val="center"/>
          </w:tcPr>
          <w:p w14:paraId="2FCCD9B5">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技术</w:t>
            </w:r>
          </w:p>
          <w:p w14:paraId="7106C46E">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职称</w:t>
            </w:r>
          </w:p>
        </w:tc>
        <w:tc>
          <w:tcPr>
            <w:tcW w:w="948" w:type="dxa"/>
            <w:tcBorders>
              <w:top w:val="single" w:color="000000" w:sz="4" w:space="0"/>
              <w:left w:val="nil"/>
              <w:bottom w:val="single" w:color="auto" w:sz="4" w:space="0"/>
              <w:right w:val="single" w:color="000000" w:sz="4" w:space="0"/>
            </w:tcBorders>
            <w:shd w:val="clear" w:color="000000" w:fill="FFFFFF"/>
            <w:noWrap w:val="0"/>
            <w:vAlign w:val="center"/>
          </w:tcPr>
          <w:p w14:paraId="75733AE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职称</w:t>
            </w:r>
          </w:p>
          <w:p w14:paraId="7F67DAE7">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专业</w:t>
            </w:r>
          </w:p>
        </w:tc>
        <w:tc>
          <w:tcPr>
            <w:tcW w:w="717" w:type="dxa"/>
            <w:tcBorders>
              <w:top w:val="single" w:color="000000" w:sz="4" w:space="0"/>
              <w:left w:val="nil"/>
              <w:bottom w:val="single" w:color="auto" w:sz="4" w:space="0"/>
              <w:right w:val="single" w:color="000000" w:sz="4" w:space="0"/>
            </w:tcBorders>
            <w:shd w:val="clear" w:color="000000" w:fill="FFFFFF"/>
            <w:noWrap w:val="0"/>
            <w:vAlign w:val="center"/>
          </w:tcPr>
          <w:p w14:paraId="40152411">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工作</w:t>
            </w:r>
          </w:p>
          <w:p w14:paraId="6B79A677">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年限</w:t>
            </w:r>
          </w:p>
        </w:tc>
        <w:tc>
          <w:tcPr>
            <w:tcW w:w="1014" w:type="dxa"/>
            <w:tcBorders>
              <w:top w:val="single" w:color="000000" w:sz="4" w:space="0"/>
              <w:left w:val="nil"/>
              <w:bottom w:val="single" w:color="auto" w:sz="4" w:space="0"/>
              <w:right w:val="single" w:color="000000" w:sz="4" w:space="0"/>
            </w:tcBorders>
            <w:shd w:val="clear" w:color="000000" w:fill="FFFFFF"/>
            <w:noWrap w:val="0"/>
            <w:vAlign w:val="center"/>
          </w:tcPr>
          <w:p w14:paraId="4A6B073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执业资格名称</w:t>
            </w:r>
          </w:p>
        </w:tc>
        <w:tc>
          <w:tcPr>
            <w:tcW w:w="1062" w:type="dxa"/>
            <w:tcBorders>
              <w:top w:val="single" w:color="000000" w:sz="4" w:space="0"/>
              <w:left w:val="nil"/>
              <w:bottom w:val="single" w:color="auto" w:sz="4" w:space="0"/>
              <w:right w:val="single" w:color="000000" w:sz="4" w:space="0"/>
            </w:tcBorders>
            <w:shd w:val="clear" w:color="000000" w:fill="FFFFFF"/>
            <w:noWrap w:val="0"/>
            <w:vAlign w:val="center"/>
          </w:tcPr>
          <w:p w14:paraId="53DC29E9">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执业资格编号</w:t>
            </w:r>
          </w:p>
        </w:tc>
        <w:tc>
          <w:tcPr>
            <w:tcW w:w="1222" w:type="dxa"/>
            <w:tcBorders>
              <w:top w:val="single" w:color="000000" w:sz="4" w:space="0"/>
              <w:left w:val="nil"/>
              <w:bottom w:val="single" w:color="auto" w:sz="4" w:space="0"/>
              <w:right w:val="single" w:color="000000" w:sz="4" w:space="0"/>
            </w:tcBorders>
            <w:shd w:val="clear" w:color="000000" w:fill="FFFFFF"/>
            <w:noWrap w:val="0"/>
            <w:vAlign w:val="center"/>
          </w:tcPr>
          <w:p w14:paraId="744EFDAF">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执业资格有效期</w:t>
            </w:r>
          </w:p>
        </w:tc>
        <w:tc>
          <w:tcPr>
            <w:tcW w:w="765" w:type="dxa"/>
            <w:tcBorders>
              <w:top w:val="single" w:color="000000" w:sz="4" w:space="0"/>
              <w:left w:val="nil"/>
              <w:bottom w:val="single" w:color="auto" w:sz="4" w:space="0"/>
              <w:right w:val="single" w:color="000000" w:sz="4" w:space="0"/>
            </w:tcBorders>
            <w:shd w:val="clear" w:color="000000" w:fill="FFFFFF"/>
            <w:noWrap w:val="0"/>
            <w:vAlign w:val="center"/>
          </w:tcPr>
          <w:p w14:paraId="6323152A">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3B4369C8">
        <w:tblPrEx>
          <w:tblCellMar>
            <w:top w:w="0" w:type="dxa"/>
            <w:left w:w="108" w:type="dxa"/>
            <w:bottom w:w="0" w:type="dxa"/>
            <w:right w:w="108" w:type="dxa"/>
          </w:tblCellMar>
        </w:tblPrEx>
        <w:trPr>
          <w:trHeight w:val="158"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F01D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402752">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项目负责人</w:t>
            </w:r>
          </w:p>
        </w:tc>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639D7">
            <w:pPr>
              <w:widowControl/>
              <w:jc w:val="center"/>
              <w:rPr>
                <w:rFonts w:hint="eastAsia" w:ascii="宋体" w:hAnsi="宋体" w:cs="宋体"/>
                <w:color w:val="auto"/>
                <w:kern w:val="0"/>
                <w:sz w:val="21"/>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DD67E6">
            <w:pPr>
              <w:widowControl/>
              <w:jc w:val="center"/>
              <w:rPr>
                <w:rFonts w:hint="eastAsia" w:ascii="宋体" w:hAnsi="宋体" w:cs="宋体"/>
                <w:color w:val="auto"/>
                <w:kern w:val="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2CD94">
            <w:pPr>
              <w:widowControl/>
              <w:jc w:val="center"/>
              <w:rPr>
                <w:rFonts w:hint="eastAsia" w:ascii="宋体" w:hAnsi="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D40FA3">
            <w:pPr>
              <w:widowControl/>
              <w:jc w:val="center"/>
              <w:rPr>
                <w:rFonts w:hint="eastAsia" w:ascii="宋体" w:hAnsi="宋体" w:cs="宋体"/>
                <w:color w:val="auto"/>
                <w:kern w:val="0"/>
                <w:sz w:val="21"/>
                <w:szCs w:val="21"/>
                <w:highlight w:val="none"/>
              </w:rPr>
            </w:pPr>
          </w:p>
        </w:tc>
        <w:tc>
          <w:tcPr>
            <w:tcW w:w="7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3B4EF">
            <w:pPr>
              <w:widowControl/>
              <w:jc w:val="center"/>
              <w:rPr>
                <w:rFonts w:hint="eastAsia" w:ascii="宋体" w:hAnsi="宋体" w:cs="宋体"/>
                <w:color w:val="auto"/>
                <w:kern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73543">
            <w:pPr>
              <w:widowControl/>
              <w:jc w:val="center"/>
              <w:rPr>
                <w:rFonts w:hint="eastAsia" w:ascii="宋体" w:hAnsi="宋体" w:cs="宋体"/>
                <w:color w:val="auto"/>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6D73EA">
            <w:pPr>
              <w:widowControl/>
              <w:jc w:val="center"/>
              <w:rPr>
                <w:rFonts w:hint="eastAsia" w:ascii="宋体" w:hAnsi="宋体" w:cs="宋体"/>
                <w:color w:val="auto"/>
                <w:kern w:val="0"/>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E32207F">
            <w:pPr>
              <w:widowControl/>
              <w:jc w:val="center"/>
              <w:rPr>
                <w:rFonts w:hint="eastAsia" w:ascii="宋体" w:hAnsi="宋体" w:cs="宋体"/>
                <w:color w:val="auto"/>
                <w:kern w:val="0"/>
                <w:sz w:val="21"/>
                <w:szCs w:val="21"/>
                <w:highlight w:val="none"/>
              </w:rPr>
            </w:pPr>
          </w:p>
        </w:tc>
        <w:tc>
          <w:tcPr>
            <w:tcW w:w="76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3C861393">
            <w:pPr>
              <w:widowControl/>
              <w:jc w:val="center"/>
              <w:rPr>
                <w:rFonts w:hint="eastAsia" w:ascii="宋体" w:hAnsi="宋体" w:cs="宋体"/>
                <w:color w:val="auto"/>
                <w:kern w:val="0"/>
                <w:sz w:val="21"/>
                <w:szCs w:val="21"/>
                <w:highlight w:val="none"/>
              </w:rPr>
            </w:pPr>
          </w:p>
        </w:tc>
      </w:tr>
      <w:tr w14:paraId="4E92C912">
        <w:tblPrEx>
          <w:tblCellMar>
            <w:top w:w="0" w:type="dxa"/>
            <w:left w:w="108" w:type="dxa"/>
            <w:bottom w:w="0" w:type="dxa"/>
            <w:right w:w="108" w:type="dxa"/>
          </w:tblCellMar>
        </w:tblPrEx>
        <w:trPr>
          <w:trHeight w:val="158"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D4930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D1FD08">
            <w:pPr>
              <w:widowControl/>
              <w:jc w:val="center"/>
              <w:rPr>
                <w:rFonts w:hint="eastAsia" w:ascii="宋体" w:hAnsi="宋体" w:cs="宋体"/>
                <w:color w:val="auto"/>
                <w:kern w:val="0"/>
                <w:sz w:val="21"/>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AB05AF">
            <w:pPr>
              <w:widowControl/>
              <w:jc w:val="center"/>
              <w:rPr>
                <w:rFonts w:hint="eastAsia" w:ascii="宋体" w:hAnsi="宋体" w:cs="宋体"/>
                <w:color w:val="auto"/>
                <w:kern w:val="0"/>
                <w:sz w:val="21"/>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6AC090">
            <w:pPr>
              <w:widowControl/>
              <w:jc w:val="center"/>
              <w:rPr>
                <w:rFonts w:hint="eastAsia" w:ascii="宋体" w:hAnsi="宋体" w:cs="宋体"/>
                <w:color w:val="auto"/>
                <w:kern w:val="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EA34F5">
            <w:pPr>
              <w:widowControl/>
              <w:jc w:val="center"/>
              <w:rPr>
                <w:rFonts w:hint="eastAsia" w:ascii="宋体" w:hAnsi="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7275A9">
            <w:pPr>
              <w:widowControl/>
              <w:jc w:val="center"/>
              <w:rPr>
                <w:rFonts w:hint="eastAsia" w:ascii="宋体" w:hAnsi="宋体" w:cs="宋体"/>
                <w:color w:val="auto"/>
                <w:kern w:val="0"/>
                <w:sz w:val="21"/>
                <w:szCs w:val="21"/>
                <w:highlight w:val="none"/>
              </w:rPr>
            </w:pPr>
          </w:p>
        </w:tc>
        <w:tc>
          <w:tcPr>
            <w:tcW w:w="7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08FEBD">
            <w:pPr>
              <w:widowControl/>
              <w:jc w:val="center"/>
              <w:rPr>
                <w:rFonts w:hint="eastAsia" w:ascii="宋体" w:hAnsi="宋体" w:cs="宋体"/>
                <w:color w:val="auto"/>
                <w:kern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B58C53">
            <w:pPr>
              <w:widowControl/>
              <w:jc w:val="center"/>
              <w:rPr>
                <w:rFonts w:hint="eastAsia" w:ascii="宋体" w:hAnsi="宋体" w:cs="宋体"/>
                <w:color w:val="auto"/>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95BAB8">
            <w:pPr>
              <w:widowControl/>
              <w:jc w:val="center"/>
              <w:rPr>
                <w:rFonts w:hint="eastAsia" w:ascii="宋体" w:hAnsi="宋体" w:cs="宋体"/>
                <w:color w:val="auto"/>
                <w:kern w:val="0"/>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6AE09053">
            <w:pPr>
              <w:widowControl/>
              <w:jc w:val="center"/>
              <w:rPr>
                <w:rFonts w:hint="eastAsia" w:ascii="宋体" w:hAnsi="宋体" w:cs="宋体"/>
                <w:color w:val="auto"/>
                <w:kern w:val="0"/>
                <w:sz w:val="21"/>
                <w:szCs w:val="21"/>
                <w:highlight w:val="none"/>
              </w:rPr>
            </w:pPr>
          </w:p>
        </w:tc>
        <w:tc>
          <w:tcPr>
            <w:tcW w:w="76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00A972AB">
            <w:pPr>
              <w:widowControl/>
              <w:jc w:val="center"/>
              <w:rPr>
                <w:rFonts w:hint="eastAsia" w:ascii="宋体" w:hAnsi="宋体" w:cs="宋体"/>
                <w:color w:val="auto"/>
                <w:kern w:val="0"/>
                <w:sz w:val="21"/>
                <w:szCs w:val="21"/>
                <w:highlight w:val="none"/>
              </w:rPr>
            </w:pPr>
          </w:p>
        </w:tc>
      </w:tr>
      <w:tr w14:paraId="2E183BA3">
        <w:tblPrEx>
          <w:tblCellMar>
            <w:top w:w="0" w:type="dxa"/>
            <w:left w:w="108" w:type="dxa"/>
            <w:bottom w:w="0" w:type="dxa"/>
            <w:right w:w="108" w:type="dxa"/>
          </w:tblCellMar>
        </w:tblPrEx>
        <w:trPr>
          <w:trHeight w:val="158"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7A98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7D7B95">
            <w:pPr>
              <w:widowControl/>
              <w:jc w:val="center"/>
              <w:rPr>
                <w:rFonts w:hint="eastAsia" w:ascii="宋体" w:hAnsi="宋体" w:cs="宋体"/>
                <w:color w:val="auto"/>
                <w:kern w:val="0"/>
                <w:sz w:val="21"/>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B673EF">
            <w:pPr>
              <w:widowControl/>
              <w:jc w:val="center"/>
              <w:rPr>
                <w:rFonts w:hint="eastAsia" w:ascii="宋体" w:hAnsi="宋体" w:cs="宋体"/>
                <w:color w:val="auto"/>
                <w:kern w:val="0"/>
                <w:sz w:val="21"/>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ED3D8">
            <w:pPr>
              <w:widowControl/>
              <w:jc w:val="center"/>
              <w:rPr>
                <w:rFonts w:hint="eastAsia" w:ascii="宋体" w:hAnsi="宋体" w:cs="宋体"/>
                <w:color w:val="auto"/>
                <w:kern w:val="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72596B">
            <w:pPr>
              <w:widowControl/>
              <w:jc w:val="center"/>
              <w:rPr>
                <w:rFonts w:hint="eastAsia" w:ascii="宋体" w:hAnsi="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FAB16">
            <w:pPr>
              <w:widowControl/>
              <w:jc w:val="center"/>
              <w:rPr>
                <w:rFonts w:hint="eastAsia" w:ascii="宋体" w:hAnsi="宋体" w:cs="宋体"/>
                <w:color w:val="auto"/>
                <w:kern w:val="0"/>
                <w:sz w:val="21"/>
                <w:szCs w:val="21"/>
                <w:highlight w:val="none"/>
              </w:rPr>
            </w:pPr>
          </w:p>
        </w:tc>
        <w:tc>
          <w:tcPr>
            <w:tcW w:w="7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1C3685">
            <w:pPr>
              <w:widowControl/>
              <w:jc w:val="center"/>
              <w:rPr>
                <w:rFonts w:hint="eastAsia" w:ascii="宋体" w:hAnsi="宋体" w:cs="宋体"/>
                <w:color w:val="auto"/>
                <w:kern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B0DC58">
            <w:pPr>
              <w:widowControl/>
              <w:jc w:val="center"/>
              <w:rPr>
                <w:rFonts w:hint="eastAsia" w:ascii="宋体" w:hAnsi="宋体" w:cs="宋体"/>
                <w:color w:val="auto"/>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195D14">
            <w:pPr>
              <w:widowControl/>
              <w:jc w:val="center"/>
              <w:rPr>
                <w:rFonts w:hint="eastAsia" w:ascii="宋体" w:hAnsi="宋体" w:cs="宋体"/>
                <w:color w:val="auto"/>
                <w:kern w:val="0"/>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06B3C990">
            <w:pPr>
              <w:widowControl/>
              <w:jc w:val="center"/>
              <w:rPr>
                <w:rFonts w:hint="eastAsia" w:ascii="宋体" w:hAnsi="宋体" w:cs="宋体"/>
                <w:color w:val="auto"/>
                <w:kern w:val="0"/>
                <w:sz w:val="21"/>
                <w:szCs w:val="21"/>
                <w:highlight w:val="none"/>
              </w:rPr>
            </w:pPr>
          </w:p>
        </w:tc>
        <w:tc>
          <w:tcPr>
            <w:tcW w:w="76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14D25402">
            <w:pPr>
              <w:widowControl/>
              <w:jc w:val="center"/>
              <w:rPr>
                <w:rFonts w:hint="eastAsia" w:ascii="宋体" w:hAnsi="宋体" w:cs="宋体"/>
                <w:color w:val="auto"/>
                <w:kern w:val="0"/>
                <w:sz w:val="21"/>
                <w:szCs w:val="21"/>
                <w:highlight w:val="none"/>
              </w:rPr>
            </w:pPr>
          </w:p>
        </w:tc>
      </w:tr>
      <w:tr w14:paraId="552C5955">
        <w:tblPrEx>
          <w:tblCellMar>
            <w:top w:w="0" w:type="dxa"/>
            <w:left w:w="108" w:type="dxa"/>
            <w:bottom w:w="0" w:type="dxa"/>
            <w:right w:w="108" w:type="dxa"/>
          </w:tblCellMar>
        </w:tblPrEx>
        <w:trPr>
          <w:trHeight w:val="158"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2F32C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0E2C8F">
            <w:pPr>
              <w:widowControl/>
              <w:jc w:val="center"/>
              <w:rPr>
                <w:rFonts w:hint="eastAsia" w:ascii="宋体" w:hAnsi="宋体" w:cs="宋体"/>
                <w:color w:val="auto"/>
                <w:kern w:val="0"/>
                <w:sz w:val="21"/>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776934">
            <w:pPr>
              <w:widowControl/>
              <w:jc w:val="center"/>
              <w:rPr>
                <w:rFonts w:hint="eastAsia" w:ascii="宋体" w:hAnsi="宋体" w:cs="宋体"/>
                <w:color w:val="auto"/>
                <w:kern w:val="0"/>
                <w:sz w:val="21"/>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FA1CB">
            <w:pPr>
              <w:widowControl/>
              <w:jc w:val="center"/>
              <w:rPr>
                <w:rFonts w:hint="eastAsia" w:ascii="宋体" w:hAnsi="宋体" w:cs="宋体"/>
                <w:color w:val="auto"/>
                <w:kern w:val="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01C95A">
            <w:pPr>
              <w:widowControl/>
              <w:jc w:val="center"/>
              <w:rPr>
                <w:rFonts w:hint="eastAsia" w:ascii="宋体" w:hAnsi="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FF616E">
            <w:pPr>
              <w:widowControl/>
              <w:jc w:val="center"/>
              <w:rPr>
                <w:rFonts w:hint="eastAsia" w:ascii="宋体" w:hAnsi="宋体" w:cs="宋体"/>
                <w:color w:val="auto"/>
                <w:kern w:val="0"/>
                <w:sz w:val="21"/>
                <w:szCs w:val="21"/>
                <w:highlight w:val="none"/>
              </w:rPr>
            </w:pPr>
          </w:p>
        </w:tc>
        <w:tc>
          <w:tcPr>
            <w:tcW w:w="7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BF7C0">
            <w:pPr>
              <w:widowControl/>
              <w:jc w:val="center"/>
              <w:rPr>
                <w:rFonts w:hint="eastAsia" w:ascii="宋体" w:hAnsi="宋体" w:cs="宋体"/>
                <w:color w:val="auto"/>
                <w:kern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6366B5">
            <w:pPr>
              <w:widowControl/>
              <w:jc w:val="center"/>
              <w:rPr>
                <w:rFonts w:hint="eastAsia" w:ascii="宋体" w:hAnsi="宋体" w:cs="宋体"/>
                <w:color w:val="auto"/>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3B214">
            <w:pPr>
              <w:widowControl/>
              <w:jc w:val="center"/>
              <w:rPr>
                <w:rFonts w:hint="eastAsia" w:ascii="宋体" w:hAnsi="宋体" w:cs="宋体"/>
                <w:color w:val="auto"/>
                <w:kern w:val="0"/>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2166D1D8">
            <w:pPr>
              <w:widowControl/>
              <w:jc w:val="center"/>
              <w:rPr>
                <w:rFonts w:hint="eastAsia" w:ascii="宋体" w:hAnsi="宋体" w:cs="宋体"/>
                <w:color w:val="auto"/>
                <w:kern w:val="0"/>
                <w:sz w:val="21"/>
                <w:szCs w:val="21"/>
                <w:highlight w:val="none"/>
              </w:rPr>
            </w:pPr>
          </w:p>
        </w:tc>
        <w:tc>
          <w:tcPr>
            <w:tcW w:w="76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2FBBA3F6">
            <w:pPr>
              <w:widowControl/>
              <w:jc w:val="center"/>
              <w:rPr>
                <w:rFonts w:hint="eastAsia" w:ascii="宋体" w:hAnsi="宋体" w:cs="宋体"/>
                <w:color w:val="auto"/>
                <w:kern w:val="0"/>
                <w:sz w:val="21"/>
                <w:szCs w:val="21"/>
                <w:highlight w:val="none"/>
              </w:rPr>
            </w:pPr>
          </w:p>
        </w:tc>
      </w:tr>
      <w:tr w14:paraId="3581F245">
        <w:tblPrEx>
          <w:tblCellMar>
            <w:top w:w="0" w:type="dxa"/>
            <w:left w:w="108" w:type="dxa"/>
            <w:bottom w:w="0" w:type="dxa"/>
            <w:right w:w="108" w:type="dxa"/>
          </w:tblCellMar>
        </w:tblPrEx>
        <w:trPr>
          <w:trHeight w:val="158"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D16B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1C0F22">
            <w:pPr>
              <w:widowControl/>
              <w:jc w:val="center"/>
              <w:rPr>
                <w:rFonts w:hint="eastAsia" w:ascii="宋体" w:hAnsi="宋体" w:cs="宋体"/>
                <w:color w:val="auto"/>
                <w:kern w:val="0"/>
                <w:sz w:val="21"/>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E4CFA8">
            <w:pPr>
              <w:widowControl/>
              <w:jc w:val="center"/>
              <w:rPr>
                <w:rFonts w:hint="eastAsia" w:ascii="宋体" w:hAnsi="宋体" w:cs="宋体"/>
                <w:color w:val="auto"/>
                <w:kern w:val="0"/>
                <w:sz w:val="21"/>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9631E7">
            <w:pPr>
              <w:widowControl/>
              <w:jc w:val="center"/>
              <w:rPr>
                <w:rFonts w:hint="eastAsia" w:ascii="宋体" w:hAnsi="宋体" w:cs="宋体"/>
                <w:color w:val="auto"/>
                <w:kern w:val="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719AB">
            <w:pPr>
              <w:widowControl/>
              <w:jc w:val="center"/>
              <w:rPr>
                <w:rFonts w:hint="eastAsia" w:ascii="宋体" w:hAnsi="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9A01F6">
            <w:pPr>
              <w:widowControl/>
              <w:jc w:val="center"/>
              <w:rPr>
                <w:rFonts w:hint="eastAsia" w:ascii="宋体" w:hAnsi="宋体" w:cs="宋体"/>
                <w:color w:val="auto"/>
                <w:kern w:val="0"/>
                <w:sz w:val="21"/>
                <w:szCs w:val="21"/>
                <w:highlight w:val="none"/>
              </w:rPr>
            </w:pPr>
          </w:p>
        </w:tc>
        <w:tc>
          <w:tcPr>
            <w:tcW w:w="7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4E6D26">
            <w:pPr>
              <w:widowControl/>
              <w:jc w:val="center"/>
              <w:rPr>
                <w:rFonts w:hint="eastAsia" w:ascii="宋体" w:hAnsi="宋体" w:cs="宋体"/>
                <w:color w:val="auto"/>
                <w:kern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D8FAB3">
            <w:pPr>
              <w:widowControl/>
              <w:jc w:val="center"/>
              <w:rPr>
                <w:rFonts w:hint="eastAsia" w:ascii="宋体" w:hAnsi="宋体" w:cs="宋体"/>
                <w:color w:val="auto"/>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6EE51">
            <w:pPr>
              <w:widowControl/>
              <w:jc w:val="center"/>
              <w:rPr>
                <w:rFonts w:hint="eastAsia" w:ascii="宋体" w:hAnsi="宋体" w:cs="宋体"/>
                <w:color w:val="auto"/>
                <w:kern w:val="0"/>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07FC098">
            <w:pPr>
              <w:widowControl/>
              <w:jc w:val="center"/>
              <w:rPr>
                <w:rFonts w:hint="eastAsia" w:ascii="宋体" w:hAnsi="宋体" w:cs="宋体"/>
                <w:color w:val="auto"/>
                <w:kern w:val="0"/>
                <w:sz w:val="21"/>
                <w:szCs w:val="21"/>
                <w:highlight w:val="none"/>
              </w:rPr>
            </w:pPr>
          </w:p>
        </w:tc>
        <w:tc>
          <w:tcPr>
            <w:tcW w:w="76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0BEA2882">
            <w:pPr>
              <w:widowControl/>
              <w:jc w:val="center"/>
              <w:rPr>
                <w:rFonts w:hint="eastAsia" w:ascii="宋体" w:hAnsi="宋体" w:cs="宋体"/>
                <w:color w:val="auto"/>
                <w:kern w:val="0"/>
                <w:sz w:val="21"/>
                <w:szCs w:val="21"/>
                <w:highlight w:val="none"/>
              </w:rPr>
            </w:pPr>
          </w:p>
        </w:tc>
      </w:tr>
      <w:tr w14:paraId="561FFCC7">
        <w:tblPrEx>
          <w:tblCellMar>
            <w:top w:w="0" w:type="dxa"/>
            <w:left w:w="108" w:type="dxa"/>
            <w:bottom w:w="0" w:type="dxa"/>
            <w:right w:w="108" w:type="dxa"/>
          </w:tblCellMar>
        </w:tblPrEx>
        <w:trPr>
          <w:trHeight w:val="378"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648A6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8A5E02">
            <w:pPr>
              <w:widowControl/>
              <w:jc w:val="center"/>
              <w:rPr>
                <w:rFonts w:hint="eastAsia" w:ascii="宋体" w:hAnsi="宋体" w:cs="宋体"/>
                <w:color w:val="auto"/>
                <w:kern w:val="0"/>
                <w:sz w:val="21"/>
                <w:szCs w:val="21"/>
                <w:highlight w:val="none"/>
              </w:rPr>
            </w:pPr>
          </w:p>
        </w:tc>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13CAA7">
            <w:pPr>
              <w:widowControl/>
              <w:jc w:val="center"/>
              <w:rPr>
                <w:rFonts w:hint="eastAsia" w:ascii="宋体" w:hAnsi="宋体" w:cs="宋体"/>
                <w:color w:val="auto"/>
                <w:kern w:val="0"/>
                <w:sz w:val="21"/>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39963B">
            <w:pPr>
              <w:widowControl/>
              <w:jc w:val="center"/>
              <w:rPr>
                <w:rFonts w:hint="eastAsia" w:ascii="宋体" w:hAnsi="宋体" w:cs="宋体"/>
                <w:color w:val="auto"/>
                <w:kern w:val="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72BFE3">
            <w:pPr>
              <w:widowControl/>
              <w:jc w:val="center"/>
              <w:rPr>
                <w:rFonts w:hint="eastAsia" w:ascii="宋体" w:hAnsi="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E710AA">
            <w:pPr>
              <w:widowControl/>
              <w:jc w:val="center"/>
              <w:rPr>
                <w:rFonts w:hint="eastAsia" w:ascii="宋体" w:hAnsi="宋体" w:cs="宋体"/>
                <w:color w:val="auto"/>
                <w:kern w:val="0"/>
                <w:sz w:val="21"/>
                <w:szCs w:val="21"/>
                <w:highlight w:val="none"/>
              </w:rPr>
            </w:pPr>
          </w:p>
        </w:tc>
        <w:tc>
          <w:tcPr>
            <w:tcW w:w="7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C9720E">
            <w:pPr>
              <w:widowControl/>
              <w:jc w:val="center"/>
              <w:rPr>
                <w:rFonts w:hint="eastAsia" w:ascii="宋体" w:hAnsi="宋体" w:cs="宋体"/>
                <w:color w:val="auto"/>
                <w:kern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6859FD">
            <w:pPr>
              <w:widowControl/>
              <w:jc w:val="center"/>
              <w:rPr>
                <w:rFonts w:hint="eastAsia" w:ascii="宋体" w:hAnsi="宋体" w:cs="宋体"/>
                <w:color w:val="auto"/>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66237A">
            <w:pPr>
              <w:widowControl/>
              <w:jc w:val="center"/>
              <w:rPr>
                <w:rFonts w:hint="eastAsia" w:ascii="宋体" w:hAnsi="宋体" w:cs="宋体"/>
                <w:color w:val="auto"/>
                <w:kern w:val="0"/>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6D0A7373">
            <w:pPr>
              <w:widowControl/>
              <w:jc w:val="center"/>
              <w:rPr>
                <w:rFonts w:hint="eastAsia" w:ascii="宋体" w:hAnsi="宋体" w:cs="宋体"/>
                <w:color w:val="auto"/>
                <w:kern w:val="0"/>
                <w:sz w:val="21"/>
                <w:szCs w:val="21"/>
                <w:highlight w:val="none"/>
              </w:rPr>
            </w:pPr>
          </w:p>
        </w:tc>
        <w:tc>
          <w:tcPr>
            <w:tcW w:w="76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39260E80">
            <w:pPr>
              <w:widowControl/>
              <w:jc w:val="center"/>
              <w:rPr>
                <w:rFonts w:hint="eastAsia" w:ascii="宋体" w:hAnsi="宋体" w:cs="宋体"/>
                <w:color w:val="auto"/>
                <w:kern w:val="0"/>
                <w:sz w:val="21"/>
                <w:szCs w:val="21"/>
                <w:highlight w:val="none"/>
              </w:rPr>
            </w:pPr>
          </w:p>
        </w:tc>
      </w:tr>
      <w:tr w14:paraId="161309B9">
        <w:tblPrEx>
          <w:tblCellMar>
            <w:top w:w="0" w:type="dxa"/>
            <w:left w:w="108" w:type="dxa"/>
            <w:bottom w:w="0" w:type="dxa"/>
            <w:right w:w="108" w:type="dxa"/>
          </w:tblCellMar>
        </w:tblPrEx>
        <w:trPr>
          <w:trHeight w:val="378" w:hRule="atLeast"/>
          <w:jc w:val="center"/>
        </w:trPr>
        <w:tc>
          <w:tcPr>
            <w:tcW w:w="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690B7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D9DFB3">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8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E0A9D3">
            <w:pPr>
              <w:widowControl/>
              <w:jc w:val="center"/>
              <w:rPr>
                <w:rFonts w:hint="eastAsia" w:ascii="宋体" w:hAnsi="宋体" w:cs="宋体"/>
                <w:color w:val="auto"/>
                <w:kern w:val="0"/>
                <w:sz w:val="21"/>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34DD77">
            <w:pPr>
              <w:widowControl/>
              <w:jc w:val="center"/>
              <w:rPr>
                <w:rFonts w:hint="eastAsia" w:ascii="宋体" w:hAnsi="宋体" w:cs="宋体"/>
                <w:color w:val="auto"/>
                <w:kern w:val="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92124D">
            <w:pPr>
              <w:widowControl/>
              <w:jc w:val="center"/>
              <w:rPr>
                <w:rFonts w:hint="eastAsia" w:ascii="宋体" w:hAnsi="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8B7C7E">
            <w:pPr>
              <w:widowControl/>
              <w:jc w:val="center"/>
              <w:rPr>
                <w:rFonts w:hint="eastAsia" w:ascii="宋体" w:hAnsi="宋体" w:cs="宋体"/>
                <w:color w:val="auto"/>
                <w:kern w:val="0"/>
                <w:sz w:val="21"/>
                <w:szCs w:val="21"/>
                <w:highlight w:val="none"/>
              </w:rPr>
            </w:pPr>
          </w:p>
        </w:tc>
        <w:tc>
          <w:tcPr>
            <w:tcW w:w="7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73A1AB">
            <w:pPr>
              <w:widowControl/>
              <w:jc w:val="center"/>
              <w:rPr>
                <w:rFonts w:hint="eastAsia" w:ascii="宋体" w:hAnsi="宋体" w:cs="宋体"/>
                <w:color w:val="auto"/>
                <w:kern w:val="0"/>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03FBE3">
            <w:pPr>
              <w:widowControl/>
              <w:jc w:val="center"/>
              <w:rPr>
                <w:rFonts w:hint="eastAsia" w:ascii="宋体" w:hAnsi="宋体" w:cs="宋体"/>
                <w:color w:val="auto"/>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7D7F19">
            <w:pPr>
              <w:widowControl/>
              <w:jc w:val="center"/>
              <w:rPr>
                <w:rFonts w:hint="eastAsia" w:ascii="宋体" w:hAnsi="宋体" w:cs="宋体"/>
                <w:color w:val="auto"/>
                <w:kern w:val="0"/>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0ED3CFF">
            <w:pPr>
              <w:widowControl/>
              <w:jc w:val="center"/>
              <w:rPr>
                <w:rFonts w:hint="eastAsia" w:ascii="宋体" w:hAnsi="宋体" w:cs="宋体"/>
                <w:color w:val="auto"/>
                <w:kern w:val="0"/>
                <w:sz w:val="21"/>
                <w:szCs w:val="21"/>
                <w:highlight w:val="none"/>
              </w:rPr>
            </w:pPr>
          </w:p>
        </w:tc>
        <w:tc>
          <w:tcPr>
            <w:tcW w:w="76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0445BAE">
            <w:pPr>
              <w:widowControl/>
              <w:jc w:val="center"/>
              <w:rPr>
                <w:rFonts w:hint="eastAsia" w:ascii="宋体" w:hAnsi="宋体" w:cs="宋体"/>
                <w:color w:val="auto"/>
                <w:kern w:val="0"/>
                <w:sz w:val="21"/>
                <w:szCs w:val="21"/>
                <w:highlight w:val="none"/>
              </w:rPr>
            </w:pPr>
          </w:p>
        </w:tc>
      </w:tr>
    </w:tbl>
    <w:p w14:paraId="1C6CD87F">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p>
    <w:p w14:paraId="038B722B">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w:t>
      </w:r>
    </w:p>
    <w:p w14:paraId="04D898B8">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1、格式可扩展，本表后附资格</w:t>
      </w:r>
      <w:r>
        <w:rPr>
          <w:rFonts w:hint="eastAsia" w:ascii="宋体" w:hAnsi="宋体" w:cs="宋体"/>
          <w:b/>
          <w:color w:val="auto"/>
          <w:kern w:val="0"/>
          <w:sz w:val="21"/>
          <w:szCs w:val="21"/>
          <w:highlight w:val="none"/>
          <w:lang w:val="en-US" w:eastAsia="zh-CN"/>
        </w:rPr>
        <w:t>要求</w:t>
      </w:r>
      <w:r>
        <w:rPr>
          <w:rFonts w:hint="eastAsia" w:ascii="宋体" w:hAnsi="宋体" w:cs="宋体"/>
          <w:b/>
          <w:color w:val="auto"/>
          <w:kern w:val="0"/>
          <w:sz w:val="21"/>
          <w:szCs w:val="21"/>
          <w:highlight w:val="none"/>
        </w:rPr>
        <w:t>及评标办法所涉内容的证明材料</w:t>
      </w:r>
      <w:r>
        <w:rPr>
          <w:rFonts w:hint="eastAsia" w:ascii="宋体" w:hAnsi="宋体" w:cs="宋体"/>
          <w:b/>
          <w:color w:val="auto"/>
          <w:kern w:val="0"/>
          <w:sz w:val="21"/>
          <w:szCs w:val="21"/>
          <w:highlight w:val="none"/>
          <w:lang w:val="en-US" w:eastAsia="zh-CN"/>
        </w:rPr>
        <w:t>复印件或</w:t>
      </w:r>
      <w:r>
        <w:rPr>
          <w:rFonts w:hint="eastAsia" w:ascii="宋体" w:hAnsi="宋体" w:cs="宋体"/>
          <w:b/>
          <w:color w:val="auto"/>
          <w:kern w:val="0"/>
          <w:sz w:val="21"/>
          <w:szCs w:val="21"/>
          <w:highlight w:val="none"/>
        </w:rPr>
        <w:t>扫描件（项目负责人及其他主要人员），并</w:t>
      </w:r>
      <w:r>
        <w:rPr>
          <w:rFonts w:hint="eastAsia" w:ascii="宋体" w:hAnsi="宋体" w:cs="宋体"/>
          <w:b/>
          <w:color w:val="auto"/>
          <w:kern w:val="0"/>
          <w:sz w:val="21"/>
          <w:szCs w:val="21"/>
          <w:highlight w:val="none"/>
          <w:u w:val="single"/>
        </w:rPr>
        <w:t>加盖单位公章</w:t>
      </w:r>
      <w:r>
        <w:rPr>
          <w:rFonts w:hint="eastAsia" w:ascii="宋体" w:hAnsi="宋体" w:cs="宋体"/>
          <w:b/>
          <w:color w:val="auto"/>
          <w:kern w:val="0"/>
          <w:sz w:val="21"/>
          <w:szCs w:val="21"/>
          <w:highlight w:val="none"/>
        </w:rPr>
        <w:t>。</w:t>
      </w:r>
    </w:p>
    <w:p w14:paraId="1D3BFC1B">
      <w:pPr>
        <w:wordWrap w:val="0"/>
        <w:snapToGrid w:val="0"/>
        <w:spacing w:before="120" w:beforeLines="50" w:after="120" w:afterLines="50"/>
        <w:jc w:val="left"/>
        <w:rPr>
          <w:rFonts w:hint="eastAsia" w:ascii="宋体" w:hAnsi="宋体" w:cs="宋体"/>
          <w:b/>
          <w:color w:val="auto"/>
          <w:kern w:val="0"/>
          <w:sz w:val="21"/>
          <w:szCs w:val="21"/>
          <w:highlight w:val="none"/>
        </w:rPr>
      </w:pPr>
    </w:p>
    <w:p w14:paraId="6FE274C8">
      <w:pPr>
        <w:wordWrap w:val="0"/>
        <w:snapToGrid w:val="0"/>
        <w:spacing w:before="120" w:beforeLines="50" w:after="120" w:afterLines="50"/>
        <w:jc w:val="center"/>
        <w:outlineLvl w:val="2"/>
        <w:rPr>
          <w:rFonts w:hint="eastAsia" w:ascii="宋体" w:hAnsi="宋体" w:cs="宋体"/>
          <w:b/>
          <w:color w:val="auto"/>
          <w:kern w:val="0"/>
          <w:sz w:val="24"/>
          <w:highlight w:val="none"/>
        </w:rPr>
      </w:pPr>
      <w:r>
        <w:rPr>
          <w:rFonts w:hint="eastAsia" w:ascii="宋体" w:hAnsi="宋体" w:cs="宋体"/>
          <w:b/>
          <w:color w:val="auto"/>
          <w:kern w:val="0"/>
          <w:sz w:val="21"/>
          <w:szCs w:val="21"/>
          <w:highlight w:val="none"/>
        </w:rPr>
        <w:br w:type="page"/>
      </w:r>
      <w:r>
        <w:rPr>
          <w:rFonts w:hint="eastAsia" w:ascii="宋体" w:hAnsi="宋体" w:cs="宋体"/>
          <w:b/>
          <w:color w:val="auto"/>
          <w:kern w:val="0"/>
          <w:sz w:val="24"/>
          <w:highlight w:val="none"/>
        </w:rPr>
        <w:t>表3 拟投入本标段主要人员经历表</w:t>
      </w:r>
    </w:p>
    <w:tbl>
      <w:tblPr>
        <w:tblStyle w:val="30"/>
        <w:tblW w:w="10396" w:type="dxa"/>
        <w:jc w:val="center"/>
        <w:tblLayout w:type="fixed"/>
        <w:tblCellMar>
          <w:top w:w="0" w:type="dxa"/>
          <w:left w:w="108" w:type="dxa"/>
          <w:bottom w:w="0" w:type="dxa"/>
          <w:right w:w="108" w:type="dxa"/>
        </w:tblCellMar>
      </w:tblPr>
      <w:tblGrid>
        <w:gridCol w:w="718"/>
        <w:gridCol w:w="1571"/>
        <w:gridCol w:w="709"/>
        <w:gridCol w:w="1378"/>
        <w:gridCol w:w="1350"/>
        <w:gridCol w:w="1125"/>
        <w:gridCol w:w="760"/>
        <w:gridCol w:w="1159"/>
        <w:gridCol w:w="1136"/>
        <w:gridCol w:w="490"/>
      </w:tblGrid>
      <w:tr w14:paraId="1921CFA8">
        <w:tblPrEx>
          <w:tblCellMar>
            <w:top w:w="0" w:type="dxa"/>
            <w:left w:w="108" w:type="dxa"/>
            <w:bottom w:w="0" w:type="dxa"/>
            <w:right w:w="108" w:type="dxa"/>
          </w:tblCellMar>
        </w:tblPrEx>
        <w:trPr>
          <w:trHeight w:val="20" w:hRule="atLeast"/>
          <w:jc w:val="center"/>
        </w:trPr>
        <w:tc>
          <w:tcPr>
            <w:tcW w:w="718"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D0E57F6">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571" w:type="dxa"/>
            <w:tcBorders>
              <w:top w:val="single" w:color="000000" w:sz="4" w:space="0"/>
              <w:left w:val="nil"/>
              <w:bottom w:val="single" w:color="auto" w:sz="4" w:space="0"/>
              <w:right w:val="single" w:color="000000" w:sz="4" w:space="0"/>
            </w:tcBorders>
            <w:shd w:val="clear" w:color="000000" w:fill="FFFFFF"/>
            <w:noWrap w:val="0"/>
            <w:vAlign w:val="center"/>
          </w:tcPr>
          <w:p w14:paraId="21826338">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在本项目中</w:t>
            </w:r>
          </w:p>
          <w:p w14:paraId="65652782">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担任职务</w:t>
            </w:r>
          </w:p>
        </w:tc>
        <w:tc>
          <w:tcPr>
            <w:tcW w:w="709" w:type="dxa"/>
            <w:tcBorders>
              <w:top w:val="single" w:color="000000" w:sz="4" w:space="0"/>
              <w:left w:val="nil"/>
              <w:bottom w:val="single" w:color="auto" w:sz="4" w:space="0"/>
              <w:right w:val="single" w:color="000000" w:sz="4" w:space="0"/>
            </w:tcBorders>
            <w:shd w:val="clear" w:color="000000" w:fill="FFFFFF"/>
            <w:noWrap w:val="0"/>
            <w:vAlign w:val="center"/>
          </w:tcPr>
          <w:p w14:paraId="1B9DA97E">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378" w:type="dxa"/>
            <w:tcBorders>
              <w:top w:val="single" w:color="000000" w:sz="4" w:space="0"/>
              <w:left w:val="nil"/>
              <w:bottom w:val="single" w:color="auto" w:sz="4" w:space="0"/>
              <w:right w:val="single" w:color="000000" w:sz="4" w:space="0"/>
            </w:tcBorders>
            <w:shd w:val="clear" w:color="000000" w:fill="FFFFFF"/>
            <w:noWrap w:val="0"/>
            <w:vAlign w:val="center"/>
          </w:tcPr>
          <w:p w14:paraId="17A8F35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项目名称</w:t>
            </w:r>
          </w:p>
        </w:tc>
        <w:tc>
          <w:tcPr>
            <w:tcW w:w="1350" w:type="dxa"/>
            <w:tcBorders>
              <w:top w:val="single" w:color="000000" w:sz="4" w:space="0"/>
              <w:left w:val="nil"/>
              <w:bottom w:val="single" w:color="auto" w:sz="4" w:space="0"/>
              <w:right w:val="single" w:color="000000" w:sz="4" w:space="0"/>
            </w:tcBorders>
            <w:shd w:val="clear" w:color="000000" w:fill="FFFFFF"/>
            <w:noWrap w:val="0"/>
            <w:vAlign w:val="center"/>
          </w:tcPr>
          <w:p w14:paraId="178D06FF">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项目简介</w:t>
            </w:r>
          </w:p>
        </w:tc>
        <w:tc>
          <w:tcPr>
            <w:tcW w:w="1125" w:type="dxa"/>
            <w:tcBorders>
              <w:top w:val="single" w:color="000000" w:sz="4" w:space="0"/>
              <w:left w:val="nil"/>
              <w:bottom w:val="single" w:color="auto" w:sz="4" w:space="0"/>
              <w:right w:val="single" w:color="000000" w:sz="4" w:space="0"/>
            </w:tcBorders>
            <w:shd w:val="clear" w:color="000000" w:fill="FFFFFF"/>
            <w:noWrap w:val="0"/>
            <w:vAlign w:val="center"/>
          </w:tcPr>
          <w:p w14:paraId="611328C9">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工作内容</w:t>
            </w:r>
          </w:p>
        </w:tc>
        <w:tc>
          <w:tcPr>
            <w:tcW w:w="760" w:type="dxa"/>
            <w:tcBorders>
              <w:top w:val="single" w:color="000000" w:sz="4" w:space="0"/>
              <w:left w:val="nil"/>
              <w:bottom w:val="single" w:color="auto" w:sz="4" w:space="0"/>
              <w:right w:val="single" w:color="000000" w:sz="4" w:space="0"/>
            </w:tcBorders>
            <w:shd w:val="clear" w:color="000000" w:fill="FFFFFF"/>
            <w:noWrap w:val="0"/>
            <w:vAlign w:val="center"/>
          </w:tcPr>
          <w:p w14:paraId="2A489DF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项目职务</w:t>
            </w:r>
          </w:p>
        </w:tc>
        <w:tc>
          <w:tcPr>
            <w:tcW w:w="1159" w:type="dxa"/>
            <w:tcBorders>
              <w:top w:val="single" w:color="000000" w:sz="4" w:space="0"/>
              <w:left w:val="nil"/>
              <w:bottom w:val="single" w:color="auto" w:sz="4" w:space="0"/>
              <w:right w:val="single" w:color="000000" w:sz="4" w:space="0"/>
            </w:tcBorders>
            <w:shd w:val="clear" w:color="000000" w:fill="FFFFFF"/>
            <w:noWrap w:val="0"/>
            <w:vAlign w:val="center"/>
          </w:tcPr>
          <w:p w14:paraId="1839A84B">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合同签订</w:t>
            </w:r>
          </w:p>
          <w:p w14:paraId="581121D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时间</w:t>
            </w:r>
          </w:p>
        </w:tc>
        <w:tc>
          <w:tcPr>
            <w:tcW w:w="1136" w:type="dxa"/>
            <w:tcBorders>
              <w:top w:val="single" w:color="000000" w:sz="4" w:space="0"/>
              <w:left w:val="nil"/>
              <w:bottom w:val="single" w:color="auto" w:sz="4" w:space="0"/>
              <w:right w:val="single" w:color="000000" w:sz="4" w:space="0"/>
            </w:tcBorders>
            <w:shd w:val="clear" w:color="000000" w:fill="FFFFFF"/>
            <w:noWrap w:val="0"/>
            <w:vAlign w:val="center"/>
          </w:tcPr>
          <w:p w14:paraId="72B7F74A">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合同</w:t>
            </w:r>
            <w:r>
              <w:rPr>
                <w:rFonts w:hint="eastAsia" w:ascii="宋体" w:hAnsi="宋体" w:cs="宋体"/>
                <w:color w:val="auto"/>
                <w:kern w:val="0"/>
                <w:sz w:val="21"/>
                <w:szCs w:val="21"/>
                <w:highlight w:val="none"/>
                <w:lang w:val="en-US" w:eastAsia="zh-CN"/>
              </w:rPr>
              <w:t>完成</w:t>
            </w:r>
          </w:p>
          <w:p w14:paraId="63A37021">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时间</w:t>
            </w:r>
          </w:p>
        </w:tc>
        <w:tc>
          <w:tcPr>
            <w:tcW w:w="490" w:type="dxa"/>
            <w:tcBorders>
              <w:top w:val="single" w:color="000000" w:sz="4" w:space="0"/>
              <w:left w:val="nil"/>
              <w:bottom w:val="single" w:color="auto" w:sz="4" w:space="0"/>
              <w:right w:val="single" w:color="000000" w:sz="4" w:space="0"/>
            </w:tcBorders>
            <w:shd w:val="clear" w:color="000000" w:fill="FFFFFF"/>
            <w:noWrap w:val="0"/>
            <w:vAlign w:val="center"/>
          </w:tcPr>
          <w:p w14:paraId="65793D4B">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406A4211">
        <w:tblPrEx>
          <w:tblCellMar>
            <w:top w:w="0" w:type="dxa"/>
            <w:left w:w="108" w:type="dxa"/>
            <w:bottom w:w="0" w:type="dxa"/>
            <w:right w:w="108" w:type="dxa"/>
          </w:tblCellMar>
        </w:tblPrEx>
        <w:trPr>
          <w:trHeight w:val="158"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A5770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15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ED590">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项目负责人</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2C2B3">
            <w:pPr>
              <w:widowControl/>
              <w:jc w:val="center"/>
              <w:rPr>
                <w:rFonts w:hint="eastAsia" w:ascii="宋体" w:hAnsi="宋体" w:cs="宋体"/>
                <w:color w:val="auto"/>
                <w:kern w:val="0"/>
                <w:sz w:val="21"/>
                <w:szCs w:val="21"/>
                <w:highlight w:val="none"/>
              </w:rPr>
            </w:pPr>
          </w:p>
        </w:tc>
        <w:tc>
          <w:tcPr>
            <w:tcW w:w="13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63F735">
            <w:pPr>
              <w:widowControl/>
              <w:jc w:val="center"/>
              <w:rPr>
                <w:rFonts w:hint="eastAsia" w:ascii="宋体" w:hAnsi="宋体" w:cs="宋体"/>
                <w:color w:val="auto"/>
                <w:kern w:val="0"/>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91584">
            <w:pPr>
              <w:widowControl/>
              <w:jc w:val="center"/>
              <w:rPr>
                <w:rFonts w:hint="eastAsia" w:ascii="宋体" w:hAnsi="宋体" w:cs="宋体"/>
                <w:color w:val="auto"/>
                <w:kern w:val="0"/>
                <w:sz w:val="21"/>
                <w:szCs w:val="21"/>
                <w:highlight w:val="none"/>
              </w:rPr>
            </w:pPr>
          </w:p>
        </w:tc>
        <w:tc>
          <w:tcPr>
            <w:tcW w:w="11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C6DB5">
            <w:pPr>
              <w:widowControl/>
              <w:jc w:val="center"/>
              <w:rPr>
                <w:rFonts w:hint="eastAsia" w:ascii="宋体" w:hAnsi="宋体" w:cs="宋体"/>
                <w:color w:val="auto"/>
                <w:kern w:val="0"/>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4B4B4">
            <w:pPr>
              <w:widowControl/>
              <w:jc w:val="center"/>
              <w:rPr>
                <w:rFonts w:hint="eastAsia" w:ascii="宋体" w:hAnsi="宋体" w:cs="宋体"/>
                <w:color w:val="auto"/>
                <w:kern w:val="0"/>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6C59EC">
            <w:pPr>
              <w:widowControl/>
              <w:jc w:val="center"/>
              <w:rPr>
                <w:rFonts w:hint="eastAsia" w:ascii="宋体" w:hAnsi="宋体" w:cs="宋体"/>
                <w:color w:val="auto"/>
                <w:kern w:val="0"/>
                <w:sz w:val="21"/>
                <w:szCs w:val="21"/>
                <w:highlight w:val="none"/>
              </w:rPr>
            </w:pPr>
          </w:p>
        </w:tc>
        <w:tc>
          <w:tcPr>
            <w:tcW w:w="11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116BEA">
            <w:pPr>
              <w:widowControl/>
              <w:jc w:val="center"/>
              <w:rPr>
                <w:rFonts w:hint="eastAsia" w:ascii="宋体" w:hAnsi="宋体" w:cs="宋体"/>
                <w:color w:val="auto"/>
                <w:kern w:val="0"/>
                <w:sz w:val="21"/>
                <w:szCs w:val="21"/>
                <w:highlight w:val="none"/>
              </w:rPr>
            </w:pPr>
          </w:p>
        </w:tc>
        <w:tc>
          <w:tcPr>
            <w:tcW w:w="4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A7865">
            <w:pPr>
              <w:widowControl/>
              <w:jc w:val="center"/>
              <w:rPr>
                <w:rFonts w:hint="eastAsia" w:ascii="宋体" w:hAnsi="宋体" w:cs="宋体"/>
                <w:color w:val="auto"/>
                <w:kern w:val="0"/>
                <w:sz w:val="21"/>
                <w:szCs w:val="21"/>
                <w:highlight w:val="none"/>
              </w:rPr>
            </w:pPr>
          </w:p>
        </w:tc>
      </w:tr>
      <w:tr w14:paraId="20AA9710">
        <w:tblPrEx>
          <w:tblCellMar>
            <w:top w:w="0" w:type="dxa"/>
            <w:left w:w="108" w:type="dxa"/>
            <w:bottom w:w="0" w:type="dxa"/>
            <w:right w:w="108" w:type="dxa"/>
          </w:tblCellMar>
        </w:tblPrEx>
        <w:trPr>
          <w:trHeight w:val="158"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4AC1C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p>
        </w:tc>
        <w:tc>
          <w:tcPr>
            <w:tcW w:w="15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FFE8A">
            <w:pPr>
              <w:widowControl/>
              <w:jc w:val="center"/>
              <w:rPr>
                <w:rFonts w:hint="eastAsia" w:ascii="宋体" w:hAnsi="宋体" w:cs="宋体"/>
                <w:color w:val="auto"/>
                <w:kern w:val="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75837B">
            <w:pPr>
              <w:widowControl/>
              <w:jc w:val="center"/>
              <w:rPr>
                <w:rFonts w:hint="eastAsia" w:ascii="宋体" w:hAnsi="宋体" w:cs="宋体"/>
                <w:color w:val="auto"/>
                <w:kern w:val="0"/>
                <w:sz w:val="21"/>
                <w:szCs w:val="21"/>
                <w:highlight w:val="none"/>
              </w:rPr>
            </w:pPr>
          </w:p>
        </w:tc>
        <w:tc>
          <w:tcPr>
            <w:tcW w:w="13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197829">
            <w:pPr>
              <w:widowControl/>
              <w:jc w:val="center"/>
              <w:rPr>
                <w:rFonts w:hint="eastAsia" w:ascii="宋体" w:hAnsi="宋体" w:cs="宋体"/>
                <w:color w:val="auto"/>
                <w:kern w:val="0"/>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17DE07">
            <w:pPr>
              <w:widowControl/>
              <w:jc w:val="center"/>
              <w:rPr>
                <w:rFonts w:hint="eastAsia" w:ascii="宋体" w:hAnsi="宋体" w:cs="宋体"/>
                <w:color w:val="auto"/>
                <w:kern w:val="0"/>
                <w:sz w:val="21"/>
                <w:szCs w:val="21"/>
                <w:highlight w:val="none"/>
              </w:rPr>
            </w:pPr>
          </w:p>
        </w:tc>
        <w:tc>
          <w:tcPr>
            <w:tcW w:w="11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BE7EFE">
            <w:pPr>
              <w:widowControl/>
              <w:jc w:val="center"/>
              <w:rPr>
                <w:rFonts w:hint="eastAsia" w:ascii="宋体" w:hAnsi="宋体" w:cs="宋体"/>
                <w:color w:val="auto"/>
                <w:kern w:val="0"/>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533669">
            <w:pPr>
              <w:widowControl/>
              <w:jc w:val="center"/>
              <w:rPr>
                <w:rFonts w:hint="eastAsia" w:ascii="宋体" w:hAnsi="宋体" w:cs="宋体"/>
                <w:color w:val="auto"/>
                <w:kern w:val="0"/>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27A391">
            <w:pPr>
              <w:widowControl/>
              <w:jc w:val="center"/>
              <w:rPr>
                <w:rFonts w:hint="eastAsia" w:ascii="宋体" w:hAnsi="宋体" w:cs="宋体"/>
                <w:color w:val="auto"/>
                <w:kern w:val="0"/>
                <w:sz w:val="21"/>
                <w:szCs w:val="21"/>
                <w:highlight w:val="none"/>
              </w:rPr>
            </w:pPr>
          </w:p>
        </w:tc>
        <w:tc>
          <w:tcPr>
            <w:tcW w:w="11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A934AD">
            <w:pPr>
              <w:widowControl/>
              <w:jc w:val="center"/>
              <w:rPr>
                <w:rFonts w:hint="eastAsia" w:ascii="宋体" w:hAnsi="宋体" w:cs="宋体"/>
                <w:color w:val="auto"/>
                <w:kern w:val="0"/>
                <w:sz w:val="21"/>
                <w:szCs w:val="21"/>
                <w:highlight w:val="none"/>
              </w:rPr>
            </w:pPr>
          </w:p>
        </w:tc>
        <w:tc>
          <w:tcPr>
            <w:tcW w:w="4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7CB031">
            <w:pPr>
              <w:widowControl/>
              <w:jc w:val="center"/>
              <w:rPr>
                <w:rFonts w:hint="eastAsia" w:ascii="宋体" w:hAnsi="宋体" w:cs="宋体"/>
                <w:color w:val="auto"/>
                <w:kern w:val="0"/>
                <w:sz w:val="21"/>
                <w:szCs w:val="21"/>
                <w:highlight w:val="none"/>
              </w:rPr>
            </w:pPr>
          </w:p>
        </w:tc>
      </w:tr>
      <w:tr w14:paraId="13376FAD">
        <w:tblPrEx>
          <w:tblCellMar>
            <w:top w:w="0" w:type="dxa"/>
            <w:left w:w="108" w:type="dxa"/>
            <w:bottom w:w="0" w:type="dxa"/>
            <w:right w:w="108" w:type="dxa"/>
          </w:tblCellMar>
        </w:tblPrEx>
        <w:trPr>
          <w:trHeight w:val="158"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4339D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p>
        </w:tc>
        <w:tc>
          <w:tcPr>
            <w:tcW w:w="15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D6B178">
            <w:pPr>
              <w:widowControl/>
              <w:jc w:val="center"/>
              <w:rPr>
                <w:rFonts w:hint="eastAsia" w:ascii="宋体" w:hAnsi="宋体" w:cs="宋体"/>
                <w:color w:val="auto"/>
                <w:kern w:val="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DF335">
            <w:pPr>
              <w:widowControl/>
              <w:jc w:val="center"/>
              <w:rPr>
                <w:rFonts w:hint="eastAsia" w:ascii="宋体" w:hAnsi="宋体" w:cs="宋体"/>
                <w:color w:val="auto"/>
                <w:kern w:val="0"/>
                <w:sz w:val="21"/>
                <w:szCs w:val="21"/>
                <w:highlight w:val="none"/>
              </w:rPr>
            </w:pPr>
          </w:p>
        </w:tc>
        <w:tc>
          <w:tcPr>
            <w:tcW w:w="13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0B6A3B">
            <w:pPr>
              <w:widowControl/>
              <w:jc w:val="center"/>
              <w:rPr>
                <w:rFonts w:hint="eastAsia" w:ascii="宋体" w:hAnsi="宋体" w:cs="宋体"/>
                <w:color w:val="auto"/>
                <w:kern w:val="0"/>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1C7B6D">
            <w:pPr>
              <w:widowControl/>
              <w:jc w:val="center"/>
              <w:rPr>
                <w:rFonts w:hint="eastAsia" w:ascii="宋体" w:hAnsi="宋体" w:cs="宋体"/>
                <w:color w:val="auto"/>
                <w:kern w:val="0"/>
                <w:sz w:val="21"/>
                <w:szCs w:val="21"/>
                <w:highlight w:val="none"/>
              </w:rPr>
            </w:pPr>
          </w:p>
        </w:tc>
        <w:tc>
          <w:tcPr>
            <w:tcW w:w="11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AE384">
            <w:pPr>
              <w:widowControl/>
              <w:jc w:val="center"/>
              <w:rPr>
                <w:rFonts w:hint="eastAsia" w:ascii="宋体" w:hAnsi="宋体" w:cs="宋体"/>
                <w:color w:val="auto"/>
                <w:kern w:val="0"/>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25EEC7">
            <w:pPr>
              <w:widowControl/>
              <w:jc w:val="center"/>
              <w:rPr>
                <w:rFonts w:hint="eastAsia" w:ascii="宋体" w:hAnsi="宋体" w:cs="宋体"/>
                <w:color w:val="auto"/>
                <w:kern w:val="0"/>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690652">
            <w:pPr>
              <w:widowControl/>
              <w:jc w:val="center"/>
              <w:rPr>
                <w:rFonts w:hint="eastAsia" w:ascii="宋体" w:hAnsi="宋体" w:cs="宋体"/>
                <w:color w:val="auto"/>
                <w:kern w:val="0"/>
                <w:sz w:val="21"/>
                <w:szCs w:val="21"/>
                <w:highlight w:val="none"/>
              </w:rPr>
            </w:pPr>
          </w:p>
        </w:tc>
        <w:tc>
          <w:tcPr>
            <w:tcW w:w="11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B5D7E8">
            <w:pPr>
              <w:widowControl/>
              <w:jc w:val="center"/>
              <w:rPr>
                <w:rFonts w:hint="eastAsia" w:ascii="宋体" w:hAnsi="宋体" w:cs="宋体"/>
                <w:color w:val="auto"/>
                <w:kern w:val="0"/>
                <w:sz w:val="21"/>
                <w:szCs w:val="21"/>
                <w:highlight w:val="none"/>
              </w:rPr>
            </w:pPr>
          </w:p>
        </w:tc>
        <w:tc>
          <w:tcPr>
            <w:tcW w:w="4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B289F">
            <w:pPr>
              <w:widowControl/>
              <w:jc w:val="center"/>
              <w:rPr>
                <w:rFonts w:hint="eastAsia" w:ascii="宋体" w:hAnsi="宋体" w:cs="宋体"/>
                <w:color w:val="auto"/>
                <w:kern w:val="0"/>
                <w:sz w:val="21"/>
                <w:szCs w:val="21"/>
                <w:highlight w:val="none"/>
              </w:rPr>
            </w:pPr>
          </w:p>
        </w:tc>
      </w:tr>
      <w:tr w14:paraId="58D980CB">
        <w:tblPrEx>
          <w:tblCellMar>
            <w:top w:w="0" w:type="dxa"/>
            <w:left w:w="108" w:type="dxa"/>
            <w:bottom w:w="0" w:type="dxa"/>
            <w:right w:w="108" w:type="dxa"/>
          </w:tblCellMar>
        </w:tblPrEx>
        <w:trPr>
          <w:trHeight w:val="158"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AA3268">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p>
        </w:tc>
        <w:tc>
          <w:tcPr>
            <w:tcW w:w="15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D54096">
            <w:pPr>
              <w:widowControl/>
              <w:jc w:val="center"/>
              <w:rPr>
                <w:rFonts w:hint="eastAsia" w:ascii="宋体" w:hAnsi="宋体" w:cs="宋体"/>
                <w:color w:val="auto"/>
                <w:kern w:val="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D0A8A8">
            <w:pPr>
              <w:widowControl/>
              <w:jc w:val="center"/>
              <w:rPr>
                <w:rFonts w:hint="eastAsia" w:ascii="宋体" w:hAnsi="宋体" w:cs="宋体"/>
                <w:color w:val="auto"/>
                <w:kern w:val="0"/>
                <w:sz w:val="21"/>
                <w:szCs w:val="21"/>
                <w:highlight w:val="none"/>
              </w:rPr>
            </w:pPr>
          </w:p>
        </w:tc>
        <w:tc>
          <w:tcPr>
            <w:tcW w:w="13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17CC7A">
            <w:pPr>
              <w:widowControl/>
              <w:jc w:val="center"/>
              <w:rPr>
                <w:rFonts w:hint="eastAsia" w:ascii="宋体" w:hAnsi="宋体" w:cs="宋体"/>
                <w:color w:val="auto"/>
                <w:kern w:val="0"/>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256598">
            <w:pPr>
              <w:widowControl/>
              <w:jc w:val="center"/>
              <w:rPr>
                <w:rFonts w:hint="eastAsia" w:ascii="宋体" w:hAnsi="宋体" w:cs="宋体"/>
                <w:color w:val="auto"/>
                <w:kern w:val="0"/>
                <w:sz w:val="21"/>
                <w:szCs w:val="21"/>
                <w:highlight w:val="none"/>
              </w:rPr>
            </w:pPr>
          </w:p>
        </w:tc>
        <w:tc>
          <w:tcPr>
            <w:tcW w:w="11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0970A7">
            <w:pPr>
              <w:widowControl/>
              <w:jc w:val="center"/>
              <w:rPr>
                <w:rFonts w:hint="eastAsia" w:ascii="宋体" w:hAnsi="宋体" w:cs="宋体"/>
                <w:color w:val="auto"/>
                <w:kern w:val="0"/>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34563">
            <w:pPr>
              <w:widowControl/>
              <w:jc w:val="center"/>
              <w:rPr>
                <w:rFonts w:hint="eastAsia" w:ascii="宋体" w:hAnsi="宋体" w:cs="宋体"/>
                <w:color w:val="auto"/>
                <w:kern w:val="0"/>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EB46E6">
            <w:pPr>
              <w:widowControl/>
              <w:jc w:val="center"/>
              <w:rPr>
                <w:rFonts w:hint="eastAsia" w:ascii="宋体" w:hAnsi="宋体" w:cs="宋体"/>
                <w:color w:val="auto"/>
                <w:kern w:val="0"/>
                <w:sz w:val="21"/>
                <w:szCs w:val="21"/>
                <w:highlight w:val="none"/>
              </w:rPr>
            </w:pPr>
          </w:p>
        </w:tc>
        <w:tc>
          <w:tcPr>
            <w:tcW w:w="11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BDE342">
            <w:pPr>
              <w:widowControl/>
              <w:jc w:val="center"/>
              <w:rPr>
                <w:rFonts w:hint="eastAsia" w:ascii="宋体" w:hAnsi="宋体" w:cs="宋体"/>
                <w:color w:val="auto"/>
                <w:kern w:val="0"/>
                <w:sz w:val="21"/>
                <w:szCs w:val="21"/>
                <w:highlight w:val="none"/>
              </w:rPr>
            </w:pPr>
          </w:p>
        </w:tc>
        <w:tc>
          <w:tcPr>
            <w:tcW w:w="4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E10431">
            <w:pPr>
              <w:widowControl/>
              <w:jc w:val="center"/>
              <w:rPr>
                <w:rFonts w:hint="eastAsia" w:ascii="宋体" w:hAnsi="宋体" w:cs="宋体"/>
                <w:color w:val="auto"/>
                <w:kern w:val="0"/>
                <w:sz w:val="21"/>
                <w:szCs w:val="21"/>
                <w:highlight w:val="none"/>
              </w:rPr>
            </w:pPr>
          </w:p>
        </w:tc>
      </w:tr>
      <w:tr w14:paraId="2B842C5E">
        <w:tblPrEx>
          <w:tblCellMar>
            <w:top w:w="0" w:type="dxa"/>
            <w:left w:w="108" w:type="dxa"/>
            <w:bottom w:w="0" w:type="dxa"/>
            <w:right w:w="108" w:type="dxa"/>
          </w:tblCellMar>
        </w:tblPrEx>
        <w:trPr>
          <w:trHeight w:val="158"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E8A456">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p>
        </w:tc>
        <w:tc>
          <w:tcPr>
            <w:tcW w:w="15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1D2F36">
            <w:pPr>
              <w:widowControl/>
              <w:jc w:val="center"/>
              <w:rPr>
                <w:rFonts w:hint="eastAsia" w:ascii="宋体" w:hAnsi="宋体" w:cs="宋体"/>
                <w:color w:val="auto"/>
                <w:kern w:val="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7EF858">
            <w:pPr>
              <w:widowControl/>
              <w:jc w:val="center"/>
              <w:rPr>
                <w:rFonts w:hint="eastAsia" w:ascii="宋体" w:hAnsi="宋体" w:cs="宋体"/>
                <w:color w:val="auto"/>
                <w:kern w:val="0"/>
                <w:sz w:val="21"/>
                <w:szCs w:val="21"/>
                <w:highlight w:val="none"/>
              </w:rPr>
            </w:pPr>
          </w:p>
        </w:tc>
        <w:tc>
          <w:tcPr>
            <w:tcW w:w="13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023F8C">
            <w:pPr>
              <w:widowControl/>
              <w:jc w:val="center"/>
              <w:rPr>
                <w:rFonts w:hint="eastAsia" w:ascii="宋体" w:hAnsi="宋体" w:cs="宋体"/>
                <w:color w:val="auto"/>
                <w:kern w:val="0"/>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7BE450">
            <w:pPr>
              <w:widowControl/>
              <w:jc w:val="center"/>
              <w:rPr>
                <w:rFonts w:hint="eastAsia" w:ascii="宋体" w:hAnsi="宋体" w:cs="宋体"/>
                <w:color w:val="auto"/>
                <w:kern w:val="0"/>
                <w:sz w:val="21"/>
                <w:szCs w:val="21"/>
                <w:highlight w:val="none"/>
              </w:rPr>
            </w:pPr>
          </w:p>
        </w:tc>
        <w:tc>
          <w:tcPr>
            <w:tcW w:w="11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FBB132">
            <w:pPr>
              <w:widowControl/>
              <w:jc w:val="center"/>
              <w:rPr>
                <w:rFonts w:hint="eastAsia" w:ascii="宋体" w:hAnsi="宋体" w:cs="宋体"/>
                <w:color w:val="auto"/>
                <w:kern w:val="0"/>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CF3E0">
            <w:pPr>
              <w:widowControl/>
              <w:jc w:val="center"/>
              <w:rPr>
                <w:rFonts w:hint="eastAsia" w:ascii="宋体" w:hAnsi="宋体" w:cs="宋体"/>
                <w:color w:val="auto"/>
                <w:kern w:val="0"/>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AD3261">
            <w:pPr>
              <w:widowControl/>
              <w:jc w:val="center"/>
              <w:rPr>
                <w:rFonts w:hint="eastAsia" w:ascii="宋体" w:hAnsi="宋体" w:cs="宋体"/>
                <w:color w:val="auto"/>
                <w:kern w:val="0"/>
                <w:sz w:val="21"/>
                <w:szCs w:val="21"/>
                <w:highlight w:val="none"/>
              </w:rPr>
            </w:pPr>
          </w:p>
        </w:tc>
        <w:tc>
          <w:tcPr>
            <w:tcW w:w="11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52F73">
            <w:pPr>
              <w:widowControl/>
              <w:jc w:val="center"/>
              <w:rPr>
                <w:rFonts w:hint="eastAsia" w:ascii="宋体" w:hAnsi="宋体" w:cs="宋体"/>
                <w:color w:val="auto"/>
                <w:kern w:val="0"/>
                <w:sz w:val="21"/>
                <w:szCs w:val="21"/>
                <w:highlight w:val="none"/>
              </w:rPr>
            </w:pPr>
          </w:p>
        </w:tc>
        <w:tc>
          <w:tcPr>
            <w:tcW w:w="4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954D80">
            <w:pPr>
              <w:widowControl/>
              <w:jc w:val="center"/>
              <w:rPr>
                <w:rFonts w:hint="eastAsia" w:ascii="宋体" w:hAnsi="宋体" w:cs="宋体"/>
                <w:color w:val="auto"/>
                <w:kern w:val="0"/>
                <w:sz w:val="21"/>
                <w:szCs w:val="21"/>
                <w:highlight w:val="none"/>
              </w:rPr>
            </w:pPr>
          </w:p>
        </w:tc>
      </w:tr>
      <w:tr w14:paraId="11F6B5DD">
        <w:tblPrEx>
          <w:tblCellMar>
            <w:top w:w="0" w:type="dxa"/>
            <w:left w:w="108" w:type="dxa"/>
            <w:bottom w:w="0" w:type="dxa"/>
            <w:right w:w="108" w:type="dxa"/>
          </w:tblCellMar>
        </w:tblPrEx>
        <w:trPr>
          <w:trHeight w:val="158"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9E063A">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p>
        </w:tc>
        <w:tc>
          <w:tcPr>
            <w:tcW w:w="15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2C68E">
            <w:pPr>
              <w:widowControl/>
              <w:jc w:val="center"/>
              <w:rPr>
                <w:rFonts w:hint="eastAsia" w:ascii="宋体" w:hAnsi="宋体" w:cs="宋体"/>
                <w:color w:val="auto"/>
                <w:kern w:val="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0AC16">
            <w:pPr>
              <w:widowControl/>
              <w:jc w:val="center"/>
              <w:rPr>
                <w:rFonts w:hint="eastAsia" w:ascii="宋体" w:hAnsi="宋体" w:cs="宋体"/>
                <w:color w:val="auto"/>
                <w:kern w:val="0"/>
                <w:sz w:val="21"/>
                <w:szCs w:val="21"/>
                <w:highlight w:val="none"/>
              </w:rPr>
            </w:pPr>
          </w:p>
        </w:tc>
        <w:tc>
          <w:tcPr>
            <w:tcW w:w="13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BACF50">
            <w:pPr>
              <w:widowControl/>
              <w:jc w:val="center"/>
              <w:rPr>
                <w:rFonts w:hint="eastAsia" w:ascii="宋体" w:hAnsi="宋体" w:cs="宋体"/>
                <w:color w:val="auto"/>
                <w:kern w:val="0"/>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BFC19E">
            <w:pPr>
              <w:widowControl/>
              <w:jc w:val="center"/>
              <w:rPr>
                <w:rFonts w:hint="eastAsia" w:ascii="宋体" w:hAnsi="宋体" w:cs="宋体"/>
                <w:color w:val="auto"/>
                <w:kern w:val="0"/>
                <w:sz w:val="21"/>
                <w:szCs w:val="21"/>
                <w:highlight w:val="none"/>
              </w:rPr>
            </w:pPr>
          </w:p>
        </w:tc>
        <w:tc>
          <w:tcPr>
            <w:tcW w:w="11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7C26FC">
            <w:pPr>
              <w:widowControl/>
              <w:jc w:val="center"/>
              <w:rPr>
                <w:rFonts w:hint="eastAsia" w:ascii="宋体" w:hAnsi="宋体" w:cs="宋体"/>
                <w:color w:val="auto"/>
                <w:kern w:val="0"/>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CB0CFC">
            <w:pPr>
              <w:widowControl/>
              <w:jc w:val="center"/>
              <w:rPr>
                <w:rFonts w:hint="eastAsia" w:ascii="宋体" w:hAnsi="宋体" w:cs="宋体"/>
                <w:color w:val="auto"/>
                <w:kern w:val="0"/>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5ABBE2">
            <w:pPr>
              <w:widowControl/>
              <w:jc w:val="center"/>
              <w:rPr>
                <w:rFonts w:hint="eastAsia" w:ascii="宋体" w:hAnsi="宋体" w:cs="宋体"/>
                <w:color w:val="auto"/>
                <w:kern w:val="0"/>
                <w:sz w:val="21"/>
                <w:szCs w:val="21"/>
                <w:highlight w:val="none"/>
              </w:rPr>
            </w:pPr>
          </w:p>
        </w:tc>
        <w:tc>
          <w:tcPr>
            <w:tcW w:w="11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BB8BA3">
            <w:pPr>
              <w:widowControl/>
              <w:jc w:val="center"/>
              <w:rPr>
                <w:rFonts w:hint="eastAsia" w:ascii="宋体" w:hAnsi="宋体" w:cs="宋体"/>
                <w:color w:val="auto"/>
                <w:kern w:val="0"/>
                <w:sz w:val="21"/>
                <w:szCs w:val="21"/>
                <w:highlight w:val="none"/>
              </w:rPr>
            </w:pPr>
          </w:p>
        </w:tc>
        <w:tc>
          <w:tcPr>
            <w:tcW w:w="4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197848">
            <w:pPr>
              <w:widowControl/>
              <w:jc w:val="center"/>
              <w:rPr>
                <w:rFonts w:hint="eastAsia" w:ascii="宋体" w:hAnsi="宋体" w:cs="宋体"/>
                <w:color w:val="auto"/>
                <w:kern w:val="0"/>
                <w:sz w:val="21"/>
                <w:szCs w:val="21"/>
                <w:highlight w:val="none"/>
              </w:rPr>
            </w:pPr>
          </w:p>
        </w:tc>
      </w:tr>
      <w:tr w14:paraId="4AD0B9A2">
        <w:tblPrEx>
          <w:tblCellMar>
            <w:top w:w="0" w:type="dxa"/>
            <w:left w:w="108" w:type="dxa"/>
            <w:bottom w:w="0" w:type="dxa"/>
            <w:right w:w="108" w:type="dxa"/>
          </w:tblCellMar>
        </w:tblPrEx>
        <w:trPr>
          <w:trHeight w:val="458"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C3D6D9">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5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396A4">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D0BBA4">
            <w:pPr>
              <w:widowControl/>
              <w:jc w:val="center"/>
              <w:rPr>
                <w:rFonts w:hint="eastAsia" w:ascii="宋体" w:hAnsi="宋体" w:cs="宋体"/>
                <w:color w:val="auto"/>
                <w:kern w:val="0"/>
                <w:sz w:val="21"/>
                <w:szCs w:val="21"/>
                <w:highlight w:val="none"/>
              </w:rPr>
            </w:pPr>
          </w:p>
        </w:tc>
        <w:tc>
          <w:tcPr>
            <w:tcW w:w="13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73D79F">
            <w:pPr>
              <w:widowControl/>
              <w:jc w:val="center"/>
              <w:rPr>
                <w:rFonts w:hint="eastAsia" w:ascii="宋体" w:hAnsi="宋体" w:cs="宋体"/>
                <w:color w:val="auto"/>
                <w:kern w:val="0"/>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785D9">
            <w:pPr>
              <w:widowControl/>
              <w:jc w:val="center"/>
              <w:rPr>
                <w:rFonts w:hint="eastAsia" w:ascii="宋体" w:hAnsi="宋体" w:cs="宋体"/>
                <w:color w:val="auto"/>
                <w:kern w:val="0"/>
                <w:sz w:val="21"/>
                <w:szCs w:val="21"/>
                <w:highlight w:val="none"/>
              </w:rPr>
            </w:pPr>
          </w:p>
        </w:tc>
        <w:tc>
          <w:tcPr>
            <w:tcW w:w="11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DC25F">
            <w:pPr>
              <w:widowControl/>
              <w:jc w:val="center"/>
              <w:rPr>
                <w:rFonts w:hint="eastAsia" w:ascii="宋体" w:hAnsi="宋体" w:cs="宋体"/>
                <w:color w:val="auto"/>
                <w:kern w:val="0"/>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E7A26C">
            <w:pPr>
              <w:widowControl/>
              <w:jc w:val="center"/>
              <w:rPr>
                <w:rFonts w:hint="eastAsia" w:ascii="宋体" w:hAnsi="宋体" w:cs="宋体"/>
                <w:color w:val="auto"/>
                <w:kern w:val="0"/>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4C470B">
            <w:pPr>
              <w:widowControl/>
              <w:jc w:val="center"/>
              <w:rPr>
                <w:rFonts w:hint="eastAsia" w:ascii="宋体" w:hAnsi="宋体" w:cs="宋体"/>
                <w:color w:val="auto"/>
                <w:kern w:val="0"/>
                <w:sz w:val="21"/>
                <w:szCs w:val="21"/>
                <w:highlight w:val="none"/>
              </w:rPr>
            </w:pPr>
          </w:p>
        </w:tc>
        <w:tc>
          <w:tcPr>
            <w:tcW w:w="11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A0CB8">
            <w:pPr>
              <w:widowControl/>
              <w:jc w:val="center"/>
              <w:rPr>
                <w:rFonts w:hint="eastAsia" w:ascii="宋体" w:hAnsi="宋体" w:cs="宋体"/>
                <w:color w:val="auto"/>
                <w:kern w:val="0"/>
                <w:sz w:val="21"/>
                <w:szCs w:val="21"/>
                <w:highlight w:val="none"/>
              </w:rPr>
            </w:pPr>
          </w:p>
        </w:tc>
        <w:tc>
          <w:tcPr>
            <w:tcW w:w="4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98A776">
            <w:pPr>
              <w:widowControl/>
              <w:jc w:val="center"/>
              <w:rPr>
                <w:rFonts w:hint="eastAsia" w:ascii="宋体" w:hAnsi="宋体" w:cs="宋体"/>
                <w:color w:val="auto"/>
                <w:kern w:val="0"/>
                <w:sz w:val="21"/>
                <w:szCs w:val="21"/>
                <w:highlight w:val="none"/>
              </w:rPr>
            </w:pPr>
          </w:p>
        </w:tc>
      </w:tr>
    </w:tbl>
    <w:p w14:paraId="677672C8">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p>
    <w:p w14:paraId="674EAD4F">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w:t>
      </w:r>
    </w:p>
    <w:p w14:paraId="30C80A40">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rPr>
        <w:t>1、格式可扩展，本表后附资格</w:t>
      </w:r>
      <w:r>
        <w:rPr>
          <w:rFonts w:hint="eastAsia" w:ascii="宋体" w:hAnsi="宋体" w:cs="宋体"/>
          <w:b/>
          <w:color w:val="auto"/>
          <w:kern w:val="0"/>
          <w:sz w:val="21"/>
          <w:szCs w:val="21"/>
          <w:highlight w:val="none"/>
          <w:lang w:val="en-US" w:eastAsia="zh-CN"/>
        </w:rPr>
        <w:t>要求</w:t>
      </w:r>
      <w:r>
        <w:rPr>
          <w:rFonts w:hint="eastAsia" w:ascii="宋体" w:hAnsi="宋体" w:cs="宋体"/>
          <w:b/>
          <w:color w:val="auto"/>
          <w:kern w:val="0"/>
          <w:sz w:val="21"/>
          <w:szCs w:val="21"/>
          <w:highlight w:val="none"/>
        </w:rPr>
        <w:t>及评标办法所涉内容的证明材料</w:t>
      </w:r>
      <w:r>
        <w:rPr>
          <w:rFonts w:hint="eastAsia" w:ascii="宋体" w:hAnsi="宋体" w:cs="宋体"/>
          <w:b/>
          <w:color w:val="auto"/>
          <w:kern w:val="0"/>
          <w:sz w:val="21"/>
          <w:szCs w:val="21"/>
          <w:highlight w:val="none"/>
          <w:lang w:val="en-US" w:eastAsia="zh-CN"/>
        </w:rPr>
        <w:t>复印件或</w:t>
      </w:r>
      <w:r>
        <w:rPr>
          <w:rFonts w:hint="eastAsia" w:ascii="宋体" w:hAnsi="宋体" w:cs="宋体"/>
          <w:b/>
          <w:color w:val="auto"/>
          <w:kern w:val="0"/>
          <w:sz w:val="21"/>
          <w:szCs w:val="21"/>
          <w:highlight w:val="none"/>
        </w:rPr>
        <w:t>扫描件（项目负责人及其他主要人员），并</w:t>
      </w:r>
      <w:r>
        <w:rPr>
          <w:rFonts w:hint="eastAsia" w:ascii="宋体" w:hAnsi="宋体" w:cs="宋体"/>
          <w:b/>
          <w:color w:val="auto"/>
          <w:kern w:val="0"/>
          <w:sz w:val="21"/>
          <w:szCs w:val="21"/>
          <w:highlight w:val="none"/>
          <w:u w:val="single"/>
        </w:rPr>
        <w:t>加盖单位公章</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eastAsia="zh-CN"/>
        </w:rPr>
        <w:t>（注：须提供业绩合同扫描件、发包人证明材料（如有）等相关证明材料并加盖公章（证明材料需体现项目负责人在某项目中所担任的职务），否则不得分。）</w:t>
      </w:r>
    </w:p>
    <w:p w14:paraId="7C720DD8">
      <w:pPr>
        <w:keepNext w:val="0"/>
        <w:keepLines w:val="0"/>
        <w:pageBreakBefore w:val="0"/>
        <w:widowControl w:val="0"/>
        <w:kinsoku/>
        <w:wordWrap w:val="0"/>
        <w:overflowPunct/>
        <w:topLinePunct w:val="0"/>
        <w:autoSpaceDE/>
        <w:autoSpaceDN/>
        <w:bidi w:val="0"/>
        <w:adjustRightInd/>
        <w:snapToGrid w:val="0"/>
        <w:spacing w:before="120" w:beforeLines="50" w:after="120" w:afterLines="50" w:line="360" w:lineRule="auto"/>
        <w:jc w:val="center"/>
        <w:textAlignment w:val="auto"/>
        <w:outlineLvl w:val="2"/>
        <w:rPr>
          <w:rFonts w:hint="eastAsia" w:ascii="宋体" w:hAnsi="宋体" w:cs="宋体"/>
          <w:b/>
          <w:color w:val="auto"/>
          <w:kern w:val="0"/>
          <w:sz w:val="24"/>
          <w:highlight w:val="none"/>
        </w:rPr>
      </w:pPr>
      <w:r>
        <w:rPr>
          <w:rFonts w:hint="eastAsia" w:ascii="宋体" w:hAnsi="宋体" w:cs="宋体"/>
          <w:b/>
          <w:color w:val="auto"/>
          <w:kern w:val="0"/>
          <w:sz w:val="21"/>
          <w:szCs w:val="21"/>
          <w:highlight w:val="none"/>
        </w:rPr>
        <w:br w:type="page"/>
      </w:r>
      <w:r>
        <w:rPr>
          <w:rFonts w:hint="eastAsia" w:ascii="宋体" w:hAnsi="宋体" w:cs="宋体"/>
          <w:b/>
          <w:color w:val="auto"/>
          <w:kern w:val="0"/>
          <w:sz w:val="24"/>
          <w:highlight w:val="none"/>
        </w:rPr>
        <w:t>表4 已完成类似项目表</w:t>
      </w:r>
    </w:p>
    <w:tbl>
      <w:tblPr>
        <w:tblStyle w:val="30"/>
        <w:tblW w:w="0" w:type="auto"/>
        <w:tblInd w:w="0" w:type="dxa"/>
        <w:tblLayout w:type="fixed"/>
        <w:tblCellMar>
          <w:top w:w="0" w:type="dxa"/>
          <w:left w:w="108" w:type="dxa"/>
          <w:bottom w:w="0" w:type="dxa"/>
          <w:right w:w="108" w:type="dxa"/>
        </w:tblCellMar>
      </w:tblPr>
      <w:tblGrid>
        <w:gridCol w:w="2350"/>
        <w:gridCol w:w="2350"/>
        <w:gridCol w:w="2350"/>
        <w:gridCol w:w="2100"/>
      </w:tblGrid>
      <w:tr w14:paraId="6BF4C20D">
        <w:tblPrEx>
          <w:tblCellMar>
            <w:top w:w="0" w:type="dxa"/>
            <w:left w:w="108" w:type="dxa"/>
            <w:bottom w:w="0" w:type="dxa"/>
            <w:right w:w="108" w:type="dxa"/>
          </w:tblCellMar>
        </w:tblPrEx>
        <w:trPr>
          <w:trHeight w:val="20" w:hRule="atLeast"/>
        </w:trPr>
        <w:tc>
          <w:tcPr>
            <w:tcW w:w="9150" w:type="dxa"/>
            <w:gridSpan w:val="4"/>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53A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项目名称：</w:t>
            </w:r>
          </w:p>
        </w:tc>
      </w:tr>
      <w:tr w14:paraId="01B96E9E">
        <w:tblPrEx>
          <w:tblCellMar>
            <w:top w:w="0" w:type="dxa"/>
            <w:left w:w="108" w:type="dxa"/>
            <w:bottom w:w="0" w:type="dxa"/>
            <w:right w:w="108" w:type="dxa"/>
          </w:tblCellMar>
        </w:tblPrEx>
        <w:trPr>
          <w:trHeight w:val="20" w:hRule="atLeast"/>
        </w:trPr>
        <w:tc>
          <w:tcPr>
            <w:tcW w:w="2350" w:type="dxa"/>
            <w:tcBorders>
              <w:top w:val="nil"/>
              <w:left w:val="single" w:color="000000" w:sz="4" w:space="0"/>
              <w:bottom w:val="single" w:color="000000" w:sz="4" w:space="0"/>
              <w:right w:val="single" w:color="000000" w:sz="4" w:space="0"/>
            </w:tcBorders>
            <w:shd w:val="clear" w:color="000000" w:fill="FFFFFF"/>
            <w:noWrap w:val="0"/>
            <w:vAlign w:val="center"/>
          </w:tcPr>
          <w:p w14:paraId="47BF57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工程地点：</w:t>
            </w:r>
          </w:p>
        </w:tc>
        <w:tc>
          <w:tcPr>
            <w:tcW w:w="6800" w:type="dxa"/>
            <w:gridSpan w:val="3"/>
            <w:tcBorders>
              <w:top w:val="single" w:color="000000" w:sz="4" w:space="0"/>
              <w:left w:val="nil"/>
              <w:bottom w:val="single" w:color="000000" w:sz="4" w:space="0"/>
              <w:right w:val="single" w:color="000000" w:sz="4" w:space="0"/>
            </w:tcBorders>
            <w:shd w:val="clear" w:color="000000" w:fill="FFFFFF"/>
            <w:noWrap w:val="0"/>
            <w:vAlign w:val="center"/>
          </w:tcPr>
          <w:p w14:paraId="2BE9CF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p>
        </w:tc>
      </w:tr>
      <w:tr w14:paraId="011D02DF">
        <w:tblPrEx>
          <w:tblCellMar>
            <w:top w:w="0" w:type="dxa"/>
            <w:left w:w="108" w:type="dxa"/>
            <w:bottom w:w="0" w:type="dxa"/>
            <w:right w:w="108" w:type="dxa"/>
          </w:tblCellMar>
        </w:tblPrEx>
        <w:trPr>
          <w:trHeight w:val="20" w:hRule="atLeast"/>
        </w:trPr>
        <w:tc>
          <w:tcPr>
            <w:tcW w:w="2350" w:type="dxa"/>
            <w:tcBorders>
              <w:top w:val="nil"/>
              <w:left w:val="single" w:color="000000" w:sz="4" w:space="0"/>
              <w:bottom w:val="single" w:color="000000" w:sz="4" w:space="0"/>
              <w:right w:val="single" w:color="000000" w:sz="4" w:space="0"/>
            </w:tcBorders>
            <w:shd w:val="clear" w:color="000000" w:fill="FFFFFF"/>
            <w:noWrap w:val="0"/>
            <w:vAlign w:val="center"/>
          </w:tcPr>
          <w:p w14:paraId="46E4F9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合同价(</w:t>
            </w:r>
            <w:r>
              <w:rPr>
                <w:rFonts w:hint="eastAsia" w:ascii="宋体" w:hAnsi="宋体" w:cs="宋体"/>
                <w:color w:val="auto"/>
                <w:kern w:val="0"/>
                <w:sz w:val="21"/>
                <w:szCs w:val="21"/>
                <w:highlight w:val="none"/>
                <w:lang w:val="en-US" w:eastAsia="zh-CN"/>
              </w:rPr>
              <w:t>万</w:t>
            </w:r>
            <w:r>
              <w:rPr>
                <w:rFonts w:hint="eastAsia" w:ascii="宋体" w:hAnsi="宋体" w:cs="宋体"/>
                <w:color w:val="auto"/>
                <w:kern w:val="0"/>
                <w:sz w:val="21"/>
                <w:szCs w:val="21"/>
                <w:highlight w:val="none"/>
              </w:rPr>
              <w:t>元)：</w:t>
            </w:r>
          </w:p>
        </w:tc>
        <w:tc>
          <w:tcPr>
            <w:tcW w:w="2350" w:type="dxa"/>
            <w:tcBorders>
              <w:top w:val="nil"/>
              <w:left w:val="nil"/>
              <w:bottom w:val="single" w:color="000000" w:sz="4" w:space="0"/>
              <w:right w:val="single" w:color="000000" w:sz="4" w:space="0"/>
            </w:tcBorders>
            <w:shd w:val="clear" w:color="000000" w:fill="FFFFFF"/>
            <w:noWrap w:val="0"/>
            <w:vAlign w:val="center"/>
          </w:tcPr>
          <w:p w14:paraId="3CC9C2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p>
        </w:tc>
        <w:tc>
          <w:tcPr>
            <w:tcW w:w="2350" w:type="dxa"/>
            <w:tcBorders>
              <w:top w:val="nil"/>
              <w:left w:val="nil"/>
              <w:bottom w:val="single" w:color="000000" w:sz="4" w:space="0"/>
              <w:right w:val="single" w:color="000000" w:sz="4" w:space="0"/>
            </w:tcBorders>
            <w:shd w:val="clear" w:color="000000" w:fill="FFFFFF"/>
            <w:noWrap w:val="0"/>
            <w:vAlign w:val="center"/>
          </w:tcPr>
          <w:p w14:paraId="6C17AC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合同签订时间：</w:t>
            </w:r>
          </w:p>
        </w:tc>
        <w:tc>
          <w:tcPr>
            <w:tcW w:w="2100" w:type="dxa"/>
            <w:tcBorders>
              <w:top w:val="nil"/>
              <w:left w:val="nil"/>
              <w:bottom w:val="single" w:color="000000" w:sz="4" w:space="0"/>
              <w:right w:val="single" w:color="000000" w:sz="4" w:space="0"/>
            </w:tcBorders>
            <w:shd w:val="clear" w:color="000000" w:fill="FFFFFF"/>
            <w:noWrap w:val="0"/>
            <w:vAlign w:val="center"/>
          </w:tcPr>
          <w:p w14:paraId="761CC4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p>
        </w:tc>
      </w:tr>
      <w:tr w14:paraId="0DB27BEC">
        <w:tblPrEx>
          <w:tblCellMar>
            <w:top w:w="0" w:type="dxa"/>
            <w:left w:w="108" w:type="dxa"/>
            <w:bottom w:w="0" w:type="dxa"/>
            <w:right w:w="108" w:type="dxa"/>
          </w:tblCellMar>
        </w:tblPrEx>
        <w:trPr>
          <w:trHeight w:val="20" w:hRule="atLeast"/>
        </w:trPr>
        <w:tc>
          <w:tcPr>
            <w:tcW w:w="2350" w:type="dxa"/>
            <w:tcBorders>
              <w:top w:val="nil"/>
              <w:left w:val="single" w:color="000000" w:sz="4" w:space="0"/>
              <w:bottom w:val="single" w:color="000000" w:sz="4" w:space="0"/>
              <w:right w:val="single" w:color="000000" w:sz="4" w:space="0"/>
            </w:tcBorders>
            <w:shd w:val="clear" w:color="000000" w:fill="FFFFFF"/>
            <w:noWrap w:val="0"/>
            <w:vAlign w:val="center"/>
          </w:tcPr>
          <w:p w14:paraId="7F9836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项目负责人：</w:t>
            </w:r>
          </w:p>
        </w:tc>
        <w:tc>
          <w:tcPr>
            <w:tcW w:w="6800" w:type="dxa"/>
            <w:gridSpan w:val="3"/>
            <w:tcBorders>
              <w:top w:val="single" w:color="000000" w:sz="4" w:space="0"/>
              <w:left w:val="nil"/>
              <w:bottom w:val="single" w:color="000000" w:sz="4" w:space="0"/>
              <w:right w:val="single" w:color="000000" w:sz="4" w:space="0"/>
            </w:tcBorders>
            <w:shd w:val="clear" w:color="000000" w:fill="FFFFFF"/>
            <w:noWrap w:val="0"/>
            <w:vAlign w:val="center"/>
          </w:tcPr>
          <w:p w14:paraId="2DD394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p>
        </w:tc>
      </w:tr>
      <w:tr w14:paraId="61A3ABA7">
        <w:tblPrEx>
          <w:tblCellMar>
            <w:top w:w="0" w:type="dxa"/>
            <w:left w:w="108" w:type="dxa"/>
            <w:bottom w:w="0" w:type="dxa"/>
            <w:right w:w="108" w:type="dxa"/>
          </w:tblCellMar>
        </w:tblPrEx>
        <w:trPr>
          <w:trHeight w:val="20" w:hRule="atLeast"/>
        </w:trPr>
        <w:tc>
          <w:tcPr>
            <w:tcW w:w="2350" w:type="dxa"/>
            <w:tcBorders>
              <w:top w:val="nil"/>
              <w:left w:val="single" w:color="000000" w:sz="4" w:space="0"/>
              <w:bottom w:val="single" w:color="000000" w:sz="4" w:space="0"/>
              <w:right w:val="single" w:color="000000" w:sz="4" w:space="0"/>
            </w:tcBorders>
            <w:shd w:val="clear" w:color="000000" w:fill="FFFFFF"/>
            <w:noWrap w:val="0"/>
            <w:vAlign w:val="center"/>
          </w:tcPr>
          <w:p w14:paraId="6AE800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合同开始</w:t>
            </w:r>
            <w:r>
              <w:rPr>
                <w:rFonts w:hint="eastAsia" w:ascii="宋体" w:hAnsi="宋体" w:cs="宋体"/>
                <w:color w:val="auto"/>
                <w:kern w:val="0"/>
                <w:sz w:val="21"/>
                <w:szCs w:val="21"/>
                <w:highlight w:val="none"/>
              </w:rPr>
              <w:t>时间：</w:t>
            </w:r>
          </w:p>
        </w:tc>
        <w:tc>
          <w:tcPr>
            <w:tcW w:w="2350" w:type="dxa"/>
            <w:tcBorders>
              <w:top w:val="nil"/>
              <w:left w:val="nil"/>
              <w:bottom w:val="single" w:color="000000" w:sz="4" w:space="0"/>
              <w:right w:val="single" w:color="000000" w:sz="4" w:space="0"/>
            </w:tcBorders>
            <w:shd w:val="clear" w:color="000000" w:fill="FFFFFF"/>
            <w:noWrap w:val="0"/>
            <w:vAlign w:val="center"/>
          </w:tcPr>
          <w:p w14:paraId="7EFBED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p>
        </w:tc>
        <w:tc>
          <w:tcPr>
            <w:tcW w:w="2350" w:type="dxa"/>
            <w:tcBorders>
              <w:top w:val="nil"/>
              <w:left w:val="nil"/>
              <w:bottom w:val="single" w:color="000000" w:sz="4" w:space="0"/>
              <w:right w:val="single" w:color="000000" w:sz="4" w:space="0"/>
            </w:tcBorders>
            <w:shd w:val="clear" w:color="000000" w:fill="FFFFFF"/>
            <w:noWrap w:val="0"/>
            <w:vAlign w:val="center"/>
          </w:tcPr>
          <w:p w14:paraId="15BF98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合同完成</w:t>
            </w:r>
            <w:r>
              <w:rPr>
                <w:rFonts w:hint="eastAsia" w:ascii="宋体" w:hAnsi="宋体" w:cs="宋体"/>
                <w:color w:val="auto"/>
                <w:kern w:val="0"/>
                <w:sz w:val="21"/>
                <w:szCs w:val="21"/>
                <w:highlight w:val="none"/>
              </w:rPr>
              <w:t>时间：</w:t>
            </w:r>
          </w:p>
        </w:tc>
        <w:tc>
          <w:tcPr>
            <w:tcW w:w="2100" w:type="dxa"/>
            <w:tcBorders>
              <w:top w:val="nil"/>
              <w:left w:val="nil"/>
              <w:bottom w:val="single" w:color="000000" w:sz="4" w:space="0"/>
              <w:right w:val="single" w:color="000000" w:sz="4" w:space="0"/>
            </w:tcBorders>
            <w:shd w:val="clear" w:color="000000" w:fill="FFFFFF"/>
            <w:noWrap w:val="0"/>
            <w:vAlign w:val="center"/>
          </w:tcPr>
          <w:p w14:paraId="0626A8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p>
        </w:tc>
      </w:tr>
      <w:tr w14:paraId="5E916D25">
        <w:tblPrEx>
          <w:tblCellMar>
            <w:top w:w="0" w:type="dxa"/>
            <w:left w:w="108" w:type="dxa"/>
            <w:bottom w:w="0" w:type="dxa"/>
            <w:right w:w="108" w:type="dxa"/>
          </w:tblCellMar>
        </w:tblPrEx>
        <w:trPr>
          <w:trHeight w:val="900" w:hRule="atLeast"/>
        </w:trPr>
        <w:tc>
          <w:tcPr>
            <w:tcW w:w="2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8EB8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工程简介：</w:t>
            </w:r>
          </w:p>
        </w:tc>
        <w:tc>
          <w:tcPr>
            <w:tcW w:w="6800"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A0A04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p>
        </w:tc>
      </w:tr>
      <w:tr w14:paraId="38E0AD34">
        <w:tblPrEx>
          <w:tblCellMar>
            <w:top w:w="0" w:type="dxa"/>
            <w:left w:w="108" w:type="dxa"/>
            <w:bottom w:w="0" w:type="dxa"/>
            <w:right w:w="108" w:type="dxa"/>
          </w:tblCellMar>
        </w:tblPrEx>
        <w:trPr>
          <w:trHeight w:val="1229" w:hRule="atLeast"/>
        </w:trPr>
        <w:tc>
          <w:tcPr>
            <w:tcW w:w="23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5342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工作内容：</w:t>
            </w:r>
          </w:p>
        </w:tc>
        <w:tc>
          <w:tcPr>
            <w:tcW w:w="6800"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47C4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 w:val="21"/>
                <w:szCs w:val="21"/>
                <w:highlight w:val="none"/>
              </w:rPr>
            </w:pPr>
          </w:p>
        </w:tc>
      </w:tr>
    </w:tbl>
    <w:p w14:paraId="710E8D20">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p>
    <w:p w14:paraId="5E7F612F">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w:t>
      </w:r>
    </w:p>
    <w:p w14:paraId="4694827B">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1、格式可扩展，本表后附资格</w:t>
      </w:r>
      <w:r>
        <w:rPr>
          <w:rFonts w:hint="eastAsia" w:ascii="宋体" w:hAnsi="宋体" w:cs="宋体"/>
          <w:b/>
          <w:color w:val="auto"/>
          <w:kern w:val="0"/>
          <w:sz w:val="21"/>
          <w:szCs w:val="21"/>
          <w:highlight w:val="none"/>
          <w:lang w:val="en-US" w:eastAsia="zh-CN"/>
        </w:rPr>
        <w:t>要求</w:t>
      </w:r>
      <w:r>
        <w:rPr>
          <w:rFonts w:hint="eastAsia" w:ascii="宋体" w:hAnsi="宋体" w:cs="宋体"/>
          <w:b/>
          <w:color w:val="auto"/>
          <w:kern w:val="0"/>
          <w:sz w:val="21"/>
          <w:szCs w:val="21"/>
          <w:highlight w:val="none"/>
        </w:rPr>
        <w:t>及评标办法所涉内容的证明材料</w:t>
      </w:r>
      <w:r>
        <w:rPr>
          <w:rFonts w:hint="eastAsia" w:ascii="宋体" w:hAnsi="宋体" w:cs="宋体"/>
          <w:b/>
          <w:color w:val="auto"/>
          <w:kern w:val="0"/>
          <w:sz w:val="21"/>
          <w:szCs w:val="21"/>
          <w:highlight w:val="none"/>
          <w:lang w:val="en-US" w:eastAsia="zh-CN"/>
        </w:rPr>
        <w:t>复印件或</w:t>
      </w:r>
      <w:r>
        <w:rPr>
          <w:rFonts w:hint="eastAsia" w:ascii="宋体" w:hAnsi="宋体" w:cs="宋体"/>
          <w:b/>
          <w:color w:val="auto"/>
          <w:kern w:val="0"/>
          <w:sz w:val="21"/>
          <w:szCs w:val="21"/>
          <w:highlight w:val="none"/>
        </w:rPr>
        <w:t>扫描件，并</w:t>
      </w:r>
      <w:r>
        <w:rPr>
          <w:rFonts w:hint="eastAsia" w:ascii="宋体" w:hAnsi="宋体" w:cs="宋体"/>
          <w:b/>
          <w:color w:val="auto"/>
          <w:kern w:val="0"/>
          <w:sz w:val="21"/>
          <w:szCs w:val="21"/>
          <w:highlight w:val="none"/>
          <w:u w:val="single"/>
        </w:rPr>
        <w:t>加盖单位公章</w:t>
      </w:r>
      <w:r>
        <w:rPr>
          <w:rFonts w:hint="eastAsia" w:ascii="宋体" w:hAnsi="宋体" w:cs="宋体"/>
          <w:b/>
          <w:color w:val="auto"/>
          <w:kern w:val="0"/>
          <w:sz w:val="21"/>
          <w:szCs w:val="21"/>
          <w:highlight w:val="none"/>
          <w:u w:val="single"/>
          <w:lang w:eastAsia="zh-CN"/>
        </w:rPr>
        <w:t>（</w:t>
      </w:r>
      <w:r>
        <w:rPr>
          <w:rFonts w:hint="eastAsia" w:ascii="宋体" w:hAnsi="宋体" w:cs="宋体"/>
          <w:b/>
          <w:color w:val="auto"/>
          <w:kern w:val="0"/>
          <w:sz w:val="21"/>
          <w:szCs w:val="21"/>
          <w:highlight w:val="none"/>
          <w:u w:val="single"/>
          <w:lang w:val="en-US" w:eastAsia="zh-CN"/>
        </w:rPr>
        <w:t>注：须提供业绩合同扫描件、发包人证明材料（如有）等相关证明材料并加盖公章，否则不得分。</w:t>
      </w:r>
      <w:r>
        <w:rPr>
          <w:rFonts w:hint="eastAsia" w:ascii="宋体" w:hAnsi="宋体" w:cs="宋体"/>
          <w:b/>
          <w:color w:val="auto"/>
          <w:kern w:val="0"/>
          <w:sz w:val="21"/>
          <w:szCs w:val="21"/>
          <w:highlight w:val="none"/>
          <w:u w:val="single"/>
          <w:lang w:eastAsia="zh-CN"/>
        </w:rPr>
        <w:t>）</w:t>
      </w:r>
      <w:r>
        <w:rPr>
          <w:rFonts w:hint="eastAsia" w:ascii="宋体" w:hAnsi="宋体" w:cs="宋体"/>
          <w:b/>
          <w:color w:val="auto"/>
          <w:kern w:val="0"/>
          <w:sz w:val="21"/>
          <w:szCs w:val="21"/>
          <w:highlight w:val="none"/>
        </w:rPr>
        <w:t>。</w:t>
      </w:r>
    </w:p>
    <w:p w14:paraId="51DBB9E5">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cs="宋体"/>
          <w:b/>
          <w:color w:val="auto"/>
          <w:kern w:val="0"/>
          <w:sz w:val="21"/>
          <w:szCs w:val="21"/>
          <w:highlight w:val="none"/>
        </w:rPr>
      </w:pPr>
    </w:p>
    <w:p w14:paraId="18B82D3F">
      <w:pPr>
        <w:wordWrap w:val="0"/>
        <w:snapToGrid w:val="0"/>
        <w:spacing w:before="120" w:beforeLines="50" w:after="120" w:afterLines="50"/>
        <w:jc w:val="center"/>
        <w:rPr>
          <w:rFonts w:hint="eastAsia" w:ascii="宋体" w:hAnsi="宋体" w:cs="宋体"/>
          <w:b/>
          <w:color w:val="auto"/>
          <w:kern w:val="0"/>
          <w:sz w:val="21"/>
          <w:szCs w:val="21"/>
          <w:highlight w:val="none"/>
        </w:rPr>
      </w:pPr>
    </w:p>
    <w:p w14:paraId="7474128E">
      <w:pPr>
        <w:pStyle w:val="7"/>
        <w:keepNext w:val="0"/>
        <w:keepLines w:val="0"/>
        <w:pageBreakBefore w:val="0"/>
        <w:widowControl w:val="0"/>
        <w:kinsoku/>
        <w:wordWrap/>
        <w:overflowPunct/>
        <w:topLinePunct w:val="0"/>
        <w:autoSpaceDE/>
        <w:autoSpaceDN/>
        <w:bidi w:val="0"/>
        <w:adjustRightInd/>
        <w:snapToGrid/>
        <w:spacing w:after="192" w:afterLines="50"/>
        <w:ind w:firstLine="0"/>
        <w:jc w:val="center"/>
        <w:textAlignment w:val="auto"/>
        <w:outlineLvl w:val="2"/>
        <w:rPr>
          <w:rFonts w:hint="eastAsia" w:ascii="宋体" w:hAnsi="宋体" w:cs="宋体"/>
          <w:b/>
          <w:color w:val="auto"/>
          <w:sz w:val="24"/>
          <w:szCs w:val="24"/>
          <w:highlight w:val="none"/>
        </w:rPr>
      </w:pPr>
      <w:r>
        <w:rPr>
          <w:rFonts w:hint="eastAsia" w:ascii="宋体" w:hAnsi="宋体" w:cs="宋体"/>
          <w:b/>
          <w:color w:val="auto"/>
          <w:sz w:val="21"/>
          <w:szCs w:val="21"/>
          <w:highlight w:val="none"/>
        </w:rPr>
        <w:br w:type="page"/>
      </w:r>
      <w:r>
        <w:rPr>
          <w:rFonts w:hint="eastAsia" w:ascii="宋体" w:hAnsi="宋体" w:cs="宋体"/>
          <w:b/>
          <w:color w:val="auto"/>
          <w:sz w:val="24"/>
          <w:szCs w:val="24"/>
          <w:highlight w:val="none"/>
        </w:rPr>
        <w:t>表5 申请人(投标人)与其他单位存在控股、管理关系</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5315"/>
        <w:gridCol w:w="2974"/>
      </w:tblGrid>
      <w:tr w14:paraId="6D96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0" w:type="pct"/>
            <w:shd w:val="clear" w:color="000000" w:fill="FFFFFF"/>
            <w:noWrap w:val="0"/>
            <w:vAlign w:val="bottom"/>
          </w:tcPr>
          <w:p w14:paraId="13109C46">
            <w:pPr>
              <w:widowControl/>
              <w:spacing w:line="360" w:lineRule="auto"/>
              <w:jc w:val="center"/>
              <w:rPr>
                <w:rFonts w:ascii="宋体" w:hAnsi="宋体" w:cs="Arial"/>
                <w:color w:val="auto"/>
                <w:kern w:val="0"/>
                <w:sz w:val="21"/>
                <w:szCs w:val="21"/>
                <w:highlight w:val="none"/>
              </w:rPr>
            </w:pPr>
            <w:r>
              <w:rPr>
                <w:rFonts w:ascii="宋体" w:hAnsi="宋体" w:cs="Arial"/>
                <w:color w:val="auto"/>
                <w:kern w:val="0"/>
                <w:sz w:val="21"/>
                <w:szCs w:val="21"/>
                <w:highlight w:val="none"/>
              </w:rPr>
              <w:t>序号</w:t>
            </w:r>
          </w:p>
        </w:tc>
        <w:tc>
          <w:tcPr>
            <w:tcW w:w="2879" w:type="pct"/>
            <w:shd w:val="clear" w:color="000000" w:fill="FFFFFF"/>
            <w:noWrap w:val="0"/>
            <w:vAlign w:val="bottom"/>
          </w:tcPr>
          <w:p w14:paraId="0C1DF0DA">
            <w:pPr>
              <w:widowControl/>
              <w:spacing w:line="360" w:lineRule="auto"/>
              <w:jc w:val="center"/>
              <w:rPr>
                <w:rFonts w:ascii="宋体" w:hAnsi="宋体" w:cs="Arial"/>
                <w:color w:val="auto"/>
                <w:kern w:val="0"/>
                <w:sz w:val="21"/>
                <w:szCs w:val="21"/>
                <w:highlight w:val="none"/>
              </w:rPr>
            </w:pPr>
            <w:r>
              <w:rPr>
                <w:rFonts w:ascii="宋体" w:hAnsi="宋体" w:cs="Arial"/>
                <w:color w:val="auto"/>
                <w:kern w:val="0"/>
                <w:sz w:val="21"/>
                <w:szCs w:val="21"/>
                <w:highlight w:val="none"/>
              </w:rPr>
              <w:t>控股、管理申请人/投标人的单位名称</w:t>
            </w:r>
          </w:p>
        </w:tc>
        <w:tc>
          <w:tcPr>
            <w:tcW w:w="1611" w:type="pct"/>
            <w:shd w:val="clear" w:color="000000" w:fill="FFFFFF"/>
            <w:noWrap w:val="0"/>
            <w:vAlign w:val="bottom"/>
          </w:tcPr>
          <w:p w14:paraId="1DF905A8">
            <w:pPr>
              <w:widowControl/>
              <w:spacing w:line="360" w:lineRule="auto"/>
              <w:jc w:val="center"/>
              <w:rPr>
                <w:rFonts w:ascii="宋体" w:hAnsi="宋体" w:cs="Arial"/>
                <w:color w:val="auto"/>
                <w:kern w:val="0"/>
                <w:sz w:val="21"/>
                <w:szCs w:val="21"/>
                <w:highlight w:val="none"/>
              </w:rPr>
            </w:pPr>
            <w:r>
              <w:rPr>
                <w:rFonts w:ascii="宋体" w:hAnsi="宋体" w:cs="Arial"/>
                <w:color w:val="auto"/>
                <w:kern w:val="0"/>
                <w:sz w:val="21"/>
                <w:szCs w:val="21"/>
                <w:highlight w:val="none"/>
              </w:rPr>
              <w:t>控股、管理关系情况说明</w:t>
            </w:r>
          </w:p>
        </w:tc>
      </w:tr>
      <w:tr w14:paraId="7625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000000" w:fill="FFFFFF"/>
            <w:noWrap w:val="0"/>
            <w:vAlign w:val="bottom"/>
          </w:tcPr>
          <w:p w14:paraId="53D80DF3">
            <w:pPr>
              <w:widowControl/>
              <w:spacing w:line="360" w:lineRule="auto"/>
              <w:jc w:val="center"/>
              <w:rPr>
                <w:rFonts w:ascii="宋体" w:hAnsi="宋体" w:cs="Arial"/>
                <w:color w:val="auto"/>
                <w:kern w:val="0"/>
                <w:sz w:val="21"/>
                <w:szCs w:val="21"/>
                <w:highlight w:val="none"/>
              </w:rPr>
            </w:pPr>
          </w:p>
        </w:tc>
        <w:tc>
          <w:tcPr>
            <w:tcW w:w="2879" w:type="pct"/>
            <w:shd w:val="clear" w:color="000000" w:fill="FFFFFF"/>
            <w:noWrap w:val="0"/>
            <w:vAlign w:val="bottom"/>
          </w:tcPr>
          <w:p w14:paraId="60D9D03C">
            <w:pPr>
              <w:widowControl/>
              <w:spacing w:line="360" w:lineRule="auto"/>
              <w:jc w:val="center"/>
              <w:rPr>
                <w:rFonts w:ascii="宋体" w:hAnsi="宋体" w:cs="Arial"/>
                <w:color w:val="auto"/>
                <w:kern w:val="0"/>
                <w:sz w:val="21"/>
                <w:szCs w:val="21"/>
                <w:highlight w:val="none"/>
              </w:rPr>
            </w:pPr>
          </w:p>
        </w:tc>
        <w:tc>
          <w:tcPr>
            <w:tcW w:w="1611" w:type="pct"/>
            <w:shd w:val="clear" w:color="000000" w:fill="FFFFFF"/>
            <w:noWrap w:val="0"/>
            <w:vAlign w:val="bottom"/>
          </w:tcPr>
          <w:p w14:paraId="080E9A6C">
            <w:pPr>
              <w:widowControl/>
              <w:spacing w:line="360" w:lineRule="auto"/>
              <w:jc w:val="center"/>
              <w:rPr>
                <w:rFonts w:ascii="宋体" w:hAnsi="宋体" w:cs="Arial"/>
                <w:color w:val="auto"/>
                <w:kern w:val="0"/>
                <w:sz w:val="21"/>
                <w:szCs w:val="21"/>
                <w:highlight w:val="none"/>
              </w:rPr>
            </w:pPr>
          </w:p>
        </w:tc>
      </w:tr>
      <w:tr w14:paraId="1271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000000" w:fill="FFFFFF"/>
            <w:noWrap w:val="0"/>
            <w:vAlign w:val="bottom"/>
          </w:tcPr>
          <w:p w14:paraId="49FDECB8">
            <w:pPr>
              <w:widowControl/>
              <w:spacing w:line="360" w:lineRule="auto"/>
              <w:jc w:val="center"/>
              <w:rPr>
                <w:rFonts w:ascii="宋体" w:hAnsi="宋体" w:cs="Arial"/>
                <w:color w:val="auto"/>
                <w:kern w:val="0"/>
                <w:sz w:val="21"/>
                <w:szCs w:val="21"/>
                <w:highlight w:val="none"/>
              </w:rPr>
            </w:pPr>
            <w:r>
              <w:rPr>
                <w:rFonts w:ascii="宋体" w:hAnsi="宋体" w:cs="宋体"/>
                <w:color w:val="auto"/>
                <w:kern w:val="0"/>
                <w:sz w:val="21"/>
                <w:szCs w:val="21"/>
                <w:highlight w:val="none"/>
              </w:rPr>
              <w:t>……</w:t>
            </w:r>
          </w:p>
        </w:tc>
        <w:tc>
          <w:tcPr>
            <w:tcW w:w="2879" w:type="pct"/>
            <w:shd w:val="clear" w:color="000000" w:fill="FFFFFF"/>
            <w:noWrap w:val="0"/>
            <w:vAlign w:val="bottom"/>
          </w:tcPr>
          <w:p w14:paraId="5BBC1577">
            <w:pPr>
              <w:widowControl/>
              <w:spacing w:line="360" w:lineRule="auto"/>
              <w:jc w:val="center"/>
              <w:rPr>
                <w:rFonts w:ascii="宋体" w:hAnsi="宋体" w:cs="Arial"/>
                <w:color w:val="auto"/>
                <w:kern w:val="0"/>
                <w:sz w:val="21"/>
                <w:szCs w:val="21"/>
                <w:highlight w:val="none"/>
              </w:rPr>
            </w:pPr>
          </w:p>
        </w:tc>
        <w:tc>
          <w:tcPr>
            <w:tcW w:w="1611" w:type="pct"/>
            <w:shd w:val="clear" w:color="000000" w:fill="FFFFFF"/>
            <w:noWrap w:val="0"/>
            <w:vAlign w:val="bottom"/>
          </w:tcPr>
          <w:p w14:paraId="38297678">
            <w:pPr>
              <w:widowControl/>
              <w:spacing w:line="360" w:lineRule="auto"/>
              <w:jc w:val="center"/>
              <w:rPr>
                <w:rFonts w:ascii="宋体" w:hAnsi="宋体" w:cs="Arial"/>
                <w:color w:val="auto"/>
                <w:kern w:val="0"/>
                <w:sz w:val="21"/>
                <w:szCs w:val="21"/>
                <w:highlight w:val="none"/>
              </w:rPr>
            </w:pPr>
          </w:p>
        </w:tc>
      </w:tr>
    </w:tbl>
    <w:p w14:paraId="19A686BA">
      <w:pPr>
        <w:pStyle w:val="71"/>
        <w:spacing w:line="360" w:lineRule="auto"/>
        <w:ind w:left="213" w:leftChars="58" w:right="238" w:rightChars="85" w:hanging="51" w:hangingChars="24"/>
        <w:rPr>
          <w:rFonts w:hint="eastAsia" w:ascii="宋体" w:hAnsi="宋体" w:cs="宋体"/>
          <w:b/>
          <w:bCs/>
          <w:color w:val="auto"/>
          <w:sz w:val="21"/>
          <w:szCs w:val="21"/>
          <w:highlight w:val="none"/>
        </w:rPr>
      </w:pPr>
    </w:p>
    <w:p w14:paraId="4990CEA6">
      <w:pPr>
        <w:pStyle w:val="71"/>
        <w:ind w:left="-28" w:leftChars="-28" w:hanging="50" w:hangingChars="2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49B457CC">
      <w:pPr>
        <w:pStyle w:val="7"/>
        <w:ind w:firstLine="980" w:firstLineChars="350"/>
        <w:rPr>
          <w:color w:val="auto"/>
          <w:highlight w:val="none"/>
        </w:rPr>
        <w:sectPr>
          <w:pgSz w:w="11906" w:h="16838"/>
          <w:pgMar w:top="1361" w:right="1361" w:bottom="1361" w:left="1361" w:header="850" w:footer="964" w:gutter="170"/>
          <w:pgNumType w:fmt="decimal"/>
          <w:cols w:space="720" w:num="1"/>
          <w:docGrid w:linePitch="381" w:charSpace="0"/>
        </w:sectPr>
      </w:pPr>
    </w:p>
    <w:bookmarkEnd w:id="158"/>
    <w:p w14:paraId="5821BF87">
      <w:pPr>
        <w:spacing w:line="360" w:lineRule="auto"/>
        <w:jc w:val="center"/>
        <w:outlineLvl w:val="1"/>
        <w:rPr>
          <w:rFonts w:ascii="宋体" w:hAnsi="宋体" w:cs="宋体"/>
          <w:b/>
          <w:bCs/>
          <w:color w:val="auto"/>
          <w:kern w:val="0"/>
          <w:szCs w:val="28"/>
          <w:highlight w:val="none"/>
        </w:rPr>
      </w:pPr>
      <w:bookmarkStart w:id="159" w:name="_Toc33625870"/>
      <w:r>
        <w:rPr>
          <w:rFonts w:hint="eastAsia" w:ascii="宋体" w:hAnsi="宋体" w:cs="宋体"/>
          <w:b/>
          <w:bCs/>
          <w:color w:val="auto"/>
          <w:kern w:val="0"/>
          <w:szCs w:val="28"/>
          <w:highlight w:val="none"/>
        </w:rPr>
        <w:t>四、承诺书</w:t>
      </w:r>
    </w:p>
    <w:p w14:paraId="4A0A0142">
      <w:pPr>
        <w:spacing w:line="360" w:lineRule="auto"/>
        <w:jc w:val="center"/>
        <w:rPr>
          <w:rFonts w:hint="eastAsia" w:ascii="宋体" w:hAnsi="宋体" w:cs="宋体"/>
          <w:b/>
          <w:bCs/>
          <w:color w:val="auto"/>
          <w:kern w:val="0"/>
          <w:sz w:val="24"/>
          <w:highlight w:val="none"/>
        </w:rPr>
      </w:pPr>
    </w:p>
    <w:p w14:paraId="2D2DABB6">
      <w:pPr>
        <w:spacing w:line="360" w:lineRule="auto"/>
        <w:jc w:val="center"/>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（一）投标人资料真实性承诺书</w:t>
      </w:r>
    </w:p>
    <w:p w14:paraId="41FA0BF9">
      <w:pPr>
        <w:autoSpaceDE w:val="0"/>
        <w:autoSpaceDN w:val="0"/>
        <w:spacing w:line="360" w:lineRule="auto"/>
        <w:rPr>
          <w:rFonts w:hint="eastAsia" w:ascii="宋体" w:hAnsi="宋体" w:cs="宋体"/>
          <w:color w:val="auto"/>
          <w:kern w:val="0"/>
          <w:sz w:val="24"/>
          <w:highlight w:val="none"/>
          <w:u w:val="single"/>
        </w:rPr>
      </w:pPr>
    </w:p>
    <w:p w14:paraId="7684938A">
      <w:pPr>
        <w:autoSpaceDE w:val="0"/>
        <w:autoSpaceDN w:val="0"/>
        <w:spacing w:line="360" w:lineRule="auto"/>
        <w:rPr>
          <w:rFonts w:hint="eastAsia" w:ascii="宋体" w:hAnsi="宋体" w:eastAsia="宋体" w:cs="宋体"/>
          <w:color w:val="auto"/>
          <w:kern w:val="0"/>
          <w:sz w:val="21"/>
          <w:szCs w:val="21"/>
          <w:highlight w:val="none"/>
          <w:u w:val="single"/>
          <w:lang w:eastAsia="zh-CN"/>
        </w:rPr>
      </w:pPr>
      <w:r>
        <w:rPr>
          <w:rFonts w:hint="eastAsia" w:ascii="宋体" w:hAnsi="宋体" w:cs="宋体"/>
          <w:color w:val="auto"/>
          <w:kern w:val="0"/>
          <w:sz w:val="21"/>
          <w:szCs w:val="21"/>
          <w:highlight w:val="none"/>
          <w:u w:val="single"/>
        </w:rPr>
        <w:t>致：</w:t>
      </w:r>
      <w:r>
        <w:rPr>
          <w:rFonts w:hint="eastAsia" w:ascii="宋体" w:hAnsi="宋体" w:cs="宋体"/>
          <w:color w:val="auto"/>
          <w:kern w:val="0"/>
          <w:sz w:val="21"/>
          <w:szCs w:val="21"/>
          <w:highlight w:val="none"/>
          <w:u w:val="single"/>
          <w:lang w:eastAsia="zh-CN"/>
        </w:rPr>
        <w:t>南通市江海河联运项目建设指挥部</w:t>
      </w:r>
    </w:p>
    <w:p w14:paraId="555C3F50">
      <w:pPr>
        <w:autoSpaceDE w:val="0"/>
        <w:autoSpaceDN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本人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以</w:t>
      </w:r>
      <w:r>
        <w:rPr>
          <w:rFonts w:hint="eastAsia" w:ascii="宋体" w:hAnsi="宋体" w:cs="宋体"/>
          <w:color w:val="auto"/>
          <w:kern w:val="0"/>
          <w:sz w:val="21"/>
          <w:szCs w:val="21"/>
          <w:highlight w:val="none"/>
          <w:u w:val="single"/>
        </w:rPr>
        <w:t xml:space="preserve">       （投标人全称）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法定代表人的资格，郑重承诺：</w:t>
      </w:r>
    </w:p>
    <w:p w14:paraId="648426CA">
      <w:pPr>
        <w:autoSpaceDE w:val="0"/>
        <w:autoSpaceDN w:val="0"/>
        <w:spacing w:line="360" w:lineRule="auto"/>
        <w:ind w:firstLine="48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本企业此次参加</w:t>
      </w:r>
      <w:r>
        <w:rPr>
          <w:rFonts w:hint="eastAsia" w:ascii="宋体" w:hAnsi="宋体" w:cs="宋体"/>
          <w:color w:val="auto"/>
          <w:kern w:val="0"/>
          <w:sz w:val="21"/>
          <w:szCs w:val="21"/>
          <w:highlight w:val="none"/>
          <w:u w:val="single"/>
          <w:lang w:eastAsia="zh-CN"/>
        </w:rPr>
        <w:t>通海港区-通州湾港区疏港航道双桥枢纽工程、新江海河船闸工程、新江海河段航道整治工程船艇设计服务项目THTZ-CTSJ1标段</w:t>
      </w:r>
      <w:r>
        <w:rPr>
          <w:rFonts w:hint="eastAsia" w:ascii="宋体" w:hAnsi="宋体" w:cs="宋体"/>
          <w:color w:val="auto"/>
          <w:kern w:val="0"/>
          <w:sz w:val="21"/>
          <w:szCs w:val="21"/>
          <w:highlight w:val="none"/>
        </w:rPr>
        <w:t>投标所提交的所有资料都是真实的。如有虚假，本企业愿意接受招标人做出的取消投标、中标资格的决定，同时愿意接受交通行政主管部门依法做出的其它处罚决定。</w:t>
      </w:r>
    </w:p>
    <w:p w14:paraId="2CBF62E4">
      <w:pPr>
        <w:autoSpaceDE w:val="0"/>
        <w:autoSpaceDN w:val="0"/>
        <w:spacing w:line="360" w:lineRule="auto"/>
        <w:rPr>
          <w:rFonts w:hint="eastAsia" w:ascii="宋体" w:hAnsi="宋体" w:cs="宋体"/>
          <w:color w:val="auto"/>
          <w:kern w:val="0"/>
          <w:sz w:val="21"/>
          <w:szCs w:val="21"/>
          <w:highlight w:val="none"/>
        </w:rPr>
      </w:pPr>
    </w:p>
    <w:p w14:paraId="55DB3160">
      <w:pPr>
        <w:autoSpaceDE w:val="0"/>
        <w:autoSpaceDN w:val="0"/>
        <w:spacing w:line="360" w:lineRule="auto"/>
        <w:rPr>
          <w:rFonts w:hint="eastAsia" w:ascii="宋体" w:hAnsi="宋体" w:cs="宋体"/>
          <w:color w:val="auto"/>
          <w:kern w:val="0"/>
          <w:sz w:val="21"/>
          <w:szCs w:val="21"/>
          <w:highlight w:val="none"/>
        </w:rPr>
      </w:pPr>
    </w:p>
    <w:p w14:paraId="689F290D">
      <w:pPr>
        <w:autoSpaceDE w:val="0"/>
        <w:autoSpaceDN w:val="0"/>
        <w:spacing w:line="360" w:lineRule="auto"/>
        <w:rPr>
          <w:rFonts w:hint="eastAsia" w:ascii="宋体" w:hAnsi="宋体" w:cs="宋体"/>
          <w:color w:val="auto"/>
          <w:kern w:val="0"/>
          <w:sz w:val="21"/>
          <w:szCs w:val="21"/>
          <w:highlight w:val="none"/>
        </w:rPr>
      </w:pPr>
    </w:p>
    <w:p w14:paraId="6E05070E">
      <w:pPr>
        <w:autoSpaceDE w:val="0"/>
        <w:autoSpaceDN w:val="0"/>
        <w:spacing w:line="360" w:lineRule="auto"/>
        <w:rPr>
          <w:rFonts w:hint="eastAsia" w:ascii="宋体" w:hAnsi="宋体" w:cs="宋体"/>
          <w:color w:val="auto"/>
          <w:kern w:val="0"/>
          <w:sz w:val="21"/>
          <w:szCs w:val="21"/>
          <w:highlight w:val="none"/>
        </w:rPr>
      </w:pPr>
    </w:p>
    <w:p w14:paraId="0DD038AA">
      <w:pPr>
        <w:autoSpaceDE w:val="0"/>
        <w:autoSpaceDN w:val="0"/>
        <w:spacing w:line="360" w:lineRule="auto"/>
        <w:ind w:firstLine="3255" w:firstLineChars="155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投标人（盖单位章）：</w:t>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rPr>
        <w:tab/>
      </w:r>
    </w:p>
    <w:p w14:paraId="2774F6EE">
      <w:pPr>
        <w:autoSpaceDE w:val="0"/>
        <w:autoSpaceDN w:val="0"/>
        <w:spacing w:line="360" w:lineRule="auto"/>
        <w:ind w:firstLine="3255" w:firstLineChars="155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法定代表人</w:t>
      </w:r>
    </w:p>
    <w:p w14:paraId="01DC1A7E">
      <w:pPr>
        <w:autoSpaceDE w:val="0"/>
        <w:autoSpaceDN w:val="0"/>
        <w:spacing w:line="360" w:lineRule="auto"/>
        <w:ind w:firstLine="3255" w:firstLineChars="155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或其委托代理人（签字）：</w:t>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p>
    <w:p w14:paraId="0BB6D410">
      <w:pPr>
        <w:autoSpaceDE w:val="0"/>
        <w:autoSpaceDN w:val="0"/>
        <w:spacing w:line="360" w:lineRule="auto"/>
        <w:ind w:firstLine="4560"/>
        <w:rPr>
          <w:rFonts w:hint="eastAsia" w:ascii="宋体" w:hAnsi="宋体" w:cs="宋体"/>
          <w:color w:val="auto"/>
          <w:kern w:val="0"/>
          <w:sz w:val="21"/>
          <w:szCs w:val="21"/>
          <w:highlight w:val="none"/>
          <w:u w:val="single"/>
        </w:rPr>
      </w:pPr>
    </w:p>
    <w:p w14:paraId="75AA51B7">
      <w:pPr>
        <w:autoSpaceDE w:val="0"/>
        <w:autoSpaceDN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w:t>
      </w:r>
    </w:p>
    <w:p w14:paraId="7E254AE2">
      <w:pPr>
        <w:pStyle w:val="4"/>
        <w:ind w:firstLine="477" w:firstLineChars="198"/>
        <w:jc w:val="center"/>
        <w:rPr>
          <w:rFonts w:hint="eastAsia" w:ascii="宋体" w:hAnsi="宋体"/>
          <w:color w:val="auto"/>
          <w:w w:val="99"/>
          <w:sz w:val="28"/>
          <w:szCs w:val="28"/>
          <w:highlight w:val="none"/>
        </w:rPr>
      </w:pPr>
      <w:r>
        <w:rPr>
          <w:rFonts w:ascii="宋体" w:hAnsi="宋体" w:cs="宋体"/>
          <w:color w:val="auto"/>
          <w:sz w:val="24"/>
          <w:highlight w:val="none"/>
        </w:rPr>
        <w:br w:type="page"/>
      </w:r>
      <w:bookmarkStart w:id="160" w:name="_Toc29915"/>
      <w:r>
        <w:rPr>
          <w:rFonts w:hint="eastAsia" w:ascii="宋体" w:hAnsi="宋体" w:cs="宋体"/>
          <w:color w:val="auto"/>
          <w:sz w:val="24"/>
          <w:szCs w:val="24"/>
          <w:highlight w:val="none"/>
        </w:rPr>
        <w:t>（二）江苏省公路水运建设项目投标人信用承诺书</w:t>
      </w:r>
      <w:bookmarkEnd w:id="160"/>
    </w:p>
    <w:p w14:paraId="36C9CC2B">
      <w:pPr>
        <w:spacing w:line="360" w:lineRule="auto"/>
        <w:rPr>
          <w:rFonts w:hint="eastAsia" w:ascii="宋体" w:hAnsi="宋体" w:eastAsia="宋体"/>
          <w:color w:val="auto"/>
          <w:kern w:val="0"/>
          <w:sz w:val="21"/>
          <w:szCs w:val="21"/>
          <w:highlight w:val="none"/>
          <w:u w:val="single"/>
          <w:lang w:eastAsia="zh-CN"/>
        </w:rPr>
      </w:pPr>
      <w:r>
        <w:rPr>
          <w:rFonts w:hint="eastAsia" w:ascii="宋体" w:hAnsi="宋体"/>
          <w:color w:val="auto"/>
          <w:kern w:val="0"/>
          <w:sz w:val="21"/>
          <w:szCs w:val="21"/>
          <w:highlight w:val="none"/>
        </w:rPr>
        <w:t>致：</w:t>
      </w:r>
      <w:r>
        <w:rPr>
          <w:rFonts w:hint="eastAsia" w:ascii="宋体" w:hAnsi="宋体"/>
          <w:color w:val="auto"/>
          <w:kern w:val="0"/>
          <w:sz w:val="21"/>
          <w:szCs w:val="21"/>
          <w:highlight w:val="none"/>
          <w:u w:val="single"/>
          <w:lang w:eastAsia="zh-CN"/>
        </w:rPr>
        <w:t>南通市江海河联运项目建设指挥部</w:t>
      </w:r>
    </w:p>
    <w:p w14:paraId="659B723D">
      <w:pPr>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我单位自愿参加</w:t>
      </w:r>
      <w:r>
        <w:rPr>
          <w:rFonts w:hint="eastAsia" w:ascii="宋体" w:hAnsi="宋体"/>
          <w:color w:val="auto"/>
          <w:kern w:val="0"/>
          <w:sz w:val="21"/>
          <w:szCs w:val="21"/>
          <w:highlight w:val="none"/>
          <w:u w:val="single"/>
          <w:lang w:eastAsia="zh-CN"/>
        </w:rPr>
        <w:t>通海港区-通州湾港区疏港航道双桥枢纽工程、新江海河船闸工程、新江海河段航道整治工程船艇设计服务项目THTZ-CTSJ1标段</w:t>
      </w:r>
      <w:r>
        <w:rPr>
          <w:rFonts w:hint="eastAsia" w:ascii="宋体" w:hAnsi="宋体"/>
          <w:color w:val="auto"/>
          <w:kern w:val="0"/>
          <w:sz w:val="21"/>
          <w:szCs w:val="21"/>
          <w:highlight w:val="none"/>
        </w:rPr>
        <w:t>的投标活动，并郑重承诺：</w:t>
      </w:r>
    </w:p>
    <w:p w14:paraId="32A5C12C">
      <w:pPr>
        <w:spacing w:line="360" w:lineRule="auto"/>
        <w:ind w:firstLine="420" w:firstLineChars="200"/>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1.</w:t>
      </w:r>
      <w:r>
        <w:rPr>
          <w:rFonts w:hint="eastAsia" w:ascii="宋体" w:hAnsi="宋体" w:cs="Times New Roman"/>
          <w:color w:val="auto"/>
          <w:kern w:val="0"/>
          <w:sz w:val="21"/>
          <w:szCs w:val="21"/>
          <w:highlight w:val="none"/>
        </w:rPr>
        <w:t>在本项目的投标活动中遵守国家法律法规和交通运输行业有关规定，遵循公开、公平、公正和诚信原则。</w:t>
      </w:r>
    </w:p>
    <w:p w14:paraId="074DE2F1">
      <w:pPr>
        <w:spacing w:line="360" w:lineRule="auto"/>
        <w:ind w:firstLine="420" w:firstLineChars="200"/>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2.</w:t>
      </w:r>
      <w:r>
        <w:rPr>
          <w:rFonts w:hint="eastAsia" w:ascii="宋体" w:hAnsi="宋体" w:cs="Times New Roman"/>
          <w:color w:val="auto"/>
          <w:kern w:val="0"/>
          <w:sz w:val="21"/>
          <w:szCs w:val="21"/>
          <w:highlight w:val="none"/>
        </w:rPr>
        <w:t>投标文件中所有内容均为我单位真实意愿表达，相关信息真实有效。</w:t>
      </w:r>
    </w:p>
    <w:p w14:paraId="0B94DA84">
      <w:pPr>
        <w:spacing w:line="360" w:lineRule="auto"/>
        <w:ind w:firstLine="420" w:firstLineChars="200"/>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3.在本项目中</w:t>
      </w:r>
      <w:r>
        <w:rPr>
          <w:rFonts w:hint="eastAsia" w:ascii="宋体" w:hAnsi="宋体" w:cs="Times New Roman"/>
          <w:color w:val="auto"/>
          <w:kern w:val="0"/>
          <w:sz w:val="21"/>
          <w:szCs w:val="21"/>
          <w:highlight w:val="none"/>
        </w:rPr>
        <w:t>无弄虚作假，无围标串标行为。</w:t>
      </w:r>
    </w:p>
    <w:p w14:paraId="5A1B774E">
      <w:pPr>
        <w:spacing w:line="360" w:lineRule="auto"/>
        <w:ind w:firstLine="420" w:firstLineChars="200"/>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4.</w:t>
      </w:r>
      <w:r>
        <w:rPr>
          <w:rFonts w:hint="eastAsia" w:ascii="宋体" w:hAnsi="宋体" w:cs="Times New Roman"/>
          <w:color w:val="auto"/>
          <w:kern w:val="0"/>
          <w:sz w:val="21"/>
          <w:szCs w:val="21"/>
          <w:highlight w:val="none"/>
        </w:rPr>
        <w:t>若我方中标，在合同履行过程中严格执行有关法律、法规、规章和规范性文件的规定，不转包和违法分包。</w:t>
      </w:r>
    </w:p>
    <w:p w14:paraId="201D3E7A">
      <w:pPr>
        <w:spacing w:line="360" w:lineRule="auto"/>
        <w:ind w:firstLine="420" w:firstLineChars="200"/>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lang w:val="en-US" w:eastAsia="zh-CN"/>
        </w:rPr>
        <w:t>5.</w:t>
      </w:r>
      <w:r>
        <w:rPr>
          <w:rFonts w:hint="eastAsia" w:ascii="宋体" w:hAnsi="宋体" w:cs="Times New Roman"/>
          <w:color w:val="auto"/>
          <w:kern w:val="0"/>
          <w:sz w:val="21"/>
          <w:szCs w:val="21"/>
          <w:highlight w:val="none"/>
        </w:rPr>
        <w:t>我方如有违背承诺，愿意接受依法进行的处罚，按照信用管理规定记入相关责任主体和责任人信用档案，</w:t>
      </w:r>
      <w:r>
        <w:rPr>
          <w:rFonts w:hint="eastAsia" w:ascii="宋体" w:hAnsi="宋体" w:cs="Times New Roman"/>
          <w:color w:val="auto"/>
          <w:kern w:val="0"/>
          <w:sz w:val="21"/>
          <w:szCs w:val="21"/>
          <w:highlight w:val="none"/>
          <w:lang w:val="en-US" w:eastAsia="zh-CN"/>
        </w:rPr>
        <w:t>并</w:t>
      </w:r>
      <w:r>
        <w:rPr>
          <w:rFonts w:hint="eastAsia" w:ascii="宋体" w:hAnsi="宋体" w:cs="Times New Roman"/>
          <w:color w:val="auto"/>
          <w:kern w:val="0"/>
          <w:sz w:val="21"/>
          <w:szCs w:val="21"/>
          <w:highlight w:val="none"/>
        </w:rPr>
        <w:t>在交通运输行业和政府相关信用网站公开。</w:t>
      </w:r>
    </w:p>
    <w:p w14:paraId="3DAF83D9">
      <w:pPr>
        <w:spacing w:line="400" w:lineRule="exact"/>
        <w:ind w:firstLine="3800" w:firstLineChars="1900"/>
        <w:rPr>
          <w:rFonts w:hint="eastAsia" w:ascii="宋体" w:hAnsi="宋体"/>
          <w:color w:val="auto"/>
          <w:spacing w:val="-5"/>
          <w:sz w:val="21"/>
          <w:szCs w:val="21"/>
          <w:highlight w:val="none"/>
        </w:rPr>
      </w:pPr>
    </w:p>
    <w:p w14:paraId="7F487CC0">
      <w:pPr>
        <w:spacing w:line="400" w:lineRule="exact"/>
        <w:ind w:firstLine="3800" w:firstLineChars="1900"/>
        <w:rPr>
          <w:rFonts w:hint="eastAsia" w:ascii="宋体" w:hAnsi="宋体"/>
          <w:color w:val="auto"/>
          <w:spacing w:val="-5"/>
          <w:sz w:val="21"/>
          <w:szCs w:val="21"/>
          <w:highlight w:val="none"/>
        </w:rPr>
      </w:pPr>
    </w:p>
    <w:p w14:paraId="264A3345">
      <w:pPr>
        <w:autoSpaceDE w:val="0"/>
        <w:autoSpaceDN w:val="0"/>
        <w:adjustRightInd w:val="0"/>
        <w:spacing w:line="360" w:lineRule="auto"/>
        <w:ind w:firstLine="3255" w:firstLineChars="155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投标人（盖单位章）：</w:t>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rPr>
        <w:tab/>
      </w:r>
    </w:p>
    <w:p w14:paraId="6CEDA591">
      <w:pPr>
        <w:autoSpaceDE w:val="0"/>
        <w:autoSpaceDN w:val="0"/>
        <w:adjustRightInd w:val="0"/>
        <w:spacing w:line="360" w:lineRule="auto"/>
        <w:ind w:firstLine="3268" w:firstLineChars="1550"/>
        <w:rPr>
          <w:rFonts w:hint="eastAsia" w:ascii="宋体" w:hAnsi="宋体" w:cs="宋体"/>
          <w:b/>
          <w:color w:val="auto"/>
          <w:kern w:val="0"/>
          <w:sz w:val="21"/>
          <w:szCs w:val="21"/>
          <w:highlight w:val="none"/>
          <w:u w:val="single"/>
        </w:rPr>
      </w:pPr>
      <w:r>
        <w:rPr>
          <w:rFonts w:hint="eastAsia" w:ascii="宋体" w:hAnsi="宋体" w:cs="宋体"/>
          <w:b/>
          <w:color w:val="auto"/>
          <w:kern w:val="0"/>
          <w:sz w:val="21"/>
          <w:szCs w:val="21"/>
          <w:highlight w:val="none"/>
        </w:rPr>
        <w:t>承诺人法定代表人（签字或签章）：</w:t>
      </w:r>
      <w:r>
        <w:rPr>
          <w:rFonts w:hint="eastAsia" w:ascii="宋体" w:hAnsi="宋体" w:cs="宋体"/>
          <w:b/>
          <w:color w:val="auto"/>
          <w:kern w:val="0"/>
          <w:sz w:val="21"/>
          <w:szCs w:val="21"/>
          <w:highlight w:val="none"/>
          <w:u w:val="single"/>
        </w:rPr>
        <w:tab/>
      </w:r>
      <w:r>
        <w:rPr>
          <w:rFonts w:hint="eastAsia" w:ascii="宋体" w:hAnsi="宋体" w:cs="宋体"/>
          <w:b/>
          <w:color w:val="auto"/>
          <w:kern w:val="0"/>
          <w:sz w:val="21"/>
          <w:szCs w:val="21"/>
          <w:highlight w:val="none"/>
          <w:u w:val="single"/>
        </w:rPr>
        <w:tab/>
      </w:r>
      <w:r>
        <w:rPr>
          <w:rFonts w:hint="eastAsia" w:ascii="宋体" w:hAnsi="宋体" w:cs="宋体"/>
          <w:b/>
          <w:color w:val="auto"/>
          <w:kern w:val="0"/>
          <w:sz w:val="21"/>
          <w:szCs w:val="21"/>
          <w:highlight w:val="none"/>
          <w:u w:val="single"/>
        </w:rPr>
        <w:tab/>
      </w:r>
    </w:p>
    <w:p w14:paraId="2B393FE4">
      <w:pPr>
        <w:autoSpaceDE w:val="0"/>
        <w:autoSpaceDN w:val="0"/>
        <w:adjustRightIn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rPr>
        <w:t>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月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w:t>
      </w:r>
    </w:p>
    <w:p w14:paraId="726D9720">
      <w:pPr>
        <w:spacing w:before="120" w:beforeLines="50" w:line="400" w:lineRule="exact"/>
        <w:jc w:val="center"/>
        <w:outlineLvl w:val="2"/>
        <w:rPr>
          <w:rFonts w:ascii="宋体" w:hAnsi="宋体"/>
          <w:b/>
          <w:bCs/>
          <w:color w:val="auto"/>
          <w:spacing w:val="-5"/>
          <w:sz w:val="24"/>
          <w:highlight w:val="none"/>
        </w:rPr>
      </w:pPr>
      <w:r>
        <w:rPr>
          <w:rFonts w:ascii="宋体" w:hAnsi="宋体" w:cs="宋体"/>
          <w:color w:val="auto"/>
          <w:kern w:val="0"/>
          <w:sz w:val="24"/>
          <w:highlight w:val="none"/>
        </w:rPr>
        <w:br w:type="page"/>
      </w:r>
      <w:r>
        <w:rPr>
          <w:rFonts w:hint="eastAsia" w:ascii="宋体" w:hAnsi="宋体" w:cs="宋体"/>
          <w:b/>
          <w:bCs/>
          <w:color w:val="auto"/>
          <w:kern w:val="0"/>
          <w:sz w:val="24"/>
          <w:highlight w:val="none"/>
        </w:rPr>
        <w:t>（三）</w:t>
      </w:r>
      <w:r>
        <w:rPr>
          <w:rFonts w:ascii="宋体" w:hAnsi="宋体" w:cs="宋体"/>
          <w:b/>
          <w:bCs/>
          <w:color w:val="auto"/>
          <w:sz w:val="24"/>
          <w:highlight w:val="none"/>
        </w:rPr>
        <w:t>江苏公路水运建设市场主要从业人员信用承诺书</w:t>
      </w:r>
    </w:p>
    <w:p w14:paraId="2183F1F5">
      <w:pPr>
        <w:spacing w:before="120" w:beforeLines="50" w:line="360" w:lineRule="auto"/>
        <w:ind w:firstLine="540" w:firstLineChars="200"/>
        <w:rPr>
          <w:rFonts w:hint="eastAsia" w:ascii="宋体" w:hAnsi="宋体"/>
          <w:color w:val="auto"/>
          <w:spacing w:val="-5"/>
          <w:szCs w:val="21"/>
          <w:highlight w:val="none"/>
        </w:rPr>
      </w:pPr>
    </w:p>
    <w:p w14:paraId="096A9D0B">
      <w:pPr>
        <w:spacing w:line="360" w:lineRule="auto"/>
        <w:ind w:firstLine="420" w:firstLineChars="200"/>
        <w:rPr>
          <w:rFonts w:hint="eastAsia" w:ascii="宋体" w:hAnsi="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本人自愿申请参加江苏省公路水运工程主要从业人员信用评价，在此郑重承诺：</w:t>
      </w:r>
    </w:p>
    <w:p w14:paraId="5E005BB0">
      <w:pPr>
        <w:spacing w:line="360" w:lineRule="auto"/>
        <w:ind w:firstLine="420" w:firstLineChars="200"/>
        <w:rPr>
          <w:rFonts w:hint="eastAsia" w:ascii="宋体" w:hAnsi="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1.在厅建设市场信用系统中录入的有关本人信用信息，均由本人亲自确认；所有信息都是真实、准确的。</w:t>
      </w:r>
    </w:p>
    <w:p w14:paraId="3A655A96">
      <w:pPr>
        <w:spacing w:line="360" w:lineRule="auto"/>
        <w:ind w:firstLine="420" w:firstLineChars="200"/>
        <w:rPr>
          <w:rFonts w:hint="eastAsia" w:ascii="宋体" w:hAnsi="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2.按照国家和省交通运输主管部门有关规定要求，及时更新和完善信用信息系统中相关信息。</w:t>
      </w:r>
    </w:p>
    <w:p w14:paraId="37B9A4F5">
      <w:pPr>
        <w:spacing w:line="360" w:lineRule="auto"/>
        <w:ind w:firstLine="420" w:firstLineChars="200"/>
        <w:rPr>
          <w:rFonts w:hint="eastAsia" w:ascii="宋体" w:hAnsi="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3.同意依法在省交通运输主管部门网站和信用交通江苏网站公示、公布相关信用信息，接受社会监督。</w:t>
      </w:r>
    </w:p>
    <w:p w14:paraId="5D3BA9C9">
      <w:pPr>
        <w:spacing w:line="360" w:lineRule="auto"/>
        <w:ind w:firstLine="420" w:firstLineChars="200"/>
        <w:rPr>
          <w:rFonts w:hint="eastAsia" w:ascii="宋体" w:hAnsi="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4.同意政府相关行政主管部门、招标人及工程建设管理工作有关单位因工作需要，依法对本人信用信息进行查询。</w:t>
      </w:r>
    </w:p>
    <w:p w14:paraId="0538E3FC">
      <w:pPr>
        <w:spacing w:line="360" w:lineRule="auto"/>
        <w:ind w:firstLine="420" w:firstLineChars="200"/>
        <w:rPr>
          <w:rFonts w:hint="eastAsia" w:ascii="宋体" w:hAnsi="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5.如有违背承诺，愿意接受依法进行的处罚，按照信用管理规定记入本人信用档案，并在交通运输行业和政府相关信用网站公开。</w:t>
      </w:r>
    </w:p>
    <w:p w14:paraId="40D39A97">
      <w:pPr>
        <w:spacing w:line="400" w:lineRule="exact"/>
        <w:ind w:firstLine="1900" w:firstLineChars="950"/>
        <w:jc w:val="center"/>
        <w:rPr>
          <w:rFonts w:ascii="宋体" w:hAnsi="宋体"/>
          <w:color w:val="auto"/>
          <w:spacing w:val="-5"/>
          <w:sz w:val="21"/>
          <w:szCs w:val="21"/>
          <w:highlight w:val="none"/>
        </w:rPr>
      </w:pPr>
      <w:r>
        <w:rPr>
          <w:rFonts w:hint="eastAsia" w:ascii="宋体" w:hAnsi="宋体"/>
          <w:color w:val="auto"/>
          <w:spacing w:val="-5"/>
          <w:sz w:val="21"/>
          <w:szCs w:val="21"/>
          <w:highlight w:val="none"/>
        </w:rPr>
        <w:t xml:space="preserve">                  </w:t>
      </w:r>
      <w:r>
        <w:rPr>
          <w:rFonts w:ascii="宋体" w:hAnsi="宋体"/>
          <w:color w:val="auto"/>
          <w:spacing w:val="-5"/>
          <w:sz w:val="21"/>
          <w:szCs w:val="21"/>
          <w:highlight w:val="none"/>
        </w:rPr>
        <w:t>承诺人</w:t>
      </w:r>
      <w:r>
        <w:rPr>
          <w:rFonts w:hint="eastAsia" w:ascii="宋体" w:hAnsi="宋体"/>
          <w:b/>
          <w:color w:val="auto"/>
          <w:spacing w:val="-5"/>
          <w:sz w:val="21"/>
          <w:szCs w:val="21"/>
          <w:highlight w:val="none"/>
        </w:rPr>
        <w:t>（项目负责人签字）</w:t>
      </w:r>
      <w:r>
        <w:rPr>
          <w:rFonts w:ascii="宋体" w:hAnsi="宋体"/>
          <w:color w:val="auto"/>
          <w:spacing w:val="-5"/>
          <w:sz w:val="21"/>
          <w:szCs w:val="21"/>
          <w:highlight w:val="none"/>
        </w:rPr>
        <w:t>：</w:t>
      </w:r>
      <w:r>
        <w:rPr>
          <w:rFonts w:hint="eastAsia" w:ascii="宋体" w:hAnsi="宋体"/>
          <w:color w:val="auto"/>
          <w:spacing w:val="-5"/>
          <w:sz w:val="21"/>
          <w:szCs w:val="21"/>
          <w:highlight w:val="none"/>
          <w:u w:val="single"/>
        </w:rPr>
        <w:t xml:space="preserve">    </w:t>
      </w:r>
      <w:r>
        <w:rPr>
          <w:rFonts w:hint="eastAsia" w:ascii="宋体" w:hAnsi="宋体"/>
          <w:color w:val="auto"/>
          <w:sz w:val="21"/>
          <w:szCs w:val="21"/>
          <w:highlight w:val="none"/>
          <w:u w:val="single"/>
        </w:rPr>
        <w:t xml:space="preserve">   </w:t>
      </w:r>
    </w:p>
    <w:p w14:paraId="28CB20EB">
      <w:pPr>
        <w:pStyle w:val="88"/>
        <w:adjustRightInd w:val="0"/>
        <w:snapToGrid w:val="0"/>
        <w:spacing w:before="120" w:beforeLines="50" w:after="120" w:afterLines="50" w:line="360" w:lineRule="auto"/>
        <w:ind w:left="561" w:hanging="561"/>
        <w:jc w:val="right"/>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年</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月</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日</w:t>
      </w:r>
    </w:p>
    <w:p w14:paraId="50F2359D">
      <w:pPr>
        <w:pStyle w:val="88"/>
        <w:adjustRightInd w:val="0"/>
        <w:snapToGrid w:val="0"/>
        <w:spacing w:before="120" w:beforeLines="50" w:after="120" w:afterLines="50" w:line="360" w:lineRule="auto"/>
        <w:ind w:left="561" w:hanging="561"/>
        <w:rPr>
          <w:rFonts w:hint="eastAsia"/>
          <w:color w:val="auto"/>
          <w:highlight w:val="none"/>
        </w:rPr>
      </w:pPr>
      <w:r>
        <w:rPr>
          <w:rFonts w:hint="eastAsia"/>
          <w:color w:val="auto"/>
          <w:highlight w:val="none"/>
        </w:rPr>
        <w:br w:type="page"/>
      </w:r>
      <w:r>
        <w:rPr>
          <w:rFonts w:hint="eastAsia"/>
          <w:color w:val="auto"/>
          <w:highlight w:val="none"/>
          <w:lang w:val="en-US" w:eastAsia="zh-CN"/>
        </w:rPr>
        <w:t>四</w:t>
      </w:r>
      <w:r>
        <w:rPr>
          <w:rFonts w:hint="eastAsia"/>
          <w:color w:val="auto"/>
          <w:highlight w:val="none"/>
        </w:rPr>
        <w:t>、工作大纲</w:t>
      </w:r>
    </w:p>
    <w:p w14:paraId="5C93E3CC">
      <w:pPr>
        <w:pStyle w:val="88"/>
        <w:keepNext/>
        <w:keepLines/>
        <w:pageBreakBefore w:val="0"/>
        <w:widowControl w:val="0"/>
        <w:numPr>
          <w:ilvl w:val="0"/>
          <w:numId w:val="0"/>
        </w:numPr>
        <w:kinsoku/>
        <w:wordWrap/>
        <w:overflowPunct/>
        <w:topLinePunct w:val="0"/>
        <w:autoSpaceDE/>
        <w:autoSpaceDN/>
        <w:bidi w:val="0"/>
        <w:adjustRightInd w:val="0"/>
        <w:snapToGrid w:val="0"/>
        <w:spacing w:before="120" w:beforeLines="50" w:after="120" w:afterLines="50" w:line="360" w:lineRule="auto"/>
        <w:ind w:left="0" w:leftChars="0" w:firstLine="561"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包括但不限于：</w:t>
      </w:r>
    </w:p>
    <w:p w14:paraId="117F84A1">
      <w:pPr>
        <w:pStyle w:val="88"/>
        <w:keepNext/>
        <w:keepLines/>
        <w:pageBreakBefore w:val="0"/>
        <w:widowControl w:val="0"/>
        <w:numPr>
          <w:ilvl w:val="0"/>
          <w:numId w:val="0"/>
        </w:numPr>
        <w:kinsoku/>
        <w:wordWrap/>
        <w:overflowPunct/>
        <w:topLinePunct w:val="0"/>
        <w:autoSpaceDE/>
        <w:autoSpaceDN/>
        <w:bidi w:val="0"/>
        <w:adjustRightInd w:val="0"/>
        <w:snapToGrid w:val="0"/>
        <w:spacing w:before="120" w:beforeLines="50" w:after="120" w:afterLines="50" w:line="360" w:lineRule="auto"/>
        <w:ind w:left="0" w:leftChars="0" w:firstLine="561" w:firstLineChars="0"/>
        <w:jc w:val="left"/>
        <w:textAlignment w:val="auto"/>
        <w:rPr>
          <w:rFonts w:hint="eastAsia"/>
          <w:b w:val="0"/>
          <w:bCs w:val="0"/>
          <w:color w:val="auto"/>
          <w:highlight w:val="none"/>
        </w:rPr>
      </w:pPr>
      <w:r>
        <w:rPr>
          <w:rFonts w:hint="eastAsia" w:ascii="Arial" w:hAnsi="Arial" w:eastAsia="宋体" w:cs="Times New Roman"/>
          <w:b w:val="0"/>
          <w:bCs w:val="0"/>
          <w:color w:val="auto"/>
          <w:kern w:val="0"/>
          <w:sz w:val="28"/>
          <w:szCs w:val="32"/>
          <w:highlight w:val="none"/>
          <w:lang w:val="en-US" w:eastAsia="zh-CN" w:bidi="ar-SA"/>
        </w:rPr>
        <w:t>（1）</w:t>
      </w:r>
      <w:r>
        <w:rPr>
          <w:rFonts w:hint="eastAsia"/>
          <w:b w:val="0"/>
          <w:bCs w:val="0"/>
          <w:color w:val="auto"/>
          <w:highlight w:val="none"/>
        </w:rPr>
        <w:t>对船艇设计的理解和认识</w:t>
      </w:r>
    </w:p>
    <w:p w14:paraId="510C881D">
      <w:pPr>
        <w:pStyle w:val="88"/>
        <w:keepNext/>
        <w:keepLines/>
        <w:pageBreakBefore w:val="0"/>
        <w:widowControl w:val="0"/>
        <w:numPr>
          <w:ilvl w:val="0"/>
          <w:numId w:val="0"/>
        </w:numPr>
        <w:kinsoku/>
        <w:wordWrap/>
        <w:overflowPunct/>
        <w:topLinePunct w:val="0"/>
        <w:autoSpaceDE/>
        <w:autoSpaceDN/>
        <w:bidi w:val="0"/>
        <w:adjustRightInd w:val="0"/>
        <w:snapToGrid w:val="0"/>
        <w:spacing w:before="120" w:beforeLines="50" w:after="120" w:afterLines="50" w:line="360" w:lineRule="auto"/>
        <w:ind w:left="0" w:leftChars="0" w:firstLine="561" w:firstLineChars="0"/>
        <w:jc w:val="left"/>
        <w:textAlignment w:val="auto"/>
        <w:rPr>
          <w:rFonts w:hint="eastAsia"/>
          <w:b w:val="0"/>
          <w:bCs w:val="0"/>
          <w:color w:val="auto"/>
          <w:highlight w:val="none"/>
        </w:rPr>
      </w:pPr>
      <w:r>
        <w:rPr>
          <w:rFonts w:hint="eastAsia" w:ascii="Arial" w:hAnsi="Arial" w:eastAsia="宋体" w:cs="Times New Roman"/>
          <w:b w:val="0"/>
          <w:bCs w:val="0"/>
          <w:color w:val="auto"/>
          <w:kern w:val="0"/>
          <w:sz w:val="28"/>
          <w:szCs w:val="32"/>
          <w:highlight w:val="none"/>
          <w:lang w:val="en-US" w:eastAsia="zh-CN" w:bidi="ar-SA"/>
        </w:rPr>
        <w:t>（2）</w:t>
      </w:r>
      <w:r>
        <w:rPr>
          <w:rFonts w:hint="eastAsia"/>
          <w:b w:val="0"/>
          <w:bCs w:val="0"/>
          <w:color w:val="auto"/>
          <w:highlight w:val="none"/>
        </w:rPr>
        <w:t>设计实施的重点、难点分析和合理化建议</w:t>
      </w:r>
    </w:p>
    <w:p w14:paraId="117CCD2F">
      <w:pPr>
        <w:pStyle w:val="88"/>
        <w:keepNext/>
        <w:keepLines/>
        <w:pageBreakBefore w:val="0"/>
        <w:widowControl w:val="0"/>
        <w:numPr>
          <w:ilvl w:val="0"/>
          <w:numId w:val="0"/>
        </w:numPr>
        <w:kinsoku/>
        <w:wordWrap/>
        <w:overflowPunct/>
        <w:topLinePunct w:val="0"/>
        <w:autoSpaceDE/>
        <w:autoSpaceDN/>
        <w:bidi w:val="0"/>
        <w:adjustRightInd w:val="0"/>
        <w:snapToGrid w:val="0"/>
        <w:spacing w:before="120" w:beforeLines="50" w:after="120" w:afterLines="50" w:line="360" w:lineRule="auto"/>
        <w:ind w:left="0" w:leftChars="0" w:firstLine="561" w:firstLineChars="0"/>
        <w:jc w:val="left"/>
        <w:textAlignment w:val="auto"/>
        <w:rPr>
          <w:rFonts w:hint="eastAsia"/>
          <w:b w:val="0"/>
          <w:bCs w:val="0"/>
          <w:color w:val="auto"/>
          <w:highlight w:val="none"/>
        </w:rPr>
      </w:pPr>
      <w:r>
        <w:rPr>
          <w:rFonts w:hint="eastAsia" w:ascii="Arial" w:hAnsi="Arial" w:eastAsia="宋体" w:cs="Times New Roman"/>
          <w:b w:val="0"/>
          <w:bCs w:val="0"/>
          <w:color w:val="auto"/>
          <w:kern w:val="0"/>
          <w:sz w:val="28"/>
          <w:szCs w:val="32"/>
          <w:highlight w:val="none"/>
          <w:lang w:val="en-US" w:eastAsia="zh-CN" w:bidi="ar-SA"/>
        </w:rPr>
        <w:t>（3）</w:t>
      </w:r>
      <w:r>
        <w:rPr>
          <w:rFonts w:hint="eastAsia"/>
          <w:b w:val="0"/>
          <w:bCs w:val="0"/>
          <w:color w:val="auto"/>
          <w:highlight w:val="none"/>
        </w:rPr>
        <w:t>设计技术方案说明</w:t>
      </w:r>
    </w:p>
    <w:p w14:paraId="4E3B09B4">
      <w:pPr>
        <w:pStyle w:val="88"/>
        <w:keepNext/>
        <w:keepLines/>
        <w:pageBreakBefore w:val="0"/>
        <w:widowControl w:val="0"/>
        <w:numPr>
          <w:ilvl w:val="0"/>
          <w:numId w:val="0"/>
        </w:numPr>
        <w:kinsoku/>
        <w:wordWrap/>
        <w:overflowPunct/>
        <w:topLinePunct w:val="0"/>
        <w:autoSpaceDE/>
        <w:autoSpaceDN/>
        <w:bidi w:val="0"/>
        <w:adjustRightInd w:val="0"/>
        <w:snapToGrid w:val="0"/>
        <w:spacing w:before="120" w:beforeLines="50" w:after="120" w:afterLines="50" w:line="360" w:lineRule="auto"/>
        <w:ind w:left="0" w:leftChars="0" w:firstLine="561" w:firstLineChars="0"/>
        <w:jc w:val="left"/>
        <w:textAlignment w:val="auto"/>
        <w:rPr>
          <w:rFonts w:hint="eastAsia"/>
          <w:b w:val="0"/>
          <w:bCs w:val="0"/>
          <w:color w:val="auto"/>
          <w:highlight w:val="none"/>
        </w:rPr>
      </w:pPr>
      <w:r>
        <w:rPr>
          <w:rFonts w:hint="eastAsia" w:ascii="Arial" w:hAnsi="Arial" w:eastAsia="宋体" w:cs="Times New Roman"/>
          <w:b w:val="0"/>
          <w:bCs w:val="0"/>
          <w:color w:val="auto"/>
          <w:kern w:val="0"/>
          <w:sz w:val="28"/>
          <w:szCs w:val="32"/>
          <w:highlight w:val="none"/>
          <w:lang w:val="en-US" w:eastAsia="zh-CN" w:bidi="ar-SA"/>
        </w:rPr>
        <w:t>（4）</w:t>
      </w:r>
      <w:r>
        <w:rPr>
          <w:rFonts w:hint="eastAsia"/>
          <w:b w:val="0"/>
          <w:bCs w:val="0"/>
          <w:color w:val="auto"/>
          <w:highlight w:val="none"/>
        </w:rPr>
        <w:t>进度安排和质量保证措施</w:t>
      </w:r>
    </w:p>
    <w:p w14:paraId="79A1FF09">
      <w:pPr>
        <w:pStyle w:val="88"/>
        <w:keepNext/>
        <w:keepLines/>
        <w:pageBreakBefore w:val="0"/>
        <w:widowControl w:val="0"/>
        <w:numPr>
          <w:ilvl w:val="0"/>
          <w:numId w:val="0"/>
        </w:numPr>
        <w:kinsoku/>
        <w:wordWrap/>
        <w:overflowPunct/>
        <w:topLinePunct w:val="0"/>
        <w:autoSpaceDE/>
        <w:autoSpaceDN/>
        <w:bidi w:val="0"/>
        <w:adjustRightInd w:val="0"/>
        <w:snapToGrid w:val="0"/>
        <w:spacing w:before="120" w:beforeLines="50" w:after="120" w:afterLines="50" w:line="360" w:lineRule="auto"/>
        <w:ind w:left="0" w:leftChars="0" w:firstLine="561" w:firstLineChars="0"/>
        <w:jc w:val="left"/>
        <w:textAlignment w:val="auto"/>
        <w:rPr>
          <w:rFonts w:hint="eastAsia"/>
          <w:color w:val="auto"/>
          <w:highlight w:val="none"/>
        </w:rPr>
      </w:pPr>
      <w:r>
        <w:rPr>
          <w:rFonts w:hint="eastAsia" w:ascii="Arial" w:hAnsi="Arial" w:eastAsia="宋体" w:cs="Times New Roman"/>
          <w:b w:val="0"/>
          <w:bCs w:val="0"/>
          <w:color w:val="auto"/>
          <w:kern w:val="0"/>
          <w:sz w:val="28"/>
          <w:szCs w:val="32"/>
          <w:highlight w:val="none"/>
          <w:lang w:val="en-US" w:eastAsia="zh-CN" w:bidi="ar-SA"/>
        </w:rPr>
        <w:t>（5）</w:t>
      </w:r>
      <w:r>
        <w:rPr>
          <w:rFonts w:hint="eastAsia"/>
          <w:b w:val="0"/>
          <w:bCs w:val="0"/>
          <w:color w:val="auto"/>
          <w:highlight w:val="none"/>
        </w:rPr>
        <w:t>服务承诺</w:t>
      </w:r>
      <w:r>
        <w:rPr>
          <w:rFonts w:hint="eastAsia"/>
          <w:color w:val="auto"/>
          <w:highlight w:val="none"/>
        </w:rPr>
        <w:br w:type="page"/>
      </w:r>
    </w:p>
    <w:p w14:paraId="435407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b/>
          <w:bCs/>
          <w:color w:val="auto"/>
          <w:highlight w:val="none"/>
        </w:rPr>
      </w:pPr>
      <w:r>
        <w:rPr>
          <w:rFonts w:hint="eastAsia"/>
          <w:b/>
          <w:bCs/>
          <w:color w:val="auto"/>
          <w:highlight w:val="none"/>
          <w:lang w:val="en-US" w:eastAsia="zh-CN"/>
        </w:rPr>
        <w:t>五</w:t>
      </w:r>
      <w:r>
        <w:rPr>
          <w:rFonts w:hint="eastAsia"/>
          <w:b/>
          <w:bCs/>
          <w:color w:val="auto"/>
          <w:highlight w:val="none"/>
        </w:rPr>
        <w:t>、</w:t>
      </w:r>
      <w:bookmarkEnd w:id="159"/>
      <w:bookmarkStart w:id="161" w:name="_Toc436730376"/>
      <w:bookmarkStart w:id="162" w:name="_Toc372633037"/>
      <w:bookmarkStart w:id="163" w:name="_Toc33625871"/>
      <w:r>
        <w:rPr>
          <w:rFonts w:hint="eastAsia"/>
          <w:b/>
          <w:bCs/>
          <w:color w:val="auto"/>
          <w:highlight w:val="none"/>
        </w:rPr>
        <w:t>其他材料</w:t>
      </w:r>
      <w:bookmarkEnd w:id="161"/>
      <w:bookmarkEnd w:id="162"/>
      <w:bookmarkEnd w:id="163"/>
    </w:p>
    <w:p w14:paraId="7265A705">
      <w:pPr>
        <w:spacing w:line="360" w:lineRule="auto"/>
        <w:jc w:val="center"/>
        <w:rPr>
          <w:rFonts w:ascii="宋体" w:hAnsi="宋体"/>
          <w:color w:val="auto"/>
          <w:sz w:val="24"/>
          <w:highlight w:val="none"/>
        </w:rPr>
      </w:pPr>
      <w:r>
        <w:rPr>
          <w:rFonts w:hint="eastAsia" w:ascii="宋体" w:hAnsi="宋体"/>
          <w:color w:val="auto"/>
          <w:sz w:val="24"/>
          <w:highlight w:val="none"/>
        </w:rPr>
        <w:t>（投标人认为有必要提供给评标委员会的）</w:t>
      </w:r>
    </w:p>
    <w:p w14:paraId="237D59F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bookmarkStart w:id="164" w:name="_Hlk49425672"/>
    </w:p>
    <w:p w14:paraId="110E150B">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①截止递交</w:t>
      </w:r>
      <w:r>
        <w:rPr>
          <w:rFonts w:hint="eastAsia" w:ascii="宋体" w:hAnsi="宋体" w:eastAsia="宋体" w:cs="宋体"/>
          <w:bCs/>
          <w:color w:val="auto"/>
          <w:sz w:val="22"/>
          <w:szCs w:val="22"/>
          <w:highlight w:val="none"/>
        </w:rPr>
        <w:t>投标</w:t>
      </w:r>
      <w:r>
        <w:rPr>
          <w:rFonts w:hint="eastAsia" w:ascii="宋体" w:hAnsi="宋体" w:eastAsia="宋体" w:cs="宋体"/>
          <w:color w:val="auto"/>
          <w:sz w:val="22"/>
          <w:szCs w:val="22"/>
          <w:highlight w:val="none"/>
        </w:rPr>
        <w:t>文件当日，未在“信用中国”网站（http://www.creditchina.gov.cn/）中被列为失信被执行人；</w:t>
      </w:r>
    </w:p>
    <w:p w14:paraId="3EDA2892">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②截止递交</w:t>
      </w:r>
      <w:r>
        <w:rPr>
          <w:rFonts w:hint="eastAsia" w:ascii="宋体" w:hAnsi="宋体" w:eastAsia="宋体" w:cs="宋体"/>
          <w:bCs/>
          <w:color w:val="auto"/>
          <w:sz w:val="22"/>
          <w:szCs w:val="22"/>
          <w:highlight w:val="none"/>
        </w:rPr>
        <w:t>投标</w:t>
      </w:r>
      <w:r>
        <w:rPr>
          <w:rFonts w:hint="eastAsia" w:ascii="宋体" w:hAnsi="宋体" w:eastAsia="宋体" w:cs="宋体"/>
          <w:color w:val="auto"/>
          <w:sz w:val="22"/>
          <w:szCs w:val="22"/>
          <w:highlight w:val="none"/>
        </w:rPr>
        <w:t>文件当日，未在国家企业信用信息公示系统（http://www.gsxt.gov.cn/）中被列入严重违法失信企业名单</w:t>
      </w:r>
      <w:r>
        <w:rPr>
          <w:rFonts w:hint="eastAsia" w:ascii="宋体" w:hAnsi="宋体" w:cs="宋体"/>
          <w:color w:val="auto"/>
          <w:sz w:val="22"/>
          <w:szCs w:val="22"/>
          <w:highlight w:val="none"/>
          <w:lang w:eastAsia="zh-CN"/>
        </w:rPr>
        <w:t>；</w:t>
      </w:r>
    </w:p>
    <w:p w14:paraId="701E30F8">
      <w:pPr>
        <w:keepNext w:val="0"/>
        <w:keepLines w:val="0"/>
        <w:pageBreakBefore w:val="0"/>
        <w:widowControl w:val="0"/>
        <w:kinsoku/>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提供网页截图</w:t>
      </w:r>
      <w:r>
        <w:rPr>
          <w:rFonts w:hint="eastAsia" w:ascii="宋体" w:hAnsi="宋体" w:cs="宋体"/>
          <w:b/>
          <w:color w:val="auto"/>
          <w:sz w:val="22"/>
          <w:szCs w:val="22"/>
          <w:highlight w:val="none"/>
          <w:lang w:eastAsia="zh-CN"/>
        </w:rPr>
        <w:t>）</w:t>
      </w:r>
    </w:p>
    <w:p w14:paraId="7047D020">
      <w:pPr>
        <w:spacing w:line="560" w:lineRule="exact"/>
        <w:rPr>
          <w:rFonts w:ascii="宋体" w:hAnsi="宋体" w:cs="宋体"/>
          <w:color w:val="auto"/>
          <w:szCs w:val="21"/>
          <w:highlight w:val="none"/>
        </w:rPr>
        <w:sectPr>
          <w:pgSz w:w="11907" w:h="16840"/>
          <w:pgMar w:top="1395" w:right="1395" w:bottom="1395" w:left="1395" w:header="851" w:footer="964" w:gutter="0"/>
          <w:pgNumType w:fmt="decimal"/>
          <w:cols w:space="720" w:num="1"/>
          <w:docGrid w:linePitch="312" w:charSpace="0"/>
        </w:sectPr>
      </w:pPr>
    </w:p>
    <w:bookmarkEnd w:id="164"/>
    <w:tbl>
      <w:tblPr>
        <w:tblStyle w:val="30"/>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66"/>
      </w:tblGrid>
      <w:tr w14:paraId="1B7EDA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69" w:hRule="atLeast"/>
          <w:jc w:val="center"/>
        </w:trPr>
        <w:tc>
          <w:tcPr>
            <w:tcW w:w="8766" w:type="dxa"/>
            <w:noWrap w:val="0"/>
            <w:vAlign w:val="top"/>
          </w:tcPr>
          <w:p w14:paraId="6A7AB9F1">
            <w:pPr>
              <w:jc w:val="right"/>
              <w:rPr>
                <w:rFonts w:ascii="宋体" w:hAnsi="宋体"/>
                <w:b/>
                <w:color w:val="auto"/>
                <w:spacing w:val="30"/>
                <w:sz w:val="32"/>
                <w:highlight w:val="none"/>
              </w:rPr>
            </w:pPr>
            <w:r>
              <w:rPr>
                <w:rFonts w:hint="eastAsia" w:ascii="宋体" w:hAnsi="宋体"/>
                <w:b/>
                <w:color w:val="auto"/>
                <w:spacing w:val="30"/>
                <w:sz w:val="32"/>
                <w:highlight w:val="none"/>
              </w:rPr>
              <w:t xml:space="preserve">　　　　　　　　　　　　　　 </w:t>
            </w:r>
          </w:p>
          <w:p w14:paraId="2DF08722">
            <w:pPr>
              <w:jc w:val="center"/>
              <w:rPr>
                <w:rFonts w:hint="eastAsia" w:ascii="宋体" w:hAnsi="宋体" w:eastAsia="宋体" w:cs="宋体"/>
                <w:b/>
                <w:color w:val="auto"/>
                <w:spacing w:val="30"/>
                <w:sz w:val="36"/>
                <w:szCs w:val="36"/>
                <w:highlight w:val="none"/>
                <w:lang w:eastAsia="zh-CN"/>
              </w:rPr>
            </w:pPr>
            <w:r>
              <w:rPr>
                <w:rFonts w:hint="eastAsia" w:ascii="宋体" w:hAnsi="宋体" w:cs="宋体"/>
                <w:b/>
                <w:color w:val="auto"/>
                <w:sz w:val="36"/>
                <w:szCs w:val="36"/>
                <w:highlight w:val="none"/>
                <w:lang w:eastAsia="zh-CN"/>
              </w:rPr>
              <w:t>通海港区-通州湾港区疏港航道双桥枢纽工程、新江海河船闸工程、新江海河段航道整治工程船艇设计服务项目THTZ-CTSJ1标段</w:t>
            </w:r>
          </w:p>
          <w:p w14:paraId="06CDA937">
            <w:pPr>
              <w:jc w:val="center"/>
              <w:rPr>
                <w:rFonts w:ascii="宋体" w:hAnsi="宋体"/>
                <w:b/>
                <w:color w:val="auto"/>
                <w:spacing w:val="30"/>
                <w:sz w:val="36"/>
                <w:highlight w:val="none"/>
              </w:rPr>
            </w:pPr>
          </w:p>
          <w:p w14:paraId="5B83569F">
            <w:pPr>
              <w:jc w:val="center"/>
              <w:rPr>
                <w:rFonts w:ascii="宋体" w:hAnsi="宋体"/>
                <w:b/>
                <w:color w:val="auto"/>
                <w:spacing w:val="30"/>
                <w:sz w:val="36"/>
                <w:highlight w:val="none"/>
              </w:rPr>
            </w:pPr>
          </w:p>
          <w:p w14:paraId="224C0235">
            <w:pPr>
              <w:jc w:val="center"/>
              <w:rPr>
                <w:rFonts w:ascii="宋体" w:hAnsi="宋体"/>
                <w:b/>
                <w:color w:val="auto"/>
                <w:spacing w:val="30"/>
                <w:sz w:val="36"/>
                <w:highlight w:val="none"/>
              </w:rPr>
            </w:pPr>
          </w:p>
          <w:p w14:paraId="5EC2B2C4">
            <w:pPr>
              <w:jc w:val="center"/>
              <w:rPr>
                <w:rFonts w:ascii="宋体" w:hAnsi="宋体"/>
                <w:b/>
                <w:color w:val="auto"/>
                <w:spacing w:val="30"/>
                <w:sz w:val="36"/>
                <w:highlight w:val="none"/>
              </w:rPr>
            </w:pPr>
          </w:p>
          <w:p w14:paraId="7A66C6E9">
            <w:pPr>
              <w:jc w:val="center"/>
              <w:rPr>
                <w:rFonts w:ascii="宋体" w:hAnsi="宋体"/>
                <w:b/>
                <w:color w:val="auto"/>
                <w:spacing w:val="30"/>
                <w:sz w:val="36"/>
                <w:highlight w:val="none"/>
              </w:rPr>
            </w:pPr>
          </w:p>
          <w:p w14:paraId="6567A9F3">
            <w:pPr>
              <w:jc w:val="center"/>
              <w:rPr>
                <w:rFonts w:ascii="宋体" w:hAnsi="宋体"/>
                <w:b/>
                <w:color w:val="auto"/>
                <w:spacing w:val="30"/>
                <w:sz w:val="36"/>
                <w:highlight w:val="none"/>
              </w:rPr>
            </w:pPr>
          </w:p>
          <w:p w14:paraId="73FD5241">
            <w:pPr>
              <w:spacing w:line="240" w:lineRule="auto"/>
              <w:jc w:val="center"/>
              <w:rPr>
                <w:rFonts w:hint="eastAsia" w:ascii="宋体" w:hAnsi="宋体" w:cs="宋体"/>
                <w:b/>
                <w:color w:val="auto"/>
                <w:sz w:val="72"/>
                <w:highlight w:val="none"/>
              </w:rPr>
            </w:pPr>
            <w:r>
              <w:rPr>
                <w:rFonts w:hint="eastAsia" w:ascii="宋体" w:hAnsi="宋体" w:cs="宋体"/>
                <w:b/>
                <w:color w:val="auto"/>
                <w:sz w:val="72"/>
                <w:highlight w:val="none"/>
              </w:rPr>
              <w:t>投  标  文  件</w:t>
            </w:r>
          </w:p>
          <w:p w14:paraId="401226F0">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第二个信封  报价文件</w:t>
            </w:r>
          </w:p>
          <w:p w14:paraId="6F5CD5CC">
            <w:pPr>
              <w:rPr>
                <w:rFonts w:hint="eastAsia" w:ascii="宋体" w:hAnsi="宋体" w:cs="宋体"/>
                <w:color w:val="auto"/>
                <w:highlight w:val="none"/>
              </w:rPr>
            </w:pPr>
          </w:p>
          <w:p w14:paraId="6F9B5D29">
            <w:pPr>
              <w:rPr>
                <w:rFonts w:hint="eastAsia" w:ascii="宋体" w:hAnsi="宋体" w:cs="宋体"/>
                <w:color w:val="auto"/>
                <w:highlight w:val="none"/>
              </w:rPr>
            </w:pPr>
          </w:p>
          <w:p w14:paraId="0A443FAB">
            <w:pPr>
              <w:rPr>
                <w:rFonts w:hint="eastAsia" w:ascii="宋体" w:hAnsi="宋体" w:cs="宋体"/>
                <w:color w:val="auto"/>
                <w:highlight w:val="none"/>
              </w:rPr>
            </w:pPr>
          </w:p>
          <w:p w14:paraId="29681C0F">
            <w:pPr>
              <w:rPr>
                <w:rFonts w:hint="eastAsia" w:ascii="宋体" w:hAnsi="宋体" w:cs="宋体"/>
                <w:color w:val="auto"/>
                <w:highlight w:val="none"/>
              </w:rPr>
            </w:pPr>
          </w:p>
          <w:p w14:paraId="7527CF98">
            <w:pPr>
              <w:rPr>
                <w:rFonts w:hint="eastAsia" w:ascii="宋体" w:hAnsi="宋体" w:cs="宋体"/>
                <w:color w:val="auto"/>
                <w:sz w:val="36"/>
                <w:highlight w:val="none"/>
              </w:rPr>
            </w:pPr>
          </w:p>
          <w:p w14:paraId="25303CFF">
            <w:pPr>
              <w:spacing w:line="360" w:lineRule="auto"/>
              <w:ind w:firstLine="2160" w:firstLineChars="600"/>
              <w:rPr>
                <w:rFonts w:hint="eastAsia" w:ascii="宋体" w:hAnsi="宋体" w:cs="宋体"/>
                <w:color w:val="auto"/>
                <w:sz w:val="36"/>
                <w:highlight w:val="none"/>
                <w:u w:val="single"/>
              </w:rPr>
            </w:pPr>
            <w:r>
              <w:rPr>
                <w:rFonts w:hint="eastAsia" w:ascii="宋体" w:hAnsi="宋体" w:cs="宋体"/>
                <w:color w:val="auto"/>
                <w:sz w:val="36"/>
                <w:highlight w:val="none"/>
              </w:rPr>
              <w:t>投 标 人：</w:t>
            </w:r>
            <w:r>
              <w:rPr>
                <w:rFonts w:hint="eastAsia" w:ascii="宋体" w:hAnsi="宋体" w:cs="宋体"/>
                <w:color w:val="auto"/>
                <w:sz w:val="36"/>
                <w:highlight w:val="none"/>
                <w:u w:val="single"/>
              </w:rPr>
              <w:t xml:space="preserve">   （盖单位章）   </w:t>
            </w:r>
          </w:p>
          <w:p w14:paraId="61E689A9">
            <w:pPr>
              <w:spacing w:line="360" w:lineRule="auto"/>
              <w:jc w:val="center"/>
              <w:rPr>
                <w:rFonts w:hint="eastAsia" w:ascii="宋体" w:hAnsi="宋体" w:cs="宋体"/>
                <w:b/>
                <w:color w:val="auto"/>
                <w:sz w:val="30"/>
                <w:highlight w:val="none"/>
              </w:rPr>
            </w:pPr>
            <w:r>
              <w:rPr>
                <w:rFonts w:hint="eastAsia" w:ascii="宋体" w:hAnsi="宋体" w:cs="宋体"/>
                <w:color w:val="auto"/>
                <w:sz w:val="36"/>
                <w:highlight w:val="none"/>
              </w:rPr>
              <w:t xml:space="preserve">  </w:t>
            </w:r>
            <w:r>
              <w:rPr>
                <w:rFonts w:hint="eastAsia" w:ascii="宋体" w:hAnsi="宋体" w:cs="宋体"/>
                <w:color w:val="auto"/>
                <w:sz w:val="36"/>
                <w:highlight w:val="none"/>
                <w:u w:val="single"/>
              </w:rPr>
              <w:t xml:space="preserve">     </w:t>
            </w:r>
            <w:r>
              <w:rPr>
                <w:rFonts w:hint="eastAsia" w:ascii="宋体" w:hAnsi="宋体" w:cs="宋体"/>
                <w:color w:val="auto"/>
                <w:sz w:val="36"/>
                <w:highlight w:val="none"/>
              </w:rPr>
              <w:t>年</w:t>
            </w:r>
            <w:r>
              <w:rPr>
                <w:rFonts w:hint="eastAsia" w:ascii="宋体" w:hAnsi="宋体" w:cs="宋体"/>
                <w:color w:val="auto"/>
                <w:sz w:val="36"/>
                <w:highlight w:val="none"/>
                <w:u w:val="single"/>
              </w:rPr>
              <w:t xml:space="preserve">     </w:t>
            </w:r>
            <w:r>
              <w:rPr>
                <w:rFonts w:hint="eastAsia" w:ascii="宋体" w:hAnsi="宋体" w:cs="宋体"/>
                <w:color w:val="auto"/>
                <w:sz w:val="36"/>
                <w:highlight w:val="none"/>
              </w:rPr>
              <w:t>月</w:t>
            </w:r>
          </w:p>
          <w:p w14:paraId="3B7AC7D0">
            <w:pPr>
              <w:ind w:firstLine="1686" w:firstLineChars="400"/>
              <w:rPr>
                <w:rFonts w:ascii="宋体" w:hAnsi="宋体"/>
                <w:b/>
                <w:color w:val="auto"/>
                <w:spacing w:val="30"/>
                <w:sz w:val="36"/>
                <w:highlight w:val="none"/>
              </w:rPr>
            </w:pPr>
          </w:p>
        </w:tc>
      </w:tr>
    </w:tbl>
    <w:p w14:paraId="0D4E55BC">
      <w:pPr>
        <w:pStyle w:val="13"/>
        <w:spacing w:line="400" w:lineRule="exact"/>
        <w:ind w:firstLine="472" w:firstLineChars="196"/>
        <w:rPr>
          <w:rFonts w:ascii="宋体" w:hAnsi="宋体" w:eastAsia="宋体"/>
          <w:b/>
          <w:bCs/>
          <w:color w:val="auto"/>
          <w:sz w:val="24"/>
          <w:szCs w:val="24"/>
          <w:highlight w:val="none"/>
        </w:rPr>
      </w:pPr>
    </w:p>
    <w:p w14:paraId="2017687F">
      <w:pPr>
        <w:spacing w:line="400" w:lineRule="exact"/>
        <w:jc w:val="center"/>
        <w:rPr>
          <w:rFonts w:hint="eastAsia" w:ascii="宋体" w:hAnsi="宋体" w:cs="宋体"/>
          <w:b/>
          <w:color w:val="auto"/>
          <w:szCs w:val="28"/>
          <w:highlight w:val="none"/>
        </w:rPr>
      </w:pPr>
      <w:r>
        <w:rPr>
          <w:color w:val="auto"/>
          <w:highlight w:val="none"/>
        </w:rPr>
        <w:br w:type="page"/>
      </w:r>
      <w:r>
        <w:rPr>
          <w:rFonts w:hint="eastAsia"/>
          <w:color w:val="auto"/>
          <w:highlight w:val="none"/>
        </w:rPr>
        <w:t>一、</w:t>
      </w:r>
      <w:r>
        <w:rPr>
          <w:rFonts w:hint="eastAsia" w:ascii="宋体" w:hAnsi="宋体" w:cs="宋体"/>
          <w:b/>
          <w:bCs/>
          <w:color w:val="auto"/>
          <w:szCs w:val="28"/>
          <w:highlight w:val="none"/>
        </w:rPr>
        <w:t>投标函</w:t>
      </w:r>
    </w:p>
    <w:p w14:paraId="7B06586F">
      <w:pPr>
        <w:spacing w:line="360" w:lineRule="auto"/>
        <w:rPr>
          <w:rFonts w:hint="eastAsia" w:ascii="宋体" w:hAnsi="宋体" w:cs="宋体"/>
          <w:bCs/>
          <w:color w:val="auto"/>
          <w:sz w:val="21"/>
          <w:szCs w:val="21"/>
          <w:highlight w:val="none"/>
        </w:rPr>
      </w:pPr>
    </w:p>
    <w:p w14:paraId="4494DB21">
      <w:pPr>
        <w:spacing w:line="360" w:lineRule="auto"/>
        <w:rPr>
          <w:rFonts w:hint="eastAsia" w:ascii="宋体" w:hAnsi="宋体" w:eastAsia="宋体" w:cs="宋体"/>
          <w:snapToGrid w:val="0"/>
          <w:color w:val="auto"/>
          <w:kern w:val="0"/>
          <w:sz w:val="21"/>
          <w:szCs w:val="21"/>
          <w:highlight w:val="none"/>
          <w:u w:val="single"/>
          <w:lang w:eastAsia="zh-CN"/>
        </w:rPr>
      </w:pPr>
      <w:r>
        <w:rPr>
          <w:rFonts w:hint="eastAsia" w:ascii="宋体" w:hAnsi="宋体" w:cs="宋体"/>
          <w:snapToGrid w:val="0"/>
          <w:color w:val="auto"/>
          <w:kern w:val="0"/>
          <w:sz w:val="21"/>
          <w:szCs w:val="21"/>
          <w:highlight w:val="none"/>
        </w:rPr>
        <w:t>致：</w:t>
      </w:r>
      <w:r>
        <w:rPr>
          <w:rFonts w:hint="eastAsia" w:ascii="宋体" w:hAnsi="宋体" w:cs="宋体"/>
          <w:snapToGrid w:val="0"/>
          <w:color w:val="auto"/>
          <w:kern w:val="0"/>
          <w:sz w:val="21"/>
          <w:szCs w:val="21"/>
          <w:highlight w:val="none"/>
          <w:u w:val="single"/>
          <w:lang w:eastAsia="zh-CN"/>
        </w:rPr>
        <w:t>南通市江海河联运项目建设指挥部</w:t>
      </w:r>
    </w:p>
    <w:p w14:paraId="1BEC434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1.在研究了</w:t>
      </w:r>
      <w:r>
        <w:rPr>
          <w:rFonts w:hint="eastAsia" w:ascii="宋体" w:hAnsi="宋体" w:cs="宋体"/>
          <w:color w:val="auto"/>
          <w:sz w:val="21"/>
          <w:szCs w:val="21"/>
          <w:highlight w:val="none"/>
          <w:u w:val="single"/>
          <w:lang w:eastAsia="zh-CN"/>
        </w:rPr>
        <w:t>通海港区-通州湾港区疏港航道双桥枢纽工程、新江海河船闸工程、新江海河段航道整治工程船艇设计服务项目THTZ-CTSJ1标段</w:t>
      </w:r>
      <w:r>
        <w:rPr>
          <w:rFonts w:hint="eastAsia" w:ascii="宋体" w:hAnsi="宋体" w:cs="宋体"/>
          <w:color w:val="auto"/>
          <w:sz w:val="21"/>
          <w:szCs w:val="21"/>
          <w:highlight w:val="none"/>
        </w:rPr>
        <w:t>招标文件的全部内容，（含补遗书第</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号至第</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号），愿意以人民币</w:t>
      </w:r>
      <w:r>
        <w:rPr>
          <w:rFonts w:hint="eastAsia" w:ascii="宋体" w:hAnsi="宋体" w:cs="宋体"/>
          <w:b/>
          <w:bCs/>
          <w:color w:val="auto"/>
          <w:sz w:val="21"/>
          <w:szCs w:val="21"/>
          <w:highlight w:val="none"/>
        </w:rPr>
        <w:t>（大写）</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元（￥</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的投标总报价，</w:t>
      </w:r>
      <w:r>
        <w:rPr>
          <w:rFonts w:hint="eastAsia" w:ascii="宋体" w:hAnsi="宋体" w:cs="宋体"/>
          <w:color w:val="auto"/>
          <w:sz w:val="21"/>
          <w:szCs w:val="21"/>
          <w:highlight w:val="none"/>
          <w:lang w:eastAsia="zh-CN"/>
        </w:rPr>
        <w:t>服务周期</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按招标文件要求</w:t>
      </w:r>
      <w:r>
        <w:rPr>
          <w:rFonts w:hint="eastAsia" w:ascii="宋体" w:hAnsi="宋体" w:cs="宋体"/>
          <w:color w:val="auto"/>
          <w:sz w:val="21"/>
          <w:szCs w:val="21"/>
          <w:highlight w:val="none"/>
        </w:rPr>
        <w:t>，按合同约定完成工作。</w:t>
      </w:r>
    </w:p>
    <w:p w14:paraId="43943B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2.我方的投标文件包括下列内容。</w:t>
      </w:r>
    </w:p>
    <w:p w14:paraId="5835177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27F4080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（2）法定代表人身份证明或授权委托书；</w:t>
      </w:r>
    </w:p>
    <w:p w14:paraId="17C6ADE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）投标保证金（如有）；</w:t>
      </w:r>
    </w:p>
    <w:p w14:paraId="44C5E59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）报价清单；</w:t>
      </w:r>
    </w:p>
    <w:p w14:paraId="2DD015C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）资格审查资料；</w:t>
      </w:r>
    </w:p>
    <w:p w14:paraId="268D41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）工作大纲；</w:t>
      </w:r>
    </w:p>
    <w:p w14:paraId="666F19B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200722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投标文件的上述组成部分如存在内容不一致的，以投标函为准。</w:t>
      </w:r>
    </w:p>
    <w:p w14:paraId="28E68B5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3．我方承诺在招标文件规定的投标有效期内不撤销投标文件。</w:t>
      </w:r>
    </w:p>
    <w:p w14:paraId="6EF7A3D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4．如我方中标，我方承诺：</w:t>
      </w:r>
    </w:p>
    <w:p w14:paraId="3D84FCA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（1）在收到中标通知书后，在中标通知书规定的期限内与你方签订合同；</w:t>
      </w:r>
    </w:p>
    <w:p w14:paraId="39E7BF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（2）在签订合同时不向你方提出附加条件；</w:t>
      </w:r>
    </w:p>
    <w:p w14:paraId="3E9480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（3）按照招标文件要求提交履约保证金；</w:t>
      </w:r>
    </w:p>
    <w:p w14:paraId="044E264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（4）在合同约定的期限内完成合同规定的全部义务。</w:t>
      </w:r>
    </w:p>
    <w:p w14:paraId="2CE1D71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5. </w:t>
      </w:r>
      <w:r>
        <w:rPr>
          <w:rFonts w:hint="eastAsia" w:ascii="宋体" w:hAnsi="宋体" w:cs="宋体"/>
          <w:bCs/>
          <w:color w:val="auto"/>
          <w:sz w:val="21"/>
          <w:szCs w:val="21"/>
          <w:highlight w:val="none"/>
        </w:rPr>
        <w:t>____________</w:t>
      </w:r>
      <w:r>
        <w:rPr>
          <w:rFonts w:hint="eastAsia" w:ascii="宋体" w:hAnsi="宋体" w:cs="宋体"/>
          <w:color w:val="auto"/>
          <w:sz w:val="21"/>
          <w:szCs w:val="21"/>
          <w:highlight w:val="none"/>
        </w:rPr>
        <w:t>（其他补充说明）。</w:t>
      </w:r>
    </w:p>
    <w:p w14:paraId="6093E30D">
      <w:pPr>
        <w:wordWrap w:val="0"/>
        <w:spacing w:line="360" w:lineRule="auto"/>
        <w:jc w:val="right"/>
        <w:rPr>
          <w:rFonts w:hint="eastAsia" w:ascii="宋体" w:hAnsi="宋体" w:cs="宋体"/>
          <w:color w:val="auto"/>
          <w:sz w:val="21"/>
          <w:szCs w:val="21"/>
          <w:highlight w:val="none"/>
        </w:rPr>
      </w:pPr>
    </w:p>
    <w:p w14:paraId="696BC542">
      <w:pPr>
        <w:spacing w:line="360" w:lineRule="auto"/>
        <w:ind w:firstLine="420" w:firstLineChars="200"/>
        <w:jc w:val="righ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（全称）（盖章）    </w:t>
      </w:r>
    </w:p>
    <w:p w14:paraId="3E546627">
      <w:pPr>
        <w:spacing w:line="360" w:lineRule="auto"/>
        <w:ind w:firstLine="420" w:firstLineChars="2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法定代表人或其授权代理人：</w:t>
      </w:r>
      <w:r>
        <w:rPr>
          <w:rFonts w:hint="eastAsia" w:ascii="宋体" w:hAnsi="宋体" w:cs="宋体"/>
          <w:color w:val="auto"/>
          <w:sz w:val="21"/>
          <w:szCs w:val="21"/>
          <w:highlight w:val="none"/>
          <w:u w:val="single"/>
        </w:rPr>
        <w:t xml:space="preserve">   （签字） </w:t>
      </w:r>
    </w:p>
    <w:p w14:paraId="6FC116EA">
      <w:pPr>
        <w:spacing w:line="360" w:lineRule="auto"/>
        <w:ind w:firstLine="420" w:firstLineChars="200"/>
        <w:jc w:val="right"/>
        <w:rPr>
          <w:rFonts w:hint="eastAsia" w:ascii="宋体" w:hAnsi="宋体" w:cs="宋体"/>
          <w:color w:val="auto"/>
          <w:sz w:val="21"/>
          <w:szCs w:val="21"/>
          <w:highlight w:val="none"/>
        </w:rPr>
        <w:sectPr>
          <w:pgSz w:w="11906" w:h="16838"/>
          <w:pgMar w:top="1361" w:right="1361" w:bottom="1361" w:left="1361" w:header="850" w:footer="964" w:gutter="170"/>
          <w:pgNumType w:fmt="decimal"/>
          <w:cols w:space="720" w:num="1"/>
          <w:docGrid w:linePitch="381" w:charSpace="0"/>
        </w:sectPr>
      </w:pPr>
      <w:r>
        <w:rPr>
          <w:rFonts w:hint="eastAsia" w:ascii="宋体" w:hAnsi="宋体" w:cs="宋体"/>
          <w:color w:val="auto"/>
          <w:sz w:val="21"/>
          <w:szCs w:val="21"/>
          <w:highlight w:val="none"/>
        </w:rPr>
        <w:t>日期：_____年___月___日</w:t>
      </w:r>
    </w:p>
    <w:p w14:paraId="7D6D3E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highlight w:val="none"/>
        </w:rPr>
      </w:pPr>
      <w:bookmarkStart w:id="165" w:name="_Toc392687717"/>
      <w:bookmarkStart w:id="166" w:name="_Toc398650416"/>
      <w:bookmarkStart w:id="167" w:name="_Toc370327504"/>
      <w:r>
        <w:rPr>
          <w:rFonts w:hint="eastAsia"/>
          <w:b/>
          <w:bCs/>
          <w:color w:val="auto"/>
          <w:highlight w:val="none"/>
        </w:rPr>
        <w:t>二、报价清单</w:t>
      </w:r>
      <w:bookmarkEnd w:id="165"/>
      <w:bookmarkEnd w:id="166"/>
      <w:bookmarkEnd w:id="167"/>
    </w:p>
    <w:tbl>
      <w:tblPr>
        <w:tblStyle w:val="30"/>
        <w:tblW w:w="5087" w:type="pct"/>
        <w:tblInd w:w="-171" w:type="dxa"/>
        <w:tblLayout w:type="fixed"/>
        <w:tblCellMar>
          <w:top w:w="0" w:type="dxa"/>
          <w:left w:w="108" w:type="dxa"/>
          <w:bottom w:w="0" w:type="dxa"/>
          <w:right w:w="108" w:type="dxa"/>
        </w:tblCellMar>
      </w:tblPr>
      <w:tblGrid>
        <w:gridCol w:w="1419"/>
        <w:gridCol w:w="4161"/>
        <w:gridCol w:w="1522"/>
        <w:gridCol w:w="2289"/>
      </w:tblGrid>
      <w:tr w14:paraId="3DF08424">
        <w:tblPrEx>
          <w:tblCellMar>
            <w:top w:w="0" w:type="dxa"/>
            <w:left w:w="108" w:type="dxa"/>
            <w:bottom w:w="0" w:type="dxa"/>
            <w:right w:w="108" w:type="dxa"/>
          </w:tblCellMar>
        </w:tblPrEx>
        <w:trPr>
          <w:trHeight w:val="268" w:hRule="atLeast"/>
        </w:trPr>
        <w:tc>
          <w:tcPr>
            <w:tcW w:w="755" w:type="pct"/>
            <w:tcBorders>
              <w:top w:val="single" w:color="000000" w:sz="4" w:space="0"/>
              <w:left w:val="single" w:color="000000" w:sz="4" w:space="0"/>
              <w:bottom w:val="single" w:color="000000" w:sz="4" w:space="0"/>
              <w:right w:val="single" w:color="000000" w:sz="4" w:space="0"/>
            </w:tcBorders>
            <w:noWrap w:val="0"/>
            <w:vAlign w:val="center"/>
          </w:tcPr>
          <w:p w14:paraId="75DD8E11">
            <w:pPr>
              <w:widowControl/>
              <w:spacing w:line="400" w:lineRule="exact"/>
              <w:jc w:val="center"/>
              <w:textAlignment w:val="center"/>
              <w:rPr>
                <w:rFonts w:hint="eastAsia" w:ascii="宋体" w:hAnsi="宋体" w:cs="宋体"/>
                <w:sz w:val="24"/>
                <w:highlight w:val="none"/>
              </w:rPr>
            </w:pPr>
            <w:r>
              <w:rPr>
                <w:rFonts w:hint="eastAsia" w:ascii="宋体" w:hAnsi="宋体" w:cs="宋体"/>
                <w:kern w:val="0"/>
                <w:sz w:val="24"/>
                <w:highlight w:val="none"/>
                <w:lang w:bidi="ar"/>
              </w:rPr>
              <w:t>序号</w:t>
            </w:r>
          </w:p>
        </w:tc>
        <w:tc>
          <w:tcPr>
            <w:tcW w:w="2215" w:type="pct"/>
            <w:tcBorders>
              <w:top w:val="single" w:color="000000" w:sz="4" w:space="0"/>
              <w:left w:val="single" w:color="000000" w:sz="4" w:space="0"/>
              <w:bottom w:val="single" w:color="000000" w:sz="4" w:space="0"/>
              <w:right w:val="nil"/>
            </w:tcBorders>
            <w:noWrap w:val="0"/>
            <w:vAlign w:val="center"/>
          </w:tcPr>
          <w:p w14:paraId="71380F1B">
            <w:pPr>
              <w:widowControl/>
              <w:spacing w:line="400" w:lineRule="exact"/>
              <w:jc w:val="center"/>
              <w:textAlignment w:val="center"/>
              <w:rPr>
                <w:rFonts w:hint="eastAsia" w:ascii="宋体" w:hAnsi="宋体" w:cs="宋体"/>
                <w:sz w:val="24"/>
                <w:highlight w:val="none"/>
              </w:rPr>
            </w:pPr>
            <w:r>
              <w:rPr>
                <w:rFonts w:hint="eastAsia" w:ascii="宋体" w:hAnsi="宋体" w:cs="宋体"/>
                <w:kern w:val="0"/>
                <w:sz w:val="24"/>
                <w:highlight w:val="none"/>
                <w:lang w:val="en-US" w:eastAsia="zh-CN" w:bidi="ar"/>
              </w:rPr>
              <w:t>设计</w:t>
            </w:r>
            <w:r>
              <w:rPr>
                <w:rFonts w:hint="eastAsia" w:ascii="宋体" w:hAnsi="宋体" w:cs="宋体"/>
                <w:kern w:val="0"/>
                <w:sz w:val="24"/>
                <w:highlight w:val="none"/>
                <w:lang w:bidi="ar"/>
              </w:rPr>
              <w:t>项目</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6F993132">
            <w:pPr>
              <w:widowControl/>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费用（元）</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0FC88E3">
            <w:pPr>
              <w:widowControl/>
              <w:spacing w:line="400" w:lineRule="exact"/>
              <w:jc w:val="center"/>
              <w:textAlignment w:val="center"/>
              <w:rPr>
                <w:rFonts w:hint="eastAsia" w:ascii="宋体" w:hAnsi="宋体" w:cs="宋体"/>
                <w:sz w:val="24"/>
                <w:highlight w:val="none"/>
              </w:rPr>
            </w:pPr>
            <w:r>
              <w:rPr>
                <w:rFonts w:hint="eastAsia" w:ascii="宋体" w:hAnsi="宋体" w:cs="宋体"/>
                <w:kern w:val="0"/>
                <w:sz w:val="24"/>
                <w:highlight w:val="none"/>
                <w:lang w:bidi="ar"/>
              </w:rPr>
              <w:t>备注</w:t>
            </w:r>
          </w:p>
        </w:tc>
      </w:tr>
      <w:tr w14:paraId="526FEAC9">
        <w:tblPrEx>
          <w:tblCellMar>
            <w:top w:w="0" w:type="dxa"/>
            <w:left w:w="108" w:type="dxa"/>
            <w:bottom w:w="0" w:type="dxa"/>
            <w:right w:w="108" w:type="dxa"/>
          </w:tblCellMar>
        </w:tblPrEx>
        <w:trPr>
          <w:trHeight w:val="834" w:hRule="atLeast"/>
        </w:trPr>
        <w:tc>
          <w:tcPr>
            <w:tcW w:w="755" w:type="pct"/>
            <w:tcBorders>
              <w:top w:val="single" w:color="000000" w:sz="4" w:space="0"/>
              <w:left w:val="single" w:color="000000" w:sz="4" w:space="0"/>
              <w:bottom w:val="single" w:color="000000" w:sz="4" w:space="0"/>
              <w:right w:val="single" w:color="000000" w:sz="4" w:space="0"/>
            </w:tcBorders>
            <w:noWrap/>
            <w:vAlign w:val="center"/>
          </w:tcPr>
          <w:p w14:paraId="004FEAA6">
            <w:pPr>
              <w:widowControl/>
              <w:spacing w:line="400" w:lineRule="exact"/>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一（=1）</w:t>
            </w:r>
          </w:p>
        </w:tc>
        <w:tc>
          <w:tcPr>
            <w:tcW w:w="2215" w:type="pct"/>
            <w:tcBorders>
              <w:top w:val="single" w:color="000000" w:sz="4" w:space="0"/>
              <w:left w:val="single" w:color="000000" w:sz="4" w:space="0"/>
              <w:bottom w:val="single" w:color="000000" w:sz="4" w:space="0"/>
              <w:right w:val="nil"/>
            </w:tcBorders>
            <w:noWrap/>
            <w:vAlign w:val="center"/>
          </w:tcPr>
          <w:p w14:paraId="7F2B08BA">
            <w:pPr>
              <w:widowControl/>
              <w:spacing w:line="400" w:lineRule="exact"/>
              <w:jc w:val="center"/>
              <w:textAlignment w:val="center"/>
              <w:rPr>
                <w:rFonts w:hint="eastAsia" w:ascii="宋体" w:hAnsi="宋体" w:cs="宋体"/>
                <w:b w:val="0"/>
                <w:bCs w:val="0"/>
                <w:kern w:val="0"/>
                <w:sz w:val="24"/>
                <w:highlight w:val="none"/>
                <w:lang w:eastAsia="zh-CN"/>
              </w:rPr>
            </w:pPr>
            <w:r>
              <w:rPr>
                <w:rFonts w:hint="eastAsia" w:ascii="宋体" w:hAnsi="宋体" w:cs="宋体"/>
                <w:b w:val="0"/>
                <w:bCs w:val="0"/>
                <w:kern w:val="0"/>
                <w:sz w:val="24"/>
                <w:highlight w:val="none"/>
                <w:lang w:eastAsia="zh-CN"/>
              </w:rPr>
              <w:t>通海港区-通州湾港区疏港航道双桥枢纽工程</w:t>
            </w:r>
          </w:p>
        </w:tc>
        <w:tc>
          <w:tcPr>
            <w:tcW w:w="810" w:type="pct"/>
            <w:tcBorders>
              <w:top w:val="single" w:color="000000" w:sz="4" w:space="0"/>
              <w:left w:val="single" w:color="000000" w:sz="4" w:space="0"/>
              <w:bottom w:val="single" w:color="000000" w:sz="4" w:space="0"/>
              <w:right w:val="single" w:color="000000" w:sz="4" w:space="0"/>
            </w:tcBorders>
            <w:noWrap/>
            <w:vAlign w:val="center"/>
          </w:tcPr>
          <w:p w14:paraId="67381213">
            <w:pPr>
              <w:widowControl/>
              <w:spacing w:line="400" w:lineRule="exact"/>
              <w:jc w:val="center"/>
              <w:textAlignment w:val="center"/>
              <w:rPr>
                <w:rFonts w:hint="eastAsia" w:ascii="宋体" w:hAnsi="宋体" w:cs="宋体"/>
                <w:sz w:val="24"/>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F70AD5D">
            <w:pPr>
              <w:widowControl/>
              <w:spacing w:line="400" w:lineRule="exact"/>
              <w:jc w:val="center"/>
              <w:textAlignment w:val="center"/>
              <w:rPr>
                <w:rFonts w:hint="eastAsia" w:ascii="宋体" w:hAnsi="宋体" w:cs="宋体"/>
                <w:sz w:val="24"/>
                <w:highlight w:val="none"/>
              </w:rPr>
            </w:pPr>
          </w:p>
        </w:tc>
      </w:tr>
      <w:tr w14:paraId="15C5EEEF">
        <w:tblPrEx>
          <w:tblCellMar>
            <w:top w:w="0" w:type="dxa"/>
            <w:left w:w="108" w:type="dxa"/>
            <w:bottom w:w="0" w:type="dxa"/>
            <w:right w:w="108" w:type="dxa"/>
          </w:tblCellMar>
        </w:tblPrEx>
        <w:trPr>
          <w:trHeight w:val="834" w:hRule="atLeast"/>
        </w:trPr>
        <w:tc>
          <w:tcPr>
            <w:tcW w:w="755" w:type="pct"/>
            <w:tcBorders>
              <w:top w:val="single" w:color="000000" w:sz="4" w:space="0"/>
              <w:left w:val="single" w:color="000000" w:sz="4" w:space="0"/>
              <w:bottom w:val="single" w:color="000000" w:sz="4" w:space="0"/>
              <w:right w:val="single" w:color="000000" w:sz="4" w:space="0"/>
            </w:tcBorders>
            <w:noWrap/>
            <w:vAlign w:val="center"/>
          </w:tcPr>
          <w:p w14:paraId="4FB1B4B0">
            <w:pPr>
              <w:widowControl/>
              <w:spacing w:line="400" w:lineRule="exact"/>
              <w:jc w:val="center"/>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bidi="ar"/>
              </w:rPr>
              <w:t>1</w:t>
            </w:r>
          </w:p>
        </w:tc>
        <w:tc>
          <w:tcPr>
            <w:tcW w:w="2215" w:type="pct"/>
            <w:tcBorders>
              <w:top w:val="single" w:color="000000" w:sz="4" w:space="0"/>
              <w:left w:val="single" w:color="000000" w:sz="4" w:space="0"/>
              <w:bottom w:val="single" w:color="000000" w:sz="4" w:space="0"/>
              <w:right w:val="nil"/>
            </w:tcBorders>
            <w:noWrap/>
            <w:vAlign w:val="center"/>
          </w:tcPr>
          <w:p w14:paraId="0E1BE5D3">
            <w:pPr>
              <w:widowControl/>
              <w:spacing w:line="400" w:lineRule="exact"/>
              <w:jc w:val="center"/>
              <w:textAlignment w:val="center"/>
              <w:rPr>
                <w:rFonts w:hint="default" w:ascii="宋体" w:hAnsi="宋体" w:eastAsia="宋体" w:cs="宋体"/>
                <w:b w:val="0"/>
                <w:bCs w:val="0"/>
                <w:sz w:val="24"/>
                <w:highlight w:val="none"/>
                <w:lang w:val="en-US" w:eastAsia="zh-CN"/>
              </w:rPr>
            </w:pPr>
            <w:r>
              <w:rPr>
                <w:rFonts w:hint="eastAsia" w:ascii="宋体" w:hAnsi="宋体" w:cs="宋体"/>
                <w:b w:val="0"/>
                <w:bCs w:val="0"/>
                <w:kern w:val="0"/>
                <w:sz w:val="24"/>
                <w:highlight w:val="none"/>
                <w:lang w:eastAsia="zh-CN"/>
              </w:rPr>
              <w:t>15米排档船</w:t>
            </w:r>
            <w:r>
              <w:rPr>
                <w:rFonts w:hint="eastAsia" w:ascii="宋体" w:hAnsi="宋体" w:cs="宋体"/>
                <w:b w:val="0"/>
                <w:bCs w:val="0"/>
                <w:kern w:val="0"/>
                <w:sz w:val="24"/>
                <w:highlight w:val="none"/>
                <w:lang w:val="en-US" w:eastAsia="zh-CN"/>
              </w:rPr>
              <w:t>2艘</w:t>
            </w:r>
          </w:p>
        </w:tc>
        <w:tc>
          <w:tcPr>
            <w:tcW w:w="810" w:type="pct"/>
            <w:tcBorders>
              <w:top w:val="single" w:color="000000" w:sz="4" w:space="0"/>
              <w:left w:val="single" w:color="000000" w:sz="4" w:space="0"/>
              <w:bottom w:val="single" w:color="000000" w:sz="4" w:space="0"/>
              <w:right w:val="single" w:color="000000" w:sz="4" w:space="0"/>
            </w:tcBorders>
            <w:noWrap/>
            <w:vAlign w:val="center"/>
          </w:tcPr>
          <w:p w14:paraId="7234F832">
            <w:pPr>
              <w:widowControl/>
              <w:spacing w:line="400" w:lineRule="exact"/>
              <w:jc w:val="center"/>
              <w:textAlignment w:val="center"/>
              <w:rPr>
                <w:rFonts w:hint="eastAsia" w:ascii="宋体" w:hAnsi="宋体" w:eastAsia="宋体" w:cs="宋体"/>
                <w:sz w:val="24"/>
                <w:highlight w:val="none"/>
                <w:lang w:val="en-US" w:eastAsia="zh-CN"/>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C26C057">
            <w:pPr>
              <w:widowControl/>
              <w:spacing w:line="400" w:lineRule="exact"/>
              <w:jc w:val="center"/>
              <w:textAlignment w:val="center"/>
              <w:rPr>
                <w:rFonts w:hint="eastAsia" w:ascii="宋体" w:hAnsi="宋体" w:cs="宋体"/>
                <w:sz w:val="24"/>
                <w:highlight w:val="none"/>
              </w:rPr>
            </w:pPr>
          </w:p>
        </w:tc>
      </w:tr>
      <w:tr w14:paraId="3AA7015D">
        <w:tblPrEx>
          <w:tblCellMar>
            <w:top w:w="0" w:type="dxa"/>
            <w:left w:w="108" w:type="dxa"/>
            <w:bottom w:w="0" w:type="dxa"/>
            <w:right w:w="108" w:type="dxa"/>
          </w:tblCellMar>
        </w:tblPrEx>
        <w:trPr>
          <w:trHeight w:val="834" w:hRule="atLeast"/>
        </w:trPr>
        <w:tc>
          <w:tcPr>
            <w:tcW w:w="755" w:type="pct"/>
            <w:tcBorders>
              <w:top w:val="single" w:color="000000" w:sz="4" w:space="0"/>
              <w:left w:val="single" w:color="000000" w:sz="4" w:space="0"/>
              <w:bottom w:val="single" w:color="000000" w:sz="4" w:space="0"/>
              <w:right w:val="single" w:color="000000" w:sz="4" w:space="0"/>
            </w:tcBorders>
            <w:noWrap/>
            <w:vAlign w:val="center"/>
          </w:tcPr>
          <w:p w14:paraId="6D49AD0B">
            <w:pPr>
              <w:widowControl/>
              <w:spacing w:line="400" w:lineRule="exact"/>
              <w:jc w:val="center"/>
              <w:textAlignment w:val="center"/>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二（=2）</w:t>
            </w:r>
          </w:p>
        </w:tc>
        <w:tc>
          <w:tcPr>
            <w:tcW w:w="2215" w:type="pct"/>
            <w:tcBorders>
              <w:top w:val="single" w:color="000000" w:sz="4" w:space="0"/>
              <w:left w:val="single" w:color="000000" w:sz="4" w:space="0"/>
              <w:bottom w:val="single" w:color="000000" w:sz="4" w:space="0"/>
              <w:right w:val="nil"/>
            </w:tcBorders>
            <w:noWrap/>
            <w:vAlign w:val="center"/>
          </w:tcPr>
          <w:p w14:paraId="2AAFA351">
            <w:pPr>
              <w:widowControl/>
              <w:spacing w:line="400" w:lineRule="exact"/>
              <w:jc w:val="center"/>
              <w:textAlignment w:val="center"/>
              <w:rPr>
                <w:rFonts w:hint="eastAsia" w:ascii="宋体" w:hAnsi="宋体" w:cs="宋体"/>
                <w:b w:val="0"/>
                <w:bCs w:val="0"/>
                <w:kern w:val="0"/>
                <w:sz w:val="24"/>
                <w:highlight w:val="none"/>
                <w:lang w:eastAsia="zh-CN"/>
              </w:rPr>
            </w:pPr>
            <w:r>
              <w:rPr>
                <w:rFonts w:hint="eastAsia" w:ascii="宋体" w:hAnsi="宋体" w:cs="宋体"/>
                <w:b w:val="0"/>
                <w:bCs w:val="0"/>
                <w:kern w:val="0"/>
                <w:sz w:val="24"/>
                <w:highlight w:val="none"/>
                <w:lang w:eastAsia="zh-CN"/>
              </w:rPr>
              <w:t>通海港区-通州湾港区疏港航道整治工程新江海河船闸工程</w:t>
            </w:r>
          </w:p>
        </w:tc>
        <w:tc>
          <w:tcPr>
            <w:tcW w:w="810" w:type="pct"/>
            <w:tcBorders>
              <w:top w:val="single" w:color="000000" w:sz="4" w:space="0"/>
              <w:left w:val="single" w:color="000000" w:sz="4" w:space="0"/>
              <w:bottom w:val="single" w:color="000000" w:sz="4" w:space="0"/>
              <w:right w:val="single" w:color="000000" w:sz="4" w:space="0"/>
            </w:tcBorders>
            <w:noWrap/>
            <w:vAlign w:val="center"/>
          </w:tcPr>
          <w:p w14:paraId="6BB34188">
            <w:pPr>
              <w:widowControl/>
              <w:spacing w:line="400" w:lineRule="exact"/>
              <w:jc w:val="center"/>
              <w:textAlignment w:val="center"/>
              <w:rPr>
                <w:rFonts w:hint="eastAsia" w:ascii="宋体" w:hAnsi="宋体" w:cs="宋体"/>
                <w:sz w:val="24"/>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41964EA">
            <w:pPr>
              <w:widowControl/>
              <w:spacing w:line="400" w:lineRule="exact"/>
              <w:jc w:val="center"/>
              <w:textAlignment w:val="center"/>
              <w:rPr>
                <w:rFonts w:hint="eastAsia" w:ascii="宋体" w:hAnsi="宋体" w:cs="宋体"/>
                <w:sz w:val="24"/>
                <w:highlight w:val="none"/>
              </w:rPr>
            </w:pPr>
          </w:p>
        </w:tc>
      </w:tr>
      <w:tr w14:paraId="2855C460">
        <w:tblPrEx>
          <w:tblCellMar>
            <w:top w:w="0" w:type="dxa"/>
            <w:left w:w="108" w:type="dxa"/>
            <w:bottom w:w="0" w:type="dxa"/>
            <w:right w:w="108" w:type="dxa"/>
          </w:tblCellMar>
        </w:tblPrEx>
        <w:trPr>
          <w:trHeight w:val="834" w:hRule="atLeast"/>
        </w:trPr>
        <w:tc>
          <w:tcPr>
            <w:tcW w:w="755" w:type="pct"/>
            <w:tcBorders>
              <w:top w:val="single" w:color="000000" w:sz="4" w:space="0"/>
              <w:left w:val="single" w:color="000000" w:sz="4" w:space="0"/>
              <w:bottom w:val="single" w:color="000000" w:sz="4" w:space="0"/>
              <w:right w:val="single" w:color="000000" w:sz="4" w:space="0"/>
            </w:tcBorders>
            <w:noWrap/>
            <w:vAlign w:val="center"/>
          </w:tcPr>
          <w:p w14:paraId="623A452F">
            <w:pPr>
              <w:widowControl/>
              <w:spacing w:line="400" w:lineRule="exact"/>
              <w:jc w:val="center"/>
              <w:textAlignment w:val="center"/>
              <w:rPr>
                <w:rFonts w:hint="default"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2</w:t>
            </w:r>
          </w:p>
        </w:tc>
        <w:tc>
          <w:tcPr>
            <w:tcW w:w="2215" w:type="pct"/>
            <w:tcBorders>
              <w:top w:val="single" w:color="000000" w:sz="4" w:space="0"/>
              <w:left w:val="single" w:color="000000" w:sz="4" w:space="0"/>
              <w:bottom w:val="single" w:color="000000" w:sz="4" w:space="0"/>
              <w:right w:val="nil"/>
            </w:tcBorders>
            <w:noWrap/>
            <w:vAlign w:val="center"/>
          </w:tcPr>
          <w:p w14:paraId="700F69DD">
            <w:pPr>
              <w:widowControl/>
              <w:spacing w:line="400" w:lineRule="exact"/>
              <w:jc w:val="center"/>
              <w:textAlignment w:val="center"/>
              <w:rPr>
                <w:rFonts w:hint="eastAsia" w:ascii="宋体" w:hAnsi="宋体" w:cs="宋体"/>
                <w:b w:val="0"/>
                <w:bCs w:val="0"/>
                <w:kern w:val="0"/>
                <w:sz w:val="24"/>
                <w:highlight w:val="none"/>
                <w:lang w:eastAsia="zh-CN"/>
              </w:rPr>
            </w:pPr>
            <w:r>
              <w:rPr>
                <w:rFonts w:hint="eastAsia" w:ascii="宋体" w:hAnsi="宋体" w:cs="宋体"/>
                <w:b w:val="0"/>
                <w:bCs w:val="0"/>
                <w:kern w:val="0"/>
                <w:sz w:val="24"/>
                <w:highlight w:val="none"/>
                <w:lang w:eastAsia="zh-CN"/>
              </w:rPr>
              <w:t>15米排档船</w:t>
            </w:r>
            <w:r>
              <w:rPr>
                <w:rFonts w:hint="eastAsia" w:ascii="宋体" w:hAnsi="宋体" w:cs="宋体"/>
                <w:b w:val="0"/>
                <w:bCs w:val="0"/>
                <w:kern w:val="0"/>
                <w:sz w:val="24"/>
                <w:highlight w:val="none"/>
                <w:lang w:val="en-US" w:eastAsia="zh-CN"/>
              </w:rPr>
              <w:t>1</w:t>
            </w:r>
            <w:r>
              <w:rPr>
                <w:rFonts w:hint="eastAsia" w:ascii="宋体" w:hAnsi="宋体" w:cs="宋体"/>
                <w:b w:val="0"/>
                <w:bCs w:val="0"/>
                <w:kern w:val="0"/>
                <w:sz w:val="24"/>
                <w:highlight w:val="none"/>
                <w:lang w:eastAsia="zh-CN"/>
              </w:rPr>
              <w:t>艘</w:t>
            </w:r>
          </w:p>
        </w:tc>
        <w:tc>
          <w:tcPr>
            <w:tcW w:w="810" w:type="pct"/>
            <w:tcBorders>
              <w:top w:val="single" w:color="000000" w:sz="4" w:space="0"/>
              <w:left w:val="single" w:color="000000" w:sz="4" w:space="0"/>
              <w:bottom w:val="single" w:color="000000" w:sz="4" w:space="0"/>
              <w:right w:val="single" w:color="000000" w:sz="4" w:space="0"/>
            </w:tcBorders>
            <w:noWrap/>
            <w:vAlign w:val="center"/>
          </w:tcPr>
          <w:p w14:paraId="32E46604">
            <w:pPr>
              <w:widowControl/>
              <w:spacing w:line="400" w:lineRule="exact"/>
              <w:jc w:val="center"/>
              <w:textAlignment w:val="center"/>
              <w:rPr>
                <w:rFonts w:hint="eastAsia" w:ascii="宋体" w:hAnsi="宋体" w:cs="宋体"/>
                <w:sz w:val="24"/>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D46E9D3">
            <w:pPr>
              <w:widowControl/>
              <w:spacing w:line="400" w:lineRule="exact"/>
              <w:jc w:val="center"/>
              <w:textAlignment w:val="center"/>
              <w:rPr>
                <w:rFonts w:hint="eastAsia" w:ascii="宋体" w:hAnsi="宋体" w:cs="宋体"/>
                <w:sz w:val="24"/>
                <w:highlight w:val="none"/>
              </w:rPr>
            </w:pPr>
          </w:p>
        </w:tc>
      </w:tr>
      <w:tr w14:paraId="79304516">
        <w:tblPrEx>
          <w:tblCellMar>
            <w:top w:w="0" w:type="dxa"/>
            <w:left w:w="108" w:type="dxa"/>
            <w:bottom w:w="0" w:type="dxa"/>
            <w:right w:w="108" w:type="dxa"/>
          </w:tblCellMar>
        </w:tblPrEx>
        <w:trPr>
          <w:trHeight w:val="834" w:hRule="atLeast"/>
        </w:trPr>
        <w:tc>
          <w:tcPr>
            <w:tcW w:w="755" w:type="pct"/>
            <w:tcBorders>
              <w:top w:val="single" w:color="000000" w:sz="4" w:space="0"/>
              <w:left w:val="single" w:color="000000" w:sz="4" w:space="0"/>
              <w:bottom w:val="single" w:color="000000" w:sz="4" w:space="0"/>
              <w:right w:val="single" w:color="000000" w:sz="4" w:space="0"/>
            </w:tcBorders>
            <w:noWrap/>
            <w:vAlign w:val="center"/>
          </w:tcPr>
          <w:p w14:paraId="028DFB8B">
            <w:pPr>
              <w:widowControl/>
              <w:spacing w:line="400" w:lineRule="exact"/>
              <w:jc w:val="center"/>
              <w:textAlignment w:val="center"/>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三（=3）</w:t>
            </w:r>
          </w:p>
        </w:tc>
        <w:tc>
          <w:tcPr>
            <w:tcW w:w="2215" w:type="pct"/>
            <w:tcBorders>
              <w:top w:val="single" w:color="000000" w:sz="4" w:space="0"/>
              <w:left w:val="single" w:color="000000" w:sz="4" w:space="0"/>
              <w:bottom w:val="single" w:color="000000" w:sz="4" w:space="0"/>
              <w:right w:val="nil"/>
            </w:tcBorders>
            <w:noWrap/>
            <w:vAlign w:val="center"/>
          </w:tcPr>
          <w:p w14:paraId="40C1E9CF">
            <w:pPr>
              <w:widowControl/>
              <w:spacing w:line="400" w:lineRule="exact"/>
              <w:jc w:val="center"/>
              <w:textAlignment w:val="center"/>
              <w:rPr>
                <w:rFonts w:hint="eastAsia" w:ascii="宋体" w:hAnsi="宋体" w:cs="宋体"/>
                <w:b w:val="0"/>
                <w:bCs w:val="0"/>
                <w:kern w:val="0"/>
                <w:sz w:val="24"/>
                <w:highlight w:val="none"/>
                <w:lang w:eastAsia="zh-CN"/>
              </w:rPr>
            </w:pPr>
            <w:r>
              <w:rPr>
                <w:rFonts w:hint="eastAsia" w:ascii="宋体" w:hAnsi="宋体" w:cs="宋体"/>
                <w:b w:val="0"/>
                <w:bCs w:val="0"/>
                <w:kern w:val="0"/>
                <w:sz w:val="24"/>
                <w:highlight w:val="none"/>
                <w:lang w:eastAsia="zh-CN"/>
              </w:rPr>
              <w:t>通海港区-通州湾港区疏港航道新江海河段航道整治工程</w:t>
            </w:r>
          </w:p>
        </w:tc>
        <w:tc>
          <w:tcPr>
            <w:tcW w:w="810" w:type="pct"/>
            <w:tcBorders>
              <w:top w:val="single" w:color="000000" w:sz="4" w:space="0"/>
              <w:left w:val="single" w:color="000000" w:sz="4" w:space="0"/>
              <w:bottom w:val="single" w:color="000000" w:sz="4" w:space="0"/>
              <w:right w:val="single" w:color="000000" w:sz="4" w:space="0"/>
            </w:tcBorders>
            <w:noWrap/>
            <w:vAlign w:val="center"/>
          </w:tcPr>
          <w:p w14:paraId="70163CC7">
            <w:pPr>
              <w:widowControl/>
              <w:spacing w:line="400" w:lineRule="exact"/>
              <w:jc w:val="center"/>
              <w:textAlignment w:val="center"/>
              <w:rPr>
                <w:rFonts w:hint="eastAsia" w:ascii="宋体" w:hAnsi="宋体" w:cs="宋体"/>
                <w:sz w:val="24"/>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5EA8283">
            <w:pPr>
              <w:widowControl/>
              <w:spacing w:line="400" w:lineRule="exact"/>
              <w:jc w:val="center"/>
              <w:textAlignment w:val="center"/>
              <w:rPr>
                <w:rFonts w:hint="eastAsia" w:ascii="宋体" w:hAnsi="宋体" w:cs="宋体"/>
                <w:sz w:val="24"/>
                <w:highlight w:val="none"/>
              </w:rPr>
            </w:pPr>
          </w:p>
        </w:tc>
      </w:tr>
      <w:tr w14:paraId="15F7D423">
        <w:tblPrEx>
          <w:tblCellMar>
            <w:top w:w="0" w:type="dxa"/>
            <w:left w:w="108" w:type="dxa"/>
            <w:bottom w:w="0" w:type="dxa"/>
            <w:right w:w="108" w:type="dxa"/>
          </w:tblCellMar>
        </w:tblPrEx>
        <w:trPr>
          <w:trHeight w:val="834" w:hRule="atLeast"/>
        </w:trPr>
        <w:tc>
          <w:tcPr>
            <w:tcW w:w="755" w:type="pct"/>
            <w:tcBorders>
              <w:top w:val="single" w:color="000000" w:sz="4" w:space="0"/>
              <w:left w:val="single" w:color="000000" w:sz="4" w:space="0"/>
              <w:bottom w:val="single" w:color="000000" w:sz="4" w:space="0"/>
              <w:right w:val="single" w:color="000000" w:sz="4" w:space="0"/>
            </w:tcBorders>
            <w:noWrap/>
            <w:vAlign w:val="center"/>
          </w:tcPr>
          <w:p w14:paraId="6F68C05A">
            <w:pPr>
              <w:widowControl/>
              <w:spacing w:line="400" w:lineRule="exact"/>
              <w:jc w:val="center"/>
              <w:textAlignment w:val="center"/>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3</w:t>
            </w:r>
          </w:p>
        </w:tc>
        <w:tc>
          <w:tcPr>
            <w:tcW w:w="2215" w:type="pct"/>
            <w:tcBorders>
              <w:top w:val="single" w:color="000000" w:sz="4" w:space="0"/>
              <w:left w:val="single" w:color="000000" w:sz="4" w:space="0"/>
              <w:bottom w:val="single" w:color="000000" w:sz="4" w:space="0"/>
              <w:right w:val="nil"/>
            </w:tcBorders>
            <w:noWrap/>
            <w:vAlign w:val="center"/>
          </w:tcPr>
          <w:p w14:paraId="3CFA840B">
            <w:pPr>
              <w:widowControl/>
              <w:spacing w:line="400" w:lineRule="exact"/>
              <w:jc w:val="center"/>
              <w:textAlignment w:val="center"/>
              <w:rPr>
                <w:rFonts w:hint="eastAsia" w:ascii="宋体" w:hAnsi="宋体" w:cs="宋体"/>
                <w:b w:val="0"/>
                <w:bCs w:val="0"/>
                <w:kern w:val="0"/>
                <w:sz w:val="24"/>
                <w:highlight w:val="none"/>
                <w:lang w:eastAsia="zh-CN"/>
              </w:rPr>
            </w:pPr>
            <w:r>
              <w:rPr>
                <w:rFonts w:hint="eastAsia" w:ascii="宋体" w:hAnsi="宋体" w:cs="宋体"/>
                <w:b w:val="0"/>
                <w:bCs w:val="0"/>
                <w:kern w:val="0"/>
                <w:sz w:val="24"/>
                <w:highlight w:val="none"/>
                <w:lang w:eastAsia="zh-CN"/>
              </w:rPr>
              <w:t>17米工作保障船1艘</w:t>
            </w:r>
          </w:p>
        </w:tc>
        <w:tc>
          <w:tcPr>
            <w:tcW w:w="810" w:type="pct"/>
            <w:tcBorders>
              <w:top w:val="single" w:color="000000" w:sz="4" w:space="0"/>
              <w:left w:val="single" w:color="000000" w:sz="4" w:space="0"/>
              <w:bottom w:val="single" w:color="000000" w:sz="4" w:space="0"/>
              <w:right w:val="single" w:color="000000" w:sz="4" w:space="0"/>
            </w:tcBorders>
            <w:noWrap/>
            <w:vAlign w:val="center"/>
          </w:tcPr>
          <w:p w14:paraId="5B825594">
            <w:pPr>
              <w:widowControl/>
              <w:spacing w:line="400" w:lineRule="exact"/>
              <w:jc w:val="center"/>
              <w:textAlignment w:val="center"/>
              <w:rPr>
                <w:rFonts w:hint="eastAsia" w:ascii="宋体" w:hAnsi="宋体" w:cs="宋体"/>
                <w:sz w:val="24"/>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B08C8D9">
            <w:pPr>
              <w:widowControl/>
              <w:spacing w:line="400" w:lineRule="exact"/>
              <w:jc w:val="center"/>
              <w:textAlignment w:val="center"/>
              <w:rPr>
                <w:rFonts w:hint="eastAsia" w:ascii="宋体" w:hAnsi="宋体" w:cs="宋体"/>
                <w:sz w:val="24"/>
                <w:highlight w:val="none"/>
              </w:rPr>
            </w:pPr>
          </w:p>
        </w:tc>
      </w:tr>
      <w:tr w14:paraId="631CAD09">
        <w:tblPrEx>
          <w:tblCellMar>
            <w:top w:w="0" w:type="dxa"/>
            <w:left w:w="108" w:type="dxa"/>
            <w:bottom w:w="0" w:type="dxa"/>
            <w:right w:w="108" w:type="dxa"/>
          </w:tblCellMar>
        </w:tblPrEx>
        <w:trPr>
          <w:trHeight w:val="331" w:hRule="atLeast"/>
        </w:trPr>
        <w:tc>
          <w:tcPr>
            <w:tcW w:w="2970" w:type="pct"/>
            <w:gridSpan w:val="2"/>
            <w:tcBorders>
              <w:top w:val="single" w:color="000000" w:sz="4" w:space="0"/>
              <w:left w:val="single" w:color="000000" w:sz="4" w:space="0"/>
              <w:bottom w:val="single" w:color="000000" w:sz="4" w:space="0"/>
              <w:right w:val="single" w:color="000000" w:sz="4" w:space="0"/>
            </w:tcBorders>
            <w:noWrap/>
            <w:vAlign w:val="center"/>
          </w:tcPr>
          <w:p w14:paraId="3202137D">
            <w:pPr>
              <w:spacing w:line="400" w:lineRule="exact"/>
              <w:jc w:val="center"/>
              <w:rPr>
                <w:rFonts w:hint="eastAsia" w:ascii="宋体" w:hAnsi="宋体" w:eastAsia="宋体" w:cs="宋体"/>
                <w:sz w:val="24"/>
                <w:highlight w:val="none"/>
                <w:lang w:eastAsia="zh-CN"/>
              </w:rPr>
            </w:pPr>
            <w:r>
              <w:rPr>
                <w:rFonts w:hint="eastAsia" w:ascii="宋体" w:hAnsi="宋体" w:cs="宋体"/>
                <w:kern w:val="0"/>
                <w:sz w:val="24"/>
                <w:highlight w:val="none"/>
                <w:lang w:bidi="ar"/>
              </w:rPr>
              <w:t>合计</w:t>
            </w:r>
            <w:r>
              <w:rPr>
                <w:rFonts w:hint="eastAsia" w:ascii="宋体" w:hAnsi="宋体" w:cs="宋体"/>
                <w:kern w:val="0"/>
                <w:sz w:val="24"/>
                <w:highlight w:val="none"/>
                <w:lang w:eastAsia="zh-CN" w:bidi="ar"/>
              </w:rPr>
              <w:t>（</w:t>
            </w:r>
            <w:r>
              <w:rPr>
                <w:rFonts w:hint="eastAsia" w:ascii="宋体" w:hAnsi="宋体" w:cs="宋体"/>
                <w:kern w:val="0"/>
                <w:sz w:val="24"/>
                <w:highlight w:val="none"/>
                <w:lang w:val="en-US" w:eastAsia="zh-CN" w:bidi="ar"/>
              </w:rPr>
              <w:t>一+二+三</w:t>
            </w:r>
            <w:r>
              <w:rPr>
                <w:rFonts w:hint="eastAsia" w:ascii="宋体" w:hAnsi="宋体" w:cs="宋体"/>
                <w:kern w:val="0"/>
                <w:sz w:val="24"/>
                <w:highlight w:val="none"/>
                <w:lang w:eastAsia="zh-CN" w:bidi="ar"/>
              </w:rPr>
              <w:t>）</w:t>
            </w:r>
          </w:p>
        </w:tc>
        <w:tc>
          <w:tcPr>
            <w:tcW w:w="810" w:type="pct"/>
            <w:tcBorders>
              <w:top w:val="single" w:color="000000" w:sz="4" w:space="0"/>
              <w:left w:val="single" w:color="000000" w:sz="4" w:space="0"/>
              <w:bottom w:val="single" w:color="000000" w:sz="4" w:space="0"/>
              <w:right w:val="single" w:color="000000" w:sz="4" w:space="0"/>
            </w:tcBorders>
            <w:noWrap/>
            <w:vAlign w:val="center"/>
          </w:tcPr>
          <w:p w14:paraId="2785AD98">
            <w:pPr>
              <w:widowControl/>
              <w:spacing w:line="400" w:lineRule="exact"/>
              <w:jc w:val="center"/>
              <w:textAlignment w:val="center"/>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元</w:t>
            </w:r>
          </w:p>
        </w:tc>
        <w:tc>
          <w:tcPr>
            <w:tcW w:w="1218" w:type="pct"/>
            <w:tcBorders>
              <w:top w:val="single" w:color="000000" w:sz="4" w:space="0"/>
              <w:left w:val="single" w:color="000000" w:sz="4" w:space="0"/>
              <w:bottom w:val="single" w:color="000000" w:sz="4" w:space="0"/>
              <w:right w:val="single" w:color="000000" w:sz="4" w:space="0"/>
            </w:tcBorders>
            <w:noWrap/>
            <w:vAlign w:val="center"/>
          </w:tcPr>
          <w:p w14:paraId="5E6FE468">
            <w:pPr>
              <w:widowControl/>
              <w:spacing w:line="400" w:lineRule="exact"/>
              <w:jc w:val="center"/>
              <w:textAlignment w:val="center"/>
              <w:rPr>
                <w:rFonts w:hint="eastAsia" w:ascii="宋体" w:hAnsi="宋体" w:cs="宋体"/>
                <w:sz w:val="24"/>
                <w:highlight w:val="none"/>
              </w:rPr>
            </w:pPr>
            <w:r>
              <w:rPr>
                <w:rFonts w:hint="eastAsia" w:ascii="宋体" w:hAnsi="宋体" w:cs="宋体"/>
                <w:b/>
                <w:bCs/>
                <w:sz w:val="24"/>
                <w:highlight w:val="none"/>
              </w:rPr>
              <w:t>转入</w:t>
            </w:r>
            <w:r>
              <w:rPr>
                <w:rFonts w:hint="eastAsia" w:ascii="宋体" w:hAnsi="宋体" w:cs="宋体"/>
                <w:b/>
                <w:bCs/>
                <w:sz w:val="24"/>
                <w:highlight w:val="none"/>
                <w:lang w:val="en-US" w:eastAsia="zh-CN"/>
              </w:rPr>
              <w:t>投标</w:t>
            </w:r>
            <w:r>
              <w:rPr>
                <w:rFonts w:hint="eastAsia" w:ascii="宋体" w:hAnsi="宋体" w:cs="宋体"/>
                <w:b/>
                <w:bCs/>
                <w:sz w:val="24"/>
                <w:highlight w:val="none"/>
              </w:rPr>
              <w:t>函</w:t>
            </w:r>
          </w:p>
        </w:tc>
      </w:tr>
    </w:tbl>
    <w:p w14:paraId="3DF07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highlight w:val="none"/>
        </w:rPr>
      </w:pPr>
    </w:p>
    <w:p w14:paraId="754EA18C">
      <w:pPr>
        <w:pStyle w:val="3"/>
        <w:keepNext/>
        <w:keepLines/>
        <w:pageBreakBefore w:val="0"/>
        <w:widowControl w:val="0"/>
        <w:kinsoku/>
        <w:wordWrap/>
        <w:overflowPunct/>
        <w:topLinePunct w:val="0"/>
        <w:autoSpaceDE/>
        <w:autoSpaceDN/>
        <w:bidi w:val="0"/>
        <w:adjustRightInd/>
        <w:snapToGrid/>
        <w:spacing w:before="157" w:beforeLines="50" w:after="0" w:line="360" w:lineRule="auto"/>
        <w:jc w:val="lef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eastAsia="zh-CN"/>
        </w:rPr>
        <w:t>1.本表“投标总价”转入投标函中。</w:t>
      </w:r>
    </w:p>
    <w:p w14:paraId="3817B634">
      <w:pPr>
        <w:pStyle w:val="3"/>
        <w:keepNext/>
        <w:keepLines/>
        <w:pageBreakBefore w:val="0"/>
        <w:widowControl w:val="0"/>
        <w:kinsoku/>
        <w:wordWrap/>
        <w:overflowPunct/>
        <w:topLinePunct w:val="0"/>
        <w:autoSpaceDE/>
        <w:autoSpaceDN/>
        <w:bidi w:val="0"/>
        <w:adjustRightInd/>
        <w:snapToGrid/>
        <w:spacing w:before="157" w:beforeLines="50" w:after="0" w:line="360" w:lineRule="auto"/>
        <w:jc w:val="left"/>
        <w:textAlignment w:val="auto"/>
        <w:rPr>
          <w:rFonts w:hint="eastAsia" w:ascii="宋体" w:hAnsi="宋体" w:cs="宋体"/>
          <w:bCs w:val="0"/>
          <w:color w:val="auto"/>
          <w:sz w:val="24"/>
          <w:szCs w:val="24"/>
          <w:highlight w:val="none"/>
        </w:rPr>
      </w:pPr>
      <w:r>
        <w:rPr>
          <w:rFonts w:hint="eastAsia" w:ascii="宋体" w:hAnsi="宋体" w:cs="宋体"/>
          <w:b/>
          <w:bCs/>
          <w:color w:val="auto"/>
          <w:sz w:val="24"/>
          <w:szCs w:val="24"/>
          <w:highlight w:val="none"/>
          <w:lang w:eastAsia="zh-CN"/>
        </w:rPr>
        <w:t>2.详细费用计算清单及说明的格式由投标人自列。</w:t>
      </w:r>
      <w:r>
        <w:rPr>
          <w:rFonts w:hint="eastAsia" w:ascii="宋体" w:hAnsi="宋体" w:cs="宋体"/>
          <w:bCs w:val="0"/>
          <w:color w:val="auto"/>
          <w:sz w:val="24"/>
          <w:szCs w:val="24"/>
          <w:highlight w:val="none"/>
        </w:rPr>
        <w:t xml:space="preserve">                                             </w:t>
      </w:r>
    </w:p>
    <w:p w14:paraId="54629BA9">
      <w:pPr>
        <w:pStyle w:val="3"/>
        <w:jc w:val="right"/>
        <w:rPr>
          <w:rFonts w:hint="eastAsia" w:ascii="宋体" w:hAnsi="宋体" w:cs="宋体"/>
          <w:bCs w:val="0"/>
          <w:color w:val="auto"/>
          <w:sz w:val="22"/>
          <w:szCs w:val="22"/>
          <w:highlight w:val="none"/>
        </w:rPr>
      </w:pPr>
      <w:r>
        <w:rPr>
          <w:rFonts w:hint="eastAsia" w:ascii="宋体" w:hAnsi="宋体" w:cs="宋体"/>
          <w:bCs w:val="0"/>
          <w:color w:val="auto"/>
          <w:sz w:val="22"/>
          <w:szCs w:val="22"/>
          <w:highlight w:val="none"/>
          <w:lang w:val="en-US" w:eastAsia="zh-CN"/>
        </w:rPr>
        <w:t>投标人</w:t>
      </w:r>
      <w:r>
        <w:rPr>
          <w:rFonts w:hint="eastAsia" w:ascii="宋体" w:hAnsi="宋体" w:cs="宋体"/>
          <w:bCs w:val="0"/>
          <w:color w:val="auto"/>
          <w:sz w:val="22"/>
          <w:szCs w:val="22"/>
          <w:highlight w:val="none"/>
        </w:rPr>
        <w:t>：</w:t>
      </w:r>
      <w:r>
        <w:rPr>
          <w:rFonts w:hint="eastAsia" w:ascii="宋体" w:hAnsi="宋体" w:cs="宋体"/>
          <w:bCs w:val="0"/>
          <w:color w:val="auto"/>
          <w:sz w:val="22"/>
          <w:szCs w:val="22"/>
          <w:highlight w:val="none"/>
          <w:u w:val="single"/>
          <w:lang w:val="en-US" w:eastAsia="zh-CN"/>
        </w:rPr>
        <w:t xml:space="preserve">          </w:t>
      </w:r>
      <w:r>
        <w:rPr>
          <w:rFonts w:hint="eastAsia" w:ascii="宋体" w:hAnsi="宋体" w:cs="宋体"/>
          <w:bCs w:val="0"/>
          <w:color w:val="auto"/>
          <w:sz w:val="22"/>
          <w:szCs w:val="22"/>
          <w:highlight w:val="none"/>
        </w:rPr>
        <w:t>（公章）</w:t>
      </w:r>
    </w:p>
    <w:p w14:paraId="018066EE">
      <w:pPr>
        <w:pStyle w:val="3"/>
        <w:jc w:val="right"/>
        <w:rPr>
          <w:rFonts w:hint="default" w:ascii="宋体" w:hAnsi="宋体" w:eastAsia="宋体" w:cs="宋体"/>
          <w:bCs w:val="0"/>
          <w:color w:val="auto"/>
          <w:sz w:val="22"/>
          <w:szCs w:val="22"/>
          <w:highlight w:val="none"/>
          <w:lang w:val="en-US" w:eastAsia="zh-CN"/>
        </w:rPr>
      </w:pPr>
      <w:r>
        <w:rPr>
          <w:rFonts w:hint="eastAsia" w:ascii="宋体" w:hAnsi="宋体" w:cs="宋体"/>
          <w:bCs w:val="0"/>
          <w:color w:val="auto"/>
          <w:sz w:val="22"/>
          <w:szCs w:val="22"/>
          <w:highlight w:val="none"/>
          <w:lang w:val="en-US" w:eastAsia="zh-CN"/>
        </w:rPr>
        <w:t xml:space="preserve">                                                         </w:t>
      </w:r>
      <w:r>
        <w:rPr>
          <w:rFonts w:hint="eastAsia" w:ascii="宋体" w:hAnsi="宋体" w:cs="宋体"/>
          <w:bCs w:val="0"/>
          <w:color w:val="auto"/>
          <w:sz w:val="22"/>
          <w:szCs w:val="22"/>
          <w:highlight w:val="none"/>
          <w:u w:val="single"/>
          <w:lang w:val="en-US" w:eastAsia="zh-CN"/>
        </w:rPr>
        <w:t xml:space="preserve">     </w:t>
      </w:r>
      <w:r>
        <w:rPr>
          <w:rFonts w:hint="eastAsia" w:ascii="宋体" w:hAnsi="宋体" w:cs="宋体"/>
          <w:bCs w:val="0"/>
          <w:color w:val="auto"/>
          <w:sz w:val="22"/>
          <w:szCs w:val="22"/>
          <w:highlight w:val="none"/>
          <w:lang w:val="en-US" w:eastAsia="zh-CN"/>
        </w:rPr>
        <w:t>年</w:t>
      </w:r>
      <w:r>
        <w:rPr>
          <w:rFonts w:hint="eastAsia" w:ascii="宋体" w:hAnsi="宋体" w:cs="宋体"/>
          <w:bCs w:val="0"/>
          <w:color w:val="auto"/>
          <w:sz w:val="22"/>
          <w:szCs w:val="22"/>
          <w:highlight w:val="none"/>
          <w:u w:val="single"/>
          <w:lang w:val="en-US" w:eastAsia="zh-CN"/>
        </w:rPr>
        <w:t xml:space="preserve">     </w:t>
      </w:r>
      <w:r>
        <w:rPr>
          <w:rFonts w:hint="eastAsia" w:ascii="宋体" w:hAnsi="宋体" w:cs="宋体"/>
          <w:bCs w:val="0"/>
          <w:color w:val="auto"/>
          <w:sz w:val="22"/>
          <w:szCs w:val="22"/>
          <w:highlight w:val="none"/>
          <w:lang w:val="en-US" w:eastAsia="zh-CN"/>
        </w:rPr>
        <w:t>月</w:t>
      </w:r>
      <w:r>
        <w:rPr>
          <w:rFonts w:hint="eastAsia" w:ascii="宋体" w:hAnsi="宋体" w:cs="宋体"/>
          <w:bCs w:val="0"/>
          <w:color w:val="auto"/>
          <w:sz w:val="22"/>
          <w:szCs w:val="22"/>
          <w:highlight w:val="none"/>
          <w:u w:val="single"/>
          <w:lang w:val="en-US" w:eastAsia="zh-CN"/>
        </w:rPr>
        <w:t xml:space="preserve">     </w:t>
      </w:r>
      <w:r>
        <w:rPr>
          <w:rFonts w:hint="eastAsia" w:ascii="宋体" w:hAnsi="宋体" w:cs="宋体"/>
          <w:bCs w:val="0"/>
          <w:color w:val="auto"/>
          <w:sz w:val="22"/>
          <w:szCs w:val="22"/>
          <w:highlight w:val="none"/>
          <w:lang w:val="en-US" w:eastAsia="zh-CN"/>
        </w:rPr>
        <w:t>日</w:t>
      </w:r>
    </w:p>
    <w:p w14:paraId="375A4CF1">
      <w:pPr>
        <w:pStyle w:val="7"/>
        <w:rPr>
          <w:rFonts w:hint="eastAsia"/>
          <w:color w:val="auto"/>
          <w:highlight w:val="none"/>
        </w:rPr>
      </w:pPr>
    </w:p>
    <w:p w14:paraId="09A7E1B4">
      <w:pPr>
        <w:pStyle w:val="7"/>
        <w:rPr>
          <w:rFonts w:hint="eastAsia"/>
          <w:color w:val="auto"/>
          <w:highlight w:val="none"/>
        </w:rPr>
      </w:pPr>
    </w:p>
    <w:p w14:paraId="72501B9D">
      <w:pPr>
        <w:pStyle w:val="7"/>
        <w:rPr>
          <w:rFonts w:hint="eastAsia"/>
          <w:color w:val="auto"/>
          <w:highlight w:val="none"/>
        </w:rPr>
      </w:pPr>
    </w:p>
    <w:p w14:paraId="1EE4D474">
      <w:pPr>
        <w:spacing w:line="400" w:lineRule="exact"/>
        <w:rPr>
          <w:color w:val="auto"/>
          <w:highlight w:val="none"/>
        </w:rPr>
      </w:pPr>
    </w:p>
    <w:sectPr>
      <w:pgSz w:w="11906" w:h="16838"/>
      <w:pgMar w:top="1361" w:right="1361" w:bottom="1361" w:left="1361" w:header="850" w:footer="964" w:gutter="170"/>
      <w:pgNumType w:fmt="decimal"/>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5FCF">
    <w:pPr>
      <w:pStyle w:val="20"/>
      <w:adjustRightInd w:val="0"/>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6389">
    <w:pPr>
      <w:pStyle w:val="20"/>
      <w:adjustRightInd w:val="0"/>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896C5">
                          <w:pPr>
                            <w:pStyle w:val="2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90896C5">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1482">
    <w:pPr>
      <w:pStyle w:val="20"/>
      <w:adjustRightInd w:val="0"/>
      <w:spacing w:line="24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61992">
                          <w:pPr>
                            <w:pStyle w:val="20"/>
                            <w:adjustRightInd w:val="0"/>
                            <w:spacing w:line="240" w:lineRule="auto"/>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24C61992">
                    <w:pPr>
                      <w:pStyle w:val="20"/>
                      <w:adjustRightInd w:val="0"/>
                      <w:spacing w:line="240" w:lineRule="auto"/>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C4837">
    <w:pPr>
      <w:pBdr>
        <w:bottom w:val="none" w:color="auto" w:sz="0" w:space="1"/>
      </w:pBdr>
      <w:snapToGrid w:val="0"/>
      <w:jc w:val="center"/>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83F6">
    <w:pPr>
      <w:pBdr>
        <w:bottom w:val="none" w:color="auto" w:sz="0" w:space="1"/>
      </w:pBdr>
      <w:snapToGrid w:val="0"/>
      <w:jc w:val="center"/>
      <w:rPr>
        <w:rFonts w:hint="eastAsi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OGY2MTQwMjY0NjNhOWFlMTM4YmZjYzUyNjcxYjcifQ=="/>
  </w:docVars>
  <w:rsids>
    <w:rsidRoot w:val="00172A27"/>
    <w:rsid w:val="00001CF7"/>
    <w:rsid w:val="00006925"/>
    <w:rsid w:val="00006932"/>
    <w:rsid w:val="00011781"/>
    <w:rsid w:val="00013CB3"/>
    <w:rsid w:val="0001429D"/>
    <w:rsid w:val="00014434"/>
    <w:rsid w:val="00015B88"/>
    <w:rsid w:val="0002318D"/>
    <w:rsid w:val="000265C4"/>
    <w:rsid w:val="000363DB"/>
    <w:rsid w:val="00036685"/>
    <w:rsid w:val="000406EC"/>
    <w:rsid w:val="00052A18"/>
    <w:rsid w:val="000646F5"/>
    <w:rsid w:val="00072C34"/>
    <w:rsid w:val="00080299"/>
    <w:rsid w:val="0008058B"/>
    <w:rsid w:val="00084887"/>
    <w:rsid w:val="00084897"/>
    <w:rsid w:val="0008596D"/>
    <w:rsid w:val="00086CDC"/>
    <w:rsid w:val="000924A5"/>
    <w:rsid w:val="0009426D"/>
    <w:rsid w:val="000A0517"/>
    <w:rsid w:val="000A0691"/>
    <w:rsid w:val="000B2853"/>
    <w:rsid w:val="000B28C0"/>
    <w:rsid w:val="000B3FA1"/>
    <w:rsid w:val="000B5B2E"/>
    <w:rsid w:val="000C066F"/>
    <w:rsid w:val="000C2FA0"/>
    <w:rsid w:val="000C45FB"/>
    <w:rsid w:val="000C469B"/>
    <w:rsid w:val="000C6D02"/>
    <w:rsid w:val="000D429E"/>
    <w:rsid w:val="000D4927"/>
    <w:rsid w:val="000D5AC7"/>
    <w:rsid w:val="000E11D0"/>
    <w:rsid w:val="000E486A"/>
    <w:rsid w:val="000F01D3"/>
    <w:rsid w:val="000F2B26"/>
    <w:rsid w:val="000F7FC1"/>
    <w:rsid w:val="001033DF"/>
    <w:rsid w:val="00106D19"/>
    <w:rsid w:val="001143C4"/>
    <w:rsid w:val="00121957"/>
    <w:rsid w:val="001222AD"/>
    <w:rsid w:val="00126260"/>
    <w:rsid w:val="001267FD"/>
    <w:rsid w:val="00130BE0"/>
    <w:rsid w:val="001351CD"/>
    <w:rsid w:val="00135D9F"/>
    <w:rsid w:val="0014163D"/>
    <w:rsid w:val="00146644"/>
    <w:rsid w:val="00153800"/>
    <w:rsid w:val="001542FC"/>
    <w:rsid w:val="00154A93"/>
    <w:rsid w:val="00156665"/>
    <w:rsid w:val="00175A6D"/>
    <w:rsid w:val="001810D4"/>
    <w:rsid w:val="00184F53"/>
    <w:rsid w:val="001873C0"/>
    <w:rsid w:val="001A06E6"/>
    <w:rsid w:val="001A18CA"/>
    <w:rsid w:val="001A655A"/>
    <w:rsid w:val="001C519E"/>
    <w:rsid w:val="001C6B78"/>
    <w:rsid w:val="001E7433"/>
    <w:rsid w:val="001F1F12"/>
    <w:rsid w:val="00210931"/>
    <w:rsid w:val="00214AD6"/>
    <w:rsid w:val="00215328"/>
    <w:rsid w:val="00223C7A"/>
    <w:rsid w:val="00226FAF"/>
    <w:rsid w:val="0026236A"/>
    <w:rsid w:val="0026434C"/>
    <w:rsid w:val="002710BD"/>
    <w:rsid w:val="00274F17"/>
    <w:rsid w:val="00294959"/>
    <w:rsid w:val="002A0F26"/>
    <w:rsid w:val="002A5683"/>
    <w:rsid w:val="002A7D3F"/>
    <w:rsid w:val="002A7DF7"/>
    <w:rsid w:val="002B1902"/>
    <w:rsid w:val="002C5758"/>
    <w:rsid w:val="002D2283"/>
    <w:rsid w:val="002E031E"/>
    <w:rsid w:val="002E4661"/>
    <w:rsid w:val="002F0674"/>
    <w:rsid w:val="002F2DDA"/>
    <w:rsid w:val="0030417C"/>
    <w:rsid w:val="00305EFD"/>
    <w:rsid w:val="00312581"/>
    <w:rsid w:val="0032193C"/>
    <w:rsid w:val="003308FF"/>
    <w:rsid w:val="003352AF"/>
    <w:rsid w:val="00342384"/>
    <w:rsid w:val="003435BD"/>
    <w:rsid w:val="003447D0"/>
    <w:rsid w:val="00345316"/>
    <w:rsid w:val="003554CE"/>
    <w:rsid w:val="00360361"/>
    <w:rsid w:val="00372DC3"/>
    <w:rsid w:val="003752C8"/>
    <w:rsid w:val="0037791D"/>
    <w:rsid w:val="00383032"/>
    <w:rsid w:val="00383E9F"/>
    <w:rsid w:val="003939AA"/>
    <w:rsid w:val="00394F9A"/>
    <w:rsid w:val="003A1EBB"/>
    <w:rsid w:val="003A70B7"/>
    <w:rsid w:val="003A7DCA"/>
    <w:rsid w:val="003B6A35"/>
    <w:rsid w:val="003C0DC8"/>
    <w:rsid w:val="003C7E91"/>
    <w:rsid w:val="003D26EE"/>
    <w:rsid w:val="003D533C"/>
    <w:rsid w:val="003D6A71"/>
    <w:rsid w:val="003D6BD5"/>
    <w:rsid w:val="003E0BAA"/>
    <w:rsid w:val="003E270B"/>
    <w:rsid w:val="003E6B3F"/>
    <w:rsid w:val="003F28C3"/>
    <w:rsid w:val="003F31FB"/>
    <w:rsid w:val="003F622A"/>
    <w:rsid w:val="003F68E0"/>
    <w:rsid w:val="00400597"/>
    <w:rsid w:val="00405178"/>
    <w:rsid w:val="00405A96"/>
    <w:rsid w:val="00406760"/>
    <w:rsid w:val="00413893"/>
    <w:rsid w:val="0041390D"/>
    <w:rsid w:val="00413E40"/>
    <w:rsid w:val="00417D5C"/>
    <w:rsid w:val="004453EE"/>
    <w:rsid w:val="0044782C"/>
    <w:rsid w:val="00450BAE"/>
    <w:rsid w:val="004510D0"/>
    <w:rsid w:val="00457010"/>
    <w:rsid w:val="0045713A"/>
    <w:rsid w:val="004612AD"/>
    <w:rsid w:val="004640AE"/>
    <w:rsid w:val="00470CF3"/>
    <w:rsid w:val="00470F51"/>
    <w:rsid w:val="004728A7"/>
    <w:rsid w:val="0047422E"/>
    <w:rsid w:val="0048490B"/>
    <w:rsid w:val="004864AF"/>
    <w:rsid w:val="00490291"/>
    <w:rsid w:val="00492597"/>
    <w:rsid w:val="004926AD"/>
    <w:rsid w:val="00493060"/>
    <w:rsid w:val="004A151F"/>
    <w:rsid w:val="004A43EF"/>
    <w:rsid w:val="004B53B0"/>
    <w:rsid w:val="004B66F3"/>
    <w:rsid w:val="004B6B9A"/>
    <w:rsid w:val="004C2242"/>
    <w:rsid w:val="004D23BC"/>
    <w:rsid w:val="004D6741"/>
    <w:rsid w:val="004D6FB5"/>
    <w:rsid w:val="004E490E"/>
    <w:rsid w:val="004F0B6C"/>
    <w:rsid w:val="004F12DC"/>
    <w:rsid w:val="004F6DEA"/>
    <w:rsid w:val="00504B20"/>
    <w:rsid w:val="00515699"/>
    <w:rsid w:val="00515D58"/>
    <w:rsid w:val="005172CC"/>
    <w:rsid w:val="00522819"/>
    <w:rsid w:val="00525D5F"/>
    <w:rsid w:val="00532978"/>
    <w:rsid w:val="00534153"/>
    <w:rsid w:val="005350F4"/>
    <w:rsid w:val="005421B6"/>
    <w:rsid w:val="00545CB2"/>
    <w:rsid w:val="005539A0"/>
    <w:rsid w:val="00555C31"/>
    <w:rsid w:val="00557276"/>
    <w:rsid w:val="00557752"/>
    <w:rsid w:val="00572FB0"/>
    <w:rsid w:val="00574FA8"/>
    <w:rsid w:val="00575F6B"/>
    <w:rsid w:val="00577718"/>
    <w:rsid w:val="00580A52"/>
    <w:rsid w:val="00581674"/>
    <w:rsid w:val="00586541"/>
    <w:rsid w:val="00594DF0"/>
    <w:rsid w:val="005A0FB6"/>
    <w:rsid w:val="005A70E1"/>
    <w:rsid w:val="005B2286"/>
    <w:rsid w:val="005B3849"/>
    <w:rsid w:val="005B599A"/>
    <w:rsid w:val="005B7942"/>
    <w:rsid w:val="005C00E1"/>
    <w:rsid w:val="005C60DA"/>
    <w:rsid w:val="005D1410"/>
    <w:rsid w:val="005D284F"/>
    <w:rsid w:val="005D32B3"/>
    <w:rsid w:val="005D60D1"/>
    <w:rsid w:val="005E1A5B"/>
    <w:rsid w:val="005E2A34"/>
    <w:rsid w:val="005E5113"/>
    <w:rsid w:val="005F1754"/>
    <w:rsid w:val="00600CF5"/>
    <w:rsid w:val="00601277"/>
    <w:rsid w:val="0060387F"/>
    <w:rsid w:val="00604505"/>
    <w:rsid w:val="0060754C"/>
    <w:rsid w:val="00610296"/>
    <w:rsid w:val="00621764"/>
    <w:rsid w:val="00625903"/>
    <w:rsid w:val="0065113A"/>
    <w:rsid w:val="00652D66"/>
    <w:rsid w:val="00656544"/>
    <w:rsid w:val="006738CA"/>
    <w:rsid w:val="00685B95"/>
    <w:rsid w:val="0069766B"/>
    <w:rsid w:val="006A00BD"/>
    <w:rsid w:val="006A4090"/>
    <w:rsid w:val="006A7102"/>
    <w:rsid w:val="006B598A"/>
    <w:rsid w:val="006B5C33"/>
    <w:rsid w:val="006C0842"/>
    <w:rsid w:val="006D3F44"/>
    <w:rsid w:val="006E67D2"/>
    <w:rsid w:val="006F2C5C"/>
    <w:rsid w:val="00700096"/>
    <w:rsid w:val="007008AC"/>
    <w:rsid w:val="00705653"/>
    <w:rsid w:val="007103E7"/>
    <w:rsid w:val="0071370F"/>
    <w:rsid w:val="00720304"/>
    <w:rsid w:val="00755AF5"/>
    <w:rsid w:val="00755F1D"/>
    <w:rsid w:val="00766139"/>
    <w:rsid w:val="007661DF"/>
    <w:rsid w:val="00770C16"/>
    <w:rsid w:val="00771F9D"/>
    <w:rsid w:val="00773F58"/>
    <w:rsid w:val="00775D50"/>
    <w:rsid w:val="007771C4"/>
    <w:rsid w:val="00780F3C"/>
    <w:rsid w:val="00781108"/>
    <w:rsid w:val="00787996"/>
    <w:rsid w:val="007921DA"/>
    <w:rsid w:val="00793B50"/>
    <w:rsid w:val="00794D8D"/>
    <w:rsid w:val="00797667"/>
    <w:rsid w:val="007A6DA5"/>
    <w:rsid w:val="007B0F0C"/>
    <w:rsid w:val="007B3D4E"/>
    <w:rsid w:val="007B5604"/>
    <w:rsid w:val="007B5CE0"/>
    <w:rsid w:val="007D042C"/>
    <w:rsid w:val="007D0CB4"/>
    <w:rsid w:val="007D5553"/>
    <w:rsid w:val="007D6FFE"/>
    <w:rsid w:val="007E0568"/>
    <w:rsid w:val="00800063"/>
    <w:rsid w:val="0081268A"/>
    <w:rsid w:val="00816059"/>
    <w:rsid w:val="00821CF7"/>
    <w:rsid w:val="00823C68"/>
    <w:rsid w:val="008275AD"/>
    <w:rsid w:val="0083254A"/>
    <w:rsid w:val="00832F10"/>
    <w:rsid w:val="00835097"/>
    <w:rsid w:val="008377A7"/>
    <w:rsid w:val="00844A0E"/>
    <w:rsid w:val="008469EB"/>
    <w:rsid w:val="00852C91"/>
    <w:rsid w:val="00864363"/>
    <w:rsid w:val="0086436C"/>
    <w:rsid w:val="008700FF"/>
    <w:rsid w:val="00870494"/>
    <w:rsid w:val="008734D0"/>
    <w:rsid w:val="00874277"/>
    <w:rsid w:val="0087797B"/>
    <w:rsid w:val="00880390"/>
    <w:rsid w:val="0088316C"/>
    <w:rsid w:val="008852CF"/>
    <w:rsid w:val="00886755"/>
    <w:rsid w:val="00886E1B"/>
    <w:rsid w:val="00890DA4"/>
    <w:rsid w:val="00896A57"/>
    <w:rsid w:val="00897F53"/>
    <w:rsid w:val="008A0739"/>
    <w:rsid w:val="008A28FC"/>
    <w:rsid w:val="008B00A4"/>
    <w:rsid w:val="008B3E4F"/>
    <w:rsid w:val="008C1668"/>
    <w:rsid w:val="008C449E"/>
    <w:rsid w:val="008C5D62"/>
    <w:rsid w:val="008C7538"/>
    <w:rsid w:val="008D0DF1"/>
    <w:rsid w:val="008D3A06"/>
    <w:rsid w:val="008D767F"/>
    <w:rsid w:val="008E1319"/>
    <w:rsid w:val="008E53EE"/>
    <w:rsid w:val="008F18CD"/>
    <w:rsid w:val="008F4C20"/>
    <w:rsid w:val="009034D5"/>
    <w:rsid w:val="009054CA"/>
    <w:rsid w:val="0091223F"/>
    <w:rsid w:val="0091246B"/>
    <w:rsid w:val="00916284"/>
    <w:rsid w:val="00924ECB"/>
    <w:rsid w:val="00932F4A"/>
    <w:rsid w:val="00935224"/>
    <w:rsid w:val="00935C36"/>
    <w:rsid w:val="0093686F"/>
    <w:rsid w:val="00936D4D"/>
    <w:rsid w:val="009409AD"/>
    <w:rsid w:val="009444C8"/>
    <w:rsid w:val="00951A35"/>
    <w:rsid w:val="00951FEE"/>
    <w:rsid w:val="00954D10"/>
    <w:rsid w:val="00954F8A"/>
    <w:rsid w:val="009567AA"/>
    <w:rsid w:val="0096082D"/>
    <w:rsid w:val="009639C9"/>
    <w:rsid w:val="00964661"/>
    <w:rsid w:val="00965B10"/>
    <w:rsid w:val="009712FF"/>
    <w:rsid w:val="0097329E"/>
    <w:rsid w:val="0097349E"/>
    <w:rsid w:val="009735CD"/>
    <w:rsid w:val="00974C6E"/>
    <w:rsid w:val="00975F8E"/>
    <w:rsid w:val="009802E5"/>
    <w:rsid w:val="009828C5"/>
    <w:rsid w:val="009862CB"/>
    <w:rsid w:val="009A223F"/>
    <w:rsid w:val="009A3583"/>
    <w:rsid w:val="009A789A"/>
    <w:rsid w:val="009B29F8"/>
    <w:rsid w:val="009B3AB1"/>
    <w:rsid w:val="009D1219"/>
    <w:rsid w:val="009D3E20"/>
    <w:rsid w:val="009E2060"/>
    <w:rsid w:val="009E264B"/>
    <w:rsid w:val="009E70F5"/>
    <w:rsid w:val="009E7EB7"/>
    <w:rsid w:val="009F2E6D"/>
    <w:rsid w:val="009F511B"/>
    <w:rsid w:val="009F528F"/>
    <w:rsid w:val="00A02368"/>
    <w:rsid w:val="00A135DE"/>
    <w:rsid w:val="00A32BD4"/>
    <w:rsid w:val="00A36C22"/>
    <w:rsid w:val="00A42FDE"/>
    <w:rsid w:val="00A5397F"/>
    <w:rsid w:val="00A56682"/>
    <w:rsid w:val="00A618D2"/>
    <w:rsid w:val="00A80D5A"/>
    <w:rsid w:val="00A8485A"/>
    <w:rsid w:val="00A850F4"/>
    <w:rsid w:val="00A93198"/>
    <w:rsid w:val="00A96358"/>
    <w:rsid w:val="00AA19DE"/>
    <w:rsid w:val="00AB1E1D"/>
    <w:rsid w:val="00AB663A"/>
    <w:rsid w:val="00AC196A"/>
    <w:rsid w:val="00AC1A02"/>
    <w:rsid w:val="00AC1EC9"/>
    <w:rsid w:val="00AC50FC"/>
    <w:rsid w:val="00AC6242"/>
    <w:rsid w:val="00AD21E2"/>
    <w:rsid w:val="00AD31D8"/>
    <w:rsid w:val="00AD5409"/>
    <w:rsid w:val="00AE1328"/>
    <w:rsid w:val="00AE29A6"/>
    <w:rsid w:val="00AF3396"/>
    <w:rsid w:val="00AF5490"/>
    <w:rsid w:val="00AF6470"/>
    <w:rsid w:val="00B003E1"/>
    <w:rsid w:val="00B052FE"/>
    <w:rsid w:val="00B0684D"/>
    <w:rsid w:val="00B328BB"/>
    <w:rsid w:val="00B34824"/>
    <w:rsid w:val="00B472C0"/>
    <w:rsid w:val="00B544AE"/>
    <w:rsid w:val="00B561ED"/>
    <w:rsid w:val="00B60531"/>
    <w:rsid w:val="00B60679"/>
    <w:rsid w:val="00B64180"/>
    <w:rsid w:val="00B64E30"/>
    <w:rsid w:val="00B80708"/>
    <w:rsid w:val="00B83527"/>
    <w:rsid w:val="00B84953"/>
    <w:rsid w:val="00B950D7"/>
    <w:rsid w:val="00B95641"/>
    <w:rsid w:val="00BA1F72"/>
    <w:rsid w:val="00BB1299"/>
    <w:rsid w:val="00BB35C8"/>
    <w:rsid w:val="00BB5CC2"/>
    <w:rsid w:val="00BC09D1"/>
    <w:rsid w:val="00BD6778"/>
    <w:rsid w:val="00BE28A6"/>
    <w:rsid w:val="00BE6138"/>
    <w:rsid w:val="00BF18F3"/>
    <w:rsid w:val="00BF4826"/>
    <w:rsid w:val="00C02AAB"/>
    <w:rsid w:val="00C05753"/>
    <w:rsid w:val="00C05FEF"/>
    <w:rsid w:val="00C20A50"/>
    <w:rsid w:val="00C248A5"/>
    <w:rsid w:val="00C26581"/>
    <w:rsid w:val="00C34DAD"/>
    <w:rsid w:val="00C35828"/>
    <w:rsid w:val="00C35D52"/>
    <w:rsid w:val="00C42C7D"/>
    <w:rsid w:val="00C457F6"/>
    <w:rsid w:val="00C47262"/>
    <w:rsid w:val="00C55428"/>
    <w:rsid w:val="00C633A3"/>
    <w:rsid w:val="00C67ADC"/>
    <w:rsid w:val="00C74617"/>
    <w:rsid w:val="00C81766"/>
    <w:rsid w:val="00C81B63"/>
    <w:rsid w:val="00C87BE6"/>
    <w:rsid w:val="00C94DE8"/>
    <w:rsid w:val="00CA02CD"/>
    <w:rsid w:val="00CA057A"/>
    <w:rsid w:val="00CA209A"/>
    <w:rsid w:val="00CA6C1B"/>
    <w:rsid w:val="00CA7FA0"/>
    <w:rsid w:val="00CB1BF2"/>
    <w:rsid w:val="00CB286B"/>
    <w:rsid w:val="00CB7CA7"/>
    <w:rsid w:val="00CD47B3"/>
    <w:rsid w:val="00CD5707"/>
    <w:rsid w:val="00CE059F"/>
    <w:rsid w:val="00CE1A4F"/>
    <w:rsid w:val="00CE4D67"/>
    <w:rsid w:val="00CE749F"/>
    <w:rsid w:val="00CF0C9A"/>
    <w:rsid w:val="00CF1A75"/>
    <w:rsid w:val="00D00EB7"/>
    <w:rsid w:val="00D02FDD"/>
    <w:rsid w:val="00D03170"/>
    <w:rsid w:val="00D0597A"/>
    <w:rsid w:val="00D10C4B"/>
    <w:rsid w:val="00D13540"/>
    <w:rsid w:val="00D26A9F"/>
    <w:rsid w:val="00D34FA3"/>
    <w:rsid w:val="00D36886"/>
    <w:rsid w:val="00D549D3"/>
    <w:rsid w:val="00D568D8"/>
    <w:rsid w:val="00D60F71"/>
    <w:rsid w:val="00D733EC"/>
    <w:rsid w:val="00D80780"/>
    <w:rsid w:val="00D90EC0"/>
    <w:rsid w:val="00D917A5"/>
    <w:rsid w:val="00DA000D"/>
    <w:rsid w:val="00DA6445"/>
    <w:rsid w:val="00DB150B"/>
    <w:rsid w:val="00DB5F24"/>
    <w:rsid w:val="00DC6D78"/>
    <w:rsid w:val="00DD297B"/>
    <w:rsid w:val="00DD323B"/>
    <w:rsid w:val="00DE241D"/>
    <w:rsid w:val="00DF3ED6"/>
    <w:rsid w:val="00E01DF6"/>
    <w:rsid w:val="00E0678F"/>
    <w:rsid w:val="00E1067B"/>
    <w:rsid w:val="00E11FE3"/>
    <w:rsid w:val="00E13DDC"/>
    <w:rsid w:val="00E17126"/>
    <w:rsid w:val="00E20A39"/>
    <w:rsid w:val="00E37E86"/>
    <w:rsid w:val="00E43755"/>
    <w:rsid w:val="00E44BB8"/>
    <w:rsid w:val="00E47645"/>
    <w:rsid w:val="00E51B45"/>
    <w:rsid w:val="00E60183"/>
    <w:rsid w:val="00E60C04"/>
    <w:rsid w:val="00E660B8"/>
    <w:rsid w:val="00E671AC"/>
    <w:rsid w:val="00E71542"/>
    <w:rsid w:val="00E72A17"/>
    <w:rsid w:val="00E7393D"/>
    <w:rsid w:val="00E73C82"/>
    <w:rsid w:val="00E85849"/>
    <w:rsid w:val="00E907D8"/>
    <w:rsid w:val="00EA40E8"/>
    <w:rsid w:val="00EA7D39"/>
    <w:rsid w:val="00EB6D38"/>
    <w:rsid w:val="00EC00D8"/>
    <w:rsid w:val="00EC73E3"/>
    <w:rsid w:val="00EC7DAD"/>
    <w:rsid w:val="00ED692C"/>
    <w:rsid w:val="00EE774B"/>
    <w:rsid w:val="00EE7D9D"/>
    <w:rsid w:val="00EF0E61"/>
    <w:rsid w:val="00EF2C82"/>
    <w:rsid w:val="00EF3A46"/>
    <w:rsid w:val="00EF430C"/>
    <w:rsid w:val="00EF4381"/>
    <w:rsid w:val="00EF4FCA"/>
    <w:rsid w:val="00EF5794"/>
    <w:rsid w:val="00F0371C"/>
    <w:rsid w:val="00F04B5D"/>
    <w:rsid w:val="00F14E90"/>
    <w:rsid w:val="00F17660"/>
    <w:rsid w:val="00F25CC1"/>
    <w:rsid w:val="00F31C51"/>
    <w:rsid w:val="00F40F28"/>
    <w:rsid w:val="00F43612"/>
    <w:rsid w:val="00F518D7"/>
    <w:rsid w:val="00F63B58"/>
    <w:rsid w:val="00F65DAD"/>
    <w:rsid w:val="00F71719"/>
    <w:rsid w:val="00F72423"/>
    <w:rsid w:val="00F84512"/>
    <w:rsid w:val="00F846BE"/>
    <w:rsid w:val="00F85E9E"/>
    <w:rsid w:val="00F946BB"/>
    <w:rsid w:val="00FA5F03"/>
    <w:rsid w:val="00FB036F"/>
    <w:rsid w:val="00FB0C0A"/>
    <w:rsid w:val="00FB1A74"/>
    <w:rsid w:val="00FB6761"/>
    <w:rsid w:val="00FB6924"/>
    <w:rsid w:val="00FC27EA"/>
    <w:rsid w:val="00FC55F2"/>
    <w:rsid w:val="00FC63E7"/>
    <w:rsid w:val="00FC7367"/>
    <w:rsid w:val="00FE346B"/>
    <w:rsid w:val="00FE3C2B"/>
    <w:rsid w:val="00FE529E"/>
    <w:rsid w:val="00FE5DE6"/>
    <w:rsid w:val="00FE714B"/>
    <w:rsid w:val="00FF2A05"/>
    <w:rsid w:val="010A6538"/>
    <w:rsid w:val="0112363F"/>
    <w:rsid w:val="012F2443"/>
    <w:rsid w:val="01454572"/>
    <w:rsid w:val="01500117"/>
    <w:rsid w:val="01536978"/>
    <w:rsid w:val="01541EA9"/>
    <w:rsid w:val="015A1D8C"/>
    <w:rsid w:val="015D0D5E"/>
    <w:rsid w:val="01730582"/>
    <w:rsid w:val="017716F4"/>
    <w:rsid w:val="01835353"/>
    <w:rsid w:val="018750D4"/>
    <w:rsid w:val="01883692"/>
    <w:rsid w:val="018856AF"/>
    <w:rsid w:val="01897A84"/>
    <w:rsid w:val="01964270"/>
    <w:rsid w:val="01A249C3"/>
    <w:rsid w:val="01A26771"/>
    <w:rsid w:val="01A3073B"/>
    <w:rsid w:val="01A95C2A"/>
    <w:rsid w:val="01B110AA"/>
    <w:rsid w:val="01B91D0C"/>
    <w:rsid w:val="01C761D7"/>
    <w:rsid w:val="01CE12BE"/>
    <w:rsid w:val="01DD1E9F"/>
    <w:rsid w:val="01F36FCC"/>
    <w:rsid w:val="020E3E06"/>
    <w:rsid w:val="02111B48"/>
    <w:rsid w:val="02160F0D"/>
    <w:rsid w:val="02237B49"/>
    <w:rsid w:val="022E0064"/>
    <w:rsid w:val="02300221"/>
    <w:rsid w:val="02443CCC"/>
    <w:rsid w:val="02447828"/>
    <w:rsid w:val="02467A44"/>
    <w:rsid w:val="024B505A"/>
    <w:rsid w:val="024C5E48"/>
    <w:rsid w:val="026737D7"/>
    <w:rsid w:val="028C5218"/>
    <w:rsid w:val="029F53A6"/>
    <w:rsid w:val="02A12ECC"/>
    <w:rsid w:val="02B250DA"/>
    <w:rsid w:val="02BF15A4"/>
    <w:rsid w:val="02DE7C7D"/>
    <w:rsid w:val="03157416"/>
    <w:rsid w:val="032558AB"/>
    <w:rsid w:val="03265180"/>
    <w:rsid w:val="03321D76"/>
    <w:rsid w:val="033C49A3"/>
    <w:rsid w:val="0341645D"/>
    <w:rsid w:val="035B751F"/>
    <w:rsid w:val="035D639B"/>
    <w:rsid w:val="0362070F"/>
    <w:rsid w:val="03764359"/>
    <w:rsid w:val="03773C2D"/>
    <w:rsid w:val="037E320E"/>
    <w:rsid w:val="03802AE2"/>
    <w:rsid w:val="03991DF6"/>
    <w:rsid w:val="03B86720"/>
    <w:rsid w:val="03CD627D"/>
    <w:rsid w:val="03CF3A69"/>
    <w:rsid w:val="03E40B1B"/>
    <w:rsid w:val="03F139E0"/>
    <w:rsid w:val="03FE4A84"/>
    <w:rsid w:val="040A684F"/>
    <w:rsid w:val="041871BE"/>
    <w:rsid w:val="041B0A5C"/>
    <w:rsid w:val="041F64DD"/>
    <w:rsid w:val="042042C5"/>
    <w:rsid w:val="04216DD6"/>
    <w:rsid w:val="0442248D"/>
    <w:rsid w:val="0467268B"/>
    <w:rsid w:val="046954E0"/>
    <w:rsid w:val="04893C18"/>
    <w:rsid w:val="049327EB"/>
    <w:rsid w:val="04A47A17"/>
    <w:rsid w:val="04BC3FEE"/>
    <w:rsid w:val="04D255BF"/>
    <w:rsid w:val="04DC4690"/>
    <w:rsid w:val="04F01EE9"/>
    <w:rsid w:val="04F25C61"/>
    <w:rsid w:val="04FC6AE0"/>
    <w:rsid w:val="05094D59"/>
    <w:rsid w:val="0523406D"/>
    <w:rsid w:val="05243941"/>
    <w:rsid w:val="05341E77"/>
    <w:rsid w:val="05595CE0"/>
    <w:rsid w:val="05720B50"/>
    <w:rsid w:val="057C377D"/>
    <w:rsid w:val="05946D18"/>
    <w:rsid w:val="05C0366A"/>
    <w:rsid w:val="05E62919"/>
    <w:rsid w:val="05F94DCD"/>
    <w:rsid w:val="06043E9E"/>
    <w:rsid w:val="060663F2"/>
    <w:rsid w:val="061663CA"/>
    <w:rsid w:val="06224324"/>
    <w:rsid w:val="064B6D66"/>
    <w:rsid w:val="064C314F"/>
    <w:rsid w:val="065344DE"/>
    <w:rsid w:val="065D710A"/>
    <w:rsid w:val="0671705A"/>
    <w:rsid w:val="0680104B"/>
    <w:rsid w:val="06913258"/>
    <w:rsid w:val="06A109A1"/>
    <w:rsid w:val="06D51397"/>
    <w:rsid w:val="06D85DD9"/>
    <w:rsid w:val="06E15F8D"/>
    <w:rsid w:val="06FC4B75"/>
    <w:rsid w:val="070457D8"/>
    <w:rsid w:val="070B300A"/>
    <w:rsid w:val="071579E5"/>
    <w:rsid w:val="0721638A"/>
    <w:rsid w:val="07287718"/>
    <w:rsid w:val="072A7934"/>
    <w:rsid w:val="073065CD"/>
    <w:rsid w:val="074402CA"/>
    <w:rsid w:val="075F6EB2"/>
    <w:rsid w:val="078A0DF5"/>
    <w:rsid w:val="078B414B"/>
    <w:rsid w:val="0790350F"/>
    <w:rsid w:val="07B74F40"/>
    <w:rsid w:val="07C136C9"/>
    <w:rsid w:val="07C80EFB"/>
    <w:rsid w:val="07DF4459"/>
    <w:rsid w:val="07F10452"/>
    <w:rsid w:val="07FA1055"/>
    <w:rsid w:val="07FD6DF7"/>
    <w:rsid w:val="080F2686"/>
    <w:rsid w:val="081E0B1B"/>
    <w:rsid w:val="08471E20"/>
    <w:rsid w:val="085A5FF7"/>
    <w:rsid w:val="085B1B32"/>
    <w:rsid w:val="0862623F"/>
    <w:rsid w:val="087D7F38"/>
    <w:rsid w:val="088272FC"/>
    <w:rsid w:val="089332B7"/>
    <w:rsid w:val="08A2799E"/>
    <w:rsid w:val="08B374B6"/>
    <w:rsid w:val="08C571E9"/>
    <w:rsid w:val="08C96CD9"/>
    <w:rsid w:val="08F215EC"/>
    <w:rsid w:val="08F651E1"/>
    <w:rsid w:val="090146C5"/>
    <w:rsid w:val="091268D2"/>
    <w:rsid w:val="091F34DF"/>
    <w:rsid w:val="09287EA3"/>
    <w:rsid w:val="09296E41"/>
    <w:rsid w:val="09304FAA"/>
    <w:rsid w:val="09336848"/>
    <w:rsid w:val="093C56FD"/>
    <w:rsid w:val="09410F65"/>
    <w:rsid w:val="0963712E"/>
    <w:rsid w:val="0972111F"/>
    <w:rsid w:val="09931225"/>
    <w:rsid w:val="099A2423"/>
    <w:rsid w:val="09CB5382"/>
    <w:rsid w:val="09CF47C3"/>
    <w:rsid w:val="09D26061"/>
    <w:rsid w:val="09E0252C"/>
    <w:rsid w:val="09FC6C3A"/>
    <w:rsid w:val="0A333279"/>
    <w:rsid w:val="0A3C34DB"/>
    <w:rsid w:val="0A486323"/>
    <w:rsid w:val="0A5C3C13"/>
    <w:rsid w:val="0A6A629A"/>
    <w:rsid w:val="0A762E91"/>
    <w:rsid w:val="0AAA2B3A"/>
    <w:rsid w:val="0AAA48E8"/>
    <w:rsid w:val="0AB37C41"/>
    <w:rsid w:val="0AB87005"/>
    <w:rsid w:val="0ABA2D7D"/>
    <w:rsid w:val="0ACE4A7B"/>
    <w:rsid w:val="0AD16319"/>
    <w:rsid w:val="0ADB7197"/>
    <w:rsid w:val="0ADD081A"/>
    <w:rsid w:val="0AEA1189"/>
    <w:rsid w:val="0B043FF8"/>
    <w:rsid w:val="0B100BEF"/>
    <w:rsid w:val="0B156206"/>
    <w:rsid w:val="0B41349E"/>
    <w:rsid w:val="0B536D2E"/>
    <w:rsid w:val="0B5C5BE2"/>
    <w:rsid w:val="0B901D30"/>
    <w:rsid w:val="0BA80E28"/>
    <w:rsid w:val="0BAD643E"/>
    <w:rsid w:val="0BAF7C14"/>
    <w:rsid w:val="0BC33EB3"/>
    <w:rsid w:val="0BCA5242"/>
    <w:rsid w:val="0BF16E09"/>
    <w:rsid w:val="0BF57395"/>
    <w:rsid w:val="0C0F0EA7"/>
    <w:rsid w:val="0C152235"/>
    <w:rsid w:val="0C203675"/>
    <w:rsid w:val="0C214E95"/>
    <w:rsid w:val="0C232BA4"/>
    <w:rsid w:val="0C2F1549"/>
    <w:rsid w:val="0C3152C1"/>
    <w:rsid w:val="0C3504B5"/>
    <w:rsid w:val="0C3B6140"/>
    <w:rsid w:val="0C430B50"/>
    <w:rsid w:val="0C4843B9"/>
    <w:rsid w:val="0C5B0590"/>
    <w:rsid w:val="0C601702"/>
    <w:rsid w:val="0C605BA6"/>
    <w:rsid w:val="0C684A5B"/>
    <w:rsid w:val="0C801DA5"/>
    <w:rsid w:val="0C8C699B"/>
    <w:rsid w:val="0C923886"/>
    <w:rsid w:val="0CA84E57"/>
    <w:rsid w:val="0CAE6912"/>
    <w:rsid w:val="0CB50187"/>
    <w:rsid w:val="0CCF6888"/>
    <w:rsid w:val="0CF06F2A"/>
    <w:rsid w:val="0CFB767D"/>
    <w:rsid w:val="0CFC5594"/>
    <w:rsid w:val="0D005C6E"/>
    <w:rsid w:val="0D074274"/>
    <w:rsid w:val="0D0C3638"/>
    <w:rsid w:val="0D110C4F"/>
    <w:rsid w:val="0D2248CA"/>
    <w:rsid w:val="0D562B05"/>
    <w:rsid w:val="0D5F5E5E"/>
    <w:rsid w:val="0D721847"/>
    <w:rsid w:val="0D7D0092"/>
    <w:rsid w:val="0D82437D"/>
    <w:rsid w:val="0D944959"/>
    <w:rsid w:val="0DB31D06"/>
    <w:rsid w:val="0DB37F58"/>
    <w:rsid w:val="0DC10DA5"/>
    <w:rsid w:val="0DCC4856"/>
    <w:rsid w:val="0DD95C10"/>
    <w:rsid w:val="0DDE29C2"/>
    <w:rsid w:val="0DFE11D3"/>
    <w:rsid w:val="0E0F33E0"/>
    <w:rsid w:val="0E10604C"/>
    <w:rsid w:val="0E1E1875"/>
    <w:rsid w:val="0E2F3A82"/>
    <w:rsid w:val="0E3A41D5"/>
    <w:rsid w:val="0E3F3599"/>
    <w:rsid w:val="0E4013EB"/>
    <w:rsid w:val="0E4532A6"/>
    <w:rsid w:val="0E4768C0"/>
    <w:rsid w:val="0E5434E9"/>
    <w:rsid w:val="0E554C8F"/>
    <w:rsid w:val="0E6574A4"/>
    <w:rsid w:val="0E925714"/>
    <w:rsid w:val="0E952805"/>
    <w:rsid w:val="0E96765D"/>
    <w:rsid w:val="0E99714E"/>
    <w:rsid w:val="0EBC4A82"/>
    <w:rsid w:val="0EC266A4"/>
    <w:rsid w:val="0ECA5559"/>
    <w:rsid w:val="0ED14B39"/>
    <w:rsid w:val="0ED85EC8"/>
    <w:rsid w:val="0EED3243"/>
    <w:rsid w:val="0F026AA1"/>
    <w:rsid w:val="0F031129"/>
    <w:rsid w:val="0F0A004B"/>
    <w:rsid w:val="0F225395"/>
    <w:rsid w:val="0F230706"/>
    <w:rsid w:val="0F493130"/>
    <w:rsid w:val="0F515C7A"/>
    <w:rsid w:val="0F5911E5"/>
    <w:rsid w:val="0F6C4862"/>
    <w:rsid w:val="0FAC4C5F"/>
    <w:rsid w:val="0FB35FED"/>
    <w:rsid w:val="0FB6788B"/>
    <w:rsid w:val="0FB75ADD"/>
    <w:rsid w:val="0FBC7598"/>
    <w:rsid w:val="0FC24482"/>
    <w:rsid w:val="0FC95811"/>
    <w:rsid w:val="0FCE2C6E"/>
    <w:rsid w:val="0FD22C29"/>
    <w:rsid w:val="0FF90AED"/>
    <w:rsid w:val="0FFF7130"/>
    <w:rsid w:val="100920B1"/>
    <w:rsid w:val="1010343F"/>
    <w:rsid w:val="101747CE"/>
    <w:rsid w:val="101A42BE"/>
    <w:rsid w:val="101E3DAE"/>
    <w:rsid w:val="103A226A"/>
    <w:rsid w:val="104A4BA3"/>
    <w:rsid w:val="107514F4"/>
    <w:rsid w:val="10757746"/>
    <w:rsid w:val="107E2A9F"/>
    <w:rsid w:val="108C51BC"/>
    <w:rsid w:val="108F6A5A"/>
    <w:rsid w:val="109329DB"/>
    <w:rsid w:val="109E5727"/>
    <w:rsid w:val="10A43CE3"/>
    <w:rsid w:val="10B22749"/>
    <w:rsid w:val="10EC0872"/>
    <w:rsid w:val="110C1E59"/>
    <w:rsid w:val="110F36F7"/>
    <w:rsid w:val="111156C1"/>
    <w:rsid w:val="11140D0D"/>
    <w:rsid w:val="111A3763"/>
    <w:rsid w:val="11274EE5"/>
    <w:rsid w:val="11335637"/>
    <w:rsid w:val="1134315E"/>
    <w:rsid w:val="114A0BD3"/>
    <w:rsid w:val="11621A79"/>
    <w:rsid w:val="11665A0D"/>
    <w:rsid w:val="116C28F7"/>
    <w:rsid w:val="116F23E8"/>
    <w:rsid w:val="117F14CD"/>
    <w:rsid w:val="11867E5D"/>
    <w:rsid w:val="119E1487"/>
    <w:rsid w:val="11A93B4C"/>
    <w:rsid w:val="11B60016"/>
    <w:rsid w:val="11DF131B"/>
    <w:rsid w:val="120314AE"/>
    <w:rsid w:val="12343757"/>
    <w:rsid w:val="124B075F"/>
    <w:rsid w:val="1255782F"/>
    <w:rsid w:val="125A6BF4"/>
    <w:rsid w:val="125C6E10"/>
    <w:rsid w:val="126637EB"/>
    <w:rsid w:val="126F08F1"/>
    <w:rsid w:val="12771554"/>
    <w:rsid w:val="128C0992"/>
    <w:rsid w:val="1299596E"/>
    <w:rsid w:val="12A020CC"/>
    <w:rsid w:val="12A762DD"/>
    <w:rsid w:val="12BC340B"/>
    <w:rsid w:val="12CD386A"/>
    <w:rsid w:val="12DB7D35"/>
    <w:rsid w:val="12E32EDE"/>
    <w:rsid w:val="12E67D1F"/>
    <w:rsid w:val="12ED7A68"/>
    <w:rsid w:val="12FB4D13"/>
    <w:rsid w:val="130B4C68"/>
    <w:rsid w:val="13113D52"/>
    <w:rsid w:val="132A0CBC"/>
    <w:rsid w:val="13637D2A"/>
    <w:rsid w:val="136F6FB6"/>
    <w:rsid w:val="137B5074"/>
    <w:rsid w:val="13893C35"/>
    <w:rsid w:val="138A5A29"/>
    <w:rsid w:val="138E4DA7"/>
    <w:rsid w:val="13B312FC"/>
    <w:rsid w:val="13C92283"/>
    <w:rsid w:val="13D749A0"/>
    <w:rsid w:val="13E323A5"/>
    <w:rsid w:val="13EF4B3F"/>
    <w:rsid w:val="14013AD3"/>
    <w:rsid w:val="14074B59"/>
    <w:rsid w:val="14092680"/>
    <w:rsid w:val="14237BE5"/>
    <w:rsid w:val="1424570B"/>
    <w:rsid w:val="142851FC"/>
    <w:rsid w:val="145F6743"/>
    <w:rsid w:val="147E306D"/>
    <w:rsid w:val="148368D6"/>
    <w:rsid w:val="148D1503"/>
    <w:rsid w:val="149E0ABD"/>
    <w:rsid w:val="14AC3033"/>
    <w:rsid w:val="14C50C9C"/>
    <w:rsid w:val="14C91E0F"/>
    <w:rsid w:val="14CF1B1B"/>
    <w:rsid w:val="14EF1875"/>
    <w:rsid w:val="14FE7D0A"/>
    <w:rsid w:val="1525173B"/>
    <w:rsid w:val="15316296"/>
    <w:rsid w:val="15515796"/>
    <w:rsid w:val="15783F61"/>
    <w:rsid w:val="159E329B"/>
    <w:rsid w:val="15A4176F"/>
    <w:rsid w:val="15A959CF"/>
    <w:rsid w:val="15B50D11"/>
    <w:rsid w:val="15B77EBD"/>
    <w:rsid w:val="15BB3E4D"/>
    <w:rsid w:val="15D24D4D"/>
    <w:rsid w:val="15E72E94"/>
    <w:rsid w:val="15E769F0"/>
    <w:rsid w:val="16117F11"/>
    <w:rsid w:val="1613309D"/>
    <w:rsid w:val="16210154"/>
    <w:rsid w:val="162B7203"/>
    <w:rsid w:val="16377978"/>
    <w:rsid w:val="16612C47"/>
    <w:rsid w:val="167B560E"/>
    <w:rsid w:val="16BE1E47"/>
    <w:rsid w:val="1720665E"/>
    <w:rsid w:val="172577D0"/>
    <w:rsid w:val="172872C1"/>
    <w:rsid w:val="172F68A1"/>
    <w:rsid w:val="173405AB"/>
    <w:rsid w:val="174727ED"/>
    <w:rsid w:val="17914E66"/>
    <w:rsid w:val="17925102"/>
    <w:rsid w:val="17A728DB"/>
    <w:rsid w:val="17B46DA6"/>
    <w:rsid w:val="17BE626E"/>
    <w:rsid w:val="17DB07D7"/>
    <w:rsid w:val="17E92EF4"/>
    <w:rsid w:val="18133ACD"/>
    <w:rsid w:val="1844637C"/>
    <w:rsid w:val="1849373C"/>
    <w:rsid w:val="18495C6A"/>
    <w:rsid w:val="18585984"/>
    <w:rsid w:val="187C78C4"/>
    <w:rsid w:val="187F1162"/>
    <w:rsid w:val="18807FFC"/>
    <w:rsid w:val="189E3CDE"/>
    <w:rsid w:val="18A60DE5"/>
    <w:rsid w:val="18BA2933"/>
    <w:rsid w:val="18C33745"/>
    <w:rsid w:val="18CC5CBE"/>
    <w:rsid w:val="18D70F9E"/>
    <w:rsid w:val="18D771F0"/>
    <w:rsid w:val="18EE2DF4"/>
    <w:rsid w:val="18FA3E5B"/>
    <w:rsid w:val="192166BD"/>
    <w:rsid w:val="193A152D"/>
    <w:rsid w:val="194303E2"/>
    <w:rsid w:val="195720DF"/>
    <w:rsid w:val="196C1720"/>
    <w:rsid w:val="196C2483"/>
    <w:rsid w:val="197E141A"/>
    <w:rsid w:val="19853F2F"/>
    <w:rsid w:val="199D251F"/>
    <w:rsid w:val="19E25E4D"/>
    <w:rsid w:val="19E33973"/>
    <w:rsid w:val="19E35721"/>
    <w:rsid w:val="1A0062D3"/>
    <w:rsid w:val="1A0E6C42"/>
    <w:rsid w:val="1A11228E"/>
    <w:rsid w:val="1A2E1092"/>
    <w:rsid w:val="1A5F2FF9"/>
    <w:rsid w:val="1A7647E7"/>
    <w:rsid w:val="1A7F5449"/>
    <w:rsid w:val="1A893699"/>
    <w:rsid w:val="1A975A4B"/>
    <w:rsid w:val="1AA71539"/>
    <w:rsid w:val="1AAC0209"/>
    <w:rsid w:val="1AAE5D2F"/>
    <w:rsid w:val="1AB84DFF"/>
    <w:rsid w:val="1AB86BAD"/>
    <w:rsid w:val="1AD212A8"/>
    <w:rsid w:val="1AD31C39"/>
    <w:rsid w:val="1AEF6A73"/>
    <w:rsid w:val="1AF2536A"/>
    <w:rsid w:val="1B0D17E8"/>
    <w:rsid w:val="1B141319"/>
    <w:rsid w:val="1B281F85"/>
    <w:rsid w:val="1B333503"/>
    <w:rsid w:val="1B3950CA"/>
    <w:rsid w:val="1B46065D"/>
    <w:rsid w:val="1B4A3CA9"/>
    <w:rsid w:val="1B55264E"/>
    <w:rsid w:val="1B644941"/>
    <w:rsid w:val="1B682381"/>
    <w:rsid w:val="1B7F1217"/>
    <w:rsid w:val="1B886580"/>
    <w:rsid w:val="1B8A679C"/>
    <w:rsid w:val="1B8B05F0"/>
    <w:rsid w:val="1B8C2514"/>
    <w:rsid w:val="1B920FD2"/>
    <w:rsid w:val="1B996667"/>
    <w:rsid w:val="1B9C027D"/>
    <w:rsid w:val="1BA809D0"/>
    <w:rsid w:val="1BAD238D"/>
    <w:rsid w:val="1BD01CD5"/>
    <w:rsid w:val="1BD60341"/>
    <w:rsid w:val="1BD9502D"/>
    <w:rsid w:val="1BFF1492"/>
    <w:rsid w:val="1C00080C"/>
    <w:rsid w:val="1C314E69"/>
    <w:rsid w:val="1C422BD3"/>
    <w:rsid w:val="1C427076"/>
    <w:rsid w:val="1C4E0CFD"/>
    <w:rsid w:val="1C4E77C9"/>
    <w:rsid w:val="1C6F14EE"/>
    <w:rsid w:val="1C812B5C"/>
    <w:rsid w:val="1C972ECE"/>
    <w:rsid w:val="1C9B0535"/>
    <w:rsid w:val="1CEE2D5A"/>
    <w:rsid w:val="1CF00880"/>
    <w:rsid w:val="1CFD4D4B"/>
    <w:rsid w:val="1D152095"/>
    <w:rsid w:val="1D187DD7"/>
    <w:rsid w:val="1D24052A"/>
    <w:rsid w:val="1D2F4193"/>
    <w:rsid w:val="1D486DD5"/>
    <w:rsid w:val="1D6628F1"/>
    <w:rsid w:val="1D750D86"/>
    <w:rsid w:val="1D772D50"/>
    <w:rsid w:val="1D8A2A83"/>
    <w:rsid w:val="1D9F5E03"/>
    <w:rsid w:val="1DA63635"/>
    <w:rsid w:val="1DC046F7"/>
    <w:rsid w:val="1DC7696E"/>
    <w:rsid w:val="1DCA10D2"/>
    <w:rsid w:val="1DE32D86"/>
    <w:rsid w:val="1DE81558"/>
    <w:rsid w:val="1DF3687A"/>
    <w:rsid w:val="1DFF5378"/>
    <w:rsid w:val="1E002D45"/>
    <w:rsid w:val="1E05035C"/>
    <w:rsid w:val="1E175127"/>
    <w:rsid w:val="1E3B1FCF"/>
    <w:rsid w:val="1E873CC8"/>
    <w:rsid w:val="1E894AE9"/>
    <w:rsid w:val="1E962052"/>
    <w:rsid w:val="1EA91422"/>
    <w:rsid w:val="1EB4768C"/>
    <w:rsid w:val="1EB678A8"/>
    <w:rsid w:val="1EBD29E4"/>
    <w:rsid w:val="1EC91389"/>
    <w:rsid w:val="1F01510E"/>
    <w:rsid w:val="1F1620F4"/>
    <w:rsid w:val="1F1A244F"/>
    <w:rsid w:val="1F1A3993"/>
    <w:rsid w:val="1F2B3DF2"/>
    <w:rsid w:val="1F372A70"/>
    <w:rsid w:val="1F486752"/>
    <w:rsid w:val="1F51312D"/>
    <w:rsid w:val="1F706947"/>
    <w:rsid w:val="1F722D57"/>
    <w:rsid w:val="1FAA1080"/>
    <w:rsid w:val="1FAF3A62"/>
    <w:rsid w:val="1FB57B5F"/>
    <w:rsid w:val="1FB72576"/>
    <w:rsid w:val="1FD64F56"/>
    <w:rsid w:val="1FDF7040"/>
    <w:rsid w:val="1FF40688"/>
    <w:rsid w:val="200A3A07"/>
    <w:rsid w:val="200C59D1"/>
    <w:rsid w:val="20256A93"/>
    <w:rsid w:val="20514B82"/>
    <w:rsid w:val="20743577"/>
    <w:rsid w:val="20943C19"/>
    <w:rsid w:val="20A420AE"/>
    <w:rsid w:val="20A976C4"/>
    <w:rsid w:val="20B35E4D"/>
    <w:rsid w:val="20B54B1F"/>
    <w:rsid w:val="20C26D90"/>
    <w:rsid w:val="20FC3C98"/>
    <w:rsid w:val="21022930"/>
    <w:rsid w:val="212A1E87"/>
    <w:rsid w:val="212B00D9"/>
    <w:rsid w:val="214B077B"/>
    <w:rsid w:val="214E4081"/>
    <w:rsid w:val="215533A8"/>
    <w:rsid w:val="21621621"/>
    <w:rsid w:val="21701F90"/>
    <w:rsid w:val="217952E8"/>
    <w:rsid w:val="217A4BBD"/>
    <w:rsid w:val="217C26E3"/>
    <w:rsid w:val="218614E9"/>
    <w:rsid w:val="218872DA"/>
    <w:rsid w:val="21983295"/>
    <w:rsid w:val="219C2D85"/>
    <w:rsid w:val="21AC3BEE"/>
    <w:rsid w:val="21BA6329"/>
    <w:rsid w:val="21CD6B24"/>
    <w:rsid w:val="21CF315A"/>
    <w:rsid w:val="21D40771"/>
    <w:rsid w:val="21F032CF"/>
    <w:rsid w:val="22031056"/>
    <w:rsid w:val="220C5E7A"/>
    <w:rsid w:val="22205764"/>
    <w:rsid w:val="222114DC"/>
    <w:rsid w:val="222A213F"/>
    <w:rsid w:val="222C235B"/>
    <w:rsid w:val="223B2916"/>
    <w:rsid w:val="2259234A"/>
    <w:rsid w:val="225C2514"/>
    <w:rsid w:val="22614F44"/>
    <w:rsid w:val="227C782C"/>
    <w:rsid w:val="22A30143"/>
    <w:rsid w:val="22A5210D"/>
    <w:rsid w:val="22B42350"/>
    <w:rsid w:val="22C76548"/>
    <w:rsid w:val="22EC0514"/>
    <w:rsid w:val="22F3095B"/>
    <w:rsid w:val="23360FB7"/>
    <w:rsid w:val="23426EE9"/>
    <w:rsid w:val="23614286"/>
    <w:rsid w:val="236A2761"/>
    <w:rsid w:val="23721DF1"/>
    <w:rsid w:val="237C10C0"/>
    <w:rsid w:val="23843AD1"/>
    <w:rsid w:val="2389558B"/>
    <w:rsid w:val="239006C7"/>
    <w:rsid w:val="23955CDE"/>
    <w:rsid w:val="239C2ADB"/>
    <w:rsid w:val="23DE7685"/>
    <w:rsid w:val="24066BDB"/>
    <w:rsid w:val="24087994"/>
    <w:rsid w:val="241E2177"/>
    <w:rsid w:val="24207C9D"/>
    <w:rsid w:val="243948BB"/>
    <w:rsid w:val="24466FD8"/>
    <w:rsid w:val="24572F93"/>
    <w:rsid w:val="245A6346"/>
    <w:rsid w:val="246A0F18"/>
    <w:rsid w:val="247F739F"/>
    <w:rsid w:val="248D10AB"/>
    <w:rsid w:val="249944D1"/>
    <w:rsid w:val="24C26784"/>
    <w:rsid w:val="24C4748D"/>
    <w:rsid w:val="24C50845"/>
    <w:rsid w:val="25090731"/>
    <w:rsid w:val="2524556B"/>
    <w:rsid w:val="252B4B4C"/>
    <w:rsid w:val="252C41B1"/>
    <w:rsid w:val="2533755C"/>
    <w:rsid w:val="254479BB"/>
    <w:rsid w:val="254D6E53"/>
    <w:rsid w:val="25520CCD"/>
    <w:rsid w:val="25A22934"/>
    <w:rsid w:val="25B06DFF"/>
    <w:rsid w:val="25CB4399"/>
    <w:rsid w:val="25E044AE"/>
    <w:rsid w:val="25F27417"/>
    <w:rsid w:val="25F50CB6"/>
    <w:rsid w:val="262B46D7"/>
    <w:rsid w:val="26321F0A"/>
    <w:rsid w:val="26437C73"/>
    <w:rsid w:val="2661634B"/>
    <w:rsid w:val="2665408D"/>
    <w:rsid w:val="2677273A"/>
    <w:rsid w:val="267E514F"/>
    <w:rsid w:val="26881B2A"/>
    <w:rsid w:val="268D0EEE"/>
    <w:rsid w:val="268F2EB8"/>
    <w:rsid w:val="26AF258B"/>
    <w:rsid w:val="26B3342C"/>
    <w:rsid w:val="26B648E9"/>
    <w:rsid w:val="26B96187"/>
    <w:rsid w:val="26D44D6F"/>
    <w:rsid w:val="26ED2866"/>
    <w:rsid w:val="26F96584"/>
    <w:rsid w:val="2705317A"/>
    <w:rsid w:val="270A253F"/>
    <w:rsid w:val="27133AE9"/>
    <w:rsid w:val="27135897"/>
    <w:rsid w:val="27257379"/>
    <w:rsid w:val="27351CB2"/>
    <w:rsid w:val="274F0899"/>
    <w:rsid w:val="27545EB0"/>
    <w:rsid w:val="275C6038"/>
    <w:rsid w:val="277B343D"/>
    <w:rsid w:val="278E4F1E"/>
    <w:rsid w:val="2790513A"/>
    <w:rsid w:val="27BF4B84"/>
    <w:rsid w:val="27DF39CB"/>
    <w:rsid w:val="27E160ED"/>
    <w:rsid w:val="27E70AD2"/>
    <w:rsid w:val="27E92A9C"/>
    <w:rsid w:val="27F03E2A"/>
    <w:rsid w:val="27F51441"/>
    <w:rsid w:val="27F531EF"/>
    <w:rsid w:val="28203476"/>
    <w:rsid w:val="28243AD4"/>
    <w:rsid w:val="28365C04"/>
    <w:rsid w:val="28486025"/>
    <w:rsid w:val="28667C49"/>
    <w:rsid w:val="286D0FD7"/>
    <w:rsid w:val="287E31E4"/>
    <w:rsid w:val="288E0F4E"/>
    <w:rsid w:val="289522DC"/>
    <w:rsid w:val="28AF15F0"/>
    <w:rsid w:val="28D04EA7"/>
    <w:rsid w:val="28D9666D"/>
    <w:rsid w:val="28DB0637"/>
    <w:rsid w:val="28E15521"/>
    <w:rsid w:val="28EC1992"/>
    <w:rsid w:val="28F45446"/>
    <w:rsid w:val="2907142C"/>
    <w:rsid w:val="291D29FD"/>
    <w:rsid w:val="29211DC2"/>
    <w:rsid w:val="292A511A"/>
    <w:rsid w:val="29564161"/>
    <w:rsid w:val="296C7758"/>
    <w:rsid w:val="29883BEF"/>
    <w:rsid w:val="299F1664"/>
    <w:rsid w:val="29BD1AEA"/>
    <w:rsid w:val="29C015DB"/>
    <w:rsid w:val="29C208F0"/>
    <w:rsid w:val="2A047719"/>
    <w:rsid w:val="2A067935"/>
    <w:rsid w:val="2A105610"/>
    <w:rsid w:val="2A247DBB"/>
    <w:rsid w:val="2A314286"/>
    <w:rsid w:val="2A41096D"/>
    <w:rsid w:val="2A570191"/>
    <w:rsid w:val="2A571F3F"/>
    <w:rsid w:val="2A5A37DD"/>
    <w:rsid w:val="2AA8279A"/>
    <w:rsid w:val="2ABE1FBE"/>
    <w:rsid w:val="2AC60E73"/>
    <w:rsid w:val="2AF552B4"/>
    <w:rsid w:val="2B006133"/>
    <w:rsid w:val="2B0D0850"/>
    <w:rsid w:val="2B0D4CF3"/>
    <w:rsid w:val="2B345DDC"/>
    <w:rsid w:val="2B365FF8"/>
    <w:rsid w:val="2B366200"/>
    <w:rsid w:val="2B3B53BD"/>
    <w:rsid w:val="2B5D17D7"/>
    <w:rsid w:val="2B5E72FD"/>
    <w:rsid w:val="2B633ADC"/>
    <w:rsid w:val="2B82123D"/>
    <w:rsid w:val="2B9872F8"/>
    <w:rsid w:val="2BDD0222"/>
    <w:rsid w:val="2BEC66B7"/>
    <w:rsid w:val="2BED28C7"/>
    <w:rsid w:val="2BF65EA6"/>
    <w:rsid w:val="2BFC02D1"/>
    <w:rsid w:val="2BFC6D32"/>
    <w:rsid w:val="2C0719F0"/>
    <w:rsid w:val="2C077995"/>
    <w:rsid w:val="2C1F6654"/>
    <w:rsid w:val="2C2E7758"/>
    <w:rsid w:val="2C3F0EDD"/>
    <w:rsid w:val="2C615316"/>
    <w:rsid w:val="2C657298"/>
    <w:rsid w:val="2C70553A"/>
    <w:rsid w:val="2C7911E0"/>
    <w:rsid w:val="2C7D1A05"/>
    <w:rsid w:val="2C7F39CF"/>
    <w:rsid w:val="2C8C39F6"/>
    <w:rsid w:val="2CAD4098"/>
    <w:rsid w:val="2CE35D0C"/>
    <w:rsid w:val="2D0143E4"/>
    <w:rsid w:val="2D0619FA"/>
    <w:rsid w:val="2D0637A8"/>
    <w:rsid w:val="2D0A363A"/>
    <w:rsid w:val="2D2D51D9"/>
    <w:rsid w:val="2D2F71A3"/>
    <w:rsid w:val="2D411C4E"/>
    <w:rsid w:val="2D4349FC"/>
    <w:rsid w:val="2D435A68"/>
    <w:rsid w:val="2D450775"/>
    <w:rsid w:val="2D4B685B"/>
    <w:rsid w:val="2D4C1B03"/>
    <w:rsid w:val="2D4F33A1"/>
    <w:rsid w:val="2D686211"/>
    <w:rsid w:val="2D6D1A79"/>
    <w:rsid w:val="2D727090"/>
    <w:rsid w:val="2D8A43D9"/>
    <w:rsid w:val="2D905576"/>
    <w:rsid w:val="2D986AF6"/>
    <w:rsid w:val="2DA31D38"/>
    <w:rsid w:val="2DA336ED"/>
    <w:rsid w:val="2DAA05D8"/>
    <w:rsid w:val="2DC85380"/>
    <w:rsid w:val="2DCA2A28"/>
    <w:rsid w:val="2DCE1B55"/>
    <w:rsid w:val="2DE25FC3"/>
    <w:rsid w:val="2DFF6B75"/>
    <w:rsid w:val="2E132621"/>
    <w:rsid w:val="2E216586"/>
    <w:rsid w:val="2E254102"/>
    <w:rsid w:val="2E3569FF"/>
    <w:rsid w:val="2E444588"/>
    <w:rsid w:val="2E494294"/>
    <w:rsid w:val="2E552C39"/>
    <w:rsid w:val="2E755089"/>
    <w:rsid w:val="2E7F1A64"/>
    <w:rsid w:val="2E813A2E"/>
    <w:rsid w:val="2E8B21B7"/>
    <w:rsid w:val="2E912571"/>
    <w:rsid w:val="2E974057"/>
    <w:rsid w:val="2E9F315C"/>
    <w:rsid w:val="2EA65243"/>
    <w:rsid w:val="2EA9281C"/>
    <w:rsid w:val="2EB37960"/>
    <w:rsid w:val="2EC102CF"/>
    <w:rsid w:val="2F041F69"/>
    <w:rsid w:val="2F0B154A"/>
    <w:rsid w:val="2F0E4B96"/>
    <w:rsid w:val="2F120B2A"/>
    <w:rsid w:val="2F1A353B"/>
    <w:rsid w:val="2F1F6DA3"/>
    <w:rsid w:val="2F2E38F9"/>
    <w:rsid w:val="2F2F5238"/>
    <w:rsid w:val="2F436F36"/>
    <w:rsid w:val="2F452CAE"/>
    <w:rsid w:val="2F596BAF"/>
    <w:rsid w:val="2F6649D2"/>
    <w:rsid w:val="2F807842"/>
    <w:rsid w:val="2FA07EE4"/>
    <w:rsid w:val="2FA15A0A"/>
    <w:rsid w:val="2FA379D4"/>
    <w:rsid w:val="2FB27C17"/>
    <w:rsid w:val="2FB90FA6"/>
    <w:rsid w:val="2FBB4D1E"/>
    <w:rsid w:val="2FD45DE0"/>
    <w:rsid w:val="2FF3270A"/>
    <w:rsid w:val="2FFD70E5"/>
    <w:rsid w:val="30072EFD"/>
    <w:rsid w:val="30085A89"/>
    <w:rsid w:val="30135523"/>
    <w:rsid w:val="3014442E"/>
    <w:rsid w:val="301729F2"/>
    <w:rsid w:val="301B57BD"/>
    <w:rsid w:val="30347DA4"/>
    <w:rsid w:val="3046275B"/>
    <w:rsid w:val="305331A8"/>
    <w:rsid w:val="30711068"/>
    <w:rsid w:val="307F7AFA"/>
    <w:rsid w:val="309A2B85"/>
    <w:rsid w:val="30B07949"/>
    <w:rsid w:val="30D42A97"/>
    <w:rsid w:val="30E20088"/>
    <w:rsid w:val="310D475F"/>
    <w:rsid w:val="31102E48"/>
    <w:rsid w:val="31150FA9"/>
    <w:rsid w:val="311A0CF9"/>
    <w:rsid w:val="311A5A74"/>
    <w:rsid w:val="311D7312"/>
    <w:rsid w:val="312468F3"/>
    <w:rsid w:val="313308E4"/>
    <w:rsid w:val="31534978"/>
    <w:rsid w:val="315F6EB9"/>
    <w:rsid w:val="31653193"/>
    <w:rsid w:val="31927D00"/>
    <w:rsid w:val="31BC6B2B"/>
    <w:rsid w:val="31C53C32"/>
    <w:rsid w:val="31D200FD"/>
    <w:rsid w:val="31D8203D"/>
    <w:rsid w:val="31D976DD"/>
    <w:rsid w:val="31E43CC1"/>
    <w:rsid w:val="31E87920"/>
    <w:rsid w:val="31FE0EF2"/>
    <w:rsid w:val="31FE2893"/>
    <w:rsid w:val="32132BEF"/>
    <w:rsid w:val="32261770"/>
    <w:rsid w:val="322C3CB1"/>
    <w:rsid w:val="325B7E6C"/>
    <w:rsid w:val="325C3658"/>
    <w:rsid w:val="32700042"/>
    <w:rsid w:val="32780CA4"/>
    <w:rsid w:val="32816E64"/>
    <w:rsid w:val="3281717C"/>
    <w:rsid w:val="32AA2E28"/>
    <w:rsid w:val="32B85545"/>
    <w:rsid w:val="32DA54BB"/>
    <w:rsid w:val="32DD144F"/>
    <w:rsid w:val="32FB17B4"/>
    <w:rsid w:val="33072CF4"/>
    <w:rsid w:val="3308777A"/>
    <w:rsid w:val="3317670F"/>
    <w:rsid w:val="331C1F78"/>
    <w:rsid w:val="332C482A"/>
    <w:rsid w:val="333948D8"/>
    <w:rsid w:val="336456CD"/>
    <w:rsid w:val="33680D19"/>
    <w:rsid w:val="339715FE"/>
    <w:rsid w:val="33A1247D"/>
    <w:rsid w:val="33A51F6D"/>
    <w:rsid w:val="33A663C1"/>
    <w:rsid w:val="33AE5013"/>
    <w:rsid w:val="33B850E7"/>
    <w:rsid w:val="33E83C08"/>
    <w:rsid w:val="33EA7980"/>
    <w:rsid w:val="33EF143A"/>
    <w:rsid w:val="33F94067"/>
    <w:rsid w:val="341113B0"/>
    <w:rsid w:val="34130C0E"/>
    <w:rsid w:val="341F5F58"/>
    <w:rsid w:val="34403A44"/>
    <w:rsid w:val="345B1148"/>
    <w:rsid w:val="34675474"/>
    <w:rsid w:val="34677222"/>
    <w:rsid w:val="346E05B1"/>
    <w:rsid w:val="349260CF"/>
    <w:rsid w:val="349D6F1D"/>
    <w:rsid w:val="34A42225"/>
    <w:rsid w:val="34BA15FF"/>
    <w:rsid w:val="34D60535"/>
    <w:rsid w:val="34E61A2F"/>
    <w:rsid w:val="34E84E24"/>
    <w:rsid w:val="34F52A80"/>
    <w:rsid w:val="35020CF9"/>
    <w:rsid w:val="350727B3"/>
    <w:rsid w:val="35150A2C"/>
    <w:rsid w:val="35260E8C"/>
    <w:rsid w:val="352670DE"/>
    <w:rsid w:val="352D221A"/>
    <w:rsid w:val="35335357"/>
    <w:rsid w:val="35352E7D"/>
    <w:rsid w:val="353D61D5"/>
    <w:rsid w:val="353E4427"/>
    <w:rsid w:val="354E2190"/>
    <w:rsid w:val="35586B6B"/>
    <w:rsid w:val="355A1FDF"/>
    <w:rsid w:val="355F7EFA"/>
    <w:rsid w:val="357C0AAC"/>
    <w:rsid w:val="357C7F4E"/>
    <w:rsid w:val="358643DE"/>
    <w:rsid w:val="3592207D"/>
    <w:rsid w:val="35981787"/>
    <w:rsid w:val="35A3428A"/>
    <w:rsid w:val="35AB75E3"/>
    <w:rsid w:val="35BF159A"/>
    <w:rsid w:val="35C42453"/>
    <w:rsid w:val="35DE2B99"/>
    <w:rsid w:val="35EA3ADE"/>
    <w:rsid w:val="35ED7BFB"/>
    <w:rsid w:val="35EF4E1B"/>
    <w:rsid w:val="35F76384"/>
    <w:rsid w:val="35FB0615"/>
    <w:rsid w:val="35FB40C6"/>
    <w:rsid w:val="361E6007"/>
    <w:rsid w:val="363C648D"/>
    <w:rsid w:val="363D46DF"/>
    <w:rsid w:val="364041CF"/>
    <w:rsid w:val="36415851"/>
    <w:rsid w:val="36445757"/>
    <w:rsid w:val="365B387E"/>
    <w:rsid w:val="365E28A7"/>
    <w:rsid w:val="366C4FC4"/>
    <w:rsid w:val="366D6047"/>
    <w:rsid w:val="36716136"/>
    <w:rsid w:val="3676374D"/>
    <w:rsid w:val="3680281D"/>
    <w:rsid w:val="36962041"/>
    <w:rsid w:val="36B83D65"/>
    <w:rsid w:val="37022F00"/>
    <w:rsid w:val="3705167A"/>
    <w:rsid w:val="371511B8"/>
    <w:rsid w:val="371D62BE"/>
    <w:rsid w:val="3724764D"/>
    <w:rsid w:val="372A4537"/>
    <w:rsid w:val="3744384B"/>
    <w:rsid w:val="37465815"/>
    <w:rsid w:val="375842D9"/>
    <w:rsid w:val="375D7A2B"/>
    <w:rsid w:val="376E6B1A"/>
    <w:rsid w:val="37712166"/>
    <w:rsid w:val="378123A9"/>
    <w:rsid w:val="378D6FA0"/>
    <w:rsid w:val="37A4253C"/>
    <w:rsid w:val="37A442EA"/>
    <w:rsid w:val="37BF1123"/>
    <w:rsid w:val="37DF5322"/>
    <w:rsid w:val="37E1109A"/>
    <w:rsid w:val="37E66CE8"/>
    <w:rsid w:val="37EB2D52"/>
    <w:rsid w:val="380B6117"/>
    <w:rsid w:val="3810197F"/>
    <w:rsid w:val="38196A86"/>
    <w:rsid w:val="381979D3"/>
    <w:rsid w:val="38284F1B"/>
    <w:rsid w:val="382C4A0B"/>
    <w:rsid w:val="383438BF"/>
    <w:rsid w:val="384004B6"/>
    <w:rsid w:val="384973E2"/>
    <w:rsid w:val="38561184"/>
    <w:rsid w:val="38590920"/>
    <w:rsid w:val="38650B2B"/>
    <w:rsid w:val="386B4E07"/>
    <w:rsid w:val="38750761"/>
    <w:rsid w:val="38A10829"/>
    <w:rsid w:val="38AD71CE"/>
    <w:rsid w:val="38B14F10"/>
    <w:rsid w:val="38B22A36"/>
    <w:rsid w:val="38C22C79"/>
    <w:rsid w:val="38D26C34"/>
    <w:rsid w:val="38FE5C7B"/>
    <w:rsid w:val="390E5EBF"/>
    <w:rsid w:val="391032FB"/>
    <w:rsid w:val="39144F66"/>
    <w:rsid w:val="39730417"/>
    <w:rsid w:val="39846181"/>
    <w:rsid w:val="39861EF9"/>
    <w:rsid w:val="399860D0"/>
    <w:rsid w:val="39A544BC"/>
    <w:rsid w:val="39A607ED"/>
    <w:rsid w:val="39D32C64"/>
    <w:rsid w:val="39DC5FBD"/>
    <w:rsid w:val="39E2653D"/>
    <w:rsid w:val="39E430C3"/>
    <w:rsid w:val="39E92488"/>
    <w:rsid w:val="39EB26A4"/>
    <w:rsid w:val="39F2758E"/>
    <w:rsid w:val="39F5243C"/>
    <w:rsid w:val="3A0021AC"/>
    <w:rsid w:val="3A39340F"/>
    <w:rsid w:val="3A7206CF"/>
    <w:rsid w:val="3A816B64"/>
    <w:rsid w:val="3A8E4BBF"/>
    <w:rsid w:val="3AA30888"/>
    <w:rsid w:val="3AAA2432"/>
    <w:rsid w:val="3ABE3914"/>
    <w:rsid w:val="3AC84793"/>
    <w:rsid w:val="3ACC6031"/>
    <w:rsid w:val="3AD273C0"/>
    <w:rsid w:val="3AE35129"/>
    <w:rsid w:val="3AE55345"/>
    <w:rsid w:val="3AEF1D20"/>
    <w:rsid w:val="3AF15A98"/>
    <w:rsid w:val="3AFB2473"/>
    <w:rsid w:val="3AFD443D"/>
    <w:rsid w:val="3B0F5F1E"/>
    <w:rsid w:val="3B245E6D"/>
    <w:rsid w:val="3B2C2F74"/>
    <w:rsid w:val="3B337E5E"/>
    <w:rsid w:val="3B443337"/>
    <w:rsid w:val="3B567FF1"/>
    <w:rsid w:val="3B6049CB"/>
    <w:rsid w:val="3B710987"/>
    <w:rsid w:val="3B733902"/>
    <w:rsid w:val="3B800BCA"/>
    <w:rsid w:val="3B8C756F"/>
    <w:rsid w:val="3B90705F"/>
    <w:rsid w:val="3BA70BAC"/>
    <w:rsid w:val="3BAC7C11"/>
    <w:rsid w:val="3BC211E2"/>
    <w:rsid w:val="3BC62A80"/>
    <w:rsid w:val="3BC9431F"/>
    <w:rsid w:val="3BE23632"/>
    <w:rsid w:val="3C0161AE"/>
    <w:rsid w:val="3C095063"/>
    <w:rsid w:val="3C2022F0"/>
    <w:rsid w:val="3C207CB3"/>
    <w:rsid w:val="3C277297"/>
    <w:rsid w:val="3C2974B3"/>
    <w:rsid w:val="3C3F0879"/>
    <w:rsid w:val="3C400249"/>
    <w:rsid w:val="3C4B742A"/>
    <w:rsid w:val="3C4D2BCC"/>
    <w:rsid w:val="3C574020"/>
    <w:rsid w:val="3C6329C5"/>
    <w:rsid w:val="3C950D47"/>
    <w:rsid w:val="3C9A5CBB"/>
    <w:rsid w:val="3CAC611A"/>
    <w:rsid w:val="3CCD7E3F"/>
    <w:rsid w:val="3CD25455"/>
    <w:rsid w:val="3CD70236"/>
    <w:rsid w:val="3CE53DCB"/>
    <w:rsid w:val="3D0B562A"/>
    <w:rsid w:val="3D11482D"/>
    <w:rsid w:val="3D2959BD"/>
    <w:rsid w:val="3D29776B"/>
    <w:rsid w:val="3D4C3459"/>
    <w:rsid w:val="3D5567B2"/>
    <w:rsid w:val="3D583BAC"/>
    <w:rsid w:val="3D595B76"/>
    <w:rsid w:val="3D874491"/>
    <w:rsid w:val="3D8D74B5"/>
    <w:rsid w:val="3D8F0A2E"/>
    <w:rsid w:val="3DCC6348"/>
    <w:rsid w:val="3DCE20C0"/>
    <w:rsid w:val="3DD11BB1"/>
    <w:rsid w:val="3DD932F5"/>
    <w:rsid w:val="3DDC47DD"/>
    <w:rsid w:val="3DEB2C72"/>
    <w:rsid w:val="3DEC0798"/>
    <w:rsid w:val="3E106BFF"/>
    <w:rsid w:val="3E1C1AF3"/>
    <w:rsid w:val="3E214783"/>
    <w:rsid w:val="3E2C05C7"/>
    <w:rsid w:val="3E410AE4"/>
    <w:rsid w:val="3E546A69"/>
    <w:rsid w:val="3E642A25"/>
    <w:rsid w:val="3E6E4E6B"/>
    <w:rsid w:val="3E78202C"/>
    <w:rsid w:val="3E88226F"/>
    <w:rsid w:val="3E8F1850"/>
    <w:rsid w:val="3E927592"/>
    <w:rsid w:val="3E970704"/>
    <w:rsid w:val="3E974BA8"/>
    <w:rsid w:val="3E9C718F"/>
    <w:rsid w:val="3EAB2402"/>
    <w:rsid w:val="3EC20AC4"/>
    <w:rsid w:val="3ED100BA"/>
    <w:rsid w:val="3ED35DB7"/>
    <w:rsid w:val="3EE11ADE"/>
    <w:rsid w:val="3EF25FA6"/>
    <w:rsid w:val="3F022566"/>
    <w:rsid w:val="3F0A35CC"/>
    <w:rsid w:val="3F1665F9"/>
    <w:rsid w:val="3F1E00A0"/>
    <w:rsid w:val="3F2521B4"/>
    <w:rsid w:val="3F253F62"/>
    <w:rsid w:val="3F367F1D"/>
    <w:rsid w:val="3F402B4A"/>
    <w:rsid w:val="3F4168C2"/>
    <w:rsid w:val="3F44150A"/>
    <w:rsid w:val="3F473ED8"/>
    <w:rsid w:val="3F4940F4"/>
    <w:rsid w:val="3F4D7CD4"/>
    <w:rsid w:val="3F5605BF"/>
    <w:rsid w:val="3F585F31"/>
    <w:rsid w:val="3F656A54"/>
    <w:rsid w:val="3F6A7BC7"/>
    <w:rsid w:val="3F6F78D3"/>
    <w:rsid w:val="3F7722E4"/>
    <w:rsid w:val="3F7B1DD4"/>
    <w:rsid w:val="3F9E1105"/>
    <w:rsid w:val="3FA4757D"/>
    <w:rsid w:val="3FB53496"/>
    <w:rsid w:val="3FB7476E"/>
    <w:rsid w:val="3FC714BD"/>
    <w:rsid w:val="3FDD483D"/>
    <w:rsid w:val="3FEA4714"/>
    <w:rsid w:val="3FFD7F66"/>
    <w:rsid w:val="4008349B"/>
    <w:rsid w:val="400B75FC"/>
    <w:rsid w:val="4010076E"/>
    <w:rsid w:val="40181D19"/>
    <w:rsid w:val="40185875"/>
    <w:rsid w:val="401F30A7"/>
    <w:rsid w:val="4021297B"/>
    <w:rsid w:val="40295CD4"/>
    <w:rsid w:val="40555D6E"/>
    <w:rsid w:val="405C39B3"/>
    <w:rsid w:val="40703298"/>
    <w:rsid w:val="40833636"/>
    <w:rsid w:val="408D1DBF"/>
    <w:rsid w:val="409420DA"/>
    <w:rsid w:val="40B30F05"/>
    <w:rsid w:val="40C8729B"/>
    <w:rsid w:val="40CB0B39"/>
    <w:rsid w:val="40CD48B1"/>
    <w:rsid w:val="40CD665F"/>
    <w:rsid w:val="40D514AA"/>
    <w:rsid w:val="40DE170D"/>
    <w:rsid w:val="40EB1D66"/>
    <w:rsid w:val="40F2510D"/>
    <w:rsid w:val="411B3A43"/>
    <w:rsid w:val="413277CA"/>
    <w:rsid w:val="41405083"/>
    <w:rsid w:val="4157061F"/>
    <w:rsid w:val="41744D2D"/>
    <w:rsid w:val="418C0847"/>
    <w:rsid w:val="41AB4759"/>
    <w:rsid w:val="41B45A71"/>
    <w:rsid w:val="41C95079"/>
    <w:rsid w:val="41CF4659"/>
    <w:rsid w:val="41D34149"/>
    <w:rsid w:val="41DA54D8"/>
    <w:rsid w:val="42040184"/>
    <w:rsid w:val="420662CD"/>
    <w:rsid w:val="420C31B7"/>
    <w:rsid w:val="42100EF9"/>
    <w:rsid w:val="421502BE"/>
    <w:rsid w:val="42313F06"/>
    <w:rsid w:val="42470E98"/>
    <w:rsid w:val="42562684"/>
    <w:rsid w:val="425A03C6"/>
    <w:rsid w:val="42884F34"/>
    <w:rsid w:val="428E6874"/>
    <w:rsid w:val="42A14BBD"/>
    <w:rsid w:val="42CB6BCE"/>
    <w:rsid w:val="42CD0B98"/>
    <w:rsid w:val="42EA174A"/>
    <w:rsid w:val="431E3072"/>
    <w:rsid w:val="432D09BF"/>
    <w:rsid w:val="43351583"/>
    <w:rsid w:val="43374264"/>
    <w:rsid w:val="434B7D0F"/>
    <w:rsid w:val="435272F0"/>
    <w:rsid w:val="43617533"/>
    <w:rsid w:val="43763667"/>
    <w:rsid w:val="43770B04"/>
    <w:rsid w:val="4381268E"/>
    <w:rsid w:val="43813731"/>
    <w:rsid w:val="43820D0B"/>
    <w:rsid w:val="438D657A"/>
    <w:rsid w:val="4391606A"/>
    <w:rsid w:val="439D2E88"/>
    <w:rsid w:val="43AF7095"/>
    <w:rsid w:val="43B21B3C"/>
    <w:rsid w:val="43EE12FB"/>
    <w:rsid w:val="43F65ECD"/>
    <w:rsid w:val="441D16AC"/>
    <w:rsid w:val="44222CAF"/>
    <w:rsid w:val="442A3DC9"/>
    <w:rsid w:val="44354C47"/>
    <w:rsid w:val="444625F0"/>
    <w:rsid w:val="444F55DD"/>
    <w:rsid w:val="44542A12"/>
    <w:rsid w:val="44692B43"/>
    <w:rsid w:val="446C618F"/>
    <w:rsid w:val="447137A5"/>
    <w:rsid w:val="44953938"/>
    <w:rsid w:val="44A56A8B"/>
    <w:rsid w:val="44D04970"/>
    <w:rsid w:val="44F248E6"/>
    <w:rsid w:val="44FF34A7"/>
    <w:rsid w:val="45045743"/>
    <w:rsid w:val="45246F22"/>
    <w:rsid w:val="452D1DC2"/>
    <w:rsid w:val="45356EC9"/>
    <w:rsid w:val="4568104C"/>
    <w:rsid w:val="456A75B3"/>
    <w:rsid w:val="45815C6A"/>
    <w:rsid w:val="458C4D3B"/>
    <w:rsid w:val="45905EAD"/>
    <w:rsid w:val="459C093A"/>
    <w:rsid w:val="45B1127B"/>
    <w:rsid w:val="45B1654F"/>
    <w:rsid w:val="45B92459"/>
    <w:rsid w:val="45C142B9"/>
    <w:rsid w:val="45CA13BF"/>
    <w:rsid w:val="45CC3389"/>
    <w:rsid w:val="45EE77A4"/>
    <w:rsid w:val="45F12DF0"/>
    <w:rsid w:val="461F5BAF"/>
    <w:rsid w:val="462C02CC"/>
    <w:rsid w:val="46401681"/>
    <w:rsid w:val="46496788"/>
    <w:rsid w:val="4668345C"/>
    <w:rsid w:val="4677696F"/>
    <w:rsid w:val="467B3B1C"/>
    <w:rsid w:val="46911EDD"/>
    <w:rsid w:val="46B06807"/>
    <w:rsid w:val="46B53706"/>
    <w:rsid w:val="46CC73B9"/>
    <w:rsid w:val="46D17B8D"/>
    <w:rsid w:val="46D32666"/>
    <w:rsid w:val="46D544C0"/>
    <w:rsid w:val="46DA77A2"/>
    <w:rsid w:val="46DF3AAB"/>
    <w:rsid w:val="46E14C12"/>
    <w:rsid w:val="46FA2178"/>
    <w:rsid w:val="46FC1A4C"/>
    <w:rsid w:val="46FD57C4"/>
    <w:rsid w:val="470B6133"/>
    <w:rsid w:val="473311E6"/>
    <w:rsid w:val="473A35E2"/>
    <w:rsid w:val="474F593B"/>
    <w:rsid w:val="475C073D"/>
    <w:rsid w:val="475D76B0"/>
    <w:rsid w:val="476500B3"/>
    <w:rsid w:val="476870E2"/>
    <w:rsid w:val="477626C0"/>
    <w:rsid w:val="4783216D"/>
    <w:rsid w:val="4789677A"/>
    <w:rsid w:val="478F466E"/>
    <w:rsid w:val="47971775"/>
    <w:rsid w:val="47AF475B"/>
    <w:rsid w:val="47AF6ABF"/>
    <w:rsid w:val="47B71E17"/>
    <w:rsid w:val="47C36A0E"/>
    <w:rsid w:val="47C6205A"/>
    <w:rsid w:val="47D06A35"/>
    <w:rsid w:val="47D541ED"/>
    <w:rsid w:val="47E81FD1"/>
    <w:rsid w:val="47E86474"/>
    <w:rsid w:val="47ED3A8B"/>
    <w:rsid w:val="47EF15B1"/>
    <w:rsid w:val="4803505C"/>
    <w:rsid w:val="481728B6"/>
    <w:rsid w:val="48181D3F"/>
    <w:rsid w:val="481903DC"/>
    <w:rsid w:val="482E20D9"/>
    <w:rsid w:val="483B2A48"/>
    <w:rsid w:val="484511D1"/>
    <w:rsid w:val="48592ECE"/>
    <w:rsid w:val="48645AFB"/>
    <w:rsid w:val="486A50DB"/>
    <w:rsid w:val="48763A80"/>
    <w:rsid w:val="48895562"/>
    <w:rsid w:val="488E4809"/>
    <w:rsid w:val="489F2FD7"/>
    <w:rsid w:val="48A51C70"/>
    <w:rsid w:val="48B9571B"/>
    <w:rsid w:val="48BF2D31"/>
    <w:rsid w:val="49121BEA"/>
    <w:rsid w:val="491C4628"/>
    <w:rsid w:val="49210164"/>
    <w:rsid w:val="493C0826"/>
    <w:rsid w:val="493F2815"/>
    <w:rsid w:val="495518E8"/>
    <w:rsid w:val="496F29A9"/>
    <w:rsid w:val="49731D6E"/>
    <w:rsid w:val="49895E52"/>
    <w:rsid w:val="498E4CFA"/>
    <w:rsid w:val="49A63F99"/>
    <w:rsid w:val="49B760FE"/>
    <w:rsid w:val="49C5081B"/>
    <w:rsid w:val="49CD147E"/>
    <w:rsid w:val="4A054B02"/>
    <w:rsid w:val="4A0A26D2"/>
    <w:rsid w:val="4A171B6A"/>
    <w:rsid w:val="4A1A5506"/>
    <w:rsid w:val="4A2A2D74"/>
    <w:rsid w:val="4A3C5BA1"/>
    <w:rsid w:val="4A4135B3"/>
    <w:rsid w:val="4A443E36"/>
    <w:rsid w:val="4A491FEF"/>
    <w:rsid w:val="4A4D25BF"/>
    <w:rsid w:val="4A513E5D"/>
    <w:rsid w:val="4A541B9F"/>
    <w:rsid w:val="4A6F69D9"/>
    <w:rsid w:val="4A790F50"/>
    <w:rsid w:val="4A946440"/>
    <w:rsid w:val="4A9B332A"/>
    <w:rsid w:val="4ABD14F2"/>
    <w:rsid w:val="4AC62A9D"/>
    <w:rsid w:val="4AD12E5A"/>
    <w:rsid w:val="4ADF3B5F"/>
    <w:rsid w:val="4AE7656F"/>
    <w:rsid w:val="4AEC002A"/>
    <w:rsid w:val="4B1D4687"/>
    <w:rsid w:val="4B3A0D95"/>
    <w:rsid w:val="4B3D2633"/>
    <w:rsid w:val="4B4C2876"/>
    <w:rsid w:val="4B5F6A4E"/>
    <w:rsid w:val="4B6D116B"/>
    <w:rsid w:val="4B7A73E4"/>
    <w:rsid w:val="4B9F509C"/>
    <w:rsid w:val="4BB70638"/>
    <w:rsid w:val="4BD5286C"/>
    <w:rsid w:val="4BD72A88"/>
    <w:rsid w:val="4BE3142D"/>
    <w:rsid w:val="4BF03B4A"/>
    <w:rsid w:val="4BFB49C8"/>
    <w:rsid w:val="4BFC3043"/>
    <w:rsid w:val="4C0D0258"/>
    <w:rsid w:val="4C16799F"/>
    <w:rsid w:val="4C2061DD"/>
    <w:rsid w:val="4C27793F"/>
    <w:rsid w:val="4C2A0E0A"/>
    <w:rsid w:val="4C4F3781"/>
    <w:rsid w:val="4C60482B"/>
    <w:rsid w:val="4C6E3FE2"/>
    <w:rsid w:val="4C7327B1"/>
    <w:rsid w:val="4CCC0113"/>
    <w:rsid w:val="4CE23492"/>
    <w:rsid w:val="4CE90CC5"/>
    <w:rsid w:val="4D001B6A"/>
    <w:rsid w:val="4D072EF9"/>
    <w:rsid w:val="4D0C075F"/>
    <w:rsid w:val="4D0C69ED"/>
    <w:rsid w:val="4D123792"/>
    <w:rsid w:val="4D333CEE"/>
    <w:rsid w:val="4D502AF2"/>
    <w:rsid w:val="4D5F2D35"/>
    <w:rsid w:val="4D6C7200"/>
    <w:rsid w:val="4D866514"/>
    <w:rsid w:val="4D8C1650"/>
    <w:rsid w:val="4D9B5F33"/>
    <w:rsid w:val="4DC1754C"/>
    <w:rsid w:val="4DC332C4"/>
    <w:rsid w:val="4DC62DB4"/>
    <w:rsid w:val="4DDD3C5A"/>
    <w:rsid w:val="4DFF0074"/>
    <w:rsid w:val="4E0336C0"/>
    <w:rsid w:val="4E0631B0"/>
    <w:rsid w:val="4E10402F"/>
    <w:rsid w:val="4E2D2E33"/>
    <w:rsid w:val="4E355844"/>
    <w:rsid w:val="4E3E294A"/>
    <w:rsid w:val="4E4D2E49"/>
    <w:rsid w:val="4E655F25"/>
    <w:rsid w:val="4E6A373F"/>
    <w:rsid w:val="4E6C1EC1"/>
    <w:rsid w:val="4E7520E4"/>
    <w:rsid w:val="4E916F1E"/>
    <w:rsid w:val="4E9346DE"/>
    <w:rsid w:val="4EB26E94"/>
    <w:rsid w:val="4EDB288F"/>
    <w:rsid w:val="4EDE5EDB"/>
    <w:rsid w:val="4EE71234"/>
    <w:rsid w:val="4EF17387"/>
    <w:rsid w:val="4F1813ED"/>
    <w:rsid w:val="4F4E12B3"/>
    <w:rsid w:val="4F652159"/>
    <w:rsid w:val="4F8922EB"/>
    <w:rsid w:val="4F9C3DCC"/>
    <w:rsid w:val="4F9D18F3"/>
    <w:rsid w:val="4F9F566B"/>
    <w:rsid w:val="4FA42C81"/>
    <w:rsid w:val="4FA73F0D"/>
    <w:rsid w:val="4FAD5E6E"/>
    <w:rsid w:val="4FD77DC0"/>
    <w:rsid w:val="4FD86DCF"/>
    <w:rsid w:val="4FE37C4D"/>
    <w:rsid w:val="4FFC486B"/>
    <w:rsid w:val="5003209D"/>
    <w:rsid w:val="50084FB8"/>
    <w:rsid w:val="501C315F"/>
    <w:rsid w:val="502D0EC8"/>
    <w:rsid w:val="50302767"/>
    <w:rsid w:val="503404A9"/>
    <w:rsid w:val="50371D47"/>
    <w:rsid w:val="503D78E7"/>
    <w:rsid w:val="50485D02"/>
    <w:rsid w:val="505521CD"/>
    <w:rsid w:val="50574197"/>
    <w:rsid w:val="505C7F65"/>
    <w:rsid w:val="506625EC"/>
    <w:rsid w:val="506F14E1"/>
    <w:rsid w:val="507E7976"/>
    <w:rsid w:val="508C2093"/>
    <w:rsid w:val="50942CF5"/>
    <w:rsid w:val="50974594"/>
    <w:rsid w:val="50AB003F"/>
    <w:rsid w:val="50D457E8"/>
    <w:rsid w:val="50DC644B"/>
    <w:rsid w:val="50E20EB9"/>
    <w:rsid w:val="50ED2406"/>
    <w:rsid w:val="50FB4B23"/>
    <w:rsid w:val="51022355"/>
    <w:rsid w:val="51087240"/>
    <w:rsid w:val="51121E6C"/>
    <w:rsid w:val="511770A5"/>
    <w:rsid w:val="511A2CA6"/>
    <w:rsid w:val="51200A2D"/>
    <w:rsid w:val="5133250E"/>
    <w:rsid w:val="514F30C0"/>
    <w:rsid w:val="51711289"/>
    <w:rsid w:val="51791EEB"/>
    <w:rsid w:val="5180327A"/>
    <w:rsid w:val="51856AE2"/>
    <w:rsid w:val="51886FCA"/>
    <w:rsid w:val="518965D2"/>
    <w:rsid w:val="518C7E71"/>
    <w:rsid w:val="51960CEF"/>
    <w:rsid w:val="519D5BDA"/>
    <w:rsid w:val="519F4486"/>
    <w:rsid w:val="51B15354"/>
    <w:rsid w:val="51C805E9"/>
    <w:rsid w:val="51D37233"/>
    <w:rsid w:val="51EB103B"/>
    <w:rsid w:val="51FD48CA"/>
    <w:rsid w:val="520143BB"/>
    <w:rsid w:val="520625B4"/>
    <w:rsid w:val="52096D8F"/>
    <w:rsid w:val="522A286E"/>
    <w:rsid w:val="52326C6A"/>
    <w:rsid w:val="52391DA6"/>
    <w:rsid w:val="52410C5B"/>
    <w:rsid w:val="5251742F"/>
    <w:rsid w:val="527816BB"/>
    <w:rsid w:val="52950FA7"/>
    <w:rsid w:val="529F0F39"/>
    <w:rsid w:val="52A74851"/>
    <w:rsid w:val="52A80CDA"/>
    <w:rsid w:val="52BE21BE"/>
    <w:rsid w:val="52DB5464"/>
    <w:rsid w:val="52F21AB2"/>
    <w:rsid w:val="53397B84"/>
    <w:rsid w:val="533E33EC"/>
    <w:rsid w:val="53400F13"/>
    <w:rsid w:val="534C5B09"/>
    <w:rsid w:val="536A214C"/>
    <w:rsid w:val="536F7A4A"/>
    <w:rsid w:val="537308BA"/>
    <w:rsid w:val="53746E0E"/>
    <w:rsid w:val="53755FB2"/>
    <w:rsid w:val="5386726D"/>
    <w:rsid w:val="538C5F06"/>
    <w:rsid w:val="539C2B73"/>
    <w:rsid w:val="53B16A4B"/>
    <w:rsid w:val="53C51418"/>
    <w:rsid w:val="53C953AC"/>
    <w:rsid w:val="53CE4770"/>
    <w:rsid w:val="53DA3115"/>
    <w:rsid w:val="54041F40"/>
    <w:rsid w:val="54165A2C"/>
    <w:rsid w:val="541A1764"/>
    <w:rsid w:val="54260581"/>
    <w:rsid w:val="54306D09"/>
    <w:rsid w:val="543071D9"/>
    <w:rsid w:val="545509EE"/>
    <w:rsid w:val="54696247"/>
    <w:rsid w:val="546B1FBF"/>
    <w:rsid w:val="546E385E"/>
    <w:rsid w:val="54705828"/>
    <w:rsid w:val="54752578"/>
    <w:rsid w:val="54752E3E"/>
    <w:rsid w:val="54837309"/>
    <w:rsid w:val="54890697"/>
    <w:rsid w:val="549B100A"/>
    <w:rsid w:val="54AD25D8"/>
    <w:rsid w:val="54B24092"/>
    <w:rsid w:val="54B25E40"/>
    <w:rsid w:val="54D77655"/>
    <w:rsid w:val="54D97871"/>
    <w:rsid w:val="54DD775A"/>
    <w:rsid w:val="54DE0134"/>
    <w:rsid w:val="54DE6C35"/>
    <w:rsid w:val="54ED6EBD"/>
    <w:rsid w:val="54F16968"/>
    <w:rsid w:val="54FA3A79"/>
    <w:rsid w:val="55175CA3"/>
    <w:rsid w:val="55222FC6"/>
    <w:rsid w:val="554760F5"/>
    <w:rsid w:val="554D5B69"/>
    <w:rsid w:val="55545149"/>
    <w:rsid w:val="55560EC1"/>
    <w:rsid w:val="55611AFF"/>
    <w:rsid w:val="55A439DB"/>
    <w:rsid w:val="55A979FD"/>
    <w:rsid w:val="55AE4859"/>
    <w:rsid w:val="55C16D48"/>
    <w:rsid w:val="55C776C9"/>
    <w:rsid w:val="55DF2C65"/>
    <w:rsid w:val="55FD30EB"/>
    <w:rsid w:val="5608596C"/>
    <w:rsid w:val="560E7AEF"/>
    <w:rsid w:val="56150435"/>
    <w:rsid w:val="561843C9"/>
    <w:rsid w:val="56646BDD"/>
    <w:rsid w:val="56757125"/>
    <w:rsid w:val="567A473C"/>
    <w:rsid w:val="56861332"/>
    <w:rsid w:val="568850AA"/>
    <w:rsid w:val="56B56B5A"/>
    <w:rsid w:val="56C43C09"/>
    <w:rsid w:val="56C77866"/>
    <w:rsid w:val="56C8194B"/>
    <w:rsid w:val="56CE49F6"/>
    <w:rsid w:val="56F16703"/>
    <w:rsid w:val="572121A9"/>
    <w:rsid w:val="573E74AA"/>
    <w:rsid w:val="57603931"/>
    <w:rsid w:val="576D19D8"/>
    <w:rsid w:val="577675F9"/>
    <w:rsid w:val="57825F9E"/>
    <w:rsid w:val="578F06BB"/>
    <w:rsid w:val="57917819"/>
    <w:rsid w:val="579655A5"/>
    <w:rsid w:val="579C48DF"/>
    <w:rsid w:val="57C37ECB"/>
    <w:rsid w:val="57CF1AC2"/>
    <w:rsid w:val="57D8193B"/>
    <w:rsid w:val="57E16E3D"/>
    <w:rsid w:val="57F8000E"/>
    <w:rsid w:val="58050514"/>
    <w:rsid w:val="58134E48"/>
    <w:rsid w:val="58382B00"/>
    <w:rsid w:val="584414A5"/>
    <w:rsid w:val="584C2108"/>
    <w:rsid w:val="584E40D2"/>
    <w:rsid w:val="585B234B"/>
    <w:rsid w:val="58670CF0"/>
    <w:rsid w:val="5875340D"/>
    <w:rsid w:val="58775B87"/>
    <w:rsid w:val="58A65CBC"/>
    <w:rsid w:val="58B8779D"/>
    <w:rsid w:val="58C3061C"/>
    <w:rsid w:val="58D112DD"/>
    <w:rsid w:val="58D2085F"/>
    <w:rsid w:val="58FC7366"/>
    <w:rsid w:val="5906485F"/>
    <w:rsid w:val="590B3D71"/>
    <w:rsid w:val="590F3861"/>
    <w:rsid w:val="59232E69"/>
    <w:rsid w:val="593F3A1A"/>
    <w:rsid w:val="594D6137"/>
    <w:rsid w:val="5975743C"/>
    <w:rsid w:val="598C4EB2"/>
    <w:rsid w:val="59934492"/>
    <w:rsid w:val="59AA5338"/>
    <w:rsid w:val="59BB12F3"/>
    <w:rsid w:val="59C96098"/>
    <w:rsid w:val="59CC3500"/>
    <w:rsid w:val="59E720E8"/>
    <w:rsid w:val="5A7F688E"/>
    <w:rsid w:val="5A89319F"/>
    <w:rsid w:val="5A957D96"/>
    <w:rsid w:val="5AA20705"/>
    <w:rsid w:val="5AAF3287"/>
    <w:rsid w:val="5AB741B0"/>
    <w:rsid w:val="5AB749B7"/>
    <w:rsid w:val="5ABC17C7"/>
    <w:rsid w:val="5ADA1C4D"/>
    <w:rsid w:val="5B0867BA"/>
    <w:rsid w:val="5B211CC8"/>
    <w:rsid w:val="5B2F7F5E"/>
    <w:rsid w:val="5B413A7A"/>
    <w:rsid w:val="5B4377F2"/>
    <w:rsid w:val="5B5A2D8E"/>
    <w:rsid w:val="5B5B1114"/>
    <w:rsid w:val="5B6836FC"/>
    <w:rsid w:val="5B70435F"/>
    <w:rsid w:val="5B721E85"/>
    <w:rsid w:val="5B743E4F"/>
    <w:rsid w:val="5BAA5AC3"/>
    <w:rsid w:val="5BB406F0"/>
    <w:rsid w:val="5BB93F58"/>
    <w:rsid w:val="5BCA5273"/>
    <w:rsid w:val="5BDB5C7C"/>
    <w:rsid w:val="5C1D44E7"/>
    <w:rsid w:val="5C473312"/>
    <w:rsid w:val="5C675762"/>
    <w:rsid w:val="5C7200BE"/>
    <w:rsid w:val="5C853E3A"/>
    <w:rsid w:val="5C91458D"/>
    <w:rsid w:val="5C9A78E6"/>
    <w:rsid w:val="5CA95D7B"/>
    <w:rsid w:val="5CCB475A"/>
    <w:rsid w:val="5CCC3817"/>
    <w:rsid w:val="5CD252D1"/>
    <w:rsid w:val="5CD32DF8"/>
    <w:rsid w:val="5CE019A8"/>
    <w:rsid w:val="5CFD1BAE"/>
    <w:rsid w:val="5D052E31"/>
    <w:rsid w:val="5D447851"/>
    <w:rsid w:val="5D5E0913"/>
    <w:rsid w:val="5D5E1378"/>
    <w:rsid w:val="5D7C523D"/>
    <w:rsid w:val="5D8F31C2"/>
    <w:rsid w:val="5DAA7FFC"/>
    <w:rsid w:val="5DF93828"/>
    <w:rsid w:val="5E00022E"/>
    <w:rsid w:val="5E1B2CA8"/>
    <w:rsid w:val="5E296976"/>
    <w:rsid w:val="5E443FAD"/>
    <w:rsid w:val="5E6A153A"/>
    <w:rsid w:val="5E702CD8"/>
    <w:rsid w:val="5E8C345B"/>
    <w:rsid w:val="5E9B254F"/>
    <w:rsid w:val="5EB72C38"/>
    <w:rsid w:val="5EBB1D95"/>
    <w:rsid w:val="5EBC032F"/>
    <w:rsid w:val="5EC83F95"/>
    <w:rsid w:val="5EC92704"/>
    <w:rsid w:val="5EDF5A84"/>
    <w:rsid w:val="5EE74938"/>
    <w:rsid w:val="5EF17565"/>
    <w:rsid w:val="5F221E14"/>
    <w:rsid w:val="5F281DF9"/>
    <w:rsid w:val="5F4467D8"/>
    <w:rsid w:val="5F5521EA"/>
    <w:rsid w:val="5F5809B5"/>
    <w:rsid w:val="5F707329"/>
    <w:rsid w:val="5F795ED8"/>
    <w:rsid w:val="5F893C41"/>
    <w:rsid w:val="5FB76A00"/>
    <w:rsid w:val="5FC1162D"/>
    <w:rsid w:val="5FCF78A6"/>
    <w:rsid w:val="60285208"/>
    <w:rsid w:val="60295975"/>
    <w:rsid w:val="602A5424"/>
    <w:rsid w:val="60333FA6"/>
    <w:rsid w:val="604162CA"/>
    <w:rsid w:val="604638E0"/>
    <w:rsid w:val="605E164F"/>
    <w:rsid w:val="60681AA9"/>
    <w:rsid w:val="607246D5"/>
    <w:rsid w:val="608D150F"/>
    <w:rsid w:val="60946F10"/>
    <w:rsid w:val="609B00D0"/>
    <w:rsid w:val="60B60A66"/>
    <w:rsid w:val="60B66ADC"/>
    <w:rsid w:val="60DD2497"/>
    <w:rsid w:val="60E04F8E"/>
    <w:rsid w:val="60EA0710"/>
    <w:rsid w:val="60EC3840"/>
    <w:rsid w:val="61143F11"/>
    <w:rsid w:val="611759A9"/>
    <w:rsid w:val="6129748A"/>
    <w:rsid w:val="6131633F"/>
    <w:rsid w:val="614E75D3"/>
    <w:rsid w:val="614F743B"/>
    <w:rsid w:val="61573FF7"/>
    <w:rsid w:val="615A5895"/>
    <w:rsid w:val="61646714"/>
    <w:rsid w:val="616B1851"/>
    <w:rsid w:val="6170330B"/>
    <w:rsid w:val="61834DEC"/>
    <w:rsid w:val="618E3791"/>
    <w:rsid w:val="61913BB1"/>
    <w:rsid w:val="61932B55"/>
    <w:rsid w:val="61BC63F4"/>
    <w:rsid w:val="61C827FF"/>
    <w:rsid w:val="61E57855"/>
    <w:rsid w:val="62092E18"/>
    <w:rsid w:val="621B3277"/>
    <w:rsid w:val="621C6FEF"/>
    <w:rsid w:val="621D3974"/>
    <w:rsid w:val="622540F5"/>
    <w:rsid w:val="622639C9"/>
    <w:rsid w:val="62377067"/>
    <w:rsid w:val="623E51B7"/>
    <w:rsid w:val="624F696F"/>
    <w:rsid w:val="6260512D"/>
    <w:rsid w:val="62682234"/>
    <w:rsid w:val="62832694"/>
    <w:rsid w:val="62885B17"/>
    <w:rsid w:val="629B43B7"/>
    <w:rsid w:val="62AF39BF"/>
    <w:rsid w:val="62AF7E63"/>
    <w:rsid w:val="62B334AF"/>
    <w:rsid w:val="62B40FD5"/>
    <w:rsid w:val="62DE42A4"/>
    <w:rsid w:val="62F34242"/>
    <w:rsid w:val="6309501A"/>
    <w:rsid w:val="6324615B"/>
    <w:rsid w:val="63312626"/>
    <w:rsid w:val="633B19CF"/>
    <w:rsid w:val="637075F2"/>
    <w:rsid w:val="63AD43A2"/>
    <w:rsid w:val="63B514A9"/>
    <w:rsid w:val="63BF40D6"/>
    <w:rsid w:val="63D74F7B"/>
    <w:rsid w:val="63E15DFA"/>
    <w:rsid w:val="63E43B3C"/>
    <w:rsid w:val="63E47698"/>
    <w:rsid w:val="63E678B4"/>
    <w:rsid w:val="64207A48"/>
    <w:rsid w:val="642B3519"/>
    <w:rsid w:val="64300B2F"/>
    <w:rsid w:val="64357EF4"/>
    <w:rsid w:val="645667E8"/>
    <w:rsid w:val="645F0BD9"/>
    <w:rsid w:val="64622C5F"/>
    <w:rsid w:val="64632A18"/>
    <w:rsid w:val="64722EF6"/>
    <w:rsid w:val="64760C38"/>
    <w:rsid w:val="64AA08E2"/>
    <w:rsid w:val="64EA3833"/>
    <w:rsid w:val="65046244"/>
    <w:rsid w:val="651421FF"/>
    <w:rsid w:val="65426D6C"/>
    <w:rsid w:val="65605444"/>
    <w:rsid w:val="65660CAD"/>
    <w:rsid w:val="656C3DE9"/>
    <w:rsid w:val="658B10E8"/>
    <w:rsid w:val="659268D0"/>
    <w:rsid w:val="65960E66"/>
    <w:rsid w:val="65A2780B"/>
    <w:rsid w:val="65F52031"/>
    <w:rsid w:val="65F53DDF"/>
    <w:rsid w:val="660679A6"/>
    <w:rsid w:val="66106E6A"/>
    <w:rsid w:val="663C1A0D"/>
    <w:rsid w:val="663C37BC"/>
    <w:rsid w:val="66434B4A"/>
    <w:rsid w:val="664B7EA3"/>
    <w:rsid w:val="664E34EF"/>
    <w:rsid w:val="666920D7"/>
    <w:rsid w:val="666F593F"/>
    <w:rsid w:val="66754F1F"/>
    <w:rsid w:val="668313EA"/>
    <w:rsid w:val="66A013BB"/>
    <w:rsid w:val="66A777B8"/>
    <w:rsid w:val="66C13CC1"/>
    <w:rsid w:val="66C57C55"/>
    <w:rsid w:val="66D103A8"/>
    <w:rsid w:val="66D971A2"/>
    <w:rsid w:val="66E520A5"/>
    <w:rsid w:val="66F67E0E"/>
    <w:rsid w:val="67010066"/>
    <w:rsid w:val="672901E4"/>
    <w:rsid w:val="672D7859"/>
    <w:rsid w:val="67444AD8"/>
    <w:rsid w:val="674548F2"/>
    <w:rsid w:val="675863D3"/>
    <w:rsid w:val="67874F0A"/>
    <w:rsid w:val="67892A30"/>
    <w:rsid w:val="67955879"/>
    <w:rsid w:val="67970D13"/>
    <w:rsid w:val="67A23AF2"/>
    <w:rsid w:val="67AF65DD"/>
    <w:rsid w:val="67B62592"/>
    <w:rsid w:val="67BF400C"/>
    <w:rsid w:val="67C43A69"/>
    <w:rsid w:val="67C717AB"/>
    <w:rsid w:val="67DE7AB7"/>
    <w:rsid w:val="67DF4D46"/>
    <w:rsid w:val="67E260DB"/>
    <w:rsid w:val="67E66FFC"/>
    <w:rsid w:val="67EC2FBF"/>
    <w:rsid w:val="68060525"/>
    <w:rsid w:val="6808604B"/>
    <w:rsid w:val="680D5952"/>
    <w:rsid w:val="6813679E"/>
    <w:rsid w:val="681542C4"/>
    <w:rsid w:val="681A3FD0"/>
    <w:rsid w:val="68212C69"/>
    <w:rsid w:val="68394457"/>
    <w:rsid w:val="68555008"/>
    <w:rsid w:val="6864524C"/>
    <w:rsid w:val="68883754"/>
    <w:rsid w:val="68A85138"/>
    <w:rsid w:val="68CA77A4"/>
    <w:rsid w:val="68CE05E3"/>
    <w:rsid w:val="68D45F2D"/>
    <w:rsid w:val="68E1064A"/>
    <w:rsid w:val="68E1689C"/>
    <w:rsid w:val="68EA343F"/>
    <w:rsid w:val="691427CE"/>
    <w:rsid w:val="69164798"/>
    <w:rsid w:val="69196036"/>
    <w:rsid w:val="6922313D"/>
    <w:rsid w:val="69586B5E"/>
    <w:rsid w:val="69683798"/>
    <w:rsid w:val="696D7A7C"/>
    <w:rsid w:val="69763488"/>
    <w:rsid w:val="69821E2D"/>
    <w:rsid w:val="69992CD3"/>
    <w:rsid w:val="69B1626F"/>
    <w:rsid w:val="69D07401"/>
    <w:rsid w:val="69E46644"/>
    <w:rsid w:val="69EE74C3"/>
    <w:rsid w:val="69EF6408"/>
    <w:rsid w:val="69FF6FDA"/>
    <w:rsid w:val="6A0B08EF"/>
    <w:rsid w:val="6A17613B"/>
    <w:rsid w:val="6A2469FC"/>
    <w:rsid w:val="6A2E78BF"/>
    <w:rsid w:val="6A3D5D54"/>
    <w:rsid w:val="6A462E5B"/>
    <w:rsid w:val="6A576E16"/>
    <w:rsid w:val="6A694D9B"/>
    <w:rsid w:val="6A6C50D6"/>
    <w:rsid w:val="6A7C4ACE"/>
    <w:rsid w:val="6AA81420"/>
    <w:rsid w:val="6AC369D9"/>
    <w:rsid w:val="6ACB7AD0"/>
    <w:rsid w:val="6AE47A82"/>
    <w:rsid w:val="6AE963A2"/>
    <w:rsid w:val="6AF91C7B"/>
    <w:rsid w:val="6B0074AE"/>
    <w:rsid w:val="6B016D82"/>
    <w:rsid w:val="6B056872"/>
    <w:rsid w:val="6B080110"/>
    <w:rsid w:val="6B0A032C"/>
    <w:rsid w:val="6B272A19"/>
    <w:rsid w:val="6B396C40"/>
    <w:rsid w:val="6B4B624F"/>
    <w:rsid w:val="6B513865"/>
    <w:rsid w:val="6B6A7D38"/>
    <w:rsid w:val="6B7B6B34"/>
    <w:rsid w:val="6B870B4D"/>
    <w:rsid w:val="6BB107A8"/>
    <w:rsid w:val="6BBA3B00"/>
    <w:rsid w:val="6BBB3287"/>
    <w:rsid w:val="6BDC7B16"/>
    <w:rsid w:val="6BE7241B"/>
    <w:rsid w:val="6BF11F1B"/>
    <w:rsid w:val="6BFB7C75"/>
    <w:rsid w:val="6C021003"/>
    <w:rsid w:val="6C3311BD"/>
    <w:rsid w:val="6C5279D9"/>
    <w:rsid w:val="6C5A0E3F"/>
    <w:rsid w:val="6C607D61"/>
    <w:rsid w:val="6C7F4402"/>
    <w:rsid w:val="6C8E6D3B"/>
    <w:rsid w:val="6C9F4AA4"/>
    <w:rsid w:val="6CA6001D"/>
    <w:rsid w:val="6CAF118B"/>
    <w:rsid w:val="6CB56076"/>
    <w:rsid w:val="6CB93DB8"/>
    <w:rsid w:val="6CED3A62"/>
    <w:rsid w:val="6CED5810"/>
    <w:rsid w:val="6D0C2229"/>
    <w:rsid w:val="6D1365E0"/>
    <w:rsid w:val="6D486939"/>
    <w:rsid w:val="6D7E46BA"/>
    <w:rsid w:val="6D8D2B4F"/>
    <w:rsid w:val="6DC522E8"/>
    <w:rsid w:val="6DDD7632"/>
    <w:rsid w:val="6DDF641F"/>
    <w:rsid w:val="6DE2733E"/>
    <w:rsid w:val="6DE9247B"/>
    <w:rsid w:val="6DF57072"/>
    <w:rsid w:val="6DFF1C9E"/>
    <w:rsid w:val="6E072901"/>
    <w:rsid w:val="6E1119D2"/>
    <w:rsid w:val="6E386F5E"/>
    <w:rsid w:val="6E423939"/>
    <w:rsid w:val="6E5A5127"/>
    <w:rsid w:val="6E66587A"/>
    <w:rsid w:val="6E8D5E4E"/>
    <w:rsid w:val="6EA840E4"/>
    <w:rsid w:val="6ED24CBD"/>
    <w:rsid w:val="6EDC3D8E"/>
    <w:rsid w:val="6EE3336E"/>
    <w:rsid w:val="6EE36ECA"/>
    <w:rsid w:val="6EED0B2A"/>
    <w:rsid w:val="6EF03395"/>
    <w:rsid w:val="6EF35E67"/>
    <w:rsid w:val="6EF74724"/>
    <w:rsid w:val="6F0F5516"/>
    <w:rsid w:val="6F2614AD"/>
    <w:rsid w:val="6F293C04"/>
    <w:rsid w:val="6F2F210F"/>
    <w:rsid w:val="6F3D7A43"/>
    <w:rsid w:val="6F573414"/>
    <w:rsid w:val="6F6B6EC0"/>
    <w:rsid w:val="6F712728"/>
    <w:rsid w:val="6F7C731F"/>
    <w:rsid w:val="6F8561D3"/>
    <w:rsid w:val="6F8A249F"/>
    <w:rsid w:val="6F9C52CB"/>
    <w:rsid w:val="6F9F7969"/>
    <w:rsid w:val="6FB36CAD"/>
    <w:rsid w:val="6FD11419"/>
    <w:rsid w:val="6FD437FF"/>
    <w:rsid w:val="6FD607DD"/>
    <w:rsid w:val="6FDB5DF3"/>
    <w:rsid w:val="6FDE58E3"/>
    <w:rsid w:val="6FE6540E"/>
    <w:rsid w:val="6FFB0243"/>
    <w:rsid w:val="6FFD220E"/>
    <w:rsid w:val="704E2A69"/>
    <w:rsid w:val="705E18CE"/>
    <w:rsid w:val="705F6A24"/>
    <w:rsid w:val="70761FC0"/>
    <w:rsid w:val="7077603F"/>
    <w:rsid w:val="70840239"/>
    <w:rsid w:val="708B5A6B"/>
    <w:rsid w:val="709C1EDC"/>
    <w:rsid w:val="70B32E6B"/>
    <w:rsid w:val="70B86135"/>
    <w:rsid w:val="70D54F38"/>
    <w:rsid w:val="710B44B6"/>
    <w:rsid w:val="711772FF"/>
    <w:rsid w:val="7128150C"/>
    <w:rsid w:val="712E63F7"/>
    <w:rsid w:val="713752AB"/>
    <w:rsid w:val="713A2FED"/>
    <w:rsid w:val="714A6BA3"/>
    <w:rsid w:val="71502811"/>
    <w:rsid w:val="715B3690"/>
    <w:rsid w:val="716167CC"/>
    <w:rsid w:val="716B13F9"/>
    <w:rsid w:val="717E2EDA"/>
    <w:rsid w:val="71844269"/>
    <w:rsid w:val="718D136F"/>
    <w:rsid w:val="71AA3CCF"/>
    <w:rsid w:val="71B903B6"/>
    <w:rsid w:val="71BC3A02"/>
    <w:rsid w:val="71C56D5B"/>
    <w:rsid w:val="71C82DE9"/>
    <w:rsid w:val="71D14210"/>
    <w:rsid w:val="71E116BB"/>
    <w:rsid w:val="71EA67C2"/>
    <w:rsid w:val="71F87130"/>
    <w:rsid w:val="71FC02A3"/>
    <w:rsid w:val="71FE226D"/>
    <w:rsid w:val="72233A82"/>
    <w:rsid w:val="722D120D"/>
    <w:rsid w:val="723E08BB"/>
    <w:rsid w:val="725400DF"/>
    <w:rsid w:val="72633031"/>
    <w:rsid w:val="72646574"/>
    <w:rsid w:val="726E73F3"/>
    <w:rsid w:val="727F515C"/>
    <w:rsid w:val="72930C07"/>
    <w:rsid w:val="729E33E4"/>
    <w:rsid w:val="72A5093A"/>
    <w:rsid w:val="72BC63B0"/>
    <w:rsid w:val="72C2329A"/>
    <w:rsid w:val="72CB5037"/>
    <w:rsid w:val="72D1172F"/>
    <w:rsid w:val="72D82ABE"/>
    <w:rsid w:val="72DB610A"/>
    <w:rsid w:val="73117D7E"/>
    <w:rsid w:val="73155AC0"/>
    <w:rsid w:val="731E2BC7"/>
    <w:rsid w:val="7329331A"/>
    <w:rsid w:val="732D2E0A"/>
    <w:rsid w:val="73334198"/>
    <w:rsid w:val="735A1725"/>
    <w:rsid w:val="737547B1"/>
    <w:rsid w:val="737A5923"/>
    <w:rsid w:val="738B5D82"/>
    <w:rsid w:val="73944C37"/>
    <w:rsid w:val="73B0297D"/>
    <w:rsid w:val="73B8350B"/>
    <w:rsid w:val="73B928EF"/>
    <w:rsid w:val="73CD639B"/>
    <w:rsid w:val="73D9089C"/>
    <w:rsid w:val="73F90F3E"/>
    <w:rsid w:val="740A314B"/>
    <w:rsid w:val="74297CD9"/>
    <w:rsid w:val="742C30C1"/>
    <w:rsid w:val="743C0C41"/>
    <w:rsid w:val="745B5755"/>
    <w:rsid w:val="748051BB"/>
    <w:rsid w:val="748C1DB2"/>
    <w:rsid w:val="74A36046"/>
    <w:rsid w:val="74B35591"/>
    <w:rsid w:val="74B84EB1"/>
    <w:rsid w:val="74C9421C"/>
    <w:rsid w:val="74CA4688"/>
    <w:rsid w:val="74CF1C9F"/>
    <w:rsid w:val="74EA0887"/>
    <w:rsid w:val="7539704C"/>
    <w:rsid w:val="754206C3"/>
    <w:rsid w:val="756D345F"/>
    <w:rsid w:val="757D09AA"/>
    <w:rsid w:val="75952577"/>
    <w:rsid w:val="75AE7533"/>
    <w:rsid w:val="75C94940"/>
    <w:rsid w:val="75D45DDE"/>
    <w:rsid w:val="75D51F38"/>
    <w:rsid w:val="75E672A0"/>
    <w:rsid w:val="75FE45EA"/>
    <w:rsid w:val="760140DA"/>
    <w:rsid w:val="76065B94"/>
    <w:rsid w:val="76191423"/>
    <w:rsid w:val="762436BA"/>
    <w:rsid w:val="76315592"/>
    <w:rsid w:val="76391AC6"/>
    <w:rsid w:val="763C3364"/>
    <w:rsid w:val="76402E54"/>
    <w:rsid w:val="76500BBD"/>
    <w:rsid w:val="76515061"/>
    <w:rsid w:val="76726D86"/>
    <w:rsid w:val="76805946"/>
    <w:rsid w:val="76854D0B"/>
    <w:rsid w:val="7685781D"/>
    <w:rsid w:val="76872831"/>
    <w:rsid w:val="768D3BBF"/>
    <w:rsid w:val="769136B0"/>
    <w:rsid w:val="769D02A6"/>
    <w:rsid w:val="76AA5987"/>
    <w:rsid w:val="76B92C06"/>
    <w:rsid w:val="76CC7942"/>
    <w:rsid w:val="76DB2B7D"/>
    <w:rsid w:val="76DD06A3"/>
    <w:rsid w:val="76E40BD9"/>
    <w:rsid w:val="76EE465E"/>
    <w:rsid w:val="7706409E"/>
    <w:rsid w:val="770F2826"/>
    <w:rsid w:val="771340C5"/>
    <w:rsid w:val="773A1561"/>
    <w:rsid w:val="774E334F"/>
    <w:rsid w:val="77505319"/>
    <w:rsid w:val="7763329E"/>
    <w:rsid w:val="776B3F01"/>
    <w:rsid w:val="776D5ECB"/>
    <w:rsid w:val="777C4360"/>
    <w:rsid w:val="77884AB3"/>
    <w:rsid w:val="7789082B"/>
    <w:rsid w:val="778B00FF"/>
    <w:rsid w:val="779F1DFC"/>
    <w:rsid w:val="77A26950"/>
    <w:rsid w:val="77C2117B"/>
    <w:rsid w:val="77DA2E34"/>
    <w:rsid w:val="77E65C7D"/>
    <w:rsid w:val="781C51FB"/>
    <w:rsid w:val="781F6A99"/>
    <w:rsid w:val="78236589"/>
    <w:rsid w:val="783267CC"/>
    <w:rsid w:val="783F09AA"/>
    <w:rsid w:val="78434E7D"/>
    <w:rsid w:val="78477250"/>
    <w:rsid w:val="78611500"/>
    <w:rsid w:val="786D1EFA"/>
    <w:rsid w:val="787E5EB6"/>
    <w:rsid w:val="787E7C64"/>
    <w:rsid w:val="789D458E"/>
    <w:rsid w:val="78A43B6E"/>
    <w:rsid w:val="78A74CC3"/>
    <w:rsid w:val="78B2790D"/>
    <w:rsid w:val="78CC4E73"/>
    <w:rsid w:val="78D41F79"/>
    <w:rsid w:val="78D45AD6"/>
    <w:rsid w:val="78EC7724"/>
    <w:rsid w:val="78F65A4C"/>
    <w:rsid w:val="792B7DEB"/>
    <w:rsid w:val="79393B8B"/>
    <w:rsid w:val="793D367B"/>
    <w:rsid w:val="794013BD"/>
    <w:rsid w:val="79607369"/>
    <w:rsid w:val="796D0FC6"/>
    <w:rsid w:val="796E7CD8"/>
    <w:rsid w:val="79754594"/>
    <w:rsid w:val="798153CC"/>
    <w:rsid w:val="79907C4E"/>
    <w:rsid w:val="799728D3"/>
    <w:rsid w:val="79982FA7"/>
    <w:rsid w:val="799F1E01"/>
    <w:rsid w:val="79A354A2"/>
    <w:rsid w:val="79A84A88"/>
    <w:rsid w:val="79BA2F1D"/>
    <w:rsid w:val="79C760D6"/>
    <w:rsid w:val="79E816E6"/>
    <w:rsid w:val="79E85CDC"/>
    <w:rsid w:val="79F24465"/>
    <w:rsid w:val="79F71A7C"/>
    <w:rsid w:val="79FD7D64"/>
    <w:rsid w:val="7A0917AF"/>
    <w:rsid w:val="7A1563A6"/>
    <w:rsid w:val="7A28257D"/>
    <w:rsid w:val="7A3C3932"/>
    <w:rsid w:val="7A4A3296"/>
    <w:rsid w:val="7A610C0A"/>
    <w:rsid w:val="7A777060"/>
    <w:rsid w:val="7A9814B1"/>
    <w:rsid w:val="7A99501E"/>
    <w:rsid w:val="7AA339B1"/>
    <w:rsid w:val="7AAD0B5B"/>
    <w:rsid w:val="7AB041E9"/>
    <w:rsid w:val="7AC07CD8"/>
    <w:rsid w:val="7AD63D87"/>
    <w:rsid w:val="7AE85868"/>
    <w:rsid w:val="7AEA338E"/>
    <w:rsid w:val="7B113011"/>
    <w:rsid w:val="7B24133B"/>
    <w:rsid w:val="7B357F37"/>
    <w:rsid w:val="7B3960C4"/>
    <w:rsid w:val="7B445194"/>
    <w:rsid w:val="7B4554D0"/>
    <w:rsid w:val="7B517CBA"/>
    <w:rsid w:val="7B5A6766"/>
    <w:rsid w:val="7B670E83"/>
    <w:rsid w:val="7B6E3FBF"/>
    <w:rsid w:val="7B7470FC"/>
    <w:rsid w:val="7BC10593"/>
    <w:rsid w:val="7BE75B20"/>
    <w:rsid w:val="7BFB513A"/>
    <w:rsid w:val="7C127041"/>
    <w:rsid w:val="7C242A5C"/>
    <w:rsid w:val="7C3A0345"/>
    <w:rsid w:val="7C547659"/>
    <w:rsid w:val="7C55517F"/>
    <w:rsid w:val="7C5F7DAC"/>
    <w:rsid w:val="7C6453C2"/>
    <w:rsid w:val="7C6D24C9"/>
    <w:rsid w:val="7C766979"/>
    <w:rsid w:val="7C7970C0"/>
    <w:rsid w:val="7C857813"/>
    <w:rsid w:val="7CD73DE6"/>
    <w:rsid w:val="7CDE6F23"/>
    <w:rsid w:val="7D050953"/>
    <w:rsid w:val="7D1775CF"/>
    <w:rsid w:val="7D272678"/>
    <w:rsid w:val="7D2955BD"/>
    <w:rsid w:val="7D2F777E"/>
    <w:rsid w:val="7D324C10"/>
    <w:rsid w:val="7D480840"/>
    <w:rsid w:val="7D4A0A5C"/>
    <w:rsid w:val="7D5316BF"/>
    <w:rsid w:val="7D537911"/>
    <w:rsid w:val="7D627B54"/>
    <w:rsid w:val="7D9121E7"/>
    <w:rsid w:val="7D913F95"/>
    <w:rsid w:val="7D9D0B8C"/>
    <w:rsid w:val="7DAB14FB"/>
    <w:rsid w:val="7DAC6B74"/>
    <w:rsid w:val="7DEC38C1"/>
    <w:rsid w:val="7DF74740"/>
    <w:rsid w:val="7E0429B9"/>
    <w:rsid w:val="7E22523F"/>
    <w:rsid w:val="7E292420"/>
    <w:rsid w:val="7E2E5C88"/>
    <w:rsid w:val="7E327526"/>
    <w:rsid w:val="7E527BC8"/>
    <w:rsid w:val="7E633B84"/>
    <w:rsid w:val="7E7C69F3"/>
    <w:rsid w:val="7E8D4FE9"/>
    <w:rsid w:val="7E9014C7"/>
    <w:rsid w:val="7E90249F"/>
    <w:rsid w:val="7EAF501B"/>
    <w:rsid w:val="7EE36A72"/>
    <w:rsid w:val="7EE527EB"/>
    <w:rsid w:val="7EF46ED2"/>
    <w:rsid w:val="7F052E8D"/>
    <w:rsid w:val="7F104C8C"/>
    <w:rsid w:val="7F17496E"/>
    <w:rsid w:val="7F25708B"/>
    <w:rsid w:val="7F274FEA"/>
    <w:rsid w:val="7F3E014D"/>
    <w:rsid w:val="7F6000C3"/>
    <w:rsid w:val="7F6556D9"/>
    <w:rsid w:val="7F6C4CBA"/>
    <w:rsid w:val="7F71407E"/>
    <w:rsid w:val="7F7D2A23"/>
    <w:rsid w:val="7F963AE5"/>
    <w:rsid w:val="7F985AAF"/>
    <w:rsid w:val="7FAC4A8E"/>
    <w:rsid w:val="7FB126CD"/>
    <w:rsid w:val="7FB44B21"/>
    <w:rsid w:val="7FB55714"/>
    <w:rsid w:val="7FD64829"/>
    <w:rsid w:val="7FDE468E"/>
    <w:rsid w:val="7FF16F6D"/>
    <w:rsid w:val="7FFB6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qFormat="1" w:unhideWhenUsed="0" w:uiPriority="0" w:semiHidden="0"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9"/>
    <w:autoRedefine/>
    <w:qFormat/>
    <w:uiPriority w:val="0"/>
    <w:pPr>
      <w:keepNext/>
      <w:keepLines/>
      <w:spacing w:before="340" w:after="330" w:line="480" w:lineRule="exact"/>
      <w:jc w:val="center"/>
      <w:outlineLvl w:val="0"/>
    </w:pPr>
    <w:rPr>
      <w:b/>
      <w:bCs/>
      <w:kern w:val="44"/>
      <w:sz w:val="36"/>
      <w:szCs w:val="44"/>
    </w:rPr>
  </w:style>
  <w:style w:type="paragraph" w:styleId="3">
    <w:name w:val="heading 2"/>
    <w:basedOn w:val="1"/>
    <w:next w:val="1"/>
    <w:link w:val="38"/>
    <w:autoRedefine/>
    <w:qFormat/>
    <w:uiPriority w:val="0"/>
    <w:pPr>
      <w:keepNext/>
      <w:keepLines/>
      <w:spacing w:before="260" w:line="520" w:lineRule="exact"/>
      <w:jc w:val="center"/>
      <w:outlineLvl w:val="1"/>
    </w:pPr>
    <w:rPr>
      <w:rFonts w:ascii="Arial" w:hAnsi="Arial"/>
      <w:b/>
      <w:bCs/>
      <w:kern w:val="0"/>
      <w:szCs w:val="32"/>
    </w:rPr>
  </w:style>
  <w:style w:type="paragraph" w:styleId="4">
    <w:name w:val="heading 3"/>
    <w:basedOn w:val="1"/>
    <w:next w:val="1"/>
    <w:link w:val="40"/>
    <w:autoRedefine/>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kern w:val="0"/>
      <w:szCs w:val="28"/>
    </w:rPr>
  </w:style>
  <w:style w:type="character" w:default="1" w:styleId="33">
    <w:name w:val="Default Paragraph Font"/>
    <w:autoRedefine/>
    <w:unhideWhenUsed/>
    <w:qFormat/>
    <w:uiPriority w:val="1"/>
  </w:style>
  <w:style w:type="table" w:default="1" w:styleId="30">
    <w:name w:val="Normal Table"/>
    <w:autoRedefine/>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jc w:val="center"/>
    </w:pPr>
  </w:style>
  <w:style w:type="paragraph" w:styleId="7">
    <w:name w:val="Normal Indent"/>
    <w:basedOn w:val="1"/>
    <w:link w:val="42"/>
    <w:autoRedefine/>
    <w:qFormat/>
    <w:uiPriority w:val="0"/>
    <w:pPr>
      <w:ind w:firstLine="420"/>
    </w:pPr>
    <w:rPr>
      <w:rFonts w:ascii="等线" w:hAnsi="等线"/>
      <w:kern w:val="0"/>
      <w:szCs w:val="20"/>
    </w:rPr>
  </w:style>
  <w:style w:type="paragraph" w:styleId="8">
    <w:name w:val="caption"/>
    <w:basedOn w:val="1"/>
    <w:next w:val="1"/>
    <w:autoRedefine/>
    <w:qFormat/>
    <w:uiPriority w:val="0"/>
    <w:pPr>
      <w:spacing w:before="152" w:after="160" w:line="240" w:lineRule="auto"/>
    </w:pPr>
    <w:rPr>
      <w:rFonts w:ascii="Arial" w:hAnsi="Arial" w:eastAsia="黑体" w:cs="Arial"/>
      <w:sz w:val="20"/>
      <w:szCs w:val="20"/>
    </w:rPr>
  </w:style>
  <w:style w:type="paragraph" w:styleId="9">
    <w:name w:val="Document Map"/>
    <w:basedOn w:val="1"/>
    <w:link w:val="43"/>
    <w:autoRedefine/>
    <w:semiHidden/>
    <w:qFormat/>
    <w:uiPriority w:val="0"/>
    <w:pPr>
      <w:shd w:val="clear" w:color="auto" w:fill="000080"/>
    </w:pPr>
    <w:rPr>
      <w:kern w:val="0"/>
    </w:rPr>
  </w:style>
  <w:style w:type="paragraph" w:styleId="10">
    <w:name w:val="annotation text"/>
    <w:basedOn w:val="1"/>
    <w:link w:val="44"/>
    <w:autoRedefine/>
    <w:semiHidden/>
    <w:qFormat/>
    <w:uiPriority w:val="0"/>
    <w:pPr>
      <w:jc w:val="left"/>
    </w:pPr>
    <w:rPr>
      <w:kern w:val="0"/>
    </w:rPr>
  </w:style>
  <w:style w:type="paragraph" w:styleId="11">
    <w:name w:val="Body Text 3"/>
    <w:basedOn w:val="1"/>
    <w:link w:val="45"/>
    <w:autoRedefine/>
    <w:qFormat/>
    <w:uiPriority w:val="0"/>
    <w:pPr>
      <w:spacing w:after="120"/>
    </w:pPr>
    <w:rPr>
      <w:rFonts w:ascii="等线" w:hAnsi="等线" w:eastAsia="等线"/>
      <w:kern w:val="0"/>
      <w:sz w:val="16"/>
      <w:szCs w:val="16"/>
    </w:rPr>
  </w:style>
  <w:style w:type="paragraph" w:styleId="12">
    <w:name w:val="Body Text"/>
    <w:basedOn w:val="1"/>
    <w:link w:val="46"/>
    <w:autoRedefine/>
    <w:qFormat/>
    <w:uiPriority w:val="0"/>
    <w:rPr>
      <w:rFonts w:ascii="仿宋_GB2312" w:eastAsia="仿宋_GB2312"/>
      <w:kern w:val="0"/>
    </w:rPr>
  </w:style>
  <w:style w:type="paragraph" w:styleId="13">
    <w:name w:val="Body Text Indent"/>
    <w:basedOn w:val="1"/>
    <w:link w:val="47"/>
    <w:autoRedefine/>
    <w:qFormat/>
    <w:uiPriority w:val="0"/>
    <w:pPr>
      <w:spacing w:line="312" w:lineRule="auto"/>
      <w:ind w:firstLine="420" w:firstLineChars="200"/>
    </w:pPr>
    <w:rPr>
      <w:rFonts w:ascii="仿宋_GB2312" w:eastAsia="仿宋_GB2312"/>
      <w:kern w:val="0"/>
      <w:szCs w:val="21"/>
    </w:rPr>
  </w:style>
  <w:style w:type="paragraph" w:styleId="14">
    <w:name w:val="Block Text"/>
    <w:basedOn w:val="1"/>
    <w:autoRedefine/>
    <w:qFormat/>
    <w:uiPriority w:val="0"/>
    <w:pPr>
      <w:spacing w:after="120"/>
      <w:ind w:left="1440" w:leftChars="700" w:right="1440" w:rightChars="700"/>
    </w:pPr>
  </w:style>
  <w:style w:type="paragraph" w:styleId="15">
    <w:name w:val="toc 3"/>
    <w:basedOn w:val="1"/>
    <w:next w:val="1"/>
    <w:autoRedefine/>
    <w:qFormat/>
    <w:uiPriority w:val="39"/>
    <w:pPr>
      <w:tabs>
        <w:tab w:val="right" w:leader="dot" w:pos="9458"/>
      </w:tabs>
      <w:ind w:left="420" w:leftChars="150"/>
    </w:pPr>
  </w:style>
  <w:style w:type="paragraph" w:styleId="16">
    <w:name w:val="Plain Text"/>
    <w:basedOn w:val="1"/>
    <w:link w:val="48"/>
    <w:autoRedefine/>
    <w:qFormat/>
    <w:uiPriority w:val="0"/>
    <w:rPr>
      <w:rFonts w:ascii="宋体" w:hAnsi="Courier New"/>
      <w:kern w:val="0"/>
      <w:szCs w:val="21"/>
    </w:rPr>
  </w:style>
  <w:style w:type="paragraph" w:styleId="17">
    <w:name w:val="Date"/>
    <w:basedOn w:val="1"/>
    <w:next w:val="1"/>
    <w:link w:val="49"/>
    <w:autoRedefine/>
    <w:qFormat/>
    <w:uiPriority w:val="0"/>
    <w:pPr>
      <w:ind w:left="100" w:leftChars="2500"/>
    </w:pPr>
    <w:rPr>
      <w:kern w:val="0"/>
    </w:rPr>
  </w:style>
  <w:style w:type="paragraph" w:styleId="18">
    <w:name w:val="Body Text Indent 2"/>
    <w:basedOn w:val="1"/>
    <w:link w:val="50"/>
    <w:autoRedefine/>
    <w:qFormat/>
    <w:uiPriority w:val="0"/>
    <w:pPr>
      <w:spacing w:line="312" w:lineRule="auto"/>
      <w:ind w:firstLine="420" w:firstLineChars="200"/>
      <w:jc w:val="left"/>
    </w:pPr>
    <w:rPr>
      <w:rFonts w:ascii="仿宋_GB2312" w:eastAsia="仿宋_GB2312"/>
      <w:kern w:val="0"/>
      <w:szCs w:val="21"/>
    </w:rPr>
  </w:style>
  <w:style w:type="paragraph" w:styleId="19">
    <w:name w:val="Balloon Text"/>
    <w:basedOn w:val="1"/>
    <w:link w:val="51"/>
    <w:autoRedefine/>
    <w:semiHidden/>
    <w:qFormat/>
    <w:uiPriority w:val="0"/>
    <w:rPr>
      <w:kern w:val="0"/>
      <w:sz w:val="18"/>
      <w:szCs w:val="18"/>
    </w:rPr>
  </w:style>
  <w:style w:type="paragraph" w:styleId="20">
    <w:name w:val="footer"/>
    <w:basedOn w:val="1"/>
    <w:link w:val="52"/>
    <w:autoRedefine/>
    <w:qFormat/>
    <w:uiPriority w:val="99"/>
    <w:pPr>
      <w:tabs>
        <w:tab w:val="center" w:pos="4153"/>
        <w:tab w:val="right" w:pos="8306"/>
      </w:tabs>
      <w:snapToGrid w:val="0"/>
      <w:jc w:val="left"/>
    </w:pPr>
    <w:rPr>
      <w:rFonts w:ascii="等线" w:hAnsi="等线"/>
      <w:kern w:val="0"/>
      <w:sz w:val="18"/>
      <w:szCs w:val="18"/>
    </w:rPr>
  </w:style>
  <w:style w:type="paragraph" w:styleId="21">
    <w:name w:val="header"/>
    <w:basedOn w:val="1"/>
    <w:link w:val="53"/>
    <w:autoRedefine/>
    <w:qFormat/>
    <w:uiPriority w:val="99"/>
    <w:pPr>
      <w:pBdr>
        <w:bottom w:val="single" w:color="auto" w:sz="6" w:space="1"/>
      </w:pBdr>
      <w:tabs>
        <w:tab w:val="center" w:pos="4153"/>
        <w:tab w:val="right" w:pos="8306"/>
      </w:tabs>
      <w:snapToGrid w:val="0"/>
      <w:jc w:val="center"/>
    </w:pPr>
    <w:rPr>
      <w:rFonts w:ascii="等线" w:hAnsi="等线"/>
      <w:kern w:val="0"/>
      <w:sz w:val="18"/>
      <w:szCs w:val="20"/>
    </w:rPr>
  </w:style>
  <w:style w:type="paragraph" w:styleId="22">
    <w:name w:val="toc 1"/>
    <w:basedOn w:val="1"/>
    <w:next w:val="1"/>
    <w:autoRedefine/>
    <w:qFormat/>
    <w:uiPriority w:val="39"/>
    <w:pPr>
      <w:tabs>
        <w:tab w:val="right" w:leader="dot" w:pos="9518"/>
      </w:tabs>
      <w:spacing w:line="480" w:lineRule="auto"/>
    </w:pPr>
    <w:rPr>
      <w:sz w:val="32"/>
    </w:rPr>
  </w:style>
  <w:style w:type="paragraph" w:styleId="23">
    <w:name w:val="List"/>
    <w:basedOn w:val="1"/>
    <w:autoRedefine/>
    <w:qFormat/>
    <w:uiPriority w:val="0"/>
    <w:pPr>
      <w:ind w:left="200" w:hanging="200" w:hangingChars="200"/>
    </w:pPr>
  </w:style>
  <w:style w:type="paragraph" w:styleId="24">
    <w:name w:val="Body Text Indent 3"/>
    <w:basedOn w:val="1"/>
    <w:link w:val="54"/>
    <w:autoRedefine/>
    <w:qFormat/>
    <w:uiPriority w:val="0"/>
    <w:pPr>
      <w:spacing w:line="288" w:lineRule="auto"/>
      <w:ind w:left="536" w:leftChars="207" w:hanging="101" w:hangingChars="48"/>
    </w:pPr>
    <w:rPr>
      <w:rFonts w:ascii="仿宋_GB2312" w:eastAsia="仿宋_GB2312"/>
      <w:kern w:val="0"/>
    </w:rPr>
  </w:style>
  <w:style w:type="paragraph" w:styleId="25">
    <w:name w:val="toc 2"/>
    <w:basedOn w:val="1"/>
    <w:next w:val="1"/>
    <w:autoRedefine/>
    <w:qFormat/>
    <w:uiPriority w:val="39"/>
    <w:pPr>
      <w:tabs>
        <w:tab w:val="left" w:pos="1260"/>
        <w:tab w:val="right" w:leader="dot" w:pos="9142"/>
        <w:tab w:val="right" w:leader="dot" w:pos="9180"/>
      </w:tabs>
      <w:snapToGrid w:val="0"/>
      <w:spacing w:line="360" w:lineRule="auto"/>
    </w:pPr>
    <w:rPr>
      <w:rFonts w:ascii="仿宋_GB2312" w:hAnsi="宋体" w:eastAsia="仿宋_GB2312"/>
      <w:b/>
      <w:bCs/>
      <w:color w:val="000000"/>
      <w:sz w:val="30"/>
      <w:szCs w:val="30"/>
    </w:rPr>
  </w:style>
  <w:style w:type="paragraph" w:styleId="26">
    <w:name w:val="Body Text 2"/>
    <w:basedOn w:val="1"/>
    <w:link w:val="55"/>
    <w:autoRedefine/>
    <w:qFormat/>
    <w:uiPriority w:val="0"/>
    <w:pPr>
      <w:spacing w:after="120" w:line="480" w:lineRule="auto"/>
    </w:pPr>
    <w:rPr>
      <w:rFonts w:ascii="等线" w:hAnsi="等线" w:eastAsia="等线"/>
      <w:kern w:val="0"/>
      <w:sz w:val="20"/>
    </w:rPr>
  </w:style>
  <w:style w:type="paragraph" w:styleId="27">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8">
    <w:name w:val="Title"/>
    <w:basedOn w:val="1"/>
    <w:next w:val="1"/>
    <w:link w:val="56"/>
    <w:autoRedefine/>
    <w:qFormat/>
    <w:uiPriority w:val="0"/>
    <w:pPr>
      <w:spacing w:before="240" w:after="60"/>
      <w:jc w:val="center"/>
      <w:outlineLvl w:val="0"/>
    </w:pPr>
    <w:rPr>
      <w:rFonts w:ascii="Arial" w:hAnsi="Arial"/>
      <w:b/>
      <w:bCs/>
      <w:kern w:val="0"/>
      <w:sz w:val="44"/>
      <w:szCs w:val="32"/>
    </w:rPr>
  </w:style>
  <w:style w:type="paragraph" w:styleId="29">
    <w:name w:val="annotation subject"/>
    <w:basedOn w:val="10"/>
    <w:next w:val="10"/>
    <w:link w:val="57"/>
    <w:autoRedefine/>
    <w:semiHidden/>
    <w:qFormat/>
    <w:uiPriority w:val="0"/>
    <w:rPr>
      <w:b/>
      <w:bCs/>
    </w:rPr>
  </w:style>
  <w:style w:type="table" w:styleId="31">
    <w:name w:val="Table Grid"/>
    <w:basedOn w:val="30"/>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Web 1"/>
    <w:basedOn w:val="30"/>
    <w:autoRedefine/>
    <w:qFormat/>
    <w:uiPriority w:val="0"/>
    <w:pPr>
      <w:widowControl w:val="0"/>
      <w:spacing w:line="600" w:lineRule="exact"/>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Hyperlink"/>
    <w:autoRedefine/>
    <w:qFormat/>
    <w:uiPriority w:val="99"/>
    <w:rPr>
      <w:color w:val="0000FF"/>
      <w:u w:val="single"/>
    </w:rPr>
  </w:style>
  <w:style w:type="character" w:styleId="37">
    <w:name w:val="annotation reference"/>
    <w:autoRedefine/>
    <w:semiHidden/>
    <w:qFormat/>
    <w:uiPriority w:val="0"/>
    <w:rPr>
      <w:sz w:val="21"/>
      <w:szCs w:val="21"/>
    </w:rPr>
  </w:style>
  <w:style w:type="character" w:customStyle="1" w:styleId="38">
    <w:name w:val="标题 2 Char"/>
    <w:link w:val="3"/>
    <w:autoRedefine/>
    <w:qFormat/>
    <w:uiPriority w:val="0"/>
    <w:rPr>
      <w:rFonts w:ascii="Arial" w:hAnsi="Arial" w:eastAsia="宋体" w:cs="Times New Roman"/>
      <w:b/>
      <w:bCs/>
      <w:sz w:val="28"/>
      <w:szCs w:val="32"/>
    </w:rPr>
  </w:style>
  <w:style w:type="character" w:customStyle="1" w:styleId="39">
    <w:name w:val="标题 1 Char"/>
    <w:link w:val="2"/>
    <w:autoRedefine/>
    <w:qFormat/>
    <w:uiPriority w:val="0"/>
    <w:rPr>
      <w:rFonts w:ascii="Times New Roman" w:hAnsi="Times New Roman" w:eastAsia="宋体" w:cs="Times New Roman"/>
      <w:b/>
      <w:bCs/>
      <w:kern w:val="44"/>
      <w:sz w:val="36"/>
      <w:szCs w:val="44"/>
    </w:rPr>
  </w:style>
  <w:style w:type="character" w:customStyle="1" w:styleId="40">
    <w:name w:val="标题 3 Char"/>
    <w:link w:val="4"/>
    <w:autoRedefine/>
    <w:qFormat/>
    <w:uiPriority w:val="9"/>
    <w:rPr>
      <w:rFonts w:ascii="Times New Roman" w:hAnsi="Times New Roman" w:eastAsia="宋体" w:cs="Times New Roman"/>
      <w:b/>
      <w:bCs/>
      <w:sz w:val="32"/>
      <w:szCs w:val="32"/>
    </w:rPr>
  </w:style>
  <w:style w:type="character" w:customStyle="1" w:styleId="41">
    <w:name w:val="标题 4 Char"/>
    <w:link w:val="5"/>
    <w:autoRedefine/>
    <w:qFormat/>
    <w:uiPriority w:val="0"/>
    <w:rPr>
      <w:rFonts w:ascii="Arial" w:hAnsi="Arial" w:eastAsia="黑体" w:cs="Times New Roman"/>
      <w:b/>
      <w:bCs/>
      <w:sz w:val="28"/>
      <w:szCs w:val="28"/>
    </w:rPr>
  </w:style>
  <w:style w:type="character" w:customStyle="1" w:styleId="42">
    <w:name w:val="正文缩进 Char"/>
    <w:link w:val="7"/>
    <w:autoRedefine/>
    <w:qFormat/>
    <w:uiPriority w:val="0"/>
    <w:rPr>
      <w:rFonts w:eastAsia="宋体"/>
      <w:sz w:val="28"/>
    </w:rPr>
  </w:style>
  <w:style w:type="character" w:customStyle="1" w:styleId="43">
    <w:name w:val="文档结构图 Char"/>
    <w:link w:val="9"/>
    <w:autoRedefine/>
    <w:semiHidden/>
    <w:qFormat/>
    <w:uiPriority w:val="0"/>
    <w:rPr>
      <w:rFonts w:ascii="Times New Roman" w:hAnsi="Times New Roman" w:eastAsia="宋体" w:cs="Times New Roman"/>
      <w:sz w:val="28"/>
      <w:szCs w:val="24"/>
      <w:shd w:val="clear" w:color="auto" w:fill="000080"/>
    </w:rPr>
  </w:style>
  <w:style w:type="character" w:customStyle="1" w:styleId="44">
    <w:name w:val="批注文字 Char"/>
    <w:link w:val="10"/>
    <w:autoRedefine/>
    <w:semiHidden/>
    <w:qFormat/>
    <w:uiPriority w:val="0"/>
    <w:rPr>
      <w:rFonts w:ascii="Times New Roman" w:hAnsi="Times New Roman" w:eastAsia="宋体" w:cs="Times New Roman"/>
      <w:sz w:val="28"/>
      <w:szCs w:val="24"/>
    </w:rPr>
  </w:style>
  <w:style w:type="character" w:customStyle="1" w:styleId="45">
    <w:name w:val="正文文本 3 Char"/>
    <w:link w:val="11"/>
    <w:autoRedefine/>
    <w:qFormat/>
    <w:uiPriority w:val="0"/>
    <w:rPr>
      <w:sz w:val="16"/>
      <w:szCs w:val="16"/>
    </w:rPr>
  </w:style>
  <w:style w:type="character" w:customStyle="1" w:styleId="46">
    <w:name w:val="正文文本 Char"/>
    <w:link w:val="12"/>
    <w:autoRedefine/>
    <w:qFormat/>
    <w:uiPriority w:val="0"/>
    <w:rPr>
      <w:rFonts w:ascii="仿宋_GB2312" w:hAnsi="Times New Roman" w:eastAsia="仿宋_GB2312" w:cs="Times New Roman"/>
      <w:sz w:val="28"/>
      <w:szCs w:val="24"/>
    </w:rPr>
  </w:style>
  <w:style w:type="character" w:customStyle="1" w:styleId="47">
    <w:name w:val="正文文本缩进 Char"/>
    <w:link w:val="13"/>
    <w:autoRedefine/>
    <w:qFormat/>
    <w:uiPriority w:val="0"/>
    <w:rPr>
      <w:rFonts w:ascii="仿宋_GB2312" w:hAnsi="Times New Roman" w:eastAsia="仿宋_GB2312" w:cs="Times New Roman"/>
      <w:sz w:val="28"/>
      <w:szCs w:val="21"/>
    </w:rPr>
  </w:style>
  <w:style w:type="character" w:customStyle="1" w:styleId="48">
    <w:name w:val="纯文本 Char"/>
    <w:link w:val="16"/>
    <w:autoRedefine/>
    <w:qFormat/>
    <w:uiPriority w:val="0"/>
    <w:rPr>
      <w:rFonts w:ascii="宋体" w:hAnsi="Courier New" w:eastAsia="宋体" w:cs="Courier New"/>
      <w:sz w:val="28"/>
      <w:szCs w:val="21"/>
    </w:rPr>
  </w:style>
  <w:style w:type="character" w:customStyle="1" w:styleId="49">
    <w:name w:val="日期 Char"/>
    <w:link w:val="17"/>
    <w:autoRedefine/>
    <w:qFormat/>
    <w:uiPriority w:val="0"/>
    <w:rPr>
      <w:rFonts w:ascii="Times New Roman" w:hAnsi="Times New Roman" w:eastAsia="宋体" w:cs="Times New Roman"/>
      <w:sz w:val="28"/>
      <w:szCs w:val="24"/>
    </w:rPr>
  </w:style>
  <w:style w:type="character" w:customStyle="1" w:styleId="50">
    <w:name w:val="正文文本缩进 2 Char"/>
    <w:link w:val="18"/>
    <w:autoRedefine/>
    <w:qFormat/>
    <w:uiPriority w:val="0"/>
    <w:rPr>
      <w:rFonts w:ascii="仿宋_GB2312" w:hAnsi="Times New Roman" w:eastAsia="仿宋_GB2312" w:cs="Times New Roman"/>
      <w:sz w:val="28"/>
      <w:szCs w:val="21"/>
    </w:rPr>
  </w:style>
  <w:style w:type="character" w:customStyle="1" w:styleId="51">
    <w:name w:val="批注框文本 Char"/>
    <w:link w:val="19"/>
    <w:autoRedefine/>
    <w:semiHidden/>
    <w:qFormat/>
    <w:uiPriority w:val="0"/>
    <w:rPr>
      <w:rFonts w:ascii="Times New Roman" w:hAnsi="Times New Roman" w:eastAsia="宋体" w:cs="Times New Roman"/>
      <w:sz w:val="18"/>
      <w:szCs w:val="18"/>
    </w:rPr>
  </w:style>
  <w:style w:type="character" w:customStyle="1" w:styleId="52">
    <w:name w:val="页脚 Char"/>
    <w:link w:val="20"/>
    <w:autoRedefine/>
    <w:qFormat/>
    <w:uiPriority w:val="99"/>
    <w:rPr>
      <w:rFonts w:eastAsia="宋体"/>
      <w:sz w:val="18"/>
      <w:szCs w:val="18"/>
    </w:rPr>
  </w:style>
  <w:style w:type="character" w:customStyle="1" w:styleId="53">
    <w:name w:val="页眉 Char"/>
    <w:link w:val="21"/>
    <w:autoRedefine/>
    <w:qFormat/>
    <w:uiPriority w:val="99"/>
    <w:rPr>
      <w:rFonts w:eastAsia="宋体"/>
      <w:sz w:val="18"/>
    </w:rPr>
  </w:style>
  <w:style w:type="character" w:customStyle="1" w:styleId="54">
    <w:name w:val="正文文本缩进 3 Char"/>
    <w:link w:val="24"/>
    <w:autoRedefine/>
    <w:qFormat/>
    <w:uiPriority w:val="0"/>
    <w:rPr>
      <w:rFonts w:ascii="仿宋_GB2312" w:hAnsi="Times New Roman" w:eastAsia="仿宋_GB2312" w:cs="Times New Roman"/>
      <w:sz w:val="28"/>
      <w:szCs w:val="24"/>
    </w:rPr>
  </w:style>
  <w:style w:type="character" w:customStyle="1" w:styleId="55">
    <w:name w:val="正文文本 2 Char"/>
    <w:link w:val="26"/>
    <w:autoRedefine/>
    <w:qFormat/>
    <w:uiPriority w:val="0"/>
    <w:rPr>
      <w:szCs w:val="24"/>
    </w:rPr>
  </w:style>
  <w:style w:type="character" w:customStyle="1" w:styleId="56">
    <w:name w:val="标题 Char"/>
    <w:link w:val="28"/>
    <w:autoRedefine/>
    <w:qFormat/>
    <w:uiPriority w:val="0"/>
    <w:rPr>
      <w:rFonts w:ascii="Arial" w:hAnsi="Arial" w:eastAsia="宋体" w:cs="Arial"/>
      <w:b/>
      <w:bCs/>
      <w:sz w:val="44"/>
      <w:szCs w:val="32"/>
    </w:rPr>
  </w:style>
  <w:style w:type="character" w:customStyle="1" w:styleId="57">
    <w:name w:val="批注主题 Char"/>
    <w:link w:val="29"/>
    <w:autoRedefine/>
    <w:semiHidden/>
    <w:qFormat/>
    <w:uiPriority w:val="0"/>
    <w:rPr>
      <w:rFonts w:ascii="Times New Roman" w:hAnsi="Times New Roman" w:eastAsia="宋体" w:cs="Times New Roman"/>
      <w:b/>
      <w:bCs/>
      <w:sz w:val="28"/>
      <w:szCs w:val="24"/>
    </w:rPr>
  </w:style>
  <w:style w:type="character" w:customStyle="1" w:styleId="58">
    <w:name w:val="标准 正文 QJJ Char Char"/>
    <w:link w:val="59"/>
    <w:autoRedefine/>
    <w:qFormat/>
    <w:uiPriority w:val="0"/>
    <w:rPr>
      <w:rFonts w:ascii="宋体" w:hAnsi="Arial" w:eastAsia="宋体" w:cs="宋体"/>
      <w:sz w:val="24"/>
      <w:szCs w:val="24"/>
    </w:rPr>
  </w:style>
  <w:style w:type="paragraph" w:customStyle="1" w:styleId="59">
    <w:name w:val="标准 正文 QJJ"/>
    <w:basedOn w:val="1"/>
    <w:link w:val="58"/>
    <w:autoRedefine/>
    <w:qFormat/>
    <w:uiPriority w:val="0"/>
    <w:pPr>
      <w:spacing w:line="520" w:lineRule="exact"/>
      <w:ind w:firstLine="480" w:firstLineChars="200"/>
    </w:pPr>
    <w:rPr>
      <w:rFonts w:ascii="宋体" w:hAnsi="Arial"/>
      <w:kern w:val="0"/>
      <w:sz w:val="24"/>
    </w:rPr>
  </w:style>
  <w:style w:type="character" w:customStyle="1" w:styleId="60">
    <w:name w:val="纯文本 Char1"/>
    <w:autoRedefine/>
    <w:semiHidden/>
    <w:qFormat/>
    <w:uiPriority w:val="99"/>
    <w:rPr>
      <w:rFonts w:ascii="宋体" w:hAnsi="Courier New" w:eastAsia="宋体" w:cs="Courier New"/>
      <w:szCs w:val="21"/>
    </w:rPr>
  </w:style>
  <w:style w:type="character" w:customStyle="1" w:styleId="61">
    <w:name w:val="正文文本 2 Char1"/>
    <w:autoRedefine/>
    <w:semiHidden/>
    <w:qFormat/>
    <w:uiPriority w:val="99"/>
    <w:rPr>
      <w:rFonts w:ascii="Times New Roman" w:hAnsi="Times New Roman" w:eastAsia="宋体" w:cs="Times New Roman"/>
      <w:sz w:val="28"/>
      <w:szCs w:val="24"/>
    </w:rPr>
  </w:style>
  <w:style w:type="character" w:customStyle="1" w:styleId="62">
    <w:name w:val="纯文本 字符"/>
    <w:autoRedefine/>
    <w:qFormat/>
    <w:uiPriority w:val="0"/>
    <w:rPr>
      <w:rFonts w:ascii="宋体" w:hAnsi="Courier New" w:eastAsia="宋体"/>
      <w:kern w:val="2"/>
      <w:sz w:val="21"/>
      <w:szCs w:val="21"/>
      <w:lang w:val="en-US" w:eastAsia="zh-CN" w:bidi="ar-SA"/>
    </w:rPr>
  </w:style>
  <w:style w:type="character" w:customStyle="1" w:styleId="63">
    <w:name w:val="页脚 Char1"/>
    <w:autoRedefine/>
    <w:semiHidden/>
    <w:qFormat/>
    <w:uiPriority w:val="99"/>
    <w:rPr>
      <w:rFonts w:ascii="Times New Roman" w:hAnsi="Times New Roman" w:eastAsia="宋体" w:cs="Times New Roman"/>
      <w:sz w:val="18"/>
      <w:szCs w:val="18"/>
    </w:rPr>
  </w:style>
  <w:style w:type="character" w:customStyle="1" w:styleId="64">
    <w:name w:val="正文缩进 Char1"/>
    <w:autoRedefine/>
    <w:qFormat/>
    <w:uiPriority w:val="0"/>
    <w:rPr>
      <w:rFonts w:eastAsia="宋体"/>
      <w:kern w:val="2"/>
      <w:sz w:val="21"/>
      <w:lang w:val="en-US" w:eastAsia="zh-CN" w:bidi="ar-SA"/>
    </w:rPr>
  </w:style>
  <w:style w:type="character" w:customStyle="1" w:styleId="65">
    <w:name w:val="未处理的提及"/>
    <w:autoRedefine/>
    <w:unhideWhenUsed/>
    <w:qFormat/>
    <w:uiPriority w:val="99"/>
    <w:rPr>
      <w:color w:val="605E5C"/>
      <w:shd w:val="clear" w:color="auto" w:fill="E1DFDD"/>
    </w:rPr>
  </w:style>
  <w:style w:type="character" w:customStyle="1" w:styleId="66">
    <w:name w:val="medium_text1"/>
    <w:autoRedefine/>
    <w:qFormat/>
    <w:uiPriority w:val="0"/>
    <w:rPr>
      <w:rFonts w:ascii="Tahoma" w:hAnsi="Tahoma"/>
      <w:sz w:val="24"/>
      <w:szCs w:val="24"/>
    </w:rPr>
  </w:style>
  <w:style w:type="character" w:customStyle="1" w:styleId="67">
    <w:name w:val="页眉 Char1"/>
    <w:autoRedefine/>
    <w:semiHidden/>
    <w:qFormat/>
    <w:uiPriority w:val="99"/>
    <w:rPr>
      <w:rFonts w:ascii="Times New Roman" w:hAnsi="Times New Roman" w:eastAsia="宋体" w:cs="Times New Roman"/>
      <w:sz w:val="18"/>
      <w:szCs w:val="18"/>
    </w:rPr>
  </w:style>
  <w:style w:type="character" w:customStyle="1" w:styleId="68">
    <w:name w:val="正文文本 3 Char1"/>
    <w:autoRedefine/>
    <w:semiHidden/>
    <w:qFormat/>
    <w:uiPriority w:val="99"/>
    <w:rPr>
      <w:rFonts w:ascii="Times New Roman" w:hAnsi="Times New Roman" w:eastAsia="宋体" w:cs="Times New Roman"/>
      <w:sz w:val="16"/>
      <w:szCs w:val="16"/>
    </w:rPr>
  </w:style>
  <w:style w:type="paragraph" w:customStyle="1" w:styleId="69">
    <w:name w:val="Char Char6 Char Char2"/>
    <w:basedOn w:val="1"/>
    <w:autoRedefine/>
    <w:qFormat/>
    <w:uiPriority w:val="0"/>
    <w:pPr>
      <w:spacing w:line="240" w:lineRule="auto"/>
    </w:pPr>
    <w:rPr>
      <w:sz w:val="21"/>
    </w:rPr>
  </w:style>
  <w:style w:type="paragraph" w:customStyle="1" w:styleId="70">
    <w:name w:val="Char Char Char1 Char"/>
    <w:basedOn w:val="1"/>
    <w:autoRedefine/>
    <w:qFormat/>
    <w:uiPriority w:val="0"/>
  </w:style>
  <w:style w:type="paragraph" w:customStyle="1" w:styleId="71">
    <w:name w:val="格式10"/>
    <w:basedOn w:val="1"/>
    <w:autoRedefine/>
    <w:qFormat/>
    <w:uiPriority w:val="0"/>
    <w:pPr>
      <w:spacing w:line="360" w:lineRule="exact"/>
      <w:ind w:left="480"/>
    </w:pPr>
    <w:rPr>
      <w:sz w:val="24"/>
    </w:rPr>
  </w:style>
  <w:style w:type="paragraph" w:customStyle="1" w:styleId="72">
    <w:name w:val="格式1"/>
    <w:basedOn w:val="1"/>
    <w:autoRedefine/>
    <w:qFormat/>
    <w:uiPriority w:val="0"/>
    <w:pPr>
      <w:spacing w:beforeLines="50"/>
      <w:jc w:val="center"/>
    </w:pPr>
    <w:rPr>
      <w:rFonts w:ascii="黑体" w:hAnsi="宋体" w:eastAsia="黑体"/>
      <w:b/>
      <w:bCs/>
      <w:color w:val="000000"/>
      <w:sz w:val="32"/>
      <w:szCs w:val="20"/>
    </w:rPr>
  </w:style>
  <w:style w:type="paragraph" w:customStyle="1" w:styleId="73">
    <w:name w:val="列出段落"/>
    <w:basedOn w:val="1"/>
    <w:autoRedefine/>
    <w:qFormat/>
    <w:uiPriority w:val="0"/>
    <w:pPr>
      <w:ind w:firstLine="420" w:firstLineChars="200"/>
    </w:pPr>
    <w:rPr>
      <w:rFonts w:ascii="Calibri" w:hAnsi="Calibri"/>
      <w:szCs w:val="22"/>
    </w:rPr>
  </w:style>
  <w:style w:type="paragraph" w:customStyle="1" w:styleId="74">
    <w:name w:val="Char1"/>
    <w:basedOn w:val="1"/>
    <w:autoRedefine/>
    <w:qFormat/>
    <w:uiPriority w:val="0"/>
    <w:pPr>
      <w:spacing w:line="240" w:lineRule="auto"/>
    </w:pPr>
    <w:rPr>
      <w:sz w:val="21"/>
    </w:rPr>
  </w:style>
  <w:style w:type="paragraph" w:customStyle="1" w:styleId="75">
    <w:name w:val="默认段落字体 Para Char Char Char Char"/>
    <w:basedOn w:val="1"/>
    <w:autoRedefine/>
    <w:qFormat/>
    <w:uiPriority w:val="0"/>
    <w:pPr>
      <w:spacing w:line="240" w:lineRule="auto"/>
    </w:pPr>
    <w:rPr>
      <w:sz w:val="21"/>
    </w:rPr>
  </w:style>
  <w:style w:type="paragraph" w:customStyle="1" w:styleId="76">
    <w:name w:val="Char Char6 Char Char"/>
    <w:basedOn w:val="1"/>
    <w:autoRedefine/>
    <w:qFormat/>
    <w:uiPriority w:val="0"/>
    <w:pPr>
      <w:spacing w:line="240" w:lineRule="auto"/>
    </w:pPr>
    <w:rPr>
      <w:sz w:val="21"/>
    </w:rPr>
  </w:style>
  <w:style w:type="paragraph" w:customStyle="1" w:styleId="77">
    <w:name w:val="TOC 标题"/>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8">
    <w:name w:val="Char Char6 Char Char1"/>
    <w:basedOn w:val="1"/>
    <w:autoRedefine/>
    <w:qFormat/>
    <w:uiPriority w:val="0"/>
    <w:pPr>
      <w:spacing w:line="240" w:lineRule="auto"/>
    </w:pPr>
    <w:rPr>
      <w:sz w:val="21"/>
    </w:rPr>
  </w:style>
  <w:style w:type="paragraph" w:customStyle="1" w:styleId="79">
    <w:name w:val="标题3"/>
    <w:basedOn w:val="4"/>
    <w:autoRedefine/>
    <w:qFormat/>
    <w:uiPriority w:val="0"/>
    <w:pPr>
      <w:adjustRightInd w:val="0"/>
      <w:snapToGrid w:val="0"/>
      <w:spacing w:beforeLines="100" w:afterLines="100" w:line="240" w:lineRule="auto"/>
      <w:jc w:val="center"/>
    </w:pPr>
    <w:rPr>
      <w:rFonts w:eastAsia="黑体"/>
      <w:sz w:val="28"/>
      <w:szCs w:val="20"/>
    </w:rPr>
  </w:style>
  <w:style w:type="paragraph" w:customStyle="1" w:styleId="80">
    <w:name w:val="_Style 37"/>
    <w:basedOn w:val="1"/>
    <w:autoRedefine/>
    <w:qFormat/>
    <w:uiPriority w:val="0"/>
    <w:pPr>
      <w:spacing w:line="240" w:lineRule="auto"/>
    </w:pPr>
    <w:rPr>
      <w:sz w:val="21"/>
    </w:rPr>
  </w:style>
  <w:style w:type="paragraph" w:customStyle="1" w:styleId="81">
    <w:name w:val="列出段落1"/>
    <w:basedOn w:val="1"/>
    <w:autoRedefine/>
    <w:qFormat/>
    <w:uiPriority w:val="34"/>
    <w:pPr>
      <w:ind w:firstLine="420" w:firstLineChars="200"/>
    </w:pPr>
  </w:style>
  <w:style w:type="paragraph" w:customStyle="1" w:styleId="82">
    <w:name w:val="格式4"/>
    <w:basedOn w:val="1"/>
    <w:autoRedefine/>
    <w:qFormat/>
    <w:uiPriority w:val="0"/>
    <w:pPr>
      <w:spacing w:line="420" w:lineRule="exact"/>
      <w:ind w:left="990" w:leftChars="300" w:hanging="360" w:hangingChars="150"/>
    </w:pPr>
    <w:rPr>
      <w:rFonts w:ascii="宋体" w:hAnsi="宋体"/>
      <w:color w:val="000000"/>
      <w:sz w:val="24"/>
      <w:szCs w:val="20"/>
    </w:rPr>
  </w:style>
  <w:style w:type="paragraph" w:customStyle="1" w:styleId="83">
    <w:name w:val="Char Char Char Char Char Char Char"/>
    <w:basedOn w:val="1"/>
    <w:autoRedefine/>
    <w:qFormat/>
    <w:uiPriority w:val="0"/>
    <w:pPr>
      <w:spacing w:line="240" w:lineRule="auto"/>
    </w:pPr>
    <w:rPr>
      <w:szCs w:val="20"/>
    </w:rPr>
  </w:style>
  <w:style w:type="paragraph" w:customStyle="1" w:styleId="84">
    <w:name w:val="Char Char Char Char Char Char Char Char Char Char Char Char Char Char Char Char Char Char Char Char Char Char Char Char Char"/>
    <w:basedOn w:val="1"/>
    <w:autoRedefine/>
    <w:qFormat/>
    <w:uiPriority w:val="0"/>
    <w:pPr>
      <w:spacing w:line="240" w:lineRule="auto"/>
    </w:pPr>
    <w:rPr>
      <w:sz w:val="21"/>
    </w:rPr>
  </w:style>
  <w:style w:type="paragraph" w:customStyle="1" w:styleId="85">
    <w:name w:val="1"/>
    <w:basedOn w:val="1"/>
    <w:autoRedefine/>
    <w:qFormat/>
    <w:uiPriority w:val="0"/>
    <w:pPr>
      <w:adjustRightInd w:val="0"/>
      <w:spacing w:before="360" w:after="240" w:line="420" w:lineRule="atLeast"/>
      <w:ind w:firstLine="454"/>
      <w:textAlignment w:val="baseline"/>
    </w:pPr>
    <w:rPr>
      <w:b/>
      <w:kern w:val="0"/>
      <w:szCs w:val="20"/>
    </w:rPr>
  </w:style>
  <w:style w:type="paragraph" w:customStyle="1" w:styleId="86">
    <w:name w:val="样式1"/>
    <w:basedOn w:val="25"/>
    <w:autoRedefine/>
    <w:qFormat/>
    <w:uiPriority w:val="0"/>
    <w:pPr>
      <w:spacing w:line="600" w:lineRule="exact"/>
      <w:ind w:left="200" w:leftChars="200"/>
    </w:pPr>
    <w:rPr>
      <w:rFonts w:ascii="宋体" w:eastAsia="宋体"/>
      <w:b w:val="0"/>
    </w:rPr>
  </w:style>
  <w:style w:type="paragraph" w:customStyle="1" w:styleId="87">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88">
    <w:name w:val="标题 2 + Times New Roman 居中 段前: 0 磅 段后: 0 磅 行距: 单倍行距 + 段前..."/>
    <w:basedOn w:val="3"/>
    <w:autoRedefine/>
    <w:qFormat/>
    <w:uiPriority w:val="0"/>
  </w:style>
  <w:style w:type="paragraph" w:customStyle="1" w:styleId="89">
    <w:name w:val="Char Char3 Char Char Char Char Char Char"/>
    <w:basedOn w:val="1"/>
    <w:autoRedefine/>
    <w:qFormat/>
    <w:uiPriority w:val="0"/>
    <w:pPr>
      <w:spacing w:line="240" w:lineRule="auto"/>
    </w:pPr>
    <w:rPr>
      <w:sz w:val="21"/>
    </w:rPr>
  </w:style>
  <w:style w:type="paragraph" w:customStyle="1" w:styleId="90">
    <w:name w:val="简单回函地址"/>
    <w:basedOn w:val="1"/>
    <w:autoRedefine/>
    <w:qFormat/>
    <w:uiPriority w:val="0"/>
  </w:style>
  <w:style w:type="paragraph" w:customStyle="1" w:styleId="91">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92">
    <w:name w:val="表头"/>
    <w:basedOn w:val="1"/>
    <w:autoRedefine/>
    <w:qFormat/>
    <w:uiPriority w:val="0"/>
    <w:pPr>
      <w:spacing w:before="120" w:after="120" w:line="60" w:lineRule="atLeast"/>
      <w:jc w:val="center"/>
    </w:pPr>
    <w:rPr>
      <w:sz w:val="24"/>
      <w:szCs w:val="20"/>
    </w:rPr>
  </w:style>
  <w:style w:type="paragraph" w:customStyle="1" w:styleId="93">
    <w:name w:val="Table Text"/>
    <w:basedOn w:val="1"/>
    <w:autoRedefine/>
    <w:semiHidden/>
    <w:qFormat/>
    <w:uiPriority w:val="0"/>
    <w:rPr>
      <w:rFonts w:ascii="宋体" w:hAnsi="宋体" w:eastAsia="宋体" w:cs="宋体"/>
      <w:sz w:val="24"/>
      <w:szCs w:val="24"/>
      <w:lang w:val="en-US" w:eastAsia="en-US" w:bidi="ar-SA"/>
    </w:rPr>
  </w:style>
  <w:style w:type="table" w:customStyle="1" w:styleId="94">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95">
    <w:name w:val="_Style 2"/>
    <w:basedOn w:val="1"/>
    <w:next w:val="1"/>
    <w:autoRedefine/>
    <w:qFormat/>
    <w:uiPriority w:val="0"/>
    <w:pPr>
      <w:pBdr>
        <w:bottom w:val="single" w:color="auto" w:sz="6" w:space="1"/>
      </w:pBdr>
      <w:jc w:val="center"/>
    </w:pPr>
    <w:rPr>
      <w:rFonts w:ascii="Arial" w:eastAsia="宋体"/>
      <w:vanish/>
      <w:sz w:val="16"/>
    </w:rPr>
  </w:style>
  <w:style w:type="paragraph" w:customStyle="1" w:styleId="96">
    <w:name w:val="_Style 3"/>
    <w:basedOn w:val="1"/>
    <w:next w:val="1"/>
    <w:autoRedefine/>
    <w:qFormat/>
    <w:uiPriority w:val="0"/>
    <w:pPr>
      <w:pBdr>
        <w:top w:val="single" w:color="auto" w:sz="6" w:space="1"/>
      </w:pBdr>
      <w:jc w:val="center"/>
    </w:pPr>
    <w:rPr>
      <w:rFonts w:ascii="Arial" w:eastAsia="宋体"/>
      <w:vanish/>
      <w:sz w:val="16"/>
    </w:rPr>
  </w:style>
  <w:style w:type="paragraph" w:customStyle="1" w:styleId="97">
    <w:name w:val="格式2"/>
    <w:autoRedefine/>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98">
    <w:name w:val="目录1"/>
    <w:basedOn w:val="1"/>
    <w:autoRedefine/>
    <w:qFormat/>
    <w:uiPriority w:val="0"/>
    <w:pPr>
      <w:adjustRightInd w:val="0"/>
      <w:spacing w:line="420" w:lineRule="atLeast"/>
      <w:textAlignment w:val="baseline"/>
    </w:pPr>
    <w:rPr>
      <w:rFonts w:eastAsia="黑体"/>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26624</Words>
  <Characters>28101</Characters>
  <Lines>243</Lines>
  <Paragraphs>68</Paragraphs>
  <TotalTime>55</TotalTime>
  <ScaleCrop>false</ScaleCrop>
  <LinksUpToDate>false</LinksUpToDate>
  <CharactersWithSpaces>29363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2023-10-08T03:10:00Z</dcterms:created>
  <dc:creator>周晓卫</dc:creator>
  <cp:lastModifiedBy>小鹿</cp:lastModifiedBy>
  <cp:lastPrinted>2020-04-22T02:49:00Z</cp:lastPrinted>
  <dcterms:modified xsi:type="dcterms:W3CDTF">2026-01-20T06:42:52Z</dcterms:modified>
  <dc:title>宿连航道一期</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836804BAA65C44CC978CBC02FA8FCFA6_13</vt:lpwstr>
  </property>
  <property fmtid="{D5CDD505-2E9C-101B-9397-08002B2CF9AE}" pid="4" name="KSOTemplateDocerSaveRecord">
    <vt:lpwstr>eyJoZGlkIjoiY2E2MGMxN2ZjZTU3NGQ4YzA1ODYzYmE3YThhZGMyYjIiLCJ1c2VySWQiOiIzMTM3NDkyNzkifQ==</vt:lpwstr>
  </property>
</Properties>
</file>