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E5662">
      <w:pPr>
        <w:rPr>
          <w:rFonts w:cs="宋体" w:asciiTheme="minorEastAsia" w:hAnsiTheme="minorEastAsia" w:eastAsiaTheme="minorEastAsia"/>
          <w:b/>
          <w:sz w:val="36"/>
          <w:szCs w:val="36"/>
          <w:highlight w:val="none"/>
        </w:rPr>
      </w:pPr>
    </w:p>
    <w:p w14:paraId="7A78C44E">
      <w:pPr>
        <w:autoSpaceDE w:val="0"/>
        <w:autoSpaceDN w:val="0"/>
        <w:adjustRightInd w:val="0"/>
        <w:spacing w:line="1000" w:lineRule="exact"/>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南通市“十五五”公路高质量发展研究报告项目</w:t>
      </w:r>
    </w:p>
    <w:p w14:paraId="2CB910F9">
      <w:pPr>
        <w:pStyle w:val="18"/>
        <w:rPr>
          <w:rFonts w:asciiTheme="minorEastAsia" w:hAnsiTheme="minorEastAsia" w:eastAsiaTheme="minorEastAsia"/>
          <w:highlight w:val="none"/>
        </w:rPr>
      </w:pPr>
    </w:p>
    <w:p w14:paraId="78A3D05D">
      <w:pPr>
        <w:pStyle w:val="18"/>
        <w:rPr>
          <w:rFonts w:asciiTheme="minorEastAsia" w:hAnsiTheme="minorEastAsia" w:eastAsiaTheme="minorEastAsia"/>
          <w:highlight w:val="none"/>
        </w:rPr>
      </w:pPr>
    </w:p>
    <w:p w14:paraId="20272D3D">
      <w:pPr>
        <w:tabs>
          <w:tab w:val="left" w:pos="6300"/>
        </w:tabs>
        <w:snapToGrid w:val="0"/>
        <w:spacing w:line="300" w:lineRule="auto"/>
        <w:jc w:val="center"/>
        <w:rPr>
          <w:rFonts w:cs="宋体" w:asciiTheme="minorEastAsia" w:hAnsiTheme="minorEastAsia" w:eastAsiaTheme="minorEastAsia"/>
          <w:b/>
          <w:w w:val="80"/>
          <w:sz w:val="96"/>
          <w:szCs w:val="96"/>
          <w:highlight w:val="none"/>
        </w:rPr>
      </w:pPr>
      <w:r>
        <w:rPr>
          <w:rFonts w:hint="eastAsia" w:cs="宋体" w:asciiTheme="minorEastAsia" w:hAnsiTheme="minorEastAsia" w:eastAsiaTheme="minorEastAsia"/>
          <w:b/>
          <w:w w:val="80"/>
          <w:sz w:val="96"/>
          <w:szCs w:val="96"/>
          <w:highlight w:val="none"/>
        </w:rPr>
        <w:t>竞争性磋商文件</w:t>
      </w:r>
    </w:p>
    <w:p w14:paraId="750353B4">
      <w:pPr>
        <w:tabs>
          <w:tab w:val="left" w:pos="6300"/>
        </w:tabs>
        <w:snapToGrid w:val="0"/>
        <w:spacing w:line="300" w:lineRule="auto"/>
        <w:ind w:firstLine="2830" w:firstLineChars="1100"/>
        <w:rPr>
          <w:rFonts w:cs="宋体" w:asciiTheme="minorEastAsia" w:hAnsiTheme="minorEastAsia" w:eastAsiaTheme="minorEastAsia"/>
          <w:b/>
          <w:snapToGrid w:val="0"/>
          <w:w w:val="80"/>
          <w:kern w:val="0"/>
          <w:sz w:val="32"/>
          <w:szCs w:val="32"/>
          <w:highlight w:val="none"/>
        </w:rPr>
      </w:pPr>
      <w:r>
        <w:rPr>
          <w:rFonts w:hint="eastAsia" w:cs="宋体" w:asciiTheme="minorEastAsia" w:hAnsiTheme="minorEastAsia" w:eastAsiaTheme="minorEastAsia"/>
          <w:b/>
          <w:snapToGrid w:val="0"/>
          <w:w w:val="80"/>
          <w:kern w:val="0"/>
          <w:sz w:val="32"/>
          <w:szCs w:val="32"/>
          <w:highlight w:val="none"/>
        </w:rPr>
        <w:t>项目编号：2024GLFJ</w:t>
      </w:r>
    </w:p>
    <w:p w14:paraId="79D8C467">
      <w:pPr>
        <w:tabs>
          <w:tab w:val="left" w:pos="6300"/>
        </w:tabs>
        <w:snapToGrid w:val="0"/>
        <w:spacing w:line="300" w:lineRule="auto"/>
        <w:ind w:firstLine="2830" w:firstLineChars="1100"/>
        <w:rPr>
          <w:rFonts w:hint="default" w:cs="宋体" w:asciiTheme="minorEastAsia" w:hAnsiTheme="minorEastAsia" w:eastAsiaTheme="minorEastAsia"/>
          <w:b/>
          <w:snapToGrid w:val="0"/>
          <w:w w:val="80"/>
          <w:kern w:val="0"/>
          <w:sz w:val="32"/>
          <w:szCs w:val="32"/>
          <w:highlight w:val="none"/>
          <w:lang w:val="en-US" w:eastAsia="zh-CN"/>
        </w:rPr>
      </w:pPr>
      <w:r>
        <w:rPr>
          <w:rFonts w:hint="eastAsia" w:cs="宋体" w:asciiTheme="minorEastAsia" w:hAnsiTheme="minorEastAsia" w:eastAsiaTheme="minorEastAsia"/>
          <w:b/>
          <w:snapToGrid w:val="0"/>
          <w:w w:val="80"/>
          <w:kern w:val="0"/>
          <w:sz w:val="32"/>
          <w:szCs w:val="32"/>
          <w:highlight w:val="none"/>
        </w:rPr>
        <w:t>档案编号：</w:t>
      </w:r>
      <w:r>
        <w:rPr>
          <w:rFonts w:hint="eastAsia" w:cs="宋体" w:asciiTheme="minorEastAsia" w:hAnsiTheme="minorEastAsia" w:eastAsiaTheme="minorEastAsia"/>
          <w:b/>
          <w:snapToGrid w:val="0"/>
          <w:w w:val="80"/>
          <w:kern w:val="0"/>
          <w:sz w:val="32"/>
          <w:szCs w:val="32"/>
          <w:highlight w:val="none"/>
          <w:lang w:val="en-US" w:eastAsia="zh-CN"/>
        </w:rPr>
        <w:t>20241125</w:t>
      </w:r>
    </w:p>
    <w:p w14:paraId="573922CE">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469F491D">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384439F2">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7A501587">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00E75ED2">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209A0092">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5D8CE9CF">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710FB0FF">
      <w:pPr>
        <w:autoSpaceDE w:val="0"/>
        <w:autoSpaceDN w:val="0"/>
        <w:adjustRightInd w:val="0"/>
        <w:jc w:val="center"/>
        <w:rPr>
          <w:rFonts w:cs="宋体" w:asciiTheme="minorEastAsia" w:hAnsiTheme="minorEastAsia" w:eastAsiaTheme="minorEastAsia"/>
          <w:szCs w:val="21"/>
          <w:highlight w:val="none"/>
        </w:rPr>
      </w:pPr>
    </w:p>
    <w:p w14:paraId="69A032CB">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5E953F7A">
      <w:pPr>
        <w:autoSpaceDE w:val="0"/>
        <w:autoSpaceDN w:val="0"/>
        <w:adjustRightInd w:val="0"/>
        <w:spacing w:line="360" w:lineRule="auto"/>
        <w:ind w:firstLine="420"/>
        <w:jc w:val="center"/>
        <w:rPr>
          <w:rFonts w:cs="宋体" w:asciiTheme="minorEastAsia" w:hAnsiTheme="minorEastAsia" w:eastAsiaTheme="minorEastAsia"/>
          <w:szCs w:val="21"/>
          <w:highlight w:val="none"/>
        </w:rPr>
      </w:pPr>
    </w:p>
    <w:p w14:paraId="2C9B9933">
      <w:pPr>
        <w:autoSpaceDE w:val="0"/>
        <w:autoSpaceDN w:val="0"/>
        <w:adjustRightInd w:val="0"/>
        <w:spacing w:line="360" w:lineRule="auto"/>
        <w:rPr>
          <w:rFonts w:cs="宋体" w:asciiTheme="minorEastAsia" w:hAnsiTheme="minorEastAsia" w:eastAsiaTheme="minorEastAsia"/>
          <w:szCs w:val="21"/>
          <w:highlight w:val="none"/>
        </w:rPr>
      </w:pPr>
    </w:p>
    <w:p w14:paraId="2D649553">
      <w:pPr>
        <w:adjustRightInd w:val="0"/>
        <w:snapToGrid w:val="0"/>
        <w:spacing w:line="360" w:lineRule="auto"/>
        <w:ind w:firstLine="602" w:firstLineChars="200"/>
        <w:jc w:val="left"/>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采   购   人：南通市公路事业发展中心</w:t>
      </w:r>
    </w:p>
    <w:p w14:paraId="2E6B7E90">
      <w:pPr>
        <w:adjustRightInd w:val="0"/>
        <w:snapToGrid w:val="0"/>
        <w:spacing w:line="360" w:lineRule="auto"/>
        <w:ind w:firstLine="602" w:firstLineChars="200"/>
        <w:jc w:val="left"/>
        <w:rPr>
          <w:rFonts w:cs="宋体" w:asciiTheme="minorEastAsia" w:hAnsiTheme="minorEastAsia" w:eastAsiaTheme="minorEastAsia"/>
          <w:b/>
          <w:sz w:val="30"/>
          <w:szCs w:val="30"/>
          <w:highlight w:val="none"/>
        </w:rPr>
      </w:pPr>
      <w:r>
        <w:rPr>
          <w:rFonts w:hint="eastAsia" w:cs="宋体" w:asciiTheme="minorEastAsia" w:hAnsiTheme="minorEastAsia" w:eastAsiaTheme="minorEastAsia"/>
          <w:b/>
          <w:sz w:val="30"/>
          <w:szCs w:val="30"/>
          <w:highlight w:val="none"/>
        </w:rPr>
        <w:t>采购代理机构：江苏睿致诚工程咨询有限公司</w:t>
      </w:r>
    </w:p>
    <w:p w14:paraId="73EF7EAC">
      <w:pPr>
        <w:adjustRightInd w:val="0"/>
        <w:snapToGrid w:val="0"/>
        <w:spacing w:line="360" w:lineRule="auto"/>
        <w:jc w:val="center"/>
        <w:rPr>
          <w:rFonts w:cs="宋体" w:asciiTheme="minorEastAsia" w:hAnsiTheme="minorEastAsia" w:eastAsiaTheme="minorEastAsia"/>
          <w:b/>
          <w:bCs/>
          <w:sz w:val="30"/>
          <w:szCs w:val="30"/>
          <w:highlight w:val="none"/>
        </w:rPr>
      </w:pPr>
      <w:r>
        <w:rPr>
          <w:rFonts w:hint="eastAsia" w:cs="宋体" w:asciiTheme="minorEastAsia" w:hAnsiTheme="minorEastAsia" w:eastAsiaTheme="minorEastAsia"/>
          <w:b/>
          <w:bCs/>
          <w:sz w:val="30"/>
          <w:szCs w:val="30"/>
          <w:highlight w:val="none"/>
        </w:rPr>
        <w:t xml:space="preserve">  </w:t>
      </w:r>
      <w:r>
        <w:rPr>
          <w:rFonts w:cs="宋体" w:asciiTheme="minorEastAsia" w:hAnsiTheme="minorEastAsia" w:eastAsiaTheme="minorEastAsia"/>
          <w:b/>
          <w:bCs/>
          <w:sz w:val="30"/>
          <w:szCs w:val="30"/>
          <w:highlight w:val="none"/>
        </w:rPr>
        <w:t>2024</w:t>
      </w:r>
      <w:r>
        <w:rPr>
          <w:rFonts w:hint="eastAsia" w:cs="宋体" w:asciiTheme="minorEastAsia" w:hAnsiTheme="minorEastAsia" w:eastAsiaTheme="minorEastAsia"/>
          <w:b/>
          <w:bCs/>
          <w:sz w:val="30"/>
          <w:szCs w:val="30"/>
          <w:highlight w:val="none"/>
        </w:rPr>
        <w:t>年1</w:t>
      </w:r>
      <w:r>
        <w:rPr>
          <w:rFonts w:hint="eastAsia" w:cs="宋体" w:asciiTheme="minorEastAsia" w:hAnsiTheme="minorEastAsia" w:eastAsiaTheme="minorEastAsia"/>
          <w:b/>
          <w:bCs/>
          <w:sz w:val="30"/>
          <w:szCs w:val="30"/>
          <w:highlight w:val="none"/>
          <w:lang w:val="en-US" w:eastAsia="zh-CN"/>
        </w:rPr>
        <w:t>2</w:t>
      </w:r>
      <w:bookmarkStart w:id="100" w:name="_GoBack"/>
      <w:bookmarkEnd w:id="100"/>
      <w:r>
        <w:rPr>
          <w:rFonts w:hint="eastAsia" w:cs="宋体" w:asciiTheme="minorEastAsia" w:hAnsiTheme="minorEastAsia" w:eastAsiaTheme="minorEastAsia"/>
          <w:b/>
          <w:bCs/>
          <w:sz w:val="30"/>
          <w:szCs w:val="30"/>
          <w:highlight w:val="none"/>
        </w:rPr>
        <w:t>月</w:t>
      </w:r>
    </w:p>
    <w:p w14:paraId="40C6E82D">
      <w:pPr>
        <w:autoSpaceDE w:val="0"/>
        <w:autoSpaceDN w:val="0"/>
        <w:adjustRightInd w:val="0"/>
        <w:spacing w:line="360" w:lineRule="auto"/>
        <w:jc w:val="center"/>
        <w:outlineLvl w:val="0"/>
        <w:rPr>
          <w:rFonts w:cs="宋体" w:asciiTheme="minorEastAsia" w:hAnsiTheme="minorEastAsia" w:eastAsiaTheme="minorEastAsia"/>
          <w:b/>
          <w:bCs/>
          <w:sz w:val="44"/>
          <w:szCs w:val="44"/>
          <w:highlight w:val="none"/>
          <w:lang w:val="zh-CN"/>
        </w:rPr>
      </w:pPr>
      <w:r>
        <w:rPr>
          <w:rFonts w:hint="eastAsia" w:cs="宋体" w:asciiTheme="minorEastAsia" w:hAnsiTheme="minorEastAsia" w:eastAsiaTheme="minorEastAsia"/>
          <w:b/>
          <w:bCs/>
          <w:sz w:val="44"/>
          <w:szCs w:val="44"/>
          <w:highlight w:val="none"/>
          <w:lang w:val="zh-CN"/>
        </w:rPr>
        <w:br w:type="page"/>
      </w:r>
      <w:r>
        <w:rPr>
          <w:rFonts w:hint="eastAsia" w:cs="宋体" w:asciiTheme="minorEastAsia" w:hAnsiTheme="minorEastAsia" w:eastAsiaTheme="minorEastAsia"/>
          <w:b/>
          <w:bCs/>
          <w:sz w:val="44"/>
          <w:szCs w:val="44"/>
          <w:highlight w:val="none"/>
          <w:lang w:val="zh-CN"/>
        </w:rPr>
        <w:t>目   录</w:t>
      </w:r>
    </w:p>
    <w:p w14:paraId="283DDC94">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p>
    <w:p w14:paraId="5BA4A9A8">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第一部分  竞争性磋商公告</w:t>
      </w:r>
    </w:p>
    <w:p w14:paraId="65F977B1">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第二部分  磋商须知</w:t>
      </w:r>
    </w:p>
    <w:p w14:paraId="3BB64550">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第三部分  项目需求</w:t>
      </w:r>
    </w:p>
    <w:p w14:paraId="2E25890D">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第四部分  磋商程序和内容</w:t>
      </w:r>
    </w:p>
    <w:p w14:paraId="03FA06E1">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第五部分  合同签订与验收付款</w:t>
      </w:r>
    </w:p>
    <w:p w14:paraId="35C58321">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第六部分  质疑提出和处理</w:t>
      </w:r>
    </w:p>
    <w:p w14:paraId="45FFF483">
      <w:pPr>
        <w:autoSpaceDE w:val="0"/>
        <w:autoSpaceDN w:val="0"/>
        <w:adjustRightInd w:val="0"/>
        <w:spacing w:line="480" w:lineRule="auto"/>
        <w:ind w:firstLine="556"/>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第七部分  响应文件组成</w:t>
      </w:r>
    </w:p>
    <w:p w14:paraId="0FB1D1A7">
      <w:pPr>
        <w:tabs>
          <w:tab w:val="left" w:pos="7740"/>
        </w:tabs>
        <w:spacing w:line="500" w:lineRule="exact"/>
        <w:rPr>
          <w:rFonts w:cs="宋体" w:asciiTheme="minorEastAsia" w:hAnsiTheme="minorEastAsia" w:eastAsiaTheme="minorEastAsia"/>
          <w:b/>
          <w:spacing w:val="2"/>
          <w:sz w:val="32"/>
          <w:szCs w:val="32"/>
          <w:highlight w:val="none"/>
        </w:rPr>
      </w:pPr>
    </w:p>
    <w:p w14:paraId="4E8DA625">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4DEE57E5">
      <w:pPr>
        <w:autoSpaceDE w:val="0"/>
        <w:autoSpaceDN w:val="0"/>
        <w:adjustRightInd w:val="0"/>
        <w:spacing w:line="540" w:lineRule="exact"/>
        <w:rPr>
          <w:rFonts w:cs="宋体" w:asciiTheme="minorEastAsia" w:hAnsiTheme="minorEastAsia" w:eastAsiaTheme="minorEastAsia"/>
          <w:b/>
          <w:bCs/>
          <w:sz w:val="36"/>
          <w:szCs w:val="36"/>
          <w:highlight w:val="none"/>
          <w:lang w:val="zh-CN"/>
        </w:rPr>
      </w:pPr>
    </w:p>
    <w:p w14:paraId="57C4C618">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3D36E0E5">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08E53E26">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1716454D">
      <w:pPr>
        <w:autoSpaceDE w:val="0"/>
        <w:autoSpaceDN w:val="0"/>
        <w:adjustRightInd w:val="0"/>
        <w:spacing w:line="540" w:lineRule="exact"/>
        <w:jc w:val="center"/>
        <w:rPr>
          <w:rFonts w:cs="宋体" w:asciiTheme="minorEastAsia" w:hAnsiTheme="minorEastAsia" w:eastAsiaTheme="minorEastAsia"/>
          <w:b/>
          <w:bCs/>
          <w:sz w:val="36"/>
          <w:szCs w:val="36"/>
          <w:highlight w:val="none"/>
          <w:lang w:val="zh-CN"/>
        </w:rPr>
      </w:pPr>
    </w:p>
    <w:p w14:paraId="4571ADC6">
      <w:pPr>
        <w:autoSpaceDE w:val="0"/>
        <w:autoSpaceDN w:val="0"/>
        <w:adjustRightInd w:val="0"/>
        <w:spacing w:line="540" w:lineRule="exact"/>
        <w:rPr>
          <w:rFonts w:cs="宋体" w:asciiTheme="minorEastAsia" w:hAnsiTheme="minorEastAsia" w:eastAsiaTheme="minorEastAsia"/>
          <w:b/>
          <w:bCs/>
          <w:sz w:val="36"/>
          <w:szCs w:val="36"/>
          <w:highlight w:val="none"/>
          <w:lang w:val="zh-CN"/>
        </w:rPr>
      </w:pPr>
    </w:p>
    <w:p w14:paraId="4A181E55">
      <w:pPr>
        <w:autoSpaceDE w:val="0"/>
        <w:autoSpaceDN w:val="0"/>
        <w:adjustRightInd w:val="0"/>
        <w:snapToGrid w:val="0"/>
        <w:spacing w:line="300" w:lineRule="auto"/>
        <w:jc w:val="center"/>
        <w:outlineLvl w:val="0"/>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br w:type="page"/>
      </w:r>
      <w:r>
        <w:rPr>
          <w:rFonts w:hint="eastAsia" w:cs="宋体" w:asciiTheme="minorEastAsia" w:hAnsiTheme="minorEastAsia" w:eastAsiaTheme="minorEastAsia"/>
          <w:b/>
          <w:bCs/>
          <w:sz w:val="36"/>
          <w:szCs w:val="36"/>
          <w:highlight w:val="none"/>
          <w:lang w:val="zh-CN"/>
        </w:rPr>
        <w:t xml:space="preserve">第一部分  </w:t>
      </w:r>
      <w:bookmarkStart w:id="0" w:name="_Hlk156306618"/>
      <w:r>
        <w:rPr>
          <w:rFonts w:hint="eastAsia" w:cs="宋体" w:asciiTheme="minorEastAsia" w:hAnsiTheme="minorEastAsia" w:eastAsiaTheme="minorEastAsia"/>
          <w:b/>
          <w:bCs/>
          <w:sz w:val="36"/>
          <w:szCs w:val="36"/>
          <w:highlight w:val="none"/>
          <w:lang w:val="zh-CN"/>
        </w:rPr>
        <w:t>竞争性磋商公告</w:t>
      </w:r>
    </w:p>
    <w:p w14:paraId="2EA18433">
      <w:pPr>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一、项目基本情况</w:t>
      </w:r>
    </w:p>
    <w:p w14:paraId="5EA9010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1.项目编号：2024GLFJ</w:t>
      </w:r>
    </w:p>
    <w:p w14:paraId="6FE2A69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2.项目名称：南通市“十五五”公路高质量发展研究报告项目</w:t>
      </w:r>
    </w:p>
    <w:p w14:paraId="58C526F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3.项目类型：服务</w:t>
      </w:r>
    </w:p>
    <w:p w14:paraId="78230EB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4.所属行业：其他未列明行业</w:t>
      </w:r>
    </w:p>
    <w:p w14:paraId="3F11EDC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5.预算金额：人民币陆拾伍万元整（¥650000）</w:t>
      </w:r>
    </w:p>
    <w:p w14:paraId="66AF086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最高投标限价为人民币陆拾伍万元整（¥650000）</w:t>
      </w:r>
    </w:p>
    <w:p w14:paraId="7DE02C06">
      <w:pPr>
        <w:spacing w:line="360" w:lineRule="auto"/>
        <w:ind w:firstLine="480" w:firstLineChars="200"/>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6.采购需求：</w:t>
      </w:r>
    </w:p>
    <w:p w14:paraId="6B84B4C6">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（1）实地调研。</w:t>
      </w:r>
    </w:p>
    <w:p w14:paraId="099B234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（2）编制研究报告。 </w:t>
      </w:r>
    </w:p>
    <w:p w14:paraId="60802CC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（3）梳理项目库。</w:t>
      </w:r>
    </w:p>
    <w:p w14:paraId="129D85F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（4）评审及上报。 </w:t>
      </w:r>
    </w:p>
    <w:p w14:paraId="6CCEB70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（5）开展南通市公路发展“十五五”规划中期评估工作。</w:t>
      </w:r>
    </w:p>
    <w:p w14:paraId="288C1891">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（6）编制普通国省道规划落地工作方案。</w:t>
      </w:r>
    </w:p>
    <w:p w14:paraId="244A52A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具体详见《第三部分项目需求》，请仔细研究。</w:t>
      </w:r>
    </w:p>
    <w:p w14:paraId="5B2A0969">
      <w:pPr>
        <w:numPr>
          <w:ilvl w:val="0"/>
          <w:numId w:val="1"/>
        </w:num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合同履行期限：合同签订之日起至2030年12月31日。</w:t>
      </w:r>
    </w:p>
    <w:p w14:paraId="1FE9072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8.本项目不接受联合体磋商。</w:t>
      </w:r>
    </w:p>
    <w:p w14:paraId="6927BBB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9.本项目不允许分包。</w:t>
      </w:r>
    </w:p>
    <w:p w14:paraId="12451D41">
      <w:pPr>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二、供应商资格要求</w:t>
      </w:r>
    </w:p>
    <w:p w14:paraId="5EA95D1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1.符合《中华人民共和国政府采购法》第二十二条规定。</w:t>
      </w:r>
    </w:p>
    <w:p w14:paraId="44C994C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cs="宋体" w:asciiTheme="minorEastAsia" w:hAnsiTheme="minorEastAsia" w:eastAsiaTheme="minorEastAsia"/>
          <w:sz w:val="24"/>
          <w:highlight w:val="none"/>
        </w:rPr>
        <w:t>落实政府采购政策需满足的资格要求：</w:t>
      </w:r>
      <w:r>
        <w:rPr>
          <w:rFonts w:hint="eastAsia" w:cs="宋体" w:asciiTheme="minorEastAsia" w:hAnsiTheme="minorEastAsia" w:eastAsiaTheme="minorEastAsia"/>
          <w:sz w:val="24"/>
          <w:highlight w:val="none"/>
        </w:rPr>
        <w:t>本项目非专门面向中小微企业采购。</w:t>
      </w:r>
    </w:p>
    <w:p w14:paraId="2CE3712B">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cs="宋体" w:asciiTheme="minorEastAsia" w:hAnsiTheme="minorEastAsia" w:eastAsiaTheme="minorEastAsia"/>
          <w:sz w:val="24"/>
          <w:highlight w:val="none"/>
        </w:rPr>
        <w:t>本项目的特定资格要求：</w:t>
      </w:r>
    </w:p>
    <w:p w14:paraId="693CEA72">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项目负责人要求：投标供应商拟投入的项目负责人应具备公路工程相关专业的高级工程师（或以上）技术职称。</w:t>
      </w:r>
    </w:p>
    <w:p w14:paraId="20BA56F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注：公路工程相关专业包括公路工程、桥梁工程、公路与桥梁工程、交通土建、隧道（地下结构）工程、交通工程专业职称。</w:t>
      </w:r>
    </w:p>
    <w:p w14:paraId="3D091A5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4.信誉要求：</w:t>
      </w:r>
    </w:p>
    <w:p w14:paraId="220D908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文件递交截止日当天，未被“信用中国”网站（www.creditchina.gov.cn）列入失信被执行人、重大税收违法案件当事人名单，在国家企业信用信息公示系统（http://www.gsxt.gov.cn/）中未被列入严重违法失信企业名单，未被“中国政府采购网”</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rPr>
        <w:t>http://www.ccgp.gov.cn/）列入政府采购严重失信行为记录名单；无其他不符合《中华人民共和国政府采购法》第二十二条规定条件的信用记录。（投标响应文件中无需提供证明材料，以采购代理现场核查为准）。</w:t>
      </w:r>
    </w:p>
    <w:p w14:paraId="00337545">
      <w:pPr>
        <w:pStyle w:val="33"/>
        <w:spacing w:line="360" w:lineRule="auto"/>
        <w:ind w:firstLine="508" w:firstLineChars="200"/>
        <w:rPr>
          <w:rFonts w:cs="宋体" w:asciiTheme="minorEastAsia" w:hAnsiTheme="minorEastAsia"/>
          <w:highlight w:val="none"/>
        </w:rPr>
      </w:pPr>
      <w:r>
        <w:rPr>
          <w:rFonts w:hint="eastAsia" w:cs="宋体" w:asciiTheme="minorEastAsia" w:hAnsiTheme="minorEastAsia"/>
          <w:spacing w:val="7"/>
          <w:highlight w:val="none"/>
        </w:rPr>
        <w:t>5</w:t>
      </w:r>
      <w:r>
        <w:rPr>
          <w:rFonts w:hint="eastAsia" w:cs="宋体" w:asciiTheme="minorEastAsia" w:hAnsiTheme="minorEastAsia"/>
          <w:highlight w:val="none"/>
        </w:rPr>
        <w:t>.与采购人存在利害关系可能影响公正性的单位，单位负责人为同一人或者存在直接控股、管理关系的不同供应商,不得参加同一合同项下的政府采购活动。若同时参加同一合同项下的政府采购活动，则相关供应商的投标均做无效投标处理。</w:t>
      </w:r>
    </w:p>
    <w:p w14:paraId="394462E5">
      <w:pPr>
        <w:pStyle w:val="33"/>
        <w:spacing w:line="360" w:lineRule="auto"/>
        <w:ind w:firstLine="482" w:firstLineChars="200"/>
        <w:rPr>
          <w:rFonts w:cs="宋体" w:asciiTheme="minorEastAsia" w:hAnsiTheme="minorEastAsia"/>
          <w:b/>
          <w:bCs/>
          <w:highlight w:val="none"/>
        </w:rPr>
      </w:pPr>
      <w:r>
        <w:rPr>
          <w:rFonts w:hint="eastAsia" w:cs="宋体" w:asciiTheme="minorEastAsia" w:hAnsiTheme="minorEastAsia"/>
          <w:b/>
          <w:kern w:val="0"/>
          <w:highlight w:val="none"/>
        </w:rPr>
        <w:t>注：请供应商认真对照资格要求，如不符合要求，无意或故意参与投标的，所产生的一切后果由供应商承担。对提供虚假材料的供应商作无效标处理，将报相关主管部门后将其列入黑名单，视情形在相关网站上公示。</w:t>
      </w:r>
      <w:r>
        <w:rPr>
          <w:rFonts w:cs="宋体" w:asciiTheme="minorEastAsia" w:hAnsiTheme="minorEastAsia"/>
          <w:b/>
          <w:kern w:val="0"/>
          <w:highlight w:val="none"/>
        </w:rPr>
        <w:t>供应商应依照规定提交各类声明函、承诺函，不再同时提供原件备查或提供有关部门出具的相关证明文件。但中标或成交供应商，应</w:t>
      </w:r>
      <w:r>
        <w:rPr>
          <w:rFonts w:hint="eastAsia" w:cs="宋体" w:asciiTheme="minorEastAsia" w:hAnsiTheme="minorEastAsia"/>
          <w:b/>
          <w:kern w:val="0"/>
          <w:highlight w:val="none"/>
        </w:rPr>
        <w:t>做好提交声明函、承诺函相应原件的核查准备</w:t>
      </w:r>
      <w:r>
        <w:rPr>
          <w:rFonts w:cs="宋体" w:asciiTheme="minorEastAsia" w:hAnsiTheme="minorEastAsia"/>
          <w:b/>
          <w:kern w:val="0"/>
          <w:highlight w:val="none"/>
        </w:rPr>
        <w:t>；核查后发现虚假或违背承诺的，依照相关法律法规规定处理</w:t>
      </w:r>
      <w:r>
        <w:rPr>
          <w:rFonts w:hint="eastAsia" w:cs="宋体" w:asciiTheme="minorEastAsia" w:hAnsiTheme="minorEastAsia"/>
          <w:b/>
          <w:kern w:val="0"/>
          <w:highlight w:val="none"/>
        </w:rPr>
        <w:t>。</w:t>
      </w:r>
    </w:p>
    <w:p w14:paraId="3B00560E">
      <w:pPr>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三、获取磋商文件</w:t>
      </w:r>
    </w:p>
    <w:p w14:paraId="5CBFA520">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1.申请</w:t>
      </w:r>
    </w:p>
    <w:p w14:paraId="3B04C005">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申请时间：自公告上网发布之日起至</w:t>
      </w:r>
      <w:r>
        <w:rPr>
          <w:rFonts w:cs="宋体" w:asciiTheme="minorEastAsia" w:hAnsiTheme="minorEastAsia" w:eastAsiaTheme="minorEastAsia"/>
          <w:spacing w:val="7"/>
          <w:kern w:val="0"/>
          <w:sz w:val="24"/>
          <w:highlight w:val="none"/>
          <w:u w:val="single"/>
        </w:rPr>
        <w:t>2024</w:t>
      </w:r>
      <w:r>
        <w:rPr>
          <w:rFonts w:hint="eastAsia" w:cs="宋体" w:asciiTheme="minorEastAsia" w:hAnsiTheme="minorEastAsia" w:eastAsiaTheme="minorEastAsia"/>
          <w:spacing w:val="7"/>
          <w:kern w:val="0"/>
          <w:sz w:val="24"/>
          <w:highlight w:val="none"/>
        </w:rPr>
        <w:t>年</w:t>
      </w:r>
      <w:r>
        <w:rPr>
          <w:rFonts w:hint="eastAsia" w:cs="宋体" w:asciiTheme="minorEastAsia" w:hAnsiTheme="minorEastAsia" w:eastAsiaTheme="minorEastAsia"/>
          <w:spacing w:val="7"/>
          <w:kern w:val="0"/>
          <w:sz w:val="24"/>
          <w:highlight w:val="none"/>
          <w:u w:val="single"/>
          <w:lang w:val="en-US" w:eastAsia="zh-CN"/>
        </w:rPr>
        <w:t>12</w:t>
      </w:r>
      <w:r>
        <w:rPr>
          <w:rFonts w:hint="eastAsia" w:cs="宋体" w:asciiTheme="minorEastAsia" w:hAnsiTheme="minorEastAsia" w:eastAsiaTheme="minorEastAsia"/>
          <w:spacing w:val="7"/>
          <w:kern w:val="0"/>
          <w:sz w:val="24"/>
          <w:highlight w:val="none"/>
        </w:rPr>
        <w:t>月</w:t>
      </w:r>
      <w:r>
        <w:rPr>
          <w:rFonts w:hint="eastAsia" w:cs="宋体" w:asciiTheme="minorEastAsia" w:hAnsiTheme="minorEastAsia" w:eastAsiaTheme="minorEastAsia"/>
          <w:spacing w:val="7"/>
          <w:kern w:val="0"/>
          <w:sz w:val="24"/>
          <w:highlight w:val="none"/>
          <w:u w:val="single"/>
          <w:lang w:val="en-US" w:eastAsia="zh-CN"/>
        </w:rPr>
        <w:t>12</w:t>
      </w:r>
      <w:r>
        <w:rPr>
          <w:rFonts w:hint="eastAsia" w:cs="宋体" w:asciiTheme="minorEastAsia" w:hAnsiTheme="minorEastAsia" w:eastAsiaTheme="minorEastAsia"/>
          <w:spacing w:val="7"/>
          <w:kern w:val="0"/>
          <w:sz w:val="24"/>
          <w:highlight w:val="none"/>
        </w:rPr>
        <w:t>日，每日工作时间：上午9:00—11:30整，下午13:30—17:30整（节假日除外）。</w:t>
      </w:r>
    </w:p>
    <w:p w14:paraId="728868FE">
      <w:pPr>
        <w:snapToGrid w:val="0"/>
        <w:spacing w:line="360" w:lineRule="auto"/>
        <w:ind w:firstLine="480"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kern w:val="0"/>
          <w:sz w:val="24"/>
          <w:highlight w:val="none"/>
        </w:rPr>
        <w:t>按照磋商公告下附件《申请函》的形式，回函（加盖单位章）发彩色扫描件至邮箱中（联系人：赵工，联系电话：</w:t>
      </w:r>
      <w:r>
        <w:rPr>
          <w:rFonts w:cs="宋体" w:asciiTheme="minorEastAsia" w:hAnsiTheme="minorEastAsia" w:eastAsiaTheme="minorEastAsia"/>
          <w:kern w:val="0"/>
          <w:sz w:val="24"/>
          <w:highlight w:val="none"/>
        </w:rPr>
        <w:t>15851317775</w:t>
      </w:r>
      <w:r>
        <w:rPr>
          <w:rFonts w:hint="eastAsia" w:cs="宋体" w:asciiTheme="minorEastAsia" w:hAnsiTheme="minorEastAsia" w:eastAsiaTheme="minorEastAsia"/>
          <w:kern w:val="0"/>
          <w:sz w:val="24"/>
          <w:highlight w:val="none"/>
        </w:rPr>
        <w:t>），并致电代理机构确认邮件送达，确认是否参与本次投标及缴纳磋商文件费用的相关事宜。</w:t>
      </w:r>
    </w:p>
    <w:p w14:paraId="29A3B49E">
      <w:pPr>
        <w:adjustRightInd w:val="0"/>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申请提供资料：按附件提供《申请函》</w:t>
      </w:r>
    </w:p>
    <w:p w14:paraId="69543B94">
      <w:pPr>
        <w:snapToGrid w:val="0"/>
        <w:spacing w:line="360" w:lineRule="auto"/>
        <w:ind w:firstLine="482"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b/>
          <w:bCs/>
          <w:kern w:val="0"/>
          <w:sz w:val="24"/>
          <w:highlight w:val="none"/>
        </w:rPr>
        <w:t>未按要求进行申请的不具备磋商资格。</w:t>
      </w:r>
    </w:p>
    <w:p w14:paraId="31F88B93">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2.获取磋商文件</w:t>
      </w:r>
    </w:p>
    <w:p w14:paraId="5188E06D">
      <w:pPr>
        <w:adjustRightInd w:val="0"/>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各申请人到采购代理机构自行领取纸质磋商文件或由采购代理机构邮寄纸质文件给各申请人。</w:t>
      </w:r>
    </w:p>
    <w:p w14:paraId="689122CD">
      <w:pPr>
        <w:adjustRightInd w:val="0"/>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磋商文件售价300元/供应商，请在提交《申请函》的同时缴纳给采购代理机构，无论何种情况不予退还。</w:t>
      </w:r>
    </w:p>
    <w:p w14:paraId="7A7B0CEA">
      <w:pPr>
        <w:snapToGrid w:val="0"/>
        <w:spacing w:line="360" w:lineRule="auto"/>
        <w:ind w:firstLine="480"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kern w:val="0"/>
          <w:sz w:val="24"/>
          <w:highlight w:val="none"/>
        </w:rPr>
        <w:t>3.已获取磋商文件的供应商，不得擅自放弃，若因故确需放弃，则须在递交磋商响应文件截止之日3天前书面告知采购人或采购代理机构，如无故不参加磋商而造成参加磋商的供应商不足3家而重新采购的，若重新采购的采购范围、规模和资格要求等未发生改变，采购人可以拒绝其参加重新采购的投标。</w:t>
      </w:r>
    </w:p>
    <w:p w14:paraId="06E3F8BC">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四、磋商响应文件递交</w:t>
      </w:r>
    </w:p>
    <w:p w14:paraId="65102EF7">
      <w:pPr>
        <w:widowControl/>
        <w:shd w:val="clear" w:color="auto" w:fill="FFFFFF"/>
        <w:spacing w:line="360" w:lineRule="auto"/>
        <w:ind w:firstLine="508" w:firstLineChars="200"/>
        <w:rPr>
          <w:rFonts w:cs="宋体" w:asciiTheme="minorEastAsia" w:hAnsiTheme="minorEastAsia" w:eastAsiaTheme="minorEastAsia"/>
          <w:i/>
          <w:spacing w:val="7"/>
          <w:kern w:val="0"/>
          <w:sz w:val="24"/>
          <w:highlight w:val="none"/>
          <w:u w:val="single"/>
        </w:rPr>
      </w:pPr>
      <w:r>
        <w:rPr>
          <w:rFonts w:hint="eastAsia" w:cs="宋体" w:asciiTheme="minorEastAsia" w:hAnsiTheme="minorEastAsia" w:eastAsiaTheme="minorEastAsia"/>
          <w:spacing w:val="7"/>
          <w:kern w:val="0"/>
          <w:sz w:val="24"/>
          <w:highlight w:val="none"/>
        </w:rPr>
        <w:t>截止时间：</w:t>
      </w:r>
      <w:r>
        <w:rPr>
          <w:rFonts w:cs="宋体" w:asciiTheme="minorEastAsia" w:hAnsiTheme="minorEastAsia" w:eastAsiaTheme="minorEastAsia"/>
          <w:spacing w:val="7"/>
          <w:kern w:val="0"/>
          <w:sz w:val="24"/>
          <w:highlight w:val="none"/>
          <w:u w:val="single"/>
        </w:rPr>
        <w:t>2024</w:t>
      </w:r>
      <w:r>
        <w:rPr>
          <w:rFonts w:hint="eastAsia" w:cs="宋体" w:asciiTheme="minorEastAsia" w:hAnsiTheme="minorEastAsia" w:eastAsiaTheme="minorEastAsia"/>
          <w:spacing w:val="7"/>
          <w:kern w:val="0"/>
          <w:sz w:val="24"/>
          <w:highlight w:val="none"/>
        </w:rPr>
        <w:t>年</w:t>
      </w:r>
      <w:r>
        <w:rPr>
          <w:rFonts w:hint="eastAsia" w:cs="宋体" w:asciiTheme="minorEastAsia" w:hAnsiTheme="minorEastAsia" w:eastAsiaTheme="minorEastAsia"/>
          <w:spacing w:val="7"/>
          <w:kern w:val="0"/>
          <w:sz w:val="24"/>
          <w:highlight w:val="none"/>
          <w:u w:val="single"/>
          <w:lang w:val="en-US" w:eastAsia="zh-CN"/>
        </w:rPr>
        <w:t>12</w:t>
      </w:r>
      <w:r>
        <w:rPr>
          <w:rFonts w:hint="eastAsia" w:cs="宋体" w:asciiTheme="minorEastAsia" w:hAnsiTheme="minorEastAsia" w:eastAsiaTheme="minorEastAsia"/>
          <w:spacing w:val="7"/>
          <w:kern w:val="0"/>
          <w:sz w:val="24"/>
          <w:highlight w:val="none"/>
        </w:rPr>
        <w:t>月</w:t>
      </w:r>
      <w:r>
        <w:rPr>
          <w:rFonts w:hint="eastAsia" w:cs="宋体" w:asciiTheme="minorEastAsia" w:hAnsiTheme="minorEastAsia" w:eastAsiaTheme="minorEastAsia"/>
          <w:spacing w:val="7"/>
          <w:kern w:val="0"/>
          <w:sz w:val="24"/>
          <w:highlight w:val="none"/>
          <w:u w:val="single"/>
          <w:lang w:val="en-US" w:eastAsia="zh-CN"/>
        </w:rPr>
        <w:t>13</w:t>
      </w:r>
      <w:r>
        <w:rPr>
          <w:rFonts w:hint="eastAsia" w:cs="宋体" w:asciiTheme="minorEastAsia" w:hAnsiTheme="minorEastAsia" w:eastAsiaTheme="minorEastAsia"/>
          <w:spacing w:val="7"/>
          <w:kern w:val="0"/>
          <w:sz w:val="24"/>
          <w:highlight w:val="none"/>
        </w:rPr>
        <w:t>日</w:t>
      </w:r>
      <w:r>
        <w:rPr>
          <w:rFonts w:hint="eastAsia" w:cs="宋体" w:asciiTheme="minorEastAsia" w:hAnsiTheme="minorEastAsia" w:eastAsiaTheme="minorEastAsia"/>
          <w:sz w:val="24"/>
          <w:highlight w:val="none"/>
          <w:u w:val="single"/>
        </w:rPr>
        <w:t>9</w:t>
      </w:r>
      <w:r>
        <w:rPr>
          <w:rFonts w:hint="eastAsia" w:cs="宋体" w:asciiTheme="minorEastAsia" w:hAnsiTheme="minorEastAsia" w:eastAsiaTheme="minorEastAsia"/>
          <w:spacing w:val="7"/>
          <w:kern w:val="0"/>
          <w:sz w:val="24"/>
          <w:highlight w:val="none"/>
        </w:rPr>
        <w:t>时</w:t>
      </w:r>
      <w:r>
        <w:rPr>
          <w:rFonts w:hint="eastAsia" w:cs="宋体" w:asciiTheme="minorEastAsia" w:hAnsiTheme="minorEastAsia" w:eastAsiaTheme="minorEastAsia"/>
          <w:sz w:val="24"/>
          <w:highlight w:val="none"/>
          <w:u w:val="single"/>
        </w:rPr>
        <w:t>00</w:t>
      </w:r>
      <w:r>
        <w:rPr>
          <w:rFonts w:hint="eastAsia" w:cs="宋体" w:asciiTheme="minorEastAsia" w:hAnsiTheme="minorEastAsia" w:eastAsiaTheme="minorEastAsia"/>
          <w:spacing w:val="7"/>
          <w:kern w:val="0"/>
          <w:sz w:val="24"/>
          <w:highlight w:val="none"/>
        </w:rPr>
        <w:t>分（北京时间）</w:t>
      </w:r>
    </w:p>
    <w:p w14:paraId="5FA2ABAC">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逾时，将不予接收。</w:t>
      </w:r>
    </w:p>
    <w:p w14:paraId="76076B7F">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地点：南通市公路事业发展中心1楼信访接待室（地址：南通市跃龙路4号），如有变动另行通知。</w:t>
      </w:r>
    </w:p>
    <w:p w14:paraId="7D871F29">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五、磋商响应文件开启</w:t>
      </w:r>
    </w:p>
    <w:p w14:paraId="24B97801">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时间：</w:t>
      </w:r>
      <w:r>
        <w:rPr>
          <w:rFonts w:hint="eastAsia" w:cs="宋体" w:asciiTheme="minorEastAsia" w:hAnsiTheme="minorEastAsia" w:eastAsiaTheme="minorEastAsia"/>
          <w:kern w:val="0"/>
          <w:sz w:val="24"/>
          <w:highlight w:val="none"/>
        </w:rPr>
        <w:t>同磋商响应文件递交截止时间</w:t>
      </w:r>
    </w:p>
    <w:p w14:paraId="27CAC4CA">
      <w:pPr>
        <w:snapToGrid w:val="0"/>
        <w:spacing w:line="360" w:lineRule="auto"/>
        <w:ind w:firstLine="508" w:firstLineChars="200"/>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地点：南通市公路事业发展中心1楼信访接待室（地址：南通市跃龙路4号），如有变动另行通知。</w:t>
      </w:r>
    </w:p>
    <w:p w14:paraId="6944F875">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六、</w:t>
      </w:r>
      <w:r>
        <w:rPr>
          <w:rFonts w:cs="宋体" w:asciiTheme="minorEastAsia" w:hAnsiTheme="minorEastAsia" w:eastAsiaTheme="minorEastAsia"/>
          <w:b/>
          <w:spacing w:val="7"/>
          <w:kern w:val="0"/>
          <w:sz w:val="24"/>
          <w:highlight w:val="none"/>
        </w:rPr>
        <w:t>公告期限</w:t>
      </w:r>
    </w:p>
    <w:p w14:paraId="6CDB7716">
      <w:pPr>
        <w:snapToGrid w:val="0"/>
        <w:spacing w:line="360" w:lineRule="auto"/>
        <w:ind w:firstLine="508"/>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自本公告发布之日起10日。</w:t>
      </w:r>
    </w:p>
    <w:p w14:paraId="7C7593BC">
      <w:pPr>
        <w:spacing w:line="360" w:lineRule="auto"/>
        <w:ind w:firstLine="510" w:firstLineChars="200"/>
        <w:rPr>
          <w:rFonts w:asciiTheme="minorEastAsia" w:hAnsiTheme="minorEastAsia" w:eastAsiaTheme="minorEastAsia"/>
          <w:kern w:val="0"/>
          <w:sz w:val="24"/>
          <w:highlight w:val="none"/>
        </w:rPr>
      </w:pPr>
      <w:r>
        <w:rPr>
          <w:rFonts w:hint="eastAsia" w:cs="宋体" w:asciiTheme="minorEastAsia" w:hAnsiTheme="minorEastAsia" w:eastAsiaTheme="minorEastAsia"/>
          <w:b/>
          <w:spacing w:val="7"/>
          <w:kern w:val="0"/>
          <w:sz w:val="24"/>
          <w:highlight w:val="none"/>
        </w:rPr>
        <w:t>七、</w:t>
      </w:r>
      <w:r>
        <w:rPr>
          <w:rFonts w:hint="eastAsia" w:cs="宋体" w:asciiTheme="minorEastAsia" w:hAnsiTheme="minorEastAsia" w:eastAsiaTheme="minorEastAsia"/>
          <w:b/>
          <w:bCs/>
          <w:sz w:val="24"/>
          <w:highlight w:val="none"/>
          <w:lang w:val="zh-CN"/>
        </w:rPr>
        <w:t>支付方式</w:t>
      </w:r>
      <w:r>
        <w:rPr>
          <w:rFonts w:hint="eastAsia" w:cs="宋体" w:asciiTheme="minorEastAsia" w:hAnsiTheme="minorEastAsia" w:eastAsiaTheme="minorEastAsia"/>
          <w:b/>
          <w:bCs/>
          <w:sz w:val="24"/>
          <w:highlight w:val="none"/>
        </w:rPr>
        <w:t>：</w:t>
      </w:r>
    </w:p>
    <w:p w14:paraId="43F130E7">
      <w:pPr>
        <w:snapToGrid w:val="0"/>
        <w:spacing w:line="360" w:lineRule="auto"/>
        <w:ind w:firstLine="508"/>
        <w:contextualSpacing/>
        <w:rPr>
          <w:rFonts w:cs="宋体" w:asciiTheme="minorEastAsia" w:hAnsiTheme="minorEastAsia" w:eastAsiaTheme="minorEastAsia"/>
          <w:spacing w:val="7"/>
          <w:kern w:val="0"/>
          <w:sz w:val="24"/>
          <w:highlight w:val="none"/>
        </w:rPr>
      </w:pPr>
      <w:r>
        <w:rPr>
          <w:rFonts w:hint="eastAsia" w:cs="宋体" w:asciiTheme="minorEastAsia" w:hAnsiTheme="minorEastAsia" w:eastAsiaTheme="minorEastAsia"/>
          <w:spacing w:val="7"/>
          <w:kern w:val="0"/>
          <w:sz w:val="24"/>
          <w:highlight w:val="none"/>
        </w:rPr>
        <w:t>合同签订后且收到供应商发票后</w:t>
      </w:r>
      <w:r>
        <w:rPr>
          <w:rFonts w:hint="eastAsia" w:cs="宋体" w:asciiTheme="minorEastAsia" w:hAnsiTheme="minorEastAsia" w:eastAsiaTheme="minorEastAsia"/>
          <w:kern w:val="0"/>
          <w:sz w:val="24"/>
          <w:highlight w:val="none"/>
        </w:rPr>
        <w:t>10个工作日内</w:t>
      </w:r>
      <w:r>
        <w:rPr>
          <w:rFonts w:hint="eastAsia" w:cs="宋体" w:asciiTheme="minorEastAsia" w:hAnsiTheme="minorEastAsia" w:eastAsiaTheme="minorEastAsia"/>
          <w:spacing w:val="7"/>
          <w:kern w:val="0"/>
          <w:sz w:val="24"/>
          <w:highlight w:val="none"/>
        </w:rPr>
        <w:t>拨付合同价的30%；《南通市“十五五”公路高质量发展研究报告》最终成果通过采购人评审且收到供应商发票后</w:t>
      </w:r>
      <w:r>
        <w:rPr>
          <w:rFonts w:hint="eastAsia" w:cs="宋体" w:asciiTheme="minorEastAsia" w:hAnsiTheme="minorEastAsia" w:eastAsiaTheme="minorEastAsia"/>
          <w:kern w:val="0"/>
          <w:sz w:val="24"/>
          <w:highlight w:val="none"/>
        </w:rPr>
        <w:t>10个工作日内</w:t>
      </w:r>
      <w:r>
        <w:rPr>
          <w:rFonts w:hint="eastAsia" w:cs="宋体" w:asciiTheme="minorEastAsia" w:hAnsiTheme="minorEastAsia" w:eastAsiaTheme="minorEastAsia"/>
          <w:spacing w:val="7"/>
          <w:kern w:val="0"/>
          <w:sz w:val="24"/>
          <w:highlight w:val="none"/>
        </w:rPr>
        <w:t>拨付合同价的30%；《南通市“十五五”公路高质量发展研究报告中期评估》通过采购人评审且收到供应商发票后</w:t>
      </w:r>
      <w:r>
        <w:rPr>
          <w:rFonts w:hint="eastAsia" w:cs="宋体" w:asciiTheme="minorEastAsia" w:hAnsiTheme="minorEastAsia" w:eastAsiaTheme="minorEastAsia"/>
          <w:kern w:val="0"/>
          <w:sz w:val="24"/>
          <w:highlight w:val="none"/>
        </w:rPr>
        <w:t>10个工作日内</w:t>
      </w:r>
      <w:r>
        <w:rPr>
          <w:rFonts w:hint="eastAsia" w:cs="宋体" w:asciiTheme="minorEastAsia" w:hAnsiTheme="minorEastAsia" w:eastAsiaTheme="minorEastAsia"/>
          <w:spacing w:val="7"/>
          <w:kern w:val="0"/>
          <w:sz w:val="24"/>
          <w:highlight w:val="none"/>
        </w:rPr>
        <w:t>拨付合同价的30%；完成2025-2030年南通地区普通国省道规划落地方案相关工作且收到供应商发票后</w:t>
      </w:r>
      <w:r>
        <w:rPr>
          <w:rFonts w:hint="eastAsia" w:cs="宋体" w:asciiTheme="minorEastAsia" w:hAnsiTheme="minorEastAsia" w:eastAsiaTheme="minorEastAsia"/>
          <w:kern w:val="0"/>
          <w:sz w:val="24"/>
          <w:highlight w:val="none"/>
        </w:rPr>
        <w:t>10个工作日内</w:t>
      </w:r>
      <w:r>
        <w:rPr>
          <w:rFonts w:hint="eastAsia" w:cs="宋体" w:asciiTheme="minorEastAsia" w:hAnsiTheme="minorEastAsia" w:eastAsiaTheme="minorEastAsia"/>
          <w:spacing w:val="7"/>
          <w:kern w:val="0"/>
          <w:sz w:val="24"/>
          <w:highlight w:val="none"/>
        </w:rPr>
        <w:t>拨付合同价的10%。以上付款均不计利息。</w:t>
      </w:r>
    </w:p>
    <w:p w14:paraId="1CEBCCE7">
      <w:pPr>
        <w:spacing w:line="360" w:lineRule="auto"/>
        <w:ind w:firstLine="482" w:firstLineChars="200"/>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bCs/>
          <w:sz w:val="24"/>
          <w:highlight w:val="none"/>
          <w:lang w:val="zh-CN"/>
        </w:rPr>
        <w:t>八、</w:t>
      </w:r>
      <w:r>
        <w:rPr>
          <w:rFonts w:hint="eastAsia" w:cs="宋体" w:asciiTheme="minorEastAsia" w:hAnsiTheme="minorEastAsia" w:eastAsiaTheme="minorEastAsia"/>
          <w:b/>
          <w:sz w:val="24"/>
          <w:highlight w:val="none"/>
        </w:rPr>
        <w:t>公告媒介</w:t>
      </w:r>
    </w:p>
    <w:p w14:paraId="22FCD64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次竞争性磋商公告发布在南通市交通运输局网站（网址：http://jtysj.nantong.gov.cn/）上。南通市交通运输局网站是本项目竞争性磋商公告、补遗书、磋商文件澄清、成交结果公告等采购信息约定的唯一公开发布媒介。</w:t>
      </w:r>
    </w:p>
    <w:p w14:paraId="5346EAAA">
      <w:pPr>
        <w:widowControl/>
        <w:shd w:val="clear" w:color="auto" w:fill="FFFFFF"/>
        <w:spacing w:line="360" w:lineRule="auto"/>
        <w:ind w:firstLine="510" w:firstLineChars="200"/>
        <w:rPr>
          <w:rFonts w:cs="宋体" w:asciiTheme="minorEastAsia" w:hAnsiTheme="minorEastAsia" w:eastAsiaTheme="minorEastAsia"/>
          <w:b/>
          <w:spacing w:val="7"/>
          <w:kern w:val="0"/>
          <w:sz w:val="24"/>
          <w:highlight w:val="none"/>
        </w:rPr>
      </w:pPr>
      <w:r>
        <w:rPr>
          <w:rFonts w:hint="eastAsia" w:cs="宋体" w:asciiTheme="minorEastAsia" w:hAnsiTheme="minorEastAsia" w:eastAsiaTheme="minorEastAsia"/>
          <w:b/>
          <w:spacing w:val="7"/>
          <w:kern w:val="0"/>
          <w:sz w:val="24"/>
          <w:highlight w:val="none"/>
        </w:rPr>
        <w:t>九、凡对本次采购提出询问，请按以下方式联系。</w:t>
      </w:r>
    </w:p>
    <w:p w14:paraId="1156665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1.采购人信息</w:t>
      </w:r>
    </w:p>
    <w:p w14:paraId="1987AE3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名  称：南通市公路事业发展中心 </w:t>
      </w:r>
    </w:p>
    <w:p w14:paraId="4437744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地  址：江苏省南通市跃龙路4号 </w:t>
      </w:r>
    </w:p>
    <w:p w14:paraId="347E25D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联 系 人：荣女士 </w:t>
      </w:r>
    </w:p>
    <w:p w14:paraId="75A0369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联系方式：</w:t>
      </w:r>
      <w:r>
        <w:rPr>
          <w:rFonts w:cs="宋体" w:asciiTheme="minorEastAsia" w:hAnsiTheme="minorEastAsia" w:eastAsiaTheme="minorEastAsia"/>
          <w:sz w:val="24"/>
          <w:highlight w:val="none"/>
        </w:rPr>
        <w:t>0513-85524439</w:t>
      </w:r>
    </w:p>
    <w:p w14:paraId="3FA997B8">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2.采购代理机构信息</w:t>
      </w:r>
    </w:p>
    <w:p w14:paraId="16B0328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名 称：江苏睿致诚工程咨询有限公司</w:t>
      </w:r>
    </w:p>
    <w:p w14:paraId="7ED9822A">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地  址：南京市江宁区江南路697号金轮星际中心A1栋7楼</w:t>
      </w:r>
    </w:p>
    <w:p w14:paraId="406A4C4F">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联系人：尹建、陈小龙</w:t>
      </w:r>
    </w:p>
    <w:p w14:paraId="2ECEC1B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联系电话：18906275357（尹建），18932207883（陈小龙）</w:t>
      </w:r>
    </w:p>
    <w:p w14:paraId="1EC131C8">
      <w:pPr>
        <w:snapToGrid w:val="0"/>
        <w:spacing w:line="360" w:lineRule="auto"/>
        <w:ind w:firstLine="560" w:firstLineChars="200"/>
        <w:contextualSpacing/>
        <w:rPr>
          <w:rFonts w:cs="宋体" w:asciiTheme="minorEastAsia" w:hAnsiTheme="minorEastAsia" w:eastAsiaTheme="minorEastAsia"/>
          <w:sz w:val="28"/>
          <w:szCs w:val="28"/>
          <w:highlight w:val="none"/>
        </w:rPr>
      </w:pPr>
    </w:p>
    <w:p w14:paraId="3007D731">
      <w:pPr>
        <w:wordWrap w:val="0"/>
        <w:snapToGrid w:val="0"/>
        <w:spacing w:line="360" w:lineRule="auto"/>
        <w:ind w:firstLine="508" w:firstLineChars="200"/>
        <w:contextualSpacing/>
        <w:jc w:val="right"/>
        <w:rPr>
          <w:rFonts w:cs="宋体" w:asciiTheme="minorEastAsia" w:hAnsiTheme="minorEastAsia" w:eastAsiaTheme="minorEastAsia"/>
          <w:sz w:val="28"/>
          <w:szCs w:val="28"/>
          <w:highlight w:val="none"/>
        </w:rPr>
      </w:pPr>
      <w:r>
        <w:rPr>
          <w:rFonts w:hint="eastAsia" w:cs="宋体" w:asciiTheme="minorEastAsia" w:hAnsiTheme="minorEastAsia" w:eastAsiaTheme="minorEastAsia"/>
          <w:spacing w:val="7"/>
          <w:kern w:val="0"/>
          <w:sz w:val="24"/>
          <w:highlight w:val="none"/>
        </w:rPr>
        <w:t xml:space="preserve">   </w:t>
      </w:r>
      <w:r>
        <w:rPr>
          <w:rFonts w:cs="宋体" w:asciiTheme="minorEastAsia" w:hAnsiTheme="minorEastAsia" w:eastAsiaTheme="minorEastAsia"/>
          <w:spacing w:val="7"/>
          <w:kern w:val="0"/>
          <w:sz w:val="24"/>
          <w:highlight w:val="none"/>
          <w:u w:val="single"/>
        </w:rPr>
        <w:t>2024</w:t>
      </w:r>
      <w:r>
        <w:rPr>
          <w:rFonts w:hint="eastAsia" w:cs="宋体" w:asciiTheme="minorEastAsia" w:hAnsiTheme="minorEastAsia" w:eastAsiaTheme="minorEastAsia"/>
          <w:spacing w:val="7"/>
          <w:kern w:val="0"/>
          <w:sz w:val="24"/>
          <w:highlight w:val="none"/>
        </w:rPr>
        <w:t>年</w:t>
      </w:r>
      <w:r>
        <w:rPr>
          <w:rFonts w:hint="eastAsia" w:cs="宋体" w:asciiTheme="minorEastAsia" w:hAnsiTheme="minorEastAsia" w:eastAsiaTheme="minorEastAsia"/>
          <w:spacing w:val="7"/>
          <w:kern w:val="0"/>
          <w:sz w:val="24"/>
          <w:highlight w:val="none"/>
          <w:u w:val="single"/>
          <w:lang w:val="en-US" w:eastAsia="zh-CN"/>
        </w:rPr>
        <w:t>12</w:t>
      </w:r>
      <w:r>
        <w:rPr>
          <w:rFonts w:hint="eastAsia" w:cs="宋体" w:asciiTheme="minorEastAsia" w:hAnsiTheme="minorEastAsia" w:eastAsiaTheme="minorEastAsia"/>
          <w:spacing w:val="7"/>
          <w:kern w:val="0"/>
          <w:sz w:val="24"/>
          <w:highlight w:val="none"/>
        </w:rPr>
        <w:t>月</w:t>
      </w:r>
      <w:r>
        <w:rPr>
          <w:rFonts w:hint="eastAsia" w:cs="宋体" w:asciiTheme="minorEastAsia" w:hAnsiTheme="minorEastAsia" w:eastAsiaTheme="minorEastAsia"/>
          <w:spacing w:val="7"/>
          <w:kern w:val="0"/>
          <w:sz w:val="24"/>
          <w:highlight w:val="none"/>
          <w:u w:val="single"/>
          <w:lang w:val="en-US" w:eastAsia="zh-CN"/>
        </w:rPr>
        <w:t>2</w:t>
      </w:r>
      <w:r>
        <w:rPr>
          <w:rFonts w:hint="eastAsia" w:cs="宋体" w:asciiTheme="minorEastAsia" w:hAnsiTheme="minorEastAsia" w:eastAsiaTheme="minorEastAsia"/>
          <w:spacing w:val="7"/>
          <w:kern w:val="0"/>
          <w:sz w:val="24"/>
          <w:highlight w:val="none"/>
        </w:rPr>
        <w:t>日</w:t>
      </w:r>
      <w:bookmarkEnd w:id="0"/>
    </w:p>
    <w:p w14:paraId="215AC008">
      <w:pPr>
        <w:jc w:val="left"/>
        <w:rPr>
          <w:rFonts w:cs="宋体" w:asciiTheme="minorEastAsia" w:hAnsiTheme="minorEastAsia" w:eastAsiaTheme="minorEastAsia"/>
          <w:kern w:val="0"/>
          <w:sz w:val="28"/>
          <w:szCs w:val="28"/>
          <w:highlight w:val="none"/>
        </w:rPr>
      </w:pPr>
      <w:r>
        <w:rPr>
          <w:rFonts w:hint="eastAsia" w:cs="宋体" w:asciiTheme="minorEastAsia" w:hAnsiTheme="minorEastAsia" w:eastAsiaTheme="minorEastAsia"/>
          <w:sz w:val="28"/>
          <w:szCs w:val="28"/>
          <w:highlight w:val="none"/>
        </w:rPr>
        <w:br w:type="page"/>
      </w:r>
      <w:r>
        <w:rPr>
          <w:rFonts w:hint="eastAsia" w:cs="宋体" w:asciiTheme="minorEastAsia" w:hAnsiTheme="minorEastAsia" w:eastAsiaTheme="minorEastAsia"/>
          <w:kern w:val="0"/>
          <w:sz w:val="28"/>
          <w:szCs w:val="28"/>
          <w:highlight w:val="none"/>
        </w:rPr>
        <w:t>附件1</w:t>
      </w:r>
    </w:p>
    <w:p w14:paraId="1401B058">
      <w:pPr>
        <w:spacing w:line="420" w:lineRule="exact"/>
        <w:jc w:val="center"/>
        <w:rPr>
          <w:rFonts w:cs="宋体" w:asciiTheme="minorEastAsia" w:hAnsiTheme="minorEastAsia" w:eastAsiaTheme="minorEastAsia"/>
          <w:b/>
          <w:kern w:val="0"/>
          <w:sz w:val="32"/>
          <w:szCs w:val="20"/>
          <w:highlight w:val="none"/>
        </w:rPr>
      </w:pPr>
      <w:r>
        <w:rPr>
          <w:rFonts w:hint="eastAsia" w:cs="宋体" w:asciiTheme="minorEastAsia" w:hAnsiTheme="minorEastAsia" w:eastAsiaTheme="minorEastAsia"/>
          <w:b/>
          <w:kern w:val="0"/>
          <w:sz w:val="32"/>
          <w:szCs w:val="20"/>
          <w:highlight w:val="none"/>
        </w:rPr>
        <w:t>申请函</w:t>
      </w:r>
    </w:p>
    <w:p w14:paraId="6166479B">
      <w:pPr>
        <w:spacing w:line="420" w:lineRule="exact"/>
        <w:jc w:val="left"/>
        <w:rPr>
          <w:rFonts w:cs="宋体" w:asciiTheme="minorEastAsia" w:hAnsiTheme="minorEastAsia" w:eastAsiaTheme="minorEastAsia"/>
          <w:b/>
          <w:kern w:val="0"/>
          <w:sz w:val="32"/>
          <w:szCs w:val="20"/>
          <w:highlight w:val="none"/>
        </w:rPr>
      </w:pPr>
    </w:p>
    <w:p w14:paraId="452D0DEA">
      <w:pPr>
        <w:spacing w:line="360" w:lineRule="auto"/>
        <w:jc w:val="left"/>
        <w:rPr>
          <w:rFonts w:cs="宋体" w:asciiTheme="minorEastAsia" w:hAnsiTheme="minorEastAsia" w:eastAsiaTheme="minorEastAsia"/>
          <w:b/>
          <w:kern w:val="0"/>
          <w:sz w:val="24"/>
          <w:highlight w:val="none"/>
          <w:u w:val="single"/>
        </w:rPr>
      </w:pPr>
      <w:r>
        <w:rPr>
          <w:rFonts w:hint="eastAsia" w:cs="宋体" w:asciiTheme="minorEastAsia" w:hAnsiTheme="minorEastAsia" w:eastAsiaTheme="minorEastAsia"/>
          <w:b/>
          <w:kern w:val="0"/>
          <w:sz w:val="24"/>
          <w:highlight w:val="none"/>
        </w:rPr>
        <w:t>致：</w:t>
      </w:r>
      <w:r>
        <w:rPr>
          <w:rFonts w:hint="eastAsia" w:cs="宋体" w:asciiTheme="minorEastAsia" w:hAnsiTheme="minorEastAsia" w:eastAsiaTheme="minorEastAsia"/>
          <w:b/>
          <w:kern w:val="0"/>
          <w:sz w:val="24"/>
          <w:highlight w:val="none"/>
          <w:u w:val="single"/>
        </w:rPr>
        <w:t>南通市公路事业发展中心</w:t>
      </w:r>
    </w:p>
    <w:p w14:paraId="2F34A3B5">
      <w:pPr>
        <w:widowControl/>
        <w:shd w:val="clear" w:color="auto" w:fill="FFFFFF"/>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我公司已获悉贵单位发出的</w:t>
      </w:r>
      <w:r>
        <w:rPr>
          <w:rFonts w:hint="eastAsia" w:cs="宋体" w:asciiTheme="minorEastAsia" w:hAnsiTheme="minorEastAsia" w:eastAsiaTheme="minorEastAsia"/>
          <w:spacing w:val="7"/>
          <w:kern w:val="0"/>
          <w:sz w:val="24"/>
          <w:highlight w:val="none"/>
          <w:u w:val="single"/>
        </w:rPr>
        <w:t>南通市“十五五”公路高质量发展研究报告项目</w:t>
      </w:r>
      <w:r>
        <w:rPr>
          <w:rFonts w:hint="eastAsia" w:cs="宋体" w:asciiTheme="minorEastAsia" w:hAnsiTheme="minorEastAsia" w:eastAsiaTheme="minorEastAsia"/>
          <w:spacing w:val="7"/>
          <w:kern w:val="0"/>
          <w:sz w:val="24"/>
          <w:highlight w:val="none"/>
        </w:rPr>
        <w:t>竞争性磋商公告</w:t>
      </w:r>
      <w:r>
        <w:rPr>
          <w:rFonts w:hint="eastAsia" w:cs="宋体" w:asciiTheme="minorEastAsia" w:hAnsiTheme="minorEastAsia" w:eastAsiaTheme="minorEastAsia"/>
          <w:kern w:val="0"/>
          <w:sz w:val="24"/>
          <w:highlight w:val="none"/>
        </w:rPr>
        <w:t>，经研究，我单位拟参加本项目磋商，现申请获取磋商文件。</w:t>
      </w:r>
    </w:p>
    <w:p w14:paraId="48D9E1BF">
      <w:pPr>
        <w:spacing w:line="360" w:lineRule="auto"/>
        <w:ind w:firstLine="480" w:firstLineChars="200"/>
        <w:jc w:val="left"/>
        <w:rPr>
          <w:rFonts w:cs="宋体" w:asciiTheme="minorEastAsia" w:hAnsiTheme="minorEastAsia" w:eastAsiaTheme="minorEastAsia"/>
          <w:kern w:val="0"/>
          <w:sz w:val="24"/>
          <w:highlight w:val="none"/>
        </w:rPr>
      </w:pPr>
    </w:p>
    <w:p w14:paraId="653AD2C2">
      <w:pPr>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联系人：</w:t>
      </w:r>
      <w:r>
        <w:rPr>
          <w:rFonts w:hint="eastAsia" w:cs="宋体" w:asciiTheme="minorEastAsia" w:hAnsiTheme="minorEastAsia" w:eastAsiaTheme="minorEastAsia"/>
          <w:spacing w:val="7"/>
          <w:kern w:val="0"/>
          <w:sz w:val="24"/>
          <w:highlight w:val="none"/>
          <w:u w:val="single"/>
        </w:rPr>
        <w:t xml:space="preserve">   </w:t>
      </w:r>
    </w:p>
    <w:p w14:paraId="3D530DD1">
      <w:pPr>
        <w:spacing w:line="360" w:lineRule="auto"/>
        <w:ind w:firstLine="480" w:firstLineChars="200"/>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联系电话：</w:t>
      </w:r>
      <w:r>
        <w:rPr>
          <w:rFonts w:hint="eastAsia" w:cs="宋体" w:asciiTheme="minorEastAsia" w:hAnsiTheme="minorEastAsia" w:eastAsiaTheme="minorEastAsia"/>
          <w:spacing w:val="7"/>
          <w:kern w:val="0"/>
          <w:sz w:val="24"/>
          <w:highlight w:val="none"/>
          <w:u w:val="single"/>
        </w:rPr>
        <w:t xml:space="preserve">   </w:t>
      </w:r>
    </w:p>
    <w:p w14:paraId="32E376E3">
      <w:pPr>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E-MAIL地址：</w:t>
      </w:r>
      <w:r>
        <w:rPr>
          <w:rFonts w:hint="eastAsia" w:cs="宋体" w:asciiTheme="minorEastAsia" w:hAnsiTheme="minorEastAsia" w:eastAsiaTheme="minorEastAsia"/>
          <w:spacing w:val="7"/>
          <w:kern w:val="0"/>
          <w:sz w:val="24"/>
          <w:highlight w:val="none"/>
          <w:u w:val="single"/>
        </w:rPr>
        <w:t xml:space="preserve">   </w:t>
      </w:r>
    </w:p>
    <w:p w14:paraId="59C73326">
      <w:pPr>
        <w:spacing w:line="360" w:lineRule="auto"/>
        <w:jc w:val="left"/>
        <w:rPr>
          <w:rFonts w:cs="宋体" w:asciiTheme="minorEastAsia" w:hAnsiTheme="minorEastAsia" w:eastAsiaTheme="minorEastAsia"/>
          <w:kern w:val="0"/>
          <w:sz w:val="24"/>
          <w:highlight w:val="none"/>
          <w:lang w:val="zh-CN"/>
        </w:rPr>
      </w:pPr>
    </w:p>
    <w:p w14:paraId="55487E5E">
      <w:pPr>
        <w:spacing w:line="360" w:lineRule="auto"/>
        <w:jc w:val="left"/>
        <w:rPr>
          <w:rFonts w:cs="宋体" w:asciiTheme="minorEastAsia" w:hAnsiTheme="minorEastAsia" w:eastAsiaTheme="minorEastAsia"/>
          <w:b/>
          <w:kern w:val="0"/>
          <w:sz w:val="24"/>
          <w:highlight w:val="none"/>
          <w:lang w:val="zh-CN"/>
        </w:rPr>
      </w:pPr>
    </w:p>
    <w:p w14:paraId="5CFB10A0">
      <w:pPr>
        <w:spacing w:line="360" w:lineRule="auto"/>
        <w:jc w:val="left"/>
        <w:rPr>
          <w:rFonts w:cs="宋体" w:asciiTheme="minorEastAsia" w:hAnsiTheme="minorEastAsia" w:eastAsiaTheme="minorEastAsia"/>
          <w:b/>
          <w:kern w:val="0"/>
          <w:sz w:val="24"/>
          <w:highlight w:val="none"/>
          <w:lang w:val="zh-CN"/>
        </w:rPr>
      </w:pPr>
    </w:p>
    <w:p w14:paraId="49AD2E76">
      <w:pPr>
        <w:spacing w:line="360" w:lineRule="auto"/>
        <w:jc w:val="left"/>
        <w:rPr>
          <w:rFonts w:cs="宋体" w:asciiTheme="minorEastAsia" w:hAnsiTheme="minorEastAsia" w:eastAsiaTheme="minorEastAsia"/>
          <w:b/>
          <w:kern w:val="0"/>
          <w:sz w:val="24"/>
          <w:highlight w:val="none"/>
          <w:lang w:val="zh-CN"/>
        </w:rPr>
      </w:pPr>
    </w:p>
    <w:p w14:paraId="45B3B769">
      <w:pPr>
        <w:spacing w:line="360" w:lineRule="auto"/>
        <w:ind w:firstLine="5280" w:firstLineChars="2200"/>
        <w:jc w:val="left"/>
        <w:rPr>
          <w:rFonts w:cs="宋体" w:asciiTheme="minorEastAsia" w:hAnsiTheme="minorEastAsia" w:eastAsiaTheme="minorEastAsia"/>
          <w:kern w:val="0"/>
          <w:sz w:val="24"/>
          <w:highlight w:val="none"/>
          <w:u w:val="single"/>
          <w:lang w:val="zh-CN"/>
        </w:rPr>
      </w:pPr>
      <w:r>
        <w:rPr>
          <w:rFonts w:hint="eastAsia" w:cs="宋体" w:asciiTheme="minorEastAsia" w:hAnsiTheme="minorEastAsia" w:eastAsiaTheme="minorEastAsia"/>
          <w:kern w:val="0"/>
          <w:sz w:val="24"/>
          <w:highlight w:val="none"/>
          <w:lang w:val="zh-CN"/>
        </w:rPr>
        <w:t>单位：</w:t>
      </w:r>
      <w:r>
        <w:rPr>
          <w:rFonts w:hint="eastAsia" w:cs="宋体" w:asciiTheme="minorEastAsia" w:hAnsiTheme="minorEastAsia" w:eastAsiaTheme="minorEastAsia"/>
          <w:kern w:val="0"/>
          <w:sz w:val="24"/>
          <w:highlight w:val="none"/>
          <w:u w:val="single"/>
          <w:lang w:val="zh-CN"/>
        </w:rPr>
        <w:t xml:space="preserve"> （盖章）                 </w:t>
      </w:r>
    </w:p>
    <w:p w14:paraId="33090A34">
      <w:pPr>
        <w:spacing w:line="360" w:lineRule="auto"/>
        <w:jc w:val="right"/>
        <w:rPr>
          <w:rFonts w:cs="宋体" w:asciiTheme="minorEastAsia" w:hAnsiTheme="minorEastAsia" w:eastAsiaTheme="minorEastAsia"/>
          <w:kern w:val="0"/>
          <w:sz w:val="24"/>
          <w:highlight w:val="none"/>
        </w:rPr>
      </w:pPr>
      <w:r>
        <w:rPr>
          <w:rFonts w:hint="eastAsia" w:cs="宋体" w:asciiTheme="minorEastAsia" w:hAnsiTheme="minorEastAsia" w:eastAsiaTheme="minorEastAsia"/>
          <w:spacing w:val="7"/>
          <w:kern w:val="0"/>
          <w:sz w:val="24"/>
          <w:highlight w:val="none"/>
          <w:u w:val="single"/>
        </w:rPr>
        <w:t xml:space="preserve">   </w:t>
      </w:r>
      <w:r>
        <w:rPr>
          <w:rFonts w:hint="eastAsia" w:cs="宋体" w:asciiTheme="minorEastAsia" w:hAnsiTheme="minorEastAsia" w:eastAsiaTheme="minorEastAsia"/>
          <w:kern w:val="0"/>
          <w:sz w:val="24"/>
          <w:highlight w:val="none"/>
          <w:lang w:val="zh-CN"/>
        </w:rPr>
        <w:t>年</w:t>
      </w:r>
      <w:r>
        <w:rPr>
          <w:rFonts w:hint="eastAsia" w:cs="宋体" w:asciiTheme="minorEastAsia" w:hAnsiTheme="minorEastAsia" w:eastAsiaTheme="minorEastAsia"/>
          <w:spacing w:val="7"/>
          <w:kern w:val="0"/>
          <w:sz w:val="24"/>
          <w:highlight w:val="none"/>
          <w:u w:val="single"/>
        </w:rPr>
        <w:t xml:space="preserve">   </w:t>
      </w:r>
      <w:r>
        <w:rPr>
          <w:rFonts w:hint="eastAsia" w:cs="宋体" w:asciiTheme="minorEastAsia" w:hAnsiTheme="minorEastAsia" w:eastAsiaTheme="minorEastAsia"/>
          <w:kern w:val="0"/>
          <w:sz w:val="24"/>
          <w:highlight w:val="none"/>
          <w:lang w:val="zh-CN"/>
        </w:rPr>
        <w:t>月</w:t>
      </w:r>
      <w:r>
        <w:rPr>
          <w:rFonts w:hint="eastAsia" w:cs="宋体" w:asciiTheme="minorEastAsia" w:hAnsiTheme="minorEastAsia" w:eastAsiaTheme="minorEastAsia"/>
          <w:spacing w:val="7"/>
          <w:kern w:val="0"/>
          <w:sz w:val="24"/>
          <w:highlight w:val="none"/>
          <w:u w:val="single"/>
        </w:rPr>
        <w:t xml:space="preserve">   </w:t>
      </w:r>
      <w:r>
        <w:rPr>
          <w:rFonts w:hint="eastAsia" w:cs="宋体" w:asciiTheme="minorEastAsia" w:hAnsiTheme="minorEastAsia" w:eastAsiaTheme="minorEastAsia"/>
          <w:kern w:val="0"/>
          <w:sz w:val="24"/>
          <w:highlight w:val="none"/>
          <w:lang w:val="zh-CN"/>
        </w:rPr>
        <w:t>日</w:t>
      </w:r>
    </w:p>
    <w:p w14:paraId="1B4F5C30">
      <w:pPr>
        <w:snapToGrid w:val="0"/>
        <w:spacing w:line="300" w:lineRule="auto"/>
        <w:ind w:firstLine="560" w:firstLineChars="200"/>
        <w:contextualSpacing/>
        <w:rPr>
          <w:rFonts w:cs="宋体" w:asciiTheme="minorEastAsia" w:hAnsiTheme="minorEastAsia" w:eastAsiaTheme="minorEastAsia"/>
          <w:sz w:val="28"/>
          <w:szCs w:val="28"/>
          <w:highlight w:val="none"/>
        </w:rPr>
      </w:pPr>
    </w:p>
    <w:p w14:paraId="66D7FB13">
      <w:pPr>
        <w:snapToGrid w:val="0"/>
        <w:spacing w:line="300" w:lineRule="auto"/>
        <w:contextualSpacing/>
        <w:jc w:val="center"/>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sz w:val="28"/>
          <w:szCs w:val="28"/>
          <w:highlight w:val="none"/>
        </w:rPr>
        <w:br w:type="page"/>
      </w:r>
      <w:r>
        <w:rPr>
          <w:rFonts w:hint="eastAsia" w:cs="宋体" w:asciiTheme="minorEastAsia" w:hAnsiTheme="minorEastAsia" w:eastAsiaTheme="minorEastAsia"/>
          <w:b/>
          <w:bCs/>
          <w:sz w:val="36"/>
          <w:szCs w:val="36"/>
          <w:highlight w:val="none"/>
          <w:lang w:val="zh-CN"/>
        </w:rPr>
        <w:t>第二部分 磋商须知</w:t>
      </w:r>
    </w:p>
    <w:p w14:paraId="5573EC16">
      <w:pPr>
        <w:autoSpaceDE w:val="0"/>
        <w:autoSpaceDN w:val="0"/>
        <w:adjustRightInd w:val="0"/>
        <w:spacing w:line="360" w:lineRule="auto"/>
        <w:ind w:firstLine="482" w:firstLineChars="200"/>
        <w:outlineLvl w:val="1"/>
        <w:rPr>
          <w:rFonts w:cs="宋体" w:asciiTheme="minorEastAsia" w:hAnsiTheme="minorEastAsia" w:eastAsiaTheme="minorEastAsia"/>
          <w:b/>
          <w:sz w:val="24"/>
          <w:highlight w:val="none"/>
          <w:lang w:val="zh-CN"/>
        </w:rPr>
      </w:pPr>
      <w:r>
        <w:rPr>
          <w:rFonts w:hint="eastAsia" w:cs="宋体" w:asciiTheme="minorEastAsia" w:hAnsiTheme="minorEastAsia" w:eastAsiaTheme="minorEastAsia"/>
          <w:b/>
          <w:sz w:val="24"/>
          <w:highlight w:val="none"/>
          <w:lang w:val="zh-CN"/>
        </w:rPr>
        <w:t>一、说明</w:t>
      </w:r>
    </w:p>
    <w:p w14:paraId="492DE5A6">
      <w:pPr>
        <w:autoSpaceDE w:val="0"/>
        <w:autoSpaceDN w:val="0"/>
        <w:adjustRightIn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本竞争性磋商文件仅适用于采购人组织的竞争性磋商采购活动。</w:t>
      </w:r>
    </w:p>
    <w:p w14:paraId="263BCDB9">
      <w:pPr>
        <w:autoSpaceDE w:val="0"/>
        <w:autoSpaceDN w:val="0"/>
        <w:adjustRightIn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竞争性磋商活动及因本次磋商产生的合同受中国法律制约和保护。</w:t>
      </w:r>
    </w:p>
    <w:p w14:paraId="0516A5B9">
      <w:pPr>
        <w:snapToGrid w:val="0"/>
        <w:spacing w:line="360" w:lineRule="auto"/>
        <w:ind w:firstLine="480" w:firstLineChars="200"/>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3</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bCs/>
          <w:sz w:val="24"/>
          <w:highlight w:val="none"/>
        </w:rPr>
        <w:t>竞争性磋商文件的解释权属于采购人。</w:t>
      </w:r>
    </w:p>
    <w:p w14:paraId="47204056">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供应商下载磋商文件后，应仔细检查磋商文件的所有内容。如内容中有页码短缺、资格要求以及任何设置有不合理的条件对供应商实行差别待遇或者歧视待遇的，</w:t>
      </w:r>
      <w:r>
        <w:rPr>
          <w:rFonts w:hint="eastAsia" w:cs="宋体" w:asciiTheme="minorEastAsia" w:hAnsiTheme="minorEastAsia" w:eastAsiaTheme="minorEastAsia"/>
          <w:sz w:val="24"/>
          <w:highlight w:val="none"/>
          <w:lang w:val="zh-CN"/>
        </w:rPr>
        <w:t>供应商下载磋商</w:t>
      </w:r>
      <w:r>
        <w:rPr>
          <w:rFonts w:hint="eastAsia" w:cs="宋体" w:asciiTheme="minorEastAsia" w:hAnsiTheme="minorEastAsia" w:eastAsiaTheme="minorEastAsia"/>
          <w:sz w:val="24"/>
          <w:highlight w:val="none"/>
        </w:rPr>
        <w:t>文件后，应在磋商文件发布后的</w:t>
      </w:r>
      <w:r>
        <w:rPr>
          <w:rFonts w:hint="eastAsia" w:cs="宋体" w:asciiTheme="minorEastAsia" w:hAnsiTheme="minorEastAsia" w:eastAsiaTheme="minorEastAsia"/>
          <w:b/>
          <w:sz w:val="24"/>
          <w:highlight w:val="none"/>
          <w:lang w:val="zh-CN"/>
        </w:rPr>
        <w:t>3日内以书面形式向采购人或代理单位提出询问或疑问</w:t>
      </w:r>
      <w:r>
        <w:rPr>
          <w:rFonts w:hint="eastAsia" w:cs="宋体" w:asciiTheme="minorEastAsia" w:hAnsiTheme="minorEastAsia" w:eastAsiaTheme="minorEastAsia"/>
          <w:sz w:val="24"/>
          <w:highlight w:val="none"/>
          <w:lang w:val="zh-CN"/>
        </w:rPr>
        <w:t>，未在规定的3日内提出询问或疑问的，视同供应商理解并接受本磋商文件所有内容，并由此引起的损失自负。</w:t>
      </w:r>
      <w:r>
        <w:rPr>
          <w:rFonts w:hint="eastAsia" w:cs="宋体" w:asciiTheme="minorEastAsia" w:hAnsiTheme="minorEastAsia" w:eastAsiaTheme="minorEastAsia"/>
          <w:b/>
          <w:sz w:val="24"/>
          <w:highlight w:val="none"/>
        </w:rPr>
        <w:t>非书面形式的不作为日后质疑提出的依据。</w:t>
      </w:r>
    </w:p>
    <w:p w14:paraId="56530F22">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5.供应商应认真审阅磋商文件中所有的事项、格式、条款和规范要求等，如果供应商没有按照磋商文件要求提交响应文件，或者响应文件没有对磋商文件做出实质性响应，其投标将被拒绝，供应商自行承担责任。</w:t>
      </w:r>
    </w:p>
    <w:p w14:paraId="4CF4C709">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6.</w:t>
      </w:r>
      <w:r>
        <w:rPr>
          <w:rFonts w:hint="eastAsia" w:cs="宋体" w:asciiTheme="minorEastAsia" w:hAnsiTheme="minorEastAsia" w:eastAsiaTheme="minorEastAsia"/>
          <w:sz w:val="24"/>
          <w:highlight w:val="none"/>
        </w:rPr>
        <w:t>供应商在磋商开始前自行踏勘现场，供应商务必自行认真踏勘现场条件，进一步获取所需信息，一旦成交不得对现场条件提出额外要求，不得要求增加费用，采购人可视情组织答疑会。</w:t>
      </w:r>
    </w:p>
    <w:p w14:paraId="6FF59343">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二、磋商文件的澄清、修改、答疑</w:t>
      </w:r>
    </w:p>
    <w:p w14:paraId="6733B036">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采购人有权对发出的磋商文件进行必要的澄清、修改或补充。</w:t>
      </w:r>
    </w:p>
    <w:p w14:paraId="0F0365CF">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磋商文件的澄清、修改、补充等内容均以书面明确的形式发布，并以</w:t>
      </w:r>
      <w:r>
        <w:rPr>
          <w:rFonts w:hint="eastAsia" w:cs="宋体" w:asciiTheme="minorEastAsia" w:hAnsiTheme="minorEastAsia" w:eastAsiaTheme="minorEastAsia"/>
          <w:spacing w:val="7"/>
          <w:kern w:val="0"/>
          <w:sz w:val="24"/>
          <w:highlight w:val="none"/>
        </w:rPr>
        <w:t>南通市交通运输局—公共资源交易栏目</w:t>
      </w:r>
      <w:r>
        <w:rPr>
          <w:rFonts w:hint="eastAsia" w:cs="宋体" w:asciiTheme="minorEastAsia" w:hAnsiTheme="minorEastAsia" w:eastAsiaTheme="minorEastAsia"/>
          <w:sz w:val="24"/>
          <w:highlight w:val="none"/>
        </w:rPr>
        <w:t>发布的信息为准。</w:t>
      </w:r>
    </w:p>
    <w:p w14:paraId="5C1223F1">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采购人对磋商文件的澄清、修改将构成磋商文件的一部分，对响应磋商的供应商具有约束力。</w:t>
      </w:r>
    </w:p>
    <w:p w14:paraId="18BDBE1C">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澄清或者修改的内容可能影响到响应文件编制的，采购人将在提交响应文件接收截止之日5日前，发布澄清或者修改公告，不足5日的，当顺延提交响应文件接收截止时间。</w:t>
      </w:r>
    </w:p>
    <w:p w14:paraId="39E3E7AD">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除非采购人以书面的形式对磋商文件作出澄清、修改及补充，供应商由于对磋商文件的任何推论和误解以及采购人对有关问题的口头解释所造成的后果，均由供应商自负。</w:t>
      </w:r>
    </w:p>
    <w:p w14:paraId="3661E44B">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采购人视情况组织答疑会。如有产生答疑且对磋商文件内容有修改，采购人将按照本须知有关规定，以书面方式发出。</w:t>
      </w:r>
    </w:p>
    <w:p w14:paraId="4754D748">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三、磋商项目涉及到的现场勘察</w:t>
      </w:r>
    </w:p>
    <w:p w14:paraId="0ABE0D12">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14:paraId="5B13AB6A">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采购人向供应商提供的有关现场的资料和数据，是采购人现有的并认为能使供应商可利用的资料。采购人对供应商由此而做出的推论、理解和结论概不负责。</w:t>
      </w:r>
    </w:p>
    <w:p w14:paraId="391B4616">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经采购人允许，供应商可为勘察目的进入采购人的项目现场，但供应商不得因此使采购人承担有关的责任和蒙受损失。供应商应承担勘察现场的责任和风险。</w:t>
      </w:r>
    </w:p>
    <w:p w14:paraId="39B47D9C">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供应商应认真踏勘现场。在现场勘察时，熟悉现场、现场周围交通道路等情况，以获得一切可能影响其投标的直接资料。供应商成交后，不得以不完全了解现场情况为理由而向采购人提出任何索赔的要求，对此采购人不承担任何责任并将不作任何答复与考虑。</w:t>
      </w:r>
    </w:p>
    <w:p w14:paraId="2DC3D5C8">
      <w:pPr>
        <w:autoSpaceDE w:val="0"/>
        <w:autoSpaceDN w:val="0"/>
        <w:adjustRightInd w:val="0"/>
        <w:snapToGrid w:val="0"/>
        <w:spacing w:line="360" w:lineRule="auto"/>
        <w:ind w:firstLine="482" w:firstLineChars="200"/>
        <w:contextualSpacing/>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lang w:val="zh-CN"/>
        </w:rPr>
        <w:t>四、响应文件的编写、密封及标记</w:t>
      </w:r>
    </w:p>
    <w:p w14:paraId="4D4ABCC1">
      <w:pPr>
        <w:autoSpaceDE w:val="0"/>
        <w:autoSpaceDN w:val="0"/>
        <w:adjustRightInd w:val="0"/>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（一）响应文件的编写</w:t>
      </w:r>
    </w:p>
    <w:p w14:paraId="485D1D8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1.供应商按“第七部分 响应文件组成”要求编写响应文件。但表格可以按同样格式扩展。除另有规定者外，磋商响应人不得修改。</w:t>
      </w:r>
    </w:p>
    <w:p w14:paraId="356243DE">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2.响应文件规格幅面A4纸（图纸等除外）。</w:t>
      </w:r>
    </w:p>
    <w:p w14:paraId="06834AD6">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3.按照磋商文件所规定的内容顺序，统一编制目录，逐页编码，由于编排混乱导致投标</w:t>
      </w:r>
      <w:r>
        <w:rPr>
          <w:rFonts w:hint="eastAsia" w:cs="宋体" w:asciiTheme="minorEastAsia" w:hAnsiTheme="minorEastAsia" w:eastAsiaTheme="minorEastAsia"/>
          <w:sz w:val="24"/>
          <w:highlight w:val="none"/>
        </w:rPr>
        <w:t>响应</w:t>
      </w:r>
      <w:r>
        <w:rPr>
          <w:rFonts w:hint="eastAsia" w:cs="宋体" w:asciiTheme="minorEastAsia" w:hAnsiTheme="minorEastAsia" w:eastAsiaTheme="minorEastAsia"/>
          <w:sz w:val="24"/>
          <w:highlight w:val="none"/>
          <w:lang w:val="zh-CN"/>
        </w:rPr>
        <w:t>文件被误读或查找不到，其责任应当由供应商承担；牢固装订成册，不允许使用活页夹、拉杆夹、文件夹、塑料方便式书脊（插入式或穿孔式）装订。</w:t>
      </w:r>
    </w:p>
    <w:p w14:paraId="71F4D5F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4.响应文件不得行间插字、涂改、增删，如修改错漏处，须经响应文件签署人签字并加盖公章。</w:t>
      </w:r>
    </w:p>
    <w:p w14:paraId="58E8633B">
      <w:pPr>
        <w:autoSpaceDE w:val="0"/>
        <w:autoSpaceDN w:val="0"/>
        <w:adjustRightInd w:val="0"/>
        <w:snapToGrid w:val="0"/>
        <w:spacing w:line="360" w:lineRule="auto"/>
        <w:ind w:firstLine="482" w:firstLineChars="200"/>
        <w:contextualSpacing/>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（二）响应文件的份数和签署</w:t>
      </w:r>
    </w:p>
    <w:p w14:paraId="4046AA97">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1.响应文件由：</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资格审查、</w:t>
      </w:r>
      <w:r>
        <w:rPr>
          <w:rFonts w:hint="eastAsia" w:cs="仿宋_GB2312" w:asciiTheme="minorEastAsia" w:hAnsiTheme="minorEastAsia" w:eastAsiaTheme="minorEastAsia"/>
          <w:sz w:val="24"/>
          <w:highlight w:val="none"/>
          <w:lang w:val="zh-CN"/>
        </w:rPr>
        <w:fldChar w:fldCharType="begin"/>
      </w:r>
      <w:r>
        <w:rPr>
          <w:rFonts w:hint="eastAsia" w:cs="仿宋_GB2312" w:asciiTheme="minorEastAsia" w:hAnsiTheme="minorEastAsia" w:eastAsiaTheme="minorEastAsia"/>
          <w:sz w:val="24"/>
          <w:highlight w:val="none"/>
          <w:lang w:val="zh-CN"/>
        </w:rPr>
        <w:instrText xml:space="preserve"> = 2 \* GB3 </w:instrText>
      </w:r>
      <w:r>
        <w:rPr>
          <w:rFonts w:hint="eastAsia" w:cs="仿宋_GB2312" w:asciiTheme="minorEastAsia" w:hAnsiTheme="minorEastAsia" w:eastAsiaTheme="minorEastAsia"/>
          <w:sz w:val="24"/>
          <w:highlight w:val="none"/>
          <w:lang w:val="zh-CN"/>
        </w:rPr>
        <w:fldChar w:fldCharType="separate"/>
      </w:r>
      <w:r>
        <w:rPr>
          <w:rFonts w:hint="eastAsia" w:cs="仿宋_GB2312" w:asciiTheme="minorEastAsia" w:hAnsiTheme="minorEastAsia" w:eastAsiaTheme="minorEastAsia"/>
          <w:sz w:val="24"/>
          <w:highlight w:val="none"/>
          <w:lang w:val="zh-CN"/>
        </w:rPr>
        <w:t>②</w:t>
      </w:r>
      <w:r>
        <w:rPr>
          <w:rFonts w:hint="eastAsia" w:cs="仿宋_GB2312" w:asciiTheme="minorEastAsia" w:hAnsiTheme="minorEastAsia" w:eastAsiaTheme="minorEastAsia"/>
          <w:sz w:val="24"/>
          <w:highlight w:val="none"/>
          <w:lang w:val="zh-CN"/>
        </w:rPr>
        <w:fldChar w:fldCharType="end"/>
      </w:r>
      <w:r>
        <w:rPr>
          <w:rFonts w:hint="eastAsia" w:cs="仿宋_GB2312" w:asciiTheme="minorEastAsia" w:hAnsiTheme="minorEastAsia" w:eastAsiaTheme="minorEastAsia"/>
          <w:sz w:val="24"/>
          <w:highlight w:val="none"/>
          <w:lang w:val="zh-CN"/>
        </w:rPr>
        <w:t>商务技术响应文件、③价格响应文件、④电子</w:t>
      </w:r>
      <w:r>
        <w:rPr>
          <w:rFonts w:hint="eastAsia" w:cs="仿宋_GB2312" w:asciiTheme="minorEastAsia" w:hAnsiTheme="minorEastAsia" w:eastAsiaTheme="minorEastAsia"/>
          <w:sz w:val="24"/>
          <w:highlight w:val="none"/>
        </w:rPr>
        <w:t>版响应</w:t>
      </w:r>
      <w:r>
        <w:rPr>
          <w:rFonts w:hint="eastAsia" w:cs="仿宋_GB2312" w:asciiTheme="minorEastAsia" w:hAnsiTheme="minorEastAsia" w:eastAsiaTheme="minorEastAsia"/>
          <w:sz w:val="24"/>
          <w:highlight w:val="none"/>
          <w:lang w:val="zh-CN"/>
        </w:rPr>
        <w:t>文件共</w:t>
      </w:r>
      <w:r>
        <w:rPr>
          <w:rFonts w:cs="仿宋_GB2312" w:asciiTheme="minorEastAsia" w:hAnsiTheme="minorEastAsia" w:eastAsiaTheme="minorEastAsia"/>
          <w:sz w:val="24"/>
          <w:highlight w:val="none"/>
          <w:lang w:val="zh-CN"/>
        </w:rPr>
        <w:t>4</w:t>
      </w:r>
      <w:r>
        <w:rPr>
          <w:rFonts w:hint="eastAsia" w:cs="仿宋_GB2312" w:asciiTheme="minorEastAsia" w:hAnsiTheme="minorEastAsia" w:eastAsiaTheme="minorEastAsia"/>
          <w:sz w:val="24"/>
          <w:highlight w:val="none"/>
          <w:lang w:val="zh-CN"/>
        </w:rPr>
        <w:t>部分组成（以下由文件序号代称）。</w:t>
      </w:r>
    </w:p>
    <w:p w14:paraId="5D79C303">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2.纸质响应文件（</w:t>
      </w:r>
      <w:r>
        <w:rPr>
          <w:rFonts w:hint="eastAsia" w:cs="宋体" w:asciiTheme="minorEastAsia" w:hAnsiTheme="minorEastAsia" w:eastAsiaTheme="minorEastAsia"/>
          <w:sz w:val="24"/>
          <w:highlight w:val="none"/>
        </w:rPr>
        <w:t>即</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资格审查、</w:t>
      </w:r>
      <w:r>
        <w:rPr>
          <w:rFonts w:hint="eastAsia" w:cs="仿宋_GB2312" w:asciiTheme="minorEastAsia" w:hAnsiTheme="minorEastAsia" w:eastAsiaTheme="minorEastAsia"/>
          <w:sz w:val="24"/>
          <w:highlight w:val="none"/>
          <w:lang w:val="zh-CN"/>
        </w:rPr>
        <w:fldChar w:fldCharType="begin"/>
      </w:r>
      <w:r>
        <w:rPr>
          <w:rFonts w:hint="eastAsia" w:cs="仿宋_GB2312" w:asciiTheme="minorEastAsia" w:hAnsiTheme="minorEastAsia" w:eastAsiaTheme="minorEastAsia"/>
          <w:sz w:val="24"/>
          <w:highlight w:val="none"/>
          <w:lang w:val="zh-CN"/>
        </w:rPr>
        <w:instrText xml:space="preserve"> = 2 \* GB3 </w:instrText>
      </w:r>
      <w:r>
        <w:rPr>
          <w:rFonts w:hint="eastAsia" w:cs="仿宋_GB2312" w:asciiTheme="minorEastAsia" w:hAnsiTheme="minorEastAsia" w:eastAsiaTheme="minorEastAsia"/>
          <w:sz w:val="24"/>
          <w:highlight w:val="none"/>
          <w:lang w:val="zh-CN"/>
        </w:rPr>
        <w:fldChar w:fldCharType="separate"/>
      </w:r>
      <w:r>
        <w:rPr>
          <w:rFonts w:hint="eastAsia" w:cs="仿宋_GB2312" w:asciiTheme="minorEastAsia" w:hAnsiTheme="minorEastAsia" w:eastAsiaTheme="minorEastAsia"/>
          <w:sz w:val="24"/>
          <w:highlight w:val="none"/>
          <w:lang w:val="zh-CN"/>
        </w:rPr>
        <w:t>②</w:t>
      </w:r>
      <w:r>
        <w:rPr>
          <w:rFonts w:hint="eastAsia" w:cs="仿宋_GB2312" w:asciiTheme="minorEastAsia" w:hAnsiTheme="minorEastAsia" w:eastAsiaTheme="minorEastAsia"/>
          <w:sz w:val="24"/>
          <w:highlight w:val="none"/>
          <w:lang w:val="zh-CN"/>
        </w:rPr>
        <w:fldChar w:fldCharType="end"/>
      </w:r>
      <w:r>
        <w:rPr>
          <w:rFonts w:hint="eastAsia" w:cs="仿宋_GB2312" w:asciiTheme="minorEastAsia" w:hAnsiTheme="minorEastAsia" w:eastAsiaTheme="minorEastAsia"/>
          <w:sz w:val="24"/>
          <w:highlight w:val="none"/>
          <w:lang w:val="zh-CN"/>
        </w:rPr>
        <w:t>商务技术文件、③价格响应文件，</w:t>
      </w:r>
      <w:r>
        <w:rPr>
          <w:rFonts w:hint="eastAsia" w:cs="仿宋_GB2312" w:asciiTheme="minorEastAsia" w:hAnsiTheme="minorEastAsia" w:eastAsiaTheme="minorEastAsia"/>
          <w:sz w:val="24"/>
          <w:highlight w:val="none"/>
        </w:rPr>
        <w:t>下同</w:t>
      </w:r>
      <w:r>
        <w:rPr>
          <w:rFonts w:hint="eastAsia" w:cs="宋体" w:asciiTheme="minorEastAsia" w:hAnsiTheme="minorEastAsia" w:eastAsiaTheme="minorEastAsia"/>
          <w:sz w:val="24"/>
          <w:highlight w:val="none"/>
          <w:lang w:val="zh-CN"/>
        </w:rPr>
        <w:t>）均为一式叁份，其中“正本”壹份和“副本”贰份。电子</w:t>
      </w:r>
      <w:r>
        <w:rPr>
          <w:rFonts w:hint="eastAsia" w:cs="宋体" w:asciiTheme="minorEastAsia" w:hAnsiTheme="minorEastAsia" w:eastAsiaTheme="minorEastAsia"/>
          <w:sz w:val="24"/>
          <w:highlight w:val="none"/>
        </w:rPr>
        <w:t>版响应</w:t>
      </w:r>
      <w:r>
        <w:rPr>
          <w:rFonts w:hint="eastAsia" w:cs="宋体" w:asciiTheme="minorEastAsia" w:hAnsiTheme="minorEastAsia" w:eastAsiaTheme="minorEastAsia"/>
          <w:sz w:val="24"/>
          <w:highlight w:val="none"/>
          <w:lang w:val="zh-CN"/>
        </w:rPr>
        <w:t>文件1份（具体要求详见第七部分响应文件组成）。</w:t>
      </w:r>
    </w:p>
    <w:p w14:paraId="771746FD">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3.在每份纸质响应文件上要明确标注项目名称、对应的响应文件名称、供应商的全称、日期、“正本”、“副本”字样。“正本”和“副本”若有差异，概以“正本”为准。</w:t>
      </w:r>
    </w:p>
    <w:p w14:paraId="4751B0F0">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4.响应文件中的所有“正本”，其正文内容须按磋商文件要求由供应商法定代表人或被授权人签字（或盖章）并加盖单位公章。“副本”可复印，但须加盖单位公章。</w:t>
      </w:r>
    </w:p>
    <w:p w14:paraId="5621421C">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5.电子版响应文件</w:t>
      </w:r>
    </w:p>
    <w:p w14:paraId="5CFD83A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电子版响应文件即为上述</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资格审查、</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2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②</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商务技术文件、③价格响应文件签字盖章后纸质版响应文件的扫描件，全部内容均存入一份U盘即可。</w:t>
      </w:r>
    </w:p>
    <w:p w14:paraId="68F736C4">
      <w:pPr>
        <w:autoSpaceDE w:val="0"/>
        <w:autoSpaceDN w:val="0"/>
        <w:adjustRightInd w:val="0"/>
        <w:snapToGrid w:val="0"/>
        <w:spacing w:line="360" w:lineRule="auto"/>
        <w:ind w:firstLine="482" w:firstLineChars="200"/>
        <w:contextualSpacing/>
        <w:jc w:val="left"/>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（三）响应文件的密封及标记</w:t>
      </w:r>
    </w:p>
    <w:p w14:paraId="0FCD7E8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b/>
          <w:bCs/>
          <w:sz w:val="24"/>
          <w:highlight w:val="none"/>
          <w:u w:val="double"/>
          <w:lang w:val="zh-CN"/>
        </w:rPr>
      </w:pPr>
      <w:r>
        <w:rPr>
          <w:rFonts w:hint="eastAsia" w:cs="宋体" w:asciiTheme="minorEastAsia" w:hAnsiTheme="minorEastAsia" w:eastAsiaTheme="minorEastAsia"/>
          <w:sz w:val="24"/>
          <w:highlight w:val="none"/>
          <w:lang w:val="zh-CN"/>
        </w:rPr>
        <w:t>1.供应商须将本项目响应文件：</w:t>
      </w:r>
      <w:r>
        <w:rPr>
          <w:rFonts w:hint="eastAsia" w:cs="仿宋_GB2312" w:asciiTheme="minorEastAsia" w:hAnsiTheme="minorEastAsia" w:eastAsiaTheme="minorEastAsia"/>
          <w:b/>
          <w:bCs/>
          <w:sz w:val="24"/>
          <w:highlight w:val="none"/>
          <w:u w:val="double"/>
          <w:lang w:val="zh-CN"/>
        </w:rPr>
        <w:fldChar w:fldCharType="begin"/>
      </w:r>
      <w:r>
        <w:rPr>
          <w:rFonts w:hint="eastAsia" w:cs="仿宋_GB2312" w:asciiTheme="minorEastAsia" w:hAnsiTheme="minorEastAsia" w:eastAsiaTheme="minorEastAsia"/>
          <w:b/>
          <w:bCs/>
          <w:sz w:val="24"/>
          <w:highlight w:val="none"/>
          <w:u w:val="double"/>
          <w:lang w:val="zh-CN"/>
        </w:rPr>
        <w:instrText xml:space="preserve"> = 1 \* GB3 </w:instrText>
      </w:r>
      <w:r>
        <w:rPr>
          <w:rFonts w:hint="eastAsia" w:cs="仿宋_GB2312" w:asciiTheme="minorEastAsia" w:hAnsiTheme="minorEastAsia" w:eastAsiaTheme="minorEastAsia"/>
          <w:b/>
          <w:bCs/>
          <w:sz w:val="24"/>
          <w:highlight w:val="none"/>
          <w:u w:val="double"/>
          <w:lang w:val="zh-CN"/>
        </w:rPr>
        <w:fldChar w:fldCharType="separate"/>
      </w:r>
      <w:r>
        <w:rPr>
          <w:rFonts w:hint="eastAsia" w:cs="仿宋_GB2312" w:asciiTheme="minorEastAsia" w:hAnsiTheme="minorEastAsia" w:eastAsiaTheme="minorEastAsia"/>
          <w:b/>
          <w:bCs/>
          <w:sz w:val="24"/>
          <w:highlight w:val="none"/>
          <w:u w:val="double"/>
          <w:lang w:val="zh-CN"/>
        </w:rPr>
        <w:t>①</w:t>
      </w:r>
      <w:r>
        <w:rPr>
          <w:rFonts w:hint="eastAsia" w:cs="仿宋_GB2312" w:asciiTheme="minorEastAsia" w:hAnsiTheme="minorEastAsia" w:eastAsiaTheme="minorEastAsia"/>
          <w:b/>
          <w:bCs/>
          <w:sz w:val="24"/>
          <w:highlight w:val="none"/>
          <w:u w:val="double"/>
          <w:lang w:val="zh-CN"/>
        </w:rPr>
        <w:fldChar w:fldCharType="end"/>
      </w:r>
      <w:r>
        <w:rPr>
          <w:rFonts w:hint="eastAsia" w:cs="仿宋_GB2312" w:asciiTheme="minorEastAsia" w:hAnsiTheme="minorEastAsia" w:eastAsiaTheme="minorEastAsia"/>
          <w:b/>
          <w:bCs/>
          <w:sz w:val="24"/>
          <w:highlight w:val="none"/>
          <w:u w:val="double"/>
          <w:lang w:val="zh-CN"/>
        </w:rPr>
        <w:t>、</w:t>
      </w:r>
      <w:r>
        <w:rPr>
          <w:rFonts w:hint="eastAsia" w:cs="仿宋_GB2312" w:asciiTheme="minorEastAsia" w:hAnsiTheme="minorEastAsia" w:eastAsiaTheme="minorEastAsia"/>
          <w:b/>
          <w:bCs/>
          <w:sz w:val="24"/>
          <w:highlight w:val="none"/>
          <w:u w:val="double"/>
          <w:lang w:val="zh-CN"/>
        </w:rPr>
        <w:fldChar w:fldCharType="begin"/>
      </w:r>
      <w:r>
        <w:rPr>
          <w:rFonts w:hint="eastAsia" w:cs="仿宋_GB2312" w:asciiTheme="minorEastAsia" w:hAnsiTheme="minorEastAsia" w:eastAsiaTheme="minorEastAsia"/>
          <w:b/>
          <w:bCs/>
          <w:sz w:val="24"/>
          <w:highlight w:val="none"/>
          <w:u w:val="double"/>
          <w:lang w:val="zh-CN"/>
        </w:rPr>
        <w:instrText xml:space="preserve"> = 2 \* GB3 </w:instrText>
      </w:r>
      <w:r>
        <w:rPr>
          <w:rFonts w:hint="eastAsia" w:cs="仿宋_GB2312" w:asciiTheme="minorEastAsia" w:hAnsiTheme="minorEastAsia" w:eastAsiaTheme="minorEastAsia"/>
          <w:b/>
          <w:bCs/>
          <w:sz w:val="24"/>
          <w:highlight w:val="none"/>
          <w:u w:val="double"/>
          <w:lang w:val="zh-CN"/>
        </w:rPr>
        <w:fldChar w:fldCharType="separate"/>
      </w:r>
      <w:r>
        <w:rPr>
          <w:rFonts w:hint="eastAsia" w:cs="仿宋_GB2312" w:asciiTheme="minorEastAsia" w:hAnsiTheme="minorEastAsia" w:eastAsiaTheme="minorEastAsia"/>
          <w:b/>
          <w:bCs/>
          <w:sz w:val="24"/>
          <w:highlight w:val="none"/>
          <w:u w:val="double"/>
          <w:lang w:val="zh-CN"/>
        </w:rPr>
        <w:t>②</w:t>
      </w:r>
      <w:r>
        <w:rPr>
          <w:rFonts w:hint="eastAsia" w:cs="仿宋_GB2312" w:asciiTheme="minorEastAsia" w:hAnsiTheme="minorEastAsia" w:eastAsiaTheme="minorEastAsia"/>
          <w:b/>
          <w:bCs/>
          <w:sz w:val="24"/>
          <w:highlight w:val="none"/>
          <w:u w:val="double"/>
          <w:lang w:val="zh-CN"/>
        </w:rPr>
        <w:fldChar w:fldCharType="end"/>
      </w:r>
      <w:r>
        <w:rPr>
          <w:rFonts w:hint="eastAsia" w:cs="仿宋_GB2312" w:asciiTheme="minorEastAsia" w:hAnsiTheme="minorEastAsia" w:eastAsiaTheme="minorEastAsia"/>
          <w:b/>
          <w:bCs/>
          <w:sz w:val="24"/>
          <w:highlight w:val="none"/>
          <w:u w:val="double"/>
          <w:lang w:val="zh-CN"/>
        </w:rPr>
        <w:t>、③单独密封；④密封至③的封袋内。</w:t>
      </w:r>
    </w:p>
    <w:p w14:paraId="0F15339A">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2.供应商可将响应文件正副本统一密封或分别密封，如正本和副本分别密封的，应在封袋或封箱上标明正、副本字样。</w:t>
      </w:r>
    </w:p>
    <w:p w14:paraId="77D0EA5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b/>
          <w:bCs/>
          <w:sz w:val="24"/>
          <w:highlight w:val="none"/>
          <w:u w:val="double"/>
          <w:lang w:val="zh-CN"/>
        </w:rPr>
      </w:pPr>
      <w:r>
        <w:rPr>
          <w:rFonts w:hint="eastAsia" w:cs="宋体" w:asciiTheme="minorEastAsia" w:hAnsiTheme="minorEastAsia" w:eastAsiaTheme="minorEastAsia"/>
          <w:sz w:val="24"/>
          <w:highlight w:val="none"/>
          <w:lang w:val="zh-CN"/>
        </w:rPr>
        <w:t>3.密封后，应在封袋或封箱上明确标注</w:t>
      </w:r>
      <w:r>
        <w:rPr>
          <w:rFonts w:hint="eastAsia" w:cs="宋体" w:asciiTheme="minorEastAsia" w:hAnsiTheme="minorEastAsia" w:eastAsiaTheme="minorEastAsia"/>
          <w:b/>
          <w:bCs/>
          <w:sz w:val="24"/>
          <w:highlight w:val="none"/>
          <w:u w:val="double"/>
          <w:lang w:val="zh-CN"/>
        </w:rPr>
        <w:t>磋商项目名称、响应文件各自对应的名称、供应商的全称及日期。</w:t>
      </w:r>
    </w:p>
    <w:p w14:paraId="67A9628C">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b/>
          <w:bCs/>
          <w:sz w:val="24"/>
          <w:highlight w:val="none"/>
          <w:u w:val="double"/>
          <w:lang w:val="zh-CN"/>
        </w:rPr>
      </w:pPr>
      <w:r>
        <w:rPr>
          <w:rFonts w:hint="eastAsia" w:cs="宋体" w:asciiTheme="minorEastAsia" w:hAnsiTheme="minorEastAsia" w:eastAsiaTheme="minorEastAsia"/>
          <w:sz w:val="24"/>
          <w:highlight w:val="none"/>
          <w:lang w:val="zh-CN"/>
        </w:rPr>
        <w:t>4.</w:t>
      </w:r>
      <w:r>
        <w:rPr>
          <w:rFonts w:hint="eastAsia" w:cs="宋体" w:asciiTheme="minorEastAsia" w:hAnsiTheme="minorEastAsia" w:eastAsiaTheme="minorEastAsia"/>
          <w:b/>
          <w:bCs/>
          <w:sz w:val="24"/>
          <w:highlight w:val="none"/>
          <w:u w:val="double"/>
          <w:lang w:val="zh-CN"/>
        </w:rPr>
        <w:t>在边缝处加盖供应商公章或骑缝签字。</w:t>
      </w:r>
    </w:p>
    <w:p w14:paraId="03A773BB">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5.采购人将拒绝接收未按照磋商文件要求密封的响应文件。</w:t>
      </w:r>
    </w:p>
    <w:p w14:paraId="52E36B1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【特别提醒】响应文件中</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1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①</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lang w:val="zh-CN"/>
        </w:rPr>
        <w:fldChar w:fldCharType="begin"/>
      </w:r>
      <w:r>
        <w:rPr>
          <w:rFonts w:hint="eastAsia" w:cs="宋体" w:asciiTheme="minorEastAsia" w:hAnsiTheme="minorEastAsia" w:eastAsiaTheme="minorEastAsia"/>
          <w:sz w:val="24"/>
          <w:highlight w:val="none"/>
          <w:lang w:val="zh-CN"/>
        </w:rPr>
        <w:instrText xml:space="preserve"> = 2 \* GB3 </w:instrText>
      </w:r>
      <w:r>
        <w:rPr>
          <w:rFonts w:hint="eastAsia" w:cs="宋体" w:asciiTheme="minorEastAsia" w:hAnsiTheme="minorEastAsia" w:eastAsiaTheme="minorEastAsia"/>
          <w:sz w:val="24"/>
          <w:highlight w:val="none"/>
          <w:lang w:val="zh-CN"/>
        </w:rPr>
        <w:fldChar w:fldCharType="separate"/>
      </w:r>
      <w:r>
        <w:rPr>
          <w:rFonts w:hint="eastAsia" w:cs="宋体" w:asciiTheme="minorEastAsia" w:hAnsiTheme="minorEastAsia" w:eastAsiaTheme="minorEastAsia"/>
          <w:sz w:val="24"/>
          <w:highlight w:val="none"/>
          <w:lang w:val="zh-CN"/>
        </w:rPr>
        <w:t>②</w:t>
      </w:r>
      <w:r>
        <w:rPr>
          <w:rFonts w:hint="eastAsia" w:cs="宋体" w:asciiTheme="minorEastAsia" w:hAnsiTheme="minorEastAsia" w:eastAsiaTheme="minorEastAsia"/>
          <w:sz w:val="24"/>
          <w:highlight w:val="none"/>
          <w:lang w:val="zh-CN"/>
        </w:rPr>
        <w:fldChar w:fldCharType="end"/>
      </w:r>
      <w:r>
        <w:rPr>
          <w:rFonts w:hint="eastAsia" w:cs="宋体" w:asciiTheme="minorEastAsia" w:hAnsiTheme="minorEastAsia" w:eastAsiaTheme="minorEastAsia"/>
          <w:sz w:val="24"/>
          <w:highlight w:val="none"/>
          <w:lang w:val="zh-CN"/>
        </w:rPr>
        <w:t>的“正本”或“副本”中，</w:t>
      </w:r>
      <w:r>
        <w:rPr>
          <w:rFonts w:hint="eastAsia" w:cs="宋体" w:asciiTheme="minorEastAsia" w:hAnsiTheme="minorEastAsia" w:eastAsiaTheme="minorEastAsia"/>
          <w:b/>
          <w:bCs/>
          <w:sz w:val="24"/>
          <w:highlight w:val="none"/>
          <w:u w:val="double"/>
          <w:lang w:val="zh-CN"/>
        </w:rPr>
        <w:t>均不得含有价格响应文件中报价表（报价单）内的任何项目价格，否则作无效响应处理</w:t>
      </w:r>
      <w:r>
        <w:rPr>
          <w:rFonts w:hint="eastAsia" w:cs="宋体" w:asciiTheme="minorEastAsia" w:hAnsiTheme="minorEastAsia" w:eastAsiaTheme="minorEastAsia"/>
          <w:sz w:val="24"/>
          <w:highlight w:val="none"/>
          <w:lang w:val="zh-CN"/>
        </w:rPr>
        <w:t>。</w:t>
      </w:r>
    </w:p>
    <w:p w14:paraId="1EF2F276">
      <w:pPr>
        <w:autoSpaceDE w:val="0"/>
        <w:autoSpaceDN w:val="0"/>
        <w:adjustRightInd w:val="0"/>
        <w:snapToGrid w:val="0"/>
        <w:spacing w:line="360" w:lineRule="auto"/>
        <w:ind w:firstLine="482" w:firstLineChars="200"/>
        <w:contextualSpacing/>
        <w:jc w:val="left"/>
        <w:rPr>
          <w:rFonts w:cs="仿宋_GB2312" w:asciiTheme="minorEastAsia" w:hAnsiTheme="minorEastAsia" w:eastAsiaTheme="minorEastAsia"/>
          <w:b/>
          <w:bCs/>
          <w:sz w:val="24"/>
          <w:highlight w:val="none"/>
          <w:lang w:val="zh-CN"/>
        </w:rPr>
      </w:pPr>
      <w:r>
        <w:rPr>
          <w:rFonts w:hint="eastAsia" w:cs="仿宋_GB2312" w:asciiTheme="minorEastAsia" w:hAnsiTheme="minorEastAsia" w:eastAsiaTheme="minorEastAsia"/>
          <w:b/>
          <w:bCs/>
          <w:sz w:val="24"/>
          <w:highlight w:val="none"/>
          <w:lang w:val="zh-CN"/>
        </w:rPr>
        <w:t>（</w:t>
      </w:r>
      <w:r>
        <w:rPr>
          <w:rFonts w:hint="eastAsia" w:cs="仿宋_GB2312" w:asciiTheme="minorEastAsia" w:hAnsiTheme="minorEastAsia" w:eastAsiaTheme="minorEastAsia"/>
          <w:b/>
          <w:bCs/>
          <w:sz w:val="24"/>
          <w:highlight w:val="none"/>
        </w:rPr>
        <w:t>四</w:t>
      </w:r>
      <w:r>
        <w:rPr>
          <w:rFonts w:hint="eastAsia" w:cs="仿宋_GB2312" w:asciiTheme="minorEastAsia" w:hAnsiTheme="minorEastAsia" w:eastAsiaTheme="minorEastAsia"/>
          <w:b/>
          <w:bCs/>
          <w:sz w:val="24"/>
          <w:highlight w:val="none"/>
          <w:lang w:val="zh-CN"/>
        </w:rPr>
        <w:t>）</w:t>
      </w:r>
      <w:r>
        <w:rPr>
          <w:rFonts w:cs="仿宋_GB2312" w:asciiTheme="minorEastAsia" w:hAnsiTheme="minorEastAsia" w:eastAsiaTheme="minorEastAsia"/>
          <w:b/>
          <w:bCs/>
          <w:sz w:val="24"/>
          <w:highlight w:val="none"/>
          <w:lang w:val="zh-CN"/>
        </w:rPr>
        <w:t>磋商响应有效期</w:t>
      </w:r>
    </w:p>
    <w:p w14:paraId="3535A7F9">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cs="宋体" w:asciiTheme="minorEastAsia" w:hAnsiTheme="minorEastAsia" w:eastAsiaTheme="minorEastAsia"/>
          <w:sz w:val="24"/>
          <w:highlight w:val="none"/>
          <w:lang w:val="zh-CN"/>
        </w:rPr>
        <w:t>磋商响应有效期为</w:t>
      </w:r>
      <w:r>
        <w:rPr>
          <w:rFonts w:hint="eastAsia" w:cs="宋体" w:asciiTheme="minorEastAsia" w:hAnsiTheme="minorEastAsia" w:eastAsiaTheme="minorEastAsia"/>
          <w:sz w:val="24"/>
          <w:highlight w:val="none"/>
          <w:lang w:val="zh-CN"/>
        </w:rPr>
        <w:t>采购代理机构</w:t>
      </w:r>
      <w:r>
        <w:rPr>
          <w:rFonts w:cs="宋体" w:asciiTheme="minorEastAsia" w:hAnsiTheme="minorEastAsia" w:eastAsiaTheme="minorEastAsia"/>
          <w:sz w:val="24"/>
          <w:highlight w:val="none"/>
          <w:lang w:val="zh-CN"/>
        </w:rPr>
        <w:t>规定的响应文件提交截止时间后</w:t>
      </w:r>
      <w:r>
        <w:rPr>
          <w:rFonts w:hint="eastAsia" w:cs="宋体" w:asciiTheme="minorEastAsia" w:hAnsiTheme="minorEastAsia" w:eastAsiaTheme="minorEastAsia"/>
          <w:b/>
          <w:sz w:val="24"/>
          <w:highlight w:val="none"/>
          <w:u w:val="single"/>
          <w:lang w:val="zh-CN"/>
        </w:rPr>
        <w:t>四十五</w:t>
      </w:r>
      <w:r>
        <w:rPr>
          <w:rFonts w:cs="宋体" w:asciiTheme="minorEastAsia" w:hAnsiTheme="minorEastAsia" w:eastAsiaTheme="minorEastAsia"/>
          <w:b/>
          <w:sz w:val="24"/>
          <w:highlight w:val="none"/>
          <w:u w:val="single"/>
          <w:lang w:val="zh-CN"/>
        </w:rPr>
        <w:t>（</w:t>
      </w:r>
      <w:r>
        <w:rPr>
          <w:rFonts w:hint="eastAsia" w:cs="宋体" w:asciiTheme="minorEastAsia" w:hAnsiTheme="minorEastAsia" w:eastAsiaTheme="minorEastAsia"/>
          <w:b/>
          <w:sz w:val="24"/>
          <w:highlight w:val="none"/>
          <w:u w:val="single"/>
          <w:lang w:val="zh-CN"/>
        </w:rPr>
        <w:t>45</w:t>
      </w:r>
      <w:r>
        <w:rPr>
          <w:rFonts w:cs="宋体" w:asciiTheme="minorEastAsia" w:hAnsiTheme="minorEastAsia" w:eastAsiaTheme="minorEastAsia"/>
          <w:b/>
          <w:sz w:val="24"/>
          <w:highlight w:val="none"/>
          <w:u w:val="single"/>
          <w:lang w:val="zh-CN"/>
        </w:rPr>
        <w:t>）天</w:t>
      </w:r>
      <w:r>
        <w:rPr>
          <w:rFonts w:cs="宋体" w:asciiTheme="minorEastAsia" w:hAnsiTheme="minorEastAsia" w:eastAsiaTheme="minorEastAsia"/>
          <w:sz w:val="24"/>
          <w:highlight w:val="none"/>
          <w:lang w:val="zh-CN"/>
        </w:rPr>
        <w:t>。磋商响应有效期比规定短的将被视为非实质性响应而予以拒绝。</w:t>
      </w:r>
    </w:p>
    <w:p w14:paraId="53C9B4FC">
      <w:pPr>
        <w:autoSpaceDE w:val="0"/>
        <w:autoSpaceDN w:val="0"/>
        <w:adjustRightInd w:val="0"/>
        <w:snapToGrid w:val="0"/>
        <w:spacing w:line="360" w:lineRule="auto"/>
        <w:ind w:firstLine="482" w:firstLineChars="200"/>
        <w:contextualSpacing/>
        <w:jc w:val="left"/>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五、磋商报价</w:t>
      </w:r>
    </w:p>
    <w:p w14:paraId="4362E2FE">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1.本项目不接受任何有选择的报价。</w:t>
      </w:r>
    </w:p>
    <w:p w14:paraId="70A61184">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2.磋商报价均以人民币为报价的币种。</w:t>
      </w:r>
    </w:p>
    <w:p w14:paraId="6CFAFE1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3.磋商报价出现前后不一致的，按照下列规定修正：</w:t>
      </w:r>
    </w:p>
    <w:p w14:paraId="75484BC1">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（1）响应文件中开标一览表（报价表）内容与响应文件中相应内容不一致的，以开标一览表（报价表）为准；</w:t>
      </w:r>
    </w:p>
    <w:p w14:paraId="4739D16E">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（2）大写金额和小写金额不一致的，以大写金额为准；</w:t>
      </w:r>
    </w:p>
    <w:p w14:paraId="6BB9CC60">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（3）单价金额小数点或者百分比有明显错位的，以开标一览表（报价表）的总价为准，并修改单价；</w:t>
      </w:r>
    </w:p>
    <w:p w14:paraId="6993E530">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（4）总价金额与按单价汇总金额不一致的，以单价金额计算结果为准。</w:t>
      </w:r>
    </w:p>
    <w:p w14:paraId="2EECCE2C">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同时出现两种以上不一致的，按照前款规定的顺序修正。修正后的报价经供应商确认后产生约束力，供应商不确认的，其投标无效。</w:t>
      </w:r>
    </w:p>
    <w:p w14:paraId="20704058">
      <w:pPr>
        <w:autoSpaceDE w:val="0"/>
        <w:autoSpaceDN w:val="0"/>
        <w:adjustRightInd w:val="0"/>
        <w:snapToGrid w:val="0"/>
        <w:spacing w:line="360" w:lineRule="auto"/>
        <w:ind w:firstLine="480" w:firstLineChars="200"/>
        <w:contextualSpacing/>
        <w:jc w:val="left"/>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4.报价方式及要求：</w:t>
      </w:r>
    </w:p>
    <w:p w14:paraId="73176CFD">
      <w:pPr>
        <w:snapToGrid w:val="0"/>
        <w:spacing w:line="360" w:lineRule="auto"/>
        <w:ind w:firstLine="480" w:firstLineChars="200"/>
        <w:rPr>
          <w:rFonts w:cs="仿宋_GB2312"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rPr>
        <w:t>（1）</w:t>
      </w:r>
      <w:r>
        <w:rPr>
          <w:rFonts w:hint="eastAsia" w:cs="仿宋_GB2312" w:asciiTheme="minorEastAsia" w:hAnsiTheme="minorEastAsia" w:eastAsiaTheme="minorEastAsia"/>
          <w:sz w:val="24"/>
          <w:highlight w:val="none"/>
          <w:lang w:val="zh-CN"/>
        </w:rPr>
        <w:t>本项目采用总价报价，最终报价应包括本项目的全部费用(含一切必须的辅助材料费用)及相关服务费等。投标报价中应包括但不限于</w:t>
      </w:r>
      <w:r>
        <w:rPr>
          <w:rFonts w:hint="eastAsia" w:cs="仿宋_GB2312" w:asciiTheme="minorEastAsia" w:hAnsiTheme="minorEastAsia" w:eastAsiaTheme="minorEastAsia"/>
          <w:color w:val="000000" w:themeColor="text1"/>
          <w:sz w:val="24"/>
          <w:highlight w:val="none"/>
          <w:lang w:val="zh-CN"/>
          <w14:textFill>
            <w14:solidFill>
              <w14:schemeClr w14:val="tx1"/>
            </w14:solidFill>
          </w14:textFill>
        </w:rPr>
        <w:t>实施和完成</w:t>
      </w:r>
      <w:r>
        <w:rPr>
          <w:rFonts w:hint="eastAsia" w:cs="仿宋_GB2312" w:asciiTheme="minorEastAsia" w:hAnsiTheme="minorEastAsia" w:eastAsiaTheme="minorEastAsia"/>
          <w:sz w:val="24"/>
          <w:highlight w:val="none"/>
          <w:lang w:val="zh-CN"/>
        </w:rPr>
        <w:t>此项工作</w:t>
      </w:r>
      <w:r>
        <w:rPr>
          <w:rFonts w:hint="eastAsia" w:ascii="宋体" w:hAnsi="宋体" w:cs="宋体"/>
          <w:sz w:val="24"/>
          <w:highlight w:val="none"/>
          <w:lang w:val="zh-CN"/>
        </w:rPr>
        <w:t>并提供全套成果文件</w:t>
      </w:r>
      <w:r>
        <w:rPr>
          <w:rFonts w:hint="eastAsia" w:cs="仿宋_GB2312" w:asciiTheme="minorEastAsia" w:hAnsiTheme="minorEastAsia" w:eastAsiaTheme="minorEastAsia"/>
          <w:sz w:val="24"/>
          <w:highlight w:val="none"/>
          <w:lang w:val="zh-CN"/>
        </w:rPr>
        <w:t>所投入的人员、车辆、仪器设备、</w:t>
      </w:r>
      <w:r>
        <w:rPr>
          <w:rFonts w:hint="eastAsia" w:ascii="宋体" w:hAnsi="宋体" w:cs="宋体"/>
          <w:sz w:val="24"/>
          <w:highlight w:val="none"/>
          <w:lang w:val="zh-CN"/>
        </w:rPr>
        <w:t>材料</w:t>
      </w:r>
      <w:r>
        <w:rPr>
          <w:rFonts w:hint="eastAsia" w:cs="仿宋_GB2312" w:asciiTheme="minorEastAsia" w:hAnsiTheme="minorEastAsia" w:eastAsiaTheme="minorEastAsia"/>
          <w:sz w:val="24"/>
          <w:highlight w:val="none"/>
          <w:lang w:val="zh-CN"/>
        </w:rPr>
        <w:t>、现场调查、资料收集、数据采集、</w:t>
      </w:r>
      <w:r>
        <w:rPr>
          <w:rFonts w:hint="eastAsia" w:cs="仿宋_GB2312" w:asciiTheme="minorEastAsia" w:hAnsiTheme="minorEastAsia" w:eastAsiaTheme="minorEastAsia"/>
          <w:sz w:val="24"/>
          <w:highlight w:val="none"/>
        </w:rPr>
        <w:t>数据梳理、报告编制、</w:t>
      </w:r>
      <w:r>
        <w:rPr>
          <w:rFonts w:hint="eastAsia" w:cs="仿宋_GB2312" w:asciiTheme="minorEastAsia" w:hAnsiTheme="minorEastAsia" w:eastAsiaTheme="minorEastAsia"/>
          <w:sz w:val="24"/>
          <w:highlight w:val="none"/>
          <w:lang w:val="zh-CN"/>
        </w:rPr>
        <w:t>外围协调、分析评估、整理汇总、评审、验收、</w:t>
      </w:r>
      <w:r>
        <w:rPr>
          <w:rFonts w:hint="eastAsia" w:ascii="宋体" w:hAnsi="宋体" w:cs="宋体"/>
          <w:sz w:val="24"/>
          <w:highlight w:val="none"/>
          <w:lang w:val="zh-CN"/>
        </w:rPr>
        <w:t>燃料动力费、会议费、</w:t>
      </w:r>
      <w:r>
        <w:rPr>
          <w:rFonts w:hint="eastAsia" w:cs="仿宋_GB2312" w:asciiTheme="minorEastAsia" w:hAnsiTheme="minorEastAsia" w:eastAsiaTheme="minorEastAsia"/>
          <w:sz w:val="24"/>
          <w:highlight w:val="none"/>
          <w:lang w:val="zh-CN"/>
        </w:rPr>
        <w:t>专家咨询费、出版印刷费、</w:t>
      </w:r>
      <w:r>
        <w:rPr>
          <w:rFonts w:hint="eastAsia" w:ascii="宋体" w:hAnsi="宋体" w:cs="宋体"/>
          <w:sz w:val="24"/>
          <w:highlight w:val="none"/>
          <w:lang w:val="zh-CN"/>
        </w:rPr>
        <w:t>公司取费、法定税金、利润等与履行合同有关的</w:t>
      </w:r>
      <w:r>
        <w:rPr>
          <w:rFonts w:hint="eastAsia" w:cs="仿宋_GB2312" w:asciiTheme="minorEastAsia" w:hAnsiTheme="minorEastAsia" w:eastAsiaTheme="minorEastAsia"/>
          <w:sz w:val="24"/>
          <w:highlight w:val="none"/>
          <w:lang w:val="zh-CN"/>
        </w:rPr>
        <w:t>一切费用</w:t>
      </w:r>
      <w:r>
        <w:rPr>
          <w:rFonts w:hint="eastAsia" w:ascii="宋体" w:hAnsi="宋体" w:cs="宋体"/>
          <w:sz w:val="24"/>
          <w:highlight w:val="none"/>
          <w:lang w:val="zh-CN"/>
        </w:rPr>
        <w:t>以及合同明示或暗示的所有一般风险责任和义务费用</w:t>
      </w:r>
      <w:r>
        <w:rPr>
          <w:rFonts w:hint="eastAsia" w:cs="仿宋_GB2312" w:asciiTheme="minorEastAsia" w:hAnsiTheme="minorEastAsia" w:eastAsiaTheme="minorEastAsia"/>
          <w:sz w:val="24"/>
          <w:highlight w:val="none"/>
          <w:lang w:val="zh-CN"/>
        </w:rPr>
        <w:t>。</w:t>
      </w:r>
    </w:p>
    <w:p w14:paraId="4968002F">
      <w:pPr>
        <w:autoSpaceDE w:val="0"/>
        <w:autoSpaceDN w:val="0"/>
        <w:adjustRightInd w:val="0"/>
        <w:snapToGrid w:val="0"/>
        <w:spacing w:line="360" w:lineRule="auto"/>
        <w:ind w:firstLine="480" w:firstLineChars="200"/>
        <w:jc w:val="left"/>
        <w:rPr>
          <w:rFonts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2）供应商在投标时应主动查阅本项目的有关文件、技术经济等资料。作为一个有经验的供应商，应充分考虑到采购人提供的相关资料和数据与合同实施过程中存有偏差。供应商应综合考虑到报价中，采购对供应商的投标报价不因此而进行调整。</w:t>
      </w:r>
    </w:p>
    <w:p w14:paraId="28D844C9">
      <w:pPr>
        <w:autoSpaceDE w:val="0"/>
        <w:autoSpaceDN w:val="0"/>
        <w:adjustRightInd w:val="0"/>
        <w:snapToGrid w:val="0"/>
        <w:spacing w:line="360" w:lineRule="auto"/>
        <w:ind w:firstLine="480" w:firstLineChars="200"/>
        <w:jc w:val="left"/>
        <w:rPr>
          <w:rFonts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lang w:val="zh-CN"/>
        </w:rPr>
        <w:t>）本项目不接受调价函。</w:t>
      </w:r>
    </w:p>
    <w:p w14:paraId="2CC7CAFD">
      <w:pPr>
        <w:autoSpaceDE w:val="0"/>
        <w:autoSpaceDN w:val="0"/>
        <w:adjustRightInd w:val="0"/>
        <w:snapToGrid w:val="0"/>
        <w:spacing w:line="360" w:lineRule="auto"/>
        <w:ind w:firstLine="480" w:firstLineChars="200"/>
        <w:jc w:val="left"/>
        <w:rPr>
          <w:rFonts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4</w:t>
      </w:r>
      <w:r>
        <w:rPr>
          <w:rFonts w:hint="eastAsia" w:cs="宋体" w:asciiTheme="minorEastAsia" w:hAnsiTheme="minorEastAsia" w:eastAsiaTheme="minorEastAsia"/>
          <w:sz w:val="24"/>
          <w:highlight w:val="none"/>
          <w:lang w:val="zh-CN"/>
        </w:rPr>
        <w:t>）竞争性磋商的最终报价为预期成交价。</w:t>
      </w:r>
    </w:p>
    <w:p w14:paraId="2EC9840C">
      <w:pPr>
        <w:autoSpaceDE w:val="0"/>
        <w:autoSpaceDN w:val="0"/>
        <w:adjustRightIn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highlight w:val="none"/>
        </w:rPr>
        <w:t>5</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b/>
          <w:bCs/>
          <w:sz w:val="24"/>
          <w:highlight w:val="none"/>
          <w:lang w:val="zh-CN"/>
        </w:rPr>
        <w:t>本项目首轮磋商报价最高投标限价为人民币</w:t>
      </w:r>
      <w:r>
        <w:rPr>
          <w:rFonts w:hint="eastAsia" w:cs="宋体" w:asciiTheme="minorEastAsia" w:hAnsiTheme="minorEastAsia" w:eastAsiaTheme="minorEastAsia"/>
          <w:b/>
          <w:bCs/>
          <w:sz w:val="24"/>
          <w:highlight w:val="none"/>
        </w:rPr>
        <w:t>陆拾伍万元整</w:t>
      </w:r>
      <w:r>
        <w:rPr>
          <w:rFonts w:hint="eastAsia" w:cs="宋体" w:asciiTheme="minorEastAsia" w:hAnsiTheme="minorEastAsia" w:eastAsiaTheme="minorEastAsia"/>
          <w:b/>
          <w:bCs/>
          <w:sz w:val="24"/>
          <w:highlight w:val="none"/>
          <w:lang w:val="zh-CN"/>
        </w:rPr>
        <w:t>（¥</w:t>
      </w:r>
      <w:r>
        <w:rPr>
          <w:rFonts w:hint="eastAsia" w:cs="宋体" w:asciiTheme="minorEastAsia" w:hAnsiTheme="minorEastAsia" w:eastAsiaTheme="minorEastAsia"/>
          <w:b/>
          <w:bCs/>
          <w:sz w:val="24"/>
          <w:highlight w:val="none"/>
        </w:rPr>
        <w:t>650</w:t>
      </w:r>
      <w:r>
        <w:rPr>
          <w:rFonts w:hint="eastAsia" w:cs="宋体" w:asciiTheme="minorEastAsia" w:hAnsiTheme="minorEastAsia" w:eastAsiaTheme="minorEastAsia"/>
          <w:b/>
          <w:bCs/>
          <w:sz w:val="24"/>
          <w:highlight w:val="none"/>
          <w:lang w:val="zh-CN"/>
        </w:rPr>
        <w:t>000）</w:t>
      </w:r>
      <w:r>
        <w:rPr>
          <w:rFonts w:hint="eastAsia" w:cs="宋体" w:asciiTheme="minorEastAsia" w:hAnsiTheme="minorEastAsia" w:eastAsiaTheme="minorEastAsia"/>
          <w:sz w:val="24"/>
          <w:highlight w:val="none"/>
          <w:lang w:val="zh-CN"/>
        </w:rPr>
        <w:t>，投标总价超过最高投标限价的为无效响应文件。</w:t>
      </w:r>
    </w:p>
    <w:p w14:paraId="02065BA4">
      <w:pPr>
        <w:autoSpaceDE w:val="0"/>
        <w:autoSpaceDN w:val="0"/>
        <w:adjustRightInd w:val="0"/>
        <w:snapToGrid w:val="0"/>
        <w:spacing w:line="360" w:lineRule="auto"/>
        <w:ind w:firstLine="482" w:firstLineChars="200"/>
        <w:contextualSpacing/>
        <w:jc w:val="left"/>
        <w:rPr>
          <w:rFonts w:cs="宋体" w:asciiTheme="minorEastAsia" w:hAnsiTheme="minorEastAsia" w:eastAsiaTheme="minorEastAsia"/>
          <w:b/>
          <w:bCs/>
          <w:sz w:val="24"/>
          <w:highlight w:val="none"/>
          <w:lang w:val="zh-CN"/>
        </w:rPr>
      </w:pPr>
      <w:r>
        <w:rPr>
          <w:rFonts w:hint="eastAsia" w:cs="宋体" w:asciiTheme="minorEastAsia" w:hAnsiTheme="minorEastAsia" w:eastAsiaTheme="minorEastAsia"/>
          <w:b/>
          <w:bCs/>
          <w:sz w:val="24"/>
          <w:highlight w:val="none"/>
          <w:lang w:val="zh-CN"/>
        </w:rPr>
        <w:t>六、响应文件及磋商费用</w:t>
      </w:r>
    </w:p>
    <w:p w14:paraId="45FB5BB2">
      <w:pPr>
        <w:pStyle w:val="30"/>
        <w:snapToGrid w:val="0"/>
        <w:spacing w:line="360" w:lineRule="auto"/>
        <w:ind w:firstLine="494"/>
        <w:contextualSpacing/>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1</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szCs w:val="24"/>
          <w:highlight w:val="none"/>
        </w:rPr>
        <w:t>磋商程序顺利进行后，除供应商的原件可退回外，其余所有的响应文件都将作为档案保存，不论成交与否，均不退回（未拆封的除外）。</w:t>
      </w:r>
    </w:p>
    <w:p w14:paraId="747A0C03">
      <w:pPr>
        <w:pStyle w:val="30"/>
        <w:snapToGrid w:val="0"/>
        <w:spacing w:line="360" w:lineRule="auto"/>
        <w:ind w:firstLine="494"/>
        <w:contextualSpacing/>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2</w:t>
      </w:r>
      <w:r>
        <w:rPr>
          <w:rFonts w:hint="eastAsia" w:cs="宋体" w:asciiTheme="minorEastAsia" w:hAnsiTheme="minorEastAsia" w:eastAsiaTheme="minorEastAsia"/>
          <w:sz w:val="24"/>
          <w:highlight w:val="none"/>
          <w:lang w:val="zh-CN"/>
        </w:rPr>
        <w:t>.</w:t>
      </w:r>
      <w:r>
        <w:rPr>
          <w:rFonts w:hint="eastAsia" w:cs="宋体" w:asciiTheme="minorEastAsia" w:hAnsiTheme="minorEastAsia" w:eastAsiaTheme="minorEastAsia"/>
          <w:sz w:val="24"/>
          <w:szCs w:val="24"/>
          <w:highlight w:val="none"/>
        </w:rPr>
        <w:t>供应商承担参与磋商可能发生的全部费用，参加项目磋商的供应商自行承担与本次项目磋商有关的全部费用，采购人在任何情况下均无义务和责任承担这些费用。</w:t>
      </w:r>
    </w:p>
    <w:p w14:paraId="2366DA10">
      <w:pPr>
        <w:snapToGrid w:val="0"/>
        <w:spacing w:line="360" w:lineRule="auto"/>
        <w:ind w:firstLine="463" w:firstLineChars="192"/>
        <w:rPr>
          <w:rFonts w:cs="宋体" w:asciiTheme="minorEastAsia" w:hAnsiTheme="minorEastAsia" w:eastAsiaTheme="minorEastAsia"/>
          <w:b/>
          <w:sz w:val="24"/>
          <w:highlight w:val="none"/>
        </w:rPr>
      </w:pPr>
      <w:r>
        <w:rPr>
          <w:rFonts w:hint="eastAsia" w:cs="宋体" w:asciiTheme="minorEastAsia" w:hAnsiTheme="minorEastAsia" w:eastAsiaTheme="minorEastAsia"/>
          <w:b/>
          <w:bCs/>
          <w:sz w:val="24"/>
          <w:highlight w:val="none"/>
        </w:rPr>
        <w:t>七、</w:t>
      </w:r>
      <w:r>
        <w:rPr>
          <w:rFonts w:hint="eastAsia" w:cs="宋体" w:asciiTheme="minorEastAsia" w:hAnsiTheme="minorEastAsia" w:eastAsiaTheme="minorEastAsia"/>
          <w:b/>
          <w:sz w:val="24"/>
          <w:highlight w:val="none"/>
        </w:rPr>
        <w:t>保证金</w:t>
      </w:r>
    </w:p>
    <w:p w14:paraId="0830A25D">
      <w:pPr>
        <w:snapToGrid w:val="0"/>
        <w:spacing w:line="360" w:lineRule="auto"/>
        <w:ind w:firstLine="463" w:firstLineChars="192"/>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1.本项目不设磋商保证金。</w:t>
      </w:r>
    </w:p>
    <w:p w14:paraId="22E5834C">
      <w:pPr>
        <w:snapToGrid w:val="0"/>
        <w:spacing w:line="360" w:lineRule="auto"/>
        <w:ind w:firstLine="463" w:firstLineChars="192"/>
        <w:rPr>
          <w:rFonts w:cs="宋体" w:asciiTheme="minorEastAsia" w:hAnsiTheme="minorEastAsia" w:eastAsiaTheme="minorEastAsia"/>
          <w:b/>
          <w:bCs/>
          <w:sz w:val="24"/>
          <w:highlight w:val="none"/>
        </w:rPr>
      </w:pPr>
      <w:r>
        <w:rPr>
          <w:rFonts w:cs="宋体" w:asciiTheme="minorEastAsia" w:hAnsiTheme="minorEastAsia" w:eastAsiaTheme="minorEastAsia"/>
          <w:b/>
          <w:bCs/>
          <w:sz w:val="24"/>
          <w:highlight w:val="none"/>
        </w:rPr>
        <w:t>2</w:t>
      </w:r>
      <w:r>
        <w:rPr>
          <w:rFonts w:hint="eastAsia" w:cs="宋体" w:asciiTheme="minorEastAsia" w:hAnsiTheme="minorEastAsia" w:eastAsiaTheme="minorEastAsia"/>
          <w:b/>
          <w:bCs/>
          <w:sz w:val="24"/>
          <w:highlight w:val="none"/>
        </w:rPr>
        <w:t>.</w:t>
      </w:r>
      <w:r>
        <w:rPr>
          <w:rFonts w:hint="eastAsia" w:asciiTheme="minorEastAsia" w:hAnsiTheme="minorEastAsia" w:eastAsiaTheme="minorEastAsia"/>
          <w:b/>
          <w:sz w:val="24"/>
          <w:highlight w:val="none"/>
        </w:rPr>
        <w:t>本项目不设履约保证金。</w:t>
      </w:r>
    </w:p>
    <w:p w14:paraId="5A5F9204">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八、分包</w:t>
      </w:r>
    </w:p>
    <w:p w14:paraId="4C42AEBB">
      <w:pPr>
        <w:snapToGrid w:val="0"/>
        <w:spacing w:line="360" w:lineRule="auto"/>
        <w:ind w:firstLine="460" w:firstLineChars="192"/>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本项目</w:t>
      </w:r>
      <w:r>
        <w:rPr>
          <w:rFonts w:hint="eastAsia" w:cs="宋体" w:asciiTheme="minorEastAsia" w:hAnsiTheme="minorEastAsia" w:eastAsiaTheme="minorEastAsia"/>
          <w:spacing w:val="7"/>
          <w:kern w:val="0"/>
          <w:sz w:val="24"/>
          <w:highlight w:val="none"/>
          <w:u w:val="single"/>
        </w:rPr>
        <w:t>不允许</w:t>
      </w:r>
      <w:r>
        <w:rPr>
          <w:rFonts w:hint="eastAsia" w:cs="宋体" w:asciiTheme="minorEastAsia" w:hAnsiTheme="minorEastAsia" w:eastAsiaTheme="minorEastAsia"/>
          <w:spacing w:val="7"/>
          <w:kern w:val="0"/>
          <w:sz w:val="24"/>
          <w:highlight w:val="none"/>
        </w:rPr>
        <w:t>分包。</w:t>
      </w:r>
    </w:p>
    <w:p w14:paraId="709FBE43">
      <w:pPr>
        <w:snapToGrid w:val="0"/>
        <w:spacing w:line="360" w:lineRule="auto"/>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九、未尽事宜</w:t>
      </w:r>
    </w:p>
    <w:p w14:paraId="2A15BBD0">
      <w:pPr>
        <w:snapToGrid w:val="0"/>
        <w:spacing w:line="360" w:lineRule="auto"/>
        <w:ind w:firstLine="460" w:firstLineChars="192"/>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参照《中华人民共和国政府采购法》、《政府采购竞争性磋商采购方式管理暂行办法》及其他有关法律法规和规范性文件的规定执行。</w:t>
      </w:r>
    </w:p>
    <w:p w14:paraId="25468A8A">
      <w:pPr>
        <w:autoSpaceDE w:val="0"/>
        <w:autoSpaceDN w:val="0"/>
        <w:adjustRightInd w:val="0"/>
        <w:snapToGrid w:val="0"/>
        <w:spacing w:line="300" w:lineRule="auto"/>
        <w:jc w:val="center"/>
        <w:outlineLvl w:val="0"/>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br w:type="page"/>
      </w:r>
      <w:r>
        <w:rPr>
          <w:rFonts w:hint="eastAsia" w:cs="宋体" w:asciiTheme="minorEastAsia" w:hAnsiTheme="minorEastAsia" w:eastAsiaTheme="minorEastAsia"/>
          <w:b/>
          <w:bCs/>
          <w:sz w:val="36"/>
          <w:szCs w:val="36"/>
          <w:highlight w:val="none"/>
          <w:lang w:val="zh-CN"/>
        </w:rPr>
        <w:t>第三部分 项目需求</w:t>
      </w:r>
    </w:p>
    <w:p w14:paraId="52275915">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请供应商在申请获取磋商文件前和制作响应文件时仔细研究项目需求说明。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w:t>
      </w:r>
    </w:p>
    <w:p w14:paraId="39CC9077">
      <w:pPr>
        <w:adjustRightInd w:val="0"/>
        <w:snapToGrid w:val="0"/>
        <w:spacing w:line="360" w:lineRule="auto"/>
        <w:ind w:firstLine="482" w:firstLineChars="200"/>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sz w:val="24"/>
          <w:highlight w:val="none"/>
        </w:rPr>
        <w:t>一、</w:t>
      </w:r>
      <w:r>
        <w:rPr>
          <w:rFonts w:hint="eastAsia" w:cs="宋体" w:asciiTheme="minorEastAsia" w:hAnsiTheme="minorEastAsia" w:eastAsiaTheme="minorEastAsia"/>
          <w:b/>
          <w:bCs/>
          <w:kern w:val="0"/>
          <w:sz w:val="24"/>
          <w:highlight w:val="none"/>
        </w:rPr>
        <w:t>采购项目背景</w:t>
      </w:r>
    </w:p>
    <w:p w14:paraId="3A5FEFE3">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省交通运输厅关于印发江苏省“十五五”交通运输规划编制工作方案的通知》（苏交计〔2024〕41号）：江苏省“十五五”交通运输规划采用“4+15+13”的规划体系，即4个重点规划、15个专项规划和13个设区市交通运输规划。15个专项规划：即“十五五”公路、民航、邮政业、中欧班列、智慧交通、绿色交通、平安交通、法治交通、信用交通、人才、职业教育、综合执法、公路水运建设行业、政务服务、行业文化等15个专项规划，明确“十五五”期总体思路、重点任务、重大项目和重大政策。</w:t>
      </w:r>
    </w:p>
    <w:p w14:paraId="6234891F">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（二）《省交通运输厅公路事业发展中心关于开展普通国省道规划落地工作的通知》（苏交公便计〔2024〕363号）：严格遵循《国家公路网规划》（2022 年版）、《江苏省省道公路网规划（2023—2035 年）》确定的路网布局和路线功能、走向、起终点、主要控制点。充分考虑既有路线编号和实际运行情况，合理控制路网总体规模。</w:t>
      </w:r>
    </w:p>
    <w:p w14:paraId="1FC946AF">
      <w:pPr>
        <w:widowControl/>
        <w:numPr>
          <w:ilvl w:val="0"/>
          <w:numId w:val="2"/>
        </w:numPr>
        <w:adjustRightInd w:val="0"/>
        <w:snapToGrid w:val="0"/>
        <w:spacing w:line="360" w:lineRule="auto"/>
        <w:ind w:firstLine="482" w:firstLineChars="200"/>
        <w:textAlignment w:val="baseline"/>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rPr>
        <w:t>采购标的数量、采购项目交付或者实施的时间和地点</w:t>
      </w:r>
    </w:p>
    <w:p w14:paraId="33764F32">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（一）项目概况</w:t>
      </w:r>
    </w:p>
    <w:p w14:paraId="40CA631A">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南通市委、市政府高度重视交通运输发展，明确提出打造畅联全国通达世界的现代综合交通枢纽，“十五五”时期的南通市公路高质量发展更是关键。“十五五”期，国内外发展环境发生重大深刻变化，战略机遇和风险挑战并存，不确定难预料因素增多，对南通公路发展提出新要求。需要以“公路现代化”为发展方向，准确把握“十五五”时期南通市域范围的高速公路、普通国省道和农村公路发展面临的新形势、新需求、新特征，紧扣“一体化”和“高质量”两个关键词，系统研究南通市公路“十五五”期间的发展方向、实施路径、重点任务、重大项目、推进措施，建立健全公路发展的保障机制，让公路的运行更加高效有序，为南通市经济发展和居民出行创造优质的公路条件。</w:t>
      </w:r>
    </w:p>
    <w:p w14:paraId="6C431BE9">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2024年作为本次规划的基准年，规划期限为2026-2030年。</w:t>
      </w:r>
    </w:p>
    <w:p w14:paraId="62CCBD66">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（二）项目需求</w:t>
      </w:r>
    </w:p>
    <w:p w14:paraId="233055C2">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1.实地调研。开展规划调研工作，充分掌握“十四五”期南通公路发展的各项目标完成情况，为后续项目库梳理奠定基础。 </w:t>
      </w:r>
    </w:p>
    <w:p w14:paraId="3F304B95">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2.编制研究报告。需要以“公路现代化”为发展方向，准确把握“十五五”时期南通市域范围的高速公路、普通国省道和农村公路发展面临的新形势、新需求、新特征，紧扣“一体化”和“高质量”两个关键词，系统研究南通市公路“十五五”期间的发展方向、实施路径、重点任务、重大项目、推进措施，建立健全公路发展的保障机制，重点剖析普通国省道发展基础、分析形势、研究目标，提出任务，测算资金需求，制定保障措施等，完成南通市“十五五”公路高质量发展研究报告。 </w:t>
      </w:r>
    </w:p>
    <w:p w14:paraId="6776045F">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3.梳理项目库。根据江苏省省道公路网规划（2023-2035年），结合“十四五”期项目执行和地方政府财力等情况，拟定“十五五”规划重点公路项目库。 </w:t>
      </w:r>
    </w:p>
    <w:p w14:paraId="46E524AD">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4.评审及上报。开展规划各阶段成果汇报、专家评审、衔接上报等相关工作。 </w:t>
      </w:r>
    </w:p>
    <w:p w14:paraId="191143E9">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5.开展南通市公路发展“十五五”规划中期评估工作。</w:t>
      </w:r>
    </w:p>
    <w:p w14:paraId="272ABAAA">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6.编制普通国省道规划落地工作方案。</w:t>
      </w:r>
    </w:p>
    <w:p w14:paraId="5F06C8EF">
      <w:pPr>
        <w:widowControl/>
        <w:adjustRightInd w:val="0"/>
        <w:snapToGrid w:val="0"/>
        <w:spacing w:line="360" w:lineRule="auto"/>
        <w:ind w:firstLine="482" w:firstLineChars="200"/>
        <w:textAlignment w:val="baseline"/>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rPr>
        <w:t>三、采购标的需满足的服务标准、期限、效率等要求</w:t>
      </w:r>
    </w:p>
    <w:p w14:paraId="4FE5ADF0">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合同履行期限：合同签订之日起至2030年12月31日。</w:t>
      </w:r>
    </w:p>
    <w:p w14:paraId="044377D0">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1.2025年1月底前，提交形成南通市“十五五”公路高质量发展研究报告大纲、思路和重点项目谋划意见，并形成阶段性成果。</w:t>
      </w:r>
    </w:p>
    <w:p w14:paraId="21D54E4D">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2.2025年2月-6月底，开展南通市“十五五”公路高质量发展研究编制，梳理审核公路项目库，参与省市对接，完成研究报告初稿。</w:t>
      </w:r>
    </w:p>
    <w:p w14:paraId="40C5C8F1">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3.2025年7月-9月底，形成征求意见稿，参与省市对接，对研究报告修改完善。</w:t>
      </w:r>
    </w:p>
    <w:p w14:paraId="74B81D33">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4.2025年10月-12月底，形成送审稿，参与省市对接，专家评审，完成衔接上报等工作（含纸质文件8套、word电子文件）。</w:t>
      </w:r>
    </w:p>
    <w:p w14:paraId="4A84AE80">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5.2028年7月-8月（根据采购人实际需求适时调整），组织调研，开展中期评估，完成中期评估报告（含纸质文件8套、word电子文件）。</w:t>
      </w:r>
    </w:p>
    <w:p w14:paraId="0D5E102E">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6.2025年-2030年期间，每年协助采购人完成编制、更新南通市普通国省道落地方案表，绘制南通市普通国省道落地方案图，编制普通国省道规划落地工作方案（响应采购人要求适时提供PPT汇报文件）。</w:t>
      </w:r>
    </w:p>
    <w:p w14:paraId="3E5ED143">
      <w:pPr>
        <w:widowControl/>
        <w:adjustRightInd w:val="0"/>
        <w:snapToGrid w:val="0"/>
        <w:spacing w:line="360" w:lineRule="auto"/>
        <w:ind w:firstLine="482" w:firstLineChars="200"/>
        <w:textAlignment w:val="baseline"/>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rPr>
        <w:t>四、采购标的验收标准</w:t>
      </w:r>
    </w:p>
    <w:p w14:paraId="704A141A">
      <w:pPr>
        <w:widowControl/>
        <w:adjustRightInd w:val="0"/>
        <w:snapToGrid w:val="0"/>
        <w:spacing w:line="360" w:lineRule="auto"/>
        <w:ind w:firstLine="480" w:firstLineChars="200"/>
        <w:rPr>
          <w:rFonts w:cs="宋体" w:asciiTheme="minorEastAsia" w:hAnsiTheme="minorEastAsia" w:eastAsiaTheme="minorEastAsia"/>
          <w:kern w:val="2"/>
          <w:sz w:val="24"/>
          <w:highlight w:val="none"/>
        </w:rPr>
      </w:pPr>
      <w:r>
        <w:rPr>
          <w:rFonts w:hint="eastAsia" w:cs="宋体" w:asciiTheme="minorEastAsia" w:hAnsiTheme="minorEastAsia" w:eastAsiaTheme="minorEastAsia"/>
          <w:kern w:val="0"/>
          <w:sz w:val="24"/>
          <w:highlight w:val="none"/>
        </w:rPr>
        <w:t>履约验收：《南通市“十五五”公路高质量发展研究报告》、《南通市“十五五”公路高质量发展研究报告中期评估》要求分别通过采购人评审。</w:t>
      </w:r>
      <w:r>
        <w:rPr>
          <w:rFonts w:hint="eastAsia" w:cs="宋体" w:asciiTheme="minorEastAsia" w:hAnsiTheme="minorEastAsia" w:eastAsiaTheme="minorEastAsia"/>
          <w:sz w:val="24"/>
          <w:highlight w:val="none"/>
        </w:rPr>
        <w:t>成果应符合国家标准、省市相关规定和本项目采购人的要求。</w:t>
      </w:r>
    </w:p>
    <w:p w14:paraId="3D1ACC15">
      <w:pPr>
        <w:widowControl/>
        <w:adjustRightInd w:val="0"/>
        <w:snapToGrid w:val="0"/>
        <w:spacing w:line="360" w:lineRule="auto"/>
        <w:ind w:firstLine="482" w:firstLineChars="200"/>
        <w:textAlignment w:val="baseline"/>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rPr>
        <w:t>五、付款方式</w:t>
      </w:r>
    </w:p>
    <w:p w14:paraId="65755B86">
      <w:pPr>
        <w:pStyle w:val="30"/>
        <w:adjustRightInd w:val="0"/>
        <w:snapToGrid w:val="0"/>
        <w:spacing w:line="360" w:lineRule="auto"/>
        <w:ind w:firstLine="480" w:firstLineChars="200"/>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rPr>
        <w:t>合同签订且收到供应商发票后10个工作日内拨付合同价的30%；《南通市“十五五”公路高质量发展研究报告》最终成果通过采购人评审且收到供应商发票后10个工作日内拨付合同价的30%；《南通市“十五五”公路高质量发展研究报告中期评估》通过采购人评审且收到供应商发票后10个工作日内拨付合同价的30%；完成2025-2030年南通地区普通国省道规划落地方案相关工作且收到供应商发票后10个工作日内拨付合同价的10%。以上付款均不计利息。</w:t>
      </w:r>
    </w:p>
    <w:p w14:paraId="52DCEA87">
      <w:pPr>
        <w:pStyle w:val="2"/>
        <w:rPr>
          <w:highlight w:val="none"/>
        </w:rPr>
      </w:pPr>
    </w:p>
    <w:p w14:paraId="581AA741">
      <w:pPr>
        <w:pStyle w:val="18"/>
        <w:rPr>
          <w:rFonts w:asciiTheme="minorEastAsia" w:hAnsiTheme="minorEastAsia" w:eastAsiaTheme="minorEastAsia"/>
          <w:highlight w:val="none"/>
        </w:rPr>
      </w:pPr>
      <w:r>
        <w:rPr>
          <w:rFonts w:asciiTheme="minorEastAsia" w:hAnsiTheme="minorEastAsia" w:eastAsiaTheme="minorEastAsia"/>
          <w:highlight w:val="none"/>
        </w:rPr>
        <w:br w:type="page"/>
      </w:r>
    </w:p>
    <w:p w14:paraId="22DDB153">
      <w:pPr>
        <w:pStyle w:val="30"/>
        <w:snapToGrid w:val="0"/>
        <w:spacing w:line="360" w:lineRule="auto"/>
        <w:ind w:firstLine="0" w:firstLineChars="0"/>
        <w:contextualSpacing/>
        <w:rPr>
          <w:rFonts w:asciiTheme="minorEastAsia" w:hAnsiTheme="minorEastAsia" w:eastAsiaTheme="minorEastAsia"/>
          <w:b/>
          <w:bCs/>
          <w:sz w:val="24"/>
          <w:szCs w:val="24"/>
          <w:highlight w:val="none"/>
        </w:rPr>
        <w:sectPr>
          <w:footerReference r:id="rId3" w:type="default"/>
          <w:pgSz w:w="11907" w:h="16839"/>
          <w:pgMar w:top="1440" w:right="1797" w:bottom="1440" w:left="1797" w:header="720" w:footer="720" w:gutter="0"/>
          <w:cols w:space="720" w:num="1"/>
          <w:docGrid w:linePitch="286" w:charSpace="0"/>
        </w:sectPr>
      </w:pPr>
    </w:p>
    <w:p w14:paraId="3967DE00">
      <w:pPr>
        <w:autoSpaceDE w:val="0"/>
        <w:autoSpaceDN w:val="0"/>
        <w:adjustRightInd w:val="0"/>
        <w:snapToGrid w:val="0"/>
        <w:spacing w:line="360" w:lineRule="auto"/>
        <w:jc w:val="center"/>
        <w:outlineLvl w:val="0"/>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t>第四部分  评审程序和内容</w:t>
      </w:r>
    </w:p>
    <w:p w14:paraId="1ED50EB5">
      <w:pPr>
        <w:autoSpaceDE w:val="0"/>
        <w:autoSpaceDN w:val="0"/>
        <w:adjustRightInd w:val="0"/>
        <w:snapToGrid w:val="0"/>
        <w:spacing w:line="360" w:lineRule="auto"/>
        <w:ind w:right="210" w:firstLine="482" w:firstLineChars="200"/>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一、采购人组织磋商活动</w:t>
      </w:r>
    </w:p>
    <w:p w14:paraId="299351AB">
      <w:pPr>
        <w:pStyle w:val="30"/>
        <w:snapToGrid w:val="0"/>
        <w:spacing w:line="360" w:lineRule="auto"/>
        <w:ind w:firstLine="482" w:firstLineChars="200"/>
        <w:contextualSpacing/>
        <w:rPr>
          <w:rFonts w:cs="宋体" w:asciiTheme="minorEastAsia" w:hAnsiTheme="minorEastAsia" w:eastAsiaTheme="minorEastAsia"/>
          <w:b/>
          <w:kern w:val="0"/>
          <w:sz w:val="24"/>
          <w:szCs w:val="24"/>
          <w:highlight w:val="none"/>
          <w:lang w:val="zh-CN"/>
        </w:rPr>
      </w:pPr>
      <w:r>
        <w:rPr>
          <w:rFonts w:hint="eastAsia" w:cs="宋体" w:asciiTheme="minorEastAsia" w:hAnsiTheme="minorEastAsia" w:eastAsiaTheme="minorEastAsia"/>
          <w:b/>
          <w:kern w:val="0"/>
          <w:sz w:val="24"/>
          <w:szCs w:val="24"/>
          <w:highlight w:val="none"/>
          <w:lang w:val="zh-CN"/>
        </w:rPr>
        <w:t>1.成立竞争性磋商小组。</w:t>
      </w:r>
    </w:p>
    <w:p w14:paraId="15BF6819">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Arial" w:asciiTheme="minorEastAsia" w:hAnsiTheme="minorEastAsia" w:eastAsiaTheme="minorEastAsia"/>
          <w:kern w:val="0"/>
          <w:sz w:val="24"/>
          <w:szCs w:val="24"/>
          <w:highlight w:val="none"/>
        </w:rPr>
        <w:t>磋商小组由</w:t>
      </w:r>
      <w:r>
        <w:rPr>
          <w:rFonts w:hint="eastAsia" w:asciiTheme="minorEastAsia" w:hAnsiTheme="minorEastAsia" w:eastAsiaTheme="minorEastAsia"/>
          <w:sz w:val="24"/>
          <w:szCs w:val="24"/>
          <w:highlight w:val="none"/>
        </w:rPr>
        <w:t>有关专家</w:t>
      </w:r>
      <w:r>
        <w:rPr>
          <w:rFonts w:hint="eastAsia" w:cs="Arial" w:asciiTheme="minorEastAsia" w:hAnsiTheme="minorEastAsia" w:eastAsiaTheme="minorEastAsia"/>
          <w:kern w:val="0"/>
          <w:sz w:val="24"/>
          <w:szCs w:val="24"/>
          <w:highlight w:val="none"/>
        </w:rPr>
        <w:t>共</w:t>
      </w:r>
      <w:r>
        <w:rPr>
          <w:rFonts w:cs="Arial" w:asciiTheme="minorEastAsia" w:hAnsiTheme="minorEastAsia" w:eastAsiaTheme="minorEastAsia"/>
          <w:kern w:val="0"/>
          <w:sz w:val="24"/>
          <w:szCs w:val="24"/>
          <w:highlight w:val="none"/>
        </w:rPr>
        <w:t>3</w:t>
      </w:r>
      <w:r>
        <w:rPr>
          <w:rFonts w:hint="eastAsia" w:cs="Arial" w:asciiTheme="minorEastAsia" w:hAnsiTheme="minorEastAsia" w:eastAsiaTheme="minorEastAsia"/>
          <w:kern w:val="0"/>
          <w:sz w:val="24"/>
          <w:szCs w:val="24"/>
          <w:highlight w:val="none"/>
        </w:rPr>
        <w:t>人或以上单数组成。采购代理机构人员不得参加本机构代理的采购项目的评审。</w:t>
      </w:r>
    </w:p>
    <w:p w14:paraId="208D3F5C">
      <w:pPr>
        <w:spacing w:line="360" w:lineRule="auto"/>
        <w:ind w:firstLine="482" w:firstLineChars="200"/>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2.竞争性磋商小组的职责：</w:t>
      </w:r>
    </w:p>
    <w:p w14:paraId="107CFFC9">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评审专家应当遵守评审工作纪律，不得泄露评审情况和评审中获悉的商业秘密。</w:t>
      </w:r>
    </w:p>
    <w:p w14:paraId="63CAFBB3">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磋商小组在评审过程中发现供应商有行贿、提供虚假材料或者串通等违法行为的，应当及时向主管部门报告。</w:t>
      </w:r>
    </w:p>
    <w:p w14:paraId="49F17C45">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zh-CN"/>
        </w:rPr>
        <w:t>评审专家在评审过程中受到非法干涉的，应当及时向相关主管部门举报。</w:t>
      </w:r>
    </w:p>
    <w:p w14:paraId="6B2BC6CD">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FFD845E">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磋商文件内容违反国家有关强制性规定的，磋商小组应当停止评审并向采购人或者采购代理机构说明情况。</w:t>
      </w:r>
    </w:p>
    <w:p w14:paraId="51412B59">
      <w:pPr>
        <w:pStyle w:val="30"/>
        <w:snapToGrid w:val="0"/>
        <w:spacing w:line="360" w:lineRule="auto"/>
        <w:ind w:firstLine="482" w:firstLineChars="200"/>
        <w:contextualSpacing/>
        <w:rPr>
          <w:rFonts w:cs="宋体" w:asciiTheme="minorEastAsia" w:hAnsiTheme="minorEastAsia" w:eastAsiaTheme="minorEastAsia"/>
          <w:b/>
          <w:kern w:val="0"/>
          <w:sz w:val="24"/>
          <w:szCs w:val="24"/>
          <w:highlight w:val="none"/>
          <w:lang w:val="zh-CN"/>
        </w:rPr>
      </w:pPr>
      <w:r>
        <w:rPr>
          <w:rFonts w:hint="eastAsia" w:cs="宋体" w:asciiTheme="minorEastAsia" w:hAnsiTheme="minorEastAsia" w:eastAsiaTheme="minorEastAsia"/>
          <w:b/>
          <w:kern w:val="0"/>
          <w:sz w:val="24"/>
          <w:szCs w:val="24"/>
          <w:highlight w:val="none"/>
          <w:lang w:val="zh-CN"/>
        </w:rPr>
        <w:t>3.竞争性磋商小组成员的义务：</w:t>
      </w:r>
    </w:p>
    <w:p w14:paraId="6B85111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遵纪守法，客观、公正、廉洁地履行职责；根据采购文件的规定独立进行评审，对个人的评审意见承担法律责任；参与评审报告的起草；配合采购人、采购代理机构答复供应商提出的质疑；配合主管部门的投诉处理和监督检查工作。</w:t>
      </w:r>
    </w:p>
    <w:p w14:paraId="43C9F434">
      <w:pPr>
        <w:pStyle w:val="30"/>
        <w:snapToGrid w:val="0"/>
        <w:spacing w:line="360" w:lineRule="auto"/>
        <w:ind w:firstLine="482" w:firstLineChars="200"/>
        <w:contextualSpacing/>
        <w:rPr>
          <w:rFonts w:cs="宋体" w:asciiTheme="minorEastAsia" w:hAnsiTheme="minorEastAsia" w:eastAsiaTheme="minorEastAsia"/>
          <w:b/>
          <w:kern w:val="0"/>
          <w:sz w:val="24"/>
          <w:szCs w:val="24"/>
          <w:highlight w:val="none"/>
          <w:lang w:val="zh-CN"/>
        </w:rPr>
      </w:pPr>
      <w:r>
        <w:rPr>
          <w:rFonts w:hint="eastAsia" w:cs="宋体" w:asciiTheme="minorEastAsia" w:hAnsiTheme="minorEastAsia" w:eastAsiaTheme="minorEastAsia"/>
          <w:b/>
          <w:kern w:val="0"/>
          <w:sz w:val="24"/>
          <w:szCs w:val="24"/>
          <w:highlight w:val="none"/>
          <w:lang w:val="zh-CN"/>
        </w:rPr>
        <w:t>二、供应商参加磋商活动</w:t>
      </w:r>
    </w:p>
    <w:p w14:paraId="0F5EE28F">
      <w:pPr>
        <w:autoSpaceDE w:val="0"/>
        <w:autoSpaceDN w:val="0"/>
        <w:adjustRightInd w:val="0"/>
        <w:snapToGrid w:val="0"/>
        <w:spacing w:line="360" w:lineRule="auto"/>
        <w:ind w:right="210" w:firstLine="482" w:firstLineChars="200"/>
        <w:rPr>
          <w:rFonts w:cs="宋体" w:asciiTheme="minorEastAsia" w:hAnsiTheme="minorEastAsia" w:eastAsiaTheme="minorEastAsia"/>
          <w:b/>
          <w:sz w:val="24"/>
          <w:highlight w:val="none"/>
          <w:lang w:val="zh-CN"/>
        </w:rPr>
      </w:pPr>
      <w:r>
        <w:rPr>
          <w:rFonts w:hint="eastAsia" w:cs="宋体" w:asciiTheme="minorEastAsia" w:hAnsiTheme="minorEastAsia" w:eastAsiaTheme="minorEastAsia"/>
          <w:b/>
          <w:sz w:val="24"/>
          <w:highlight w:val="none"/>
          <w:lang w:val="zh-CN"/>
        </w:rPr>
        <w:t>供应商的法定代表人或被授权人须持身份证准时参加磋商。</w:t>
      </w:r>
    </w:p>
    <w:p w14:paraId="2CF20B9E">
      <w:pPr>
        <w:autoSpaceDE w:val="0"/>
        <w:autoSpaceDN w:val="0"/>
        <w:adjustRightInd w:val="0"/>
        <w:snapToGrid w:val="0"/>
        <w:spacing w:line="360" w:lineRule="auto"/>
        <w:ind w:right="21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w:t>
      </w:r>
      <w:r>
        <w:rPr>
          <w:rFonts w:hint="eastAsia" w:cs="宋体" w:asciiTheme="minorEastAsia" w:hAnsiTheme="minorEastAsia" w:eastAsiaTheme="minorEastAsia"/>
          <w:b/>
          <w:sz w:val="24"/>
          <w:highlight w:val="none"/>
        </w:rPr>
        <w:t>磋商的原则及方法</w:t>
      </w:r>
    </w:p>
    <w:p w14:paraId="5B7073D2">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w:t>
      </w:r>
      <w:r>
        <w:rPr>
          <w:rFonts w:hint="eastAsia" w:cs="宋体" w:asciiTheme="minorEastAsia" w:hAnsiTheme="minorEastAsia" w:eastAsiaTheme="minorEastAsia"/>
          <w:bCs/>
          <w:kern w:val="0"/>
          <w:sz w:val="24"/>
          <w:szCs w:val="24"/>
          <w:highlight w:val="none"/>
          <w:lang w:val="zh-CN"/>
        </w:rPr>
        <w:t>.</w:t>
      </w:r>
      <w:r>
        <w:rPr>
          <w:rFonts w:hint="eastAsia" w:cs="宋体" w:asciiTheme="minorEastAsia" w:hAnsiTheme="minorEastAsia" w:eastAsiaTheme="minorEastAsia"/>
          <w:kern w:val="0"/>
          <w:sz w:val="24"/>
          <w:szCs w:val="24"/>
          <w:highlight w:val="none"/>
          <w:lang w:val="zh-CN"/>
        </w:rPr>
        <w:t>磋商小组成员应当按照客观、公正、审慎的原则，根据磋商文件规定的评审程序、评审方法和评审标准进行独立评审。未实质性响应磋</w:t>
      </w:r>
      <w:r>
        <w:rPr>
          <w:rFonts w:hint="eastAsia" w:cs="Arial" w:asciiTheme="minorEastAsia" w:hAnsiTheme="minorEastAsia" w:eastAsiaTheme="minorEastAsia"/>
          <w:kern w:val="0"/>
          <w:sz w:val="24"/>
          <w:szCs w:val="24"/>
          <w:highlight w:val="none"/>
        </w:rPr>
        <w:t>商文件的响应文件按无效响应处理，磋商小组应当告知提交响应文件的供应商。</w:t>
      </w:r>
    </w:p>
    <w:p w14:paraId="0E4AEE81">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432B5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B98BDA4">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2</w:t>
      </w:r>
      <w:r>
        <w:rPr>
          <w:rFonts w:hint="eastAsia" w:cs="宋体" w:asciiTheme="minorEastAsia" w:hAnsiTheme="minorEastAsia" w:eastAsiaTheme="minorEastAsia"/>
          <w:kern w:val="0"/>
          <w:sz w:val="24"/>
          <w:szCs w:val="24"/>
          <w:highlight w:val="none"/>
          <w:lang w:val="zh-CN"/>
        </w:rPr>
        <w:t>.</w:t>
      </w:r>
      <w:r>
        <w:rPr>
          <w:rFonts w:cs="宋体" w:asciiTheme="minorEastAsia" w:hAnsiTheme="minorEastAsia" w:eastAsiaTheme="minorEastAsia"/>
          <w:kern w:val="0"/>
          <w:sz w:val="24"/>
          <w:szCs w:val="24"/>
          <w:highlight w:val="none"/>
          <w:lang w:val="zh-CN"/>
        </w:rPr>
        <w:t>磋商小组将按照竞争性磋商文件的规定，独立对每个进入打分程序的有效供应商的响应文件的</w:t>
      </w:r>
      <w:r>
        <w:rPr>
          <w:rFonts w:hint="eastAsia" w:cs="宋体" w:asciiTheme="minorEastAsia" w:hAnsiTheme="minorEastAsia" w:eastAsiaTheme="minorEastAsia"/>
          <w:kern w:val="0"/>
          <w:sz w:val="24"/>
          <w:szCs w:val="24"/>
          <w:highlight w:val="none"/>
          <w:lang w:val="zh-CN"/>
        </w:rPr>
        <w:t>商务</w:t>
      </w:r>
      <w:r>
        <w:rPr>
          <w:rFonts w:cs="宋体" w:asciiTheme="minorEastAsia" w:hAnsiTheme="minorEastAsia" w:eastAsiaTheme="minorEastAsia"/>
          <w:kern w:val="0"/>
          <w:sz w:val="24"/>
          <w:szCs w:val="24"/>
          <w:highlight w:val="none"/>
          <w:lang w:val="zh-CN"/>
        </w:rPr>
        <w:t>技术部分以打分的形式进行评估和评价。</w:t>
      </w:r>
      <w:r>
        <w:rPr>
          <w:rFonts w:hint="eastAsia" w:cs="宋体" w:asciiTheme="minorEastAsia" w:hAnsiTheme="minorEastAsia" w:eastAsiaTheme="minorEastAsia"/>
          <w:kern w:val="0"/>
          <w:sz w:val="24"/>
          <w:szCs w:val="24"/>
          <w:highlight w:val="none"/>
          <w:lang w:val="zh-CN"/>
        </w:rPr>
        <w:t>商务</w:t>
      </w:r>
      <w:r>
        <w:rPr>
          <w:rFonts w:cs="宋体" w:asciiTheme="minorEastAsia" w:hAnsiTheme="minorEastAsia" w:eastAsiaTheme="minorEastAsia"/>
          <w:kern w:val="0"/>
          <w:sz w:val="24"/>
          <w:szCs w:val="24"/>
          <w:highlight w:val="none"/>
          <w:lang w:val="zh-CN"/>
        </w:rPr>
        <w:t>技术分是所有评委打分的算术平均值（计算结果均四舍五入保留两位小数）。</w:t>
      </w:r>
    </w:p>
    <w:p w14:paraId="62B07DBC">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highlight w:val="none"/>
          <w:lang w:val="zh-CN"/>
        </w:rPr>
        <w:t>3.</w:t>
      </w:r>
      <w:r>
        <w:rPr>
          <w:rStyle w:val="35"/>
          <w:rFonts w:hint="default" w:asciiTheme="minorEastAsia" w:hAnsiTheme="minorEastAsia" w:eastAsiaTheme="minorEastAsia"/>
          <w:color w:val="auto"/>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14:paraId="2EFCE328">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bCs/>
          <w:kern w:val="0"/>
          <w:sz w:val="24"/>
          <w:szCs w:val="24"/>
          <w:highlight w:val="none"/>
          <w:lang w:val="zh-CN"/>
        </w:rPr>
        <w:t>4.</w:t>
      </w:r>
      <w:r>
        <w:rPr>
          <w:rFonts w:cs="宋体" w:asciiTheme="minorEastAsia" w:hAnsiTheme="minorEastAsia" w:eastAsiaTheme="minorEastAsia"/>
          <w:kern w:val="0"/>
          <w:sz w:val="24"/>
          <w:szCs w:val="24"/>
          <w:highlight w:val="none"/>
          <w:lang w:val="zh-CN"/>
        </w:rPr>
        <w:t>磋商小组</w:t>
      </w:r>
      <w:r>
        <w:rPr>
          <w:rStyle w:val="35"/>
          <w:rFonts w:hint="default" w:asciiTheme="minorEastAsia" w:hAnsiTheme="minorEastAsia" w:eastAsiaTheme="minorEastAsia"/>
          <w:color w:val="auto"/>
          <w:highlight w:val="none"/>
          <w:lang w:val="zh-CN"/>
        </w:rPr>
        <w:t>所有</w:t>
      </w:r>
      <w:r>
        <w:rPr>
          <w:rFonts w:cs="宋体" w:asciiTheme="minorEastAsia" w:hAnsiTheme="minorEastAsia" w:eastAsiaTheme="minorEastAsia"/>
          <w:kern w:val="0"/>
          <w:sz w:val="24"/>
          <w:szCs w:val="24"/>
          <w:highlight w:val="none"/>
          <w:lang w:val="zh-CN"/>
        </w:rPr>
        <w:t>成员应当集中与单一供应商分别进行磋商，并给予所有参加磋商的供应商平等的磋商机会。</w:t>
      </w:r>
    </w:p>
    <w:p w14:paraId="7998AAA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5</w:t>
      </w:r>
      <w:r>
        <w:rPr>
          <w:rFonts w:hint="eastAsia" w:cs="宋体" w:asciiTheme="minorEastAsia" w:hAnsiTheme="minorEastAsia" w:eastAsiaTheme="minorEastAsia"/>
          <w:b/>
          <w:kern w:val="0"/>
          <w:sz w:val="24"/>
          <w:szCs w:val="24"/>
          <w:highlight w:val="none"/>
          <w:lang w:val="zh-CN"/>
        </w:rPr>
        <w:t>.</w:t>
      </w:r>
      <w:r>
        <w:rPr>
          <w:rFonts w:cs="宋体" w:asciiTheme="minorEastAsia" w:hAnsiTheme="minorEastAsia" w:eastAsiaTheme="minorEastAsia"/>
          <w:kern w:val="0"/>
          <w:sz w:val="24"/>
          <w:szCs w:val="24"/>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w:t>
      </w:r>
    </w:p>
    <w:p w14:paraId="31F9903D">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对磋商文件作出的实质性变动是磋商文件的有效组成部分，磋商小组应当及时以书面形式同时通知所有参加磋商的供应商。</w:t>
      </w:r>
    </w:p>
    <w:p w14:paraId="7D428439">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62EEFCBB">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6.</w:t>
      </w:r>
      <w:r>
        <w:rPr>
          <w:rFonts w:cs="宋体" w:asciiTheme="minorEastAsia" w:hAnsiTheme="minorEastAsia" w:eastAsiaTheme="minorEastAsia"/>
          <w:kern w:val="0"/>
          <w:sz w:val="24"/>
          <w:szCs w:val="24"/>
          <w:highlight w:val="none"/>
          <w:lang w:val="zh-CN"/>
        </w:rPr>
        <w:t>磋商文件能够详细列明采购标的的技术、服务要求的，磋商结束后，磋商小组应当要求所有</w:t>
      </w:r>
      <w:r>
        <w:rPr>
          <w:rFonts w:hint="eastAsia" w:cs="宋体" w:asciiTheme="minorEastAsia" w:hAnsiTheme="minorEastAsia" w:eastAsiaTheme="minorEastAsia"/>
          <w:kern w:val="0"/>
          <w:sz w:val="24"/>
          <w:szCs w:val="24"/>
          <w:highlight w:val="none"/>
          <w:lang w:val="zh-CN"/>
        </w:rPr>
        <w:t>实质性响应</w:t>
      </w:r>
      <w:r>
        <w:rPr>
          <w:rFonts w:cs="宋体" w:asciiTheme="minorEastAsia" w:hAnsiTheme="minorEastAsia" w:eastAsiaTheme="minorEastAsia"/>
          <w:kern w:val="0"/>
          <w:sz w:val="24"/>
          <w:szCs w:val="24"/>
          <w:highlight w:val="none"/>
          <w:lang w:val="zh-CN"/>
        </w:rPr>
        <w:t>的供应商在规定时间内提交最后报价，提交最后报价的供应商不得少于3家。</w:t>
      </w:r>
    </w:p>
    <w:p w14:paraId="71F78F4C">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cs="宋体" w:asciiTheme="minorEastAsia" w:hAnsiTheme="minorEastAsia" w:eastAsiaTheme="minorEastAsia"/>
          <w:kern w:val="0"/>
          <w:sz w:val="24"/>
          <w:szCs w:val="24"/>
          <w:highlight w:val="none"/>
          <w:lang w:val="zh-CN"/>
        </w:rPr>
        <w:t>磋商文件不能详细列明采购标的技术、服务要求，需经磋商由供应商提供最终设计方案或解决方案的，磋商结束后，磋商小组应当按照少数服从多数的原则投票推荐3家</w:t>
      </w:r>
      <w:r>
        <w:rPr>
          <w:rFonts w:hint="eastAsia" w:cs="宋体" w:asciiTheme="minorEastAsia" w:hAnsiTheme="minorEastAsia" w:eastAsiaTheme="minorEastAsia"/>
          <w:kern w:val="0"/>
          <w:sz w:val="24"/>
          <w:szCs w:val="24"/>
          <w:highlight w:val="none"/>
          <w:lang w:val="zh-CN"/>
        </w:rPr>
        <w:t>及</w:t>
      </w:r>
      <w:r>
        <w:rPr>
          <w:rFonts w:cs="宋体" w:asciiTheme="minorEastAsia" w:hAnsiTheme="minorEastAsia" w:eastAsiaTheme="minorEastAsia"/>
          <w:kern w:val="0"/>
          <w:sz w:val="24"/>
          <w:szCs w:val="24"/>
          <w:highlight w:val="none"/>
          <w:lang w:val="zh-CN"/>
        </w:rPr>
        <w:t>以上供应商的设计方案或者解决方案，并要求其在规定时间内提交最后报价。</w:t>
      </w:r>
    </w:p>
    <w:p w14:paraId="28451D70">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市场竞争不充分的科研项目，以及需要扶持的科技成果转化项目，</w:t>
      </w:r>
      <w:r>
        <w:rPr>
          <w:rFonts w:cs="宋体" w:asciiTheme="minorEastAsia" w:hAnsiTheme="minorEastAsia" w:eastAsiaTheme="minorEastAsia"/>
          <w:kern w:val="0"/>
          <w:sz w:val="24"/>
          <w:szCs w:val="24"/>
          <w:highlight w:val="none"/>
          <w:lang w:val="zh-CN"/>
        </w:rPr>
        <w:t>提交最后报价的供应商</w:t>
      </w:r>
      <w:r>
        <w:rPr>
          <w:rFonts w:hint="eastAsia" w:cs="宋体" w:asciiTheme="minorEastAsia" w:hAnsiTheme="minorEastAsia" w:eastAsiaTheme="minorEastAsia"/>
          <w:kern w:val="0"/>
          <w:sz w:val="24"/>
          <w:szCs w:val="24"/>
          <w:highlight w:val="none"/>
          <w:lang w:val="zh-CN"/>
        </w:rPr>
        <w:t>可以是2</w:t>
      </w:r>
      <w:r>
        <w:rPr>
          <w:rFonts w:cs="宋体" w:asciiTheme="minorEastAsia" w:hAnsiTheme="minorEastAsia" w:eastAsiaTheme="minorEastAsia"/>
          <w:kern w:val="0"/>
          <w:sz w:val="24"/>
          <w:szCs w:val="24"/>
          <w:highlight w:val="none"/>
          <w:lang w:val="zh-CN"/>
        </w:rPr>
        <w:t>家。</w:t>
      </w:r>
    </w:p>
    <w:p w14:paraId="2073E80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7.</w:t>
      </w:r>
      <w:r>
        <w:rPr>
          <w:rFonts w:cs="宋体" w:asciiTheme="minorEastAsia" w:hAnsiTheme="minorEastAsia" w:eastAsiaTheme="minorEastAsia"/>
          <w:kern w:val="0"/>
          <w:sz w:val="24"/>
          <w:szCs w:val="24"/>
          <w:highlight w:val="none"/>
          <w:lang w:val="zh-CN"/>
        </w:rPr>
        <w:t>最后报价是供应商响应文件的有效组成部分。</w:t>
      </w:r>
    </w:p>
    <w:p w14:paraId="4A6E6F00">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8.对于在磋商顺利开始后至最终报价前，根据磋商情况退出磋商的供应商，须以书面形式说明退出磋商的原因，经磋商小组同意可以退出磋商。</w:t>
      </w:r>
    </w:p>
    <w:p w14:paraId="745526AA">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9.磋商时间由磋商小组掌握。</w:t>
      </w:r>
    </w:p>
    <w:p w14:paraId="548C1AAE">
      <w:pPr>
        <w:autoSpaceDE w:val="0"/>
        <w:autoSpaceDN w:val="0"/>
        <w:adjustRightInd w:val="0"/>
        <w:snapToGrid w:val="0"/>
        <w:spacing w:line="360" w:lineRule="auto"/>
        <w:ind w:right="210"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四、评审步骤</w:t>
      </w:r>
    </w:p>
    <w:p w14:paraId="296C9D83">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1.评审步骤规定：</w:t>
      </w:r>
    </w:p>
    <w:p w14:paraId="48DB4167">
      <w:pPr>
        <w:pStyle w:val="30"/>
        <w:snapToGrid w:val="0"/>
        <w:spacing w:line="360" w:lineRule="auto"/>
        <w:ind w:firstLine="480" w:firstLineChars="200"/>
        <w:contextualSpacing/>
        <w:rPr>
          <w:rFonts w:cs="宋体" w:asciiTheme="minorEastAsia" w:hAnsiTheme="minorEastAsia" w:eastAsiaTheme="minorEastAsia"/>
          <w:kern w:val="0"/>
          <w:sz w:val="24"/>
          <w:szCs w:val="24"/>
          <w:highlight w:val="none"/>
          <w:lang w:val="zh-CN"/>
        </w:rPr>
      </w:pPr>
      <w:r>
        <w:rPr>
          <w:rFonts w:hint="eastAsia" w:cs="宋体" w:asciiTheme="minorEastAsia" w:hAnsiTheme="minorEastAsia" w:eastAsiaTheme="minorEastAsia"/>
          <w:kern w:val="0"/>
          <w:sz w:val="24"/>
          <w:szCs w:val="24"/>
          <w:highlight w:val="none"/>
          <w:lang w:val="zh-CN"/>
        </w:rPr>
        <w:t>本次资格审查采用资格后审，各供应商资格审查通过后方能进入商务技术响应文件和报价响应文件评审。</w:t>
      </w:r>
    </w:p>
    <w:p w14:paraId="24663CC5">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第一阶段：</w:t>
      </w:r>
      <w:r>
        <w:rPr>
          <w:rFonts w:hint="eastAsia" w:cs="宋体" w:asciiTheme="minorEastAsia" w:hAnsiTheme="minorEastAsia" w:eastAsiaTheme="minorEastAsia"/>
          <w:sz w:val="24"/>
          <w:highlight w:val="none"/>
        </w:rPr>
        <w:t>磋商小组</w:t>
      </w:r>
      <w:r>
        <w:rPr>
          <w:rFonts w:hint="eastAsia" w:cs="宋体" w:asciiTheme="minorEastAsia" w:hAnsiTheme="minorEastAsia" w:eastAsiaTheme="minorEastAsia"/>
          <w:color w:val="000000" w:themeColor="text1"/>
          <w:sz w:val="24"/>
          <w:highlight w:val="none"/>
          <w14:textFill>
            <w14:solidFill>
              <w14:schemeClr w14:val="tx1"/>
            </w14:solidFill>
          </w14:textFill>
        </w:rPr>
        <w:t>一并</w:t>
      </w:r>
      <w:r>
        <w:rPr>
          <w:rFonts w:hint="eastAsia" w:cs="宋体" w:asciiTheme="minorEastAsia" w:hAnsiTheme="minorEastAsia" w:eastAsiaTheme="minorEastAsia"/>
          <w:sz w:val="24"/>
          <w:highlight w:val="none"/>
          <w:lang w:val="zh-CN"/>
        </w:rPr>
        <w:t>对每个供应商的资格进行审查。</w:t>
      </w:r>
    </w:p>
    <w:p w14:paraId="7E758D12">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第二阶段：磋商小组对每个符合资格要求的供应商的商务技术标进行评审。</w:t>
      </w:r>
    </w:p>
    <w:p w14:paraId="0E6437D5">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第三阶段：以供应商提交的报价响应文件（即首次报价）为基础，磋商小组与供应商单一分别进行磋商：内容主要是对竞争性磋商响应文件中的项目方案的澄清、修正、补充、确认以及价格调整等。</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明确各供应商符合并满足</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文件要求，并能完全响应</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内容后，要求所有作出实质性响应的有效供应商在规定的时间内，在</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现场给出二次报价（即</w:t>
      </w:r>
      <w:r>
        <w:rPr>
          <w:rFonts w:hint="eastAsia" w:cs="宋体" w:asciiTheme="minorEastAsia" w:hAnsiTheme="minorEastAsia" w:eastAsiaTheme="minorEastAsia"/>
          <w:sz w:val="24"/>
          <w:highlight w:val="none"/>
        </w:rPr>
        <w:t>最终报价）</w:t>
      </w:r>
      <w:r>
        <w:rPr>
          <w:rFonts w:hint="eastAsia" w:cs="宋体" w:asciiTheme="minorEastAsia" w:hAnsiTheme="minorEastAsia" w:eastAsiaTheme="minorEastAsia"/>
          <w:sz w:val="24"/>
          <w:highlight w:val="none"/>
          <w:lang w:val="zh-CN"/>
        </w:rPr>
        <w:t>。同时最终报价中可包括但不限于如最终澄清方案、有关优惠承诺等。如</w:t>
      </w:r>
      <w:r>
        <w:rPr>
          <w:rFonts w:hint="eastAsia" w:cs="宋体" w:asciiTheme="minorEastAsia" w:hAnsiTheme="minorEastAsia" w:eastAsiaTheme="minorEastAsia"/>
          <w:sz w:val="24"/>
          <w:highlight w:val="none"/>
        </w:rPr>
        <w:t>磋商</w:t>
      </w:r>
      <w:r>
        <w:rPr>
          <w:rFonts w:hint="eastAsia" w:cs="宋体" w:asciiTheme="minorEastAsia" w:hAnsiTheme="minorEastAsia" w:eastAsiaTheme="minorEastAsia"/>
          <w:sz w:val="24"/>
          <w:highlight w:val="none"/>
          <w:lang w:val="zh-CN"/>
        </w:rPr>
        <w:t>内容导致</w:t>
      </w:r>
      <w:r>
        <w:rPr>
          <w:rFonts w:hint="eastAsia" w:cs="宋体" w:asciiTheme="minorEastAsia" w:hAnsiTheme="minorEastAsia" w:eastAsiaTheme="minorEastAsia"/>
          <w:sz w:val="24"/>
          <w:highlight w:val="none"/>
        </w:rPr>
        <w:t>竞争性磋商</w:t>
      </w:r>
      <w:r>
        <w:rPr>
          <w:rFonts w:hint="eastAsia" w:cs="宋体" w:asciiTheme="minorEastAsia" w:hAnsiTheme="minorEastAsia" w:eastAsiaTheme="minorEastAsia"/>
          <w:sz w:val="24"/>
          <w:highlight w:val="none"/>
          <w:lang w:val="zh-CN"/>
        </w:rPr>
        <w:t>文件有实质性变动的，</w:t>
      </w:r>
      <w:r>
        <w:rPr>
          <w:rFonts w:hint="eastAsia" w:cs="宋体" w:asciiTheme="minorEastAsia" w:hAnsiTheme="minorEastAsia" w:eastAsiaTheme="minorEastAsia"/>
          <w:sz w:val="24"/>
          <w:highlight w:val="none"/>
        </w:rPr>
        <w:t>磋商小组</w:t>
      </w:r>
      <w:r>
        <w:rPr>
          <w:rFonts w:hint="eastAsia" w:cs="宋体" w:asciiTheme="minorEastAsia" w:hAnsiTheme="minorEastAsia" w:eastAsiaTheme="minorEastAsia"/>
          <w:sz w:val="24"/>
          <w:highlight w:val="none"/>
          <w:lang w:val="zh-CN"/>
        </w:rPr>
        <w:t xml:space="preserve">应当以书面形式通知所有供应商。 </w:t>
      </w:r>
    </w:p>
    <w:p w14:paraId="1A8DF4FA">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若无须对项目方案进行澄清、修正、补充等，则磋商小组将</w:t>
      </w:r>
      <w:r>
        <w:rPr>
          <w:rFonts w:cs="宋体" w:asciiTheme="minorEastAsia" w:hAnsiTheme="minorEastAsia" w:eastAsiaTheme="minorEastAsia"/>
          <w:sz w:val="24"/>
          <w:highlight w:val="none"/>
          <w:lang w:val="zh-CN"/>
        </w:rPr>
        <w:t>要求所有作出实质性响应的有效供应商在规定的时间内，在磋商现场集体给出</w:t>
      </w:r>
      <w:r>
        <w:rPr>
          <w:rFonts w:hint="eastAsia" w:cs="宋体" w:asciiTheme="minorEastAsia" w:hAnsiTheme="minorEastAsia" w:eastAsiaTheme="minorEastAsia"/>
          <w:sz w:val="24"/>
          <w:highlight w:val="none"/>
          <w:lang w:val="zh-CN"/>
        </w:rPr>
        <w:t>二次报价（即</w:t>
      </w:r>
      <w:r>
        <w:rPr>
          <w:rFonts w:hint="eastAsia" w:cs="宋体" w:asciiTheme="minorEastAsia" w:hAnsiTheme="minorEastAsia" w:eastAsiaTheme="minorEastAsia"/>
          <w:sz w:val="24"/>
          <w:highlight w:val="none"/>
        </w:rPr>
        <w:t>最终报价）。</w:t>
      </w:r>
    </w:p>
    <w:p w14:paraId="3D2E355A">
      <w:pPr>
        <w:snapToGrid w:val="0"/>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除非在磋商中磋商小组对采购人需求内容作了调整增加，或对采购内容作了实质性变更，否则采购人不接受供应商高于自己前一轮的磋商报价。</w:t>
      </w:r>
    </w:p>
    <w:p w14:paraId="2C27EE1A">
      <w:pPr>
        <w:snapToGrid w:val="0"/>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第二轮报价只需报总价，除暂列金额、暂估价（其具体金额或比例）外各子目按第二轮报价较首轮报价下浮率同比例下浮。</w:t>
      </w:r>
    </w:p>
    <w:p w14:paraId="0D45A3D7">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第四阶段：磋商小组对供应商的最终报价进行评议和比较（明显低于成本的，且供应商不能合理说明或者不能提供相关证明材料的报价除外）。磋商小组按照综合得分推荐预成交供应商并出具评审磋商报告。</w:t>
      </w:r>
    </w:p>
    <w:p w14:paraId="1999FB12">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2.在磋商过程中，供应商提交的澄清文件和最终报价响应文件，由供应商法定代表人或被授权人签字后生效，供应商受其约束。</w:t>
      </w:r>
    </w:p>
    <w:p w14:paraId="6C0BB353">
      <w:pPr>
        <w:snapToGrid w:val="0"/>
        <w:spacing w:line="360" w:lineRule="auto"/>
        <w:ind w:firstLine="482" w:firstLineChars="200"/>
        <w:rPr>
          <w:rFonts w:cs="宋体" w:asciiTheme="minorEastAsia" w:hAnsiTheme="minorEastAsia" w:eastAsiaTheme="minorEastAsia"/>
          <w:b/>
          <w:bCs/>
          <w:sz w:val="24"/>
          <w:highlight w:val="none"/>
        </w:rPr>
      </w:pPr>
      <w:r>
        <w:rPr>
          <w:rFonts w:hint="eastAsia" w:cs="宋体" w:asciiTheme="minorEastAsia" w:hAnsiTheme="minorEastAsia" w:eastAsiaTheme="minorEastAsia"/>
          <w:b/>
          <w:bCs/>
          <w:sz w:val="24"/>
          <w:highlight w:val="none"/>
        </w:rPr>
        <w:t>五、评审方法-综合评分法</w:t>
      </w:r>
    </w:p>
    <w:p w14:paraId="7C46E4F3">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经磋商确定最终采购需求和提交最后报价的供应商后，由磋商小组采用综合评分法对提交最后报价的供应商的响应文件和最后报价进行综合评分。</w:t>
      </w:r>
    </w:p>
    <w:p w14:paraId="0320956D">
      <w:pPr>
        <w:snapToGrid w:val="0"/>
        <w:spacing w:line="360" w:lineRule="auto"/>
        <w:ind w:firstLine="480" w:firstLineChars="200"/>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综合评分法，是指响应文件满足磋商文件全部实质性要求且按评审因素的量化指标评审得分最高的供应商为成交候选供应商的评审方法。</w:t>
      </w:r>
    </w:p>
    <w:p w14:paraId="109A4271">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评审时，磋商小组各成员应当独立对每个有效响应的文件进行评价、打分，然后汇总每个供应商每项评分因素的得分（计算结果均四舍五入保留两位小数）。</w:t>
      </w:r>
    </w:p>
    <w:p w14:paraId="59AB8187">
      <w:pPr>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（一）审查响应文件的有效性、完整性、响应程度</w:t>
      </w:r>
    </w:p>
    <w:p w14:paraId="33138213">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要求的保证金是否已提供；</w:t>
      </w:r>
    </w:p>
    <w:p w14:paraId="5788C885">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响应文件是否按磋商文件要求装订、密封、签署、盖章的；</w:t>
      </w:r>
    </w:p>
    <w:p w14:paraId="2CBDF7E8">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sz w:val="24"/>
          <w:highlight w:val="none"/>
        </w:rPr>
        <w:t>供应商资格是否符合；</w:t>
      </w:r>
    </w:p>
    <w:p w14:paraId="0569CA64">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响应文件是否完整；</w:t>
      </w:r>
    </w:p>
    <w:p w14:paraId="61D0AB2D">
      <w:pPr>
        <w:snapToGrid w:val="0"/>
        <w:spacing w:line="360" w:lineRule="auto"/>
        <w:ind w:firstLine="480" w:firstLineChars="200"/>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5</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是否作出实质性响应（</w:t>
      </w:r>
      <w:r>
        <w:rPr>
          <w:rFonts w:hint="eastAsia" w:asciiTheme="minorEastAsia" w:hAnsiTheme="minorEastAsia" w:eastAsiaTheme="minorEastAsia"/>
          <w:b/>
          <w:sz w:val="24"/>
          <w:highlight w:val="none"/>
        </w:rPr>
        <w:t>是否有实质性响应，只根据响应文件本身，而不寻求外部证据）；</w:t>
      </w:r>
    </w:p>
    <w:p w14:paraId="64B2E2A1">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hint="eastAsia" w:cs="宋体" w:asciiTheme="minorEastAsia" w:hAnsiTheme="minorEastAsia" w:eastAsiaTheme="minorEastAsia"/>
          <w:bCs/>
          <w:kern w:val="0"/>
          <w:sz w:val="24"/>
          <w:highlight w:val="none"/>
          <w:lang w:val="zh-CN"/>
        </w:rPr>
        <w:t>.</w:t>
      </w:r>
      <w:r>
        <w:rPr>
          <w:rFonts w:hint="eastAsia" w:asciiTheme="minorEastAsia" w:hAnsiTheme="minorEastAsia" w:eastAsiaTheme="minorEastAsia"/>
          <w:sz w:val="24"/>
          <w:highlight w:val="none"/>
        </w:rPr>
        <w:t>是否有计算错误。</w:t>
      </w:r>
    </w:p>
    <w:p w14:paraId="507E26C1">
      <w:pPr>
        <w:autoSpaceDE w:val="0"/>
        <w:autoSpaceDN w:val="0"/>
        <w:adjustRightInd w:val="0"/>
        <w:snapToGrid w:val="0"/>
        <w:spacing w:line="360" w:lineRule="auto"/>
        <w:ind w:firstLine="482" w:firstLineChars="200"/>
        <w:contextualSpacing/>
        <w:jc w:val="left"/>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（二）误差纠正</w:t>
      </w:r>
    </w:p>
    <w:p w14:paraId="3471DCBA">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1</w:t>
      </w:r>
      <w:r>
        <w:rPr>
          <w:rFonts w:hint="eastAsia" w:cs="宋体" w:asciiTheme="minorEastAsia" w:hAnsiTheme="minorEastAsia" w:eastAsiaTheme="minorEastAsia"/>
          <w:kern w:val="0"/>
          <w:sz w:val="24"/>
          <w:highlight w:val="none"/>
          <w:lang w:val="zh-CN"/>
        </w:rPr>
        <w:t>.</w:t>
      </w:r>
      <w:r>
        <w:rPr>
          <w:rFonts w:hint="eastAsia" w:cs="仿宋_GB2312" w:asciiTheme="minorEastAsia" w:hAnsiTheme="minorEastAsia" w:eastAsiaTheme="minorEastAsia"/>
          <w:sz w:val="24"/>
          <w:highlight w:val="none"/>
          <w:lang w:val="zh-CN"/>
        </w:rPr>
        <w:t>报价表中的大写金额与小写金额、总价金额与按单价汇总金额，若有差异，</w:t>
      </w:r>
      <w:r>
        <w:rPr>
          <w:rFonts w:cs="仿宋_GB2312" w:asciiTheme="minorEastAsia" w:hAnsiTheme="minorEastAsia" w:eastAsiaTheme="minorEastAsia"/>
          <w:sz w:val="24"/>
          <w:highlight w:val="none"/>
          <w:lang w:val="zh-CN"/>
        </w:rPr>
        <w:t>按照下列规定修正：</w:t>
      </w:r>
    </w:p>
    <w:p w14:paraId="67813F1E">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1</w:t>
      </w: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rPr>
        <w:t>响应</w:t>
      </w:r>
      <w:r>
        <w:rPr>
          <w:rFonts w:cs="仿宋_GB2312" w:asciiTheme="minorEastAsia" w:hAnsiTheme="minorEastAsia" w:eastAsiaTheme="minorEastAsia"/>
          <w:sz w:val="24"/>
          <w:highlight w:val="none"/>
          <w:lang w:val="zh-CN"/>
        </w:rPr>
        <w:t>文件中开标一览表（报价表）内容与</w:t>
      </w:r>
      <w:r>
        <w:rPr>
          <w:rFonts w:hint="eastAsia" w:cs="仿宋_GB2312" w:asciiTheme="minorEastAsia" w:hAnsiTheme="minorEastAsia" w:eastAsiaTheme="minorEastAsia"/>
          <w:sz w:val="24"/>
          <w:highlight w:val="none"/>
        </w:rPr>
        <w:t>响应</w:t>
      </w:r>
      <w:r>
        <w:rPr>
          <w:rFonts w:cs="仿宋_GB2312" w:asciiTheme="minorEastAsia" w:hAnsiTheme="minorEastAsia" w:eastAsiaTheme="minorEastAsia"/>
          <w:sz w:val="24"/>
          <w:highlight w:val="none"/>
          <w:lang w:val="zh-CN"/>
        </w:rPr>
        <w:t>文件中相应内容不一致的，以开标一览表（报价表）为准；</w:t>
      </w:r>
    </w:p>
    <w:p w14:paraId="17C9DF19">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2</w:t>
      </w:r>
      <w:r>
        <w:rPr>
          <w:rFonts w:cs="仿宋_GB2312" w:asciiTheme="minorEastAsia" w:hAnsiTheme="minorEastAsia" w:eastAsiaTheme="minorEastAsia"/>
          <w:sz w:val="24"/>
          <w:highlight w:val="none"/>
          <w:lang w:val="zh-CN"/>
        </w:rPr>
        <w:t>）大写金额和小写金额不一致的，以大写金额为准；</w:t>
      </w:r>
    </w:p>
    <w:p w14:paraId="608EF859">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3</w:t>
      </w:r>
      <w:r>
        <w:rPr>
          <w:rFonts w:cs="仿宋_GB2312" w:asciiTheme="minorEastAsia" w:hAnsiTheme="minorEastAsia" w:eastAsiaTheme="minorEastAsia"/>
          <w:sz w:val="24"/>
          <w:highlight w:val="none"/>
          <w:lang w:val="zh-CN"/>
        </w:rPr>
        <w:t>）单价金额小数点或者百分比有明显错位的，以开标一览表（报价表）的总价为准，并修改单价；</w:t>
      </w:r>
    </w:p>
    <w:p w14:paraId="16E0D2B8">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w:t>
      </w:r>
      <w:r>
        <w:rPr>
          <w:rFonts w:hint="eastAsia" w:cs="仿宋_GB2312" w:asciiTheme="minorEastAsia" w:hAnsiTheme="minorEastAsia" w:eastAsiaTheme="minorEastAsia"/>
          <w:sz w:val="24"/>
          <w:highlight w:val="none"/>
          <w:lang w:val="zh-CN"/>
        </w:rPr>
        <w:t>4</w:t>
      </w:r>
      <w:r>
        <w:rPr>
          <w:rFonts w:cs="仿宋_GB2312" w:asciiTheme="minorEastAsia" w:hAnsiTheme="minorEastAsia" w:eastAsiaTheme="minorEastAsia"/>
          <w:sz w:val="24"/>
          <w:highlight w:val="none"/>
          <w:lang w:val="zh-CN"/>
        </w:rPr>
        <w:t>）总价金额与按单价汇总金额不一致的，以单价金额计算结果为准。</w:t>
      </w:r>
    </w:p>
    <w:p w14:paraId="7F84512C">
      <w:pPr>
        <w:autoSpaceDE w:val="0"/>
        <w:autoSpaceDN w:val="0"/>
        <w:adjustRightInd w:val="0"/>
        <w:snapToGrid w:val="0"/>
        <w:spacing w:line="360" w:lineRule="auto"/>
        <w:ind w:firstLine="480" w:firstLineChars="200"/>
        <w:contextualSpacing/>
        <w:jc w:val="left"/>
        <w:rPr>
          <w:rFonts w:cs="仿宋_GB2312" w:asciiTheme="minorEastAsia" w:hAnsiTheme="minorEastAsia" w:eastAsiaTheme="minorEastAsia"/>
          <w:sz w:val="24"/>
          <w:highlight w:val="none"/>
          <w:lang w:val="zh-CN"/>
        </w:rPr>
      </w:pPr>
      <w:r>
        <w:rPr>
          <w:rFonts w:cs="仿宋_GB2312" w:asciiTheme="minorEastAsia" w:hAnsiTheme="minorEastAsia" w:eastAsiaTheme="minorEastAsia"/>
          <w:sz w:val="24"/>
          <w:highlight w:val="none"/>
          <w:lang w:val="zh-CN"/>
        </w:rPr>
        <w:t>同时出现两种以上不一致的，按照前款规定的顺序修正。修正后的报价经</w:t>
      </w:r>
      <w:r>
        <w:rPr>
          <w:rFonts w:hint="eastAsia" w:cs="仿宋_GB2312" w:asciiTheme="minorEastAsia" w:hAnsiTheme="minorEastAsia" w:eastAsiaTheme="minorEastAsia"/>
          <w:sz w:val="24"/>
          <w:highlight w:val="none"/>
        </w:rPr>
        <w:t>供应商</w:t>
      </w:r>
      <w:r>
        <w:rPr>
          <w:rFonts w:cs="仿宋_GB2312" w:asciiTheme="minorEastAsia" w:hAnsiTheme="minorEastAsia" w:eastAsiaTheme="minorEastAsia"/>
          <w:sz w:val="24"/>
          <w:highlight w:val="none"/>
          <w:lang w:val="zh-CN"/>
        </w:rPr>
        <w:t>确认后产生约束力，</w:t>
      </w:r>
      <w:r>
        <w:rPr>
          <w:rFonts w:hint="eastAsia" w:cs="仿宋_GB2312" w:asciiTheme="minorEastAsia" w:hAnsiTheme="minorEastAsia" w:eastAsiaTheme="minorEastAsia"/>
          <w:sz w:val="24"/>
          <w:highlight w:val="none"/>
        </w:rPr>
        <w:t>供应商</w:t>
      </w:r>
      <w:r>
        <w:rPr>
          <w:rFonts w:cs="仿宋_GB2312" w:asciiTheme="minorEastAsia" w:hAnsiTheme="minorEastAsia" w:eastAsiaTheme="minorEastAsia"/>
          <w:sz w:val="24"/>
          <w:highlight w:val="none"/>
          <w:lang w:val="zh-CN"/>
        </w:rPr>
        <w:t>不确认的，其投标无效。</w:t>
      </w:r>
    </w:p>
    <w:p w14:paraId="7AC5527E">
      <w:pPr>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正本与副本有矛盾的，以正本为准；</w:t>
      </w:r>
    </w:p>
    <w:p w14:paraId="77E3E5B8">
      <w:pPr>
        <w:tabs>
          <w:tab w:val="left" w:pos="6555"/>
          <w:tab w:val="right" w:pos="8306"/>
        </w:tabs>
        <w:snapToGrid w:val="0"/>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（三）出现下列情形之一的，作无效响应处理</w:t>
      </w:r>
      <w:r>
        <w:rPr>
          <w:rFonts w:asciiTheme="minorEastAsia" w:hAnsiTheme="minorEastAsia" w:eastAsiaTheme="minorEastAsia"/>
          <w:b/>
          <w:sz w:val="24"/>
          <w:highlight w:val="none"/>
        </w:rPr>
        <w:tab/>
      </w:r>
      <w:r>
        <w:rPr>
          <w:rFonts w:asciiTheme="minorEastAsia" w:hAnsiTheme="minorEastAsia" w:eastAsiaTheme="minorEastAsia"/>
          <w:b/>
          <w:sz w:val="24"/>
          <w:highlight w:val="none"/>
        </w:rPr>
        <w:tab/>
      </w:r>
    </w:p>
    <w:p w14:paraId="352174CF">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响应文件未按照磋商文件规定要求</w:t>
      </w:r>
      <w:r>
        <w:rPr>
          <w:rFonts w:hint="eastAsia" w:cs="宋体" w:asciiTheme="minorEastAsia" w:hAnsiTheme="minorEastAsia" w:eastAsiaTheme="minorEastAsia"/>
          <w:sz w:val="24"/>
          <w:highlight w:val="none"/>
        </w:rPr>
        <w:t>装订、密封、</w:t>
      </w:r>
      <w:r>
        <w:rPr>
          <w:rFonts w:hint="eastAsia" w:asciiTheme="minorEastAsia" w:hAnsiTheme="minorEastAsia" w:eastAsiaTheme="minorEastAsia"/>
          <w:sz w:val="24"/>
          <w:highlight w:val="none"/>
        </w:rPr>
        <w:t>签署、盖章的；</w:t>
      </w:r>
    </w:p>
    <w:p w14:paraId="7BD854CB">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响应文件不完整的；</w:t>
      </w:r>
    </w:p>
    <w:p w14:paraId="46833191">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不具备磋商文件中规定的资格要求的；</w:t>
      </w:r>
    </w:p>
    <w:p w14:paraId="4C799694">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响应报价超出预算（最高投标限价）的；</w:t>
      </w:r>
    </w:p>
    <w:p w14:paraId="4794CBBC">
      <w:pPr>
        <w:snapToGrid w:val="0"/>
        <w:spacing w:line="360" w:lineRule="auto"/>
        <w:ind w:firstLine="57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hint="eastAsia" w:cs="宋体" w:asciiTheme="minorEastAsia" w:hAnsiTheme="minorEastAsia" w:eastAsiaTheme="minorEastAsia"/>
          <w:kern w:val="0"/>
          <w:sz w:val="24"/>
          <w:highlight w:val="none"/>
          <w:lang w:val="zh-CN"/>
        </w:rPr>
        <w:t>.</w:t>
      </w:r>
      <w:r>
        <w:rPr>
          <w:rFonts w:hint="eastAsia" w:asciiTheme="minorEastAsia" w:hAnsiTheme="minorEastAsia" w:eastAsiaTheme="minorEastAsia"/>
          <w:sz w:val="24"/>
          <w:highlight w:val="none"/>
        </w:rPr>
        <w:t>不符合法律、法规和磋商文件中规定的其他实质性要求的；</w:t>
      </w:r>
    </w:p>
    <w:p w14:paraId="4710E503">
      <w:pPr>
        <w:snapToGrid w:val="0"/>
        <w:spacing w:line="360" w:lineRule="auto"/>
        <w:ind w:firstLine="570"/>
        <w:rPr>
          <w:rFonts w:asciiTheme="minorEastAsia" w:hAnsiTheme="minorEastAsia" w:eastAsiaTheme="minorEastAsia"/>
          <w:color w:val="000000" w:themeColor="text1"/>
          <w:sz w:val="24"/>
          <w:highlight w:val="none"/>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6.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2388145">
      <w:pPr>
        <w:snapToGrid w:val="0"/>
        <w:spacing w:line="360" w:lineRule="auto"/>
        <w:ind w:firstLine="57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（四）出现下列情形之一的，磋商失败</w:t>
      </w:r>
    </w:p>
    <w:p w14:paraId="79BD885D">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1.符合条件的供应商或者对磋商文件作实质响应的供应商不足3家的（市场竞争不充分的科研项目，以及需要扶持的科技成果转化项目可以是2家）；</w:t>
      </w:r>
    </w:p>
    <w:p w14:paraId="6BC31B5D">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2.出现影响采购公正的违法违规行为的；</w:t>
      </w:r>
    </w:p>
    <w:p w14:paraId="08BBF705">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3.供应商的最后报价均超过了采购预算，采购人不能支付的；</w:t>
      </w:r>
    </w:p>
    <w:p w14:paraId="572A8F2F">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4.因重大变故，采购任务取消的。</w:t>
      </w:r>
    </w:p>
    <w:p w14:paraId="5C638C1C">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主管部门。</w:t>
      </w:r>
    </w:p>
    <w:p w14:paraId="72C4DF6A">
      <w:pPr>
        <w:snapToGrid w:val="0"/>
        <w:spacing w:line="360" w:lineRule="auto"/>
        <w:ind w:firstLine="55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 xml:space="preserve">（五）本次项目磋商的商务技术响应文件和报价响应文件评审总分值为100分。两部分评审因素比重如下： </w:t>
      </w:r>
    </w:p>
    <w:p w14:paraId="13BC0D7B">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商务技术</w:t>
      </w:r>
      <w:r>
        <w:rPr>
          <w:rFonts w:hint="eastAsia" w:cs="宋体" w:asciiTheme="minorEastAsia" w:hAnsiTheme="minorEastAsia" w:eastAsiaTheme="minorEastAsia"/>
          <w:kern w:val="0"/>
          <w:sz w:val="24"/>
          <w:highlight w:val="none"/>
        </w:rPr>
        <w:t>响应文件</w:t>
      </w:r>
      <w:r>
        <w:rPr>
          <w:rFonts w:hint="eastAsia" w:cs="宋体" w:asciiTheme="minorEastAsia" w:hAnsiTheme="minorEastAsia" w:eastAsiaTheme="minorEastAsia"/>
          <w:sz w:val="24"/>
          <w:highlight w:val="none"/>
        </w:rPr>
        <w:t>分值占总分值的比重为</w:t>
      </w:r>
      <w:r>
        <w:rPr>
          <w:rFonts w:hint="eastAsia" w:cs="宋体" w:asciiTheme="minorEastAsia" w:hAnsiTheme="minorEastAsia" w:eastAsiaTheme="minorEastAsia"/>
          <w:b/>
          <w:sz w:val="24"/>
          <w:highlight w:val="none"/>
          <w:u w:val="single"/>
        </w:rPr>
        <w:t>9</w:t>
      </w:r>
      <w:r>
        <w:rPr>
          <w:rFonts w:cs="宋体" w:asciiTheme="minorEastAsia" w:hAnsiTheme="minorEastAsia" w:eastAsiaTheme="minorEastAsia"/>
          <w:b/>
          <w:sz w:val="24"/>
          <w:highlight w:val="none"/>
          <w:u w:val="single"/>
        </w:rPr>
        <w:t>0</w:t>
      </w:r>
      <w:r>
        <w:rPr>
          <w:rFonts w:hint="eastAsia" w:cs="宋体" w:asciiTheme="minorEastAsia" w:hAnsiTheme="minorEastAsia" w:eastAsiaTheme="minorEastAsia"/>
          <w:b/>
          <w:sz w:val="24"/>
          <w:highlight w:val="none"/>
          <w:u w:val="single"/>
        </w:rPr>
        <w:t>%（权重）</w:t>
      </w:r>
      <w:r>
        <w:rPr>
          <w:rFonts w:hint="eastAsia" w:cs="宋体" w:asciiTheme="minorEastAsia" w:hAnsiTheme="minorEastAsia" w:eastAsiaTheme="minorEastAsia"/>
          <w:sz w:val="24"/>
          <w:highlight w:val="none"/>
        </w:rPr>
        <w:t>（四舍五入保留两位小数）；</w:t>
      </w:r>
    </w:p>
    <w:p w14:paraId="5267F3F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w:t>
      </w:r>
      <w:r>
        <w:rPr>
          <w:rFonts w:hint="eastAsia" w:cs="宋体" w:asciiTheme="minorEastAsia" w:hAnsiTheme="minorEastAsia" w:eastAsiaTheme="minorEastAsia"/>
          <w:kern w:val="0"/>
          <w:sz w:val="24"/>
          <w:highlight w:val="none"/>
        </w:rPr>
        <w:t>响应文件</w:t>
      </w:r>
      <w:r>
        <w:rPr>
          <w:rFonts w:hint="eastAsia" w:cs="宋体" w:asciiTheme="minorEastAsia" w:hAnsiTheme="minorEastAsia" w:eastAsiaTheme="minorEastAsia"/>
          <w:sz w:val="24"/>
          <w:highlight w:val="none"/>
        </w:rPr>
        <w:t>分值占总分值的比重为</w:t>
      </w:r>
      <w:r>
        <w:rPr>
          <w:rFonts w:hint="eastAsia" w:cs="宋体" w:asciiTheme="minorEastAsia" w:hAnsiTheme="minorEastAsia" w:eastAsiaTheme="minorEastAsia"/>
          <w:b/>
          <w:sz w:val="24"/>
          <w:highlight w:val="none"/>
          <w:u w:val="single"/>
        </w:rPr>
        <w:t>10%（权重）</w:t>
      </w:r>
      <w:r>
        <w:rPr>
          <w:rFonts w:hint="eastAsia" w:cs="宋体" w:asciiTheme="minorEastAsia" w:hAnsiTheme="minorEastAsia" w:eastAsiaTheme="minorEastAsia"/>
          <w:sz w:val="24"/>
          <w:highlight w:val="none"/>
        </w:rPr>
        <w:t>（四舍五入保留两位小数）。</w:t>
      </w:r>
    </w:p>
    <w:p w14:paraId="342643AA">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商务技术响应文件分值为所有磋商小组成员打分的算术平均值，计算结果均四舍五入保留两位小数。 </w:t>
      </w:r>
    </w:p>
    <w:p w14:paraId="699942B2">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报价响应文件分值统一采用低价优先法计算直接取得，与商务技术响应文件分值相加为供应商的综合得分（四舍五入保留两位小数）。</w:t>
      </w:r>
    </w:p>
    <w:p w14:paraId="4FFD9E42">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（六）磋商小组推荐综合得分最高的供应商为项目预成交供应商，并出具评审磋商报告。</w:t>
      </w:r>
    </w:p>
    <w:p w14:paraId="15965D0C">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如成交供应商拒绝与采购人签订合同的，采购人可以按照评审报告推荐的成交候选人名单排序，确定下一候选人为成交供应商，也可以重新开展采购活动。</w:t>
      </w:r>
    </w:p>
    <w:p w14:paraId="78441A5B">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（七）确定成交候选人的特殊情况处理：</w:t>
      </w:r>
    </w:p>
    <w:p w14:paraId="19A5F7E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1.若总分相同，则按最终报价得分高者优先。</w:t>
      </w:r>
    </w:p>
    <w:p w14:paraId="3F11DC67">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2.若总分且最终报价得分均相同的，则采取评委票决的方式确定。</w:t>
      </w:r>
    </w:p>
    <w:p w14:paraId="6C6A4CF9">
      <w:pPr>
        <w:snapToGrid w:val="0"/>
        <w:spacing w:line="360" w:lineRule="auto"/>
        <w:ind w:firstLine="480"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sz w:val="24"/>
          <w:highlight w:val="none"/>
        </w:rPr>
        <w:t>（</w:t>
      </w:r>
      <w:r>
        <w:rPr>
          <w:rFonts w:hint="eastAsia" w:cs="宋体" w:asciiTheme="minorEastAsia" w:hAnsiTheme="minorEastAsia" w:eastAsiaTheme="minorEastAsia"/>
          <w:b/>
          <w:sz w:val="24"/>
          <w:highlight w:val="none"/>
        </w:rPr>
        <w:t>八）磋商评审时，磋商小组成员对评审的细则若有争议，由磋商小组集体讨论确定，并对未尽情况有最终解释权。</w:t>
      </w:r>
    </w:p>
    <w:p w14:paraId="1042BBD4">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（九）对落标的供应商不做落标原因的解释。</w:t>
      </w:r>
    </w:p>
    <w:p w14:paraId="439C22C2">
      <w:pPr>
        <w:snapToGrid w:val="0"/>
        <w:spacing w:line="360" w:lineRule="auto"/>
        <w:ind w:left="568"/>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六、评审标准</w:t>
      </w:r>
    </w:p>
    <w:p w14:paraId="2A865706">
      <w:pPr>
        <w:snapToGrid w:val="0"/>
        <w:spacing w:line="360" w:lineRule="auto"/>
        <w:ind w:left="568"/>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（一）</w:t>
      </w:r>
      <w:r>
        <w:rPr>
          <w:rFonts w:hint="eastAsia" w:asciiTheme="minorEastAsia" w:hAnsiTheme="minorEastAsia" w:eastAsiaTheme="minorEastAsia"/>
          <w:b/>
          <w:sz w:val="24"/>
          <w:highlight w:val="none"/>
          <w:lang w:val="zh-CN"/>
        </w:rPr>
        <w:t>商务技术分（</w:t>
      </w:r>
      <w:r>
        <w:rPr>
          <w:rFonts w:hint="eastAsia" w:asciiTheme="minorEastAsia" w:hAnsiTheme="minorEastAsia" w:eastAsiaTheme="minorEastAsia"/>
          <w:b/>
          <w:sz w:val="24"/>
          <w:highlight w:val="none"/>
        </w:rPr>
        <w:t>9</w:t>
      </w:r>
      <w:r>
        <w:rPr>
          <w:rFonts w:hint="eastAsia" w:asciiTheme="minorEastAsia" w:hAnsiTheme="minorEastAsia" w:eastAsiaTheme="minorEastAsia"/>
          <w:b/>
          <w:sz w:val="24"/>
          <w:highlight w:val="none"/>
          <w:lang w:val="zh-CN"/>
        </w:rPr>
        <w:t>0分）</w:t>
      </w:r>
    </w:p>
    <w:p w14:paraId="1B1D8CC6">
      <w:pPr>
        <w:snapToGrid w:val="0"/>
        <w:spacing w:line="360" w:lineRule="auto"/>
        <w:ind w:firstLine="480"/>
        <w:contextualSpacing/>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供应商得分为磋商小组成员评分的算术平均分,分值</w:t>
      </w:r>
      <w:r>
        <w:rPr>
          <w:rFonts w:hint="eastAsia" w:cs="宋体" w:asciiTheme="minorEastAsia" w:hAnsiTheme="minorEastAsia" w:eastAsiaTheme="minorEastAsia"/>
          <w:sz w:val="24"/>
          <w:highlight w:val="none"/>
        </w:rPr>
        <w:t>四舍五入</w:t>
      </w:r>
      <w:r>
        <w:rPr>
          <w:rFonts w:hint="eastAsia" w:asciiTheme="minorEastAsia" w:hAnsiTheme="minorEastAsia" w:eastAsiaTheme="minorEastAsia"/>
          <w:sz w:val="24"/>
          <w:highlight w:val="none"/>
        </w:rPr>
        <w:t>保留小数点后两位。</w:t>
      </w:r>
    </w:p>
    <w:tbl>
      <w:tblPr>
        <w:tblStyle w:val="19"/>
        <w:tblW w:w="5000" w:type="pct"/>
        <w:jc w:val="center"/>
        <w:tblLayout w:type="fixed"/>
        <w:tblCellMar>
          <w:top w:w="0" w:type="dxa"/>
          <w:left w:w="108" w:type="dxa"/>
          <w:bottom w:w="0" w:type="dxa"/>
          <w:right w:w="108" w:type="dxa"/>
        </w:tblCellMar>
      </w:tblPr>
      <w:tblGrid>
        <w:gridCol w:w="419"/>
        <w:gridCol w:w="1289"/>
        <w:gridCol w:w="660"/>
        <w:gridCol w:w="6161"/>
      </w:tblGrid>
      <w:tr w14:paraId="3D02337E">
        <w:tblPrEx>
          <w:tblCellMar>
            <w:top w:w="0" w:type="dxa"/>
            <w:left w:w="108" w:type="dxa"/>
            <w:bottom w:w="0" w:type="dxa"/>
            <w:right w:w="108" w:type="dxa"/>
          </w:tblCellMar>
        </w:tblPrEx>
        <w:trPr>
          <w:trHeight w:val="348" w:hRule="atLeast"/>
          <w:jc w:val="center"/>
        </w:trPr>
        <w:tc>
          <w:tcPr>
            <w:tcW w:w="24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42B69A">
            <w:pPr>
              <w:widowControl/>
              <w:adjustRightInd w:val="0"/>
              <w:spacing w:line="360" w:lineRule="auto"/>
              <w:contextualSpacing/>
              <w:jc w:val="left"/>
              <w:rPr>
                <w:rFonts w:ascii="宋体" w:hAnsi="宋体" w:cs="宋体"/>
                <w:szCs w:val="21"/>
                <w:highlight w:val="none"/>
              </w:rPr>
            </w:pPr>
            <w:r>
              <w:rPr>
                <w:rFonts w:hint="eastAsia" w:ascii="宋体" w:hAnsi="宋体" w:cs="宋体"/>
                <w:szCs w:val="21"/>
                <w:highlight w:val="none"/>
              </w:rPr>
              <w:t xml:space="preserve">序号 </w:t>
            </w:r>
          </w:p>
        </w:tc>
        <w:tc>
          <w:tcPr>
            <w:tcW w:w="755" w:type="pct"/>
            <w:tcBorders>
              <w:top w:val="single" w:color="auto" w:sz="4" w:space="0"/>
              <w:left w:val="nil"/>
              <w:bottom w:val="single" w:color="auto" w:sz="4" w:space="0"/>
              <w:right w:val="single" w:color="auto" w:sz="4" w:space="0"/>
            </w:tcBorders>
            <w:shd w:val="clear" w:color="auto" w:fill="auto"/>
            <w:noWrap/>
            <w:vAlign w:val="center"/>
          </w:tcPr>
          <w:p w14:paraId="7F83A32A">
            <w:pPr>
              <w:widowControl/>
              <w:adjustRightInd w:val="0"/>
              <w:spacing w:line="360" w:lineRule="auto"/>
              <w:contextualSpacing/>
              <w:jc w:val="center"/>
              <w:rPr>
                <w:rFonts w:ascii="宋体" w:hAnsi="宋体" w:cs="宋体"/>
                <w:szCs w:val="21"/>
                <w:highlight w:val="none"/>
              </w:rPr>
            </w:pPr>
            <w:r>
              <w:rPr>
                <w:rFonts w:hint="eastAsia" w:ascii="宋体" w:hAnsi="宋体" w:cs="宋体"/>
                <w:szCs w:val="21"/>
                <w:highlight w:val="none"/>
              </w:rPr>
              <w:t>评分点名称</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3109E65D">
            <w:pPr>
              <w:widowControl/>
              <w:adjustRightInd w:val="0"/>
              <w:spacing w:line="360" w:lineRule="auto"/>
              <w:contextualSpacing/>
              <w:jc w:val="center"/>
              <w:rPr>
                <w:rFonts w:ascii="宋体" w:hAnsi="宋体" w:cs="宋体"/>
                <w:szCs w:val="21"/>
                <w:highlight w:val="none"/>
              </w:rPr>
            </w:pPr>
            <w:r>
              <w:rPr>
                <w:rFonts w:hint="eastAsia" w:ascii="宋体" w:hAnsi="宋体" w:cs="宋体"/>
                <w:szCs w:val="21"/>
                <w:highlight w:val="none"/>
              </w:rPr>
              <w:t>分值</w:t>
            </w:r>
          </w:p>
        </w:tc>
        <w:tc>
          <w:tcPr>
            <w:tcW w:w="3611" w:type="pct"/>
            <w:tcBorders>
              <w:top w:val="single" w:color="auto" w:sz="4" w:space="0"/>
              <w:left w:val="nil"/>
              <w:bottom w:val="single" w:color="auto" w:sz="4" w:space="0"/>
              <w:right w:val="single" w:color="auto" w:sz="4" w:space="0"/>
            </w:tcBorders>
            <w:shd w:val="clear" w:color="auto" w:fill="auto"/>
            <w:noWrap/>
            <w:vAlign w:val="center"/>
          </w:tcPr>
          <w:p w14:paraId="7D81403F">
            <w:pPr>
              <w:widowControl/>
              <w:adjustRightInd w:val="0"/>
              <w:spacing w:line="360" w:lineRule="auto"/>
              <w:contextualSpacing/>
              <w:jc w:val="center"/>
              <w:rPr>
                <w:rFonts w:ascii="宋体" w:hAnsi="宋体" w:cs="宋体"/>
                <w:szCs w:val="21"/>
                <w:highlight w:val="none"/>
              </w:rPr>
            </w:pPr>
            <w:r>
              <w:rPr>
                <w:rFonts w:hint="eastAsia" w:ascii="宋体" w:hAnsi="宋体" w:cs="宋体"/>
                <w:szCs w:val="21"/>
                <w:highlight w:val="none"/>
              </w:rPr>
              <w:t>评审标准</w:t>
            </w:r>
          </w:p>
        </w:tc>
      </w:tr>
      <w:tr w14:paraId="2F1780F7">
        <w:tblPrEx>
          <w:tblCellMar>
            <w:top w:w="0" w:type="dxa"/>
            <w:left w:w="108" w:type="dxa"/>
            <w:bottom w:w="0" w:type="dxa"/>
            <w:right w:w="108" w:type="dxa"/>
          </w:tblCellMar>
        </w:tblPrEx>
        <w:trPr>
          <w:trHeight w:val="288" w:hRule="atLeast"/>
          <w:jc w:val="center"/>
        </w:trPr>
        <w:tc>
          <w:tcPr>
            <w:tcW w:w="245" w:type="pct"/>
            <w:vMerge w:val="restart"/>
            <w:tcBorders>
              <w:top w:val="nil"/>
              <w:left w:val="single" w:color="auto" w:sz="4" w:space="0"/>
              <w:right w:val="single" w:color="auto" w:sz="4" w:space="0"/>
            </w:tcBorders>
            <w:shd w:val="clear" w:color="auto" w:fill="auto"/>
            <w:vAlign w:val="center"/>
          </w:tcPr>
          <w:p w14:paraId="3E835FC7">
            <w:pPr>
              <w:widowControl/>
              <w:jc w:val="center"/>
              <w:rPr>
                <w:rFonts w:ascii="宋体" w:hAnsi="宋体" w:cs="宋体"/>
                <w:b/>
                <w:bCs/>
                <w:color w:val="000000"/>
                <w:szCs w:val="21"/>
                <w:highlight w:val="none"/>
              </w:rPr>
            </w:pPr>
            <w:r>
              <w:rPr>
                <w:rFonts w:hint="eastAsia" w:ascii="宋体" w:hAnsi="宋体" w:cs="宋体"/>
                <w:b/>
                <w:bCs/>
                <w:color w:val="000000"/>
                <w:szCs w:val="21"/>
                <w:highlight w:val="none"/>
              </w:rPr>
              <w:t>1</w:t>
            </w:r>
          </w:p>
        </w:tc>
        <w:tc>
          <w:tcPr>
            <w:tcW w:w="755" w:type="pct"/>
            <w:vMerge w:val="restart"/>
            <w:tcBorders>
              <w:top w:val="nil"/>
              <w:left w:val="nil"/>
              <w:right w:val="single" w:color="auto" w:sz="4" w:space="0"/>
            </w:tcBorders>
            <w:shd w:val="clear" w:color="auto" w:fill="auto"/>
            <w:vAlign w:val="center"/>
          </w:tcPr>
          <w:p w14:paraId="6C548373">
            <w:pPr>
              <w:widowControl/>
              <w:jc w:val="center"/>
              <w:rPr>
                <w:rFonts w:ascii="宋体" w:hAnsi="宋体" w:cs="宋体"/>
                <w:szCs w:val="21"/>
                <w:highlight w:val="none"/>
              </w:rPr>
            </w:pPr>
            <w:r>
              <w:rPr>
                <w:rFonts w:hint="eastAsia" w:ascii="宋体" w:hAnsi="宋体" w:cs="宋体"/>
                <w:szCs w:val="21"/>
                <w:highlight w:val="none"/>
              </w:rPr>
              <w:t>拟投入本项目人员的资格和能力</w:t>
            </w:r>
          </w:p>
          <w:p w14:paraId="314CC9F2">
            <w:pPr>
              <w:widowControl/>
              <w:jc w:val="center"/>
              <w:rPr>
                <w:rFonts w:ascii="宋体" w:hAnsi="宋体" w:cs="宋体"/>
                <w:szCs w:val="21"/>
                <w:highlight w:val="none"/>
              </w:rPr>
            </w:pPr>
            <w:r>
              <w:rPr>
                <w:rFonts w:hint="eastAsia" w:ascii="宋体" w:hAnsi="宋体" w:cs="宋体"/>
                <w:szCs w:val="21"/>
                <w:highlight w:val="none"/>
              </w:rPr>
              <w:t>（27分）</w:t>
            </w:r>
          </w:p>
        </w:tc>
        <w:tc>
          <w:tcPr>
            <w:tcW w:w="387" w:type="pct"/>
            <w:tcBorders>
              <w:top w:val="nil"/>
              <w:left w:val="nil"/>
              <w:bottom w:val="single" w:color="auto" w:sz="4" w:space="0"/>
              <w:right w:val="single" w:color="auto" w:sz="4" w:space="0"/>
            </w:tcBorders>
            <w:shd w:val="clear" w:color="auto" w:fill="auto"/>
            <w:vAlign w:val="center"/>
          </w:tcPr>
          <w:p w14:paraId="5D46A0DA">
            <w:pPr>
              <w:widowControl/>
              <w:jc w:val="center"/>
              <w:rPr>
                <w:rFonts w:ascii="宋体" w:hAnsi="宋体" w:cs="宋体"/>
                <w:color w:val="000000"/>
                <w:szCs w:val="21"/>
                <w:highlight w:val="none"/>
              </w:rPr>
            </w:pPr>
            <w:r>
              <w:rPr>
                <w:rFonts w:hint="eastAsia" w:ascii="宋体" w:hAnsi="宋体" w:cs="宋体"/>
                <w:color w:val="000000"/>
                <w:szCs w:val="21"/>
                <w:highlight w:val="none"/>
              </w:rPr>
              <w:t>15</w:t>
            </w:r>
          </w:p>
        </w:tc>
        <w:tc>
          <w:tcPr>
            <w:tcW w:w="3611" w:type="pct"/>
            <w:tcBorders>
              <w:top w:val="nil"/>
              <w:left w:val="nil"/>
              <w:bottom w:val="single" w:color="auto" w:sz="4" w:space="0"/>
              <w:right w:val="single" w:color="auto" w:sz="4" w:space="0"/>
            </w:tcBorders>
            <w:shd w:val="clear" w:color="auto" w:fill="auto"/>
            <w:noWrap/>
            <w:vAlign w:val="center"/>
          </w:tcPr>
          <w:p w14:paraId="2B216199">
            <w:pPr>
              <w:autoSpaceDE w:val="0"/>
              <w:autoSpaceDN w:val="0"/>
              <w:adjustRightInd w:val="0"/>
              <w:jc w:val="left"/>
              <w:rPr>
                <w:rFonts w:ascii="宋体" w:hAnsi="宋体" w:cs="宋体"/>
                <w:szCs w:val="21"/>
                <w:highlight w:val="none"/>
              </w:rPr>
            </w:pPr>
            <w:r>
              <w:rPr>
                <w:rFonts w:hint="eastAsia" w:ascii="宋体" w:hAnsi="宋体" w:cs="宋体"/>
                <w:szCs w:val="21"/>
                <w:highlight w:val="none"/>
              </w:rPr>
              <w:t>项目负责人：自2014年1月1日以来（以合同签订时间为准），承担过地级市（或以上）公路规划（或综合交通规划或交通发展规划）编制工作的项目负责人，每有一个业绩的得5分，最多得15分。</w:t>
            </w:r>
          </w:p>
          <w:p w14:paraId="0703591F">
            <w:pPr>
              <w:widowControl/>
              <w:adjustRightInd w:val="0"/>
              <w:snapToGrid w:val="0"/>
              <w:jc w:val="left"/>
              <w:rPr>
                <w:rFonts w:ascii="宋体" w:hAnsi="宋体" w:cs="宋体"/>
                <w:szCs w:val="21"/>
                <w:highlight w:val="none"/>
              </w:rPr>
            </w:pPr>
            <w:r>
              <w:rPr>
                <w:rFonts w:hint="eastAsia" w:ascii="宋体" w:hAnsi="宋体" w:cs="宋体"/>
                <w:szCs w:val="21"/>
                <w:highlight w:val="none"/>
              </w:rPr>
              <w:t>注：</w:t>
            </w:r>
            <w:r>
              <w:rPr>
                <w:rFonts w:hint="eastAsia" w:ascii="宋体" w:hAnsi="宋体" w:cs="宋体"/>
                <w:spacing w:val="7"/>
                <w:szCs w:val="21"/>
                <w:highlight w:val="none"/>
              </w:rPr>
              <w:t>提供合同的复印件（或扫描件）加盖供应商公章。</w:t>
            </w:r>
            <w:r>
              <w:rPr>
                <w:rFonts w:hint="eastAsia" w:ascii="宋体" w:hAnsi="宋体" w:cs="宋体"/>
                <w:szCs w:val="21"/>
                <w:highlight w:val="none"/>
              </w:rPr>
              <w:t>若合同内无法体现姓名及岗位情况的，还须提供委托方确认并加盖委托方公章的业绩证明材料的</w:t>
            </w:r>
            <w:r>
              <w:rPr>
                <w:rFonts w:hint="eastAsia" w:ascii="宋体" w:hAnsi="宋体" w:cs="宋体"/>
                <w:spacing w:val="7"/>
                <w:szCs w:val="21"/>
                <w:highlight w:val="none"/>
              </w:rPr>
              <w:t>复印件（或扫描件）加盖供应商公章</w:t>
            </w:r>
            <w:r>
              <w:rPr>
                <w:rFonts w:hint="eastAsia" w:ascii="宋体" w:hAnsi="宋体" w:cs="宋体"/>
                <w:snapToGrid w:val="0"/>
                <w:szCs w:val="21"/>
                <w:highlight w:val="none"/>
              </w:rPr>
              <w:t>。上述材料缺一不可。</w:t>
            </w:r>
          </w:p>
        </w:tc>
      </w:tr>
      <w:tr w14:paraId="24D864B2">
        <w:tblPrEx>
          <w:tblCellMar>
            <w:top w:w="0" w:type="dxa"/>
            <w:left w:w="108" w:type="dxa"/>
            <w:bottom w:w="0" w:type="dxa"/>
            <w:right w:w="108" w:type="dxa"/>
          </w:tblCellMar>
        </w:tblPrEx>
        <w:trPr>
          <w:trHeight w:val="288" w:hRule="atLeast"/>
          <w:jc w:val="center"/>
        </w:trPr>
        <w:tc>
          <w:tcPr>
            <w:tcW w:w="245" w:type="pct"/>
            <w:vMerge w:val="continue"/>
            <w:tcBorders>
              <w:left w:val="single" w:color="auto" w:sz="4" w:space="0"/>
              <w:bottom w:val="single" w:color="auto" w:sz="4" w:space="0"/>
              <w:right w:val="single" w:color="auto" w:sz="4" w:space="0"/>
            </w:tcBorders>
            <w:shd w:val="clear" w:color="auto" w:fill="auto"/>
            <w:vAlign w:val="center"/>
          </w:tcPr>
          <w:p w14:paraId="3524F253">
            <w:pPr>
              <w:widowControl/>
              <w:jc w:val="center"/>
              <w:rPr>
                <w:rFonts w:ascii="宋体" w:hAnsi="宋体" w:cs="宋体"/>
                <w:b/>
                <w:bCs/>
                <w:color w:val="000000"/>
                <w:szCs w:val="21"/>
                <w:highlight w:val="none"/>
              </w:rPr>
            </w:pPr>
          </w:p>
        </w:tc>
        <w:tc>
          <w:tcPr>
            <w:tcW w:w="755" w:type="pct"/>
            <w:vMerge w:val="continue"/>
            <w:tcBorders>
              <w:left w:val="nil"/>
              <w:bottom w:val="single" w:color="auto" w:sz="4" w:space="0"/>
              <w:right w:val="single" w:color="auto" w:sz="4" w:space="0"/>
            </w:tcBorders>
            <w:shd w:val="clear" w:color="auto" w:fill="auto"/>
            <w:vAlign w:val="center"/>
          </w:tcPr>
          <w:p w14:paraId="2F528B82">
            <w:pPr>
              <w:widowControl/>
              <w:jc w:val="center"/>
              <w:rPr>
                <w:rFonts w:ascii="宋体" w:hAnsi="宋体" w:cs="宋体"/>
                <w:b/>
                <w:bCs/>
                <w:color w:val="000000"/>
                <w:szCs w:val="21"/>
                <w:highlight w:val="none"/>
              </w:rPr>
            </w:pPr>
          </w:p>
        </w:tc>
        <w:tc>
          <w:tcPr>
            <w:tcW w:w="387" w:type="pct"/>
            <w:tcBorders>
              <w:top w:val="nil"/>
              <w:left w:val="nil"/>
              <w:bottom w:val="single" w:color="auto" w:sz="4" w:space="0"/>
              <w:right w:val="single" w:color="auto" w:sz="4" w:space="0"/>
            </w:tcBorders>
            <w:shd w:val="clear" w:color="auto" w:fill="auto"/>
            <w:vAlign w:val="center"/>
          </w:tcPr>
          <w:p w14:paraId="1D7E161F">
            <w:pPr>
              <w:widowControl/>
              <w:jc w:val="center"/>
              <w:rPr>
                <w:rFonts w:ascii="宋体" w:hAnsi="宋体" w:cs="宋体"/>
                <w:color w:val="000000"/>
                <w:szCs w:val="21"/>
                <w:highlight w:val="none"/>
              </w:rPr>
            </w:pPr>
            <w:r>
              <w:rPr>
                <w:rFonts w:hint="eastAsia" w:ascii="宋体" w:hAnsi="宋体" w:cs="宋体"/>
                <w:color w:val="000000"/>
                <w:szCs w:val="21"/>
                <w:highlight w:val="none"/>
              </w:rPr>
              <w:t>12</w:t>
            </w:r>
          </w:p>
        </w:tc>
        <w:tc>
          <w:tcPr>
            <w:tcW w:w="3611" w:type="pct"/>
            <w:tcBorders>
              <w:top w:val="nil"/>
              <w:left w:val="nil"/>
              <w:bottom w:val="single" w:color="auto" w:sz="4" w:space="0"/>
              <w:right w:val="single" w:color="auto" w:sz="4" w:space="0"/>
            </w:tcBorders>
            <w:shd w:val="clear" w:color="auto" w:fill="auto"/>
            <w:noWrap/>
            <w:vAlign w:val="center"/>
          </w:tcPr>
          <w:p w14:paraId="56695E92">
            <w:pPr>
              <w:widowControl/>
              <w:rPr>
                <w:rFonts w:ascii="宋体" w:hAnsi="宋体" w:cs="宋体"/>
                <w:szCs w:val="21"/>
                <w:highlight w:val="none"/>
              </w:rPr>
            </w:pPr>
            <w:r>
              <w:rPr>
                <w:rFonts w:hint="eastAsia" w:ascii="宋体" w:hAnsi="宋体" w:cs="宋体"/>
                <w:szCs w:val="21"/>
                <w:highlight w:val="none"/>
              </w:rPr>
              <w:t>其他人员：</w:t>
            </w:r>
          </w:p>
          <w:p w14:paraId="411AFC6D">
            <w:pPr>
              <w:widowControl/>
              <w:numPr>
                <w:ilvl w:val="0"/>
                <w:numId w:val="3"/>
              </w:numPr>
              <w:rPr>
                <w:rFonts w:ascii="宋体" w:hAnsi="宋体" w:cs="宋体"/>
                <w:szCs w:val="21"/>
                <w:highlight w:val="none"/>
              </w:rPr>
            </w:pPr>
            <w:r>
              <w:rPr>
                <w:rFonts w:hint="eastAsia" w:ascii="宋体" w:hAnsi="宋体" w:cs="宋体"/>
                <w:szCs w:val="21"/>
                <w:highlight w:val="none"/>
              </w:rPr>
              <w:t>除项目负责人外，投标供应商拟为本项目配备的项目组其他人员，配备1名具有高级工程师（或以上）技术职称的，得2分，最多得4分；配备1名工程师技术职称的，得1分，最多得3分；本项最多得7分。</w:t>
            </w:r>
          </w:p>
          <w:p w14:paraId="67A8462D">
            <w:pPr>
              <w:widowControl/>
              <w:rPr>
                <w:rFonts w:ascii="宋体" w:hAnsi="宋体" w:cs="宋体"/>
                <w:spacing w:val="7"/>
                <w:szCs w:val="21"/>
                <w:highlight w:val="none"/>
              </w:rPr>
            </w:pPr>
            <w:r>
              <w:rPr>
                <w:rFonts w:hint="eastAsia" w:ascii="宋体" w:hAnsi="宋体" w:cs="宋体"/>
                <w:szCs w:val="21"/>
                <w:highlight w:val="none"/>
              </w:rPr>
              <w:t>注：（1）提供上述人员技术职称证书的</w:t>
            </w:r>
            <w:r>
              <w:rPr>
                <w:rFonts w:hint="eastAsia" w:ascii="宋体" w:hAnsi="宋体" w:cs="宋体"/>
                <w:spacing w:val="7"/>
                <w:szCs w:val="21"/>
                <w:highlight w:val="none"/>
              </w:rPr>
              <w:t>复印件（或扫描件）加盖供应商公章。</w:t>
            </w:r>
          </w:p>
          <w:p w14:paraId="21279CBC">
            <w:pPr>
              <w:widowControl/>
              <w:rPr>
                <w:rFonts w:ascii="宋体" w:hAnsi="宋体" w:cs="宋体"/>
                <w:spacing w:val="7"/>
                <w:szCs w:val="21"/>
                <w:highlight w:val="none"/>
              </w:rPr>
            </w:pPr>
            <w:r>
              <w:rPr>
                <w:rFonts w:hint="eastAsia" w:ascii="宋体" w:hAnsi="宋体" w:cs="宋体"/>
                <w:spacing w:val="7"/>
                <w:szCs w:val="21"/>
                <w:highlight w:val="none"/>
              </w:rPr>
              <w:t>（2）</w:t>
            </w:r>
            <w:r>
              <w:rPr>
                <w:rFonts w:hint="eastAsia" w:ascii="宋体" w:hAnsi="宋体" w:cs="宋体"/>
                <w:szCs w:val="21"/>
                <w:highlight w:val="none"/>
              </w:rPr>
              <w:t>同一人具有多个技术职称的仅计一次。</w:t>
            </w:r>
          </w:p>
          <w:p w14:paraId="4CDE0ECA">
            <w:pPr>
              <w:widowControl/>
              <w:numPr>
                <w:ilvl w:val="0"/>
                <w:numId w:val="3"/>
              </w:numPr>
              <w:rPr>
                <w:rFonts w:ascii="宋体" w:hAnsi="宋体" w:cs="宋体"/>
                <w:szCs w:val="21"/>
                <w:highlight w:val="none"/>
              </w:rPr>
            </w:pPr>
            <w:r>
              <w:rPr>
                <w:rFonts w:hint="eastAsia" w:ascii="宋体" w:hAnsi="宋体" w:cs="宋体"/>
                <w:szCs w:val="21"/>
                <w:highlight w:val="none"/>
              </w:rPr>
              <w:t>上述人员自2014年1月1日以来（以合同签订时间为准），参与过地级市（或以上）公路规划（或综合交通规划或交通发展规划）编制工作的，每有一位得1分，最多得5分。</w:t>
            </w:r>
          </w:p>
          <w:p w14:paraId="385EC2B4">
            <w:pPr>
              <w:widowControl/>
              <w:adjustRightInd w:val="0"/>
              <w:snapToGrid w:val="0"/>
              <w:jc w:val="left"/>
              <w:rPr>
                <w:rFonts w:ascii="宋体" w:hAnsi="宋体" w:cs="宋体"/>
                <w:szCs w:val="21"/>
                <w:highlight w:val="none"/>
              </w:rPr>
            </w:pPr>
            <w:r>
              <w:rPr>
                <w:rFonts w:hint="eastAsia" w:ascii="宋体" w:hAnsi="宋体" w:cs="宋体"/>
                <w:szCs w:val="21"/>
                <w:highlight w:val="none"/>
              </w:rPr>
              <w:t>注：（1）</w:t>
            </w:r>
            <w:r>
              <w:rPr>
                <w:rFonts w:hint="eastAsia" w:ascii="宋体" w:hAnsi="宋体" w:cs="宋体"/>
                <w:spacing w:val="7"/>
                <w:szCs w:val="21"/>
                <w:highlight w:val="none"/>
              </w:rPr>
              <w:t>提供合同的复印件（或扫描件）加盖供应商公章。</w:t>
            </w:r>
            <w:r>
              <w:rPr>
                <w:rFonts w:hint="eastAsia" w:ascii="宋体" w:hAnsi="宋体" w:cs="宋体"/>
                <w:szCs w:val="21"/>
                <w:highlight w:val="none"/>
              </w:rPr>
              <w:t>若合同内无法体现姓名及岗位情况的，还须提供委托方确认并加盖委托方公章的业绩证明材料的</w:t>
            </w:r>
            <w:r>
              <w:rPr>
                <w:rFonts w:hint="eastAsia" w:ascii="宋体" w:hAnsi="宋体" w:cs="宋体"/>
                <w:spacing w:val="7"/>
                <w:szCs w:val="21"/>
                <w:highlight w:val="none"/>
              </w:rPr>
              <w:t>复印件（或扫描件）加盖供应商公章</w:t>
            </w:r>
            <w:r>
              <w:rPr>
                <w:rFonts w:hint="eastAsia" w:ascii="宋体" w:hAnsi="宋体" w:cs="宋体"/>
                <w:snapToGrid w:val="0"/>
                <w:szCs w:val="21"/>
                <w:highlight w:val="none"/>
              </w:rPr>
              <w:t>。上述材料缺一不可。</w:t>
            </w:r>
          </w:p>
          <w:p w14:paraId="74680161">
            <w:pPr>
              <w:widowControl/>
              <w:rPr>
                <w:rFonts w:ascii="宋体" w:hAnsi="宋体" w:cs="宋体"/>
                <w:color w:val="000000"/>
                <w:szCs w:val="21"/>
                <w:highlight w:val="none"/>
              </w:rPr>
            </w:pPr>
            <w:r>
              <w:rPr>
                <w:rFonts w:hint="eastAsia" w:ascii="宋体" w:hAnsi="宋体" w:cs="宋体"/>
                <w:szCs w:val="21"/>
                <w:highlight w:val="none"/>
              </w:rPr>
              <w:t>（2）同一人具有多个项目业绩的仅计一次。</w:t>
            </w:r>
          </w:p>
        </w:tc>
      </w:tr>
      <w:tr w14:paraId="08CA4A1D">
        <w:tblPrEx>
          <w:tblCellMar>
            <w:top w:w="0" w:type="dxa"/>
            <w:left w:w="108" w:type="dxa"/>
            <w:bottom w:w="0" w:type="dxa"/>
            <w:right w:w="108" w:type="dxa"/>
          </w:tblCellMar>
        </w:tblPrEx>
        <w:trPr>
          <w:trHeight w:val="288" w:hRule="atLeast"/>
          <w:jc w:val="center"/>
        </w:trPr>
        <w:tc>
          <w:tcPr>
            <w:tcW w:w="245" w:type="pct"/>
            <w:vMerge w:val="restart"/>
            <w:tcBorders>
              <w:top w:val="nil"/>
              <w:left w:val="single" w:color="auto" w:sz="4" w:space="0"/>
              <w:right w:val="single" w:color="auto" w:sz="4" w:space="0"/>
            </w:tcBorders>
            <w:shd w:val="clear" w:color="auto" w:fill="auto"/>
            <w:vAlign w:val="center"/>
          </w:tcPr>
          <w:p w14:paraId="152B57E5">
            <w:pPr>
              <w:widowControl/>
              <w:jc w:val="center"/>
              <w:rPr>
                <w:rFonts w:ascii="宋体" w:hAnsi="宋体" w:cs="宋体"/>
                <w:b/>
                <w:bCs/>
                <w:color w:val="000000"/>
                <w:szCs w:val="21"/>
                <w:highlight w:val="none"/>
              </w:rPr>
            </w:pPr>
            <w:r>
              <w:rPr>
                <w:rFonts w:hint="eastAsia" w:ascii="宋体" w:hAnsi="宋体" w:cs="宋体"/>
                <w:b/>
                <w:bCs/>
                <w:color w:val="000000"/>
                <w:szCs w:val="21"/>
                <w:highlight w:val="none"/>
              </w:rPr>
              <w:t>2</w:t>
            </w:r>
          </w:p>
        </w:tc>
        <w:tc>
          <w:tcPr>
            <w:tcW w:w="755" w:type="pct"/>
            <w:vMerge w:val="restart"/>
            <w:tcBorders>
              <w:top w:val="nil"/>
              <w:left w:val="nil"/>
              <w:right w:val="single" w:color="auto" w:sz="4" w:space="0"/>
            </w:tcBorders>
            <w:shd w:val="clear" w:color="auto" w:fill="auto"/>
            <w:vAlign w:val="center"/>
          </w:tcPr>
          <w:p w14:paraId="7F59E271">
            <w:pPr>
              <w:widowControl/>
              <w:jc w:val="center"/>
              <w:rPr>
                <w:rFonts w:ascii="宋体" w:hAnsi="宋体" w:cs="宋体"/>
                <w:b/>
                <w:bCs/>
                <w:color w:val="000000"/>
                <w:szCs w:val="21"/>
                <w:highlight w:val="none"/>
              </w:rPr>
            </w:pPr>
            <w:r>
              <w:rPr>
                <w:rFonts w:hint="eastAsia" w:ascii="宋体" w:hAnsi="宋体" w:cs="宋体"/>
                <w:spacing w:val="10"/>
                <w:szCs w:val="21"/>
                <w:highlight w:val="none"/>
              </w:rPr>
              <w:t>工作大纲（43分）</w:t>
            </w:r>
          </w:p>
        </w:tc>
        <w:tc>
          <w:tcPr>
            <w:tcW w:w="387" w:type="pct"/>
            <w:tcBorders>
              <w:top w:val="nil"/>
              <w:left w:val="nil"/>
              <w:bottom w:val="single" w:color="auto" w:sz="4" w:space="0"/>
              <w:right w:val="single" w:color="auto" w:sz="4" w:space="0"/>
            </w:tcBorders>
            <w:shd w:val="clear" w:color="auto" w:fill="auto"/>
            <w:vAlign w:val="center"/>
          </w:tcPr>
          <w:p w14:paraId="226164DE">
            <w:pPr>
              <w:widowControl/>
              <w:jc w:val="center"/>
              <w:rPr>
                <w:rFonts w:ascii="宋体" w:hAnsi="宋体" w:cs="宋体"/>
                <w:b/>
                <w:bCs/>
                <w:color w:val="000000"/>
                <w:szCs w:val="21"/>
                <w:highlight w:val="none"/>
              </w:rPr>
            </w:pPr>
            <w:r>
              <w:rPr>
                <w:rFonts w:hint="eastAsia" w:ascii="宋体" w:hAnsi="宋体" w:cs="宋体"/>
                <w:spacing w:val="10"/>
                <w:szCs w:val="21"/>
                <w:highlight w:val="none"/>
              </w:rPr>
              <w:t>15</w:t>
            </w:r>
          </w:p>
        </w:tc>
        <w:tc>
          <w:tcPr>
            <w:tcW w:w="3611" w:type="pct"/>
            <w:tcBorders>
              <w:top w:val="nil"/>
              <w:left w:val="nil"/>
              <w:bottom w:val="single" w:color="auto" w:sz="4" w:space="0"/>
              <w:right w:val="single" w:color="auto" w:sz="4" w:space="0"/>
            </w:tcBorders>
            <w:shd w:val="clear" w:color="auto" w:fill="auto"/>
            <w:noWrap/>
            <w:vAlign w:val="center"/>
          </w:tcPr>
          <w:p w14:paraId="44CFFD3D">
            <w:pPr>
              <w:snapToGrid w:val="0"/>
              <w:rPr>
                <w:rFonts w:ascii="宋体" w:hAnsi="宋体" w:cs="宋体"/>
                <w:szCs w:val="21"/>
                <w:highlight w:val="none"/>
              </w:rPr>
            </w:pPr>
            <w:r>
              <w:rPr>
                <w:rFonts w:hint="eastAsia" w:ascii="宋体" w:hAnsi="宋体" w:cs="宋体"/>
                <w:szCs w:val="21"/>
                <w:highlight w:val="none"/>
              </w:rPr>
              <w:t>从对项目的理解、总体工作思路等方面酌情评分：</w:t>
            </w:r>
          </w:p>
          <w:p w14:paraId="7CC74A9D">
            <w:pPr>
              <w:snapToGrid w:val="0"/>
              <w:rPr>
                <w:rFonts w:ascii="宋体" w:hAnsi="宋体" w:cs="宋体"/>
                <w:szCs w:val="21"/>
                <w:highlight w:val="none"/>
              </w:rPr>
            </w:pPr>
            <w:r>
              <w:rPr>
                <w:rFonts w:hint="eastAsia" w:ascii="宋体" w:hAnsi="宋体" w:cs="宋体"/>
                <w:szCs w:val="21"/>
                <w:highlight w:val="none"/>
              </w:rPr>
              <w:t>对项目的理解充分、总体工作思路清晰合理的得15分；</w:t>
            </w:r>
          </w:p>
          <w:p w14:paraId="11B6D865">
            <w:pPr>
              <w:snapToGrid w:val="0"/>
              <w:rPr>
                <w:rFonts w:ascii="宋体" w:hAnsi="宋体" w:cs="宋体"/>
                <w:szCs w:val="21"/>
                <w:highlight w:val="none"/>
              </w:rPr>
            </w:pPr>
            <w:r>
              <w:rPr>
                <w:rFonts w:hint="eastAsia" w:ascii="宋体" w:hAnsi="宋体" w:cs="宋体"/>
                <w:szCs w:val="21"/>
                <w:highlight w:val="none"/>
              </w:rPr>
              <w:t>对项目的理解基本充分、总体工作思路基本清晰合理的得10分；</w:t>
            </w:r>
          </w:p>
          <w:p w14:paraId="650A9E8B">
            <w:pPr>
              <w:snapToGrid w:val="0"/>
              <w:rPr>
                <w:rFonts w:ascii="宋体" w:hAnsi="宋体" w:cs="宋体"/>
                <w:szCs w:val="21"/>
                <w:highlight w:val="none"/>
              </w:rPr>
            </w:pPr>
            <w:r>
              <w:rPr>
                <w:rFonts w:hint="eastAsia" w:ascii="宋体" w:hAnsi="宋体" w:cs="宋体"/>
                <w:szCs w:val="21"/>
                <w:highlight w:val="none"/>
              </w:rPr>
              <w:t>对项目的理解不充分、总体工作思路不清晰不合理的得5分；</w:t>
            </w:r>
          </w:p>
          <w:p w14:paraId="4CC4008E">
            <w:pPr>
              <w:snapToGrid w:val="0"/>
              <w:rPr>
                <w:rFonts w:ascii="宋体" w:hAnsi="宋体" w:cs="宋体"/>
                <w:color w:val="000000"/>
                <w:szCs w:val="21"/>
                <w:highlight w:val="none"/>
              </w:rPr>
            </w:pPr>
            <w:r>
              <w:rPr>
                <w:rFonts w:hint="eastAsia" w:ascii="宋体" w:hAnsi="宋体" w:cs="宋体"/>
                <w:szCs w:val="21"/>
                <w:highlight w:val="none"/>
              </w:rPr>
              <w:t>未提供相应内容的不得分。</w:t>
            </w:r>
          </w:p>
        </w:tc>
      </w:tr>
      <w:tr w14:paraId="527384A8">
        <w:tblPrEx>
          <w:tblCellMar>
            <w:top w:w="0" w:type="dxa"/>
            <w:left w:w="108" w:type="dxa"/>
            <w:bottom w:w="0" w:type="dxa"/>
            <w:right w:w="108" w:type="dxa"/>
          </w:tblCellMar>
        </w:tblPrEx>
        <w:trPr>
          <w:trHeight w:val="288" w:hRule="atLeast"/>
          <w:jc w:val="center"/>
        </w:trPr>
        <w:tc>
          <w:tcPr>
            <w:tcW w:w="245" w:type="pct"/>
            <w:vMerge w:val="continue"/>
            <w:tcBorders>
              <w:left w:val="single" w:color="auto" w:sz="4" w:space="0"/>
              <w:right w:val="single" w:color="auto" w:sz="4" w:space="0"/>
            </w:tcBorders>
            <w:shd w:val="clear" w:color="auto" w:fill="auto"/>
            <w:vAlign w:val="center"/>
          </w:tcPr>
          <w:p w14:paraId="1273ED5D">
            <w:pPr>
              <w:widowControl/>
              <w:jc w:val="center"/>
              <w:rPr>
                <w:rFonts w:ascii="宋体" w:hAnsi="宋体" w:cs="宋体"/>
                <w:b/>
                <w:bCs/>
                <w:color w:val="000000"/>
                <w:szCs w:val="21"/>
                <w:highlight w:val="none"/>
              </w:rPr>
            </w:pPr>
          </w:p>
        </w:tc>
        <w:tc>
          <w:tcPr>
            <w:tcW w:w="755" w:type="pct"/>
            <w:vMerge w:val="continue"/>
            <w:tcBorders>
              <w:left w:val="nil"/>
              <w:right w:val="single" w:color="auto" w:sz="4" w:space="0"/>
            </w:tcBorders>
            <w:shd w:val="clear" w:color="auto" w:fill="auto"/>
            <w:vAlign w:val="center"/>
          </w:tcPr>
          <w:p w14:paraId="37F7251B">
            <w:pPr>
              <w:widowControl/>
              <w:jc w:val="center"/>
              <w:rPr>
                <w:rFonts w:ascii="宋体" w:hAnsi="宋体" w:cs="宋体"/>
                <w:spacing w:val="10"/>
                <w:szCs w:val="21"/>
                <w:highlight w:val="none"/>
              </w:rPr>
            </w:pPr>
          </w:p>
        </w:tc>
        <w:tc>
          <w:tcPr>
            <w:tcW w:w="387" w:type="pct"/>
            <w:tcBorders>
              <w:top w:val="nil"/>
              <w:left w:val="nil"/>
              <w:bottom w:val="single" w:color="auto" w:sz="4" w:space="0"/>
              <w:right w:val="single" w:color="auto" w:sz="4" w:space="0"/>
            </w:tcBorders>
            <w:shd w:val="clear" w:color="auto" w:fill="auto"/>
            <w:vAlign w:val="center"/>
          </w:tcPr>
          <w:p w14:paraId="6B03F597">
            <w:pPr>
              <w:widowControl/>
              <w:jc w:val="center"/>
              <w:rPr>
                <w:rFonts w:ascii="宋体" w:hAnsi="宋体" w:cs="宋体"/>
                <w:spacing w:val="10"/>
                <w:szCs w:val="21"/>
                <w:highlight w:val="none"/>
              </w:rPr>
            </w:pPr>
            <w:r>
              <w:rPr>
                <w:rFonts w:hint="eastAsia" w:ascii="宋体" w:hAnsi="宋体" w:cs="宋体"/>
                <w:spacing w:val="10"/>
                <w:szCs w:val="21"/>
                <w:highlight w:val="none"/>
              </w:rPr>
              <w:t>10</w:t>
            </w:r>
          </w:p>
        </w:tc>
        <w:tc>
          <w:tcPr>
            <w:tcW w:w="3611" w:type="pct"/>
            <w:tcBorders>
              <w:top w:val="nil"/>
              <w:left w:val="nil"/>
              <w:bottom w:val="single" w:color="auto" w:sz="4" w:space="0"/>
              <w:right w:val="single" w:color="auto" w:sz="4" w:space="0"/>
            </w:tcBorders>
            <w:shd w:val="clear" w:color="auto" w:fill="auto"/>
            <w:noWrap/>
            <w:vAlign w:val="center"/>
          </w:tcPr>
          <w:p w14:paraId="330EC19C">
            <w:pPr>
              <w:snapToGrid w:val="0"/>
              <w:rPr>
                <w:rFonts w:ascii="宋体" w:hAnsi="宋体" w:cs="宋体"/>
                <w:szCs w:val="21"/>
                <w:highlight w:val="none"/>
              </w:rPr>
            </w:pPr>
            <w:r>
              <w:rPr>
                <w:rFonts w:hint="eastAsia" w:ascii="宋体" w:hAnsi="宋体" w:cs="宋体"/>
                <w:szCs w:val="21"/>
                <w:highlight w:val="none"/>
              </w:rPr>
              <w:t>从对项目的特点、关键技术问题、重点、难点的认识及对策措施等方面酌情评分：</w:t>
            </w:r>
          </w:p>
          <w:p w14:paraId="553BC97A">
            <w:pPr>
              <w:snapToGrid w:val="0"/>
              <w:rPr>
                <w:rFonts w:ascii="宋体" w:hAnsi="宋体" w:cs="宋体"/>
                <w:szCs w:val="21"/>
                <w:highlight w:val="none"/>
              </w:rPr>
            </w:pPr>
            <w:r>
              <w:rPr>
                <w:rFonts w:hint="eastAsia" w:ascii="宋体" w:hAnsi="宋体" w:cs="宋体"/>
                <w:szCs w:val="21"/>
                <w:highlight w:val="none"/>
              </w:rPr>
              <w:t>对项目的特点、关键技术问题、重点、难点的认识充分，对策可行的得10分；</w:t>
            </w:r>
          </w:p>
          <w:p w14:paraId="1E2B3942">
            <w:pPr>
              <w:snapToGrid w:val="0"/>
              <w:rPr>
                <w:rFonts w:ascii="宋体" w:hAnsi="宋体" w:cs="宋体"/>
                <w:szCs w:val="21"/>
                <w:highlight w:val="none"/>
              </w:rPr>
            </w:pPr>
            <w:r>
              <w:rPr>
                <w:rFonts w:hint="eastAsia" w:ascii="宋体" w:hAnsi="宋体" w:cs="宋体"/>
                <w:szCs w:val="21"/>
                <w:highlight w:val="none"/>
              </w:rPr>
              <w:t>对项目的特点、关键技术问题、重点、难点的认识基本充分、对策基本可行的得7分；</w:t>
            </w:r>
          </w:p>
          <w:p w14:paraId="4FAB0BDD">
            <w:pPr>
              <w:snapToGrid w:val="0"/>
              <w:rPr>
                <w:rFonts w:ascii="宋体" w:hAnsi="宋体" w:cs="宋体"/>
                <w:szCs w:val="21"/>
                <w:highlight w:val="none"/>
              </w:rPr>
            </w:pPr>
            <w:r>
              <w:rPr>
                <w:rFonts w:hint="eastAsia" w:ascii="宋体" w:hAnsi="宋体" w:cs="宋体"/>
                <w:szCs w:val="21"/>
                <w:highlight w:val="none"/>
              </w:rPr>
              <w:t>对项目的特点、关键技术问题、重点、难点的认识不充分、对策不太可行的得3分；</w:t>
            </w:r>
          </w:p>
          <w:p w14:paraId="11A1FBD5">
            <w:pPr>
              <w:snapToGrid w:val="0"/>
              <w:rPr>
                <w:rFonts w:ascii="宋体" w:hAnsi="宋体" w:cs="宋体"/>
                <w:spacing w:val="10"/>
                <w:szCs w:val="21"/>
                <w:highlight w:val="none"/>
              </w:rPr>
            </w:pPr>
            <w:r>
              <w:rPr>
                <w:rFonts w:hint="eastAsia" w:ascii="宋体" w:hAnsi="宋体" w:cs="宋体"/>
                <w:szCs w:val="21"/>
                <w:highlight w:val="none"/>
              </w:rPr>
              <w:t>未提供相应内容的不得分。</w:t>
            </w:r>
          </w:p>
        </w:tc>
      </w:tr>
      <w:tr w14:paraId="5F9E8F41">
        <w:tblPrEx>
          <w:tblCellMar>
            <w:top w:w="0" w:type="dxa"/>
            <w:left w:w="108" w:type="dxa"/>
            <w:bottom w:w="0" w:type="dxa"/>
            <w:right w:w="108" w:type="dxa"/>
          </w:tblCellMar>
        </w:tblPrEx>
        <w:trPr>
          <w:trHeight w:val="288" w:hRule="atLeast"/>
          <w:jc w:val="center"/>
        </w:trPr>
        <w:tc>
          <w:tcPr>
            <w:tcW w:w="245" w:type="pct"/>
            <w:vMerge w:val="continue"/>
            <w:tcBorders>
              <w:left w:val="single" w:color="auto" w:sz="4" w:space="0"/>
              <w:right w:val="single" w:color="auto" w:sz="4" w:space="0"/>
            </w:tcBorders>
            <w:shd w:val="clear" w:color="auto" w:fill="auto"/>
            <w:vAlign w:val="center"/>
          </w:tcPr>
          <w:p w14:paraId="79F1DB4E">
            <w:pPr>
              <w:widowControl/>
              <w:jc w:val="center"/>
              <w:rPr>
                <w:rFonts w:ascii="宋体" w:hAnsi="宋体" w:cs="宋体"/>
                <w:b/>
                <w:bCs/>
                <w:color w:val="000000"/>
                <w:szCs w:val="21"/>
                <w:highlight w:val="none"/>
              </w:rPr>
            </w:pPr>
          </w:p>
        </w:tc>
        <w:tc>
          <w:tcPr>
            <w:tcW w:w="755" w:type="pct"/>
            <w:vMerge w:val="continue"/>
            <w:tcBorders>
              <w:left w:val="nil"/>
              <w:right w:val="single" w:color="auto" w:sz="4" w:space="0"/>
            </w:tcBorders>
            <w:shd w:val="clear" w:color="auto" w:fill="auto"/>
            <w:vAlign w:val="center"/>
          </w:tcPr>
          <w:p w14:paraId="7B66CA2F">
            <w:pPr>
              <w:widowControl/>
              <w:jc w:val="center"/>
              <w:rPr>
                <w:rFonts w:ascii="宋体" w:hAnsi="宋体" w:cs="宋体"/>
                <w:spacing w:val="10"/>
                <w:szCs w:val="21"/>
                <w:highlight w:val="none"/>
              </w:rPr>
            </w:pPr>
          </w:p>
        </w:tc>
        <w:tc>
          <w:tcPr>
            <w:tcW w:w="387" w:type="pct"/>
            <w:tcBorders>
              <w:top w:val="nil"/>
              <w:left w:val="nil"/>
              <w:bottom w:val="single" w:color="auto" w:sz="4" w:space="0"/>
              <w:right w:val="single" w:color="auto" w:sz="4" w:space="0"/>
            </w:tcBorders>
            <w:shd w:val="clear" w:color="auto" w:fill="auto"/>
            <w:vAlign w:val="center"/>
          </w:tcPr>
          <w:p w14:paraId="77FF888F">
            <w:pPr>
              <w:widowControl/>
              <w:jc w:val="center"/>
              <w:rPr>
                <w:rFonts w:ascii="宋体" w:hAnsi="宋体" w:cs="宋体"/>
                <w:spacing w:val="10"/>
                <w:szCs w:val="21"/>
                <w:highlight w:val="none"/>
              </w:rPr>
            </w:pPr>
            <w:r>
              <w:rPr>
                <w:rFonts w:hint="eastAsia" w:ascii="宋体" w:hAnsi="宋体" w:cs="宋体"/>
                <w:spacing w:val="10"/>
                <w:szCs w:val="21"/>
                <w:highlight w:val="none"/>
              </w:rPr>
              <w:t>10</w:t>
            </w:r>
          </w:p>
        </w:tc>
        <w:tc>
          <w:tcPr>
            <w:tcW w:w="3611" w:type="pct"/>
            <w:tcBorders>
              <w:top w:val="nil"/>
              <w:left w:val="nil"/>
              <w:bottom w:val="single" w:color="auto" w:sz="4" w:space="0"/>
              <w:right w:val="single" w:color="auto" w:sz="4" w:space="0"/>
            </w:tcBorders>
            <w:shd w:val="clear" w:color="auto" w:fill="auto"/>
            <w:noWrap/>
            <w:vAlign w:val="center"/>
          </w:tcPr>
          <w:p w14:paraId="368554AA">
            <w:pPr>
              <w:snapToGrid w:val="0"/>
              <w:rPr>
                <w:rFonts w:ascii="宋体" w:hAnsi="宋体" w:cs="宋体"/>
                <w:szCs w:val="21"/>
                <w:highlight w:val="none"/>
              </w:rPr>
            </w:pPr>
            <w:r>
              <w:rPr>
                <w:rFonts w:hint="eastAsia" w:ascii="宋体" w:hAnsi="宋体" w:cs="宋体"/>
                <w:szCs w:val="21"/>
                <w:highlight w:val="none"/>
              </w:rPr>
              <w:t>从各投标供应商的工作量及计划安排科学性、合理性等方面酌情评分：</w:t>
            </w:r>
          </w:p>
          <w:p w14:paraId="5F4A38E0">
            <w:pPr>
              <w:snapToGrid w:val="0"/>
              <w:rPr>
                <w:rFonts w:ascii="宋体" w:hAnsi="宋体" w:cs="宋体"/>
                <w:szCs w:val="21"/>
                <w:highlight w:val="none"/>
              </w:rPr>
            </w:pPr>
            <w:r>
              <w:rPr>
                <w:rFonts w:hint="eastAsia" w:ascii="宋体" w:hAnsi="宋体" w:cs="宋体"/>
                <w:szCs w:val="21"/>
                <w:highlight w:val="none"/>
              </w:rPr>
              <w:t>工作量及计划安排科学合理的，得10分；</w:t>
            </w:r>
          </w:p>
          <w:p w14:paraId="31C4CA6A">
            <w:pPr>
              <w:snapToGrid w:val="0"/>
              <w:rPr>
                <w:rFonts w:ascii="宋体" w:hAnsi="宋体" w:cs="宋体"/>
                <w:szCs w:val="21"/>
                <w:highlight w:val="none"/>
              </w:rPr>
            </w:pPr>
            <w:r>
              <w:rPr>
                <w:rFonts w:hint="eastAsia" w:ascii="宋体" w:hAnsi="宋体" w:cs="宋体"/>
                <w:szCs w:val="21"/>
                <w:highlight w:val="none"/>
              </w:rPr>
              <w:t>工作量及计划安排科学基本科学合理的，得7分；</w:t>
            </w:r>
          </w:p>
          <w:p w14:paraId="3EC234EA">
            <w:pPr>
              <w:snapToGrid w:val="0"/>
              <w:rPr>
                <w:rFonts w:ascii="宋体" w:hAnsi="宋体" w:cs="宋体"/>
                <w:szCs w:val="21"/>
                <w:highlight w:val="none"/>
              </w:rPr>
            </w:pPr>
            <w:r>
              <w:rPr>
                <w:rFonts w:hint="eastAsia" w:ascii="宋体" w:hAnsi="宋体" w:cs="宋体"/>
                <w:szCs w:val="21"/>
                <w:highlight w:val="none"/>
              </w:rPr>
              <w:t>工作量及计划安排不科学不合理的，得3分；</w:t>
            </w:r>
          </w:p>
          <w:p w14:paraId="71F1D784">
            <w:pPr>
              <w:widowControl/>
              <w:rPr>
                <w:rFonts w:ascii="宋体" w:hAnsi="宋体" w:cs="宋体"/>
                <w:spacing w:val="10"/>
                <w:szCs w:val="21"/>
                <w:highlight w:val="none"/>
              </w:rPr>
            </w:pPr>
            <w:r>
              <w:rPr>
                <w:rFonts w:hint="eastAsia" w:ascii="宋体" w:hAnsi="宋体" w:cs="宋体"/>
                <w:szCs w:val="21"/>
                <w:highlight w:val="none"/>
              </w:rPr>
              <w:t>未提供相应内容的不得分。</w:t>
            </w:r>
          </w:p>
        </w:tc>
      </w:tr>
      <w:tr w14:paraId="6FB7A1F8">
        <w:tblPrEx>
          <w:tblCellMar>
            <w:top w:w="0" w:type="dxa"/>
            <w:left w:w="108" w:type="dxa"/>
            <w:bottom w:w="0" w:type="dxa"/>
            <w:right w:w="108" w:type="dxa"/>
          </w:tblCellMar>
        </w:tblPrEx>
        <w:trPr>
          <w:trHeight w:val="288" w:hRule="atLeast"/>
          <w:jc w:val="center"/>
        </w:trPr>
        <w:tc>
          <w:tcPr>
            <w:tcW w:w="245" w:type="pct"/>
            <w:vMerge w:val="continue"/>
            <w:tcBorders>
              <w:left w:val="single" w:color="auto" w:sz="4" w:space="0"/>
              <w:right w:val="single" w:color="auto" w:sz="4" w:space="0"/>
            </w:tcBorders>
            <w:shd w:val="clear" w:color="auto" w:fill="auto"/>
            <w:vAlign w:val="center"/>
          </w:tcPr>
          <w:p w14:paraId="5FF0659B">
            <w:pPr>
              <w:widowControl/>
              <w:jc w:val="center"/>
              <w:rPr>
                <w:rFonts w:ascii="宋体" w:hAnsi="宋体" w:cs="宋体"/>
                <w:b/>
                <w:bCs/>
                <w:color w:val="000000"/>
                <w:szCs w:val="21"/>
                <w:highlight w:val="none"/>
              </w:rPr>
            </w:pPr>
          </w:p>
        </w:tc>
        <w:tc>
          <w:tcPr>
            <w:tcW w:w="755" w:type="pct"/>
            <w:vMerge w:val="continue"/>
            <w:tcBorders>
              <w:left w:val="nil"/>
              <w:right w:val="single" w:color="auto" w:sz="4" w:space="0"/>
            </w:tcBorders>
            <w:shd w:val="clear" w:color="auto" w:fill="auto"/>
            <w:vAlign w:val="center"/>
          </w:tcPr>
          <w:p w14:paraId="0C41811E">
            <w:pPr>
              <w:widowControl/>
              <w:jc w:val="center"/>
              <w:rPr>
                <w:rFonts w:ascii="宋体" w:hAnsi="宋体" w:cs="宋体"/>
                <w:spacing w:val="10"/>
                <w:szCs w:val="21"/>
                <w:highlight w:val="none"/>
              </w:rPr>
            </w:pPr>
          </w:p>
        </w:tc>
        <w:tc>
          <w:tcPr>
            <w:tcW w:w="387" w:type="pct"/>
            <w:tcBorders>
              <w:top w:val="nil"/>
              <w:left w:val="nil"/>
              <w:bottom w:val="single" w:color="auto" w:sz="4" w:space="0"/>
              <w:right w:val="single" w:color="auto" w:sz="4" w:space="0"/>
            </w:tcBorders>
            <w:shd w:val="clear" w:color="auto" w:fill="auto"/>
            <w:vAlign w:val="center"/>
          </w:tcPr>
          <w:p w14:paraId="70F16C24">
            <w:pPr>
              <w:widowControl/>
              <w:jc w:val="center"/>
              <w:rPr>
                <w:rFonts w:ascii="宋体" w:hAnsi="宋体" w:cs="宋体"/>
                <w:spacing w:val="10"/>
                <w:szCs w:val="21"/>
                <w:highlight w:val="none"/>
              </w:rPr>
            </w:pPr>
            <w:r>
              <w:rPr>
                <w:rFonts w:hint="eastAsia" w:ascii="宋体" w:hAnsi="宋体" w:cs="宋体"/>
                <w:spacing w:val="10"/>
                <w:szCs w:val="21"/>
                <w:highlight w:val="none"/>
              </w:rPr>
              <w:t>4</w:t>
            </w:r>
          </w:p>
        </w:tc>
        <w:tc>
          <w:tcPr>
            <w:tcW w:w="3611" w:type="pct"/>
            <w:tcBorders>
              <w:top w:val="nil"/>
              <w:left w:val="nil"/>
              <w:bottom w:val="single" w:color="auto" w:sz="4" w:space="0"/>
              <w:right w:val="single" w:color="auto" w:sz="4" w:space="0"/>
            </w:tcBorders>
            <w:shd w:val="clear" w:color="auto" w:fill="auto"/>
            <w:noWrap/>
            <w:vAlign w:val="center"/>
          </w:tcPr>
          <w:p w14:paraId="7E85013C">
            <w:pPr>
              <w:snapToGrid w:val="0"/>
              <w:rPr>
                <w:rFonts w:ascii="宋体" w:hAnsi="宋体" w:cs="宋体"/>
                <w:szCs w:val="21"/>
                <w:highlight w:val="none"/>
              </w:rPr>
            </w:pPr>
            <w:r>
              <w:rPr>
                <w:rFonts w:hint="eastAsia" w:ascii="宋体" w:hAnsi="宋体" w:cs="宋体"/>
                <w:szCs w:val="21"/>
                <w:highlight w:val="none"/>
              </w:rPr>
              <w:t>从各投标供应商的质量保证措施、进度保证措施等方面酌情评分：</w:t>
            </w:r>
          </w:p>
          <w:p w14:paraId="43C2F93A">
            <w:pPr>
              <w:snapToGrid w:val="0"/>
              <w:rPr>
                <w:rFonts w:ascii="宋体" w:hAnsi="宋体" w:cs="宋体"/>
                <w:szCs w:val="21"/>
                <w:highlight w:val="none"/>
              </w:rPr>
            </w:pPr>
            <w:r>
              <w:rPr>
                <w:rFonts w:hint="eastAsia" w:ascii="宋体" w:hAnsi="宋体" w:cs="宋体"/>
                <w:szCs w:val="21"/>
                <w:highlight w:val="none"/>
              </w:rPr>
              <w:t>质量保证措施、进度保证措施描述清晰、符合项目实际的，得4分；</w:t>
            </w:r>
          </w:p>
          <w:p w14:paraId="517F1D9E">
            <w:pPr>
              <w:snapToGrid w:val="0"/>
              <w:rPr>
                <w:rFonts w:ascii="宋体" w:hAnsi="宋体" w:cs="宋体"/>
                <w:szCs w:val="21"/>
                <w:highlight w:val="none"/>
              </w:rPr>
            </w:pPr>
            <w:r>
              <w:rPr>
                <w:rFonts w:hint="eastAsia" w:ascii="宋体" w:hAnsi="宋体" w:cs="宋体"/>
                <w:szCs w:val="21"/>
                <w:highlight w:val="none"/>
              </w:rPr>
              <w:t>质量保证措施、进度保证措施描述基本清晰、基本符合项目实际的，得3分；</w:t>
            </w:r>
          </w:p>
          <w:p w14:paraId="2192A311">
            <w:pPr>
              <w:snapToGrid w:val="0"/>
              <w:rPr>
                <w:rFonts w:ascii="宋体" w:hAnsi="宋体" w:cs="宋体"/>
                <w:szCs w:val="21"/>
                <w:highlight w:val="none"/>
              </w:rPr>
            </w:pPr>
            <w:r>
              <w:rPr>
                <w:rFonts w:hint="eastAsia" w:ascii="宋体" w:hAnsi="宋体" w:cs="宋体"/>
                <w:szCs w:val="21"/>
                <w:highlight w:val="none"/>
              </w:rPr>
              <w:t>质量保证措施、进度保证措施不清晰、不符合项目实际的，得2分；</w:t>
            </w:r>
          </w:p>
          <w:p w14:paraId="207B7F07">
            <w:pPr>
              <w:snapToGrid w:val="0"/>
              <w:rPr>
                <w:rFonts w:ascii="宋体" w:hAnsi="宋体" w:cs="宋体"/>
                <w:spacing w:val="10"/>
                <w:szCs w:val="21"/>
                <w:highlight w:val="none"/>
              </w:rPr>
            </w:pPr>
            <w:r>
              <w:rPr>
                <w:rFonts w:hint="eastAsia" w:ascii="宋体" w:hAnsi="宋体" w:cs="宋体"/>
                <w:szCs w:val="21"/>
                <w:highlight w:val="none"/>
              </w:rPr>
              <w:t>未提供相应内容的不得分。</w:t>
            </w:r>
          </w:p>
        </w:tc>
      </w:tr>
      <w:tr w14:paraId="7AFDC8CB">
        <w:tblPrEx>
          <w:tblCellMar>
            <w:top w:w="0" w:type="dxa"/>
            <w:left w:w="108" w:type="dxa"/>
            <w:bottom w:w="0" w:type="dxa"/>
            <w:right w:w="108" w:type="dxa"/>
          </w:tblCellMar>
        </w:tblPrEx>
        <w:trPr>
          <w:trHeight w:val="288" w:hRule="atLeast"/>
          <w:jc w:val="center"/>
        </w:trPr>
        <w:tc>
          <w:tcPr>
            <w:tcW w:w="245" w:type="pct"/>
            <w:vMerge w:val="continue"/>
            <w:tcBorders>
              <w:left w:val="single" w:color="auto" w:sz="4" w:space="0"/>
              <w:bottom w:val="single" w:color="auto" w:sz="4" w:space="0"/>
              <w:right w:val="single" w:color="auto" w:sz="4" w:space="0"/>
            </w:tcBorders>
            <w:shd w:val="clear" w:color="auto" w:fill="auto"/>
            <w:vAlign w:val="center"/>
          </w:tcPr>
          <w:p w14:paraId="3926FE95">
            <w:pPr>
              <w:widowControl/>
              <w:jc w:val="center"/>
              <w:rPr>
                <w:rFonts w:ascii="宋体" w:hAnsi="宋体" w:cs="宋体"/>
                <w:b/>
                <w:bCs/>
                <w:color w:val="000000"/>
                <w:szCs w:val="21"/>
                <w:highlight w:val="none"/>
              </w:rPr>
            </w:pPr>
          </w:p>
        </w:tc>
        <w:tc>
          <w:tcPr>
            <w:tcW w:w="755" w:type="pct"/>
            <w:vMerge w:val="continue"/>
            <w:tcBorders>
              <w:left w:val="nil"/>
              <w:bottom w:val="single" w:color="auto" w:sz="4" w:space="0"/>
              <w:right w:val="single" w:color="auto" w:sz="4" w:space="0"/>
            </w:tcBorders>
            <w:shd w:val="clear" w:color="auto" w:fill="auto"/>
            <w:vAlign w:val="center"/>
          </w:tcPr>
          <w:p w14:paraId="09CFEB72">
            <w:pPr>
              <w:widowControl/>
              <w:jc w:val="center"/>
              <w:rPr>
                <w:rFonts w:ascii="宋体" w:hAnsi="宋体" w:cs="宋体"/>
                <w:spacing w:val="10"/>
                <w:szCs w:val="21"/>
                <w:highlight w:val="none"/>
              </w:rPr>
            </w:pPr>
          </w:p>
        </w:tc>
        <w:tc>
          <w:tcPr>
            <w:tcW w:w="387" w:type="pct"/>
            <w:tcBorders>
              <w:top w:val="nil"/>
              <w:left w:val="nil"/>
              <w:bottom w:val="single" w:color="auto" w:sz="4" w:space="0"/>
              <w:right w:val="single" w:color="auto" w:sz="4" w:space="0"/>
            </w:tcBorders>
            <w:shd w:val="clear" w:color="auto" w:fill="auto"/>
            <w:vAlign w:val="center"/>
          </w:tcPr>
          <w:p w14:paraId="620B30E1">
            <w:pPr>
              <w:widowControl/>
              <w:jc w:val="center"/>
              <w:rPr>
                <w:rFonts w:ascii="宋体" w:hAnsi="宋体" w:cs="宋体"/>
                <w:spacing w:val="10"/>
                <w:szCs w:val="21"/>
                <w:highlight w:val="none"/>
              </w:rPr>
            </w:pPr>
            <w:r>
              <w:rPr>
                <w:rFonts w:hint="eastAsia" w:ascii="宋体" w:hAnsi="宋体" w:cs="宋体"/>
                <w:spacing w:val="10"/>
                <w:szCs w:val="21"/>
                <w:highlight w:val="none"/>
              </w:rPr>
              <w:t>4</w:t>
            </w:r>
          </w:p>
        </w:tc>
        <w:tc>
          <w:tcPr>
            <w:tcW w:w="3611" w:type="pct"/>
            <w:tcBorders>
              <w:top w:val="nil"/>
              <w:left w:val="nil"/>
              <w:bottom w:val="single" w:color="auto" w:sz="4" w:space="0"/>
              <w:right w:val="single" w:color="auto" w:sz="4" w:space="0"/>
            </w:tcBorders>
            <w:shd w:val="clear" w:color="auto" w:fill="auto"/>
            <w:noWrap/>
            <w:vAlign w:val="center"/>
          </w:tcPr>
          <w:p w14:paraId="38CF6D99">
            <w:pPr>
              <w:snapToGrid w:val="0"/>
              <w:rPr>
                <w:rFonts w:ascii="宋体" w:hAnsi="宋体" w:cs="宋体"/>
                <w:szCs w:val="21"/>
                <w:highlight w:val="none"/>
              </w:rPr>
            </w:pPr>
            <w:r>
              <w:rPr>
                <w:rFonts w:hint="eastAsia" w:ascii="宋体" w:hAnsi="宋体" w:cs="宋体"/>
                <w:szCs w:val="21"/>
                <w:highlight w:val="none"/>
              </w:rPr>
              <w:t>从各投标供应商投入的后续服务人员、后续服务的内容以及后续服务承诺等方面酌情评分：</w:t>
            </w:r>
          </w:p>
          <w:p w14:paraId="22CE2D82">
            <w:pPr>
              <w:snapToGrid w:val="0"/>
              <w:rPr>
                <w:rFonts w:ascii="宋体" w:hAnsi="宋体" w:cs="宋体"/>
                <w:szCs w:val="21"/>
                <w:highlight w:val="none"/>
              </w:rPr>
            </w:pPr>
            <w:r>
              <w:rPr>
                <w:rFonts w:hint="eastAsia" w:ascii="宋体" w:hAnsi="宋体" w:cs="宋体"/>
                <w:szCs w:val="21"/>
                <w:highlight w:val="none"/>
              </w:rPr>
              <w:t>投入的后续服务人员、后续服务的内容以及后续服务承诺完整、可行的得4分；</w:t>
            </w:r>
          </w:p>
          <w:p w14:paraId="3429EB94">
            <w:pPr>
              <w:snapToGrid w:val="0"/>
              <w:rPr>
                <w:rFonts w:ascii="宋体" w:hAnsi="宋体" w:cs="宋体"/>
                <w:szCs w:val="21"/>
                <w:highlight w:val="none"/>
              </w:rPr>
            </w:pPr>
            <w:r>
              <w:rPr>
                <w:rFonts w:hint="eastAsia" w:ascii="宋体" w:hAnsi="宋体" w:cs="宋体"/>
                <w:szCs w:val="21"/>
                <w:highlight w:val="none"/>
              </w:rPr>
              <w:t>投入的后续服务人员、后续服务的内容以及后续服务承诺较完整、基本可行的得3分；</w:t>
            </w:r>
          </w:p>
          <w:p w14:paraId="7C56A15C">
            <w:pPr>
              <w:snapToGrid w:val="0"/>
              <w:rPr>
                <w:rFonts w:ascii="宋体" w:hAnsi="宋体" w:cs="宋体"/>
                <w:szCs w:val="21"/>
                <w:highlight w:val="none"/>
              </w:rPr>
            </w:pPr>
            <w:r>
              <w:rPr>
                <w:rFonts w:hint="eastAsia" w:ascii="宋体" w:hAnsi="宋体" w:cs="宋体"/>
                <w:szCs w:val="21"/>
                <w:highlight w:val="none"/>
              </w:rPr>
              <w:t>投入的后续服务人员、后续服务的内容以及后续服务承诺不完整、不太可行的得2分；</w:t>
            </w:r>
          </w:p>
          <w:p w14:paraId="3393D473">
            <w:pPr>
              <w:widowControl/>
              <w:rPr>
                <w:rFonts w:ascii="宋体" w:hAnsi="宋体" w:cs="宋体"/>
                <w:spacing w:val="10"/>
                <w:szCs w:val="21"/>
                <w:highlight w:val="none"/>
              </w:rPr>
            </w:pPr>
            <w:r>
              <w:rPr>
                <w:rFonts w:hint="eastAsia" w:ascii="宋体" w:hAnsi="宋体" w:cs="宋体"/>
                <w:szCs w:val="21"/>
                <w:highlight w:val="none"/>
              </w:rPr>
              <w:t>未提供相应内容的不得分。</w:t>
            </w:r>
          </w:p>
        </w:tc>
      </w:tr>
      <w:tr w14:paraId="31F0BEC1">
        <w:tblPrEx>
          <w:tblCellMar>
            <w:top w:w="0" w:type="dxa"/>
            <w:left w:w="108" w:type="dxa"/>
            <w:bottom w:w="0" w:type="dxa"/>
            <w:right w:w="108" w:type="dxa"/>
          </w:tblCellMar>
        </w:tblPrEx>
        <w:trPr>
          <w:trHeight w:val="288" w:hRule="atLeast"/>
          <w:jc w:val="center"/>
        </w:trPr>
        <w:tc>
          <w:tcPr>
            <w:tcW w:w="245" w:type="pct"/>
            <w:tcBorders>
              <w:top w:val="nil"/>
              <w:left w:val="single" w:color="auto" w:sz="4" w:space="0"/>
              <w:bottom w:val="single" w:color="auto" w:sz="4" w:space="0"/>
              <w:right w:val="single" w:color="auto" w:sz="4" w:space="0"/>
            </w:tcBorders>
            <w:shd w:val="clear" w:color="auto" w:fill="auto"/>
            <w:vAlign w:val="center"/>
          </w:tcPr>
          <w:p w14:paraId="5FF8A31A">
            <w:pPr>
              <w:widowControl/>
              <w:jc w:val="center"/>
              <w:rPr>
                <w:rFonts w:ascii="宋体" w:hAnsi="宋体" w:cs="宋体"/>
                <w:b/>
                <w:bCs/>
                <w:color w:val="000000"/>
                <w:szCs w:val="21"/>
                <w:highlight w:val="none"/>
              </w:rPr>
            </w:pPr>
            <w:r>
              <w:rPr>
                <w:rFonts w:hint="eastAsia" w:ascii="宋体" w:hAnsi="宋体" w:cs="宋体"/>
                <w:b/>
                <w:bCs/>
                <w:color w:val="000000"/>
                <w:szCs w:val="21"/>
                <w:highlight w:val="none"/>
              </w:rPr>
              <w:t>3</w:t>
            </w:r>
          </w:p>
        </w:tc>
        <w:tc>
          <w:tcPr>
            <w:tcW w:w="755" w:type="pct"/>
            <w:tcBorders>
              <w:top w:val="nil"/>
              <w:left w:val="nil"/>
              <w:bottom w:val="single" w:color="auto" w:sz="4" w:space="0"/>
              <w:right w:val="single" w:color="auto" w:sz="4" w:space="0"/>
            </w:tcBorders>
            <w:shd w:val="clear" w:color="auto" w:fill="auto"/>
            <w:vAlign w:val="center"/>
          </w:tcPr>
          <w:p w14:paraId="53D9A494">
            <w:pPr>
              <w:widowControl/>
              <w:jc w:val="center"/>
              <w:rPr>
                <w:rFonts w:ascii="宋体" w:hAnsi="宋体" w:cs="宋体"/>
                <w:spacing w:val="10"/>
                <w:szCs w:val="21"/>
                <w:highlight w:val="none"/>
              </w:rPr>
            </w:pPr>
            <w:r>
              <w:rPr>
                <w:rFonts w:hint="eastAsia" w:ascii="宋体" w:hAnsi="宋体" w:cs="宋体"/>
                <w:spacing w:val="10"/>
                <w:szCs w:val="21"/>
                <w:highlight w:val="none"/>
              </w:rPr>
              <w:t>供应商类似项目业绩</w:t>
            </w:r>
          </w:p>
          <w:p w14:paraId="34BC4FDF">
            <w:pPr>
              <w:widowControl/>
              <w:jc w:val="center"/>
              <w:rPr>
                <w:rFonts w:ascii="宋体" w:hAnsi="宋体" w:cs="宋体"/>
                <w:spacing w:val="10"/>
                <w:szCs w:val="21"/>
                <w:highlight w:val="none"/>
              </w:rPr>
            </w:pPr>
            <w:r>
              <w:rPr>
                <w:rFonts w:hint="eastAsia" w:ascii="宋体" w:hAnsi="宋体" w:cs="宋体"/>
                <w:szCs w:val="21"/>
                <w:highlight w:val="none"/>
              </w:rPr>
              <w:t>（20分）</w:t>
            </w:r>
          </w:p>
        </w:tc>
        <w:tc>
          <w:tcPr>
            <w:tcW w:w="387" w:type="pct"/>
            <w:tcBorders>
              <w:top w:val="nil"/>
              <w:left w:val="nil"/>
              <w:bottom w:val="single" w:color="auto" w:sz="4" w:space="0"/>
              <w:right w:val="single" w:color="auto" w:sz="4" w:space="0"/>
            </w:tcBorders>
            <w:shd w:val="clear" w:color="auto" w:fill="auto"/>
            <w:vAlign w:val="center"/>
          </w:tcPr>
          <w:p w14:paraId="56BC3134">
            <w:pPr>
              <w:widowControl/>
              <w:jc w:val="center"/>
              <w:rPr>
                <w:rFonts w:ascii="宋体" w:hAnsi="宋体" w:cs="宋体"/>
                <w:spacing w:val="10"/>
                <w:szCs w:val="21"/>
                <w:highlight w:val="none"/>
              </w:rPr>
            </w:pPr>
            <w:r>
              <w:rPr>
                <w:rFonts w:hint="eastAsia" w:ascii="宋体" w:hAnsi="宋体" w:cs="宋体"/>
                <w:spacing w:val="10"/>
                <w:szCs w:val="21"/>
                <w:highlight w:val="none"/>
              </w:rPr>
              <w:t>20</w:t>
            </w:r>
          </w:p>
        </w:tc>
        <w:tc>
          <w:tcPr>
            <w:tcW w:w="3611" w:type="pct"/>
            <w:tcBorders>
              <w:top w:val="nil"/>
              <w:left w:val="nil"/>
              <w:bottom w:val="single" w:color="auto" w:sz="4" w:space="0"/>
              <w:right w:val="single" w:color="auto" w:sz="4" w:space="0"/>
            </w:tcBorders>
            <w:shd w:val="clear" w:color="auto" w:fill="auto"/>
            <w:noWrap/>
            <w:vAlign w:val="center"/>
          </w:tcPr>
          <w:p w14:paraId="52B34D6C">
            <w:pPr>
              <w:snapToGrid w:val="0"/>
              <w:rPr>
                <w:rFonts w:ascii="宋体" w:hAnsi="宋体" w:cs="宋体"/>
                <w:szCs w:val="21"/>
                <w:highlight w:val="none"/>
              </w:rPr>
            </w:pPr>
            <w:r>
              <w:rPr>
                <w:rFonts w:hint="eastAsia" w:ascii="宋体" w:hAnsi="宋体" w:cs="宋体"/>
                <w:szCs w:val="21"/>
                <w:highlight w:val="none"/>
              </w:rPr>
              <w:t>自2014年1月1日以来（以合同签订时间为准），投标供应商承担过地级市（或以上）公路规划（或综合交通规划或交通发展规划）编制工作的得12分；</w:t>
            </w:r>
          </w:p>
          <w:p w14:paraId="57124065">
            <w:pPr>
              <w:snapToGrid w:val="0"/>
              <w:rPr>
                <w:rFonts w:ascii="宋体" w:hAnsi="宋体" w:cs="宋体"/>
                <w:szCs w:val="21"/>
                <w:highlight w:val="none"/>
              </w:rPr>
            </w:pPr>
            <w:r>
              <w:rPr>
                <w:rFonts w:hint="eastAsia" w:ascii="宋体" w:hAnsi="宋体" w:cs="宋体"/>
                <w:szCs w:val="21"/>
                <w:highlight w:val="none"/>
              </w:rPr>
              <w:t>在此基础上每增加一个自2014年1月1日以来（以合同签订时间为准），承担过地级市（或以上）公路规划（或综合交通规划或交通发展规划）编制工作的业绩加2分，最多加8分。</w:t>
            </w:r>
          </w:p>
          <w:p w14:paraId="6105C5EF">
            <w:pPr>
              <w:widowControl/>
              <w:rPr>
                <w:rFonts w:ascii="宋体" w:hAnsi="宋体" w:cs="宋体"/>
                <w:color w:val="000000"/>
                <w:szCs w:val="21"/>
                <w:highlight w:val="none"/>
              </w:rPr>
            </w:pPr>
            <w:r>
              <w:rPr>
                <w:rFonts w:hint="eastAsia" w:ascii="宋体" w:hAnsi="宋体" w:cs="宋体"/>
                <w:szCs w:val="21"/>
                <w:highlight w:val="none"/>
              </w:rPr>
              <w:t>注：</w:t>
            </w:r>
            <w:r>
              <w:rPr>
                <w:rFonts w:hint="eastAsia" w:ascii="宋体" w:hAnsi="宋体" w:cs="宋体"/>
                <w:spacing w:val="7"/>
                <w:szCs w:val="21"/>
                <w:highlight w:val="none"/>
              </w:rPr>
              <w:t>提供合同的复印件（或扫描件）加盖供应商公章。</w:t>
            </w:r>
          </w:p>
        </w:tc>
      </w:tr>
    </w:tbl>
    <w:p w14:paraId="3956FFB8">
      <w:pPr>
        <w:autoSpaceDE w:val="0"/>
        <w:autoSpaceDN w:val="0"/>
        <w:adjustRightInd w:val="0"/>
        <w:snapToGrid w:val="0"/>
        <w:spacing w:line="360" w:lineRule="auto"/>
        <w:ind w:firstLine="482" w:firstLineChars="200"/>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（二）价格分（10分）</w:t>
      </w:r>
    </w:p>
    <w:p w14:paraId="21B99B1D">
      <w:pPr>
        <w:autoSpaceDE w:val="0"/>
        <w:autoSpaceDN w:val="0"/>
        <w:adjustRightInd w:val="0"/>
        <w:snapToGrid w:val="0"/>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价格分统一采用低价优先法计算，即满足磋商文件要求且最后报价最低的供应商的价格为磋商基准价，其价格分为满分。其他供应商的价格分统一按照下列公式计算：</w:t>
      </w:r>
    </w:p>
    <w:p w14:paraId="7F9F431E">
      <w:pPr>
        <w:autoSpaceDE w:val="0"/>
        <w:autoSpaceDN w:val="0"/>
        <w:adjustRightInd w:val="0"/>
        <w:snapToGrid w:val="0"/>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磋商报</w:t>
      </w:r>
      <w:r>
        <w:rPr>
          <w:rFonts w:hint="eastAsia" w:asciiTheme="minorEastAsia" w:hAnsiTheme="minorEastAsia" w:eastAsiaTheme="minorEastAsia"/>
          <w:sz w:val="24"/>
          <w:highlight w:val="none"/>
          <w:lang w:val="zh-CN"/>
        </w:rPr>
        <w:t>价得分=（磋商基准价/最后磋商报价）×价格权值×100</w:t>
      </w:r>
    </w:p>
    <w:p w14:paraId="2E6CDA05">
      <w:pPr>
        <w:autoSpaceDE w:val="0"/>
        <w:autoSpaceDN w:val="0"/>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项目评审过程中，不得去掉最后报价中的最高报价和最低报价，分值采用四舍五入法保留小数点后两位。</w:t>
      </w:r>
    </w:p>
    <w:p w14:paraId="4CBF5EC2">
      <w:pPr>
        <w:autoSpaceDE w:val="0"/>
        <w:autoSpaceDN w:val="0"/>
        <w:adjustRightInd w:val="0"/>
        <w:snapToGrid w:val="0"/>
        <w:spacing w:line="360" w:lineRule="auto"/>
        <w:ind w:firstLine="482" w:firstLineChars="200"/>
        <w:rPr>
          <w:rFonts w:cs="宋体" w:asciiTheme="minorEastAsia" w:hAnsiTheme="minorEastAsia" w:eastAsiaTheme="minorEastAsia"/>
          <w:b/>
          <w:sz w:val="24"/>
          <w:highlight w:val="none"/>
          <w:lang w:val="zh-CN"/>
        </w:rPr>
      </w:pPr>
      <w:r>
        <w:rPr>
          <w:rFonts w:hint="eastAsia" w:cs="宋体" w:asciiTheme="minorEastAsia" w:hAnsiTheme="minorEastAsia" w:eastAsiaTheme="minorEastAsia"/>
          <w:b/>
          <w:sz w:val="24"/>
          <w:highlight w:val="none"/>
          <w:lang w:val="zh-CN"/>
        </w:rPr>
        <w:t>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775FC396">
      <w:pPr>
        <w:snapToGrid w:val="0"/>
        <w:spacing w:line="360" w:lineRule="auto"/>
        <w:ind w:firstLine="55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七、政府采购政策功能落实</w:t>
      </w:r>
    </w:p>
    <w:p w14:paraId="53080B74">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小微型企业价格扣除</w:t>
      </w:r>
    </w:p>
    <w:p w14:paraId="204FD8B0">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1）本项目对小型和微型企业产品给予</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%的扣除价格，用扣除后的价格参与评审。</w:t>
      </w:r>
    </w:p>
    <w:p w14:paraId="12295D79">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2）供应商需按照采购文件的要求提供相应的《小型、微型企业声明函》。</w:t>
      </w:r>
    </w:p>
    <w:p w14:paraId="772B83A8">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3）企业标准请参照《关于印发中小企业划型标准规定的通知》（工信部联企业[2011]300号）文件规定自行填写。</w:t>
      </w:r>
    </w:p>
    <w:p w14:paraId="5DB99C02">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残疾人福利单位价格扣除</w:t>
      </w:r>
    </w:p>
    <w:p w14:paraId="257FCCEC">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1）本项目对残疾人福利性单位视同小型、微型企业，给予</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%的价格扣除，用扣除后的价格参与评审。</w:t>
      </w:r>
    </w:p>
    <w:p w14:paraId="574BE7C5">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2）残疾人福利单位需按照采购文件的要求提供《残疾人福利性单位声明函》。</w:t>
      </w:r>
    </w:p>
    <w:p w14:paraId="0BDBDB56">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3）残疾人福利单位标准请参照《关于促进残疾人就业政府采购政策的通知》（财库〔2017〕141号）。</w:t>
      </w:r>
    </w:p>
    <w:p w14:paraId="77DD5F21">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监狱和戒毒企业价格扣除</w:t>
      </w:r>
    </w:p>
    <w:p w14:paraId="0CBBB56F">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1）本项目对监狱和戒毒企业（简称监狱企业）视同小型、微型企业，给予</w:t>
      </w:r>
      <w:r>
        <w:rPr>
          <w:rFonts w:hint="eastAsia" w:asciiTheme="minorEastAsia" w:hAnsiTheme="minorEastAsia" w:eastAsiaTheme="minorEastAsia"/>
          <w:sz w:val="24"/>
          <w:highlight w:val="none"/>
        </w:rPr>
        <w:t>20</w:t>
      </w:r>
      <w:r>
        <w:rPr>
          <w:rFonts w:asciiTheme="minorEastAsia" w:hAnsiTheme="minorEastAsia" w:eastAsiaTheme="minorEastAsia"/>
          <w:sz w:val="24"/>
          <w:highlight w:val="none"/>
        </w:rPr>
        <w:t>%的价格扣除，用扣除后的价格参与评审。</w:t>
      </w:r>
    </w:p>
    <w:p w14:paraId="7E5B9A60">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14:paraId="3BC4513E">
      <w:pPr>
        <w:snapToGrid w:val="0"/>
        <w:spacing w:line="360" w:lineRule="auto"/>
        <w:ind w:firstLine="55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3）监狱企业标准请参照《关于政府采购支持监狱企业发展有关问题的通知》（财库[2014]68号）。</w:t>
      </w:r>
    </w:p>
    <w:p w14:paraId="4A6DB5B2">
      <w:pPr>
        <w:snapToGrid w:val="0"/>
        <w:spacing w:line="360" w:lineRule="auto"/>
        <w:ind w:firstLine="555"/>
        <w:rPr>
          <w:rFonts w:asciiTheme="minorEastAsia" w:hAnsiTheme="minorEastAsia" w:eastAsiaTheme="minorEastAsia"/>
          <w:sz w:val="24"/>
          <w:highlight w:val="none"/>
        </w:rPr>
      </w:pPr>
      <w:r>
        <w:rPr>
          <w:rFonts w:asciiTheme="minorEastAsia" w:hAnsiTheme="minorEastAsia" w:eastAsiaTheme="minorEastAsia"/>
          <w:sz w:val="24"/>
          <w:highlight w:val="none"/>
        </w:rPr>
        <w:t>4、残疾人福利单位、监狱企业属于小型、微型企业的，不重复享受政策。</w:t>
      </w:r>
    </w:p>
    <w:p w14:paraId="1C41ABA8">
      <w:pPr>
        <w:snapToGrid w:val="0"/>
        <w:spacing w:line="360" w:lineRule="auto"/>
        <w:ind w:firstLine="555"/>
        <w:rPr>
          <w:rFonts w:asciiTheme="minorEastAsia" w:hAnsiTheme="minorEastAsia" w:eastAsiaTheme="minorEastAsia"/>
          <w:bCs/>
          <w:sz w:val="24"/>
          <w:highlight w:val="none"/>
        </w:rPr>
      </w:pPr>
      <w:r>
        <w:rPr>
          <w:rFonts w:asciiTheme="minorEastAsia" w:hAnsiTheme="minorEastAsia" w:eastAsiaTheme="minorEastAsia"/>
          <w:bCs/>
          <w:sz w:val="24"/>
          <w:highlight w:val="none"/>
        </w:rPr>
        <w:t>5、专门面向中小企业采购的项目或者采购包，不再执行价格评审优惠的扶持政策。</w:t>
      </w:r>
    </w:p>
    <w:p w14:paraId="43B1D032">
      <w:pPr>
        <w:snapToGrid w:val="0"/>
        <w:spacing w:line="360" w:lineRule="auto"/>
        <w:ind w:firstLine="55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八、变更为其他方式采购的情形</w:t>
      </w:r>
    </w:p>
    <w:p w14:paraId="5C378BAB">
      <w:pPr>
        <w:autoSpaceDE w:val="0"/>
        <w:autoSpaceDN w:val="0"/>
        <w:adjustRightInd w:val="0"/>
        <w:snapToGrid w:val="0"/>
        <w:spacing w:line="360" w:lineRule="auto"/>
        <w:ind w:firstLine="480" w:firstLineChars="200"/>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提交响应文件截止时间时参加磋商的供应商不足3家的，及磋商中出现符合专业条件的供应商或对磋商文件作实质响应的供应商不足3家（规定可以2家的情形除外），除采购任务取消外，采购人视情采取其他方式采购。</w:t>
      </w:r>
      <w:r>
        <w:rPr>
          <w:rFonts w:hint="eastAsia" w:asciiTheme="minorEastAsia" w:hAnsiTheme="minorEastAsia" w:eastAsiaTheme="minorEastAsia"/>
          <w:sz w:val="24"/>
          <w:highlight w:val="none"/>
          <w:lang w:val="zh-CN"/>
        </w:rPr>
        <w:t>磋商文件中对供应商资质、技术等要求，将作为</w:t>
      </w:r>
      <w:r>
        <w:rPr>
          <w:rFonts w:hint="eastAsia" w:asciiTheme="minorEastAsia" w:hAnsiTheme="minorEastAsia" w:eastAsiaTheme="minorEastAsia"/>
          <w:sz w:val="24"/>
          <w:highlight w:val="none"/>
        </w:rPr>
        <w:t>其他</w:t>
      </w:r>
      <w:r>
        <w:rPr>
          <w:rFonts w:hint="eastAsia" w:asciiTheme="minorEastAsia" w:hAnsiTheme="minorEastAsia" w:eastAsiaTheme="minorEastAsia"/>
          <w:sz w:val="24"/>
          <w:highlight w:val="none"/>
          <w:lang w:val="zh-CN"/>
        </w:rPr>
        <w:t>方式采购的基本要求和依据。原已经参加磋商并符合要求的供应商，根据自愿原则，参加</w:t>
      </w:r>
      <w:r>
        <w:rPr>
          <w:rFonts w:hint="eastAsia" w:asciiTheme="minorEastAsia" w:hAnsiTheme="minorEastAsia" w:eastAsiaTheme="minorEastAsia"/>
          <w:sz w:val="24"/>
          <w:highlight w:val="none"/>
        </w:rPr>
        <w:t>其他</w:t>
      </w:r>
      <w:r>
        <w:rPr>
          <w:rFonts w:hint="eastAsia" w:asciiTheme="minorEastAsia" w:hAnsiTheme="minorEastAsia" w:eastAsiaTheme="minorEastAsia"/>
          <w:sz w:val="24"/>
          <w:highlight w:val="none"/>
          <w:lang w:val="zh-CN"/>
        </w:rPr>
        <w:t>方式采购。</w:t>
      </w:r>
    </w:p>
    <w:p w14:paraId="13DF3672">
      <w:pPr>
        <w:autoSpaceDE w:val="0"/>
        <w:autoSpaceDN w:val="0"/>
        <w:adjustRightInd w:val="0"/>
        <w:snapToGrid w:val="0"/>
        <w:spacing w:line="360" w:lineRule="auto"/>
        <w:ind w:left="-178" w:right="210" w:firstLine="636"/>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九、出现下列情形之一的，竞争性磋商采购活动终止，重新开展采购活动：</w:t>
      </w:r>
    </w:p>
    <w:p w14:paraId="00F944C0">
      <w:pPr>
        <w:pStyle w:val="30"/>
        <w:snapToGrid w:val="0"/>
        <w:spacing w:line="360" w:lineRule="auto"/>
        <w:ind w:firstLine="494"/>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（一）因情况变化，不再符合规定的竞争性磋商采购方式适用情形的；</w:t>
      </w:r>
    </w:p>
    <w:p w14:paraId="6A0F07B9">
      <w:pPr>
        <w:pStyle w:val="30"/>
        <w:snapToGrid w:val="0"/>
        <w:spacing w:line="360" w:lineRule="auto"/>
        <w:ind w:firstLine="494"/>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（二）出现影响采购公正的违法、违规行为的；</w:t>
      </w:r>
    </w:p>
    <w:p w14:paraId="00E22B68">
      <w:pPr>
        <w:pStyle w:val="30"/>
        <w:snapToGrid w:val="0"/>
        <w:spacing w:line="360" w:lineRule="auto"/>
        <w:ind w:firstLine="480" w:firstLineChars="200"/>
        <w:contextualSpacing/>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（三）在采购过程中符合要求的供应商或者报价未超过采购预算的供应商不足3家的（市场竞争不充分的科研项目，以及需要扶持的科技成果转化项目除外）。</w:t>
      </w:r>
    </w:p>
    <w:p w14:paraId="1A215706">
      <w:pPr>
        <w:autoSpaceDE w:val="0"/>
        <w:autoSpaceDN w:val="0"/>
        <w:adjustRightInd w:val="0"/>
        <w:snapToGrid w:val="0"/>
        <w:spacing w:line="360" w:lineRule="auto"/>
        <w:ind w:left="-178" w:right="210" w:firstLine="636"/>
        <w:rPr>
          <w:rFonts w:asciiTheme="minorEastAsia" w:hAnsiTheme="minorEastAsia" w:eastAsiaTheme="minorEastAsia"/>
          <w:b/>
          <w:sz w:val="24"/>
          <w:highlight w:val="none"/>
          <w:lang w:val="zh-CN"/>
        </w:rPr>
      </w:pPr>
      <w:r>
        <w:rPr>
          <w:rFonts w:hint="eastAsia" w:asciiTheme="minorEastAsia" w:hAnsiTheme="minorEastAsia" w:eastAsiaTheme="minorEastAsia"/>
          <w:b/>
          <w:sz w:val="24"/>
          <w:highlight w:val="none"/>
          <w:lang w:val="zh-CN"/>
        </w:rPr>
        <w:t>十、成交通知</w:t>
      </w:r>
    </w:p>
    <w:p w14:paraId="1CB7BE13">
      <w:pPr>
        <w:snapToGrid w:val="0"/>
        <w:spacing w:line="360" w:lineRule="auto"/>
        <w:ind w:firstLine="480" w:firstLineChars="200"/>
        <w:rPr>
          <w:rFonts w:cs="宋体" w:asciiTheme="minorEastAsia" w:hAnsiTheme="minorEastAsia" w:eastAsiaTheme="minorEastAsia"/>
          <w:b/>
          <w:sz w:val="36"/>
          <w:szCs w:val="36"/>
          <w:highlight w:val="none"/>
        </w:rPr>
      </w:pPr>
      <w:r>
        <w:rPr>
          <w:rFonts w:hint="eastAsia" w:asciiTheme="minorEastAsia" w:hAnsiTheme="minorEastAsia" w:eastAsiaTheme="minorEastAsia"/>
          <w:sz w:val="24"/>
          <w:highlight w:val="none"/>
        </w:rPr>
        <w:t>成交结果在南通市交通运输局网站公告，公告期限为</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个工作日。《成交通知书》一经发出，采购人改变成交结果，或者成交供应商放弃成交的，各自承担相应的法律责任。《成交通知书》是采购合同的组成部分。</w:t>
      </w:r>
      <w:r>
        <w:rPr>
          <w:rFonts w:cs="宋体" w:asciiTheme="minorEastAsia" w:hAnsiTheme="minorEastAsia" w:eastAsiaTheme="minorEastAsia"/>
          <w:b/>
          <w:sz w:val="36"/>
          <w:szCs w:val="36"/>
          <w:highlight w:val="none"/>
        </w:rPr>
        <w:br w:type="page"/>
      </w:r>
    </w:p>
    <w:p w14:paraId="219F08A0">
      <w:pPr>
        <w:snapToGrid w:val="0"/>
        <w:spacing w:line="360" w:lineRule="auto"/>
        <w:jc w:val="center"/>
        <w:outlineLvl w:val="0"/>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第五部分  合同签订与验收付款</w:t>
      </w:r>
    </w:p>
    <w:p w14:paraId="7461AB8F">
      <w:pPr>
        <w:snapToGrid w:val="0"/>
        <w:spacing w:line="360" w:lineRule="auto"/>
        <w:ind w:firstLine="480" w:firstLineChars="200"/>
        <w:rPr>
          <w:rFonts w:cs="宋体" w:asciiTheme="minorEastAsia" w:hAnsiTheme="minorEastAsia" w:eastAsiaTheme="minorEastAsia"/>
          <w:sz w:val="24"/>
          <w:highlight w:val="none"/>
          <w:lang w:val="zh-CN"/>
        </w:rPr>
      </w:pPr>
      <w:r>
        <w:rPr>
          <w:rFonts w:hint="eastAsia" w:cs="宋体" w:asciiTheme="minorEastAsia" w:hAnsiTheme="minorEastAsia" w:eastAsiaTheme="minorEastAsia"/>
          <w:sz w:val="24"/>
          <w:highlight w:val="none"/>
          <w:lang w:val="zh-CN"/>
        </w:rPr>
        <w:t>一、成交供应商在《成交通知书》发出之日起30日内和采购人签订合同。合同签订后成交供应商方可履约，否则引起的一切后果由成交供应商自行承担。所签合同不得对采购文件作实质性修改。采购人不得向成交供应商提出不合理的要求作为签订合同的条件，不得与成交供应商私下订立背离采购文件实质性内容的协议。</w:t>
      </w:r>
    </w:p>
    <w:p w14:paraId="43B7D950">
      <w:pPr>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采购人与成交供应商串通或要求成交供应商通过减少货物数量或降低服务标准的，或在履行合同中采取更改配置、调换物品等手段的，或要求成交供应商出具虚假发票或任意更改销售发票的，或谋取不正当利益的，采购人应承担相应的法律责任。</w:t>
      </w:r>
    </w:p>
    <w:p w14:paraId="2CD54727">
      <w:pPr>
        <w:widowControl/>
        <w:adjustRightInd w:val="0"/>
        <w:snapToGrid w:val="0"/>
        <w:spacing w:line="360" w:lineRule="auto"/>
        <w:ind w:firstLine="420" w:firstLineChars="200"/>
        <w:contextualSpacing w:val="0"/>
        <w:rPr>
          <w:rFonts w:cs="宋体" w:asciiTheme="minorEastAsia" w:hAnsiTheme="minorEastAsia" w:eastAsiaTheme="minorEastAsia"/>
          <w:sz w:val="24"/>
          <w:highlight w:val="none"/>
        </w:rPr>
      </w:pPr>
      <w:r>
        <w:rPr>
          <w:rFonts w:hint="eastAsia" w:asciiTheme="minorEastAsia" w:hAnsiTheme="minorEastAsia" w:eastAsiaTheme="minorEastAsia"/>
          <w:highlight w:val="none"/>
        </w:rPr>
        <w:t>三</w:t>
      </w:r>
      <w:r>
        <w:rPr>
          <w:rFonts w:hint="eastAsia" w:cs="宋体" w:asciiTheme="minorEastAsia" w:hAnsiTheme="minorEastAsia" w:eastAsiaTheme="minorEastAsia"/>
          <w:sz w:val="24"/>
          <w:highlight w:val="none"/>
        </w:rPr>
        <w:t>、履约验收：</w:t>
      </w:r>
      <w:r>
        <w:rPr>
          <w:rFonts w:hint="eastAsia" w:cs="宋体" w:asciiTheme="minorEastAsia" w:hAnsiTheme="minorEastAsia" w:eastAsiaTheme="minorEastAsia"/>
          <w:kern w:val="0"/>
          <w:sz w:val="24"/>
          <w:highlight w:val="none"/>
        </w:rPr>
        <w:t>《南通市“十五五”公路高质量发展研究报告》、《南通市“十五五”公路高质量发展研究报告中期评估》要求分别通过采购人评审。</w:t>
      </w:r>
      <w:r>
        <w:rPr>
          <w:rFonts w:hint="eastAsia" w:cs="宋体" w:asciiTheme="minorEastAsia" w:hAnsiTheme="minorEastAsia" w:eastAsiaTheme="minorEastAsia"/>
          <w:sz w:val="24"/>
          <w:highlight w:val="none"/>
        </w:rPr>
        <w:t>成果应符合国家标准、省市相关规定和本项目采购人的要求。</w:t>
      </w:r>
    </w:p>
    <w:p w14:paraId="2503FD2C">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14:paraId="18E3CA36">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五、</w:t>
      </w:r>
      <w:r>
        <w:rPr>
          <w:rFonts w:hint="eastAsia" w:cs="宋体" w:asciiTheme="minorEastAsia" w:hAnsiTheme="minorEastAsia" w:eastAsiaTheme="minorEastAsia"/>
          <w:sz w:val="24"/>
          <w:szCs w:val="24"/>
          <w:highlight w:val="none"/>
        </w:rPr>
        <w:t>合同条款内容</w:t>
      </w:r>
    </w:p>
    <w:p w14:paraId="74024412">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4D1BA804">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5A506BE9">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027D476C">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262CB900">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1A487BC2">
      <w:pPr>
        <w:pStyle w:val="3"/>
        <w:kinsoku w:val="0"/>
        <w:topLinePunct/>
        <w:autoSpaceDE w:val="0"/>
        <w:autoSpaceDN w:val="0"/>
        <w:snapToGrid w:val="0"/>
        <w:spacing w:line="360" w:lineRule="auto"/>
        <w:ind w:firstLine="480" w:firstLineChars="200"/>
        <w:contextualSpacing/>
        <w:rPr>
          <w:rFonts w:cs="宋体" w:asciiTheme="minorEastAsia" w:hAnsiTheme="minorEastAsia" w:eastAsiaTheme="minorEastAsia"/>
          <w:sz w:val="24"/>
          <w:szCs w:val="24"/>
          <w:highlight w:val="none"/>
        </w:rPr>
      </w:pPr>
    </w:p>
    <w:p w14:paraId="2EFB3226">
      <w:pPr>
        <w:pStyle w:val="3"/>
        <w:kinsoku w:val="0"/>
        <w:topLinePunct/>
        <w:autoSpaceDE w:val="0"/>
        <w:autoSpaceDN w:val="0"/>
        <w:snapToGrid w:val="0"/>
        <w:spacing w:line="360" w:lineRule="auto"/>
        <w:ind w:firstLine="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szCs w:val="24"/>
          <w:highlight w:val="none"/>
        </w:rPr>
        <w:br w:type="page"/>
      </w:r>
    </w:p>
    <w:p w14:paraId="337BE0D3">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r>
        <w:rPr>
          <w:rFonts w:hint="eastAsia" w:asciiTheme="minorEastAsia" w:hAnsiTheme="minorEastAsia" w:eastAsiaTheme="minorEastAsia"/>
          <w:b/>
          <w:bCs/>
          <w:sz w:val="30"/>
          <w:szCs w:val="32"/>
          <w:highlight w:val="none"/>
        </w:rPr>
        <w:t>（一）合同主要条款</w:t>
      </w:r>
    </w:p>
    <w:p w14:paraId="68FF986F">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r>
        <w:rPr>
          <w:rFonts w:hint="eastAsia" w:asciiTheme="minorEastAsia" w:hAnsiTheme="minorEastAsia" w:eastAsiaTheme="minorEastAsia"/>
          <w:b/>
          <w:bCs/>
          <w:sz w:val="30"/>
          <w:szCs w:val="32"/>
          <w:highlight w:val="none"/>
        </w:rPr>
        <w:t>一、定义和解释</w:t>
      </w:r>
    </w:p>
    <w:p w14:paraId="036D6E65">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1.1</w:t>
      </w:r>
      <w:r>
        <w:rPr>
          <w:rFonts w:hint="eastAsia" w:asciiTheme="minorEastAsia" w:hAnsiTheme="minorEastAsia" w:eastAsiaTheme="minorEastAsia"/>
          <w:sz w:val="24"/>
          <w:highlight w:val="none"/>
        </w:rPr>
        <w:t>业主：即合同书中的“甲方”，是指本合同条款中指明的执行本项目投资计划的单位，或其指定的负责管理本项目的代表机构，以及取得该当事人（单位）资格的合法继承人（单位），也即为本项目的采购人。本合同业主为南通市公路事业发展中心。下称“甲方”或“业主”。</w:t>
      </w:r>
    </w:p>
    <w:p w14:paraId="07A1159C">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1.2</w:t>
      </w:r>
      <w:r>
        <w:rPr>
          <w:rFonts w:hint="eastAsia" w:asciiTheme="minorEastAsia" w:hAnsiTheme="minorEastAsia" w:eastAsiaTheme="minorEastAsia"/>
          <w:sz w:val="24"/>
          <w:highlight w:val="none"/>
        </w:rPr>
        <w:t>服务单位：即合同书中的“乙方”，是指其投标响应文件已为采购人所接受，并与业主签订了合同书、承担本合同服务任务的服务单位（公司），以及取得该当事机构资格的合法继承人，但不包括该当事机构的任何受让人（除非业主同意），也即为本项目的成交供应商。下称“乙方”或“服务单位”。</w:t>
      </w:r>
    </w:p>
    <w:p w14:paraId="1C070B3F">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1.3</w:t>
      </w:r>
      <w:r>
        <w:rPr>
          <w:rFonts w:hint="eastAsia" w:asciiTheme="minorEastAsia" w:hAnsiTheme="minorEastAsia" w:eastAsiaTheme="minorEastAsia"/>
          <w:sz w:val="24"/>
          <w:highlight w:val="none"/>
        </w:rPr>
        <w:t>项目负责人：是指投标响应文件中载明，并由服务单位书面委托的负责本合同项目的组织管理者。</w:t>
      </w:r>
    </w:p>
    <w:p w14:paraId="4F809401">
      <w:pPr>
        <w:adjustRightInd w:val="0"/>
        <w:snapToGrid w:val="0"/>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其他主要人员：是指由项目负责人提名，服务单位批准的各专业负责人，并在投标响应文件中载明。</w:t>
      </w:r>
    </w:p>
    <w:p w14:paraId="1D190877">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1.4</w:t>
      </w:r>
      <w:r>
        <w:rPr>
          <w:rFonts w:hint="eastAsia" w:asciiTheme="minorEastAsia" w:hAnsiTheme="minorEastAsia" w:eastAsiaTheme="minorEastAsia"/>
          <w:sz w:val="24"/>
          <w:highlight w:val="none"/>
        </w:rPr>
        <w:t>合同：由合同条款、技术规范、投标响应文件、成交通知书、合同协议书和相关文件组成。</w:t>
      </w:r>
    </w:p>
    <w:p w14:paraId="644D581A">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技术标准与规范：是指所有的中华人民共和国国家标准和有关部门颁发相关规范及技术标准。</w:t>
      </w:r>
    </w:p>
    <w:p w14:paraId="13CFBE9E">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1.6</w:t>
      </w:r>
      <w:r>
        <w:rPr>
          <w:rFonts w:hint="eastAsia" w:asciiTheme="minorEastAsia" w:hAnsiTheme="minorEastAsia" w:eastAsiaTheme="minorEastAsia"/>
          <w:sz w:val="24"/>
          <w:highlight w:val="none"/>
        </w:rPr>
        <w:t>服务：指为完成本合同项目所进行的单项或全部服务工作。</w:t>
      </w:r>
    </w:p>
    <w:p w14:paraId="3709C5FA">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1.7</w:t>
      </w:r>
      <w:r>
        <w:rPr>
          <w:rFonts w:hint="eastAsia" w:asciiTheme="minorEastAsia" w:hAnsiTheme="minorEastAsia" w:eastAsiaTheme="minorEastAsia"/>
          <w:sz w:val="24"/>
          <w:highlight w:val="none"/>
        </w:rPr>
        <w:t>成果报告：是指承包人按本合同的规定，按合同要求及业主指令而分阶段提交的项目报告；</w:t>
      </w:r>
    </w:p>
    <w:p w14:paraId="3E5A9E55">
      <w:pPr>
        <w:adjustRightInd w:val="0"/>
        <w:snapToGrid w:val="0"/>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8日：指日历日。</w:t>
      </w:r>
    </w:p>
    <w:p w14:paraId="62B0224C">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1" w:name="_Toc230492377"/>
      <w:bookmarkStart w:id="2" w:name="_Toc275422754"/>
      <w:bookmarkStart w:id="3" w:name="_Toc286308343"/>
      <w:bookmarkStart w:id="4" w:name="_Toc387773188"/>
      <w:bookmarkStart w:id="5" w:name="_Toc313903288"/>
      <w:bookmarkStart w:id="6" w:name="_Toc275422870"/>
      <w:bookmarkStart w:id="7" w:name="_Toc381015374"/>
      <w:bookmarkStart w:id="8" w:name="_Toc470619302"/>
      <w:bookmarkStart w:id="9" w:name="_Toc390785018"/>
      <w:bookmarkStart w:id="10" w:name="_Toc14857558"/>
      <w:bookmarkStart w:id="11" w:name="_Toc40280341"/>
      <w:bookmarkStart w:id="12" w:name="_Toc295408755"/>
      <w:bookmarkStart w:id="13" w:name="_Toc387768381"/>
      <w:bookmarkStart w:id="14" w:name="_Toc10189309"/>
      <w:r>
        <w:rPr>
          <w:rFonts w:hint="eastAsia" w:asciiTheme="minorEastAsia" w:hAnsiTheme="minorEastAsia" w:eastAsiaTheme="minorEastAsia"/>
          <w:b/>
          <w:bCs/>
          <w:sz w:val="30"/>
          <w:szCs w:val="32"/>
          <w:highlight w:val="none"/>
        </w:rPr>
        <w:t>二、服务范围、内容、依据与标准</w:t>
      </w:r>
      <w:bookmarkEnd w:id="1"/>
      <w:bookmarkEnd w:id="2"/>
      <w:bookmarkEnd w:id="3"/>
      <w:bookmarkEnd w:id="4"/>
      <w:bookmarkEnd w:id="5"/>
      <w:bookmarkEnd w:id="6"/>
      <w:bookmarkEnd w:id="7"/>
      <w:bookmarkEnd w:id="8"/>
      <w:bookmarkEnd w:id="9"/>
      <w:bookmarkEnd w:id="10"/>
      <w:bookmarkEnd w:id="11"/>
      <w:bookmarkEnd w:id="12"/>
      <w:bookmarkEnd w:id="13"/>
      <w:bookmarkEnd w:id="14"/>
    </w:p>
    <w:p w14:paraId="20B38424">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2.1</w:t>
      </w:r>
      <w:r>
        <w:rPr>
          <w:rFonts w:hint="eastAsia" w:asciiTheme="minorEastAsia" w:hAnsiTheme="minorEastAsia" w:eastAsiaTheme="minorEastAsia"/>
          <w:sz w:val="24"/>
          <w:highlight w:val="none"/>
        </w:rPr>
        <w:t>服务范围及内容：</w:t>
      </w:r>
    </w:p>
    <w:p w14:paraId="48A18C65">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2.1.1本次服务内容为</w:t>
      </w:r>
      <w:r>
        <w:rPr>
          <w:rFonts w:hint="eastAsia" w:cs="宋体" w:asciiTheme="minorEastAsia" w:hAnsiTheme="minorEastAsia" w:eastAsiaTheme="minorEastAsia"/>
          <w:sz w:val="24"/>
          <w:highlight w:val="none"/>
        </w:rPr>
        <w:t>南通市“十五五”公路高质量发展研究报告服务</w:t>
      </w:r>
      <w:r>
        <w:rPr>
          <w:rFonts w:hint="eastAsia" w:asciiTheme="minorEastAsia" w:hAnsiTheme="minorEastAsia" w:eastAsiaTheme="minorEastAsia"/>
          <w:sz w:val="24"/>
          <w:highlight w:val="none"/>
        </w:rPr>
        <w:t>。</w:t>
      </w:r>
    </w:p>
    <w:p w14:paraId="0A13E4E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2.1.2服务单位应在签订合同协议书后在业主规定的时间内完成本合同的服务工作，并提交相关成果文件。</w:t>
      </w:r>
    </w:p>
    <w:p w14:paraId="211E2E9F">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2.1.3安全、保卫与环境保护：咨询服务单位的人员在进行外业</w:t>
      </w:r>
      <w:r>
        <w:rPr>
          <w:rFonts w:hint="eastAsia" w:asciiTheme="minorEastAsia" w:hAnsiTheme="minorEastAsia" w:eastAsiaTheme="minorEastAsia"/>
          <w:sz w:val="24"/>
          <w:highlight w:val="none"/>
        </w:rPr>
        <w:t>作业</w:t>
      </w:r>
      <w:r>
        <w:rPr>
          <w:rFonts w:asciiTheme="minorEastAsia" w:hAnsiTheme="minorEastAsia" w:eastAsiaTheme="minorEastAsia"/>
          <w:sz w:val="24"/>
          <w:highlight w:val="none"/>
        </w:rPr>
        <w:t>时，应采取相应的安全、保卫和环境保护措施，如咨询服务单位未能采取有效的措施，而发生的与外业活动有关的人身伤亡、罚款、索赔、损失赔偿、诉讼费用及其他一切责任应由咨询服务单位负责。</w:t>
      </w:r>
    </w:p>
    <w:p w14:paraId="390D526F">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2.1.4保险：咨询服务单位为实施本项目，应参加采购人风险以外的其它有关的雇主责任保险，以使本项目顺利进行。</w:t>
      </w:r>
    </w:p>
    <w:p w14:paraId="27936F1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2服务依据与标准</w:t>
      </w:r>
    </w:p>
    <w:p w14:paraId="626F371A">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磋商文件及相关标准与规范。</w:t>
      </w:r>
    </w:p>
    <w:p w14:paraId="0A8F1F45">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3服务期</w:t>
      </w:r>
    </w:p>
    <w:p w14:paraId="7235E4BB">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合同签订之日起至2030年12月31日。具体如下：</w:t>
      </w:r>
    </w:p>
    <w:p w14:paraId="5BD48777">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（1）2025年1月底前，提交形成南通市“十五五”公路高质量发展研究报告大纲、思路和重点项目谋划意见，并形成阶段性成果。</w:t>
      </w:r>
    </w:p>
    <w:p w14:paraId="0032811C">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（2）2025年2月-6月底，开展南通市“十五五”公路高质量发展研究编制，梳理审核公路项目库，参与省市对接，完成研究报告初稿。</w:t>
      </w:r>
    </w:p>
    <w:p w14:paraId="4FCC109C">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（3）2025年7月-9月底，形成征求意见稿，参与省市对接，对研究报告修改完善。</w:t>
      </w:r>
    </w:p>
    <w:p w14:paraId="0EDB8E2A">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（4）2025年10月-12月底，形成送审稿，参与省市对接，专家评审，完成衔接上报等工作（含纸质文件8套、word电子文件）。</w:t>
      </w:r>
    </w:p>
    <w:p w14:paraId="3FAEFF78">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（5）2028年7月-8月（根据采购人实际需求适时调整），组织调研，开展中期评估，完成中期评估报告（含纸质文件8套、word电子文件）。</w:t>
      </w:r>
    </w:p>
    <w:p w14:paraId="4F0FA56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（6）2025年-2030年期间，每年协助采购人完成编制、更新南通市普通国省道落地方案表，绘制南通市普通国省道落地方案图，编制普通国省道规划落地工作方案（响应采购人要求适时提供PPT汇报文件）。</w:t>
      </w:r>
    </w:p>
    <w:p w14:paraId="66234688">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4提交的资料</w:t>
      </w:r>
    </w:p>
    <w:p w14:paraId="5F00F578">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highlight w:val="none"/>
        </w:rPr>
        <w:t>成果要求：</w:t>
      </w:r>
      <w:r>
        <w:rPr>
          <w:rFonts w:hint="eastAsia" w:asciiTheme="minorEastAsia" w:hAnsiTheme="minorEastAsia" w:eastAsiaTheme="minorEastAsia"/>
          <w:sz w:val="24"/>
          <w:szCs w:val="24"/>
          <w:highlight w:val="none"/>
        </w:rPr>
        <w:t>提供成果文件电子版以及纸质文本8套（实施过程中根据业主需要另行提供）。</w:t>
      </w:r>
    </w:p>
    <w:p w14:paraId="6D6A2AF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2.5服务单位必须配合业主做好各项汇报、评审、报批、审核、调整工作。</w:t>
      </w:r>
    </w:p>
    <w:p w14:paraId="441442AD">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15" w:name="_Toc295408756"/>
      <w:bookmarkStart w:id="16" w:name="_Toc14857559"/>
      <w:bookmarkStart w:id="17" w:name="_Toc313903289"/>
      <w:bookmarkStart w:id="18" w:name="_Toc10189310"/>
      <w:bookmarkStart w:id="19" w:name="_Toc387768382"/>
      <w:bookmarkStart w:id="20" w:name="_Toc387773189"/>
      <w:bookmarkStart w:id="21" w:name="_Toc470619303"/>
      <w:bookmarkStart w:id="22" w:name="_Toc275422871"/>
      <w:bookmarkStart w:id="23" w:name="_Toc381015375"/>
      <w:bookmarkStart w:id="24" w:name="_Toc390785019"/>
      <w:bookmarkStart w:id="25" w:name="_Toc40280342"/>
      <w:bookmarkStart w:id="26" w:name="_Toc230492378"/>
      <w:bookmarkStart w:id="27" w:name="_Toc286308344"/>
      <w:bookmarkStart w:id="28" w:name="_Toc275422755"/>
      <w:r>
        <w:rPr>
          <w:rFonts w:hint="eastAsia" w:asciiTheme="minorEastAsia" w:hAnsiTheme="minorEastAsia" w:eastAsiaTheme="minorEastAsia"/>
          <w:b/>
          <w:bCs/>
          <w:sz w:val="30"/>
          <w:szCs w:val="32"/>
          <w:highlight w:val="none"/>
        </w:rPr>
        <w:t>三、业主的责任与义务</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BCAA08C">
      <w:pPr>
        <w:snapToGrid w:val="0"/>
        <w:spacing w:line="360" w:lineRule="auto"/>
        <w:ind w:firstLine="480" w:firstLineChars="200"/>
        <w:contextualSpacing/>
        <w:rPr>
          <w:rFonts w:asciiTheme="minorEastAsia" w:hAnsiTheme="minorEastAsia" w:eastAsiaTheme="minorEastAsia"/>
          <w:sz w:val="24"/>
          <w:highlight w:val="none"/>
        </w:rPr>
      </w:pPr>
      <w:bookmarkStart w:id="29" w:name="_Toc286308345"/>
      <w:bookmarkStart w:id="30" w:name="_Toc275422872"/>
      <w:bookmarkStart w:id="31" w:name="_Toc14857560"/>
      <w:bookmarkStart w:id="32" w:name="_Toc10189311"/>
      <w:bookmarkStart w:id="33" w:name="_Toc230492379"/>
      <w:bookmarkStart w:id="34" w:name="_Toc275422756"/>
      <w:bookmarkStart w:id="35" w:name="_Toc295408757"/>
      <w:r>
        <w:rPr>
          <w:rFonts w:asciiTheme="minorEastAsia" w:hAnsiTheme="minorEastAsia" w:eastAsiaTheme="minorEastAsia"/>
          <w:sz w:val="24"/>
          <w:highlight w:val="none"/>
        </w:rPr>
        <w:t>3.1</w:t>
      </w:r>
      <w:r>
        <w:rPr>
          <w:rFonts w:hint="eastAsia" w:asciiTheme="minorEastAsia" w:hAnsiTheme="minorEastAsia" w:eastAsiaTheme="minorEastAsia"/>
          <w:sz w:val="24"/>
          <w:highlight w:val="none"/>
        </w:rPr>
        <w:t>业主应按合同有关规定支付服务费用。</w:t>
      </w:r>
    </w:p>
    <w:p w14:paraId="3448007D">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3.2</w:t>
      </w:r>
      <w:r>
        <w:rPr>
          <w:rFonts w:hint="eastAsia" w:asciiTheme="minorEastAsia" w:hAnsiTheme="minorEastAsia" w:eastAsiaTheme="minorEastAsia"/>
          <w:sz w:val="24"/>
          <w:highlight w:val="none"/>
        </w:rPr>
        <w:t>业主应向服务单位提供开展服务工作所需要的相关文件、资料，服务单位应对提供的原始资料的理解负责。</w:t>
      </w:r>
    </w:p>
    <w:p w14:paraId="29ADACA4">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3.3</w:t>
      </w:r>
      <w:r>
        <w:rPr>
          <w:rFonts w:hint="eastAsia" w:asciiTheme="minorEastAsia" w:hAnsiTheme="minorEastAsia" w:eastAsiaTheme="minorEastAsia"/>
          <w:sz w:val="24"/>
          <w:highlight w:val="none"/>
        </w:rPr>
        <w:t>在项目成果编制过程中，业主应对服务单位与地方政府及有关部门的协调工作提供必要的协助</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但并不免除服务单位根据本合同规定应负的责任。</w:t>
      </w:r>
    </w:p>
    <w:p w14:paraId="512D9683">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3.4</w:t>
      </w:r>
      <w:r>
        <w:rPr>
          <w:rFonts w:hint="eastAsia" w:asciiTheme="minorEastAsia" w:hAnsiTheme="minorEastAsia" w:eastAsiaTheme="minorEastAsia"/>
          <w:sz w:val="24"/>
          <w:highlight w:val="none"/>
        </w:rPr>
        <w:t>除合同另有规定外，业主应保护服务单位的投标响应文件、计算软件和专利技术。未经服务单位同意，业主对服务单位提交的磋商响应文件不得擅自修改、复制或转让或用于本项目以外的其它项目。</w:t>
      </w:r>
    </w:p>
    <w:p w14:paraId="0592E159">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3.5</w:t>
      </w:r>
      <w:r>
        <w:rPr>
          <w:rFonts w:hint="eastAsia" w:asciiTheme="minorEastAsia" w:hAnsiTheme="minorEastAsia" w:eastAsiaTheme="minorEastAsia"/>
          <w:sz w:val="24"/>
          <w:highlight w:val="none"/>
        </w:rPr>
        <w:t>负责处理安全管理对象或其他单位、群众对服务单位的投诉。</w:t>
      </w:r>
    </w:p>
    <w:p w14:paraId="23625A4D">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3.6</w:t>
      </w:r>
      <w:r>
        <w:rPr>
          <w:rFonts w:hint="eastAsia" w:asciiTheme="minorEastAsia" w:hAnsiTheme="minorEastAsia" w:eastAsiaTheme="minorEastAsia"/>
          <w:sz w:val="24"/>
          <w:highlight w:val="none"/>
        </w:rPr>
        <w:t>咨询服务过程中，需要业主提供协助的，业主应尽可能提供协助，但业主的协助承诺不作为服务单位不能按期按要求完成服务成果的理由。</w:t>
      </w:r>
    </w:p>
    <w:p w14:paraId="6E4FEB45">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3.7</w:t>
      </w:r>
      <w:r>
        <w:rPr>
          <w:rFonts w:hint="eastAsia" w:asciiTheme="minorEastAsia" w:hAnsiTheme="minorEastAsia" w:eastAsiaTheme="minorEastAsia"/>
          <w:sz w:val="24"/>
          <w:highlight w:val="none"/>
        </w:rPr>
        <w:t>发现服务单位存在违反约定行为的，有权要求其限期整改。整改不到位的，有权对服务单位处以违约金。</w:t>
      </w:r>
    </w:p>
    <w:p w14:paraId="525AD351">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3.8</w:t>
      </w:r>
      <w:r>
        <w:rPr>
          <w:rFonts w:hint="eastAsia" w:asciiTheme="minorEastAsia" w:hAnsiTheme="minorEastAsia" w:eastAsiaTheme="minorEastAsia"/>
          <w:sz w:val="24"/>
          <w:highlight w:val="none"/>
        </w:rPr>
        <w:t xml:space="preserve"> 在履行本合同过程中，由于不全面或不及时履行协议而给业主造成损失的，服务单位应承担继续履行、采取补救措施同时赔偿损失的违约责任。</w:t>
      </w:r>
    </w:p>
    <w:p w14:paraId="2C7EB8E3">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3.9</w:t>
      </w:r>
      <w:r>
        <w:rPr>
          <w:rFonts w:hint="eastAsia" w:asciiTheme="minorEastAsia" w:hAnsiTheme="minorEastAsia" w:eastAsiaTheme="minorEastAsia"/>
          <w:sz w:val="24"/>
          <w:highlight w:val="none"/>
        </w:rPr>
        <w:t xml:space="preserve"> 合同期满或提前解除、终止后，依法收回交由服务单位使用的设备、技术资料、信息数据等。</w:t>
      </w:r>
    </w:p>
    <w:p w14:paraId="663D4757">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36" w:name="_Toc381015376"/>
      <w:bookmarkStart w:id="37" w:name="_Toc390785020"/>
      <w:bookmarkStart w:id="38" w:name="_Toc313903290"/>
      <w:bookmarkStart w:id="39" w:name="_Toc40280343"/>
      <w:bookmarkStart w:id="40" w:name="_Toc387773190"/>
      <w:bookmarkStart w:id="41" w:name="_Toc470619304"/>
      <w:bookmarkStart w:id="42" w:name="_Toc387768383"/>
      <w:r>
        <w:rPr>
          <w:rFonts w:hint="eastAsia" w:asciiTheme="minorEastAsia" w:hAnsiTheme="minorEastAsia" w:eastAsiaTheme="minorEastAsia"/>
          <w:b/>
          <w:bCs/>
          <w:sz w:val="30"/>
          <w:szCs w:val="32"/>
          <w:highlight w:val="none"/>
        </w:rPr>
        <w:t>四、服务单位的责任与义务</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0DF50A36">
      <w:pPr>
        <w:snapToGrid w:val="0"/>
        <w:spacing w:line="360" w:lineRule="auto"/>
        <w:ind w:firstLine="480" w:firstLineChars="200"/>
        <w:contextualSpacing/>
        <w:rPr>
          <w:rFonts w:asciiTheme="minorEastAsia" w:hAnsiTheme="minorEastAsia" w:eastAsiaTheme="minorEastAsia"/>
          <w:sz w:val="24"/>
          <w:highlight w:val="none"/>
        </w:rPr>
      </w:pPr>
      <w:bookmarkStart w:id="43" w:name="_Toc275422873"/>
      <w:bookmarkStart w:id="44" w:name="_Toc275422757"/>
      <w:bookmarkStart w:id="45" w:name="_Toc286308346"/>
      <w:bookmarkStart w:id="46" w:name="_Toc230492380"/>
      <w:bookmarkStart w:id="47" w:name="_Toc295408758"/>
      <w:bookmarkStart w:id="48" w:name="_Toc14857561"/>
      <w:bookmarkStart w:id="49" w:name="_Toc10189312"/>
      <w:r>
        <w:rPr>
          <w:rFonts w:hint="eastAsia" w:asciiTheme="minorEastAsia" w:hAnsiTheme="minorEastAsia" w:eastAsiaTheme="minorEastAsia"/>
          <w:sz w:val="24"/>
          <w:highlight w:val="none"/>
        </w:rPr>
        <w:t>4.1服务单位应做好质量管理工作，建立健全质量保证体系，加强工作全过程的质量控制，建立完整的报告的编制、复核、审核、会签和批准制度，明确各阶段的责任人，应按期、按质、按量地完成双方商定的各项工作内容，并对成果报告的质量负责。</w:t>
      </w:r>
    </w:p>
    <w:p w14:paraId="38FBDD8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4.2应自行承担为完成本服务项目的所有工作内容并提供全套成果文件（包括全部基础资料电子文件以及评审所需文件）。</w:t>
      </w:r>
    </w:p>
    <w:p w14:paraId="6BDEF9E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4.3在报告编制过程中，应主动和甲方保持密切联系。</w:t>
      </w:r>
    </w:p>
    <w:p w14:paraId="6D920EAF">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4.4应全过程配合甲方组织的审查，并根据审查意见修改、完善报告。</w:t>
      </w:r>
    </w:p>
    <w:p w14:paraId="1FD09AB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4.5未经甲方同意，不能将服务工作及报告成果文件转让给第三方。</w:t>
      </w:r>
    </w:p>
    <w:p w14:paraId="52C846D0">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4.6人员保证与变更</w:t>
      </w:r>
    </w:p>
    <w:p w14:paraId="4D625CB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⑴</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乙方应按投标响应文件中承诺的人员投入工作，在报告编制过程应保持人员的相对稳定。确需调整，应报经甲方批准。</w:t>
      </w:r>
    </w:p>
    <w:p w14:paraId="0E8A909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⑵</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如果乙方的人员渎职或不能胜任工作或从事其他违法活动，甲方有权书面要求更换，乙方应立即派出具有同等或以上资历的人员替换；若非因上述原因，乙方有权拒绝。</w:t>
      </w:r>
    </w:p>
    <w:p w14:paraId="2003D8EA">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⑶</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若乙方的进度没有达到乙方投标响应文件中承诺的进度计划，甲方有权提出要求增加工作人员，乙方应立即安排，其费用被认为已包含在合同价格之中。</w:t>
      </w:r>
    </w:p>
    <w:p w14:paraId="2D324FD3">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4.7若乙方在合同履行期间发生人员伤亡或财产的损失，或者造成第三方的人员伤亡或财产损失，乙方应承担全部责任，并保障甲方免于承担由此造成的一切损害和损失。</w:t>
      </w:r>
    </w:p>
    <w:p w14:paraId="3E301A41">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4.8乙方负责定期向甲方报告工作进展情况。</w:t>
      </w:r>
    </w:p>
    <w:p w14:paraId="3031795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4.9乙方应根据甲方的要求，就服务的项目加强与相关部门的协调衔接，及时向与项目有关的其它单位提供项目资料。</w:t>
      </w:r>
    </w:p>
    <w:p w14:paraId="4936C8D3">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4.10</w:t>
      </w:r>
      <w:r>
        <w:rPr>
          <w:rFonts w:hint="eastAsia" w:asciiTheme="minorEastAsia" w:hAnsiTheme="minorEastAsia" w:eastAsiaTheme="minorEastAsia"/>
          <w:sz w:val="24"/>
          <w:highlight w:val="none"/>
        </w:rPr>
        <w:t>服务单位有维护采购人的声誉义务，服务单位不得以采购人名义从事与委托事项无关的工作。</w:t>
      </w:r>
    </w:p>
    <w:p w14:paraId="084A8FDB">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4.11</w:t>
      </w:r>
      <w:r>
        <w:rPr>
          <w:rFonts w:hint="eastAsia" w:asciiTheme="minorEastAsia" w:hAnsiTheme="minorEastAsia" w:eastAsiaTheme="minorEastAsia"/>
          <w:sz w:val="24"/>
          <w:highlight w:val="none"/>
        </w:rPr>
        <w:t>服务单位发现严重质量、安全问题，应立即制止、通知责任方整改，并及时报告采购人。</w:t>
      </w:r>
    </w:p>
    <w:p w14:paraId="27A4F967">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4.12</w:t>
      </w:r>
      <w:r>
        <w:rPr>
          <w:rFonts w:hint="eastAsia" w:asciiTheme="minorEastAsia" w:hAnsiTheme="minorEastAsia" w:eastAsiaTheme="minorEastAsia"/>
          <w:sz w:val="24"/>
          <w:highlight w:val="none"/>
        </w:rPr>
        <w:t>在履行本协议过程中，由于不全面或不及时履行协议而给采购人造成损失的，应当承担继续履行、采取补救措施或者赔偿损失的违约责任。</w:t>
      </w:r>
    </w:p>
    <w:p w14:paraId="5BF8398B">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4.13</w:t>
      </w:r>
      <w:r>
        <w:rPr>
          <w:rFonts w:hint="eastAsia" w:asciiTheme="minorEastAsia" w:hAnsiTheme="minorEastAsia" w:eastAsiaTheme="minorEastAsia"/>
          <w:sz w:val="24"/>
          <w:highlight w:val="none"/>
        </w:rPr>
        <w:t>服务合同期满或提前解除、终止后，应将使用采购人的设备、档案资料、信息数据等财物按照采购人确认的财产清单交还给采购人。</w:t>
      </w:r>
    </w:p>
    <w:p w14:paraId="19493555">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4.14</w:t>
      </w:r>
      <w:r>
        <w:rPr>
          <w:rFonts w:hint="eastAsia" w:asciiTheme="minorEastAsia" w:hAnsiTheme="minorEastAsia" w:eastAsiaTheme="minorEastAsia"/>
          <w:sz w:val="24"/>
          <w:highlight w:val="none"/>
        </w:rPr>
        <w:t>本项目咨询服务工作须按采购人要求的时间完成。</w:t>
      </w:r>
    </w:p>
    <w:p w14:paraId="6BDC806B">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w:t>
      </w:r>
      <w:r>
        <w:rPr>
          <w:rFonts w:hint="eastAsia" w:asciiTheme="minorEastAsia" w:hAnsiTheme="minorEastAsia" w:eastAsiaTheme="minorEastAsia"/>
          <w:sz w:val="24"/>
          <w:highlight w:val="none"/>
        </w:rPr>
        <w:t>5服务单位应按采购人要求提供服务成果，接受采购人或上级主管部门及相关主管部门的审查，并对相关问题做出澄清和解答。</w:t>
      </w:r>
    </w:p>
    <w:p w14:paraId="60053A60">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4.16</w:t>
      </w:r>
      <w:r>
        <w:rPr>
          <w:rFonts w:hint="eastAsia" w:asciiTheme="minorEastAsia" w:hAnsiTheme="minorEastAsia" w:eastAsiaTheme="minorEastAsia"/>
          <w:sz w:val="24"/>
          <w:highlight w:val="none"/>
        </w:rPr>
        <w:t xml:space="preserve"> 服务单位在咨询服务过程中，如果发生侵犯专利权的行为而引起索赔或诉讼，则服务单位应承担全部责任，并保障采购人免于承担由此造成的一切损害和损失。</w:t>
      </w:r>
    </w:p>
    <w:p w14:paraId="16B7EBCD">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50" w:name="_Toc387773191"/>
      <w:bookmarkStart w:id="51" w:name="_Toc470619305"/>
      <w:bookmarkStart w:id="52" w:name="_Toc381015377"/>
      <w:bookmarkStart w:id="53" w:name="_Toc40280344"/>
      <w:bookmarkStart w:id="54" w:name="_Toc313903291"/>
      <w:bookmarkStart w:id="55" w:name="_Toc390785021"/>
      <w:bookmarkStart w:id="56" w:name="_Toc387768384"/>
      <w:r>
        <w:rPr>
          <w:rFonts w:hint="eastAsia" w:asciiTheme="minorEastAsia" w:hAnsiTheme="minorEastAsia" w:eastAsiaTheme="minorEastAsia"/>
          <w:b/>
          <w:bCs/>
          <w:sz w:val="30"/>
          <w:szCs w:val="32"/>
          <w:highlight w:val="none"/>
        </w:rPr>
        <w:t>五、违约与赔偿</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1AEE29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业主的违约</w:t>
      </w:r>
    </w:p>
    <w:p w14:paraId="54C2B4F8">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⑴ 由于业主变更计划，或未按期提供必需的资料、工作条件，而造成返工或修改，业主应按服务单位实际增加的工作量（以服务单位已提供的成果为准）支付服务单位增加工作量的费用，由此拖延的周期应由业主负责。</w:t>
      </w:r>
    </w:p>
    <w:p w14:paraId="09729988">
      <w:pPr>
        <w:snapToGrid w:val="0"/>
        <w:spacing w:line="360" w:lineRule="auto"/>
        <w:ind w:firstLine="480" w:firstLineChars="200"/>
        <w:contextualSpacing/>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⑵ 在合同履行期间，业主要求终止或解除合同（但仅指非服务单位原因造成），业主应按服务单位完成的实际工作量支付费用。</w:t>
      </w:r>
      <w:r>
        <w:rPr>
          <w:rFonts w:hint="eastAsia" w:asciiTheme="minorEastAsia" w:hAnsiTheme="minorEastAsia" w:eastAsiaTheme="minorEastAsia"/>
          <w:sz w:val="24"/>
          <w:highlight w:val="none"/>
          <w:lang w:val="en-US" w:eastAsia="zh-CN"/>
        </w:rPr>
        <w:t>如果服务单位未能按期提交文件且经业主催告后仍不能够提交，或者编制报告不达标且修改完善后仍达不到业主要求的，业主有权终止或解除合同，并且不用向服务单位支付任何费用。</w:t>
      </w:r>
    </w:p>
    <w:p w14:paraId="229F8F6A">
      <w:pPr>
        <w:snapToGrid w:val="0"/>
        <w:spacing w:line="360" w:lineRule="auto"/>
        <w:ind w:firstLine="480" w:firstLineChars="200"/>
        <w:contextualSpacing/>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5.2</w:t>
      </w:r>
      <w:r>
        <w:rPr>
          <w:rFonts w:hint="eastAsia" w:asciiTheme="minorEastAsia" w:hAnsiTheme="minorEastAsia" w:eastAsiaTheme="minorEastAsia"/>
          <w:sz w:val="24"/>
          <w:highlight w:val="none"/>
        </w:rPr>
        <w:t>服务单位的违约</w:t>
      </w:r>
    </w:p>
    <w:p w14:paraId="047A3B68">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⑴ 如果乙方将任务转包或者未经甲方同意分包，除由有关部门给予处罚外，甲方将扣除合同价的5%～10%，作为违约金。</w:t>
      </w:r>
    </w:p>
    <w:p w14:paraId="0BDD5AFA">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⑵ 乙方未按照国家现行的标准或规范开展工作、编制相应报告，或未根据甲方的指令进行变更，给甲方造成损失等，如发生上述任何行为，除由有关部门给予处罚外，甲方将扣除合同价的5%～10%作为违约金。</w:t>
      </w:r>
    </w:p>
    <w:p w14:paraId="2ABCE2E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⑶ 因编制报告深度不够、质量低劣、不符合国家文件规定或报告未获审查通过、引起返工而造成的质量问题除由乙方负责继续完善报告编制外，应视造成的损失，甲方可扣除乙方合同价的2%～10%作为违约金。</w:t>
      </w:r>
    </w:p>
    <w:p w14:paraId="7996B494">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⑷ 如果乙方未能按期提交文件（甲方同意延长期限的情况除外），则每延期15天（不足15天按15天计），甲方将扣除合同费用总金额的</w:t>
      </w:r>
      <w:r>
        <w:rPr>
          <w:rFonts w:asciiTheme="minorEastAsia" w:hAnsiTheme="minorEastAsia" w:eastAsiaTheme="minorEastAsia"/>
          <w:sz w:val="24"/>
          <w:highlight w:val="none"/>
        </w:rPr>
        <w:t>1.5</w:t>
      </w:r>
      <w:r>
        <w:rPr>
          <w:rFonts w:hint="eastAsia" w:asciiTheme="minorEastAsia" w:hAnsiTheme="minorEastAsia" w:eastAsiaTheme="minorEastAsia"/>
          <w:sz w:val="24"/>
          <w:highlight w:val="none"/>
        </w:rPr>
        <w:t>%作为违约金。</w:t>
      </w:r>
    </w:p>
    <w:p w14:paraId="71C7AE1C">
      <w:pPr>
        <w:snapToGrid w:val="0"/>
        <w:spacing w:line="360" w:lineRule="auto"/>
        <w:ind w:firstLine="480" w:firstLineChars="200"/>
        <w:contextualSpacing/>
        <w:rPr>
          <w:rFonts w:ascii="宋体" w:hAnsi="宋体"/>
          <w:sz w:val="24"/>
          <w:highlight w:val="none"/>
        </w:rPr>
      </w:pPr>
      <w:r>
        <w:rPr>
          <w:rFonts w:hint="eastAsia" w:asciiTheme="minorEastAsia" w:hAnsiTheme="minorEastAsia" w:eastAsiaTheme="minorEastAsia"/>
          <w:sz w:val="24"/>
          <w:highlight w:val="none"/>
        </w:rPr>
        <w:t>⑸ 合同生效后，</w:t>
      </w:r>
      <w:r>
        <w:rPr>
          <w:rFonts w:hint="eastAsia" w:ascii="宋体" w:hAnsi="宋体"/>
          <w:sz w:val="24"/>
          <w:highlight w:val="none"/>
        </w:rPr>
        <w:t>项目负责人和其他主要人员、主要技术人员应与响应文件及合同一致，不得更换，除非出现特殊原因【特殊健康原因（须省辖市级或以上医院证明）、辞职、身故】等确实不能履行合同的情况。</w:t>
      </w:r>
    </w:p>
    <w:p w14:paraId="76E8138C">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如果乙方更换投标响应文件中承诺的项目负责人和其他主要人员、主要技术人员，必须征得业主的同意，并且更换人员的水平不得低于原有的水平，同时，甲方将保留对乙方罚款的权力：其中非特殊原因更换项目负责人按2.5万元/人次处以违约金 ，非特殊原因更换其他主要人员按1万元/人次处以违约金。</w:t>
      </w:r>
    </w:p>
    <w:p w14:paraId="4152B92F">
      <w:pPr>
        <w:snapToGrid w:val="0"/>
        <w:spacing w:line="360" w:lineRule="auto"/>
        <w:ind w:firstLine="480" w:firstLineChars="200"/>
        <w:contextualSpacing/>
        <w:rPr>
          <w:rFonts w:ascii="宋体" w:hAnsi="宋体"/>
          <w:sz w:val="24"/>
          <w:highlight w:val="none"/>
        </w:rPr>
      </w:pPr>
      <w:r>
        <w:rPr>
          <w:rFonts w:hint="eastAsia" w:asciiTheme="minorEastAsia" w:hAnsiTheme="minorEastAsia" w:eastAsiaTheme="minorEastAsia"/>
          <w:sz w:val="24"/>
          <w:highlight w:val="none"/>
        </w:rPr>
        <w:t>（6）合同生效后，</w:t>
      </w:r>
      <w:r>
        <w:rPr>
          <w:rFonts w:hint="eastAsia" w:ascii="宋体" w:hAnsi="宋体"/>
          <w:sz w:val="24"/>
          <w:highlight w:val="none"/>
        </w:rPr>
        <w:t>若乙方提出终止合同，乙方应承担以下违约责任：</w:t>
      </w:r>
    </w:p>
    <w:p w14:paraId="1D9726E1">
      <w:pPr>
        <w:snapToGrid w:val="0"/>
        <w:spacing w:line="360" w:lineRule="auto"/>
        <w:ind w:firstLine="480" w:firstLineChars="200"/>
        <w:contextualSpacing/>
        <w:rPr>
          <w:rFonts w:ascii="宋体" w:hAnsi="宋体"/>
          <w:sz w:val="24"/>
          <w:highlight w:val="none"/>
        </w:rPr>
      </w:pPr>
      <w:r>
        <w:rPr>
          <w:rFonts w:hint="eastAsia" w:ascii="宋体" w:hAnsi="宋体"/>
          <w:sz w:val="24"/>
          <w:highlight w:val="none"/>
        </w:rPr>
        <w:t>乙方应向甲方支付违约金。违约金的数额应足以弥补甲方因乙方违约而遭受的直接经济损失，包括但不限于重新寻找供应商的费用、工程延误导致的损失等；</w:t>
      </w:r>
    </w:p>
    <w:p w14:paraId="4ABB584F">
      <w:pPr>
        <w:snapToGrid w:val="0"/>
        <w:spacing w:line="360" w:lineRule="auto"/>
        <w:ind w:firstLine="480" w:firstLineChars="200"/>
        <w:contextualSpacing/>
        <w:rPr>
          <w:rFonts w:ascii="宋体" w:hAnsi="宋体"/>
          <w:sz w:val="24"/>
          <w:highlight w:val="none"/>
        </w:rPr>
      </w:pPr>
      <w:r>
        <w:rPr>
          <w:rFonts w:hint="eastAsia" w:ascii="宋体" w:hAnsi="宋体"/>
          <w:sz w:val="24"/>
          <w:highlight w:val="none"/>
        </w:rPr>
        <w:t>乙方应赔偿甲方因合同终止而遭受的全部损失。损失包括但不限于已投入的工程成本、预期利润损失、因工程延误而产生的额外费用（如租金增加、设备闲置费用等）、对第三方的赔偿责任以及为解决争议而支付的合理费用（如律师费、诉讼费、鉴定费等）；</w:t>
      </w:r>
    </w:p>
    <w:p w14:paraId="1037AEFC">
      <w:pPr>
        <w:snapToGrid w:val="0"/>
        <w:spacing w:line="360" w:lineRule="auto"/>
        <w:ind w:firstLine="480" w:firstLineChars="200"/>
        <w:contextualSpacing/>
        <w:rPr>
          <w:rFonts w:ascii="宋体" w:hAnsi="宋体"/>
          <w:sz w:val="24"/>
          <w:highlight w:val="none"/>
        </w:rPr>
      </w:pPr>
      <w:r>
        <w:rPr>
          <w:rFonts w:hint="eastAsia" w:ascii="宋体" w:hAnsi="宋体"/>
          <w:sz w:val="24"/>
          <w:highlight w:val="none"/>
        </w:rPr>
        <w:t>乙方应在合同终止后的5日内，与甲方或甲方指定的第三方完成工程交接工作，包括但不限于移交项目资料、已完成的研究工作内容等。若因乙方原因导致交接工作延误或无法完成，乙方应承担由此产生的一切后果和费用；</w:t>
      </w:r>
    </w:p>
    <w:p w14:paraId="4340BCAF">
      <w:pPr>
        <w:snapToGrid w:val="0"/>
        <w:spacing w:line="360" w:lineRule="auto"/>
        <w:ind w:firstLine="480" w:firstLineChars="200"/>
        <w:contextualSpacing/>
        <w:rPr>
          <w:rFonts w:ascii="宋体" w:hAnsi="宋体"/>
          <w:sz w:val="24"/>
          <w:highlight w:val="none"/>
        </w:rPr>
      </w:pPr>
      <w:r>
        <w:rPr>
          <w:rFonts w:hint="eastAsia" w:ascii="宋体" w:hAnsi="宋体"/>
          <w:sz w:val="24"/>
          <w:highlight w:val="none"/>
        </w:rPr>
        <w:t>乙方除应承担由此给甲方带来的包括但不限于上述一切直接损失，乙方还应承担因违约终止合同而产生的其他法律责任和后果，包括但不限于恢复原状、消除影响等。</w:t>
      </w:r>
    </w:p>
    <w:p w14:paraId="2D58AA54">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若发生上述⑴—⑶情况中任一款甲方有权收回已委托乙方的全部或部分工作，乙方无条件接受。</w:t>
      </w:r>
    </w:p>
    <w:p w14:paraId="3749DB59">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责任的期限</w:t>
      </w:r>
    </w:p>
    <w:p w14:paraId="29C2AEF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服务单位与业主双方的责任与义务期限为合同协议书或合同条款规定的时间范围。</w:t>
      </w:r>
    </w:p>
    <w:p w14:paraId="2B59D244">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57" w:name="_Toc40280345"/>
      <w:bookmarkStart w:id="58" w:name="_Toc286308347"/>
      <w:bookmarkStart w:id="59" w:name="_Toc10189313"/>
      <w:bookmarkStart w:id="60" w:name="_Toc230492381"/>
      <w:bookmarkStart w:id="61" w:name="_Toc313903292"/>
      <w:bookmarkStart w:id="62" w:name="_Toc275422874"/>
      <w:bookmarkStart w:id="63" w:name="_Toc14857562"/>
      <w:bookmarkStart w:id="64" w:name="_Toc470619306"/>
      <w:bookmarkStart w:id="65" w:name="_Toc390785022"/>
      <w:bookmarkStart w:id="66" w:name="_Toc295408759"/>
      <w:bookmarkStart w:id="67" w:name="_Toc381015378"/>
      <w:bookmarkStart w:id="68" w:name="_Toc387773192"/>
      <w:bookmarkStart w:id="69" w:name="_Toc387768385"/>
      <w:bookmarkStart w:id="70" w:name="_Toc275422758"/>
      <w:r>
        <w:rPr>
          <w:rFonts w:hint="eastAsia" w:asciiTheme="minorEastAsia" w:hAnsiTheme="minorEastAsia" w:eastAsiaTheme="minorEastAsia"/>
          <w:b/>
          <w:bCs/>
          <w:sz w:val="30"/>
          <w:szCs w:val="32"/>
          <w:highlight w:val="none"/>
        </w:rPr>
        <w:t>六、合同的开始、完成、变更与终止</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411B6B8A">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合同的生效</w:t>
      </w:r>
    </w:p>
    <w:p w14:paraId="55C2A058">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合同书自双方签字盖章后所有合同文件生效。服务单位工作的开始和完成时间按照合同书的规定执行。</w:t>
      </w:r>
    </w:p>
    <w:p w14:paraId="29BC65A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延误</w:t>
      </w:r>
    </w:p>
    <w:p w14:paraId="0658C43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由于业主或不可预见的自然或社会因素，导致服务增加和时间延续则：</w:t>
      </w:r>
    </w:p>
    <w:p w14:paraId="70E53437">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（1）服务单位应将此情况与可能产生的影响尽快通知业主，并采取合理措施使损失减少到最小；</w:t>
      </w:r>
    </w:p>
    <w:p w14:paraId="4FF33C17">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（2）服务单位应保持详细原始记录作为业主支付费用的依据。</w:t>
      </w:r>
    </w:p>
    <w:p w14:paraId="474F44A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业主在与服务单位协商后应相应地延长服务单位的工作期限并增付费用。</w:t>
      </w:r>
    </w:p>
    <w:p w14:paraId="3B26AE7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变更</w:t>
      </w:r>
    </w:p>
    <w:p w14:paraId="233BFEF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在履约期内，经双方协商一致，可就合同约定内容、合同时间等以补充合同的方式进行变更。此类工作应视为已含入相关报价中，业主不再另行支付费用。</w:t>
      </w:r>
    </w:p>
    <w:p w14:paraId="203A2E3C">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推迟与终止</w:t>
      </w:r>
    </w:p>
    <w:p w14:paraId="534B7ECA">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（1）业主可以在至少28天以前以书面形式通知服务单位暂停全部或部分工作或终止本合同协议书，一旦收到此类通知，服务单位应立即安排停止计划并将开支减到最小。</w:t>
      </w:r>
    </w:p>
    <w:p w14:paraId="6B979861">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业主认为服务单位无正当理由而未履行本合同规定的责任与义务时，应书面通知服务单位，并说明理由。若业主在21天内没有收到满意的答复，业主可以发出进一步的通知终止本合同，但此进一步的通知必须在第一个通知发出28天后发出。</w:t>
      </w:r>
    </w:p>
    <w:p w14:paraId="7D39868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（3）费用结清后，本合同自动终止。</w:t>
      </w:r>
    </w:p>
    <w:p w14:paraId="7144AE9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合同终止不影响权利和责任</w:t>
      </w:r>
    </w:p>
    <w:p w14:paraId="3C19F72C">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不论何种原因，本合同的终止，不应损害和影响各方应有权利、索赔要求和应负的责任。</w:t>
      </w:r>
    </w:p>
    <w:p w14:paraId="37221481">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71" w:name="_Toc387773193"/>
      <w:bookmarkStart w:id="72" w:name="_Toc10189314"/>
      <w:bookmarkStart w:id="73" w:name="_Toc40280346"/>
      <w:bookmarkStart w:id="74" w:name="_Toc381015379"/>
      <w:bookmarkStart w:id="75" w:name="_Toc313903293"/>
      <w:bookmarkStart w:id="76" w:name="_Toc387768386"/>
      <w:bookmarkStart w:id="77" w:name="_Toc295408760"/>
      <w:bookmarkStart w:id="78" w:name="_Toc470619307"/>
      <w:bookmarkStart w:id="79" w:name="_Toc286308348"/>
      <w:bookmarkStart w:id="80" w:name="_Toc275422759"/>
      <w:bookmarkStart w:id="81" w:name="_Toc275422875"/>
      <w:bookmarkStart w:id="82" w:name="_Toc390785023"/>
      <w:bookmarkStart w:id="83" w:name="_Toc230492382"/>
      <w:bookmarkStart w:id="84" w:name="_Toc14857563"/>
      <w:r>
        <w:rPr>
          <w:rFonts w:hint="eastAsia" w:asciiTheme="minorEastAsia" w:hAnsiTheme="minorEastAsia" w:eastAsiaTheme="minorEastAsia"/>
          <w:b/>
          <w:bCs/>
          <w:sz w:val="30"/>
          <w:szCs w:val="32"/>
          <w:highlight w:val="none"/>
        </w:rPr>
        <w:t>七、费用与支付</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3A3D520">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服务费用</w:t>
      </w:r>
    </w:p>
    <w:p w14:paraId="475C4491">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本项目采用固定总价合同，合同价</w:t>
      </w:r>
      <w:r>
        <w:rPr>
          <w:rFonts w:hint="eastAsia" w:cs="仿宋_GB2312" w:asciiTheme="minorEastAsia" w:hAnsiTheme="minorEastAsia" w:eastAsiaTheme="minorEastAsia"/>
          <w:sz w:val="24"/>
          <w:highlight w:val="none"/>
          <w:lang w:val="zh-CN"/>
        </w:rPr>
        <w:t>包括但不限于</w:t>
      </w:r>
      <w:r>
        <w:rPr>
          <w:rFonts w:hint="eastAsia" w:cs="仿宋_GB2312" w:asciiTheme="minorEastAsia" w:hAnsiTheme="minorEastAsia" w:eastAsiaTheme="minorEastAsia"/>
          <w:color w:val="000000" w:themeColor="text1"/>
          <w:sz w:val="24"/>
          <w:highlight w:val="none"/>
          <w:lang w:val="zh-CN"/>
          <w14:textFill>
            <w14:solidFill>
              <w14:schemeClr w14:val="tx1"/>
            </w14:solidFill>
          </w14:textFill>
        </w:rPr>
        <w:t>实施和完成</w:t>
      </w:r>
      <w:r>
        <w:rPr>
          <w:rFonts w:hint="eastAsia" w:cs="仿宋_GB2312" w:asciiTheme="minorEastAsia" w:hAnsiTheme="minorEastAsia" w:eastAsiaTheme="minorEastAsia"/>
          <w:sz w:val="24"/>
          <w:highlight w:val="none"/>
          <w:lang w:val="zh-CN"/>
        </w:rPr>
        <w:t>此项工作</w:t>
      </w:r>
      <w:r>
        <w:rPr>
          <w:rFonts w:hint="eastAsia" w:ascii="宋体" w:hAnsi="宋体" w:cs="宋体"/>
          <w:sz w:val="24"/>
          <w:highlight w:val="none"/>
          <w:lang w:val="zh-CN"/>
        </w:rPr>
        <w:t>并提供全套成果文件</w:t>
      </w:r>
      <w:r>
        <w:rPr>
          <w:rFonts w:hint="eastAsia" w:cs="仿宋_GB2312" w:asciiTheme="minorEastAsia" w:hAnsiTheme="minorEastAsia" w:eastAsiaTheme="minorEastAsia"/>
          <w:sz w:val="24"/>
          <w:highlight w:val="none"/>
          <w:lang w:val="zh-CN"/>
        </w:rPr>
        <w:t>所投入的人员、车辆、仪器设备、</w:t>
      </w:r>
      <w:r>
        <w:rPr>
          <w:rFonts w:hint="eastAsia" w:ascii="宋体" w:hAnsi="宋体" w:cs="宋体"/>
          <w:sz w:val="24"/>
          <w:highlight w:val="none"/>
          <w:lang w:val="zh-CN"/>
        </w:rPr>
        <w:t>材料</w:t>
      </w:r>
      <w:r>
        <w:rPr>
          <w:rFonts w:hint="eastAsia" w:cs="仿宋_GB2312" w:asciiTheme="minorEastAsia" w:hAnsiTheme="minorEastAsia" w:eastAsiaTheme="minorEastAsia"/>
          <w:sz w:val="24"/>
          <w:highlight w:val="none"/>
          <w:lang w:val="zh-CN"/>
        </w:rPr>
        <w:t>、现场调查、资料收集、数据采集、</w:t>
      </w:r>
      <w:r>
        <w:rPr>
          <w:rFonts w:hint="eastAsia" w:cs="仿宋_GB2312" w:asciiTheme="minorEastAsia" w:hAnsiTheme="minorEastAsia" w:eastAsiaTheme="minorEastAsia"/>
          <w:sz w:val="24"/>
          <w:highlight w:val="none"/>
        </w:rPr>
        <w:t>数据梳理、报告编制、</w:t>
      </w:r>
      <w:r>
        <w:rPr>
          <w:rFonts w:hint="eastAsia" w:cs="仿宋_GB2312" w:asciiTheme="minorEastAsia" w:hAnsiTheme="minorEastAsia" w:eastAsiaTheme="minorEastAsia"/>
          <w:sz w:val="24"/>
          <w:highlight w:val="none"/>
          <w:lang w:val="zh-CN"/>
        </w:rPr>
        <w:t>外围协调、分析评估、整理汇总、评审、验收、</w:t>
      </w:r>
      <w:r>
        <w:rPr>
          <w:rFonts w:hint="eastAsia" w:ascii="宋体" w:hAnsi="宋体" w:cs="宋体"/>
          <w:sz w:val="24"/>
          <w:highlight w:val="none"/>
          <w:lang w:val="zh-CN"/>
        </w:rPr>
        <w:t>燃料动力费、会议费、</w:t>
      </w:r>
      <w:r>
        <w:rPr>
          <w:rFonts w:hint="eastAsia" w:cs="仿宋_GB2312" w:asciiTheme="minorEastAsia" w:hAnsiTheme="minorEastAsia" w:eastAsiaTheme="minorEastAsia"/>
          <w:sz w:val="24"/>
          <w:highlight w:val="none"/>
          <w:lang w:val="zh-CN"/>
        </w:rPr>
        <w:t>专家咨询费、出版印刷费、</w:t>
      </w:r>
      <w:r>
        <w:rPr>
          <w:rFonts w:hint="eastAsia" w:ascii="宋体" w:hAnsi="宋体" w:cs="宋体"/>
          <w:sz w:val="24"/>
          <w:highlight w:val="none"/>
          <w:lang w:val="zh-CN"/>
        </w:rPr>
        <w:t>公司取费、法定税金、利润等与履行合同有关的</w:t>
      </w:r>
      <w:r>
        <w:rPr>
          <w:rFonts w:hint="eastAsia" w:cs="仿宋_GB2312" w:asciiTheme="minorEastAsia" w:hAnsiTheme="minorEastAsia" w:eastAsiaTheme="minorEastAsia"/>
          <w:sz w:val="24"/>
          <w:highlight w:val="none"/>
          <w:lang w:val="zh-CN"/>
        </w:rPr>
        <w:t>一切费用</w:t>
      </w:r>
      <w:r>
        <w:rPr>
          <w:rFonts w:hint="eastAsia" w:ascii="宋体" w:hAnsi="宋体" w:cs="宋体"/>
          <w:sz w:val="24"/>
          <w:highlight w:val="none"/>
          <w:lang w:val="zh-CN"/>
        </w:rPr>
        <w:t>以及合同明示或暗示的所有一般风险责任和义务费用</w:t>
      </w:r>
      <w:r>
        <w:rPr>
          <w:rFonts w:hint="eastAsia" w:cs="仿宋_GB2312" w:asciiTheme="minorEastAsia" w:hAnsiTheme="minorEastAsia" w:eastAsiaTheme="minorEastAsia"/>
          <w:sz w:val="24"/>
          <w:highlight w:val="none"/>
          <w:lang w:val="zh-CN"/>
        </w:rPr>
        <w:t>。</w:t>
      </w:r>
    </w:p>
    <w:p w14:paraId="18BBB83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服务费用的支付</w:t>
      </w:r>
    </w:p>
    <w:p w14:paraId="1D41AC24">
      <w:pPr>
        <w:snapToGrid w:val="0"/>
        <w:spacing w:line="360" w:lineRule="auto"/>
        <w:ind w:firstLine="480" w:firstLineChars="200"/>
        <w:contextualSpacing/>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本项目为总价合同。</w:t>
      </w:r>
    </w:p>
    <w:p w14:paraId="6E19E7EA">
      <w:pPr>
        <w:snapToGrid w:val="0"/>
        <w:spacing w:line="360" w:lineRule="auto"/>
        <w:ind w:firstLine="480" w:firstLineChars="200"/>
        <w:contextualSpacing/>
        <w:rPr>
          <w:rFonts w:cs="仿宋_GB2312" w:asciiTheme="minorEastAsia" w:hAnsiTheme="minorEastAsia" w:eastAsiaTheme="minorEastAsia"/>
          <w:sz w:val="24"/>
          <w:highlight w:val="none"/>
          <w:lang w:val="zh-CN"/>
        </w:rPr>
      </w:pPr>
      <w:r>
        <w:rPr>
          <w:rFonts w:hint="eastAsia" w:cs="仿宋_GB2312" w:asciiTheme="minorEastAsia" w:hAnsiTheme="minorEastAsia" w:eastAsiaTheme="minorEastAsia"/>
          <w:sz w:val="24"/>
          <w:highlight w:val="none"/>
          <w:lang w:val="zh-CN"/>
        </w:rPr>
        <w:t>支付方式为：合同签订后且收到供应商发票后</w:t>
      </w:r>
      <w:r>
        <w:rPr>
          <w:rFonts w:hint="eastAsia" w:cs="宋体" w:asciiTheme="minorEastAsia" w:hAnsiTheme="minorEastAsia" w:eastAsiaTheme="minorEastAsia"/>
          <w:kern w:val="0"/>
          <w:sz w:val="24"/>
          <w:highlight w:val="none"/>
        </w:rPr>
        <w:t>10个工作日内</w:t>
      </w:r>
      <w:r>
        <w:rPr>
          <w:rFonts w:hint="eastAsia" w:cs="仿宋_GB2312" w:asciiTheme="minorEastAsia" w:hAnsiTheme="minorEastAsia" w:eastAsiaTheme="minorEastAsia"/>
          <w:sz w:val="24"/>
          <w:highlight w:val="none"/>
          <w:lang w:val="zh-CN"/>
        </w:rPr>
        <w:t>拨付合同价的30%；《南通市“十五五”</w:t>
      </w:r>
      <w:r>
        <w:rPr>
          <w:rFonts w:hint="eastAsia" w:cs="仿宋_GB2312" w:asciiTheme="minorEastAsia" w:hAnsiTheme="minorEastAsia" w:eastAsiaTheme="minorEastAsia"/>
          <w:sz w:val="24"/>
          <w:highlight w:val="none"/>
        </w:rPr>
        <w:t>公路高质量发展研究报告</w:t>
      </w:r>
      <w:r>
        <w:rPr>
          <w:rFonts w:hint="eastAsia" w:cs="仿宋_GB2312" w:asciiTheme="minorEastAsia" w:hAnsiTheme="minorEastAsia" w:eastAsiaTheme="minorEastAsia"/>
          <w:sz w:val="24"/>
          <w:highlight w:val="none"/>
          <w:lang w:val="zh-CN"/>
        </w:rPr>
        <w:t>》最终成果通过采购人评审且收到供应商发票后</w:t>
      </w:r>
      <w:r>
        <w:rPr>
          <w:rFonts w:hint="eastAsia" w:cs="宋体" w:asciiTheme="minorEastAsia" w:hAnsiTheme="minorEastAsia" w:eastAsiaTheme="minorEastAsia"/>
          <w:kern w:val="0"/>
          <w:sz w:val="24"/>
          <w:highlight w:val="none"/>
        </w:rPr>
        <w:t>10个工作日内</w:t>
      </w:r>
      <w:r>
        <w:rPr>
          <w:rFonts w:hint="eastAsia" w:cs="仿宋_GB2312" w:asciiTheme="minorEastAsia" w:hAnsiTheme="minorEastAsia" w:eastAsiaTheme="minorEastAsia"/>
          <w:sz w:val="24"/>
          <w:highlight w:val="none"/>
          <w:lang w:val="zh-CN"/>
        </w:rPr>
        <w:t>拨付合同价的30%；《南通市“十五五”</w:t>
      </w:r>
      <w:r>
        <w:rPr>
          <w:rFonts w:hint="eastAsia" w:cs="仿宋_GB2312" w:asciiTheme="minorEastAsia" w:hAnsiTheme="minorEastAsia" w:eastAsiaTheme="minorEastAsia"/>
          <w:sz w:val="24"/>
          <w:highlight w:val="none"/>
        </w:rPr>
        <w:t>公路高质量发展研究报告</w:t>
      </w:r>
      <w:r>
        <w:rPr>
          <w:rFonts w:hint="eastAsia" w:cs="仿宋_GB2312" w:asciiTheme="minorEastAsia" w:hAnsiTheme="minorEastAsia" w:eastAsiaTheme="minorEastAsia"/>
          <w:sz w:val="24"/>
          <w:highlight w:val="none"/>
          <w:lang w:val="zh-CN"/>
        </w:rPr>
        <w:t>中期评估》通过采购人评审且收到供应商发票后</w:t>
      </w:r>
      <w:r>
        <w:rPr>
          <w:rFonts w:hint="eastAsia" w:cs="宋体" w:asciiTheme="minorEastAsia" w:hAnsiTheme="minorEastAsia" w:eastAsiaTheme="minorEastAsia"/>
          <w:kern w:val="0"/>
          <w:sz w:val="24"/>
          <w:highlight w:val="none"/>
        </w:rPr>
        <w:t>10个工作日</w:t>
      </w:r>
      <w:r>
        <w:rPr>
          <w:rFonts w:hint="eastAsia" w:cs="仿宋_GB2312" w:asciiTheme="minorEastAsia" w:hAnsiTheme="minorEastAsia" w:eastAsiaTheme="minorEastAsia"/>
          <w:sz w:val="24"/>
          <w:highlight w:val="none"/>
          <w:lang w:val="zh-CN"/>
        </w:rPr>
        <w:t>内拨付合同价的30%；完成2025-2030年南通地区普通国省道规划落地方案相关工作且收到供应商发票后</w:t>
      </w:r>
      <w:r>
        <w:rPr>
          <w:rFonts w:hint="eastAsia" w:cs="宋体" w:asciiTheme="minorEastAsia" w:hAnsiTheme="minorEastAsia" w:eastAsiaTheme="minorEastAsia"/>
          <w:kern w:val="0"/>
          <w:sz w:val="24"/>
          <w:highlight w:val="none"/>
        </w:rPr>
        <w:t>10个工作日内</w:t>
      </w:r>
      <w:r>
        <w:rPr>
          <w:rFonts w:hint="eastAsia" w:cs="仿宋_GB2312" w:asciiTheme="minorEastAsia" w:hAnsiTheme="minorEastAsia" w:eastAsiaTheme="minorEastAsia"/>
          <w:sz w:val="24"/>
          <w:highlight w:val="none"/>
          <w:lang w:val="zh-CN"/>
        </w:rPr>
        <w:t>拨付合同价的10%。以上付款均不计利息。</w:t>
      </w:r>
    </w:p>
    <w:p w14:paraId="1FBC9BB2">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7.3服务费用的调整</w:t>
      </w:r>
    </w:p>
    <w:p w14:paraId="466F4C65">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在合同实施期间，服务费用不随国家政策或法规、标准及市场因素的变化而进行调整，也不因实际服务周期延长或缩短以及服务范围的扩大或减小而调整。</w:t>
      </w:r>
    </w:p>
    <w:p w14:paraId="4899A7EF">
      <w:pPr>
        <w:keepNext/>
        <w:keepLines/>
        <w:numPr>
          <w:ilvl w:val="2"/>
          <w:numId w:val="0"/>
        </w:numPr>
        <w:spacing w:line="360" w:lineRule="auto"/>
        <w:jc w:val="center"/>
        <w:outlineLvl w:val="2"/>
        <w:rPr>
          <w:rFonts w:asciiTheme="minorEastAsia" w:hAnsiTheme="minorEastAsia" w:eastAsiaTheme="minorEastAsia"/>
          <w:b/>
          <w:bCs/>
          <w:sz w:val="30"/>
          <w:szCs w:val="32"/>
          <w:highlight w:val="none"/>
        </w:rPr>
      </w:pPr>
      <w:bookmarkStart w:id="85" w:name="_Toc275422876"/>
      <w:bookmarkStart w:id="86" w:name="_Toc295408761"/>
      <w:bookmarkStart w:id="87" w:name="_Toc286308349"/>
      <w:bookmarkStart w:id="88" w:name="_Toc381015380"/>
      <w:bookmarkStart w:id="89" w:name="_Toc14857564"/>
      <w:bookmarkStart w:id="90" w:name="_Toc470619308"/>
      <w:bookmarkStart w:id="91" w:name="_Toc313903294"/>
      <w:bookmarkStart w:id="92" w:name="_Toc10189315"/>
      <w:bookmarkStart w:id="93" w:name="_Toc390785024"/>
      <w:bookmarkStart w:id="94" w:name="_Toc387768387"/>
      <w:bookmarkStart w:id="95" w:name="_Toc387773194"/>
      <w:bookmarkStart w:id="96" w:name="_Toc275422760"/>
      <w:bookmarkStart w:id="97" w:name="_Toc230492383"/>
      <w:bookmarkStart w:id="98" w:name="_Toc40280347"/>
      <w:r>
        <w:rPr>
          <w:rFonts w:hint="eastAsia" w:asciiTheme="minorEastAsia" w:hAnsiTheme="minorEastAsia" w:eastAsiaTheme="minorEastAsia"/>
          <w:b/>
          <w:bCs/>
          <w:sz w:val="30"/>
          <w:szCs w:val="32"/>
          <w:highlight w:val="none"/>
        </w:rPr>
        <w:t>八、其它</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FDB2CF">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8.1</w:t>
      </w:r>
      <w:r>
        <w:rPr>
          <w:rFonts w:hint="eastAsia" w:asciiTheme="minorEastAsia" w:hAnsiTheme="minorEastAsia" w:eastAsiaTheme="minorEastAsia"/>
          <w:sz w:val="24"/>
          <w:highlight w:val="none"/>
        </w:rPr>
        <w:t>法律和法规</w:t>
      </w:r>
    </w:p>
    <w:p w14:paraId="7EB468B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本合同必须服从国家的现行法律和法规，对合同的解释应以国家的现行法律和法规为准。</w:t>
      </w:r>
    </w:p>
    <w:p w14:paraId="6CC37398">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8.2</w:t>
      </w:r>
      <w:r>
        <w:rPr>
          <w:rFonts w:hint="eastAsia" w:asciiTheme="minorEastAsia" w:hAnsiTheme="minorEastAsia" w:eastAsiaTheme="minorEastAsia"/>
          <w:sz w:val="24"/>
          <w:highlight w:val="none"/>
        </w:rPr>
        <w:t>合同文件的优先次序</w:t>
      </w:r>
    </w:p>
    <w:p w14:paraId="783C624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组成合同的各个文件应该认为是一个整体，互为补充和解释，如果有模棱两可或互相矛盾处，以下面所列顺序在前者为准：</w:t>
      </w:r>
    </w:p>
    <w:p w14:paraId="711963BC">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（1）合同协议书及附件（含补遗书等澄清文件，如果有）；</w:t>
      </w:r>
    </w:p>
    <w:p w14:paraId="4EDAA551">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）成交通知书；</w:t>
      </w:r>
    </w:p>
    <w:p w14:paraId="5E29E54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）投标响应文件；</w:t>
      </w:r>
    </w:p>
    <w:p w14:paraId="0415588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）合同条款；</w:t>
      </w:r>
    </w:p>
    <w:p w14:paraId="27FA1483">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）项目需求；</w:t>
      </w:r>
    </w:p>
    <w:p w14:paraId="0B35BB8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（6）构成合同的其它文件。</w:t>
      </w:r>
    </w:p>
    <w:p w14:paraId="2E5AF4F4">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3履约保证金：本项目不设履约保证金。</w:t>
      </w:r>
    </w:p>
    <w:p w14:paraId="694ABA8C">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4转让和分包</w:t>
      </w:r>
    </w:p>
    <w:p w14:paraId="016A69C0">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（1）禁止服务单位将本合同规定的任务转让出去。</w:t>
      </w:r>
    </w:p>
    <w:p w14:paraId="5C8111B9">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（2）没有业主的同意，服务单位不能将任何任务分包出去。即使得到了业主的同意，也不应解除服务单位根据合同规定应承担的全部责任和义务，服务单位应对其分包人的工作负全部责任。</w:t>
      </w:r>
    </w:p>
    <w:p w14:paraId="467ED5FB">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5争端的解决</w:t>
      </w:r>
    </w:p>
    <w:p w14:paraId="649486DB">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本合同在执行过程中，如发生任何争端、纠纷或因违反、终止本合同而引起的对损失损害的任何赔偿，应事先协商，在服务单位和业主之间达成一致意见。如未能达成一致，向南通仲裁委员会进行仲裁。</w:t>
      </w:r>
    </w:p>
    <w:p w14:paraId="0C5245F6">
      <w:pPr>
        <w:snapToGrid w:val="0"/>
        <w:spacing w:line="360" w:lineRule="auto"/>
        <w:ind w:firstLine="480" w:firstLineChars="200"/>
        <w:contextualSpacing/>
        <w:rPr>
          <w:rFonts w:asciiTheme="minorEastAsia" w:hAnsiTheme="minorEastAsia" w:eastAsiaTheme="minorEastAsia"/>
          <w:sz w:val="24"/>
          <w:highlight w:val="none"/>
        </w:rPr>
      </w:pPr>
      <w:r>
        <w:rPr>
          <w:rFonts w:asciiTheme="minorEastAsia" w:hAnsiTheme="minorEastAsia" w:eastAsiaTheme="minorEastAsia"/>
          <w:sz w:val="24"/>
          <w:highlight w:val="none"/>
        </w:rPr>
        <w:t>8.</w:t>
      </w:r>
      <w:r>
        <w:rPr>
          <w:rFonts w:hint="eastAsia" w:asciiTheme="minorEastAsia" w:hAnsiTheme="minorEastAsia" w:eastAsiaTheme="minorEastAsia"/>
          <w:sz w:val="24"/>
          <w:highlight w:val="none"/>
        </w:rPr>
        <w:t>6版权</w:t>
      </w:r>
    </w:p>
    <w:p w14:paraId="201336BD">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服务单位应保证不会侵犯任何第三方知识产权（含因开发需要采购的中间件、操作系统等平台软件）。若出现争议，一律由服务单位承担全部责任，由此发生的一切费用均由服务单位承担。</w:t>
      </w:r>
    </w:p>
    <w:p w14:paraId="07BF1145">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成果通过验收前，任何单位和个人未经同意都无权以任何形式向第三方及社会公开展示本项目成果。</w:t>
      </w:r>
    </w:p>
    <w:p w14:paraId="6BB322CF">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8.7保密性</w:t>
      </w:r>
    </w:p>
    <w:p w14:paraId="1A93D88F">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除了根据合同履行义务和遵守适用法律以外，服务单位应将合同的详情视为秘密，应对业主提供的基础资料负保密责任。没有业主事先同意，不得在任何商业或技术论文或其它场合发表或允许发表、或透露项目的任何细节。</w:t>
      </w:r>
    </w:p>
    <w:p w14:paraId="64B69892">
      <w:pPr>
        <w:snapToGrid w:val="0"/>
        <w:spacing w:line="360" w:lineRule="auto"/>
        <w:ind w:firstLine="480" w:firstLineChars="200"/>
        <w:contextualSpacing/>
        <w:rPr>
          <w:rFonts w:asciiTheme="minorEastAsia" w:hAnsiTheme="minorEastAsia" w:eastAsiaTheme="minorEastAsia"/>
          <w:sz w:val="24"/>
          <w:highlight w:val="none"/>
        </w:rPr>
      </w:pPr>
    </w:p>
    <w:p w14:paraId="310BEBD0">
      <w:pPr>
        <w:jc w:val="left"/>
        <w:rPr>
          <w:rFonts w:asciiTheme="minorEastAsia" w:hAnsiTheme="minorEastAsia" w:eastAsiaTheme="minorEastAsia"/>
          <w:b/>
          <w:bCs/>
          <w:sz w:val="28"/>
          <w:szCs w:val="28"/>
          <w:highlight w:val="none"/>
        </w:rPr>
      </w:pPr>
      <w:r>
        <w:rPr>
          <w:rFonts w:hint="eastAsia" w:asciiTheme="minorEastAsia" w:hAnsiTheme="minorEastAsia" w:eastAsiaTheme="minorEastAsia"/>
          <w:b/>
          <w:bCs/>
          <w:sz w:val="28"/>
          <w:szCs w:val="28"/>
          <w:highlight w:val="none"/>
        </w:rPr>
        <w:br w:type="page"/>
      </w:r>
    </w:p>
    <w:p w14:paraId="0486E1E9">
      <w:pPr>
        <w:spacing w:line="360" w:lineRule="auto"/>
        <w:jc w:val="center"/>
        <w:rPr>
          <w:rFonts w:asciiTheme="minorEastAsia" w:hAnsiTheme="minorEastAsia" w:eastAsiaTheme="minorEastAsia"/>
          <w:b/>
          <w:bCs/>
          <w:sz w:val="32"/>
          <w:highlight w:val="none"/>
        </w:rPr>
      </w:pPr>
      <w:r>
        <w:rPr>
          <w:rFonts w:hint="eastAsia" w:asciiTheme="minorEastAsia" w:hAnsiTheme="minorEastAsia" w:eastAsiaTheme="minorEastAsia"/>
          <w:b/>
          <w:bCs/>
          <w:sz w:val="28"/>
          <w:szCs w:val="28"/>
          <w:highlight w:val="none"/>
        </w:rPr>
        <w:t>（二）合同附件格式</w:t>
      </w:r>
    </w:p>
    <w:p w14:paraId="36BFE9E1">
      <w:pPr>
        <w:spacing w:after="120" w:afterLines="50" w:line="360" w:lineRule="auto"/>
        <w:ind w:firstLine="562" w:firstLineChars="200"/>
        <w:jc w:val="center"/>
        <w:rPr>
          <w:rFonts w:asciiTheme="minorEastAsia" w:hAnsiTheme="minorEastAsia" w:eastAsiaTheme="minorEastAsia"/>
          <w:b/>
          <w:sz w:val="28"/>
          <w:szCs w:val="28"/>
          <w:highlight w:val="none"/>
        </w:rPr>
      </w:pPr>
      <w:r>
        <w:rPr>
          <w:rFonts w:hint="eastAsia" w:asciiTheme="minorEastAsia" w:hAnsiTheme="minorEastAsia" w:eastAsiaTheme="minorEastAsia"/>
          <w:b/>
          <w:sz w:val="28"/>
          <w:szCs w:val="28"/>
          <w:highlight w:val="none"/>
        </w:rPr>
        <w:t>合同</w:t>
      </w:r>
      <w:r>
        <w:rPr>
          <w:rFonts w:asciiTheme="minorEastAsia" w:hAnsiTheme="minorEastAsia" w:eastAsiaTheme="minorEastAsia"/>
          <w:b/>
          <w:sz w:val="28"/>
          <w:szCs w:val="28"/>
          <w:highlight w:val="none"/>
        </w:rPr>
        <w:t>协议书</w:t>
      </w:r>
    </w:p>
    <w:p w14:paraId="2B5947A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本合同书由</w:t>
      </w:r>
      <w:r>
        <w:rPr>
          <w:rFonts w:hint="eastAsia" w:cs="宋体" w:asciiTheme="minorEastAsia" w:hAnsiTheme="minorEastAsia" w:eastAsiaTheme="minorEastAsia"/>
          <w:sz w:val="24"/>
          <w:highlight w:val="none"/>
          <w:u w:val="single"/>
        </w:rPr>
        <w:t>（业主全称）</w:t>
      </w:r>
      <w:r>
        <w:rPr>
          <w:rFonts w:hint="eastAsia" w:cs="宋体" w:asciiTheme="minorEastAsia" w:hAnsiTheme="minorEastAsia" w:eastAsiaTheme="minorEastAsia"/>
          <w:sz w:val="24"/>
          <w:highlight w:val="none"/>
        </w:rPr>
        <w:t>（以下简称业主）与</w:t>
      </w:r>
      <w:r>
        <w:rPr>
          <w:rFonts w:hint="eastAsia" w:cs="宋体" w:asciiTheme="minorEastAsia" w:hAnsiTheme="minorEastAsia" w:eastAsiaTheme="minorEastAsia"/>
          <w:sz w:val="24"/>
          <w:highlight w:val="none"/>
          <w:u w:val="single"/>
        </w:rPr>
        <w:t>（服务单位全称）</w:t>
      </w:r>
      <w:r>
        <w:rPr>
          <w:rFonts w:hint="eastAsia" w:cs="宋体" w:asciiTheme="minorEastAsia" w:hAnsiTheme="minorEastAsia" w:eastAsiaTheme="minorEastAsia"/>
          <w:sz w:val="24"/>
          <w:highlight w:val="none"/>
        </w:rPr>
        <w:t>（以下简称服务单位）共同签署。双方达成如下协议：</w:t>
      </w:r>
    </w:p>
    <w:p w14:paraId="5CC83473">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1、下列文件应作为本合同的组成部分：</w:t>
      </w:r>
    </w:p>
    <w:p w14:paraId="792B5119">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（1）合同协议书及附件（含补遗书等澄清文件，如果有）；</w:t>
      </w:r>
    </w:p>
    <w:p w14:paraId="66EBA87F">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）成交通知书；</w:t>
      </w:r>
    </w:p>
    <w:p w14:paraId="335C8C06">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）投标响应文件；</w:t>
      </w:r>
    </w:p>
    <w:p w14:paraId="3A9FCFE8">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）合同条款；</w:t>
      </w:r>
    </w:p>
    <w:p w14:paraId="32160EBA">
      <w:pPr>
        <w:snapToGrid w:val="0"/>
        <w:spacing w:line="360" w:lineRule="auto"/>
        <w:ind w:firstLine="480" w:firstLineChars="200"/>
        <w:contextualSpacing/>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）项目需求；</w:t>
      </w:r>
    </w:p>
    <w:p w14:paraId="68061B58">
      <w:pPr>
        <w:spacing w:line="360" w:lineRule="auto"/>
        <w:ind w:firstLine="480" w:firstLineChars="200"/>
        <w:rPr>
          <w:rFonts w:cs="宋体" w:asciiTheme="minorEastAsia" w:hAnsiTheme="minorEastAsia" w:eastAsiaTheme="minorEastAsia"/>
          <w:sz w:val="24"/>
          <w:highlight w:val="none"/>
        </w:rPr>
      </w:pPr>
      <w:r>
        <w:rPr>
          <w:rFonts w:hint="eastAsia" w:asciiTheme="minorEastAsia" w:hAnsiTheme="minorEastAsia" w:eastAsiaTheme="minorEastAsia"/>
          <w:sz w:val="24"/>
          <w:highlight w:val="none"/>
        </w:rPr>
        <w:t>（6）构成合同的其它文件。</w:t>
      </w:r>
    </w:p>
    <w:p w14:paraId="29BE6BFE">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上述文件应认为是互为补充和解释的，但如有不明确或不一致之处，以上面所列顺序在前者为准。</w:t>
      </w:r>
    </w:p>
    <w:p w14:paraId="0FD05C96">
      <w:pPr>
        <w:tabs>
          <w:tab w:val="left" w:pos="1260"/>
        </w:tabs>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2、范围及内容</w:t>
      </w:r>
    </w:p>
    <w:p w14:paraId="264A63C6">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（1）实地调研。开展规划调研工作，充分掌握“十四五”期南通公路发展的各项目标完成情况，为后续项目库梳理奠定基础。 </w:t>
      </w:r>
    </w:p>
    <w:p w14:paraId="180FD42D">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2）编制研究报告。需要以“公路现代化”为发展方向，准确把握“十五五”时期南通市域范围的高速公路、普通国省道和农村公路发展面临的新形势、新需求、新特征，紧扣“一体化”和“高质量”两个关键词，系统研究南通市公路“十五五”期间的发展方向、实施路径、重点任务、重大项目、推进措施，建立健全公路发展的保障机制，重点剖析普通国省道发展基础、分析形势、研究目标，提出任务，测算资金需求，制定保障措施等，完成南通市“十五五”公路高质量发展研究报告。 </w:t>
      </w:r>
    </w:p>
    <w:p w14:paraId="67F80B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（3）梳理项目库。根据江苏省省道公路网规划（2023-2035年），结合“十四五”期项目执行和地方政府财力等情况，拟定“十五五”规划重点公路项目库。 </w:t>
      </w:r>
    </w:p>
    <w:p w14:paraId="75E3A2E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（4）评审及上报。开展规划各阶段成果汇报、专家评审、衔接上报等相关工作。 </w:t>
      </w:r>
    </w:p>
    <w:p w14:paraId="06FC62A3">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（5）开展南通市公路发展“十五五”规划中期评估工作。</w:t>
      </w:r>
    </w:p>
    <w:p w14:paraId="350C47FC">
      <w:pPr>
        <w:spacing w:line="360" w:lineRule="auto"/>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（6）编制普通国省道规划落地工作方案。</w:t>
      </w:r>
    </w:p>
    <w:p w14:paraId="70168337">
      <w:pPr>
        <w:pStyle w:val="53"/>
        <w:adjustRightInd w:val="0"/>
        <w:snapToGrid w:val="0"/>
        <w:spacing w:line="360" w:lineRule="auto"/>
        <w:ind w:firstLine="480" w:firstLineChars="200"/>
        <w:rPr>
          <w:rFonts w:asciiTheme="minorEastAsia" w:hAnsiTheme="minorEastAsia" w:eastAsiaTheme="minorEastAsia"/>
          <w:highlight w:val="none"/>
        </w:rPr>
      </w:pPr>
      <w:r>
        <w:rPr>
          <w:rFonts w:hint="eastAsia" w:asciiTheme="minorEastAsia" w:hAnsiTheme="minorEastAsia" w:eastAsiaTheme="minorEastAsia"/>
          <w:highlight w:val="none"/>
        </w:rPr>
        <w:t>3、服务期：</w:t>
      </w:r>
    </w:p>
    <w:p w14:paraId="462B079B">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合同签订之日起至2030年12月31日。具体如下：</w:t>
      </w:r>
    </w:p>
    <w:p w14:paraId="5CCC660D">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（1）2025年1月底前，提交形成南通市“十五五”公路高质量发展研究报告大纲、思路和重点项目谋划意见，并形成阶段性成果。</w:t>
      </w:r>
    </w:p>
    <w:p w14:paraId="577D00F5">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（2）2025年2月-6月底，开展南通市“十五五”公路高质量发展研究编制，梳理审核公路项目库，参与省市对接，完成研究报告初稿。</w:t>
      </w:r>
    </w:p>
    <w:p w14:paraId="6FDB3F4A">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（3）2025年7月-9月底，形成征求意见稿，参与省市对接，对研究报告修改完善。</w:t>
      </w:r>
    </w:p>
    <w:p w14:paraId="77B150A6">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（4）2025年10月-12月底，形成送审稿，参与省市对接，专家评审，完成衔接上报等工作（含纸质文件8套、word电子文件）。</w:t>
      </w:r>
    </w:p>
    <w:p w14:paraId="57B1A1DA">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（5）2028年7月-8月（根据采购人实际需求适时调整），组织调研，开展中期评估，完成中期评估报告（含纸质文件8套、word电子文件）。</w:t>
      </w:r>
    </w:p>
    <w:p w14:paraId="440FD8B1">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（6）2025年-2030年期间，每年协助采购人完成编制、更新南通市普通国省道落地方案表，绘制南通市普通国省道落地方案图，编制普通国省道规划落地工作方案（响应采购人要求适时提供PPT汇报文件）。</w:t>
      </w:r>
    </w:p>
    <w:p w14:paraId="0EF6A69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4、业主和服务单位双方的责任和义务及违约条款遵照合同条款的规定。</w:t>
      </w:r>
    </w:p>
    <w:p w14:paraId="2160952C">
      <w:pPr>
        <w:spacing w:line="360" w:lineRule="auto"/>
        <w:ind w:firstLine="480" w:firstLineChars="200"/>
        <w:rPr>
          <w:rFonts w:asciiTheme="minorEastAsia" w:hAnsiTheme="minorEastAsia" w:eastAsiaTheme="minorEastAsia"/>
          <w:sz w:val="24"/>
          <w:highlight w:val="none"/>
        </w:rPr>
      </w:pPr>
      <w:r>
        <w:rPr>
          <w:rFonts w:hint="eastAsia" w:cs="宋体" w:asciiTheme="minorEastAsia" w:hAnsiTheme="minorEastAsia" w:eastAsiaTheme="minorEastAsia"/>
          <w:sz w:val="24"/>
          <w:highlight w:val="none"/>
        </w:rPr>
        <w:t>5、成果提交：</w:t>
      </w:r>
      <w:r>
        <w:rPr>
          <w:rFonts w:hint="eastAsia" w:asciiTheme="minorEastAsia" w:hAnsiTheme="minorEastAsia" w:eastAsiaTheme="minorEastAsia"/>
          <w:sz w:val="24"/>
          <w:highlight w:val="none"/>
        </w:rPr>
        <w:t>提供成果文件电子版以及纸质文本8套（实施过程中根据业主需要另行提供）。</w:t>
      </w:r>
    </w:p>
    <w:p w14:paraId="243E0D9E">
      <w:pPr>
        <w:widowControl/>
        <w:adjustRightInd w:val="0"/>
        <w:snapToGrid w:val="0"/>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6、履约验收：</w:t>
      </w:r>
      <w:r>
        <w:rPr>
          <w:rFonts w:hint="eastAsia" w:cs="宋体" w:asciiTheme="minorEastAsia" w:hAnsiTheme="minorEastAsia" w:eastAsiaTheme="minorEastAsia"/>
          <w:kern w:val="0"/>
          <w:sz w:val="24"/>
          <w:highlight w:val="none"/>
        </w:rPr>
        <w:t>《南通市“十五五”公路高质量发展研究报告》、《南通市“十五五”公路高质量发展研究报告中期评估》要求分别通过采购人评审。</w:t>
      </w:r>
      <w:r>
        <w:rPr>
          <w:rFonts w:hint="eastAsia" w:cs="宋体" w:asciiTheme="minorEastAsia" w:hAnsiTheme="minorEastAsia" w:eastAsiaTheme="minorEastAsia"/>
          <w:sz w:val="24"/>
          <w:highlight w:val="none"/>
        </w:rPr>
        <w:t>成果应符合国家标准、省市相关规定和本项目采购人的要求。</w:t>
      </w:r>
    </w:p>
    <w:p w14:paraId="3C899DD2">
      <w:pPr>
        <w:tabs>
          <w:tab w:val="left" w:pos="1800"/>
        </w:tabs>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7、本项目的项目负责人为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，联系电话：</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6D7B490D">
      <w:pPr>
        <w:tabs>
          <w:tab w:val="left" w:pos="1800"/>
        </w:tabs>
        <w:spacing w:line="360" w:lineRule="auto"/>
        <w:ind w:firstLine="480" w:firstLineChars="2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8、本合同为总价合同，合同总价人民币（大写）</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元（</w:t>
      </w:r>
      <w:r>
        <w:rPr>
          <w:rFonts w:hint="eastAsia" w:cs="宋体" w:asciiTheme="minorEastAsia" w:hAnsiTheme="minorEastAsia" w:eastAsiaTheme="minorEastAsia"/>
          <w:b/>
          <w:sz w:val="24"/>
          <w:highlight w:val="none"/>
        </w:rPr>
        <w:t>¥</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w:t>
      </w:r>
    </w:p>
    <w:p w14:paraId="4A46FE79">
      <w:pPr>
        <w:snapToGrid w:val="0"/>
        <w:spacing w:line="360" w:lineRule="auto"/>
        <w:ind w:firstLine="508"/>
        <w:contextualSpacing/>
        <w:rPr>
          <w:highlight w:val="none"/>
        </w:rPr>
      </w:pPr>
      <w:r>
        <w:rPr>
          <w:rFonts w:hint="eastAsia" w:cs="宋体" w:asciiTheme="minorEastAsia" w:hAnsiTheme="minorEastAsia" w:eastAsiaTheme="minorEastAsia"/>
          <w:sz w:val="24"/>
          <w:highlight w:val="none"/>
        </w:rPr>
        <w:t>支付：</w:t>
      </w:r>
      <w:r>
        <w:rPr>
          <w:rFonts w:hint="eastAsia" w:cs="宋体" w:asciiTheme="minorEastAsia" w:hAnsiTheme="minorEastAsia" w:eastAsiaTheme="minorEastAsia"/>
          <w:kern w:val="0"/>
          <w:sz w:val="24"/>
          <w:highlight w:val="none"/>
        </w:rPr>
        <w:t>合同签订后且收到供应商发票后10个工作日内拨付合同价的30%；《南通市“十五五”公路高质量发展研究报告》最终成果通过采购人评审且收到供应商发票后10个工作日内拨付合同价的30%；《南通市“十五五”公路高质量发展研究报告中期评估》通过采购人评审且收到供应商发票后10个工作日内拨付合同价的30%；完成2025-2030年南通地区普通国省道规划落地方案相关工作且收到供应商发票后10个工作日内拨付合同价的10%。以上付款均不计利息。</w:t>
      </w:r>
    </w:p>
    <w:p w14:paraId="450E3C01">
      <w:pPr>
        <w:snapToGrid w:val="0"/>
        <w:spacing w:line="360" w:lineRule="auto"/>
        <w:ind w:firstLine="508"/>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9、本合同协议书未尽事宜由双方协商解决。</w:t>
      </w:r>
    </w:p>
    <w:p w14:paraId="2CE86677">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10、本合同在履行过程中发生的争议，由双方当事人协商解决，协商不成的，按下列第（一）种方式解决：</w:t>
      </w:r>
    </w:p>
    <w:p w14:paraId="4433755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（一）提交南通仲裁委员会仲裁；</w:t>
      </w:r>
    </w:p>
    <w:p w14:paraId="4599A1AC">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（二）依法向南通市人民法院起诉。</w:t>
      </w:r>
    </w:p>
    <w:p w14:paraId="018AEF20">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11、本协议书由双方法定代表人或其授权的代理人签字并加盖公章后生效。服务费用结清后失效。</w:t>
      </w:r>
    </w:p>
    <w:p w14:paraId="0D5861CD">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12、本协议书一式  份，合同双方各执   份。</w:t>
      </w:r>
    </w:p>
    <w:p w14:paraId="5835DE92">
      <w:pPr>
        <w:spacing w:line="360" w:lineRule="auto"/>
        <w:ind w:firstLine="480" w:firstLineChars="200"/>
        <w:rPr>
          <w:rFonts w:cs="宋体" w:asciiTheme="minorEastAsia" w:hAnsiTheme="minorEastAsia" w:eastAsiaTheme="minorEastAsia"/>
          <w:sz w:val="24"/>
          <w:highlight w:val="none"/>
        </w:rPr>
      </w:pPr>
    </w:p>
    <w:p w14:paraId="3A468581">
      <w:pPr>
        <w:spacing w:line="360" w:lineRule="auto"/>
        <w:ind w:firstLine="480" w:firstLineChars="200"/>
        <w:rPr>
          <w:rFonts w:cs="宋体" w:asciiTheme="minorEastAsia" w:hAnsiTheme="minorEastAsia" w:eastAsiaTheme="minorEastAsia"/>
          <w:sz w:val="24"/>
          <w:highlight w:val="none"/>
        </w:rPr>
      </w:pPr>
    </w:p>
    <w:p w14:paraId="143CA55D">
      <w:pPr>
        <w:spacing w:line="360" w:lineRule="auto"/>
        <w:ind w:firstLine="480" w:firstLineChars="200"/>
        <w:rPr>
          <w:rFonts w:cs="宋体" w:asciiTheme="minorEastAsia" w:hAnsiTheme="minorEastAsia" w:eastAsiaTheme="minorEastAsia"/>
          <w:sz w:val="24"/>
          <w:highlight w:val="none"/>
        </w:rPr>
      </w:pPr>
    </w:p>
    <w:p w14:paraId="5342C043">
      <w:pPr>
        <w:spacing w:line="360" w:lineRule="auto"/>
        <w:ind w:firstLine="480" w:firstLineChars="200"/>
        <w:rPr>
          <w:rFonts w:cs="宋体" w:asciiTheme="minorEastAsia" w:hAnsiTheme="minorEastAsia" w:eastAsiaTheme="minorEastAsia"/>
          <w:sz w:val="24"/>
          <w:highlight w:val="none"/>
        </w:rPr>
      </w:pPr>
    </w:p>
    <w:p w14:paraId="3B589919">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附表1、投入本项目人员名单</w:t>
      </w:r>
    </w:p>
    <w:p w14:paraId="4E0B8055">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附表2、供应商二次报价单</w:t>
      </w:r>
    </w:p>
    <w:p w14:paraId="6DE6B776">
      <w:pPr>
        <w:spacing w:line="360" w:lineRule="auto"/>
        <w:ind w:firstLine="480" w:firstLineChars="200"/>
        <w:rPr>
          <w:highlight w:val="none"/>
        </w:rPr>
      </w:pPr>
      <w:r>
        <w:rPr>
          <w:rFonts w:hint="eastAsia" w:cs="宋体" w:asciiTheme="minorEastAsia" w:hAnsiTheme="minorEastAsia" w:eastAsiaTheme="minorEastAsia"/>
          <w:sz w:val="24"/>
          <w:highlight w:val="none"/>
        </w:rPr>
        <w:t>附表3、供应商分项报价明细表</w:t>
      </w:r>
    </w:p>
    <w:p w14:paraId="59EB57B6">
      <w:pPr>
        <w:spacing w:line="360" w:lineRule="auto"/>
        <w:ind w:firstLine="480" w:firstLineChars="200"/>
        <w:rPr>
          <w:rFonts w:cs="宋体" w:asciiTheme="minorEastAsia" w:hAnsiTheme="minorEastAsia" w:eastAsiaTheme="minorEastAsia"/>
          <w:sz w:val="24"/>
          <w:highlight w:val="none"/>
        </w:rPr>
      </w:pPr>
    </w:p>
    <w:p w14:paraId="093DAAF5">
      <w:pPr>
        <w:pStyle w:val="48"/>
        <w:spacing w:line="360" w:lineRule="auto"/>
        <w:rPr>
          <w:rFonts w:hint="default" w:asciiTheme="minorEastAsia" w:hAnsiTheme="minorEastAsia" w:eastAsiaTheme="minorEastAsia"/>
          <w:color w:val="auto"/>
          <w:highlight w:val="none"/>
        </w:rPr>
      </w:pPr>
    </w:p>
    <w:p w14:paraId="61E02C47">
      <w:pPr>
        <w:spacing w:line="360" w:lineRule="auto"/>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业主：</w:t>
      </w:r>
      <w:r>
        <w:rPr>
          <w:rFonts w:hint="eastAsia" w:cs="宋体" w:asciiTheme="minorEastAsia" w:hAnsiTheme="minorEastAsia" w:eastAsiaTheme="minorEastAsia"/>
          <w:sz w:val="24"/>
          <w:highlight w:val="none"/>
          <w:u w:val="single"/>
        </w:rPr>
        <w:t xml:space="preserve"> （全称）         （盖章）  </w:t>
      </w:r>
      <w:r>
        <w:rPr>
          <w:rFonts w:hint="eastAsia" w:cs="宋体" w:asciiTheme="minorEastAsia" w:hAnsiTheme="minorEastAsia" w:eastAsiaTheme="minorEastAsia"/>
          <w:sz w:val="24"/>
          <w:highlight w:val="none"/>
        </w:rPr>
        <w:t>　     服务单位：</w:t>
      </w:r>
      <w:r>
        <w:rPr>
          <w:rFonts w:hint="eastAsia" w:cs="宋体" w:asciiTheme="minorEastAsia" w:hAnsiTheme="minorEastAsia" w:eastAsiaTheme="minorEastAsia"/>
          <w:sz w:val="24"/>
          <w:highlight w:val="none"/>
          <w:u w:val="single"/>
        </w:rPr>
        <w:t xml:space="preserve"> （全称） （盖章）         </w:t>
      </w:r>
    </w:p>
    <w:p w14:paraId="59259A78">
      <w:pPr>
        <w:spacing w:line="360" w:lineRule="auto"/>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                               法定代表人</w:t>
      </w:r>
    </w:p>
    <w:p w14:paraId="47B9FB97">
      <w:pPr>
        <w:spacing w:line="360" w:lineRule="auto"/>
        <w:jc w:val="lef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或其委托代理人：</w:t>
      </w:r>
      <w:r>
        <w:rPr>
          <w:rFonts w:hint="eastAsia" w:cs="宋体" w:asciiTheme="minorEastAsia" w:hAnsiTheme="minorEastAsia" w:eastAsiaTheme="minorEastAsia"/>
          <w:sz w:val="24"/>
          <w:highlight w:val="none"/>
          <w:u w:val="single"/>
        </w:rPr>
        <w:t>（签字）</w:t>
      </w:r>
      <w:r>
        <w:rPr>
          <w:rFonts w:hint="eastAsia" w:cs="宋体" w:asciiTheme="minorEastAsia" w:hAnsiTheme="minorEastAsia" w:eastAsiaTheme="minorEastAsia"/>
          <w:sz w:val="24"/>
          <w:highlight w:val="none"/>
        </w:rPr>
        <w:t xml:space="preserve">                 或其委托代理人：</w:t>
      </w:r>
      <w:r>
        <w:rPr>
          <w:rFonts w:hint="eastAsia" w:cs="宋体" w:asciiTheme="minorEastAsia" w:hAnsiTheme="minorEastAsia" w:eastAsiaTheme="minorEastAsia"/>
          <w:sz w:val="24"/>
          <w:highlight w:val="none"/>
          <w:u w:val="single"/>
        </w:rPr>
        <w:t>（签字）</w:t>
      </w:r>
    </w:p>
    <w:p w14:paraId="32CE581B">
      <w:pPr>
        <w:spacing w:line="360" w:lineRule="auto"/>
        <w:jc w:val="left"/>
        <w:rPr>
          <w:rFonts w:cs="宋体" w:asciiTheme="minorEastAsia" w:hAnsiTheme="minorEastAsia" w:eastAsiaTheme="minorEastAsia"/>
          <w:sz w:val="24"/>
          <w:highlight w:val="none"/>
        </w:rPr>
      </w:pPr>
    </w:p>
    <w:p w14:paraId="7B3C1E83">
      <w:pPr>
        <w:tabs>
          <w:tab w:val="left" w:pos="4395"/>
          <w:tab w:val="left" w:pos="4678"/>
          <w:tab w:val="left" w:pos="4820"/>
        </w:tabs>
        <w:spacing w:line="360" w:lineRule="auto"/>
        <w:ind w:firstLine="36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年   月   日                                    年  月  日</w:t>
      </w:r>
    </w:p>
    <w:p w14:paraId="744FCA93">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p>
    <w:p w14:paraId="317668C1">
      <w:pPr>
        <w:spacing w:line="30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附表1</w:t>
      </w:r>
    </w:p>
    <w:p w14:paraId="0E241FEE">
      <w:pPr>
        <w:spacing w:line="360" w:lineRule="auto"/>
        <w:rPr>
          <w:rFonts w:asciiTheme="minorEastAsia" w:hAnsiTheme="minorEastAsia" w:eastAsiaTheme="minorEastAsia"/>
          <w:bCs/>
          <w:sz w:val="32"/>
          <w:szCs w:val="32"/>
          <w:highlight w:val="none"/>
        </w:rPr>
      </w:pPr>
      <w:r>
        <w:rPr>
          <w:rFonts w:hint="eastAsia" w:cs="宋体" w:asciiTheme="minorEastAsia" w:hAnsiTheme="minorEastAsia" w:eastAsiaTheme="minorEastAsia"/>
          <w:b/>
          <w:spacing w:val="2"/>
          <w:sz w:val="24"/>
          <w:highlight w:val="none"/>
        </w:rPr>
        <w:t xml:space="preserve">            </w:t>
      </w:r>
      <w:r>
        <w:rPr>
          <w:rFonts w:hint="eastAsia" w:cs="宋体" w:asciiTheme="minorEastAsia" w:hAnsiTheme="minorEastAsia" w:eastAsiaTheme="minorEastAsia"/>
          <w:b/>
          <w:spacing w:val="2"/>
          <w:szCs w:val="21"/>
          <w:highlight w:val="none"/>
        </w:rPr>
        <w:t xml:space="preserve">          </w:t>
      </w:r>
      <w:r>
        <w:rPr>
          <w:rFonts w:hint="eastAsia" w:cs="宋体" w:asciiTheme="minorEastAsia" w:hAnsiTheme="minorEastAsia" w:eastAsiaTheme="minorEastAsia"/>
          <w:bCs/>
          <w:spacing w:val="2"/>
          <w:sz w:val="24"/>
          <w:highlight w:val="none"/>
        </w:rPr>
        <w:t>投入本项目人员名单</w:t>
      </w:r>
    </w:p>
    <w:tbl>
      <w:tblPr>
        <w:tblStyle w:val="19"/>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
        <w:gridCol w:w="875"/>
        <w:gridCol w:w="767"/>
        <w:gridCol w:w="457"/>
        <w:gridCol w:w="769"/>
        <w:gridCol w:w="614"/>
        <w:gridCol w:w="932"/>
        <w:gridCol w:w="919"/>
        <w:gridCol w:w="1140"/>
        <w:gridCol w:w="735"/>
        <w:gridCol w:w="707"/>
      </w:tblGrid>
      <w:tr w14:paraId="595E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3" w:type="pct"/>
            <w:vMerge w:val="restart"/>
            <w:vAlign w:val="center"/>
          </w:tcPr>
          <w:p w14:paraId="263B2070">
            <w:pPr>
              <w:spacing w:line="360" w:lineRule="auto"/>
              <w:rPr>
                <w:rFonts w:cs="Arial" w:asciiTheme="minorEastAsia" w:hAnsiTheme="minorEastAsia" w:eastAsiaTheme="minorEastAsia"/>
                <w:sz w:val="20"/>
                <w:highlight w:val="none"/>
              </w:rPr>
            </w:pPr>
            <w:r>
              <w:rPr>
                <w:rFonts w:cs="Arial" w:asciiTheme="minorEastAsia" w:hAnsiTheme="minorEastAsia" w:eastAsiaTheme="minorEastAsia"/>
                <w:kern w:val="0"/>
                <w:sz w:val="20"/>
                <w:highlight w:val="none"/>
              </w:rPr>
              <w:t>序号</w:t>
            </w:r>
          </w:p>
        </w:tc>
        <w:tc>
          <w:tcPr>
            <w:tcW w:w="525" w:type="pct"/>
            <w:vMerge w:val="restart"/>
            <w:vAlign w:val="center"/>
          </w:tcPr>
          <w:p w14:paraId="32D4E6CF">
            <w:pPr>
              <w:spacing w:line="360" w:lineRule="auto"/>
              <w:rPr>
                <w:rFonts w:cs="Arial" w:asciiTheme="minorEastAsia" w:hAnsiTheme="minorEastAsia" w:eastAsiaTheme="minorEastAsia"/>
                <w:sz w:val="20"/>
                <w:highlight w:val="none"/>
              </w:rPr>
            </w:pPr>
            <w:r>
              <w:rPr>
                <w:rFonts w:cs="Arial" w:asciiTheme="minorEastAsia" w:hAnsiTheme="minorEastAsia" w:eastAsiaTheme="minorEastAsia"/>
                <w:kern w:val="0"/>
                <w:sz w:val="20"/>
                <w:highlight w:val="none"/>
              </w:rPr>
              <w:t>在本</w:t>
            </w:r>
            <w:r>
              <w:rPr>
                <w:rFonts w:hint="eastAsia" w:cs="Arial" w:asciiTheme="minorEastAsia" w:hAnsiTheme="minorEastAsia" w:eastAsiaTheme="minorEastAsia"/>
                <w:kern w:val="0"/>
                <w:sz w:val="20"/>
                <w:highlight w:val="none"/>
              </w:rPr>
              <w:t>项目</w:t>
            </w:r>
            <w:r>
              <w:rPr>
                <w:rFonts w:cs="Arial" w:asciiTheme="minorEastAsia" w:hAnsiTheme="minorEastAsia" w:eastAsiaTheme="minorEastAsia"/>
                <w:kern w:val="0"/>
                <w:sz w:val="20"/>
                <w:highlight w:val="none"/>
              </w:rPr>
              <w:t>任职</w:t>
            </w:r>
          </w:p>
        </w:tc>
        <w:tc>
          <w:tcPr>
            <w:tcW w:w="460" w:type="pct"/>
            <w:vMerge w:val="restart"/>
            <w:vAlign w:val="center"/>
          </w:tcPr>
          <w:p w14:paraId="0F808C6E">
            <w:pPr>
              <w:spacing w:line="360" w:lineRule="auto"/>
              <w:rPr>
                <w:rFonts w:cs="Arial" w:asciiTheme="minorEastAsia" w:hAnsiTheme="minorEastAsia" w:eastAsiaTheme="minorEastAsia"/>
                <w:sz w:val="20"/>
                <w:highlight w:val="none"/>
              </w:rPr>
            </w:pPr>
            <w:r>
              <w:rPr>
                <w:rFonts w:cs="Arial" w:asciiTheme="minorEastAsia" w:hAnsiTheme="minorEastAsia" w:eastAsiaTheme="minorEastAsia"/>
                <w:kern w:val="0"/>
                <w:sz w:val="20"/>
                <w:highlight w:val="none"/>
              </w:rPr>
              <w:t>姓名</w:t>
            </w:r>
          </w:p>
        </w:tc>
        <w:tc>
          <w:tcPr>
            <w:tcW w:w="274" w:type="pct"/>
            <w:vMerge w:val="restart"/>
            <w:vAlign w:val="center"/>
          </w:tcPr>
          <w:p w14:paraId="359D2AEE">
            <w:pPr>
              <w:spacing w:line="360" w:lineRule="auto"/>
              <w:rPr>
                <w:rFonts w:cs="Arial" w:asciiTheme="minorEastAsia" w:hAnsiTheme="minorEastAsia" w:eastAsiaTheme="minorEastAsia"/>
                <w:sz w:val="20"/>
                <w:highlight w:val="none"/>
              </w:rPr>
            </w:pPr>
            <w:r>
              <w:rPr>
                <w:rFonts w:cs="Arial" w:asciiTheme="minorEastAsia" w:hAnsiTheme="minorEastAsia" w:eastAsiaTheme="minorEastAsia"/>
                <w:kern w:val="0"/>
                <w:sz w:val="20"/>
                <w:highlight w:val="none"/>
              </w:rPr>
              <w:t>学历</w:t>
            </w:r>
          </w:p>
        </w:tc>
        <w:tc>
          <w:tcPr>
            <w:tcW w:w="461" w:type="pct"/>
            <w:vMerge w:val="restart"/>
            <w:vAlign w:val="center"/>
          </w:tcPr>
          <w:p w14:paraId="5771364A">
            <w:pPr>
              <w:spacing w:line="360" w:lineRule="auto"/>
              <w:rPr>
                <w:rFonts w:cs="Arial" w:asciiTheme="minorEastAsia" w:hAnsiTheme="minorEastAsia" w:eastAsiaTheme="minorEastAsia"/>
                <w:kern w:val="0"/>
                <w:sz w:val="20"/>
                <w:highlight w:val="none"/>
              </w:rPr>
            </w:pPr>
            <w:r>
              <w:rPr>
                <w:rFonts w:cs="Arial" w:asciiTheme="minorEastAsia" w:hAnsiTheme="minorEastAsia" w:eastAsiaTheme="minorEastAsia"/>
                <w:kern w:val="0"/>
                <w:sz w:val="20"/>
                <w:highlight w:val="none"/>
              </w:rPr>
              <w:t>技术</w:t>
            </w:r>
          </w:p>
          <w:p w14:paraId="21FA6C13">
            <w:pPr>
              <w:spacing w:line="360" w:lineRule="auto"/>
              <w:rPr>
                <w:rFonts w:cs="Arial" w:asciiTheme="minorEastAsia" w:hAnsiTheme="minorEastAsia" w:eastAsiaTheme="minorEastAsia"/>
                <w:sz w:val="20"/>
                <w:highlight w:val="none"/>
              </w:rPr>
            </w:pPr>
            <w:r>
              <w:rPr>
                <w:rFonts w:cs="Arial" w:asciiTheme="minorEastAsia" w:hAnsiTheme="minorEastAsia" w:eastAsiaTheme="minorEastAsia"/>
                <w:kern w:val="0"/>
                <w:sz w:val="20"/>
                <w:highlight w:val="none"/>
              </w:rPr>
              <w:t>职称</w:t>
            </w:r>
          </w:p>
        </w:tc>
        <w:tc>
          <w:tcPr>
            <w:tcW w:w="368" w:type="pct"/>
            <w:vMerge w:val="restart"/>
            <w:vAlign w:val="center"/>
          </w:tcPr>
          <w:p w14:paraId="602658E6">
            <w:pPr>
              <w:spacing w:line="360" w:lineRule="auto"/>
              <w:rPr>
                <w:rFonts w:cs="Arial" w:asciiTheme="minorEastAsia" w:hAnsiTheme="minorEastAsia" w:eastAsiaTheme="minorEastAsia"/>
                <w:sz w:val="20"/>
                <w:highlight w:val="none"/>
              </w:rPr>
            </w:pPr>
            <w:r>
              <w:rPr>
                <w:rFonts w:cs="Arial" w:asciiTheme="minorEastAsia" w:hAnsiTheme="minorEastAsia" w:eastAsiaTheme="minorEastAsia"/>
                <w:kern w:val="0"/>
                <w:sz w:val="20"/>
                <w:highlight w:val="none"/>
              </w:rPr>
              <w:t>专业</w:t>
            </w:r>
          </w:p>
        </w:tc>
        <w:tc>
          <w:tcPr>
            <w:tcW w:w="1110" w:type="pct"/>
            <w:gridSpan w:val="2"/>
            <w:vAlign w:val="center"/>
          </w:tcPr>
          <w:p w14:paraId="115DF64F">
            <w:pPr>
              <w:spacing w:line="360" w:lineRule="auto"/>
              <w:rPr>
                <w:rFonts w:cs="Arial" w:asciiTheme="minorEastAsia" w:hAnsiTheme="minorEastAsia" w:eastAsiaTheme="minorEastAsia"/>
                <w:kern w:val="0"/>
                <w:sz w:val="20"/>
                <w:highlight w:val="none"/>
              </w:rPr>
            </w:pPr>
            <w:r>
              <w:rPr>
                <w:rFonts w:hint="eastAsia" w:cs="Arial" w:asciiTheme="minorEastAsia" w:hAnsiTheme="minorEastAsia" w:eastAsiaTheme="minorEastAsia"/>
                <w:kern w:val="0"/>
                <w:sz w:val="20"/>
                <w:highlight w:val="none"/>
              </w:rPr>
              <w:t>执业或职业资格证明</w:t>
            </w:r>
          </w:p>
        </w:tc>
        <w:tc>
          <w:tcPr>
            <w:tcW w:w="684" w:type="pct"/>
            <w:vMerge w:val="restart"/>
            <w:vAlign w:val="center"/>
          </w:tcPr>
          <w:p w14:paraId="3A8BE6F0">
            <w:pPr>
              <w:spacing w:line="360" w:lineRule="auto"/>
              <w:rPr>
                <w:rFonts w:cs="Arial" w:asciiTheme="minorEastAsia" w:hAnsiTheme="minorEastAsia" w:eastAsiaTheme="minorEastAsia"/>
                <w:sz w:val="20"/>
                <w:highlight w:val="none"/>
              </w:rPr>
            </w:pPr>
            <w:r>
              <w:rPr>
                <w:rFonts w:hint="eastAsia" w:cs="Arial" w:asciiTheme="minorEastAsia" w:hAnsiTheme="minorEastAsia" w:eastAsiaTheme="minorEastAsia"/>
                <w:kern w:val="0"/>
                <w:sz w:val="20"/>
                <w:highlight w:val="none"/>
              </w:rPr>
              <w:t>身份证号</w:t>
            </w:r>
          </w:p>
        </w:tc>
        <w:tc>
          <w:tcPr>
            <w:tcW w:w="441" w:type="pct"/>
            <w:vMerge w:val="restart"/>
            <w:vAlign w:val="center"/>
          </w:tcPr>
          <w:p w14:paraId="166875B4">
            <w:pPr>
              <w:widowControl/>
              <w:autoSpaceDE w:val="0"/>
              <w:autoSpaceDN w:val="0"/>
              <w:jc w:val="center"/>
              <w:textAlignment w:val="bottom"/>
              <w:rPr>
                <w:rFonts w:cs="Arial" w:asciiTheme="minorEastAsia" w:hAnsiTheme="minorEastAsia" w:eastAsiaTheme="minorEastAsia"/>
                <w:sz w:val="20"/>
                <w:highlight w:val="none"/>
              </w:rPr>
            </w:pPr>
            <w:r>
              <w:rPr>
                <w:rFonts w:hint="eastAsia" w:cs="Arial" w:asciiTheme="minorEastAsia" w:hAnsiTheme="minorEastAsia" w:eastAsiaTheme="minorEastAsia"/>
                <w:kern w:val="0"/>
                <w:sz w:val="20"/>
                <w:szCs w:val="22"/>
                <w:highlight w:val="none"/>
                <w:lang w:val="zh-CN" w:bidi="zh-CN"/>
              </w:rPr>
              <w:t>社保缴纳单位</w:t>
            </w:r>
          </w:p>
        </w:tc>
        <w:tc>
          <w:tcPr>
            <w:tcW w:w="425" w:type="pct"/>
            <w:vMerge w:val="restart"/>
            <w:vAlign w:val="center"/>
          </w:tcPr>
          <w:p w14:paraId="50B96EFE">
            <w:pPr>
              <w:spacing w:line="360" w:lineRule="auto"/>
              <w:rPr>
                <w:rFonts w:cs="Arial" w:asciiTheme="minorEastAsia" w:hAnsiTheme="minorEastAsia" w:eastAsiaTheme="minorEastAsia"/>
                <w:sz w:val="20"/>
                <w:highlight w:val="none"/>
              </w:rPr>
            </w:pPr>
            <w:r>
              <w:rPr>
                <w:rFonts w:hint="eastAsia" w:cs="Arial" w:asciiTheme="minorEastAsia" w:hAnsiTheme="minorEastAsia" w:eastAsiaTheme="minorEastAsia"/>
                <w:sz w:val="20"/>
                <w:highlight w:val="none"/>
              </w:rPr>
              <w:t>备注</w:t>
            </w:r>
          </w:p>
        </w:tc>
      </w:tr>
      <w:tr w14:paraId="477A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Merge w:val="continue"/>
            <w:vAlign w:val="center"/>
          </w:tcPr>
          <w:p w14:paraId="58D9AA28">
            <w:pPr>
              <w:spacing w:line="360" w:lineRule="auto"/>
              <w:rPr>
                <w:rFonts w:asciiTheme="minorEastAsia" w:hAnsiTheme="minorEastAsia" w:eastAsiaTheme="minorEastAsia"/>
                <w:b/>
                <w:sz w:val="24"/>
                <w:highlight w:val="none"/>
              </w:rPr>
            </w:pPr>
          </w:p>
        </w:tc>
        <w:tc>
          <w:tcPr>
            <w:tcW w:w="525" w:type="pct"/>
            <w:vMerge w:val="continue"/>
            <w:vAlign w:val="center"/>
          </w:tcPr>
          <w:p w14:paraId="49CBB682">
            <w:pPr>
              <w:spacing w:line="360" w:lineRule="auto"/>
              <w:rPr>
                <w:rFonts w:asciiTheme="minorEastAsia" w:hAnsiTheme="minorEastAsia" w:eastAsiaTheme="minorEastAsia"/>
                <w:b/>
                <w:sz w:val="24"/>
                <w:highlight w:val="none"/>
              </w:rPr>
            </w:pPr>
          </w:p>
        </w:tc>
        <w:tc>
          <w:tcPr>
            <w:tcW w:w="460" w:type="pct"/>
            <w:vMerge w:val="continue"/>
            <w:vAlign w:val="center"/>
          </w:tcPr>
          <w:p w14:paraId="1B346A6F">
            <w:pPr>
              <w:spacing w:line="360" w:lineRule="auto"/>
              <w:rPr>
                <w:rFonts w:asciiTheme="minorEastAsia" w:hAnsiTheme="minorEastAsia" w:eastAsiaTheme="minorEastAsia"/>
                <w:b/>
                <w:sz w:val="24"/>
                <w:highlight w:val="none"/>
              </w:rPr>
            </w:pPr>
          </w:p>
        </w:tc>
        <w:tc>
          <w:tcPr>
            <w:tcW w:w="274" w:type="pct"/>
            <w:vMerge w:val="continue"/>
            <w:vAlign w:val="center"/>
          </w:tcPr>
          <w:p w14:paraId="4813F975">
            <w:pPr>
              <w:spacing w:line="360" w:lineRule="auto"/>
              <w:rPr>
                <w:rFonts w:asciiTheme="minorEastAsia" w:hAnsiTheme="minorEastAsia" w:eastAsiaTheme="minorEastAsia"/>
                <w:b/>
                <w:sz w:val="24"/>
                <w:highlight w:val="none"/>
              </w:rPr>
            </w:pPr>
          </w:p>
        </w:tc>
        <w:tc>
          <w:tcPr>
            <w:tcW w:w="461" w:type="pct"/>
            <w:vMerge w:val="continue"/>
            <w:vAlign w:val="center"/>
          </w:tcPr>
          <w:p w14:paraId="5382A771">
            <w:pPr>
              <w:spacing w:line="360" w:lineRule="auto"/>
              <w:rPr>
                <w:rFonts w:asciiTheme="minorEastAsia" w:hAnsiTheme="minorEastAsia" w:eastAsiaTheme="minorEastAsia"/>
                <w:b/>
                <w:sz w:val="24"/>
                <w:highlight w:val="none"/>
              </w:rPr>
            </w:pPr>
          </w:p>
        </w:tc>
        <w:tc>
          <w:tcPr>
            <w:tcW w:w="368" w:type="pct"/>
            <w:vMerge w:val="continue"/>
            <w:vAlign w:val="center"/>
          </w:tcPr>
          <w:p w14:paraId="606A7AB7">
            <w:pPr>
              <w:spacing w:line="360" w:lineRule="auto"/>
              <w:rPr>
                <w:rFonts w:asciiTheme="minorEastAsia" w:hAnsiTheme="minorEastAsia" w:eastAsiaTheme="minorEastAsia"/>
                <w:b/>
                <w:sz w:val="24"/>
                <w:highlight w:val="none"/>
              </w:rPr>
            </w:pPr>
          </w:p>
        </w:tc>
        <w:tc>
          <w:tcPr>
            <w:tcW w:w="559" w:type="pct"/>
            <w:vAlign w:val="center"/>
          </w:tcPr>
          <w:p w14:paraId="35A19B6B">
            <w:pPr>
              <w:spacing w:line="360" w:lineRule="auto"/>
              <w:rPr>
                <w:rFonts w:cs="Arial" w:asciiTheme="minorEastAsia" w:hAnsiTheme="minorEastAsia" w:eastAsiaTheme="minorEastAsia"/>
                <w:kern w:val="0"/>
                <w:sz w:val="20"/>
                <w:highlight w:val="none"/>
              </w:rPr>
            </w:pPr>
            <w:r>
              <w:rPr>
                <w:rFonts w:hint="eastAsia" w:cs="Arial" w:asciiTheme="minorEastAsia" w:hAnsiTheme="minorEastAsia" w:eastAsiaTheme="minorEastAsia"/>
                <w:kern w:val="0"/>
                <w:sz w:val="20"/>
                <w:highlight w:val="none"/>
              </w:rPr>
              <w:t>证书</w:t>
            </w:r>
          </w:p>
          <w:p w14:paraId="6F539E82">
            <w:pPr>
              <w:spacing w:line="360" w:lineRule="auto"/>
              <w:rPr>
                <w:rFonts w:cs="Arial" w:asciiTheme="minorEastAsia" w:hAnsiTheme="minorEastAsia" w:eastAsiaTheme="minorEastAsia"/>
                <w:kern w:val="0"/>
                <w:sz w:val="20"/>
                <w:highlight w:val="none"/>
              </w:rPr>
            </w:pPr>
            <w:r>
              <w:rPr>
                <w:rFonts w:hint="eastAsia" w:cs="Arial" w:asciiTheme="minorEastAsia" w:hAnsiTheme="minorEastAsia" w:eastAsiaTheme="minorEastAsia"/>
                <w:kern w:val="0"/>
                <w:sz w:val="20"/>
                <w:highlight w:val="none"/>
              </w:rPr>
              <w:t>名称</w:t>
            </w:r>
          </w:p>
        </w:tc>
        <w:tc>
          <w:tcPr>
            <w:tcW w:w="551" w:type="pct"/>
            <w:vAlign w:val="center"/>
          </w:tcPr>
          <w:p w14:paraId="07E4196B">
            <w:pPr>
              <w:spacing w:line="360" w:lineRule="auto"/>
              <w:rPr>
                <w:rFonts w:cs="Arial" w:asciiTheme="minorEastAsia" w:hAnsiTheme="minorEastAsia" w:eastAsiaTheme="minorEastAsia"/>
                <w:kern w:val="0"/>
                <w:sz w:val="20"/>
                <w:highlight w:val="none"/>
              </w:rPr>
            </w:pPr>
            <w:r>
              <w:rPr>
                <w:rFonts w:hint="eastAsia" w:cs="Arial" w:asciiTheme="minorEastAsia" w:hAnsiTheme="minorEastAsia" w:eastAsiaTheme="minorEastAsia"/>
                <w:kern w:val="0"/>
                <w:sz w:val="20"/>
                <w:highlight w:val="none"/>
              </w:rPr>
              <w:t>证号</w:t>
            </w:r>
          </w:p>
        </w:tc>
        <w:tc>
          <w:tcPr>
            <w:tcW w:w="684" w:type="pct"/>
            <w:vMerge w:val="continue"/>
            <w:vAlign w:val="center"/>
          </w:tcPr>
          <w:p w14:paraId="2482163F">
            <w:pPr>
              <w:spacing w:line="360" w:lineRule="auto"/>
              <w:rPr>
                <w:rFonts w:asciiTheme="minorEastAsia" w:hAnsiTheme="minorEastAsia" w:eastAsiaTheme="minorEastAsia"/>
                <w:b/>
                <w:sz w:val="24"/>
                <w:highlight w:val="none"/>
              </w:rPr>
            </w:pPr>
          </w:p>
        </w:tc>
        <w:tc>
          <w:tcPr>
            <w:tcW w:w="441" w:type="pct"/>
            <w:vMerge w:val="continue"/>
            <w:vAlign w:val="center"/>
          </w:tcPr>
          <w:p w14:paraId="52ACA3E4">
            <w:pPr>
              <w:spacing w:line="360" w:lineRule="auto"/>
              <w:rPr>
                <w:rFonts w:asciiTheme="minorEastAsia" w:hAnsiTheme="minorEastAsia" w:eastAsiaTheme="minorEastAsia"/>
                <w:b/>
                <w:sz w:val="24"/>
                <w:highlight w:val="none"/>
              </w:rPr>
            </w:pPr>
          </w:p>
        </w:tc>
        <w:tc>
          <w:tcPr>
            <w:tcW w:w="425" w:type="pct"/>
            <w:vMerge w:val="continue"/>
            <w:vAlign w:val="center"/>
          </w:tcPr>
          <w:p w14:paraId="4CF022D8">
            <w:pPr>
              <w:spacing w:line="360" w:lineRule="auto"/>
              <w:rPr>
                <w:rFonts w:asciiTheme="minorEastAsia" w:hAnsiTheme="minorEastAsia" w:eastAsiaTheme="minorEastAsia"/>
                <w:b/>
                <w:sz w:val="24"/>
                <w:highlight w:val="none"/>
              </w:rPr>
            </w:pPr>
          </w:p>
        </w:tc>
      </w:tr>
      <w:tr w14:paraId="575D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21DBD6C6">
            <w:pPr>
              <w:spacing w:line="360" w:lineRule="auto"/>
              <w:rPr>
                <w:rFonts w:asciiTheme="minorEastAsia" w:hAnsiTheme="minorEastAsia" w:eastAsiaTheme="minorEastAsia"/>
                <w:b/>
                <w:sz w:val="24"/>
                <w:highlight w:val="none"/>
              </w:rPr>
            </w:pPr>
          </w:p>
        </w:tc>
        <w:tc>
          <w:tcPr>
            <w:tcW w:w="525" w:type="pct"/>
            <w:vAlign w:val="center"/>
          </w:tcPr>
          <w:p w14:paraId="5A40C327">
            <w:pPr>
              <w:spacing w:line="360" w:lineRule="auto"/>
              <w:rPr>
                <w:rFonts w:asciiTheme="minorEastAsia" w:hAnsiTheme="minorEastAsia" w:eastAsiaTheme="minorEastAsia"/>
                <w:b/>
                <w:sz w:val="24"/>
                <w:highlight w:val="none"/>
              </w:rPr>
            </w:pPr>
          </w:p>
        </w:tc>
        <w:tc>
          <w:tcPr>
            <w:tcW w:w="460" w:type="pct"/>
            <w:vAlign w:val="center"/>
          </w:tcPr>
          <w:p w14:paraId="36C6F175">
            <w:pPr>
              <w:spacing w:line="360" w:lineRule="auto"/>
              <w:rPr>
                <w:rFonts w:asciiTheme="minorEastAsia" w:hAnsiTheme="minorEastAsia" w:eastAsiaTheme="minorEastAsia"/>
                <w:b/>
                <w:sz w:val="24"/>
                <w:highlight w:val="none"/>
              </w:rPr>
            </w:pPr>
          </w:p>
        </w:tc>
        <w:tc>
          <w:tcPr>
            <w:tcW w:w="274" w:type="pct"/>
            <w:vAlign w:val="center"/>
          </w:tcPr>
          <w:p w14:paraId="34E13DA0">
            <w:pPr>
              <w:spacing w:line="360" w:lineRule="auto"/>
              <w:rPr>
                <w:rFonts w:asciiTheme="minorEastAsia" w:hAnsiTheme="minorEastAsia" w:eastAsiaTheme="minorEastAsia"/>
                <w:b/>
                <w:sz w:val="24"/>
                <w:highlight w:val="none"/>
              </w:rPr>
            </w:pPr>
          </w:p>
        </w:tc>
        <w:tc>
          <w:tcPr>
            <w:tcW w:w="461" w:type="pct"/>
            <w:vAlign w:val="center"/>
          </w:tcPr>
          <w:p w14:paraId="4B11F709">
            <w:pPr>
              <w:spacing w:line="360" w:lineRule="auto"/>
              <w:rPr>
                <w:rFonts w:asciiTheme="minorEastAsia" w:hAnsiTheme="minorEastAsia" w:eastAsiaTheme="minorEastAsia"/>
                <w:b/>
                <w:sz w:val="24"/>
                <w:highlight w:val="none"/>
              </w:rPr>
            </w:pPr>
          </w:p>
        </w:tc>
        <w:tc>
          <w:tcPr>
            <w:tcW w:w="368" w:type="pct"/>
            <w:vAlign w:val="center"/>
          </w:tcPr>
          <w:p w14:paraId="45260718">
            <w:pPr>
              <w:spacing w:line="360" w:lineRule="auto"/>
              <w:rPr>
                <w:rFonts w:asciiTheme="minorEastAsia" w:hAnsiTheme="minorEastAsia" w:eastAsiaTheme="minorEastAsia"/>
                <w:b/>
                <w:sz w:val="24"/>
                <w:highlight w:val="none"/>
              </w:rPr>
            </w:pPr>
          </w:p>
        </w:tc>
        <w:tc>
          <w:tcPr>
            <w:tcW w:w="559" w:type="pct"/>
            <w:vAlign w:val="center"/>
          </w:tcPr>
          <w:p w14:paraId="551FB875">
            <w:pPr>
              <w:spacing w:line="360" w:lineRule="auto"/>
              <w:rPr>
                <w:rFonts w:asciiTheme="minorEastAsia" w:hAnsiTheme="minorEastAsia" w:eastAsiaTheme="minorEastAsia"/>
                <w:b/>
                <w:sz w:val="24"/>
                <w:highlight w:val="none"/>
              </w:rPr>
            </w:pPr>
          </w:p>
        </w:tc>
        <w:tc>
          <w:tcPr>
            <w:tcW w:w="551" w:type="pct"/>
            <w:vAlign w:val="center"/>
          </w:tcPr>
          <w:p w14:paraId="1D82221E">
            <w:pPr>
              <w:spacing w:line="360" w:lineRule="auto"/>
              <w:rPr>
                <w:rFonts w:asciiTheme="minorEastAsia" w:hAnsiTheme="minorEastAsia" w:eastAsiaTheme="minorEastAsia"/>
                <w:b/>
                <w:sz w:val="24"/>
                <w:highlight w:val="none"/>
              </w:rPr>
            </w:pPr>
          </w:p>
        </w:tc>
        <w:tc>
          <w:tcPr>
            <w:tcW w:w="684" w:type="pct"/>
            <w:vAlign w:val="center"/>
          </w:tcPr>
          <w:p w14:paraId="338624C9">
            <w:pPr>
              <w:spacing w:line="360" w:lineRule="auto"/>
              <w:rPr>
                <w:rFonts w:asciiTheme="minorEastAsia" w:hAnsiTheme="minorEastAsia" w:eastAsiaTheme="minorEastAsia"/>
                <w:b/>
                <w:sz w:val="24"/>
                <w:highlight w:val="none"/>
              </w:rPr>
            </w:pPr>
          </w:p>
        </w:tc>
        <w:tc>
          <w:tcPr>
            <w:tcW w:w="441" w:type="pct"/>
            <w:vAlign w:val="center"/>
          </w:tcPr>
          <w:p w14:paraId="66AE1874">
            <w:pPr>
              <w:spacing w:line="360" w:lineRule="auto"/>
              <w:rPr>
                <w:rFonts w:asciiTheme="minorEastAsia" w:hAnsiTheme="minorEastAsia" w:eastAsiaTheme="minorEastAsia"/>
                <w:b/>
                <w:sz w:val="24"/>
                <w:highlight w:val="none"/>
              </w:rPr>
            </w:pPr>
          </w:p>
        </w:tc>
        <w:tc>
          <w:tcPr>
            <w:tcW w:w="425" w:type="pct"/>
            <w:vAlign w:val="center"/>
          </w:tcPr>
          <w:p w14:paraId="2B9113DE">
            <w:pPr>
              <w:spacing w:line="360" w:lineRule="auto"/>
              <w:rPr>
                <w:rFonts w:asciiTheme="minorEastAsia" w:hAnsiTheme="minorEastAsia" w:eastAsiaTheme="minorEastAsia"/>
                <w:b/>
                <w:sz w:val="24"/>
                <w:highlight w:val="none"/>
              </w:rPr>
            </w:pPr>
          </w:p>
        </w:tc>
      </w:tr>
      <w:tr w14:paraId="154A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28B5D05D">
            <w:pPr>
              <w:spacing w:line="360" w:lineRule="auto"/>
              <w:rPr>
                <w:rFonts w:asciiTheme="minorEastAsia" w:hAnsiTheme="minorEastAsia" w:eastAsiaTheme="minorEastAsia"/>
                <w:b/>
                <w:sz w:val="24"/>
                <w:highlight w:val="none"/>
              </w:rPr>
            </w:pPr>
          </w:p>
        </w:tc>
        <w:tc>
          <w:tcPr>
            <w:tcW w:w="525" w:type="pct"/>
            <w:vAlign w:val="center"/>
          </w:tcPr>
          <w:p w14:paraId="6C75830F">
            <w:pPr>
              <w:spacing w:line="360" w:lineRule="auto"/>
              <w:rPr>
                <w:rFonts w:asciiTheme="minorEastAsia" w:hAnsiTheme="minorEastAsia" w:eastAsiaTheme="minorEastAsia"/>
                <w:b/>
                <w:sz w:val="24"/>
                <w:highlight w:val="none"/>
              </w:rPr>
            </w:pPr>
          </w:p>
        </w:tc>
        <w:tc>
          <w:tcPr>
            <w:tcW w:w="460" w:type="pct"/>
            <w:vAlign w:val="center"/>
          </w:tcPr>
          <w:p w14:paraId="00899026">
            <w:pPr>
              <w:spacing w:line="360" w:lineRule="auto"/>
              <w:rPr>
                <w:rFonts w:asciiTheme="minorEastAsia" w:hAnsiTheme="minorEastAsia" w:eastAsiaTheme="minorEastAsia"/>
                <w:b/>
                <w:sz w:val="24"/>
                <w:highlight w:val="none"/>
              </w:rPr>
            </w:pPr>
          </w:p>
        </w:tc>
        <w:tc>
          <w:tcPr>
            <w:tcW w:w="274" w:type="pct"/>
            <w:vAlign w:val="center"/>
          </w:tcPr>
          <w:p w14:paraId="081B90FB">
            <w:pPr>
              <w:spacing w:line="360" w:lineRule="auto"/>
              <w:rPr>
                <w:rFonts w:asciiTheme="minorEastAsia" w:hAnsiTheme="minorEastAsia" w:eastAsiaTheme="minorEastAsia"/>
                <w:b/>
                <w:sz w:val="24"/>
                <w:highlight w:val="none"/>
              </w:rPr>
            </w:pPr>
          </w:p>
        </w:tc>
        <w:tc>
          <w:tcPr>
            <w:tcW w:w="461" w:type="pct"/>
            <w:vAlign w:val="center"/>
          </w:tcPr>
          <w:p w14:paraId="1ABF60EC">
            <w:pPr>
              <w:spacing w:line="360" w:lineRule="auto"/>
              <w:rPr>
                <w:rFonts w:asciiTheme="minorEastAsia" w:hAnsiTheme="minorEastAsia" w:eastAsiaTheme="minorEastAsia"/>
                <w:b/>
                <w:sz w:val="24"/>
                <w:highlight w:val="none"/>
              </w:rPr>
            </w:pPr>
          </w:p>
        </w:tc>
        <w:tc>
          <w:tcPr>
            <w:tcW w:w="368" w:type="pct"/>
            <w:vAlign w:val="center"/>
          </w:tcPr>
          <w:p w14:paraId="145B1A7B">
            <w:pPr>
              <w:spacing w:line="360" w:lineRule="auto"/>
              <w:rPr>
                <w:rFonts w:asciiTheme="minorEastAsia" w:hAnsiTheme="minorEastAsia" w:eastAsiaTheme="minorEastAsia"/>
                <w:b/>
                <w:sz w:val="24"/>
                <w:highlight w:val="none"/>
              </w:rPr>
            </w:pPr>
          </w:p>
        </w:tc>
        <w:tc>
          <w:tcPr>
            <w:tcW w:w="559" w:type="pct"/>
            <w:vAlign w:val="center"/>
          </w:tcPr>
          <w:p w14:paraId="2EF04259">
            <w:pPr>
              <w:spacing w:line="360" w:lineRule="auto"/>
              <w:rPr>
                <w:rFonts w:asciiTheme="minorEastAsia" w:hAnsiTheme="minorEastAsia" w:eastAsiaTheme="minorEastAsia"/>
                <w:b/>
                <w:sz w:val="24"/>
                <w:highlight w:val="none"/>
              </w:rPr>
            </w:pPr>
          </w:p>
        </w:tc>
        <w:tc>
          <w:tcPr>
            <w:tcW w:w="551" w:type="pct"/>
            <w:vAlign w:val="center"/>
          </w:tcPr>
          <w:p w14:paraId="15281201">
            <w:pPr>
              <w:spacing w:line="360" w:lineRule="auto"/>
              <w:rPr>
                <w:rFonts w:asciiTheme="minorEastAsia" w:hAnsiTheme="minorEastAsia" w:eastAsiaTheme="minorEastAsia"/>
                <w:b/>
                <w:sz w:val="24"/>
                <w:highlight w:val="none"/>
              </w:rPr>
            </w:pPr>
          </w:p>
        </w:tc>
        <w:tc>
          <w:tcPr>
            <w:tcW w:w="684" w:type="pct"/>
            <w:vAlign w:val="center"/>
          </w:tcPr>
          <w:p w14:paraId="0F919182">
            <w:pPr>
              <w:spacing w:line="360" w:lineRule="auto"/>
              <w:rPr>
                <w:rFonts w:asciiTheme="minorEastAsia" w:hAnsiTheme="minorEastAsia" w:eastAsiaTheme="minorEastAsia"/>
                <w:b/>
                <w:sz w:val="24"/>
                <w:highlight w:val="none"/>
              </w:rPr>
            </w:pPr>
          </w:p>
        </w:tc>
        <w:tc>
          <w:tcPr>
            <w:tcW w:w="441" w:type="pct"/>
            <w:vAlign w:val="center"/>
          </w:tcPr>
          <w:p w14:paraId="39E05557">
            <w:pPr>
              <w:spacing w:line="360" w:lineRule="auto"/>
              <w:rPr>
                <w:rFonts w:asciiTheme="minorEastAsia" w:hAnsiTheme="minorEastAsia" w:eastAsiaTheme="minorEastAsia"/>
                <w:b/>
                <w:sz w:val="24"/>
                <w:highlight w:val="none"/>
              </w:rPr>
            </w:pPr>
          </w:p>
        </w:tc>
        <w:tc>
          <w:tcPr>
            <w:tcW w:w="425" w:type="pct"/>
            <w:vAlign w:val="center"/>
          </w:tcPr>
          <w:p w14:paraId="04504438">
            <w:pPr>
              <w:spacing w:line="360" w:lineRule="auto"/>
              <w:rPr>
                <w:rFonts w:asciiTheme="minorEastAsia" w:hAnsiTheme="minorEastAsia" w:eastAsiaTheme="minorEastAsia"/>
                <w:b/>
                <w:sz w:val="24"/>
                <w:highlight w:val="none"/>
              </w:rPr>
            </w:pPr>
          </w:p>
        </w:tc>
      </w:tr>
      <w:tr w14:paraId="2C2B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243B4D33">
            <w:pPr>
              <w:spacing w:line="360" w:lineRule="auto"/>
              <w:rPr>
                <w:rFonts w:asciiTheme="minorEastAsia" w:hAnsiTheme="minorEastAsia" w:eastAsiaTheme="minorEastAsia"/>
                <w:b/>
                <w:sz w:val="24"/>
                <w:highlight w:val="none"/>
              </w:rPr>
            </w:pPr>
          </w:p>
        </w:tc>
        <w:tc>
          <w:tcPr>
            <w:tcW w:w="525" w:type="pct"/>
            <w:vAlign w:val="center"/>
          </w:tcPr>
          <w:p w14:paraId="489E2CF9">
            <w:pPr>
              <w:spacing w:line="360" w:lineRule="auto"/>
              <w:rPr>
                <w:rFonts w:asciiTheme="minorEastAsia" w:hAnsiTheme="minorEastAsia" w:eastAsiaTheme="minorEastAsia"/>
                <w:b/>
                <w:sz w:val="24"/>
                <w:highlight w:val="none"/>
              </w:rPr>
            </w:pPr>
          </w:p>
        </w:tc>
        <w:tc>
          <w:tcPr>
            <w:tcW w:w="460" w:type="pct"/>
            <w:vAlign w:val="center"/>
          </w:tcPr>
          <w:p w14:paraId="2FB299EB">
            <w:pPr>
              <w:spacing w:line="360" w:lineRule="auto"/>
              <w:rPr>
                <w:rFonts w:asciiTheme="minorEastAsia" w:hAnsiTheme="minorEastAsia" w:eastAsiaTheme="minorEastAsia"/>
                <w:b/>
                <w:sz w:val="24"/>
                <w:highlight w:val="none"/>
              </w:rPr>
            </w:pPr>
          </w:p>
        </w:tc>
        <w:tc>
          <w:tcPr>
            <w:tcW w:w="274" w:type="pct"/>
            <w:vAlign w:val="center"/>
          </w:tcPr>
          <w:p w14:paraId="40BC6325">
            <w:pPr>
              <w:spacing w:line="360" w:lineRule="auto"/>
              <w:rPr>
                <w:rFonts w:asciiTheme="minorEastAsia" w:hAnsiTheme="minorEastAsia" w:eastAsiaTheme="minorEastAsia"/>
                <w:b/>
                <w:sz w:val="24"/>
                <w:highlight w:val="none"/>
              </w:rPr>
            </w:pPr>
          </w:p>
        </w:tc>
        <w:tc>
          <w:tcPr>
            <w:tcW w:w="461" w:type="pct"/>
            <w:vAlign w:val="center"/>
          </w:tcPr>
          <w:p w14:paraId="20D74485">
            <w:pPr>
              <w:spacing w:line="360" w:lineRule="auto"/>
              <w:rPr>
                <w:rFonts w:asciiTheme="minorEastAsia" w:hAnsiTheme="minorEastAsia" w:eastAsiaTheme="minorEastAsia"/>
                <w:b/>
                <w:sz w:val="24"/>
                <w:highlight w:val="none"/>
              </w:rPr>
            </w:pPr>
          </w:p>
        </w:tc>
        <w:tc>
          <w:tcPr>
            <w:tcW w:w="368" w:type="pct"/>
            <w:vAlign w:val="center"/>
          </w:tcPr>
          <w:p w14:paraId="62FDD5CA">
            <w:pPr>
              <w:spacing w:line="360" w:lineRule="auto"/>
              <w:rPr>
                <w:rFonts w:asciiTheme="minorEastAsia" w:hAnsiTheme="minorEastAsia" w:eastAsiaTheme="minorEastAsia"/>
                <w:b/>
                <w:sz w:val="24"/>
                <w:highlight w:val="none"/>
              </w:rPr>
            </w:pPr>
          </w:p>
        </w:tc>
        <w:tc>
          <w:tcPr>
            <w:tcW w:w="559" w:type="pct"/>
            <w:vAlign w:val="center"/>
          </w:tcPr>
          <w:p w14:paraId="2BF46CE6">
            <w:pPr>
              <w:spacing w:line="360" w:lineRule="auto"/>
              <w:rPr>
                <w:rFonts w:asciiTheme="minorEastAsia" w:hAnsiTheme="minorEastAsia" w:eastAsiaTheme="minorEastAsia"/>
                <w:b/>
                <w:sz w:val="24"/>
                <w:highlight w:val="none"/>
              </w:rPr>
            </w:pPr>
          </w:p>
        </w:tc>
        <w:tc>
          <w:tcPr>
            <w:tcW w:w="551" w:type="pct"/>
            <w:vAlign w:val="center"/>
          </w:tcPr>
          <w:p w14:paraId="46544AE6">
            <w:pPr>
              <w:spacing w:line="360" w:lineRule="auto"/>
              <w:rPr>
                <w:rFonts w:asciiTheme="minorEastAsia" w:hAnsiTheme="minorEastAsia" w:eastAsiaTheme="minorEastAsia"/>
                <w:b/>
                <w:sz w:val="24"/>
                <w:highlight w:val="none"/>
              </w:rPr>
            </w:pPr>
          </w:p>
        </w:tc>
        <w:tc>
          <w:tcPr>
            <w:tcW w:w="684" w:type="pct"/>
            <w:vAlign w:val="center"/>
          </w:tcPr>
          <w:p w14:paraId="5EFFAEC7">
            <w:pPr>
              <w:spacing w:line="360" w:lineRule="auto"/>
              <w:rPr>
                <w:rFonts w:asciiTheme="minorEastAsia" w:hAnsiTheme="minorEastAsia" w:eastAsiaTheme="minorEastAsia"/>
                <w:b/>
                <w:sz w:val="24"/>
                <w:highlight w:val="none"/>
              </w:rPr>
            </w:pPr>
          </w:p>
        </w:tc>
        <w:tc>
          <w:tcPr>
            <w:tcW w:w="441" w:type="pct"/>
            <w:vAlign w:val="center"/>
          </w:tcPr>
          <w:p w14:paraId="6AD4D7F2">
            <w:pPr>
              <w:spacing w:line="360" w:lineRule="auto"/>
              <w:rPr>
                <w:rFonts w:asciiTheme="minorEastAsia" w:hAnsiTheme="minorEastAsia" w:eastAsiaTheme="minorEastAsia"/>
                <w:b/>
                <w:sz w:val="24"/>
                <w:highlight w:val="none"/>
              </w:rPr>
            </w:pPr>
          </w:p>
        </w:tc>
        <w:tc>
          <w:tcPr>
            <w:tcW w:w="425" w:type="pct"/>
            <w:vAlign w:val="center"/>
          </w:tcPr>
          <w:p w14:paraId="7891127B">
            <w:pPr>
              <w:spacing w:line="360" w:lineRule="auto"/>
              <w:rPr>
                <w:rFonts w:asciiTheme="minorEastAsia" w:hAnsiTheme="minorEastAsia" w:eastAsiaTheme="minorEastAsia"/>
                <w:b/>
                <w:sz w:val="24"/>
                <w:highlight w:val="none"/>
              </w:rPr>
            </w:pPr>
          </w:p>
        </w:tc>
      </w:tr>
      <w:tr w14:paraId="3C67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45E494E9">
            <w:pPr>
              <w:spacing w:line="360" w:lineRule="auto"/>
              <w:rPr>
                <w:rFonts w:asciiTheme="minorEastAsia" w:hAnsiTheme="minorEastAsia" w:eastAsiaTheme="minorEastAsia"/>
                <w:b/>
                <w:sz w:val="24"/>
                <w:highlight w:val="none"/>
              </w:rPr>
            </w:pPr>
          </w:p>
        </w:tc>
        <w:tc>
          <w:tcPr>
            <w:tcW w:w="525" w:type="pct"/>
            <w:vAlign w:val="center"/>
          </w:tcPr>
          <w:p w14:paraId="3A8749CB">
            <w:pPr>
              <w:spacing w:line="360" w:lineRule="auto"/>
              <w:rPr>
                <w:rFonts w:asciiTheme="minorEastAsia" w:hAnsiTheme="minorEastAsia" w:eastAsiaTheme="minorEastAsia"/>
                <w:b/>
                <w:sz w:val="24"/>
                <w:highlight w:val="none"/>
              </w:rPr>
            </w:pPr>
          </w:p>
        </w:tc>
        <w:tc>
          <w:tcPr>
            <w:tcW w:w="460" w:type="pct"/>
            <w:vAlign w:val="center"/>
          </w:tcPr>
          <w:p w14:paraId="35F787ED">
            <w:pPr>
              <w:spacing w:line="360" w:lineRule="auto"/>
              <w:rPr>
                <w:rFonts w:asciiTheme="minorEastAsia" w:hAnsiTheme="minorEastAsia" w:eastAsiaTheme="minorEastAsia"/>
                <w:b/>
                <w:sz w:val="24"/>
                <w:highlight w:val="none"/>
              </w:rPr>
            </w:pPr>
          </w:p>
        </w:tc>
        <w:tc>
          <w:tcPr>
            <w:tcW w:w="274" w:type="pct"/>
            <w:vAlign w:val="center"/>
          </w:tcPr>
          <w:p w14:paraId="34039583">
            <w:pPr>
              <w:spacing w:line="360" w:lineRule="auto"/>
              <w:rPr>
                <w:rFonts w:asciiTheme="minorEastAsia" w:hAnsiTheme="minorEastAsia" w:eastAsiaTheme="minorEastAsia"/>
                <w:b/>
                <w:sz w:val="24"/>
                <w:highlight w:val="none"/>
              </w:rPr>
            </w:pPr>
          </w:p>
        </w:tc>
        <w:tc>
          <w:tcPr>
            <w:tcW w:w="461" w:type="pct"/>
            <w:vAlign w:val="center"/>
          </w:tcPr>
          <w:p w14:paraId="5968086A">
            <w:pPr>
              <w:spacing w:line="360" w:lineRule="auto"/>
              <w:rPr>
                <w:rFonts w:asciiTheme="minorEastAsia" w:hAnsiTheme="minorEastAsia" w:eastAsiaTheme="minorEastAsia"/>
                <w:b/>
                <w:sz w:val="24"/>
                <w:highlight w:val="none"/>
              </w:rPr>
            </w:pPr>
          </w:p>
        </w:tc>
        <w:tc>
          <w:tcPr>
            <w:tcW w:w="368" w:type="pct"/>
            <w:vAlign w:val="center"/>
          </w:tcPr>
          <w:p w14:paraId="46F4F5B9">
            <w:pPr>
              <w:spacing w:line="360" w:lineRule="auto"/>
              <w:rPr>
                <w:rFonts w:asciiTheme="minorEastAsia" w:hAnsiTheme="minorEastAsia" w:eastAsiaTheme="minorEastAsia"/>
                <w:b/>
                <w:sz w:val="24"/>
                <w:highlight w:val="none"/>
              </w:rPr>
            </w:pPr>
          </w:p>
        </w:tc>
        <w:tc>
          <w:tcPr>
            <w:tcW w:w="559" w:type="pct"/>
            <w:vAlign w:val="center"/>
          </w:tcPr>
          <w:p w14:paraId="16F9761F">
            <w:pPr>
              <w:spacing w:line="360" w:lineRule="auto"/>
              <w:rPr>
                <w:rFonts w:asciiTheme="minorEastAsia" w:hAnsiTheme="minorEastAsia" w:eastAsiaTheme="minorEastAsia"/>
                <w:b/>
                <w:sz w:val="24"/>
                <w:highlight w:val="none"/>
              </w:rPr>
            </w:pPr>
          </w:p>
        </w:tc>
        <w:tc>
          <w:tcPr>
            <w:tcW w:w="551" w:type="pct"/>
            <w:vAlign w:val="center"/>
          </w:tcPr>
          <w:p w14:paraId="4E8E6E9A">
            <w:pPr>
              <w:spacing w:line="360" w:lineRule="auto"/>
              <w:rPr>
                <w:rFonts w:asciiTheme="minorEastAsia" w:hAnsiTheme="minorEastAsia" w:eastAsiaTheme="minorEastAsia"/>
                <w:b/>
                <w:sz w:val="24"/>
                <w:highlight w:val="none"/>
              </w:rPr>
            </w:pPr>
          </w:p>
        </w:tc>
        <w:tc>
          <w:tcPr>
            <w:tcW w:w="684" w:type="pct"/>
            <w:vAlign w:val="center"/>
          </w:tcPr>
          <w:p w14:paraId="2B145464">
            <w:pPr>
              <w:spacing w:line="360" w:lineRule="auto"/>
              <w:rPr>
                <w:rFonts w:asciiTheme="minorEastAsia" w:hAnsiTheme="minorEastAsia" w:eastAsiaTheme="minorEastAsia"/>
                <w:b/>
                <w:sz w:val="24"/>
                <w:highlight w:val="none"/>
              </w:rPr>
            </w:pPr>
          </w:p>
        </w:tc>
        <w:tc>
          <w:tcPr>
            <w:tcW w:w="441" w:type="pct"/>
            <w:vAlign w:val="center"/>
          </w:tcPr>
          <w:p w14:paraId="351638E3">
            <w:pPr>
              <w:spacing w:line="360" w:lineRule="auto"/>
              <w:rPr>
                <w:rFonts w:asciiTheme="minorEastAsia" w:hAnsiTheme="minorEastAsia" w:eastAsiaTheme="minorEastAsia"/>
                <w:b/>
                <w:sz w:val="24"/>
                <w:highlight w:val="none"/>
              </w:rPr>
            </w:pPr>
          </w:p>
        </w:tc>
        <w:tc>
          <w:tcPr>
            <w:tcW w:w="425" w:type="pct"/>
            <w:vAlign w:val="center"/>
          </w:tcPr>
          <w:p w14:paraId="5BF3D721">
            <w:pPr>
              <w:spacing w:line="360" w:lineRule="auto"/>
              <w:rPr>
                <w:rFonts w:asciiTheme="minorEastAsia" w:hAnsiTheme="minorEastAsia" w:eastAsiaTheme="minorEastAsia"/>
                <w:b/>
                <w:sz w:val="24"/>
                <w:highlight w:val="none"/>
              </w:rPr>
            </w:pPr>
          </w:p>
        </w:tc>
      </w:tr>
      <w:tr w14:paraId="080C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0051178E">
            <w:pPr>
              <w:spacing w:line="360" w:lineRule="auto"/>
              <w:rPr>
                <w:rFonts w:asciiTheme="minorEastAsia" w:hAnsiTheme="minorEastAsia" w:eastAsiaTheme="minorEastAsia"/>
                <w:b/>
                <w:sz w:val="24"/>
                <w:highlight w:val="none"/>
              </w:rPr>
            </w:pPr>
          </w:p>
        </w:tc>
        <w:tc>
          <w:tcPr>
            <w:tcW w:w="525" w:type="pct"/>
            <w:vAlign w:val="center"/>
          </w:tcPr>
          <w:p w14:paraId="0BF46A4C">
            <w:pPr>
              <w:spacing w:line="360" w:lineRule="auto"/>
              <w:rPr>
                <w:rFonts w:asciiTheme="minorEastAsia" w:hAnsiTheme="minorEastAsia" w:eastAsiaTheme="minorEastAsia"/>
                <w:b/>
                <w:sz w:val="24"/>
                <w:highlight w:val="none"/>
              </w:rPr>
            </w:pPr>
          </w:p>
        </w:tc>
        <w:tc>
          <w:tcPr>
            <w:tcW w:w="460" w:type="pct"/>
            <w:vAlign w:val="center"/>
          </w:tcPr>
          <w:p w14:paraId="39EE4695">
            <w:pPr>
              <w:spacing w:line="360" w:lineRule="auto"/>
              <w:rPr>
                <w:rFonts w:asciiTheme="minorEastAsia" w:hAnsiTheme="minorEastAsia" w:eastAsiaTheme="minorEastAsia"/>
                <w:b/>
                <w:sz w:val="24"/>
                <w:highlight w:val="none"/>
              </w:rPr>
            </w:pPr>
          </w:p>
        </w:tc>
        <w:tc>
          <w:tcPr>
            <w:tcW w:w="274" w:type="pct"/>
            <w:vAlign w:val="center"/>
          </w:tcPr>
          <w:p w14:paraId="68C91898">
            <w:pPr>
              <w:spacing w:line="360" w:lineRule="auto"/>
              <w:rPr>
                <w:rFonts w:asciiTheme="minorEastAsia" w:hAnsiTheme="minorEastAsia" w:eastAsiaTheme="minorEastAsia"/>
                <w:b/>
                <w:sz w:val="24"/>
                <w:highlight w:val="none"/>
              </w:rPr>
            </w:pPr>
          </w:p>
        </w:tc>
        <w:tc>
          <w:tcPr>
            <w:tcW w:w="461" w:type="pct"/>
            <w:vAlign w:val="center"/>
          </w:tcPr>
          <w:p w14:paraId="6AE6DFCC">
            <w:pPr>
              <w:spacing w:line="360" w:lineRule="auto"/>
              <w:rPr>
                <w:rFonts w:asciiTheme="minorEastAsia" w:hAnsiTheme="minorEastAsia" w:eastAsiaTheme="minorEastAsia"/>
                <w:b/>
                <w:sz w:val="24"/>
                <w:highlight w:val="none"/>
              </w:rPr>
            </w:pPr>
          </w:p>
        </w:tc>
        <w:tc>
          <w:tcPr>
            <w:tcW w:w="368" w:type="pct"/>
            <w:vAlign w:val="center"/>
          </w:tcPr>
          <w:p w14:paraId="4DB8FA84">
            <w:pPr>
              <w:spacing w:line="360" w:lineRule="auto"/>
              <w:rPr>
                <w:rFonts w:asciiTheme="minorEastAsia" w:hAnsiTheme="minorEastAsia" w:eastAsiaTheme="minorEastAsia"/>
                <w:b/>
                <w:sz w:val="24"/>
                <w:highlight w:val="none"/>
              </w:rPr>
            </w:pPr>
          </w:p>
        </w:tc>
        <w:tc>
          <w:tcPr>
            <w:tcW w:w="559" w:type="pct"/>
            <w:vAlign w:val="center"/>
          </w:tcPr>
          <w:p w14:paraId="1A166331">
            <w:pPr>
              <w:spacing w:line="360" w:lineRule="auto"/>
              <w:rPr>
                <w:rFonts w:asciiTheme="minorEastAsia" w:hAnsiTheme="minorEastAsia" w:eastAsiaTheme="minorEastAsia"/>
                <w:b/>
                <w:sz w:val="24"/>
                <w:highlight w:val="none"/>
              </w:rPr>
            </w:pPr>
          </w:p>
        </w:tc>
        <w:tc>
          <w:tcPr>
            <w:tcW w:w="551" w:type="pct"/>
            <w:vAlign w:val="center"/>
          </w:tcPr>
          <w:p w14:paraId="1E403B3C">
            <w:pPr>
              <w:spacing w:line="360" w:lineRule="auto"/>
              <w:rPr>
                <w:rFonts w:asciiTheme="minorEastAsia" w:hAnsiTheme="minorEastAsia" w:eastAsiaTheme="minorEastAsia"/>
                <w:b/>
                <w:sz w:val="24"/>
                <w:highlight w:val="none"/>
              </w:rPr>
            </w:pPr>
          </w:p>
        </w:tc>
        <w:tc>
          <w:tcPr>
            <w:tcW w:w="684" w:type="pct"/>
            <w:vAlign w:val="center"/>
          </w:tcPr>
          <w:p w14:paraId="21CDF628">
            <w:pPr>
              <w:spacing w:line="360" w:lineRule="auto"/>
              <w:rPr>
                <w:rFonts w:asciiTheme="minorEastAsia" w:hAnsiTheme="minorEastAsia" w:eastAsiaTheme="minorEastAsia"/>
                <w:b/>
                <w:sz w:val="24"/>
                <w:highlight w:val="none"/>
              </w:rPr>
            </w:pPr>
          </w:p>
        </w:tc>
        <w:tc>
          <w:tcPr>
            <w:tcW w:w="441" w:type="pct"/>
            <w:vAlign w:val="center"/>
          </w:tcPr>
          <w:p w14:paraId="142305BF">
            <w:pPr>
              <w:spacing w:line="360" w:lineRule="auto"/>
              <w:rPr>
                <w:rFonts w:asciiTheme="minorEastAsia" w:hAnsiTheme="minorEastAsia" w:eastAsiaTheme="minorEastAsia"/>
                <w:b/>
                <w:sz w:val="24"/>
                <w:highlight w:val="none"/>
              </w:rPr>
            </w:pPr>
          </w:p>
        </w:tc>
        <w:tc>
          <w:tcPr>
            <w:tcW w:w="425" w:type="pct"/>
            <w:vAlign w:val="center"/>
          </w:tcPr>
          <w:p w14:paraId="5B364DB1">
            <w:pPr>
              <w:spacing w:line="360" w:lineRule="auto"/>
              <w:rPr>
                <w:rFonts w:asciiTheme="minorEastAsia" w:hAnsiTheme="minorEastAsia" w:eastAsiaTheme="minorEastAsia"/>
                <w:b/>
                <w:sz w:val="24"/>
                <w:highlight w:val="none"/>
              </w:rPr>
            </w:pPr>
          </w:p>
        </w:tc>
      </w:tr>
      <w:tr w14:paraId="7EAE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3E88DBFA">
            <w:pPr>
              <w:spacing w:line="360" w:lineRule="auto"/>
              <w:rPr>
                <w:rFonts w:asciiTheme="minorEastAsia" w:hAnsiTheme="minorEastAsia" w:eastAsiaTheme="minorEastAsia"/>
                <w:b/>
                <w:sz w:val="24"/>
                <w:highlight w:val="none"/>
              </w:rPr>
            </w:pPr>
          </w:p>
        </w:tc>
        <w:tc>
          <w:tcPr>
            <w:tcW w:w="525" w:type="pct"/>
            <w:vAlign w:val="center"/>
          </w:tcPr>
          <w:p w14:paraId="20788390">
            <w:pPr>
              <w:spacing w:line="360" w:lineRule="auto"/>
              <w:rPr>
                <w:rFonts w:asciiTheme="minorEastAsia" w:hAnsiTheme="minorEastAsia" w:eastAsiaTheme="minorEastAsia"/>
                <w:b/>
                <w:sz w:val="24"/>
                <w:highlight w:val="none"/>
              </w:rPr>
            </w:pPr>
          </w:p>
        </w:tc>
        <w:tc>
          <w:tcPr>
            <w:tcW w:w="460" w:type="pct"/>
            <w:vAlign w:val="center"/>
          </w:tcPr>
          <w:p w14:paraId="19C73FFC">
            <w:pPr>
              <w:spacing w:line="360" w:lineRule="auto"/>
              <w:rPr>
                <w:rFonts w:asciiTheme="minorEastAsia" w:hAnsiTheme="minorEastAsia" w:eastAsiaTheme="minorEastAsia"/>
                <w:b/>
                <w:sz w:val="24"/>
                <w:highlight w:val="none"/>
              </w:rPr>
            </w:pPr>
          </w:p>
        </w:tc>
        <w:tc>
          <w:tcPr>
            <w:tcW w:w="274" w:type="pct"/>
            <w:vAlign w:val="center"/>
          </w:tcPr>
          <w:p w14:paraId="303C10B0">
            <w:pPr>
              <w:spacing w:line="360" w:lineRule="auto"/>
              <w:rPr>
                <w:rFonts w:asciiTheme="minorEastAsia" w:hAnsiTheme="minorEastAsia" w:eastAsiaTheme="minorEastAsia"/>
                <w:b/>
                <w:sz w:val="24"/>
                <w:highlight w:val="none"/>
              </w:rPr>
            </w:pPr>
          </w:p>
        </w:tc>
        <w:tc>
          <w:tcPr>
            <w:tcW w:w="461" w:type="pct"/>
            <w:vAlign w:val="center"/>
          </w:tcPr>
          <w:p w14:paraId="6EED61DD">
            <w:pPr>
              <w:spacing w:line="360" w:lineRule="auto"/>
              <w:rPr>
                <w:rFonts w:asciiTheme="minorEastAsia" w:hAnsiTheme="minorEastAsia" w:eastAsiaTheme="minorEastAsia"/>
                <w:b/>
                <w:sz w:val="24"/>
                <w:highlight w:val="none"/>
              </w:rPr>
            </w:pPr>
          </w:p>
        </w:tc>
        <w:tc>
          <w:tcPr>
            <w:tcW w:w="368" w:type="pct"/>
            <w:vAlign w:val="center"/>
          </w:tcPr>
          <w:p w14:paraId="4F7EAC1B">
            <w:pPr>
              <w:spacing w:line="360" w:lineRule="auto"/>
              <w:rPr>
                <w:rFonts w:asciiTheme="minorEastAsia" w:hAnsiTheme="minorEastAsia" w:eastAsiaTheme="minorEastAsia"/>
                <w:b/>
                <w:sz w:val="24"/>
                <w:highlight w:val="none"/>
              </w:rPr>
            </w:pPr>
          </w:p>
        </w:tc>
        <w:tc>
          <w:tcPr>
            <w:tcW w:w="559" w:type="pct"/>
            <w:vAlign w:val="center"/>
          </w:tcPr>
          <w:p w14:paraId="7C7F4EFF">
            <w:pPr>
              <w:spacing w:line="360" w:lineRule="auto"/>
              <w:rPr>
                <w:rFonts w:asciiTheme="minorEastAsia" w:hAnsiTheme="minorEastAsia" w:eastAsiaTheme="minorEastAsia"/>
                <w:b/>
                <w:sz w:val="24"/>
                <w:highlight w:val="none"/>
              </w:rPr>
            </w:pPr>
          </w:p>
        </w:tc>
        <w:tc>
          <w:tcPr>
            <w:tcW w:w="551" w:type="pct"/>
            <w:vAlign w:val="center"/>
          </w:tcPr>
          <w:p w14:paraId="36EADB99">
            <w:pPr>
              <w:spacing w:line="360" w:lineRule="auto"/>
              <w:rPr>
                <w:rFonts w:asciiTheme="minorEastAsia" w:hAnsiTheme="minorEastAsia" w:eastAsiaTheme="minorEastAsia"/>
                <w:b/>
                <w:sz w:val="24"/>
                <w:highlight w:val="none"/>
              </w:rPr>
            </w:pPr>
          </w:p>
        </w:tc>
        <w:tc>
          <w:tcPr>
            <w:tcW w:w="684" w:type="pct"/>
            <w:vAlign w:val="center"/>
          </w:tcPr>
          <w:p w14:paraId="0CE6B024">
            <w:pPr>
              <w:spacing w:line="360" w:lineRule="auto"/>
              <w:rPr>
                <w:rFonts w:asciiTheme="minorEastAsia" w:hAnsiTheme="minorEastAsia" w:eastAsiaTheme="minorEastAsia"/>
                <w:b/>
                <w:sz w:val="24"/>
                <w:highlight w:val="none"/>
              </w:rPr>
            </w:pPr>
          </w:p>
        </w:tc>
        <w:tc>
          <w:tcPr>
            <w:tcW w:w="441" w:type="pct"/>
            <w:vAlign w:val="center"/>
          </w:tcPr>
          <w:p w14:paraId="4C999404">
            <w:pPr>
              <w:spacing w:line="360" w:lineRule="auto"/>
              <w:rPr>
                <w:rFonts w:asciiTheme="minorEastAsia" w:hAnsiTheme="minorEastAsia" w:eastAsiaTheme="minorEastAsia"/>
                <w:b/>
                <w:sz w:val="24"/>
                <w:highlight w:val="none"/>
              </w:rPr>
            </w:pPr>
          </w:p>
        </w:tc>
        <w:tc>
          <w:tcPr>
            <w:tcW w:w="425" w:type="pct"/>
            <w:vAlign w:val="center"/>
          </w:tcPr>
          <w:p w14:paraId="665D1B36">
            <w:pPr>
              <w:spacing w:line="360" w:lineRule="auto"/>
              <w:rPr>
                <w:rFonts w:asciiTheme="minorEastAsia" w:hAnsiTheme="minorEastAsia" w:eastAsiaTheme="minorEastAsia"/>
                <w:b/>
                <w:sz w:val="24"/>
                <w:highlight w:val="none"/>
              </w:rPr>
            </w:pPr>
          </w:p>
        </w:tc>
      </w:tr>
      <w:tr w14:paraId="7CBD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5E847C52">
            <w:pPr>
              <w:spacing w:line="360" w:lineRule="auto"/>
              <w:rPr>
                <w:rFonts w:asciiTheme="minorEastAsia" w:hAnsiTheme="minorEastAsia" w:eastAsiaTheme="minorEastAsia"/>
                <w:b/>
                <w:sz w:val="24"/>
                <w:highlight w:val="none"/>
              </w:rPr>
            </w:pPr>
          </w:p>
        </w:tc>
        <w:tc>
          <w:tcPr>
            <w:tcW w:w="525" w:type="pct"/>
            <w:vAlign w:val="center"/>
          </w:tcPr>
          <w:p w14:paraId="347A175A">
            <w:pPr>
              <w:spacing w:line="360" w:lineRule="auto"/>
              <w:rPr>
                <w:rFonts w:asciiTheme="minorEastAsia" w:hAnsiTheme="minorEastAsia" w:eastAsiaTheme="minorEastAsia"/>
                <w:b/>
                <w:sz w:val="24"/>
                <w:highlight w:val="none"/>
              </w:rPr>
            </w:pPr>
          </w:p>
        </w:tc>
        <w:tc>
          <w:tcPr>
            <w:tcW w:w="460" w:type="pct"/>
            <w:vAlign w:val="center"/>
          </w:tcPr>
          <w:p w14:paraId="3033D928">
            <w:pPr>
              <w:spacing w:line="360" w:lineRule="auto"/>
              <w:rPr>
                <w:rFonts w:asciiTheme="minorEastAsia" w:hAnsiTheme="minorEastAsia" w:eastAsiaTheme="minorEastAsia"/>
                <w:b/>
                <w:sz w:val="24"/>
                <w:highlight w:val="none"/>
              </w:rPr>
            </w:pPr>
          </w:p>
        </w:tc>
        <w:tc>
          <w:tcPr>
            <w:tcW w:w="274" w:type="pct"/>
            <w:vAlign w:val="center"/>
          </w:tcPr>
          <w:p w14:paraId="710A96AD">
            <w:pPr>
              <w:spacing w:line="360" w:lineRule="auto"/>
              <w:rPr>
                <w:rFonts w:asciiTheme="minorEastAsia" w:hAnsiTheme="minorEastAsia" w:eastAsiaTheme="minorEastAsia"/>
                <w:b/>
                <w:sz w:val="24"/>
                <w:highlight w:val="none"/>
              </w:rPr>
            </w:pPr>
          </w:p>
        </w:tc>
        <w:tc>
          <w:tcPr>
            <w:tcW w:w="461" w:type="pct"/>
            <w:vAlign w:val="center"/>
          </w:tcPr>
          <w:p w14:paraId="0428B9FA">
            <w:pPr>
              <w:spacing w:line="360" w:lineRule="auto"/>
              <w:rPr>
                <w:rFonts w:asciiTheme="minorEastAsia" w:hAnsiTheme="minorEastAsia" w:eastAsiaTheme="minorEastAsia"/>
                <w:b/>
                <w:sz w:val="24"/>
                <w:highlight w:val="none"/>
              </w:rPr>
            </w:pPr>
          </w:p>
        </w:tc>
        <w:tc>
          <w:tcPr>
            <w:tcW w:w="368" w:type="pct"/>
            <w:vAlign w:val="center"/>
          </w:tcPr>
          <w:p w14:paraId="0A84CD0D">
            <w:pPr>
              <w:spacing w:line="360" w:lineRule="auto"/>
              <w:rPr>
                <w:rFonts w:asciiTheme="minorEastAsia" w:hAnsiTheme="minorEastAsia" w:eastAsiaTheme="minorEastAsia"/>
                <w:b/>
                <w:sz w:val="24"/>
                <w:highlight w:val="none"/>
              </w:rPr>
            </w:pPr>
          </w:p>
        </w:tc>
        <w:tc>
          <w:tcPr>
            <w:tcW w:w="559" w:type="pct"/>
            <w:vAlign w:val="center"/>
          </w:tcPr>
          <w:p w14:paraId="7FD43B69">
            <w:pPr>
              <w:spacing w:line="360" w:lineRule="auto"/>
              <w:rPr>
                <w:rFonts w:asciiTheme="minorEastAsia" w:hAnsiTheme="minorEastAsia" w:eastAsiaTheme="minorEastAsia"/>
                <w:b/>
                <w:sz w:val="24"/>
                <w:highlight w:val="none"/>
              </w:rPr>
            </w:pPr>
          </w:p>
        </w:tc>
        <w:tc>
          <w:tcPr>
            <w:tcW w:w="551" w:type="pct"/>
            <w:vAlign w:val="center"/>
          </w:tcPr>
          <w:p w14:paraId="40C11A65">
            <w:pPr>
              <w:spacing w:line="360" w:lineRule="auto"/>
              <w:rPr>
                <w:rFonts w:asciiTheme="minorEastAsia" w:hAnsiTheme="minorEastAsia" w:eastAsiaTheme="minorEastAsia"/>
                <w:b/>
                <w:sz w:val="24"/>
                <w:highlight w:val="none"/>
              </w:rPr>
            </w:pPr>
          </w:p>
        </w:tc>
        <w:tc>
          <w:tcPr>
            <w:tcW w:w="684" w:type="pct"/>
            <w:vAlign w:val="center"/>
          </w:tcPr>
          <w:p w14:paraId="140C7EC7">
            <w:pPr>
              <w:spacing w:line="360" w:lineRule="auto"/>
              <w:rPr>
                <w:rFonts w:asciiTheme="minorEastAsia" w:hAnsiTheme="minorEastAsia" w:eastAsiaTheme="minorEastAsia"/>
                <w:b/>
                <w:sz w:val="24"/>
                <w:highlight w:val="none"/>
              </w:rPr>
            </w:pPr>
          </w:p>
        </w:tc>
        <w:tc>
          <w:tcPr>
            <w:tcW w:w="441" w:type="pct"/>
            <w:vAlign w:val="center"/>
          </w:tcPr>
          <w:p w14:paraId="51927974">
            <w:pPr>
              <w:spacing w:line="360" w:lineRule="auto"/>
              <w:rPr>
                <w:rFonts w:asciiTheme="minorEastAsia" w:hAnsiTheme="minorEastAsia" w:eastAsiaTheme="minorEastAsia"/>
                <w:b/>
                <w:sz w:val="24"/>
                <w:highlight w:val="none"/>
              </w:rPr>
            </w:pPr>
          </w:p>
        </w:tc>
        <w:tc>
          <w:tcPr>
            <w:tcW w:w="425" w:type="pct"/>
            <w:vAlign w:val="center"/>
          </w:tcPr>
          <w:p w14:paraId="6F134C81">
            <w:pPr>
              <w:spacing w:line="360" w:lineRule="auto"/>
              <w:rPr>
                <w:rFonts w:asciiTheme="minorEastAsia" w:hAnsiTheme="minorEastAsia" w:eastAsiaTheme="minorEastAsia"/>
                <w:b/>
                <w:sz w:val="24"/>
                <w:highlight w:val="none"/>
              </w:rPr>
            </w:pPr>
          </w:p>
        </w:tc>
      </w:tr>
      <w:tr w14:paraId="1DBA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 w:type="pct"/>
            <w:vAlign w:val="center"/>
          </w:tcPr>
          <w:p w14:paraId="5B3118AF">
            <w:pPr>
              <w:spacing w:line="360" w:lineRule="auto"/>
              <w:rPr>
                <w:rFonts w:asciiTheme="minorEastAsia" w:hAnsiTheme="minorEastAsia" w:eastAsiaTheme="minorEastAsia"/>
                <w:b/>
                <w:sz w:val="24"/>
                <w:highlight w:val="none"/>
              </w:rPr>
            </w:pPr>
          </w:p>
        </w:tc>
        <w:tc>
          <w:tcPr>
            <w:tcW w:w="525" w:type="pct"/>
            <w:vAlign w:val="center"/>
          </w:tcPr>
          <w:p w14:paraId="7DD547A2">
            <w:pPr>
              <w:spacing w:line="360" w:lineRule="auto"/>
              <w:rPr>
                <w:rFonts w:asciiTheme="minorEastAsia" w:hAnsiTheme="minorEastAsia" w:eastAsiaTheme="minorEastAsia"/>
                <w:b/>
                <w:sz w:val="24"/>
                <w:highlight w:val="none"/>
              </w:rPr>
            </w:pPr>
          </w:p>
        </w:tc>
        <w:tc>
          <w:tcPr>
            <w:tcW w:w="460" w:type="pct"/>
            <w:vAlign w:val="center"/>
          </w:tcPr>
          <w:p w14:paraId="4088563A">
            <w:pPr>
              <w:spacing w:line="360" w:lineRule="auto"/>
              <w:rPr>
                <w:rFonts w:asciiTheme="minorEastAsia" w:hAnsiTheme="minorEastAsia" w:eastAsiaTheme="minorEastAsia"/>
                <w:b/>
                <w:sz w:val="24"/>
                <w:highlight w:val="none"/>
              </w:rPr>
            </w:pPr>
          </w:p>
        </w:tc>
        <w:tc>
          <w:tcPr>
            <w:tcW w:w="274" w:type="pct"/>
            <w:vAlign w:val="center"/>
          </w:tcPr>
          <w:p w14:paraId="1D8D9F64">
            <w:pPr>
              <w:spacing w:line="360" w:lineRule="auto"/>
              <w:rPr>
                <w:rFonts w:asciiTheme="minorEastAsia" w:hAnsiTheme="minorEastAsia" w:eastAsiaTheme="minorEastAsia"/>
                <w:b/>
                <w:sz w:val="24"/>
                <w:highlight w:val="none"/>
              </w:rPr>
            </w:pPr>
          </w:p>
        </w:tc>
        <w:tc>
          <w:tcPr>
            <w:tcW w:w="461" w:type="pct"/>
            <w:vAlign w:val="center"/>
          </w:tcPr>
          <w:p w14:paraId="00492CEA">
            <w:pPr>
              <w:spacing w:line="360" w:lineRule="auto"/>
              <w:rPr>
                <w:rFonts w:asciiTheme="minorEastAsia" w:hAnsiTheme="minorEastAsia" w:eastAsiaTheme="minorEastAsia"/>
                <w:b/>
                <w:sz w:val="24"/>
                <w:highlight w:val="none"/>
              </w:rPr>
            </w:pPr>
          </w:p>
        </w:tc>
        <w:tc>
          <w:tcPr>
            <w:tcW w:w="368" w:type="pct"/>
            <w:vAlign w:val="center"/>
          </w:tcPr>
          <w:p w14:paraId="63761A7E">
            <w:pPr>
              <w:spacing w:line="360" w:lineRule="auto"/>
              <w:rPr>
                <w:rFonts w:asciiTheme="minorEastAsia" w:hAnsiTheme="minorEastAsia" w:eastAsiaTheme="minorEastAsia"/>
                <w:b/>
                <w:sz w:val="24"/>
                <w:highlight w:val="none"/>
              </w:rPr>
            </w:pPr>
          </w:p>
        </w:tc>
        <w:tc>
          <w:tcPr>
            <w:tcW w:w="559" w:type="pct"/>
            <w:vAlign w:val="center"/>
          </w:tcPr>
          <w:p w14:paraId="52CAA336">
            <w:pPr>
              <w:spacing w:line="360" w:lineRule="auto"/>
              <w:rPr>
                <w:rFonts w:asciiTheme="minorEastAsia" w:hAnsiTheme="minorEastAsia" w:eastAsiaTheme="minorEastAsia"/>
                <w:b/>
                <w:sz w:val="24"/>
                <w:highlight w:val="none"/>
              </w:rPr>
            </w:pPr>
          </w:p>
        </w:tc>
        <w:tc>
          <w:tcPr>
            <w:tcW w:w="551" w:type="pct"/>
            <w:vAlign w:val="center"/>
          </w:tcPr>
          <w:p w14:paraId="1BBC3CC4">
            <w:pPr>
              <w:spacing w:line="360" w:lineRule="auto"/>
              <w:rPr>
                <w:rFonts w:asciiTheme="minorEastAsia" w:hAnsiTheme="minorEastAsia" w:eastAsiaTheme="minorEastAsia"/>
                <w:b/>
                <w:sz w:val="24"/>
                <w:highlight w:val="none"/>
              </w:rPr>
            </w:pPr>
          </w:p>
        </w:tc>
        <w:tc>
          <w:tcPr>
            <w:tcW w:w="684" w:type="pct"/>
            <w:vAlign w:val="center"/>
          </w:tcPr>
          <w:p w14:paraId="593FCB9E">
            <w:pPr>
              <w:spacing w:line="360" w:lineRule="auto"/>
              <w:rPr>
                <w:rFonts w:asciiTheme="minorEastAsia" w:hAnsiTheme="minorEastAsia" w:eastAsiaTheme="minorEastAsia"/>
                <w:b/>
                <w:sz w:val="24"/>
                <w:highlight w:val="none"/>
              </w:rPr>
            </w:pPr>
          </w:p>
        </w:tc>
        <w:tc>
          <w:tcPr>
            <w:tcW w:w="441" w:type="pct"/>
            <w:vAlign w:val="center"/>
          </w:tcPr>
          <w:p w14:paraId="2BDC8EFE">
            <w:pPr>
              <w:spacing w:line="360" w:lineRule="auto"/>
              <w:rPr>
                <w:rFonts w:asciiTheme="minorEastAsia" w:hAnsiTheme="minorEastAsia" w:eastAsiaTheme="minorEastAsia"/>
                <w:b/>
                <w:sz w:val="24"/>
                <w:highlight w:val="none"/>
              </w:rPr>
            </w:pPr>
          </w:p>
        </w:tc>
        <w:tc>
          <w:tcPr>
            <w:tcW w:w="425" w:type="pct"/>
            <w:vAlign w:val="center"/>
          </w:tcPr>
          <w:p w14:paraId="704884A5">
            <w:pPr>
              <w:spacing w:line="360" w:lineRule="auto"/>
              <w:rPr>
                <w:rFonts w:asciiTheme="minorEastAsia" w:hAnsiTheme="minorEastAsia" w:eastAsiaTheme="minorEastAsia"/>
                <w:b/>
                <w:sz w:val="24"/>
                <w:highlight w:val="none"/>
              </w:rPr>
            </w:pPr>
          </w:p>
        </w:tc>
      </w:tr>
    </w:tbl>
    <w:p w14:paraId="42B9160E">
      <w:pPr>
        <w:spacing w:line="360" w:lineRule="auto"/>
        <w:jc w:val="left"/>
        <w:rPr>
          <w:rFonts w:cs="宋体" w:asciiTheme="minorEastAsia" w:hAnsiTheme="minorEastAsia" w:eastAsiaTheme="minorEastAsia"/>
          <w:snapToGrid w:val="0"/>
          <w:szCs w:val="21"/>
          <w:highlight w:val="none"/>
        </w:rPr>
      </w:pPr>
    </w:p>
    <w:p w14:paraId="07DAFB96">
      <w:pPr>
        <w:autoSpaceDE w:val="0"/>
        <w:autoSpaceDN w:val="0"/>
        <w:adjustRightInd w:val="0"/>
        <w:spacing w:line="360" w:lineRule="auto"/>
        <w:jc w:val="left"/>
        <w:rPr>
          <w:rFonts w:cs="宋体" w:asciiTheme="minorEastAsia" w:hAnsiTheme="minorEastAsia" w:eastAsiaTheme="minorEastAsia"/>
          <w:kern w:val="0"/>
          <w:sz w:val="24"/>
          <w:szCs w:val="20"/>
          <w:highlight w:val="none"/>
        </w:rPr>
      </w:pPr>
    </w:p>
    <w:p w14:paraId="24ACB1BE">
      <w:pPr>
        <w:spacing w:line="360" w:lineRule="auto"/>
        <w:rPr>
          <w:rFonts w:cs="宋体" w:asciiTheme="minorEastAsia" w:hAnsiTheme="minorEastAsia" w:eastAsiaTheme="minorEastAsia"/>
          <w:sz w:val="24"/>
          <w:highlight w:val="none"/>
        </w:rPr>
      </w:pPr>
    </w:p>
    <w:p w14:paraId="1A6C8227">
      <w:pPr>
        <w:autoSpaceDE w:val="0"/>
        <w:autoSpaceDN w:val="0"/>
        <w:adjustRightInd w:val="0"/>
        <w:spacing w:line="360" w:lineRule="auto"/>
        <w:jc w:val="left"/>
        <w:rPr>
          <w:rFonts w:asciiTheme="minorEastAsia" w:hAnsiTheme="minorEastAsia" w:eastAsiaTheme="minorEastAsia"/>
          <w:kern w:val="0"/>
          <w:sz w:val="24"/>
          <w:szCs w:val="20"/>
          <w:highlight w:val="none"/>
        </w:rPr>
      </w:pPr>
    </w:p>
    <w:p w14:paraId="53BFCBE3">
      <w:pPr>
        <w:spacing w:line="360" w:lineRule="auto"/>
        <w:rPr>
          <w:rFonts w:cs="宋体" w:asciiTheme="minorEastAsia" w:hAnsiTheme="minorEastAsia" w:eastAsiaTheme="minorEastAsia"/>
          <w:b/>
          <w:bCs/>
          <w:sz w:val="30"/>
          <w:szCs w:val="32"/>
          <w:highlight w:val="none"/>
        </w:rPr>
      </w:pPr>
      <w:r>
        <w:rPr>
          <w:rFonts w:asciiTheme="minorEastAsia" w:hAnsiTheme="minorEastAsia" w:eastAsiaTheme="minorEastAsia"/>
          <w:sz w:val="24"/>
          <w:highlight w:val="none"/>
        </w:rPr>
        <w:br w:type="page"/>
      </w:r>
    </w:p>
    <w:p w14:paraId="779A505D">
      <w:pPr>
        <w:tabs>
          <w:tab w:val="left" w:pos="7155"/>
        </w:tabs>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附表2</w:t>
      </w:r>
    </w:p>
    <w:p w14:paraId="441873D9">
      <w:pPr>
        <w:tabs>
          <w:tab w:val="left" w:pos="7155"/>
        </w:tabs>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供应商二次报价单</w:t>
      </w:r>
    </w:p>
    <w:p w14:paraId="593FCEC8">
      <w:pPr>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br w:type="page"/>
      </w:r>
    </w:p>
    <w:p w14:paraId="2CE02B9C">
      <w:pPr>
        <w:tabs>
          <w:tab w:val="left" w:pos="7155"/>
        </w:tabs>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附表3</w:t>
      </w:r>
    </w:p>
    <w:p w14:paraId="62F098F6">
      <w:pPr>
        <w:tabs>
          <w:tab w:val="left" w:pos="7155"/>
        </w:tabs>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供应商分项报价明细表</w:t>
      </w:r>
    </w:p>
    <w:p w14:paraId="64A85007">
      <w:pPr>
        <w:spacing w:line="360" w:lineRule="auto"/>
        <w:rPr>
          <w:rFonts w:asciiTheme="minorEastAsia" w:hAnsiTheme="minorEastAsia" w:eastAsiaTheme="minorEastAsia"/>
          <w:b/>
          <w:sz w:val="24"/>
          <w:highlight w:val="none"/>
        </w:rPr>
      </w:pPr>
      <w:r>
        <w:rPr>
          <w:rFonts w:hint="eastAsia" w:cs="宋体" w:asciiTheme="minorEastAsia" w:hAnsiTheme="minorEastAsia" w:eastAsiaTheme="minorEastAsia"/>
          <w:sz w:val="24"/>
          <w:highlight w:val="none"/>
        </w:rPr>
        <w:br w:type="page"/>
      </w:r>
    </w:p>
    <w:p w14:paraId="6FF5927F">
      <w:pPr>
        <w:spacing w:after="120" w:afterLines="50" w:line="360" w:lineRule="auto"/>
        <w:jc w:val="center"/>
        <w:rPr>
          <w:rFonts w:asciiTheme="minorEastAsia" w:hAnsiTheme="minorEastAsia" w:eastAsiaTheme="minorEastAsia"/>
          <w:b/>
          <w:sz w:val="28"/>
          <w:szCs w:val="28"/>
          <w:highlight w:val="none"/>
        </w:rPr>
      </w:pPr>
      <w:r>
        <w:rPr>
          <w:rFonts w:asciiTheme="minorEastAsia" w:hAnsiTheme="minorEastAsia" w:eastAsiaTheme="minorEastAsia"/>
          <w:b/>
          <w:sz w:val="28"/>
          <w:szCs w:val="28"/>
          <w:highlight w:val="none"/>
        </w:rPr>
        <w:t>廉政合同</w:t>
      </w:r>
    </w:p>
    <w:p w14:paraId="66E5896A">
      <w:pPr>
        <w:adjustRightInd w:val="0"/>
        <w:snapToGrid w:val="0"/>
        <w:spacing w:line="360" w:lineRule="auto"/>
        <w:ind w:firstLine="480" w:firstLineChars="200"/>
        <w:rPr>
          <w:rFonts w:asciiTheme="minorEastAsia" w:hAnsiTheme="minorEastAsia" w:eastAsiaTheme="minorEastAsia"/>
          <w:snapToGrid w:val="0"/>
          <w:kern w:val="0"/>
          <w:sz w:val="24"/>
          <w:highlight w:val="none"/>
        </w:rPr>
      </w:pPr>
      <w:r>
        <w:rPr>
          <w:rFonts w:hint="eastAsia" w:asciiTheme="minorEastAsia" w:hAnsiTheme="minorEastAsia" w:eastAsiaTheme="minorEastAsia"/>
          <w:sz w:val="24"/>
          <w:highlight w:val="none"/>
        </w:rPr>
        <w:t>根据交通运输部《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Theme="minorEastAsia" w:hAnsiTheme="minorEastAsia" w:eastAsiaTheme="minorEastAsia"/>
          <w:sz w:val="24"/>
          <w:highlight w:val="none"/>
          <w:u w:val="single"/>
        </w:rPr>
        <w:t>南通市公路事业发展中心</w:t>
      </w:r>
      <w:r>
        <w:rPr>
          <w:rFonts w:hint="eastAsia" w:asciiTheme="minorEastAsia" w:hAnsiTheme="minorEastAsia" w:eastAsiaTheme="minorEastAsia"/>
          <w:sz w:val="24"/>
          <w:highlight w:val="none"/>
        </w:rPr>
        <w:t>（以下称甲方）与</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（以下称乙方），特订立如下合同。</w:t>
      </w:r>
    </w:p>
    <w:p w14:paraId="1DA2DBF9">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甲方和乙方双方的权利和义务</w:t>
      </w:r>
    </w:p>
    <w:p w14:paraId="0E37905C">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）严格遵守党的政策规定和国家有关法律法规及交通运输部的有关规定。</w:t>
      </w:r>
    </w:p>
    <w:p w14:paraId="1E50FD71">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）严格执行</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（项目名称）合同文件，自觉按合同办事。</w:t>
      </w:r>
    </w:p>
    <w:p w14:paraId="1C3C05A4">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）双方的业务活动坚持公开、公正、诚信、透明的原则（法律认定的商业秘密和合同文件另有规定除外），不得损害国家和集体利益，不得违反工程建设管理规章制度。</w:t>
      </w:r>
    </w:p>
    <w:p w14:paraId="239E7843">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）建立健全廉政制度，开展廉政教育，设立廉政告示牌，公布举报电话，监督并认真查处违法违纪行为。</w:t>
      </w:r>
    </w:p>
    <w:p w14:paraId="0C3B5C1A">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）发现对方在业务活动中有违反廉政规定的行为，有及时提醒对方纠正的权利和义务。</w:t>
      </w:r>
    </w:p>
    <w:p w14:paraId="511B1003">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）发现对方严重违反本合同义务条款的行为，有向其上级有关部门举报、建议给予处理并要求告知处理结果的权利。</w:t>
      </w:r>
    </w:p>
    <w:p w14:paraId="410D4860">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甲方的义务</w:t>
      </w:r>
    </w:p>
    <w:p w14:paraId="22EC9883">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）甲方及其工作人员不得索要或接受乙方的礼金、有价证券和贵重物品，不得让乙方报销任何应由甲方或甲方工作人员个人支付的费用等。</w:t>
      </w:r>
    </w:p>
    <w:p w14:paraId="7065A042">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）甲方工作人员不得参加乙方安排的宴请和娱乐活动；不得接受乙方提供的通讯工具、交通工具和高档办公用品等。</w:t>
      </w:r>
    </w:p>
    <w:p w14:paraId="36BCA7C7">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）甲方及其工作人员不得要求或者接受乙方为其住房装修、婚丧嫁娶活动、配偶子女的工作安排以及出国出境、旅游等提供方便等。</w:t>
      </w:r>
    </w:p>
    <w:p w14:paraId="580F1B5C">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）甲方工作人员及其配偶、子女不得从事与本合同有关的业务等活动。不得以任何理由要求乙方和相关单位在设计中使用某种产品、材料和设备。</w:t>
      </w:r>
    </w:p>
    <w:p w14:paraId="4DDBADE5">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（5）甲方工作人员要秉公办事，不准营私舞弊，不准利用职权从事各种个人有偿中介活动和安排个人设计队伍。</w:t>
      </w:r>
    </w:p>
    <w:p w14:paraId="02A192B6">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乙方的义务</w:t>
      </w:r>
    </w:p>
    <w:p w14:paraId="0B6E874C">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）乙方不得以任何理由向发包人及其工作人员行贿或馈赠礼金、有价证券、贵重礼品。</w:t>
      </w:r>
    </w:p>
    <w:p w14:paraId="606B217E">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）乙方不得以任何名义为甲方及其工作人员报销应由甲方单位或个人支付的任何费用。</w:t>
      </w:r>
    </w:p>
    <w:p w14:paraId="0DD10F77">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）乙方不得以任何理由安排甲方工作人员参加宴请及娱乐活动。</w:t>
      </w:r>
    </w:p>
    <w:p w14:paraId="5CB795D6">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）乙方不得为甲方单位和个人购置或提供通信工具、交通工具和高档办公用品等。</w:t>
      </w:r>
    </w:p>
    <w:p w14:paraId="40DDC8E3">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4.</w:t>
      </w:r>
      <w:r>
        <w:rPr>
          <w:rFonts w:hint="eastAsia" w:asciiTheme="minorEastAsia" w:hAnsiTheme="minorEastAsia" w:eastAsiaTheme="minorEastAsia"/>
          <w:sz w:val="24"/>
          <w:highlight w:val="none"/>
        </w:rPr>
        <w:t>违约责任</w:t>
      </w:r>
    </w:p>
    <w:p w14:paraId="61FE4D25">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）甲方及其工作人员违反本合同第</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条，按管理权限，依据有关规定给予党纪、政纪或组织处理；涉嫌犯罪的，移交司法机关追究刑事责任；给乙方单位造成经济损失的，应予以赔偿。</w:t>
      </w:r>
    </w:p>
    <w:p w14:paraId="4CE545ED">
      <w:pPr>
        <w:spacing w:line="360" w:lineRule="auto"/>
        <w:ind w:firstLine="360" w:firstLineChars="1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）乙方及其工作人员违反本合同第</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条，按管理权限，依据有关规定给予党纪、政纪或组织处理；给甲方单位造成经济损失的，应予以赔偿；并按照违纪违法认定金额的双倍承担违约金。合同款项未完全支付的，违约金在支付时予以扣减；合同款已支付承包人或未支付款不足以支付违约金的，乙方另行支付违约金。情节严重的，甲方建议交通主管部门给予乙方一至三年内不得进入其主管的公路建设市场的处罚。</w:t>
      </w:r>
    </w:p>
    <w:p w14:paraId="63F5B303">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5.</w:t>
      </w:r>
      <w:r>
        <w:rPr>
          <w:rFonts w:hint="eastAsia" w:asciiTheme="minorEastAsia" w:hAnsiTheme="minorEastAsia" w:eastAsiaTheme="minorEastAsia"/>
          <w:sz w:val="24"/>
          <w:highlight w:val="none"/>
        </w:rPr>
        <w:t>本合同有效期为甲方和乙方签署之日起至该工程项目竣工验收后止。</w:t>
      </w:r>
    </w:p>
    <w:p w14:paraId="42EC3563">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6.</w:t>
      </w:r>
      <w:r>
        <w:rPr>
          <w:rFonts w:hint="eastAsia" w:asciiTheme="minorEastAsia" w:hAnsiTheme="minorEastAsia" w:eastAsiaTheme="minorEastAsia"/>
          <w:sz w:val="24"/>
          <w:highlight w:val="none"/>
        </w:rPr>
        <w:t>本合同作为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项目名称）合同的附件，与项目合同具有同等的法律效力，经合同双方签署后立即生效。</w:t>
      </w:r>
    </w:p>
    <w:p w14:paraId="18EB5D06">
      <w:pPr>
        <w:spacing w:line="360" w:lineRule="auto"/>
        <w:ind w:firstLine="480" w:firstLineChars="200"/>
        <w:rPr>
          <w:rFonts w:asciiTheme="minorEastAsia" w:hAnsiTheme="minorEastAsia" w:eastAsiaTheme="minorEastAsia"/>
          <w:sz w:val="24"/>
          <w:highlight w:val="none"/>
        </w:rPr>
      </w:pPr>
      <w:r>
        <w:rPr>
          <w:rFonts w:asciiTheme="minorEastAsia" w:hAnsiTheme="minorEastAsia" w:eastAsiaTheme="minorEastAsia"/>
          <w:sz w:val="24"/>
          <w:highlight w:val="none"/>
        </w:rPr>
        <w:t>7.</w:t>
      </w:r>
      <w:r>
        <w:rPr>
          <w:rFonts w:hint="eastAsia" w:asciiTheme="minorEastAsia" w:hAnsiTheme="minorEastAsia" w:eastAsiaTheme="minorEastAsia"/>
          <w:sz w:val="24"/>
          <w:highlight w:val="none"/>
        </w:rPr>
        <w:t>本合同一式四份，由甲方和乙方各执两份。</w:t>
      </w:r>
    </w:p>
    <w:p w14:paraId="3C75485E">
      <w:pPr>
        <w:spacing w:line="360" w:lineRule="auto"/>
        <w:ind w:firstLine="480" w:firstLineChars="200"/>
        <w:rPr>
          <w:rFonts w:asciiTheme="minorEastAsia" w:hAnsiTheme="minorEastAsia" w:eastAsiaTheme="minorEastAsia"/>
          <w:sz w:val="24"/>
          <w:highlight w:val="none"/>
        </w:rPr>
      </w:pPr>
    </w:p>
    <w:p w14:paraId="0C353F89">
      <w:pPr>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甲方：（盖单位章）                   乙方： （盖单位章）</w:t>
      </w:r>
    </w:p>
    <w:p w14:paraId="57D49DF7">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法定代表人</w:t>
      </w:r>
    </w:p>
    <w:p w14:paraId="1A0593A5">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或其委托代理人：（签字）             或其委托代理人：（签字）</w:t>
      </w:r>
    </w:p>
    <w:p w14:paraId="2F59877E">
      <w:pPr>
        <w:adjustRightInd w:val="0"/>
        <w:snapToGrid w:val="0"/>
        <w:spacing w:line="360" w:lineRule="auto"/>
        <w:ind w:firstLine="480" w:firstLineChars="200"/>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______</w:t>
      </w:r>
      <w:r>
        <w:rPr>
          <w:rFonts w:hint="eastAsia" w:asciiTheme="minorEastAsia" w:hAnsiTheme="minorEastAsia" w:eastAsiaTheme="minorEastAsia"/>
          <w:sz w:val="24"/>
          <w:highlight w:val="none"/>
        </w:rPr>
        <w:t>年</w:t>
      </w:r>
      <w:r>
        <w:rPr>
          <w:rFonts w:asciiTheme="minorEastAsia" w:hAnsiTheme="minorEastAsia" w:eastAsiaTheme="minorEastAsia"/>
          <w:sz w:val="24"/>
          <w:highlight w:val="none"/>
        </w:rPr>
        <w:t>________</w:t>
      </w:r>
      <w:r>
        <w:rPr>
          <w:rFonts w:hint="eastAsia" w:asciiTheme="minorEastAsia" w:hAnsiTheme="minorEastAsia" w:eastAsiaTheme="minorEastAsia"/>
          <w:sz w:val="24"/>
          <w:highlight w:val="none"/>
        </w:rPr>
        <w:t>月</w:t>
      </w:r>
      <w:r>
        <w:rPr>
          <w:rFonts w:asciiTheme="minorEastAsia" w:hAnsiTheme="minorEastAsia" w:eastAsiaTheme="minorEastAsia"/>
          <w:sz w:val="24"/>
          <w:highlight w:val="none"/>
        </w:rPr>
        <w:t>________</w:t>
      </w:r>
      <w:r>
        <w:rPr>
          <w:rFonts w:hint="eastAsia" w:asciiTheme="minorEastAsia" w:hAnsiTheme="minorEastAsia" w:eastAsiaTheme="minorEastAsia"/>
          <w:sz w:val="24"/>
          <w:highlight w:val="none"/>
        </w:rPr>
        <w:t xml:space="preserve">日         </w:t>
      </w:r>
      <w:r>
        <w:rPr>
          <w:rFonts w:asciiTheme="minorEastAsia" w:hAnsiTheme="minorEastAsia" w:eastAsiaTheme="minorEastAsia"/>
          <w:sz w:val="24"/>
          <w:highlight w:val="none"/>
        </w:rPr>
        <w:t>_____</w:t>
      </w:r>
      <w:r>
        <w:rPr>
          <w:rFonts w:hint="eastAsia" w:asciiTheme="minorEastAsia" w:hAnsiTheme="minorEastAsia" w:eastAsiaTheme="minorEastAsia"/>
          <w:sz w:val="24"/>
          <w:highlight w:val="none"/>
        </w:rPr>
        <w:t>年</w:t>
      </w:r>
      <w:r>
        <w:rPr>
          <w:rFonts w:asciiTheme="minorEastAsia" w:hAnsiTheme="minorEastAsia" w:eastAsiaTheme="minorEastAsia"/>
          <w:sz w:val="24"/>
          <w:highlight w:val="none"/>
        </w:rPr>
        <w:t>________</w:t>
      </w:r>
      <w:r>
        <w:rPr>
          <w:rFonts w:hint="eastAsia" w:asciiTheme="minorEastAsia" w:hAnsiTheme="minorEastAsia" w:eastAsiaTheme="minorEastAsia"/>
          <w:sz w:val="24"/>
          <w:highlight w:val="none"/>
        </w:rPr>
        <w:t>月</w:t>
      </w:r>
      <w:r>
        <w:rPr>
          <w:rFonts w:asciiTheme="minorEastAsia" w:hAnsiTheme="minorEastAsia" w:eastAsiaTheme="minorEastAsia"/>
          <w:sz w:val="24"/>
          <w:highlight w:val="none"/>
        </w:rPr>
        <w:t>________</w:t>
      </w:r>
      <w:r>
        <w:rPr>
          <w:rFonts w:hint="eastAsia" w:asciiTheme="minorEastAsia" w:hAnsiTheme="minorEastAsia" w:eastAsiaTheme="minorEastAsia"/>
          <w:sz w:val="24"/>
          <w:highlight w:val="none"/>
        </w:rPr>
        <w:t>日</w:t>
      </w:r>
    </w:p>
    <w:p w14:paraId="2D59B0FA">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0F3FC65B">
      <w:pPr>
        <w:adjustRightInd w:val="0"/>
        <w:snapToGrid w:val="0"/>
        <w:spacing w:line="360" w:lineRule="auto"/>
        <w:ind w:firstLine="723" w:firstLineChars="200"/>
        <w:jc w:val="center"/>
        <w:rPr>
          <w:rFonts w:cs="宋体" w:asciiTheme="minorEastAsia" w:hAnsiTheme="minorEastAsia" w:eastAsiaTheme="minorEastAsia"/>
          <w:sz w:val="28"/>
          <w:szCs w:val="28"/>
          <w:highlight w:val="none"/>
        </w:rPr>
      </w:pPr>
      <w:r>
        <w:rPr>
          <w:rFonts w:hint="eastAsia" w:cs="宋体" w:asciiTheme="minorEastAsia" w:hAnsiTheme="minorEastAsia" w:eastAsiaTheme="minorEastAsia"/>
          <w:b/>
          <w:sz w:val="36"/>
          <w:szCs w:val="36"/>
          <w:highlight w:val="none"/>
        </w:rPr>
        <w:t>第六部分  质疑提出和处理</w:t>
      </w:r>
    </w:p>
    <w:p w14:paraId="25B3FA21">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一、质疑的提出</w:t>
      </w:r>
    </w:p>
    <w:p w14:paraId="586E1DD8">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(一)质疑人的身份要求      </w:t>
      </w:r>
    </w:p>
    <w:p w14:paraId="4C5410F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1.提出质疑的供应商应当是参与所质疑项目采购活动的供应商。</w:t>
      </w:r>
    </w:p>
    <w:p w14:paraId="3BBAC8E1">
      <w:pPr>
        <w:adjustRightInd w:val="0"/>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2.潜在供应商已依法获取其可质疑的采购文件的，可以对该文件提出质疑。对采购文件提出质疑的，应当在获取采购文件或者采购文件公告期限届满之日起7个工作日内提出。</w:t>
      </w:r>
    </w:p>
    <w:p w14:paraId="17ECF608">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 (二)质疑提出的格式要求   </w:t>
      </w:r>
    </w:p>
    <w:p w14:paraId="5CD6157A">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w:t>
      </w:r>
      <w:r>
        <w:rPr>
          <w:rFonts w:hint="eastAsia" w:ascii="宋体" w:hAnsi="宋体" w:cs="宋体"/>
          <w:kern w:val="0"/>
          <w:sz w:val="24"/>
          <w:highlight w:val="none"/>
        </w:rPr>
        <w:t>应</w:t>
      </w:r>
      <w:r>
        <w:rPr>
          <w:rFonts w:hint="eastAsia" w:ascii="宋体" w:hAnsi="宋体" w:cs="宋体"/>
          <w:kern w:val="0"/>
          <w:sz w:val="24"/>
          <w:highlight w:val="none"/>
          <w:lang w:val="zh-CN"/>
        </w:rPr>
        <w:t>参照《中华人民共和国政府采购法》、《中华人民共和国政府采购法实施条例》及《江苏省政府采购供应商监督管理暂行办法》的相关规定提交，质疑实行实名制，不得进行虚假、恶意质疑，未按上述要求提交的质疑函，采购人有权不予受理。</w:t>
      </w:r>
    </w:p>
    <w:p w14:paraId="1FE6F9B6">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2.质疑函应包括：    </w:t>
      </w:r>
    </w:p>
    <w:p w14:paraId="3E15C9D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（1）质疑供应商的名称、地址、邮编、联系人及联系电话；</w:t>
      </w:r>
    </w:p>
    <w:p w14:paraId="78F8EA5C">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（2）具体、明确的质疑事项及明确的请求；</w:t>
      </w:r>
    </w:p>
    <w:p w14:paraId="5D0A028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（3）质疑的事实依据和必要的法律依据；</w:t>
      </w:r>
    </w:p>
    <w:p w14:paraId="0F2F8F43">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（4）提起质疑的日期；</w:t>
      </w:r>
    </w:p>
    <w:p w14:paraId="3275432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（5）认为自己合法权益受到损害或可能受到损害的相关证据材料；                            </w:t>
      </w:r>
    </w:p>
    <w:p w14:paraId="1530B86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（6）质疑函应当署名：质疑人为自然人的，应当由本人签字并附有效身份证明；质疑人为法人或其他组织的，应当由法定代表人签字并加盖单位公章，未按要求签字和盖章的为无效质疑，</w:t>
      </w:r>
      <w:r>
        <w:rPr>
          <w:rFonts w:hint="eastAsia" w:ascii="宋体" w:hAnsi="宋体" w:cs="宋体"/>
          <w:kern w:val="0"/>
          <w:sz w:val="24"/>
          <w:highlight w:val="none"/>
        </w:rPr>
        <w:t>采购人</w:t>
      </w:r>
      <w:r>
        <w:rPr>
          <w:rFonts w:hint="eastAsia" w:ascii="宋体" w:hAnsi="宋体" w:cs="宋体"/>
          <w:kern w:val="0"/>
          <w:sz w:val="24"/>
          <w:highlight w:val="none"/>
          <w:lang w:val="zh-CN"/>
        </w:rPr>
        <w:t>将不予受理。质疑人委托代理质疑的，应当向采购人提交授权委托书，并载明委托代理的具体权限和事项。</w:t>
      </w:r>
    </w:p>
    <w:p w14:paraId="174853AD">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3.质疑函需遵循的原则：</w:t>
      </w:r>
    </w:p>
    <w:p w14:paraId="0F8ABA01">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ascii="宋体" w:hAnsi="宋体" w:cs="宋体"/>
          <w:kern w:val="0"/>
          <w:sz w:val="24"/>
          <w:highlight w:val="none"/>
        </w:rPr>
        <w:t>采购</w:t>
      </w:r>
      <w:r>
        <w:rPr>
          <w:rFonts w:hint="eastAsia" w:ascii="宋体" w:hAnsi="宋体" w:cs="宋体"/>
          <w:kern w:val="0"/>
          <w:sz w:val="24"/>
          <w:highlight w:val="none"/>
          <w:lang w:val="zh-CN"/>
        </w:rPr>
        <w:t>人。</w:t>
      </w:r>
      <w:r>
        <w:rPr>
          <w:rFonts w:hint="eastAsia" w:ascii="宋体" w:hAnsi="宋体" w:cs="宋体"/>
          <w:kern w:val="0"/>
          <w:sz w:val="24"/>
          <w:highlight w:val="none"/>
        </w:rPr>
        <w:t>采购</w:t>
      </w:r>
      <w:r>
        <w:rPr>
          <w:rFonts w:hint="eastAsia" w:ascii="宋体" w:hAnsi="宋体" w:cs="宋体"/>
          <w:kern w:val="0"/>
          <w:sz w:val="24"/>
          <w:highlight w:val="none"/>
          <w:lang w:val="zh-CN"/>
        </w:rPr>
        <w:t>人不具有法定调查、认定权限。</w:t>
      </w:r>
    </w:p>
    <w:p w14:paraId="03F48701">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（三）质疑提出的时效要求</w:t>
      </w:r>
    </w:p>
    <w:p w14:paraId="3092D91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1.供应商认为采购文件、采购过程和采购结果使自己的权益受到损害的，可以在知道或应知其权益受到损害之日起七个工作日内，以书面形式向采购人或采购人提出质疑。上述应知其权益受到损害之日，是指：                       </w:t>
      </w:r>
    </w:p>
    <w:p w14:paraId="0F2098B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（1）对可以质疑的采购文件提出质疑的，为收到采购文件之日或者采购文件公告期限届满之日；</w:t>
      </w:r>
    </w:p>
    <w:p w14:paraId="1D6EA9E4">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（2）对采购过程提出质疑的，为各采购程序环节结束之日；</w:t>
      </w:r>
    </w:p>
    <w:p w14:paraId="3318DA3E">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（3）对成交或者成交结果提出质疑的，为成交或者成交结果公告期限届满之日。                 </w:t>
      </w:r>
    </w:p>
    <w:p w14:paraId="34F2498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供应商认为采购文件使自己的权益受到损害的，可以按照</w:t>
      </w:r>
      <w:r>
        <w:rPr>
          <w:rFonts w:hint="eastAsia" w:ascii="宋体" w:hAnsi="宋体" w:cs="宋体"/>
          <w:kern w:val="0"/>
          <w:sz w:val="24"/>
          <w:highlight w:val="none"/>
        </w:rPr>
        <w:t>采购</w:t>
      </w:r>
      <w:r>
        <w:rPr>
          <w:rFonts w:hint="eastAsia" w:ascii="宋体" w:hAnsi="宋体" w:cs="宋体"/>
          <w:kern w:val="0"/>
          <w:sz w:val="24"/>
          <w:highlight w:val="none"/>
          <w:lang w:val="zh-CN"/>
        </w:rPr>
        <w:t>公告第八项要求向采购人提出质疑；供应商认为采购过程和采购结果使自己的权益受到损害的，可以以书面形式向采购人或采购人提出质疑。</w:t>
      </w:r>
    </w:p>
    <w:p w14:paraId="10417E5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2.供应商应在法定质疑期一次性提出针对同一采购程序环节的质疑。                         </w:t>
      </w:r>
    </w:p>
    <w:p w14:paraId="7622804D">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二、《质疑函》的受理和答复</w:t>
      </w:r>
    </w:p>
    <w:p w14:paraId="2DB6FEE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采购人收到质疑函后，将对质疑的形式和内容进行审查，如质疑函内容、格式不符合规定，采购人将告知质疑人进行补正。</w:t>
      </w:r>
    </w:p>
    <w:p w14:paraId="6B29066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 质疑人应当在法定质疑期限内进行补正并重新提交质疑函，拒不补正或者在法定期限内未重新提交质疑函的，为无效质疑，采购人将不予受理。</w:t>
      </w:r>
    </w:p>
    <w:p w14:paraId="746EB14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3.采购人或采购代理机构答复供应商质疑应当采用书面方式并依法送达，质疑供应商或其委托代理人拒绝签收的视为已经送达。</w:t>
      </w:r>
    </w:p>
    <w:p w14:paraId="1C85EDB7">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三、质疑处理</w:t>
      </w:r>
    </w:p>
    <w:p w14:paraId="27A55C70">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1. 质疑成立的处理</w:t>
      </w:r>
    </w:p>
    <w:p w14:paraId="7F56DB9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（1）对于内容、格式符合规定的质疑函，采购人在收到磋商供应商的书面质疑后七个工作日内作出书面答复，但答复的内容不得涉及商业秘密。                       </w:t>
      </w:r>
    </w:p>
    <w:p w14:paraId="03620139">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（2）对采购文件提出的质疑，依法通过澄清或者修改可以继续开展采购活动的，澄清或者修改采购文件后继续开展采购活动；否则应当修改采购文件后重新开展采购活动。</w:t>
      </w:r>
    </w:p>
    <w:p w14:paraId="5DD30B6D">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62E98D45">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质疑答复导致成交、成交结果改变的，采购人或者采购代理机构应当将有关情况书面报告本级财政部门。</w:t>
      </w:r>
    </w:p>
    <w:p w14:paraId="015D50A2">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2.质疑不成立的处理</w:t>
      </w:r>
    </w:p>
    <w:p w14:paraId="51E41AC8">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若质疑不成立，或者成立未对成交、成交结果构成影响的，继续开展采购活动。                  </w:t>
      </w:r>
    </w:p>
    <w:p w14:paraId="0369C99B">
      <w:pPr>
        <w:adjustRightInd w:val="0"/>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 xml:space="preserve">3.虚假质疑的处理          </w:t>
      </w:r>
    </w:p>
    <w:p w14:paraId="6B172AD3">
      <w:pPr>
        <w:pStyle w:val="8"/>
        <w:adjustRightInd w:val="0"/>
        <w:snapToGrid w:val="0"/>
        <w:spacing w:after="0" w:line="360" w:lineRule="auto"/>
        <w:ind w:left="0" w:leftChars="0" w:firstLine="480" w:firstLineChars="200"/>
        <w:rPr>
          <w:rFonts w:cs="宋体" w:asciiTheme="minorEastAsia" w:hAnsiTheme="minorEastAsia" w:eastAsiaTheme="minorEastAsia"/>
          <w:sz w:val="24"/>
          <w:highlight w:val="none"/>
          <w:lang w:val="zh-CN"/>
        </w:rPr>
      </w:pPr>
      <w:r>
        <w:rPr>
          <w:rFonts w:hint="eastAsia" w:ascii="宋体" w:hAnsi="宋体" w:cs="宋体"/>
          <w:sz w:val="24"/>
          <w:highlight w:val="none"/>
          <w:lang w:val="zh-CN"/>
        </w:rPr>
        <w:t>供应商提出书面质疑必须有理、有据，不得恶意质疑或提交虚假质疑。否则，一经查实，采购人有权依据相关规定，报请主管部门对该供应商进行相应的处罚。</w:t>
      </w:r>
      <w:r>
        <w:rPr>
          <w:rFonts w:hint="eastAsia" w:cs="宋体" w:asciiTheme="minorEastAsia" w:hAnsiTheme="minorEastAsia" w:eastAsiaTheme="minorEastAsia"/>
          <w:sz w:val="24"/>
          <w:highlight w:val="none"/>
          <w:lang w:val="zh-CN"/>
        </w:rPr>
        <w:t xml:space="preserve">                      </w:t>
      </w:r>
    </w:p>
    <w:p w14:paraId="580B4245">
      <w:pPr>
        <w:autoSpaceDE w:val="0"/>
        <w:autoSpaceDN w:val="0"/>
        <w:adjustRightInd w:val="0"/>
        <w:snapToGrid w:val="0"/>
        <w:spacing w:line="300" w:lineRule="auto"/>
        <w:contextualSpacing/>
        <w:rPr>
          <w:rFonts w:cs="宋体" w:asciiTheme="minorEastAsia" w:hAnsiTheme="minorEastAsia" w:eastAsiaTheme="minorEastAsia"/>
          <w:sz w:val="28"/>
          <w:szCs w:val="28"/>
          <w:highlight w:val="none"/>
          <w:lang w:val="zh-CN"/>
        </w:rPr>
      </w:pPr>
    </w:p>
    <w:p w14:paraId="14E5469A">
      <w:pPr>
        <w:autoSpaceDE w:val="0"/>
        <w:autoSpaceDN w:val="0"/>
        <w:adjustRightInd w:val="0"/>
        <w:snapToGrid w:val="0"/>
        <w:spacing w:line="300" w:lineRule="auto"/>
        <w:ind w:left="3630" w:right="210" w:hanging="3092"/>
        <w:outlineLvl w:val="0"/>
        <w:rPr>
          <w:rFonts w:cs="宋体" w:asciiTheme="minorEastAsia" w:hAnsiTheme="minorEastAsia" w:eastAsiaTheme="minorEastAsia"/>
          <w:sz w:val="28"/>
          <w:szCs w:val="28"/>
          <w:highlight w:val="none"/>
          <w:lang w:val="zh-CN"/>
        </w:rPr>
      </w:pPr>
    </w:p>
    <w:p w14:paraId="06528AB5">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7853CA16">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79750528">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008E48B7">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0C2BD064">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09955185">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51101916">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6F95DFA3">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6509C1B8">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2B6590EB">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39DF5F2D">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28AB4AAC">
      <w:pPr>
        <w:autoSpaceDE w:val="0"/>
        <w:autoSpaceDN w:val="0"/>
        <w:adjustRightInd w:val="0"/>
        <w:snapToGrid w:val="0"/>
        <w:spacing w:line="300" w:lineRule="auto"/>
        <w:ind w:left="4513" w:right="210" w:hanging="4513"/>
        <w:jc w:val="center"/>
        <w:rPr>
          <w:rFonts w:cs="宋体" w:asciiTheme="minorEastAsia" w:hAnsiTheme="minorEastAsia" w:eastAsiaTheme="minorEastAsia"/>
          <w:b/>
          <w:bCs/>
          <w:sz w:val="36"/>
          <w:szCs w:val="36"/>
          <w:highlight w:val="none"/>
          <w:lang w:val="zh-CN"/>
        </w:rPr>
      </w:pPr>
    </w:p>
    <w:p w14:paraId="52B26E5D">
      <w:pPr>
        <w:widowControl/>
        <w:jc w:val="center"/>
        <w:rPr>
          <w:rFonts w:ascii="宋体" w:hAnsi="宋体" w:cs="仿宋"/>
          <w:bCs/>
          <w:sz w:val="44"/>
          <w:szCs w:val="44"/>
          <w:highlight w:val="none"/>
        </w:rPr>
      </w:pPr>
      <w:r>
        <w:rPr>
          <w:rFonts w:hint="eastAsia" w:cs="宋体" w:asciiTheme="minorEastAsia" w:hAnsiTheme="minorEastAsia" w:eastAsiaTheme="minorEastAsia"/>
          <w:b/>
          <w:bCs/>
          <w:sz w:val="36"/>
          <w:szCs w:val="36"/>
          <w:highlight w:val="none"/>
          <w:lang w:val="zh-CN"/>
        </w:rPr>
        <w:br w:type="page"/>
      </w:r>
      <w:r>
        <w:rPr>
          <w:rFonts w:hint="eastAsia" w:ascii="宋体" w:hAnsi="宋体" w:cs="仿宋"/>
          <w:bCs/>
          <w:sz w:val="44"/>
          <w:szCs w:val="44"/>
          <w:highlight w:val="none"/>
        </w:rPr>
        <w:t>质疑函范本</w:t>
      </w:r>
    </w:p>
    <w:p w14:paraId="0426BAB2">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一、质疑供应商基本信息</w:t>
      </w:r>
    </w:p>
    <w:p w14:paraId="08D8E829">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质疑供应商：</w:t>
      </w:r>
    </w:p>
    <w:p w14:paraId="08579E48">
      <w:pPr>
        <w:adjustRightInd w:val="0"/>
        <w:snapToGrid w:val="0"/>
        <w:spacing w:line="360" w:lineRule="auto"/>
        <w:rPr>
          <w:rFonts w:ascii="宋体" w:hAnsi="宋体" w:cs="仿宋"/>
          <w:sz w:val="24"/>
          <w:highlight w:val="none"/>
        </w:rPr>
      </w:pPr>
      <w:r>
        <w:rPr>
          <w:rFonts w:hint="eastAsia" w:ascii="宋体" w:hAnsi="宋体" w:cs="仿宋"/>
          <w:sz w:val="24"/>
          <w:highlight w:val="none"/>
        </w:rPr>
        <w:t>地址：               邮编：</w:t>
      </w:r>
    </w:p>
    <w:p w14:paraId="04EA7529">
      <w:pPr>
        <w:adjustRightInd w:val="0"/>
        <w:snapToGrid w:val="0"/>
        <w:spacing w:line="360" w:lineRule="auto"/>
        <w:rPr>
          <w:rFonts w:ascii="宋体" w:hAnsi="宋体" w:cs="仿宋"/>
          <w:sz w:val="24"/>
          <w:highlight w:val="none"/>
        </w:rPr>
      </w:pPr>
      <w:r>
        <w:rPr>
          <w:rFonts w:hint="eastAsia" w:ascii="宋体" w:hAnsi="宋体" w:cs="仿宋"/>
          <w:sz w:val="24"/>
          <w:highlight w:val="none"/>
        </w:rPr>
        <w:t>联系人：             联系电话：</w:t>
      </w:r>
    </w:p>
    <w:p w14:paraId="33837883">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授权代表：</w:t>
      </w:r>
    </w:p>
    <w:p w14:paraId="6041A8F6">
      <w:pPr>
        <w:adjustRightInd w:val="0"/>
        <w:snapToGrid w:val="0"/>
        <w:spacing w:line="360" w:lineRule="auto"/>
        <w:rPr>
          <w:rFonts w:ascii="宋体" w:hAnsi="宋体" w:cs="仿宋"/>
          <w:sz w:val="24"/>
          <w:highlight w:val="none"/>
        </w:rPr>
      </w:pPr>
      <w:r>
        <w:rPr>
          <w:rFonts w:hint="eastAsia" w:ascii="宋体" w:hAnsi="宋体" w:cs="仿宋"/>
          <w:sz w:val="24"/>
          <w:highlight w:val="none"/>
        </w:rPr>
        <w:t>联系电话：</w:t>
      </w:r>
    </w:p>
    <w:p w14:paraId="7AB50B5E">
      <w:pPr>
        <w:adjustRightInd w:val="0"/>
        <w:snapToGrid w:val="0"/>
        <w:spacing w:line="360" w:lineRule="auto"/>
        <w:rPr>
          <w:rFonts w:ascii="宋体" w:hAnsi="宋体" w:cs="仿宋"/>
          <w:sz w:val="24"/>
          <w:highlight w:val="none"/>
        </w:rPr>
      </w:pPr>
      <w:r>
        <w:rPr>
          <w:rFonts w:hint="eastAsia" w:ascii="宋体" w:hAnsi="宋体" w:cs="仿宋"/>
          <w:sz w:val="24"/>
          <w:highlight w:val="none"/>
        </w:rPr>
        <w:t>地址：               邮编：</w:t>
      </w:r>
    </w:p>
    <w:p w14:paraId="755C367F">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二、质疑项目基本情况</w:t>
      </w:r>
    </w:p>
    <w:p w14:paraId="14DA9714">
      <w:pPr>
        <w:adjustRightInd w:val="0"/>
        <w:snapToGrid w:val="0"/>
        <w:spacing w:line="360" w:lineRule="auto"/>
        <w:rPr>
          <w:rFonts w:ascii="宋体" w:hAnsi="宋体" w:cs="仿宋"/>
          <w:sz w:val="24"/>
          <w:highlight w:val="none"/>
        </w:rPr>
      </w:pPr>
      <w:r>
        <w:rPr>
          <w:rFonts w:hint="eastAsia" w:ascii="宋体" w:hAnsi="宋体" w:cs="仿宋"/>
          <w:sz w:val="24"/>
          <w:highlight w:val="none"/>
        </w:rPr>
        <w:t>质疑项目的名称：</w:t>
      </w:r>
    </w:p>
    <w:p w14:paraId="0EF36DAA">
      <w:pPr>
        <w:adjustRightInd w:val="0"/>
        <w:snapToGrid w:val="0"/>
        <w:spacing w:line="360" w:lineRule="auto"/>
        <w:rPr>
          <w:rFonts w:ascii="宋体" w:hAnsi="宋体" w:cs="仿宋"/>
          <w:sz w:val="24"/>
          <w:highlight w:val="none"/>
        </w:rPr>
      </w:pPr>
      <w:r>
        <w:rPr>
          <w:rFonts w:hint="eastAsia" w:ascii="宋体" w:hAnsi="宋体" w:cs="仿宋"/>
          <w:sz w:val="24"/>
          <w:highlight w:val="none"/>
        </w:rPr>
        <w:t>质疑项目的编号：     包号：</w:t>
      </w:r>
    </w:p>
    <w:p w14:paraId="53808FF3">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采购人名称：</w:t>
      </w:r>
    </w:p>
    <w:p w14:paraId="18E6AEF3">
      <w:pPr>
        <w:adjustRightInd w:val="0"/>
        <w:snapToGrid w:val="0"/>
        <w:spacing w:line="360" w:lineRule="auto"/>
        <w:rPr>
          <w:rFonts w:ascii="宋体" w:hAnsi="宋体" w:cs="仿宋"/>
          <w:sz w:val="24"/>
          <w:highlight w:val="none"/>
        </w:rPr>
      </w:pPr>
      <w:r>
        <w:rPr>
          <w:rFonts w:hint="eastAsia" w:ascii="宋体" w:hAnsi="宋体" w:cs="仿宋"/>
          <w:sz w:val="24"/>
          <w:highlight w:val="none"/>
        </w:rPr>
        <w:t>采购文件获取日期：</w:t>
      </w:r>
    </w:p>
    <w:p w14:paraId="1EE2CFE9">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三、质疑事项具体内容</w:t>
      </w:r>
    </w:p>
    <w:p w14:paraId="6868B243">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质疑事项1：</w:t>
      </w:r>
    </w:p>
    <w:p w14:paraId="61C79F9F">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事实依据：</w:t>
      </w:r>
    </w:p>
    <w:p w14:paraId="549E05D8">
      <w:pPr>
        <w:adjustRightInd w:val="0"/>
        <w:snapToGrid w:val="0"/>
        <w:spacing w:line="360" w:lineRule="auto"/>
        <w:rPr>
          <w:rFonts w:ascii="宋体" w:hAnsi="宋体" w:cs="仿宋"/>
          <w:sz w:val="24"/>
          <w:highlight w:val="none"/>
        </w:rPr>
      </w:pPr>
    </w:p>
    <w:p w14:paraId="3E8C1341">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法律依据：</w:t>
      </w:r>
    </w:p>
    <w:p w14:paraId="491B9065">
      <w:pPr>
        <w:adjustRightInd w:val="0"/>
        <w:snapToGrid w:val="0"/>
        <w:spacing w:line="360" w:lineRule="auto"/>
        <w:rPr>
          <w:rFonts w:ascii="宋体" w:hAnsi="宋体" w:cs="仿宋"/>
          <w:sz w:val="24"/>
          <w:highlight w:val="none"/>
          <w:u w:val="dotted"/>
        </w:rPr>
      </w:pPr>
    </w:p>
    <w:p w14:paraId="4EA4C4EE">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质疑事项2</w:t>
      </w:r>
    </w:p>
    <w:p w14:paraId="69C774F5">
      <w:pPr>
        <w:adjustRightInd w:val="0"/>
        <w:snapToGrid w:val="0"/>
        <w:spacing w:line="360" w:lineRule="auto"/>
        <w:rPr>
          <w:rFonts w:ascii="宋体" w:hAnsi="宋体" w:cs="仿宋"/>
          <w:sz w:val="24"/>
          <w:highlight w:val="none"/>
        </w:rPr>
      </w:pPr>
      <w:r>
        <w:rPr>
          <w:rFonts w:hint="eastAsia" w:ascii="宋体" w:hAnsi="宋体" w:cs="仿宋"/>
          <w:sz w:val="24"/>
          <w:highlight w:val="none"/>
        </w:rPr>
        <w:t>……</w:t>
      </w:r>
    </w:p>
    <w:p w14:paraId="1CA82276">
      <w:pPr>
        <w:adjustRightInd w:val="0"/>
        <w:snapToGrid w:val="0"/>
        <w:spacing w:line="360" w:lineRule="auto"/>
        <w:rPr>
          <w:rFonts w:ascii="宋体" w:hAnsi="宋体" w:cs="仿宋"/>
          <w:bCs/>
          <w:sz w:val="24"/>
          <w:highlight w:val="none"/>
        </w:rPr>
      </w:pPr>
      <w:r>
        <w:rPr>
          <w:rFonts w:hint="eastAsia" w:ascii="宋体" w:hAnsi="宋体" w:cs="仿宋"/>
          <w:bCs/>
          <w:sz w:val="24"/>
          <w:highlight w:val="none"/>
        </w:rPr>
        <w:t>四、与质疑事项相关的质疑请求</w:t>
      </w:r>
    </w:p>
    <w:p w14:paraId="562CFBBB">
      <w:pPr>
        <w:adjustRightInd w:val="0"/>
        <w:snapToGrid w:val="0"/>
        <w:spacing w:line="360" w:lineRule="auto"/>
        <w:rPr>
          <w:rFonts w:ascii="宋体" w:hAnsi="宋体" w:cs="仿宋"/>
          <w:sz w:val="24"/>
          <w:highlight w:val="none"/>
          <w:u w:val="dotted"/>
        </w:rPr>
      </w:pPr>
      <w:r>
        <w:rPr>
          <w:rFonts w:hint="eastAsia" w:ascii="宋体" w:hAnsi="宋体" w:cs="仿宋"/>
          <w:sz w:val="24"/>
          <w:highlight w:val="none"/>
        </w:rPr>
        <w:t>请求：</w:t>
      </w:r>
    </w:p>
    <w:p w14:paraId="50904C32">
      <w:pPr>
        <w:adjustRightInd w:val="0"/>
        <w:snapToGrid w:val="0"/>
        <w:spacing w:line="360" w:lineRule="auto"/>
        <w:rPr>
          <w:rFonts w:ascii="宋体" w:hAnsi="宋体"/>
          <w:sz w:val="24"/>
          <w:highlight w:val="none"/>
        </w:rPr>
      </w:pPr>
      <w:r>
        <w:rPr>
          <w:rFonts w:hint="eastAsia" w:ascii="宋体" w:hAnsi="宋体"/>
          <w:sz w:val="24"/>
          <w:highlight w:val="none"/>
        </w:rPr>
        <w:t xml:space="preserve">签字(签章)：                   公章：                      </w:t>
      </w:r>
    </w:p>
    <w:p w14:paraId="0F4309EF">
      <w:pPr>
        <w:adjustRightInd w:val="0"/>
        <w:snapToGrid w:val="0"/>
        <w:spacing w:line="360" w:lineRule="auto"/>
        <w:rPr>
          <w:rFonts w:ascii="宋体" w:hAnsi="宋体"/>
          <w:sz w:val="24"/>
          <w:highlight w:val="none"/>
        </w:rPr>
      </w:pPr>
      <w:r>
        <w:rPr>
          <w:rFonts w:hint="eastAsia" w:ascii="宋体" w:hAnsi="宋体"/>
          <w:sz w:val="24"/>
          <w:highlight w:val="none"/>
        </w:rPr>
        <w:t xml:space="preserve">日期：    </w:t>
      </w:r>
    </w:p>
    <w:p w14:paraId="7BDCD228">
      <w:pPr>
        <w:adjustRightInd w:val="0"/>
        <w:snapToGrid w:val="0"/>
        <w:spacing w:line="360" w:lineRule="auto"/>
        <w:rPr>
          <w:rFonts w:ascii="宋体" w:hAnsi="宋体" w:cs="仿宋"/>
          <w:sz w:val="32"/>
          <w:szCs w:val="32"/>
          <w:highlight w:val="none"/>
        </w:rPr>
      </w:pPr>
    </w:p>
    <w:p w14:paraId="36325717">
      <w:pPr>
        <w:adjustRightInd w:val="0"/>
        <w:snapToGrid w:val="0"/>
        <w:spacing w:line="360" w:lineRule="auto"/>
        <w:rPr>
          <w:rFonts w:ascii="宋体" w:hAnsi="宋体"/>
          <w:b/>
          <w:sz w:val="32"/>
          <w:szCs w:val="32"/>
          <w:highlight w:val="none"/>
        </w:rPr>
      </w:pPr>
    </w:p>
    <w:p w14:paraId="7633112C">
      <w:pPr>
        <w:adjustRightInd w:val="0"/>
        <w:snapToGrid w:val="0"/>
        <w:spacing w:line="360" w:lineRule="auto"/>
        <w:rPr>
          <w:rFonts w:ascii="宋体" w:hAnsi="宋体"/>
          <w:b/>
          <w:sz w:val="32"/>
          <w:szCs w:val="32"/>
          <w:highlight w:val="none"/>
        </w:rPr>
      </w:pPr>
      <w:r>
        <w:rPr>
          <w:rFonts w:hint="eastAsia" w:ascii="宋体" w:hAnsi="宋体"/>
          <w:b/>
          <w:sz w:val="32"/>
          <w:szCs w:val="32"/>
          <w:highlight w:val="none"/>
        </w:rPr>
        <w:br w:type="page"/>
      </w:r>
    </w:p>
    <w:p w14:paraId="7AC3B9E4">
      <w:pPr>
        <w:adjustRightInd w:val="0"/>
        <w:snapToGrid w:val="0"/>
        <w:spacing w:line="360" w:lineRule="auto"/>
        <w:rPr>
          <w:rFonts w:ascii="宋体" w:hAnsi="宋体"/>
          <w:b/>
          <w:sz w:val="32"/>
          <w:szCs w:val="32"/>
          <w:highlight w:val="none"/>
        </w:rPr>
      </w:pPr>
      <w:r>
        <w:rPr>
          <w:rFonts w:hint="eastAsia" w:ascii="宋体" w:hAnsi="宋体"/>
          <w:b/>
          <w:sz w:val="32"/>
          <w:szCs w:val="32"/>
          <w:highlight w:val="none"/>
        </w:rPr>
        <w:t>质疑函制作说明：</w:t>
      </w:r>
    </w:p>
    <w:p w14:paraId="39A8A0E4">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1.供应商提出质疑时，应提交质疑函和必要的证明材料。</w:t>
      </w:r>
    </w:p>
    <w:p w14:paraId="536F33BB">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14:paraId="0FFD87BC">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3.质疑供应商若对项目的某一分包进行质疑，质疑函中应列明具体分包号。</w:t>
      </w:r>
    </w:p>
    <w:p w14:paraId="753CFB13">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4.质疑函的质疑事项应具体、明确，并有必要的事实依据和法律依据。</w:t>
      </w:r>
    </w:p>
    <w:p w14:paraId="22440BD9">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5.质疑函的质疑请求应与质疑事项相关。</w:t>
      </w:r>
    </w:p>
    <w:p w14:paraId="23EB2F56">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6.质疑供应商为自然人的，质疑函应由本人签字；质疑供应商为法人或者其他组织的，质疑函应由法定代表人、主要负责人，或者其授权代表签字或者盖章，并加盖公章。</w:t>
      </w:r>
    </w:p>
    <w:p w14:paraId="5FD5F054">
      <w:pPr>
        <w:widowControl/>
        <w:jc w:val="left"/>
        <w:rPr>
          <w:rFonts w:cs="宋体" w:asciiTheme="minorEastAsia" w:hAnsiTheme="minorEastAsia" w:eastAsiaTheme="minorEastAsia"/>
          <w:b/>
          <w:bCs/>
          <w:sz w:val="36"/>
          <w:szCs w:val="36"/>
          <w:highlight w:val="none"/>
        </w:rPr>
      </w:pPr>
      <w:r>
        <w:rPr>
          <w:rFonts w:cs="宋体" w:asciiTheme="minorEastAsia" w:hAnsiTheme="minorEastAsia" w:eastAsiaTheme="minorEastAsia"/>
          <w:b/>
          <w:bCs/>
          <w:sz w:val="36"/>
          <w:szCs w:val="36"/>
          <w:highlight w:val="none"/>
        </w:rPr>
        <w:br w:type="page"/>
      </w:r>
    </w:p>
    <w:p w14:paraId="197D641D">
      <w:pPr>
        <w:autoSpaceDE w:val="0"/>
        <w:autoSpaceDN w:val="0"/>
        <w:adjustRightInd w:val="0"/>
        <w:snapToGrid w:val="0"/>
        <w:ind w:left="4513" w:right="210" w:hanging="4513"/>
        <w:jc w:val="center"/>
        <w:rPr>
          <w:rFonts w:cs="宋体" w:asciiTheme="minorEastAsia" w:hAnsiTheme="minorEastAsia" w:eastAsiaTheme="minorEastAsia"/>
          <w:b/>
          <w:bCs/>
          <w:sz w:val="36"/>
          <w:szCs w:val="36"/>
          <w:highlight w:val="none"/>
          <w:lang w:val="zh-CN"/>
        </w:rPr>
      </w:pPr>
      <w:r>
        <w:rPr>
          <w:rFonts w:hint="eastAsia" w:cs="宋体" w:asciiTheme="minorEastAsia" w:hAnsiTheme="minorEastAsia" w:eastAsiaTheme="minorEastAsia"/>
          <w:b/>
          <w:bCs/>
          <w:sz w:val="36"/>
          <w:szCs w:val="36"/>
          <w:highlight w:val="none"/>
          <w:lang w:val="zh-CN"/>
        </w:rPr>
        <w:t>第七部分  响应文件组成</w:t>
      </w:r>
    </w:p>
    <w:p w14:paraId="4DA4A169">
      <w:pPr>
        <w:snapToGrid w:val="0"/>
        <w:spacing w:line="440" w:lineRule="exact"/>
        <w:ind w:firstLine="458" w:firstLineChars="200"/>
        <w:jc w:val="left"/>
        <w:rPr>
          <w:rFonts w:cs="宋体" w:asciiTheme="minorEastAsia" w:hAnsiTheme="minorEastAsia" w:eastAsiaTheme="minorEastAsia"/>
          <w:b/>
          <w:spacing w:val="-6"/>
          <w:sz w:val="24"/>
          <w:highlight w:val="none"/>
        </w:rPr>
      </w:pPr>
      <w:r>
        <w:rPr>
          <w:rFonts w:hint="eastAsia" w:cs="宋体" w:asciiTheme="minorEastAsia" w:hAnsiTheme="minorEastAsia" w:eastAsiaTheme="minorEastAsia"/>
          <w:b/>
          <w:spacing w:val="-6"/>
          <w:sz w:val="24"/>
          <w:highlight w:val="none"/>
        </w:rPr>
        <w:t>响应文件由资格审查、商务技术文件、价格响应文件、电子版响应文件四</w:t>
      </w:r>
      <w:r>
        <w:rPr>
          <w:rFonts w:hint="eastAsia" w:cs="宋体" w:asciiTheme="minorEastAsia" w:hAnsiTheme="minorEastAsia" w:eastAsiaTheme="minorEastAsia"/>
          <w:b/>
          <w:sz w:val="24"/>
          <w:highlight w:val="none"/>
        </w:rPr>
        <w:t>部分组成</w:t>
      </w:r>
      <w:r>
        <w:rPr>
          <w:rFonts w:hint="eastAsia" w:cs="宋体" w:asciiTheme="minorEastAsia" w:hAnsiTheme="minorEastAsia" w:eastAsiaTheme="minorEastAsia"/>
          <w:b/>
          <w:spacing w:val="-6"/>
          <w:sz w:val="24"/>
          <w:highlight w:val="none"/>
        </w:rPr>
        <w:t>。</w:t>
      </w:r>
    </w:p>
    <w:p w14:paraId="777B6205">
      <w:pPr>
        <w:snapToGrid w:val="0"/>
        <w:spacing w:line="440" w:lineRule="exact"/>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一、资格审查</w:t>
      </w:r>
    </w:p>
    <w:p w14:paraId="4D495D8C">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1.资格声明函原件；</w:t>
      </w:r>
    </w:p>
    <w:p w14:paraId="21589AF2">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r>
        <w:rPr>
          <w:rFonts w:hint="eastAsia" w:ascii="宋体" w:hAnsi="宋体" w:cs="宋体"/>
          <w:sz w:val="24"/>
          <w:highlight w:val="none"/>
        </w:rPr>
        <w:t>授权委托书或法定代表人身份证明原件；</w:t>
      </w:r>
    </w:p>
    <w:p w14:paraId="4B5EEF9A">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3.供应商信用承诺书原件；</w:t>
      </w:r>
    </w:p>
    <w:p w14:paraId="4571E135">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4. 供应商基本情况表及按竞争性磋商公告资格要求提供相应的佐证材料（以下材料均须提供扫描件（或复印件）并加盖公章）；</w:t>
      </w:r>
    </w:p>
    <w:p w14:paraId="16FC2042">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（1）企业法人营业执照或事业单位法人登记证明或社会组织或其他组织</w:t>
      </w:r>
      <w:r>
        <w:rPr>
          <w:rFonts w:cs="宋体" w:asciiTheme="minorEastAsia" w:hAnsiTheme="minorEastAsia" w:eastAsiaTheme="minorEastAsia"/>
          <w:sz w:val="24"/>
          <w:highlight w:val="none"/>
        </w:rPr>
        <w:t>或自然人证明材料</w:t>
      </w:r>
      <w:r>
        <w:rPr>
          <w:rFonts w:hint="eastAsia" w:cs="宋体" w:asciiTheme="minorEastAsia" w:hAnsiTheme="minorEastAsia" w:eastAsiaTheme="minorEastAsia"/>
          <w:sz w:val="24"/>
          <w:highlight w:val="none"/>
        </w:rPr>
        <w:t>；</w:t>
      </w:r>
    </w:p>
    <w:p w14:paraId="4D33E09A">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（2）项目负责人技术职称证书；</w:t>
      </w:r>
    </w:p>
    <w:p w14:paraId="11C8B51E">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5.其它需要提交的资格审查材料。</w:t>
      </w:r>
    </w:p>
    <w:p w14:paraId="3CE51B77">
      <w:pPr>
        <w:snapToGrid w:val="0"/>
        <w:spacing w:line="440" w:lineRule="exact"/>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二、商务技术文件</w:t>
      </w:r>
    </w:p>
    <w:p w14:paraId="2B942A13">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为方便评委评审，请供应商按评审办法中所涉及的事项顺序进行编制，可以补充相关材料。（以下均须提供扫描件（或复印件）并加盖公章。）</w:t>
      </w:r>
    </w:p>
    <w:p w14:paraId="07E38489">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宋体" w:eastAsia="宋体"/>
          <w:sz w:val="24"/>
          <w:szCs w:val="24"/>
          <w:highlight w:val="none"/>
        </w:rPr>
        <w:t>竞争性磋商响应函</w:t>
      </w:r>
      <w:r>
        <w:rPr>
          <w:rFonts w:hint="eastAsia" w:asciiTheme="minorEastAsia" w:hAnsiTheme="minorEastAsia" w:eastAsiaTheme="minorEastAsia"/>
          <w:sz w:val="24"/>
          <w:szCs w:val="24"/>
          <w:highlight w:val="none"/>
        </w:rPr>
        <w:t>；</w:t>
      </w:r>
    </w:p>
    <w:p w14:paraId="3F927A11">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2.评标办法中所涉及的事项需提供的所有资料；</w:t>
      </w:r>
    </w:p>
    <w:p w14:paraId="0EB8D068">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3.评标办法中未涉及的事项，供应商认为需要提交的其他资料；</w:t>
      </w:r>
    </w:p>
    <w:p w14:paraId="767408D4">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4.竞争性磋商文件中要求提供的其他材料。</w:t>
      </w:r>
    </w:p>
    <w:p w14:paraId="00807B0E">
      <w:pPr>
        <w:snapToGrid w:val="0"/>
        <w:spacing w:line="440" w:lineRule="exact"/>
        <w:ind w:firstLine="482" w:firstLineChars="200"/>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三、价格响应文件</w:t>
      </w:r>
    </w:p>
    <w:p w14:paraId="3E2BC544">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1.磋商报价总表；</w:t>
      </w:r>
    </w:p>
    <w:p w14:paraId="48F80081">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2</w:t>
      </w:r>
      <w:r>
        <w:rPr>
          <w:rFonts w:hint="eastAsia" w:asciiTheme="minorEastAsia" w:hAnsiTheme="minorEastAsia" w:eastAsiaTheme="minorEastAsia"/>
          <w:sz w:val="24"/>
          <w:szCs w:val="24"/>
          <w:highlight w:val="none"/>
        </w:rPr>
        <w:t>.分项报价明细表；</w:t>
      </w:r>
    </w:p>
    <w:p w14:paraId="26BF6F29">
      <w:pPr>
        <w:pStyle w:val="30"/>
        <w:adjustRightInd w:val="0"/>
        <w:snapToGrid w:val="0"/>
        <w:spacing w:line="360" w:lineRule="auto"/>
        <w:ind w:firstLine="480" w:firstLineChars="200"/>
        <w:rPr>
          <w:rFonts w:asciiTheme="minorEastAsia" w:hAnsiTheme="minorEastAsia" w:eastAsiaTheme="minorEastAsia"/>
          <w:sz w:val="24"/>
          <w:szCs w:val="24"/>
          <w:highlight w:val="none"/>
        </w:rPr>
      </w:pPr>
      <w:r>
        <w:rPr>
          <w:rFonts w:hint="eastAsia" w:cs="宋体" w:asciiTheme="minorEastAsia" w:hAnsiTheme="minorEastAsia" w:eastAsiaTheme="minorEastAsia"/>
          <w:sz w:val="24"/>
          <w:highlight w:val="none"/>
        </w:rPr>
        <w:t>3.《中小企业声明函》等原件（如有）；</w:t>
      </w:r>
    </w:p>
    <w:p w14:paraId="00738B30">
      <w:pPr>
        <w:adjustRightInd w:val="0"/>
        <w:snapToGrid w:val="0"/>
        <w:spacing w:line="360" w:lineRule="auto"/>
        <w:ind w:firstLine="482" w:firstLineChars="200"/>
        <w:rPr>
          <w:rFonts w:ascii="宋体" w:hAnsi="宋体" w:cs="宋体"/>
          <w:b/>
          <w:kern w:val="0"/>
          <w:sz w:val="24"/>
          <w:highlight w:val="none"/>
          <w:lang w:val="zh-CN"/>
        </w:rPr>
      </w:pPr>
      <w:r>
        <w:rPr>
          <w:rFonts w:hint="eastAsia" w:ascii="宋体" w:hAnsi="宋体" w:cs="宋体"/>
          <w:b/>
          <w:kern w:val="0"/>
          <w:sz w:val="24"/>
          <w:highlight w:val="none"/>
          <w:lang w:val="zh-CN"/>
        </w:rPr>
        <w:t>注：本表各分项报价合计应当与磋商报价总表报价合计相等。请各供应商务必按照以上要求填报，否则作为无效投标处理。</w:t>
      </w:r>
    </w:p>
    <w:p w14:paraId="01CB6AC2">
      <w:pPr>
        <w:tabs>
          <w:tab w:val="left" w:pos="3375"/>
        </w:tabs>
        <w:adjustRightInd w:val="0"/>
        <w:snapToGrid w:val="0"/>
        <w:spacing w:line="360" w:lineRule="auto"/>
        <w:ind w:firstLine="482" w:firstLineChars="200"/>
        <w:rPr>
          <w:rFonts w:cs="宋体" w:asciiTheme="minorEastAsia" w:hAnsiTheme="minorEastAsia" w:eastAsiaTheme="minorEastAsia"/>
          <w:sz w:val="24"/>
          <w:highlight w:val="none"/>
        </w:rPr>
      </w:pPr>
      <w:r>
        <w:rPr>
          <w:rFonts w:ascii="宋体" w:hAnsi="宋体" w:cs="宋体"/>
          <w:b/>
          <w:kern w:val="0"/>
          <w:sz w:val="24"/>
          <w:highlight w:val="none"/>
          <w:lang w:val="zh-CN"/>
        </w:rPr>
        <w:t>供应商应依照规定提交各类声明函、承诺函，不再同时提供原件备查或提供有关部门出具的相关证明文件。但中标或成交供应商，应</w:t>
      </w:r>
      <w:r>
        <w:rPr>
          <w:rFonts w:hint="eastAsia" w:ascii="宋体" w:hAnsi="宋体" w:cs="宋体"/>
          <w:b/>
          <w:kern w:val="0"/>
          <w:sz w:val="24"/>
          <w:highlight w:val="none"/>
          <w:lang w:val="zh-CN"/>
        </w:rPr>
        <w:t>做好提交声明函、承诺函相应原件的核查准备</w:t>
      </w:r>
      <w:r>
        <w:rPr>
          <w:rFonts w:ascii="宋体" w:hAnsi="宋体" w:cs="宋体"/>
          <w:b/>
          <w:kern w:val="0"/>
          <w:sz w:val="24"/>
          <w:highlight w:val="none"/>
          <w:lang w:val="zh-CN"/>
        </w:rPr>
        <w:t>；核查后发现虚假或违背承诺的，依照相关法律法规规定处理</w:t>
      </w:r>
      <w:r>
        <w:rPr>
          <w:rFonts w:hint="eastAsia" w:ascii="宋体" w:hAnsi="宋体" w:cs="宋体"/>
          <w:b/>
          <w:kern w:val="0"/>
          <w:sz w:val="24"/>
          <w:highlight w:val="none"/>
          <w:lang w:val="zh-CN"/>
        </w:rPr>
        <w:t>。</w:t>
      </w:r>
    </w:p>
    <w:p w14:paraId="54524B64">
      <w:pPr>
        <w:tabs>
          <w:tab w:val="left" w:pos="3375"/>
        </w:tabs>
        <w:autoSpaceDE w:val="0"/>
        <w:autoSpaceDN w:val="0"/>
        <w:adjustRightInd w:val="0"/>
        <w:snapToGrid w:val="0"/>
        <w:spacing w:line="440" w:lineRule="exact"/>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四、电子版响应文件</w:t>
      </w:r>
    </w:p>
    <w:p w14:paraId="15D73D44">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ascii="宋体" w:hAnsi="宋体" w:cs="宋体"/>
          <w:sz w:val="24"/>
          <w:highlight w:val="none"/>
        </w:rPr>
        <w:t>电子版响应文件（</w:t>
      </w:r>
      <w:r>
        <w:rPr>
          <w:rFonts w:hint="eastAsia" w:ascii="宋体" w:hAnsi="宋体" w:cs="宋体"/>
          <w:b/>
          <w:bCs/>
          <w:sz w:val="24"/>
          <w:highlight w:val="none"/>
        </w:rPr>
        <w:t>按“第二部分 磋商须知”中电子版响应文件要求</w:t>
      </w:r>
      <w:r>
        <w:rPr>
          <w:rFonts w:hint="eastAsia" w:ascii="宋体" w:hAnsi="宋体" w:cs="仿宋_GB2312"/>
          <w:b/>
          <w:bCs/>
          <w:sz w:val="24"/>
          <w:highlight w:val="none"/>
          <w:lang w:val="zh-CN"/>
        </w:rPr>
        <w:t>提供</w:t>
      </w:r>
      <w:r>
        <w:rPr>
          <w:rFonts w:hint="eastAsia" w:ascii="宋体" w:hAnsi="宋体" w:cs="宋体"/>
          <w:b/>
          <w:sz w:val="24"/>
          <w:highlight w:val="none"/>
        </w:rPr>
        <w:t>）</w:t>
      </w:r>
      <w:r>
        <w:rPr>
          <w:rFonts w:hint="eastAsia" w:ascii="宋体" w:hAnsi="宋体" w:cs="宋体"/>
          <w:sz w:val="24"/>
          <w:highlight w:val="none"/>
        </w:rPr>
        <w:t>。</w:t>
      </w:r>
    </w:p>
    <w:p w14:paraId="0B567CFF">
      <w:pPr>
        <w:tabs>
          <w:tab w:val="left" w:pos="3375"/>
        </w:tabs>
        <w:autoSpaceDE w:val="0"/>
        <w:autoSpaceDN w:val="0"/>
        <w:adjustRightInd w:val="0"/>
        <w:snapToGrid w:val="0"/>
        <w:spacing w:line="440" w:lineRule="exact"/>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电子版响应文件不得设置密码并保证无病毒。</w:t>
      </w:r>
    </w:p>
    <w:p w14:paraId="3DA7273F">
      <w:pPr>
        <w:tabs>
          <w:tab w:val="left" w:pos="3375"/>
        </w:tabs>
        <w:autoSpaceDE w:val="0"/>
        <w:autoSpaceDN w:val="0"/>
        <w:adjustRightInd w:val="0"/>
        <w:snapToGrid w:val="0"/>
        <w:spacing w:line="440" w:lineRule="exact"/>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4"/>
          <w:highlight w:val="none"/>
        </w:rPr>
        <w:br w:type="page"/>
      </w:r>
      <w:r>
        <w:rPr>
          <w:rFonts w:hint="eastAsia" w:cs="宋体" w:asciiTheme="minorEastAsia" w:hAnsiTheme="minorEastAsia" w:eastAsiaTheme="minorEastAsia"/>
          <w:sz w:val="28"/>
          <w:szCs w:val="28"/>
          <w:highlight w:val="none"/>
        </w:rPr>
        <w:t>第一部分格式：</w:t>
      </w:r>
    </w:p>
    <w:p w14:paraId="70540295">
      <w:pPr>
        <w:tabs>
          <w:tab w:val="left" w:pos="159"/>
        </w:tabs>
        <w:rPr>
          <w:rFonts w:cs="宋体" w:asciiTheme="minorEastAsia" w:hAnsiTheme="minorEastAsia" w:eastAsiaTheme="minorEastAsia"/>
          <w:sz w:val="28"/>
          <w:szCs w:val="28"/>
          <w:highlight w:val="none"/>
        </w:rPr>
      </w:pPr>
    </w:p>
    <w:p w14:paraId="3F00C43B">
      <w:pPr>
        <w:snapToGrid w:val="0"/>
        <w:spacing w:line="300" w:lineRule="auto"/>
        <w:ind w:firstLine="906" w:firstLineChars="206"/>
        <w:contextualSpacing/>
        <w:rPr>
          <w:rFonts w:cs="宋体" w:asciiTheme="minorEastAsia" w:hAnsiTheme="minorEastAsia" w:eastAsiaTheme="minorEastAsia"/>
          <w:sz w:val="44"/>
          <w:szCs w:val="44"/>
          <w:highlight w:val="none"/>
        </w:rPr>
      </w:pPr>
    </w:p>
    <w:p w14:paraId="193D4B18">
      <w:pPr>
        <w:autoSpaceDE w:val="0"/>
        <w:autoSpaceDN w:val="0"/>
        <w:adjustRightInd w:val="0"/>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南通市“十五五”公路高质量发展研究报告项目</w:t>
      </w:r>
    </w:p>
    <w:p w14:paraId="15F0AA07">
      <w:pPr>
        <w:pStyle w:val="18"/>
        <w:rPr>
          <w:rFonts w:asciiTheme="minorEastAsia" w:hAnsiTheme="minorEastAsia" w:eastAsiaTheme="minorEastAsia"/>
          <w:highlight w:val="none"/>
        </w:rPr>
      </w:pPr>
    </w:p>
    <w:p w14:paraId="1A1C8F9C">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项目编号：2024GLFJ</w:t>
      </w:r>
    </w:p>
    <w:p w14:paraId="7502B02D">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档案编号：</w:t>
      </w:r>
      <w:r>
        <w:rPr>
          <w:rFonts w:hint="eastAsia" w:cs="宋体" w:asciiTheme="minorEastAsia" w:hAnsiTheme="minorEastAsia" w:eastAsiaTheme="minorEastAsia"/>
          <w:b/>
          <w:snapToGrid w:val="0"/>
          <w:w w:val="80"/>
          <w:kern w:val="0"/>
          <w:sz w:val="32"/>
          <w:szCs w:val="32"/>
          <w:highlight w:val="none"/>
          <w:lang w:val="en-US" w:eastAsia="zh-CN"/>
        </w:rPr>
        <w:t>20241125</w:t>
      </w:r>
    </w:p>
    <w:p w14:paraId="2C8FAF11">
      <w:pPr>
        <w:tabs>
          <w:tab w:val="left" w:pos="6300"/>
        </w:tabs>
        <w:snapToGrid w:val="0"/>
        <w:spacing w:line="300" w:lineRule="auto"/>
        <w:jc w:val="center"/>
        <w:rPr>
          <w:rFonts w:cs="宋体" w:asciiTheme="minorEastAsia" w:hAnsiTheme="minorEastAsia" w:eastAsiaTheme="minorEastAsia"/>
          <w:b/>
          <w:w w:val="80"/>
          <w:sz w:val="32"/>
          <w:szCs w:val="32"/>
          <w:highlight w:val="none"/>
        </w:rPr>
      </w:pPr>
    </w:p>
    <w:p w14:paraId="2A3AB280">
      <w:pPr>
        <w:spacing w:after="60" w:line="360" w:lineRule="auto"/>
        <w:ind w:firstLine="3373" w:firstLineChars="1050"/>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响应文件</w:t>
      </w:r>
    </w:p>
    <w:p w14:paraId="1E1CDDB1">
      <w:pPr>
        <w:spacing w:after="60"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（资格审查文件）</w:t>
      </w:r>
    </w:p>
    <w:p w14:paraId="668A43AE">
      <w:pPr>
        <w:spacing w:after="60"/>
        <w:jc w:val="center"/>
        <w:rPr>
          <w:rFonts w:cs="宋体" w:asciiTheme="minorEastAsia" w:hAnsiTheme="minorEastAsia" w:eastAsiaTheme="minorEastAsia"/>
          <w:b/>
          <w:bCs/>
          <w:sz w:val="72"/>
          <w:szCs w:val="72"/>
          <w:highlight w:val="none"/>
        </w:rPr>
      </w:pPr>
    </w:p>
    <w:p w14:paraId="32E9A7DA">
      <w:pPr>
        <w:spacing w:after="60"/>
        <w:jc w:val="center"/>
        <w:rPr>
          <w:rFonts w:cs="宋体" w:asciiTheme="minorEastAsia" w:hAnsiTheme="minorEastAsia" w:eastAsiaTheme="minorEastAsia"/>
          <w:b/>
          <w:bCs/>
          <w:sz w:val="72"/>
          <w:szCs w:val="72"/>
          <w:highlight w:val="none"/>
        </w:rPr>
      </w:pPr>
    </w:p>
    <w:p w14:paraId="54B79247">
      <w:pPr>
        <w:spacing w:after="60"/>
        <w:jc w:val="center"/>
        <w:rPr>
          <w:rFonts w:cs="宋体" w:asciiTheme="minorEastAsia" w:hAnsiTheme="minorEastAsia" w:eastAsiaTheme="minorEastAsia"/>
          <w:b/>
          <w:bCs/>
          <w:sz w:val="72"/>
          <w:szCs w:val="72"/>
          <w:highlight w:val="none"/>
        </w:rPr>
      </w:pPr>
    </w:p>
    <w:p w14:paraId="093A32C6">
      <w:pPr>
        <w:spacing w:after="60"/>
        <w:jc w:val="center"/>
        <w:rPr>
          <w:rFonts w:cs="宋体" w:asciiTheme="minorEastAsia" w:hAnsiTheme="minorEastAsia" w:eastAsiaTheme="minorEastAsia"/>
          <w:b/>
          <w:bCs/>
          <w:sz w:val="72"/>
          <w:szCs w:val="72"/>
          <w:highlight w:val="none"/>
        </w:rPr>
      </w:pPr>
    </w:p>
    <w:p w14:paraId="2E5206A6">
      <w:pPr>
        <w:pStyle w:val="18"/>
        <w:ind w:left="0" w:leftChars="0" w:firstLine="0" w:firstLineChars="0"/>
        <w:rPr>
          <w:rFonts w:cs="宋体" w:asciiTheme="minorEastAsia" w:hAnsiTheme="minorEastAsia" w:eastAsiaTheme="minorEastAsia"/>
          <w:b/>
          <w:bCs/>
          <w:sz w:val="72"/>
          <w:szCs w:val="72"/>
          <w:highlight w:val="none"/>
        </w:rPr>
      </w:pPr>
    </w:p>
    <w:p w14:paraId="4A14337B">
      <w:pPr>
        <w:spacing w:after="60"/>
        <w:jc w:val="center"/>
        <w:rPr>
          <w:rFonts w:cs="宋体" w:asciiTheme="minorEastAsia" w:hAnsiTheme="minorEastAsia" w:eastAsiaTheme="minorEastAsia"/>
          <w:b/>
          <w:bCs/>
          <w:sz w:val="72"/>
          <w:szCs w:val="72"/>
          <w:highlight w:val="none"/>
        </w:rPr>
      </w:pPr>
    </w:p>
    <w:p w14:paraId="2C6A65A9">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供应商（盖公章）：</w:t>
      </w:r>
      <w:r>
        <w:rPr>
          <w:rFonts w:hint="eastAsia" w:cs="宋体" w:asciiTheme="minorEastAsia" w:hAnsiTheme="minorEastAsia" w:eastAsiaTheme="minorEastAsia"/>
          <w:b/>
          <w:sz w:val="24"/>
          <w:highlight w:val="none"/>
          <w:u w:val="single"/>
        </w:rPr>
        <w:t xml:space="preserve">                            </w:t>
      </w:r>
    </w:p>
    <w:p w14:paraId="016FF0B1">
      <w:pPr>
        <w:spacing w:line="480" w:lineRule="auto"/>
        <w:ind w:firstLine="482" w:firstLineChars="200"/>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法定代表人（或其委托代理人）（签字或盖章）：</w:t>
      </w:r>
      <w:r>
        <w:rPr>
          <w:rFonts w:hint="eastAsia" w:cs="宋体" w:asciiTheme="minorEastAsia" w:hAnsiTheme="minorEastAsia" w:eastAsiaTheme="minorEastAsia"/>
          <w:b/>
          <w:sz w:val="24"/>
          <w:highlight w:val="none"/>
          <w:u w:val="single"/>
        </w:rPr>
        <w:t xml:space="preserve">                  </w:t>
      </w:r>
    </w:p>
    <w:p w14:paraId="083896B2">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日    期：</w:t>
      </w:r>
      <w:r>
        <w:rPr>
          <w:rFonts w:hint="eastAsia" w:cs="宋体" w:asciiTheme="minorEastAsia" w:hAnsiTheme="minorEastAsia" w:eastAsiaTheme="minorEastAsia"/>
          <w:b/>
          <w:sz w:val="24"/>
          <w:highlight w:val="none"/>
          <w:u w:val="single"/>
        </w:rPr>
        <w:t xml:space="preserve">                                                  </w:t>
      </w:r>
    </w:p>
    <w:p w14:paraId="6DFE4340">
      <w:pPr>
        <w:snapToGrid w:val="0"/>
        <w:spacing w:line="360" w:lineRule="auto"/>
        <w:contextualSpacing/>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br w:type="page"/>
      </w:r>
      <w:r>
        <w:rPr>
          <w:rFonts w:hint="eastAsia" w:cs="宋体" w:asciiTheme="minorEastAsia" w:hAnsiTheme="minorEastAsia" w:eastAsiaTheme="minorEastAsia"/>
          <w:sz w:val="28"/>
          <w:szCs w:val="28"/>
          <w:highlight w:val="none"/>
        </w:rPr>
        <w:t>（一）资格审查文件</w:t>
      </w:r>
    </w:p>
    <w:p w14:paraId="11A825A8">
      <w:pPr>
        <w:snapToGrid w:val="0"/>
        <w:spacing w:line="360" w:lineRule="auto"/>
        <w:contextualSpacing/>
        <w:jc w:val="left"/>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附件1：</w:t>
      </w:r>
    </w:p>
    <w:p w14:paraId="5A5B0779">
      <w:pPr>
        <w:snapToGrid w:val="0"/>
        <w:spacing w:line="300" w:lineRule="auto"/>
        <w:contextualSpacing/>
        <w:jc w:val="center"/>
        <w:rPr>
          <w:rFonts w:cs="宋体" w:asciiTheme="minorEastAsia" w:hAnsiTheme="minorEastAsia" w:eastAsiaTheme="minorEastAsia"/>
          <w:b/>
          <w:sz w:val="32"/>
          <w:szCs w:val="32"/>
          <w:highlight w:val="none"/>
        </w:rPr>
      </w:pPr>
      <w:r>
        <w:rPr>
          <w:rFonts w:hint="eastAsia" w:cs="宋体" w:asciiTheme="minorEastAsia" w:hAnsiTheme="minorEastAsia" w:eastAsiaTheme="minorEastAsia"/>
          <w:b/>
          <w:sz w:val="32"/>
          <w:szCs w:val="32"/>
          <w:highlight w:val="none"/>
        </w:rPr>
        <w:t>资格声明函</w:t>
      </w:r>
    </w:p>
    <w:p w14:paraId="525B5512">
      <w:pPr>
        <w:spacing w:line="360" w:lineRule="auto"/>
        <w:jc w:val="center"/>
        <w:rPr>
          <w:rFonts w:cs="宋体" w:asciiTheme="minorEastAsia" w:hAnsiTheme="minorEastAsia" w:eastAsiaTheme="minorEastAsia"/>
          <w:b/>
          <w:sz w:val="24"/>
          <w:highlight w:val="none"/>
        </w:rPr>
      </w:pPr>
    </w:p>
    <w:p w14:paraId="10D0DCA2">
      <w:pPr>
        <w:snapToGrid w:val="0"/>
        <w:spacing w:line="300" w:lineRule="auto"/>
        <w:contextualSpacing/>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u w:val="single"/>
        </w:rPr>
        <w:t>南通市公路事业发展中心</w:t>
      </w:r>
      <w:r>
        <w:rPr>
          <w:rFonts w:hint="eastAsia" w:cs="宋体" w:asciiTheme="minorEastAsia" w:hAnsiTheme="minorEastAsia" w:eastAsiaTheme="minorEastAsia"/>
          <w:b/>
          <w:sz w:val="24"/>
          <w:highlight w:val="none"/>
        </w:rPr>
        <w:t>：</w:t>
      </w:r>
    </w:p>
    <w:p w14:paraId="46A7F354">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pacing w:val="-5"/>
          <w:sz w:val="24"/>
          <w:highlight w:val="none"/>
        </w:rPr>
        <w:t>（单位名称）</w:t>
      </w:r>
      <w:r>
        <w:rPr>
          <w:rFonts w:hint="eastAsia" w:cs="宋体" w:asciiTheme="minorEastAsia" w:hAnsiTheme="minorEastAsia" w:eastAsiaTheme="minorEastAsia"/>
          <w:sz w:val="24"/>
          <w:highlight w:val="none"/>
        </w:rPr>
        <w:t>认真对照</w:t>
      </w:r>
      <w:r>
        <w:rPr>
          <w:rFonts w:hint="eastAsia" w:cs="宋体" w:asciiTheme="minorEastAsia" w:hAnsiTheme="minorEastAsia" w:eastAsiaTheme="minorEastAsia"/>
          <w:sz w:val="24"/>
          <w:highlight w:val="none"/>
          <w:u w:val="single"/>
        </w:rPr>
        <w:t xml:space="preserve">     （项目名称）                   项目</w:t>
      </w:r>
      <w:r>
        <w:rPr>
          <w:rFonts w:hint="eastAsia" w:cs="宋体" w:asciiTheme="minorEastAsia" w:hAnsiTheme="minorEastAsia" w:eastAsiaTheme="minorEastAsia"/>
          <w:sz w:val="24"/>
          <w:highlight w:val="none"/>
        </w:rPr>
        <w:t>磋商文件（含所有澄清、修改文件），符合贵方提出的资格要求，自愿报名参加响应，并郑重声明：</w:t>
      </w:r>
    </w:p>
    <w:p w14:paraId="446ACB53">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1、我单位具有独立承担民事责任的能力；</w:t>
      </w:r>
    </w:p>
    <w:p w14:paraId="4FF07A6A">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我单位具有良好的商业信誉和健全的财务会计制度；</w:t>
      </w:r>
    </w:p>
    <w:p w14:paraId="3A358F32">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我单位具有履行合同所必需的设备和专业技术能力；</w:t>
      </w:r>
    </w:p>
    <w:p w14:paraId="48AA942F">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我单位有依法缴纳税收和社会保障资金的良好记录；</w:t>
      </w:r>
    </w:p>
    <w:p w14:paraId="57AB8BBB">
      <w:pPr>
        <w:snapToGrid w:val="0"/>
        <w:spacing w:line="360" w:lineRule="auto"/>
        <w:ind w:firstLine="480" w:firstLineChars="20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2、我单位参加政府采购活动前3年内在经营活动中</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在下划线上如实填写：有或没有）重大违法记录（说明：政府采购法第二十二条第一款第五项所称重大违法记录，是指供应商因违法经营受到刑事处罚或者责令停产停业、吊销许可证或者执照、较大数额罚款等行政处罚。）</w:t>
      </w:r>
    </w:p>
    <w:p w14:paraId="59211638">
      <w:pPr>
        <w:snapToGrid w:val="0"/>
        <w:spacing w:line="300" w:lineRule="auto"/>
        <w:ind w:firstLine="420"/>
        <w:contextualSpacing/>
        <w:rPr>
          <w:rFonts w:cs="宋体" w:asciiTheme="minorEastAsia" w:hAnsiTheme="minorEastAsia" w:eastAsiaTheme="minorEastAsia"/>
          <w:sz w:val="28"/>
          <w:szCs w:val="28"/>
          <w:highlight w:val="none"/>
        </w:rPr>
      </w:pPr>
    </w:p>
    <w:p w14:paraId="16171C24">
      <w:pPr>
        <w:snapToGrid w:val="0"/>
        <w:spacing w:line="360" w:lineRule="auto"/>
        <w:ind w:firstLine="4440" w:firstLineChars="1850"/>
        <w:contextualSpacing/>
        <w:rPr>
          <w:rFonts w:cs="宋体" w:asciiTheme="minorEastAsia" w:hAnsiTheme="minorEastAsia" w:eastAsiaTheme="minorEastAsia"/>
          <w:sz w:val="24"/>
          <w:highlight w:val="none"/>
        </w:rPr>
      </w:pPr>
    </w:p>
    <w:p w14:paraId="74276026">
      <w:pPr>
        <w:snapToGrid w:val="0"/>
        <w:spacing w:line="360" w:lineRule="auto"/>
        <w:ind w:firstLine="4440" w:firstLineChars="1850"/>
        <w:contextualSpacing/>
        <w:rPr>
          <w:rFonts w:cs="宋体" w:asciiTheme="minorEastAsia" w:hAnsiTheme="minorEastAsia" w:eastAsiaTheme="minorEastAsia"/>
          <w:sz w:val="24"/>
          <w:highlight w:val="none"/>
        </w:rPr>
      </w:pPr>
    </w:p>
    <w:p w14:paraId="154D69C3">
      <w:pPr>
        <w:snapToGrid w:val="0"/>
        <w:spacing w:line="360" w:lineRule="auto"/>
        <w:ind w:firstLine="4440" w:firstLineChars="1850"/>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响应供应商（盖单位公章）</w:t>
      </w:r>
    </w:p>
    <w:p w14:paraId="148158D6">
      <w:pPr>
        <w:snapToGrid w:val="0"/>
        <w:spacing w:line="360" w:lineRule="auto"/>
        <w:contextualSpacing/>
        <w:rPr>
          <w:rFonts w:cs="宋体" w:asciiTheme="minorEastAsia" w:hAnsiTheme="minorEastAsia" w:eastAsiaTheme="minorEastAsia"/>
          <w:sz w:val="24"/>
          <w:highlight w:val="none"/>
        </w:rPr>
      </w:pPr>
    </w:p>
    <w:p w14:paraId="68ACCD89">
      <w:pPr>
        <w:snapToGrid w:val="0"/>
        <w:spacing w:line="360" w:lineRule="auto"/>
        <w:ind w:firstLine="4440" w:firstLineChars="1850"/>
        <w:contextualSpacing/>
        <w:rPr>
          <w:rFonts w:cs="宋体" w:asciiTheme="minorEastAsia" w:hAnsiTheme="minorEastAsia" w:eastAsiaTheme="minorEastAsia"/>
          <w:bCs/>
          <w:sz w:val="24"/>
          <w:highlight w:val="none"/>
        </w:rPr>
      </w:pPr>
      <w:r>
        <w:rPr>
          <w:rFonts w:hint="eastAsia" w:cs="宋体" w:asciiTheme="minorEastAsia" w:hAnsiTheme="minorEastAsia" w:eastAsiaTheme="minorEastAsia"/>
          <w:bCs/>
          <w:sz w:val="24"/>
          <w:highlight w:val="none"/>
        </w:rPr>
        <w:t>年    月    日</w:t>
      </w:r>
    </w:p>
    <w:p w14:paraId="21C67313">
      <w:pPr>
        <w:spacing w:line="600" w:lineRule="exact"/>
        <w:ind w:firstLine="576" w:firstLineChars="206"/>
        <w:rPr>
          <w:rFonts w:cs="宋体" w:asciiTheme="minorEastAsia" w:hAnsiTheme="minorEastAsia" w:eastAsiaTheme="minorEastAsia"/>
          <w:sz w:val="28"/>
          <w:szCs w:val="28"/>
          <w:highlight w:val="none"/>
        </w:rPr>
      </w:pPr>
    </w:p>
    <w:p w14:paraId="313E3316">
      <w:pPr>
        <w:spacing w:line="600" w:lineRule="exact"/>
        <w:ind w:firstLine="576" w:firstLineChars="206"/>
        <w:rPr>
          <w:rFonts w:cs="宋体" w:asciiTheme="minorEastAsia" w:hAnsiTheme="minorEastAsia" w:eastAsiaTheme="minorEastAsia"/>
          <w:sz w:val="28"/>
          <w:szCs w:val="28"/>
          <w:highlight w:val="none"/>
        </w:rPr>
      </w:pPr>
    </w:p>
    <w:p w14:paraId="62106AA6">
      <w:pPr>
        <w:spacing w:line="600" w:lineRule="exact"/>
        <w:ind w:firstLine="576" w:firstLineChars="206"/>
        <w:rPr>
          <w:rFonts w:cs="宋体" w:asciiTheme="minorEastAsia" w:hAnsiTheme="minorEastAsia" w:eastAsiaTheme="minorEastAsia"/>
          <w:sz w:val="28"/>
          <w:szCs w:val="28"/>
          <w:highlight w:val="none"/>
        </w:rPr>
      </w:pPr>
    </w:p>
    <w:p w14:paraId="5B85803E">
      <w:pPr>
        <w:spacing w:line="600" w:lineRule="exact"/>
        <w:ind w:firstLine="576" w:firstLineChars="206"/>
        <w:rPr>
          <w:rFonts w:cs="宋体" w:asciiTheme="minorEastAsia" w:hAnsiTheme="minorEastAsia" w:eastAsiaTheme="minorEastAsia"/>
          <w:sz w:val="28"/>
          <w:szCs w:val="28"/>
          <w:highlight w:val="none"/>
        </w:rPr>
      </w:pPr>
    </w:p>
    <w:p w14:paraId="4F34B5B0">
      <w:pPr>
        <w:snapToGrid w:val="0"/>
        <w:spacing w:line="300" w:lineRule="auto"/>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b/>
          <w:bCs/>
          <w:sz w:val="72"/>
          <w:szCs w:val="72"/>
          <w:highlight w:val="none"/>
        </w:rPr>
        <w:br w:type="page"/>
      </w:r>
      <w:r>
        <w:rPr>
          <w:rFonts w:hint="eastAsia" w:cs="宋体" w:asciiTheme="minorEastAsia" w:hAnsiTheme="minorEastAsia" w:eastAsiaTheme="minorEastAsia"/>
          <w:sz w:val="28"/>
          <w:szCs w:val="28"/>
          <w:highlight w:val="none"/>
        </w:rPr>
        <w:t>附件2：</w:t>
      </w:r>
    </w:p>
    <w:p w14:paraId="49E38A35">
      <w:pPr>
        <w:spacing w:before="120" w:beforeLines="50" w:after="120" w:afterLines="50"/>
        <w:jc w:val="center"/>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授权委托书或法定代表人身份证明</w:t>
      </w:r>
    </w:p>
    <w:p w14:paraId="73E10F4B">
      <w:pPr>
        <w:topLinePunct/>
        <w:spacing w:before="120" w:beforeLines="50" w:after="120" w:afterLines="50"/>
        <w:jc w:val="center"/>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（一）授权委托书</w:t>
      </w:r>
    </w:p>
    <w:p w14:paraId="13F0EA3D">
      <w:pPr>
        <w:topLinePunct/>
        <w:spacing w:before="120" w:beforeLines="50" w:line="400" w:lineRule="exact"/>
        <w:ind w:firstLine="561"/>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本人</w:t>
      </w:r>
      <w:r>
        <w:rPr>
          <w:rFonts w:hint="eastAsia" w:cs="宋体" w:asciiTheme="minorEastAsia" w:hAnsiTheme="minorEastAsia" w:eastAsiaTheme="minorEastAsia"/>
          <w:sz w:val="24"/>
          <w:highlight w:val="none"/>
          <w:u w:val="single"/>
        </w:rPr>
        <w:t xml:space="preserve">     (姓名)</w:t>
      </w:r>
      <w:r>
        <w:rPr>
          <w:rFonts w:hint="eastAsia" w:cs="宋体" w:asciiTheme="minorEastAsia" w:hAnsiTheme="minorEastAsia" w:eastAsiaTheme="minorEastAsia"/>
          <w:sz w:val="24"/>
          <w:highlight w:val="none"/>
        </w:rPr>
        <w:t>系</w:t>
      </w:r>
      <w:r>
        <w:rPr>
          <w:rFonts w:hint="eastAsia" w:cs="宋体" w:asciiTheme="minorEastAsia" w:hAnsiTheme="minorEastAsia" w:eastAsiaTheme="minorEastAsia"/>
          <w:sz w:val="24"/>
          <w:highlight w:val="none"/>
          <w:u w:val="single"/>
        </w:rPr>
        <w:t>(供应商名称)</w:t>
      </w:r>
      <w:r>
        <w:rPr>
          <w:rFonts w:hint="eastAsia" w:cs="宋体" w:asciiTheme="minorEastAsia" w:hAnsiTheme="minorEastAsia" w:eastAsiaTheme="minorEastAsia"/>
          <w:sz w:val="24"/>
          <w:highlight w:val="none"/>
        </w:rPr>
        <w:t>的法定代表人，现委托</w:t>
      </w:r>
      <w:r>
        <w:rPr>
          <w:rFonts w:hint="eastAsia" w:cs="宋体" w:asciiTheme="minorEastAsia" w:hAnsiTheme="minorEastAsia" w:eastAsiaTheme="minorEastAsia"/>
          <w:sz w:val="24"/>
          <w:highlight w:val="none"/>
          <w:u w:val="single"/>
        </w:rPr>
        <w:t xml:space="preserve">    (姓名)</w:t>
      </w:r>
      <w:r>
        <w:rPr>
          <w:rFonts w:hint="eastAsia" w:cs="宋体" w:asciiTheme="minorEastAsia" w:hAnsiTheme="minorEastAsia" w:eastAsiaTheme="minorEastAsia"/>
          <w:sz w:val="24"/>
          <w:highlight w:val="none"/>
        </w:rPr>
        <w:t>为我方代理人。代理人根据授权，以我方名义签署、澄清、说明、补正、递交、撤回、修改</w:t>
      </w:r>
      <w:r>
        <w:rPr>
          <w:rFonts w:hint="eastAsia" w:cs="宋体" w:asciiTheme="minorEastAsia" w:hAnsiTheme="minorEastAsia" w:eastAsiaTheme="minorEastAsia"/>
          <w:sz w:val="24"/>
          <w:highlight w:val="none"/>
          <w:u w:val="single"/>
        </w:rPr>
        <w:t xml:space="preserve">                   项目</w:t>
      </w:r>
      <w:r>
        <w:rPr>
          <w:rFonts w:hint="eastAsia" w:cs="宋体" w:asciiTheme="minorEastAsia" w:hAnsiTheme="minorEastAsia" w:eastAsiaTheme="minorEastAsia"/>
          <w:sz w:val="24"/>
          <w:highlight w:val="none"/>
        </w:rPr>
        <w:t>响应文件、签订合同和处理有关事宜，其法律后果由我方承担。</w:t>
      </w:r>
    </w:p>
    <w:p w14:paraId="1395F04F">
      <w:pPr>
        <w:topLinePunct/>
        <w:spacing w:line="400" w:lineRule="exact"/>
        <w:rPr>
          <w:rFonts w:cs="宋体" w:asciiTheme="minorEastAsia" w:hAnsiTheme="minorEastAsia" w:eastAsiaTheme="minorEastAsia"/>
          <w:sz w:val="24"/>
          <w:highlight w:val="none"/>
        </w:rPr>
      </w:pPr>
    </w:p>
    <w:p w14:paraId="5095326B">
      <w:pPr>
        <w:topLinePunct/>
        <w:spacing w:line="400" w:lineRule="exact"/>
        <w:ind w:firstLine="480" w:firstLineChars="200"/>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委托期限：自本委托书签署之日起至投标有效期期满。</w:t>
      </w:r>
    </w:p>
    <w:p w14:paraId="3A31AC6B">
      <w:pPr>
        <w:topLinePunct/>
        <w:spacing w:line="400" w:lineRule="exact"/>
        <w:rPr>
          <w:rFonts w:cs="宋体" w:asciiTheme="minorEastAsia" w:hAnsiTheme="minorEastAsia" w:eastAsiaTheme="minorEastAsia"/>
          <w:sz w:val="24"/>
          <w:highlight w:val="none"/>
        </w:rPr>
      </w:pPr>
    </w:p>
    <w:p w14:paraId="5ACDA759">
      <w:pPr>
        <w:topLinePunct/>
        <w:spacing w:line="40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代理人无转委托权。</w:t>
      </w:r>
    </w:p>
    <w:p w14:paraId="2A3198BE">
      <w:pPr>
        <w:topLinePunct/>
        <w:spacing w:line="400" w:lineRule="exact"/>
        <w:rPr>
          <w:rFonts w:cs="宋体" w:asciiTheme="minorEastAsia" w:hAnsiTheme="minorEastAsia" w:eastAsiaTheme="minorEastAsia"/>
          <w:sz w:val="24"/>
          <w:highlight w:val="none"/>
        </w:rPr>
      </w:pPr>
    </w:p>
    <w:p w14:paraId="6A7F5728">
      <w:pPr>
        <w:topLinePunct/>
        <w:spacing w:line="40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附：法定代表人身份证明及委托代理人身份证复印件。</w:t>
      </w:r>
    </w:p>
    <w:p w14:paraId="4B684F2C">
      <w:pPr>
        <w:topLinePunct/>
        <w:ind w:firstLine="480" w:firstLineChars="200"/>
        <w:rPr>
          <w:rFonts w:cs="宋体" w:asciiTheme="minorEastAsia" w:hAnsiTheme="minorEastAsia" w:eastAsiaTheme="minorEastAsia"/>
          <w:sz w:val="24"/>
          <w:highlight w:val="none"/>
        </w:rPr>
      </w:pPr>
    </w:p>
    <w:p w14:paraId="720931CC">
      <w:pPr>
        <w:topLinePunct/>
        <w:rPr>
          <w:rFonts w:cs="宋体" w:asciiTheme="minorEastAsia" w:hAnsiTheme="minorEastAsia" w:eastAsiaTheme="minorEastAsia"/>
          <w:sz w:val="24"/>
          <w:highlight w:val="none"/>
        </w:rPr>
      </w:pPr>
    </w:p>
    <w:p w14:paraId="233B5DA0">
      <w:pPr>
        <w:snapToGrid w:val="0"/>
        <w:spacing w:line="360" w:lineRule="auto"/>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响应供应商（盖单位公章）：</w:t>
      </w:r>
    </w:p>
    <w:p w14:paraId="661D64C7">
      <w:pPr>
        <w:topLinePunct/>
        <w:rPr>
          <w:rFonts w:cs="宋体" w:asciiTheme="minorEastAsia" w:hAnsiTheme="minorEastAsia" w:eastAsiaTheme="minorEastAsia"/>
          <w:sz w:val="24"/>
          <w:highlight w:val="none"/>
        </w:rPr>
      </w:pPr>
    </w:p>
    <w:p w14:paraId="1B351F77">
      <w:pPr>
        <w:wordWrap w:val="0"/>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法定代表人</w:t>
      </w:r>
      <w:r>
        <w:rPr>
          <w:rFonts w:hint="eastAsia" w:cs="宋体" w:asciiTheme="minorEastAsia" w:hAnsiTheme="minorEastAsia" w:eastAsiaTheme="minorEastAsia"/>
          <w:sz w:val="24"/>
          <w:highlight w:val="none"/>
          <w:u w:val="single"/>
        </w:rPr>
        <w:t>(签字或盖章)</w:t>
      </w:r>
      <w:r>
        <w:rPr>
          <w:rFonts w:hint="eastAsia" w:cs="宋体" w:asciiTheme="minorEastAsia" w:hAnsiTheme="minorEastAsia" w:eastAsiaTheme="minorEastAsia"/>
          <w:sz w:val="24"/>
          <w:highlight w:val="none"/>
        </w:rPr>
        <w:t>：</w:t>
      </w:r>
    </w:p>
    <w:p w14:paraId="0460DC46">
      <w:pPr>
        <w:topLinePunct/>
        <w:rPr>
          <w:rFonts w:cs="宋体" w:asciiTheme="minorEastAsia" w:hAnsiTheme="minorEastAsia" w:eastAsiaTheme="minorEastAsia"/>
          <w:sz w:val="24"/>
          <w:highlight w:val="none"/>
        </w:rPr>
      </w:pPr>
    </w:p>
    <w:p w14:paraId="39BF82CB">
      <w:pPr>
        <w:wordWrap w:val="0"/>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身份证号码：</w:t>
      </w:r>
    </w:p>
    <w:p w14:paraId="4C0D0B6C">
      <w:pPr>
        <w:topLinePunct/>
        <w:rPr>
          <w:rFonts w:cs="宋体" w:asciiTheme="minorEastAsia" w:hAnsiTheme="minorEastAsia" w:eastAsiaTheme="minorEastAsia"/>
          <w:sz w:val="24"/>
          <w:highlight w:val="none"/>
        </w:rPr>
      </w:pPr>
    </w:p>
    <w:p w14:paraId="6D59CE5D">
      <w:pPr>
        <w:topLinePunct/>
        <w:jc w:val="lef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委托代理人</w:t>
      </w:r>
      <w:r>
        <w:rPr>
          <w:rFonts w:hint="eastAsia" w:cs="宋体" w:asciiTheme="minorEastAsia" w:hAnsiTheme="minorEastAsia" w:eastAsiaTheme="minorEastAsia"/>
          <w:sz w:val="24"/>
          <w:highlight w:val="none"/>
          <w:u w:val="single"/>
        </w:rPr>
        <w:t>(签字或盖章)</w:t>
      </w:r>
      <w:r>
        <w:rPr>
          <w:rFonts w:hint="eastAsia" w:cs="宋体" w:asciiTheme="minorEastAsia" w:hAnsiTheme="minorEastAsia" w:eastAsiaTheme="minorEastAsia"/>
          <w:sz w:val="24"/>
          <w:highlight w:val="none"/>
        </w:rPr>
        <w:t>：</w:t>
      </w:r>
    </w:p>
    <w:p w14:paraId="1E2B80B4">
      <w:pPr>
        <w:topLinePunct/>
        <w:rPr>
          <w:rFonts w:cs="宋体" w:asciiTheme="minorEastAsia" w:hAnsiTheme="minorEastAsia" w:eastAsiaTheme="minorEastAsia"/>
          <w:sz w:val="24"/>
          <w:highlight w:val="none"/>
        </w:rPr>
      </w:pPr>
    </w:p>
    <w:p w14:paraId="03EC1AF0">
      <w:pPr>
        <w:wordWrap w:val="0"/>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身份证号码：</w:t>
      </w:r>
    </w:p>
    <w:p w14:paraId="28169D01">
      <w:pPr>
        <w:topLinePunct/>
        <w:spacing w:before="120" w:beforeLines="50" w:after="120" w:afterLines="50"/>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年    月     日</w:t>
      </w:r>
    </w:p>
    <w:p w14:paraId="5A0F2D78">
      <w:pPr>
        <w:topLinePunct/>
        <w:spacing w:before="120" w:beforeLines="50" w:after="120" w:afterLines="50"/>
        <w:jc w:val="center"/>
        <w:rPr>
          <w:rFonts w:cs="宋体" w:asciiTheme="minorEastAsia" w:hAnsiTheme="minorEastAsia" w:eastAsiaTheme="minorEastAsia"/>
          <w:sz w:val="36"/>
          <w:szCs w:val="36"/>
          <w:highlight w:val="none"/>
        </w:rPr>
      </w:pPr>
    </w:p>
    <w:p w14:paraId="29E7757F">
      <w:pPr>
        <w:topLinePunct/>
        <w:spacing w:line="400" w:lineRule="exact"/>
        <w:ind w:firstLine="560" w:firstLineChars="200"/>
        <w:rPr>
          <w:rFonts w:cs="宋体" w:asciiTheme="minorEastAsia" w:hAnsiTheme="minorEastAsia" w:eastAsiaTheme="minorEastAsia"/>
          <w:sz w:val="28"/>
          <w:szCs w:val="28"/>
          <w:highlight w:val="none"/>
        </w:rPr>
      </w:pPr>
    </w:p>
    <w:p w14:paraId="0ADB8788">
      <w:pPr>
        <w:topLinePunct/>
        <w:spacing w:line="400" w:lineRule="exact"/>
        <w:ind w:firstLine="560" w:firstLineChars="200"/>
        <w:rPr>
          <w:rFonts w:cs="宋体" w:asciiTheme="minorEastAsia" w:hAnsiTheme="minorEastAsia" w:eastAsiaTheme="minorEastAsia"/>
          <w:sz w:val="28"/>
          <w:szCs w:val="28"/>
          <w:highlight w:val="none"/>
        </w:rPr>
      </w:pPr>
    </w:p>
    <w:p w14:paraId="1DEB5BAB">
      <w:pPr>
        <w:topLinePunct/>
        <w:spacing w:line="400" w:lineRule="exact"/>
        <w:ind w:firstLine="560" w:firstLineChars="200"/>
        <w:rPr>
          <w:rFonts w:cs="宋体" w:asciiTheme="minorEastAsia" w:hAnsiTheme="minorEastAsia" w:eastAsiaTheme="minorEastAsia"/>
          <w:sz w:val="28"/>
          <w:szCs w:val="28"/>
          <w:highlight w:val="none"/>
        </w:rPr>
      </w:pPr>
    </w:p>
    <w:p w14:paraId="01635A44">
      <w:pPr>
        <w:topLinePunct/>
        <w:spacing w:line="400" w:lineRule="exact"/>
        <w:ind w:firstLine="560" w:firstLineChars="200"/>
        <w:rPr>
          <w:rFonts w:cs="宋体" w:asciiTheme="minorEastAsia" w:hAnsiTheme="minorEastAsia" w:eastAsiaTheme="minorEastAsia"/>
          <w:sz w:val="28"/>
          <w:szCs w:val="28"/>
          <w:highlight w:val="none"/>
        </w:rPr>
      </w:pPr>
    </w:p>
    <w:p w14:paraId="24F93CB0">
      <w:pPr>
        <w:topLinePunct/>
        <w:spacing w:line="400" w:lineRule="exact"/>
        <w:ind w:firstLine="560" w:firstLineChars="200"/>
        <w:rPr>
          <w:rFonts w:cs="宋体" w:asciiTheme="minorEastAsia" w:hAnsiTheme="minorEastAsia" w:eastAsiaTheme="minorEastAsia"/>
          <w:sz w:val="28"/>
          <w:szCs w:val="28"/>
          <w:highlight w:val="none"/>
        </w:rPr>
      </w:pPr>
    </w:p>
    <w:p w14:paraId="064D8631">
      <w:pPr>
        <w:spacing w:before="120" w:beforeLines="50" w:after="120" w:afterLines="50"/>
        <w:jc w:val="left"/>
        <w:rPr>
          <w:rFonts w:cs="宋体" w:asciiTheme="minorEastAsia" w:hAnsiTheme="minorEastAsia" w:eastAsiaTheme="minorEastAsia"/>
          <w:b/>
          <w:bCs/>
          <w:highlight w:val="none"/>
        </w:rPr>
      </w:pPr>
      <w:r>
        <w:rPr>
          <w:rFonts w:hint="eastAsia" w:cs="宋体" w:asciiTheme="minorEastAsia" w:hAnsiTheme="minorEastAsia" w:eastAsiaTheme="minorEastAsia"/>
          <w:b/>
          <w:bCs/>
          <w:highlight w:val="none"/>
        </w:rPr>
        <w:t>注：如果由供应商的法定代表人签署投标响应文件，则无须提交授权委托书。</w:t>
      </w:r>
    </w:p>
    <w:p w14:paraId="6D25423B">
      <w:pPr>
        <w:pStyle w:val="34"/>
        <w:topLinePunct/>
        <w:spacing w:line="400" w:lineRule="exact"/>
        <w:ind w:left="560" w:firstLine="0" w:firstLineChars="0"/>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7"/>
          <w:szCs w:val="27"/>
          <w:highlight w:val="none"/>
        </w:rPr>
        <w:br w:type="page"/>
      </w:r>
    </w:p>
    <w:p w14:paraId="59AC1323">
      <w:pPr>
        <w:topLinePunct/>
        <w:spacing w:before="120" w:beforeLines="50" w:after="120" w:afterLines="50"/>
        <w:jc w:val="center"/>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 xml:space="preserve"> (二)法定代表人身份证明</w:t>
      </w:r>
    </w:p>
    <w:p w14:paraId="0E405B65">
      <w:pPr>
        <w:topLinePunct/>
        <w:rPr>
          <w:rFonts w:cs="宋体" w:asciiTheme="minorEastAsia" w:hAnsiTheme="minorEastAsia" w:eastAsiaTheme="minorEastAsia"/>
          <w:sz w:val="28"/>
          <w:szCs w:val="28"/>
          <w:highlight w:val="none"/>
        </w:rPr>
      </w:pPr>
    </w:p>
    <w:p w14:paraId="194454C4">
      <w:pPr>
        <w:topLinePunct/>
        <w:rPr>
          <w:rFonts w:cs="宋体" w:asciiTheme="minorEastAsia" w:hAnsiTheme="minorEastAsia" w:eastAsiaTheme="minorEastAsia"/>
          <w:sz w:val="28"/>
          <w:szCs w:val="28"/>
          <w:highlight w:val="none"/>
        </w:rPr>
      </w:pPr>
    </w:p>
    <w:p w14:paraId="408913A1">
      <w:pPr>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供应商名称：</w:t>
      </w:r>
      <w:r>
        <w:rPr>
          <w:rFonts w:hint="eastAsia" w:cs="宋体" w:asciiTheme="minorEastAsia" w:hAnsiTheme="minorEastAsia" w:eastAsiaTheme="minorEastAsia"/>
          <w:sz w:val="24"/>
          <w:highlight w:val="none"/>
          <w:u w:val="single"/>
        </w:rPr>
        <w:t xml:space="preserve">           </w:t>
      </w:r>
    </w:p>
    <w:p w14:paraId="39711541">
      <w:pPr>
        <w:topLinePunct/>
        <w:rPr>
          <w:rFonts w:cs="宋体" w:asciiTheme="minorEastAsia" w:hAnsiTheme="minorEastAsia" w:eastAsiaTheme="minorEastAsia"/>
          <w:sz w:val="24"/>
          <w:highlight w:val="none"/>
        </w:rPr>
      </w:pPr>
    </w:p>
    <w:p w14:paraId="59E4DFB4">
      <w:pPr>
        <w:topLinePunct/>
        <w:rPr>
          <w:rFonts w:cs="宋体" w:asciiTheme="minorEastAsia" w:hAnsiTheme="minorEastAsia" w:eastAsiaTheme="minorEastAsia"/>
          <w:sz w:val="24"/>
          <w:highlight w:val="none"/>
          <w:u w:val="single"/>
        </w:rPr>
      </w:pPr>
      <w:r>
        <w:rPr>
          <w:rFonts w:hint="eastAsia" w:cs="宋体" w:asciiTheme="minorEastAsia" w:hAnsiTheme="minorEastAsia" w:eastAsiaTheme="minorEastAsia"/>
          <w:sz w:val="24"/>
          <w:highlight w:val="none"/>
        </w:rPr>
        <w:t>姓名：</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性别：</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年龄：</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职务：</w:t>
      </w:r>
      <w:r>
        <w:rPr>
          <w:rFonts w:hint="eastAsia" w:cs="宋体" w:asciiTheme="minorEastAsia" w:hAnsiTheme="minorEastAsia" w:eastAsiaTheme="minorEastAsia"/>
          <w:sz w:val="24"/>
          <w:highlight w:val="none"/>
          <w:u w:val="single"/>
        </w:rPr>
        <w:t xml:space="preserve">            </w:t>
      </w:r>
    </w:p>
    <w:p w14:paraId="2A1AEE2A">
      <w:pPr>
        <w:topLinePunct/>
        <w:rPr>
          <w:rFonts w:cs="宋体" w:asciiTheme="minorEastAsia" w:hAnsiTheme="minorEastAsia" w:eastAsiaTheme="minorEastAsia"/>
          <w:sz w:val="24"/>
          <w:highlight w:val="none"/>
        </w:rPr>
      </w:pPr>
    </w:p>
    <w:p w14:paraId="53B8086F">
      <w:pPr>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系</w:t>
      </w:r>
      <w:r>
        <w:rPr>
          <w:rFonts w:hint="eastAsia" w:cs="宋体" w:asciiTheme="minorEastAsia" w:hAnsiTheme="minorEastAsia" w:eastAsiaTheme="minorEastAsia"/>
          <w:sz w:val="24"/>
          <w:highlight w:val="none"/>
          <w:u w:val="single"/>
        </w:rPr>
        <w:t xml:space="preserve">(供应商名称)           </w:t>
      </w:r>
      <w:r>
        <w:rPr>
          <w:rFonts w:hint="eastAsia" w:cs="宋体" w:asciiTheme="minorEastAsia" w:hAnsiTheme="minorEastAsia" w:eastAsiaTheme="minorEastAsia"/>
          <w:sz w:val="24"/>
          <w:highlight w:val="none"/>
        </w:rPr>
        <w:t>的法定代表人。</w:t>
      </w:r>
    </w:p>
    <w:p w14:paraId="093B276A">
      <w:pPr>
        <w:topLinePunct/>
        <w:rPr>
          <w:rFonts w:cs="宋体" w:asciiTheme="minorEastAsia" w:hAnsiTheme="minorEastAsia" w:eastAsiaTheme="minorEastAsia"/>
          <w:sz w:val="24"/>
          <w:highlight w:val="none"/>
        </w:rPr>
      </w:pPr>
    </w:p>
    <w:p w14:paraId="7BBA3F81">
      <w:pPr>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特此证明。</w:t>
      </w:r>
    </w:p>
    <w:p w14:paraId="6F2A0FE5">
      <w:pPr>
        <w:topLinePunct/>
        <w:rPr>
          <w:rFonts w:cs="宋体" w:asciiTheme="minorEastAsia" w:hAnsiTheme="minorEastAsia" w:eastAsiaTheme="minorEastAsia"/>
          <w:sz w:val="24"/>
          <w:highlight w:val="none"/>
        </w:rPr>
      </w:pPr>
    </w:p>
    <w:p w14:paraId="5698FDE4">
      <w:pPr>
        <w:topLinePunct/>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附：法定代表人身份证复印件。</w:t>
      </w:r>
    </w:p>
    <w:p w14:paraId="52201CD8">
      <w:pPr>
        <w:topLinePunct/>
        <w:rPr>
          <w:rFonts w:cs="宋体" w:asciiTheme="minorEastAsia" w:hAnsiTheme="minorEastAsia" w:eastAsiaTheme="minorEastAsia"/>
          <w:sz w:val="24"/>
          <w:highlight w:val="none"/>
        </w:rPr>
      </w:pPr>
    </w:p>
    <w:p w14:paraId="3BB18F64">
      <w:pPr>
        <w:topLinePunct/>
        <w:rPr>
          <w:rFonts w:cs="宋体" w:asciiTheme="minorEastAsia" w:hAnsiTheme="minorEastAsia" w:eastAsiaTheme="minorEastAsia"/>
          <w:sz w:val="24"/>
          <w:highlight w:val="none"/>
        </w:rPr>
      </w:pPr>
    </w:p>
    <w:p w14:paraId="7F4CBCB1">
      <w:pPr>
        <w:snapToGrid w:val="0"/>
        <w:spacing w:line="360" w:lineRule="auto"/>
        <w:contextualSpacing/>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响应供应商（盖单位公章）</w:t>
      </w:r>
    </w:p>
    <w:p w14:paraId="7A1B6B49">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7924418E">
      <w:pPr>
        <w:topLinePunct/>
        <w:rPr>
          <w:rFonts w:cs="宋体" w:asciiTheme="minorEastAsia" w:hAnsiTheme="minorEastAsia" w:eastAsiaTheme="minorEastAsia"/>
          <w:sz w:val="28"/>
          <w:szCs w:val="28"/>
          <w:highlight w:val="none"/>
        </w:rPr>
      </w:pPr>
    </w:p>
    <w:p w14:paraId="4412CEBB">
      <w:pPr>
        <w:topLinePunct/>
        <w:rPr>
          <w:rFonts w:cs="宋体" w:asciiTheme="minorEastAsia" w:hAnsiTheme="minorEastAsia" w:eastAsiaTheme="minorEastAsia"/>
          <w:sz w:val="28"/>
          <w:szCs w:val="28"/>
          <w:highlight w:val="none"/>
        </w:rPr>
      </w:pPr>
    </w:p>
    <w:p w14:paraId="02C84CC6">
      <w:pPr>
        <w:topLinePunct/>
        <w:rPr>
          <w:rFonts w:cs="宋体" w:asciiTheme="minorEastAsia" w:hAnsiTheme="minorEastAsia" w:eastAsiaTheme="minorEastAsia"/>
          <w:sz w:val="28"/>
          <w:szCs w:val="28"/>
          <w:highlight w:val="none"/>
        </w:rPr>
      </w:pPr>
    </w:p>
    <w:p w14:paraId="266D21A1">
      <w:pPr>
        <w:rPr>
          <w:rFonts w:cs="宋体" w:asciiTheme="minorEastAsia" w:hAnsiTheme="minorEastAsia" w:eastAsiaTheme="minorEastAsia"/>
          <w:b/>
          <w:bCs/>
          <w:highlight w:val="none"/>
        </w:rPr>
      </w:pPr>
    </w:p>
    <w:p w14:paraId="02AFEAAA">
      <w:pPr>
        <w:spacing w:before="120" w:beforeLines="50" w:after="120" w:afterLines="50"/>
        <w:jc w:val="center"/>
        <w:rPr>
          <w:rFonts w:cs="宋体" w:asciiTheme="minorEastAsia" w:hAnsiTheme="minorEastAsia" w:eastAsiaTheme="minorEastAsia"/>
          <w:b/>
          <w:bCs/>
          <w:highlight w:val="none"/>
        </w:rPr>
      </w:pPr>
    </w:p>
    <w:p w14:paraId="039FBCE0">
      <w:pPr>
        <w:spacing w:before="120" w:beforeLines="50" w:after="120" w:afterLines="50"/>
        <w:jc w:val="center"/>
        <w:rPr>
          <w:rFonts w:cs="宋体" w:asciiTheme="minorEastAsia" w:hAnsiTheme="minorEastAsia" w:eastAsiaTheme="minorEastAsia"/>
          <w:b/>
          <w:bCs/>
          <w:highlight w:val="none"/>
        </w:rPr>
      </w:pPr>
    </w:p>
    <w:p w14:paraId="13EBE937">
      <w:pPr>
        <w:spacing w:before="120" w:beforeLines="50" w:after="120" w:afterLines="50"/>
        <w:jc w:val="center"/>
        <w:rPr>
          <w:rFonts w:cs="宋体" w:asciiTheme="minorEastAsia" w:hAnsiTheme="minorEastAsia" w:eastAsiaTheme="minorEastAsia"/>
          <w:b/>
          <w:bCs/>
          <w:highlight w:val="none"/>
        </w:rPr>
      </w:pPr>
    </w:p>
    <w:p w14:paraId="0C891D0D">
      <w:pPr>
        <w:spacing w:before="120" w:beforeLines="50" w:after="120" w:afterLines="50"/>
        <w:jc w:val="center"/>
        <w:rPr>
          <w:rFonts w:cs="宋体" w:asciiTheme="minorEastAsia" w:hAnsiTheme="minorEastAsia" w:eastAsiaTheme="minorEastAsia"/>
          <w:b/>
          <w:bCs/>
          <w:highlight w:val="none"/>
        </w:rPr>
      </w:pPr>
    </w:p>
    <w:p w14:paraId="5C2F9A38">
      <w:pPr>
        <w:spacing w:before="120" w:beforeLines="50" w:after="120" w:afterLines="50"/>
        <w:jc w:val="center"/>
        <w:rPr>
          <w:rFonts w:cs="宋体" w:asciiTheme="minorEastAsia" w:hAnsiTheme="minorEastAsia" w:eastAsiaTheme="minorEastAsia"/>
          <w:b/>
          <w:bCs/>
          <w:highlight w:val="none"/>
        </w:rPr>
      </w:pPr>
    </w:p>
    <w:p w14:paraId="305F465F">
      <w:pPr>
        <w:snapToGrid w:val="0"/>
        <w:spacing w:line="300" w:lineRule="auto"/>
        <w:ind w:firstLine="420"/>
        <w:contextualSpacing/>
        <w:rPr>
          <w:rFonts w:cs="宋体" w:asciiTheme="minorEastAsia" w:hAnsiTheme="minorEastAsia" w:eastAsiaTheme="minorEastAsia"/>
          <w:b/>
          <w:sz w:val="28"/>
          <w:szCs w:val="28"/>
          <w:highlight w:val="none"/>
        </w:rPr>
      </w:pPr>
    </w:p>
    <w:p w14:paraId="5030E9D7">
      <w:pPr>
        <w:spacing w:before="120" w:beforeLines="50" w:after="120" w:afterLines="50"/>
        <w:rPr>
          <w:rFonts w:cs="宋体" w:asciiTheme="minorEastAsia" w:hAnsiTheme="minorEastAsia" w:eastAsiaTheme="minorEastAsia"/>
          <w:b/>
          <w:sz w:val="28"/>
          <w:szCs w:val="28"/>
          <w:highlight w:val="none"/>
        </w:rPr>
      </w:pPr>
      <w:r>
        <w:rPr>
          <w:rFonts w:hint="eastAsia" w:cs="宋体" w:asciiTheme="minorEastAsia" w:hAnsiTheme="minorEastAsia" w:eastAsiaTheme="minorEastAsia"/>
          <w:b/>
          <w:sz w:val="28"/>
          <w:szCs w:val="28"/>
          <w:highlight w:val="none"/>
        </w:rPr>
        <w:t xml:space="preserve"> </w:t>
      </w:r>
    </w:p>
    <w:p w14:paraId="4612689E">
      <w:pPr>
        <w:pStyle w:val="18"/>
        <w:rPr>
          <w:rFonts w:asciiTheme="minorEastAsia" w:hAnsiTheme="minorEastAsia" w:eastAsiaTheme="minorEastAsia"/>
          <w:highlight w:val="none"/>
        </w:rPr>
      </w:pPr>
    </w:p>
    <w:p w14:paraId="51E42604">
      <w:pPr>
        <w:pStyle w:val="18"/>
        <w:rPr>
          <w:rFonts w:asciiTheme="minorEastAsia" w:hAnsiTheme="minorEastAsia" w:eastAsiaTheme="minorEastAsia"/>
          <w:highlight w:val="none"/>
        </w:rPr>
      </w:pPr>
    </w:p>
    <w:p w14:paraId="04E18A3E">
      <w:pPr>
        <w:pStyle w:val="18"/>
        <w:rPr>
          <w:rFonts w:asciiTheme="minorEastAsia" w:hAnsiTheme="minorEastAsia" w:eastAsiaTheme="minorEastAsia"/>
          <w:highlight w:val="none"/>
        </w:rPr>
      </w:pPr>
    </w:p>
    <w:p w14:paraId="33609306">
      <w:pPr>
        <w:pStyle w:val="18"/>
        <w:rPr>
          <w:rFonts w:asciiTheme="minorEastAsia" w:hAnsiTheme="minorEastAsia" w:eastAsiaTheme="minorEastAsia"/>
          <w:highlight w:val="none"/>
        </w:rPr>
      </w:pPr>
    </w:p>
    <w:p w14:paraId="1D2CC758">
      <w:pPr>
        <w:pStyle w:val="18"/>
        <w:rPr>
          <w:rFonts w:asciiTheme="minorEastAsia" w:hAnsiTheme="minorEastAsia" w:eastAsiaTheme="minorEastAsia"/>
          <w:highlight w:val="none"/>
        </w:rPr>
      </w:pPr>
    </w:p>
    <w:p w14:paraId="1254634F">
      <w:pPr>
        <w:pStyle w:val="18"/>
        <w:rPr>
          <w:rFonts w:asciiTheme="minorEastAsia" w:hAnsiTheme="minorEastAsia" w:eastAsiaTheme="minorEastAsia"/>
          <w:highlight w:val="none"/>
        </w:rPr>
      </w:pPr>
    </w:p>
    <w:p w14:paraId="0952E58E">
      <w:pPr>
        <w:pStyle w:val="18"/>
        <w:rPr>
          <w:rFonts w:asciiTheme="minorEastAsia" w:hAnsiTheme="minorEastAsia" w:eastAsiaTheme="minorEastAsia"/>
          <w:highlight w:val="none"/>
        </w:rPr>
      </w:pPr>
    </w:p>
    <w:p w14:paraId="34921AC4">
      <w:pPr>
        <w:pStyle w:val="18"/>
        <w:rPr>
          <w:rFonts w:asciiTheme="minorEastAsia" w:hAnsiTheme="minorEastAsia" w:eastAsiaTheme="minorEastAsia"/>
          <w:highlight w:val="none"/>
        </w:rPr>
      </w:pPr>
    </w:p>
    <w:p w14:paraId="1C618E0D">
      <w:pPr>
        <w:pStyle w:val="31"/>
        <w:spacing w:before="120" w:beforeLines="50" w:after="120" w:afterLines="50" w:line="360" w:lineRule="auto"/>
        <w:jc w:val="left"/>
        <w:rPr>
          <w:rFonts w:cs="宋体" w:asciiTheme="minorEastAsia" w:hAnsiTheme="minorEastAsia" w:eastAsiaTheme="minorEastAsia"/>
          <w:b w:val="0"/>
          <w:sz w:val="28"/>
          <w:szCs w:val="28"/>
          <w:highlight w:val="none"/>
        </w:rPr>
      </w:pPr>
      <w:r>
        <w:rPr>
          <w:rFonts w:hint="eastAsia" w:cs="宋体" w:asciiTheme="minorEastAsia" w:hAnsiTheme="minorEastAsia" w:eastAsiaTheme="minorEastAsia"/>
          <w:b w:val="0"/>
          <w:sz w:val="28"/>
          <w:szCs w:val="28"/>
          <w:highlight w:val="none"/>
        </w:rPr>
        <w:t xml:space="preserve">附件3：                </w:t>
      </w:r>
    </w:p>
    <w:p w14:paraId="3922A4E3">
      <w:pPr>
        <w:pStyle w:val="31"/>
        <w:spacing w:before="120" w:beforeLines="50" w:after="120" w:afterLines="50" w:line="360" w:lineRule="auto"/>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供应商信用承诺书</w:t>
      </w:r>
    </w:p>
    <w:p w14:paraId="434B73BF">
      <w:pPr>
        <w:spacing w:line="560" w:lineRule="exact"/>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致：</w:t>
      </w:r>
      <w:r>
        <w:rPr>
          <w:rFonts w:hint="eastAsia" w:cs="宋体" w:asciiTheme="minorEastAsia" w:hAnsiTheme="minorEastAsia" w:eastAsiaTheme="minorEastAsia"/>
          <w:sz w:val="24"/>
          <w:highlight w:val="none"/>
          <w:u w:val="single"/>
        </w:rPr>
        <w:t>南通市公路事业发展中心</w:t>
      </w:r>
    </w:p>
    <w:p w14:paraId="084E727C">
      <w:pPr>
        <w:spacing w:line="560" w:lineRule="exact"/>
        <w:ind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 xml:space="preserve">我单位 </w:t>
      </w:r>
      <w:r>
        <w:rPr>
          <w:rFonts w:hint="eastAsia" w:cs="宋体" w:asciiTheme="minorEastAsia" w:hAnsiTheme="minorEastAsia" w:eastAsiaTheme="minorEastAsia"/>
          <w:spacing w:val="-5"/>
          <w:sz w:val="24"/>
          <w:highlight w:val="none"/>
          <w:u w:val="single"/>
        </w:rPr>
        <w:t xml:space="preserve">                      </w:t>
      </w:r>
      <w:r>
        <w:rPr>
          <w:rFonts w:hint="eastAsia" w:cs="宋体" w:asciiTheme="minorEastAsia" w:hAnsiTheme="minorEastAsia" w:eastAsiaTheme="minorEastAsia"/>
          <w:spacing w:val="-5"/>
          <w:sz w:val="24"/>
          <w:highlight w:val="none"/>
        </w:rPr>
        <w:t>（单位名称）自愿参加</w:t>
      </w:r>
      <w:r>
        <w:rPr>
          <w:rFonts w:hint="eastAsia" w:cs="宋体" w:asciiTheme="minorEastAsia" w:hAnsiTheme="minorEastAsia" w:eastAsiaTheme="minorEastAsia"/>
          <w:spacing w:val="-5"/>
          <w:sz w:val="24"/>
          <w:highlight w:val="none"/>
          <w:u w:val="single"/>
        </w:rPr>
        <w:t xml:space="preserve">             </w:t>
      </w:r>
      <w:r>
        <w:rPr>
          <w:rFonts w:hint="eastAsia" w:cs="宋体" w:asciiTheme="minorEastAsia" w:hAnsiTheme="minorEastAsia" w:eastAsiaTheme="minorEastAsia"/>
          <w:spacing w:val="-5"/>
          <w:sz w:val="24"/>
          <w:highlight w:val="none"/>
        </w:rPr>
        <w:t xml:space="preserve"> </w:t>
      </w:r>
    </w:p>
    <w:p w14:paraId="0F628D7E">
      <w:pPr>
        <w:spacing w:line="560" w:lineRule="exact"/>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u w:val="single"/>
        </w:rPr>
        <w:t xml:space="preserve">                          </w:t>
      </w:r>
      <w:r>
        <w:rPr>
          <w:rFonts w:hint="eastAsia" w:cs="宋体" w:asciiTheme="minorEastAsia" w:hAnsiTheme="minorEastAsia" w:eastAsiaTheme="minorEastAsia"/>
          <w:spacing w:val="-5"/>
          <w:sz w:val="24"/>
          <w:highlight w:val="none"/>
        </w:rPr>
        <w:t>项目投标活动，并郑重承诺：</w:t>
      </w:r>
    </w:p>
    <w:p w14:paraId="62E94FEE">
      <w:pPr>
        <w:numPr>
          <w:ilvl w:val="0"/>
          <w:numId w:val="4"/>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在本项目的投标活动中遵守国家法律法规和有关规定，遵循公开、公平、公正和诚信原则。</w:t>
      </w:r>
    </w:p>
    <w:p w14:paraId="13A93EF5">
      <w:pPr>
        <w:numPr>
          <w:ilvl w:val="0"/>
          <w:numId w:val="4"/>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响应文件中所有内容均为我单位真实意愿表达，相关信息真实有效。</w:t>
      </w:r>
    </w:p>
    <w:p w14:paraId="7A4811D9">
      <w:pPr>
        <w:numPr>
          <w:ilvl w:val="0"/>
          <w:numId w:val="4"/>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无弄虚作假，无围标串标行为。</w:t>
      </w:r>
    </w:p>
    <w:p w14:paraId="13380EFF">
      <w:pPr>
        <w:numPr>
          <w:ilvl w:val="0"/>
          <w:numId w:val="4"/>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若我方成交，在合同履行过程中严格执行有关法律、法规、规章和规范性文件的规定，不转包和违法分包。</w:t>
      </w:r>
    </w:p>
    <w:p w14:paraId="4BB30071">
      <w:pPr>
        <w:numPr>
          <w:ilvl w:val="0"/>
          <w:numId w:val="4"/>
        </w:numPr>
        <w:spacing w:line="560" w:lineRule="exact"/>
        <w:ind w:left="0" w:firstLine="460" w:firstLineChars="200"/>
        <w:rPr>
          <w:rFonts w:cs="宋体" w:asciiTheme="minorEastAsia" w:hAnsiTheme="minorEastAsia" w:eastAsiaTheme="minorEastAsia"/>
          <w:spacing w:val="-5"/>
          <w:sz w:val="24"/>
          <w:highlight w:val="none"/>
        </w:rPr>
      </w:pPr>
      <w:r>
        <w:rPr>
          <w:rFonts w:hint="eastAsia" w:cs="宋体" w:asciiTheme="minorEastAsia" w:hAnsiTheme="minorEastAsia" w:eastAsiaTheme="minorEastAsia"/>
          <w:spacing w:val="-5"/>
          <w:sz w:val="24"/>
          <w:highlight w:val="none"/>
        </w:rPr>
        <w:t>我方如有违背承诺，愿意接受国家和相关主管部门依法进行的处罚，并记入相关责任主体和责任人信用档案，同时在相关网站上公开。</w:t>
      </w:r>
    </w:p>
    <w:p w14:paraId="5E5ADDED">
      <w:pPr>
        <w:spacing w:line="560" w:lineRule="exact"/>
        <w:ind w:firstLine="4370" w:firstLineChars="1900"/>
        <w:rPr>
          <w:rFonts w:cs="宋体" w:asciiTheme="minorEastAsia" w:hAnsiTheme="minorEastAsia" w:eastAsiaTheme="minorEastAsia"/>
          <w:spacing w:val="-5"/>
          <w:sz w:val="24"/>
          <w:highlight w:val="none"/>
        </w:rPr>
      </w:pPr>
    </w:p>
    <w:p w14:paraId="374238FC">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响应供应商：</w:t>
      </w:r>
      <w:r>
        <w:rPr>
          <w:rFonts w:hint="eastAsia" w:cs="宋体" w:asciiTheme="minorEastAsia" w:hAnsiTheme="minorEastAsia" w:eastAsiaTheme="minorEastAsia"/>
          <w:b/>
          <w:spacing w:val="-2"/>
          <w:sz w:val="24"/>
          <w:highlight w:val="none"/>
          <w:u w:val="single"/>
        </w:rPr>
        <w:t>（盖单位章）</w:t>
      </w:r>
    </w:p>
    <w:p w14:paraId="564C59B4">
      <w:pPr>
        <w:kinsoku w:val="0"/>
        <w:topLinePunct/>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法定代表人或委托代理人（签字或盖章）：</w:t>
      </w:r>
    </w:p>
    <w:p w14:paraId="3BA9D893">
      <w:pPr>
        <w:spacing w:line="360" w:lineRule="auto"/>
        <w:ind w:firstLine="3675"/>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日期：   年   月   日</w:t>
      </w:r>
    </w:p>
    <w:p w14:paraId="302FFDD6">
      <w:pPr>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4"/>
          <w:highlight w:val="none"/>
        </w:rPr>
        <w:br w:type="page"/>
      </w:r>
    </w:p>
    <w:p w14:paraId="4C66AA9C">
      <w:pPr>
        <w:rPr>
          <w:rFonts w:cs="宋体" w:asciiTheme="minorEastAsia" w:hAnsiTheme="minorEastAsia" w:eastAsiaTheme="minorEastAsia"/>
          <w:sz w:val="28"/>
          <w:szCs w:val="28"/>
          <w:highlight w:val="none"/>
        </w:rPr>
      </w:pPr>
      <w:r>
        <w:rPr>
          <w:rFonts w:hint="eastAsia" w:ascii="宋体" w:hAnsi="宋体" w:cs="宋体"/>
          <w:sz w:val="28"/>
          <w:szCs w:val="28"/>
          <w:highlight w:val="none"/>
        </w:rPr>
        <w:t>附件4：</w:t>
      </w:r>
    </w:p>
    <w:p w14:paraId="015EE600">
      <w:pPr>
        <w:snapToGrid w:val="0"/>
        <w:spacing w:line="520" w:lineRule="exact"/>
        <w:jc w:val="center"/>
        <w:outlineLvl w:val="2"/>
        <w:rPr>
          <w:rFonts w:cs="宋体" w:asciiTheme="minorEastAsia" w:hAnsiTheme="minorEastAsia" w:eastAsiaTheme="minorEastAsia"/>
          <w:highlight w:val="none"/>
        </w:rPr>
      </w:pPr>
      <w:r>
        <w:rPr>
          <w:rFonts w:hint="eastAsia" w:cs="宋体" w:asciiTheme="minorEastAsia" w:hAnsiTheme="minorEastAsia" w:eastAsiaTheme="minorEastAsia"/>
          <w:b/>
          <w:bCs/>
          <w:sz w:val="28"/>
          <w:szCs w:val="28"/>
          <w:highlight w:val="none"/>
        </w:rPr>
        <w:t>供应商基本情况表</w:t>
      </w:r>
    </w:p>
    <w:tbl>
      <w:tblPr>
        <w:tblStyle w:val="19"/>
        <w:tblW w:w="9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3036"/>
        <w:gridCol w:w="1536"/>
        <w:gridCol w:w="2287"/>
      </w:tblGrid>
      <w:tr w14:paraId="57868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2708" w:type="dxa"/>
            <w:vAlign w:val="center"/>
          </w:tcPr>
          <w:p w14:paraId="1ED77A47">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供应商全称</w:t>
            </w:r>
          </w:p>
        </w:tc>
        <w:tc>
          <w:tcPr>
            <w:tcW w:w="6859" w:type="dxa"/>
            <w:gridSpan w:val="3"/>
            <w:vAlign w:val="center"/>
          </w:tcPr>
          <w:p w14:paraId="2CCD4160">
            <w:pPr>
              <w:jc w:val="center"/>
              <w:rPr>
                <w:rFonts w:cs="宋体" w:asciiTheme="minorEastAsia" w:hAnsiTheme="minorEastAsia" w:eastAsiaTheme="minorEastAsia"/>
                <w:b/>
                <w:sz w:val="24"/>
                <w:highlight w:val="none"/>
              </w:rPr>
            </w:pPr>
          </w:p>
        </w:tc>
      </w:tr>
      <w:tr w14:paraId="5DBB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708" w:type="dxa"/>
            <w:vAlign w:val="center"/>
          </w:tcPr>
          <w:p w14:paraId="32EF60D5">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主要业务范围</w:t>
            </w:r>
          </w:p>
        </w:tc>
        <w:tc>
          <w:tcPr>
            <w:tcW w:w="6859" w:type="dxa"/>
            <w:gridSpan w:val="3"/>
            <w:vAlign w:val="center"/>
          </w:tcPr>
          <w:p w14:paraId="441911F3">
            <w:pPr>
              <w:jc w:val="center"/>
              <w:rPr>
                <w:rFonts w:cs="宋体" w:asciiTheme="minorEastAsia" w:hAnsiTheme="minorEastAsia" w:eastAsiaTheme="minorEastAsia"/>
                <w:b/>
                <w:sz w:val="24"/>
                <w:highlight w:val="none"/>
              </w:rPr>
            </w:pPr>
          </w:p>
        </w:tc>
      </w:tr>
      <w:tr w14:paraId="6271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7697846D">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法定代表人姓名</w:t>
            </w:r>
          </w:p>
        </w:tc>
        <w:tc>
          <w:tcPr>
            <w:tcW w:w="3036" w:type="dxa"/>
            <w:vAlign w:val="center"/>
          </w:tcPr>
          <w:p w14:paraId="70E72631">
            <w:pPr>
              <w:jc w:val="center"/>
              <w:rPr>
                <w:rFonts w:cs="宋体" w:asciiTheme="minorEastAsia" w:hAnsiTheme="minorEastAsia" w:eastAsiaTheme="minorEastAsia"/>
                <w:b/>
                <w:sz w:val="24"/>
                <w:highlight w:val="none"/>
              </w:rPr>
            </w:pPr>
          </w:p>
        </w:tc>
        <w:tc>
          <w:tcPr>
            <w:tcW w:w="1536" w:type="dxa"/>
            <w:vAlign w:val="center"/>
          </w:tcPr>
          <w:p w14:paraId="361360FE">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职    务</w:t>
            </w:r>
          </w:p>
        </w:tc>
        <w:tc>
          <w:tcPr>
            <w:tcW w:w="2287" w:type="dxa"/>
          </w:tcPr>
          <w:p w14:paraId="0F3A08CD">
            <w:pPr>
              <w:rPr>
                <w:rFonts w:cs="宋体" w:asciiTheme="minorEastAsia" w:hAnsiTheme="minorEastAsia" w:eastAsiaTheme="minorEastAsia"/>
                <w:b/>
                <w:sz w:val="24"/>
                <w:highlight w:val="none"/>
              </w:rPr>
            </w:pPr>
          </w:p>
        </w:tc>
      </w:tr>
      <w:tr w14:paraId="4308F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2708" w:type="dxa"/>
            <w:vAlign w:val="center"/>
          </w:tcPr>
          <w:p w14:paraId="39746EAA">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供应商地址</w:t>
            </w:r>
          </w:p>
        </w:tc>
        <w:tc>
          <w:tcPr>
            <w:tcW w:w="3036" w:type="dxa"/>
            <w:vAlign w:val="center"/>
          </w:tcPr>
          <w:p w14:paraId="61580741">
            <w:pPr>
              <w:jc w:val="center"/>
              <w:rPr>
                <w:rFonts w:cs="宋体" w:asciiTheme="minorEastAsia" w:hAnsiTheme="minorEastAsia" w:eastAsiaTheme="minorEastAsia"/>
                <w:b/>
                <w:sz w:val="24"/>
                <w:highlight w:val="none"/>
              </w:rPr>
            </w:pPr>
          </w:p>
        </w:tc>
        <w:tc>
          <w:tcPr>
            <w:tcW w:w="1536" w:type="dxa"/>
            <w:vAlign w:val="center"/>
          </w:tcPr>
          <w:p w14:paraId="4DDB3164">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邮政编码</w:t>
            </w:r>
          </w:p>
        </w:tc>
        <w:tc>
          <w:tcPr>
            <w:tcW w:w="2287" w:type="dxa"/>
          </w:tcPr>
          <w:p w14:paraId="22494149">
            <w:pPr>
              <w:rPr>
                <w:rFonts w:cs="宋体" w:asciiTheme="minorEastAsia" w:hAnsiTheme="minorEastAsia" w:eastAsiaTheme="minorEastAsia"/>
                <w:b/>
                <w:sz w:val="24"/>
                <w:highlight w:val="none"/>
              </w:rPr>
            </w:pPr>
          </w:p>
        </w:tc>
      </w:tr>
      <w:tr w14:paraId="49EB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2708" w:type="dxa"/>
            <w:vAlign w:val="center"/>
          </w:tcPr>
          <w:p w14:paraId="54770832">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电       话</w:t>
            </w:r>
          </w:p>
        </w:tc>
        <w:tc>
          <w:tcPr>
            <w:tcW w:w="3036" w:type="dxa"/>
            <w:vAlign w:val="center"/>
          </w:tcPr>
          <w:p w14:paraId="46A254C2">
            <w:pPr>
              <w:jc w:val="center"/>
              <w:rPr>
                <w:rFonts w:cs="宋体" w:asciiTheme="minorEastAsia" w:hAnsiTheme="minorEastAsia" w:eastAsiaTheme="minorEastAsia"/>
                <w:b/>
                <w:sz w:val="24"/>
                <w:highlight w:val="none"/>
              </w:rPr>
            </w:pPr>
          </w:p>
        </w:tc>
        <w:tc>
          <w:tcPr>
            <w:tcW w:w="1536" w:type="dxa"/>
            <w:vAlign w:val="center"/>
          </w:tcPr>
          <w:p w14:paraId="2F2B4AA7">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传   真</w:t>
            </w:r>
          </w:p>
        </w:tc>
        <w:tc>
          <w:tcPr>
            <w:tcW w:w="2287" w:type="dxa"/>
          </w:tcPr>
          <w:p w14:paraId="4E386F33">
            <w:pPr>
              <w:rPr>
                <w:rFonts w:cs="宋体" w:asciiTheme="minorEastAsia" w:hAnsiTheme="minorEastAsia" w:eastAsiaTheme="minorEastAsia"/>
                <w:b/>
                <w:sz w:val="24"/>
                <w:highlight w:val="none"/>
              </w:rPr>
            </w:pPr>
          </w:p>
        </w:tc>
      </w:tr>
      <w:tr w14:paraId="3DCC2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2708" w:type="dxa"/>
            <w:vAlign w:val="center"/>
          </w:tcPr>
          <w:p w14:paraId="465A00B6">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成立日期</w:t>
            </w:r>
          </w:p>
        </w:tc>
        <w:tc>
          <w:tcPr>
            <w:tcW w:w="3036" w:type="dxa"/>
            <w:vAlign w:val="center"/>
          </w:tcPr>
          <w:p w14:paraId="56FA71BE">
            <w:pPr>
              <w:jc w:val="center"/>
              <w:rPr>
                <w:rFonts w:cs="宋体" w:asciiTheme="minorEastAsia" w:hAnsiTheme="minorEastAsia" w:eastAsiaTheme="minorEastAsia"/>
                <w:b/>
                <w:sz w:val="24"/>
                <w:highlight w:val="none"/>
              </w:rPr>
            </w:pPr>
          </w:p>
        </w:tc>
        <w:tc>
          <w:tcPr>
            <w:tcW w:w="1536" w:type="dxa"/>
            <w:vAlign w:val="center"/>
          </w:tcPr>
          <w:p w14:paraId="7D175BA2">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现 有 职</w:t>
            </w:r>
          </w:p>
          <w:p w14:paraId="70E86F39">
            <w:pPr>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工 人 数</w:t>
            </w:r>
          </w:p>
        </w:tc>
        <w:tc>
          <w:tcPr>
            <w:tcW w:w="2287" w:type="dxa"/>
          </w:tcPr>
          <w:p w14:paraId="60426762">
            <w:pPr>
              <w:rPr>
                <w:rFonts w:cs="宋体" w:asciiTheme="minorEastAsia" w:hAnsiTheme="minorEastAsia" w:eastAsiaTheme="minorEastAsia"/>
                <w:b/>
                <w:sz w:val="24"/>
                <w:highlight w:val="none"/>
              </w:rPr>
            </w:pPr>
          </w:p>
        </w:tc>
      </w:tr>
      <w:tr w14:paraId="1DA4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2708" w:type="dxa"/>
            <w:vAlign w:val="center"/>
          </w:tcPr>
          <w:p w14:paraId="394FAA60">
            <w:pPr>
              <w:pStyle w:val="13"/>
              <w:jc w:val="center"/>
              <w:rPr>
                <w:rFonts w:cs="宋体" w:asciiTheme="minorEastAsia" w:hAnsiTheme="minorEastAsia" w:eastAsiaTheme="minorEastAsia"/>
                <w:sz w:val="24"/>
                <w:szCs w:val="24"/>
                <w:highlight w:val="none"/>
              </w:rPr>
            </w:pPr>
            <w:r>
              <w:rPr>
                <w:rFonts w:hint="eastAsia" w:cs="宋体" w:asciiTheme="minorEastAsia" w:hAnsiTheme="minorEastAsia" w:eastAsiaTheme="minorEastAsia"/>
                <w:sz w:val="24"/>
                <w:szCs w:val="24"/>
                <w:highlight w:val="none"/>
              </w:rPr>
              <w:t>资质等级证书（如有）</w:t>
            </w:r>
          </w:p>
        </w:tc>
        <w:tc>
          <w:tcPr>
            <w:tcW w:w="6859" w:type="dxa"/>
            <w:gridSpan w:val="3"/>
          </w:tcPr>
          <w:p w14:paraId="7D4235F5">
            <w:pPr>
              <w:rPr>
                <w:rFonts w:cs="宋体" w:asciiTheme="minorEastAsia" w:hAnsiTheme="minorEastAsia" w:eastAsiaTheme="minorEastAsia"/>
                <w:b/>
                <w:sz w:val="24"/>
                <w:highlight w:val="none"/>
              </w:rPr>
            </w:pPr>
          </w:p>
          <w:p w14:paraId="57B7B74E">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等 级：                   证书号：</w:t>
            </w:r>
          </w:p>
        </w:tc>
      </w:tr>
      <w:tr w14:paraId="59139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9567" w:type="dxa"/>
            <w:gridSpan w:val="4"/>
            <w:tcBorders>
              <w:bottom w:val="single" w:color="auto" w:sz="4" w:space="0"/>
            </w:tcBorders>
          </w:tcPr>
          <w:p w14:paraId="358E7B11">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单位简介：</w:t>
            </w:r>
          </w:p>
          <w:p w14:paraId="73510132">
            <w:pP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技术人员总数：      </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人</w:t>
            </w:r>
          </w:p>
        </w:tc>
      </w:tr>
    </w:tbl>
    <w:p w14:paraId="7CC61C26">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供应商（盖单位公章）：</w:t>
      </w:r>
      <w:r>
        <w:rPr>
          <w:rFonts w:hint="eastAsia" w:cs="宋体" w:asciiTheme="minorEastAsia" w:hAnsiTheme="minorEastAsia" w:eastAsiaTheme="minorEastAsia"/>
          <w:sz w:val="24"/>
          <w:highlight w:val="none"/>
          <w:u w:val="single"/>
        </w:rPr>
        <w:t xml:space="preserve">                    </w:t>
      </w:r>
    </w:p>
    <w:p w14:paraId="6BEA76B8">
      <w:pPr>
        <w:kinsoku w:val="0"/>
        <w:topLinePunct/>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法定代表人或委托代理人（签字或盖章）：</w:t>
      </w:r>
    </w:p>
    <w:p w14:paraId="3FD6382F">
      <w:pPr>
        <w:snapToGrid w:val="0"/>
        <w:spacing w:line="360" w:lineRule="auto"/>
        <w:ind w:firstLine="1200" w:firstLineChars="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年    月    日</w:t>
      </w:r>
    </w:p>
    <w:p w14:paraId="6B824FF8">
      <w:pPr>
        <w:widowControl/>
        <w:jc w:val="left"/>
        <w:rPr>
          <w:rFonts w:ascii="宋体" w:hAnsi="宋体" w:cs="宋体"/>
          <w:sz w:val="24"/>
          <w:highlight w:val="none"/>
        </w:rPr>
      </w:pPr>
      <w:r>
        <w:rPr>
          <w:rFonts w:ascii="宋体" w:hAnsi="宋体" w:cs="宋体"/>
          <w:sz w:val="24"/>
          <w:highlight w:val="none"/>
        </w:rPr>
        <w:br w:type="page"/>
      </w:r>
    </w:p>
    <w:p w14:paraId="4E1AED13">
      <w:pPr>
        <w:tabs>
          <w:tab w:val="left" w:pos="3375"/>
        </w:tabs>
        <w:snapToGrid w:val="0"/>
        <w:spacing w:line="360" w:lineRule="auto"/>
        <w:ind w:firstLine="480" w:firstLineChars="200"/>
        <w:outlineLvl w:val="2"/>
        <w:rPr>
          <w:rFonts w:ascii="宋体" w:hAnsi="宋体" w:cs="宋体"/>
          <w:sz w:val="24"/>
          <w:highlight w:val="none"/>
        </w:rPr>
      </w:pPr>
      <w:r>
        <w:rPr>
          <w:rFonts w:hint="eastAsia" w:ascii="宋体" w:hAnsi="宋体" w:cs="宋体"/>
          <w:sz w:val="24"/>
          <w:highlight w:val="none"/>
        </w:rPr>
        <w:t>注：本表后附竞争性磋商公告资格要求提供相应的佐证材料（以下材料均须提供扫描件（或复印件）并加盖公章）；</w:t>
      </w:r>
    </w:p>
    <w:p w14:paraId="13643C7F">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（1）企业法人营业执照或事业单位法人登记证明或社会组织或其他组织</w:t>
      </w:r>
      <w:r>
        <w:rPr>
          <w:rFonts w:cs="宋体" w:asciiTheme="minorEastAsia" w:hAnsiTheme="minorEastAsia" w:eastAsiaTheme="minorEastAsia"/>
          <w:sz w:val="24"/>
          <w:highlight w:val="none"/>
        </w:rPr>
        <w:t>或自然人证明材料</w:t>
      </w:r>
      <w:r>
        <w:rPr>
          <w:rFonts w:hint="eastAsia" w:cs="宋体" w:asciiTheme="minorEastAsia" w:hAnsiTheme="minorEastAsia" w:eastAsiaTheme="minorEastAsia"/>
          <w:sz w:val="24"/>
          <w:highlight w:val="none"/>
        </w:rPr>
        <w:t>；</w:t>
      </w:r>
    </w:p>
    <w:p w14:paraId="4BBDE061">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（2）项目负责人技术职称证书；</w:t>
      </w:r>
    </w:p>
    <w:p w14:paraId="07EC2D61">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p>
    <w:p w14:paraId="6B75B990">
      <w:pPr>
        <w:tabs>
          <w:tab w:val="left" w:pos="3375"/>
        </w:tabs>
        <w:autoSpaceDE w:val="0"/>
        <w:autoSpaceDN w:val="0"/>
        <w:adjustRightInd w:val="0"/>
        <w:snapToGrid w:val="0"/>
        <w:spacing w:line="440" w:lineRule="exact"/>
        <w:ind w:firstLine="480" w:firstLineChars="200"/>
        <w:rPr>
          <w:rFonts w:cs="宋体" w:asciiTheme="minorEastAsia" w:hAnsiTheme="minorEastAsia" w:eastAsiaTheme="minorEastAsia"/>
          <w:sz w:val="24"/>
          <w:highlight w:val="none"/>
        </w:rPr>
      </w:pPr>
    </w:p>
    <w:p w14:paraId="008CE4C2">
      <w:pPr>
        <w:snapToGrid w:val="0"/>
        <w:spacing w:line="360" w:lineRule="auto"/>
        <w:contextualSpacing/>
        <w:rPr>
          <w:rFonts w:asciiTheme="minorEastAsia" w:hAnsiTheme="minorEastAsia" w:eastAsiaTheme="minorEastAsia"/>
          <w:highlight w:val="none"/>
        </w:rPr>
      </w:pPr>
      <w:r>
        <w:rPr>
          <w:rFonts w:hint="eastAsia" w:cs="宋体" w:asciiTheme="minorEastAsia" w:hAnsiTheme="minorEastAsia" w:eastAsiaTheme="minorEastAsia"/>
          <w:sz w:val="24"/>
          <w:highlight w:val="none"/>
        </w:rPr>
        <w:br w:type="page"/>
      </w:r>
    </w:p>
    <w:p w14:paraId="6346808E">
      <w:pPr>
        <w:pStyle w:val="18"/>
        <w:rPr>
          <w:highlight w:val="none"/>
        </w:rPr>
      </w:pPr>
    </w:p>
    <w:p w14:paraId="761D7265">
      <w:pPr>
        <w:tabs>
          <w:tab w:val="left" w:pos="3375"/>
        </w:tabs>
        <w:spacing w:line="360" w:lineRule="auto"/>
        <w:rPr>
          <w:rFonts w:ascii="宋体" w:hAnsi="宋体" w:cs="宋体"/>
          <w:sz w:val="24"/>
          <w:highlight w:val="none"/>
        </w:rPr>
      </w:pPr>
      <w:r>
        <w:rPr>
          <w:rFonts w:hint="eastAsia" w:ascii="宋体" w:hAnsi="宋体" w:cs="宋体"/>
          <w:sz w:val="28"/>
          <w:szCs w:val="28"/>
          <w:highlight w:val="none"/>
        </w:rPr>
        <w:t>附件5：</w:t>
      </w:r>
      <w:r>
        <w:rPr>
          <w:rFonts w:hint="eastAsia" w:ascii="宋体" w:hAnsi="宋体" w:cs="宋体"/>
          <w:sz w:val="24"/>
          <w:highlight w:val="none"/>
        </w:rPr>
        <w:t xml:space="preserve">                  其它需要提交的资格审查材料</w:t>
      </w:r>
    </w:p>
    <w:p w14:paraId="13B40A56">
      <w:pPr>
        <w:spacing w:after="120" w:line="360" w:lineRule="auto"/>
        <w:ind w:left="420" w:leftChars="200" w:firstLine="400" w:firstLineChars="200"/>
        <w:rPr>
          <w:rFonts w:ascii="宋体" w:hAnsi="宋体"/>
          <w:kern w:val="0"/>
          <w:sz w:val="20"/>
          <w:highlight w:val="none"/>
        </w:rPr>
      </w:pPr>
    </w:p>
    <w:p w14:paraId="1E9B7A5F">
      <w:pPr>
        <w:tabs>
          <w:tab w:val="left" w:pos="3375"/>
        </w:tabs>
        <w:autoSpaceDE w:val="0"/>
        <w:autoSpaceDN w:val="0"/>
        <w:adjustRightInd w:val="0"/>
        <w:snapToGrid w:val="0"/>
        <w:spacing w:line="360" w:lineRule="auto"/>
        <w:contextualSpacing/>
        <w:rPr>
          <w:rFonts w:ascii="宋体" w:hAnsi="宋体" w:cs="宋体"/>
          <w:sz w:val="24"/>
          <w:highlight w:val="none"/>
        </w:rPr>
      </w:pPr>
      <w:r>
        <w:rPr>
          <w:rFonts w:hint="eastAsia" w:ascii="宋体" w:hAnsi="宋体" w:cs="宋体"/>
          <w:sz w:val="24"/>
          <w:highlight w:val="none"/>
        </w:rPr>
        <w:t>①其他</w:t>
      </w:r>
    </w:p>
    <w:p w14:paraId="7464310A">
      <w:pPr>
        <w:pStyle w:val="18"/>
        <w:ind w:firstLine="480"/>
        <w:rPr>
          <w:rFonts w:asciiTheme="minorEastAsia" w:hAnsiTheme="minorEastAsia" w:eastAsiaTheme="minorEastAsia"/>
          <w:highlight w:val="none"/>
        </w:rPr>
      </w:pPr>
      <w:r>
        <w:rPr>
          <w:rFonts w:hint="eastAsia" w:ascii="宋体" w:hAnsi="宋体" w:cs="宋体"/>
          <w:sz w:val="24"/>
          <w:highlight w:val="none"/>
        </w:rPr>
        <w:t>...</w:t>
      </w:r>
      <w:r>
        <w:rPr>
          <w:rFonts w:asciiTheme="minorEastAsia" w:hAnsiTheme="minorEastAsia" w:eastAsiaTheme="minorEastAsia"/>
          <w:highlight w:val="none"/>
        </w:rPr>
        <w:br w:type="page"/>
      </w:r>
    </w:p>
    <w:p w14:paraId="6520A64E">
      <w:pPr>
        <w:tabs>
          <w:tab w:val="left" w:pos="3375"/>
        </w:tabs>
        <w:autoSpaceDE w:val="0"/>
        <w:autoSpaceDN w:val="0"/>
        <w:adjustRightInd w:val="0"/>
        <w:snapToGrid w:val="0"/>
        <w:spacing w:line="440" w:lineRule="exact"/>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第二部分格式：</w:t>
      </w:r>
    </w:p>
    <w:p w14:paraId="4F3CB8D7">
      <w:pPr>
        <w:snapToGrid w:val="0"/>
        <w:spacing w:line="300" w:lineRule="auto"/>
        <w:contextualSpacing/>
        <w:rPr>
          <w:rFonts w:cs="宋体" w:asciiTheme="minorEastAsia" w:hAnsiTheme="minorEastAsia" w:eastAsiaTheme="minorEastAsia"/>
          <w:sz w:val="32"/>
          <w:szCs w:val="32"/>
          <w:highlight w:val="none"/>
        </w:rPr>
      </w:pPr>
    </w:p>
    <w:p w14:paraId="4D98357C">
      <w:pPr>
        <w:autoSpaceDE w:val="0"/>
        <w:autoSpaceDN w:val="0"/>
        <w:adjustRightInd w:val="0"/>
        <w:jc w:val="center"/>
        <w:rPr>
          <w:rFonts w:cs="宋体" w:asciiTheme="minorEastAsia" w:hAnsiTheme="minorEastAsia" w:eastAsiaTheme="minorEastAsia"/>
          <w:b/>
          <w:sz w:val="32"/>
          <w:szCs w:val="32"/>
          <w:highlight w:val="none"/>
        </w:rPr>
      </w:pPr>
    </w:p>
    <w:p w14:paraId="1419F4EC">
      <w:pPr>
        <w:autoSpaceDE w:val="0"/>
        <w:autoSpaceDN w:val="0"/>
        <w:adjustRightInd w:val="0"/>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南通市“十五五”公路高质量发展研究报告项目</w:t>
      </w:r>
    </w:p>
    <w:p w14:paraId="44CF8856">
      <w:pPr>
        <w:pStyle w:val="18"/>
        <w:rPr>
          <w:rFonts w:asciiTheme="minorEastAsia" w:hAnsiTheme="minorEastAsia" w:eastAsiaTheme="minorEastAsia"/>
          <w:highlight w:val="none"/>
        </w:rPr>
      </w:pPr>
    </w:p>
    <w:p w14:paraId="656DE793">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项目编号：2024GLFJ</w:t>
      </w:r>
    </w:p>
    <w:p w14:paraId="648E99D7">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档案编号：</w:t>
      </w:r>
      <w:r>
        <w:rPr>
          <w:rFonts w:hint="eastAsia" w:cs="宋体" w:asciiTheme="minorEastAsia" w:hAnsiTheme="minorEastAsia" w:eastAsiaTheme="minorEastAsia"/>
          <w:b/>
          <w:snapToGrid w:val="0"/>
          <w:w w:val="80"/>
          <w:kern w:val="0"/>
          <w:sz w:val="32"/>
          <w:szCs w:val="32"/>
          <w:highlight w:val="none"/>
          <w:lang w:val="en-US" w:eastAsia="zh-CN"/>
        </w:rPr>
        <w:t>20241125</w:t>
      </w:r>
    </w:p>
    <w:p w14:paraId="2116D882">
      <w:pPr>
        <w:tabs>
          <w:tab w:val="left" w:pos="6300"/>
        </w:tabs>
        <w:snapToGrid w:val="0"/>
        <w:spacing w:line="300" w:lineRule="auto"/>
        <w:jc w:val="center"/>
        <w:rPr>
          <w:rFonts w:cs="宋体" w:asciiTheme="minorEastAsia" w:hAnsiTheme="minorEastAsia" w:eastAsiaTheme="minorEastAsia"/>
          <w:b/>
          <w:w w:val="80"/>
          <w:sz w:val="32"/>
          <w:szCs w:val="32"/>
          <w:highlight w:val="none"/>
        </w:rPr>
      </w:pPr>
    </w:p>
    <w:p w14:paraId="01AE70F8">
      <w:pPr>
        <w:spacing w:after="60" w:line="360" w:lineRule="auto"/>
        <w:ind w:firstLine="3373" w:firstLineChars="1050"/>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响应文件</w:t>
      </w:r>
    </w:p>
    <w:p w14:paraId="546B6A64">
      <w:pPr>
        <w:spacing w:after="60"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（商务技术响应文件）</w:t>
      </w:r>
    </w:p>
    <w:p w14:paraId="6ACC1347">
      <w:pPr>
        <w:spacing w:after="60"/>
        <w:jc w:val="center"/>
        <w:rPr>
          <w:rFonts w:cs="宋体" w:asciiTheme="minorEastAsia" w:hAnsiTheme="minorEastAsia" w:eastAsiaTheme="minorEastAsia"/>
          <w:b/>
          <w:bCs/>
          <w:sz w:val="72"/>
          <w:szCs w:val="72"/>
          <w:highlight w:val="none"/>
        </w:rPr>
      </w:pPr>
    </w:p>
    <w:p w14:paraId="64F6A9F5">
      <w:pPr>
        <w:spacing w:after="60"/>
        <w:jc w:val="center"/>
        <w:rPr>
          <w:rFonts w:cs="宋体" w:asciiTheme="minorEastAsia" w:hAnsiTheme="minorEastAsia" w:eastAsiaTheme="minorEastAsia"/>
          <w:b/>
          <w:bCs/>
          <w:sz w:val="72"/>
          <w:szCs w:val="72"/>
          <w:highlight w:val="none"/>
        </w:rPr>
      </w:pPr>
    </w:p>
    <w:p w14:paraId="63CBC826">
      <w:pPr>
        <w:spacing w:after="60"/>
        <w:jc w:val="center"/>
        <w:rPr>
          <w:rFonts w:cs="宋体" w:asciiTheme="minorEastAsia" w:hAnsiTheme="minorEastAsia" w:eastAsiaTheme="minorEastAsia"/>
          <w:b/>
          <w:bCs/>
          <w:sz w:val="72"/>
          <w:szCs w:val="72"/>
          <w:highlight w:val="none"/>
        </w:rPr>
      </w:pPr>
    </w:p>
    <w:p w14:paraId="057F488C">
      <w:pPr>
        <w:spacing w:after="60"/>
        <w:jc w:val="center"/>
        <w:rPr>
          <w:rFonts w:cs="宋体" w:asciiTheme="minorEastAsia" w:hAnsiTheme="minorEastAsia" w:eastAsiaTheme="minorEastAsia"/>
          <w:b/>
          <w:bCs/>
          <w:sz w:val="72"/>
          <w:szCs w:val="72"/>
          <w:highlight w:val="none"/>
        </w:rPr>
      </w:pPr>
    </w:p>
    <w:p w14:paraId="69A91BEB">
      <w:pPr>
        <w:pStyle w:val="18"/>
        <w:ind w:left="0" w:leftChars="0" w:firstLine="0" w:firstLineChars="0"/>
        <w:rPr>
          <w:rFonts w:cs="宋体" w:asciiTheme="minorEastAsia" w:hAnsiTheme="minorEastAsia" w:eastAsiaTheme="minorEastAsia"/>
          <w:b/>
          <w:bCs/>
          <w:sz w:val="72"/>
          <w:szCs w:val="72"/>
          <w:highlight w:val="none"/>
        </w:rPr>
      </w:pPr>
    </w:p>
    <w:p w14:paraId="34E6CBC6">
      <w:pPr>
        <w:spacing w:after="60"/>
        <w:jc w:val="center"/>
        <w:rPr>
          <w:rFonts w:cs="宋体" w:asciiTheme="minorEastAsia" w:hAnsiTheme="minorEastAsia" w:eastAsiaTheme="minorEastAsia"/>
          <w:b/>
          <w:bCs/>
          <w:sz w:val="72"/>
          <w:szCs w:val="72"/>
          <w:highlight w:val="none"/>
        </w:rPr>
      </w:pPr>
    </w:p>
    <w:p w14:paraId="00007903">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供应商（盖公章）：</w:t>
      </w:r>
      <w:r>
        <w:rPr>
          <w:rFonts w:hint="eastAsia" w:cs="宋体" w:asciiTheme="minorEastAsia" w:hAnsiTheme="minorEastAsia" w:eastAsiaTheme="minorEastAsia"/>
          <w:b/>
          <w:sz w:val="24"/>
          <w:highlight w:val="none"/>
          <w:u w:val="single"/>
        </w:rPr>
        <w:t xml:space="preserve">                            </w:t>
      </w:r>
    </w:p>
    <w:p w14:paraId="1AD9243B">
      <w:pPr>
        <w:spacing w:line="480" w:lineRule="auto"/>
        <w:ind w:firstLine="482" w:firstLineChars="200"/>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法定代表人（或其委托代理人）（签字或盖章）：</w:t>
      </w:r>
      <w:r>
        <w:rPr>
          <w:rFonts w:hint="eastAsia" w:cs="宋体" w:asciiTheme="minorEastAsia" w:hAnsiTheme="minorEastAsia" w:eastAsiaTheme="minorEastAsia"/>
          <w:b/>
          <w:sz w:val="24"/>
          <w:highlight w:val="none"/>
          <w:u w:val="single"/>
        </w:rPr>
        <w:t xml:space="preserve">                  </w:t>
      </w:r>
    </w:p>
    <w:p w14:paraId="7AE625F2">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日    期：</w:t>
      </w:r>
      <w:r>
        <w:rPr>
          <w:rFonts w:hint="eastAsia" w:cs="宋体" w:asciiTheme="minorEastAsia" w:hAnsiTheme="minorEastAsia" w:eastAsiaTheme="minorEastAsia"/>
          <w:b/>
          <w:sz w:val="24"/>
          <w:highlight w:val="none"/>
          <w:u w:val="single"/>
        </w:rPr>
        <w:t xml:space="preserve">                                                  </w:t>
      </w:r>
    </w:p>
    <w:p w14:paraId="7D161E62">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为方便评委评审，请供应商按评审办法中所涉及的事项顺序进行编制，可以补充相关材料。（以下均须提供扫描件（或复印件）并加盖公章。）</w:t>
      </w:r>
    </w:p>
    <w:p w14:paraId="2D1C11CA">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hint="eastAsia" w:ascii="宋体" w:eastAsia="宋体"/>
          <w:sz w:val="24"/>
          <w:szCs w:val="24"/>
          <w:highlight w:val="none"/>
        </w:rPr>
        <w:t>竞争性磋商响应函</w:t>
      </w:r>
      <w:r>
        <w:rPr>
          <w:rFonts w:hint="eastAsia" w:asciiTheme="minorEastAsia" w:hAnsiTheme="minorEastAsia" w:eastAsiaTheme="minorEastAsia"/>
          <w:sz w:val="24"/>
          <w:szCs w:val="24"/>
          <w:highlight w:val="none"/>
        </w:rPr>
        <w:t>；</w:t>
      </w:r>
    </w:p>
    <w:p w14:paraId="54C29960">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2.评标办法中所涉及的事项需提供的所有资料；</w:t>
      </w:r>
    </w:p>
    <w:p w14:paraId="19CC7827">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3.评标办法中未涉及的事项，供应商认为需要提交的其他资料；</w:t>
      </w:r>
    </w:p>
    <w:p w14:paraId="54F7E011">
      <w:pPr>
        <w:pStyle w:val="30"/>
        <w:spacing w:line="440" w:lineRule="exact"/>
        <w:ind w:firstLine="494"/>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4.竞争性磋商文件中要求提供的其他材料。</w:t>
      </w:r>
    </w:p>
    <w:p w14:paraId="5D685450">
      <w:pPr>
        <w:snapToGrid w:val="0"/>
        <w:spacing w:line="300" w:lineRule="auto"/>
        <w:contextualSpacing/>
        <w:rPr>
          <w:rFonts w:cs="宋体" w:asciiTheme="minorEastAsia" w:hAnsiTheme="minorEastAsia" w:eastAsiaTheme="minorEastAsia"/>
          <w:sz w:val="32"/>
          <w:szCs w:val="32"/>
          <w:highlight w:val="none"/>
        </w:rPr>
      </w:pPr>
    </w:p>
    <w:p w14:paraId="3D05FD3C">
      <w:pPr>
        <w:pStyle w:val="18"/>
        <w:rPr>
          <w:rFonts w:asciiTheme="minorEastAsia" w:hAnsiTheme="minorEastAsia" w:eastAsiaTheme="minorEastAsia"/>
          <w:highlight w:val="none"/>
        </w:rPr>
      </w:pPr>
    </w:p>
    <w:p w14:paraId="00073C6C">
      <w:pPr>
        <w:pStyle w:val="18"/>
        <w:rPr>
          <w:rFonts w:asciiTheme="minorEastAsia" w:hAnsiTheme="minorEastAsia" w:eastAsiaTheme="minorEastAsia"/>
          <w:highlight w:val="none"/>
        </w:rPr>
      </w:pPr>
    </w:p>
    <w:p w14:paraId="3CC512E1">
      <w:pPr>
        <w:pStyle w:val="18"/>
        <w:rPr>
          <w:rFonts w:asciiTheme="minorEastAsia" w:hAnsiTheme="minorEastAsia" w:eastAsiaTheme="minorEastAsia"/>
          <w:highlight w:val="none"/>
        </w:rPr>
      </w:pPr>
    </w:p>
    <w:p w14:paraId="6A1D3D32">
      <w:pPr>
        <w:pStyle w:val="18"/>
        <w:rPr>
          <w:rFonts w:asciiTheme="minorEastAsia" w:hAnsiTheme="minorEastAsia" w:eastAsiaTheme="minorEastAsia"/>
          <w:highlight w:val="none"/>
        </w:rPr>
      </w:pPr>
    </w:p>
    <w:p w14:paraId="1D92789A">
      <w:pPr>
        <w:pStyle w:val="18"/>
        <w:rPr>
          <w:rFonts w:asciiTheme="minorEastAsia" w:hAnsiTheme="minorEastAsia" w:eastAsiaTheme="minorEastAsia"/>
          <w:highlight w:val="none"/>
        </w:rPr>
      </w:pPr>
    </w:p>
    <w:p w14:paraId="2CF6A8C8">
      <w:pPr>
        <w:pStyle w:val="18"/>
        <w:rPr>
          <w:rFonts w:asciiTheme="minorEastAsia" w:hAnsiTheme="minorEastAsia" w:eastAsiaTheme="minorEastAsia"/>
          <w:highlight w:val="none"/>
        </w:rPr>
      </w:pPr>
    </w:p>
    <w:p w14:paraId="0E5A0982">
      <w:pPr>
        <w:pStyle w:val="18"/>
        <w:rPr>
          <w:rFonts w:asciiTheme="minorEastAsia" w:hAnsiTheme="minorEastAsia" w:eastAsiaTheme="minorEastAsia"/>
          <w:highlight w:val="none"/>
        </w:rPr>
      </w:pPr>
    </w:p>
    <w:p w14:paraId="20049697">
      <w:pPr>
        <w:pStyle w:val="18"/>
        <w:rPr>
          <w:rFonts w:asciiTheme="minorEastAsia" w:hAnsiTheme="minorEastAsia" w:eastAsiaTheme="minorEastAsia"/>
          <w:highlight w:val="none"/>
        </w:rPr>
      </w:pPr>
    </w:p>
    <w:p w14:paraId="7DAB3A14">
      <w:pPr>
        <w:pStyle w:val="18"/>
        <w:rPr>
          <w:rFonts w:asciiTheme="minorEastAsia" w:hAnsiTheme="minorEastAsia" w:eastAsiaTheme="minorEastAsia"/>
          <w:highlight w:val="none"/>
        </w:rPr>
      </w:pPr>
    </w:p>
    <w:p w14:paraId="6B77C190">
      <w:pPr>
        <w:pStyle w:val="18"/>
        <w:rPr>
          <w:rFonts w:asciiTheme="minorEastAsia" w:hAnsiTheme="minorEastAsia" w:eastAsiaTheme="minorEastAsia"/>
          <w:highlight w:val="none"/>
        </w:rPr>
      </w:pPr>
    </w:p>
    <w:p w14:paraId="645963D4">
      <w:pPr>
        <w:pStyle w:val="18"/>
        <w:rPr>
          <w:rFonts w:asciiTheme="minorEastAsia" w:hAnsiTheme="minorEastAsia" w:eastAsiaTheme="minorEastAsia"/>
          <w:highlight w:val="none"/>
        </w:rPr>
      </w:pPr>
    </w:p>
    <w:p w14:paraId="6EC423E8">
      <w:pPr>
        <w:pStyle w:val="18"/>
        <w:rPr>
          <w:rFonts w:asciiTheme="minorEastAsia" w:hAnsiTheme="minorEastAsia" w:eastAsiaTheme="minorEastAsia"/>
          <w:highlight w:val="none"/>
        </w:rPr>
      </w:pPr>
    </w:p>
    <w:p w14:paraId="604B4949">
      <w:pPr>
        <w:pStyle w:val="18"/>
        <w:rPr>
          <w:rFonts w:asciiTheme="minorEastAsia" w:hAnsiTheme="minorEastAsia" w:eastAsiaTheme="minorEastAsia"/>
          <w:highlight w:val="none"/>
        </w:rPr>
      </w:pPr>
    </w:p>
    <w:p w14:paraId="3F81F3A3">
      <w:pPr>
        <w:pStyle w:val="18"/>
        <w:rPr>
          <w:rFonts w:asciiTheme="minorEastAsia" w:hAnsiTheme="minorEastAsia" w:eastAsiaTheme="minorEastAsia"/>
          <w:highlight w:val="none"/>
        </w:rPr>
      </w:pPr>
    </w:p>
    <w:p w14:paraId="5285B53A">
      <w:pPr>
        <w:pStyle w:val="18"/>
        <w:rPr>
          <w:rFonts w:asciiTheme="minorEastAsia" w:hAnsiTheme="minorEastAsia" w:eastAsiaTheme="minorEastAsia"/>
          <w:highlight w:val="none"/>
        </w:rPr>
      </w:pPr>
    </w:p>
    <w:p w14:paraId="4C81F507">
      <w:pPr>
        <w:pStyle w:val="18"/>
        <w:rPr>
          <w:rFonts w:asciiTheme="minorEastAsia" w:hAnsiTheme="minorEastAsia" w:eastAsiaTheme="minorEastAsia"/>
          <w:highlight w:val="none"/>
        </w:rPr>
      </w:pPr>
    </w:p>
    <w:p w14:paraId="405A0839">
      <w:pPr>
        <w:pStyle w:val="18"/>
        <w:rPr>
          <w:rFonts w:asciiTheme="minorEastAsia" w:hAnsiTheme="minorEastAsia" w:eastAsiaTheme="minorEastAsia"/>
          <w:highlight w:val="none"/>
        </w:rPr>
      </w:pPr>
    </w:p>
    <w:p w14:paraId="5DBC346B">
      <w:pPr>
        <w:pStyle w:val="18"/>
        <w:rPr>
          <w:rFonts w:asciiTheme="minorEastAsia" w:hAnsiTheme="minorEastAsia" w:eastAsiaTheme="minorEastAsia"/>
          <w:highlight w:val="none"/>
        </w:rPr>
      </w:pPr>
    </w:p>
    <w:p w14:paraId="4B90CAB9">
      <w:pPr>
        <w:pStyle w:val="18"/>
        <w:rPr>
          <w:rFonts w:asciiTheme="minorEastAsia" w:hAnsiTheme="minorEastAsia" w:eastAsiaTheme="minorEastAsia"/>
          <w:highlight w:val="none"/>
        </w:rPr>
      </w:pPr>
    </w:p>
    <w:p w14:paraId="4F35657D">
      <w:pPr>
        <w:pStyle w:val="18"/>
        <w:rPr>
          <w:rFonts w:asciiTheme="minorEastAsia" w:hAnsiTheme="minorEastAsia" w:eastAsiaTheme="minorEastAsia"/>
          <w:highlight w:val="none"/>
        </w:rPr>
      </w:pPr>
    </w:p>
    <w:p w14:paraId="765DA6B0">
      <w:pPr>
        <w:pStyle w:val="18"/>
        <w:rPr>
          <w:rFonts w:asciiTheme="minorEastAsia" w:hAnsiTheme="minorEastAsia" w:eastAsiaTheme="minorEastAsia"/>
          <w:highlight w:val="none"/>
        </w:rPr>
      </w:pPr>
    </w:p>
    <w:p w14:paraId="65B2245C">
      <w:pPr>
        <w:pStyle w:val="18"/>
        <w:rPr>
          <w:rFonts w:asciiTheme="minorEastAsia" w:hAnsiTheme="minorEastAsia" w:eastAsiaTheme="minorEastAsia"/>
          <w:highlight w:val="none"/>
        </w:rPr>
      </w:pPr>
    </w:p>
    <w:p w14:paraId="78925944">
      <w:pPr>
        <w:pStyle w:val="18"/>
        <w:rPr>
          <w:rFonts w:asciiTheme="minorEastAsia" w:hAnsiTheme="minorEastAsia" w:eastAsiaTheme="minorEastAsia"/>
          <w:highlight w:val="none"/>
        </w:rPr>
      </w:pPr>
    </w:p>
    <w:p w14:paraId="5E8468D1">
      <w:pPr>
        <w:pStyle w:val="18"/>
        <w:rPr>
          <w:rFonts w:asciiTheme="minorEastAsia" w:hAnsiTheme="minorEastAsia" w:eastAsiaTheme="minorEastAsia"/>
          <w:highlight w:val="none"/>
        </w:rPr>
      </w:pPr>
    </w:p>
    <w:p w14:paraId="6E652D70">
      <w:pPr>
        <w:pStyle w:val="18"/>
        <w:rPr>
          <w:rFonts w:asciiTheme="minorEastAsia" w:hAnsiTheme="minorEastAsia" w:eastAsiaTheme="minorEastAsia"/>
          <w:highlight w:val="none"/>
        </w:rPr>
      </w:pPr>
    </w:p>
    <w:p w14:paraId="41BB12F4">
      <w:pPr>
        <w:pStyle w:val="18"/>
        <w:rPr>
          <w:rFonts w:asciiTheme="minorEastAsia" w:hAnsiTheme="minorEastAsia" w:eastAsiaTheme="minorEastAsia"/>
          <w:highlight w:val="none"/>
        </w:rPr>
      </w:pPr>
    </w:p>
    <w:p w14:paraId="7FE27358">
      <w:pPr>
        <w:pStyle w:val="18"/>
        <w:rPr>
          <w:rFonts w:asciiTheme="minorEastAsia" w:hAnsiTheme="minorEastAsia" w:eastAsiaTheme="minorEastAsia"/>
          <w:highlight w:val="none"/>
        </w:rPr>
      </w:pPr>
    </w:p>
    <w:p w14:paraId="3B943F1E">
      <w:pPr>
        <w:snapToGrid w:val="0"/>
        <w:spacing w:line="360" w:lineRule="auto"/>
        <w:jc w:val="center"/>
        <w:outlineLvl w:val="3"/>
        <w:rPr>
          <w:rFonts w:ascii="宋体" w:hAnsi="宋体"/>
          <w:bCs/>
          <w:sz w:val="28"/>
          <w:szCs w:val="28"/>
          <w:highlight w:val="none"/>
        </w:rPr>
      </w:pPr>
      <w:r>
        <w:rPr>
          <w:rFonts w:hint="eastAsia" w:ascii="宋体" w:hAnsi="宋体"/>
          <w:bCs/>
          <w:sz w:val="28"/>
          <w:szCs w:val="28"/>
          <w:highlight w:val="none"/>
        </w:rPr>
        <w:t>竞争性磋商</w:t>
      </w:r>
      <w:r>
        <w:rPr>
          <w:rFonts w:ascii="宋体" w:hAnsi="宋体"/>
          <w:bCs/>
          <w:sz w:val="28"/>
          <w:szCs w:val="28"/>
          <w:highlight w:val="none"/>
        </w:rPr>
        <w:t>响应函</w:t>
      </w:r>
    </w:p>
    <w:p w14:paraId="563D2CBA">
      <w:pPr>
        <w:snapToGrid w:val="0"/>
        <w:spacing w:line="360" w:lineRule="auto"/>
        <w:rPr>
          <w:rFonts w:ascii="宋体" w:hAnsi="宋体"/>
          <w:sz w:val="24"/>
          <w:highlight w:val="none"/>
        </w:rPr>
      </w:pPr>
      <w:r>
        <w:rPr>
          <w:rFonts w:hint="eastAsia" w:ascii="宋体" w:hAnsi="宋体"/>
          <w:sz w:val="24"/>
          <w:highlight w:val="none"/>
          <w:u w:val="single"/>
        </w:rPr>
        <w:t xml:space="preserve">       （采购人）       </w:t>
      </w:r>
      <w:r>
        <w:rPr>
          <w:rFonts w:ascii="宋体" w:hAnsi="宋体"/>
          <w:sz w:val="24"/>
          <w:highlight w:val="none"/>
        </w:rPr>
        <w:t>：</w:t>
      </w:r>
    </w:p>
    <w:p w14:paraId="1779BC06">
      <w:pPr>
        <w:snapToGrid w:val="0"/>
        <w:spacing w:line="360" w:lineRule="auto"/>
        <w:ind w:firstLine="480" w:firstLineChars="200"/>
        <w:rPr>
          <w:rFonts w:ascii="宋体" w:hAnsi="宋体"/>
          <w:sz w:val="24"/>
          <w:highlight w:val="none"/>
        </w:rPr>
      </w:pPr>
      <w:r>
        <w:rPr>
          <w:rFonts w:ascii="宋体" w:hAnsi="宋体"/>
          <w:sz w:val="24"/>
          <w:highlight w:val="none"/>
        </w:rPr>
        <w:t>依据贵单位</w:t>
      </w:r>
      <w:r>
        <w:rPr>
          <w:rFonts w:hint="eastAsia" w:ascii="宋体" w:hAnsi="宋体"/>
          <w:sz w:val="24"/>
          <w:highlight w:val="none"/>
          <w:u w:val="single"/>
        </w:rPr>
        <w:t xml:space="preserve">        </w:t>
      </w:r>
      <w:r>
        <w:rPr>
          <w:rFonts w:ascii="宋体" w:hAnsi="宋体"/>
          <w:sz w:val="24"/>
          <w:highlight w:val="none"/>
        </w:rPr>
        <w:t>（项目名称)项目</w:t>
      </w:r>
      <w:r>
        <w:rPr>
          <w:rFonts w:hint="eastAsia" w:ascii="宋体" w:hAnsi="宋体"/>
          <w:sz w:val="24"/>
          <w:highlight w:val="none"/>
        </w:rPr>
        <w:t>竞争性磋商</w:t>
      </w:r>
      <w:r>
        <w:rPr>
          <w:rFonts w:ascii="宋体" w:hAnsi="宋体"/>
          <w:sz w:val="24"/>
          <w:highlight w:val="none"/>
        </w:rPr>
        <w:t>的邀请，我方授权</w:t>
      </w:r>
      <w:r>
        <w:rPr>
          <w:rFonts w:hint="eastAsia" w:ascii="宋体" w:hAnsi="宋体"/>
          <w:sz w:val="24"/>
          <w:highlight w:val="none"/>
          <w:u w:val="single"/>
        </w:rPr>
        <w:t xml:space="preserve">    </w:t>
      </w:r>
      <w:r>
        <w:rPr>
          <w:rFonts w:ascii="宋体" w:hAnsi="宋体"/>
          <w:sz w:val="24"/>
          <w:highlight w:val="none"/>
        </w:rPr>
        <w:t>（姓名）</w:t>
      </w:r>
      <w:r>
        <w:rPr>
          <w:rFonts w:hint="eastAsia" w:ascii="宋体" w:hAnsi="宋体"/>
          <w:sz w:val="24"/>
          <w:highlight w:val="none"/>
          <w:u w:val="single"/>
        </w:rPr>
        <w:t xml:space="preserve">    </w:t>
      </w:r>
      <w:r>
        <w:rPr>
          <w:rFonts w:ascii="宋体" w:hAnsi="宋体"/>
          <w:sz w:val="24"/>
          <w:highlight w:val="none"/>
        </w:rPr>
        <w:t>（职务）为全权代表参加该项目的磋商响应工作，全权处理本次</w:t>
      </w:r>
      <w:r>
        <w:rPr>
          <w:rFonts w:hint="eastAsia" w:ascii="宋体" w:hAnsi="宋体"/>
          <w:sz w:val="24"/>
          <w:highlight w:val="none"/>
        </w:rPr>
        <w:t>磋商</w:t>
      </w:r>
      <w:r>
        <w:rPr>
          <w:rFonts w:ascii="宋体" w:hAnsi="宋体"/>
          <w:sz w:val="24"/>
          <w:highlight w:val="none"/>
        </w:rPr>
        <w:t>的有关事宜。同时，我公司声明如下：</w:t>
      </w:r>
    </w:p>
    <w:p w14:paraId="76833705">
      <w:pPr>
        <w:snapToGrid w:val="0"/>
        <w:spacing w:line="360" w:lineRule="auto"/>
        <w:ind w:firstLine="480" w:firstLineChars="200"/>
        <w:rPr>
          <w:rFonts w:ascii="宋体" w:hAnsi="宋体"/>
          <w:sz w:val="24"/>
          <w:highlight w:val="none"/>
        </w:rPr>
      </w:pPr>
      <w:r>
        <w:rPr>
          <w:rFonts w:hint="eastAsia" w:ascii="宋体" w:hAnsi="宋体"/>
          <w:sz w:val="24"/>
          <w:highlight w:val="none"/>
        </w:rPr>
        <w:t>（1）我方愿意按照磋商文件的一切要求，提供完成该项目的全部内容，我方的磋商响应报价</w:t>
      </w:r>
      <w:r>
        <w:rPr>
          <w:rFonts w:hint="eastAsia" w:cs="仿宋_GB2312" w:asciiTheme="minorEastAsia" w:hAnsiTheme="minorEastAsia" w:eastAsiaTheme="minorEastAsia"/>
          <w:sz w:val="24"/>
          <w:highlight w:val="none"/>
          <w:lang w:val="zh-CN"/>
        </w:rPr>
        <w:t>包括但不限于</w:t>
      </w:r>
      <w:r>
        <w:rPr>
          <w:rFonts w:hint="eastAsia" w:cs="仿宋_GB2312" w:asciiTheme="minorEastAsia" w:hAnsiTheme="minorEastAsia" w:eastAsiaTheme="minorEastAsia"/>
          <w:color w:val="000000" w:themeColor="text1"/>
          <w:sz w:val="24"/>
          <w:highlight w:val="none"/>
          <w:lang w:val="zh-CN"/>
          <w14:textFill>
            <w14:solidFill>
              <w14:schemeClr w14:val="tx1"/>
            </w14:solidFill>
          </w14:textFill>
        </w:rPr>
        <w:t>实施和完成</w:t>
      </w:r>
      <w:r>
        <w:rPr>
          <w:rFonts w:hint="eastAsia" w:cs="仿宋_GB2312" w:asciiTheme="minorEastAsia" w:hAnsiTheme="minorEastAsia" w:eastAsiaTheme="minorEastAsia"/>
          <w:sz w:val="24"/>
          <w:highlight w:val="none"/>
          <w:lang w:val="zh-CN"/>
        </w:rPr>
        <w:t>此项工作</w:t>
      </w:r>
      <w:r>
        <w:rPr>
          <w:rFonts w:hint="eastAsia" w:ascii="宋体" w:hAnsi="宋体" w:cs="宋体"/>
          <w:sz w:val="24"/>
          <w:highlight w:val="none"/>
          <w:lang w:val="zh-CN"/>
        </w:rPr>
        <w:t>并提供全套成果文件</w:t>
      </w:r>
      <w:r>
        <w:rPr>
          <w:rFonts w:hint="eastAsia" w:cs="仿宋_GB2312" w:asciiTheme="minorEastAsia" w:hAnsiTheme="minorEastAsia" w:eastAsiaTheme="minorEastAsia"/>
          <w:sz w:val="24"/>
          <w:highlight w:val="none"/>
          <w:lang w:val="zh-CN"/>
        </w:rPr>
        <w:t>所投入的人员、车辆、仪器设备、</w:t>
      </w:r>
      <w:r>
        <w:rPr>
          <w:rFonts w:hint="eastAsia" w:ascii="宋体" w:hAnsi="宋体" w:cs="宋体"/>
          <w:sz w:val="24"/>
          <w:highlight w:val="none"/>
          <w:lang w:val="zh-CN"/>
        </w:rPr>
        <w:t>材料</w:t>
      </w:r>
      <w:r>
        <w:rPr>
          <w:rFonts w:hint="eastAsia" w:cs="仿宋_GB2312" w:asciiTheme="minorEastAsia" w:hAnsiTheme="minorEastAsia" w:eastAsiaTheme="minorEastAsia"/>
          <w:sz w:val="24"/>
          <w:highlight w:val="none"/>
          <w:lang w:val="zh-CN"/>
        </w:rPr>
        <w:t>、现场调查、资料收集、数据采集、</w:t>
      </w:r>
      <w:r>
        <w:rPr>
          <w:rFonts w:hint="eastAsia" w:cs="仿宋_GB2312" w:asciiTheme="minorEastAsia" w:hAnsiTheme="minorEastAsia" w:eastAsiaTheme="minorEastAsia"/>
          <w:sz w:val="24"/>
          <w:highlight w:val="none"/>
        </w:rPr>
        <w:t>数据梳理、报告编制、</w:t>
      </w:r>
      <w:r>
        <w:rPr>
          <w:rFonts w:hint="eastAsia" w:cs="仿宋_GB2312" w:asciiTheme="minorEastAsia" w:hAnsiTheme="minorEastAsia" w:eastAsiaTheme="minorEastAsia"/>
          <w:sz w:val="24"/>
          <w:highlight w:val="none"/>
          <w:lang w:val="zh-CN"/>
        </w:rPr>
        <w:t>外围协调、分析评估、整理汇总、评审、验收、</w:t>
      </w:r>
      <w:r>
        <w:rPr>
          <w:rFonts w:hint="eastAsia" w:ascii="宋体" w:hAnsi="宋体" w:cs="宋体"/>
          <w:sz w:val="24"/>
          <w:highlight w:val="none"/>
          <w:lang w:val="zh-CN"/>
        </w:rPr>
        <w:t>燃料动力费、会议费、</w:t>
      </w:r>
      <w:r>
        <w:rPr>
          <w:rFonts w:hint="eastAsia" w:cs="仿宋_GB2312" w:asciiTheme="minorEastAsia" w:hAnsiTheme="minorEastAsia" w:eastAsiaTheme="minorEastAsia"/>
          <w:sz w:val="24"/>
          <w:highlight w:val="none"/>
          <w:lang w:val="zh-CN"/>
        </w:rPr>
        <w:t>专家咨询费、出版印刷费、</w:t>
      </w:r>
      <w:r>
        <w:rPr>
          <w:rFonts w:hint="eastAsia" w:ascii="宋体" w:hAnsi="宋体" w:cs="宋体"/>
          <w:sz w:val="24"/>
          <w:highlight w:val="none"/>
          <w:lang w:val="zh-CN"/>
        </w:rPr>
        <w:t>公司取费、法定税金、利润等与履行合同有关的</w:t>
      </w:r>
      <w:r>
        <w:rPr>
          <w:rFonts w:hint="eastAsia" w:cs="仿宋_GB2312" w:asciiTheme="minorEastAsia" w:hAnsiTheme="minorEastAsia" w:eastAsiaTheme="minorEastAsia"/>
          <w:sz w:val="24"/>
          <w:highlight w:val="none"/>
          <w:lang w:val="zh-CN"/>
        </w:rPr>
        <w:t>一切费用</w:t>
      </w:r>
      <w:r>
        <w:rPr>
          <w:rFonts w:hint="eastAsia" w:ascii="宋体" w:hAnsi="宋体" w:cs="宋体"/>
          <w:sz w:val="24"/>
          <w:highlight w:val="none"/>
          <w:lang w:val="zh-CN"/>
        </w:rPr>
        <w:t>以及合同明示或暗示的所有一般风险责任和义务费用</w:t>
      </w:r>
      <w:r>
        <w:rPr>
          <w:rFonts w:hint="eastAsia" w:cs="仿宋_GB2312" w:asciiTheme="minorEastAsia" w:hAnsiTheme="minorEastAsia" w:eastAsiaTheme="minorEastAsia"/>
          <w:sz w:val="24"/>
          <w:highlight w:val="none"/>
          <w:lang w:val="zh-CN"/>
        </w:rPr>
        <w:t>。</w:t>
      </w:r>
    </w:p>
    <w:p w14:paraId="43ACAF3B">
      <w:pPr>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我</w:t>
      </w:r>
      <w:r>
        <w:rPr>
          <w:rFonts w:hint="eastAsia" w:ascii="宋体" w:hAnsi="宋体"/>
          <w:sz w:val="24"/>
          <w:highlight w:val="none"/>
        </w:rPr>
        <w:t>方</w:t>
      </w:r>
      <w:r>
        <w:rPr>
          <w:rFonts w:ascii="宋体" w:hAnsi="宋体"/>
          <w:sz w:val="24"/>
          <w:highlight w:val="none"/>
        </w:rPr>
        <w:t>已经详细</w:t>
      </w:r>
      <w:r>
        <w:rPr>
          <w:rFonts w:hint="eastAsia" w:ascii="宋体" w:hAnsi="宋体"/>
          <w:sz w:val="24"/>
          <w:highlight w:val="none"/>
        </w:rPr>
        <w:t>审查</w:t>
      </w:r>
      <w:r>
        <w:rPr>
          <w:rFonts w:ascii="宋体" w:hAnsi="宋体"/>
          <w:sz w:val="24"/>
          <w:highlight w:val="none"/>
        </w:rPr>
        <w:t>了全部</w:t>
      </w:r>
      <w:r>
        <w:rPr>
          <w:rFonts w:hint="eastAsia" w:ascii="宋体" w:hAnsi="宋体"/>
          <w:sz w:val="24"/>
          <w:highlight w:val="none"/>
        </w:rPr>
        <w:t>磋商</w:t>
      </w:r>
      <w:r>
        <w:rPr>
          <w:rFonts w:ascii="宋体" w:hAnsi="宋体"/>
          <w:sz w:val="24"/>
          <w:highlight w:val="none"/>
        </w:rPr>
        <w:t>文件，我方已完全清晰理解</w:t>
      </w:r>
      <w:r>
        <w:rPr>
          <w:rFonts w:hint="eastAsia" w:ascii="宋体" w:hAnsi="宋体"/>
          <w:sz w:val="24"/>
          <w:highlight w:val="none"/>
        </w:rPr>
        <w:t>磋商</w:t>
      </w:r>
      <w:r>
        <w:rPr>
          <w:rFonts w:ascii="宋体" w:hAnsi="宋体"/>
          <w:sz w:val="24"/>
          <w:highlight w:val="none"/>
        </w:rPr>
        <w:t>文件的要求，不存在任何含糊不清和误解之处，同意放弃对这些文件所提出的异议和质疑的权利。</w:t>
      </w:r>
    </w:p>
    <w:p w14:paraId="07DC035F">
      <w:pPr>
        <w:snapToGrid w:val="0"/>
        <w:spacing w:line="360" w:lineRule="auto"/>
        <w:ind w:firstLine="480" w:firstLineChars="200"/>
        <w:rPr>
          <w:rFonts w:ascii="宋体" w:hAnsi="宋体"/>
          <w:sz w:val="24"/>
          <w:highlight w:val="none"/>
        </w:rPr>
      </w:pPr>
      <w:r>
        <w:rPr>
          <w:rFonts w:hint="eastAsia" w:ascii="宋体" w:hAnsi="宋体"/>
          <w:sz w:val="24"/>
          <w:highlight w:val="none"/>
        </w:rPr>
        <w:t>（3）</w:t>
      </w:r>
      <w:r>
        <w:rPr>
          <w:rFonts w:ascii="宋体" w:hAnsi="宋体"/>
          <w:sz w:val="24"/>
          <w:highlight w:val="none"/>
        </w:rPr>
        <w:t>我方承诺提供的</w:t>
      </w:r>
      <w:r>
        <w:rPr>
          <w:rFonts w:hint="eastAsia" w:ascii="宋体" w:hAnsi="宋体"/>
          <w:sz w:val="24"/>
          <w:highlight w:val="none"/>
        </w:rPr>
        <w:t>磋商响应文件的有效期，从磋商响应文件接收截止之日算起，</w:t>
      </w:r>
      <w:r>
        <w:rPr>
          <w:rFonts w:ascii="宋体" w:hAnsi="宋体"/>
          <w:sz w:val="24"/>
          <w:highlight w:val="none"/>
        </w:rPr>
        <w:t>45个</w:t>
      </w:r>
      <w:r>
        <w:rPr>
          <w:rFonts w:hint="eastAsia" w:ascii="宋体" w:hAnsi="宋体"/>
          <w:sz w:val="24"/>
          <w:highlight w:val="none"/>
        </w:rPr>
        <w:t>“日历天”内保持有效。</w:t>
      </w:r>
    </w:p>
    <w:p w14:paraId="7C360859">
      <w:pPr>
        <w:snapToGrid w:val="0"/>
        <w:spacing w:line="360" w:lineRule="auto"/>
        <w:ind w:firstLine="480" w:firstLineChars="200"/>
        <w:rPr>
          <w:rFonts w:ascii="宋体" w:hAnsi="宋体"/>
          <w:sz w:val="24"/>
          <w:highlight w:val="none"/>
        </w:rPr>
      </w:pPr>
      <w:r>
        <w:rPr>
          <w:rFonts w:hint="eastAsia" w:ascii="宋体" w:hAnsi="宋体"/>
          <w:sz w:val="24"/>
          <w:highlight w:val="none"/>
        </w:rPr>
        <w:t>（4）我方愿意提供采购人在磋商文件中要求的所有资料。</w:t>
      </w:r>
    </w:p>
    <w:p w14:paraId="21D9E6D9">
      <w:pPr>
        <w:snapToGrid w:val="0"/>
        <w:spacing w:line="360" w:lineRule="auto"/>
        <w:ind w:firstLine="480" w:firstLineChars="200"/>
        <w:rPr>
          <w:rFonts w:ascii="宋体" w:hAnsi="宋体"/>
          <w:sz w:val="24"/>
          <w:highlight w:val="none"/>
        </w:rPr>
      </w:pPr>
      <w:r>
        <w:rPr>
          <w:rFonts w:hint="eastAsia" w:ascii="宋体" w:hAnsi="宋体"/>
          <w:sz w:val="24"/>
          <w:highlight w:val="none"/>
        </w:rPr>
        <w:t>（5）</w:t>
      </w:r>
      <w:r>
        <w:rPr>
          <w:rFonts w:ascii="宋体" w:hAnsi="宋体"/>
          <w:sz w:val="24"/>
          <w:highlight w:val="none"/>
        </w:rPr>
        <w:t>我</w:t>
      </w:r>
      <w:r>
        <w:rPr>
          <w:rFonts w:hint="eastAsia" w:ascii="宋体" w:hAnsi="宋体"/>
          <w:sz w:val="24"/>
          <w:highlight w:val="none"/>
        </w:rPr>
        <w:t>方</w:t>
      </w:r>
      <w:r>
        <w:rPr>
          <w:rFonts w:ascii="宋体" w:hAnsi="宋体"/>
          <w:sz w:val="24"/>
          <w:highlight w:val="none"/>
        </w:rPr>
        <w:t>承诺在本次</w:t>
      </w:r>
      <w:r>
        <w:rPr>
          <w:rFonts w:hint="eastAsia" w:ascii="宋体" w:hAnsi="宋体"/>
          <w:sz w:val="24"/>
          <w:highlight w:val="none"/>
        </w:rPr>
        <w:t>磋商</w:t>
      </w:r>
      <w:r>
        <w:rPr>
          <w:rFonts w:ascii="宋体" w:hAnsi="宋体"/>
          <w:sz w:val="24"/>
          <w:highlight w:val="none"/>
        </w:rPr>
        <w:t>响应中提供的一切文件，无论是原件还是复印件均真实有效，绝无任何虚假、伪造和夸大的成份。否则，愿承担相应的后果和法律责任。</w:t>
      </w:r>
    </w:p>
    <w:p w14:paraId="5BFCDB19">
      <w:pPr>
        <w:snapToGrid w:val="0"/>
        <w:spacing w:line="360" w:lineRule="auto"/>
        <w:ind w:firstLine="480" w:firstLineChars="200"/>
        <w:rPr>
          <w:rFonts w:ascii="宋体" w:hAnsi="宋体"/>
          <w:sz w:val="24"/>
          <w:highlight w:val="none"/>
        </w:rPr>
      </w:pPr>
      <w:r>
        <w:rPr>
          <w:rFonts w:hint="eastAsia" w:ascii="宋体" w:hAnsi="宋体"/>
          <w:sz w:val="24"/>
          <w:highlight w:val="none"/>
        </w:rPr>
        <w:t>（6）</w:t>
      </w:r>
      <w:r>
        <w:rPr>
          <w:rFonts w:ascii="宋体" w:hAnsi="宋体"/>
          <w:sz w:val="24"/>
          <w:highlight w:val="none"/>
        </w:rPr>
        <w:t>我</w:t>
      </w:r>
      <w:r>
        <w:rPr>
          <w:rFonts w:hint="eastAsia" w:ascii="宋体" w:hAnsi="宋体"/>
          <w:sz w:val="24"/>
          <w:highlight w:val="none"/>
        </w:rPr>
        <w:t>方</w:t>
      </w:r>
      <w:r>
        <w:rPr>
          <w:rFonts w:ascii="宋体" w:hAnsi="宋体"/>
          <w:sz w:val="24"/>
          <w:highlight w:val="none"/>
        </w:rPr>
        <w:t>尊重评</w:t>
      </w:r>
      <w:r>
        <w:rPr>
          <w:rFonts w:hint="eastAsia" w:ascii="宋体" w:hAnsi="宋体"/>
          <w:sz w:val="24"/>
          <w:highlight w:val="none"/>
        </w:rPr>
        <w:t>审</w:t>
      </w:r>
      <w:r>
        <w:rPr>
          <w:rFonts w:ascii="宋体" w:hAnsi="宋体"/>
          <w:sz w:val="24"/>
          <w:highlight w:val="none"/>
        </w:rPr>
        <w:t>小组所作评定结果</w:t>
      </w:r>
      <w:r>
        <w:rPr>
          <w:rFonts w:hint="eastAsia" w:ascii="宋体" w:hAnsi="宋体"/>
          <w:sz w:val="24"/>
          <w:highlight w:val="none"/>
        </w:rPr>
        <w:t>，</w:t>
      </w:r>
      <w:r>
        <w:rPr>
          <w:rFonts w:ascii="宋体" w:hAnsi="宋体"/>
          <w:sz w:val="24"/>
          <w:highlight w:val="none"/>
        </w:rPr>
        <w:t>同时</w:t>
      </w:r>
      <w:r>
        <w:rPr>
          <w:rFonts w:hint="eastAsia" w:ascii="宋体" w:hAnsi="宋体"/>
          <w:sz w:val="24"/>
          <w:highlight w:val="none"/>
        </w:rPr>
        <w:t>也</w:t>
      </w:r>
      <w:r>
        <w:rPr>
          <w:rFonts w:ascii="宋体" w:hAnsi="宋体"/>
          <w:sz w:val="24"/>
          <w:highlight w:val="none"/>
        </w:rPr>
        <w:t>清楚理解到</w:t>
      </w:r>
      <w:r>
        <w:rPr>
          <w:rFonts w:hint="eastAsia" w:ascii="宋体" w:hAnsi="宋体"/>
          <w:sz w:val="24"/>
          <w:highlight w:val="none"/>
        </w:rPr>
        <w:t>磋商报</w:t>
      </w:r>
      <w:r>
        <w:rPr>
          <w:rFonts w:ascii="宋体" w:hAnsi="宋体"/>
          <w:sz w:val="24"/>
          <w:highlight w:val="none"/>
        </w:rPr>
        <w:t>价最低并非意味着必定获得</w:t>
      </w:r>
      <w:r>
        <w:rPr>
          <w:rFonts w:hint="eastAsia" w:ascii="宋体" w:hAnsi="宋体"/>
          <w:sz w:val="24"/>
          <w:highlight w:val="none"/>
        </w:rPr>
        <w:t>中标或成交</w:t>
      </w:r>
      <w:r>
        <w:rPr>
          <w:rFonts w:ascii="宋体" w:hAnsi="宋体"/>
          <w:sz w:val="24"/>
          <w:highlight w:val="none"/>
        </w:rPr>
        <w:t>资格。</w:t>
      </w:r>
    </w:p>
    <w:p w14:paraId="3E2B343E">
      <w:pPr>
        <w:snapToGrid w:val="0"/>
        <w:spacing w:line="360" w:lineRule="auto"/>
        <w:ind w:firstLine="480" w:firstLineChars="200"/>
        <w:rPr>
          <w:rFonts w:ascii="宋体" w:hAnsi="宋体"/>
          <w:sz w:val="24"/>
          <w:highlight w:val="none"/>
        </w:rPr>
      </w:pPr>
      <w:r>
        <w:rPr>
          <w:rFonts w:hint="eastAsia" w:ascii="宋体" w:hAnsi="宋体"/>
          <w:sz w:val="24"/>
          <w:highlight w:val="none"/>
        </w:rPr>
        <w:t>（7）</w:t>
      </w:r>
      <w:r>
        <w:rPr>
          <w:rFonts w:ascii="宋体" w:hAnsi="宋体"/>
          <w:sz w:val="24"/>
          <w:highlight w:val="none"/>
        </w:rPr>
        <w:t>一旦我方成交</w:t>
      </w:r>
      <w:r>
        <w:rPr>
          <w:rFonts w:hint="eastAsia" w:ascii="宋体" w:hAnsi="宋体"/>
          <w:sz w:val="24"/>
          <w:highlight w:val="none"/>
        </w:rPr>
        <w:t>，</w:t>
      </w:r>
      <w:r>
        <w:rPr>
          <w:rFonts w:ascii="宋体" w:hAnsi="宋体"/>
          <w:sz w:val="24"/>
          <w:highlight w:val="none"/>
        </w:rPr>
        <w:t>我方将根据</w:t>
      </w:r>
      <w:r>
        <w:rPr>
          <w:rFonts w:hint="eastAsia" w:ascii="宋体" w:hAnsi="宋体"/>
          <w:sz w:val="24"/>
          <w:highlight w:val="none"/>
        </w:rPr>
        <w:t>磋商</w:t>
      </w:r>
      <w:r>
        <w:rPr>
          <w:rFonts w:ascii="宋体" w:hAnsi="宋体"/>
          <w:sz w:val="24"/>
          <w:highlight w:val="none"/>
        </w:rPr>
        <w:t>文件的规定，严格履行</w:t>
      </w:r>
      <w:r>
        <w:rPr>
          <w:rFonts w:hint="eastAsia" w:ascii="宋体" w:hAnsi="宋体"/>
          <w:sz w:val="24"/>
          <w:highlight w:val="none"/>
        </w:rPr>
        <w:t>磋商文件中规定的每一项要求，按期、按质、按量履行合同的义务。</w:t>
      </w:r>
    </w:p>
    <w:p w14:paraId="6E50859F">
      <w:pPr>
        <w:snapToGrid w:val="0"/>
        <w:spacing w:line="360" w:lineRule="auto"/>
        <w:ind w:firstLine="2400" w:firstLineChars="1000"/>
        <w:jc w:val="right"/>
        <w:rPr>
          <w:rFonts w:ascii="宋体" w:hAnsi="宋体"/>
          <w:sz w:val="24"/>
          <w:highlight w:val="none"/>
        </w:rPr>
      </w:pPr>
      <w:r>
        <w:rPr>
          <w:rFonts w:hint="eastAsia" w:ascii="宋体" w:hAnsi="宋体"/>
          <w:sz w:val="24"/>
          <w:highlight w:val="none"/>
        </w:rPr>
        <w:t>磋商</w:t>
      </w:r>
      <w:r>
        <w:rPr>
          <w:rFonts w:ascii="宋体" w:hAnsi="宋体"/>
          <w:sz w:val="24"/>
          <w:highlight w:val="none"/>
        </w:rPr>
        <w:t>响应</w:t>
      </w:r>
      <w:r>
        <w:rPr>
          <w:rFonts w:hint="eastAsia" w:ascii="宋体" w:hAnsi="宋体"/>
          <w:sz w:val="24"/>
          <w:highlight w:val="none"/>
        </w:rPr>
        <w:t>供应商</w:t>
      </w:r>
      <w:r>
        <w:rPr>
          <w:rFonts w:ascii="宋体" w:hAnsi="宋体"/>
          <w:sz w:val="24"/>
          <w:highlight w:val="none"/>
        </w:rPr>
        <w:t>：（加盖公章）</w:t>
      </w:r>
    </w:p>
    <w:p w14:paraId="49A13358">
      <w:pPr>
        <w:snapToGrid w:val="0"/>
        <w:spacing w:line="360" w:lineRule="auto"/>
        <w:ind w:firstLine="2400" w:firstLineChars="1000"/>
        <w:jc w:val="right"/>
        <w:rPr>
          <w:rFonts w:ascii="宋体" w:hAnsi="宋体"/>
          <w:sz w:val="24"/>
          <w:highlight w:val="none"/>
        </w:rPr>
      </w:pPr>
      <w:r>
        <w:rPr>
          <w:rFonts w:ascii="宋体" w:hAnsi="宋体"/>
          <w:sz w:val="24"/>
          <w:highlight w:val="none"/>
        </w:rPr>
        <w:t>法定代表人或</w:t>
      </w:r>
      <w:r>
        <w:rPr>
          <w:rFonts w:hint="eastAsia" w:ascii="宋体" w:hAnsi="宋体"/>
          <w:sz w:val="24"/>
          <w:highlight w:val="none"/>
        </w:rPr>
        <w:t>委托代理</w:t>
      </w:r>
      <w:r>
        <w:rPr>
          <w:rFonts w:ascii="宋体" w:hAnsi="宋体"/>
          <w:sz w:val="24"/>
          <w:highlight w:val="none"/>
        </w:rPr>
        <w:t>人：</w:t>
      </w:r>
      <w:r>
        <w:rPr>
          <w:rFonts w:hint="eastAsia" w:ascii="宋体" w:hAnsi="宋体"/>
          <w:bCs/>
          <w:sz w:val="24"/>
          <w:highlight w:val="none"/>
        </w:rPr>
        <w:t>（亲笔签名）</w:t>
      </w:r>
    </w:p>
    <w:p w14:paraId="3571F0B8">
      <w:pPr>
        <w:snapToGrid w:val="0"/>
        <w:spacing w:line="360" w:lineRule="auto"/>
        <w:ind w:firstLine="2400" w:firstLineChars="1000"/>
        <w:jc w:val="right"/>
        <w:rPr>
          <w:rFonts w:ascii="宋体" w:hAnsi="宋体"/>
          <w:sz w:val="24"/>
          <w:highlight w:val="none"/>
        </w:rPr>
      </w:pPr>
      <w:r>
        <w:rPr>
          <w:rFonts w:hint="eastAsia" w:ascii="宋体" w:hAnsi="宋体"/>
          <w:sz w:val="24"/>
          <w:highlight w:val="none"/>
        </w:rPr>
        <w:t xml:space="preserve">   年      月     日</w:t>
      </w:r>
    </w:p>
    <w:p w14:paraId="29F232FF">
      <w:pPr>
        <w:pStyle w:val="18"/>
        <w:rPr>
          <w:rFonts w:asciiTheme="minorEastAsia" w:hAnsiTheme="minorEastAsia" w:eastAsiaTheme="minorEastAsia"/>
          <w:highlight w:val="none"/>
        </w:rPr>
      </w:pPr>
    </w:p>
    <w:p w14:paraId="45C3AF5B">
      <w:pPr>
        <w:widowControl/>
        <w:jc w:val="left"/>
        <w:rPr>
          <w:rFonts w:cs="宋体" w:asciiTheme="minorEastAsia" w:hAnsiTheme="minorEastAsia" w:eastAsiaTheme="minorEastAsia"/>
          <w:sz w:val="28"/>
          <w:szCs w:val="28"/>
          <w:highlight w:val="none"/>
        </w:rPr>
      </w:pPr>
      <w:r>
        <w:rPr>
          <w:rFonts w:cs="宋体" w:asciiTheme="minorEastAsia" w:hAnsiTheme="minorEastAsia" w:eastAsiaTheme="minorEastAsia"/>
          <w:sz w:val="28"/>
          <w:szCs w:val="28"/>
          <w:highlight w:val="none"/>
        </w:rPr>
        <w:br w:type="page"/>
      </w:r>
    </w:p>
    <w:p w14:paraId="658DD0A7">
      <w:pPr>
        <w:tabs>
          <w:tab w:val="left" w:pos="3375"/>
        </w:tabs>
        <w:autoSpaceDE w:val="0"/>
        <w:autoSpaceDN w:val="0"/>
        <w:adjustRightInd w:val="0"/>
        <w:snapToGrid w:val="0"/>
        <w:spacing w:line="440" w:lineRule="exact"/>
        <w:contextualSpacing/>
        <w:rPr>
          <w:rFonts w:cs="宋体" w:asciiTheme="minorEastAsia" w:hAnsiTheme="minorEastAsia" w:eastAsiaTheme="minorEastAsia"/>
          <w:sz w:val="28"/>
          <w:szCs w:val="28"/>
          <w:highlight w:val="none"/>
        </w:rPr>
      </w:pPr>
      <w:r>
        <w:rPr>
          <w:rFonts w:hint="eastAsia" w:cs="宋体" w:asciiTheme="minorEastAsia" w:hAnsiTheme="minorEastAsia" w:eastAsiaTheme="minorEastAsia"/>
          <w:sz w:val="28"/>
          <w:szCs w:val="28"/>
          <w:highlight w:val="none"/>
        </w:rPr>
        <w:t>第三部分格式：</w:t>
      </w:r>
    </w:p>
    <w:p w14:paraId="1B8D3C18">
      <w:pPr>
        <w:snapToGrid w:val="0"/>
        <w:spacing w:line="300" w:lineRule="auto"/>
        <w:contextualSpacing/>
        <w:rPr>
          <w:rFonts w:cs="宋体" w:asciiTheme="minorEastAsia" w:hAnsiTheme="minorEastAsia" w:eastAsiaTheme="minorEastAsia"/>
          <w:sz w:val="32"/>
          <w:szCs w:val="32"/>
          <w:highlight w:val="none"/>
        </w:rPr>
      </w:pPr>
    </w:p>
    <w:p w14:paraId="51D8DD0A">
      <w:pPr>
        <w:autoSpaceDE w:val="0"/>
        <w:autoSpaceDN w:val="0"/>
        <w:adjustRightInd w:val="0"/>
        <w:jc w:val="center"/>
        <w:rPr>
          <w:rFonts w:cs="宋体" w:asciiTheme="minorEastAsia" w:hAnsiTheme="minorEastAsia" w:eastAsiaTheme="minorEastAsia"/>
          <w:b/>
          <w:sz w:val="32"/>
          <w:szCs w:val="32"/>
          <w:highlight w:val="none"/>
        </w:rPr>
      </w:pPr>
    </w:p>
    <w:p w14:paraId="5522AAA6">
      <w:pPr>
        <w:autoSpaceDE w:val="0"/>
        <w:autoSpaceDN w:val="0"/>
        <w:adjustRightInd w:val="0"/>
        <w:jc w:val="center"/>
        <w:rPr>
          <w:rFonts w:cs="宋体" w:asciiTheme="minorEastAsia" w:hAnsiTheme="minorEastAsia" w:eastAsiaTheme="minorEastAsia"/>
          <w:b/>
          <w:sz w:val="44"/>
          <w:szCs w:val="44"/>
          <w:highlight w:val="none"/>
        </w:rPr>
      </w:pPr>
      <w:r>
        <w:rPr>
          <w:rFonts w:hint="eastAsia" w:cs="宋体" w:asciiTheme="minorEastAsia" w:hAnsiTheme="minorEastAsia" w:eastAsiaTheme="minorEastAsia"/>
          <w:b/>
          <w:sz w:val="44"/>
          <w:szCs w:val="44"/>
          <w:highlight w:val="none"/>
        </w:rPr>
        <w:t>南通市“十五五”公路高质量发展研究报告项目</w:t>
      </w:r>
    </w:p>
    <w:p w14:paraId="1CBD39CF">
      <w:pPr>
        <w:pStyle w:val="18"/>
        <w:rPr>
          <w:rFonts w:asciiTheme="minorEastAsia" w:hAnsiTheme="minorEastAsia" w:eastAsiaTheme="minorEastAsia"/>
          <w:highlight w:val="none"/>
        </w:rPr>
      </w:pPr>
    </w:p>
    <w:p w14:paraId="262D01A8">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项目编号：2024GLFJ</w:t>
      </w:r>
    </w:p>
    <w:p w14:paraId="6A2E9E53">
      <w:pPr>
        <w:tabs>
          <w:tab w:val="left" w:pos="6300"/>
        </w:tabs>
        <w:snapToGrid w:val="0"/>
        <w:spacing w:line="300" w:lineRule="auto"/>
        <w:jc w:val="center"/>
        <w:rPr>
          <w:rFonts w:cs="宋体" w:asciiTheme="minorEastAsia" w:hAnsiTheme="minorEastAsia" w:eastAsiaTheme="minorEastAsia"/>
          <w:b/>
          <w:w w:val="80"/>
          <w:sz w:val="32"/>
          <w:szCs w:val="32"/>
          <w:highlight w:val="none"/>
        </w:rPr>
      </w:pPr>
      <w:r>
        <w:rPr>
          <w:rFonts w:hint="eastAsia" w:cs="宋体" w:asciiTheme="minorEastAsia" w:hAnsiTheme="minorEastAsia" w:eastAsiaTheme="minorEastAsia"/>
          <w:b/>
          <w:w w:val="80"/>
          <w:sz w:val="32"/>
          <w:szCs w:val="32"/>
          <w:highlight w:val="none"/>
        </w:rPr>
        <w:t>档案编号：</w:t>
      </w:r>
      <w:r>
        <w:rPr>
          <w:rFonts w:hint="eastAsia" w:cs="宋体" w:asciiTheme="minorEastAsia" w:hAnsiTheme="minorEastAsia" w:eastAsiaTheme="minorEastAsia"/>
          <w:b/>
          <w:snapToGrid w:val="0"/>
          <w:w w:val="80"/>
          <w:kern w:val="0"/>
          <w:sz w:val="32"/>
          <w:szCs w:val="32"/>
          <w:highlight w:val="none"/>
          <w:lang w:val="en-US" w:eastAsia="zh-CN"/>
        </w:rPr>
        <w:t>20241125</w:t>
      </w:r>
    </w:p>
    <w:p w14:paraId="4A79DA67">
      <w:pPr>
        <w:tabs>
          <w:tab w:val="left" w:pos="6300"/>
        </w:tabs>
        <w:snapToGrid w:val="0"/>
        <w:spacing w:line="300" w:lineRule="auto"/>
        <w:jc w:val="center"/>
        <w:rPr>
          <w:rFonts w:cs="宋体" w:asciiTheme="minorEastAsia" w:hAnsiTheme="minorEastAsia" w:eastAsiaTheme="minorEastAsia"/>
          <w:b/>
          <w:w w:val="80"/>
          <w:sz w:val="32"/>
          <w:szCs w:val="32"/>
          <w:highlight w:val="none"/>
        </w:rPr>
      </w:pPr>
    </w:p>
    <w:p w14:paraId="5E3FE438">
      <w:pPr>
        <w:spacing w:after="60" w:line="360" w:lineRule="auto"/>
        <w:ind w:firstLine="3373" w:firstLineChars="1050"/>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响应文件</w:t>
      </w:r>
    </w:p>
    <w:p w14:paraId="0A9BD729">
      <w:pPr>
        <w:spacing w:after="60" w:line="360" w:lineRule="auto"/>
        <w:jc w:val="center"/>
        <w:rPr>
          <w:rFonts w:cs="宋体" w:asciiTheme="minorEastAsia" w:hAnsiTheme="minorEastAsia" w:eastAsiaTheme="minorEastAsia"/>
          <w:b/>
          <w:bCs/>
          <w:sz w:val="32"/>
          <w:szCs w:val="32"/>
          <w:highlight w:val="none"/>
        </w:rPr>
      </w:pPr>
      <w:r>
        <w:rPr>
          <w:rFonts w:hint="eastAsia" w:cs="宋体" w:asciiTheme="minorEastAsia" w:hAnsiTheme="minorEastAsia" w:eastAsiaTheme="minorEastAsia"/>
          <w:b/>
          <w:bCs/>
          <w:sz w:val="32"/>
          <w:szCs w:val="32"/>
          <w:highlight w:val="none"/>
        </w:rPr>
        <w:t>（</w:t>
      </w:r>
      <w:r>
        <w:rPr>
          <w:rFonts w:hint="eastAsia" w:ascii="宋体" w:hAnsi="宋体" w:cs="宋体"/>
          <w:b/>
          <w:bCs/>
          <w:sz w:val="32"/>
          <w:szCs w:val="32"/>
          <w:highlight w:val="none"/>
        </w:rPr>
        <w:t>价格响应文件</w:t>
      </w:r>
      <w:r>
        <w:rPr>
          <w:rFonts w:hint="eastAsia" w:cs="宋体" w:asciiTheme="minorEastAsia" w:hAnsiTheme="minorEastAsia" w:eastAsiaTheme="minorEastAsia"/>
          <w:b/>
          <w:bCs/>
          <w:sz w:val="32"/>
          <w:szCs w:val="32"/>
          <w:highlight w:val="none"/>
        </w:rPr>
        <w:t>）</w:t>
      </w:r>
    </w:p>
    <w:p w14:paraId="2F937593">
      <w:pPr>
        <w:spacing w:after="60"/>
        <w:jc w:val="center"/>
        <w:rPr>
          <w:rFonts w:cs="宋体" w:asciiTheme="minorEastAsia" w:hAnsiTheme="minorEastAsia" w:eastAsiaTheme="minorEastAsia"/>
          <w:b/>
          <w:bCs/>
          <w:sz w:val="72"/>
          <w:szCs w:val="72"/>
          <w:highlight w:val="none"/>
        </w:rPr>
      </w:pPr>
    </w:p>
    <w:p w14:paraId="41507697">
      <w:pPr>
        <w:spacing w:after="60"/>
        <w:jc w:val="center"/>
        <w:rPr>
          <w:rFonts w:cs="宋体" w:asciiTheme="minorEastAsia" w:hAnsiTheme="minorEastAsia" w:eastAsiaTheme="minorEastAsia"/>
          <w:b/>
          <w:bCs/>
          <w:sz w:val="72"/>
          <w:szCs w:val="72"/>
          <w:highlight w:val="none"/>
        </w:rPr>
      </w:pPr>
    </w:p>
    <w:p w14:paraId="4E311A8D">
      <w:pPr>
        <w:spacing w:after="60"/>
        <w:jc w:val="center"/>
        <w:rPr>
          <w:rFonts w:cs="宋体" w:asciiTheme="minorEastAsia" w:hAnsiTheme="minorEastAsia" w:eastAsiaTheme="minorEastAsia"/>
          <w:b/>
          <w:bCs/>
          <w:sz w:val="72"/>
          <w:szCs w:val="72"/>
          <w:highlight w:val="none"/>
        </w:rPr>
      </w:pPr>
    </w:p>
    <w:p w14:paraId="4D8717E8">
      <w:pPr>
        <w:spacing w:after="60"/>
        <w:jc w:val="center"/>
        <w:rPr>
          <w:rFonts w:cs="宋体" w:asciiTheme="minorEastAsia" w:hAnsiTheme="minorEastAsia" w:eastAsiaTheme="minorEastAsia"/>
          <w:b/>
          <w:bCs/>
          <w:sz w:val="72"/>
          <w:szCs w:val="72"/>
          <w:highlight w:val="none"/>
        </w:rPr>
      </w:pPr>
    </w:p>
    <w:p w14:paraId="02F66061">
      <w:pPr>
        <w:pStyle w:val="18"/>
        <w:ind w:left="0" w:leftChars="0" w:firstLine="0" w:firstLineChars="0"/>
        <w:rPr>
          <w:rFonts w:cs="宋体" w:asciiTheme="minorEastAsia" w:hAnsiTheme="minorEastAsia" w:eastAsiaTheme="minorEastAsia"/>
          <w:b/>
          <w:bCs/>
          <w:sz w:val="72"/>
          <w:szCs w:val="72"/>
          <w:highlight w:val="none"/>
        </w:rPr>
      </w:pPr>
    </w:p>
    <w:p w14:paraId="678FEDAF">
      <w:pPr>
        <w:spacing w:after="60"/>
        <w:jc w:val="center"/>
        <w:rPr>
          <w:rFonts w:cs="宋体" w:asciiTheme="minorEastAsia" w:hAnsiTheme="minorEastAsia" w:eastAsiaTheme="minorEastAsia"/>
          <w:b/>
          <w:bCs/>
          <w:sz w:val="72"/>
          <w:szCs w:val="72"/>
          <w:highlight w:val="none"/>
        </w:rPr>
      </w:pPr>
    </w:p>
    <w:p w14:paraId="6DA0D6E3">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供应商（盖公章）：</w:t>
      </w:r>
      <w:r>
        <w:rPr>
          <w:rFonts w:hint="eastAsia" w:cs="宋体" w:asciiTheme="minorEastAsia" w:hAnsiTheme="minorEastAsia" w:eastAsiaTheme="minorEastAsia"/>
          <w:b/>
          <w:sz w:val="24"/>
          <w:highlight w:val="none"/>
          <w:u w:val="single"/>
        </w:rPr>
        <w:t xml:space="preserve">                            </w:t>
      </w:r>
    </w:p>
    <w:p w14:paraId="30178B14">
      <w:pPr>
        <w:spacing w:line="480" w:lineRule="auto"/>
        <w:ind w:firstLine="482" w:firstLineChars="200"/>
        <w:rPr>
          <w:rFonts w:cs="宋体" w:asciiTheme="minorEastAsia" w:hAnsiTheme="minorEastAsia" w:eastAsiaTheme="minorEastAsia"/>
          <w:b/>
          <w:sz w:val="24"/>
          <w:highlight w:val="none"/>
          <w:u w:val="single"/>
        </w:rPr>
      </w:pPr>
      <w:r>
        <w:rPr>
          <w:rFonts w:hint="eastAsia" w:cs="宋体" w:asciiTheme="minorEastAsia" w:hAnsiTheme="minorEastAsia" w:eastAsiaTheme="minorEastAsia"/>
          <w:b/>
          <w:sz w:val="24"/>
          <w:highlight w:val="none"/>
        </w:rPr>
        <w:t>法定代表人（或其委托代理人）（签字或盖章）：</w:t>
      </w:r>
      <w:r>
        <w:rPr>
          <w:rFonts w:hint="eastAsia" w:cs="宋体" w:asciiTheme="minorEastAsia" w:hAnsiTheme="minorEastAsia" w:eastAsiaTheme="minorEastAsia"/>
          <w:b/>
          <w:sz w:val="24"/>
          <w:highlight w:val="none"/>
          <w:u w:val="single"/>
        </w:rPr>
        <w:t xml:space="preserve">                  </w:t>
      </w:r>
    </w:p>
    <w:p w14:paraId="338A32EA">
      <w:pPr>
        <w:spacing w:line="48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日    期：</w:t>
      </w:r>
      <w:r>
        <w:rPr>
          <w:rFonts w:hint="eastAsia" w:cs="宋体" w:asciiTheme="minorEastAsia" w:hAnsiTheme="minorEastAsia" w:eastAsiaTheme="minorEastAsia"/>
          <w:b/>
          <w:sz w:val="24"/>
          <w:highlight w:val="none"/>
          <w:u w:val="single"/>
        </w:rPr>
        <w:t xml:space="preserve">                                                  </w:t>
      </w:r>
    </w:p>
    <w:p w14:paraId="15BC0BC1">
      <w:pPr>
        <w:widowControl/>
        <w:jc w:val="left"/>
        <w:rPr>
          <w:rFonts w:cs="宋体" w:asciiTheme="minorEastAsia" w:hAnsiTheme="minorEastAsia" w:eastAsiaTheme="minorEastAsia"/>
          <w:sz w:val="32"/>
          <w:szCs w:val="32"/>
          <w:highlight w:val="none"/>
        </w:rPr>
      </w:pPr>
    </w:p>
    <w:p w14:paraId="5C388DB1">
      <w:pPr>
        <w:snapToGrid w:val="0"/>
        <w:spacing w:line="300" w:lineRule="auto"/>
        <w:contextualSpacing/>
        <w:rPr>
          <w:rFonts w:cs="宋体"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附件1：</w:t>
      </w:r>
    </w:p>
    <w:p w14:paraId="45B37EB8">
      <w:pPr>
        <w:snapToGrid w:val="0"/>
        <w:jc w:val="center"/>
        <w:rPr>
          <w:rFonts w:cs="宋体" w:asciiTheme="minorEastAsia" w:hAnsiTheme="minorEastAsia" w:eastAsiaTheme="minorEastAsia"/>
          <w:b/>
          <w:sz w:val="36"/>
          <w:szCs w:val="36"/>
          <w:highlight w:val="none"/>
        </w:rPr>
      </w:pPr>
      <w:r>
        <w:rPr>
          <w:rFonts w:hint="eastAsia" w:cs="宋体" w:asciiTheme="minorEastAsia" w:hAnsiTheme="minorEastAsia" w:eastAsiaTheme="minorEastAsia"/>
          <w:b/>
          <w:sz w:val="36"/>
          <w:szCs w:val="36"/>
          <w:highlight w:val="none"/>
        </w:rPr>
        <w:t>磋商报价总表</w:t>
      </w:r>
    </w:p>
    <w:tbl>
      <w:tblPr>
        <w:tblStyle w:val="19"/>
        <w:tblW w:w="9597" w:type="dxa"/>
        <w:tblInd w:w="95" w:type="dxa"/>
        <w:tblLayout w:type="fixed"/>
        <w:tblCellMar>
          <w:top w:w="0" w:type="dxa"/>
          <w:left w:w="108" w:type="dxa"/>
          <w:bottom w:w="0" w:type="dxa"/>
          <w:right w:w="108" w:type="dxa"/>
        </w:tblCellMar>
      </w:tblPr>
      <w:tblGrid>
        <w:gridCol w:w="2990"/>
        <w:gridCol w:w="3638"/>
        <w:gridCol w:w="236"/>
        <w:gridCol w:w="1513"/>
        <w:gridCol w:w="980"/>
        <w:gridCol w:w="240"/>
      </w:tblGrid>
      <w:tr w14:paraId="40FBDE8D">
        <w:tblPrEx>
          <w:tblCellMar>
            <w:top w:w="0" w:type="dxa"/>
            <w:left w:w="108" w:type="dxa"/>
            <w:bottom w:w="0" w:type="dxa"/>
            <w:right w:w="108" w:type="dxa"/>
          </w:tblCellMar>
        </w:tblPrEx>
        <w:trPr>
          <w:trHeight w:val="405" w:hRule="atLeast"/>
        </w:trPr>
        <w:tc>
          <w:tcPr>
            <w:tcW w:w="2990" w:type="dxa"/>
            <w:tcBorders>
              <w:top w:val="nil"/>
              <w:left w:val="nil"/>
              <w:bottom w:val="nil"/>
              <w:right w:val="nil"/>
            </w:tcBorders>
            <w:noWrap/>
            <w:vAlign w:val="center"/>
          </w:tcPr>
          <w:p w14:paraId="48D94534">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项目名称：</w:t>
            </w:r>
          </w:p>
        </w:tc>
        <w:tc>
          <w:tcPr>
            <w:tcW w:w="3638" w:type="dxa"/>
            <w:tcBorders>
              <w:top w:val="nil"/>
              <w:left w:val="nil"/>
              <w:bottom w:val="nil"/>
              <w:right w:val="nil"/>
            </w:tcBorders>
            <w:noWrap/>
            <w:vAlign w:val="center"/>
          </w:tcPr>
          <w:p w14:paraId="631D3CAD">
            <w:pPr>
              <w:widowControl/>
              <w:spacing w:line="240" w:lineRule="exact"/>
              <w:jc w:val="left"/>
              <w:rPr>
                <w:rFonts w:cs="宋体" w:asciiTheme="minorEastAsia" w:hAnsiTheme="minorEastAsia" w:eastAsiaTheme="minorEastAsia"/>
                <w:kern w:val="0"/>
                <w:sz w:val="24"/>
                <w:highlight w:val="none"/>
              </w:rPr>
            </w:pPr>
          </w:p>
        </w:tc>
        <w:tc>
          <w:tcPr>
            <w:tcW w:w="236" w:type="dxa"/>
            <w:tcBorders>
              <w:top w:val="nil"/>
              <w:left w:val="nil"/>
              <w:bottom w:val="nil"/>
              <w:right w:val="nil"/>
            </w:tcBorders>
            <w:noWrap/>
            <w:vAlign w:val="center"/>
          </w:tcPr>
          <w:p w14:paraId="0DA267CC">
            <w:pPr>
              <w:widowControl/>
              <w:spacing w:line="240" w:lineRule="exact"/>
              <w:jc w:val="left"/>
              <w:rPr>
                <w:rFonts w:cs="宋体" w:asciiTheme="minorEastAsia" w:hAnsiTheme="minorEastAsia" w:eastAsiaTheme="minorEastAsia"/>
                <w:kern w:val="0"/>
                <w:sz w:val="24"/>
                <w:highlight w:val="none"/>
              </w:rPr>
            </w:pPr>
          </w:p>
        </w:tc>
        <w:tc>
          <w:tcPr>
            <w:tcW w:w="2493" w:type="dxa"/>
            <w:gridSpan w:val="2"/>
            <w:tcBorders>
              <w:top w:val="nil"/>
              <w:left w:val="nil"/>
              <w:bottom w:val="nil"/>
              <w:right w:val="nil"/>
            </w:tcBorders>
            <w:noWrap/>
            <w:vAlign w:val="center"/>
          </w:tcPr>
          <w:p w14:paraId="0CFCADCE">
            <w:pPr>
              <w:widowControl/>
              <w:spacing w:line="240" w:lineRule="exact"/>
              <w:jc w:val="left"/>
              <w:rPr>
                <w:rFonts w:cs="宋体" w:asciiTheme="minorEastAsia" w:hAnsiTheme="minorEastAsia" w:eastAsiaTheme="minorEastAsia"/>
                <w:kern w:val="0"/>
                <w:sz w:val="24"/>
                <w:highlight w:val="none"/>
              </w:rPr>
            </w:pPr>
          </w:p>
        </w:tc>
        <w:tc>
          <w:tcPr>
            <w:tcW w:w="240" w:type="dxa"/>
            <w:tcBorders>
              <w:top w:val="nil"/>
              <w:left w:val="nil"/>
              <w:bottom w:val="nil"/>
              <w:right w:val="nil"/>
            </w:tcBorders>
            <w:noWrap/>
            <w:vAlign w:val="center"/>
          </w:tcPr>
          <w:p w14:paraId="634C10F4">
            <w:pPr>
              <w:widowControl/>
              <w:spacing w:line="240" w:lineRule="exact"/>
              <w:jc w:val="left"/>
              <w:rPr>
                <w:rFonts w:cs="宋体" w:asciiTheme="minorEastAsia" w:hAnsiTheme="minorEastAsia" w:eastAsiaTheme="minorEastAsia"/>
                <w:kern w:val="0"/>
                <w:sz w:val="24"/>
                <w:highlight w:val="none"/>
              </w:rPr>
            </w:pPr>
          </w:p>
        </w:tc>
      </w:tr>
      <w:tr w14:paraId="3D08EC19">
        <w:tblPrEx>
          <w:tblCellMar>
            <w:top w:w="0" w:type="dxa"/>
            <w:left w:w="108" w:type="dxa"/>
            <w:bottom w:w="0" w:type="dxa"/>
            <w:right w:w="108" w:type="dxa"/>
          </w:tblCellMar>
        </w:tblPrEx>
        <w:trPr>
          <w:trHeight w:val="420" w:hRule="atLeast"/>
        </w:trPr>
        <w:tc>
          <w:tcPr>
            <w:tcW w:w="2990" w:type="dxa"/>
            <w:tcBorders>
              <w:top w:val="nil"/>
              <w:left w:val="nil"/>
              <w:bottom w:val="nil"/>
              <w:right w:val="nil"/>
            </w:tcBorders>
            <w:noWrap/>
            <w:vAlign w:val="center"/>
          </w:tcPr>
          <w:p w14:paraId="4555CE06">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项目编号：</w:t>
            </w:r>
          </w:p>
        </w:tc>
        <w:tc>
          <w:tcPr>
            <w:tcW w:w="3638" w:type="dxa"/>
            <w:tcBorders>
              <w:top w:val="nil"/>
              <w:left w:val="nil"/>
              <w:bottom w:val="nil"/>
              <w:right w:val="nil"/>
            </w:tcBorders>
            <w:noWrap/>
            <w:vAlign w:val="center"/>
          </w:tcPr>
          <w:p w14:paraId="725C72AB">
            <w:pPr>
              <w:widowControl/>
              <w:spacing w:line="240" w:lineRule="exact"/>
              <w:jc w:val="left"/>
              <w:rPr>
                <w:rFonts w:cs="宋体" w:asciiTheme="minorEastAsia" w:hAnsiTheme="minorEastAsia" w:eastAsiaTheme="minorEastAsia"/>
                <w:kern w:val="0"/>
                <w:sz w:val="24"/>
                <w:highlight w:val="none"/>
              </w:rPr>
            </w:pPr>
          </w:p>
        </w:tc>
        <w:tc>
          <w:tcPr>
            <w:tcW w:w="236" w:type="dxa"/>
            <w:tcBorders>
              <w:top w:val="nil"/>
              <w:left w:val="nil"/>
              <w:bottom w:val="nil"/>
              <w:right w:val="nil"/>
            </w:tcBorders>
            <w:noWrap/>
            <w:vAlign w:val="center"/>
          </w:tcPr>
          <w:p w14:paraId="6DE31854">
            <w:pPr>
              <w:widowControl/>
              <w:spacing w:line="240" w:lineRule="exact"/>
              <w:jc w:val="left"/>
              <w:rPr>
                <w:rFonts w:cs="宋体" w:asciiTheme="minorEastAsia" w:hAnsiTheme="minorEastAsia" w:eastAsiaTheme="minorEastAsia"/>
                <w:kern w:val="0"/>
                <w:sz w:val="24"/>
                <w:highlight w:val="none"/>
              </w:rPr>
            </w:pPr>
          </w:p>
        </w:tc>
        <w:tc>
          <w:tcPr>
            <w:tcW w:w="2493" w:type="dxa"/>
            <w:gridSpan w:val="2"/>
            <w:tcBorders>
              <w:top w:val="nil"/>
              <w:left w:val="nil"/>
              <w:bottom w:val="nil"/>
              <w:right w:val="nil"/>
            </w:tcBorders>
            <w:noWrap/>
            <w:vAlign w:val="center"/>
          </w:tcPr>
          <w:p w14:paraId="6FF5F632">
            <w:pPr>
              <w:widowControl/>
              <w:spacing w:line="240" w:lineRule="exact"/>
              <w:jc w:val="left"/>
              <w:rPr>
                <w:rFonts w:cs="宋体" w:asciiTheme="minorEastAsia" w:hAnsiTheme="minorEastAsia" w:eastAsiaTheme="minorEastAsia"/>
                <w:kern w:val="0"/>
                <w:sz w:val="24"/>
                <w:highlight w:val="none"/>
              </w:rPr>
            </w:pPr>
          </w:p>
        </w:tc>
        <w:tc>
          <w:tcPr>
            <w:tcW w:w="240" w:type="dxa"/>
            <w:tcBorders>
              <w:top w:val="nil"/>
              <w:left w:val="nil"/>
              <w:bottom w:val="nil"/>
              <w:right w:val="nil"/>
            </w:tcBorders>
            <w:noWrap/>
            <w:vAlign w:val="center"/>
          </w:tcPr>
          <w:p w14:paraId="2F04A80F">
            <w:pPr>
              <w:widowControl/>
              <w:spacing w:line="240" w:lineRule="exact"/>
              <w:jc w:val="left"/>
              <w:rPr>
                <w:rFonts w:cs="宋体" w:asciiTheme="minorEastAsia" w:hAnsiTheme="minorEastAsia" w:eastAsiaTheme="minorEastAsia"/>
                <w:kern w:val="0"/>
                <w:sz w:val="24"/>
                <w:highlight w:val="none"/>
              </w:rPr>
            </w:pPr>
          </w:p>
        </w:tc>
      </w:tr>
      <w:tr w14:paraId="63926FEC">
        <w:tblPrEx>
          <w:tblCellMar>
            <w:top w:w="0" w:type="dxa"/>
            <w:left w:w="108" w:type="dxa"/>
            <w:bottom w:w="0" w:type="dxa"/>
            <w:right w:w="108" w:type="dxa"/>
          </w:tblCellMar>
        </w:tblPrEx>
        <w:trPr>
          <w:gridAfter w:val="2"/>
          <w:wAfter w:w="1220" w:type="dxa"/>
          <w:trHeight w:val="383" w:hRule="atLeast"/>
        </w:trPr>
        <w:tc>
          <w:tcPr>
            <w:tcW w:w="2990" w:type="dxa"/>
            <w:vMerge w:val="restart"/>
            <w:tcBorders>
              <w:top w:val="single" w:color="auto" w:sz="4" w:space="0"/>
              <w:left w:val="single" w:color="auto" w:sz="4" w:space="0"/>
              <w:bottom w:val="single" w:color="auto" w:sz="4" w:space="0"/>
              <w:right w:val="single" w:color="auto" w:sz="4" w:space="0"/>
            </w:tcBorders>
            <w:noWrap/>
            <w:vAlign w:val="center"/>
          </w:tcPr>
          <w:p w14:paraId="4EA9BE23">
            <w:pPr>
              <w:widowControl/>
              <w:spacing w:line="240" w:lineRule="exact"/>
              <w:jc w:val="center"/>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投标总报价</w:t>
            </w:r>
          </w:p>
        </w:tc>
        <w:tc>
          <w:tcPr>
            <w:tcW w:w="5387" w:type="dxa"/>
            <w:gridSpan w:val="3"/>
            <w:tcBorders>
              <w:top w:val="single" w:color="auto" w:sz="4" w:space="0"/>
              <w:left w:val="nil"/>
              <w:bottom w:val="single" w:color="auto" w:sz="4" w:space="0"/>
              <w:right w:val="single" w:color="auto" w:sz="4" w:space="0"/>
            </w:tcBorders>
            <w:noWrap/>
            <w:vAlign w:val="center"/>
          </w:tcPr>
          <w:p w14:paraId="278C5B35">
            <w:pPr>
              <w:widowControl/>
              <w:spacing w:line="240" w:lineRule="exact"/>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大写：</w:t>
            </w:r>
          </w:p>
        </w:tc>
      </w:tr>
      <w:tr w14:paraId="427A8D80">
        <w:tblPrEx>
          <w:tblCellMar>
            <w:top w:w="0" w:type="dxa"/>
            <w:left w:w="108" w:type="dxa"/>
            <w:bottom w:w="0" w:type="dxa"/>
            <w:right w:w="108" w:type="dxa"/>
          </w:tblCellMar>
        </w:tblPrEx>
        <w:trPr>
          <w:gridAfter w:val="2"/>
          <w:wAfter w:w="1220" w:type="dxa"/>
          <w:trHeight w:val="417" w:hRule="atLeast"/>
        </w:trPr>
        <w:tc>
          <w:tcPr>
            <w:tcW w:w="2990" w:type="dxa"/>
            <w:vMerge w:val="continue"/>
            <w:tcBorders>
              <w:top w:val="single" w:color="auto" w:sz="4" w:space="0"/>
              <w:left w:val="single" w:color="auto" w:sz="4" w:space="0"/>
              <w:bottom w:val="single" w:color="auto" w:sz="4" w:space="0"/>
              <w:right w:val="single" w:color="auto" w:sz="4" w:space="0"/>
            </w:tcBorders>
            <w:vAlign w:val="center"/>
          </w:tcPr>
          <w:p w14:paraId="0BA4932F">
            <w:pPr>
              <w:widowControl/>
              <w:spacing w:line="240" w:lineRule="exact"/>
              <w:jc w:val="center"/>
              <w:rPr>
                <w:rFonts w:cs="宋体" w:asciiTheme="minorEastAsia" w:hAnsiTheme="minorEastAsia" w:eastAsiaTheme="minorEastAsia"/>
                <w:kern w:val="0"/>
                <w:sz w:val="24"/>
                <w:highlight w:val="none"/>
              </w:rPr>
            </w:pPr>
          </w:p>
        </w:tc>
        <w:tc>
          <w:tcPr>
            <w:tcW w:w="5387" w:type="dxa"/>
            <w:gridSpan w:val="3"/>
            <w:tcBorders>
              <w:top w:val="single" w:color="auto" w:sz="4" w:space="0"/>
              <w:left w:val="nil"/>
              <w:bottom w:val="single" w:color="auto" w:sz="4" w:space="0"/>
              <w:right w:val="single" w:color="auto" w:sz="4" w:space="0"/>
            </w:tcBorders>
            <w:noWrap/>
            <w:vAlign w:val="center"/>
          </w:tcPr>
          <w:p w14:paraId="58148690">
            <w:pPr>
              <w:widowControl/>
              <w:spacing w:line="240" w:lineRule="exact"/>
              <w:jc w:val="left"/>
              <w:rPr>
                <w:rFonts w:cs="宋体" w:asciiTheme="minorEastAsia" w:hAnsiTheme="minorEastAsia" w:eastAsiaTheme="minorEastAsia"/>
                <w:kern w:val="0"/>
                <w:sz w:val="24"/>
                <w:highlight w:val="none"/>
              </w:rPr>
            </w:pPr>
            <w:r>
              <w:rPr>
                <w:rFonts w:hint="eastAsia" w:cs="宋体" w:asciiTheme="minorEastAsia" w:hAnsiTheme="minorEastAsia" w:eastAsiaTheme="minorEastAsia"/>
                <w:kern w:val="0"/>
                <w:sz w:val="24"/>
                <w:highlight w:val="none"/>
              </w:rPr>
              <w:t>小写：</w:t>
            </w:r>
          </w:p>
        </w:tc>
      </w:tr>
    </w:tbl>
    <w:p w14:paraId="6BDC8D02">
      <w:pPr>
        <w:snapToGrid w:val="0"/>
        <w:spacing w:line="360" w:lineRule="auto"/>
        <w:ind w:firstLine="480" w:firstLineChars="200"/>
        <w:contextualSpacing/>
        <w:jc w:val="left"/>
        <w:rPr>
          <w:rFonts w:cs="宋体" w:asciiTheme="minorEastAsia" w:hAnsiTheme="minorEastAsia" w:eastAsiaTheme="minorEastAsia"/>
          <w:sz w:val="24"/>
          <w:highlight w:val="none"/>
        </w:rPr>
      </w:pPr>
    </w:p>
    <w:p w14:paraId="410DF918">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供应商（盖单位公章）：</w:t>
      </w:r>
      <w:r>
        <w:rPr>
          <w:rFonts w:hint="eastAsia" w:cs="宋体" w:asciiTheme="minorEastAsia" w:hAnsiTheme="minorEastAsia" w:eastAsiaTheme="minorEastAsia"/>
          <w:sz w:val="24"/>
          <w:highlight w:val="none"/>
          <w:u w:val="single"/>
        </w:rPr>
        <w:t xml:space="preserve">                    </w:t>
      </w:r>
    </w:p>
    <w:p w14:paraId="1539778B">
      <w:pPr>
        <w:kinsoku w:val="0"/>
        <w:topLinePunct/>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法定代表人或委托代理人（签字或盖章）：</w:t>
      </w:r>
    </w:p>
    <w:p w14:paraId="440E92BB">
      <w:pPr>
        <w:snapToGrid w:val="0"/>
        <w:spacing w:line="360" w:lineRule="auto"/>
        <w:ind w:firstLine="1200" w:firstLineChars="5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年    月    日</w:t>
      </w:r>
    </w:p>
    <w:p w14:paraId="4956BF0A">
      <w:pPr>
        <w:snapToGrid w:val="0"/>
        <w:spacing w:line="360" w:lineRule="auto"/>
        <w:ind w:firstLine="480" w:firstLineChars="200"/>
        <w:contextualSpacing/>
        <w:jc w:val="left"/>
        <w:rPr>
          <w:rFonts w:cs="宋体" w:asciiTheme="minorEastAsia" w:hAnsiTheme="minorEastAsia" w:eastAsiaTheme="minorEastAsia"/>
          <w:sz w:val="24"/>
          <w:highlight w:val="none"/>
        </w:rPr>
      </w:pPr>
    </w:p>
    <w:p w14:paraId="02266743">
      <w:pPr>
        <w:pStyle w:val="18"/>
        <w:rPr>
          <w:rFonts w:asciiTheme="minorEastAsia" w:hAnsiTheme="minorEastAsia" w:eastAsiaTheme="minorEastAsia"/>
          <w:highlight w:val="none"/>
        </w:rPr>
      </w:pPr>
    </w:p>
    <w:p w14:paraId="7A9C11A7">
      <w:pPr>
        <w:pStyle w:val="18"/>
        <w:rPr>
          <w:rFonts w:asciiTheme="minorEastAsia" w:hAnsiTheme="minorEastAsia" w:eastAsiaTheme="minorEastAsia"/>
          <w:highlight w:val="none"/>
        </w:rPr>
      </w:pPr>
    </w:p>
    <w:p w14:paraId="1D9373BE">
      <w:pPr>
        <w:pStyle w:val="18"/>
        <w:rPr>
          <w:rFonts w:asciiTheme="minorEastAsia" w:hAnsiTheme="minorEastAsia" w:eastAsiaTheme="minorEastAsia"/>
          <w:highlight w:val="none"/>
        </w:rPr>
      </w:pPr>
    </w:p>
    <w:p w14:paraId="198905D0">
      <w:pPr>
        <w:pStyle w:val="18"/>
        <w:rPr>
          <w:rFonts w:asciiTheme="minorEastAsia" w:hAnsiTheme="minorEastAsia" w:eastAsiaTheme="minorEastAsia"/>
          <w:highlight w:val="none"/>
        </w:rPr>
      </w:pPr>
    </w:p>
    <w:p w14:paraId="644E5DC7">
      <w:pPr>
        <w:snapToGrid w:val="0"/>
        <w:spacing w:line="360" w:lineRule="auto"/>
        <w:ind w:firstLine="482" w:firstLineChars="200"/>
        <w:contextualSpacing/>
        <w:jc w:val="left"/>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注：</w:t>
      </w:r>
      <w:r>
        <w:rPr>
          <w:rFonts w:hint="eastAsia" w:cs="宋体" w:asciiTheme="minorEastAsia" w:hAnsiTheme="minorEastAsia" w:eastAsiaTheme="minorEastAsia"/>
          <w:b/>
          <w:kern w:val="0"/>
          <w:sz w:val="24"/>
          <w:highlight w:val="none"/>
        </w:rPr>
        <w:t>供应商此表为首轮报价，最终报价在磋商现场填写</w:t>
      </w:r>
      <w:r>
        <w:rPr>
          <w:rFonts w:hint="eastAsia" w:asciiTheme="minorEastAsia" w:hAnsiTheme="minorEastAsia" w:eastAsiaTheme="minorEastAsia"/>
          <w:sz w:val="24"/>
          <w:highlight w:val="none"/>
        </w:rPr>
        <w:t>。</w:t>
      </w:r>
      <w:r>
        <w:rPr>
          <w:rFonts w:hint="eastAsia" w:cs="宋体" w:asciiTheme="minorEastAsia" w:hAnsiTheme="minorEastAsia" w:eastAsiaTheme="minorEastAsia"/>
          <w:b/>
          <w:kern w:val="0"/>
          <w:sz w:val="24"/>
          <w:highlight w:val="none"/>
        </w:rPr>
        <w:t>响应文件密封提交时只需填写磋商报价总计（首次）的报价。</w:t>
      </w:r>
    </w:p>
    <w:p w14:paraId="6C435269">
      <w:pPr>
        <w:widowControl/>
        <w:jc w:val="left"/>
        <w:rPr>
          <w:rFonts w:asciiTheme="minorEastAsia" w:hAnsiTheme="minorEastAsia" w:eastAsiaTheme="minorEastAsia"/>
          <w:highlight w:val="none"/>
        </w:rPr>
      </w:pPr>
    </w:p>
    <w:p w14:paraId="1AC0E91F">
      <w:pPr>
        <w:pStyle w:val="18"/>
        <w:rPr>
          <w:rFonts w:asciiTheme="minorEastAsia" w:hAnsiTheme="minorEastAsia" w:eastAsiaTheme="minorEastAsia"/>
          <w:highlight w:val="none"/>
        </w:rPr>
        <w:sectPr>
          <w:footerReference r:id="rId4" w:type="default"/>
          <w:pgSz w:w="11907" w:h="16839"/>
          <w:pgMar w:top="1440" w:right="1797" w:bottom="1440" w:left="1797" w:header="720" w:footer="720" w:gutter="0"/>
          <w:cols w:space="720" w:num="1"/>
          <w:docGrid w:linePitch="286" w:charSpace="0"/>
        </w:sectPr>
      </w:pPr>
      <w:r>
        <w:rPr>
          <w:rFonts w:asciiTheme="minorEastAsia" w:hAnsiTheme="minorEastAsia" w:eastAsiaTheme="minorEastAsia"/>
          <w:highlight w:val="none"/>
        </w:rPr>
        <w:br w:type="page"/>
      </w:r>
    </w:p>
    <w:p w14:paraId="72FF7B8B">
      <w:pPr>
        <w:widowControl/>
        <w:spacing w:line="360" w:lineRule="auto"/>
        <w:jc w:val="left"/>
        <w:rPr>
          <w:rFonts w:asciiTheme="minorEastAsia" w:hAnsiTheme="minorEastAsia" w:eastAsiaTheme="minorEastAsia"/>
          <w:sz w:val="32"/>
          <w:szCs w:val="32"/>
          <w:highlight w:val="none"/>
        </w:rPr>
      </w:pPr>
      <w:r>
        <w:rPr>
          <w:rFonts w:hint="eastAsia" w:cs="宋体" w:asciiTheme="minorEastAsia" w:hAnsiTheme="minorEastAsia" w:eastAsiaTheme="minorEastAsia"/>
          <w:sz w:val="32"/>
          <w:szCs w:val="32"/>
          <w:highlight w:val="none"/>
        </w:rPr>
        <w:t>附件</w:t>
      </w:r>
      <w:r>
        <w:rPr>
          <w:rFonts w:cs="宋体" w:asciiTheme="minorEastAsia" w:hAnsiTheme="minorEastAsia" w:eastAsiaTheme="minorEastAsia"/>
          <w:sz w:val="32"/>
          <w:szCs w:val="32"/>
          <w:highlight w:val="none"/>
        </w:rPr>
        <w:t>2</w:t>
      </w:r>
      <w:r>
        <w:rPr>
          <w:rFonts w:hint="eastAsia" w:cs="宋体" w:asciiTheme="minorEastAsia" w:hAnsiTheme="minorEastAsia" w:eastAsiaTheme="minorEastAsia"/>
          <w:sz w:val="32"/>
          <w:szCs w:val="32"/>
          <w:highlight w:val="none"/>
        </w:rPr>
        <w:t>：</w:t>
      </w:r>
      <w:bookmarkStart w:id="99" w:name="_Toc217446086"/>
    </w:p>
    <w:bookmarkEnd w:id="99"/>
    <w:p w14:paraId="6A91615F">
      <w:pPr>
        <w:spacing w:line="360" w:lineRule="auto"/>
        <w:jc w:val="center"/>
        <w:rPr>
          <w:rFonts w:ascii="宋体" w:hAnsi="宋体" w:cs="宋体"/>
          <w:b/>
          <w:bCs/>
          <w:sz w:val="32"/>
          <w:szCs w:val="32"/>
          <w:highlight w:val="none"/>
        </w:rPr>
      </w:pPr>
      <w:r>
        <w:rPr>
          <w:rFonts w:hint="eastAsia" w:ascii="宋体" w:hAnsi="宋体" w:cs="宋体"/>
          <w:b/>
          <w:bCs/>
          <w:sz w:val="32"/>
          <w:szCs w:val="32"/>
          <w:highlight w:val="none"/>
        </w:rPr>
        <w:t>分项报价明细表</w:t>
      </w:r>
    </w:p>
    <w:p w14:paraId="13D98406">
      <w:pPr>
        <w:spacing w:line="360" w:lineRule="auto"/>
        <w:jc w:val="center"/>
        <w:rPr>
          <w:rFonts w:ascii="宋体" w:hAnsi="宋体" w:cs="宋体"/>
          <w:sz w:val="28"/>
          <w:szCs w:val="28"/>
          <w:highlight w:val="none"/>
        </w:rPr>
      </w:pPr>
      <w:r>
        <w:rPr>
          <w:rFonts w:hint="eastAsia" w:ascii="宋体" w:hAnsi="宋体" w:cs="宋体"/>
          <w:b/>
          <w:bCs/>
          <w:sz w:val="32"/>
          <w:szCs w:val="32"/>
          <w:highlight w:val="none"/>
        </w:rPr>
        <w:t>（格式自拟）</w:t>
      </w:r>
    </w:p>
    <w:p w14:paraId="74D33842">
      <w:pPr>
        <w:snapToGrid w:val="0"/>
        <w:spacing w:line="360" w:lineRule="auto"/>
        <w:outlineLvl w:val="0"/>
        <w:rPr>
          <w:rFonts w:ascii="宋体" w:hAnsi="宋体" w:cs="宋体"/>
          <w:sz w:val="24"/>
          <w:highlight w:val="none"/>
        </w:rPr>
      </w:pPr>
    </w:p>
    <w:p w14:paraId="5583C6D2">
      <w:pPr>
        <w:snapToGrid w:val="0"/>
        <w:spacing w:line="360" w:lineRule="auto"/>
        <w:rPr>
          <w:rFonts w:ascii="宋体" w:hAnsi="宋体" w:cs="宋体"/>
          <w:sz w:val="24"/>
          <w:highlight w:val="none"/>
        </w:rPr>
      </w:pPr>
      <w:r>
        <w:rPr>
          <w:rFonts w:hint="eastAsia" w:ascii="宋体" w:hAnsi="宋体" w:cs="宋体"/>
          <w:sz w:val="24"/>
          <w:highlight w:val="none"/>
        </w:rPr>
        <w:t>供应商（盖单位公章）：</w:t>
      </w:r>
    </w:p>
    <w:p w14:paraId="31BBE07A">
      <w:pPr>
        <w:kinsoku w:val="0"/>
        <w:topLinePunct/>
        <w:snapToGrid w:val="0"/>
        <w:spacing w:line="360" w:lineRule="auto"/>
        <w:rPr>
          <w:rFonts w:ascii="宋体" w:hAnsi="宋体" w:cs="宋体"/>
          <w:sz w:val="24"/>
          <w:highlight w:val="none"/>
        </w:rPr>
      </w:pPr>
      <w:r>
        <w:rPr>
          <w:rFonts w:hint="eastAsia" w:ascii="宋体" w:hAnsi="宋体" w:cs="宋体"/>
          <w:sz w:val="24"/>
          <w:highlight w:val="none"/>
        </w:rPr>
        <w:t>法定代表人或委托代理人（亲笔签名）：</w:t>
      </w:r>
    </w:p>
    <w:p w14:paraId="40AB4673">
      <w:pPr>
        <w:snapToGrid w:val="0"/>
        <w:spacing w:line="360" w:lineRule="auto"/>
        <w:ind w:firstLine="1200" w:firstLineChars="500"/>
        <w:rPr>
          <w:rFonts w:ascii="宋体" w:hAnsi="宋体" w:cs="宋体"/>
          <w:sz w:val="24"/>
          <w:highlight w:val="none"/>
        </w:rPr>
      </w:pPr>
      <w:r>
        <w:rPr>
          <w:rFonts w:hint="eastAsia" w:ascii="宋体" w:hAnsi="宋体" w:cs="宋体"/>
          <w:sz w:val="24"/>
          <w:highlight w:val="none"/>
        </w:rPr>
        <w:t>年    月    日</w:t>
      </w:r>
    </w:p>
    <w:p w14:paraId="498CD1F3">
      <w:pPr>
        <w:snapToGrid w:val="0"/>
        <w:spacing w:line="360" w:lineRule="auto"/>
        <w:outlineLvl w:val="0"/>
        <w:rPr>
          <w:rFonts w:ascii="宋体" w:hAnsi="宋体" w:cs="宋体"/>
          <w:sz w:val="24"/>
          <w:highlight w:val="none"/>
        </w:rPr>
      </w:pPr>
    </w:p>
    <w:p w14:paraId="05AC8F13">
      <w:pPr>
        <w:snapToGrid w:val="0"/>
        <w:spacing w:line="360" w:lineRule="auto"/>
        <w:outlineLvl w:val="0"/>
        <w:rPr>
          <w:rFonts w:ascii="宋体" w:hAnsi="宋体" w:cs="宋体"/>
          <w:sz w:val="24"/>
          <w:highlight w:val="none"/>
        </w:rPr>
      </w:pPr>
    </w:p>
    <w:p w14:paraId="41DF2A9C">
      <w:pPr>
        <w:adjustRightInd w:val="0"/>
        <w:snapToGrid w:val="0"/>
        <w:spacing w:line="360" w:lineRule="auto"/>
        <w:ind w:firstLine="482" w:firstLineChars="200"/>
        <w:jc w:val="left"/>
        <w:rPr>
          <w:rFonts w:ascii="宋体" w:hAnsi="宋体" w:cs="宋体"/>
          <w:b/>
          <w:bCs/>
          <w:sz w:val="24"/>
          <w:highlight w:val="none"/>
        </w:rPr>
      </w:pPr>
      <w:r>
        <w:rPr>
          <w:rFonts w:hint="eastAsia" w:ascii="宋体" w:hAnsi="宋体" w:cs="宋体"/>
          <w:b/>
          <w:sz w:val="24"/>
          <w:highlight w:val="none"/>
        </w:rPr>
        <w:t>注：供应商必须详细报出本项目投标总报价各个组成部分的报价。且</w:t>
      </w:r>
      <w:r>
        <w:rPr>
          <w:rFonts w:hint="eastAsia" w:ascii="宋体" w:hAnsi="宋体" w:cs="宋体"/>
          <w:b/>
          <w:bCs/>
          <w:sz w:val="24"/>
          <w:highlight w:val="none"/>
        </w:rPr>
        <w:t>本表各分项报价合计应当与</w:t>
      </w:r>
      <w:r>
        <w:rPr>
          <w:rFonts w:hint="eastAsia" w:ascii="宋体" w:hAnsi="宋体" w:cs="宋体"/>
          <w:b/>
          <w:kern w:val="0"/>
          <w:sz w:val="24"/>
          <w:highlight w:val="none"/>
          <w:lang w:val="zh-CN"/>
        </w:rPr>
        <w:t>磋商报价总表</w:t>
      </w:r>
      <w:r>
        <w:rPr>
          <w:rFonts w:hint="eastAsia" w:ascii="宋体" w:hAnsi="宋体" w:cs="宋体"/>
          <w:b/>
          <w:bCs/>
          <w:sz w:val="24"/>
          <w:highlight w:val="none"/>
        </w:rPr>
        <w:t>报价合计相等。</w:t>
      </w:r>
    </w:p>
    <w:p w14:paraId="6844AF0C">
      <w:pPr>
        <w:rPr>
          <w:rFonts w:ascii="宋体" w:hAnsi="宋体" w:cs="宋体"/>
          <w:b/>
          <w:bCs/>
          <w:sz w:val="24"/>
          <w:highlight w:val="none"/>
        </w:rPr>
      </w:pPr>
      <w:r>
        <w:rPr>
          <w:rFonts w:hint="eastAsia" w:ascii="宋体" w:hAnsi="宋体" w:cs="宋体"/>
          <w:b/>
          <w:bCs/>
          <w:sz w:val="24"/>
          <w:highlight w:val="none"/>
        </w:rPr>
        <w:br w:type="page"/>
      </w:r>
    </w:p>
    <w:p w14:paraId="03C7950B">
      <w:pPr>
        <w:widowControl/>
        <w:spacing w:line="360" w:lineRule="auto"/>
        <w:jc w:val="left"/>
        <w:rPr>
          <w:rFonts w:ascii="宋体" w:hAnsi="宋体" w:cs="宋体"/>
          <w:sz w:val="28"/>
          <w:szCs w:val="28"/>
          <w:highlight w:val="none"/>
        </w:rPr>
      </w:pPr>
      <w:r>
        <w:rPr>
          <w:rFonts w:hint="eastAsia" w:cs="宋体" w:asciiTheme="minorEastAsia" w:hAnsiTheme="minorEastAsia" w:eastAsiaTheme="minorEastAsia"/>
          <w:sz w:val="32"/>
          <w:szCs w:val="32"/>
          <w:highlight w:val="none"/>
        </w:rPr>
        <w:t>附件3：</w:t>
      </w:r>
      <w:r>
        <w:rPr>
          <w:rFonts w:hint="eastAsia" w:ascii="宋体" w:hAnsi="宋体" w:cs="宋体"/>
          <w:sz w:val="28"/>
          <w:szCs w:val="28"/>
          <w:highlight w:val="none"/>
        </w:rPr>
        <w:t>《</w:t>
      </w:r>
      <w:r>
        <w:rPr>
          <w:rFonts w:ascii="宋体" w:hAnsi="宋体" w:cs="宋体"/>
          <w:sz w:val="28"/>
          <w:szCs w:val="28"/>
          <w:highlight w:val="none"/>
        </w:rPr>
        <w:t>中小企业声明函</w:t>
      </w:r>
      <w:r>
        <w:rPr>
          <w:rFonts w:hint="eastAsia" w:ascii="宋体" w:hAnsi="宋体" w:cs="宋体"/>
          <w:sz w:val="28"/>
          <w:szCs w:val="28"/>
          <w:highlight w:val="none"/>
        </w:rPr>
        <w:t>》等（如有）</w:t>
      </w:r>
    </w:p>
    <w:p w14:paraId="46C58AFE">
      <w:pPr>
        <w:snapToGrid w:val="0"/>
        <w:spacing w:line="300" w:lineRule="auto"/>
        <w:outlineLvl w:val="0"/>
        <w:rPr>
          <w:rFonts w:ascii="宋体" w:hAnsi="宋体"/>
          <w:sz w:val="28"/>
          <w:szCs w:val="28"/>
          <w:highlight w:val="none"/>
        </w:rPr>
      </w:pPr>
    </w:p>
    <w:p w14:paraId="792641F1">
      <w:pPr>
        <w:spacing w:before="120" w:beforeLines="50" w:after="120" w:afterLines="50" w:line="300" w:lineRule="auto"/>
        <w:jc w:val="center"/>
        <w:outlineLvl w:val="0"/>
        <w:rPr>
          <w:rFonts w:ascii="宋体" w:hAnsi="宋体"/>
          <w:b/>
          <w:bCs/>
          <w:sz w:val="28"/>
          <w:szCs w:val="28"/>
          <w:highlight w:val="none"/>
          <w:lang w:bidi="zh-CN"/>
        </w:rPr>
      </w:pPr>
      <w:r>
        <w:rPr>
          <w:rFonts w:ascii="宋体" w:hAnsi="宋体"/>
          <w:b/>
          <w:bCs/>
          <w:sz w:val="28"/>
          <w:szCs w:val="28"/>
          <w:highlight w:val="none"/>
          <w:lang w:bidi="zh-CN"/>
        </w:rPr>
        <w:t>中小企业声明函（工程、服务）</w:t>
      </w:r>
    </w:p>
    <w:p w14:paraId="4BCE4F31">
      <w:pPr>
        <w:adjustRightInd w:val="0"/>
        <w:snapToGrid w:val="0"/>
        <w:spacing w:line="360" w:lineRule="auto"/>
        <w:ind w:firstLine="480" w:firstLineChars="200"/>
        <w:outlineLvl w:val="0"/>
        <w:rPr>
          <w:rFonts w:ascii="宋体" w:hAnsi="宋体"/>
          <w:sz w:val="24"/>
          <w:highlight w:val="none"/>
          <w:lang w:bidi="zh-CN"/>
        </w:rPr>
      </w:pPr>
      <w:r>
        <w:rPr>
          <w:rFonts w:ascii="宋体" w:hAnsi="宋体"/>
          <w:sz w:val="24"/>
          <w:highlight w:val="none"/>
          <w:lang w:bidi="zh-CN"/>
        </w:rPr>
        <w:t>本公司（联合体）郑重声明，根据《政府采购促进中小企业发展管理办法》（财库</w:t>
      </w:r>
      <w:r>
        <w:rPr>
          <w:rFonts w:hint="eastAsia" w:ascii="宋体" w:hAnsi="宋体"/>
          <w:sz w:val="24"/>
          <w:highlight w:val="none"/>
          <w:lang w:bidi="zh-CN"/>
        </w:rPr>
        <w:t>﹝</w:t>
      </w:r>
      <w:r>
        <w:rPr>
          <w:rFonts w:ascii="宋体" w:hAnsi="宋体"/>
          <w:sz w:val="24"/>
          <w:highlight w:val="none"/>
          <w:lang w:bidi="zh-CN"/>
        </w:rPr>
        <w:t>2020</w:t>
      </w:r>
      <w:r>
        <w:rPr>
          <w:rFonts w:hint="eastAsia" w:ascii="宋体" w:hAnsi="宋体"/>
          <w:sz w:val="24"/>
          <w:highlight w:val="none"/>
          <w:lang w:bidi="zh-CN"/>
        </w:rPr>
        <w:t>﹞</w:t>
      </w:r>
      <w:r>
        <w:rPr>
          <w:rFonts w:ascii="宋体" w:hAnsi="宋体"/>
          <w:sz w:val="24"/>
          <w:highlight w:val="none"/>
          <w:lang w:bidi="zh-CN"/>
        </w:rPr>
        <w:t>46 号）的规定，本公司（联合体）参加</w:t>
      </w:r>
      <w:r>
        <w:rPr>
          <w:rFonts w:ascii="宋体" w:hAnsi="宋体"/>
          <w:sz w:val="24"/>
          <w:highlight w:val="none"/>
          <w:u w:val="single"/>
          <w:lang w:bidi="zh-CN"/>
        </w:rPr>
        <w:t>（单位名称）</w:t>
      </w:r>
      <w:r>
        <w:rPr>
          <w:rFonts w:ascii="宋体" w:hAnsi="宋体"/>
          <w:sz w:val="24"/>
          <w:highlight w:val="none"/>
          <w:lang w:bidi="zh-CN"/>
        </w:rPr>
        <w:t>的</w:t>
      </w:r>
      <w:r>
        <w:rPr>
          <w:rFonts w:ascii="宋体" w:hAnsi="宋体"/>
          <w:sz w:val="24"/>
          <w:highlight w:val="none"/>
          <w:u w:val="single"/>
          <w:lang w:bidi="zh-CN"/>
        </w:rPr>
        <w:t>（项目名称）</w:t>
      </w:r>
      <w:r>
        <w:rPr>
          <w:rFonts w:ascii="宋体" w:hAnsi="宋体"/>
          <w:sz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14:paraId="39C458BE">
      <w:pPr>
        <w:adjustRightInd w:val="0"/>
        <w:snapToGrid w:val="0"/>
        <w:spacing w:line="360" w:lineRule="auto"/>
        <w:outlineLvl w:val="0"/>
        <w:rPr>
          <w:rFonts w:ascii="宋体" w:hAnsi="宋体"/>
          <w:sz w:val="24"/>
          <w:highlight w:val="none"/>
          <w:lang w:bidi="zh-CN"/>
        </w:rPr>
      </w:pPr>
      <w:r>
        <w:rPr>
          <w:rFonts w:hint="eastAsia" w:ascii="宋体" w:hAnsi="宋体"/>
          <w:sz w:val="24"/>
          <w:highlight w:val="none"/>
          <w:lang w:bidi="zh-CN"/>
        </w:rPr>
        <w:t>1.</w:t>
      </w:r>
      <w:r>
        <w:rPr>
          <w:rFonts w:ascii="宋体" w:hAnsi="宋体"/>
          <w:sz w:val="24"/>
          <w:highlight w:val="none"/>
          <w:u w:val="single"/>
          <w:lang w:bidi="zh-CN"/>
        </w:rPr>
        <w:t>（标的名称）</w:t>
      </w:r>
      <w:r>
        <w:rPr>
          <w:rFonts w:ascii="宋体" w:hAnsi="宋体"/>
          <w:sz w:val="24"/>
          <w:highlight w:val="none"/>
          <w:lang w:bidi="zh-CN"/>
        </w:rPr>
        <w:t>，属于（</w:t>
      </w:r>
      <w:r>
        <w:rPr>
          <w:rFonts w:ascii="宋体" w:hAnsi="宋体"/>
          <w:sz w:val="24"/>
          <w:highlight w:val="none"/>
          <w:u w:val="single"/>
          <w:lang w:bidi="zh-CN"/>
        </w:rPr>
        <w:t>所属行业）</w:t>
      </w:r>
      <w:r>
        <w:rPr>
          <w:rFonts w:ascii="宋体" w:hAnsi="宋体"/>
          <w:sz w:val="24"/>
          <w:highlight w:val="none"/>
          <w:lang w:bidi="zh-CN"/>
        </w:rPr>
        <w:t>；承建（承接）企业为</w:t>
      </w:r>
      <w:r>
        <w:rPr>
          <w:rFonts w:ascii="宋体" w:hAnsi="宋体"/>
          <w:sz w:val="24"/>
          <w:highlight w:val="none"/>
          <w:u w:val="single"/>
          <w:lang w:bidi="zh-CN"/>
        </w:rPr>
        <w:t>（企业名称）</w:t>
      </w:r>
      <w:r>
        <w:rPr>
          <w:rFonts w:ascii="宋体" w:hAnsi="宋体"/>
          <w:sz w:val="24"/>
          <w:highlight w:val="none"/>
          <w:lang w:bidi="zh-CN"/>
        </w:rPr>
        <w:t>，从业人员</w:t>
      </w:r>
      <w:r>
        <w:rPr>
          <w:rFonts w:ascii="宋体" w:hAnsi="宋体"/>
          <w:sz w:val="24"/>
          <w:highlight w:val="none"/>
          <w:u w:val="single"/>
          <w:lang w:bidi="zh-CN"/>
        </w:rPr>
        <w:tab/>
      </w:r>
      <w:r>
        <w:rPr>
          <w:rFonts w:ascii="宋体" w:hAnsi="宋体"/>
          <w:sz w:val="24"/>
          <w:highlight w:val="none"/>
          <w:lang w:bidi="zh-CN"/>
        </w:rPr>
        <w:t>人，营业收入为</w:t>
      </w:r>
      <w:r>
        <w:rPr>
          <w:rFonts w:ascii="宋体" w:hAnsi="宋体"/>
          <w:sz w:val="24"/>
          <w:highlight w:val="none"/>
          <w:u w:val="single"/>
          <w:lang w:bidi="zh-CN"/>
        </w:rPr>
        <w:tab/>
      </w:r>
      <w:r>
        <w:rPr>
          <w:rFonts w:ascii="宋体" w:hAnsi="宋体"/>
          <w:sz w:val="24"/>
          <w:highlight w:val="none"/>
          <w:lang w:bidi="zh-CN"/>
        </w:rPr>
        <w:t>万元，资产总额为</w:t>
      </w:r>
      <w:r>
        <w:rPr>
          <w:rFonts w:ascii="宋体" w:hAnsi="宋体"/>
          <w:sz w:val="24"/>
          <w:highlight w:val="none"/>
          <w:u w:val="single"/>
          <w:lang w:bidi="zh-CN"/>
        </w:rPr>
        <w:tab/>
      </w:r>
      <w:r>
        <w:rPr>
          <w:rFonts w:ascii="宋体" w:hAnsi="宋体"/>
          <w:sz w:val="24"/>
          <w:highlight w:val="none"/>
          <w:lang w:bidi="zh-CN"/>
        </w:rPr>
        <w:t>万元，属于</w:t>
      </w:r>
      <w:r>
        <w:rPr>
          <w:rFonts w:ascii="宋体" w:hAnsi="宋体"/>
          <w:sz w:val="24"/>
          <w:highlight w:val="none"/>
          <w:u w:val="single"/>
          <w:lang w:bidi="zh-CN"/>
        </w:rPr>
        <w:t>（中型企业、小型企业、微型企业）</w:t>
      </w:r>
      <w:r>
        <w:rPr>
          <w:rFonts w:ascii="宋体" w:hAnsi="宋体"/>
          <w:sz w:val="24"/>
          <w:highlight w:val="none"/>
          <w:lang w:bidi="zh-CN"/>
        </w:rPr>
        <w:t>；</w:t>
      </w:r>
    </w:p>
    <w:p w14:paraId="4A040425">
      <w:pPr>
        <w:adjustRightInd w:val="0"/>
        <w:snapToGrid w:val="0"/>
        <w:spacing w:line="360" w:lineRule="auto"/>
        <w:outlineLvl w:val="0"/>
        <w:rPr>
          <w:rFonts w:ascii="宋体" w:hAnsi="宋体"/>
          <w:sz w:val="24"/>
          <w:highlight w:val="none"/>
          <w:lang w:bidi="zh-CN"/>
        </w:rPr>
      </w:pPr>
      <w:r>
        <w:rPr>
          <w:rFonts w:hint="eastAsia" w:ascii="宋体" w:hAnsi="宋体"/>
          <w:sz w:val="24"/>
          <w:highlight w:val="none"/>
          <w:lang w:bidi="zh-CN"/>
        </w:rPr>
        <w:t>2.</w:t>
      </w:r>
      <w:r>
        <w:rPr>
          <w:rFonts w:ascii="宋体" w:hAnsi="宋体"/>
          <w:sz w:val="24"/>
          <w:highlight w:val="none"/>
          <w:u w:val="single"/>
          <w:lang w:bidi="zh-CN"/>
        </w:rPr>
        <w:t>（标的名称）</w:t>
      </w:r>
      <w:r>
        <w:rPr>
          <w:rFonts w:ascii="宋体" w:hAnsi="宋体"/>
          <w:sz w:val="24"/>
          <w:highlight w:val="none"/>
          <w:lang w:bidi="zh-CN"/>
        </w:rPr>
        <w:t>，属于（</w:t>
      </w:r>
      <w:r>
        <w:rPr>
          <w:rFonts w:ascii="宋体" w:hAnsi="宋体"/>
          <w:sz w:val="24"/>
          <w:highlight w:val="none"/>
          <w:u w:val="single"/>
          <w:lang w:bidi="zh-CN"/>
        </w:rPr>
        <w:t>所属行业）</w:t>
      </w:r>
      <w:r>
        <w:rPr>
          <w:rFonts w:ascii="宋体" w:hAnsi="宋体"/>
          <w:sz w:val="24"/>
          <w:highlight w:val="none"/>
          <w:lang w:bidi="zh-CN"/>
        </w:rPr>
        <w:t>；承建（承接）企业为</w:t>
      </w:r>
      <w:r>
        <w:rPr>
          <w:rFonts w:ascii="宋体" w:hAnsi="宋体"/>
          <w:sz w:val="24"/>
          <w:highlight w:val="none"/>
          <w:u w:val="single"/>
          <w:lang w:bidi="zh-CN"/>
        </w:rPr>
        <w:t>（企业名称）</w:t>
      </w:r>
      <w:r>
        <w:rPr>
          <w:rFonts w:ascii="宋体" w:hAnsi="宋体"/>
          <w:sz w:val="24"/>
          <w:highlight w:val="none"/>
          <w:lang w:bidi="zh-CN"/>
        </w:rPr>
        <w:t>，从业人员</w:t>
      </w:r>
      <w:r>
        <w:rPr>
          <w:rFonts w:ascii="宋体" w:hAnsi="宋体"/>
          <w:sz w:val="24"/>
          <w:highlight w:val="none"/>
          <w:u w:val="single"/>
          <w:lang w:bidi="zh-CN"/>
        </w:rPr>
        <w:tab/>
      </w:r>
      <w:r>
        <w:rPr>
          <w:rFonts w:ascii="宋体" w:hAnsi="宋体"/>
          <w:sz w:val="24"/>
          <w:highlight w:val="none"/>
          <w:lang w:bidi="zh-CN"/>
        </w:rPr>
        <w:t>人，营业收入为</w:t>
      </w:r>
      <w:r>
        <w:rPr>
          <w:rFonts w:ascii="宋体" w:hAnsi="宋体"/>
          <w:sz w:val="24"/>
          <w:highlight w:val="none"/>
          <w:u w:val="single"/>
          <w:lang w:bidi="zh-CN"/>
        </w:rPr>
        <w:tab/>
      </w:r>
      <w:r>
        <w:rPr>
          <w:rFonts w:ascii="宋体" w:hAnsi="宋体"/>
          <w:sz w:val="24"/>
          <w:highlight w:val="none"/>
          <w:lang w:bidi="zh-CN"/>
        </w:rPr>
        <w:t>万元，资产总额为</w:t>
      </w:r>
      <w:r>
        <w:rPr>
          <w:rFonts w:ascii="宋体" w:hAnsi="宋体"/>
          <w:sz w:val="24"/>
          <w:highlight w:val="none"/>
          <w:u w:val="single"/>
          <w:lang w:bidi="zh-CN"/>
        </w:rPr>
        <w:tab/>
      </w:r>
      <w:r>
        <w:rPr>
          <w:rFonts w:ascii="宋体" w:hAnsi="宋体"/>
          <w:sz w:val="24"/>
          <w:highlight w:val="none"/>
          <w:lang w:bidi="zh-CN"/>
        </w:rPr>
        <w:t>万元，属于</w:t>
      </w:r>
      <w:r>
        <w:rPr>
          <w:rFonts w:ascii="宋体" w:hAnsi="宋体"/>
          <w:sz w:val="24"/>
          <w:highlight w:val="none"/>
          <w:u w:val="single"/>
          <w:lang w:bidi="zh-CN"/>
        </w:rPr>
        <w:t>（中型企业、小型企业、微型企业）</w:t>
      </w:r>
      <w:r>
        <w:rPr>
          <w:rFonts w:ascii="宋体" w:hAnsi="宋体"/>
          <w:sz w:val="24"/>
          <w:highlight w:val="none"/>
          <w:lang w:bidi="zh-CN"/>
        </w:rPr>
        <w:t>；</w:t>
      </w:r>
    </w:p>
    <w:p w14:paraId="3C70C8AC">
      <w:pPr>
        <w:adjustRightInd w:val="0"/>
        <w:snapToGrid w:val="0"/>
        <w:spacing w:line="360" w:lineRule="auto"/>
        <w:outlineLvl w:val="0"/>
        <w:rPr>
          <w:rFonts w:ascii="宋体" w:hAnsi="宋体"/>
          <w:sz w:val="24"/>
          <w:highlight w:val="none"/>
          <w:lang w:bidi="zh-CN"/>
        </w:rPr>
      </w:pPr>
      <w:r>
        <w:rPr>
          <w:rFonts w:ascii="宋体" w:hAnsi="宋体"/>
          <w:sz w:val="24"/>
          <w:highlight w:val="none"/>
          <w:lang w:bidi="zh-CN"/>
        </w:rPr>
        <w:t>……</w:t>
      </w:r>
    </w:p>
    <w:p w14:paraId="15F41D62">
      <w:pPr>
        <w:adjustRightInd w:val="0"/>
        <w:snapToGrid w:val="0"/>
        <w:spacing w:line="360" w:lineRule="auto"/>
        <w:ind w:firstLine="480" w:firstLineChars="200"/>
        <w:outlineLvl w:val="0"/>
        <w:rPr>
          <w:rFonts w:ascii="宋体" w:hAnsi="宋体"/>
          <w:sz w:val="24"/>
          <w:highlight w:val="none"/>
          <w:lang w:bidi="zh-CN"/>
        </w:rPr>
      </w:pPr>
      <w:r>
        <w:rPr>
          <w:rFonts w:ascii="宋体" w:hAnsi="宋体"/>
          <w:sz w:val="24"/>
          <w:highlight w:val="none"/>
          <w:lang w:bidi="zh-CN"/>
        </w:rPr>
        <w:t>以上企业，不属于大企业的分支机构，不存在控股股东为大企业的情形，也不存在与大企业的负责人为同一人的情形。</w:t>
      </w:r>
    </w:p>
    <w:p w14:paraId="1878B928">
      <w:pPr>
        <w:adjustRightInd w:val="0"/>
        <w:snapToGrid w:val="0"/>
        <w:spacing w:line="360" w:lineRule="auto"/>
        <w:ind w:firstLine="480" w:firstLineChars="200"/>
        <w:outlineLvl w:val="0"/>
        <w:rPr>
          <w:rFonts w:ascii="宋体" w:hAnsi="宋体"/>
          <w:sz w:val="24"/>
          <w:highlight w:val="none"/>
          <w:lang w:bidi="zh-CN"/>
        </w:rPr>
      </w:pPr>
      <w:r>
        <w:rPr>
          <w:rFonts w:ascii="宋体" w:hAnsi="宋体"/>
          <w:sz w:val="24"/>
          <w:highlight w:val="none"/>
          <w:lang w:bidi="zh-CN"/>
        </w:rPr>
        <w:t>本企业对上述声明内容的真实性负责。如有虚假，将依法承担相应责任。</w:t>
      </w:r>
    </w:p>
    <w:p w14:paraId="7AD3566B">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（备注：1、供应商如不提供此声明函，价格将不做相应扣除。</w:t>
      </w:r>
    </w:p>
    <w:p w14:paraId="3F5C2080">
      <w:pPr>
        <w:adjustRightInd w:val="0"/>
        <w:snapToGrid w:val="0"/>
        <w:spacing w:line="360" w:lineRule="auto"/>
        <w:ind w:firstLine="960" w:firstLineChars="400"/>
        <w:rPr>
          <w:rFonts w:ascii="宋体" w:hAnsi="宋体"/>
          <w:highlight w:val="none"/>
        </w:rPr>
      </w:pPr>
      <w:r>
        <w:rPr>
          <w:rFonts w:hint="eastAsia" w:ascii="宋体" w:hAnsi="宋体"/>
          <w:sz w:val="24"/>
          <w:highlight w:val="none"/>
        </w:rPr>
        <w:t>2、中标或成交供应商为小型、微型单位的，此声明函将随中标或成交结果同时公告，接受社会监督。）</w:t>
      </w:r>
    </w:p>
    <w:p w14:paraId="0F798755">
      <w:pPr>
        <w:adjustRightInd w:val="0"/>
        <w:snapToGrid w:val="0"/>
        <w:spacing w:line="360" w:lineRule="auto"/>
        <w:outlineLvl w:val="0"/>
        <w:rPr>
          <w:rFonts w:ascii="宋体" w:hAnsi="宋体"/>
          <w:sz w:val="24"/>
          <w:highlight w:val="none"/>
          <w:lang w:bidi="zh-CN"/>
        </w:rPr>
      </w:pPr>
    </w:p>
    <w:p w14:paraId="5BE5650D">
      <w:pPr>
        <w:adjustRightInd w:val="0"/>
        <w:snapToGrid w:val="0"/>
        <w:spacing w:line="360" w:lineRule="auto"/>
        <w:outlineLvl w:val="0"/>
        <w:rPr>
          <w:rFonts w:ascii="宋体" w:hAnsi="宋体"/>
          <w:sz w:val="24"/>
          <w:highlight w:val="none"/>
          <w:lang w:bidi="zh-CN"/>
        </w:rPr>
      </w:pPr>
    </w:p>
    <w:p w14:paraId="64420B6A">
      <w:pPr>
        <w:adjustRightInd w:val="0"/>
        <w:snapToGrid w:val="0"/>
        <w:spacing w:line="360" w:lineRule="auto"/>
        <w:ind w:firstLine="4200" w:firstLineChars="1750"/>
        <w:outlineLvl w:val="0"/>
        <w:rPr>
          <w:rFonts w:ascii="宋体" w:hAnsi="宋体"/>
          <w:sz w:val="24"/>
          <w:highlight w:val="none"/>
          <w:lang w:bidi="zh-CN"/>
        </w:rPr>
      </w:pPr>
      <w:r>
        <w:rPr>
          <w:rFonts w:ascii="宋体" w:hAnsi="宋体"/>
          <w:sz w:val="24"/>
          <w:highlight w:val="none"/>
          <w:lang w:bidi="zh-CN"/>
        </w:rPr>
        <w:t>企业名称（盖章）：</w:t>
      </w:r>
    </w:p>
    <w:p w14:paraId="52EB1045">
      <w:pPr>
        <w:spacing w:line="300" w:lineRule="auto"/>
        <w:ind w:firstLine="4200" w:firstLineChars="1750"/>
        <w:outlineLvl w:val="0"/>
        <w:rPr>
          <w:rFonts w:ascii="宋体" w:hAnsi="宋体"/>
          <w:sz w:val="24"/>
          <w:highlight w:val="none"/>
          <w:lang w:bidi="zh-CN"/>
        </w:rPr>
      </w:pPr>
      <w:r>
        <w:rPr>
          <w:rFonts w:ascii="宋体" w:hAnsi="宋体"/>
          <w:sz w:val="24"/>
          <w:highlight w:val="none"/>
          <w:lang w:bidi="zh-CN"/>
        </w:rPr>
        <w:t>日期：</w:t>
      </w:r>
    </w:p>
    <w:p w14:paraId="1C018504">
      <w:pPr>
        <w:spacing w:line="560" w:lineRule="exact"/>
        <w:ind w:firstLine="240" w:firstLineChars="100"/>
        <w:rPr>
          <w:rFonts w:ascii="宋体" w:hAnsi="宋体"/>
          <w:sz w:val="24"/>
          <w:highlight w:val="none"/>
        </w:rPr>
      </w:pPr>
    </w:p>
    <w:p w14:paraId="02329574">
      <w:pPr>
        <w:spacing w:line="300" w:lineRule="auto"/>
        <w:contextualSpacing/>
        <w:rPr>
          <w:rFonts w:ascii="宋体" w:hAnsi="宋体"/>
          <w:sz w:val="24"/>
          <w:highlight w:val="none"/>
        </w:rPr>
      </w:pPr>
    </w:p>
    <w:p w14:paraId="2AE5D91E">
      <w:pPr>
        <w:spacing w:line="600" w:lineRule="exact"/>
        <w:jc w:val="center"/>
        <w:rPr>
          <w:rFonts w:ascii="宋体" w:hAnsi="宋体"/>
          <w:b/>
          <w:sz w:val="32"/>
          <w:szCs w:val="32"/>
          <w:highlight w:val="none"/>
        </w:rPr>
      </w:pPr>
      <w:r>
        <w:rPr>
          <w:rFonts w:hint="eastAsia" w:ascii="宋体" w:hAnsi="宋体"/>
          <w:b/>
          <w:sz w:val="32"/>
          <w:szCs w:val="32"/>
          <w:highlight w:val="none"/>
        </w:rPr>
        <w:br w:type="page"/>
      </w:r>
      <w:r>
        <w:rPr>
          <w:rFonts w:hint="eastAsia" w:ascii="宋体" w:hAnsi="宋体"/>
          <w:b/>
          <w:sz w:val="32"/>
          <w:szCs w:val="32"/>
          <w:highlight w:val="none"/>
        </w:rPr>
        <w:t>残疾人福利性单位声明函</w:t>
      </w:r>
    </w:p>
    <w:p w14:paraId="2C92C3EB">
      <w:pPr>
        <w:spacing w:line="588" w:lineRule="exact"/>
        <w:ind w:firstLine="480" w:firstLineChars="200"/>
        <w:rPr>
          <w:rFonts w:ascii="宋体" w:hAnsi="宋体"/>
          <w:sz w:val="24"/>
          <w:highlight w:val="none"/>
        </w:rPr>
      </w:pPr>
      <w:r>
        <w:rPr>
          <w:rFonts w:hint="eastAsia" w:ascii="宋体" w:hAnsi="宋体"/>
          <w:sz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sz w:val="24"/>
          <w:highlight w:val="none"/>
          <w:u w:val="single"/>
        </w:rPr>
        <w:t xml:space="preserve">       </w:t>
      </w:r>
      <w:r>
        <w:rPr>
          <w:rFonts w:hint="eastAsia" w:ascii="宋体" w:hAnsi="宋体"/>
          <w:sz w:val="24"/>
          <w:highlight w:val="none"/>
        </w:rPr>
        <w:t>项目采购活动提供本单位制造的货物（由本单位承担工程/提供服务），或者提供其他残疾人福利性单位制造的货物（不包括使用非残疾人福利性单位注册商标的货物）。</w:t>
      </w:r>
    </w:p>
    <w:p w14:paraId="608B8B62">
      <w:pPr>
        <w:spacing w:line="588" w:lineRule="exact"/>
        <w:ind w:firstLine="480" w:firstLineChars="200"/>
        <w:rPr>
          <w:rFonts w:ascii="宋体" w:hAnsi="宋体"/>
          <w:sz w:val="24"/>
          <w:highlight w:val="none"/>
        </w:rPr>
      </w:pPr>
      <w:r>
        <w:rPr>
          <w:rFonts w:hint="eastAsia" w:ascii="宋体" w:hAnsi="宋体"/>
          <w:sz w:val="24"/>
          <w:highlight w:val="none"/>
        </w:rPr>
        <w:t>本单位对上述声明的真实性负责。如有虚假，将依法承担相应责任。</w:t>
      </w:r>
    </w:p>
    <w:p w14:paraId="2B0F7CFA">
      <w:pPr>
        <w:spacing w:line="588" w:lineRule="exact"/>
        <w:ind w:firstLine="480" w:firstLineChars="200"/>
        <w:rPr>
          <w:rFonts w:ascii="宋体" w:hAnsi="宋体"/>
          <w:sz w:val="24"/>
          <w:highlight w:val="none"/>
        </w:rPr>
      </w:pPr>
      <w:r>
        <w:rPr>
          <w:rFonts w:hint="eastAsia" w:ascii="宋体" w:hAnsi="宋体"/>
          <w:sz w:val="24"/>
          <w:highlight w:val="none"/>
        </w:rPr>
        <w:t>（备注：1、供应商如不提供此声明函，价格将不做相应扣除。</w:t>
      </w:r>
    </w:p>
    <w:p w14:paraId="198FDA0A">
      <w:pPr>
        <w:spacing w:line="588" w:lineRule="exact"/>
        <w:ind w:firstLine="1440" w:firstLineChars="600"/>
        <w:rPr>
          <w:rFonts w:ascii="宋体" w:hAnsi="宋体"/>
          <w:sz w:val="24"/>
          <w:highlight w:val="none"/>
        </w:rPr>
      </w:pPr>
      <w:r>
        <w:rPr>
          <w:rFonts w:hint="eastAsia" w:ascii="宋体" w:hAnsi="宋体"/>
          <w:sz w:val="24"/>
          <w:highlight w:val="none"/>
        </w:rPr>
        <w:t>2、中标或成交供应商为残疾人福利单位的，此声明函将随中标或成交结果同时公告，接受社会监督）</w:t>
      </w:r>
    </w:p>
    <w:p w14:paraId="2754BE62">
      <w:pPr>
        <w:spacing w:line="588" w:lineRule="exact"/>
        <w:ind w:firstLine="480" w:firstLineChars="200"/>
        <w:rPr>
          <w:rFonts w:ascii="宋体" w:hAnsi="宋体"/>
          <w:sz w:val="24"/>
          <w:highlight w:val="none"/>
        </w:rPr>
      </w:pPr>
    </w:p>
    <w:p w14:paraId="2D0C4A5D">
      <w:pPr>
        <w:tabs>
          <w:tab w:val="left" w:pos="4860"/>
        </w:tabs>
        <w:spacing w:line="588" w:lineRule="exact"/>
        <w:ind w:right="1560" w:firstLine="480" w:firstLineChars="200"/>
        <w:jc w:val="center"/>
        <w:rPr>
          <w:rFonts w:ascii="宋体" w:hAnsi="宋体"/>
          <w:sz w:val="24"/>
          <w:highlight w:val="none"/>
        </w:rPr>
      </w:pPr>
      <w:r>
        <w:rPr>
          <w:rFonts w:hint="eastAsia" w:ascii="宋体" w:hAnsi="宋体"/>
          <w:sz w:val="24"/>
          <w:highlight w:val="none"/>
        </w:rPr>
        <w:t xml:space="preserve">                        供应商全称（盖章）：</w:t>
      </w:r>
    </w:p>
    <w:p w14:paraId="74E6D5DF">
      <w:pPr>
        <w:tabs>
          <w:tab w:val="left" w:pos="4860"/>
        </w:tabs>
        <w:spacing w:line="588" w:lineRule="exact"/>
        <w:ind w:right="1560" w:firstLine="480" w:firstLineChars="200"/>
        <w:jc w:val="center"/>
        <w:rPr>
          <w:rFonts w:ascii="宋体" w:hAnsi="宋体"/>
          <w:sz w:val="24"/>
          <w:highlight w:val="none"/>
        </w:rPr>
      </w:pPr>
      <w:r>
        <w:rPr>
          <w:rFonts w:hint="eastAsia" w:ascii="宋体" w:hAnsi="宋体"/>
          <w:sz w:val="24"/>
          <w:highlight w:val="none"/>
        </w:rPr>
        <w:t xml:space="preserve">              日  期：</w:t>
      </w:r>
    </w:p>
    <w:p w14:paraId="19494360">
      <w:pPr>
        <w:spacing w:line="420" w:lineRule="exact"/>
        <w:jc w:val="center"/>
        <w:outlineLvl w:val="2"/>
        <w:rPr>
          <w:rFonts w:ascii="宋体" w:hAnsi="宋体"/>
          <w:b/>
          <w:bCs/>
          <w:sz w:val="32"/>
          <w:szCs w:val="32"/>
          <w:highlight w:val="none"/>
        </w:rPr>
      </w:pPr>
      <w:r>
        <w:rPr>
          <w:rFonts w:ascii="宋体" w:hAnsi="宋体"/>
          <w:b/>
          <w:bCs/>
          <w:sz w:val="32"/>
          <w:szCs w:val="32"/>
          <w:highlight w:val="none"/>
        </w:rPr>
        <w:br w:type="page"/>
      </w:r>
      <w:r>
        <w:rPr>
          <w:rFonts w:hint="eastAsia" w:ascii="宋体" w:hAnsi="宋体"/>
          <w:b/>
          <w:bCs/>
          <w:sz w:val="32"/>
          <w:szCs w:val="32"/>
          <w:highlight w:val="none"/>
        </w:rPr>
        <w:t>监狱和戒毒企业证明材料</w:t>
      </w:r>
    </w:p>
    <w:p w14:paraId="6355738F">
      <w:pPr>
        <w:spacing w:line="420" w:lineRule="exact"/>
        <w:ind w:firstLine="495" w:firstLineChars="177"/>
        <w:rPr>
          <w:rFonts w:ascii="宋体" w:hAnsi="宋体" w:cs="宋体"/>
          <w:sz w:val="28"/>
          <w:szCs w:val="28"/>
          <w:highlight w:val="none"/>
        </w:rPr>
      </w:pPr>
    </w:p>
    <w:p w14:paraId="03FCEC43">
      <w:pPr>
        <w:spacing w:line="420" w:lineRule="exact"/>
        <w:ind w:firstLine="426" w:firstLineChars="177"/>
        <w:jc w:val="center"/>
        <w:rPr>
          <w:rFonts w:ascii="宋体" w:hAnsi="宋体" w:cs="宋体"/>
          <w:b/>
          <w:sz w:val="24"/>
          <w:highlight w:val="none"/>
        </w:rPr>
      </w:pPr>
      <w:r>
        <w:rPr>
          <w:rFonts w:hint="eastAsia" w:ascii="宋体" w:hAnsi="宋体" w:cs="宋体"/>
          <w:b/>
          <w:sz w:val="24"/>
          <w:highlight w:val="none"/>
        </w:rPr>
        <w:t>（格式自拟）</w:t>
      </w:r>
    </w:p>
    <w:p w14:paraId="10F70408">
      <w:pPr>
        <w:spacing w:line="420" w:lineRule="exact"/>
        <w:ind w:firstLine="424" w:firstLineChars="177"/>
        <w:rPr>
          <w:rFonts w:ascii="宋体" w:hAnsi="宋体" w:cs="宋体"/>
          <w:sz w:val="24"/>
          <w:highlight w:val="none"/>
        </w:rPr>
      </w:pPr>
    </w:p>
    <w:p w14:paraId="1AC1CC44">
      <w:pPr>
        <w:spacing w:line="420" w:lineRule="exact"/>
        <w:ind w:firstLine="566" w:firstLineChars="236"/>
        <w:rPr>
          <w:rFonts w:ascii="宋体" w:hAnsi="宋体" w:cs="宋体"/>
          <w:sz w:val="24"/>
          <w:highlight w:val="none"/>
        </w:rPr>
      </w:pPr>
      <w:r>
        <w:rPr>
          <w:rFonts w:hint="eastAsia" w:ascii="宋体" w:hAnsi="宋体" w:cs="宋体"/>
          <w:sz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48ACC3A3">
      <w:pPr>
        <w:spacing w:line="300" w:lineRule="auto"/>
        <w:contextualSpacing/>
        <w:rPr>
          <w:rFonts w:ascii="宋体" w:hAnsi="宋体"/>
          <w:b/>
          <w:bCs/>
          <w:sz w:val="24"/>
          <w:highlight w:val="none"/>
        </w:rPr>
      </w:pPr>
    </w:p>
    <w:p w14:paraId="3D593E10">
      <w:pPr>
        <w:kinsoku w:val="0"/>
        <w:topLinePunct/>
        <w:spacing w:line="420" w:lineRule="exact"/>
        <w:jc w:val="center"/>
        <w:rPr>
          <w:rFonts w:ascii="宋体" w:hAnsi="宋体"/>
          <w:sz w:val="24"/>
          <w:highlight w:val="none"/>
        </w:rPr>
      </w:pPr>
    </w:p>
    <w:p w14:paraId="024C9BA6">
      <w:pPr>
        <w:adjustRightInd w:val="0"/>
        <w:snapToGrid w:val="0"/>
        <w:spacing w:line="360" w:lineRule="auto"/>
        <w:jc w:val="left"/>
        <w:rPr>
          <w:rFonts w:asciiTheme="minorEastAsia" w:hAnsiTheme="minorEastAsia" w:eastAsiaTheme="minorEastAsia"/>
          <w:sz w:val="24"/>
          <w:highlight w:val="none"/>
        </w:rPr>
      </w:pPr>
    </w:p>
    <w:sectPr>
      <w:pgSz w:w="11907" w:h="16839"/>
      <w:pgMar w:top="1440" w:right="1797" w:bottom="1440"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624098"/>
    </w:sdtPr>
    <w:sdtContent>
      <w:p w14:paraId="0DDA0E60">
        <w:pPr>
          <w:pStyle w:val="14"/>
          <w:jc w:val="center"/>
        </w:pPr>
        <w:r>
          <w:fldChar w:fldCharType="begin"/>
        </w:r>
        <w:r>
          <w:instrText xml:space="preserve">PAGE   \* MERGEFORMAT</w:instrText>
        </w:r>
        <w:r>
          <w:fldChar w:fldCharType="separate"/>
        </w:r>
        <w:r>
          <w:rPr>
            <w:lang w:val="zh-CN"/>
          </w:rPr>
          <w:t>1</w:t>
        </w:r>
        <w:r>
          <w:rPr>
            <w:lang w:val="zh-CN"/>
          </w:rPr>
          <w:fldChar w:fldCharType="end"/>
        </w:r>
      </w:p>
    </w:sdtContent>
  </w:sdt>
  <w:p w14:paraId="7CA061BA">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493456"/>
    </w:sdtPr>
    <w:sdtContent>
      <w:p w14:paraId="38FB8491">
        <w:pPr>
          <w:pStyle w:val="14"/>
          <w:jc w:val="center"/>
        </w:pPr>
        <w:r>
          <w:fldChar w:fldCharType="begin"/>
        </w:r>
        <w:r>
          <w:instrText xml:space="preserve">PAGE   \* MERGEFORMAT</w:instrText>
        </w:r>
        <w:r>
          <w:fldChar w:fldCharType="separate"/>
        </w:r>
        <w:r>
          <w:rPr>
            <w:lang w:val="zh-CN"/>
          </w:rPr>
          <w:t>16</w:t>
        </w:r>
        <w:r>
          <w:rPr>
            <w:lang w:val="zh-CN"/>
          </w:rPr>
          <w:fldChar w:fldCharType="end"/>
        </w:r>
      </w:p>
    </w:sdtContent>
  </w:sdt>
  <w:p w14:paraId="4DBA886F">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05512"/>
    <w:multiLevelType w:val="singleLevel"/>
    <w:tmpl w:val="1C305512"/>
    <w:lvl w:ilvl="0" w:tentative="0">
      <w:start w:val="2"/>
      <w:numFmt w:val="chineseCounting"/>
      <w:suff w:val="nothing"/>
      <w:lvlText w:val="%1、"/>
      <w:lvlJc w:val="left"/>
      <w:rPr>
        <w:rFonts w:hint="eastAsia"/>
      </w:rPr>
    </w:lvl>
  </w:abstractNum>
  <w:abstractNum w:abstractNumId="1">
    <w:nsid w:val="2472CD72"/>
    <w:multiLevelType w:val="singleLevel"/>
    <w:tmpl w:val="2472CD72"/>
    <w:lvl w:ilvl="0" w:tentative="0">
      <w:start w:val="1"/>
      <w:numFmt w:val="decimal"/>
      <w:lvlText w:val="%1."/>
      <w:lvlJc w:val="left"/>
      <w:pPr>
        <w:ind w:left="851" w:hanging="425"/>
      </w:pPr>
      <w:rPr>
        <w:rFonts w:hint="default" w:cs="Times New Roman"/>
      </w:rPr>
    </w:lvl>
  </w:abstractNum>
  <w:abstractNum w:abstractNumId="2">
    <w:nsid w:val="2B70193A"/>
    <w:multiLevelType w:val="singleLevel"/>
    <w:tmpl w:val="2B70193A"/>
    <w:lvl w:ilvl="0" w:tentative="0">
      <w:start w:val="7"/>
      <w:numFmt w:val="decimal"/>
      <w:lvlText w:val="%1."/>
      <w:lvlJc w:val="left"/>
      <w:pPr>
        <w:tabs>
          <w:tab w:val="left" w:pos="312"/>
        </w:tabs>
      </w:pPr>
    </w:lvl>
  </w:abstractNum>
  <w:abstractNum w:abstractNumId="3">
    <w:nsid w:val="5F389313"/>
    <w:multiLevelType w:val="singleLevel"/>
    <w:tmpl w:val="5F389313"/>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NTFmN2NlZTk0MGQ1OTkxM2M1ZDNhNDkyN2Q1NDcifQ=="/>
    <w:docVar w:name="KSO_WPS_MARK_KEY" w:val="b0289b24-6483-461c-b282-0aac915c9090"/>
  </w:docVars>
  <w:rsids>
    <w:rsidRoot w:val="004E6A01"/>
    <w:rsid w:val="000013E2"/>
    <w:rsid w:val="00004814"/>
    <w:rsid w:val="00004F3A"/>
    <w:rsid w:val="000059C0"/>
    <w:rsid w:val="00007897"/>
    <w:rsid w:val="0002042E"/>
    <w:rsid w:val="00021F9F"/>
    <w:rsid w:val="000251AD"/>
    <w:rsid w:val="000251B3"/>
    <w:rsid w:val="000275F4"/>
    <w:rsid w:val="00033299"/>
    <w:rsid w:val="00035CD1"/>
    <w:rsid w:val="000362E9"/>
    <w:rsid w:val="00037EF2"/>
    <w:rsid w:val="000451EC"/>
    <w:rsid w:val="000451F8"/>
    <w:rsid w:val="0004657F"/>
    <w:rsid w:val="000520D9"/>
    <w:rsid w:val="00057671"/>
    <w:rsid w:val="000713C9"/>
    <w:rsid w:val="00072281"/>
    <w:rsid w:val="00072F28"/>
    <w:rsid w:val="00072F70"/>
    <w:rsid w:val="00076F8C"/>
    <w:rsid w:val="000802EA"/>
    <w:rsid w:val="0008732D"/>
    <w:rsid w:val="00091AD9"/>
    <w:rsid w:val="00095D50"/>
    <w:rsid w:val="000B3772"/>
    <w:rsid w:val="000F0B73"/>
    <w:rsid w:val="000F3FC3"/>
    <w:rsid w:val="00102152"/>
    <w:rsid w:val="00105CE8"/>
    <w:rsid w:val="001116CB"/>
    <w:rsid w:val="00115F3B"/>
    <w:rsid w:val="00122A27"/>
    <w:rsid w:val="001246E8"/>
    <w:rsid w:val="00126723"/>
    <w:rsid w:val="00126FEF"/>
    <w:rsid w:val="00130D3A"/>
    <w:rsid w:val="00131C02"/>
    <w:rsid w:val="00137126"/>
    <w:rsid w:val="001376C9"/>
    <w:rsid w:val="001414F9"/>
    <w:rsid w:val="00147540"/>
    <w:rsid w:val="00151467"/>
    <w:rsid w:val="00157B7C"/>
    <w:rsid w:val="00170721"/>
    <w:rsid w:val="00173FAB"/>
    <w:rsid w:val="00177979"/>
    <w:rsid w:val="00187179"/>
    <w:rsid w:val="00193017"/>
    <w:rsid w:val="0019491F"/>
    <w:rsid w:val="001A6574"/>
    <w:rsid w:val="001A6D4B"/>
    <w:rsid w:val="001B5DC9"/>
    <w:rsid w:val="001C13AE"/>
    <w:rsid w:val="001C1DCE"/>
    <w:rsid w:val="001C3262"/>
    <w:rsid w:val="001C51EF"/>
    <w:rsid w:val="001C77B5"/>
    <w:rsid w:val="001D64B1"/>
    <w:rsid w:val="001D741F"/>
    <w:rsid w:val="001E071B"/>
    <w:rsid w:val="001E2B68"/>
    <w:rsid w:val="001E6DD3"/>
    <w:rsid w:val="001F036F"/>
    <w:rsid w:val="001F6F5C"/>
    <w:rsid w:val="00200979"/>
    <w:rsid w:val="00201938"/>
    <w:rsid w:val="002063F7"/>
    <w:rsid w:val="00213A61"/>
    <w:rsid w:val="00221D3C"/>
    <w:rsid w:val="00226261"/>
    <w:rsid w:val="00230635"/>
    <w:rsid w:val="002401BF"/>
    <w:rsid w:val="00244B5D"/>
    <w:rsid w:val="0024628A"/>
    <w:rsid w:val="00246366"/>
    <w:rsid w:val="00246E02"/>
    <w:rsid w:val="0025515D"/>
    <w:rsid w:val="002567A9"/>
    <w:rsid w:val="00257115"/>
    <w:rsid w:val="002703F4"/>
    <w:rsid w:val="00283D52"/>
    <w:rsid w:val="00296C3A"/>
    <w:rsid w:val="00297093"/>
    <w:rsid w:val="002A1591"/>
    <w:rsid w:val="002A1AE3"/>
    <w:rsid w:val="002A2058"/>
    <w:rsid w:val="002B339B"/>
    <w:rsid w:val="002C31BD"/>
    <w:rsid w:val="002C51C5"/>
    <w:rsid w:val="002C72B9"/>
    <w:rsid w:val="002D1B82"/>
    <w:rsid w:val="002D351F"/>
    <w:rsid w:val="002D3954"/>
    <w:rsid w:val="002D7740"/>
    <w:rsid w:val="002F07A0"/>
    <w:rsid w:val="002F492E"/>
    <w:rsid w:val="002F6837"/>
    <w:rsid w:val="00313736"/>
    <w:rsid w:val="00323EA0"/>
    <w:rsid w:val="0033190C"/>
    <w:rsid w:val="0033279E"/>
    <w:rsid w:val="00333502"/>
    <w:rsid w:val="0034337F"/>
    <w:rsid w:val="003437AF"/>
    <w:rsid w:val="00343952"/>
    <w:rsid w:val="003449B5"/>
    <w:rsid w:val="00345F37"/>
    <w:rsid w:val="003552F3"/>
    <w:rsid w:val="00361633"/>
    <w:rsid w:val="00365957"/>
    <w:rsid w:val="00367C8A"/>
    <w:rsid w:val="0037423D"/>
    <w:rsid w:val="00374855"/>
    <w:rsid w:val="003779F2"/>
    <w:rsid w:val="00383624"/>
    <w:rsid w:val="00384813"/>
    <w:rsid w:val="00385790"/>
    <w:rsid w:val="003865A4"/>
    <w:rsid w:val="003869DB"/>
    <w:rsid w:val="00386E22"/>
    <w:rsid w:val="00393094"/>
    <w:rsid w:val="003947AA"/>
    <w:rsid w:val="00396B48"/>
    <w:rsid w:val="003A0035"/>
    <w:rsid w:val="003A7D38"/>
    <w:rsid w:val="003B2F06"/>
    <w:rsid w:val="003B5AA3"/>
    <w:rsid w:val="003B7FBB"/>
    <w:rsid w:val="003C2A41"/>
    <w:rsid w:val="003C6BD4"/>
    <w:rsid w:val="003D2A3D"/>
    <w:rsid w:val="003E170B"/>
    <w:rsid w:val="003E1F92"/>
    <w:rsid w:val="003E46C9"/>
    <w:rsid w:val="003E5033"/>
    <w:rsid w:val="003E5F8F"/>
    <w:rsid w:val="003E727E"/>
    <w:rsid w:val="003F41E2"/>
    <w:rsid w:val="003F4952"/>
    <w:rsid w:val="003F4EE6"/>
    <w:rsid w:val="004055DC"/>
    <w:rsid w:val="0041349D"/>
    <w:rsid w:val="004212D6"/>
    <w:rsid w:val="00421A34"/>
    <w:rsid w:val="00433757"/>
    <w:rsid w:val="00441C87"/>
    <w:rsid w:val="00443D65"/>
    <w:rsid w:val="004444F9"/>
    <w:rsid w:val="0044468D"/>
    <w:rsid w:val="00455FE9"/>
    <w:rsid w:val="004572BC"/>
    <w:rsid w:val="004633D9"/>
    <w:rsid w:val="00472C32"/>
    <w:rsid w:val="0047530F"/>
    <w:rsid w:val="004822C9"/>
    <w:rsid w:val="00490034"/>
    <w:rsid w:val="00490C60"/>
    <w:rsid w:val="00493EC7"/>
    <w:rsid w:val="00495630"/>
    <w:rsid w:val="004A2FCB"/>
    <w:rsid w:val="004A30E5"/>
    <w:rsid w:val="004A4849"/>
    <w:rsid w:val="004A640F"/>
    <w:rsid w:val="004B2F8E"/>
    <w:rsid w:val="004B64BB"/>
    <w:rsid w:val="004C082D"/>
    <w:rsid w:val="004D3837"/>
    <w:rsid w:val="004D3D61"/>
    <w:rsid w:val="004D65F2"/>
    <w:rsid w:val="004D7F0F"/>
    <w:rsid w:val="004E6A01"/>
    <w:rsid w:val="004E736C"/>
    <w:rsid w:val="004F3D25"/>
    <w:rsid w:val="004F7946"/>
    <w:rsid w:val="00505E24"/>
    <w:rsid w:val="00506000"/>
    <w:rsid w:val="00507573"/>
    <w:rsid w:val="005100C6"/>
    <w:rsid w:val="00510BE0"/>
    <w:rsid w:val="005305DD"/>
    <w:rsid w:val="00533E3C"/>
    <w:rsid w:val="00534EC7"/>
    <w:rsid w:val="00535003"/>
    <w:rsid w:val="00537C64"/>
    <w:rsid w:val="00542063"/>
    <w:rsid w:val="005515FF"/>
    <w:rsid w:val="00561692"/>
    <w:rsid w:val="005703CF"/>
    <w:rsid w:val="00572A6D"/>
    <w:rsid w:val="00577732"/>
    <w:rsid w:val="00584CEE"/>
    <w:rsid w:val="0059014C"/>
    <w:rsid w:val="0059209C"/>
    <w:rsid w:val="00594458"/>
    <w:rsid w:val="00597576"/>
    <w:rsid w:val="00597599"/>
    <w:rsid w:val="005A0369"/>
    <w:rsid w:val="005A2122"/>
    <w:rsid w:val="005A4338"/>
    <w:rsid w:val="005B5238"/>
    <w:rsid w:val="005B6827"/>
    <w:rsid w:val="005C22D9"/>
    <w:rsid w:val="005C63ED"/>
    <w:rsid w:val="005C6748"/>
    <w:rsid w:val="005D0729"/>
    <w:rsid w:val="005E33DD"/>
    <w:rsid w:val="005E3520"/>
    <w:rsid w:val="005E6254"/>
    <w:rsid w:val="005F1FB7"/>
    <w:rsid w:val="00601B2E"/>
    <w:rsid w:val="006038D8"/>
    <w:rsid w:val="00607020"/>
    <w:rsid w:val="006115C0"/>
    <w:rsid w:val="00611FAF"/>
    <w:rsid w:val="006146AC"/>
    <w:rsid w:val="00622AEA"/>
    <w:rsid w:val="00623DE8"/>
    <w:rsid w:val="006259E2"/>
    <w:rsid w:val="00625D1A"/>
    <w:rsid w:val="00630B3B"/>
    <w:rsid w:val="00635218"/>
    <w:rsid w:val="0065010D"/>
    <w:rsid w:val="00654885"/>
    <w:rsid w:val="00655BB0"/>
    <w:rsid w:val="0066177D"/>
    <w:rsid w:val="0066520D"/>
    <w:rsid w:val="006662CB"/>
    <w:rsid w:val="006671E8"/>
    <w:rsid w:val="00670A13"/>
    <w:rsid w:val="00672395"/>
    <w:rsid w:val="00673093"/>
    <w:rsid w:val="00680C17"/>
    <w:rsid w:val="00697C61"/>
    <w:rsid w:val="006B03C7"/>
    <w:rsid w:val="006B216E"/>
    <w:rsid w:val="006B2FFF"/>
    <w:rsid w:val="006B3A9D"/>
    <w:rsid w:val="006B7F8E"/>
    <w:rsid w:val="006C1F5B"/>
    <w:rsid w:val="006C63F3"/>
    <w:rsid w:val="006D3752"/>
    <w:rsid w:val="006D3B9E"/>
    <w:rsid w:val="006E66D4"/>
    <w:rsid w:val="006E6F24"/>
    <w:rsid w:val="006F027B"/>
    <w:rsid w:val="006F5025"/>
    <w:rsid w:val="006F5117"/>
    <w:rsid w:val="006F7925"/>
    <w:rsid w:val="00700303"/>
    <w:rsid w:val="00704C6C"/>
    <w:rsid w:val="00712B7E"/>
    <w:rsid w:val="00715ECD"/>
    <w:rsid w:val="00725D4E"/>
    <w:rsid w:val="00743BD7"/>
    <w:rsid w:val="00752968"/>
    <w:rsid w:val="00754A9D"/>
    <w:rsid w:val="00757F1A"/>
    <w:rsid w:val="00760578"/>
    <w:rsid w:val="00760F2B"/>
    <w:rsid w:val="00770D84"/>
    <w:rsid w:val="00774376"/>
    <w:rsid w:val="007760B2"/>
    <w:rsid w:val="00781DCA"/>
    <w:rsid w:val="007848A4"/>
    <w:rsid w:val="00785177"/>
    <w:rsid w:val="0079474B"/>
    <w:rsid w:val="0079517C"/>
    <w:rsid w:val="007978A6"/>
    <w:rsid w:val="007A5F0B"/>
    <w:rsid w:val="007B0918"/>
    <w:rsid w:val="007B4BEF"/>
    <w:rsid w:val="007B7AA0"/>
    <w:rsid w:val="007C197C"/>
    <w:rsid w:val="007D2636"/>
    <w:rsid w:val="007D47B9"/>
    <w:rsid w:val="007E51A5"/>
    <w:rsid w:val="007E557B"/>
    <w:rsid w:val="007F0A16"/>
    <w:rsid w:val="007F406D"/>
    <w:rsid w:val="00801979"/>
    <w:rsid w:val="00803B60"/>
    <w:rsid w:val="00814D72"/>
    <w:rsid w:val="008165D1"/>
    <w:rsid w:val="00816E94"/>
    <w:rsid w:val="008228A1"/>
    <w:rsid w:val="00823A9F"/>
    <w:rsid w:val="00835C0F"/>
    <w:rsid w:val="00866367"/>
    <w:rsid w:val="00871F07"/>
    <w:rsid w:val="00874B88"/>
    <w:rsid w:val="008820E5"/>
    <w:rsid w:val="00893A16"/>
    <w:rsid w:val="00895014"/>
    <w:rsid w:val="00895895"/>
    <w:rsid w:val="008A28B4"/>
    <w:rsid w:val="008B6F6D"/>
    <w:rsid w:val="008B7057"/>
    <w:rsid w:val="008B76B7"/>
    <w:rsid w:val="008C2935"/>
    <w:rsid w:val="008C5CAE"/>
    <w:rsid w:val="008C7382"/>
    <w:rsid w:val="008D3923"/>
    <w:rsid w:val="008D6748"/>
    <w:rsid w:val="008E296E"/>
    <w:rsid w:val="008E3B4C"/>
    <w:rsid w:val="008E5500"/>
    <w:rsid w:val="00904D70"/>
    <w:rsid w:val="00904FB9"/>
    <w:rsid w:val="00906D53"/>
    <w:rsid w:val="009110EA"/>
    <w:rsid w:val="00916A6F"/>
    <w:rsid w:val="00917395"/>
    <w:rsid w:val="00925636"/>
    <w:rsid w:val="00926712"/>
    <w:rsid w:val="0093020C"/>
    <w:rsid w:val="009372F4"/>
    <w:rsid w:val="009433C5"/>
    <w:rsid w:val="00943467"/>
    <w:rsid w:val="00945306"/>
    <w:rsid w:val="00945F8C"/>
    <w:rsid w:val="00947A9E"/>
    <w:rsid w:val="00950C1D"/>
    <w:rsid w:val="009546A2"/>
    <w:rsid w:val="00954ECC"/>
    <w:rsid w:val="00971B84"/>
    <w:rsid w:val="0097200D"/>
    <w:rsid w:val="00974030"/>
    <w:rsid w:val="00977DD7"/>
    <w:rsid w:val="00977E31"/>
    <w:rsid w:val="00982B5D"/>
    <w:rsid w:val="00986643"/>
    <w:rsid w:val="009944D0"/>
    <w:rsid w:val="00994FFE"/>
    <w:rsid w:val="009A0C65"/>
    <w:rsid w:val="009A0F2C"/>
    <w:rsid w:val="009A3861"/>
    <w:rsid w:val="009A53C2"/>
    <w:rsid w:val="009A65F7"/>
    <w:rsid w:val="009B37F3"/>
    <w:rsid w:val="009B4675"/>
    <w:rsid w:val="009B786A"/>
    <w:rsid w:val="009B78C8"/>
    <w:rsid w:val="009D00D1"/>
    <w:rsid w:val="009D069A"/>
    <w:rsid w:val="009D7E74"/>
    <w:rsid w:val="009E0E99"/>
    <w:rsid w:val="009E7F55"/>
    <w:rsid w:val="009F1CF1"/>
    <w:rsid w:val="009F4864"/>
    <w:rsid w:val="009F5583"/>
    <w:rsid w:val="00A05EA2"/>
    <w:rsid w:val="00A1181B"/>
    <w:rsid w:val="00A12828"/>
    <w:rsid w:val="00A174E3"/>
    <w:rsid w:val="00A20419"/>
    <w:rsid w:val="00A34093"/>
    <w:rsid w:val="00A34D88"/>
    <w:rsid w:val="00A3744C"/>
    <w:rsid w:val="00A40B79"/>
    <w:rsid w:val="00A41E6A"/>
    <w:rsid w:val="00A4310C"/>
    <w:rsid w:val="00A445ED"/>
    <w:rsid w:val="00A51484"/>
    <w:rsid w:val="00A534AC"/>
    <w:rsid w:val="00A53576"/>
    <w:rsid w:val="00A56DDD"/>
    <w:rsid w:val="00A6282B"/>
    <w:rsid w:val="00A6484D"/>
    <w:rsid w:val="00A76287"/>
    <w:rsid w:val="00A772A9"/>
    <w:rsid w:val="00A805B7"/>
    <w:rsid w:val="00A92BAC"/>
    <w:rsid w:val="00AA13C7"/>
    <w:rsid w:val="00AA6F7C"/>
    <w:rsid w:val="00AA701F"/>
    <w:rsid w:val="00AB61E5"/>
    <w:rsid w:val="00AB6A73"/>
    <w:rsid w:val="00AB6BBC"/>
    <w:rsid w:val="00AB7845"/>
    <w:rsid w:val="00AD1FD6"/>
    <w:rsid w:val="00AD2B89"/>
    <w:rsid w:val="00AE0EFC"/>
    <w:rsid w:val="00AE5EA5"/>
    <w:rsid w:val="00AE775C"/>
    <w:rsid w:val="00AF48D5"/>
    <w:rsid w:val="00AF5426"/>
    <w:rsid w:val="00AF6E03"/>
    <w:rsid w:val="00B024FF"/>
    <w:rsid w:val="00B02FD2"/>
    <w:rsid w:val="00B0416E"/>
    <w:rsid w:val="00B1021A"/>
    <w:rsid w:val="00B1368A"/>
    <w:rsid w:val="00B155C1"/>
    <w:rsid w:val="00B17683"/>
    <w:rsid w:val="00B2479A"/>
    <w:rsid w:val="00B30328"/>
    <w:rsid w:val="00B31B08"/>
    <w:rsid w:val="00B41417"/>
    <w:rsid w:val="00B44E67"/>
    <w:rsid w:val="00B452BF"/>
    <w:rsid w:val="00B46525"/>
    <w:rsid w:val="00B4700B"/>
    <w:rsid w:val="00B47DB3"/>
    <w:rsid w:val="00B51278"/>
    <w:rsid w:val="00B55E84"/>
    <w:rsid w:val="00B56CC6"/>
    <w:rsid w:val="00B56F94"/>
    <w:rsid w:val="00B57DAA"/>
    <w:rsid w:val="00B62DC7"/>
    <w:rsid w:val="00B72631"/>
    <w:rsid w:val="00B746AF"/>
    <w:rsid w:val="00B747BD"/>
    <w:rsid w:val="00B758C6"/>
    <w:rsid w:val="00B80075"/>
    <w:rsid w:val="00B803B3"/>
    <w:rsid w:val="00B8078C"/>
    <w:rsid w:val="00B81E60"/>
    <w:rsid w:val="00B8659A"/>
    <w:rsid w:val="00B86772"/>
    <w:rsid w:val="00B930A1"/>
    <w:rsid w:val="00BA34DB"/>
    <w:rsid w:val="00BA3E08"/>
    <w:rsid w:val="00BB4DE2"/>
    <w:rsid w:val="00BB7038"/>
    <w:rsid w:val="00BC6105"/>
    <w:rsid w:val="00BC7737"/>
    <w:rsid w:val="00BE1002"/>
    <w:rsid w:val="00BE6DC9"/>
    <w:rsid w:val="00BF1195"/>
    <w:rsid w:val="00C05693"/>
    <w:rsid w:val="00C0573A"/>
    <w:rsid w:val="00C2034D"/>
    <w:rsid w:val="00C21D7D"/>
    <w:rsid w:val="00C228EB"/>
    <w:rsid w:val="00C22E17"/>
    <w:rsid w:val="00C2363A"/>
    <w:rsid w:val="00C2779B"/>
    <w:rsid w:val="00C312B4"/>
    <w:rsid w:val="00C34A9E"/>
    <w:rsid w:val="00C50309"/>
    <w:rsid w:val="00C514AB"/>
    <w:rsid w:val="00C56D1C"/>
    <w:rsid w:val="00C61138"/>
    <w:rsid w:val="00C625C7"/>
    <w:rsid w:val="00C63A54"/>
    <w:rsid w:val="00C726A8"/>
    <w:rsid w:val="00C758CA"/>
    <w:rsid w:val="00C77821"/>
    <w:rsid w:val="00C84927"/>
    <w:rsid w:val="00CA06E1"/>
    <w:rsid w:val="00CA22BA"/>
    <w:rsid w:val="00CA5FD7"/>
    <w:rsid w:val="00CB03A7"/>
    <w:rsid w:val="00CB5662"/>
    <w:rsid w:val="00CB6249"/>
    <w:rsid w:val="00CB70CC"/>
    <w:rsid w:val="00CD0C84"/>
    <w:rsid w:val="00CD47DF"/>
    <w:rsid w:val="00CE5FF7"/>
    <w:rsid w:val="00CE6246"/>
    <w:rsid w:val="00CE664F"/>
    <w:rsid w:val="00CE7020"/>
    <w:rsid w:val="00CF1470"/>
    <w:rsid w:val="00CF166F"/>
    <w:rsid w:val="00CF1C80"/>
    <w:rsid w:val="00CF4A51"/>
    <w:rsid w:val="00D10900"/>
    <w:rsid w:val="00D11F5E"/>
    <w:rsid w:val="00D126A1"/>
    <w:rsid w:val="00D26B1A"/>
    <w:rsid w:val="00D35ADB"/>
    <w:rsid w:val="00D3697B"/>
    <w:rsid w:val="00D369C8"/>
    <w:rsid w:val="00D37074"/>
    <w:rsid w:val="00D43BC7"/>
    <w:rsid w:val="00D539AD"/>
    <w:rsid w:val="00D5423F"/>
    <w:rsid w:val="00D5594D"/>
    <w:rsid w:val="00D70A22"/>
    <w:rsid w:val="00D80F93"/>
    <w:rsid w:val="00D84BAB"/>
    <w:rsid w:val="00D86E6B"/>
    <w:rsid w:val="00D878FD"/>
    <w:rsid w:val="00D945C9"/>
    <w:rsid w:val="00DA0D2A"/>
    <w:rsid w:val="00DA448E"/>
    <w:rsid w:val="00DA4E89"/>
    <w:rsid w:val="00DA63E5"/>
    <w:rsid w:val="00DB16A3"/>
    <w:rsid w:val="00DB3778"/>
    <w:rsid w:val="00DC1FF5"/>
    <w:rsid w:val="00DC5380"/>
    <w:rsid w:val="00DC79E7"/>
    <w:rsid w:val="00DD0022"/>
    <w:rsid w:val="00DD4C4A"/>
    <w:rsid w:val="00DE7B01"/>
    <w:rsid w:val="00DF21CE"/>
    <w:rsid w:val="00DF3859"/>
    <w:rsid w:val="00DF721F"/>
    <w:rsid w:val="00DF75B0"/>
    <w:rsid w:val="00E001B1"/>
    <w:rsid w:val="00E05703"/>
    <w:rsid w:val="00E14BCB"/>
    <w:rsid w:val="00E16E37"/>
    <w:rsid w:val="00E233DD"/>
    <w:rsid w:val="00E32AD6"/>
    <w:rsid w:val="00E4427F"/>
    <w:rsid w:val="00E53631"/>
    <w:rsid w:val="00E6001A"/>
    <w:rsid w:val="00E600E8"/>
    <w:rsid w:val="00E602D6"/>
    <w:rsid w:val="00E61716"/>
    <w:rsid w:val="00E66293"/>
    <w:rsid w:val="00E7232F"/>
    <w:rsid w:val="00E72D4F"/>
    <w:rsid w:val="00E7664F"/>
    <w:rsid w:val="00E83B2F"/>
    <w:rsid w:val="00E85FCD"/>
    <w:rsid w:val="00E86056"/>
    <w:rsid w:val="00E86BFD"/>
    <w:rsid w:val="00E86C8F"/>
    <w:rsid w:val="00E87250"/>
    <w:rsid w:val="00E90AD4"/>
    <w:rsid w:val="00E93F70"/>
    <w:rsid w:val="00E9601D"/>
    <w:rsid w:val="00EA133E"/>
    <w:rsid w:val="00EA2A79"/>
    <w:rsid w:val="00EA47F4"/>
    <w:rsid w:val="00EB3BB5"/>
    <w:rsid w:val="00EB6B2E"/>
    <w:rsid w:val="00EB79C2"/>
    <w:rsid w:val="00EC243E"/>
    <w:rsid w:val="00ED4074"/>
    <w:rsid w:val="00EF0651"/>
    <w:rsid w:val="00F00F69"/>
    <w:rsid w:val="00F149FB"/>
    <w:rsid w:val="00F2328A"/>
    <w:rsid w:val="00F24120"/>
    <w:rsid w:val="00F32D1E"/>
    <w:rsid w:val="00F347B7"/>
    <w:rsid w:val="00F34928"/>
    <w:rsid w:val="00F352C8"/>
    <w:rsid w:val="00F374A2"/>
    <w:rsid w:val="00F379DF"/>
    <w:rsid w:val="00F42FE0"/>
    <w:rsid w:val="00F46FD5"/>
    <w:rsid w:val="00F52E32"/>
    <w:rsid w:val="00F544BC"/>
    <w:rsid w:val="00F55A8F"/>
    <w:rsid w:val="00F55EEF"/>
    <w:rsid w:val="00F84B36"/>
    <w:rsid w:val="00F9200F"/>
    <w:rsid w:val="00FA2009"/>
    <w:rsid w:val="00FA4800"/>
    <w:rsid w:val="00FA491D"/>
    <w:rsid w:val="00FB3AFD"/>
    <w:rsid w:val="00FB4C1B"/>
    <w:rsid w:val="00FB54E9"/>
    <w:rsid w:val="00FB5AE8"/>
    <w:rsid w:val="00FB74C5"/>
    <w:rsid w:val="00FC019B"/>
    <w:rsid w:val="00FC67A2"/>
    <w:rsid w:val="00FD3650"/>
    <w:rsid w:val="00FD6FD3"/>
    <w:rsid w:val="00FD76A7"/>
    <w:rsid w:val="00FE1FB6"/>
    <w:rsid w:val="00FE4055"/>
    <w:rsid w:val="00FE632E"/>
    <w:rsid w:val="012E34F5"/>
    <w:rsid w:val="056D2E15"/>
    <w:rsid w:val="099217C1"/>
    <w:rsid w:val="0AAC3FD4"/>
    <w:rsid w:val="0BA26B08"/>
    <w:rsid w:val="0EE3398A"/>
    <w:rsid w:val="10BF4F03"/>
    <w:rsid w:val="1283614B"/>
    <w:rsid w:val="13400FC0"/>
    <w:rsid w:val="146137CF"/>
    <w:rsid w:val="188B4CDC"/>
    <w:rsid w:val="19A30C3C"/>
    <w:rsid w:val="1B5C578B"/>
    <w:rsid w:val="1C53479C"/>
    <w:rsid w:val="1F9F2DD9"/>
    <w:rsid w:val="201872BC"/>
    <w:rsid w:val="24B67467"/>
    <w:rsid w:val="27C33364"/>
    <w:rsid w:val="294A5C4F"/>
    <w:rsid w:val="2BE9306B"/>
    <w:rsid w:val="2C391C60"/>
    <w:rsid w:val="2CAE1922"/>
    <w:rsid w:val="2CD722CC"/>
    <w:rsid w:val="2F0D7070"/>
    <w:rsid w:val="30CD4226"/>
    <w:rsid w:val="31BF2A03"/>
    <w:rsid w:val="32380C07"/>
    <w:rsid w:val="331C0D46"/>
    <w:rsid w:val="361231BE"/>
    <w:rsid w:val="36F37731"/>
    <w:rsid w:val="37D0630C"/>
    <w:rsid w:val="384462A9"/>
    <w:rsid w:val="38481C7E"/>
    <w:rsid w:val="39512A22"/>
    <w:rsid w:val="39747F9D"/>
    <w:rsid w:val="3B0A5163"/>
    <w:rsid w:val="3CCC7501"/>
    <w:rsid w:val="3D536049"/>
    <w:rsid w:val="3E886BC8"/>
    <w:rsid w:val="425A2175"/>
    <w:rsid w:val="42D24401"/>
    <w:rsid w:val="434370AD"/>
    <w:rsid w:val="4554492E"/>
    <w:rsid w:val="45647A48"/>
    <w:rsid w:val="457F1EF2"/>
    <w:rsid w:val="459B6D55"/>
    <w:rsid w:val="46DF28B7"/>
    <w:rsid w:val="470A303D"/>
    <w:rsid w:val="477E4B57"/>
    <w:rsid w:val="4947569E"/>
    <w:rsid w:val="49757894"/>
    <w:rsid w:val="4A840191"/>
    <w:rsid w:val="4EC15329"/>
    <w:rsid w:val="527B72D6"/>
    <w:rsid w:val="53CF7776"/>
    <w:rsid w:val="53F43EF1"/>
    <w:rsid w:val="54091C4C"/>
    <w:rsid w:val="56AD4788"/>
    <w:rsid w:val="5A4540E7"/>
    <w:rsid w:val="5D641CA2"/>
    <w:rsid w:val="5DDD4037"/>
    <w:rsid w:val="5E0758EE"/>
    <w:rsid w:val="5FA212DE"/>
    <w:rsid w:val="640A23EA"/>
    <w:rsid w:val="65586327"/>
    <w:rsid w:val="6841330B"/>
    <w:rsid w:val="6A372C18"/>
    <w:rsid w:val="6B575EFD"/>
    <w:rsid w:val="6E81013B"/>
    <w:rsid w:val="710F25AA"/>
    <w:rsid w:val="71104394"/>
    <w:rsid w:val="71991A38"/>
    <w:rsid w:val="72F21378"/>
    <w:rsid w:val="75362644"/>
    <w:rsid w:val="76DE56C7"/>
    <w:rsid w:val="7CB64B7A"/>
    <w:rsid w:val="7DF85FEB"/>
    <w:rsid w:val="7F9610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26"/>
    <w:qFormat/>
    <w:uiPriority w:val="0"/>
    <w:pPr>
      <w:ind w:firstLine="420"/>
    </w:pPr>
    <w:rPr>
      <w:szCs w:val="20"/>
    </w:rPr>
  </w:style>
  <w:style w:type="paragraph" w:styleId="4">
    <w:name w:val="annotation text"/>
    <w:basedOn w:val="1"/>
    <w:link w:val="42"/>
    <w:semiHidden/>
    <w:unhideWhenUsed/>
    <w:qFormat/>
    <w:uiPriority w:val="99"/>
    <w:pPr>
      <w:jc w:val="left"/>
    </w:pPr>
  </w:style>
  <w:style w:type="paragraph" w:styleId="5">
    <w:name w:val="Body Text 3"/>
    <w:basedOn w:val="1"/>
    <w:link w:val="52"/>
    <w:semiHidden/>
    <w:unhideWhenUsed/>
    <w:qFormat/>
    <w:uiPriority w:val="99"/>
    <w:pPr>
      <w:spacing w:after="120"/>
    </w:pPr>
    <w:rPr>
      <w:sz w:val="16"/>
      <w:szCs w:val="16"/>
    </w:rPr>
  </w:style>
  <w:style w:type="paragraph" w:styleId="6">
    <w:name w:val="Body Text"/>
    <w:basedOn w:val="1"/>
    <w:next w:val="7"/>
    <w:qFormat/>
    <w:uiPriority w:val="0"/>
    <w:pPr>
      <w:spacing w:after="120"/>
    </w:pPr>
  </w:style>
  <w:style w:type="paragraph" w:customStyle="1" w:styleId="7">
    <w:name w:val="目录 82"/>
    <w:next w:val="1"/>
    <w:qFormat/>
    <w:uiPriority w:val="0"/>
    <w:pPr>
      <w:wordWrap w:val="0"/>
      <w:ind w:left="2550"/>
      <w:jc w:val="both"/>
    </w:pPr>
    <w:rPr>
      <w:rFonts w:ascii="Times New Roman" w:hAnsi="Times New Roman" w:eastAsia="宋体" w:cs="Times New Roman"/>
      <w:sz w:val="21"/>
      <w:lang w:val="en-US" w:eastAsia="zh-CN" w:bidi="ar-SA"/>
    </w:rPr>
  </w:style>
  <w:style w:type="paragraph" w:styleId="8">
    <w:name w:val="Body Text Indent"/>
    <w:basedOn w:val="1"/>
    <w:next w:val="9"/>
    <w:link w:val="23"/>
    <w:unhideWhenUsed/>
    <w:qFormat/>
    <w:uiPriority w:val="0"/>
    <w:pPr>
      <w:spacing w:after="120"/>
      <w:ind w:left="420" w:leftChars="200"/>
    </w:pPr>
  </w:style>
  <w:style w:type="paragraph" w:styleId="9">
    <w:name w:val="envelope return"/>
    <w:basedOn w:val="1"/>
    <w:unhideWhenUsed/>
    <w:qFormat/>
    <w:uiPriority w:val="99"/>
    <w:pPr>
      <w:snapToGrid w:val="0"/>
    </w:pPr>
    <w:rPr>
      <w:rFonts w:ascii="Arial" w:hAnsi="Arial"/>
    </w:rPr>
  </w:style>
  <w:style w:type="paragraph" w:styleId="10">
    <w:name w:val="index 4"/>
    <w:basedOn w:val="1"/>
    <w:next w:val="1"/>
    <w:qFormat/>
    <w:uiPriority w:val="99"/>
    <w:pPr>
      <w:ind w:left="600" w:leftChars="600"/>
    </w:pPr>
  </w:style>
  <w:style w:type="paragraph" w:styleId="11">
    <w:name w:val="toc 3"/>
    <w:basedOn w:val="1"/>
    <w:next w:val="1"/>
    <w:qFormat/>
    <w:uiPriority w:val="0"/>
    <w:pPr>
      <w:ind w:left="840" w:leftChars="400"/>
    </w:pPr>
  </w:style>
  <w:style w:type="paragraph" w:styleId="12">
    <w:name w:val="Plain Text"/>
    <w:basedOn w:val="1"/>
    <w:link w:val="50"/>
    <w:qFormat/>
    <w:uiPriority w:val="0"/>
    <w:rPr>
      <w:rFonts w:ascii="宋体" w:hAnsi="Courier New"/>
    </w:rPr>
  </w:style>
  <w:style w:type="paragraph" w:styleId="13">
    <w:name w:val="Balloon Text"/>
    <w:basedOn w:val="1"/>
    <w:link w:val="27"/>
    <w:qFormat/>
    <w:uiPriority w:val="0"/>
    <w:rPr>
      <w:sz w:val="18"/>
      <w:szCs w:val="18"/>
    </w:rPr>
  </w:style>
  <w:style w:type="paragraph" w:styleId="14">
    <w:name w:val="footer"/>
    <w:basedOn w:val="1"/>
    <w:link w:val="28"/>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annotation subject"/>
    <w:basedOn w:val="4"/>
    <w:next w:val="4"/>
    <w:link w:val="43"/>
    <w:semiHidden/>
    <w:unhideWhenUsed/>
    <w:qFormat/>
    <w:uiPriority w:val="99"/>
    <w:rPr>
      <w:b/>
      <w:bCs/>
    </w:rPr>
  </w:style>
  <w:style w:type="paragraph" w:styleId="18">
    <w:name w:val="Body Text First Indent 2"/>
    <w:basedOn w:val="8"/>
    <w:link w:val="24"/>
    <w:unhideWhenUsed/>
    <w:qFormat/>
    <w:uiPriority w:val="99"/>
    <w:pPr>
      <w:ind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unhideWhenUsed/>
    <w:qFormat/>
    <w:uiPriority w:val="0"/>
    <w:rPr>
      <w:sz w:val="21"/>
      <w:szCs w:val="21"/>
    </w:rPr>
  </w:style>
  <w:style w:type="character" w:customStyle="1" w:styleId="23">
    <w:name w:val="正文文本缩进 Char"/>
    <w:basedOn w:val="21"/>
    <w:link w:val="8"/>
    <w:semiHidden/>
    <w:qFormat/>
    <w:uiPriority w:val="99"/>
    <w:rPr>
      <w:rFonts w:ascii="Times New Roman" w:hAnsi="Times New Roman" w:eastAsia="宋体" w:cs="Times New Roman"/>
      <w:szCs w:val="24"/>
    </w:rPr>
  </w:style>
  <w:style w:type="character" w:customStyle="1" w:styleId="24">
    <w:name w:val="正文首行缩进 2 Char1"/>
    <w:basedOn w:val="23"/>
    <w:link w:val="18"/>
    <w:qFormat/>
    <w:uiPriority w:val="99"/>
    <w:rPr>
      <w:rFonts w:ascii="Times New Roman" w:hAnsi="Times New Roman" w:eastAsia="宋体" w:cs="Times New Roman"/>
      <w:szCs w:val="24"/>
    </w:rPr>
  </w:style>
  <w:style w:type="character" w:customStyle="1" w:styleId="25">
    <w:name w:val="正文文本缩进 Char1"/>
    <w:qFormat/>
    <w:uiPriority w:val="0"/>
    <w:rPr>
      <w:kern w:val="2"/>
      <w:sz w:val="21"/>
      <w:szCs w:val="24"/>
    </w:rPr>
  </w:style>
  <w:style w:type="character" w:customStyle="1" w:styleId="26">
    <w:name w:val="正文缩进 Char1"/>
    <w:link w:val="3"/>
    <w:qFormat/>
    <w:uiPriority w:val="0"/>
    <w:rPr>
      <w:rFonts w:ascii="Times New Roman" w:hAnsi="Times New Roman" w:eastAsia="宋体" w:cs="Times New Roman"/>
      <w:szCs w:val="20"/>
    </w:rPr>
  </w:style>
  <w:style w:type="character" w:customStyle="1" w:styleId="27">
    <w:name w:val="批注框文本 Char"/>
    <w:basedOn w:val="21"/>
    <w:link w:val="13"/>
    <w:qFormat/>
    <w:uiPriority w:val="0"/>
    <w:rPr>
      <w:rFonts w:ascii="Times New Roman" w:hAnsi="Times New Roman" w:eastAsia="宋体" w:cs="Times New Roman"/>
      <w:sz w:val="18"/>
      <w:szCs w:val="18"/>
    </w:rPr>
  </w:style>
  <w:style w:type="character" w:customStyle="1" w:styleId="28">
    <w:name w:val="页脚 Char"/>
    <w:basedOn w:val="21"/>
    <w:link w:val="14"/>
    <w:qFormat/>
    <w:uiPriority w:val="99"/>
    <w:rPr>
      <w:rFonts w:ascii="Times New Roman" w:hAnsi="Times New Roman" w:eastAsia="宋体" w:cs="Times New Roman"/>
      <w:sz w:val="18"/>
      <w:szCs w:val="18"/>
    </w:rPr>
  </w:style>
  <w:style w:type="character" w:customStyle="1" w:styleId="29">
    <w:name w:val="正文缩进2格 Char"/>
    <w:link w:val="30"/>
    <w:qFormat/>
    <w:locked/>
    <w:uiPriority w:val="99"/>
    <w:rPr>
      <w:rFonts w:ascii="仿宋_GB2312" w:hAnsi="宋体" w:eastAsia="仿宋_GB2312"/>
      <w:sz w:val="31"/>
      <w:szCs w:val="28"/>
    </w:rPr>
  </w:style>
  <w:style w:type="paragraph" w:customStyle="1" w:styleId="30">
    <w:name w:val="正文缩进2格"/>
    <w:basedOn w:val="1"/>
    <w:link w:val="29"/>
    <w:qFormat/>
    <w:uiPriority w:val="99"/>
    <w:pPr>
      <w:spacing w:line="600" w:lineRule="exact"/>
      <w:ind w:firstLine="639" w:firstLineChars="206"/>
    </w:pPr>
    <w:rPr>
      <w:rFonts w:ascii="仿宋_GB2312" w:hAnsi="宋体" w:eastAsia="仿宋_GB2312" w:cstheme="minorBidi"/>
      <w:sz w:val="31"/>
      <w:szCs w:val="28"/>
    </w:rPr>
  </w:style>
  <w:style w:type="paragraph" w:customStyle="1" w:styleId="31">
    <w:name w:val="标题 2 + Times New Roman 居中 段前: 0 磅 段后: 0 磅 行距: 单倍行距 + 段前..."/>
    <w:basedOn w:val="1"/>
    <w:qFormat/>
    <w:uiPriority w:val="0"/>
    <w:pPr>
      <w:keepNext/>
      <w:keepLines/>
      <w:adjustRightInd w:val="0"/>
      <w:snapToGrid w:val="0"/>
      <w:spacing w:beforeLines="150" w:afterLines="100"/>
      <w:jc w:val="center"/>
      <w:outlineLvl w:val="1"/>
    </w:pPr>
    <w:rPr>
      <w:rFonts w:eastAsia="黑体"/>
      <w:b/>
      <w:bCs/>
      <w:sz w:val="32"/>
      <w:szCs w:val="20"/>
    </w:rPr>
  </w:style>
  <w:style w:type="character" w:customStyle="1" w:styleId="32">
    <w:name w:val="我的正文 Char"/>
    <w:link w:val="33"/>
    <w:qFormat/>
    <w:locked/>
    <w:uiPriority w:val="0"/>
    <w:rPr>
      <w:rFonts w:ascii="宋体" w:hAnsi="宋体"/>
      <w:sz w:val="24"/>
      <w:szCs w:val="24"/>
    </w:rPr>
  </w:style>
  <w:style w:type="paragraph" w:customStyle="1" w:styleId="33">
    <w:name w:val="我的正文"/>
    <w:basedOn w:val="1"/>
    <w:link w:val="32"/>
    <w:qFormat/>
    <w:uiPriority w:val="0"/>
    <w:pPr>
      <w:snapToGrid w:val="0"/>
      <w:spacing w:line="300" w:lineRule="auto"/>
      <w:ind w:firstLine="150" w:firstLineChars="150"/>
    </w:pPr>
    <w:rPr>
      <w:rFonts w:ascii="宋体" w:hAnsi="宋体" w:eastAsiaTheme="minorEastAsia" w:cstheme="minorBidi"/>
      <w:sz w:val="24"/>
    </w:rPr>
  </w:style>
  <w:style w:type="paragraph" w:customStyle="1" w:styleId="34">
    <w:name w:val="列出段落1"/>
    <w:basedOn w:val="1"/>
    <w:qFormat/>
    <w:uiPriority w:val="34"/>
    <w:pPr>
      <w:ind w:firstLine="420" w:firstLineChars="200"/>
    </w:pPr>
  </w:style>
  <w:style w:type="character" w:customStyle="1" w:styleId="35">
    <w:name w:val="fontstyle01"/>
    <w:qFormat/>
    <w:uiPriority w:val="0"/>
    <w:rPr>
      <w:rFonts w:hint="eastAsia" w:ascii="宋体" w:hAnsi="宋体" w:eastAsia="宋体"/>
      <w:color w:val="000000"/>
      <w:sz w:val="24"/>
      <w:szCs w:val="24"/>
    </w:rPr>
  </w:style>
  <w:style w:type="paragraph" w:styleId="36">
    <w:name w:val="List Paragraph"/>
    <w:basedOn w:val="1"/>
    <w:qFormat/>
    <w:uiPriority w:val="34"/>
    <w:pPr>
      <w:ind w:firstLine="420" w:firstLineChars="200"/>
    </w:pPr>
  </w:style>
  <w:style w:type="paragraph" w:customStyle="1" w:styleId="37">
    <w:name w:val="xl36"/>
    <w:basedOn w:val="1"/>
    <w:qFormat/>
    <w:uiPriority w:val="0"/>
    <w:pPr>
      <w:widowControl/>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hint="eastAsia" w:ascii="宋体" w:hAnsi="Tahoma" w:eastAsia="微软雅黑"/>
      <w:kern w:val="0"/>
      <w:sz w:val="24"/>
      <w:szCs w:val="20"/>
    </w:rPr>
  </w:style>
  <w:style w:type="character" w:customStyle="1" w:styleId="38">
    <w:name w:val="页眉 Char"/>
    <w:basedOn w:val="21"/>
    <w:link w:val="15"/>
    <w:qFormat/>
    <w:uiPriority w:val="99"/>
    <w:rPr>
      <w:rFonts w:ascii="Times New Roman" w:hAnsi="Times New Roman" w:eastAsia="宋体" w:cs="Times New Roman"/>
      <w:sz w:val="18"/>
      <w:szCs w:val="18"/>
    </w:rPr>
  </w:style>
  <w:style w:type="character" w:customStyle="1" w:styleId="39">
    <w:name w:val="font61"/>
    <w:basedOn w:val="21"/>
    <w:qFormat/>
    <w:uiPriority w:val="0"/>
    <w:rPr>
      <w:rFonts w:hint="eastAsia" w:ascii="宋体" w:hAnsi="宋体" w:eastAsia="宋体" w:cs="宋体"/>
      <w:color w:val="FF0000"/>
      <w:sz w:val="20"/>
      <w:szCs w:val="20"/>
      <w:u w:val="none"/>
    </w:rPr>
  </w:style>
  <w:style w:type="character" w:customStyle="1" w:styleId="40">
    <w:name w:val="font31"/>
    <w:basedOn w:val="21"/>
    <w:qFormat/>
    <w:uiPriority w:val="0"/>
    <w:rPr>
      <w:rFonts w:hint="eastAsia" w:ascii="宋体" w:hAnsi="宋体" w:eastAsia="宋体" w:cs="宋体"/>
      <w:color w:val="000000"/>
      <w:sz w:val="20"/>
      <w:szCs w:val="20"/>
      <w:u w:val="none"/>
    </w:rPr>
  </w:style>
  <w:style w:type="paragraph" w:customStyle="1" w:styleId="41">
    <w:name w:val="ces正文"/>
    <w:basedOn w:val="1"/>
    <w:qFormat/>
    <w:uiPriority w:val="0"/>
    <w:pPr>
      <w:spacing w:line="360" w:lineRule="auto"/>
      <w:ind w:firstLine="480" w:firstLineChars="200"/>
    </w:pPr>
    <w:rPr>
      <w:rFonts w:ascii="宋体" w:hAnsi="宋体"/>
      <w:sz w:val="24"/>
    </w:rPr>
  </w:style>
  <w:style w:type="character" w:customStyle="1" w:styleId="42">
    <w:name w:val="批注文字 Char"/>
    <w:basedOn w:val="21"/>
    <w:link w:val="4"/>
    <w:semiHidden/>
    <w:qFormat/>
    <w:uiPriority w:val="99"/>
    <w:rPr>
      <w:kern w:val="2"/>
      <w:sz w:val="21"/>
      <w:szCs w:val="24"/>
    </w:rPr>
  </w:style>
  <w:style w:type="character" w:customStyle="1" w:styleId="43">
    <w:name w:val="批注主题 Char"/>
    <w:basedOn w:val="42"/>
    <w:link w:val="17"/>
    <w:semiHidden/>
    <w:qFormat/>
    <w:uiPriority w:val="99"/>
    <w:rPr>
      <w:b/>
      <w:bCs/>
      <w:kern w:val="2"/>
      <w:sz w:val="21"/>
      <w:szCs w:val="24"/>
    </w:rPr>
  </w:style>
  <w:style w:type="paragraph" w:customStyle="1" w:styleId="44">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45">
    <w:name w:val="正文缩进 Char"/>
    <w:qFormat/>
    <w:uiPriority w:val="0"/>
    <w:rPr>
      <w:kern w:val="2"/>
      <w:sz w:val="21"/>
    </w:rPr>
  </w:style>
  <w:style w:type="paragraph" w:customStyle="1" w:styleId="46">
    <w:name w:val="_Style 38"/>
    <w:basedOn w:val="8"/>
    <w:next w:val="18"/>
    <w:link w:val="47"/>
    <w:unhideWhenUsed/>
    <w:qFormat/>
    <w:uiPriority w:val="99"/>
    <w:pPr>
      <w:ind w:firstLine="420" w:firstLineChars="200"/>
    </w:pPr>
    <w:rPr>
      <w:kern w:val="0"/>
      <w:sz w:val="20"/>
      <w:szCs w:val="20"/>
    </w:rPr>
  </w:style>
  <w:style w:type="character" w:customStyle="1" w:styleId="47">
    <w:name w:val="正文首行缩进 2 Char"/>
    <w:link w:val="46"/>
    <w:semiHidden/>
    <w:qFormat/>
    <w:uiPriority w:val="99"/>
  </w:style>
  <w:style w:type="paragraph" w:customStyle="1" w:styleId="48">
    <w:name w:val="Default"/>
    <w:next w:val="1"/>
    <w:unhideWhenUsed/>
    <w:qFormat/>
    <w:uiPriority w:val="0"/>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table" w:customStyle="1" w:styleId="49">
    <w:name w:val="网格型1"/>
    <w:basedOn w:val="19"/>
    <w:qFormat/>
    <w:uiPriority w:val="59"/>
    <w:rPr>
      <w:rFonts w:ascii="Arial" w:hAnsi="Arial"/>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50">
    <w:name w:val="纯文本 Char"/>
    <w:basedOn w:val="21"/>
    <w:link w:val="12"/>
    <w:qFormat/>
    <w:uiPriority w:val="0"/>
    <w:rPr>
      <w:rFonts w:ascii="宋体" w:hAnsi="Courier New"/>
      <w:kern w:val="2"/>
      <w:sz w:val="21"/>
      <w:szCs w:val="24"/>
    </w:rPr>
  </w:style>
  <w:style w:type="character" w:customStyle="1" w:styleId="51">
    <w:name w:val="NormalCharacter"/>
    <w:autoRedefine/>
    <w:qFormat/>
    <w:uiPriority w:val="0"/>
  </w:style>
  <w:style w:type="character" w:customStyle="1" w:styleId="52">
    <w:name w:val="正文文本 3 Char"/>
    <w:basedOn w:val="21"/>
    <w:link w:val="5"/>
    <w:semiHidden/>
    <w:qFormat/>
    <w:uiPriority w:val="99"/>
    <w:rPr>
      <w:kern w:val="2"/>
      <w:sz w:val="16"/>
      <w:szCs w:val="16"/>
    </w:rPr>
  </w:style>
  <w:style w:type="paragraph" w:customStyle="1" w:styleId="53">
    <w:name w:val="样式1"/>
    <w:basedOn w:val="1"/>
    <w:qFormat/>
    <w:uiPriority w:val="0"/>
    <w:pPr>
      <w:spacing w:line="520" w:lineRule="exact"/>
      <w:ind w:firstLine="566" w:firstLineChars="236"/>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14886</Words>
  <Characters>15449</Characters>
  <Lines>235</Lines>
  <Paragraphs>66</Paragraphs>
  <TotalTime>11</TotalTime>
  <ScaleCrop>false</ScaleCrop>
  <LinksUpToDate>false</LinksUpToDate>
  <CharactersWithSpaces>15548</CharactersWithSpaces>
  <Application>WPS Office_12.1.0.18912_F1E327BC-269C-435d-A152-05C5408002CA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2024-11-28T02:57:00Z</dcterms:created>
  <dc:creator>吉加兵</dc:creator>
  <cp:lastModifiedBy>WPS_1542117345</cp:lastModifiedBy>
  <cp:lastPrinted>2022-03-01T06:57:00Z</cp:lastPrinted>
  <dcterms:modified xsi:type="dcterms:W3CDTF">2024-12-02T01:13:43Z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6918114121B54E279306B450F3856DA2_13</vt:lpwstr>
  </property>
</Properties>
</file>