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3F553">
      <w:pPr>
        <w:spacing w:line="360" w:lineRule="auto"/>
        <w:rPr>
          <w:rFonts w:ascii="宋体" w:hAnsi="宋体" w:cs="宋体"/>
          <w:b/>
          <w:color w:val="auto"/>
          <w:sz w:val="36"/>
          <w:szCs w:val="36"/>
          <w:highlight w:val="none"/>
        </w:rPr>
      </w:pPr>
    </w:p>
    <w:p w14:paraId="0C9F9925">
      <w:pPr>
        <w:autoSpaceDE w:val="0"/>
        <w:autoSpaceDN w:val="0"/>
        <w:adjustRightInd w:val="0"/>
        <w:spacing w:line="360" w:lineRule="auto"/>
        <w:jc w:val="center"/>
        <w:rPr>
          <w:rFonts w:hint="eastAsia" w:ascii="宋体" w:hAnsi="宋体" w:eastAsia="宋体" w:cs="宋体"/>
          <w:b/>
          <w:bCs/>
          <w:color w:val="auto"/>
          <w:sz w:val="52"/>
          <w:szCs w:val="52"/>
          <w:highlight w:val="none"/>
          <w:lang w:val="zh-CN" w:eastAsia="zh-CN"/>
        </w:rPr>
      </w:pPr>
      <w:r>
        <w:rPr>
          <w:rFonts w:hint="eastAsia" w:hAnsi="宋体" w:cs="宋体"/>
          <w:b/>
          <w:bCs/>
          <w:color w:val="auto"/>
          <w:sz w:val="44"/>
          <w:szCs w:val="44"/>
          <w:highlight w:val="none"/>
          <w:lang w:eastAsia="zh-CN"/>
        </w:rPr>
        <w:t>沪陕高速公路海门城区至南通东段客车差异化收费政策实施情况评估服务项目</w:t>
      </w:r>
    </w:p>
    <w:p w14:paraId="5DE55406">
      <w:pPr>
        <w:autoSpaceDE w:val="0"/>
        <w:autoSpaceDN w:val="0"/>
        <w:adjustRightInd w:val="0"/>
        <w:spacing w:line="360" w:lineRule="auto"/>
        <w:jc w:val="center"/>
        <w:rPr>
          <w:rFonts w:ascii="宋体" w:hAnsi="宋体" w:cs="宋体"/>
          <w:b/>
          <w:bCs/>
          <w:color w:val="auto"/>
          <w:sz w:val="52"/>
          <w:szCs w:val="52"/>
          <w:highlight w:val="none"/>
          <w:lang w:val="zh-CN"/>
        </w:rPr>
      </w:pPr>
    </w:p>
    <w:p w14:paraId="75927F02">
      <w:pPr>
        <w:tabs>
          <w:tab w:val="left" w:pos="6300"/>
        </w:tabs>
        <w:snapToGrid w:val="0"/>
        <w:spacing w:line="360" w:lineRule="auto"/>
        <w:jc w:val="center"/>
        <w:rPr>
          <w:rFonts w:hint="eastAsia" w:ascii="宋体" w:hAnsi="宋体" w:cs="宋体"/>
          <w:b/>
          <w:color w:val="auto"/>
          <w:w w:val="80"/>
          <w:sz w:val="96"/>
          <w:szCs w:val="96"/>
          <w:highlight w:val="none"/>
        </w:rPr>
      </w:pPr>
      <w:r>
        <w:rPr>
          <w:rFonts w:hint="eastAsia" w:ascii="宋体" w:hAnsi="宋体" w:cs="宋体"/>
          <w:b/>
          <w:color w:val="auto"/>
          <w:w w:val="80"/>
          <w:sz w:val="96"/>
          <w:szCs w:val="96"/>
          <w:highlight w:val="none"/>
        </w:rPr>
        <w:t>竞争性谈判文件</w:t>
      </w:r>
    </w:p>
    <w:p w14:paraId="651CD239">
      <w:pPr>
        <w:autoSpaceDE w:val="0"/>
        <w:autoSpaceDN w:val="0"/>
        <w:adjustRightInd w:val="0"/>
        <w:spacing w:line="360" w:lineRule="auto"/>
        <w:jc w:val="center"/>
        <w:rPr>
          <w:rFonts w:hint="eastAsia" w:hAnsi="宋体" w:cs="宋体"/>
          <w:b/>
          <w:bCs/>
          <w:color w:val="auto"/>
          <w:sz w:val="44"/>
          <w:szCs w:val="44"/>
          <w:highlight w:val="none"/>
          <w:lang w:eastAsia="zh-CN"/>
        </w:rPr>
      </w:pPr>
      <w:r>
        <w:rPr>
          <w:rFonts w:hint="eastAsia" w:hAnsi="宋体" w:cs="宋体"/>
          <w:b/>
          <w:bCs/>
          <w:color w:val="auto"/>
          <w:sz w:val="44"/>
          <w:szCs w:val="44"/>
          <w:highlight w:val="none"/>
          <w:lang w:eastAsia="zh-CN"/>
        </w:rPr>
        <w:t>（</w:t>
      </w:r>
      <w:r>
        <w:rPr>
          <w:rFonts w:hint="eastAsia" w:hAnsi="宋体" w:cs="宋体"/>
          <w:b/>
          <w:bCs/>
          <w:color w:val="auto"/>
          <w:sz w:val="44"/>
          <w:szCs w:val="44"/>
          <w:highlight w:val="none"/>
          <w:lang w:val="en-US" w:eastAsia="zh-CN"/>
        </w:rPr>
        <w:t>二次</w:t>
      </w:r>
      <w:r>
        <w:rPr>
          <w:rFonts w:hint="eastAsia" w:hAnsi="宋体" w:cs="宋体"/>
          <w:b/>
          <w:bCs/>
          <w:color w:val="auto"/>
          <w:sz w:val="44"/>
          <w:szCs w:val="44"/>
          <w:highlight w:val="none"/>
          <w:lang w:eastAsia="zh-CN"/>
        </w:rPr>
        <w:t>）</w:t>
      </w:r>
    </w:p>
    <w:p w14:paraId="60379E0C">
      <w:pPr>
        <w:tabs>
          <w:tab w:val="left" w:pos="6300"/>
        </w:tabs>
        <w:snapToGrid w:val="0"/>
        <w:spacing w:line="360" w:lineRule="auto"/>
        <w:ind w:firstLine="2830" w:firstLineChars="1100"/>
        <w:rPr>
          <w:rFonts w:hint="default" w:ascii="宋体" w:hAnsi="宋体" w:eastAsia="宋体" w:cs="宋体"/>
          <w:b/>
          <w:color w:val="auto"/>
          <w:w w:val="80"/>
          <w:sz w:val="32"/>
          <w:szCs w:val="32"/>
          <w:highlight w:val="none"/>
          <w:lang w:val="en-US" w:eastAsia="zh-CN"/>
        </w:rPr>
      </w:pPr>
      <w:r>
        <w:rPr>
          <w:rFonts w:hint="eastAsia" w:ascii="宋体" w:hAnsi="宋体" w:cs="宋体"/>
          <w:b/>
          <w:color w:val="auto"/>
          <w:w w:val="80"/>
          <w:sz w:val="32"/>
          <w:szCs w:val="32"/>
          <w:highlight w:val="none"/>
        </w:rPr>
        <w:t>项目编号：</w:t>
      </w:r>
      <w:r>
        <w:rPr>
          <w:rFonts w:hint="eastAsia" w:ascii="宋体" w:hAnsi="宋体" w:cs="宋体"/>
          <w:b/>
          <w:color w:val="auto"/>
          <w:w w:val="80"/>
          <w:sz w:val="32"/>
          <w:szCs w:val="32"/>
          <w:highlight w:val="none"/>
          <w:lang w:val="en-US" w:eastAsia="zh-CN"/>
        </w:rPr>
        <w:t>2025ZCPG</w:t>
      </w:r>
    </w:p>
    <w:p w14:paraId="3BD52A3E">
      <w:pPr>
        <w:tabs>
          <w:tab w:val="left" w:pos="6300"/>
        </w:tabs>
        <w:snapToGrid w:val="0"/>
        <w:spacing w:line="360" w:lineRule="auto"/>
        <w:ind w:firstLine="2830" w:firstLineChars="1100"/>
        <w:rPr>
          <w:rFonts w:ascii="宋体" w:hAnsi="宋体" w:cs="宋体"/>
          <w:b/>
          <w:color w:val="auto"/>
          <w:w w:val="80"/>
          <w:sz w:val="32"/>
          <w:szCs w:val="32"/>
          <w:highlight w:val="none"/>
        </w:rPr>
      </w:pPr>
      <w:r>
        <w:rPr>
          <w:rFonts w:hint="eastAsia" w:ascii="宋体" w:hAnsi="宋体" w:cs="宋体"/>
          <w:b/>
          <w:color w:val="auto"/>
          <w:w w:val="80"/>
          <w:sz w:val="32"/>
          <w:szCs w:val="32"/>
          <w:highlight w:val="none"/>
        </w:rPr>
        <w:t xml:space="preserve">档案编号：20251108 </w:t>
      </w:r>
    </w:p>
    <w:p w14:paraId="79242180">
      <w:pPr>
        <w:autoSpaceDE w:val="0"/>
        <w:autoSpaceDN w:val="0"/>
        <w:adjustRightInd w:val="0"/>
        <w:spacing w:line="360" w:lineRule="auto"/>
        <w:ind w:firstLine="420"/>
        <w:jc w:val="center"/>
        <w:rPr>
          <w:rFonts w:ascii="宋体" w:hAnsi="宋体" w:cs="宋体"/>
          <w:color w:val="auto"/>
          <w:szCs w:val="21"/>
          <w:highlight w:val="none"/>
        </w:rPr>
      </w:pPr>
    </w:p>
    <w:p w14:paraId="0CE757E7">
      <w:pPr>
        <w:autoSpaceDE w:val="0"/>
        <w:autoSpaceDN w:val="0"/>
        <w:adjustRightInd w:val="0"/>
        <w:spacing w:line="360" w:lineRule="auto"/>
        <w:ind w:firstLine="420"/>
        <w:jc w:val="center"/>
        <w:rPr>
          <w:rFonts w:ascii="宋体" w:hAnsi="宋体" w:cs="宋体"/>
          <w:color w:val="auto"/>
          <w:szCs w:val="21"/>
          <w:highlight w:val="none"/>
        </w:rPr>
      </w:pPr>
    </w:p>
    <w:p w14:paraId="3869C7DC">
      <w:pPr>
        <w:autoSpaceDE w:val="0"/>
        <w:autoSpaceDN w:val="0"/>
        <w:adjustRightInd w:val="0"/>
        <w:spacing w:line="360" w:lineRule="auto"/>
        <w:ind w:firstLine="420"/>
        <w:jc w:val="center"/>
        <w:rPr>
          <w:rFonts w:ascii="宋体" w:hAnsi="宋体" w:cs="宋体"/>
          <w:color w:val="auto"/>
          <w:szCs w:val="21"/>
          <w:highlight w:val="none"/>
        </w:rPr>
      </w:pPr>
    </w:p>
    <w:p w14:paraId="3788891D">
      <w:pPr>
        <w:autoSpaceDE w:val="0"/>
        <w:autoSpaceDN w:val="0"/>
        <w:adjustRightInd w:val="0"/>
        <w:spacing w:line="360" w:lineRule="auto"/>
        <w:ind w:firstLine="420"/>
        <w:jc w:val="center"/>
        <w:rPr>
          <w:rFonts w:ascii="宋体" w:hAnsi="宋体" w:cs="宋体"/>
          <w:color w:val="auto"/>
          <w:szCs w:val="21"/>
          <w:highlight w:val="none"/>
        </w:rPr>
      </w:pPr>
    </w:p>
    <w:p w14:paraId="78559610">
      <w:pPr>
        <w:autoSpaceDE w:val="0"/>
        <w:autoSpaceDN w:val="0"/>
        <w:adjustRightInd w:val="0"/>
        <w:spacing w:line="360" w:lineRule="auto"/>
        <w:ind w:firstLine="420"/>
        <w:jc w:val="center"/>
        <w:rPr>
          <w:rFonts w:ascii="宋体" w:hAnsi="宋体" w:cs="宋体"/>
          <w:color w:val="auto"/>
          <w:szCs w:val="21"/>
          <w:highlight w:val="none"/>
        </w:rPr>
      </w:pPr>
    </w:p>
    <w:p w14:paraId="712AB2EF">
      <w:pPr>
        <w:autoSpaceDE w:val="0"/>
        <w:autoSpaceDN w:val="0"/>
        <w:adjustRightInd w:val="0"/>
        <w:spacing w:line="360" w:lineRule="auto"/>
        <w:ind w:firstLine="420"/>
        <w:jc w:val="center"/>
        <w:rPr>
          <w:rFonts w:ascii="宋体" w:hAnsi="宋体" w:cs="宋体"/>
          <w:color w:val="auto"/>
          <w:szCs w:val="21"/>
          <w:highlight w:val="none"/>
        </w:rPr>
      </w:pPr>
    </w:p>
    <w:p w14:paraId="489602F8">
      <w:pPr>
        <w:autoSpaceDE w:val="0"/>
        <w:autoSpaceDN w:val="0"/>
        <w:adjustRightInd w:val="0"/>
        <w:spacing w:line="360" w:lineRule="auto"/>
        <w:ind w:firstLine="420"/>
        <w:jc w:val="center"/>
        <w:rPr>
          <w:rFonts w:ascii="宋体" w:hAnsi="宋体" w:cs="宋体"/>
          <w:color w:val="auto"/>
          <w:szCs w:val="21"/>
          <w:highlight w:val="none"/>
        </w:rPr>
      </w:pPr>
    </w:p>
    <w:p w14:paraId="2AE06B98">
      <w:pPr>
        <w:autoSpaceDE w:val="0"/>
        <w:autoSpaceDN w:val="0"/>
        <w:adjustRightInd w:val="0"/>
        <w:spacing w:line="360" w:lineRule="auto"/>
        <w:jc w:val="center"/>
        <w:rPr>
          <w:rFonts w:ascii="宋体" w:hAnsi="宋体" w:cs="宋体"/>
          <w:color w:val="auto"/>
          <w:szCs w:val="21"/>
          <w:highlight w:val="none"/>
        </w:rPr>
      </w:pPr>
    </w:p>
    <w:p w14:paraId="6D166B23">
      <w:pPr>
        <w:autoSpaceDE w:val="0"/>
        <w:autoSpaceDN w:val="0"/>
        <w:adjustRightInd w:val="0"/>
        <w:spacing w:line="360" w:lineRule="auto"/>
        <w:ind w:firstLine="420"/>
        <w:jc w:val="center"/>
        <w:rPr>
          <w:rFonts w:ascii="宋体" w:hAnsi="宋体" w:cs="宋体"/>
          <w:color w:val="auto"/>
          <w:szCs w:val="21"/>
          <w:highlight w:val="none"/>
        </w:rPr>
      </w:pPr>
    </w:p>
    <w:p w14:paraId="4F10FD95">
      <w:pPr>
        <w:autoSpaceDE w:val="0"/>
        <w:autoSpaceDN w:val="0"/>
        <w:adjustRightInd w:val="0"/>
        <w:spacing w:line="360" w:lineRule="auto"/>
        <w:ind w:firstLine="420"/>
        <w:jc w:val="center"/>
        <w:rPr>
          <w:rFonts w:ascii="宋体" w:hAnsi="宋体" w:cs="宋体"/>
          <w:color w:val="auto"/>
          <w:szCs w:val="21"/>
          <w:highlight w:val="none"/>
        </w:rPr>
      </w:pPr>
    </w:p>
    <w:p w14:paraId="03E7F624">
      <w:pPr>
        <w:autoSpaceDE w:val="0"/>
        <w:autoSpaceDN w:val="0"/>
        <w:adjustRightInd w:val="0"/>
        <w:spacing w:line="360" w:lineRule="auto"/>
        <w:jc w:val="center"/>
        <w:rPr>
          <w:rFonts w:ascii="宋体" w:hAnsi="宋体" w:cs="宋体"/>
          <w:color w:val="auto"/>
          <w:szCs w:val="21"/>
          <w:highlight w:val="none"/>
        </w:rPr>
      </w:pPr>
    </w:p>
    <w:p w14:paraId="6DC20878">
      <w:pPr>
        <w:adjustRightInd w:val="0"/>
        <w:snapToGrid w:val="0"/>
        <w:spacing w:line="360" w:lineRule="auto"/>
        <w:ind w:firstLine="904" w:firstLineChars="300"/>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人：南通市公路事业发展中心</w:t>
      </w:r>
    </w:p>
    <w:p w14:paraId="7450E46F">
      <w:pPr>
        <w:adjustRightInd w:val="0"/>
        <w:snapToGrid w:val="0"/>
        <w:spacing w:line="360" w:lineRule="auto"/>
        <w:ind w:firstLine="904" w:firstLineChars="3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bCs/>
          <w:color w:val="auto"/>
          <w:sz w:val="32"/>
          <w:szCs w:val="32"/>
          <w:highlight w:val="none"/>
        </w:rPr>
        <w:t>江苏睿致诚工程咨询有限公司</w:t>
      </w:r>
    </w:p>
    <w:p w14:paraId="69421150">
      <w:pPr>
        <w:adjustRightInd w:val="0"/>
        <w:snapToGrid w:val="0"/>
        <w:spacing w:line="360" w:lineRule="auto"/>
        <w:jc w:val="center"/>
        <w:rPr>
          <w:rFonts w:ascii="宋体" w:hAnsi="宋体" w:cs="宋体"/>
          <w:b/>
          <w:bCs/>
          <w:color w:val="auto"/>
          <w:sz w:val="30"/>
          <w:szCs w:val="30"/>
          <w:highlight w:val="none"/>
        </w:rPr>
      </w:pPr>
      <w:r>
        <w:rPr>
          <w:rFonts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rPr>
        <w:t>月</w:t>
      </w:r>
    </w:p>
    <w:p w14:paraId="6FD170F2">
      <w:pPr>
        <w:autoSpaceDE w:val="0"/>
        <w:autoSpaceDN w:val="0"/>
        <w:adjustRightInd w:val="0"/>
        <w:spacing w:line="360" w:lineRule="auto"/>
        <w:jc w:val="center"/>
        <w:outlineLvl w:val="0"/>
        <w:rPr>
          <w:rFonts w:ascii="宋体" w:hAnsi="宋体" w:cs="宋体"/>
          <w:b/>
          <w:bCs/>
          <w:color w:val="auto"/>
          <w:sz w:val="44"/>
          <w:szCs w:val="44"/>
          <w:highlight w:val="none"/>
          <w:lang w:val="zh-CN"/>
        </w:rPr>
      </w:pPr>
      <w:r>
        <w:rPr>
          <w:rFonts w:ascii="宋体" w:hAnsi="宋体" w:cs="宋体"/>
          <w:b/>
          <w:bCs/>
          <w:color w:val="auto"/>
          <w:sz w:val="44"/>
          <w:szCs w:val="44"/>
          <w:highlight w:val="none"/>
          <w:lang w:val="zh-CN"/>
        </w:rPr>
        <w:br w:type="page"/>
      </w:r>
      <w:r>
        <w:rPr>
          <w:rFonts w:hint="eastAsia" w:ascii="宋体" w:hAnsi="宋体" w:cs="宋体"/>
          <w:b/>
          <w:bCs/>
          <w:color w:val="auto"/>
          <w:sz w:val="44"/>
          <w:szCs w:val="44"/>
          <w:highlight w:val="none"/>
          <w:lang w:val="zh-CN"/>
        </w:rPr>
        <w:t>目</w:t>
      </w:r>
      <w:r>
        <w:rPr>
          <w:rFonts w:ascii="宋体" w:hAnsi="宋体" w:cs="宋体"/>
          <w:b/>
          <w:bCs/>
          <w:color w:val="auto"/>
          <w:sz w:val="44"/>
          <w:szCs w:val="44"/>
          <w:highlight w:val="none"/>
          <w:lang w:val="zh-CN"/>
        </w:rPr>
        <w:t xml:space="preserve">   </w:t>
      </w:r>
      <w:r>
        <w:rPr>
          <w:rFonts w:hint="eastAsia" w:ascii="宋体" w:hAnsi="宋体" w:cs="宋体"/>
          <w:b/>
          <w:bCs/>
          <w:color w:val="auto"/>
          <w:sz w:val="44"/>
          <w:szCs w:val="44"/>
          <w:highlight w:val="none"/>
          <w:lang w:val="zh-CN"/>
        </w:rPr>
        <w:t>录</w:t>
      </w:r>
    </w:p>
    <w:p w14:paraId="15289C6B">
      <w:pPr>
        <w:autoSpaceDE w:val="0"/>
        <w:autoSpaceDN w:val="0"/>
        <w:adjustRightInd w:val="0"/>
        <w:spacing w:line="360" w:lineRule="auto"/>
        <w:ind w:firstLine="556"/>
        <w:rPr>
          <w:rFonts w:ascii="宋体" w:hAnsi="宋体" w:cs="宋体"/>
          <w:b/>
          <w:bCs/>
          <w:color w:val="auto"/>
          <w:sz w:val="32"/>
          <w:szCs w:val="32"/>
          <w:highlight w:val="none"/>
        </w:rPr>
      </w:pPr>
    </w:p>
    <w:p w14:paraId="700EF9E7">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第一部分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竞争性谈判公告</w:t>
      </w:r>
    </w:p>
    <w:p w14:paraId="40233104">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第二部分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谈判须知</w:t>
      </w:r>
    </w:p>
    <w:p w14:paraId="44E66477">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第三部分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项目需求</w:t>
      </w:r>
    </w:p>
    <w:p w14:paraId="3A0C4F84">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第四部分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谈判程序和内容</w:t>
      </w:r>
    </w:p>
    <w:p w14:paraId="48318370">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第五部分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合同签订与验收付款</w:t>
      </w:r>
    </w:p>
    <w:p w14:paraId="7130958B">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第六部分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质疑提出和处理</w:t>
      </w:r>
    </w:p>
    <w:p w14:paraId="307E7506">
      <w:pPr>
        <w:autoSpaceDE w:val="0"/>
        <w:autoSpaceDN w:val="0"/>
        <w:adjustRightInd w:val="0"/>
        <w:spacing w:line="360" w:lineRule="auto"/>
        <w:ind w:firstLine="556"/>
        <w:rPr>
          <w:rFonts w:ascii="宋体" w:hAnsi="宋体" w:cs="宋体"/>
          <w:b/>
          <w:bCs/>
          <w:color w:val="auto"/>
          <w:sz w:val="30"/>
          <w:szCs w:val="30"/>
          <w:highlight w:val="none"/>
        </w:rPr>
      </w:pPr>
      <w:r>
        <w:rPr>
          <w:rFonts w:hint="eastAsia" w:ascii="宋体" w:hAnsi="宋体" w:cs="宋体"/>
          <w:b/>
          <w:bCs/>
          <w:color w:val="auto"/>
          <w:sz w:val="30"/>
          <w:szCs w:val="30"/>
          <w:highlight w:val="none"/>
        </w:rPr>
        <w:t>第七部分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响应文件组成</w:t>
      </w:r>
    </w:p>
    <w:p w14:paraId="5D5D8129">
      <w:pPr>
        <w:tabs>
          <w:tab w:val="left" w:pos="7740"/>
        </w:tabs>
        <w:spacing w:line="360" w:lineRule="auto"/>
        <w:rPr>
          <w:rFonts w:ascii="宋体" w:hAnsi="宋体" w:cs="宋体"/>
          <w:b/>
          <w:color w:val="auto"/>
          <w:spacing w:val="2"/>
          <w:sz w:val="32"/>
          <w:szCs w:val="32"/>
          <w:highlight w:val="none"/>
        </w:rPr>
      </w:pPr>
    </w:p>
    <w:p w14:paraId="72199000">
      <w:pPr>
        <w:autoSpaceDE w:val="0"/>
        <w:autoSpaceDN w:val="0"/>
        <w:adjustRightInd w:val="0"/>
        <w:spacing w:line="360" w:lineRule="auto"/>
        <w:jc w:val="center"/>
        <w:rPr>
          <w:rFonts w:ascii="宋体" w:hAnsi="宋体" w:cs="宋体"/>
          <w:b/>
          <w:bCs/>
          <w:color w:val="auto"/>
          <w:sz w:val="36"/>
          <w:szCs w:val="36"/>
          <w:highlight w:val="none"/>
          <w:lang w:val="zh-CN"/>
        </w:rPr>
      </w:pPr>
    </w:p>
    <w:p w14:paraId="1F7DB29F">
      <w:pPr>
        <w:autoSpaceDE w:val="0"/>
        <w:autoSpaceDN w:val="0"/>
        <w:adjustRightInd w:val="0"/>
        <w:spacing w:line="360" w:lineRule="auto"/>
        <w:rPr>
          <w:rFonts w:ascii="宋体" w:hAnsi="宋体" w:cs="宋体"/>
          <w:b/>
          <w:bCs/>
          <w:color w:val="auto"/>
          <w:sz w:val="36"/>
          <w:szCs w:val="36"/>
          <w:highlight w:val="none"/>
          <w:lang w:val="zh-CN"/>
        </w:rPr>
      </w:pPr>
    </w:p>
    <w:p w14:paraId="1F59B6AF">
      <w:pPr>
        <w:autoSpaceDE w:val="0"/>
        <w:autoSpaceDN w:val="0"/>
        <w:adjustRightInd w:val="0"/>
        <w:spacing w:line="360" w:lineRule="auto"/>
        <w:jc w:val="center"/>
        <w:rPr>
          <w:rFonts w:ascii="宋体" w:hAnsi="宋体" w:cs="宋体"/>
          <w:b/>
          <w:bCs/>
          <w:color w:val="auto"/>
          <w:sz w:val="36"/>
          <w:szCs w:val="36"/>
          <w:highlight w:val="none"/>
          <w:lang w:val="zh-CN"/>
        </w:rPr>
      </w:pPr>
    </w:p>
    <w:p w14:paraId="03BBEFA3">
      <w:pPr>
        <w:autoSpaceDE w:val="0"/>
        <w:autoSpaceDN w:val="0"/>
        <w:adjustRightInd w:val="0"/>
        <w:spacing w:line="360" w:lineRule="auto"/>
        <w:jc w:val="center"/>
        <w:rPr>
          <w:rFonts w:ascii="宋体" w:hAnsi="宋体" w:cs="宋体"/>
          <w:b/>
          <w:bCs/>
          <w:color w:val="auto"/>
          <w:sz w:val="36"/>
          <w:szCs w:val="36"/>
          <w:highlight w:val="none"/>
          <w:lang w:val="zh-CN"/>
        </w:rPr>
      </w:pPr>
    </w:p>
    <w:p w14:paraId="0C71B576">
      <w:pPr>
        <w:autoSpaceDE w:val="0"/>
        <w:autoSpaceDN w:val="0"/>
        <w:adjustRightInd w:val="0"/>
        <w:spacing w:line="360" w:lineRule="auto"/>
        <w:jc w:val="center"/>
        <w:rPr>
          <w:rFonts w:ascii="宋体" w:hAnsi="宋体" w:cs="宋体"/>
          <w:b/>
          <w:bCs/>
          <w:color w:val="auto"/>
          <w:sz w:val="36"/>
          <w:szCs w:val="36"/>
          <w:highlight w:val="none"/>
          <w:lang w:val="zh-CN"/>
        </w:rPr>
      </w:pPr>
    </w:p>
    <w:p w14:paraId="065E5F31">
      <w:pPr>
        <w:autoSpaceDE w:val="0"/>
        <w:autoSpaceDN w:val="0"/>
        <w:adjustRightInd w:val="0"/>
        <w:spacing w:line="360" w:lineRule="auto"/>
        <w:jc w:val="center"/>
        <w:rPr>
          <w:rFonts w:ascii="宋体" w:hAnsi="宋体" w:cs="宋体"/>
          <w:b/>
          <w:bCs/>
          <w:color w:val="auto"/>
          <w:sz w:val="36"/>
          <w:szCs w:val="36"/>
          <w:highlight w:val="none"/>
          <w:lang w:val="zh-CN"/>
        </w:rPr>
      </w:pPr>
    </w:p>
    <w:p w14:paraId="04773882">
      <w:pPr>
        <w:autoSpaceDE w:val="0"/>
        <w:autoSpaceDN w:val="0"/>
        <w:adjustRightInd w:val="0"/>
        <w:spacing w:line="360" w:lineRule="auto"/>
        <w:rPr>
          <w:rFonts w:ascii="宋体" w:hAnsi="宋体" w:cs="宋体"/>
          <w:b/>
          <w:bCs/>
          <w:color w:val="auto"/>
          <w:sz w:val="36"/>
          <w:szCs w:val="36"/>
          <w:highlight w:val="none"/>
          <w:lang w:val="zh-CN"/>
        </w:rPr>
      </w:pPr>
    </w:p>
    <w:p w14:paraId="77D78190">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第一部分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竞争性谈判公告</w:t>
      </w:r>
    </w:p>
    <w:p w14:paraId="222CC64A">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一、项目基本情况</w:t>
      </w:r>
    </w:p>
    <w:p w14:paraId="6F787FE5">
      <w:pPr>
        <w:widowControl/>
        <w:shd w:val="clear" w:color="auto" w:fill="FFFFFF"/>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项目编号：</w:t>
      </w:r>
      <w:r>
        <w:rPr>
          <w:rFonts w:hint="eastAsia" w:ascii="宋体" w:hAnsi="宋体" w:cs="宋体"/>
          <w:color w:val="auto"/>
          <w:kern w:val="0"/>
          <w:sz w:val="24"/>
          <w:highlight w:val="none"/>
          <w:lang w:val="en-US" w:eastAsia="zh-CN"/>
        </w:rPr>
        <w:t>2025ZCPG</w:t>
      </w:r>
      <w:r>
        <w:rPr>
          <w:rFonts w:ascii="宋体" w:hAnsi="宋体" w:cs="宋体"/>
          <w:color w:val="auto"/>
          <w:kern w:val="0"/>
          <w:sz w:val="24"/>
          <w:highlight w:val="none"/>
        </w:rPr>
        <w:t xml:space="preserve"> </w:t>
      </w:r>
    </w:p>
    <w:p w14:paraId="3721949E">
      <w:pPr>
        <w:pStyle w:val="32"/>
        <w:snapToGrid w:val="0"/>
        <w:spacing w:line="360" w:lineRule="auto"/>
        <w:ind w:firstLine="508" w:firstLineChars="200"/>
        <w:contextualSpacing/>
        <w:rPr>
          <w:rFonts w:hint="eastAsia"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2</w:t>
      </w:r>
      <w:r>
        <w:rPr>
          <w:rFonts w:hint="eastAsia" w:ascii="宋体" w:hAnsi="Times New Roman" w:eastAsia="宋体" w:cs="宋体"/>
          <w:color w:val="auto"/>
          <w:spacing w:val="7"/>
          <w:kern w:val="0"/>
          <w:sz w:val="24"/>
          <w:szCs w:val="24"/>
          <w:highlight w:val="none"/>
          <w:lang w:val="en-US" w:eastAsia="zh-CN" w:bidi="ar-SA"/>
        </w:rPr>
        <w:t>.项目名称：沪陕高速公路海门城区至南通东段客车差异化收费政策实施情况评估服务项目</w:t>
      </w:r>
    </w:p>
    <w:p w14:paraId="3835F079">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3</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项目类型：服务</w:t>
      </w:r>
    </w:p>
    <w:p w14:paraId="657C73DF">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4</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所属行业：其他未列明行业</w:t>
      </w:r>
    </w:p>
    <w:p w14:paraId="33CDE026">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5</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预算金额：</w:t>
      </w:r>
      <w:r>
        <w:rPr>
          <w:rFonts w:hint="eastAsia" w:ascii="宋体" w:hAnsi="Times New Roman" w:eastAsia="宋体" w:cs="宋体"/>
          <w:color w:val="auto"/>
          <w:spacing w:val="7"/>
          <w:kern w:val="0"/>
          <w:sz w:val="24"/>
          <w:szCs w:val="24"/>
          <w:highlight w:val="none"/>
          <w:lang w:val="en-US" w:eastAsia="zh-CN" w:bidi="ar-SA"/>
        </w:rPr>
        <w:t>19.9万元</w:t>
      </w:r>
    </w:p>
    <w:p w14:paraId="0E62E8A3">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最高投标限价：人民币</w:t>
      </w:r>
      <w:r>
        <w:rPr>
          <w:rFonts w:hint="eastAsia" w:ascii="宋体" w:hAnsi="Times New Roman" w:eastAsia="宋体" w:cs="宋体"/>
          <w:color w:val="auto"/>
          <w:spacing w:val="7"/>
          <w:kern w:val="0"/>
          <w:sz w:val="24"/>
          <w:szCs w:val="24"/>
          <w:highlight w:val="none"/>
          <w:lang w:val="en-US" w:eastAsia="zh-CN" w:bidi="ar-SA"/>
        </w:rPr>
        <w:t>壹拾玖万玖仟元整</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Times New Roman" w:eastAsia="宋体" w:cs="宋体"/>
          <w:color w:val="auto"/>
          <w:spacing w:val="7"/>
          <w:kern w:val="0"/>
          <w:sz w:val="24"/>
          <w:szCs w:val="24"/>
          <w:highlight w:val="none"/>
          <w:lang w:val="en-US" w:eastAsia="zh-CN" w:bidi="ar-SA"/>
        </w:rPr>
        <w:t>199000</w:t>
      </w:r>
      <w:r>
        <w:rPr>
          <w:rFonts w:hint="default" w:ascii="宋体" w:hAnsi="Times New Roman" w:eastAsia="宋体" w:cs="宋体"/>
          <w:color w:val="auto"/>
          <w:spacing w:val="7"/>
          <w:kern w:val="0"/>
          <w:sz w:val="24"/>
          <w:szCs w:val="24"/>
          <w:highlight w:val="none"/>
          <w:lang w:val="en-US" w:eastAsia="zh-CN" w:bidi="ar-SA"/>
        </w:rPr>
        <w:t>）</w:t>
      </w:r>
    </w:p>
    <w:p w14:paraId="091AE3AC">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6</w:t>
      </w:r>
      <w:r>
        <w:rPr>
          <w:rFonts w:hint="eastAsia" w:ascii="宋体" w:hAnsi="Times New Roman" w:eastAsia="宋体" w:cs="宋体"/>
          <w:color w:val="auto"/>
          <w:spacing w:val="7"/>
          <w:kern w:val="0"/>
          <w:sz w:val="24"/>
          <w:szCs w:val="24"/>
          <w:highlight w:val="none"/>
          <w:lang w:val="en-US" w:eastAsia="zh-CN" w:bidi="ar-SA"/>
        </w:rPr>
        <w:t>.采购需求：沪陕高速公路海门城区至南通东段客车差异化收费政策实施情况评估服务</w:t>
      </w:r>
      <w:r>
        <w:rPr>
          <w:rFonts w:hint="default" w:ascii="宋体" w:hAnsi="Times New Roman" w:eastAsia="宋体" w:cs="宋体"/>
          <w:color w:val="auto"/>
          <w:spacing w:val="7"/>
          <w:kern w:val="0"/>
          <w:sz w:val="24"/>
          <w:szCs w:val="24"/>
          <w:highlight w:val="none"/>
          <w:lang w:val="en-US" w:eastAsia="zh-CN" w:bidi="ar-SA"/>
        </w:rPr>
        <w:t>，具体详见《第三部分项目需求》，请仔细研究。</w:t>
      </w:r>
    </w:p>
    <w:p w14:paraId="1FCA4939">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default" w:ascii="宋体" w:hAnsi="Times New Roman" w:eastAsia="宋体" w:cs="宋体"/>
          <w:color w:val="auto"/>
          <w:spacing w:val="7"/>
          <w:kern w:val="0"/>
          <w:sz w:val="24"/>
          <w:szCs w:val="24"/>
          <w:highlight w:val="none"/>
          <w:lang w:val="en-US" w:eastAsia="zh-CN" w:bidi="ar-SA"/>
        </w:rPr>
        <w:t>7</w:t>
      </w:r>
      <w:r>
        <w:rPr>
          <w:rFonts w:hint="eastAsia" w:ascii="宋体" w:hAnsi="Times New Roman" w:eastAsia="宋体" w:cs="宋体"/>
          <w:color w:val="auto"/>
          <w:spacing w:val="7"/>
          <w:kern w:val="0"/>
          <w:sz w:val="24"/>
          <w:szCs w:val="24"/>
          <w:highlight w:val="none"/>
          <w:lang w:val="en-US" w:eastAsia="zh-CN" w:bidi="ar-SA"/>
        </w:rPr>
        <w:t>.合同</w:t>
      </w:r>
      <w:r>
        <w:rPr>
          <w:rFonts w:hint="default" w:ascii="宋体" w:hAnsi="Times New Roman" w:eastAsia="宋体" w:cs="宋体"/>
          <w:color w:val="auto"/>
          <w:spacing w:val="7"/>
          <w:kern w:val="0"/>
          <w:sz w:val="24"/>
          <w:szCs w:val="24"/>
          <w:highlight w:val="none"/>
          <w:lang w:val="en-US" w:eastAsia="zh-CN" w:bidi="ar-SA"/>
        </w:rPr>
        <w:t>履行期：自合同签订之日起至</w:t>
      </w:r>
      <w:r>
        <w:rPr>
          <w:rFonts w:hint="eastAsia" w:ascii="宋体" w:hAnsi="Times New Roman" w:eastAsia="宋体" w:cs="宋体"/>
          <w:color w:val="auto"/>
          <w:spacing w:val="7"/>
          <w:kern w:val="0"/>
          <w:sz w:val="24"/>
          <w:szCs w:val="24"/>
          <w:highlight w:val="none"/>
          <w:lang w:val="en-US" w:eastAsia="zh-CN" w:bidi="ar-SA"/>
        </w:rPr>
        <w:t>评估报告通过采购人验收。具体</w:t>
      </w:r>
      <w:r>
        <w:rPr>
          <w:rFonts w:hint="default" w:ascii="宋体" w:hAnsi="Times New Roman" w:eastAsia="宋体" w:cs="宋体"/>
          <w:color w:val="auto"/>
          <w:spacing w:val="7"/>
          <w:kern w:val="0"/>
          <w:sz w:val="24"/>
          <w:szCs w:val="24"/>
          <w:highlight w:val="none"/>
          <w:lang w:val="en-US" w:eastAsia="zh-CN" w:bidi="ar-SA"/>
        </w:rPr>
        <w:t>要求为</w:t>
      </w:r>
      <w:r>
        <w:rPr>
          <w:rFonts w:hint="eastAsia" w:ascii="宋体" w:hAnsi="Times New Roman" w:eastAsia="宋体" w:cs="宋体"/>
          <w:color w:val="auto"/>
          <w:spacing w:val="7"/>
          <w:kern w:val="0"/>
          <w:sz w:val="24"/>
          <w:szCs w:val="24"/>
          <w:highlight w:val="none"/>
          <w:lang w:val="en-US" w:eastAsia="zh-CN" w:bidi="ar-SA"/>
        </w:rPr>
        <w:t>：</w:t>
      </w:r>
      <w:r>
        <w:rPr>
          <w:rFonts w:hint="default" w:ascii="宋体" w:hAnsi="Times New Roman" w:eastAsia="宋体" w:cs="宋体"/>
          <w:color w:val="auto"/>
          <w:spacing w:val="7"/>
          <w:kern w:val="0"/>
          <w:sz w:val="24"/>
          <w:szCs w:val="24"/>
          <w:highlight w:val="none"/>
          <w:lang w:val="en-US" w:eastAsia="zh-CN" w:bidi="ar-SA"/>
        </w:rPr>
        <w:t>2025年</w:t>
      </w:r>
      <w:r>
        <w:rPr>
          <w:rFonts w:hint="eastAsia" w:ascii="宋体" w:hAnsi="Times New Roman" w:eastAsia="宋体" w:cs="宋体"/>
          <w:color w:val="auto"/>
          <w:spacing w:val="7"/>
          <w:kern w:val="0"/>
          <w:sz w:val="24"/>
          <w:szCs w:val="24"/>
          <w:highlight w:val="none"/>
          <w:lang w:val="en-US" w:eastAsia="zh-CN" w:bidi="ar-SA"/>
        </w:rPr>
        <w:t>6</w:t>
      </w:r>
      <w:bookmarkStart w:id="3" w:name="_GoBack"/>
      <w:bookmarkEnd w:id="3"/>
      <w:r>
        <w:rPr>
          <w:rFonts w:hint="default" w:ascii="宋体" w:hAnsi="Times New Roman" w:eastAsia="宋体" w:cs="宋体"/>
          <w:color w:val="auto"/>
          <w:spacing w:val="7"/>
          <w:kern w:val="0"/>
          <w:sz w:val="24"/>
          <w:szCs w:val="24"/>
          <w:highlight w:val="none"/>
          <w:lang w:val="en-US" w:eastAsia="zh-CN" w:bidi="ar-SA"/>
        </w:rPr>
        <w:t>月31日前</w:t>
      </w:r>
      <w:r>
        <w:rPr>
          <w:rFonts w:hint="eastAsia" w:ascii="宋体" w:hAnsi="Times New Roman" w:eastAsia="宋体" w:cs="宋体"/>
          <w:color w:val="auto"/>
          <w:spacing w:val="7"/>
          <w:kern w:val="0"/>
          <w:sz w:val="24"/>
          <w:szCs w:val="24"/>
          <w:highlight w:val="none"/>
          <w:lang w:val="en-US" w:eastAsia="zh-CN" w:bidi="ar-SA"/>
        </w:rPr>
        <w:t>形成工作大纲；</w:t>
      </w:r>
      <w:r>
        <w:rPr>
          <w:rFonts w:hint="default" w:ascii="宋体" w:hAnsi="Times New Roman" w:eastAsia="宋体" w:cs="宋体"/>
          <w:color w:val="auto"/>
          <w:spacing w:val="7"/>
          <w:kern w:val="0"/>
          <w:sz w:val="24"/>
          <w:szCs w:val="24"/>
          <w:highlight w:val="none"/>
          <w:lang w:val="en-US" w:eastAsia="zh-CN" w:bidi="ar-SA"/>
        </w:rPr>
        <w:t>2025年8月31日前完成</w:t>
      </w:r>
      <w:r>
        <w:rPr>
          <w:rFonts w:hint="eastAsia" w:ascii="宋体" w:hAnsi="Times New Roman" w:eastAsia="宋体" w:cs="宋体"/>
          <w:color w:val="auto"/>
          <w:spacing w:val="7"/>
          <w:kern w:val="0"/>
          <w:sz w:val="24"/>
          <w:szCs w:val="24"/>
          <w:highlight w:val="none"/>
          <w:lang w:val="en-US" w:eastAsia="zh-CN" w:bidi="ar-SA"/>
        </w:rPr>
        <w:t>最终评估报告</w:t>
      </w:r>
      <w:r>
        <w:rPr>
          <w:rFonts w:hint="default" w:ascii="宋体" w:hAnsi="Times New Roman" w:eastAsia="宋体" w:cs="宋体"/>
          <w:color w:val="auto"/>
          <w:spacing w:val="7"/>
          <w:kern w:val="0"/>
          <w:sz w:val="24"/>
          <w:szCs w:val="24"/>
          <w:highlight w:val="none"/>
          <w:lang w:val="en-US" w:eastAsia="zh-CN" w:bidi="ar-SA"/>
        </w:rPr>
        <w:t>；2025年9月</w:t>
      </w:r>
      <w:r>
        <w:rPr>
          <w:rFonts w:hint="eastAsia" w:ascii="宋体" w:hAnsi="Times New Roman" w:eastAsia="宋体" w:cs="宋体"/>
          <w:color w:val="auto"/>
          <w:spacing w:val="7"/>
          <w:kern w:val="0"/>
          <w:sz w:val="24"/>
          <w:szCs w:val="24"/>
          <w:highlight w:val="none"/>
          <w:lang w:val="en-US" w:eastAsia="zh-CN" w:bidi="ar-SA"/>
        </w:rPr>
        <w:t>31</w:t>
      </w:r>
      <w:r>
        <w:rPr>
          <w:rFonts w:hint="default" w:ascii="宋体" w:hAnsi="Times New Roman" w:eastAsia="宋体" w:cs="宋体"/>
          <w:color w:val="auto"/>
          <w:spacing w:val="7"/>
          <w:kern w:val="0"/>
          <w:sz w:val="24"/>
          <w:szCs w:val="24"/>
          <w:highlight w:val="none"/>
          <w:lang w:val="en-US" w:eastAsia="zh-CN" w:bidi="ar-SA"/>
        </w:rPr>
        <w:t>日前</w:t>
      </w:r>
      <w:r>
        <w:rPr>
          <w:rFonts w:hint="eastAsia" w:ascii="宋体" w:hAnsi="Times New Roman" w:eastAsia="宋体" w:cs="宋体"/>
          <w:color w:val="auto"/>
          <w:spacing w:val="7"/>
          <w:kern w:val="0"/>
          <w:sz w:val="24"/>
          <w:szCs w:val="24"/>
          <w:highlight w:val="none"/>
          <w:lang w:val="en-US" w:eastAsia="zh-CN" w:bidi="ar-SA"/>
        </w:rPr>
        <w:t>配合采购人将研究成果提交市政府，按程序向省政府提请差异化收费政策延续</w:t>
      </w:r>
      <w:r>
        <w:rPr>
          <w:rFonts w:hint="default" w:ascii="宋体" w:hAnsi="Times New Roman" w:eastAsia="宋体" w:cs="宋体"/>
          <w:color w:val="auto"/>
          <w:spacing w:val="7"/>
          <w:kern w:val="0"/>
          <w:sz w:val="24"/>
          <w:szCs w:val="24"/>
          <w:highlight w:val="none"/>
          <w:lang w:val="en-US" w:eastAsia="zh-CN" w:bidi="ar-SA"/>
        </w:rPr>
        <w:t>。</w:t>
      </w:r>
    </w:p>
    <w:p w14:paraId="6B1C2FEF">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eastAsia" w:ascii="宋体" w:hAnsi="Times New Roman" w:eastAsia="宋体" w:cs="宋体"/>
          <w:color w:val="auto"/>
          <w:spacing w:val="7"/>
          <w:kern w:val="0"/>
          <w:sz w:val="24"/>
          <w:szCs w:val="24"/>
          <w:highlight w:val="none"/>
          <w:lang w:val="en-US" w:eastAsia="zh-CN" w:bidi="ar-SA"/>
        </w:rPr>
        <w:t>8.本项目不接受联合体投标。</w:t>
      </w:r>
    </w:p>
    <w:p w14:paraId="49B8DE7C">
      <w:pPr>
        <w:pStyle w:val="32"/>
        <w:snapToGrid w:val="0"/>
        <w:spacing w:line="360" w:lineRule="auto"/>
        <w:ind w:firstLine="508" w:firstLineChars="200"/>
        <w:contextualSpacing/>
        <w:rPr>
          <w:rFonts w:hint="default" w:ascii="宋体" w:hAnsi="Times New Roman" w:eastAsia="宋体" w:cs="宋体"/>
          <w:color w:val="auto"/>
          <w:spacing w:val="7"/>
          <w:kern w:val="0"/>
          <w:sz w:val="24"/>
          <w:szCs w:val="24"/>
          <w:highlight w:val="none"/>
          <w:lang w:val="en-US" w:eastAsia="zh-CN" w:bidi="ar-SA"/>
        </w:rPr>
      </w:pPr>
      <w:r>
        <w:rPr>
          <w:rFonts w:hint="eastAsia" w:ascii="宋体" w:hAnsi="Times New Roman" w:eastAsia="宋体" w:cs="宋体"/>
          <w:color w:val="auto"/>
          <w:spacing w:val="7"/>
          <w:kern w:val="0"/>
          <w:sz w:val="24"/>
          <w:szCs w:val="24"/>
          <w:highlight w:val="none"/>
          <w:lang w:val="en-US" w:eastAsia="zh-CN" w:bidi="ar-SA"/>
        </w:rPr>
        <w:t>9.本项目不允许分包。</w:t>
      </w:r>
    </w:p>
    <w:p w14:paraId="2CC3F237">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二、供应商资格要求</w:t>
      </w:r>
    </w:p>
    <w:p w14:paraId="1DDCA908">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满足《中华人民共和国政府采购法》第二十二条规定。</w:t>
      </w:r>
    </w:p>
    <w:p w14:paraId="498A91D1">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落实政府采购政策需满足的资格要求：</w:t>
      </w:r>
      <w:r>
        <w:rPr>
          <w:rFonts w:hint="eastAsia" w:ascii="宋体" w:hAnsi="宋体" w:cs="宋体"/>
          <w:color w:val="auto"/>
          <w:sz w:val="24"/>
          <w:highlight w:val="none"/>
          <w:lang w:val="en-US" w:eastAsia="zh-CN"/>
        </w:rPr>
        <w:t>本项目不专门面向中小微型企业采购</w:t>
      </w:r>
      <w:r>
        <w:rPr>
          <w:rFonts w:hint="eastAsia" w:ascii="宋体" w:hAnsi="宋体" w:cs="宋体"/>
          <w:color w:val="auto"/>
          <w:sz w:val="24"/>
          <w:highlight w:val="none"/>
        </w:rPr>
        <w:t>。</w:t>
      </w:r>
    </w:p>
    <w:p w14:paraId="227BDB16">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本项目的特定资格要求：</w:t>
      </w:r>
    </w:p>
    <w:p w14:paraId="73E35A2E">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p>
    <w:p w14:paraId="29B7B25D">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响应文件递交截止日当天，在“信用中国”网站（www.creditchina.gov.cn）查询，无被列入失信被执行人、重大税收违法案件当事人名单、政府采购严重失信行为记录名单及其他不符合《中华人民共和国政府采购法》第二十二条规定条件的信用记录。（投标响应文件中无需提供证明材料，以采购代理现场核查为准）。</w:t>
      </w:r>
      <w:r>
        <w:rPr>
          <w:rFonts w:ascii="宋体" w:hAnsi="宋体" w:cs="宋体"/>
          <w:color w:val="auto"/>
          <w:sz w:val="24"/>
          <w:highlight w:val="none"/>
        </w:rPr>
        <w:t xml:space="preserve">           </w:t>
      </w:r>
    </w:p>
    <w:p w14:paraId="09F0C862">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w:t>
      </w:r>
      <w:r>
        <w:rPr>
          <w:rFonts w:cs="宋体" w:asciiTheme="minorEastAsia" w:hAnsiTheme="minorEastAsia" w:eastAsiaTheme="minorEastAsia"/>
          <w:color w:val="auto"/>
          <w:spacing w:val="7"/>
          <w:kern w:val="0"/>
          <w:sz w:val="24"/>
          <w:highlight w:val="none"/>
        </w:rPr>
        <w:t>单位负责人为同一人或者存在直接控股、管理关系的不同供应商,不得参加同一合同项下的政府采购活动。若同时参</w:t>
      </w:r>
      <w:r>
        <w:rPr>
          <w:rFonts w:hint="eastAsia" w:cs="宋体" w:asciiTheme="minorEastAsia" w:hAnsiTheme="minorEastAsia" w:eastAsiaTheme="minorEastAsia"/>
          <w:color w:val="auto"/>
          <w:spacing w:val="7"/>
          <w:kern w:val="0"/>
          <w:sz w:val="24"/>
          <w:highlight w:val="none"/>
        </w:rPr>
        <w:t>加</w:t>
      </w:r>
      <w:r>
        <w:rPr>
          <w:rFonts w:cs="宋体" w:asciiTheme="minorEastAsia" w:hAnsiTheme="minorEastAsia" w:eastAsiaTheme="minorEastAsia"/>
          <w:color w:val="auto"/>
          <w:spacing w:val="7"/>
          <w:kern w:val="0"/>
          <w:sz w:val="24"/>
          <w:highlight w:val="none"/>
        </w:rPr>
        <w:t>同一合同项下的政府采购活动，则</w:t>
      </w:r>
      <w:r>
        <w:rPr>
          <w:rFonts w:hint="eastAsia" w:cs="宋体" w:asciiTheme="minorEastAsia" w:hAnsiTheme="minorEastAsia" w:eastAsiaTheme="minorEastAsia"/>
          <w:color w:val="auto"/>
          <w:spacing w:val="7"/>
          <w:kern w:val="0"/>
          <w:sz w:val="24"/>
          <w:highlight w:val="none"/>
        </w:rPr>
        <w:t>相关供应商的投标均做无效投标处理</w:t>
      </w:r>
      <w:r>
        <w:rPr>
          <w:rFonts w:cs="宋体" w:asciiTheme="minorEastAsia" w:hAnsiTheme="minorEastAsia" w:eastAsiaTheme="minorEastAsia"/>
          <w:color w:val="auto"/>
          <w:spacing w:val="7"/>
          <w:kern w:val="0"/>
          <w:sz w:val="24"/>
          <w:highlight w:val="none"/>
        </w:rPr>
        <w:t>。</w:t>
      </w:r>
    </w:p>
    <w:p w14:paraId="7A8393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注：请供应商认真对照资格要求，如不符合要求，无意或故意参与的，所产生的一切后果由供应商承担。对提供虚假材料的供应商作无效标处理，</w:t>
      </w:r>
      <w:r>
        <w:rPr>
          <w:rFonts w:hint="eastAsia" w:ascii="宋体" w:hAnsi="宋体"/>
          <w:b/>
          <w:color w:val="auto"/>
          <w:sz w:val="24"/>
          <w:highlight w:val="none"/>
          <w:lang w:val="zh-CN"/>
        </w:rPr>
        <w:t>将报</w:t>
      </w:r>
      <w:r>
        <w:rPr>
          <w:rFonts w:hint="eastAsia" w:ascii="宋体" w:hAnsi="宋体" w:cs="宋体"/>
          <w:b/>
          <w:bCs/>
          <w:color w:val="auto"/>
          <w:sz w:val="24"/>
          <w:highlight w:val="none"/>
        </w:rPr>
        <w:t>相关主管部门后将其列入黑名单，视情形在相关网站上公示。</w:t>
      </w:r>
      <w:r>
        <w:rPr>
          <w:rFonts w:ascii="宋体" w:hAnsi="宋体" w:cs="宋体"/>
          <w:b/>
          <w:bCs/>
          <w:color w:val="auto"/>
          <w:sz w:val="24"/>
          <w:highlight w:val="none"/>
        </w:rPr>
        <w:t>供应商应依照规定提交各类声明函、承诺函，不再同时提供原件备查或提供有关部门出具的相关证明文件。但中标或成交供应商，应</w:t>
      </w:r>
      <w:r>
        <w:rPr>
          <w:rFonts w:hint="eastAsia" w:ascii="宋体" w:hAnsi="宋体" w:cs="宋体"/>
          <w:b/>
          <w:bCs/>
          <w:color w:val="auto"/>
          <w:sz w:val="24"/>
          <w:highlight w:val="none"/>
        </w:rPr>
        <w:t>做好提交声明函、承诺函相应原件的核查准备</w:t>
      </w:r>
      <w:r>
        <w:rPr>
          <w:rFonts w:ascii="宋体" w:hAnsi="宋体" w:cs="宋体"/>
          <w:b/>
          <w:bCs/>
          <w:color w:val="auto"/>
          <w:sz w:val="24"/>
          <w:highlight w:val="none"/>
        </w:rPr>
        <w:t>；核查后发现虚假或违背承诺的，依照相关法律法规规定处理</w:t>
      </w:r>
      <w:r>
        <w:rPr>
          <w:rFonts w:hint="eastAsia" w:ascii="宋体" w:hAnsi="宋体" w:cs="宋体"/>
          <w:b/>
          <w:bCs/>
          <w:color w:val="auto"/>
          <w:sz w:val="24"/>
          <w:highlight w:val="none"/>
        </w:rPr>
        <w:t>。</w:t>
      </w:r>
    </w:p>
    <w:p w14:paraId="07D39716">
      <w:pPr>
        <w:widowControl/>
        <w:shd w:val="clear" w:color="auto" w:fill="FFFFFF"/>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三、获取谈判文件</w:t>
      </w:r>
    </w:p>
    <w:p w14:paraId="67F1DC93">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1</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申请</w:t>
      </w:r>
    </w:p>
    <w:p w14:paraId="21CEF081">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申请时间：自公告上网发布之日起至</w:t>
      </w:r>
      <w:r>
        <w:rPr>
          <w:rFonts w:ascii="宋体" w:hAnsi="宋体" w:cs="宋体"/>
          <w:color w:val="auto"/>
          <w:spacing w:val="7"/>
          <w:kern w:val="0"/>
          <w:sz w:val="24"/>
          <w:highlight w:val="none"/>
          <w:u w:val="single"/>
        </w:rPr>
        <w:t>202</w:t>
      </w:r>
      <w:r>
        <w:rPr>
          <w:rFonts w:hint="eastAsia" w:ascii="宋体" w:hAnsi="宋体" w:cs="宋体"/>
          <w:color w:val="auto"/>
          <w:spacing w:val="7"/>
          <w:kern w:val="0"/>
          <w:sz w:val="24"/>
          <w:highlight w:val="none"/>
          <w:u w:val="single"/>
          <w:lang w:val="en-US" w:eastAsia="zh-CN"/>
        </w:rPr>
        <w:t>5</w:t>
      </w:r>
      <w:r>
        <w:rPr>
          <w:rFonts w:hint="eastAsia" w:ascii="宋体" w:hAnsi="宋体" w:cs="宋体"/>
          <w:color w:val="auto"/>
          <w:spacing w:val="7"/>
          <w:kern w:val="0"/>
          <w:sz w:val="24"/>
          <w:highlight w:val="none"/>
        </w:rPr>
        <w:t>年</w:t>
      </w:r>
      <w:r>
        <w:rPr>
          <w:rFonts w:hint="eastAsia" w:ascii="宋体" w:hAnsi="宋体" w:cs="宋体"/>
          <w:color w:val="auto"/>
          <w:spacing w:val="7"/>
          <w:kern w:val="0"/>
          <w:sz w:val="24"/>
          <w:highlight w:val="none"/>
          <w:u w:val="single"/>
          <w:lang w:val="en-US" w:eastAsia="zh-CN"/>
        </w:rPr>
        <w:t>6</w:t>
      </w:r>
      <w:r>
        <w:rPr>
          <w:rFonts w:hint="eastAsia" w:ascii="宋体" w:hAnsi="宋体" w:cs="宋体"/>
          <w:color w:val="auto"/>
          <w:spacing w:val="7"/>
          <w:kern w:val="0"/>
          <w:sz w:val="24"/>
          <w:highlight w:val="none"/>
        </w:rPr>
        <w:t>月</w:t>
      </w:r>
      <w:r>
        <w:rPr>
          <w:rFonts w:hint="eastAsia" w:ascii="宋体" w:hAnsi="宋体" w:cs="宋体"/>
          <w:color w:val="auto"/>
          <w:spacing w:val="7"/>
          <w:kern w:val="0"/>
          <w:sz w:val="24"/>
          <w:highlight w:val="none"/>
          <w:u w:val="single"/>
          <w:lang w:val="en-US" w:eastAsia="zh-CN"/>
        </w:rPr>
        <w:t>4</w:t>
      </w:r>
      <w:r>
        <w:rPr>
          <w:rFonts w:hint="eastAsia" w:ascii="宋体" w:hAnsi="宋体" w:cs="宋体"/>
          <w:color w:val="auto"/>
          <w:spacing w:val="7"/>
          <w:kern w:val="0"/>
          <w:sz w:val="24"/>
          <w:highlight w:val="none"/>
        </w:rPr>
        <w:t>日，每日工作时间：上午</w:t>
      </w:r>
      <w:r>
        <w:rPr>
          <w:rFonts w:ascii="宋体" w:hAnsi="宋体" w:cs="宋体"/>
          <w:color w:val="auto"/>
          <w:spacing w:val="7"/>
          <w:kern w:val="0"/>
          <w:sz w:val="24"/>
          <w:highlight w:val="none"/>
        </w:rPr>
        <w:t>9:00—11:30整，下午13:30—17:30整（节假日除外）。</w:t>
      </w:r>
    </w:p>
    <w:p w14:paraId="785E598E">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申请方式：按照竞争性谈判公告下附件《申请函》的形式，回函（加盖单位章）发彩色扫描件至邮箱中（</w:t>
      </w:r>
      <w:r>
        <w:rPr>
          <w:rFonts w:hint="eastAsia" w:ascii="宋体" w:hAnsi="宋体" w:cs="宋体"/>
          <w:color w:val="auto"/>
          <w:kern w:val="0"/>
          <w:sz w:val="24"/>
          <w:highlight w:val="none"/>
        </w:rPr>
        <w:t>联系人：陆工，联系电话：18260596237</w:t>
      </w:r>
      <w:r>
        <w:rPr>
          <w:rFonts w:hint="eastAsia" w:ascii="宋体" w:hAnsi="宋体" w:cs="宋体"/>
          <w:color w:val="auto"/>
          <w:spacing w:val="7"/>
          <w:kern w:val="0"/>
          <w:sz w:val="24"/>
          <w:highlight w:val="none"/>
        </w:rPr>
        <w:t>），并致电采购代理机构确认邮件送达，确认是否参与本次投标的相关事宜。</w:t>
      </w:r>
    </w:p>
    <w:p w14:paraId="477D9698">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申请提供资料：按附件提供《申请函》</w:t>
      </w:r>
    </w:p>
    <w:p w14:paraId="141C119A">
      <w:pPr>
        <w:snapToGrid w:val="0"/>
        <w:spacing w:line="360" w:lineRule="auto"/>
        <w:ind w:firstLine="510" w:firstLineChars="200"/>
        <w:contextualSpacing/>
        <w:rPr>
          <w:rFonts w:ascii="宋体" w:hAnsi="宋体" w:cs="宋体"/>
          <w:b/>
          <w:bCs/>
          <w:color w:val="auto"/>
          <w:spacing w:val="7"/>
          <w:kern w:val="0"/>
          <w:sz w:val="24"/>
          <w:highlight w:val="none"/>
        </w:rPr>
      </w:pPr>
      <w:r>
        <w:rPr>
          <w:rFonts w:hint="eastAsia" w:ascii="宋体" w:hAnsi="宋体" w:cs="宋体"/>
          <w:b/>
          <w:bCs/>
          <w:color w:val="auto"/>
          <w:spacing w:val="7"/>
          <w:kern w:val="0"/>
          <w:sz w:val="24"/>
          <w:highlight w:val="none"/>
        </w:rPr>
        <w:t>未按要求进行申请的不具备谈判资格。</w:t>
      </w:r>
    </w:p>
    <w:p w14:paraId="788B75A1">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2</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获取谈判文件</w:t>
      </w:r>
    </w:p>
    <w:p w14:paraId="21204EBF">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各申请人</w:t>
      </w:r>
      <w:r>
        <w:rPr>
          <w:rFonts w:hint="eastAsia" w:ascii="宋体" w:cs="宋体"/>
          <w:color w:val="auto"/>
          <w:sz w:val="24"/>
          <w:highlight w:val="none"/>
        </w:rPr>
        <w:t>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w:t>
      </w:r>
      <w:r>
        <w:rPr>
          <w:rFonts w:hint="eastAsia" w:ascii="宋体" w:hAnsi="Times New Roman" w:eastAsia="宋体" w:cs="宋体"/>
          <w:color w:val="auto"/>
          <w:sz w:val="24"/>
          <w:highlight w:val="none"/>
          <w:lang w:val="en-US" w:eastAsia="zh-CN"/>
        </w:rPr>
        <w:t>本项目</w:t>
      </w:r>
      <w:r>
        <w:rPr>
          <w:rFonts w:hint="eastAsia" w:ascii="宋体" w:hAnsi="Times New Roman" w:eastAsia="宋体" w:cs="宋体"/>
          <w:color w:val="auto"/>
          <w:sz w:val="24"/>
          <w:highlight w:val="none"/>
        </w:rPr>
        <w:fldChar w:fldCharType="end"/>
      </w:r>
      <w:r>
        <w:rPr>
          <w:rFonts w:hint="eastAsia" w:ascii="宋体" w:cs="宋体"/>
          <w:color w:val="auto"/>
          <w:sz w:val="24"/>
          <w:highlight w:val="none"/>
          <w:lang w:val="en-US" w:eastAsia="zh-CN"/>
        </w:rPr>
        <w:t>竞争性谈判公告下附件自行下载</w:t>
      </w:r>
      <w:r>
        <w:rPr>
          <w:rFonts w:ascii="宋体" w:hAnsi="宋体" w:cs="宋体"/>
          <w:color w:val="auto"/>
          <w:spacing w:val="7"/>
          <w:kern w:val="0"/>
          <w:sz w:val="24"/>
          <w:highlight w:val="none"/>
        </w:rPr>
        <w:t>。</w:t>
      </w:r>
    </w:p>
    <w:p w14:paraId="02CAA17D">
      <w:pPr>
        <w:snapToGrid w:val="0"/>
        <w:spacing w:line="360" w:lineRule="auto"/>
        <w:ind w:firstLine="508" w:firstLineChars="200"/>
        <w:contextualSpacing/>
        <w:rPr>
          <w:rFonts w:hint="eastAsia" w:ascii="宋体" w:hAnsi="宋体" w:cs="宋体"/>
          <w:color w:val="auto"/>
          <w:spacing w:val="7"/>
          <w:kern w:val="0"/>
          <w:sz w:val="24"/>
          <w:highlight w:val="none"/>
          <w:lang w:eastAsia="zh-CN"/>
        </w:rPr>
      </w:pPr>
      <w:r>
        <w:rPr>
          <w:rFonts w:hint="eastAsia" w:ascii="宋体" w:hAnsi="宋体" w:cs="宋体"/>
          <w:color w:val="auto"/>
          <w:spacing w:val="7"/>
          <w:kern w:val="0"/>
          <w:sz w:val="24"/>
          <w:highlight w:val="none"/>
        </w:rPr>
        <w:t>谈判文件售价</w:t>
      </w:r>
      <w:r>
        <w:rPr>
          <w:rFonts w:ascii="宋体" w:hAnsi="宋体" w:cs="宋体"/>
          <w:color w:val="auto"/>
          <w:spacing w:val="7"/>
          <w:kern w:val="0"/>
          <w:sz w:val="24"/>
          <w:highlight w:val="none"/>
        </w:rPr>
        <w:t>0元/供应商</w:t>
      </w:r>
      <w:r>
        <w:rPr>
          <w:rFonts w:hint="eastAsia" w:ascii="宋体" w:hAnsi="宋体" w:cs="宋体"/>
          <w:color w:val="auto"/>
          <w:spacing w:val="7"/>
          <w:kern w:val="0"/>
          <w:sz w:val="24"/>
          <w:highlight w:val="none"/>
          <w:lang w:eastAsia="zh-CN"/>
        </w:rPr>
        <w:t>。</w:t>
      </w:r>
    </w:p>
    <w:p w14:paraId="642CF31D">
      <w:pPr>
        <w:snapToGrid w:val="0"/>
        <w:spacing w:line="360" w:lineRule="auto"/>
        <w:ind w:firstLine="508" w:firstLineChars="200"/>
        <w:contextualSpacing/>
        <w:rPr>
          <w:rFonts w:ascii="宋体" w:hAnsi="宋体" w:cs="宋体"/>
          <w:color w:val="auto"/>
          <w:spacing w:val="7"/>
          <w:kern w:val="0"/>
          <w:sz w:val="24"/>
          <w:highlight w:val="none"/>
        </w:rPr>
      </w:pPr>
      <w:r>
        <w:rPr>
          <w:rFonts w:ascii="宋体" w:hAnsi="宋体" w:cs="宋体"/>
          <w:color w:val="auto"/>
          <w:spacing w:val="7"/>
          <w:kern w:val="0"/>
          <w:sz w:val="24"/>
          <w:highlight w:val="none"/>
        </w:rPr>
        <w:t>3</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已获取谈判文件的供应商，不得擅自放弃，若因故确需放弃，则须在递交谈判响应文件截止之日3天前书面告知采购人或采购代理机构，如无故不参加谈判而造成参加谈判的供应商不足3家而重新采购的，若重新采购的采购范围、规模和资格要求等未发生改变，采购人可以拒绝其参加重新采购的</w:t>
      </w:r>
      <w:r>
        <w:rPr>
          <w:rFonts w:hint="eastAsia" w:ascii="宋体" w:hAnsi="宋体" w:cs="宋体"/>
          <w:color w:val="auto"/>
          <w:sz w:val="24"/>
          <w:highlight w:val="none"/>
        </w:rPr>
        <w:t>谈判</w:t>
      </w:r>
      <w:r>
        <w:rPr>
          <w:rFonts w:hint="eastAsia" w:ascii="宋体" w:hAnsi="宋体" w:cs="宋体"/>
          <w:color w:val="auto"/>
          <w:spacing w:val="7"/>
          <w:kern w:val="0"/>
          <w:sz w:val="24"/>
          <w:highlight w:val="none"/>
        </w:rPr>
        <w:t>。</w:t>
      </w:r>
    </w:p>
    <w:p w14:paraId="35E039D8">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rPr>
        <w:t>四、谈判响应文件递交</w:t>
      </w:r>
    </w:p>
    <w:p w14:paraId="2671DF36">
      <w:pPr>
        <w:widowControl/>
        <w:shd w:val="clear" w:color="auto" w:fill="FFFFFF"/>
        <w:spacing w:line="360" w:lineRule="auto"/>
        <w:ind w:firstLine="508" w:firstLineChars="200"/>
        <w:rPr>
          <w:rFonts w:ascii="宋体" w:hAnsi="宋体" w:cs="宋体"/>
          <w:i/>
          <w:color w:val="auto"/>
          <w:spacing w:val="7"/>
          <w:kern w:val="0"/>
          <w:sz w:val="24"/>
          <w:highlight w:val="none"/>
          <w:u w:val="single"/>
        </w:rPr>
      </w:pPr>
      <w:r>
        <w:rPr>
          <w:rFonts w:hint="eastAsia" w:ascii="宋体" w:hAnsi="宋体" w:cs="宋体"/>
          <w:color w:val="auto"/>
          <w:spacing w:val="7"/>
          <w:kern w:val="0"/>
          <w:sz w:val="24"/>
          <w:highlight w:val="none"/>
        </w:rPr>
        <w:t>截止时间：</w:t>
      </w:r>
      <w:r>
        <w:rPr>
          <w:rFonts w:ascii="宋体" w:hAnsi="宋体" w:cs="宋体"/>
          <w:color w:val="auto"/>
          <w:spacing w:val="7"/>
          <w:kern w:val="0"/>
          <w:sz w:val="24"/>
          <w:highlight w:val="none"/>
        </w:rPr>
        <w:t>202</w:t>
      </w:r>
      <w:r>
        <w:rPr>
          <w:rFonts w:hint="eastAsia" w:ascii="宋体" w:hAnsi="宋体" w:cs="宋体"/>
          <w:color w:val="auto"/>
          <w:spacing w:val="7"/>
          <w:kern w:val="0"/>
          <w:sz w:val="24"/>
          <w:highlight w:val="none"/>
          <w:lang w:val="en-US" w:eastAsia="zh-CN"/>
        </w:rPr>
        <w:t>5</w:t>
      </w:r>
      <w:r>
        <w:rPr>
          <w:rFonts w:ascii="宋体" w:hAnsi="宋体" w:cs="宋体"/>
          <w:color w:val="auto"/>
          <w:spacing w:val="7"/>
          <w:kern w:val="0"/>
          <w:sz w:val="24"/>
          <w:highlight w:val="none"/>
        </w:rPr>
        <w:t>年</w:t>
      </w:r>
      <w:r>
        <w:rPr>
          <w:rFonts w:hint="eastAsia" w:ascii="宋体" w:hAnsi="宋体"/>
          <w:color w:val="auto"/>
          <w:sz w:val="24"/>
          <w:highlight w:val="none"/>
          <w:lang w:val="en-US" w:eastAsia="zh-CN"/>
        </w:rPr>
        <w:t>6</w:t>
      </w:r>
      <w:r>
        <w:rPr>
          <w:rFonts w:hint="eastAsia" w:ascii="宋体" w:hAnsi="宋体" w:cs="宋体"/>
          <w:color w:val="auto"/>
          <w:spacing w:val="7"/>
          <w:kern w:val="0"/>
          <w:sz w:val="24"/>
          <w:highlight w:val="none"/>
        </w:rPr>
        <w:t>月</w:t>
      </w:r>
      <w:r>
        <w:rPr>
          <w:rFonts w:hint="eastAsia" w:ascii="宋体" w:hAnsi="宋体"/>
          <w:color w:val="auto"/>
          <w:sz w:val="24"/>
          <w:highlight w:val="none"/>
          <w:lang w:val="en-US" w:eastAsia="zh-CN"/>
        </w:rPr>
        <w:t>5</w:t>
      </w:r>
      <w:r>
        <w:rPr>
          <w:rFonts w:hint="eastAsia" w:ascii="宋体" w:hAnsi="宋体" w:cs="宋体"/>
          <w:color w:val="auto"/>
          <w:spacing w:val="7"/>
          <w:kern w:val="0"/>
          <w:sz w:val="24"/>
          <w:highlight w:val="none"/>
        </w:rPr>
        <w:t>日</w:t>
      </w:r>
      <w:r>
        <w:rPr>
          <w:rFonts w:hint="eastAsia" w:ascii="宋体" w:hAnsi="宋体"/>
          <w:color w:val="auto"/>
          <w:sz w:val="24"/>
          <w:highlight w:val="none"/>
        </w:rPr>
        <w:t>9</w:t>
      </w:r>
      <w:r>
        <w:rPr>
          <w:rFonts w:hint="eastAsia" w:ascii="宋体" w:hAnsi="宋体" w:cs="宋体"/>
          <w:color w:val="auto"/>
          <w:spacing w:val="7"/>
          <w:kern w:val="0"/>
          <w:sz w:val="24"/>
          <w:highlight w:val="none"/>
        </w:rPr>
        <w:t>点</w:t>
      </w:r>
      <w:r>
        <w:rPr>
          <w:rFonts w:hint="eastAsia" w:ascii="宋体" w:hAnsi="宋体"/>
          <w:color w:val="auto"/>
          <w:sz w:val="24"/>
          <w:highlight w:val="none"/>
        </w:rPr>
        <w:t>00</w:t>
      </w:r>
      <w:r>
        <w:rPr>
          <w:rFonts w:hint="eastAsia" w:ascii="宋体" w:hAnsi="宋体" w:cs="宋体"/>
          <w:color w:val="auto"/>
          <w:spacing w:val="7"/>
          <w:kern w:val="0"/>
          <w:sz w:val="24"/>
          <w:highlight w:val="none"/>
        </w:rPr>
        <w:t>分（北京时间）</w:t>
      </w:r>
    </w:p>
    <w:p w14:paraId="290A6F34">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逾时，将不予接收。</w:t>
      </w:r>
    </w:p>
    <w:p w14:paraId="39785EAD">
      <w:pPr>
        <w:widowControl/>
        <w:snapToGrid w:val="0"/>
        <w:spacing w:line="360" w:lineRule="auto"/>
        <w:ind w:firstLine="508" w:firstLineChars="200"/>
        <w:contextualSpacing/>
        <w:rPr>
          <w:rFonts w:hint="eastAsia" w:cs="宋体" w:asciiTheme="minorEastAsia" w:hAnsiTheme="minorEastAsia" w:eastAsiaTheme="minorEastAsia"/>
          <w:color w:val="auto"/>
          <w:spacing w:val="7"/>
          <w:kern w:val="0"/>
          <w:sz w:val="24"/>
          <w:highlight w:val="none"/>
        </w:rPr>
      </w:pPr>
      <w:r>
        <w:rPr>
          <w:rFonts w:hint="eastAsia" w:ascii="宋体" w:hAnsi="宋体" w:cs="宋体"/>
          <w:color w:val="auto"/>
          <w:spacing w:val="7"/>
          <w:kern w:val="0"/>
          <w:sz w:val="24"/>
          <w:highlight w:val="none"/>
        </w:rPr>
        <w:t>地点：南通市公路事业发展中心</w:t>
      </w:r>
      <w:r>
        <w:rPr>
          <w:rFonts w:ascii="宋体" w:hAnsi="宋体" w:cs="宋体"/>
          <w:color w:val="auto"/>
          <w:spacing w:val="7"/>
          <w:kern w:val="0"/>
          <w:sz w:val="24"/>
          <w:highlight w:val="none"/>
        </w:rPr>
        <w:t>1楼</w:t>
      </w:r>
      <w:r>
        <w:rPr>
          <w:rFonts w:hint="eastAsia" w:ascii="宋体" w:hAnsi="宋体" w:cs="宋体"/>
          <w:color w:val="auto"/>
          <w:spacing w:val="7"/>
          <w:kern w:val="0"/>
          <w:sz w:val="24"/>
          <w:highlight w:val="none"/>
        </w:rPr>
        <w:t>信访室（地址：南通市跃龙路4号）</w:t>
      </w:r>
      <w:r>
        <w:rPr>
          <w:rFonts w:hint="eastAsia" w:cs="宋体" w:asciiTheme="minorEastAsia" w:hAnsiTheme="minorEastAsia" w:eastAsiaTheme="minorEastAsia"/>
          <w:color w:val="auto"/>
          <w:spacing w:val="7"/>
          <w:kern w:val="0"/>
          <w:sz w:val="24"/>
          <w:highlight w:val="none"/>
        </w:rPr>
        <w:t>，如有变动另行通知。</w:t>
      </w:r>
    </w:p>
    <w:p w14:paraId="2865C7B7">
      <w:pPr>
        <w:widowControl/>
        <w:snapToGrid w:val="0"/>
        <w:spacing w:line="360" w:lineRule="auto"/>
        <w:ind w:firstLine="510" w:firstLineChars="200"/>
        <w:contextualSpacing/>
        <w:rPr>
          <w:rFonts w:ascii="宋体" w:hAnsi="宋体" w:cs="宋体"/>
          <w:b/>
          <w:bCs/>
          <w:color w:val="auto"/>
          <w:spacing w:val="7"/>
          <w:kern w:val="0"/>
          <w:sz w:val="24"/>
          <w:highlight w:val="none"/>
        </w:rPr>
      </w:pPr>
      <w:r>
        <w:rPr>
          <w:rFonts w:hint="eastAsia" w:ascii="宋体" w:hAnsi="宋体" w:cs="宋体"/>
          <w:b/>
          <w:bCs/>
          <w:color w:val="auto"/>
          <w:spacing w:val="7"/>
          <w:kern w:val="0"/>
          <w:sz w:val="24"/>
          <w:highlight w:val="none"/>
          <w:lang w:val="en-US" w:eastAsia="zh-CN"/>
        </w:rPr>
        <w:t>五</w:t>
      </w:r>
      <w:r>
        <w:rPr>
          <w:rFonts w:hint="eastAsia" w:ascii="宋体" w:hAnsi="宋体" w:cs="宋体"/>
          <w:b/>
          <w:bCs/>
          <w:color w:val="auto"/>
          <w:spacing w:val="7"/>
          <w:kern w:val="0"/>
          <w:sz w:val="24"/>
          <w:highlight w:val="none"/>
        </w:rPr>
        <w:t>、谈判响应文件开启</w:t>
      </w:r>
    </w:p>
    <w:p w14:paraId="64CDE358">
      <w:pPr>
        <w:snapToGrid w:val="0"/>
        <w:spacing w:line="360" w:lineRule="auto"/>
        <w:ind w:firstLine="508" w:firstLineChars="200"/>
        <w:contextualSpacing/>
        <w:rPr>
          <w:rFonts w:cs="宋体" w:asciiTheme="minorEastAsia" w:hAnsiTheme="minorEastAsia" w:eastAsiaTheme="minorEastAsia"/>
          <w:color w:val="auto"/>
          <w:spacing w:val="7"/>
          <w:kern w:val="0"/>
          <w:sz w:val="24"/>
          <w:highlight w:val="none"/>
        </w:rPr>
      </w:pPr>
      <w:r>
        <w:rPr>
          <w:rFonts w:hint="eastAsia" w:cs="宋体" w:asciiTheme="minorEastAsia" w:hAnsiTheme="minorEastAsia" w:eastAsiaTheme="minorEastAsia"/>
          <w:color w:val="auto"/>
          <w:spacing w:val="7"/>
          <w:kern w:val="0"/>
          <w:sz w:val="24"/>
          <w:highlight w:val="none"/>
        </w:rPr>
        <w:t>时间：</w:t>
      </w:r>
      <w:r>
        <w:rPr>
          <w:rFonts w:hint="eastAsia" w:cs="宋体" w:asciiTheme="minorEastAsia" w:hAnsiTheme="minorEastAsia" w:eastAsiaTheme="minorEastAsia"/>
          <w:color w:val="auto"/>
          <w:kern w:val="0"/>
          <w:sz w:val="24"/>
          <w:highlight w:val="none"/>
        </w:rPr>
        <w:t>同谈判响应文件递交截止时间</w:t>
      </w:r>
    </w:p>
    <w:p w14:paraId="164018AE">
      <w:pPr>
        <w:snapToGrid w:val="0"/>
        <w:spacing w:line="360" w:lineRule="auto"/>
        <w:ind w:firstLine="508" w:firstLineChars="200"/>
        <w:contextualSpacing/>
        <w:rPr>
          <w:rFonts w:ascii="宋体" w:hAnsi="宋体" w:cs="宋体"/>
          <w:b/>
          <w:color w:val="auto"/>
          <w:spacing w:val="7"/>
          <w:kern w:val="0"/>
          <w:sz w:val="24"/>
          <w:highlight w:val="none"/>
        </w:rPr>
      </w:pPr>
      <w:r>
        <w:rPr>
          <w:rFonts w:hint="eastAsia" w:cs="宋体" w:asciiTheme="minorEastAsia" w:hAnsiTheme="minorEastAsia" w:eastAsiaTheme="minorEastAsia"/>
          <w:color w:val="auto"/>
          <w:spacing w:val="7"/>
          <w:kern w:val="0"/>
          <w:sz w:val="24"/>
          <w:highlight w:val="none"/>
        </w:rPr>
        <w:t>地点：南通市公路事业发展中心1楼信访接待室（地址：南通市跃龙路4号），如有变动另行通知。</w:t>
      </w:r>
    </w:p>
    <w:p w14:paraId="3F8903D9">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六</w:t>
      </w:r>
      <w:r>
        <w:rPr>
          <w:rFonts w:hint="eastAsia" w:ascii="宋体" w:hAnsi="宋体" w:cs="宋体"/>
          <w:b/>
          <w:color w:val="auto"/>
          <w:spacing w:val="7"/>
          <w:kern w:val="0"/>
          <w:sz w:val="24"/>
          <w:highlight w:val="none"/>
        </w:rPr>
        <w:t>、</w:t>
      </w:r>
      <w:r>
        <w:rPr>
          <w:rFonts w:ascii="宋体" w:hAnsi="宋体" w:cs="宋体"/>
          <w:b/>
          <w:color w:val="auto"/>
          <w:spacing w:val="7"/>
          <w:kern w:val="0"/>
          <w:sz w:val="24"/>
          <w:highlight w:val="none"/>
        </w:rPr>
        <w:t>公告期限</w:t>
      </w:r>
    </w:p>
    <w:p w14:paraId="634D3E43">
      <w:pPr>
        <w:snapToGrid w:val="0"/>
        <w:spacing w:line="360" w:lineRule="auto"/>
        <w:ind w:firstLine="508" w:firstLineChars="200"/>
        <w:contextualSpacing/>
        <w:rPr>
          <w:rFonts w:ascii="宋体" w:hAnsi="宋体" w:cs="宋体"/>
          <w:color w:val="auto"/>
          <w:spacing w:val="7"/>
          <w:kern w:val="0"/>
          <w:sz w:val="24"/>
          <w:highlight w:val="none"/>
        </w:rPr>
      </w:pPr>
      <w:r>
        <w:rPr>
          <w:rFonts w:hint="eastAsia" w:ascii="宋体" w:hAnsi="宋体" w:cs="宋体"/>
          <w:color w:val="auto"/>
          <w:spacing w:val="7"/>
          <w:kern w:val="0"/>
          <w:sz w:val="24"/>
          <w:highlight w:val="none"/>
        </w:rPr>
        <w:t>自本公告发布之日起3个工作日</w:t>
      </w:r>
      <w:r>
        <w:rPr>
          <w:rFonts w:ascii="宋体" w:hAnsi="宋体" w:cs="宋体"/>
          <w:color w:val="auto"/>
          <w:spacing w:val="7"/>
          <w:kern w:val="0"/>
          <w:sz w:val="24"/>
          <w:highlight w:val="none"/>
        </w:rPr>
        <w:t>。</w:t>
      </w:r>
    </w:p>
    <w:p w14:paraId="072E9D19">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七</w:t>
      </w:r>
      <w:r>
        <w:rPr>
          <w:rFonts w:hint="eastAsia" w:ascii="宋体" w:hAnsi="宋体" w:cs="宋体"/>
          <w:b/>
          <w:color w:val="auto"/>
          <w:spacing w:val="7"/>
          <w:kern w:val="0"/>
          <w:sz w:val="24"/>
          <w:highlight w:val="none"/>
        </w:rPr>
        <w:t>、</w:t>
      </w:r>
      <w:r>
        <w:rPr>
          <w:rFonts w:hint="eastAsia" w:ascii="宋体" w:hAnsi="宋体" w:cs="宋体"/>
          <w:b/>
          <w:color w:val="auto"/>
          <w:spacing w:val="7"/>
          <w:kern w:val="0"/>
          <w:sz w:val="24"/>
          <w:highlight w:val="none"/>
          <w:lang w:val="zh-CN"/>
        </w:rPr>
        <w:t>支付方式</w:t>
      </w:r>
    </w:p>
    <w:p w14:paraId="6F181E89">
      <w:pPr>
        <w:snapToGrid w:val="0"/>
        <w:spacing w:line="360" w:lineRule="auto"/>
        <w:ind w:firstLine="508" w:firstLineChars="200"/>
        <w:contextualSpacing/>
        <w:rPr>
          <w:rFonts w:hint="default" w:ascii="宋体" w:hAnsi="宋体" w:eastAsia="宋体" w:cs="宋体"/>
          <w:color w:val="auto"/>
          <w:spacing w:val="7"/>
          <w:kern w:val="0"/>
          <w:sz w:val="24"/>
          <w:highlight w:val="none"/>
          <w:lang w:val="en-US" w:eastAsia="zh-CN"/>
        </w:rPr>
      </w:pPr>
      <w:r>
        <w:rPr>
          <w:rFonts w:hint="eastAsia" w:ascii="宋体" w:hAnsi="宋体" w:eastAsia="宋体" w:cs="宋体"/>
          <w:color w:val="auto"/>
          <w:spacing w:val="7"/>
          <w:kern w:val="0"/>
          <w:sz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pacing w:val="7"/>
          <w:kern w:val="0"/>
          <w:sz w:val="24"/>
          <w:highlight w:val="none"/>
          <w:lang w:val="en-US" w:eastAsia="zh-CN"/>
        </w:rPr>
        <w:t>报告后15个工作日内支付</w:t>
      </w:r>
      <w:r>
        <w:rPr>
          <w:rFonts w:hint="eastAsia" w:ascii="宋体" w:hAnsi="宋体" w:eastAsia="宋体" w:cs="宋体"/>
          <w:color w:val="auto"/>
          <w:spacing w:val="7"/>
          <w:kern w:val="0"/>
          <w:sz w:val="24"/>
          <w:highlight w:val="none"/>
          <w:lang w:val="en-US" w:eastAsia="zh-CN"/>
        </w:rPr>
        <w:t>至</w:t>
      </w:r>
      <w:r>
        <w:rPr>
          <w:rFonts w:hint="default" w:ascii="宋体" w:hAnsi="宋体" w:eastAsia="宋体" w:cs="宋体"/>
          <w:color w:val="auto"/>
          <w:spacing w:val="7"/>
          <w:kern w:val="0"/>
          <w:sz w:val="24"/>
          <w:highlight w:val="none"/>
          <w:lang w:val="en-US" w:eastAsia="zh-CN"/>
        </w:rPr>
        <w:t>合同款项的50%；</w:t>
      </w:r>
      <w:r>
        <w:rPr>
          <w:rFonts w:hint="eastAsia" w:ascii="宋体" w:hAnsi="宋体" w:eastAsia="宋体" w:cs="宋体"/>
          <w:color w:val="auto"/>
          <w:spacing w:val="7"/>
          <w:kern w:val="0"/>
          <w:sz w:val="24"/>
          <w:highlight w:val="none"/>
          <w:lang w:val="en-US" w:eastAsia="zh-CN"/>
        </w:rPr>
        <w:t>评估报告通过采购人验收</w:t>
      </w:r>
      <w:r>
        <w:rPr>
          <w:rFonts w:hint="default" w:ascii="宋体" w:hAnsi="宋体" w:eastAsia="宋体" w:cs="宋体"/>
          <w:color w:val="auto"/>
          <w:spacing w:val="7"/>
          <w:kern w:val="0"/>
          <w:sz w:val="24"/>
          <w:highlight w:val="none"/>
          <w:lang w:val="en-US" w:eastAsia="zh-CN"/>
        </w:rPr>
        <w:t>后15个工作日内支付</w:t>
      </w:r>
      <w:r>
        <w:rPr>
          <w:rFonts w:hint="eastAsia" w:ascii="宋体" w:hAnsi="宋体" w:eastAsia="宋体" w:cs="宋体"/>
          <w:color w:val="auto"/>
          <w:spacing w:val="7"/>
          <w:kern w:val="0"/>
          <w:sz w:val="24"/>
          <w:highlight w:val="none"/>
          <w:lang w:val="en-US" w:eastAsia="zh-CN"/>
        </w:rPr>
        <w:t>剩余</w:t>
      </w:r>
      <w:r>
        <w:rPr>
          <w:rFonts w:hint="default" w:ascii="宋体" w:hAnsi="宋体" w:eastAsia="宋体" w:cs="宋体"/>
          <w:color w:val="auto"/>
          <w:spacing w:val="7"/>
          <w:kern w:val="0"/>
          <w:sz w:val="24"/>
          <w:highlight w:val="none"/>
          <w:lang w:val="en-US" w:eastAsia="zh-CN"/>
        </w:rPr>
        <w:t>合同款项。</w:t>
      </w:r>
    </w:p>
    <w:p w14:paraId="619D73B4">
      <w:pPr>
        <w:snapToGrid w:val="0"/>
        <w:spacing w:line="360" w:lineRule="auto"/>
        <w:ind w:firstLine="508" w:firstLineChars="200"/>
        <w:contextualSpacing/>
        <w:rPr>
          <w:rFonts w:hint="default" w:ascii="宋体" w:hAnsi="宋体" w:eastAsia="宋体" w:cs="宋体"/>
          <w:color w:val="auto"/>
          <w:spacing w:val="7"/>
          <w:kern w:val="0"/>
          <w:sz w:val="24"/>
          <w:highlight w:val="none"/>
          <w:lang w:val="en-US" w:eastAsia="zh-CN"/>
        </w:rPr>
      </w:pPr>
      <w:r>
        <w:rPr>
          <w:rFonts w:hint="default" w:ascii="宋体" w:hAnsi="宋体" w:eastAsia="宋体" w:cs="宋体"/>
          <w:color w:val="auto"/>
          <w:spacing w:val="7"/>
          <w:kern w:val="0"/>
          <w:sz w:val="24"/>
          <w:highlight w:val="none"/>
          <w:lang w:val="en-US" w:eastAsia="zh-CN"/>
        </w:rPr>
        <w:t>注：上述每次付款采购人须按合同要求扣减违约金和赔偿款</w:t>
      </w:r>
      <w:r>
        <w:rPr>
          <w:rFonts w:hint="eastAsia" w:ascii="宋体" w:hAnsi="宋体" w:eastAsia="宋体" w:cs="宋体"/>
          <w:color w:val="auto"/>
          <w:spacing w:val="7"/>
          <w:kern w:val="0"/>
          <w:sz w:val="24"/>
          <w:highlight w:val="none"/>
          <w:lang w:val="en-US" w:eastAsia="zh-CN"/>
        </w:rPr>
        <w:t>；</w:t>
      </w:r>
      <w:r>
        <w:rPr>
          <w:rFonts w:hint="default" w:ascii="宋体" w:hAnsi="宋体" w:eastAsia="宋体" w:cs="宋体"/>
          <w:color w:val="auto"/>
          <w:spacing w:val="7"/>
          <w:kern w:val="0"/>
          <w:sz w:val="24"/>
          <w:highlight w:val="none"/>
          <w:lang w:val="en-US" w:eastAsia="zh-CN"/>
        </w:rPr>
        <w:t>每次付款前，供应商须按采购人要求提供等额的合规发票及相关付款申请资料，否则采购人可以拒绝付款。</w:t>
      </w:r>
    </w:p>
    <w:p w14:paraId="40FD5CF5">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八</w:t>
      </w:r>
      <w:r>
        <w:rPr>
          <w:rFonts w:hint="eastAsia" w:ascii="宋体" w:hAnsi="宋体" w:cs="宋体"/>
          <w:b/>
          <w:color w:val="auto"/>
          <w:spacing w:val="7"/>
          <w:kern w:val="0"/>
          <w:sz w:val="24"/>
          <w:highlight w:val="none"/>
        </w:rPr>
        <w:t>、公告媒介</w:t>
      </w:r>
    </w:p>
    <w:p w14:paraId="7FB0192E">
      <w:pPr>
        <w:spacing w:line="360" w:lineRule="auto"/>
        <w:ind w:firstLine="480" w:firstLineChars="200"/>
        <w:jc w:val="left"/>
        <w:rPr>
          <w:rFonts w:hint="eastAsia" w:ascii="宋体" w:hAnsi="Times New Roman" w:eastAsia="宋体" w:cs="宋体"/>
          <w:color w:val="auto"/>
          <w:sz w:val="24"/>
          <w:highlight w:val="none"/>
        </w:rPr>
      </w:pPr>
      <w:r>
        <w:rPr>
          <w:rFonts w:hint="eastAsia" w:ascii="宋体" w:cs="宋体"/>
          <w:color w:val="auto"/>
          <w:sz w:val="24"/>
          <w:highlight w:val="none"/>
        </w:rPr>
        <w:t>本次竞争性谈判公告发布在南通市交通运输局网站（网址：</w:t>
      </w:r>
      <w:r>
        <w:rPr>
          <w:rFonts w:hint="eastAsia" w:ascii="宋体" w:hAnsi="Times New Roman" w:eastAsia="宋体" w:cs="宋体"/>
          <w:color w:val="auto"/>
          <w:sz w:val="24"/>
          <w:highlight w:val="none"/>
        </w:rPr>
        <w:fldChar w:fldCharType="begin"/>
      </w:r>
      <w:r>
        <w:rPr>
          <w:rFonts w:hint="eastAsia" w:ascii="宋体" w:hAnsi="Times New Roman" w:eastAsia="宋体" w:cs="宋体"/>
          <w:color w:val="auto"/>
          <w:sz w:val="24"/>
          <w:highlight w:val="none"/>
        </w:rPr>
        <w:instrText xml:space="preserve"> HYPERLINK "http://jtysj.nantong.gov.cn/）上。南通市交通运输局网站是本项目竞争性谈判公告、补遗书、谈判文件澄清、成交结果公告等采购信息约定的唯一公开发布媒介。" </w:instrText>
      </w:r>
      <w:r>
        <w:rPr>
          <w:rFonts w:hint="eastAsia" w:ascii="宋体" w:hAnsi="Times New Roman" w:eastAsia="宋体" w:cs="宋体"/>
          <w:color w:val="auto"/>
          <w:sz w:val="24"/>
          <w:highlight w:val="none"/>
        </w:rPr>
        <w:fldChar w:fldCharType="separate"/>
      </w:r>
      <w:r>
        <w:rPr>
          <w:rFonts w:hint="eastAsia" w:ascii="宋体" w:hAnsi="Times New Roman" w:eastAsia="宋体" w:cs="宋体"/>
          <w:color w:val="auto"/>
          <w:sz w:val="24"/>
          <w:highlight w:val="none"/>
        </w:rPr>
        <w:t>http://jtysj.nantong.gov.cn/）上。南通市交通运输局网站是本项目竞争性谈判公告、补遗书、谈判文件澄清、成交结果公告等采购信息约定的唯一公开发布媒介。</w:t>
      </w:r>
      <w:r>
        <w:rPr>
          <w:rFonts w:hint="eastAsia" w:ascii="宋体" w:hAnsi="Times New Roman" w:eastAsia="宋体" w:cs="宋体"/>
          <w:color w:val="auto"/>
          <w:sz w:val="24"/>
          <w:highlight w:val="none"/>
        </w:rPr>
        <w:fldChar w:fldCharType="end"/>
      </w:r>
    </w:p>
    <w:p w14:paraId="379E16A7">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九</w:t>
      </w:r>
      <w:r>
        <w:rPr>
          <w:rFonts w:hint="eastAsia" w:ascii="宋体" w:hAnsi="宋体" w:cs="宋体"/>
          <w:b/>
          <w:color w:val="auto"/>
          <w:spacing w:val="7"/>
          <w:kern w:val="0"/>
          <w:sz w:val="24"/>
          <w:highlight w:val="none"/>
        </w:rPr>
        <w:t>、其他补充事宜</w:t>
      </w:r>
    </w:p>
    <w:p w14:paraId="2C47108D">
      <w:pPr>
        <w:widowControl/>
        <w:shd w:val="clear" w:color="auto" w:fill="FFFFFF"/>
        <w:spacing w:line="360" w:lineRule="auto"/>
        <w:ind w:firstLine="508" w:firstLineChars="200"/>
        <w:rPr>
          <w:rFonts w:ascii="宋体" w:hAnsi="宋体" w:cs="宋体"/>
          <w:color w:val="auto"/>
          <w:spacing w:val="7"/>
          <w:kern w:val="0"/>
          <w:sz w:val="24"/>
          <w:highlight w:val="none"/>
        </w:rPr>
      </w:pPr>
      <w:r>
        <w:rPr>
          <w:rFonts w:ascii="宋体" w:hAnsi="宋体" w:cs="宋体"/>
          <w:color w:val="auto"/>
          <w:spacing w:val="7"/>
          <w:kern w:val="0"/>
          <w:sz w:val="24"/>
          <w:highlight w:val="none"/>
        </w:rPr>
        <w:t>1</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谈判保证金：本项目不设谈判保证金</w:t>
      </w:r>
    </w:p>
    <w:p w14:paraId="7495646D">
      <w:pPr>
        <w:widowControl/>
        <w:shd w:val="clear" w:color="auto" w:fill="FFFFFF"/>
        <w:spacing w:line="360" w:lineRule="auto"/>
        <w:ind w:firstLine="508" w:firstLineChars="200"/>
        <w:rPr>
          <w:rFonts w:ascii="宋体" w:hAnsi="宋体" w:cs="宋体"/>
          <w:color w:val="auto"/>
          <w:spacing w:val="7"/>
          <w:kern w:val="0"/>
          <w:sz w:val="24"/>
          <w:highlight w:val="none"/>
        </w:rPr>
      </w:pPr>
      <w:r>
        <w:rPr>
          <w:rFonts w:ascii="宋体" w:hAnsi="宋体" w:cs="宋体"/>
          <w:color w:val="auto"/>
          <w:spacing w:val="7"/>
          <w:kern w:val="0"/>
          <w:sz w:val="24"/>
          <w:highlight w:val="none"/>
        </w:rPr>
        <w:t>2</w:t>
      </w:r>
      <w:r>
        <w:rPr>
          <w:rFonts w:hint="eastAsia" w:ascii="宋体" w:hAnsi="宋体" w:cs="宋体"/>
          <w:color w:val="auto"/>
          <w:spacing w:val="7"/>
          <w:kern w:val="0"/>
          <w:sz w:val="24"/>
          <w:highlight w:val="none"/>
        </w:rPr>
        <w:t>.</w:t>
      </w:r>
      <w:r>
        <w:rPr>
          <w:rFonts w:ascii="宋体" w:hAnsi="宋体" w:cs="宋体"/>
          <w:color w:val="auto"/>
          <w:spacing w:val="7"/>
          <w:kern w:val="0"/>
          <w:sz w:val="24"/>
          <w:highlight w:val="none"/>
        </w:rPr>
        <w:t>项目谈判活动模式：纸质文件，现场谈判。</w:t>
      </w:r>
    </w:p>
    <w:p w14:paraId="383ADA7D">
      <w:pPr>
        <w:widowControl/>
        <w:shd w:val="clear" w:color="auto" w:fill="FFFFFF"/>
        <w:spacing w:line="360" w:lineRule="auto"/>
        <w:ind w:firstLine="510" w:firstLineChars="200"/>
        <w:rPr>
          <w:rFonts w:ascii="宋体" w:hAnsi="宋体" w:cs="宋体"/>
          <w:b/>
          <w:color w:val="auto"/>
          <w:spacing w:val="7"/>
          <w:kern w:val="0"/>
          <w:sz w:val="24"/>
          <w:highlight w:val="none"/>
        </w:rPr>
      </w:pPr>
      <w:r>
        <w:rPr>
          <w:rFonts w:hint="eastAsia" w:ascii="宋体" w:hAnsi="宋体" w:cs="宋体"/>
          <w:b/>
          <w:color w:val="auto"/>
          <w:spacing w:val="7"/>
          <w:kern w:val="0"/>
          <w:sz w:val="24"/>
          <w:highlight w:val="none"/>
          <w:lang w:val="en-US" w:eastAsia="zh-CN"/>
        </w:rPr>
        <w:t>十</w:t>
      </w:r>
      <w:r>
        <w:rPr>
          <w:rFonts w:hint="eastAsia" w:ascii="宋体" w:hAnsi="宋体" w:cs="宋体"/>
          <w:b/>
          <w:color w:val="auto"/>
          <w:spacing w:val="7"/>
          <w:kern w:val="0"/>
          <w:sz w:val="24"/>
          <w:highlight w:val="none"/>
        </w:rPr>
        <w:t>、凡对本次采购提出询问，请按以下方式联系。</w:t>
      </w:r>
    </w:p>
    <w:p w14:paraId="5D94F3F2">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采购人信息</w:t>
      </w:r>
    </w:p>
    <w:p w14:paraId="7121D812">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称：南通市公路事业发展中心</w:t>
      </w:r>
      <w:r>
        <w:rPr>
          <w:rFonts w:ascii="宋体" w:hAnsi="宋体" w:cs="宋体"/>
          <w:color w:val="auto"/>
          <w:sz w:val="24"/>
          <w:highlight w:val="none"/>
        </w:rPr>
        <w:t xml:space="preserve"> </w:t>
      </w:r>
    </w:p>
    <w:p w14:paraId="00CF6D8C">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址：江苏省南通市跃龙路</w:t>
      </w:r>
      <w:r>
        <w:rPr>
          <w:rFonts w:ascii="宋体" w:hAnsi="宋体" w:cs="宋体"/>
          <w:color w:val="auto"/>
          <w:sz w:val="24"/>
          <w:highlight w:val="none"/>
        </w:rPr>
        <w:t xml:space="preserve">4号 </w:t>
      </w:r>
    </w:p>
    <w:p w14:paraId="0C9EF19B">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系 人：</w:t>
      </w:r>
      <w:r>
        <w:rPr>
          <w:rFonts w:hint="eastAsia" w:ascii="宋体" w:hAnsi="宋体" w:cs="宋体"/>
          <w:color w:val="auto"/>
          <w:sz w:val="24"/>
          <w:highlight w:val="none"/>
        </w:rPr>
        <w:t>周先生</w:t>
      </w:r>
      <w:r>
        <w:rPr>
          <w:rFonts w:ascii="宋体" w:hAnsi="宋体" w:cs="宋体"/>
          <w:color w:val="auto"/>
          <w:sz w:val="24"/>
          <w:highlight w:val="none"/>
        </w:rPr>
        <w:t xml:space="preserve"> </w:t>
      </w:r>
    </w:p>
    <w:p w14:paraId="4483ACF4">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ascii="宋体" w:hAnsi="宋体" w:cs="宋体"/>
          <w:color w:val="auto"/>
          <w:sz w:val="24"/>
          <w:highlight w:val="none"/>
        </w:rPr>
        <w:t>0513-85524439</w:t>
      </w:r>
    </w:p>
    <w:p w14:paraId="63A41080">
      <w:pPr>
        <w:widowControl/>
        <w:shd w:val="clear" w:color="auto" w:fill="FFFFFF"/>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采购代理机构：</w:t>
      </w:r>
      <w:r>
        <w:rPr>
          <w:rFonts w:hint="eastAsia" w:ascii="宋体" w:hAnsi="宋体" w:cs="宋体"/>
          <w:color w:val="auto"/>
          <w:sz w:val="24"/>
          <w:highlight w:val="none"/>
        </w:rPr>
        <w:t>江苏睿致诚工程咨询有限公司</w:t>
      </w:r>
    </w:p>
    <w:p w14:paraId="6240E4B1">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址：南京市江宁区江南路697号金轮星际中心A1栋7楼</w:t>
      </w:r>
    </w:p>
    <w:p w14:paraId="2FD9702F">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人：尹建、陈小龙</w:t>
      </w:r>
    </w:p>
    <w:p w14:paraId="207B742B">
      <w:pPr>
        <w:widowControl/>
        <w:shd w:val="clear" w:color="auto" w:fill="FFFFFF"/>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话：18906275357（尹建）、18932207883（陈小龙）</w:t>
      </w:r>
    </w:p>
    <w:p w14:paraId="7BDA5091">
      <w:pPr>
        <w:widowControl/>
        <w:shd w:val="clear" w:color="auto" w:fill="FFFFFF"/>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p>
    <w:p w14:paraId="5A8556DF">
      <w:pPr>
        <w:widowControl/>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13521C9E">
      <w:pPr>
        <w:spacing w:line="360" w:lineRule="auto"/>
        <w:jc w:val="left"/>
        <w:rPr>
          <w:rFonts w:ascii="宋体" w:hAnsi="宋体"/>
          <w:color w:val="auto"/>
          <w:kern w:val="0"/>
          <w:sz w:val="28"/>
          <w:szCs w:val="28"/>
          <w:highlight w:val="none"/>
        </w:rPr>
      </w:pPr>
      <w:r>
        <w:rPr>
          <w:rFonts w:hint="eastAsia" w:ascii="宋体" w:hAnsi="宋体"/>
          <w:color w:val="auto"/>
          <w:kern w:val="0"/>
          <w:sz w:val="28"/>
          <w:szCs w:val="28"/>
          <w:highlight w:val="none"/>
        </w:rPr>
        <w:t>附件</w:t>
      </w:r>
      <w:r>
        <w:rPr>
          <w:rFonts w:ascii="宋体" w:hAnsi="宋体"/>
          <w:color w:val="auto"/>
          <w:kern w:val="0"/>
          <w:sz w:val="28"/>
          <w:szCs w:val="28"/>
          <w:highlight w:val="none"/>
        </w:rPr>
        <w:t>1</w:t>
      </w:r>
    </w:p>
    <w:p w14:paraId="46CEAAFD">
      <w:pPr>
        <w:spacing w:line="360" w:lineRule="auto"/>
        <w:jc w:val="center"/>
        <w:rPr>
          <w:rFonts w:ascii="宋体" w:hAnsi="宋体"/>
          <w:b/>
          <w:color w:val="auto"/>
          <w:kern w:val="0"/>
          <w:sz w:val="32"/>
          <w:szCs w:val="20"/>
          <w:highlight w:val="none"/>
        </w:rPr>
      </w:pPr>
      <w:r>
        <w:rPr>
          <w:rFonts w:hint="eastAsia" w:ascii="宋体" w:hAnsi="宋体"/>
          <w:b/>
          <w:color w:val="auto"/>
          <w:kern w:val="0"/>
          <w:sz w:val="32"/>
          <w:szCs w:val="20"/>
          <w:highlight w:val="none"/>
        </w:rPr>
        <w:t>申请函</w:t>
      </w:r>
    </w:p>
    <w:p w14:paraId="03093AA7">
      <w:pPr>
        <w:spacing w:line="360" w:lineRule="auto"/>
        <w:jc w:val="left"/>
        <w:rPr>
          <w:rFonts w:ascii="宋体" w:hAnsi="宋体"/>
          <w:b/>
          <w:color w:val="auto"/>
          <w:kern w:val="0"/>
          <w:sz w:val="32"/>
          <w:szCs w:val="20"/>
          <w:highlight w:val="none"/>
        </w:rPr>
      </w:pPr>
    </w:p>
    <w:p w14:paraId="74179965">
      <w:pPr>
        <w:spacing w:line="360" w:lineRule="auto"/>
        <w:jc w:val="left"/>
        <w:rPr>
          <w:rFonts w:ascii="宋体" w:hAnsi="宋体"/>
          <w:b/>
          <w:color w:val="auto"/>
          <w:kern w:val="0"/>
          <w:sz w:val="24"/>
          <w:highlight w:val="none"/>
          <w:u w:val="single"/>
        </w:rPr>
      </w:pPr>
      <w:r>
        <w:rPr>
          <w:rFonts w:hint="eastAsia" w:ascii="宋体" w:hAnsi="宋体"/>
          <w:b/>
          <w:color w:val="auto"/>
          <w:kern w:val="0"/>
          <w:sz w:val="24"/>
          <w:highlight w:val="none"/>
        </w:rPr>
        <w:t>致：</w:t>
      </w:r>
      <w:r>
        <w:rPr>
          <w:rFonts w:hint="eastAsia" w:ascii="宋体" w:hAnsi="宋体"/>
          <w:b/>
          <w:color w:val="auto"/>
          <w:kern w:val="0"/>
          <w:sz w:val="24"/>
          <w:highlight w:val="none"/>
          <w:u w:val="single"/>
        </w:rPr>
        <w:t>南通市公路事业发展中心</w:t>
      </w:r>
    </w:p>
    <w:p w14:paraId="3D1F3900">
      <w:pPr>
        <w:widowControl/>
        <w:shd w:val="clear" w:color="auto" w:fill="FFFFFF"/>
        <w:spacing w:line="360" w:lineRule="auto"/>
        <w:ind w:firstLine="480" w:firstLineChars="200"/>
        <w:rPr>
          <w:rFonts w:ascii="宋体" w:hAnsi="宋体" w:cs="宋体"/>
          <w:color w:val="auto"/>
          <w:spacing w:val="7"/>
          <w:kern w:val="0"/>
          <w:sz w:val="24"/>
          <w:highlight w:val="none"/>
        </w:rPr>
      </w:pPr>
      <w:r>
        <w:rPr>
          <w:rFonts w:hint="eastAsia" w:ascii="宋体" w:hAnsi="宋体"/>
          <w:color w:val="auto"/>
          <w:kern w:val="0"/>
          <w:sz w:val="24"/>
          <w:highlight w:val="none"/>
        </w:rPr>
        <w:t>我公司已获悉贵单位发出的</w:t>
      </w:r>
      <w:r>
        <w:rPr>
          <w:rFonts w:ascii="宋体" w:hAnsi="宋体"/>
          <w:color w:val="auto"/>
          <w:kern w:val="0"/>
          <w:sz w:val="24"/>
          <w:highlight w:val="none"/>
          <w:u w:val="single"/>
        </w:rPr>
        <w:t xml:space="preserve"> </w:t>
      </w:r>
      <w:r>
        <w:rPr>
          <w:rFonts w:hint="eastAsia" w:ascii="宋体" w:hAnsi="宋体" w:cs="宋体"/>
          <w:bCs/>
          <w:color w:val="auto"/>
          <w:spacing w:val="7"/>
          <w:kern w:val="0"/>
          <w:sz w:val="24"/>
          <w:highlight w:val="none"/>
          <w:u w:val="single"/>
          <w:lang w:eastAsia="zh-CN"/>
        </w:rPr>
        <w:t>沪陕高速公路海门城区至南通东段客车差异化收费政策实施情况评估服务项目</w:t>
      </w:r>
      <w:r>
        <w:rPr>
          <w:rFonts w:hint="eastAsia" w:ascii="宋体" w:hAnsi="宋体" w:cs="宋体"/>
          <w:color w:val="auto"/>
          <w:spacing w:val="7"/>
          <w:kern w:val="0"/>
          <w:sz w:val="24"/>
          <w:highlight w:val="none"/>
        </w:rPr>
        <w:t>竞争性谈判公告</w:t>
      </w:r>
      <w:r>
        <w:rPr>
          <w:rFonts w:hint="eastAsia" w:ascii="宋体" w:hAnsi="宋体" w:cs="宋体"/>
          <w:color w:val="auto"/>
          <w:spacing w:val="7"/>
          <w:kern w:val="0"/>
          <w:sz w:val="24"/>
          <w:highlight w:val="none"/>
          <w:lang w:eastAsia="zh-CN"/>
        </w:rPr>
        <w:t>（</w:t>
      </w:r>
      <w:r>
        <w:rPr>
          <w:rFonts w:hint="eastAsia" w:ascii="宋体" w:hAnsi="宋体" w:cs="宋体"/>
          <w:color w:val="auto"/>
          <w:spacing w:val="7"/>
          <w:kern w:val="0"/>
          <w:sz w:val="24"/>
          <w:highlight w:val="none"/>
          <w:lang w:val="en-US" w:eastAsia="zh-CN"/>
        </w:rPr>
        <w:t>二次</w:t>
      </w:r>
      <w:r>
        <w:rPr>
          <w:rFonts w:hint="eastAsia" w:ascii="宋体" w:hAnsi="宋体" w:cs="宋体"/>
          <w:color w:val="auto"/>
          <w:spacing w:val="7"/>
          <w:kern w:val="0"/>
          <w:sz w:val="24"/>
          <w:highlight w:val="none"/>
          <w:lang w:eastAsia="zh-CN"/>
        </w:rPr>
        <w:t>）</w:t>
      </w:r>
      <w:r>
        <w:rPr>
          <w:rFonts w:hint="eastAsia" w:ascii="宋体" w:hAnsi="宋体"/>
          <w:color w:val="auto"/>
          <w:kern w:val="0"/>
          <w:sz w:val="24"/>
          <w:highlight w:val="none"/>
        </w:rPr>
        <w:t>，经研究，我单位拟参加本项目谈判。</w:t>
      </w:r>
    </w:p>
    <w:p w14:paraId="41C67A83">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联系人：</w:t>
      </w:r>
    </w:p>
    <w:p w14:paraId="4AE2F784">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联系电话：</w:t>
      </w:r>
    </w:p>
    <w:p w14:paraId="054C1C1D">
      <w:pPr>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highlight w:val="none"/>
          <w:lang w:val="zh-CN"/>
        </w:rPr>
        <w:t>E-MAIL地址：</w:t>
      </w:r>
    </w:p>
    <w:p w14:paraId="4BBE544D">
      <w:pPr>
        <w:spacing w:line="360" w:lineRule="auto"/>
        <w:jc w:val="left"/>
        <w:rPr>
          <w:rFonts w:ascii="宋体" w:hAnsi="宋体" w:cs="宋体"/>
          <w:color w:val="auto"/>
          <w:kern w:val="0"/>
          <w:sz w:val="24"/>
          <w:highlight w:val="none"/>
          <w:lang w:val="zh-CN"/>
        </w:rPr>
      </w:pPr>
    </w:p>
    <w:p w14:paraId="48646093">
      <w:pPr>
        <w:spacing w:line="360" w:lineRule="auto"/>
        <w:ind w:firstLine="5280" w:firstLineChars="2200"/>
        <w:jc w:val="left"/>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单位：</w:t>
      </w:r>
      <w:r>
        <w:rPr>
          <w:rFonts w:ascii="宋体" w:hAnsi="宋体" w:cs="宋体"/>
          <w:color w:val="auto"/>
          <w:kern w:val="0"/>
          <w:sz w:val="24"/>
          <w:highlight w:val="none"/>
          <w:u w:val="single"/>
          <w:lang w:val="zh-CN"/>
        </w:rPr>
        <w:t xml:space="preserve"> （盖章）                 </w:t>
      </w:r>
    </w:p>
    <w:p w14:paraId="339DB946">
      <w:pPr>
        <w:wordWrap w:val="0"/>
        <w:spacing w:line="360" w:lineRule="auto"/>
        <w:jc w:val="right"/>
        <w:rPr>
          <w:rFonts w:ascii="宋体" w:hAnsi="宋体"/>
          <w:color w:val="auto"/>
          <w:kern w:val="0"/>
          <w:sz w:val="24"/>
          <w:highlight w:val="none"/>
        </w:rPr>
      </w:pP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2AF0325D">
      <w:pPr>
        <w:spacing w:line="360" w:lineRule="auto"/>
        <w:jc w:val="right"/>
        <w:rPr>
          <w:rFonts w:ascii="宋体" w:hAnsi="宋体" w:cs="宋体"/>
          <w:color w:val="auto"/>
          <w:kern w:val="0"/>
          <w:sz w:val="24"/>
          <w:highlight w:val="none"/>
        </w:rPr>
      </w:pPr>
    </w:p>
    <w:p w14:paraId="2CBF1B2F">
      <w:pPr>
        <w:snapToGrid w:val="0"/>
        <w:spacing w:line="360" w:lineRule="auto"/>
        <w:ind w:firstLine="560" w:firstLineChars="200"/>
        <w:contextualSpacing/>
        <w:rPr>
          <w:rFonts w:ascii="宋体" w:hAnsi="宋体" w:cs="宋体"/>
          <w:color w:val="auto"/>
          <w:sz w:val="28"/>
          <w:szCs w:val="28"/>
          <w:highlight w:val="none"/>
        </w:rPr>
      </w:pPr>
    </w:p>
    <w:p w14:paraId="180E8B6D">
      <w:pPr>
        <w:snapToGrid w:val="0"/>
        <w:spacing w:line="300" w:lineRule="auto"/>
        <w:contextualSpacing/>
        <w:jc w:val="center"/>
        <w:rPr>
          <w:rFonts w:ascii="宋体" w:hAnsi="宋体" w:cs="宋体"/>
          <w:b/>
          <w:bCs/>
          <w:color w:val="auto"/>
          <w:sz w:val="36"/>
          <w:szCs w:val="36"/>
          <w:highlight w:val="none"/>
          <w:lang w:val="zh-CN"/>
        </w:rPr>
      </w:pPr>
      <w:r>
        <w:rPr>
          <w:rFonts w:ascii="宋体" w:hAnsi="宋体" w:cs="宋体"/>
          <w:b/>
          <w:color w:val="auto"/>
          <w:sz w:val="28"/>
          <w:szCs w:val="28"/>
          <w:highlight w:val="none"/>
        </w:rPr>
        <w:br w:type="page"/>
      </w:r>
      <w:r>
        <w:rPr>
          <w:rFonts w:hint="eastAsia" w:ascii="宋体" w:hAnsi="宋体" w:cs="宋体"/>
          <w:b/>
          <w:bCs/>
          <w:color w:val="auto"/>
          <w:sz w:val="36"/>
          <w:szCs w:val="36"/>
          <w:highlight w:val="none"/>
          <w:lang w:val="zh-CN"/>
        </w:rPr>
        <w:t>第二部分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谈判须知</w:t>
      </w:r>
    </w:p>
    <w:p w14:paraId="57021594">
      <w:pPr>
        <w:autoSpaceDE w:val="0"/>
        <w:autoSpaceDN w:val="0"/>
        <w:adjustRightInd w:val="0"/>
        <w:spacing w:line="360" w:lineRule="auto"/>
        <w:ind w:firstLine="482" w:firstLineChars="200"/>
        <w:outlineLvl w:val="1"/>
        <w:rPr>
          <w:rFonts w:ascii="宋体" w:hAnsi="宋体" w:cs="宋体"/>
          <w:b/>
          <w:color w:val="auto"/>
          <w:sz w:val="24"/>
          <w:highlight w:val="none"/>
          <w:lang w:val="zh-CN"/>
        </w:rPr>
      </w:pPr>
      <w:r>
        <w:rPr>
          <w:rFonts w:hint="eastAsia" w:ascii="宋体" w:hAnsi="宋体" w:cs="宋体"/>
          <w:b/>
          <w:color w:val="auto"/>
          <w:sz w:val="24"/>
          <w:highlight w:val="none"/>
          <w:lang w:val="zh-CN"/>
        </w:rPr>
        <w:t>一、说明</w:t>
      </w:r>
    </w:p>
    <w:p w14:paraId="57F6D127">
      <w:pPr>
        <w:autoSpaceDE w:val="0"/>
        <w:autoSpaceDN w:val="0"/>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本竞争性谈判文件仅适用于采购人组织的竞争性谈判采购活动。</w:t>
      </w:r>
    </w:p>
    <w:p w14:paraId="160DE8E1">
      <w:pPr>
        <w:autoSpaceDE w:val="0"/>
        <w:autoSpaceDN w:val="0"/>
        <w:adjustRightIn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竞争性谈判活动及因本次谈判产生的合同受中国法律制约和保护。</w:t>
      </w:r>
    </w:p>
    <w:p w14:paraId="5AC6AF49">
      <w:pPr>
        <w:snapToGrid w:val="0"/>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w:t>
      </w:r>
      <w:r>
        <w:rPr>
          <w:rFonts w:ascii="宋体" w:hAnsi="宋体" w:cs="宋体"/>
          <w:color w:val="auto"/>
          <w:sz w:val="24"/>
          <w:highlight w:val="none"/>
          <w:lang w:val="zh-CN"/>
        </w:rPr>
        <w:t>.</w:t>
      </w:r>
      <w:r>
        <w:rPr>
          <w:rFonts w:hint="eastAsia" w:ascii="宋体" w:hAnsi="宋体" w:cs="宋体"/>
          <w:bCs/>
          <w:color w:val="auto"/>
          <w:sz w:val="24"/>
          <w:highlight w:val="none"/>
        </w:rPr>
        <w:t>竞争性谈判文件的解释权属于采购人。</w:t>
      </w:r>
    </w:p>
    <w:p w14:paraId="70D6A8DE">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供应商下载谈判文件后，应仔细检查谈判文件的所有内容。如内容中有页码短缺、资格要求以及任何设置有不合理的条件对供应商实行差别待遇或者歧视待遇的，</w:t>
      </w:r>
      <w:r>
        <w:rPr>
          <w:rFonts w:hint="eastAsia" w:ascii="宋体" w:hAnsi="宋体" w:cs="宋体"/>
          <w:color w:val="auto"/>
          <w:sz w:val="24"/>
          <w:highlight w:val="none"/>
          <w:lang w:val="zh-CN"/>
        </w:rPr>
        <w:t>供应商下载谈判</w:t>
      </w:r>
      <w:r>
        <w:rPr>
          <w:rFonts w:hint="eastAsia" w:ascii="宋体" w:hAnsi="宋体" w:cs="宋体"/>
          <w:color w:val="auto"/>
          <w:sz w:val="24"/>
          <w:highlight w:val="none"/>
        </w:rPr>
        <w:t>文件后，应在谈判文件发布后的</w:t>
      </w:r>
      <w:r>
        <w:rPr>
          <w:rFonts w:ascii="宋体" w:hAnsi="宋体" w:cs="宋体"/>
          <w:b/>
          <w:color w:val="auto"/>
          <w:sz w:val="24"/>
          <w:highlight w:val="none"/>
          <w:lang w:val="zh-CN"/>
        </w:rPr>
        <w:t>3日内以书面形式向采购人或代理单位提出询问或疑问</w:t>
      </w:r>
      <w:r>
        <w:rPr>
          <w:rFonts w:hint="eastAsia" w:ascii="宋体" w:hAnsi="宋体" w:cs="宋体"/>
          <w:color w:val="auto"/>
          <w:sz w:val="24"/>
          <w:highlight w:val="none"/>
          <w:lang w:val="zh-CN"/>
        </w:rPr>
        <w:t>，未在规定的</w:t>
      </w:r>
      <w:r>
        <w:rPr>
          <w:rFonts w:ascii="宋体" w:hAnsi="宋体" w:cs="宋体"/>
          <w:color w:val="auto"/>
          <w:sz w:val="24"/>
          <w:highlight w:val="none"/>
          <w:lang w:val="zh-CN"/>
        </w:rPr>
        <w:t>3日内提出询问或疑问的，视同供应商理解并接受本谈判文件所有内容，并由此引起的损失自负。</w:t>
      </w:r>
      <w:r>
        <w:rPr>
          <w:rFonts w:hint="eastAsia" w:ascii="宋体" w:hAnsi="宋体" w:cs="宋体"/>
          <w:b/>
          <w:color w:val="auto"/>
          <w:sz w:val="24"/>
          <w:highlight w:val="none"/>
        </w:rPr>
        <w:t>非书面形式的不作为日后质疑提出的依据。</w:t>
      </w:r>
    </w:p>
    <w:p w14:paraId="75804F07">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5.供应商应认真审阅谈判文件中所有的事项、格式、条款和规范要求等，如果供应商没有按照谈判文件要求提交响应文件，或者响应文件没有对谈判文件做出实质性响应，其投标将被拒绝，供应商自行承担责任。</w:t>
      </w:r>
    </w:p>
    <w:p w14:paraId="49A25800">
      <w:pPr>
        <w:autoSpaceDE w:val="0"/>
        <w:autoSpaceDN w:val="0"/>
        <w:adjustRightIn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6.</w:t>
      </w:r>
      <w:r>
        <w:rPr>
          <w:rFonts w:hint="eastAsia" w:ascii="宋体" w:hAnsi="宋体" w:cs="宋体"/>
          <w:color w:val="auto"/>
          <w:sz w:val="24"/>
          <w:highlight w:val="none"/>
        </w:rPr>
        <w:t>供应商在谈判开始前自行踏勘现场，供应商务必自行认真踏勘现场条件，进一步获取所需信息，一旦成交不得对现场条件提出额外要求，不得要求增加费用，采购人可视情组织答疑会。</w:t>
      </w:r>
    </w:p>
    <w:p w14:paraId="5C822ECC">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二、谈判文件的澄清、修改、答疑</w:t>
      </w:r>
    </w:p>
    <w:p w14:paraId="2B1095E5">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采购人有权对发出的谈判文件进行必要的澄清、修改或补充。</w:t>
      </w:r>
    </w:p>
    <w:p w14:paraId="3A11BCE9">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谈判文件的澄清、修改、补充等内容均以书面明确的形式发布，并以</w:t>
      </w:r>
      <w:r>
        <w:rPr>
          <w:rFonts w:hint="eastAsia" w:ascii="宋体" w:hAnsi="宋体" w:cs="宋体"/>
          <w:color w:val="auto"/>
          <w:spacing w:val="7"/>
          <w:kern w:val="0"/>
          <w:sz w:val="24"/>
          <w:highlight w:val="none"/>
        </w:rPr>
        <w:t>南通市交通运输局—公共资源交易栏目</w:t>
      </w:r>
      <w:r>
        <w:rPr>
          <w:rFonts w:hint="eastAsia" w:ascii="宋体" w:hAnsi="宋体" w:cs="宋体"/>
          <w:color w:val="auto"/>
          <w:sz w:val="24"/>
          <w:highlight w:val="none"/>
        </w:rPr>
        <w:t>发布的信息为准。</w:t>
      </w:r>
    </w:p>
    <w:p w14:paraId="0EC8DCE3">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w:t>
      </w:r>
      <w:r>
        <w:rPr>
          <w:rFonts w:hint="eastAsia" w:ascii="宋体" w:hAnsi="宋体" w:cs="宋体"/>
          <w:color w:val="auto"/>
          <w:sz w:val="24"/>
          <w:highlight w:val="none"/>
        </w:rPr>
        <w:t>采购人对谈判文件的澄清、修改将构成谈判文件的一部分，对响应谈判的供应商具有约束力。</w:t>
      </w:r>
    </w:p>
    <w:p w14:paraId="0D8D12CE">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澄清或者修改的内容可能影响到响应文件编制的，采购人将在提交响应文件接收截止之日</w:t>
      </w:r>
      <w:r>
        <w:rPr>
          <w:rFonts w:ascii="宋体" w:hAnsi="宋体" w:cs="宋体"/>
          <w:color w:val="auto"/>
          <w:sz w:val="24"/>
          <w:highlight w:val="none"/>
        </w:rPr>
        <w:t>3日前，发布澄清或者修改公告，不足3日的，当顺延提交响应文件接收截止时间。</w:t>
      </w:r>
    </w:p>
    <w:p w14:paraId="4CA8620A">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5</w:t>
      </w:r>
      <w:r>
        <w:rPr>
          <w:rFonts w:ascii="宋体" w:hAnsi="宋体" w:cs="宋体"/>
          <w:color w:val="auto"/>
          <w:sz w:val="24"/>
          <w:highlight w:val="none"/>
          <w:lang w:val="zh-CN"/>
        </w:rPr>
        <w:t>.</w:t>
      </w:r>
      <w:r>
        <w:rPr>
          <w:rFonts w:hint="eastAsia" w:ascii="宋体" w:hAnsi="宋体" w:cs="宋体"/>
          <w:color w:val="auto"/>
          <w:sz w:val="24"/>
          <w:highlight w:val="none"/>
        </w:rPr>
        <w:t>除非采购人以书面的形式对谈判文件作出澄清、修改及补充，供应商由于对谈判文件的任何推论和误解以及采购人对有关问题的口头解释所造成的后果，均由供应商自负。</w:t>
      </w:r>
    </w:p>
    <w:p w14:paraId="5792A1B1">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6</w:t>
      </w:r>
      <w:r>
        <w:rPr>
          <w:rFonts w:ascii="宋体" w:hAnsi="宋体" w:cs="宋体"/>
          <w:color w:val="auto"/>
          <w:sz w:val="24"/>
          <w:highlight w:val="none"/>
          <w:lang w:val="zh-CN"/>
        </w:rPr>
        <w:t>.</w:t>
      </w:r>
      <w:r>
        <w:rPr>
          <w:rFonts w:hint="eastAsia" w:ascii="宋体" w:hAnsi="宋体" w:cs="宋体"/>
          <w:color w:val="auto"/>
          <w:sz w:val="24"/>
          <w:highlight w:val="none"/>
        </w:rPr>
        <w:t>采购人视情况组织答疑会。如有产生答疑且对谈判文件内容有修改，采购人将按照本须知有关规定，以书面方式发出。</w:t>
      </w:r>
    </w:p>
    <w:p w14:paraId="45E2B92C">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三、谈判项目涉及到的现场勘察</w:t>
      </w:r>
    </w:p>
    <w:p w14:paraId="28F6720A">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lang w:val="zh-CN"/>
        </w:rPr>
        <w:t>.</w:t>
      </w:r>
      <w:r>
        <w:rPr>
          <w:rFonts w:hint="eastAsia" w:ascii="宋体" w:hAnsi="宋体" w:cs="宋体"/>
          <w:color w:val="auto"/>
          <w:sz w:val="24"/>
          <w:highlight w:val="none"/>
        </w:rPr>
        <w:t>谈判文件所提供的项目相关数据仅做参考，根据自身需要，供应商可在谈判文件递交之日前对有关现场和周围环境进行勘察，以获取编制响应文件和签署合同所需的信息。勘察现场所发生的费用由供应商自己承担。</w:t>
      </w:r>
    </w:p>
    <w:p w14:paraId="0FAF59D7">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ascii="宋体" w:hAnsi="宋体" w:cs="宋体"/>
          <w:color w:val="auto"/>
          <w:sz w:val="24"/>
          <w:highlight w:val="none"/>
          <w:lang w:val="zh-CN"/>
        </w:rPr>
        <w:t>.</w:t>
      </w:r>
      <w:r>
        <w:rPr>
          <w:rFonts w:hint="eastAsia" w:ascii="宋体" w:hAnsi="宋体" w:cs="宋体"/>
          <w:color w:val="auto"/>
          <w:sz w:val="24"/>
          <w:highlight w:val="none"/>
        </w:rPr>
        <w:t>采购人向供应商提供的有关现场的资料和数据，是采购人现有的并认为能使供应商可利用的资料。采购人对供应商由此而做出的推论、理解和结论概不负责。</w:t>
      </w:r>
    </w:p>
    <w:p w14:paraId="3CE30019">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lang w:val="zh-CN"/>
        </w:rPr>
        <w:t>.</w:t>
      </w:r>
      <w:r>
        <w:rPr>
          <w:rFonts w:hint="eastAsia" w:ascii="宋体" w:hAnsi="宋体" w:cs="宋体"/>
          <w:color w:val="auto"/>
          <w:sz w:val="24"/>
          <w:highlight w:val="none"/>
        </w:rPr>
        <w:t>经采购人允许，供应商可为勘察目的进入采购人的项目现场，但供应商不得因此使采购人承担有关的责任和蒙受损失。供应商应承担勘察现场的责任和风险。</w:t>
      </w:r>
    </w:p>
    <w:p w14:paraId="3B8ED672">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4</w:t>
      </w:r>
      <w:r>
        <w:rPr>
          <w:rFonts w:ascii="宋体" w:hAnsi="宋体" w:cs="宋体"/>
          <w:color w:val="auto"/>
          <w:sz w:val="24"/>
          <w:highlight w:val="none"/>
          <w:lang w:val="zh-CN"/>
        </w:rPr>
        <w:t>.</w:t>
      </w:r>
      <w:r>
        <w:rPr>
          <w:rFonts w:hint="eastAsia" w:ascii="宋体" w:hAnsi="宋体" w:cs="宋体"/>
          <w:color w:val="auto"/>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7F74E6DB">
      <w:pPr>
        <w:autoSpaceDE w:val="0"/>
        <w:autoSpaceDN w:val="0"/>
        <w:adjustRightInd w:val="0"/>
        <w:snapToGrid w:val="0"/>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lang w:val="zh-CN"/>
        </w:rPr>
        <w:t>四、响应文件的编写、密封及标记</w:t>
      </w:r>
    </w:p>
    <w:p w14:paraId="5D8C7E0D">
      <w:pPr>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（一）响应文件的编写</w:t>
      </w:r>
    </w:p>
    <w:p w14:paraId="07743F8D">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 xml:space="preserve">1.供应商按“第七部分 </w:t>
      </w:r>
      <w:r>
        <w:rPr>
          <w:rFonts w:hint="eastAsia" w:ascii="宋体" w:hAnsi="宋体" w:cs="宋体"/>
          <w:color w:val="auto"/>
          <w:sz w:val="24"/>
          <w:highlight w:val="none"/>
          <w:lang w:val="zh-CN"/>
        </w:rPr>
        <w:t>响应文件组成”要求编写响应文件。但表格可以按同样格式扩展。除另有规定者外，谈判响应人不得修改。</w:t>
      </w:r>
    </w:p>
    <w:p w14:paraId="3C03BDC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2.响应文件规格幅面A4纸（图纸等除外）。</w:t>
      </w:r>
    </w:p>
    <w:p w14:paraId="24CED60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按照谈判文件所规定的内容顺序，统一编制目录，逐页编码，由于编排混乱导致投标文件被误读或查找不到，其责任应当由供应商承担；牢固装订成册，不允许使用活页夹、拉杆夹、文件夹、塑料方便式书脊（插入式或穿孔式）装订。</w:t>
      </w:r>
    </w:p>
    <w:p w14:paraId="1F408EF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4.响应文件不得行间插字、涂改、增删，如修改错漏处，须经响应文件签署人签字并加盖公章。</w:t>
      </w:r>
    </w:p>
    <w:p w14:paraId="30D4F7B7">
      <w:pPr>
        <w:autoSpaceDE w:val="0"/>
        <w:autoSpaceDN w:val="0"/>
        <w:adjustRightInd w:val="0"/>
        <w:snapToGrid w:val="0"/>
        <w:spacing w:line="360" w:lineRule="auto"/>
        <w:ind w:firstLine="482" w:firstLineChars="200"/>
        <w:contextualSpacing/>
        <w:rPr>
          <w:rFonts w:ascii="宋体" w:hAnsi="宋体" w:cs="宋体"/>
          <w:b/>
          <w:bCs/>
          <w:color w:val="auto"/>
          <w:sz w:val="24"/>
          <w:highlight w:val="none"/>
          <w:lang w:val="zh-CN"/>
        </w:rPr>
      </w:pPr>
      <w:r>
        <w:rPr>
          <w:rFonts w:hint="eastAsia" w:ascii="宋体" w:hAnsi="宋体" w:cs="宋体"/>
          <w:b/>
          <w:bCs/>
          <w:color w:val="auto"/>
          <w:sz w:val="24"/>
          <w:highlight w:val="none"/>
          <w:lang w:val="zh-CN"/>
        </w:rPr>
        <w:t>（二）响应文件的份数和签署</w:t>
      </w:r>
    </w:p>
    <w:p w14:paraId="2CC9091C">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1.响应文件由：</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仿宋_GB2312"/>
          <w:color w:val="auto"/>
          <w:sz w:val="24"/>
          <w:highlight w:val="none"/>
          <w:lang w:val="zh-CN"/>
        </w:rPr>
        <w:t>价格</w:t>
      </w:r>
      <w:r>
        <w:rPr>
          <w:rFonts w:hint="eastAsia" w:ascii="宋体" w:hAnsi="宋体" w:cs="宋体"/>
          <w:color w:val="auto"/>
          <w:sz w:val="24"/>
          <w:highlight w:val="none"/>
          <w:lang w:val="zh-CN"/>
        </w:rPr>
        <w:t>响应文件、</w:t>
      </w:r>
      <w:r>
        <w:rPr>
          <w:rFonts w:hint="eastAsia" w:ascii="宋体" w:hAnsi="宋体" w:cs="宋体"/>
          <w:color w:val="auto"/>
          <w:sz w:val="24"/>
          <w:highlight w:val="none"/>
        </w:rPr>
        <w:t>③</w:t>
      </w:r>
      <w:r>
        <w:rPr>
          <w:rFonts w:hint="eastAsia" w:ascii="宋体" w:hAnsi="宋体" w:cs="宋体"/>
          <w:color w:val="auto"/>
          <w:sz w:val="24"/>
          <w:highlight w:val="none"/>
          <w:lang w:val="zh-CN"/>
        </w:rPr>
        <w:t>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文件共</w:t>
      </w:r>
      <w:r>
        <w:rPr>
          <w:rFonts w:ascii="宋体" w:hAnsi="宋体" w:cs="宋体"/>
          <w:color w:val="auto"/>
          <w:sz w:val="24"/>
          <w:highlight w:val="none"/>
        </w:rPr>
        <w:t>3</w:t>
      </w:r>
      <w:r>
        <w:rPr>
          <w:rFonts w:hint="eastAsia" w:ascii="宋体" w:hAnsi="宋体" w:cs="宋体"/>
          <w:color w:val="auto"/>
          <w:sz w:val="24"/>
          <w:highlight w:val="none"/>
          <w:lang w:val="zh-CN"/>
        </w:rPr>
        <w:t>部分组成（以下由文件序号代称）。</w:t>
      </w:r>
    </w:p>
    <w:p w14:paraId="00F7B6E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2.纸质响应文件均为一式叁份，其中“正本”壹份和“副本”贰份。电子</w:t>
      </w:r>
      <w:r>
        <w:rPr>
          <w:rFonts w:hint="eastAsia" w:ascii="宋体" w:hAnsi="宋体" w:cs="宋体"/>
          <w:color w:val="auto"/>
          <w:sz w:val="24"/>
          <w:highlight w:val="none"/>
        </w:rPr>
        <w:t>版响应</w:t>
      </w:r>
      <w:r>
        <w:rPr>
          <w:rFonts w:hint="eastAsia" w:ascii="宋体" w:hAnsi="宋体" w:cs="宋体"/>
          <w:color w:val="auto"/>
          <w:sz w:val="24"/>
          <w:highlight w:val="none"/>
          <w:lang w:val="zh-CN"/>
        </w:rPr>
        <w:t>文件</w:t>
      </w:r>
      <w:r>
        <w:rPr>
          <w:rFonts w:ascii="宋体" w:hAnsi="宋体" w:cs="宋体"/>
          <w:color w:val="auto"/>
          <w:sz w:val="24"/>
          <w:highlight w:val="none"/>
          <w:lang w:val="zh-CN"/>
        </w:rPr>
        <w:t>1份（具体要求详见第七部分响应文件组成）</w:t>
      </w:r>
    </w:p>
    <w:p w14:paraId="5B0BDDC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3.在每份纸质响应文件上要明确标注项目名称、对应的响应文件名称、供应商的全称、日期、“正本”、“副本”字样。“正本”和“副本”若有差异，概以“正本”为准。</w:t>
      </w:r>
    </w:p>
    <w:p w14:paraId="024066D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4.响应文件中的所有“正本”，其正文内容须按谈判文件要求由供应商法定代表人或被授权人签字（或盖章）并加盖单位公章。“副本”可复印，但须加盖单位公章。</w:t>
      </w:r>
    </w:p>
    <w:p w14:paraId="0FB25A8F">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5.电子版响应文件</w:t>
      </w:r>
    </w:p>
    <w:p w14:paraId="244B6E26">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电子版响应文件即为上述</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资格审查、</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2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②</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价格响应文件签字盖章后纸质版响应文件的扫描件，全部内容均存入一份</w:t>
      </w:r>
      <w:r>
        <w:rPr>
          <w:rFonts w:ascii="宋体" w:hAnsi="宋体" w:cs="宋体"/>
          <w:color w:val="auto"/>
          <w:sz w:val="24"/>
          <w:highlight w:val="none"/>
          <w:lang w:val="zh-CN"/>
        </w:rPr>
        <w:t>U盘即可。</w:t>
      </w:r>
    </w:p>
    <w:p w14:paraId="133A41A5">
      <w:pPr>
        <w:autoSpaceDE w:val="0"/>
        <w:autoSpaceDN w:val="0"/>
        <w:adjustRightInd w:val="0"/>
        <w:snapToGrid w:val="0"/>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（三）响应文件的递交</w:t>
      </w:r>
    </w:p>
    <w:p w14:paraId="5FBF3217">
      <w:pPr>
        <w:autoSpaceDE w:val="0"/>
        <w:autoSpaceDN w:val="0"/>
        <w:adjustRightInd w:val="0"/>
        <w:snapToGrid w:val="0"/>
        <w:spacing w:line="360" w:lineRule="auto"/>
        <w:ind w:firstLine="482"/>
        <w:rPr>
          <w:rFonts w:ascii="宋体" w:hAnsi="宋体" w:cs="宋体"/>
          <w:b/>
          <w:bCs/>
          <w:color w:val="auto"/>
          <w:sz w:val="24"/>
          <w:highlight w:val="none"/>
          <w:u w:val="doubl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w:t>
      </w:r>
      <w:r>
        <w:rPr>
          <w:rFonts w:ascii="宋体" w:hAnsi="宋体" w:cs="宋体"/>
          <w:color w:val="auto"/>
          <w:sz w:val="24"/>
          <w:highlight w:val="none"/>
          <w:lang w:val="zh-CN"/>
        </w:rPr>
        <w:t>供应商须将本项目响应文件：</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1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①</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单独密封；③密封至</w:t>
      </w:r>
      <w:r>
        <w:rPr>
          <w:rFonts w:hint="eastAsia" w:ascii="宋体" w:hAnsi="宋体" w:cs="宋体"/>
          <w:b/>
          <w:bCs/>
          <w:color w:val="auto"/>
          <w:sz w:val="24"/>
          <w:highlight w:val="none"/>
          <w:u w:val="double"/>
          <w:lang w:val="zh-CN"/>
        </w:rPr>
        <w:fldChar w:fldCharType="begin"/>
      </w:r>
      <w:r>
        <w:rPr>
          <w:rFonts w:ascii="宋体" w:hAnsi="宋体" w:cs="宋体"/>
          <w:b/>
          <w:bCs/>
          <w:color w:val="auto"/>
          <w:sz w:val="24"/>
          <w:highlight w:val="none"/>
          <w:u w:val="double"/>
          <w:lang w:val="zh-CN"/>
        </w:rPr>
        <w:instrText xml:space="preserve"> = 2 \* GB3 </w:instrText>
      </w:r>
      <w:r>
        <w:rPr>
          <w:rFonts w:hint="eastAsia" w:ascii="宋体" w:hAnsi="宋体" w:cs="宋体"/>
          <w:b/>
          <w:bCs/>
          <w:color w:val="auto"/>
          <w:sz w:val="24"/>
          <w:highlight w:val="none"/>
          <w:u w:val="double"/>
          <w:lang w:val="zh-CN"/>
        </w:rPr>
        <w:fldChar w:fldCharType="separate"/>
      </w:r>
      <w:r>
        <w:rPr>
          <w:rFonts w:hint="eastAsia" w:ascii="宋体" w:hAnsi="宋体" w:cs="宋体"/>
          <w:b/>
          <w:bCs/>
          <w:color w:val="auto"/>
          <w:sz w:val="24"/>
          <w:highlight w:val="none"/>
          <w:u w:val="double"/>
          <w:lang w:val="zh-CN"/>
        </w:rPr>
        <w:t>②</w:t>
      </w:r>
      <w:r>
        <w:rPr>
          <w:rFonts w:hint="eastAsia" w:ascii="宋体" w:hAnsi="宋体" w:cs="宋体"/>
          <w:b/>
          <w:bCs/>
          <w:color w:val="auto"/>
          <w:sz w:val="24"/>
          <w:highlight w:val="none"/>
          <w:u w:val="double"/>
          <w:lang w:val="zh-CN"/>
        </w:rPr>
        <w:fldChar w:fldCharType="end"/>
      </w:r>
      <w:r>
        <w:rPr>
          <w:rFonts w:hint="eastAsia" w:ascii="宋体" w:hAnsi="宋体" w:cs="宋体"/>
          <w:b/>
          <w:bCs/>
          <w:color w:val="auto"/>
          <w:sz w:val="24"/>
          <w:highlight w:val="none"/>
          <w:u w:val="double"/>
          <w:lang w:val="zh-CN"/>
        </w:rPr>
        <w:t>的封袋内。</w:t>
      </w:r>
    </w:p>
    <w:p w14:paraId="6A42B75C">
      <w:pPr>
        <w:autoSpaceDE w:val="0"/>
        <w:autoSpaceDN w:val="0"/>
        <w:adjustRightInd w:val="0"/>
        <w:snapToGrid w:val="0"/>
        <w:spacing w:line="360" w:lineRule="auto"/>
        <w:ind w:firstLine="480" w:firstLineChars="2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2.供应商可将响应文件正副本统一密封或分别密封，如正本和副本分别密封的，应在封袋或封箱上标明正、副本字样。</w:t>
      </w:r>
    </w:p>
    <w:p w14:paraId="3A4FE7FE">
      <w:pPr>
        <w:autoSpaceDE w:val="0"/>
        <w:autoSpaceDN w:val="0"/>
        <w:adjustRightInd w:val="0"/>
        <w:snapToGrid w:val="0"/>
        <w:spacing w:line="360" w:lineRule="auto"/>
        <w:ind w:firstLine="480" w:firstLineChars="200"/>
        <w:jc w:val="left"/>
        <w:rPr>
          <w:rFonts w:ascii="宋体" w:hAnsi="宋体" w:cs="宋体"/>
          <w:b/>
          <w:bCs/>
          <w:color w:val="auto"/>
          <w:sz w:val="24"/>
          <w:highlight w:val="none"/>
          <w:u w:val="double"/>
          <w:lang w:val="zh-CN"/>
        </w:rPr>
      </w:pPr>
      <w:r>
        <w:rPr>
          <w:rFonts w:hint="eastAsia" w:cs="宋体" w:asciiTheme="minorEastAsia" w:hAnsiTheme="minorEastAsia" w:eastAsiaTheme="minorEastAsia"/>
          <w:color w:val="auto"/>
          <w:sz w:val="24"/>
          <w:highlight w:val="none"/>
          <w:lang w:val="zh-CN"/>
        </w:rPr>
        <w:t>3.</w:t>
      </w:r>
      <w:r>
        <w:rPr>
          <w:rFonts w:cs="宋体" w:asciiTheme="minorEastAsia" w:hAnsiTheme="minorEastAsia" w:eastAsiaTheme="minorEastAsia"/>
          <w:color w:val="auto"/>
          <w:sz w:val="24"/>
          <w:highlight w:val="none"/>
          <w:lang w:val="zh-CN"/>
        </w:rPr>
        <w:t>密封后，应在每一密封的响应文件上明确标注</w:t>
      </w:r>
      <w:r>
        <w:rPr>
          <w:rFonts w:hint="eastAsia" w:ascii="宋体" w:hAnsi="宋体" w:cs="宋体"/>
          <w:b/>
          <w:bCs/>
          <w:color w:val="auto"/>
          <w:sz w:val="24"/>
          <w:highlight w:val="none"/>
          <w:u w:val="double"/>
          <w:lang w:val="zh-CN"/>
        </w:rPr>
        <w:t>谈判项目名称、响应文件各自对应的名称、供应商的全称及日期。</w:t>
      </w:r>
    </w:p>
    <w:p w14:paraId="512489F4">
      <w:pPr>
        <w:autoSpaceDE w:val="0"/>
        <w:autoSpaceDN w:val="0"/>
        <w:adjustRightInd w:val="0"/>
        <w:snapToGrid w:val="0"/>
        <w:spacing w:line="360" w:lineRule="auto"/>
        <w:ind w:firstLine="482"/>
        <w:rPr>
          <w:rFonts w:ascii="宋体" w:hAnsi="宋体" w:cs="宋体"/>
          <w:b/>
          <w:bCs/>
          <w:color w:val="auto"/>
          <w:sz w:val="24"/>
          <w:highlight w:val="none"/>
          <w:u w:val="double"/>
          <w:lang w:val="zh-CN"/>
        </w:rPr>
      </w:pPr>
      <w:r>
        <w:rPr>
          <w:rFonts w:hint="eastAsia" w:ascii="宋体" w:hAnsi="宋体" w:cs="宋体"/>
          <w:b/>
          <w:bCs/>
          <w:color w:val="auto"/>
          <w:sz w:val="24"/>
          <w:highlight w:val="none"/>
          <w:u w:val="double"/>
          <w:lang w:val="zh-CN"/>
        </w:rPr>
        <w:t>4.</w:t>
      </w:r>
      <w:r>
        <w:rPr>
          <w:rFonts w:ascii="宋体" w:hAnsi="宋体" w:cs="宋体"/>
          <w:b/>
          <w:bCs/>
          <w:color w:val="auto"/>
          <w:sz w:val="24"/>
          <w:highlight w:val="none"/>
          <w:u w:val="double"/>
          <w:lang w:val="zh-CN"/>
        </w:rPr>
        <w:t>在边缝处加盖供应商公章或骑缝签字。</w:t>
      </w:r>
    </w:p>
    <w:p w14:paraId="5893FAFC">
      <w:pPr>
        <w:autoSpaceDE w:val="0"/>
        <w:autoSpaceDN w:val="0"/>
        <w:adjustRightInd w:val="0"/>
        <w:snapToGrid w:val="0"/>
        <w:spacing w:line="360" w:lineRule="auto"/>
        <w:ind w:firstLine="480" w:firstLineChars="200"/>
        <w:jc w:val="left"/>
        <w:rPr>
          <w:rFonts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5.采购人将拒绝接收未按照竞争性谈判文件要求密封的响应文件。</w:t>
      </w:r>
    </w:p>
    <w:p w14:paraId="6D00D2AE">
      <w:pPr>
        <w:autoSpaceDE w:val="0"/>
        <w:autoSpaceDN w:val="0"/>
        <w:adjustRightInd w:val="0"/>
        <w:snapToGrid w:val="0"/>
        <w:spacing w:line="360" w:lineRule="auto"/>
        <w:ind w:firstLine="482"/>
        <w:rPr>
          <w:rFonts w:ascii="宋体" w:hAnsi="宋体" w:cs="宋体"/>
          <w:color w:val="auto"/>
          <w:sz w:val="24"/>
          <w:highlight w:val="none"/>
          <w:lang w:val="zh-CN"/>
        </w:rPr>
      </w:pPr>
      <w:r>
        <w:rPr>
          <w:rFonts w:hint="eastAsia" w:ascii="宋体" w:hAnsi="宋体" w:cs="宋体"/>
          <w:color w:val="auto"/>
          <w:sz w:val="24"/>
          <w:highlight w:val="none"/>
          <w:lang w:val="zh-CN"/>
        </w:rPr>
        <w:t>【特别提醒】响应文件中的</w:t>
      </w:r>
      <w:r>
        <w:rPr>
          <w:rFonts w:hint="eastAsia" w:ascii="宋体" w:hAnsi="宋体" w:cs="宋体"/>
          <w:color w:val="auto"/>
          <w:sz w:val="24"/>
          <w:highlight w:val="none"/>
          <w:lang w:val="zh-CN"/>
        </w:rPr>
        <w:fldChar w:fldCharType="begin"/>
      </w:r>
      <w:r>
        <w:rPr>
          <w:rFonts w:ascii="宋体" w:hAnsi="宋体" w:cs="宋体"/>
          <w:color w:val="auto"/>
          <w:sz w:val="24"/>
          <w:highlight w:val="none"/>
          <w:lang w:val="zh-CN"/>
        </w:rPr>
        <w:instrText xml:space="preserve"> = 1 \* GB3 </w:instrText>
      </w:r>
      <w:r>
        <w:rPr>
          <w:rFonts w:hint="eastAsia" w:ascii="宋体" w:hAnsi="宋体" w:cs="宋体"/>
          <w:color w:val="auto"/>
          <w:sz w:val="24"/>
          <w:highlight w:val="none"/>
          <w:lang w:val="zh-CN"/>
        </w:rPr>
        <w:fldChar w:fldCharType="separate"/>
      </w:r>
      <w:r>
        <w:rPr>
          <w:rFonts w:hint="eastAsia" w:ascii="宋体" w:hAnsi="宋体" w:cs="宋体"/>
          <w:color w:val="auto"/>
          <w:sz w:val="24"/>
          <w:highlight w:val="none"/>
          <w:lang w:val="zh-CN"/>
        </w:rPr>
        <w:t>①</w:t>
      </w:r>
      <w:r>
        <w:rPr>
          <w:rFonts w:hint="eastAsia" w:ascii="宋体" w:hAnsi="宋体" w:cs="宋体"/>
          <w:color w:val="auto"/>
          <w:sz w:val="24"/>
          <w:highlight w:val="none"/>
          <w:lang w:val="zh-CN"/>
        </w:rPr>
        <w:fldChar w:fldCharType="end"/>
      </w:r>
      <w:r>
        <w:rPr>
          <w:rFonts w:hint="eastAsia" w:ascii="宋体" w:hAnsi="宋体" w:cs="宋体"/>
          <w:color w:val="auto"/>
          <w:sz w:val="24"/>
          <w:highlight w:val="none"/>
          <w:lang w:val="zh-CN"/>
        </w:rPr>
        <w:t>的“正本”或“副本”中，</w:t>
      </w:r>
      <w:r>
        <w:rPr>
          <w:rFonts w:hint="eastAsia" w:ascii="宋体" w:hAnsi="宋体" w:cs="宋体"/>
          <w:b/>
          <w:bCs/>
          <w:color w:val="auto"/>
          <w:sz w:val="24"/>
          <w:highlight w:val="none"/>
          <w:u w:val="double"/>
          <w:lang w:val="zh-CN"/>
        </w:rPr>
        <w:t>均不得含有报价响应文件中报价表（报价单）内的任何项目价格，否则作无效响应处理。</w:t>
      </w:r>
    </w:p>
    <w:p w14:paraId="4CBD5DA8">
      <w:pPr>
        <w:autoSpaceDE w:val="0"/>
        <w:autoSpaceDN w:val="0"/>
        <w:adjustRightInd w:val="0"/>
        <w:snapToGrid w:val="0"/>
        <w:spacing w:line="360" w:lineRule="auto"/>
        <w:ind w:firstLine="482"/>
        <w:rPr>
          <w:rFonts w:ascii="宋体" w:hAnsi="宋体" w:cs="宋体"/>
          <w:b/>
          <w:bCs/>
          <w:color w:val="auto"/>
          <w:sz w:val="24"/>
          <w:highlight w:val="none"/>
          <w:lang w:val="zh-CN"/>
        </w:rPr>
      </w:pPr>
      <w:r>
        <w:rPr>
          <w:rFonts w:hint="eastAsia" w:ascii="宋体" w:hAnsi="宋体" w:cs="宋体"/>
          <w:b/>
          <w:bCs/>
          <w:color w:val="auto"/>
          <w:sz w:val="24"/>
          <w:highlight w:val="none"/>
          <w:lang w:val="zh-CN"/>
        </w:rPr>
        <w:t>（四）谈判</w:t>
      </w:r>
      <w:r>
        <w:rPr>
          <w:rFonts w:ascii="宋体" w:hAnsi="宋体" w:cs="宋体"/>
          <w:b/>
          <w:bCs/>
          <w:color w:val="auto"/>
          <w:sz w:val="24"/>
          <w:highlight w:val="none"/>
          <w:lang w:val="zh-CN"/>
        </w:rPr>
        <w:t>响应有效期</w:t>
      </w:r>
    </w:p>
    <w:p w14:paraId="653A5AA7">
      <w:pPr>
        <w:tabs>
          <w:tab w:val="left" w:pos="3375"/>
        </w:tabs>
        <w:autoSpaceDE w:val="0"/>
        <w:autoSpaceDN w:val="0"/>
        <w:adjustRightInd w:val="0"/>
        <w:snapToGrid w:val="0"/>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谈判</w:t>
      </w:r>
      <w:r>
        <w:rPr>
          <w:rFonts w:ascii="宋体" w:hAnsi="宋体" w:cs="仿宋_GB2312"/>
          <w:color w:val="auto"/>
          <w:sz w:val="24"/>
          <w:highlight w:val="none"/>
        </w:rPr>
        <w:t>响应有效期为</w:t>
      </w:r>
      <w:r>
        <w:rPr>
          <w:rFonts w:hint="eastAsia" w:ascii="宋体" w:hAnsi="宋体" w:cs="仿宋_GB2312"/>
          <w:color w:val="auto"/>
          <w:sz w:val="24"/>
          <w:highlight w:val="none"/>
        </w:rPr>
        <w:t>采购代理机构</w:t>
      </w:r>
      <w:r>
        <w:rPr>
          <w:rFonts w:ascii="宋体" w:hAnsi="宋体" w:cs="仿宋_GB2312"/>
          <w:color w:val="auto"/>
          <w:sz w:val="24"/>
          <w:highlight w:val="none"/>
        </w:rPr>
        <w:t>规定的响应文件提交截止时间后</w:t>
      </w:r>
      <w:r>
        <w:rPr>
          <w:rFonts w:hint="eastAsia" w:ascii="宋体" w:hAnsi="宋体" w:cs="仿宋_GB2312"/>
          <w:b/>
          <w:color w:val="auto"/>
          <w:sz w:val="24"/>
          <w:highlight w:val="none"/>
        </w:rPr>
        <w:t>四十五</w:t>
      </w:r>
      <w:r>
        <w:rPr>
          <w:rFonts w:ascii="宋体" w:hAnsi="宋体" w:cs="仿宋_GB2312"/>
          <w:b/>
          <w:color w:val="auto"/>
          <w:sz w:val="24"/>
          <w:highlight w:val="none"/>
        </w:rPr>
        <w:t>（45）</w:t>
      </w:r>
      <w:r>
        <w:rPr>
          <w:rFonts w:ascii="宋体" w:hAnsi="宋体" w:cs="仿宋_GB2312"/>
          <w:color w:val="auto"/>
          <w:sz w:val="24"/>
          <w:highlight w:val="none"/>
        </w:rPr>
        <w:t>天。</w:t>
      </w:r>
      <w:r>
        <w:rPr>
          <w:rFonts w:hint="eastAsia" w:ascii="宋体" w:hAnsi="宋体" w:cs="仿宋_GB2312"/>
          <w:color w:val="auto"/>
          <w:sz w:val="24"/>
          <w:highlight w:val="none"/>
        </w:rPr>
        <w:t>谈判</w:t>
      </w:r>
      <w:r>
        <w:rPr>
          <w:rFonts w:ascii="宋体" w:hAnsi="宋体" w:cs="仿宋_GB2312"/>
          <w:color w:val="auto"/>
          <w:sz w:val="24"/>
          <w:highlight w:val="none"/>
        </w:rPr>
        <w:t>响应有效期比规定短的将被视为非实质性响应而予以拒绝。</w:t>
      </w:r>
    </w:p>
    <w:p w14:paraId="0425EBBE">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五、谈判报价</w:t>
      </w:r>
    </w:p>
    <w:p w14:paraId="5916803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1.本项目不接受任何有选择的报价。</w:t>
      </w:r>
    </w:p>
    <w:p w14:paraId="5B1DB695">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2.谈判报价均以人民币为报价的币种。</w:t>
      </w:r>
    </w:p>
    <w:p w14:paraId="371664C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3.谈判报价出现前后不一致的，按照下列规定修正：</w:t>
      </w:r>
    </w:p>
    <w:p w14:paraId="6C514C90">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1）响应文件中开标一览表（报价表）内容与响应文件中相应内容不一致的，以开标一览表（报价表）为准；</w:t>
      </w:r>
    </w:p>
    <w:p w14:paraId="74008FF3">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2）大写金额和小写金额不一致的，以大写金额为准；</w:t>
      </w:r>
    </w:p>
    <w:p w14:paraId="2E9461DA">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3）单价金额小数点或者百分比有明显错位的，以开标一览表（报价表）的总价为准，并修改单价；</w:t>
      </w:r>
    </w:p>
    <w:p w14:paraId="521665DB">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4）总价金额与按单价汇总金额不一致的，以单价金额计算结果为准。</w:t>
      </w:r>
    </w:p>
    <w:p w14:paraId="0EBD9D9E">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同时出现两种以上不一致的，按照前款规定的顺序修正。修正后的报价经供应商确认后产生约束力，供应商不确认的，其投标无效。</w:t>
      </w:r>
    </w:p>
    <w:p w14:paraId="2686FD22">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ascii="宋体" w:hAnsi="宋体" w:cs="宋体"/>
          <w:color w:val="auto"/>
          <w:sz w:val="24"/>
          <w:highlight w:val="none"/>
          <w:lang w:val="zh-CN"/>
        </w:rPr>
        <w:t>4.报价方式及要求：</w:t>
      </w:r>
    </w:p>
    <w:p w14:paraId="3FA37DDB">
      <w:pPr>
        <w:autoSpaceDE w:val="0"/>
        <w:autoSpaceDN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本项目采用固定总价的方式，供应商在报价响应文件中标明本项目的综合单价和总价。</w:t>
      </w:r>
    </w:p>
    <w:p w14:paraId="484EA9F0">
      <w:pPr>
        <w:autoSpaceDE w:val="0"/>
        <w:autoSpaceDN w:val="0"/>
        <w:spacing w:line="360" w:lineRule="auto"/>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供应商在投标时应主动查阅本项目的有关文件、技术经济等资料。作为一个有经验的供应商，应充分考虑到采购人提供的相关资料和数据与合同实施过程中存有偏差。供应商应综合考虑到报价中，采购人对供应商的合同价不因此而进行调整。</w:t>
      </w:r>
    </w:p>
    <w:p w14:paraId="40E88287">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（3）报价</w:t>
      </w:r>
      <w:bookmarkStart w:id="0" w:name="_Hlk78137675"/>
      <w:r>
        <w:rPr>
          <w:rFonts w:hint="eastAsia" w:ascii="宋体" w:hAnsi="宋体" w:cs="宋体"/>
          <w:color w:val="auto"/>
          <w:sz w:val="24"/>
          <w:highlight w:val="none"/>
          <w:lang w:val="zh-CN"/>
        </w:rPr>
        <w:t>包括供应商完成本项目的所有工作内容的全部费用，</w:t>
      </w:r>
      <w:bookmarkEnd w:id="0"/>
      <w:r>
        <w:rPr>
          <w:rFonts w:hint="eastAsia" w:ascii="宋体" w:hAnsi="宋体" w:cs="宋体"/>
          <w:bCs/>
          <w:color w:val="auto"/>
          <w:sz w:val="24"/>
          <w:highlight w:val="none"/>
        </w:rPr>
        <w:t>包含但不限于调研费、报告编制费、人员劳务费、专家咨询费（如有）、交通费（汽油费、过路费、驾驶员工资等）、活动组织费（会务费、咨询费、活动场地费、资料印刷费、人工费等）、企业管理费、税金、利润等费用。</w:t>
      </w:r>
      <w:r>
        <w:rPr>
          <w:rFonts w:hint="eastAsia" w:ascii="宋体" w:hAnsi="宋体" w:cs="宋体"/>
          <w:bCs/>
          <w:color w:val="auto"/>
          <w:sz w:val="24"/>
          <w:highlight w:val="none"/>
          <w:lang w:val="en-US" w:eastAsia="zh-CN"/>
        </w:rPr>
        <w:t>供应商</w:t>
      </w:r>
      <w:r>
        <w:rPr>
          <w:rFonts w:hint="eastAsia" w:ascii="宋体" w:hAnsi="宋体" w:cs="宋体"/>
          <w:bCs/>
          <w:color w:val="auto"/>
          <w:sz w:val="24"/>
          <w:highlight w:val="none"/>
        </w:rPr>
        <w:t>应根据本项目相应标段情况和有关规范制订必要、合理的人员投入计划，其拟投入现场人员数量应能满足本标段工作的要求。</w:t>
      </w:r>
    </w:p>
    <w:p w14:paraId="465B4591">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（4）在合同执行期间，采购人不提供完成本合同所需的其它任何生活（含食宿）、办公设施、交通、通讯工具等，相关费用应充分考虑到报价中。</w:t>
      </w:r>
    </w:p>
    <w:p w14:paraId="12588117">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供应商应详细阅读谈判文件的全部内容，根据项目需求，准确制定相关工作方案等，必须对本项目全部进行报价，若有漏项，视同对本项目的优惠。不按谈判文件的要求提供响应文件，导致报价无效，按无效响应处理。供应商的任何错漏、优惠、竞争性报价不得作为减轻责任、减少服务、增加收费、降低服务质量的理由。</w:t>
      </w:r>
      <w:r>
        <w:rPr>
          <w:rFonts w:hint="eastAsia" w:ascii="宋体" w:hAnsi="宋体" w:cs="宋体"/>
          <w:b/>
          <w:bCs/>
          <w:color w:val="auto"/>
          <w:sz w:val="24"/>
          <w:highlight w:val="none"/>
        </w:rPr>
        <w:t>供应商报价除包含谈判文件中列明的项目外，还应包括谈判文件中未列明但在合同履行过程中须完成的项目。</w:t>
      </w:r>
    </w:p>
    <w:p w14:paraId="5C001CFC">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（6）供应商应承担其响应文件编制与递交所涉及的一切费用，不管结果如何，采购人对上述费用不负任何责任。</w:t>
      </w:r>
    </w:p>
    <w:p w14:paraId="25B10EB7">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（7）本项目不接受调价函。</w:t>
      </w:r>
    </w:p>
    <w:p w14:paraId="0F65A5EC">
      <w:pPr>
        <w:autoSpaceDE w:val="0"/>
        <w:autoSpaceDN w:val="0"/>
        <w:adjustRightInd w:val="0"/>
        <w:snapToGrid w:val="0"/>
        <w:spacing w:line="360" w:lineRule="auto"/>
        <w:ind w:firstLine="480" w:firstLineChars="200"/>
        <w:contextualSpacing/>
        <w:jc w:val="left"/>
        <w:rPr>
          <w:rFonts w:ascii="宋体" w:hAnsi="宋体" w:cs="宋体"/>
          <w:color w:val="auto"/>
          <w:sz w:val="24"/>
          <w:highlight w:val="none"/>
          <w:lang w:val="zh-CN"/>
        </w:rPr>
      </w:pPr>
      <w:r>
        <w:rPr>
          <w:rFonts w:hint="eastAsia" w:ascii="宋体" w:hAnsi="宋体" w:cs="宋体"/>
          <w:color w:val="auto"/>
          <w:sz w:val="24"/>
          <w:highlight w:val="none"/>
          <w:lang w:val="zh-CN"/>
        </w:rPr>
        <w:t>（8</w:t>
      </w:r>
      <w:r>
        <w:rPr>
          <w:rFonts w:ascii="宋体" w:hAnsi="宋体" w:cs="宋体"/>
          <w:color w:val="auto"/>
          <w:sz w:val="24"/>
          <w:highlight w:val="none"/>
          <w:lang w:val="zh-CN"/>
        </w:rPr>
        <w:t>）</w:t>
      </w:r>
      <w:r>
        <w:rPr>
          <w:rFonts w:hint="eastAsia" w:ascii="宋体" w:hAnsi="宋体" w:cs="宋体"/>
          <w:color w:val="auto"/>
          <w:sz w:val="24"/>
          <w:highlight w:val="none"/>
          <w:lang w:val="zh-CN"/>
        </w:rPr>
        <w:t>竞争性谈判的最终报价为预期成交价。</w:t>
      </w:r>
    </w:p>
    <w:p w14:paraId="3837B22E">
      <w:pPr>
        <w:autoSpaceDE w:val="0"/>
        <w:autoSpaceDN w:val="0"/>
        <w:adjustRightInd w:val="0"/>
        <w:snapToGrid w:val="0"/>
        <w:spacing w:line="360" w:lineRule="auto"/>
        <w:ind w:firstLine="480" w:firstLineChars="200"/>
        <w:contextualSpacing/>
        <w:jc w:val="left"/>
        <w:rPr>
          <w:rFonts w:ascii="宋体" w:hAnsi="宋体" w:cs="宋体"/>
          <w:bCs/>
          <w:color w:val="auto"/>
          <w:sz w:val="24"/>
          <w:highlight w:val="none"/>
          <w:lang w:val="zh-CN"/>
        </w:rPr>
      </w:pPr>
      <w:r>
        <w:rPr>
          <w:rFonts w:hint="eastAsia" w:ascii="宋体" w:hAnsi="宋体" w:cs="宋体"/>
          <w:color w:val="auto"/>
          <w:sz w:val="24"/>
          <w:highlight w:val="none"/>
          <w:lang w:val="zh-CN"/>
        </w:rPr>
        <w:t>（9</w:t>
      </w:r>
      <w:r>
        <w:rPr>
          <w:rFonts w:ascii="宋体" w:hAnsi="宋体" w:cs="宋体"/>
          <w:color w:val="auto"/>
          <w:sz w:val="24"/>
          <w:highlight w:val="none"/>
          <w:lang w:val="zh-CN"/>
        </w:rPr>
        <w:t>）本项目首轮谈判报价最高投标限价为</w:t>
      </w:r>
      <w:r>
        <w:rPr>
          <w:rFonts w:hint="default" w:ascii="宋体" w:hAnsi="Times New Roman" w:eastAsia="宋体" w:cs="宋体"/>
          <w:color w:val="auto"/>
          <w:spacing w:val="7"/>
          <w:kern w:val="0"/>
          <w:sz w:val="24"/>
          <w:szCs w:val="24"/>
          <w:highlight w:val="none"/>
          <w:lang w:val="en-US" w:eastAsia="zh-CN" w:bidi="ar-SA"/>
        </w:rPr>
        <w:t>人民币</w:t>
      </w:r>
      <w:r>
        <w:rPr>
          <w:rFonts w:hint="eastAsia" w:ascii="宋体" w:hAnsi="Times New Roman" w:eastAsia="宋体" w:cs="宋体"/>
          <w:color w:val="auto"/>
          <w:spacing w:val="7"/>
          <w:kern w:val="0"/>
          <w:sz w:val="24"/>
          <w:szCs w:val="24"/>
          <w:highlight w:val="none"/>
          <w:lang w:val="en-US" w:eastAsia="zh-CN" w:bidi="ar-SA"/>
        </w:rPr>
        <w:t>壹拾玖万玖仟元整</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Times New Roman" w:eastAsia="宋体" w:cs="宋体"/>
          <w:color w:val="auto"/>
          <w:spacing w:val="7"/>
          <w:kern w:val="0"/>
          <w:sz w:val="24"/>
          <w:szCs w:val="24"/>
          <w:highlight w:val="none"/>
          <w:lang w:val="en-US" w:eastAsia="zh-CN" w:bidi="ar-SA"/>
        </w:rPr>
        <w:t>199000</w:t>
      </w:r>
      <w:r>
        <w:rPr>
          <w:rFonts w:hint="default" w:ascii="宋体" w:hAnsi="Times New Roman" w:eastAsia="宋体" w:cs="宋体"/>
          <w:color w:val="auto"/>
          <w:spacing w:val="7"/>
          <w:kern w:val="0"/>
          <w:sz w:val="24"/>
          <w:szCs w:val="24"/>
          <w:highlight w:val="none"/>
          <w:lang w:val="en-US" w:eastAsia="zh-CN" w:bidi="ar-SA"/>
        </w:rPr>
        <w:t>）</w:t>
      </w:r>
      <w:r>
        <w:rPr>
          <w:rFonts w:hint="eastAsia" w:ascii="宋体" w:hAnsi="宋体" w:cs="宋体"/>
          <w:color w:val="auto"/>
          <w:sz w:val="24"/>
          <w:highlight w:val="none"/>
          <w:lang w:val="zh-CN"/>
        </w:rPr>
        <w:t>，投标报价超过最</w:t>
      </w:r>
      <w:r>
        <w:rPr>
          <w:rFonts w:hint="eastAsia" w:ascii="宋体" w:hAnsi="宋体" w:cs="宋体"/>
          <w:bCs/>
          <w:color w:val="auto"/>
          <w:sz w:val="24"/>
          <w:highlight w:val="none"/>
          <w:lang w:val="zh-CN"/>
        </w:rPr>
        <w:t>高投标限价的为无效响应文件。</w:t>
      </w:r>
    </w:p>
    <w:p w14:paraId="549BD381">
      <w:pPr>
        <w:autoSpaceDE w:val="0"/>
        <w:autoSpaceDN w:val="0"/>
        <w:adjustRightInd w:val="0"/>
        <w:snapToGrid w:val="0"/>
        <w:spacing w:line="360" w:lineRule="auto"/>
        <w:ind w:firstLine="482" w:firstLineChars="200"/>
        <w:contextualSpacing/>
        <w:jc w:val="left"/>
        <w:rPr>
          <w:rFonts w:ascii="宋体" w:hAnsi="宋体" w:cs="宋体"/>
          <w:b/>
          <w:bCs/>
          <w:color w:val="auto"/>
          <w:sz w:val="24"/>
          <w:highlight w:val="none"/>
          <w:lang w:val="zh-CN"/>
        </w:rPr>
      </w:pPr>
      <w:r>
        <w:rPr>
          <w:rFonts w:hint="eastAsia" w:ascii="宋体" w:hAnsi="宋体" w:cs="宋体"/>
          <w:b/>
          <w:bCs/>
          <w:color w:val="auto"/>
          <w:sz w:val="24"/>
          <w:highlight w:val="none"/>
          <w:lang w:val="zh-CN"/>
        </w:rPr>
        <w:t>六、响应文件及谈判费用</w:t>
      </w:r>
    </w:p>
    <w:p w14:paraId="171A4A8F">
      <w:pPr>
        <w:pStyle w:val="32"/>
        <w:snapToGrid w:val="0"/>
        <w:spacing w:line="360" w:lineRule="auto"/>
        <w:ind w:firstLine="494"/>
        <w:contextualSpacing/>
        <w:rPr>
          <w:rFonts w:ascii="宋体" w:eastAsia="宋体" w:cs="宋体"/>
          <w:color w:val="auto"/>
          <w:sz w:val="24"/>
          <w:szCs w:val="24"/>
          <w:highlight w:val="none"/>
        </w:rPr>
      </w:pPr>
      <w:r>
        <w:rPr>
          <w:rFonts w:ascii="宋体" w:eastAsia="宋体" w:cs="宋体"/>
          <w:color w:val="auto"/>
          <w:sz w:val="24"/>
          <w:szCs w:val="24"/>
          <w:highlight w:val="none"/>
        </w:rPr>
        <w:t>1</w:t>
      </w:r>
      <w:r>
        <w:rPr>
          <w:rFonts w:ascii="宋体" w:eastAsia="宋体" w:cs="宋体"/>
          <w:color w:val="auto"/>
          <w:sz w:val="24"/>
          <w:highlight w:val="none"/>
          <w:lang w:val="zh-CN"/>
        </w:rPr>
        <w:t>.</w:t>
      </w:r>
      <w:r>
        <w:rPr>
          <w:rFonts w:hint="eastAsia" w:ascii="宋体" w:eastAsia="宋体" w:cs="宋体"/>
          <w:color w:val="auto"/>
          <w:sz w:val="24"/>
          <w:szCs w:val="24"/>
          <w:highlight w:val="none"/>
        </w:rPr>
        <w:t>谈判程序顺利进行后，除供应商的原件可退回外，其余所有的响应文件都将作为档案保存，不论成交与否，均不退回（未拆封的除外）。</w:t>
      </w:r>
    </w:p>
    <w:p w14:paraId="7BC69504">
      <w:pPr>
        <w:pStyle w:val="32"/>
        <w:snapToGrid w:val="0"/>
        <w:spacing w:line="360" w:lineRule="auto"/>
        <w:ind w:firstLine="494"/>
        <w:contextualSpacing/>
        <w:rPr>
          <w:rFonts w:ascii="宋体" w:eastAsia="宋体" w:cs="宋体"/>
          <w:color w:val="auto"/>
          <w:sz w:val="24"/>
          <w:szCs w:val="24"/>
          <w:highlight w:val="none"/>
        </w:rPr>
      </w:pPr>
      <w:r>
        <w:rPr>
          <w:rFonts w:ascii="宋体" w:eastAsia="宋体" w:cs="宋体"/>
          <w:color w:val="auto"/>
          <w:sz w:val="24"/>
          <w:szCs w:val="24"/>
          <w:highlight w:val="none"/>
        </w:rPr>
        <w:t>2</w:t>
      </w:r>
      <w:r>
        <w:rPr>
          <w:rFonts w:ascii="宋体" w:eastAsia="宋体" w:cs="宋体"/>
          <w:color w:val="auto"/>
          <w:sz w:val="24"/>
          <w:highlight w:val="none"/>
          <w:lang w:val="zh-CN"/>
        </w:rPr>
        <w:t>.</w:t>
      </w:r>
      <w:r>
        <w:rPr>
          <w:rFonts w:hint="eastAsia" w:ascii="宋体" w:eastAsia="宋体" w:cs="宋体"/>
          <w:color w:val="auto"/>
          <w:sz w:val="24"/>
          <w:szCs w:val="24"/>
          <w:highlight w:val="none"/>
        </w:rPr>
        <w:t>供应商承担参与谈判可能发生的全部费用，参加项目谈判的供应商自行承担与本次项目谈判有关的全部费用，采购人在任何情况下均无义务和责任承担这些费用。</w:t>
      </w:r>
    </w:p>
    <w:p w14:paraId="18BE617F">
      <w:pPr>
        <w:snapToGrid w:val="0"/>
        <w:spacing w:line="360" w:lineRule="auto"/>
        <w:ind w:firstLine="463" w:firstLineChars="192"/>
        <w:rPr>
          <w:rFonts w:ascii="宋体" w:hAnsi="宋体" w:cs="宋体"/>
          <w:b/>
          <w:color w:val="auto"/>
          <w:sz w:val="24"/>
          <w:highlight w:val="none"/>
        </w:rPr>
      </w:pPr>
      <w:r>
        <w:rPr>
          <w:rFonts w:hint="eastAsia" w:ascii="宋体" w:hAnsi="宋体" w:cs="宋体"/>
          <w:b/>
          <w:bCs/>
          <w:color w:val="auto"/>
          <w:sz w:val="24"/>
          <w:highlight w:val="none"/>
        </w:rPr>
        <w:t>七、</w:t>
      </w:r>
      <w:r>
        <w:rPr>
          <w:rFonts w:hint="eastAsia" w:ascii="宋体" w:hAnsi="宋体" w:cs="宋体"/>
          <w:b/>
          <w:color w:val="auto"/>
          <w:sz w:val="24"/>
          <w:highlight w:val="none"/>
        </w:rPr>
        <w:t>保证金</w:t>
      </w:r>
    </w:p>
    <w:p w14:paraId="739E46B4">
      <w:pPr>
        <w:snapToGrid w:val="0"/>
        <w:spacing w:line="360" w:lineRule="auto"/>
        <w:ind w:firstLine="463" w:firstLineChars="192"/>
        <w:rPr>
          <w:rFonts w:ascii="宋体" w:hAnsi="宋体" w:cs="宋体"/>
          <w:b/>
          <w:bCs/>
          <w:color w:val="auto"/>
          <w:sz w:val="24"/>
          <w:highlight w:val="none"/>
        </w:rPr>
      </w:pPr>
      <w:r>
        <w:rPr>
          <w:rFonts w:hint="eastAsia" w:ascii="宋体" w:hAnsi="宋体" w:cs="宋体"/>
          <w:b/>
          <w:bCs/>
          <w:color w:val="auto"/>
          <w:sz w:val="24"/>
          <w:highlight w:val="none"/>
        </w:rPr>
        <w:t>本项目不设谈判保证金。</w:t>
      </w:r>
    </w:p>
    <w:p w14:paraId="7A462FB4">
      <w:pPr>
        <w:adjustRightInd w:val="0"/>
        <w:snapToGrid w:val="0"/>
        <w:spacing w:line="360" w:lineRule="auto"/>
        <w:ind w:firstLine="463" w:firstLineChars="192"/>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八、履约保证金</w:t>
      </w:r>
    </w:p>
    <w:p w14:paraId="76C4E5C8">
      <w:pPr>
        <w:pStyle w:val="32"/>
        <w:adjustRightInd w:val="0"/>
        <w:snapToGrid w:val="0"/>
        <w:spacing w:line="360" w:lineRule="auto"/>
        <w:ind w:firstLine="496"/>
        <w:rPr>
          <w:rFonts w:cs="宋体" w:asciiTheme="minorEastAsia" w:hAnsiTheme="minorEastAsia" w:eastAsiaTheme="minorEastAsia"/>
          <w:b/>
          <w:bCs/>
          <w:color w:val="auto"/>
          <w:sz w:val="24"/>
          <w:highlight w:val="none"/>
          <w:u w:color="FF0000"/>
        </w:rPr>
      </w:pPr>
      <w:r>
        <w:rPr>
          <w:rFonts w:hint="eastAsia" w:asciiTheme="minorEastAsia" w:hAnsiTheme="minorEastAsia" w:eastAsiaTheme="minorEastAsia"/>
          <w:b/>
          <w:color w:val="auto"/>
          <w:sz w:val="24"/>
          <w:szCs w:val="24"/>
          <w:highlight w:val="none"/>
        </w:rPr>
        <w:t>本项目不设履约保证金。</w:t>
      </w:r>
    </w:p>
    <w:p w14:paraId="58F3D1DA">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九、分包</w:t>
      </w:r>
    </w:p>
    <w:p w14:paraId="3EFCDE9F">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本项目</w:t>
      </w:r>
      <w:r>
        <w:rPr>
          <w:rFonts w:hint="eastAsia" w:ascii="宋体" w:hAnsi="宋体" w:cs="宋体"/>
          <w:color w:val="auto"/>
          <w:spacing w:val="7"/>
          <w:kern w:val="0"/>
          <w:sz w:val="24"/>
          <w:highlight w:val="none"/>
          <w:u w:val="single"/>
        </w:rPr>
        <w:t>不允许</w:t>
      </w:r>
      <w:r>
        <w:rPr>
          <w:rFonts w:hint="eastAsia" w:ascii="宋体" w:hAnsi="宋体" w:cs="宋体"/>
          <w:color w:val="auto"/>
          <w:spacing w:val="7"/>
          <w:kern w:val="0"/>
          <w:sz w:val="24"/>
          <w:highlight w:val="none"/>
        </w:rPr>
        <w:t>分包。</w:t>
      </w:r>
    </w:p>
    <w:p w14:paraId="57FFE7CE">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十、未尽事宜</w:t>
      </w:r>
    </w:p>
    <w:p w14:paraId="5114AD9E">
      <w:pPr>
        <w:snapToGrid w:val="0"/>
        <w:spacing w:line="360" w:lineRule="auto"/>
        <w:ind w:firstLine="460" w:firstLineChars="192"/>
        <w:rPr>
          <w:rFonts w:ascii="宋体" w:hAnsi="宋体" w:cs="宋体"/>
          <w:color w:val="auto"/>
          <w:sz w:val="24"/>
          <w:highlight w:val="none"/>
        </w:rPr>
      </w:pPr>
      <w:r>
        <w:rPr>
          <w:rFonts w:hint="eastAsia" w:ascii="宋体" w:hAnsi="宋体" w:cs="宋体"/>
          <w:color w:val="auto"/>
          <w:sz w:val="24"/>
          <w:highlight w:val="none"/>
        </w:rPr>
        <w:t>参照《中华人民共和国政府采购法》、《政府采购非招标采购方式管理办法》及其他有关法律法规规范性文件的规定执行。</w:t>
      </w:r>
    </w:p>
    <w:p w14:paraId="677ED8C1">
      <w:pPr>
        <w:autoSpaceDE w:val="0"/>
        <w:autoSpaceDN w:val="0"/>
        <w:adjustRightInd w:val="0"/>
        <w:snapToGrid w:val="0"/>
        <w:spacing w:line="360" w:lineRule="auto"/>
        <w:jc w:val="center"/>
        <w:outlineLvl w:val="0"/>
        <w:rPr>
          <w:rFonts w:ascii="宋体" w:hAnsi="宋体" w:cs="宋体"/>
          <w:b/>
          <w:bCs/>
          <w:color w:val="auto"/>
          <w:sz w:val="36"/>
          <w:szCs w:val="36"/>
          <w:highlight w:val="none"/>
          <w:lang w:val="zh-CN"/>
        </w:rPr>
      </w:pPr>
      <w:r>
        <w:rPr>
          <w:rFonts w:ascii="宋体" w:hAnsi="宋体" w:cs="宋体"/>
          <w:b/>
          <w:bCs/>
          <w:color w:val="auto"/>
          <w:sz w:val="36"/>
          <w:szCs w:val="36"/>
          <w:highlight w:val="none"/>
          <w:lang w:val="zh-CN"/>
        </w:rPr>
        <w:br w:type="page"/>
      </w:r>
      <w:r>
        <w:rPr>
          <w:rFonts w:hint="eastAsia" w:ascii="宋体" w:hAnsi="宋体" w:cs="宋体"/>
          <w:b/>
          <w:bCs/>
          <w:color w:val="auto"/>
          <w:sz w:val="36"/>
          <w:szCs w:val="36"/>
          <w:highlight w:val="none"/>
          <w:lang w:val="zh-CN"/>
        </w:rPr>
        <w:t>第三部分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项目需求</w:t>
      </w:r>
    </w:p>
    <w:p w14:paraId="0764F10F">
      <w:pPr>
        <w:pStyle w:val="32"/>
        <w:snapToGrid w:val="0"/>
        <w:spacing w:line="360" w:lineRule="auto"/>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请供应商在制作响应文件时仔细研究项目需求说明。供应商不能简单照搬照抄采购人项目需求说明中的技术、商务要求，必须做实事求是地响应。如照搬照抄项目需求说明中的技术、商务要求的，成交后供应商在同采购人签订合同和履约环节中不得提出异议，一切后果和损失由成交供应商承担。</w:t>
      </w:r>
    </w:p>
    <w:p w14:paraId="794EB70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default" w:ascii="宋体" w:hAnsi="宋体" w:eastAsia="宋体" w:cs="宋体"/>
          <w:color w:val="auto"/>
          <w:sz w:val="24"/>
          <w:szCs w:val="24"/>
          <w:highlight w:val="none"/>
          <w:lang w:val="en-US" w:eastAsia="zh-CN"/>
        </w:rPr>
        <w:t>项目概况</w:t>
      </w:r>
    </w:p>
    <w:p w14:paraId="7EDF5034">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2022年12月1日起沪陕高速公路海门城区至南通东段开始实施差异化收费政策，</w:t>
      </w:r>
      <w:r>
        <w:rPr>
          <w:rFonts w:hint="default"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通行于</w:t>
      </w:r>
      <w:r>
        <w:rPr>
          <w:rFonts w:hint="eastAsia" w:ascii="宋体" w:hAnsi="宋体" w:eastAsia="宋体" w:cs="宋体"/>
          <w:color w:val="auto"/>
          <w:sz w:val="24"/>
          <w:szCs w:val="24"/>
          <w:highlight w:val="none"/>
          <w:lang w:eastAsia="zh-CN"/>
        </w:rPr>
        <w:t>海门互通、叠石桥互通和小海枢纽之间的、</w:t>
      </w: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lang w:eastAsia="zh-CN"/>
        </w:rPr>
        <w:t>海门、叠石桥、小海3个收费站</w:t>
      </w:r>
      <w:r>
        <w:rPr>
          <w:rFonts w:hint="eastAsia" w:ascii="宋体" w:hAnsi="宋体" w:eastAsia="宋体" w:cs="宋体"/>
          <w:color w:val="auto"/>
          <w:sz w:val="24"/>
          <w:szCs w:val="24"/>
          <w:highlight w:val="none"/>
          <w:lang w:val="en-US" w:eastAsia="zh-CN"/>
        </w:rPr>
        <w:t>中任意</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进出高速的、安装并正常使用ETC缴费的</w:t>
      </w:r>
      <w:r>
        <w:rPr>
          <w:rFonts w:hint="eastAsia" w:ascii="宋体" w:hAnsi="宋体" w:eastAsia="宋体" w:cs="宋体"/>
          <w:color w:val="auto"/>
          <w:sz w:val="24"/>
          <w:szCs w:val="24"/>
          <w:highlight w:val="none"/>
          <w:lang w:val="en-US" w:eastAsia="zh-CN"/>
        </w:rPr>
        <w:t>南通籍</w:t>
      </w:r>
      <w:r>
        <w:rPr>
          <w:rFonts w:hint="eastAsia" w:ascii="宋体" w:hAnsi="宋体" w:eastAsia="宋体" w:cs="宋体"/>
          <w:color w:val="auto"/>
          <w:sz w:val="24"/>
          <w:szCs w:val="24"/>
          <w:highlight w:val="none"/>
          <w:lang w:eastAsia="zh-CN"/>
        </w:rPr>
        <w:t>一类非营运客车实行通行费减半征收</w:t>
      </w:r>
      <w:r>
        <w:rPr>
          <w:rFonts w:hint="eastAsia" w:ascii="宋体" w:hAnsi="宋体" w:eastAsia="宋体" w:cs="宋体"/>
          <w:color w:val="auto"/>
          <w:sz w:val="24"/>
          <w:szCs w:val="24"/>
          <w:highlight w:val="none"/>
          <w:lang w:val="en-US" w:eastAsia="zh-CN"/>
        </w:rPr>
        <w:t>。该政策有效期为3年，将于2025年11月30日到期，按照相关工作规定程序，到期前需开展实施情况评估工作，确保政策延续的合理性和可行性，为政策延续决策提供依据。</w:t>
      </w:r>
    </w:p>
    <w:p w14:paraId="0702274A">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w:t>
      </w:r>
      <w:r>
        <w:rPr>
          <w:rFonts w:hint="default" w:ascii="宋体" w:hAnsi="宋体" w:eastAsia="宋体" w:cs="宋体"/>
          <w:color w:val="auto"/>
          <w:sz w:val="24"/>
          <w:szCs w:val="24"/>
          <w:highlight w:val="none"/>
          <w:lang w:val="en-US" w:eastAsia="zh-CN"/>
        </w:rPr>
        <w:t>内容</w:t>
      </w:r>
    </w:p>
    <w:p w14:paraId="66698976">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评估报告及协助开展省、市相关部门报批工作</w:t>
      </w:r>
      <w:r>
        <w:rPr>
          <w:rFonts w:hint="eastAsia" w:ascii="宋体" w:hAnsi="宋体" w:eastAsia="宋体" w:cs="宋体"/>
          <w:color w:val="auto"/>
          <w:sz w:val="24"/>
          <w:szCs w:val="24"/>
          <w:highlight w:val="none"/>
          <w:lang w:val="en-US" w:eastAsia="zh-CN"/>
        </w:rPr>
        <w:t>。其中，评估报告内</w:t>
      </w:r>
      <w:r>
        <w:rPr>
          <w:rFonts w:hint="eastAsia" w:ascii="宋体" w:eastAsia="宋体" w:cs="宋体"/>
          <w:color w:val="auto"/>
          <w:sz w:val="24"/>
          <w:szCs w:val="24"/>
          <w:highlight w:val="none"/>
          <w:lang w:val="en-US" w:eastAsia="zh-CN"/>
        </w:rPr>
        <w:t>容</w:t>
      </w:r>
      <w:r>
        <w:rPr>
          <w:rFonts w:hint="eastAsia" w:ascii="宋体" w:hAnsi="宋体" w:eastAsia="宋体" w:cs="宋体"/>
          <w:color w:val="auto"/>
          <w:sz w:val="24"/>
          <w:szCs w:val="24"/>
          <w:highlight w:val="none"/>
          <w:lang w:val="en-US" w:eastAsia="zh-CN"/>
        </w:rPr>
        <w:t>包含开展差异化收费政策实施情况调查、开展交通量调查与交通运行状况评估</w:t>
      </w:r>
      <w:bookmarkStart w:id="1" w:name="OLE_LINK1"/>
      <w:bookmarkStart w:id="2" w:name="OLE_LINK2"/>
      <w:r>
        <w:rPr>
          <w:rFonts w:hint="eastAsia" w:ascii="宋体" w:hAnsi="宋体" w:eastAsia="宋体" w:cs="宋体"/>
          <w:color w:val="auto"/>
          <w:sz w:val="24"/>
          <w:szCs w:val="24"/>
          <w:highlight w:val="none"/>
          <w:lang w:val="en-US" w:eastAsia="zh-CN"/>
        </w:rPr>
        <w:t>、开展差异化收费道路收费运营情况调查评估、开展社会满意度和舆情状况调查评估、开展经济社会影响状况调查评估、开展政策延期交通量和通行费预测</w:t>
      </w:r>
      <w:bookmarkEnd w:id="1"/>
      <w:bookmarkEnd w:id="2"/>
      <w:r>
        <w:rPr>
          <w:rFonts w:hint="eastAsia" w:ascii="宋体" w:hAnsi="宋体" w:eastAsia="宋体" w:cs="宋体"/>
          <w:color w:val="auto"/>
          <w:sz w:val="24"/>
          <w:szCs w:val="24"/>
          <w:highlight w:val="none"/>
          <w:lang w:val="en-US" w:eastAsia="zh-CN"/>
        </w:rPr>
        <w:t>、研究提出政策延续实施建议等方面内容。</w:t>
      </w:r>
    </w:p>
    <w:p w14:paraId="7586506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default" w:ascii="宋体" w:hAnsi="宋体" w:eastAsia="宋体" w:cs="宋体"/>
          <w:color w:val="auto"/>
          <w:sz w:val="24"/>
          <w:szCs w:val="24"/>
          <w:highlight w:val="none"/>
          <w:lang w:val="en-US" w:eastAsia="zh-CN"/>
        </w:rPr>
        <w:t>成果要求</w:t>
      </w:r>
    </w:p>
    <w:p w14:paraId="1E810077">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1、研究形成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w:t>
      </w:r>
      <w:r>
        <w:rPr>
          <w:rFonts w:hint="eastAsia" w:ascii="宋体" w:hAnsi="宋体" w:eastAsia="宋体" w:cs="宋体"/>
          <w:color w:val="auto"/>
          <w:sz w:val="24"/>
          <w:szCs w:val="24"/>
          <w:highlight w:val="none"/>
          <w:lang w:val="en-US" w:eastAsia="zh-CN"/>
        </w:rPr>
        <w:t>。</w:t>
      </w:r>
    </w:p>
    <w:p w14:paraId="3EDED954">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人完成省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p>
    <w:p w14:paraId="3E44B55B">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四、其他要求</w:t>
      </w:r>
    </w:p>
    <w:p w14:paraId="5452648C">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不会侵犯任何第三方知识产权。若出现争议，一律由供应商承担全部责任，由此发生的一切费用均由供应商承担。本项目服务内容所涉的所有的成果文件获得批准实施前，任何单位和个人未经同意都无权以任何形式向第三方和社会公开展示成果。</w:t>
      </w:r>
    </w:p>
    <w:p w14:paraId="695DB6F5">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五、验收标准</w:t>
      </w:r>
    </w:p>
    <w:p w14:paraId="18EB6E79">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形成最终评估报告后供应商</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采购</w:t>
      </w:r>
      <w:r>
        <w:rPr>
          <w:rFonts w:hint="default" w:ascii="宋体" w:hAnsi="宋体" w:eastAsia="宋体" w:cs="宋体"/>
          <w:color w:val="auto"/>
          <w:sz w:val="24"/>
          <w:szCs w:val="24"/>
          <w:highlight w:val="none"/>
          <w:lang w:val="en-US" w:eastAsia="zh-CN"/>
        </w:rPr>
        <w:t>人完成</w:t>
      </w:r>
      <w:r>
        <w:rPr>
          <w:rFonts w:hint="eastAsia" w:ascii="宋体" w:hAnsi="宋体" w:eastAsia="宋体" w:cs="宋体"/>
          <w:color w:val="auto"/>
          <w:sz w:val="24"/>
          <w:szCs w:val="24"/>
          <w:highlight w:val="none"/>
          <w:lang w:val="en-US" w:eastAsia="zh-CN"/>
        </w:rPr>
        <w:t>后续</w:t>
      </w:r>
      <w:r>
        <w:rPr>
          <w:rFonts w:hint="default"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，直至差异化收费政策延期申请获省级认可。</w:t>
      </w:r>
    </w:p>
    <w:p w14:paraId="2BFD7FBB">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六、合同</w:t>
      </w:r>
      <w:r>
        <w:rPr>
          <w:rFonts w:hint="default" w:ascii="宋体" w:hAnsi="宋体" w:eastAsia="宋体" w:cs="宋体"/>
          <w:color w:val="auto"/>
          <w:sz w:val="24"/>
          <w:szCs w:val="24"/>
          <w:highlight w:val="none"/>
          <w:lang w:val="en-US" w:eastAsia="zh-CN"/>
        </w:rPr>
        <w:t>履行期</w:t>
      </w:r>
    </w:p>
    <w:p w14:paraId="6232C1FF">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自合同签订之日起至</w:t>
      </w:r>
      <w:r>
        <w:rPr>
          <w:rFonts w:hint="eastAsia" w:ascii="宋体" w:hAnsi="宋体" w:eastAsia="宋体" w:cs="宋体"/>
          <w:color w:val="auto"/>
          <w:sz w:val="24"/>
          <w:szCs w:val="24"/>
          <w:highlight w:val="none"/>
          <w:lang w:val="en-US" w:eastAsia="zh-CN"/>
        </w:rPr>
        <w:t>评估报告通过采购人验收。具体</w:t>
      </w:r>
      <w:r>
        <w:rPr>
          <w:rFonts w:hint="default" w:ascii="宋体" w:hAnsi="宋体" w:eastAsia="宋体" w:cs="宋体"/>
          <w:color w:val="auto"/>
          <w:sz w:val="24"/>
          <w:szCs w:val="24"/>
          <w:highlight w:val="none"/>
          <w:lang w:val="en-US" w:eastAsia="zh-CN"/>
        </w:rPr>
        <w:t>要求为</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月31日前</w:t>
      </w:r>
      <w:r>
        <w:rPr>
          <w:rFonts w:hint="eastAsia" w:ascii="宋体" w:hAnsi="宋体" w:eastAsia="宋体" w:cs="宋体"/>
          <w:color w:val="auto"/>
          <w:sz w:val="24"/>
          <w:szCs w:val="24"/>
          <w:highlight w:val="none"/>
          <w:lang w:val="en-US" w:eastAsia="zh-CN"/>
        </w:rPr>
        <w:t>形成工作大纲；</w:t>
      </w:r>
      <w:r>
        <w:rPr>
          <w:rFonts w:hint="default" w:ascii="宋体" w:hAnsi="宋体" w:eastAsia="宋体" w:cs="宋体"/>
          <w:color w:val="auto"/>
          <w:sz w:val="24"/>
          <w:szCs w:val="24"/>
          <w:highlight w:val="none"/>
          <w:lang w:val="en-US" w:eastAsia="zh-CN"/>
        </w:rPr>
        <w:t>2025年8月31日前完成</w:t>
      </w:r>
      <w:r>
        <w:rPr>
          <w:rFonts w:hint="eastAsia" w:ascii="宋体" w:hAnsi="宋体" w:eastAsia="宋体" w:cs="宋体"/>
          <w:color w:val="auto"/>
          <w:sz w:val="24"/>
          <w:szCs w:val="24"/>
          <w:highlight w:val="none"/>
          <w:lang w:val="en-US" w:eastAsia="zh-CN"/>
        </w:rPr>
        <w:t>最终评估报告</w:t>
      </w:r>
      <w:r>
        <w:rPr>
          <w:rFonts w:hint="default" w:ascii="宋体" w:hAnsi="宋体" w:eastAsia="宋体" w:cs="宋体"/>
          <w:color w:val="auto"/>
          <w:sz w:val="24"/>
          <w:szCs w:val="24"/>
          <w:highlight w:val="none"/>
          <w:lang w:val="en-US" w:eastAsia="zh-CN"/>
        </w:rPr>
        <w:t>；2025年9月</w:t>
      </w:r>
      <w:r>
        <w:rPr>
          <w:rFonts w:hint="eastAsia" w:ascii="宋体" w:hAnsi="宋体" w:eastAsia="宋体" w:cs="宋体"/>
          <w:color w:val="auto"/>
          <w:sz w:val="24"/>
          <w:szCs w:val="24"/>
          <w:highlight w:val="none"/>
          <w:lang w:val="en-US" w:eastAsia="zh-CN"/>
        </w:rPr>
        <w:t>31</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配合采购人将研究成果提交市政府，按程序向省政府提请差异化收费政策延续</w:t>
      </w:r>
      <w:r>
        <w:rPr>
          <w:rFonts w:hint="default" w:ascii="宋体" w:hAnsi="宋体" w:eastAsia="宋体" w:cs="宋体"/>
          <w:color w:val="auto"/>
          <w:sz w:val="24"/>
          <w:szCs w:val="24"/>
          <w:highlight w:val="none"/>
          <w:lang w:val="en-US" w:eastAsia="zh-CN"/>
        </w:rPr>
        <w:t>。</w:t>
      </w:r>
    </w:p>
    <w:p w14:paraId="55FC1728">
      <w:pPr>
        <w:pStyle w:val="32"/>
        <w:snapToGrid w:val="0"/>
        <w:spacing w:line="360" w:lineRule="auto"/>
        <w:ind w:firstLine="480" w:firstLineChars="20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eastAsia="zh-CN"/>
        </w:rPr>
        <w:t>支付方式</w:t>
      </w:r>
    </w:p>
    <w:p w14:paraId="37AC7B1F">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z w:val="24"/>
          <w:szCs w:val="24"/>
          <w:highlight w:val="none"/>
          <w:lang w:val="en-US" w:eastAsia="zh-CN"/>
        </w:rPr>
        <w:t>报告后15个工作日内支付</w:t>
      </w:r>
      <w:r>
        <w:rPr>
          <w:rFonts w:hint="eastAsia" w:ascii="宋体" w:hAnsi="宋体" w:eastAsia="宋体" w:cs="宋体"/>
          <w:color w:val="auto"/>
          <w:sz w:val="24"/>
          <w:szCs w:val="24"/>
          <w:highlight w:val="none"/>
          <w:lang w:val="en-US" w:eastAsia="zh-CN"/>
        </w:rPr>
        <w:t>至</w:t>
      </w:r>
      <w:r>
        <w:rPr>
          <w:rFonts w:hint="default" w:ascii="宋体" w:hAnsi="宋体" w:eastAsia="宋体" w:cs="宋体"/>
          <w:color w:val="auto"/>
          <w:sz w:val="24"/>
          <w:szCs w:val="24"/>
          <w:highlight w:val="none"/>
          <w:lang w:val="en-US" w:eastAsia="zh-CN"/>
        </w:rPr>
        <w:t>合同款项的50%；</w:t>
      </w:r>
      <w:r>
        <w:rPr>
          <w:rFonts w:hint="eastAsia" w:ascii="宋体" w:hAnsi="宋体" w:eastAsia="宋体" w:cs="宋体"/>
          <w:color w:val="auto"/>
          <w:sz w:val="24"/>
          <w:szCs w:val="24"/>
          <w:highlight w:val="none"/>
          <w:lang w:val="en-US" w:eastAsia="zh-CN"/>
        </w:rPr>
        <w:t>评估报告通过采购人验收</w:t>
      </w:r>
      <w:r>
        <w:rPr>
          <w:rFonts w:hint="default" w:ascii="宋体" w:hAnsi="宋体" w:eastAsia="宋体" w:cs="宋体"/>
          <w:color w:val="auto"/>
          <w:sz w:val="24"/>
          <w:szCs w:val="24"/>
          <w:highlight w:val="none"/>
          <w:lang w:val="en-US" w:eastAsia="zh-CN"/>
        </w:rPr>
        <w:t>后15个工作日内支付</w:t>
      </w:r>
      <w:r>
        <w:rPr>
          <w:rFonts w:hint="eastAsia" w:ascii="宋体" w:hAnsi="宋体" w:eastAsia="宋体" w:cs="宋体"/>
          <w:color w:val="auto"/>
          <w:sz w:val="24"/>
          <w:szCs w:val="24"/>
          <w:highlight w:val="none"/>
          <w:lang w:val="en-US" w:eastAsia="zh-CN"/>
        </w:rPr>
        <w:t>剩余</w:t>
      </w:r>
      <w:r>
        <w:rPr>
          <w:rFonts w:hint="default" w:ascii="宋体" w:hAnsi="宋体" w:eastAsia="宋体" w:cs="宋体"/>
          <w:color w:val="auto"/>
          <w:sz w:val="24"/>
          <w:szCs w:val="24"/>
          <w:highlight w:val="none"/>
          <w:lang w:val="en-US" w:eastAsia="zh-CN"/>
        </w:rPr>
        <w:t>合同款项。</w:t>
      </w:r>
    </w:p>
    <w:p w14:paraId="14CA6A74">
      <w:pPr>
        <w:pStyle w:val="32"/>
        <w:snapToGrid w:val="0"/>
        <w:spacing w:line="360" w:lineRule="auto"/>
        <w:ind w:firstLine="480" w:firstLineChars="200"/>
        <w:contextualSpacing/>
        <w:rPr>
          <w:rFonts w:hint="default"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en-US" w:eastAsia="zh-CN"/>
        </w:rPr>
        <w:t>注：上述每次付款采购人须按合同要求扣减违约金和赔偿款</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每次付款前，供应商须按采购人要求提供等额的合规发票及相关付款申请资料，否则采购人可以拒绝付款。</w:t>
      </w:r>
    </w:p>
    <w:p w14:paraId="32B42FB7">
      <w:pP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br w:type="page"/>
      </w:r>
    </w:p>
    <w:p w14:paraId="4857886F">
      <w:pPr>
        <w:adjustRightInd w:val="0"/>
        <w:snapToGrid w:val="0"/>
        <w:spacing w:line="360" w:lineRule="auto"/>
        <w:ind w:firstLine="723" w:firstLineChars="200"/>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第四部分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评审程序和内容</w:t>
      </w:r>
    </w:p>
    <w:p w14:paraId="1827745B">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一、采购人组织谈判活动</w:t>
      </w:r>
    </w:p>
    <w:p w14:paraId="73FEE0DA">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1.成立竞争性谈判小组。</w:t>
      </w:r>
    </w:p>
    <w:p w14:paraId="19B007CD">
      <w:pPr>
        <w:pStyle w:val="32"/>
        <w:snapToGrid w:val="0"/>
        <w:spacing w:line="360" w:lineRule="auto"/>
        <w:ind w:firstLine="480" w:firstLineChars="200"/>
        <w:contextualSpacing/>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谈判小组由</w:t>
      </w:r>
      <w:r>
        <w:rPr>
          <w:rFonts w:hint="eastAsia" w:ascii="宋体" w:eastAsia="宋体" w:cs="宋体"/>
          <w:color w:val="auto"/>
          <w:sz w:val="24"/>
          <w:szCs w:val="24"/>
          <w:highlight w:val="none"/>
        </w:rPr>
        <w:t>有关专家</w:t>
      </w:r>
      <w:r>
        <w:rPr>
          <w:rFonts w:hint="eastAsia" w:ascii="宋体" w:eastAsia="宋体" w:cs="宋体"/>
          <w:color w:val="auto"/>
          <w:kern w:val="0"/>
          <w:sz w:val="24"/>
          <w:szCs w:val="24"/>
          <w:highlight w:val="none"/>
        </w:rPr>
        <w:t>共</w:t>
      </w:r>
      <w:r>
        <w:rPr>
          <w:rFonts w:ascii="宋体" w:eastAsia="宋体" w:cs="宋体"/>
          <w:color w:val="auto"/>
          <w:kern w:val="0"/>
          <w:sz w:val="24"/>
          <w:szCs w:val="24"/>
          <w:highlight w:val="none"/>
        </w:rPr>
        <w:t>3人或以上单数组成。采购代理机构人员不得参加本机构代理的采购项目的评审。</w:t>
      </w:r>
    </w:p>
    <w:p w14:paraId="476544C1">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2</w:t>
      </w:r>
      <w:r>
        <w:rPr>
          <w:rFonts w:hint="eastAsia" w:ascii="宋体" w:eastAsia="宋体" w:cs="宋体"/>
          <w:b/>
          <w:color w:val="auto"/>
          <w:kern w:val="0"/>
          <w:sz w:val="24"/>
          <w:szCs w:val="24"/>
          <w:highlight w:val="none"/>
          <w:lang w:val="zh-CN"/>
        </w:rPr>
        <w:t>.</w:t>
      </w:r>
      <w:r>
        <w:rPr>
          <w:rFonts w:ascii="宋体" w:eastAsia="宋体" w:cs="宋体"/>
          <w:b/>
          <w:color w:val="auto"/>
          <w:kern w:val="0"/>
          <w:sz w:val="24"/>
          <w:szCs w:val="24"/>
          <w:highlight w:val="none"/>
          <w:lang w:val="zh-CN"/>
        </w:rPr>
        <w:t>竞争性谈判小组的职责</w:t>
      </w:r>
    </w:p>
    <w:p w14:paraId="069C099D">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w:t>
      </w:r>
      <w:r>
        <w:rPr>
          <w:rFonts w:ascii="宋体" w:eastAsia="宋体" w:cs="宋体"/>
          <w:color w:val="auto"/>
          <w:kern w:val="0"/>
          <w:sz w:val="24"/>
          <w:szCs w:val="24"/>
          <w:highlight w:val="none"/>
          <w:lang w:val="zh-CN"/>
        </w:rPr>
        <w:t>3家的供应商参加谈判；审查供应商的响应文件并作出评价；要求供应商解释或者澄清其响应文件；编写评审报告；告知采购人在评审过程中发现的供应商的违法违规行为。</w:t>
      </w:r>
    </w:p>
    <w:p w14:paraId="3848AC7A">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ascii="宋体" w:eastAsia="宋体" w:cs="宋体"/>
          <w:b/>
          <w:color w:val="auto"/>
          <w:kern w:val="0"/>
          <w:sz w:val="24"/>
          <w:szCs w:val="24"/>
          <w:highlight w:val="none"/>
          <w:lang w:val="zh-CN"/>
        </w:rPr>
        <w:t>3</w:t>
      </w:r>
      <w:r>
        <w:rPr>
          <w:rFonts w:hint="eastAsia" w:ascii="宋体" w:eastAsia="宋体" w:cs="宋体"/>
          <w:b/>
          <w:color w:val="auto"/>
          <w:kern w:val="0"/>
          <w:sz w:val="24"/>
          <w:szCs w:val="24"/>
          <w:highlight w:val="none"/>
          <w:lang w:val="zh-CN"/>
        </w:rPr>
        <w:t>.</w:t>
      </w:r>
      <w:r>
        <w:rPr>
          <w:rFonts w:ascii="宋体" w:eastAsia="宋体" w:cs="宋体"/>
          <w:b/>
          <w:color w:val="auto"/>
          <w:kern w:val="0"/>
          <w:sz w:val="24"/>
          <w:szCs w:val="24"/>
          <w:highlight w:val="none"/>
          <w:lang w:val="zh-CN"/>
        </w:rPr>
        <w:t>竞争性谈判小组成员的义务</w:t>
      </w:r>
    </w:p>
    <w:p w14:paraId="30C9E2D4">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答复供应商提出的质疑；配合主管部门的投诉处理和监督检查工作。</w:t>
      </w:r>
    </w:p>
    <w:p w14:paraId="31A90B1D">
      <w:pPr>
        <w:pStyle w:val="32"/>
        <w:snapToGrid w:val="0"/>
        <w:spacing w:line="360" w:lineRule="auto"/>
        <w:ind w:firstLine="482" w:firstLineChars="200"/>
        <w:contextualSpacing/>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二、供应商参加谈判活动</w:t>
      </w:r>
    </w:p>
    <w:p w14:paraId="12EA37FF">
      <w:pPr>
        <w:autoSpaceDE w:val="0"/>
        <w:autoSpaceDN w:val="0"/>
        <w:adjustRightInd w:val="0"/>
        <w:snapToGrid w:val="0"/>
        <w:spacing w:line="360" w:lineRule="auto"/>
        <w:ind w:right="210"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供应商的法定代表人或被授权人须持身份证准时参加谈判。</w:t>
      </w:r>
    </w:p>
    <w:p w14:paraId="0544AAAF">
      <w:pPr>
        <w:autoSpaceDE w:val="0"/>
        <w:autoSpaceDN w:val="0"/>
        <w:adjustRightInd w:val="0"/>
        <w:snapToGrid w:val="0"/>
        <w:spacing w:line="360" w:lineRule="auto"/>
        <w:ind w:right="210" w:firstLine="482" w:firstLineChars="200"/>
        <w:rPr>
          <w:rFonts w:ascii="宋体" w:hAnsi="宋体" w:cs="宋体"/>
          <w:b/>
          <w:color w:val="auto"/>
          <w:sz w:val="24"/>
          <w:highlight w:val="none"/>
        </w:rPr>
      </w:pPr>
      <w:r>
        <w:rPr>
          <w:rFonts w:hint="eastAsia" w:ascii="宋体" w:hAnsi="宋体" w:cs="宋体"/>
          <w:b/>
          <w:color w:val="auto"/>
          <w:sz w:val="24"/>
          <w:highlight w:val="none"/>
        </w:rPr>
        <w:t>三、谈判的原则及方法</w:t>
      </w:r>
    </w:p>
    <w:p w14:paraId="7C9A18F8">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1</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谈判小组成员应当按照客观、公正、审慎的原则，根据谈判文件规定的评审程序、评审方法和评审标准进行独立评审。未实质性响应谈判</w:t>
      </w:r>
      <w:r>
        <w:rPr>
          <w:rFonts w:hint="eastAsia" w:ascii="宋体" w:eastAsia="宋体" w:cs="宋体"/>
          <w:color w:val="auto"/>
          <w:kern w:val="0"/>
          <w:sz w:val="24"/>
          <w:szCs w:val="24"/>
          <w:highlight w:val="none"/>
        </w:rPr>
        <w:t>文件的响应文件按无效响应处理，谈判小组应当告知提交响应文件的供应商。</w:t>
      </w:r>
    </w:p>
    <w:p w14:paraId="51DCBE12">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3EE10F">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31E8038">
      <w:pPr>
        <w:pStyle w:val="32"/>
        <w:tabs>
          <w:tab w:val="left" w:pos="1890"/>
        </w:tabs>
        <w:snapToGrid w:val="0"/>
        <w:spacing w:line="360" w:lineRule="auto"/>
        <w:ind w:firstLine="482" w:firstLineChars="200"/>
        <w:contextualSpacing/>
        <w:rPr>
          <w:rFonts w:ascii="宋体" w:eastAsia="宋体" w:cs="宋体"/>
          <w:color w:val="auto"/>
          <w:kern w:val="0"/>
          <w:sz w:val="24"/>
          <w:szCs w:val="24"/>
          <w:highlight w:val="none"/>
          <w:lang w:val="zh-CN"/>
        </w:rPr>
      </w:pPr>
      <w:r>
        <w:rPr>
          <w:rFonts w:ascii="宋体" w:eastAsia="宋体" w:cs="宋体"/>
          <w:b/>
          <w:bCs/>
          <w:color w:val="auto"/>
          <w:kern w:val="0"/>
          <w:sz w:val="24"/>
          <w:szCs w:val="24"/>
          <w:highlight w:val="none"/>
          <w:lang w:val="zh-CN"/>
        </w:rPr>
        <w:t>2.</w:t>
      </w:r>
      <w:r>
        <w:rPr>
          <w:rFonts w:hint="eastAsia" w:ascii="宋体" w:eastAsia="宋体" w:cs="宋体"/>
          <w:color w:val="auto"/>
          <w:kern w:val="0"/>
          <w:sz w:val="24"/>
          <w:szCs w:val="24"/>
          <w:highlight w:val="none"/>
          <w:lang w:val="zh-CN"/>
        </w:rPr>
        <w:t>谈判小组所有成员应当集中与单一供应商分别进行谈判，并给予所有参加谈判的供应商平等的谈判机会。</w:t>
      </w:r>
    </w:p>
    <w:p w14:paraId="5909DE90">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3</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在谈判过程中，谈判小组可以根据谈判文件和谈判情况实质性变动采购需求中的技术、服务要求以及合同草案条款，但不得变动谈判文件中的其他内容。实质性变动的内容，须经采购人代表确认。</w:t>
      </w:r>
    </w:p>
    <w:p w14:paraId="1BD3E0AC">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对谈判文件作出的实质性变动是谈判文件的有效组成部分，谈判小组应当及时以书面形式同时通知所有参加谈判的供应商。</w:t>
      </w:r>
    </w:p>
    <w:p w14:paraId="58D8EC53">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1AC29479">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4</w:t>
      </w:r>
      <w:r>
        <w:rPr>
          <w:rFonts w:ascii="宋体" w:eastAsia="宋体" w:cs="宋体"/>
          <w:b/>
          <w:color w:val="auto"/>
          <w:kern w:val="0"/>
          <w:sz w:val="24"/>
          <w:szCs w:val="24"/>
          <w:highlight w:val="none"/>
          <w:lang w:val="zh-CN"/>
        </w:rPr>
        <w:t>.</w:t>
      </w:r>
      <w:r>
        <w:rPr>
          <w:rFonts w:hint="eastAsia" w:ascii="宋体" w:eastAsia="宋体" w:cs="宋体"/>
          <w:color w:val="auto"/>
          <w:kern w:val="0"/>
          <w:sz w:val="24"/>
          <w:szCs w:val="24"/>
          <w:highlight w:val="none"/>
          <w:lang w:val="zh-CN"/>
        </w:rPr>
        <w:t>谈判文件能够详细列明采购标的的技术、服务要求的，谈判结束后，谈判小组应当要求所有实质性响应的供应商在规定时间内提交最后报价，提交最后报价的供应商不得少于</w:t>
      </w:r>
      <w:r>
        <w:rPr>
          <w:rFonts w:ascii="宋体" w:eastAsia="宋体" w:cs="宋体"/>
          <w:color w:val="auto"/>
          <w:kern w:val="0"/>
          <w:sz w:val="24"/>
          <w:szCs w:val="24"/>
          <w:highlight w:val="none"/>
          <w:lang w:val="zh-CN"/>
        </w:rPr>
        <w:t>3家。</w:t>
      </w:r>
    </w:p>
    <w:p w14:paraId="6099C898">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谈判文件不能详细列明采购标的技术、服务要求，需经谈判由供应商提供最终设计方案或解决方案的，谈判结束后，谈判小组应当按照少数服从多数的原则投票推荐</w:t>
      </w:r>
      <w:r>
        <w:rPr>
          <w:rFonts w:ascii="宋体" w:eastAsia="宋体" w:cs="宋体"/>
          <w:color w:val="auto"/>
          <w:kern w:val="0"/>
          <w:sz w:val="24"/>
          <w:szCs w:val="24"/>
          <w:highlight w:val="none"/>
          <w:lang w:val="zh-CN"/>
        </w:rPr>
        <w:t>3家及以上供应商的设计方案或者解决方案，并要求其在规定时间内提交最后报价。</w:t>
      </w:r>
    </w:p>
    <w:p w14:paraId="017FEA96">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市场竞争不充分的科研项目，以及需要扶持的科技成果转化项目，提交最后报价的供应商可以是</w:t>
      </w:r>
      <w:r>
        <w:rPr>
          <w:rFonts w:ascii="宋体" w:eastAsia="宋体" w:cs="宋体"/>
          <w:color w:val="auto"/>
          <w:kern w:val="0"/>
          <w:sz w:val="24"/>
          <w:szCs w:val="24"/>
          <w:highlight w:val="none"/>
          <w:lang w:val="zh-CN"/>
        </w:rPr>
        <w:t>2家。</w:t>
      </w:r>
    </w:p>
    <w:p w14:paraId="75DC445C">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5.最后报价是供应商响应文件的有效组成部分。</w:t>
      </w:r>
    </w:p>
    <w:p w14:paraId="0D716CD5">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6.对于在谈判顺利开始后至最终报价前，根据谈判情况退出谈判的供应商，须以书面形式说明退出谈判的原因，经谈判小组同意可以退出谈判。</w:t>
      </w:r>
    </w:p>
    <w:p w14:paraId="12ADB3D9">
      <w:pPr>
        <w:pStyle w:val="32"/>
        <w:snapToGrid w:val="0"/>
        <w:spacing w:line="360" w:lineRule="auto"/>
        <w:ind w:firstLine="480" w:firstLineChars="200"/>
        <w:contextualSpacing/>
        <w:rPr>
          <w:rFonts w:ascii="宋体" w:eastAsia="宋体" w:cs="宋体"/>
          <w:color w:val="auto"/>
          <w:kern w:val="0"/>
          <w:sz w:val="24"/>
          <w:szCs w:val="24"/>
          <w:highlight w:val="none"/>
          <w:lang w:val="zh-CN"/>
        </w:rPr>
      </w:pPr>
      <w:r>
        <w:rPr>
          <w:rFonts w:ascii="宋体" w:eastAsia="宋体" w:cs="宋体"/>
          <w:color w:val="auto"/>
          <w:kern w:val="0"/>
          <w:sz w:val="24"/>
          <w:szCs w:val="24"/>
          <w:highlight w:val="none"/>
          <w:lang w:val="zh-CN"/>
        </w:rPr>
        <w:t>7.谈判时间由谈判小组掌握。</w:t>
      </w:r>
    </w:p>
    <w:p w14:paraId="649A07B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四、评审步骤</w:t>
      </w:r>
    </w:p>
    <w:p w14:paraId="7C69AE8C">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1</w:t>
      </w:r>
      <w:r>
        <w:rPr>
          <w:rFonts w:hint="eastAsia" w:ascii="宋体" w:hAnsi="宋体" w:cs="宋体"/>
          <w:color w:val="auto"/>
          <w:sz w:val="24"/>
          <w:highlight w:val="none"/>
          <w:lang w:val="zh-CN"/>
        </w:rPr>
        <w:t>.</w:t>
      </w:r>
      <w:r>
        <w:rPr>
          <w:rFonts w:ascii="宋体" w:hAnsi="宋体" w:cs="宋体"/>
          <w:color w:val="auto"/>
          <w:sz w:val="24"/>
          <w:highlight w:val="none"/>
          <w:lang w:val="zh-CN"/>
        </w:rPr>
        <w:t>谈判小组首先对竞谈响应人的资格进行符合性审查，通过审查的竞谈响应人方可进入谈判报价阶段；</w:t>
      </w:r>
    </w:p>
    <w:p w14:paraId="4D95913B">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2</w:t>
      </w:r>
      <w:r>
        <w:rPr>
          <w:rFonts w:hint="eastAsia" w:ascii="宋体" w:hAnsi="宋体" w:cs="宋体"/>
          <w:color w:val="auto"/>
          <w:sz w:val="24"/>
          <w:highlight w:val="none"/>
          <w:lang w:val="zh-CN"/>
        </w:rPr>
        <w:t>.</w:t>
      </w:r>
      <w:r>
        <w:rPr>
          <w:rFonts w:ascii="宋体" w:hAnsi="宋体" w:cs="宋体"/>
          <w:color w:val="auto"/>
          <w:sz w:val="24"/>
          <w:highlight w:val="none"/>
          <w:lang w:val="zh-CN"/>
        </w:rPr>
        <w:t>竞谈响应人的首轮竞谈价低于竞谈限价的为有效报价；</w:t>
      </w:r>
    </w:p>
    <w:p w14:paraId="202CAD1C">
      <w:pPr>
        <w:snapToGrid w:val="0"/>
        <w:spacing w:line="360" w:lineRule="auto"/>
        <w:ind w:firstLine="480" w:firstLineChars="200"/>
        <w:rPr>
          <w:rFonts w:ascii="宋体" w:hAnsi="宋体" w:cs="宋体"/>
          <w:color w:val="auto"/>
          <w:sz w:val="24"/>
          <w:highlight w:val="none"/>
          <w:lang w:val="zh-CN"/>
        </w:rPr>
      </w:pPr>
      <w:r>
        <w:rPr>
          <w:rFonts w:ascii="宋体" w:hAnsi="宋体" w:cs="宋体"/>
          <w:color w:val="auto"/>
          <w:sz w:val="24"/>
          <w:highlight w:val="none"/>
          <w:lang w:val="zh-CN"/>
        </w:rPr>
        <w:t>3</w:t>
      </w:r>
      <w:r>
        <w:rPr>
          <w:rFonts w:hint="eastAsia" w:ascii="宋体" w:hAnsi="宋体" w:cs="宋体"/>
          <w:color w:val="auto"/>
          <w:sz w:val="24"/>
          <w:highlight w:val="none"/>
          <w:lang w:val="zh-CN"/>
        </w:rPr>
        <w:t>.</w:t>
      </w:r>
      <w:r>
        <w:rPr>
          <w:rFonts w:ascii="宋体" w:hAnsi="宋体" w:cs="宋体"/>
          <w:color w:val="auto"/>
          <w:sz w:val="24"/>
          <w:highlight w:val="none"/>
          <w:lang w:val="zh-CN"/>
        </w:rPr>
        <w:t>本项目采用二轮谈判，递交的谈判响应文件中的内容为首轮谈判，现场进行一轮谈判（即为二轮）。除非在谈判中谈判小组对采购人需求内容作了调整增加，或对采购内容作了实质性变更，否则采购人不接受供应商高于自己前一轮的谈判报价。</w:t>
      </w:r>
    </w:p>
    <w:p w14:paraId="65346F7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第二轮报价只需报</w:t>
      </w:r>
      <w:r>
        <w:rPr>
          <w:rFonts w:hint="eastAsia" w:ascii="宋体" w:hAnsi="宋体" w:cs="宋体"/>
          <w:color w:val="auto"/>
          <w:sz w:val="24"/>
          <w:highlight w:val="none"/>
          <w:lang w:val="en-US" w:eastAsia="zh-CN"/>
        </w:rPr>
        <w:t>总价</w:t>
      </w:r>
      <w:r>
        <w:rPr>
          <w:rFonts w:hint="eastAsia" w:ascii="宋体" w:hAnsi="宋体" w:cs="宋体"/>
          <w:color w:val="auto"/>
          <w:sz w:val="24"/>
          <w:highlight w:val="none"/>
          <w:lang w:val="zh-CN"/>
        </w:rPr>
        <w:t>，各子目按第二轮报价较首轮报价下浮率同比例下浮。</w:t>
      </w:r>
    </w:p>
    <w:p w14:paraId="13024C5D">
      <w:pPr>
        <w:snapToGrid w:val="0"/>
        <w:spacing w:line="360" w:lineRule="auto"/>
        <w:ind w:firstLine="480" w:firstLineChars="200"/>
        <w:rPr>
          <w:rFonts w:ascii="宋体" w:hAnsi="宋体" w:cs="宋体"/>
          <w:b/>
          <w:bCs/>
          <w:color w:val="auto"/>
          <w:sz w:val="24"/>
          <w:highlight w:val="none"/>
          <w:lang w:val="zh-CN"/>
        </w:rPr>
      </w:pPr>
      <w:r>
        <w:rPr>
          <w:rFonts w:ascii="宋体" w:hAnsi="宋体" w:cs="宋体"/>
          <w:color w:val="auto"/>
          <w:sz w:val="24"/>
          <w:highlight w:val="none"/>
          <w:lang w:val="zh-CN"/>
        </w:rPr>
        <w:t>4</w:t>
      </w:r>
      <w:r>
        <w:rPr>
          <w:rFonts w:hint="eastAsia" w:ascii="宋体" w:hAnsi="宋体" w:cs="宋体"/>
          <w:color w:val="auto"/>
          <w:sz w:val="24"/>
          <w:highlight w:val="none"/>
          <w:lang w:val="zh-CN"/>
        </w:rPr>
        <w:t>.</w:t>
      </w:r>
      <w:r>
        <w:rPr>
          <w:rFonts w:ascii="宋体" w:hAnsi="宋体" w:cs="宋体"/>
          <w:color w:val="auto"/>
          <w:sz w:val="24"/>
          <w:highlight w:val="none"/>
          <w:lang w:val="zh-CN"/>
        </w:rPr>
        <w:t>所有最终有效报价中的最低报价为</w:t>
      </w:r>
      <w:r>
        <w:rPr>
          <w:rFonts w:hint="eastAsia" w:ascii="宋体" w:hAnsi="宋体" w:cs="宋体"/>
          <w:color w:val="auto"/>
          <w:sz w:val="24"/>
          <w:highlight w:val="none"/>
          <w:lang w:val="zh-CN"/>
        </w:rPr>
        <w:t>成交</w:t>
      </w:r>
      <w:r>
        <w:rPr>
          <w:rFonts w:ascii="宋体" w:hAnsi="宋体" w:cs="宋体"/>
          <w:color w:val="auto"/>
          <w:sz w:val="24"/>
          <w:highlight w:val="none"/>
          <w:lang w:val="zh-CN"/>
        </w:rPr>
        <w:t>价，若报价相同时，则由谈判小组投票决定。</w:t>
      </w:r>
    </w:p>
    <w:p w14:paraId="3CC7707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政府采购政策功能落实</w:t>
      </w:r>
    </w:p>
    <w:p w14:paraId="0B2D9AB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1.小微型企业价格扣除</w:t>
      </w:r>
    </w:p>
    <w:p w14:paraId="253A72B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（1）本项目对小型和微型企业产品给予20%的扣除价格，用扣除后的价格参与评审。</w:t>
      </w:r>
    </w:p>
    <w:p w14:paraId="34303429">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（2）供应商需按照采购文件的要求提供相应的《</w:t>
      </w:r>
      <w:r>
        <w:rPr>
          <w:rFonts w:hint="eastAsia" w:cs="宋体" w:asciiTheme="minorEastAsia" w:hAnsiTheme="minorEastAsia" w:eastAsiaTheme="minorEastAsia"/>
          <w:color w:val="auto"/>
          <w:sz w:val="24"/>
          <w:highlight w:val="none"/>
        </w:rPr>
        <w:t>中小企业声明函</w:t>
      </w:r>
      <w:r>
        <w:rPr>
          <w:rFonts w:hint="eastAsia" w:ascii="宋体" w:hAnsi="宋体" w:cs="宋体"/>
          <w:color w:val="auto"/>
          <w:sz w:val="24"/>
          <w:highlight w:val="none"/>
        </w:rPr>
        <w:t>》。</w:t>
      </w:r>
    </w:p>
    <w:p w14:paraId="1407B05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（3）企业标准请参照《关于印发中小企业划型标准规定的通知》（工信部联企业[2011]300号）文件规定自行填写。</w:t>
      </w:r>
    </w:p>
    <w:p w14:paraId="7AE794BB">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2.残疾人福利单位价格扣除</w:t>
      </w:r>
    </w:p>
    <w:p w14:paraId="376ED1BE">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（1）本项目对残疾人福利性单位视同小型、微型企业，给予20%的价格扣除，用扣除后的价格参与评审。</w:t>
      </w:r>
    </w:p>
    <w:p w14:paraId="7485E814">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（2）残疾人福利单位需按照采购文件的要求提供《残疾人福利性单位声明函》。</w:t>
      </w:r>
    </w:p>
    <w:p w14:paraId="0E350448">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（3）残疾人福利单位标准请参照《关于促进残疾人就业政府采购政策的通知》（财库〔2017〕141号）。</w:t>
      </w:r>
    </w:p>
    <w:p w14:paraId="539DE590">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3.监狱和戒毒企业价格扣除</w:t>
      </w:r>
    </w:p>
    <w:p w14:paraId="4EEF9CD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（1）本项目对监狱和戒毒企业（简称监狱企业）视同小型、微型企业，给予20%的价格扣除，用扣除后的价格参与评审。</w:t>
      </w:r>
    </w:p>
    <w:p w14:paraId="234E18AA">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785BC40">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（3）监狱企业标准请参照《关于政府采购支持监狱企业发展有关问题的通知》（财库[2014]68号）。</w:t>
      </w:r>
    </w:p>
    <w:p w14:paraId="6BA6C73C">
      <w:pPr>
        <w:snapToGrid w:val="0"/>
        <w:spacing w:line="360" w:lineRule="auto"/>
        <w:ind w:firstLine="555"/>
        <w:rPr>
          <w:rFonts w:ascii="宋体" w:hAnsi="宋体" w:cs="宋体"/>
          <w:color w:val="auto"/>
          <w:sz w:val="24"/>
          <w:highlight w:val="none"/>
        </w:rPr>
      </w:pPr>
      <w:r>
        <w:rPr>
          <w:rFonts w:hint="eastAsia" w:ascii="宋体" w:hAnsi="宋体" w:cs="宋体"/>
          <w:color w:val="auto"/>
          <w:sz w:val="24"/>
          <w:highlight w:val="none"/>
        </w:rPr>
        <w:t>4、残疾人福利单位、监狱企业属于小型、微型企业的，不重复享受政策。</w:t>
      </w:r>
    </w:p>
    <w:p w14:paraId="7B7B952F">
      <w:pPr>
        <w:snapToGrid w:val="0"/>
        <w:spacing w:line="360" w:lineRule="auto"/>
        <w:ind w:firstLine="555"/>
        <w:rPr>
          <w:rFonts w:hint="eastAsia" w:ascii="宋体" w:hAnsi="宋体" w:cs="宋体"/>
          <w:color w:val="auto"/>
          <w:sz w:val="24"/>
          <w:highlight w:val="none"/>
        </w:rPr>
      </w:pPr>
      <w:r>
        <w:rPr>
          <w:rFonts w:hint="eastAsia" w:ascii="宋体" w:hAnsi="宋体" w:cs="宋体"/>
          <w:color w:val="auto"/>
          <w:sz w:val="24"/>
          <w:highlight w:val="none"/>
        </w:rPr>
        <w:t>5、专门面向中小企业采购的项目或者采购包，不再执行价格评审优惠的扶持政策。</w:t>
      </w:r>
    </w:p>
    <w:p w14:paraId="3E48A3FE">
      <w:pPr>
        <w:autoSpaceDE w:val="0"/>
        <w:autoSpaceDN w:val="0"/>
        <w:adjustRightInd w:val="0"/>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w:t>
      </w:r>
      <w:r>
        <w:rPr>
          <w:rFonts w:hint="eastAsia" w:ascii="宋体" w:hAnsi="宋体" w:cs="宋体"/>
          <w:b/>
          <w:color w:val="auto"/>
          <w:sz w:val="24"/>
          <w:highlight w:val="none"/>
          <w:lang w:val="zh-CN"/>
        </w:rPr>
        <w:t>评定方法</w:t>
      </w:r>
    </w:p>
    <w:p w14:paraId="7E76CFC9">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谈判小组在提交最后报价的供应商中，根据质量和服务均能满足采购文件实质性响应要求且最后报价最低的原则确定成交供应商，并编写评审报告。</w:t>
      </w:r>
    </w:p>
    <w:p w14:paraId="49357B75">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如成交供应商拒绝与采购人签订合同的，采购人可以按照评审报告推荐的成交候选人名单排序，确定下一候选人为成交供应商，也可以重新开展采购活动。</w:t>
      </w:r>
    </w:p>
    <w:p w14:paraId="72C308CE">
      <w:pPr>
        <w:autoSpaceDE w:val="0"/>
        <w:autoSpaceDN w:val="0"/>
        <w:adjustRightInd w:val="0"/>
        <w:snapToGrid w:val="0"/>
        <w:spacing w:line="360" w:lineRule="auto"/>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14:paraId="58315196">
      <w:pPr>
        <w:snapToGrid w:val="0"/>
        <w:spacing w:line="360" w:lineRule="auto"/>
        <w:ind w:firstLine="555"/>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w:t>
      </w:r>
      <w:r>
        <w:rPr>
          <w:rFonts w:ascii="宋体" w:hAnsi="宋体" w:cs="宋体"/>
          <w:b/>
          <w:color w:val="auto"/>
          <w:sz w:val="24"/>
          <w:highlight w:val="none"/>
        </w:rPr>
        <w:t>被认定为未实质性响应谈判文件的响应文件的情形</w:t>
      </w:r>
    </w:p>
    <w:p w14:paraId="320FF9E6">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.1出现下列情形之一的，作无效响应处理。</w:t>
      </w:r>
      <w:r>
        <w:rPr>
          <w:rFonts w:ascii="宋体" w:hAnsi="宋体" w:cs="宋体"/>
          <w:color w:val="auto"/>
          <w:sz w:val="24"/>
          <w:highlight w:val="none"/>
        </w:rPr>
        <w:tab/>
      </w:r>
      <w:r>
        <w:rPr>
          <w:rFonts w:ascii="宋体" w:hAnsi="宋体" w:cs="宋体"/>
          <w:color w:val="auto"/>
          <w:sz w:val="24"/>
          <w:highlight w:val="none"/>
        </w:rPr>
        <w:tab/>
      </w:r>
    </w:p>
    <w:p w14:paraId="5CB85E70">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.1.1</w:t>
      </w:r>
      <w:r>
        <w:rPr>
          <w:rFonts w:hint="eastAsia" w:cs="宋体" w:asciiTheme="minorEastAsia" w:hAnsiTheme="minorEastAsia" w:eastAsiaTheme="minorEastAsia"/>
          <w:color w:val="auto"/>
          <w:sz w:val="24"/>
          <w:highlight w:val="none"/>
        </w:rPr>
        <w:t>响应文件未按谈判文件要求装订、密封、签署、盖章的</w:t>
      </w:r>
      <w:r>
        <w:rPr>
          <w:rFonts w:ascii="宋体" w:hAnsi="宋体" w:cs="宋体"/>
          <w:color w:val="auto"/>
          <w:sz w:val="24"/>
          <w:highlight w:val="none"/>
        </w:rPr>
        <w:t>。</w:t>
      </w:r>
    </w:p>
    <w:p w14:paraId="4F2432F2">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2</w:t>
      </w:r>
      <w:r>
        <w:rPr>
          <w:rFonts w:ascii="宋体" w:hAnsi="宋体" w:cs="宋体"/>
          <w:color w:val="auto"/>
          <w:sz w:val="24"/>
          <w:highlight w:val="none"/>
        </w:rPr>
        <w:t>同一供应商提交两个（含两个）以上不同的响应报价的。</w:t>
      </w:r>
    </w:p>
    <w:p w14:paraId="799062FC">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 xml:space="preserve">不具备谈判文件中规定的资格要求的。 </w:t>
      </w:r>
    </w:p>
    <w:p w14:paraId="32974BC0">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4</w:t>
      </w:r>
      <w:r>
        <w:rPr>
          <w:rFonts w:ascii="宋体" w:hAnsi="宋体" w:cs="宋体"/>
          <w:color w:val="auto"/>
          <w:sz w:val="24"/>
          <w:highlight w:val="none"/>
        </w:rPr>
        <w:t xml:space="preserve">响应报价超过了采购预算或最高限价的。 </w:t>
      </w:r>
    </w:p>
    <w:p w14:paraId="7EAA9763">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5</w:t>
      </w:r>
      <w:r>
        <w:rPr>
          <w:rFonts w:ascii="宋体" w:hAnsi="宋体" w:cs="宋体"/>
          <w:color w:val="auto"/>
          <w:sz w:val="24"/>
          <w:highlight w:val="none"/>
        </w:rPr>
        <w:t>不符合法律、法规和谈判文件中规定的其他实质性要求的。</w:t>
      </w:r>
    </w:p>
    <w:p w14:paraId="31857039">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6</w:t>
      </w:r>
      <w:r>
        <w:rPr>
          <w:rFonts w:ascii="宋体" w:hAnsi="宋体" w:cs="宋体"/>
          <w:color w:val="auto"/>
          <w:sz w:val="24"/>
          <w:highlight w:val="none"/>
        </w:rPr>
        <w:t>响应文件含有采购人不能接受的附加条件的。</w:t>
      </w:r>
    </w:p>
    <w:p w14:paraId="0371C4BB">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7</w:t>
      </w:r>
      <w:r>
        <w:rPr>
          <w:rFonts w:ascii="宋体" w:hAnsi="宋体" w:cs="宋体"/>
          <w:color w:val="auto"/>
          <w:sz w:val="24"/>
          <w:highlight w:val="none"/>
        </w:rPr>
        <w:t>谈判小组认为供应商的报价明显低于其他通过符合性审查供应商的报价，有可能影响产品质量或者不能诚信履约的，</w:t>
      </w:r>
      <w:r>
        <w:rPr>
          <w:rFonts w:hint="eastAsia" w:ascii="宋体" w:hAnsi="宋体" w:cs="宋体"/>
          <w:color w:val="auto"/>
          <w:sz w:val="24"/>
          <w:highlight w:val="none"/>
        </w:rPr>
        <w:t>将</w:t>
      </w:r>
      <w:r>
        <w:rPr>
          <w:rFonts w:ascii="宋体" w:hAnsi="宋体" w:cs="宋体"/>
          <w:color w:val="auto"/>
          <w:sz w:val="24"/>
          <w:highlight w:val="none"/>
        </w:rPr>
        <w:t>要求其在合理的时间内提供说明，必要时提交相关证明材料；供应商不能证明其报价合理性的，谈判小组应当将其作为无效响应处理。</w:t>
      </w:r>
    </w:p>
    <w:p w14:paraId="4FA33412">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8</w:t>
      </w:r>
      <w:r>
        <w:rPr>
          <w:rFonts w:ascii="宋体" w:hAnsi="宋体" w:cs="宋体"/>
          <w:color w:val="auto"/>
          <w:sz w:val="24"/>
          <w:highlight w:val="none"/>
        </w:rPr>
        <w:t>其他法律、法规及本谈判文件规定的属无效响应的情形。</w:t>
      </w:r>
    </w:p>
    <w:p w14:paraId="11A64D8F">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.2出现下列情形之一的，竞争性谈判采购活动终止，发布项目终止公告并说明</w:t>
      </w:r>
      <w:r>
        <w:rPr>
          <w:rFonts w:hint="eastAsia" w:ascii="宋体" w:hAnsi="宋体" w:cs="宋体"/>
          <w:bCs/>
          <w:color w:val="auto"/>
          <w:sz w:val="24"/>
          <w:highlight w:val="none"/>
        </w:rPr>
        <w:t>原因，重新开展采购活动：</w:t>
      </w:r>
    </w:p>
    <w:p w14:paraId="66C54159">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.2.1因情况变化，不再符合规定的竞争性谈判采购方式适用情形的；</w:t>
      </w:r>
    </w:p>
    <w:p w14:paraId="4CB9EF33">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.2.2出现影响采购公正的违法、违规行为的。</w:t>
      </w:r>
    </w:p>
    <w:p w14:paraId="24CE2752">
      <w:pPr>
        <w:autoSpaceDE w:val="0"/>
        <w:autoSpaceDN w:val="0"/>
        <w:adjustRightInd w:val="0"/>
        <w:snapToGrid w:val="0"/>
        <w:spacing w:line="360" w:lineRule="auto"/>
        <w:ind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.2.3在采购过程中符合竞争要求的供应商或者报价未超过采购预算的供应商不足</w:t>
      </w:r>
      <w:r>
        <w:rPr>
          <w:rFonts w:ascii="宋体" w:hAnsi="宋体" w:cs="宋体"/>
          <w:bCs/>
          <w:color w:val="auto"/>
          <w:sz w:val="24"/>
          <w:highlight w:val="none"/>
        </w:rPr>
        <w:t>3家的。</w:t>
      </w:r>
    </w:p>
    <w:p w14:paraId="6760A421">
      <w:pPr>
        <w:autoSpaceDE w:val="0"/>
        <w:autoSpaceDN w:val="0"/>
        <w:adjustRightInd w:val="0"/>
        <w:snapToGrid w:val="0"/>
        <w:spacing w:line="360" w:lineRule="auto"/>
        <w:ind w:left="-178" w:right="210" w:firstLine="636"/>
        <w:rPr>
          <w:rFonts w:ascii="宋体" w:hAnsi="宋体" w:cs="宋体"/>
          <w:b/>
          <w:color w:val="auto"/>
          <w:sz w:val="24"/>
          <w:highlight w:val="none"/>
          <w:lang w:val="zh-CN"/>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lang w:val="zh-CN"/>
        </w:rPr>
        <w:t>、成交通知</w:t>
      </w:r>
    </w:p>
    <w:p w14:paraId="5C433D22">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成交结果在南通市交通运输局网站公告，公告期限为</w:t>
      </w:r>
      <w:r>
        <w:rPr>
          <w:rFonts w:ascii="宋体" w:hAnsi="宋体" w:cs="宋体"/>
          <w:color w:val="auto"/>
          <w:sz w:val="24"/>
          <w:highlight w:val="none"/>
        </w:rPr>
        <w:t>1个工作日。《成交通知书》一经发出，采购人改变成交结果，或者成交供应商放弃成交的，各自承担相应的法律责任。《成交通知书》是采购合同的组成部分。</w:t>
      </w:r>
    </w:p>
    <w:p w14:paraId="18F1D05E">
      <w:pPr>
        <w:widowControl/>
        <w:spacing w:line="360" w:lineRule="auto"/>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4B98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合同签订与验收付款</w:t>
      </w:r>
    </w:p>
    <w:p w14:paraId="3CC8367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一、成交供应商在《成交通知书》</w:t>
      </w:r>
      <w:r>
        <w:rPr>
          <w:rFonts w:hint="eastAsia" w:ascii="宋体" w:hAnsi="宋体" w:cs="宋体"/>
          <w:color w:val="auto"/>
          <w:sz w:val="24"/>
          <w:highlight w:val="none"/>
          <w:lang w:val="en-US" w:eastAsia="zh-CN"/>
        </w:rPr>
        <w:t>发出之日起</w:t>
      </w:r>
      <w:r>
        <w:rPr>
          <w:rFonts w:ascii="宋体" w:hAnsi="宋体" w:cs="宋体"/>
          <w:color w:val="auto"/>
          <w:sz w:val="24"/>
          <w:highlight w:val="none"/>
          <w:lang w:val="zh-CN"/>
        </w:rPr>
        <w:t>30日内和采购人签订合同。合同签订后成交供应商方可履约，否则引起的一切后果由成交</w:t>
      </w:r>
      <w:r>
        <w:rPr>
          <w:rFonts w:hint="eastAsia" w:ascii="宋体" w:hAnsi="宋体" w:cs="宋体"/>
          <w:color w:val="auto"/>
          <w:sz w:val="24"/>
          <w:highlight w:val="none"/>
          <w:lang w:val="en-US" w:eastAsia="zh-CN"/>
        </w:rPr>
        <w:t>供应商</w:t>
      </w:r>
      <w:r>
        <w:rPr>
          <w:rFonts w:ascii="宋体" w:hAnsi="宋体" w:cs="宋体"/>
          <w:color w:val="auto"/>
          <w:sz w:val="24"/>
          <w:highlight w:val="none"/>
          <w:lang w:val="zh-CN"/>
        </w:rPr>
        <w:t>自行承担。所签合同不得对采购文件作实质性修改。采购人不得向成交供应商提出不合理的要求作为签订合同的条件，不得与成交供应商私下订立背离采购文件实质性内容的协议。</w:t>
      </w:r>
    </w:p>
    <w:p w14:paraId="09B868C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采购人与成交供应商串通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27216467">
      <w:pPr>
        <w:snapToGrid w:val="0"/>
        <w:spacing w:line="360" w:lineRule="auto"/>
        <w:ind w:firstLine="420" w:firstLineChars="200"/>
        <w:rPr>
          <w:rFonts w:hint="eastAsia" w:ascii="宋体" w:hAnsi="宋体" w:eastAsia="宋体" w:cs="宋体"/>
          <w:color w:val="auto"/>
          <w:sz w:val="24"/>
          <w:highlight w:val="none"/>
        </w:rPr>
      </w:pPr>
      <w:r>
        <w:rPr>
          <w:rFonts w:hint="eastAsia"/>
          <w:color w:val="auto"/>
          <w:highlight w:val="none"/>
        </w:rPr>
        <w:t>三</w:t>
      </w:r>
      <w:r>
        <w:rPr>
          <w:rFonts w:hint="eastAsia" w:ascii="宋体" w:hAnsi="宋体" w:cs="宋体"/>
          <w:color w:val="auto"/>
          <w:sz w:val="24"/>
          <w:highlight w:val="none"/>
        </w:rPr>
        <w:t>、履约验收：</w:t>
      </w:r>
      <w:r>
        <w:rPr>
          <w:rFonts w:hint="eastAsia" w:ascii="宋体" w:hAnsi="宋体" w:eastAsia="宋体" w:cs="宋体"/>
          <w:color w:val="auto"/>
          <w:sz w:val="24"/>
          <w:highlight w:val="none"/>
          <w:lang w:val="en-US" w:eastAsia="zh-CN"/>
        </w:rPr>
        <w:t>形成最终评估报告后</w:t>
      </w:r>
      <w:r>
        <w:rPr>
          <w:rFonts w:hint="default" w:ascii="宋体" w:hAnsi="宋体" w:eastAsia="宋体" w:cs="宋体"/>
          <w:color w:val="auto"/>
          <w:sz w:val="24"/>
          <w:highlight w:val="none"/>
          <w:lang w:val="en-US" w:eastAsia="zh-CN"/>
        </w:rPr>
        <w:t>配合</w:t>
      </w:r>
      <w:r>
        <w:rPr>
          <w:rFonts w:hint="eastAsia" w:ascii="宋体" w:hAnsi="宋体" w:eastAsia="宋体" w:cs="宋体"/>
          <w:color w:val="auto"/>
          <w:sz w:val="24"/>
          <w:highlight w:val="none"/>
          <w:lang w:val="en-US" w:eastAsia="zh-CN"/>
        </w:rPr>
        <w:t>采购</w:t>
      </w:r>
      <w:r>
        <w:rPr>
          <w:rFonts w:hint="default" w:ascii="宋体" w:hAnsi="宋体" w:eastAsia="宋体" w:cs="宋体"/>
          <w:color w:val="auto"/>
          <w:sz w:val="24"/>
          <w:highlight w:val="none"/>
          <w:lang w:val="en-US" w:eastAsia="zh-CN"/>
        </w:rPr>
        <w:t>人完成</w:t>
      </w:r>
      <w:r>
        <w:rPr>
          <w:rFonts w:hint="eastAsia" w:ascii="宋体" w:hAnsi="宋体" w:eastAsia="宋体" w:cs="宋体"/>
          <w:color w:val="auto"/>
          <w:sz w:val="24"/>
          <w:highlight w:val="none"/>
          <w:lang w:val="en-US" w:eastAsia="zh-CN"/>
        </w:rPr>
        <w:t>后续</w:t>
      </w:r>
      <w:r>
        <w:rPr>
          <w:rFonts w:hint="default" w:ascii="宋体" w:hAnsi="宋体" w:eastAsia="宋体" w:cs="宋体"/>
          <w:color w:val="auto"/>
          <w:sz w:val="24"/>
          <w:highlight w:val="none"/>
          <w:lang w:val="en-US" w:eastAsia="zh-CN"/>
        </w:rPr>
        <w:t>省</w:t>
      </w:r>
      <w:r>
        <w:rPr>
          <w:rFonts w:hint="eastAsia" w:ascii="宋体" w:hAnsi="宋体" w:eastAsia="宋体" w:cs="宋体"/>
          <w:color w:val="auto"/>
          <w:sz w:val="24"/>
          <w:highlight w:val="none"/>
          <w:lang w:val="en-US" w:eastAsia="zh-CN"/>
        </w:rPr>
        <w:t>市报批</w:t>
      </w:r>
      <w:r>
        <w:rPr>
          <w:rFonts w:hint="default" w:ascii="宋体" w:hAnsi="宋体" w:eastAsia="宋体" w:cs="宋体"/>
          <w:color w:val="auto"/>
          <w:sz w:val="24"/>
          <w:highlight w:val="none"/>
          <w:lang w:val="en-US" w:eastAsia="zh-CN"/>
        </w:rPr>
        <w:t>及汇报</w:t>
      </w:r>
      <w:r>
        <w:rPr>
          <w:rFonts w:hint="eastAsia" w:ascii="宋体" w:hAnsi="宋体" w:eastAsia="宋体" w:cs="宋体"/>
          <w:color w:val="auto"/>
          <w:sz w:val="24"/>
          <w:highlight w:val="none"/>
          <w:lang w:val="en-US" w:eastAsia="zh-CN"/>
        </w:rPr>
        <w:t>等相关</w:t>
      </w:r>
      <w:r>
        <w:rPr>
          <w:rFonts w:hint="default" w:ascii="宋体" w:hAnsi="宋体" w:eastAsia="宋体" w:cs="宋体"/>
          <w:color w:val="auto"/>
          <w:sz w:val="24"/>
          <w:highlight w:val="none"/>
          <w:lang w:val="en-US" w:eastAsia="zh-CN"/>
        </w:rPr>
        <w:t>工作</w:t>
      </w:r>
      <w:r>
        <w:rPr>
          <w:rFonts w:hint="eastAsia" w:ascii="宋体" w:hAnsi="宋体" w:eastAsia="宋体" w:cs="宋体"/>
          <w:color w:val="auto"/>
          <w:sz w:val="24"/>
          <w:highlight w:val="none"/>
          <w:lang w:val="en-US" w:eastAsia="zh-CN"/>
        </w:rPr>
        <w:t>，直至差异化收费政策延期申请获省级认可</w:t>
      </w:r>
      <w:r>
        <w:rPr>
          <w:rFonts w:hint="eastAsia" w:ascii="宋体" w:hAnsi="宋体" w:eastAsia="宋体" w:cs="宋体"/>
          <w:color w:val="auto"/>
          <w:sz w:val="24"/>
          <w:highlight w:val="none"/>
        </w:rPr>
        <w:t>。</w:t>
      </w:r>
    </w:p>
    <w:p w14:paraId="514870F1">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66DD0799">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五、合同条款内容</w:t>
      </w:r>
    </w:p>
    <w:p w14:paraId="29EB975B">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0F7C77F">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13674488">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6AE756EC">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0120AC82">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482AF7CA">
      <w:pPr>
        <w:pStyle w:val="5"/>
        <w:kinsoku w:val="0"/>
        <w:topLinePunct/>
        <w:autoSpaceDE w:val="0"/>
        <w:autoSpaceDN w:val="0"/>
        <w:snapToGrid w:val="0"/>
        <w:spacing w:line="360" w:lineRule="auto"/>
        <w:ind w:firstLine="480" w:firstLineChars="200"/>
        <w:contextualSpacing/>
        <w:rPr>
          <w:rFonts w:ascii="宋体" w:hAnsi="宋体" w:cs="宋体"/>
          <w:color w:val="auto"/>
          <w:sz w:val="24"/>
          <w:szCs w:val="24"/>
          <w:highlight w:val="none"/>
        </w:rPr>
      </w:pPr>
    </w:p>
    <w:p w14:paraId="6D41CD3D">
      <w:pPr>
        <w:pStyle w:val="5"/>
        <w:kinsoku w:val="0"/>
        <w:topLinePunct/>
        <w:autoSpaceDE w:val="0"/>
        <w:autoSpaceDN w:val="0"/>
        <w:snapToGrid w:val="0"/>
        <w:spacing w:line="360" w:lineRule="auto"/>
        <w:ind w:firstLine="0"/>
        <w:contextualSpacing/>
        <w:rPr>
          <w:rFonts w:ascii="宋体" w:hAnsi="宋体" w:cs="宋体"/>
          <w:color w:val="auto"/>
          <w:sz w:val="24"/>
          <w:highlight w:val="none"/>
        </w:rPr>
      </w:pPr>
      <w:r>
        <w:rPr>
          <w:rFonts w:ascii="宋体" w:hAnsi="宋体" w:cs="宋体"/>
          <w:color w:val="auto"/>
          <w:sz w:val="24"/>
          <w:szCs w:val="24"/>
          <w:highlight w:val="none"/>
        </w:rPr>
        <w:br w:type="page"/>
      </w:r>
    </w:p>
    <w:p w14:paraId="4879EE1F">
      <w:pPr>
        <w:spacing w:line="360" w:lineRule="auto"/>
        <w:ind w:firstLine="602"/>
        <w:jc w:val="center"/>
        <w:outlineLvl w:val="0"/>
        <w:rPr>
          <w:rFonts w:ascii="宋体" w:hAnsi="宋体" w:cs="宋体"/>
          <w:b/>
          <w:bCs/>
          <w:color w:val="auto"/>
          <w:sz w:val="30"/>
          <w:szCs w:val="20"/>
          <w:highlight w:val="none"/>
        </w:rPr>
      </w:pPr>
      <w:r>
        <w:rPr>
          <w:rFonts w:hint="eastAsia" w:ascii="宋体" w:hAnsi="宋体" w:eastAsia="宋体" w:cs="宋体"/>
          <w:b/>
          <w:color w:val="auto"/>
          <w:sz w:val="30"/>
          <w:szCs w:val="21"/>
          <w:highlight w:val="none"/>
          <w:lang w:val="en-US" w:eastAsia="zh-CN"/>
        </w:rPr>
        <w:t>沪陕高速公路海门城区至南通东段客车差异化收费政策实施情况评估服务项目</w:t>
      </w:r>
      <w:r>
        <w:rPr>
          <w:rFonts w:hint="eastAsia" w:ascii="宋体" w:hAnsi="宋体" w:cs="宋体"/>
          <w:b/>
          <w:color w:val="auto"/>
          <w:sz w:val="30"/>
          <w:szCs w:val="21"/>
          <w:highlight w:val="none"/>
        </w:rPr>
        <w:t>合同协议书</w:t>
      </w:r>
    </w:p>
    <w:p w14:paraId="1BD8C63D">
      <w:pPr>
        <w:tabs>
          <w:tab w:val="left" w:pos="9360"/>
        </w:tabs>
        <w:spacing w:line="360" w:lineRule="auto"/>
        <w:ind w:firstLine="471"/>
        <w:rPr>
          <w:rFonts w:ascii="宋体" w:hAnsi="宋体" w:cs="宋体"/>
          <w:color w:val="auto"/>
          <w:sz w:val="24"/>
          <w:highlight w:val="none"/>
        </w:rPr>
      </w:pPr>
      <w:r>
        <w:rPr>
          <w:rFonts w:hint="eastAsia" w:ascii="宋体" w:hAnsi="宋体" w:cs="宋体"/>
          <w:color w:val="auto"/>
          <w:sz w:val="24"/>
          <w:highlight w:val="none"/>
        </w:rPr>
        <w:t>甲方(采购人)：</w:t>
      </w:r>
    </w:p>
    <w:p w14:paraId="376784E3">
      <w:pPr>
        <w:tabs>
          <w:tab w:val="left" w:pos="9360"/>
        </w:tabs>
        <w:spacing w:line="360" w:lineRule="auto"/>
        <w:ind w:firstLine="471"/>
        <w:rPr>
          <w:rFonts w:ascii="宋体" w:hAnsi="宋体" w:cs="宋体"/>
          <w:color w:val="auto"/>
          <w:sz w:val="24"/>
          <w:highlight w:val="none"/>
        </w:rPr>
      </w:pPr>
      <w:r>
        <w:rPr>
          <w:rFonts w:hint="eastAsia" w:ascii="宋体" w:hAnsi="宋体" w:cs="宋体"/>
          <w:color w:val="auto"/>
          <w:sz w:val="24"/>
          <w:highlight w:val="none"/>
        </w:rPr>
        <w:t>乙方(成交供应商)：</w:t>
      </w:r>
    </w:p>
    <w:p w14:paraId="738604D6">
      <w:pPr>
        <w:spacing w:line="360" w:lineRule="auto"/>
        <w:ind w:firstLine="471"/>
        <w:rPr>
          <w:rFonts w:ascii="宋体" w:hAnsi="宋体" w:cs="宋体"/>
          <w:color w:val="auto"/>
          <w:sz w:val="24"/>
          <w:highlight w:val="none"/>
        </w:rPr>
      </w:pPr>
      <w:r>
        <w:rPr>
          <w:rFonts w:hint="eastAsia" w:ascii="宋体" w:hAnsi="宋体" w:eastAsia="宋体" w:cs="宋体"/>
          <w:color w:val="auto"/>
          <w:sz w:val="24"/>
          <w:highlight w:val="none"/>
        </w:rPr>
        <w:t>甲乙双方根据《中华人民共和国政府采购法》、《政府采购非招标采购方式管理办法》、《中华人民共和国民法典》及</w:t>
      </w:r>
      <w:r>
        <w:rPr>
          <w:rFonts w:hint="eastAsia" w:ascii="宋体" w:hAnsi="宋体" w:eastAsia="宋体" w:cs="宋体"/>
          <w:color w:val="auto"/>
          <w:sz w:val="24"/>
          <w:highlight w:val="none"/>
          <w:lang w:val="en-US" w:eastAsia="zh-CN"/>
        </w:rPr>
        <w:t>沪陕高速公路海门城区至南通东段客车差异化收费政策实施情况评估服务项目竞争性谈判文件</w:t>
      </w:r>
      <w:r>
        <w:rPr>
          <w:rFonts w:hint="eastAsia" w:ascii="宋体" w:hAnsi="宋体" w:eastAsia="宋体" w:cs="宋体"/>
          <w:color w:val="auto"/>
          <w:sz w:val="24"/>
          <w:highlight w:val="none"/>
        </w:rPr>
        <w:t>，按</w:t>
      </w:r>
      <w:r>
        <w:rPr>
          <w:rFonts w:hint="eastAsia" w:ascii="宋体" w:hAnsi="宋体" w:cs="宋体"/>
          <w:color w:val="auto"/>
          <w:sz w:val="24"/>
          <w:highlight w:val="none"/>
        </w:rPr>
        <w:t>照平等、自愿的原则，协商签订此合同。</w:t>
      </w:r>
    </w:p>
    <w:p w14:paraId="31413F23">
      <w:pPr>
        <w:tabs>
          <w:tab w:val="left" w:pos="0"/>
          <w:tab w:val="left" w:pos="993"/>
          <w:tab w:val="left" w:pos="1134"/>
        </w:tabs>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一、说明</w:t>
      </w:r>
    </w:p>
    <w:p w14:paraId="668FDC1F">
      <w:pPr>
        <w:tabs>
          <w:tab w:val="left" w:pos="0"/>
          <w:tab w:val="left" w:pos="993"/>
          <w:tab w:val="left" w:pos="1134"/>
        </w:tabs>
        <w:spacing w:line="360" w:lineRule="auto"/>
        <w:ind w:firstLine="480"/>
        <w:rPr>
          <w:rFonts w:ascii="宋体" w:hAnsi="宋体" w:cs="宋体"/>
          <w:color w:val="auto"/>
          <w:sz w:val="24"/>
          <w:highlight w:val="none"/>
        </w:rPr>
      </w:pPr>
      <w:r>
        <w:rPr>
          <w:rFonts w:hint="eastAsia" w:ascii="宋体" w:hAnsi="宋体" w:eastAsia="宋体" w:cs="宋体"/>
          <w:color w:val="auto"/>
          <w:sz w:val="24"/>
          <w:highlight w:val="none"/>
          <w:lang w:val="en-US" w:eastAsia="zh-CN"/>
        </w:rPr>
        <w:t>沪陕高速公路海门城区至南通东段客车差异化收费政策实施情况评估服务项目</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日组织了</w:t>
      </w:r>
      <w:r>
        <w:rPr>
          <w:rFonts w:hint="eastAsia" w:ascii="宋体" w:hAnsi="宋体" w:cs="宋体"/>
          <w:color w:val="auto"/>
          <w:sz w:val="24"/>
          <w:highlight w:val="none"/>
          <w:u w:val="single"/>
        </w:rPr>
        <w:t xml:space="preserve"> 竞争性</w:t>
      </w:r>
      <w:r>
        <w:rPr>
          <w:rFonts w:hint="eastAsia" w:ascii="宋体" w:hAnsi="宋体" w:cs="宋体"/>
          <w:color w:val="auto"/>
          <w:sz w:val="24"/>
          <w:highlight w:val="none"/>
          <w:u w:val="single"/>
          <w:lang w:val="en-US" w:eastAsia="zh-CN"/>
        </w:rPr>
        <w:t>谈判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，经认真严格的评审，确定由乙方承包本项目。</w:t>
      </w:r>
    </w:p>
    <w:p w14:paraId="5CE8AC08">
      <w:pPr>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color w:val="auto"/>
          <w:sz w:val="24"/>
          <w:highlight w:val="none"/>
        </w:rPr>
        <w:t>、</w:t>
      </w:r>
      <w:r>
        <w:rPr>
          <w:rFonts w:hint="eastAsia" w:ascii="宋体" w:hAnsi="宋体" w:cs="宋体"/>
          <w:b/>
          <w:color w:val="auto"/>
          <w:sz w:val="24"/>
          <w:highlight w:val="none"/>
        </w:rPr>
        <w:t>项目基本情况</w:t>
      </w:r>
    </w:p>
    <w:p w14:paraId="217F25DE">
      <w:pPr>
        <w:spacing w:line="360" w:lineRule="auto"/>
        <w:ind w:firstLine="472"/>
        <w:rPr>
          <w:rFonts w:ascii="宋体" w:hAnsi="宋体" w:cs="宋体"/>
          <w:bCs/>
          <w:color w:val="auto"/>
          <w:sz w:val="24"/>
          <w:highlight w:val="none"/>
          <w:u w:val="single"/>
        </w:rPr>
      </w:pPr>
      <w:r>
        <w:rPr>
          <w:rFonts w:hint="eastAsia" w:ascii="宋体" w:hAnsi="宋体" w:cs="宋体"/>
          <w:bCs/>
          <w:color w:val="auto"/>
          <w:sz w:val="24"/>
          <w:highlight w:val="none"/>
        </w:rPr>
        <w:t>1、项目名称：</w:t>
      </w:r>
      <w:r>
        <w:rPr>
          <w:rFonts w:hint="eastAsia" w:ascii="宋体" w:hAnsi="宋体" w:eastAsia="宋体" w:cs="宋体"/>
          <w:color w:val="auto"/>
          <w:sz w:val="24"/>
          <w:highlight w:val="none"/>
          <w:lang w:val="en-US" w:eastAsia="zh-CN"/>
        </w:rPr>
        <w:t>沪陕高速公路海门城区至南通东段客车差异化收费政策实施情况评估服务项目</w:t>
      </w:r>
    </w:p>
    <w:p w14:paraId="751554EA">
      <w:pPr>
        <w:spacing w:line="360" w:lineRule="auto"/>
        <w:ind w:firstLine="472"/>
        <w:rPr>
          <w:rFonts w:ascii="宋体" w:hAnsi="宋体" w:cs="宋体"/>
          <w:b/>
          <w:color w:val="auto"/>
          <w:sz w:val="24"/>
          <w:highlight w:val="none"/>
          <w:u w:val="single"/>
        </w:rPr>
      </w:pPr>
      <w:r>
        <w:rPr>
          <w:rFonts w:hint="eastAsia" w:ascii="宋体" w:hAnsi="宋体" w:cs="宋体"/>
          <w:bCs/>
          <w:color w:val="auto"/>
          <w:sz w:val="24"/>
          <w:highlight w:val="none"/>
        </w:rPr>
        <w:t>2、项目地点：南通市</w:t>
      </w:r>
    </w:p>
    <w:p w14:paraId="79A853F5">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3、工作内容：</w:t>
      </w:r>
      <w:r>
        <w:rPr>
          <w:rFonts w:hint="eastAsia" w:ascii="宋体" w:hAnsi="宋体" w:eastAsia="宋体" w:cs="宋体"/>
          <w:color w:val="auto"/>
          <w:sz w:val="24"/>
          <w:szCs w:val="24"/>
          <w:highlight w:val="none"/>
          <w:lang w:val="en-US" w:eastAsia="zh-CN"/>
        </w:rPr>
        <w:t>完成</w:t>
      </w:r>
      <w:r>
        <w:rPr>
          <w:rFonts w:hint="default" w:ascii="宋体" w:hAnsi="宋体" w:eastAsia="宋体" w:cs="宋体"/>
          <w:color w:val="auto"/>
          <w:sz w:val="24"/>
          <w:szCs w:val="24"/>
          <w:highlight w:val="none"/>
          <w:lang w:val="en-US" w:eastAsia="zh-CN"/>
        </w:rPr>
        <w:t>沪陕高速海门城区至南通东段客车差异化收费政策实施</w:t>
      </w:r>
      <w:r>
        <w:rPr>
          <w:rFonts w:hint="eastAsia" w:ascii="宋体" w:hAnsi="宋体" w:eastAsia="宋体" w:cs="宋体"/>
          <w:color w:val="auto"/>
          <w:sz w:val="24"/>
          <w:szCs w:val="24"/>
          <w:highlight w:val="none"/>
          <w:lang w:val="en-US" w:eastAsia="zh-CN"/>
        </w:rPr>
        <w:t>情况</w:t>
      </w:r>
      <w:r>
        <w:rPr>
          <w:rFonts w:hint="default" w:ascii="宋体" w:hAnsi="宋体" w:eastAsia="宋体" w:cs="宋体"/>
          <w:color w:val="auto"/>
          <w:sz w:val="24"/>
          <w:szCs w:val="24"/>
          <w:highlight w:val="none"/>
          <w:lang w:val="en-US" w:eastAsia="zh-CN"/>
        </w:rPr>
        <w:t>评估报告及协助开展省、市相关部门报批工作</w:t>
      </w:r>
      <w:r>
        <w:rPr>
          <w:rFonts w:hint="eastAsia" w:ascii="宋体" w:hAnsi="宋体" w:eastAsia="宋体" w:cs="宋体"/>
          <w:color w:val="auto"/>
          <w:sz w:val="24"/>
          <w:szCs w:val="24"/>
          <w:highlight w:val="none"/>
          <w:lang w:val="en-US" w:eastAsia="zh-CN"/>
        </w:rPr>
        <w:t>。其中，评估报告内</w:t>
      </w:r>
      <w:r>
        <w:rPr>
          <w:rFonts w:hint="eastAsia"/>
          <w:color w:val="auto"/>
          <w:highlight w:val="none"/>
          <w:lang w:val="en-US" w:eastAsia="zh-CN"/>
        </w:rPr>
        <w:t>容</w:t>
      </w:r>
      <w:r>
        <w:rPr>
          <w:rFonts w:hint="eastAsia" w:ascii="宋体" w:hAnsi="宋体" w:eastAsia="宋体" w:cs="宋体"/>
          <w:color w:val="auto"/>
          <w:sz w:val="24"/>
          <w:szCs w:val="24"/>
          <w:highlight w:val="none"/>
          <w:lang w:val="en-US" w:eastAsia="zh-CN"/>
        </w:rPr>
        <w:t>包含开展差异化收费政策实施情况调查、开展交通量调查与交通运行状况评估、开展差异化收费道路收费运营情况调查评估、开展社会满意度和舆情状况调查评估、开展经济社会影响状况调查评估、开展政策延期交通量和通行费预测、研究提出政策延续实施建议等方面内容。</w:t>
      </w:r>
    </w:p>
    <w:p w14:paraId="1BE5C8CF">
      <w:pPr>
        <w:spacing w:line="360" w:lineRule="auto"/>
        <w:ind w:firstLine="471"/>
        <w:rPr>
          <w:rFonts w:ascii="宋体" w:hAnsi="宋体" w:cs="宋体"/>
          <w:b/>
          <w:color w:val="auto"/>
          <w:sz w:val="24"/>
          <w:highlight w:val="none"/>
        </w:rPr>
      </w:pPr>
      <w:r>
        <w:rPr>
          <w:rFonts w:hint="eastAsia" w:ascii="宋体" w:hAnsi="宋体" w:cs="宋体"/>
          <w:b/>
          <w:color w:val="auto"/>
          <w:sz w:val="24"/>
          <w:highlight w:val="none"/>
        </w:rPr>
        <w:t>三、合同文件构成</w:t>
      </w:r>
    </w:p>
    <w:p w14:paraId="70440DD5">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14:paraId="6126EFF4">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（1）中标（成交）通知书；</w:t>
      </w:r>
    </w:p>
    <w:p w14:paraId="61640B1F">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（2）投标函及其附录；</w:t>
      </w:r>
    </w:p>
    <w:p w14:paraId="204D4D8C">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（3）投标承诺/服务承诺；</w:t>
      </w:r>
    </w:p>
    <w:p w14:paraId="7BD25A5A">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（4）其他合同文件。</w:t>
      </w:r>
    </w:p>
    <w:p w14:paraId="065C8026">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（5）响应文件及评标过程中形成的文字资料、澄清资料均作为本合同的组成部分，具有同等效力。</w:t>
      </w:r>
    </w:p>
    <w:p w14:paraId="1EB952FE">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上述各项合同文件包括合同当事人就该项合同文件所作出的补充和修改，属于同一类内容的文件，应以最新签署的为准。</w:t>
      </w:r>
    </w:p>
    <w:p w14:paraId="5F211139">
      <w:pPr>
        <w:spacing w:line="360" w:lineRule="auto"/>
        <w:ind w:firstLine="471"/>
        <w:rPr>
          <w:rFonts w:ascii="宋体" w:hAnsi="宋体" w:cs="宋体"/>
          <w:color w:val="auto"/>
          <w:sz w:val="24"/>
          <w:highlight w:val="none"/>
        </w:rPr>
      </w:pPr>
      <w:r>
        <w:rPr>
          <w:rFonts w:hint="eastAsia" w:ascii="宋体" w:hAnsi="宋体" w:cs="宋体"/>
          <w:b/>
          <w:color w:val="auto"/>
          <w:sz w:val="24"/>
          <w:highlight w:val="none"/>
        </w:rPr>
        <w:t>四、人员要求</w:t>
      </w:r>
    </w:p>
    <w:p w14:paraId="09D1B2D3">
      <w:pPr>
        <w:spacing w:line="360" w:lineRule="auto"/>
        <w:ind w:firstLine="471"/>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14:paraId="54187479">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五、合同服务期</w:t>
      </w:r>
    </w:p>
    <w:p w14:paraId="05B91C6D">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自合同签订之日起至</w:t>
      </w:r>
      <w:r>
        <w:rPr>
          <w:rFonts w:hint="eastAsia" w:ascii="宋体" w:hAnsi="宋体" w:eastAsia="宋体" w:cs="宋体"/>
          <w:color w:val="auto"/>
          <w:sz w:val="24"/>
          <w:szCs w:val="24"/>
          <w:highlight w:val="none"/>
          <w:lang w:val="en-US" w:eastAsia="zh-CN"/>
        </w:rPr>
        <w:t>评估报告通过甲方验收。</w:t>
      </w:r>
    </w:p>
    <w:p w14:paraId="0085052E">
      <w:pPr>
        <w:spacing w:line="36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w:t>
      </w:r>
      <w:r>
        <w:rPr>
          <w:rFonts w:hint="default" w:ascii="宋体" w:hAnsi="宋体" w:eastAsia="宋体" w:cs="宋体"/>
          <w:color w:val="auto"/>
          <w:sz w:val="24"/>
          <w:szCs w:val="24"/>
          <w:highlight w:val="none"/>
          <w:lang w:val="en-US" w:eastAsia="zh-CN"/>
        </w:rPr>
        <w:t>要求为</w:t>
      </w:r>
      <w:r>
        <w:rPr>
          <w:rFonts w:hint="eastAsia" w:ascii="宋体" w:hAnsi="宋体" w:eastAsia="宋体" w:cs="宋体"/>
          <w:color w:val="auto"/>
          <w:sz w:val="24"/>
          <w:szCs w:val="24"/>
          <w:highlight w:val="none"/>
          <w:lang w:val="en-US" w:eastAsia="zh-CN"/>
        </w:rPr>
        <w:t>：</w:t>
      </w:r>
    </w:p>
    <w:p w14:paraId="56E53247">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月31日前</w:t>
      </w:r>
      <w:r>
        <w:rPr>
          <w:rFonts w:hint="eastAsia" w:ascii="宋体" w:hAnsi="宋体" w:eastAsia="宋体" w:cs="宋体"/>
          <w:color w:val="auto"/>
          <w:sz w:val="24"/>
          <w:szCs w:val="24"/>
          <w:highlight w:val="none"/>
          <w:lang w:val="en-US" w:eastAsia="zh-CN"/>
        </w:rPr>
        <w:t>形成工作大纲；</w:t>
      </w:r>
    </w:p>
    <w:p w14:paraId="7A2A901F">
      <w:pPr>
        <w:spacing w:line="360" w:lineRule="auto"/>
        <w:ind w:firstLine="471"/>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2025年8月31日前完成</w:t>
      </w:r>
      <w:r>
        <w:rPr>
          <w:rFonts w:hint="eastAsia" w:ascii="宋体" w:hAnsi="宋体" w:eastAsia="宋体" w:cs="宋体"/>
          <w:color w:val="auto"/>
          <w:sz w:val="24"/>
          <w:szCs w:val="24"/>
          <w:highlight w:val="none"/>
          <w:lang w:val="en-US" w:eastAsia="zh-CN"/>
        </w:rPr>
        <w:t>最终评估报告</w:t>
      </w:r>
      <w:r>
        <w:rPr>
          <w:rFonts w:hint="default" w:ascii="宋体" w:hAnsi="宋体" w:eastAsia="宋体" w:cs="宋体"/>
          <w:color w:val="auto"/>
          <w:sz w:val="24"/>
          <w:szCs w:val="24"/>
          <w:highlight w:val="none"/>
          <w:lang w:val="en-US" w:eastAsia="zh-CN"/>
        </w:rPr>
        <w:t>；</w:t>
      </w:r>
    </w:p>
    <w:p w14:paraId="06A57FBA">
      <w:pPr>
        <w:spacing w:line="360" w:lineRule="auto"/>
        <w:ind w:firstLine="471"/>
        <w:rPr>
          <w:rFonts w:ascii="宋体" w:hAnsi="宋体" w:cs="宋体"/>
          <w:color w:val="auto"/>
          <w:sz w:val="24"/>
          <w:highlight w:val="none"/>
        </w:rPr>
      </w:pPr>
      <w:r>
        <w:rPr>
          <w:rFonts w:hint="default" w:ascii="宋体" w:hAnsi="宋体" w:eastAsia="宋体" w:cs="宋体"/>
          <w:color w:val="auto"/>
          <w:sz w:val="24"/>
          <w:szCs w:val="24"/>
          <w:highlight w:val="none"/>
          <w:lang w:val="en-US" w:eastAsia="zh-CN"/>
        </w:rPr>
        <w:t>2025年9月</w:t>
      </w:r>
      <w:r>
        <w:rPr>
          <w:rFonts w:hint="eastAsia" w:ascii="宋体" w:hAnsi="宋体" w:eastAsia="宋体" w:cs="宋体"/>
          <w:color w:val="auto"/>
          <w:sz w:val="24"/>
          <w:szCs w:val="24"/>
          <w:highlight w:val="none"/>
          <w:lang w:val="en-US" w:eastAsia="zh-CN"/>
        </w:rPr>
        <w:t>31</w:t>
      </w:r>
      <w:r>
        <w:rPr>
          <w:rFonts w:hint="default"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lang w:val="en-US" w:eastAsia="zh-CN"/>
        </w:rPr>
        <w:t>配合甲方将研究成果提交市政府，按程序向省政府提请差异化收费政策延续</w:t>
      </w:r>
      <w:r>
        <w:rPr>
          <w:rFonts w:hint="default" w:ascii="宋体" w:hAnsi="宋体" w:eastAsia="宋体" w:cs="宋体"/>
          <w:color w:val="auto"/>
          <w:sz w:val="24"/>
          <w:szCs w:val="24"/>
          <w:highlight w:val="none"/>
          <w:lang w:val="en-US" w:eastAsia="zh-CN"/>
        </w:rPr>
        <w:t>。</w:t>
      </w:r>
    </w:p>
    <w:p w14:paraId="54B00EA0">
      <w:pPr>
        <w:pStyle w:val="48"/>
        <w:spacing w:before="0"/>
        <w:ind w:firstLine="472"/>
        <w:rPr>
          <w:rFonts w:ascii="宋体" w:hAnsi="宋体" w:cs="宋体"/>
          <w:b/>
          <w:color w:val="auto"/>
          <w:szCs w:val="24"/>
          <w:highlight w:val="none"/>
        </w:rPr>
      </w:pPr>
      <w:r>
        <w:rPr>
          <w:rFonts w:hint="eastAsia" w:ascii="宋体" w:hAnsi="宋体" w:cs="宋体"/>
          <w:b/>
          <w:color w:val="auto"/>
          <w:szCs w:val="24"/>
          <w:highlight w:val="none"/>
        </w:rPr>
        <w:t>六、合同价款及付款方式</w:t>
      </w:r>
    </w:p>
    <w:p w14:paraId="491D7A5A">
      <w:pPr>
        <w:spacing w:line="360" w:lineRule="auto"/>
        <w:ind w:firstLine="471"/>
        <w:rPr>
          <w:rFonts w:ascii="宋体" w:hAnsi="宋体" w:cs="宋体"/>
          <w:color w:val="auto"/>
          <w:sz w:val="24"/>
          <w:highlight w:val="none"/>
          <w:u w:val="single"/>
        </w:rPr>
      </w:pPr>
      <w:r>
        <w:rPr>
          <w:rFonts w:hint="eastAsia" w:ascii="宋体" w:hAnsi="宋体" w:cs="宋体"/>
          <w:color w:val="auto"/>
          <w:sz w:val="24"/>
          <w:highlight w:val="none"/>
        </w:rPr>
        <w:t>1、本项目合同价为人民币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22EC9C4">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合同价款</w:t>
      </w:r>
      <w:r>
        <w:rPr>
          <w:rFonts w:hint="eastAsia" w:ascii="宋体" w:hAnsi="宋体" w:cs="宋体"/>
          <w:color w:val="auto"/>
          <w:sz w:val="24"/>
          <w:highlight w:val="none"/>
        </w:rPr>
        <w:t>为</w:t>
      </w:r>
      <w:r>
        <w:rPr>
          <w:rFonts w:hint="eastAsia" w:ascii="宋体" w:hAnsi="宋体" w:cs="宋体"/>
          <w:bCs/>
          <w:color w:val="auto"/>
          <w:sz w:val="24"/>
          <w:highlight w:val="none"/>
        </w:rPr>
        <w:t>乙方完成本项目的全部工作所需的全部费用，包含但不限于调研费、报告编制费、人员劳务费、专家咨询费（如有）、交通费（汽油费、过路费、驾驶员工资等）、活动组织费（会务费、咨询费、活动场地费、资料印刷费、人工费等）、企业管理费、税金、利润等费用。</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rPr>
        <w:t>应根据本项目相应标段情况和有关规范制订必要、合理的人员投入计划，其拟投入现场人员数量应能满足本标段工作的要求。</w:t>
      </w:r>
    </w:p>
    <w:p w14:paraId="0BF2B35A">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2、付款方式：</w:t>
      </w:r>
    </w:p>
    <w:p w14:paraId="3F4CCC15">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本合同为总价合同，合同签订后10个工作日内支付预付款，预付款为合同价的30%；完成最终评估</w:t>
      </w:r>
      <w:r>
        <w:rPr>
          <w:rFonts w:hint="default" w:ascii="宋体" w:hAnsi="宋体" w:eastAsia="宋体" w:cs="宋体"/>
          <w:color w:val="auto"/>
          <w:sz w:val="24"/>
          <w:szCs w:val="24"/>
          <w:highlight w:val="none"/>
          <w:lang w:val="en-US" w:eastAsia="zh-CN"/>
        </w:rPr>
        <w:t>报告后15个工作日内支付</w:t>
      </w:r>
      <w:r>
        <w:rPr>
          <w:rFonts w:hint="eastAsia" w:ascii="宋体" w:hAnsi="宋体" w:eastAsia="宋体" w:cs="宋体"/>
          <w:color w:val="auto"/>
          <w:sz w:val="24"/>
          <w:szCs w:val="24"/>
          <w:highlight w:val="none"/>
          <w:lang w:val="en-US" w:eastAsia="zh-CN"/>
        </w:rPr>
        <w:t>至</w:t>
      </w:r>
      <w:r>
        <w:rPr>
          <w:rFonts w:hint="default" w:ascii="宋体" w:hAnsi="宋体" w:eastAsia="宋体" w:cs="宋体"/>
          <w:color w:val="auto"/>
          <w:sz w:val="24"/>
          <w:szCs w:val="24"/>
          <w:highlight w:val="none"/>
          <w:lang w:val="en-US" w:eastAsia="zh-CN"/>
        </w:rPr>
        <w:t>合同款项的50%；</w:t>
      </w:r>
      <w:r>
        <w:rPr>
          <w:rFonts w:hint="eastAsia" w:ascii="宋体" w:hAnsi="宋体" w:eastAsia="宋体" w:cs="宋体"/>
          <w:color w:val="auto"/>
          <w:sz w:val="24"/>
          <w:szCs w:val="24"/>
          <w:highlight w:val="none"/>
          <w:lang w:val="en-US" w:eastAsia="zh-CN"/>
        </w:rPr>
        <w:t>评估报告通过甲方验收</w:t>
      </w:r>
      <w:r>
        <w:rPr>
          <w:rFonts w:hint="default" w:ascii="宋体" w:hAnsi="宋体" w:eastAsia="宋体" w:cs="宋体"/>
          <w:color w:val="auto"/>
          <w:sz w:val="24"/>
          <w:szCs w:val="24"/>
          <w:highlight w:val="none"/>
          <w:lang w:val="en-US" w:eastAsia="zh-CN"/>
        </w:rPr>
        <w:t>后15个工作日内支付</w:t>
      </w:r>
      <w:r>
        <w:rPr>
          <w:rFonts w:hint="eastAsia" w:ascii="宋体" w:hAnsi="宋体" w:eastAsia="宋体" w:cs="宋体"/>
          <w:color w:val="auto"/>
          <w:sz w:val="24"/>
          <w:szCs w:val="24"/>
          <w:highlight w:val="none"/>
          <w:lang w:val="en-US" w:eastAsia="zh-CN"/>
        </w:rPr>
        <w:t>剩余</w:t>
      </w:r>
      <w:r>
        <w:rPr>
          <w:rFonts w:hint="default" w:ascii="宋体" w:hAnsi="宋体" w:eastAsia="宋体" w:cs="宋体"/>
          <w:color w:val="auto"/>
          <w:sz w:val="24"/>
          <w:szCs w:val="24"/>
          <w:highlight w:val="none"/>
          <w:lang w:val="en-US" w:eastAsia="zh-CN"/>
        </w:rPr>
        <w:t>合同款项。</w:t>
      </w:r>
    </w:p>
    <w:p w14:paraId="3F3B525B">
      <w:p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上述每次付款</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须按合同要求扣减违约金和赔偿款</w:t>
      </w:r>
      <w:r>
        <w:rPr>
          <w:rFonts w:hint="eastAsia" w:ascii="宋体" w:hAnsi="宋体" w:eastAsia="宋体" w:cs="宋体"/>
          <w:color w:val="auto"/>
          <w:sz w:val="24"/>
          <w:szCs w:val="24"/>
          <w:highlight w:val="none"/>
          <w:lang w:val="en-US" w:eastAsia="zh-CN"/>
        </w:rPr>
        <w:t>。</w:t>
      </w:r>
    </w:p>
    <w:p w14:paraId="3BFB9AD4">
      <w:pPr>
        <w:numPr>
          <w:ilvl w:val="0"/>
          <w:numId w:val="1"/>
        </w:numPr>
        <w:spacing w:line="360" w:lineRule="auto"/>
        <w:ind w:firstLine="471"/>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每次付款前，</w:t>
      </w:r>
      <w:r>
        <w:rPr>
          <w:rFonts w:hint="eastAsia" w:ascii="宋体" w:hAnsi="宋体" w:eastAsia="宋体"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须按</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要求提供等额的合规发票及相关付款申请资料，否则</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可以拒绝付款</w:t>
      </w:r>
      <w:r>
        <w:rPr>
          <w:rFonts w:hint="eastAsia" w:ascii="宋体" w:hAnsi="宋体" w:eastAsia="宋体" w:cs="宋体"/>
          <w:color w:val="auto"/>
          <w:sz w:val="24"/>
          <w:szCs w:val="24"/>
          <w:highlight w:val="none"/>
          <w:lang w:val="en-US" w:eastAsia="zh-CN"/>
        </w:rPr>
        <w:t>。</w:t>
      </w:r>
    </w:p>
    <w:p w14:paraId="7CA67C60">
      <w:pPr>
        <w:numPr>
          <w:ilvl w:val="0"/>
          <w:numId w:val="1"/>
        </w:numPr>
        <w:spacing w:line="36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上述付款均不计息。</w:t>
      </w:r>
    </w:p>
    <w:p w14:paraId="5A8ECE63">
      <w:pPr>
        <w:spacing w:line="360" w:lineRule="auto"/>
        <w:ind w:firstLine="472"/>
        <w:rPr>
          <w:rFonts w:ascii="宋体" w:hAnsi="宋体" w:cs="宋体"/>
          <w:color w:val="auto"/>
          <w:sz w:val="24"/>
          <w:highlight w:val="none"/>
        </w:rPr>
      </w:pPr>
      <w:r>
        <w:rPr>
          <w:rFonts w:hint="eastAsia" w:ascii="宋体" w:hAnsi="宋体" w:cs="宋体"/>
          <w:b/>
          <w:color w:val="auto"/>
          <w:sz w:val="24"/>
          <w:highlight w:val="none"/>
        </w:rPr>
        <w:t>七、履约保证金</w:t>
      </w:r>
    </w:p>
    <w:p w14:paraId="25BE2BB8">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本项目免收履约保证金。</w:t>
      </w:r>
    </w:p>
    <w:p w14:paraId="2257775B">
      <w:pPr>
        <w:spacing w:line="360" w:lineRule="auto"/>
        <w:ind w:firstLine="472"/>
        <w:rPr>
          <w:rFonts w:ascii="宋体" w:hAnsi="宋体" w:cs="宋体"/>
          <w:b/>
          <w:color w:val="auto"/>
          <w:sz w:val="24"/>
          <w:highlight w:val="none"/>
        </w:rPr>
      </w:pPr>
      <w:r>
        <w:rPr>
          <w:rFonts w:hint="eastAsia" w:ascii="宋体" w:hAnsi="宋体" w:cs="宋体"/>
          <w:b/>
          <w:color w:val="auto"/>
          <w:sz w:val="24"/>
          <w:highlight w:val="none"/>
        </w:rPr>
        <w:t>八、其他相关重要条约</w:t>
      </w:r>
    </w:p>
    <w:p w14:paraId="69B9BF64">
      <w:pPr>
        <w:pStyle w:val="32"/>
        <w:snapToGrid w:val="0"/>
        <w:spacing w:line="360" w:lineRule="auto"/>
        <w:ind w:firstLine="480" w:firstLineChars="200"/>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不会侵犯任何第三方知识产权。若出现争议，一律由乙方承担全部责任，由此发生的一切费用均由乙方承担。本项目服务内容所涉的所有的成果文件获得批准实施前，任何单位和个人未经同意都无权以任何形式向第三方和社会公开展示成果。</w:t>
      </w:r>
    </w:p>
    <w:p w14:paraId="388BDC8C">
      <w:pPr>
        <w:widowControl/>
        <w:spacing w:line="360" w:lineRule="auto"/>
        <w:ind w:firstLine="474"/>
        <w:jc w:val="left"/>
        <w:rPr>
          <w:rFonts w:ascii="宋体" w:hAnsi="宋体" w:cs="宋体"/>
          <w:b/>
          <w:color w:val="auto"/>
          <w:spacing w:val="-2"/>
          <w:sz w:val="24"/>
          <w:highlight w:val="none"/>
        </w:rPr>
      </w:pPr>
      <w:r>
        <w:rPr>
          <w:rFonts w:hint="eastAsia" w:ascii="宋体" w:hAnsi="宋体" w:cs="宋体"/>
          <w:b/>
          <w:color w:val="auto"/>
          <w:spacing w:val="-2"/>
          <w:sz w:val="24"/>
          <w:highlight w:val="none"/>
        </w:rPr>
        <w:t>九、验收标准与要求</w:t>
      </w:r>
    </w:p>
    <w:p w14:paraId="3A55C68C">
      <w:pPr>
        <w:pStyle w:val="32"/>
        <w:snapToGrid w:val="0"/>
        <w:spacing w:line="360" w:lineRule="auto"/>
        <w:ind w:firstLine="480" w:firstLineChars="200"/>
        <w:contextualSpacing/>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形成最终评估报告后乙方</w:t>
      </w:r>
      <w:r>
        <w:rPr>
          <w:rFonts w:hint="default" w:ascii="宋体" w:hAnsi="宋体" w:eastAsia="宋体" w:cs="宋体"/>
          <w:color w:val="auto"/>
          <w:sz w:val="24"/>
          <w:szCs w:val="24"/>
          <w:highlight w:val="none"/>
          <w:lang w:val="en-US" w:eastAsia="zh-CN"/>
        </w:rPr>
        <w:t>配合</w:t>
      </w:r>
      <w:r>
        <w:rPr>
          <w:rFonts w:hint="eastAsia" w:ascii="宋体" w:hAnsi="宋体" w:eastAsia="宋体" w:cs="宋体"/>
          <w:color w:val="auto"/>
          <w:sz w:val="24"/>
          <w:szCs w:val="24"/>
          <w:highlight w:val="none"/>
          <w:lang w:val="en-US" w:eastAsia="zh-CN"/>
        </w:rPr>
        <w:t>甲方</w:t>
      </w:r>
      <w:r>
        <w:rPr>
          <w:rFonts w:hint="default"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后续</w:t>
      </w:r>
      <w:r>
        <w:rPr>
          <w:rFonts w:hint="default" w:ascii="宋体" w:hAnsi="宋体" w:eastAsia="宋体" w:cs="宋体"/>
          <w:color w:val="auto"/>
          <w:sz w:val="24"/>
          <w:szCs w:val="24"/>
          <w:highlight w:val="none"/>
          <w:lang w:val="en-US" w:eastAsia="zh-CN"/>
        </w:rPr>
        <w:t>省</w:t>
      </w:r>
      <w:r>
        <w:rPr>
          <w:rFonts w:hint="eastAsia" w:ascii="宋体" w:hAnsi="宋体" w:eastAsia="宋体" w:cs="宋体"/>
          <w:color w:val="auto"/>
          <w:sz w:val="24"/>
          <w:szCs w:val="24"/>
          <w:highlight w:val="none"/>
          <w:lang w:val="en-US" w:eastAsia="zh-CN"/>
        </w:rPr>
        <w:t>市报批</w:t>
      </w:r>
      <w:r>
        <w:rPr>
          <w:rFonts w:hint="default" w:ascii="宋体" w:hAnsi="宋体" w:eastAsia="宋体" w:cs="宋体"/>
          <w:color w:val="auto"/>
          <w:sz w:val="24"/>
          <w:szCs w:val="24"/>
          <w:highlight w:val="none"/>
          <w:lang w:val="en-US" w:eastAsia="zh-CN"/>
        </w:rPr>
        <w:t>及汇报</w:t>
      </w:r>
      <w:r>
        <w:rPr>
          <w:rFonts w:hint="eastAsia" w:ascii="宋体" w:hAnsi="宋体" w:eastAsia="宋体" w:cs="宋体"/>
          <w:color w:val="auto"/>
          <w:sz w:val="24"/>
          <w:szCs w:val="24"/>
          <w:highlight w:val="none"/>
          <w:lang w:val="en-US" w:eastAsia="zh-CN"/>
        </w:rPr>
        <w:t>等相关</w:t>
      </w:r>
      <w:r>
        <w:rPr>
          <w:rFonts w:hint="default"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lang w:val="en-US" w:eastAsia="zh-CN"/>
        </w:rPr>
        <w:t>，直至差异化收费政策延期申请获省级认可。</w:t>
      </w:r>
    </w:p>
    <w:p w14:paraId="1DA2483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十、合同生效和终止</w:t>
      </w:r>
    </w:p>
    <w:p w14:paraId="4C52C410">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本合同经双</w:t>
      </w:r>
      <w:r>
        <w:rPr>
          <w:rFonts w:hint="eastAsia" w:ascii="宋体" w:hAnsi="宋体" w:eastAsia="宋体" w:cs="宋体"/>
          <w:color w:val="auto"/>
          <w:kern w:val="2"/>
          <w:sz w:val="24"/>
          <w:szCs w:val="24"/>
          <w:highlight w:val="none"/>
          <w:lang w:val="en-US" w:eastAsia="zh-CN" w:bidi="ar-SA"/>
        </w:rPr>
        <w:t>方签字并加盖公章后生效，</w:t>
      </w:r>
      <w:r>
        <w:rPr>
          <w:rFonts w:hint="eastAsia" w:ascii="宋体" w:hAnsi="宋体" w:cs="宋体"/>
          <w:color w:val="auto"/>
          <w:sz w:val="24"/>
          <w:highlight w:val="none"/>
        </w:rPr>
        <w:t>至双方按照合同的规定履行完各自的义务和责任后自然失效。</w:t>
      </w:r>
    </w:p>
    <w:p w14:paraId="1A57407C">
      <w:pPr>
        <w:spacing w:line="360" w:lineRule="auto"/>
        <w:ind w:firstLine="471"/>
        <w:rPr>
          <w:rFonts w:ascii="宋体" w:hAnsi="宋体" w:cs="宋体"/>
          <w:b/>
          <w:color w:val="auto"/>
          <w:sz w:val="24"/>
          <w:highlight w:val="none"/>
        </w:rPr>
      </w:pPr>
      <w:r>
        <w:rPr>
          <w:rFonts w:hint="eastAsia" w:ascii="宋体" w:hAnsi="宋体" w:cs="宋体"/>
          <w:b/>
          <w:color w:val="auto"/>
          <w:sz w:val="24"/>
          <w:highlight w:val="none"/>
        </w:rPr>
        <w:t>十一、违约责任</w:t>
      </w:r>
    </w:p>
    <w:p w14:paraId="390F99B0">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1.由于甲方提供的资料、文件错误、不准确，造成工期延误或返工时，除合同履行期顺延外，甲方应向乙方支付</w:t>
      </w:r>
      <w:r>
        <w:rPr>
          <w:rFonts w:hint="eastAsia" w:ascii="宋体" w:hAnsi="宋体" w:cs="宋体"/>
          <w:color w:val="auto"/>
          <w:sz w:val="24"/>
          <w:highlight w:val="none"/>
        </w:rPr>
        <w:t>付款总额1‰的违约金</w:t>
      </w:r>
      <w:r>
        <w:rPr>
          <w:rFonts w:hint="eastAsia" w:ascii="宋体" w:hAnsi="宋体" w:cs="宋体"/>
          <w:bCs/>
          <w:color w:val="auto"/>
          <w:sz w:val="24"/>
          <w:highlight w:val="none"/>
        </w:rPr>
        <w:t>，造成质量、安全事故时，由甲方承担法律责任和经济责任。</w:t>
      </w:r>
    </w:p>
    <w:p w14:paraId="7AA29CA1">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2.乙方未按合同约定的时间和质量标准提供服务，但未给甲方造成损失的，甲方可要求乙方整改，乙方在双方协定期限内达到甲方项目需求中的要求后，甲方应支付相应的服务费用。</w:t>
      </w:r>
    </w:p>
    <w:p w14:paraId="4F5D0D1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3.当乙方发生以下约定的违约情况时，甲</w:t>
      </w:r>
      <w:r>
        <w:rPr>
          <w:rFonts w:hint="eastAsia" w:ascii="宋体" w:hAnsi="宋体" w:eastAsia="宋体" w:cs="宋体"/>
          <w:color w:val="auto"/>
          <w:sz w:val="24"/>
          <w:highlight w:val="none"/>
        </w:rPr>
        <w:t>方有权</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支付</w:t>
      </w:r>
      <w:r>
        <w:rPr>
          <w:rFonts w:hint="eastAsia" w:ascii="宋体" w:hAnsi="宋体" w:eastAsia="宋体" w:cs="宋体"/>
          <w:color w:val="auto"/>
          <w:sz w:val="24"/>
          <w:highlight w:val="none"/>
        </w:rPr>
        <w:t>违约金；</w:t>
      </w:r>
      <w:r>
        <w:rPr>
          <w:rFonts w:hint="eastAsia" w:ascii="宋体" w:hAnsi="宋体" w:cs="宋体"/>
          <w:color w:val="auto"/>
          <w:sz w:val="24"/>
          <w:highlight w:val="none"/>
        </w:rPr>
        <w:t>如违约金不足以弥补甲方损失的，甲方有权要求乙方赔偿损失。具体如下：</w:t>
      </w:r>
    </w:p>
    <w:p w14:paraId="1D557082">
      <w:pPr>
        <w:spacing w:line="360" w:lineRule="auto"/>
        <w:ind w:firstLine="471"/>
        <w:rPr>
          <w:rFonts w:ascii="宋体" w:hAnsi="宋体" w:cs="宋体"/>
          <w:bCs/>
          <w:color w:val="auto"/>
          <w:sz w:val="24"/>
          <w:highlight w:val="none"/>
        </w:rPr>
      </w:pPr>
      <w:r>
        <w:rPr>
          <w:rFonts w:hint="eastAsia" w:ascii="宋体" w:hAnsi="宋体" w:cs="宋体"/>
          <w:bCs/>
          <w:color w:val="auto"/>
          <w:sz w:val="24"/>
          <w:highlight w:val="none"/>
        </w:rPr>
        <w:t>乙方未按合同约定的时间和质量标准提供服务，</w:t>
      </w:r>
      <w:r>
        <w:rPr>
          <w:rFonts w:hint="eastAsia" w:ascii="宋体" w:hAnsi="宋体" w:cs="宋体"/>
          <w:color w:val="auto"/>
          <w:sz w:val="24"/>
          <w:highlight w:val="none"/>
        </w:rPr>
        <w:t>乙方应按逾期交付合同总额每日6‰向甲方支付违约金，由甲方从待付合同款项中扣除。逾期超过约定日期10个工作日不能交付合同标的的，甲方可解除本合同。乙方因逾期交付合同标的或因其他违约行为导致甲方解除合同的，乙方应向甲方支付合同价款总额</w:t>
      </w:r>
      <w:r>
        <w:rPr>
          <w:rFonts w:hint="eastAsia" w:ascii="宋体" w:hAnsi="宋体" w:cs="宋体"/>
          <w:color w:val="auto"/>
          <w:sz w:val="24"/>
          <w:highlight w:val="none"/>
          <w:u w:val="single"/>
        </w:rPr>
        <w:t>5%</w:t>
      </w:r>
      <w:r>
        <w:rPr>
          <w:rFonts w:hint="eastAsia" w:ascii="宋体" w:hAnsi="宋体" w:cs="宋体"/>
          <w:color w:val="auto"/>
          <w:sz w:val="24"/>
          <w:highlight w:val="none"/>
        </w:rPr>
        <w:t>的违约金，如造成甲方损失超过违约金的，超出部分由乙方继续承担赔偿责任。</w:t>
      </w:r>
    </w:p>
    <w:p w14:paraId="3DD71962">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十二、不可抗力事件处理</w:t>
      </w:r>
    </w:p>
    <w:p w14:paraId="71A73D9B">
      <w:pPr>
        <w:tabs>
          <w:tab w:val="left" w:pos="360"/>
        </w:tabs>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1、由于不可抗力因素（指火灾、地震、洪水、战争等）使乙方不能在合同规定的期限内完成服务时，乙方必须立即以书面形式通知甲方，并以书面形式向甲方提供有关政府机关所出具的不可抗力因素证明。</w:t>
      </w:r>
    </w:p>
    <w:p w14:paraId="1CAC4A7C">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p>
    <w:p w14:paraId="7B21595F">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十三、</w:t>
      </w:r>
      <w:r>
        <w:rPr>
          <w:rFonts w:hint="eastAsia" w:ascii="宋体" w:hAnsi="宋体" w:cs="宋体"/>
          <w:b/>
          <w:color w:val="auto"/>
          <w:sz w:val="24"/>
          <w:highlight w:val="none"/>
          <w:lang w:val="zh-CN"/>
        </w:rPr>
        <w:t>争议处理</w:t>
      </w:r>
    </w:p>
    <w:p w14:paraId="69080279">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lang w:val="zh-CN"/>
        </w:rPr>
        <w:t xml:space="preserve">争议的最终解决方式：仲裁 </w:t>
      </w:r>
    </w:p>
    <w:p w14:paraId="167EECD1">
      <w:pPr>
        <w:spacing w:line="360" w:lineRule="auto"/>
        <w:ind w:firstLine="471"/>
        <w:jc w:val="left"/>
        <w:rPr>
          <w:rFonts w:ascii="宋体" w:hAnsi="宋体" w:cs="宋体"/>
          <w:b/>
          <w:color w:val="auto"/>
          <w:sz w:val="24"/>
          <w:highlight w:val="none"/>
        </w:rPr>
      </w:pPr>
      <w:r>
        <w:rPr>
          <w:rFonts w:hint="eastAsia" w:ascii="宋体" w:hAnsi="宋体" w:cs="宋体"/>
          <w:color w:val="auto"/>
          <w:sz w:val="24"/>
          <w:highlight w:val="none"/>
          <w:lang w:val="zh-CN"/>
        </w:rPr>
        <w:t>如采用仲裁，向南通仲裁委员会提起仲裁。</w:t>
      </w:r>
    </w:p>
    <w:p w14:paraId="6FBBD9C4">
      <w:pPr>
        <w:spacing w:line="360" w:lineRule="auto"/>
        <w:ind w:firstLine="471"/>
        <w:jc w:val="left"/>
        <w:rPr>
          <w:rFonts w:ascii="宋体" w:hAnsi="宋体" w:cs="宋体"/>
          <w:b/>
          <w:color w:val="auto"/>
          <w:sz w:val="24"/>
          <w:highlight w:val="none"/>
          <w:lang w:val="zh-CN"/>
        </w:rPr>
      </w:pPr>
      <w:r>
        <w:rPr>
          <w:rFonts w:hint="eastAsia" w:ascii="宋体" w:hAnsi="宋体" w:cs="宋体"/>
          <w:b/>
          <w:color w:val="auto"/>
          <w:sz w:val="24"/>
          <w:highlight w:val="none"/>
        </w:rPr>
        <w:t>十四、</w:t>
      </w:r>
      <w:r>
        <w:rPr>
          <w:rFonts w:hint="eastAsia" w:ascii="宋体" w:hAnsi="宋体" w:cs="宋体"/>
          <w:b/>
          <w:color w:val="auto"/>
          <w:sz w:val="24"/>
          <w:highlight w:val="none"/>
          <w:lang w:val="zh-CN"/>
        </w:rPr>
        <w:t>其他</w:t>
      </w:r>
    </w:p>
    <w:p w14:paraId="10FA0F87">
      <w:pPr>
        <w:spacing w:line="360" w:lineRule="auto"/>
        <w:ind w:firstLine="471"/>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未经过甲方的书面同意，乙方不得转让其应履行的合同项下的义务，</w:t>
      </w:r>
      <w:r>
        <w:rPr>
          <w:rFonts w:hint="eastAsia" w:ascii="宋体" w:hAnsi="宋体" w:cs="宋体"/>
          <w:color w:val="auto"/>
          <w:sz w:val="24"/>
          <w:highlight w:val="none"/>
        </w:rPr>
        <w:t>或</w:t>
      </w:r>
      <w:r>
        <w:rPr>
          <w:rFonts w:hint="eastAsia" w:ascii="宋体" w:hAnsi="宋体" w:cs="宋体"/>
          <w:color w:val="auto"/>
          <w:sz w:val="24"/>
          <w:highlight w:val="none"/>
          <w:lang w:val="zh-CN"/>
        </w:rPr>
        <w:t>将部分合同项下的义务分包给其他单位完成。</w:t>
      </w:r>
    </w:p>
    <w:p w14:paraId="39468C8D">
      <w:pPr>
        <w:spacing w:line="360" w:lineRule="auto"/>
        <w:ind w:firstLine="471"/>
        <w:jc w:val="left"/>
        <w:rPr>
          <w:rFonts w:ascii="宋体" w:hAnsi="宋体" w:cs="宋体"/>
          <w:color w:val="auto"/>
          <w:sz w:val="24"/>
          <w:highlight w:val="none"/>
        </w:rPr>
      </w:pPr>
      <w:r>
        <w:rPr>
          <w:rFonts w:hint="eastAsia" w:ascii="宋体" w:hAnsi="宋体" w:cs="宋体"/>
          <w:color w:val="auto"/>
          <w:sz w:val="24"/>
          <w:highlight w:val="none"/>
        </w:rPr>
        <w:t>2、合同履行期内甲乙双方均不得随意变更或解除合同。合同若有未尽事宜，需经双方共同协商，订立补充协议，补充协议条款与本合同条款有冲突的，以补充协议条款为准，补充协议与本合同有同等法律效力。</w:t>
      </w:r>
    </w:p>
    <w:p w14:paraId="48160450">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3、本合同</w:t>
      </w:r>
      <w:r>
        <w:rPr>
          <w:rFonts w:hint="eastAsia" w:ascii="宋体" w:hAnsi="宋体" w:cs="宋体"/>
          <w:color w:val="auto"/>
          <w:sz w:val="24"/>
          <w:highlight w:val="none"/>
          <w:u w:val="single"/>
        </w:rPr>
        <w:t>一式陆份</w:t>
      </w:r>
      <w:r>
        <w:rPr>
          <w:rFonts w:hint="eastAsia" w:ascii="宋体" w:hAnsi="宋体" w:cs="宋体"/>
          <w:color w:val="auto"/>
          <w:sz w:val="24"/>
          <w:highlight w:val="none"/>
        </w:rPr>
        <w:t>，双方各执叁份，自签订之日起生效。</w:t>
      </w:r>
    </w:p>
    <w:p w14:paraId="663A6222">
      <w:pPr>
        <w:spacing w:line="360" w:lineRule="auto"/>
        <w:ind w:firstLine="471"/>
        <w:rPr>
          <w:rFonts w:ascii="宋体" w:hAnsi="宋体" w:cs="宋体"/>
          <w:color w:val="auto"/>
          <w:sz w:val="24"/>
          <w:highlight w:val="none"/>
        </w:rPr>
      </w:pPr>
      <w:r>
        <w:rPr>
          <w:rFonts w:hint="eastAsia" w:ascii="宋体" w:hAnsi="宋体" w:cs="宋体"/>
          <w:color w:val="auto"/>
          <w:sz w:val="24"/>
          <w:highlight w:val="none"/>
        </w:rPr>
        <w:t>4、本合同未尽事宜，遵照《中华人民共和国民法典》有关条文执行。</w:t>
      </w:r>
    </w:p>
    <w:p w14:paraId="6DE452EF">
      <w:pPr>
        <w:spacing w:line="360" w:lineRule="auto"/>
        <w:rPr>
          <w:rFonts w:ascii="宋体" w:hAnsi="宋体" w:cs="宋体"/>
          <w:color w:val="auto"/>
          <w:sz w:val="24"/>
          <w:highlight w:val="none"/>
        </w:rPr>
      </w:pPr>
    </w:p>
    <w:p w14:paraId="421E78FE">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 xml:space="preserve">（盖单位章）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乙方：（盖单位章）</w:t>
      </w:r>
    </w:p>
    <w:p w14:paraId="76E4FD36">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法定代表人</w:t>
      </w:r>
    </w:p>
    <w:p w14:paraId="440E4D33">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3AAF1813">
      <w:pPr>
        <w:spacing w:line="360" w:lineRule="auto"/>
        <w:jc w:val="left"/>
        <w:rPr>
          <w:rFonts w:ascii="宋体" w:hAnsi="宋体" w:cs="宋体"/>
          <w:color w:val="auto"/>
          <w:sz w:val="24"/>
          <w:highlight w:val="none"/>
        </w:rPr>
      </w:pPr>
    </w:p>
    <w:p w14:paraId="44AF7FE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59B0EDB5">
      <w:pPr>
        <w:spacing w:line="360" w:lineRule="auto"/>
        <w:ind w:firstLine="5250"/>
        <w:rPr>
          <w:rFonts w:ascii="宋体" w:hAnsi="宋体" w:cs="宋体"/>
          <w:color w:val="auto"/>
          <w:highlight w:val="none"/>
        </w:rPr>
      </w:pPr>
    </w:p>
    <w:p w14:paraId="4CE43A12">
      <w:pPr>
        <w:rPr>
          <w:rFonts w:ascii="宋体" w:hAnsi="宋体" w:cs="宋体"/>
          <w:color w:val="auto"/>
          <w:sz w:val="36"/>
          <w:szCs w:val="36"/>
          <w:highlight w:val="none"/>
        </w:rPr>
        <w:sectPr>
          <w:footerReference r:id="rId3" w:type="default"/>
          <w:pgSz w:w="11906" w:h="16838"/>
          <w:pgMar w:top="1429" w:right="1429" w:bottom="1429" w:left="1429" w:header="851" w:footer="992" w:gutter="0"/>
          <w:cols w:space="1701" w:num="1"/>
          <w:rtlGutter w:val="0"/>
          <w:docGrid w:linePitch="360" w:charSpace="0"/>
        </w:sectPr>
      </w:pPr>
    </w:p>
    <w:p w14:paraId="076FB3C2">
      <w:pPr>
        <w:spacing w:line="300" w:lineRule="auto"/>
        <w:rPr>
          <w:rFonts w:ascii="宋体" w:hAnsi="宋体" w:cs="宋体"/>
          <w:color w:val="auto"/>
          <w:sz w:val="24"/>
          <w:highlight w:val="none"/>
        </w:rPr>
      </w:pPr>
      <w:r>
        <w:rPr>
          <w:rFonts w:hint="eastAsia" w:ascii="宋体" w:hAnsi="宋体" w:cs="宋体"/>
          <w:color w:val="auto"/>
          <w:sz w:val="24"/>
          <w:highlight w:val="none"/>
        </w:rPr>
        <w:t>附表1</w:t>
      </w:r>
    </w:p>
    <w:p w14:paraId="3C011E97">
      <w:pPr>
        <w:spacing w:line="360" w:lineRule="auto"/>
        <w:rPr>
          <w:rFonts w:ascii="宋体" w:hAnsi="宋体" w:cs="宋体"/>
          <w:bCs/>
          <w:color w:val="auto"/>
          <w:sz w:val="32"/>
          <w:szCs w:val="32"/>
          <w:highlight w:val="none"/>
        </w:rPr>
      </w:pPr>
      <w:r>
        <w:rPr>
          <w:rFonts w:hint="eastAsia" w:ascii="宋体" w:hAnsi="宋体" w:cs="宋体"/>
          <w:b/>
          <w:color w:val="auto"/>
          <w:spacing w:val="2"/>
          <w:sz w:val="24"/>
          <w:highlight w:val="none"/>
        </w:rPr>
        <w:t xml:space="preserve">            </w:t>
      </w:r>
      <w:r>
        <w:rPr>
          <w:rFonts w:hint="eastAsia" w:ascii="宋体" w:hAnsi="宋体" w:cs="宋体"/>
          <w:b/>
          <w:color w:val="auto"/>
          <w:spacing w:val="2"/>
          <w:szCs w:val="21"/>
          <w:highlight w:val="none"/>
        </w:rPr>
        <w:t xml:space="preserve">          </w:t>
      </w:r>
      <w:r>
        <w:rPr>
          <w:rFonts w:hint="eastAsia" w:ascii="宋体" w:hAnsi="宋体" w:cs="宋体"/>
          <w:bCs/>
          <w:color w:val="auto"/>
          <w:spacing w:val="2"/>
          <w:sz w:val="24"/>
          <w:highlight w:val="none"/>
        </w:rPr>
        <w:t>投入本项目人员名单</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799"/>
        <w:gridCol w:w="769"/>
      </w:tblGrid>
      <w:tr w14:paraId="4AD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2" w:type="pct"/>
            <w:vMerge w:val="restart"/>
            <w:vAlign w:val="center"/>
          </w:tcPr>
          <w:p w14:paraId="1543AD7A">
            <w:pPr>
              <w:spacing w:line="360" w:lineRule="auto"/>
              <w:rPr>
                <w:rFonts w:ascii="宋体" w:hAnsi="宋体" w:cs="宋体"/>
                <w:color w:val="auto"/>
                <w:sz w:val="20"/>
                <w:highlight w:val="none"/>
              </w:rPr>
            </w:pPr>
            <w:r>
              <w:rPr>
                <w:rFonts w:hint="eastAsia" w:ascii="宋体" w:hAnsi="宋体" w:cs="宋体"/>
                <w:color w:val="auto"/>
                <w:kern w:val="0"/>
                <w:sz w:val="20"/>
                <w:highlight w:val="none"/>
              </w:rPr>
              <w:t>序号</w:t>
            </w:r>
          </w:p>
        </w:tc>
        <w:tc>
          <w:tcPr>
            <w:tcW w:w="525" w:type="pct"/>
            <w:vMerge w:val="restart"/>
            <w:vAlign w:val="center"/>
          </w:tcPr>
          <w:p w14:paraId="3B012A0E">
            <w:pPr>
              <w:spacing w:line="360" w:lineRule="auto"/>
              <w:rPr>
                <w:rFonts w:ascii="宋体" w:hAnsi="宋体" w:cs="宋体"/>
                <w:color w:val="auto"/>
                <w:sz w:val="20"/>
                <w:highlight w:val="none"/>
              </w:rPr>
            </w:pPr>
            <w:r>
              <w:rPr>
                <w:rFonts w:hint="eastAsia" w:ascii="宋体" w:hAnsi="宋体" w:cs="宋体"/>
                <w:color w:val="auto"/>
                <w:kern w:val="0"/>
                <w:sz w:val="20"/>
                <w:highlight w:val="none"/>
              </w:rPr>
              <w:t>在本项目任职</w:t>
            </w:r>
          </w:p>
        </w:tc>
        <w:tc>
          <w:tcPr>
            <w:tcW w:w="459" w:type="pct"/>
            <w:vMerge w:val="restart"/>
            <w:vAlign w:val="center"/>
          </w:tcPr>
          <w:p w14:paraId="1551B063">
            <w:pPr>
              <w:spacing w:line="360" w:lineRule="auto"/>
              <w:rPr>
                <w:rFonts w:ascii="宋体" w:hAnsi="宋体" w:cs="宋体"/>
                <w:color w:val="auto"/>
                <w:sz w:val="20"/>
                <w:highlight w:val="none"/>
              </w:rPr>
            </w:pPr>
            <w:r>
              <w:rPr>
                <w:rFonts w:hint="eastAsia" w:ascii="宋体" w:hAnsi="宋体" w:cs="宋体"/>
                <w:color w:val="auto"/>
                <w:kern w:val="0"/>
                <w:sz w:val="20"/>
                <w:highlight w:val="none"/>
              </w:rPr>
              <w:t>姓名</w:t>
            </w:r>
          </w:p>
        </w:tc>
        <w:tc>
          <w:tcPr>
            <w:tcW w:w="273" w:type="pct"/>
            <w:vMerge w:val="restart"/>
            <w:vAlign w:val="center"/>
          </w:tcPr>
          <w:p w14:paraId="77A60516">
            <w:pPr>
              <w:spacing w:line="360" w:lineRule="auto"/>
              <w:rPr>
                <w:rFonts w:ascii="宋体" w:hAnsi="宋体" w:cs="宋体"/>
                <w:color w:val="auto"/>
                <w:sz w:val="20"/>
                <w:highlight w:val="none"/>
              </w:rPr>
            </w:pPr>
            <w:r>
              <w:rPr>
                <w:rFonts w:hint="eastAsia" w:ascii="宋体" w:hAnsi="宋体" w:cs="宋体"/>
                <w:color w:val="auto"/>
                <w:kern w:val="0"/>
                <w:sz w:val="20"/>
                <w:highlight w:val="none"/>
              </w:rPr>
              <w:t>学历</w:t>
            </w:r>
          </w:p>
        </w:tc>
        <w:tc>
          <w:tcPr>
            <w:tcW w:w="461" w:type="pct"/>
            <w:vMerge w:val="restart"/>
            <w:vAlign w:val="center"/>
          </w:tcPr>
          <w:p w14:paraId="29586DB6">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技术</w:t>
            </w:r>
          </w:p>
          <w:p w14:paraId="6B637542">
            <w:pPr>
              <w:spacing w:line="360" w:lineRule="auto"/>
              <w:rPr>
                <w:rFonts w:ascii="宋体" w:hAnsi="宋体" w:cs="宋体"/>
                <w:color w:val="auto"/>
                <w:sz w:val="20"/>
                <w:highlight w:val="none"/>
              </w:rPr>
            </w:pPr>
            <w:r>
              <w:rPr>
                <w:rFonts w:hint="eastAsia" w:ascii="宋体" w:hAnsi="宋体" w:cs="宋体"/>
                <w:color w:val="auto"/>
                <w:kern w:val="0"/>
                <w:sz w:val="20"/>
                <w:highlight w:val="none"/>
              </w:rPr>
              <w:t>职称</w:t>
            </w:r>
          </w:p>
        </w:tc>
        <w:tc>
          <w:tcPr>
            <w:tcW w:w="367" w:type="pct"/>
            <w:vMerge w:val="restart"/>
            <w:vAlign w:val="center"/>
          </w:tcPr>
          <w:p w14:paraId="04562068">
            <w:pPr>
              <w:spacing w:line="360" w:lineRule="auto"/>
              <w:rPr>
                <w:rFonts w:ascii="宋体" w:hAnsi="宋体" w:cs="宋体"/>
                <w:color w:val="auto"/>
                <w:sz w:val="20"/>
                <w:highlight w:val="none"/>
              </w:rPr>
            </w:pPr>
            <w:r>
              <w:rPr>
                <w:rFonts w:hint="eastAsia" w:ascii="宋体" w:hAnsi="宋体" w:cs="宋体"/>
                <w:color w:val="auto"/>
                <w:kern w:val="0"/>
                <w:sz w:val="20"/>
                <w:highlight w:val="none"/>
              </w:rPr>
              <w:t>专业</w:t>
            </w:r>
          </w:p>
        </w:tc>
        <w:tc>
          <w:tcPr>
            <w:tcW w:w="1215" w:type="pct"/>
            <w:gridSpan w:val="2"/>
            <w:vAlign w:val="center"/>
          </w:tcPr>
          <w:p w14:paraId="13F49B1F">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执业或职业资格证明</w:t>
            </w:r>
          </w:p>
        </w:tc>
        <w:tc>
          <w:tcPr>
            <w:tcW w:w="578" w:type="pct"/>
            <w:vMerge w:val="restart"/>
            <w:vAlign w:val="center"/>
          </w:tcPr>
          <w:p w14:paraId="38DBAE88">
            <w:pPr>
              <w:spacing w:line="360" w:lineRule="auto"/>
              <w:rPr>
                <w:rFonts w:ascii="宋体" w:hAnsi="宋体" w:cs="宋体"/>
                <w:color w:val="auto"/>
                <w:sz w:val="20"/>
                <w:highlight w:val="none"/>
              </w:rPr>
            </w:pPr>
            <w:r>
              <w:rPr>
                <w:rFonts w:hint="eastAsia" w:ascii="宋体" w:hAnsi="宋体" w:cs="宋体"/>
                <w:color w:val="auto"/>
                <w:kern w:val="0"/>
                <w:sz w:val="20"/>
                <w:highlight w:val="none"/>
              </w:rPr>
              <w:t>身份证号</w:t>
            </w:r>
          </w:p>
        </w:tc>
        <w:tc>
          <w:tcPr>
            <w:tcW w:w="441" w:type="pct"/>
            <w:vMerge w:val="restart"/>
            <w:vAlign w:val="center"/>
          </w:tcPr>
          <w:p w14:paraId="2CA875D8">
            <w:pPr>
              <w:widowControl/>
              <w:autoSpaceDE w:val="0"/>
              <w:autoSpaceDN w:val="0"/>
              <w:jc w:val="center"/>
              <w:textAlignment w:val="bottom"/>
              <w:rPr>
                <w:rFonts w:ascii="宋体" w:hAnsi="宋体" w:cs="宋体"/>
                <w:color w:val="auto"/>
                <w:sz w:val="20"/>
                <w:highlight w:val="none"/>
              </w:rPr>
            </w:pPr>
            <w:r>
              <w:rPr>
                <w:rFonts w:hint="eastAsia" w:ascii="宋体" w:hAnsi="宋体" w:cs="宋体"/>
                <w:color w:val="auto"/>
                <w:kern w:val="0"/>
                <w:sz w:val="20"/>
                <w:szCs w:val="22"/>
                <w:highlight w:val="none"/>
                <w:lang w:val="zh-CN" w:bidi="zh-CN"/>
              </w:rPr>
              <w:t>社保缴纳单位</w:t>
            </w:r>
          </w:p>
        </w:tc>
        <w:tc>
          <w:tcPr>
            <w:tcW w:w="424" w:type="pct"/>
            <w:vMerge w:val="restart"/>
            <w:vAlign w:val="center"/>
          </w:tcPr>
          <w:p w14:paraId="7C3BE07B">
            <w:pPr>
              <w:spacing w:line="360" w:lineRule="auto"/>
              <w:rPr>
                <w:rFonts w:ascii="宋体" w:hAnsi="宋体" w:cs="宋体"/>
                <w:color w:val="auto"/>
                <w:sz w:val="20"/>
                <w:highlight w:val="none"/>
              </w:rPr>
            </w:pPr>
            <w:r>
              <w:rPr>
                <w:rFonts w:hint="eastAsia" w:ascii="宋体" w:hAnsi="宋体" w:cs="宋体"/>
                <w:color w:val="auto"/>
                <w:sz w:val="20"/>
                <w:highlight w:val="none"/>
              </w:rPr>
              <w:t>备注</w:t>
            </w:r>
          </w:p>
        </w:tc>
      </w:tr>
      <w:tr w14:paraId="55A2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3AEF36F6">
            <w:pPr>
              <w:spacing w:line="360" w:lineRule="auto"/>
              <w:rPr>
                <w:rFonts w:ascii="宋体" w:hAnsi="宋体" w:cs="宋体"/>
                <w:b/>
                <w:color w:val="auto"/>
                <w:sz w:val="24"/>
                <w:highlight w:val="none"/>
              </w:rPr>
            </w:pPr>
          </w:p>
        </w:tc>
        <w:tc>
          <w:tcPr>
            <w:tcW w:w="525" w:type="pct"/>
            <w:vMerge w:val="continue"/>
            <w:vAlign w:val="center"/>
          </w:tcPr>
          <w:p w14:paraId="42E9F287">
            <w:pPr>
              <w:spacing w:line="360" w:lineRule="auto"/>
              <w:rPr>
                <w:rFonts w:ascii="宋体" w:hAnsi="宋体" w:cs="宋体"/>
                <w:b/>
                <w:color w:val="auto"/>
                <w:sz w:val="24"/>
                <w:highlight w:val="none"/>
              </w:rPr>
            </w:pPr>
          </w:p>
        </w:tc>
        <w:tc>
          <w:tcPr>
            <w:tcW w:w="459" w:type="pct"/>
            <w:vMerge w:val="continue"/>
            <w:vAlign w:val="center"/>
          </w:tcPr>
          <w:p w14:paraId="46F3C5A0">
            <w:pPr>
              <w:spacing w:line="360" w:lineRule="auto"/>
              <w:rPr>
                <w:rFonts w:ascii="宋体" w:hAnsi="宋体" w:cs="宋体"/>
                <w:b/>
                <w:color w:val="auto"/>
                <w:sz w:val="24"/>
                <w:highlight w:val="none"/>
              </w:rPr>
            </w:pPr>
          </w:p>
        </w:tc>
        <w:tc>
          <w:tcPr>
            <w:tcW w:w="273" w:type="pct"/>
            <w:vMerge w:val="continue"/>
            <w:vAlign w:val="center"/>
          </w:tcPr>
          <w:p w14:paraId="1AA3283A">
            <w:pPr>
              <w:spacing w:line="360" w:lineRule="auto"/>
              <w:rPr>
                <w:rFonts w:ascii="宋体" w:hAnsi="宋体" w:cs="宋体"/>
                <w:b/>
                <w:color w:val="auto"/>
                <w:sz w:val="24"/>
                <w:highlight w:val="none"/>
              </w:rPr>
            </w:pPr>
          </w:p>
        </w:tc>
        <w:tc>
          <w:tcPr>
            <w:tcW w:w="461" w:type="pct"/>
            <w:vMerge w:val="continue"/>
            <w:vAlign w:val="center"/>
          </w:tcPr>
          <w:p w14:paraId="459591D3">
            <w:pPr>
              <w:spacing w:line="360" w:lineRule="auto"/>
              <w:rPr>
                <w:rFonts w:ascii="宋体" w:hAnsi="宋体" w:cs="宋体"/>
                <w:b/>
                <w:color w:val="auto"/>
                <w:sz w:val="24"/>
                <w:highlight w:val="none"/>
              </w:rPr>
            </w:pPr>
          </w:p>
        </w:tc>
        <w:tc>
          <w:tcPr>
            <w:tcW w:w="367" w:type="pct"/>
            <w:vMerge w:val="continue"/>
            <w:vAlign w:val="center"/>
          </w:tcPr>
          <w:p w14:paraId="505F2372">
            <w:pPr>
              <w:spacing w:line="360" w:lineRule="auto"/>
              <w:rPr>
                <w:rFonts w:ascii="宋体" w:hAnsi="宋体" w:cs="宋体"/>
                <w:b/>
                <w:color w:val="auto"/>
                <w:sz w:val="24"/>
                <w:highlight w:val="none"/>
              </w:rPr>
            </w:pPr>
          </w:p>
        </w:tc>
        <w:tc>
          <w:tcPr>
            <w:tcW w:w="558" w:type="pct"/>
            <w:vAlign w:val="center"/>
          </w:tcPr>
          <w:p w14:paraId="6E7D60D3">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证书</w:t>
            </w:r>
          </w:p>
          <w:p w14:paraId="63805289">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名称</w:t>
            </w:r>
          </w:p>
        </w:tc>
        <w:tc>
          <w:tcPr>
            <w:tcW w:w="657" w:type="pct"/>
            <w:vAlign w:val="center"/>
          </w:tcPr>
          <w:p w14:paraId="68175C24">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证号</w:t>
            </w:r>
          </w:p>
        </w:tc>
        <w:tc>
          <w:tcPr>
            <w:tcW w:w="578" w:type="pct"/>
            <w:vMerge w:val="continue"/>
            <w:vAlign w:val="center"/>
          </w:tcPr>
          <w:p w14:paraId="0187339E">
            <w:pPr>
              <w:spacing w:line="360" w:lineRule="auto"/>
              <w:rPr>
                <w:rFonts w:ascii="宋体" w:hAnsi="宋体" w:cs="宋体"/>
                <w:b/>
                <w:color w:val="auto"/>
                <w:sz w:val="24"/>
                <w:highlight w:val="none"/>
              </w:rPr>
            </w:pPr>
          </w:p>
        </w:tc>
        <w:tc>
          <w:tcPr>
            <w:tcW w:w="441" w:type="pct"/>
            <w:vMerge w:val="continue"/>
            <w:vAlign w:val="center"/>
          </w:tcPr>
          <w:p w14:paraId="2C3AA071">
            <w:pPr>
              <w:spacing w:line="360" w:lineRule="auto"/>
              <w:rPr>
                <w:rFonts w:ascii="宋体" w:hAnsi="宋体" w:cs="宋体"/>
                <w:b/>
                <w:color w:val="auto"/>
                <w:sz w:val="24"/>
                <w:highlight w:val="none"/>
              </w:rPr>
            </w:pPr>
          </w:p>
        </w:tc>
        <w:tc>
          <w:tcPr>
            <w:tcW w:w="424" w:type="pct"/>
            <w:vMerge w:val="continue"/>
            <w:vAlign w:val="center"/>
          </w:tcPr>
          <w:p w14:paraId="04C73764">
            <w:pPr>
              <w:spacing w:line="360" w:lineRule="auto"/>
              <w:rPr>
                <w:rFonts w:ascii="宋体" w:hAnsi="宋体" w:cs="宋体"/>
                <w:b/>
                <w:color w:val="auto"/>
                <w:sz w:val="24"/>
                <w:highlight w:val="none"/>
              </w:rPr>
            </w:pPr>
          </w:p>
        </w:tc>
      </w:tr>
      <w:tr w14:paraId="0A62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F874593">
            <w:pPr>
              <w:spacing w:line="360" w:lineRule="auto"/>
              <w:rPr>
                <w:rFonts w:ascii="宋体" w:hAnsi="宋体" w:cs="宋体"/>
                <w:b/>
                <w:color w:val="auto"/>
                <w:sz w:val="24"/>
                <w:highlight w:val="none"/>
              </w:rPr>
            </w:pPr>
          </w:p>
        </w:tc>
        <w:tc>
          <w:tcPr>
            <w:tcW w:w="525" w:type="pct"/>
            <w:vAlign w:val="center"/>
          </w:tcPr>
          <w:p w14:paraId="566F476D">
            <w:pPr>
              <w:spacing w:line="360" w:lineRule="auto"/>
              <w:rPr>
                <w:rFonts w:ascii="宋体" w:hAnsi="宋体" w:cs="宋体"/>
                <w:b/>
                <w:color w:val="auto"/>
                <w:sz w:val="24"/>
                <w:highlight w:val="none"/>
              </w:rPr>
            </w:pPr>
          </w:p>
        </w:tc>
        <w:tc>
          <w:tcPr>
            <w:tcW w:w="459" w:type="pct"/>
            <w:vAlign w:val="center"/>
          </w:tcPr>
          <w:p w14:paraId="5B7C8C02">
            <w:pPr>
              <w:spacing w:line="360" w:lineRule="auto"/>
              <w:rPr>
                <w:rFonts w:ascii="宋体" w:hAnsi="宋体" w:cs="宋体"/>
                <w:b/>
                <w:color w:val="auto"/>
                <w:sz w:val="24"/>
                <w:highlight w:val="none"/>
              </w:rPr>
            </w:pPr>
          </w:p>
        </w:tc>
        <w:tc>
          <w:tcPr>
            <w:tcW w:w="273" w:type="pct"/>
            <w:vAlign w:val="center"/>
          </w:tcPr>
          <w:p w14:paraId="0B880B9E">
            <w:pPr>
              <w:spacing w:line="360" w:lineRule="auto"/>
              <w:rPr>
                <w:rFonts w:ascii="宋体" w:hAnsi="宋体" w:cs="宋体"/>
                <w:b/>
                <w:color w:val="auto"/>
                <w:sz w:val="24"/>
                <w:highlight w:val="none"/>
              </w:rPr>
            </w:pPr>
          </w:p>
        </w:tc>
        <w:tc>
          <w:tcPr>
            <w:tcW w:w="461" w:type="pct"/>
            <w:vAlign w:val="center"/>
          </w:tcPr>
          <w:p w14:paraId="5715EC82">
            <w:pPr>
              <w:spacing w:line="360" w:lineRule="auto"/>
              <w:rPr>
                <w:rFonts w:ascii="宋体" w:hAnsi="宋体" w:cs="宋体"/>
                <w:b/>
                <w:color w:val="auto"/>
                <w:sz w:val="24"/>
                <w:highlight w:val="none"/>
              </w:rPr>
            </w:pPr>
          </w:p>
        </w:tc>
        <w:tc>
          <w:tcPr>
            <w:tcW w:w="367" w:type="pct"/>
            <w:vAlign w:val="center"/>
          </w:tcPr>
          <w:p w14:paraId="31A2D819">
            <w:pPr>
              <w:spacing w:line="360" w:lineRule="auto"/>
              <w:rPr>
                <w:rFonts w:ascii="宋体" w:hAnsi="宋体" w:cs="宋体"/>
                <w:b/>
                <w:color w:val="auto"/>
                <w:sz w:val="24"/>
                <w:highlight w:val="none"/>
              </w:rPr>
            </w:pPr>
          </w:p>
        </w:tc>
        <w:tc>
          <w:tcPr>
            <w:tcW w:w="558" w:type="pct"/>
            <w:vAlign w:val="center"/>
          </w:tcPr>
          <w:p w14:paraId="14425618">
            <w:pPr>
              <w:spacing w:line="360" w:lineRule="auto"/>
              <w:rPr>
                <w:rFonts w:ascii="宋体" w:hAnsi="宋体" w:cs="宋体"/>
                <w:b/>
                <w:color w:val="auto"/>
                <w:sz w:val="24"/>
                <w:highlight w:val="none"/>
              </w:rPr>
            </w:pPr>
          </w:p>
        </w:tc>
        <w:tc>
          <w:tcPr>
            <w:tcW w:w="657" w:type="pct"/>
            <w:vAlign w:val="center"/>
          </w:tcPr>
          <w:p w14:paraId="16EDAC8F">
            <w:pPr>
              <w:spacing w:line="360" w:lineRule="auto"/>
              <w:rPr>
                <w:rFonts w:ascii="宋体" w:hAnsi="宋体" w:cs="宋体"/>
                <w:b/>
                <w:color w:val="auto"/>
                <w:sz w:val="24"/>
                <w:highlight w:val="none"/>
              </w:rPr>
            </w:pPr>
          </w:p>
        </w:tc>
        <w:tc>
          <w:tcPr>
            <w:tcW w:w="578" w:type="pct"/>
            <w:vAlign w:val="center"/>
          </w:tcPr>
          <w:p w14:paraId="34263BAC">
            <w:pPr>
              <w:spacing w:line="360" w:lineRule="auto"/>
              <w:rPr>
                <w:rFonts w:ascii="宋体" w:hAnsi="宋体" w:cs="宋体"/>
                <w:b/>
                <w:color w:val="auto"/>
                <w:sz w:val="24"/>
                <w:highlight w:val="none"/>
              </w:rPr>
            </w:pPr>
          </w:p>
        </w:tc>
        <w:tc>
          <w:tcPr>
            <w:tcW w:w="441" w:type="pct"/>
            <w:vAlign w:val="center"/>
          </w:tcPr>
          <w:p w14:paraId="68CA470D">
            <w:pPr>
              <w:spacing w:line="360" w:lineRule="auto"/>
              <w:rPr>
                <w:rFonts w:ascii="宋体" w:hAnsi="宋体" w:cs="宋体"/>
                <w:b/>
                <w:color w:val="auto"/>
                <w:sz w:val="24"/>
                <w:highlight w:val="none"/>
              </w:rPr>
            </w:pPr>
          </w:p>
        </w:tc>
        <w:tc>
          <w:tcPr>
            <w:tcW w:w="424" w:type="pct"/>
            <w:vAlign w:val="center"/>
          </w:tcPr>
          <w:p w14:paraId="3383725B">
            <w:pPr>
              <w:spacing w:line="360" w:lineRule="auto"/>
              <w:rPr>
                <w:rFonts w:ascii="宋体" w:hAnsi="宋体" w:cs="宋体"/>
                <w:b/>
                <w:color w:val="auto"/>
                <w:sz w:val="24"/>
                <w:highlight w:val="none"/>
              </w:rPr>
            </w:pPr>
          </w:p>
        </w:tc>
      </w:tr>
      <w:tr w14:paraId="0C1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8CE8B35">
            <w:pPr>
              <w:spacing w:line="360" w:lineRule="auto"/>
              <w:rPr>
                <w:rFonts w:ascii="宋体" w:hAnsi="宋体" w:cs="宋体"/>
                <w:b/>
                <w:color w:val="auto"/>
                <w:sz w:val="24"/>
                <w:highlight w:val="none"/>
              </w:rPr>
            </w:pPr>
          </w:p>
        </w:tc>
        <w:tc>
          <w:tcPr>
            <w:tcW w:w="525" w:type="pct"/>
            <w:vAlign w:val="center"/>
          </w:tcPr>
          <w:p w14:paraId="55619C84">
            <w:pPr>
              <w:spacing w:line="360" w:lineRule="auto"/>
              <w:rPr>
                <w:rFonts w:ascii="宋体" w:hAnsi="宋体" w:cs="宋体"/>
                <w:b/>
                <w:color w:val="auto"/>
                <w:sz w:val="24"/>
                <w:highlight w:val="none"/>
              </w:rPr>
            </w:pPr>
          </w:p>
        </w:tc>
        <w:tc>
          <w:tcPr>
            <w:tcW w:w="459" w:type="pct"/>
            <w:vAlign w:val="center"/>
          </w:tcPr>
          <w:p w14:paraId="334A6EE2">
            <w:pPr>
              <w:spacing w:line="360" w:lineRule="auto"/>
              <w:rPr>
                <w:rFonts w:ascii="宋体" w:hAnsi="宋体" w:cs="宋体"/>
                <w:b/>
                <w:color w:val="auto"/>
                <w:sz w:val="24"/>
                <w:highlight w:val="none"/>
              </w:rPr>
            </w:pPr>
          </w:p>
        </w:tc>
        <w:tc>
          <w:tcPr>
            <w:tcW w:w="273" w:type="pct"/>
            <w:vAlign w:val="center"/>
          </w:tcPr>
          <w:p w14:paraId="78007257">
            <w:pPr>
              <w:spacing w:line="360" w:lineRule="auto"/>
              <w:rPr>
                <w:rFonts w:ascii="宋体" w:hAnsi="宋体" w:cs="宋体"/>
                <w:b/>
                <w:color w:val="auto"/>
                <w:sz w:val="24"/>
                <w:highlight w:val="none"/>
              </w:rPr>
            </w:pPr>
          </w:p>
        </w:tc>
        <w:tc>
          <w:tcPr>
            <w:tcW w:w="461" w:type="pct"/>
            <w:vAlign w:val="center"/>
          </w:tcPr>
          <w:p w14:paraId="3FA5A845">
            <w:pPr>
              <w:spacing w:line="360" w:lineRule="auto"/>
              <w:rPr>
                <w:rFonts w:ascii="宋体" w:hAnsi="宋体" w:cs="宋体"/>
                <w:b/>
                <w:color w:val="auto"/>
                <w:sz w:val="24"/>
                <w:highlight w:val="none"/>
              </w:rPr>
            </w:pPr>
          </w:p>
        </w:tc>
        <w:tc>
          <w:tcPr>
            <w:tcW w:w="367" w:type="pct"/>
            <w:vAlign w:val="center"/>
          </w:tcPr>
          <w:p w14:paraId="6E7002C6">
            <w:pPr>
              <w:spacing w:line="360" w:lineRule="auto"/>
              <w:rPr>
                <w:rFonts w:ascii="宋体" w:hAnsi="宋体" w:cs="宋体"/>
                <w:b/>
                <w:color w:val="auto"/>
                <w:sz w:val="24"/>
                <w:highlight w:val="none"/>
              </w:rPr>
            </w:pPr>
          </w:p>
        </w:tc>
        <w:tc>
          <w:tcPr>
            <w:tcW w:w="558" w:type="pct"/>
            <w:vAlign w:val="center"/>
          </w:tcPr>
          <w:p w14:paraId="084D84D4">
            <w:pPr>
              <w:spacing w:line="360" w:lineRule="auto"/>
              <w:rPr>
                <w:rFonts w:ascii="宋体" w:hAnsi="宋体" w:cs="宋体"/>
                <w:b/>
                <w:color w:val="auto"/>
                <w:sz w:val="24"/>
                <w:highlight w:val="none"/>
              </w:rPr>
            </w:pPr>
          </w:p>
        </w:tc>
        <w:tc>
          <w:tcPr>
            <w:tcW w:w="657" w:type="pct"/>
            <w:vAlign w:val="center"/>
          </w:tcPr>
          <w:p w14:paraId="1F54D40E">
            <w:pPr>
              <w:spacing w:line="360" w:lineRule="auto"/>
              <w:rPr>
                <w:rFonts w:ascii="宋体" w:hAnsi="宋体" w:cs="宋体"/>
                <w:b/>
                <w:color w:val="auto"/>
                <w:sz w:val="24"/>
                <w:highlight w:val="none"/>
              </w:rPr>
            </w:pPr>
          </w:p>
        </w:tc>
        <w:tc>
          <w:tcPr>
            <w:tcW w:w="578" w:type="pct"/>
            <w:vAlign w:val="center"/>
          </w:tcPr>
          <w:p w14:paraId="793D06B5">
            <w:pPr>
              <w:spacing w:line="360" w:lineRule="auto"/>
              <w:rPr>
                <w:rFonts w:ascii="宋体" w:hAnsi="宋体" w:cs="宋体"/>
                <w:b/>
                <w:color w:val="auto"/>
                <w:sz w:val="24"/>
                <w:highlight w:val="none"/>
              </w:rPr>
            </w:pPr>
          </w:p>
        </w:tc>
        <w:tc>
          <w:tcPr>
            <w:tcW w:w="441" w:type="pct"/>
            <w:vAlign w:val="center"/>
          </w:tcPr>
          <w:p w14:paraId="1C2D2615">
            <w:pPr>
              <w:spacing w:line="360" w:lineRule="auto"/>
              <w:rPr>
                <w:rFonts w:ascii="宋体" w:hAnsi="宋体" w:cs="宋体"/>
                <w:b/>
                <w:color w:val="auto"/>
                <w:sz w:val="24"/>
                <w:highlight w:val="none"/>
              </w:rPr>
            </w:pPr>
          </w:p>
        </w:tc>
        <w:tc>
          <w:tcPr>
            <w:tcW w:w="424" w:type="pct"/>
            <w:vAlign w:val="center"/>
          </w:tcPr>
          <w:p w14:paraId="5E61D218">
            <w:pPr>
              <w:spacing w:line="360" w:lineRule="auto"/>
              <w:rPr>
                <w:rFonts w:ascii="宋体" w:hAnsi="宋体" w:cs="宋体"/>
                <w:b/>
                <w:color w:val="auto"/>
                <w:sz w:val="24"/>
                <w:highlight w:val="none"/>
              </w:rPr>
            </w:pPr>
          </w:p>
        </w:tc>
      </w:tr>
      <w:tr w14:paraId="29D6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586D5D">
            <w:pPr>
              <w:spacing w:line="360" w:lineRule="auto"/>
              <w:rPr>
                <w:rFonts w:ascii="宋体" w:hAnsi="宋体" w:cs="宋体"/>
                <w:b/>
                <w:color w:val="auto"/>
                <w:sz w:val="24"/>
                <w:highlight w:val="none"/>
              </w:rPr>
            </w:pPr>
          </w:p>
        </w:tc>
        <w:tc>
          <w:tcPr>
            <w:tcW w:w="525" w:type="pct"/>
            <w:vAlign w:val="center"/>
          </w:tcPr>
          <w:p w14:paraId="77792142">
            <w:pPr>
              <w:spacing w:line="360" w:lineRule="auto"/>
              <w:rPr>
                <w:rFonts w:ascii="宋体" w:hAnsi="宋体" w:cs="宋体"/>
                <w:b/>
                <w:color w:val="auto"/>
                <w:sz w:val="24"/>
                <w:highlight w:val="none"/>
              </w:rPr>
            </w:pPr>
          </w:p>
        </w:tc>
        <w:tc>
          <w:tcPr>
            <w:tcW w:w="459" w:type="pct"/>
            <w:vAlign w:val="center"/>
          </w:tcPr>
          <w:p w14:paraId="5277FCA5">
            <w:pPr>
              <w:spacing w:line="360" w:lineRule="auto"/>
              <w:rPr>
                <w:rFonts w:ascii="宋体" w:hAnsi="宋体" w:cs="宋体"/>
                <w:b/>
                <w:color w:val="auto"/>
                <w:sz w:val="24"/>
                <w:highlight w:val="none"/>
              </w:rPr>
            </w:pPr>
          </w:p>
        </w:tc>
        <w:tc>
          <w:tcPr>
            <w:tcW w:w="273" w:type="pct"/>
            <w:vAlign w:val="center"/>
          </w:tcPr>
          <w:p w14:paraId="20F0E46C">
            <w:pPr>
              <w:spacing w:line="360" w:lineRule="auto"/>
              <w:rPr>
                <w:rFonts w:ascii="宋体" w:hAnsi="宋体" w:cs="宋体"/>
                <w:b/>
                <w:color w:val="auto"/>
                <w:sz w:val="24"/>
                <w:highlight w:val="none"/>
              </w:rPr>
            </w:pPr>
          </w:p>
        </w:tc>
        <w:tc>
          <w:tcPr>
            <w:tcW w:w="461" w:type="pct"/>
            <w:vAlign w:val="center"/>
          </w:tcPr>
          <w:p w14:paraId="051087C9">
            <w:pPr>
              <w:spacing w:line="360" w:lineRule="auto"/>
              <w:rPr>
                <w:rFonts w:ascii="宋体" w:hAnsi="宋体" w:cs="宋体"/>
                <w:b/>
                <w:color w:val="auto"/>
                <w:sz w:val="24"/>
                <w:highlight w:val="none"/>
              </w:rPr>
            </w:pPr>
          </w:p>
        </w:tc>
        <w:tc>
          <w:tcPr>
            <w:tcW w:w="367" w:type="pct"/>
            <w:vAlign w:val="center"/>
          </w:tcPr>
          <w:p w14:paraId="6BA98B00">
            <w:pPr>
              <w:spacing w:line="360" w:lineRule="auto"/>
              <w:rPr>
                <w:rFonts w:ascii="宋体" w:hAnsi="宋体" w:cs="宋体"/>
                <w:b/>
                <w:color w:val="auto"/>
                <w:sz w:val="24"/>
                <w:highlight w:val="none"/>
              </w:rPr>
            </w:pPr>
          </w:p>
        </w:tc>
        <w:tc>
          <w:tcPr>
            <w:tcW w:w="558" w:type="pct"/>
            <w:vAlign w:val="center"/>
          </w:tcPr>
          <w:p w14:paraId="75E2E501">
            <w:pPr>
              <w:spacing w:line="360" w:lineRule="auto"/>
              <w:rPr>
                <w:rFonts w:ascii="宋体" w:hAnsi="宋体" w:cs="宋体"/>
                <w:b/>
                <w:color w:val="auto"/>
                <w:sz w:val="24"/>
                <w:highlight w:val="none"/>
              </w:rPr>
            </w:pPr>
          </w:p>
        </w:tc>
        <w:tc>
          <w:tcPr>
            <w:tcW w:w="657" w:type="pct"/>
            <w:vAlign w:val="center"/>
          </w:tcPr>
          <w:p w14:paraId="16D738D6">
            <w:pPr>
              <w:spacing w:line="360" w:lineRule="auto"/>
              <w:rPr>
                <w:rFonts w:ascii="宋体" w:hAnsi="宋体" w:cs="宋体"/>
                <w:b/>
                <w:color w:val="auto"/>
                <w:sz w:val="24"/>
                <w:highlight w:val="none"/>
              </w:rPr>
            </w:pPr>
          </w:p>
        </w:tc>
        <w:tc>
          <w:tcPr>
            <w:tcW w:w="578" w:type="pct"/>
            <w:vAlign w:val="center"/>
          </w:tcPr>
          <w:p w14:paraId="38F543C3">
            <w:pPr>
              <w:spacing w:line="360" w:lineRule="auto"/>
              <w:rPr>
                <w:rFonts w:ascii="宋体" w:hAnsi="宋体" w:cs="宋体"/>
                <w:b/>
                <w:color w:val="auto"/>
                <w:sz w:val="24"/>
                <w:highlight w:val="none"/>
              </w:rPr>
            </w:pPr>
          </w:p>
        </w:tc>
        <w:tc>
          <w:tcPr>
            <w:tcW w:w="441" w:type="pct"/>
            <w:vAlign w:val="center"/>
          </w:tcPr>
          <w:p w14:paraId="0117E5A8">
            <w:pPr>
              <w:spacing w:line="360" w:lineRule="auto"/>
              <w:rPr>
                <w:rFonts w:ascii="宋体" w:hAnsi="宋体" w:cs="宋体"/>
                <w:b/>
                <w:color w:val="auto"/>
                <w:sz w:val="24"/>
                <w:highlight w:val="none"/>
              </w:rPr>
            </w:pPr>
          </w:p>
        </w:tc>
        <w:tc>
          <w:tcPr>
            <w:tcW w:w="424" w:type="pct"/>
            <w:vAlign w:val="center"/>
          </w:tcPr>
          <w:p w14:paraId="03ED64CD">
            <w:pPr>
              <w:spacing w:line="360" w:lineRule="auto"/>
              <w:rPr>
                <w:rFonts w:ascii="宋体" w:hAnsi="宋体" w:cs="宋体"/>
                <w:b/>
                <w:color w:val="auto"/>
                <w:sz w:val="24"/>
                <w:highlight w:val="none"/>
              </w:rPr>
            </w:pPr>
          </w:p>
        </w:tc>
      </w:tr>
      <w:tr w14:paraId="24D9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F09B303">
            <w:pPr>
              <w:spacing w:line="360" w:lineRule="auto"/>
              <w:rPr>
                <w:rFonts w:ascii="宋体" w:hAnsi="宋体" w:cs="宋体"/>
                <w:b/>
                <w:color w:val="auto"/>
                <w:sz w:val="24"/>
                <w:highlight w:val="none"/>
              </w:rPr>
            </w:pPr>
          </w:p>
        </w:tc>
        <w:tc>
          <w:tcPr>
            <w:tcW w:w="525" w:type="pct"/>
            <w:vAlign w:val="center"/>
          </w:tcPr>
          <w:p w14:paraId="7B087968">
            <w:pPr>
              <w:spacing w:line="360" w:lineRule="auto"/>
              <w:rPr>
                <w:rFonts w:ascii="宋体" w:hAnsi="宋体" w:cs="宋体"/>
                <w:b/>
                <w:color w:val="auto"/>
                <w:sz w:val="24"/>
                <w:highlight w:val="none"/>
              </w:rPr>
            </w:pPr>
          </w:p>
        </w:tc>
        <w:tc>
          <w:tcPr>
            <w:tcW w:w="459" w:type="pct"/>
            <w:vAlign w:val="center"/>
          </w:tcPr>
          <w:p w14:paraId="136FCEA9">
            <w:pPr>
              <w:spacing w:line="360" w:lineRule="auto"/>
              <w:rPr>
                <w:rFonts w:ascii="宋体" w:hAnsi="宋体" w:cs="宋体"/>
                <w:b/>
                <w:color w:val="auto"/>
                <w:sz w:val="24"/>
                <w:highlight w:val="none"/>
              </w:rPr>
            </w:pPr>
          </w:p>
        </w:tc>
        <w:tc>
          <w:tcPr>
            <w:tcW w:w="273" w:type="pct"/>
            <w:vAlign w:val="center"/>
          </w:tcPr>
          <w:p w14:paraId="3F72A185">
            <w:pPr>
              <w:spacing w:line="360" w:lineRule="auto"/>
              <w:rPr>
                <w:rFonts w:ascii="宋体" w:hAnsi="宋体" w:cs="宋体"/>
                <w:b/>
                <w:color w:val="auto"/>
                <w:sz w:val="24"/>
                <w:highlight w:val="none"/>
              </w:rPr>
            </w:pPr>
          </w:p>
        </w:tc>
        <w:tc>
          <w:tcPr>
            <w:tcW w:w="461" w:type="pct"/>
            <w:vAlign w:val="center"/>
          </w:tcPr>
          <w:p w14:paraId="23F392B3">
            <w:pPr>
              <w:spacing w:line="360" w:lineRule="auto"/>
              <w:rPr>
                <w:rFonts w:ascii="宋体" w:hAnsi="宋体" w:cs="宋体"/>
                <w:b/>
                <w:color w:val="auto"/>
                <w:sz w:val="24"/>
                <w:highlight w:val="none"/>
              </w:rPr>
            </w:pPr>
          </w:p>
        </w:tc>
        <w:tc>
          <w:tcPr>
            <w:tcW w:w="367" w:type="pct"/>
            <w:vAlign w:val="center"/>
          </w:tcPr>
          <w:p w14:paraId="0A5CD456">
            <w:pPr>
              <w:spacing w:line="360" w:lineRule="auto"/>
              <w:rPr>
                <w:rFonts w:ascii="宋体" w:hAnsi="宋体" w:cs="宋体"/>
                <w:b/>
                <w:color w:val="auto"/>
                <w:sz w:val="24"/>
                <w:highlight w:val="none"/>
              </w:rPr>
            </w:pPr>
          </w:p>
        </w:tc>
        <w:tc>
          <w:tcPr>
            <w:tcW w:w="558" w:type="pct"/>
            <w:vAlign w:val="center"/>
          </w:tcPr>
          <w:p w14:paraId="52B2E322">
            <w:pPr>
              <w:spacing w:line="360" w:lineRule="auto"/>
              <w:rPr>
                <w:rFonts w:ascii="宋体" w:hAnsi="宋体" w:cs="宋体"/>
                <w:b/>
                <w:color w:val="auto"/>
                <w:sz w:val="24"/>
                <w:highlight w:val="none"/>
              </w:rPr>
            </w:pPr>
          </w:p>
        </w:tc>
        <w:tc>
          <w:tcPr>
            <w:tcW w:w="657" w:type="pct"/>
            <w:vAlign w:val="center"/>
          </w:tcPr>
          <w:p w14:paraId="0563F48B">
            <w:pPr>
              <w:spacing w:line="360" w:lineRule="auto"/>
              <w:rPr>
                <w:rFonts w:ascii="宋体" w:hAnsi="宋体" w:cs="宋体"/>
                <w:b/>
                <w:color w:val="auto"/>
                <w:sz w:val="24"/>
                <w:highlight w:val="none"/>
              </w:rPr>
            </w:pPr>
          </w:p>
        </w:tc>
        <w:tc>
          <w:tcPr>
            <w:tcW w:w="578" w:type="pct"/>
            <w:vAlign w:val="center"/>
          </w:tcPr>
          <w:p w14:paraId="508146D9">
            <w:pPr>
              <w:spacing w:line="360" w:lineRule="auto"/>
              <w:rPr>
                <w:rFonts w:ascii="宋体" w:hAnsi="宋体" w:cs="宋体"/>
                <w:b/>
                <w:color w:val="auto"/>
                <w:sz w:val="24"/>
                <w:highlight w:val="none"/>
              </w:rPr>
            </w:pPr>
          </w:p>
        </w:tc>
        <w:tc>
          <w:tcPr>
            <w:tcW w:w="441" w:type="pct"/>
            <w:vAlign w:val="center"/>
          </w:tcPr>
          <w:p w14:paraId="611F056E">
            <w:pPr>
              <w:spacing w:line="360" w:lineRule="auto"/>
              <w:rPr>
                <w:rFonts w:ascii="宋体" w:hAnsi="宋体" w:cs="宋体"/>
                <w:b/>
                <w:color w:val="auto"/>
                <w:sz w:val="24"/>
                <w:highlight w:val="none"/>
              </w:rPr>
            </w:pPr>
          </w:p>
        </w:tc>
        <w:tc>
          <w:tcPr>
            <w:tcW w:w="424" w:type="pct"/>
            <w:vAlign w:val="center"/>
          </w:tcPr>
          <w:p w14:paraId="7872672A">
            <w:pPr>
              <w:spacing w:line="360" w:lineRule="auto"/>
              <w:rPr>
                <w:rFonts w:ascii="宋体" w:hAnsi="宋体" w:cs="宋体"/>
                <w:b/>
                <w:color w:val="auto"/>
                <w:sz w:val="24"/>
                <w:highlight w:val="none"/>
              </w:rPr>
            </w:pPr>
          </w:p>
        </w:tc>
      </w:tr>
      <w:tr w14:paraId="3A37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15BD17">
            <w:pPr>
              <w:spacing w:line="360" w:lineRule="auto"/>
              <w:rPr>
                <w:rFonts w:ascii="宋体" w:hAnsi="宋体" w:cs="宋体"/>
                <w:b/>
                <w:color w:val="auto"/>
                <w:sz w:val="24"/>
                <w:highlight w:val="none"/>
              </w:rPr>
            </w:pPr>
          </w:p>
        </w:tc>
        <w:tc>
          <w:tcPr>
            <w:tcW w:w="525" w:type="pct"/>
            <w:vAlign w:val="center"/>
          </w:tcPr>
          <w:p w14:paraId="231CE04B">
            <w:pPr>
              <w:spacing w:line="360" w:lineRule="auto"/>
              <w:rPr>
                <w:rFonts w:ascii="宋体" w:hAnsi="宋体" w:cs="宋体"/>
                <w:b/>
                <w:color w:val="auto"/>
                <w:sz w:val="24"/>
                <w:highlight w:val="none"/>
              </w:rPr>
            </w:pPr>
          </w:p>
        </w:tc>
        <w:tc>
          <w:tcPr>
            <w:tcW w:w="459" w:type="pct"/>
            <w:vAlign w:val="center"/>
          </w:tcPr>
          <w:p w14:paraId="0F200C41">
            <w:pPr>
              <w:spacing w:line="360" w:lineRule="auto"/>
              <w:rPr>
                <w:rFonts w:ascii="宋体" w:hAnsi="宋体" w:cs="宋体"/>
                <w:b/>
                <w:color w:val="auto"/>
                <w:sz w:val="24"/>
                <w:highlight w:val="none"/>
              </w:rPr>
            </w:pPr>
          </w:p>
        </w:tc>
        <w:tc>
          <w:tcPr>
            <w:tcW w:w="273" w:type="pct"/>
            <w:vAlign w:val="center"/>
          </w:tcPr>
          <w:p w14:paraId="7B842AC9">
            <w:pPr>
              <w:spacing w:line="360" w:lineRule="auto"/>
              <w:rPr>
                <w:rFonts w:ascii="宋体" w:hAnsi="宋体" w:cs="宋体"/>
                <w:b/>
                <w:color w:val="auto"/>
                <w:sz w:val="24"/>
                <w:highlight w:val="none"/>
              </w:rPr>
            </w:pPr>
          </w:p>
        </w:tc>
        <w:tc>
          <w:tcPr>
            <w:tcW w:w="461" w:type="pct"/>
            <w:vAlign w:val="center"/>
          </w:tcPr>
          <w:p w14:paraId="71C78502">
            <w:pPr>
              <w:spacing w:line="360" w:lineRule="auto"/>
              <w:rPr>
                <w:rFonts w:ascii="宋体" w:hAnsi="宋体" w:cs="宋体"/>
                <w:b/>
                <w:color w:val="auto"/>
                <w:sz w:val="24"/>
                <w:highlight w:val="none"/>
              </w:rPr>
            </w:pPr>
          </w:p>
        </w:tc>
        <w:tc>
          <w:tcPr>
            <w:tcW w:w="367" w:type="pct"/>
            <w:vAlign w:val="center"/>
          </w:tcPr>
          <w:p w14:paraId="7E4540DC">
            <w:pPr>
              <w:spacing w:line="360" w:lineRule="auto"/>
              <w:rPr>
                <w:rFonts w:ascii="宋体" w:hAnsi="宋体" w:cs="宋体"/>
                <w:b/>
                <w:color w:val="auto"/>
                <w:sz w:val="24"/>
                <w:highlight w:val="none"/>
              </w:rPr>
            </w:pPr>
          </w:p>
        </w:tc>
        <w:tc>
          <w:tcPr>
            <w:tcW w:w="558" w:type="pct"/>
            <w:vAlign w:val="center"/>
          </w:tcPr>
          <w:p w14:paraId="2F33A380">
            <w:pPr>
              <w:spacing w:line="360" w:lineRule="auto"/>
              <w:rPr>
                <w:rFonts w:ascii="宋体" w:hAnsi="宋体" w:cs="宋体"/>
                <w:b/>
                <w:color w:val="auto"/>
                <w:sz w:val="24"/>
                <w:highlight w:val="none"/>
              </w:rPr>
            </w:pPr>
          </w:p>
        </w:tc>
        <w:tc>
          <w:tcPr>
            <w:tcW w:w="657" w:type="pct"/>
            <w:vAlign w:val="center"/>
          </w:tcPr>
          <w:p w14:paraId="7D85C951">
            <w:pPr>
              <w:spacing w:line="360" w:lineRule="auto"/>
              <w:rPr>
                <w:rFonts w:ascii="宋体" w:hAnsi="宋体" w:cs="宋体"/>
                <w:b/>
                <w:color w:val="auto"/>
                <w:sz w:val="24"/>
                <w:highlight w:val="none"/>
              </w:rPr>
            </w:pPr>
          </w:p>
        </w:tc>
        <w:tc>
          <w:tcPr>
            <w:tcW w:w="578" w:type="pct"/>
            <w:vAlign w:val="center"/>
          </w:tcPr>
          <w:p w14:paraId="7F3329DD">
            <w:pPr>
              <w:spacing w:line="360" w:lineRule="auto"/>
              <w:rPr>
                <w:rFonts w:ascii="宋体" w:hAnsi="宋体" w:cs="宋体"/>
                <w:b/>
                <w:color w:val="auto"/>
                <w:sz w:val="24"/>
                <w:highlight w:val="none"/>
              </w:rPr>
            </w:pPr>
          </w:p>
        </w:tc>
        <w:tc>
          <w:tcPr>
            <w:tcW w:w="441" w:type="pct"/>
            <w:vAlign w:val="center"/>
          </w:tcPr>
          <w:p w14:paraId="7D40FE4D">
            <w:pPr>
              <w:spacing w:line="360" w:lineRule="auto"/>
              <w:rPr>
                <w:rFonts w:ascii="宋体" w:hAnsi="宋体" w:cs="宋体"/>
                <w:b/>
                <w:color w:val="auto"/>
                <w:sz w:val="24"/>
                <w:highlight w:val="none"/>
              </w:rPr>
            </w:pPr>
          </w:p>
        </w:tc>
        <w:tc>
          <w:tcPr>
            <w:tcW w:w="424" w:type="pct"/>
            <w:vAlign w:val="center"/>
          </w:tcPr>
          <w:p w14:paraId="6A77F958">
            <w:pPr>
              <w:spacing w:line="360" w:lineRule="auto"/>
              <w:rPr>
                <w:rFonts w:ascii="宋体" w:hAnsi="宋体" w:cs="宋体"/>
                <w:b/>
                <w:color w:val="auto"/>
                <w:sz w:val="24"/>
                <w:highlight w:val="none"/>
              </w:rPr>
            </w:pPr>
          </w:p>
        </w:tc>
      </w:tr>
      <w:tr w14:paraId="608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045EDE6">
            <w:pPr>
              <w:spacing w:line="360" w:lineRule="auto"/>
              <w:rPr>
                <w:rFonts w:ascii="宋体" w:hAnsi="宋体" w:cs="宋体"/>
                <w:b/>
                <w:color w:val="auto"/>
                <w:sz w:val="24"/>
                <w:highlight w:val="none"/>
              </w:rPr>
            </w:pPr>
          </w:p>
        </w:tc>
        <w:tc>
          <w:tcPr>
            <w:tcW w:w="525" w:type="pct"/>
            <w:vAlign w:val="center"/>
          </w:tcPr>
          <w:p w14:paraId="5460FB10">
            <w:pPr>
              <w:spacing w:line="360" w:lineRule="auto"/>
              <w:rPr>
                <w:rFonts w:ascii="宋体" w:hAnsi="宋体" w:cs="宋体"/>
                <w:b/>
                <w:color w:val="auto"/>
                <w:sz w:val="24"/>
                <w:highlight w:val="none"/>
              </w:rPr>
            </w:pPr>
          </w:p>
        </w:tc>
        <w:tc>
          <w:tcPr>
            <w:tcW w:w="459" w:type="pct"/>
            <w:vAlign w:val="center"/>
          </w:tcPr>
          <w:p w14:paraId="7E4CF431">
            <w:pPr>
              <w:spacing w:line="360" w:lineRule="auto"/>
              <w:rPr>
                <w:rFonts w:ascii="宋体" w:hAnsi="宋体" w:cs="宋体"/>
                <w:b/>
                <w:color w:val="auto"/>
                <w:sz w:val="24"/>
                <w:highlight w:val="none"/>
              </w:rPr>
            </w:pPr>
          </w:p>
        </w:tc>
        <w:tc>
          <w:tcPr>
            <w:tcW w:w="273" w:type="pct"/>
            <w:vAlign w:val="center"/>
          </w:tcPr>
          <w:p w14:paraId="376B9118">
            <w:pPr>
              <w:spacing w:line="360" w:lineRule="auto"/>
              <w:rPr>
                <w:rFonts w:ascii="宋体" w:hAnsi="宋体" w:cs="宋体"/>
                <w:b/>
                <w:color w:val="auto"/>
                <w:sz w:val="24"/>
                <w:highlight w:val="none"/>
              </w:rPr>
            </w:pPr>
          </w:p>
        </w:tc>
        <w:tc>
          <w:tcPr>
            <w:tcW w:w="461" w:type="pct"/>
            <w:vAlign w:val="center"/>
          </w:tcPr>
          <w:p w14:paraId="05B3D691">
            <w:pPr>
              <w:spacing w:line="360" w:lineRule="auto"/>
              <w:rPr>
                <w:rFonts w:ascii="宋体" w:hAnsi="宋体" w:cs="宋体"/>
                <w:b/>
                <w:color w:val="auto"/>
                <w:sz w:val="24"/>
                <w:highlight w:val="none"/>
              </w:rPr>
            </w:pPr>
          </w:p>
        </w:tc>
        <w:tc>
          <w:tcPr>
            <w:tcW w:w="367" w:type="pct"/>
            <w:vAlign w:val="center"/>
          </w:tcPr>
          <w:p w14:paraId="2A5B4B97">
            <w:pPr>
              <w:spacing w:line="360" w:lineRule="auto"/>
              <w:rPr>
                <w:rFonts w:ascii="宋体" w:hAnsi="宋体" w:cs="宋体"/>
                <w:b/>
                <w:color w:val="auto"/>
                <w:sz w:val="24"/>
                <w:highlight w:val="none"/>
              </w:rPr>
            </w:pPr>
          </w:p>
        </w:tc>
        <w:tc>
          <w:tcPr>
            <w:tcW w:w="558" w:type="pct"/>
            <w:vAlign w:val="center"/>
          </w:tcPr>
          <w:p w14:paraId="6D1A483B">
            <w:pPr>
              <w:spacing w:line="360" w:lineRule="auto"/>
              <w:rPr>
                <w:rFonts w:ascii="宋体" w:hAnsi="宋体" w:cs="宋体"/>
                <w:b/>
                <w:color w:val="auto"/>
                <w:sz w:val="24"/>
                <w:highlight w:val="none"/>
              </w:rPr>
            </w:pPr>
          </w:p>
        </w:tc>
        <w:tc>
          <w:tcPr>
            <w:tcW w:w="657" w:type="pct"/>
            <w:vAlign w:val="center"/>
          </w:tcPr>
          <w:p w14:paraId="7BD05605">
            <w:pPr>
              <w:spacing w:line="360" w:lineRule="auto"/>
              <w:rPr>
                <w:rFonts w:ascii="宋体" w:hAnsi="宋体" w:cs="宋体"/>
                <w:b/>
                <w:color w:val="auto"/>
                <w:sz w:val="24"/>
                <w:highlight w:val="none"/>
              </w:rPr>
            </w:pPr>
          </w:p>
        </w:tc>
        <w:tc>
          <w:tcPr>
            <w:tcW w:w="578" w:type="pct"/>
            <w:vAlign w:val="center"/>
          </w:tcPr>
          <w:p w14:paraId="3A04732E">
            <w:pPr>
              <w:spacing w:line="360" w:lineRule="auto"/>
              <w:rPr>
                <w:rFonts w:ascii="宋体" w:hAnsi="宋体" w:cs="宋体"/>
                <w:b/>
                <w:color w:val="auto"/>
                <w:sz w:val="24"/>
                <w:highlight w:val="none"/>
              </w:rPr>
            </w:pPr>
          </w:p>
        </w:tc>
        <w:tc>
          <w:tcPr>
            <w:tcW w:w="441" w:type="pct"/>
            <w:vAlign w:val="center"/>
          </w:tcPr>
          <w:p w14:paraId="5634C8E6">
            <w:pPr>
              <w:spacing w:line="360" w:lineRule="auto"/>
              <w:rPr>
                <w:rFonts w:ascii="宋体" w:hAnsi="宋体" w:cs="宋体"/>
                <w:b/>
                <w:color w:val="auto"/>
                <w:sz w:val="24"/>
                <w:highlight w:val="none"/>
              </w:rPr>
            </w:pPr>
          </w:p>
        </w:tc>
        <w:tc>
          <w:tcPr>
            <w:tcW w:w="424" w:type="pct"/>
            <w:vAlign w:val="center"/>
          </w:tcPr>
          <w:p w14:paraId="326B794C">
            <w:pPr>
              <w:spacing w:line="360" w:lineRule="auto"/>
              <w:rPr>
                <w:rFonts w:ascii="宋体" w:hAnsi="宋体" w:cs="宋体"/>
                <w:b/>
                <w:color w:val="auto"/>
                <w:sz w:val="24"/>
                <w:highlight w:val="none"/>
              </w:rPr>
            </w:pPr>
          </w:p>
        </w:tc>
      </w:tr>
      <w:tr w14:paraId="6C8D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330CA26B">
            <w:pPr>
              <w:spacing w:line="360" w:lineRule="auto"/>
              <w:rPr>
                <w:rFonts w:ascii="宋体" w:hAnsi="宋体" w:cs="宋体"/>
                <w:b/>
                <w:color w:val="auto"/>
                <w:sz w:val="24"/>
                <w:highlight w:val="none"/>
              </w:rPr>
            </w:pPr>
          </w:p>
        </w:tc>
        <w:tc>
          <w:tcPr>
            <w:tcW w:w="525" w:type="pct"/>
            <w:vAlign w:val="center"/>
          </w:tcPr>
          <w:p w14:paraId="06411AFC">
            <w:pPr>
              <w:spacing w:line="360" w:lineRule="auto"/>
              <w:rPr>
                <w:rFonts w:ascii="宋体" w:hAnsi="宋体" w:cs="宋体"/>
                <w:b/>
                <w:color w:val="auto"/>
                <w:sz w:val="24"/>
                <w:highlight w:val="none"/>
              </w:rPr>
            </w:pPr>
          </w:p>
        </w:tc>
        <w:tc>
          <w:tcPr>
            <w:tcW w:w="459" w:type="pct"/>
            <w:vAlign w:val="center"/>
          </w:tcPr>
          <w:p w14:paraId="5F71F5F5">
            <w:pPr>
              <w:spacing w:line="360" w:lineRule="auto"/>
              <w:rPr>
                <w:rFonts w:ascii="宋体" w:hAnsi="宋体" w:cs="宋体"/>
                <w:b/>
                <w:color w:val="auto"/>
                <w:sz w:val="24"/>
                <w:highlight w:val="none"/>
              </w:rPr>
            </w:pPr>
          </w:p>
        </w:tc>
        <w:tc>
          <w:tcPr>
            <w:tcW w:w="273" w:type="pct"/>
            <w:vAlign w:val="center"/>
          </w:tcPr>
          <w:p w14:paraId="046B3584">
            <w:pPr>
              <w:spacing w:line="360" w:lineRule="auto"/>
              <w:rPr>
                <w:rFonts w:ascii="宋体" w:hAnsi="宋体" w:cs="宋体"/>
                <w:b/>
                <w:color w:val="auto"/>
                <w:sz w:val="24"/>
                <w:highlight w:val="none"/>
              </w:rPr>
            </w:pPr>
          </w:p>
        </w:tc>
        <w:tc>
          <w:tcPr>
            <w:tcW w:w="461" w:type="pct"/>
            <w:vAlign w:val="center"/>
          </w:tcPr>
          <w:p w14:paraId="26736938">
            <w:pPr>
              <w:spacing w:line="360" w:lineRule="auto"/>
              <w:rPr>
                <w:rFonts w:ascii="宋体" w:hAnsi="宋体" w:cs="宋体"/>
                <w:b/>
                <w:color w:val="auto"/>
                <w:sz w:val="24"/>
                <w:highlight w:val="none"/>
              </w:rPr>
            </w:pPr>
          </w:p>
        </w:tc>
        <w:tc>
          <w:tcPr>
            <w:tcW w:w="367" w:type="pct"/>
            <w:vAlign w:val="center"/>
          </w:tcPr>
          <w:p w14:paraId="51CD45E5">
            <w:pPr>
              <w:spacing w:line="360" w:lineRule="auto"/>
              <w:rPr>
                <w:rFonts w:ascii="宋体" w:hAnsi="宋体" w:cs="宋体"/>
                <w:b/>
                <w:color w:val="auto"/>
                <w:sz w:val="24"/>
                <w:highlight w:val="none"/>
              </w:rPr>
            </w:pPr>
          </w:p>
        </w:tc>
        <w:tc>
          <w:tcPr>
            <w:tcW w:w="558" w:type="pct"/>
            <w:vAlign w:val="center"/>
          </w:tcPr>
          <w:p w14:paraId="3C08E19D">
            <w:pPr>
              <w:spacing w:line="360" w:lineRule="auto"/>
              <w:rPr>
                <w:rFonts w:ascii="宋体" w:hAnsi="宋体" w:cs="宋体"/>
                <w:b/>
                <w:color w:val="auto"/>
                <w:sz w:val="24"/>
                <w:highlight w:val="none"/>
              </w:rPr>
            </w:pPr>
          </w:p>
        </w:tc>
        <w:tc>
          <w:tcPr>
            <w:tcW w:w="657" w:type="pct"/>
            <w:vAlign w:val="center"/>
          </w:tcPr>
          <w:p w14:paraId="7D3C8748">
            <w:pPr>
              <w:spacing w:line="360" w:lineRule="auto"/>
              <w:rPr>
                <w:rFonts w:ascii="宋体" w:hAnsi="宋体" w:cs="宋体"/>
                <w:b/>
                <w:color w:val="auto"/>
                <w:sz w:val="24"/>
                <w:highlight w:val="none"/>
              </w:rPr>
            </w:pPr>
          </w:p>
        </w:tc>
        <w:tc>
          <w:tcPr>
            <w:tcW w:w="578" w:type="pct"/>
            <w:vAlign w:val="center"/>
          </w:tcPr>
          <w:p w14:paraId="27DF6BF4">
            <w:pPr>
              <w:spacing w:line="360" w:lineRule="auto"/>
              <w:rPr>
                <w:rFonts w:ascii="宋体" w:hAnsi="宋体" w:cs="宋体"/>
                <w:b/>
                <w:color w:val="auto"/>
                <w:sz w:val="24"/>
                <w:highlight w:val="none"/>
              </w:rPr>
            </w:pPr>
          </w:p>
        </w:tc>
        <w:tc>
          <w:tcPr>
            <w:tcW w:w="441" w:type="pct"/>
            <w:vAlign w:val="center"/>
          </w:tcPr>
          <w:p w14:paraId="76110A2F">
            <w:pPr>
              <w:spacing w:line="360" w:lineRule="auto"/>
              <w:rPr>
                <w:rFonts w:ascii="宋体" w:hAnsi="宋体" w:cs="宋体"/>
                <w:b/>
                <w:color w:val="auto"/>
                <w:sz w:val="24"/>
                <w:highlight w:val="none"/>
              </w:rPr>
            </w:pPr>
          </w:p>
        </w:tc>
        <w:tc>
          <w:tcPr>
            <w:tcW w:w="424" w:type="pct"/>
            <w:vAlign w:val="center"/>
          </w:tcPr>
          <w:p w14:paraId="5F3C73EC">
            <w:pPr>
              <w:spacing w:line="360" w:lineRule="auto"/>
              <w:rPr>
                <w:rFonts w:ascii="宋体" w:hAnsi="宋体" w:cs="宋体"/>
                <w:b/>
                <w:color w:val="auto"/>
                <w:sz w:val="24"/>
                <w:highlight w:val="none"/>
              </w:rPr>
            </w:pPr>
          </w:p>
        </w:tc>
      </w:tr>
      <w:tr w14:paraId="1AD6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9B5E5C8">
            <w:pPr>
              <w:spacing w:line="360" w:lineRule="auto"/>
              <w:rPr>
                <w:rFonts w:ascii="宋体" w:hAnsi="宋体" w:cs="宋体"/>
                <w:b/>
                <w:color w:val="auto"/>
                <w:sz w:val="24"/>
                <w:highlight w:val="none"/>
              </w:rPr>
            </w:pPr>
          </w:p>
        </w:tc>
        <w:tc>
          <w:tcPr>
            <w:tcW w:w="525" w:type="pct"/>
            <w:vAlign w:val="center"/>
          </w:tcPr>
          <w:p w14:paraId="1D2DEEF7">
            <w:pPr>
              <w:spacing w:line="360" w:lineRule="auto"/>
              <w:rPr>
                <w:rFonts w:ascii="宋体" w:hAnsi="宋体" w:cs="宋体"/>
                <w:b/>
                <w:color w:val="auto"/>
                <w:sz w:val="24"/>
                <w:highlight w:val="none"/>
              </w:rPr>
            </w:pPr>
          </w:p>
        </w:tc>
        <w:tc>
          <w:tcPr>
            <w:tcW w:w="459" w:type="pct"/>
            <w:vAlign w:val="center"/>
          </w:tcPr>
          <w:p w14:paraId="4D0A2DA2">
            <w:pPr>
              <w:spacing w:line="360" w:lineRule="auto"/>
              <w:rPr>
                <w:rFonts w:ascii="宋体" w:hAnsi="宋体" w:cs="宋体"/>
                <w:b/>
                <w:color w:val="auto"/>
                <w:sz w:val="24"/>
                <w:highlight w:val="none"/>
              </w:rPr>
            </w:pPr>
          </w:p>
        </w:tc>
        <w:tc>
          <w:tcPr>
            <w:tcW w:w="273" w:type="pct"/>
            <w:vAlign w:val="center"/>
          </w:tcPr>
          <w:p w14:paraId="36EAD5E3">
            <w:pPr>
              <w:spacing w:line="360" w:lineRule="auto"/>
              <w:rPr>
                <w:rFonts w:ascii="宋体" w:hAnsi="宋体" w:cs="宋体"/>
                <w:b/>
                <w:color w:val="auto"/>
                <w:sz w:val="24"/>
                <w:highlight w:val="none"/>
              </w:rPr>
            </w:pPr>
          </w:p>
        </w:tc>
        <w:tc>
          <w:tcPr>
            <w:tcW w:w="461" w:type="pct"/>
            <w:vAlign w:val="center"/>
          </w:tcPr>
          <w:p w14:paraId="31BB3243">
            <w:pPr>
              <w:spacing w:line="360" w:lineRule="auto"/>
              <w:rPr>
                <w:rFonts w:ascii="宋体" w:hAnsi="宋体" w:cs="宋体"/>
                <w:b/>
                <w:color w:val="auto"/>
                <w:sz w:val="24"/>
                <w:highlight w:val="none"/>
              </w:rPr>
            </w:pPr>
          </w:p>
        </w:tc>
        <w:tc>
          <w:tcPr>
            <w:tcW w:w="367" w:type="pct"/>
            <w:vAlign w:val="center"/>
          </w:tcPr>
          <w:p w14:paraId="6F805C76">
            <w:pPr>
              <w:spacing w:line="360" w:lineRule="auto"/>
              <w:rPr>
                <w:rFonts w:ascii="宋体" w:hAnsi="宋体" w:cs="宋体"/>
                <w:b/>
                <w:color w:val="auto"/>
                <w:sz w:val="24"/>
                <w:highlight w:val="none"/>
              </w:rPr>
            </w:pPr>
          </w:p>
        </w:tc>
        <w:tc>
          <w:tcPr>
            <w:tcW w:w="558" w:type="pct"/>
            <w:vAlign w:val="center"/>
          </w:tcPr>
          <w:p w14:paraId="57EB7DCE">
            <w:pPr>
              <w:spacing w:line="360" w:lineRule="auto"/>
              <w:rPr>
                <w:rFonts w:ascii="宋体" w:hAnsi="宋体" w:cs="宋体"/>
                <w:b/>
                <w:color w:val="auto"/>
                <w:sz w:val="24"/>
                <w:highlight w:val="none"/>
              </w:rPr>
            </w:pPr>
          </w:p>
        </w:tc>
        <w:tc>
          <w:tcPr>
            <w:tcW w:w="657" w:type="pct"/>
            <w:vAlign w:val="center"/>
          </w:tcPr>
          <w:p w14:paraId="4387ED65">
            <w:pPr>
              <w:spacing w:line="360" w:lineRule="auto"/>
              <w:rPr>
                <w:rFonts w:ascii="宋体" w:hAnsi="宋体" w:cs="宋体"/>
                <w:b/>
                <w:color w:val="auto"/>
                <w:sz w:val="24"/>
                <w:highlight w:val="none"/>
              </w:rPr>
            </w:pPr>
          </w:p>
        </w:tc>
        <w:tc>
          <w:tcPr>
            <w:tcW w:w="578" w:type="pct"/>
            <w:vAlign w:val="center"/>
          </w:tcPr>
          <w:p w14:paraId="33721913">
            <w:pPr>
              <w:spacing w:line="360" w:lineRule="auto"/>
              <w:rPr>
                <w:rFonts w:ascii="宋体" w:hAnsi="宋体" w:cs="宋体"/>
                <w:b/>
                <w:color w:val="auto"/>
                <w:sz w:val="24"/>
                <w:highlight w:val="none"/>
              </w:rPr>
            </w:pPr>
          </w:p>
        </w:tc>
        <w:tc>
          <w:tcPr>
            <w:tcW w:w="441" w:type="pct"/>
            <w:vAlign w:val="center"/>
          </w:tcPr>
          <w:p w14:paraId="777F152B">
            <w:pPr>
              <w:spacing w:line="360" w:lineRule="auto"/>
              <w:rPr>
                <w:rFonts w:ascii="宋体" w:hAnsi="宋体" w:cs="宋体"/>
                <w:b/>
                <w:color w:val="auto"/>
                <w:sz w:val="24"/>
                <w:highlight w:val="none"/>
              </w:rPr>
            </w:pPr>
          </w:p>
        </w:tc>
        <w:tc>
          <w:tcPr>
            <w:tcW w:w="424" w:type="pct"/>
            <w:vAlign w:val="center"/>
          </w:tcPr>
          <w:p w14:paraId="3E817EF1">
            <w:pPr>
              <w:spacing w:line="360" w:lineRule="auto"/>
              <w:rPr>
                <w:rFonts w:ascii="宋体" w:hAnsi="宋体" w:cs="宋体"/>
                <w:b/>
                <w:color w:val="auto"/>
                <w:sz w:val="24"/>
                <w:highlight w:val="none"/>
              </w:rPr>
            </w:pPr>
          </w:p>
        </w:tc>
      </w:tr>
    </w:tbl>
    <w:p w14:paraId="1571516B">
      <w:pPr>
        <w:spacing w:line="360" w:lineRule="auto"/>
        <w:jc w:val="left"/>
        <w:rPr>
          <w:rFonts w:ascii="宋体" w:hAnsi="宋体" w:cs="宋体"/>
          <w:snapToGrid w:val="0"/>
          <w:color w:val="auto"/>
          <w:szCs w:val="21"/>
          <w:highlight w:val="none"/>
        </w:rPr>
      </w:pPr>
    </w:p>
    <w:p w14:paraId="3995F2BE">
      <w:pPr>
        <w:autoSpaceDE w:val="0"/>
        <w:autoSpaceDN w:val="0"/>
        <w:adjustRightInd w:val="0"/>
        <w:spacing w:line="360" w:lineRule="auto"/>
        <w:jc w:val="left"/>
        <w:rPr>
          <w:rFonts w:ascii="宋体" w:hAnsi="宋体" w:cs="宋体"/>
          <w:color w:val="auto"/>
          <w:kern w:val="0"/>
          <w:sz w:val="24"/>
          <w:szCs w:val="20"/>
          <w:highlight w:val="none"/>
        </w:rPr>
      </w:pPr>
    </w:p>
    <w:p w14:paraId="2638DF04">
      <w:pPr>
        <w:spacing w:line="360" w:lineRule="auto"/>
        <w:rPr>
          <w:rFonts w:ascii="宋体" w:hAnsi="宋体" w:cs="宋体"/>
          <w:color w:val="auto"/>
          <w:sz w:val="24"/>
          <w:highlight w:val="none"/>
        </w:rPr>
      </w:pPr>
    </w:p>
    <w:p w14:paraId="40C924A4">
      <w:pPr>
        <w:autoSpaceDE w:val="0"/>
        <w:autoSpaceDN w:val="0"/>
        <w:adjustRightInd w:val="0"/>
        <w:spacing w:line="360" w:lineRule="auto"/>
        <w:jc w:val="left"/>
        <w:rPr>
          <w:rFonts w:ascii="宋体" w:hAnsi="宋体" w:cs="宋体"/>
          <w:color w:val="auto"/>
          <w:kern w:val="0"/>
          <w:sz w:val="24"/>
          <w:szCs w:val="20"/>
          <w:highlight w:val="none"/>
        </w:rPr>
      </w:pPr>
    </w:p>
    <w:p w14:paraId="306B180A">
      <w:pPr>
        <w:spacing w:line="360" w:lineRule="auto"/>
        <w:rPr>
          <w:rFonts w:ascii="宋体" w:hAnsi="宋体" w:cs="宋体"/>
          <w:b/>
          <w:bCs/>
          <w:color w:val="auto"/>
          <w:sz w:val="30"/>
          <w:szCs w:val="32"/>
          <w:highlight w:val="none"/>
        </w:rPr>
      </w:pPr>
      <w:r>
        <w:rPr>
          <w:rFonts w:hint="eastAsia" w:ascii="宋体" w:hAnsi="宋体" w:cs="宋体"/>
          <w:color w:val="auto"/>
          <w:sz w:val="24"/>
          <w:highlight w:val="none"/>
        </w:rPr>
        <w:br w:type="page"/>
      </w:r>
    </w:p>
    <w:p w14:paraId="7D6D0BA2">
      <w:pPr>
        <w:tabs>
          <w:tab w:val="left" w:pos="7155"/>
        </w:tabs>
        <w:spacing w:line="360" w:lineRule="auto"/>
        <w:rPr>
          <w:rFonts w:ascii="宋体" w:hAnsi="宋体" w:cs="宋体"/>
          <w:color w:val="auto"/>
          <w:sz w:val="24"/>
          <w:highlight w:val="none"/>
        </w:rPr>
      </w:pPr>
      <w:r>
        <w:rPr>
          <w:rFonts w:hint="eastAsia" w:ascii="宋体" w:hAnsi="宋体" w:cs="宋体"/>
          <w:color w:val="auto"/>
          <w:sz w:val="24"/>
          <w:highlight w:val="none"/>
        </w:rPr>
        <w:t>附表2</w:t>
      </w:r>
    </w:p>
    <w:p w14:paraId="02BE795C">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供应商二次报价单</w:t>
      </w:r>
    </w:p>
    <w:p w14:paraId="0F322B42">
      <w:pPr>
        <w:jc w:val="left"/>
        <w:rPr>
          <w:rFonts w:ascii="宋体" w:hAnsi="宋体" w:cs="宋体"/>
          <w:b/>
          <w:color w:val="auto"/>
          <w:sz w:val="24"/>
          <w:highlight w:val="none"/>
        </w:rPr>
      </w:pPr>
      <w:r>
        <w:rPr>
          <w:rFonts w:hint="eastAsia" w:ascii="宋体" w:hAnsi="宋体" w:cs="宋体"/>
          <w:b/>
          <w:color w:val="auto"/>
          <w:sz w:val="24"/>
          <w:highlight w:val="none"/>
        </w:rPr>
        <w:br w:type="page"/>
      </w:r>
    </w:p>
    <w:p w14:paraId="4060D7C1">
      <w:pPr>
        <w:tabs>
          <w:tab w:val="left" w:pos="7155"/>
        </w:tabs>
        <w:spacing w:line="360" w:lineRule="auto"/>
        <w:rPr>
          <w:rFonts w:ascii="宋体" w:hAnsi="宋体" w:cs="宋体"/>
          <w:color w:val="auto"/>
          <w:sz w:val="24"/>
          <w:highlight w:val="none"/>
        </w:rPr>
      </w:pPr>
      <w:r>
        <w:rPr>
          <w:rFonts w:hint="eastAsia" w:ascii="宋体" w:hAnsi="宋体" w:cs="宋体"/>
          <w:color w:val="auto"/>
          <w:sz w:val="24"/>
          <w:highlight w:val="none"/>
        </w:rPr>
        <w:t>附表3</w:t>
      </w:r>
    </w:p>
    <w:p w14:paraId="6613F3BA">
      <w:pPr>
        <w:tabs>
          <w:tab w:val="left" w:pos="7155"/>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供应商分项报价明细表</w:t>
      </w:r>
    </w:p>
    <w:p w14:paraId="430B19DF">
      <w:pPr>
        <w:spacing w:line="360" w:lineRule="auto"/>
        <w:rPr>
          <w:rFonts w:ascii="宋体" w:hAnsi="宋体" w:cs="宋体"/>
          <w:b/>
          <w:color w:val="auto"/>
          <w:sz w:val="24"/>
          <w:highlight w:val="none"/>
        </w:rPr>
      </w:pPr>
      <w:r>
        <w:rPr>
          <w:rFonts w:hint="eastAsia" w:ascii="宋体" w:hAnsi="宋体" w:cs="宋体"/>
          <w:color w:val="auto"/>
          <w:sz w:val="24"/>
          <w:highlight w:val="none"/>
        </w:rPr>
        <w:br w:type="page"/>
      </w:r>
    </w:p>
    <w:p w14:paraId="59FE9D67">
      <w:pPr>
        <w:spacing w:line="360" w:lineRule="auto"/>
        <w:jc w:val="center"/>
        <w:rPr>
          <w:rFonts w:ascii="宋体" w:hAnsi="宋体" w:cs="宋体"/>
          <w:b/>
          <w:color w:val="auto"/>
          <w:sz w:val="24"/>
          <w:highlight w:val="none"/>
        </w:rPr>
      </w:pPr>
      <w:r>
        <w:rPr>
          <w:rFonts w:hint="eastAsia" w:ascii="宋体" w:hAnsi="宋体" w:eastAsia="宋体" w:cs="宋体"/>
          <w:b/>
          <w:color w:val="auto"/>
          <w:sz w:val="32"/>
          <w:szCs w:val="32"/>
          <w:highlight w:val="none"/>
          <w:lang w:val="en-US" w:eastAsia="zh-CN"/>
        </w:rPr>
        <w:t>沪陕高速公路海门城区至南通东段客车差异化收费政策实施情况评估服务项目</w:t>
      </w:r>
      <w:r>
        <w:rPr>
          <w:rFonts w:hint="eastAsia" w:ascii="宋体" w:hAnsi="宋体" w:eastAsia="宋体" w:cs="宋体"/>
          <w:b/>
          <w:color w:val="auto"/>
          <w:sz w:val="32"/>
          <w:szCs w:val="32"/>
          <w:highlight w:val="none"/>
        </w:rPr>
        <w:t>廉</w:t>
      </w:r>
      <w:r>
        <w:rPr>
          <w:rFonts w:hint="eastAsia" w:ascii="宋体" w:hAnsi="宋体" w:cs="宋体"/>
          <w:b/>
          <w:color w:val="auto"/>
          <w:sz w:val="32"/>
          <w:szCs w:val="32"/>
          <w:highlight w:val="none"/>
        </w:rPr>
        <w:t>政合同</w:t>
      </w:r>
    </w:p>
    <w:p w14:paraId="5364E08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交通运输部</w:t>
      </w:r>
      <w:r>
        <w:rPr>
          <w:rFonts w:hint="eastAsia" w:ascii="宋体" w:hAnsi="宋体" w:cs="宋体"/>
          <w:color w:val="auto"/>
          <w:sz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《关于在交通基础设施建设中加强廉政建设的若干意见》以及有关工程建设、廉政建设的规定，为做好工程建设中的党风廉政建设，保证工程建设高效优质，保证建设资金的安全和有效使用以及投资效益，甲方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与乙方</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特订立如下合同。</w:t>
      </w:r>
    </w:p>
    <w:p w14:paraId="27BD64B5">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第一条</w:t>
      </w:r>
      <w:r>
        <w:rPr>
          <w:rFonts w:hint="eastAsia" w:ascii="宋体" w:hAnsi="宋体" w:cs="宋体"/>
          <w:color w:val="auto"/>
          <w:sz w:val="24"/>
          <w:highlight w:val="none"/>
        </w:rPr>
        <w:t>甲乙双方的权利和义务</w:t>
      </w:r>
    </w:p>
    <w:p w14:paraId="258E03A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（一）严格遵守国家有关法律法规及交通运输部的有关规定。</w:t>
      </w:r>
    </w:p>
    <w:p w14:paraId="750C92A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（二）严格执行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的合同文件，自觉按合同办事。</w:t>
      </w:r>
    </w:p>
    <w:p w14:paraId="317FB98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（三）双方的业务活动坚持公开、公正、诚信、透明的原则（除法律认定的商业秘密和合同文件另有规定之外），不得损害国家和集体利益，违反工程建设管理规章制度。</w:t>
      </w:r>
    </w:p>
    <w:p w14:paraId="13AE04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（四）建立健全廉政制度，开展廉政教育，设立廉政告示牌，公布举报电话，监督并认真查处违法违纪行为。</w:t>
      </w:r>
    </w:p>
    <w:p w14:paraId="2D2F0DB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（五）发现对方在业务活动中有违反廉政规定的行为，有及时提醒对方纠正的权利和义务。</w:t>
      </w:r>
    </w:p>
    <w:p w14:paraId="60D893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（六）发现对方严重违反本合同义务条款的行为，有向其上级有关部门举报、建议给予处理并要求告知处理结果的权利。影响合同履行的，可按照合同中关于合同解除的约定处理。</w:t>
      </w:r>
    </w:p>
    <w:p w14:paraId="12FC3764">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第二条</w:t>
      </w:r>
      <w:r>
        <w:rPr>
          <w:rFonts w:hint="eastAsia" w:ascii="宋体" w:hAnsi="宋体" w:cs="宋体"/>
          <w:color w:val="auto"/>
          <w:sz w:val="24"/>
          <w:highlight w:val="none"/>
        </w:rPr>
        <w:t>甲方的义务</w:t>
      </w:r>
    </w:p>
    <w:p w14:paraId="150638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（一）甲方作为工程项目的建设单位，认真履行合同规定的甲方责任。</w:t>
      </w:r>
    </w:p>
    <w:p w14:paraId="5AABD85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（二）甲方及其工作人员不得索要或接受乙方的礼金、有价证券和贵重物品，不得在乙方报销任何应由甲方或个人支付的费用等。</w:t>
      </w:r>
    </w:p>
    <w:p w14:paraId="1314506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（三）甲方工作人员不得参加乙方安排的超标准宴请和娱乐活动；不得接受乙方提供的通讯工具、交通工具和高档办公用品等。</w:t>
      </w:r>
    </w:p>
    <w:p w14:paraId="037521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（四）甲方及其工作人员不得要求或者接受乙方为其住房装修、婚丧嫁娶活动、配偶子女的工作安排以及出国出境、旅游等提供方便等。</w:t>
      </w:r>
    </w:p>
    <w:p w14:paraId="0E32AA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（五）甲方工作人员的配偶、子女不得从事与甲方工程有关的项目。</w:t>
      </w:r>
    </w:p>
    <w:p w14:paraId="2511D61E">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第三条</w:t>
      </w:r>
      <w:r>
        <w:rPr>
          <w:rFonts w:hint="eastAsia" w:ascii="宋体" w:hAnsi="宋体" w:cs="宋体"/>
          <w:color w:val="auto"/>
          <w:sz w:val="24"/>
          <w:highlight w:val="none"/>
        </w:rPr>
        <w:t>乙方的义务</w:t>
      </w:r>
    </w:p>
    <w:p w14:paraId="1BF00A2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（一）乙方不得以任何理由向甲方及其工作人员行贿或馈赠礼金、有价证券、贵重礼品。</w:t>
      </w:r>
    </w:p>
    <w:p w14:paraId="71C7096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（二）乙方不得以任何名义为甲方及其工作人员报销应由甲方单位或个人支付的任何费用。</w:t>
      </w:r>
    </w:p>
    <w:p w14:paraId="33F8A5A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（三）乙方不得以任何理由安排甲方工作人员参加超标准宴请及娱乐活动。</w:t>
      </w:r>
    </w:p>
    <w:p w14:paraId="615FC76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（四）乙方不得为甲方单位和个人购置或提供通讯工具、交通工具和高档办公用品等。</w:t>
      </w:r>
    </w:p>
    <w:p w14:paraId="3461471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（五）乙方及其工作人员不得索取或接受工作关系单位的礼金、有价证券和贵重物品，不得在工作关系报销任何应由乙方或个人支付的费用。</w:t>
      </w:r>
    </w:p>
    <w:p w14:paraId="1CB22B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（六）乙方及其工作人员必须严格按照规程办事，不得损害甲方利益。</w:t>
      </w:r>
    </w:p>
    <w:p w14:paraId="7B0E2E7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第四条</w:t>
      </w:r>
      <w:r>
        <w:rPr>
          <w:rFonts w:hint="eastAsia" w:ascii="宋体" w:hAnsi="宋体" w:cs="宋体"/>
          <w:color w:val="auto"/>
          <w:sz w:val="24"/>
          <w:highlight w:val="none"/>
        </w:rPr>
        <w:t>违约责任</w:t>
      </w:r>
    </w:p>
    <w:p w14:paraId="3413F0C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274C7C3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0E7A555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第五条</w:t>
      </w:r>
      <w:r>
        <w:rPr>
          <w:rFonts w:hint="eastAsia" w:ascii="宋体" w:hAnsi="宋体" w:cs="宋体"/>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2A8182F3">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第六条</w:t>
      </w:r>
      <w:r>
        <w:rPr>
          <w:rFonts w:hint="eastAsia" w:ascii="宋体" w:hAnsi="宋体" w:cs="宋体"/>
          <w:color w:val="auto"/>
          <w:sz w:val="24"/>
          <w:highlight w:val="none"/>
        </w:rPr>
        <w:t>本合同有效期为甲乙双方签署之日起至该工程项目所有工作内容完成并经甲方验收合格后止。</w:t>
      </w:r>
    </w:p>
    <w:p w14:paraId="4C658806">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第七条</w:t>
      </w:r>
      <w:r>
        <w:rPr>
          <w:rFonts w:hint="eastAsia" w:ascii="宋体" w:hAnsi="宋体" w:cs="宋体"/>
          <w:color w:val="auto"/>
          <w:sz w:val="24"/>
          <w:highlight w:val="none"/>
        </w:rPr>
        <w:t>本合同作为</w:t>
      </w:r>
      <w:r>
        <w:rPr>
          <w:rFonts w:hint="eastAsia" w:ascii="宋体" w:hAnsi="Times New Roman" w:eastAsia="宋体" w:cs="宋体"/>
          <w:color w:val="auto"/>
          <w:spacing w:val="7"/>
          <w:kern w:val="0"/>
          <w:sz w:val="24"/>
          <w:szCs w:val="24"/>
          <w:highlight w:val="none"/>
          <w:lang w:val="en-US" w:eastAsia="zh-CN" w:bidi="ar-SA"/>
        </w:rPr>
        <w:t>沪陕高速公路海门城区至南通东段客车差异化收费政策实施情况评估服务项目</w:t>
      </w:r>
      <w:r>
        <w:rPr>
          <w:rFonts w:hint="eastAsia" w:ascii="宋体" w:hAnsi="宋体" w:cs="宋体"/>
          <w:color w:val="auto"/>
          <w:sz w:val="24"/>
          <w:highlight w:val="none"/>
        </w:rPr>
        <w:t>合同的附件，与</w:t>
      </w:r>
      <w:r>
        <w:rPr>
          <w:rFonts w:hint="eastAsia" w:ascii="宋体" w:hAnsi="Times New Roman" w:eastAsia="宋体" w:cs="宋体"/>
          <w:color w:val="auto"/>
          <w:spacing w:val="7"/>
          <w:kern w:val="0"/>
          <w:sz w:val="24"/>
          <w:szCs w:val="24"/>
          <w:highlight w:val="none"/>
          <w:lang w:val="en-US" w:eastAsia="zh-CN" w:bidi="ar-SA"/>
        </w:rPr>
        <w:t>沪陕高速公路海门城区至南通东段客车差异化收费政策实施情况评估服务项目</w:t>
      </w:r>
      <w:r>
        <w:rPr>
          <w:rFonts w:hint="eastAsia" w:ascii="宋体" w:hAnsi="宋体" w:cs="宋体"/>
          <w:color w:val="auto"/>
          <w:sz w:val="24"/>
          <w:highlight w:val="none"/>
        </w:rPr>
        <w:t>合同具有同等的法律效力，经合同双方签署立即生效。</w:t>
      </w:r>
    </w:p>
    <w:p w14:paraId="3D6701A9">
      <w:pPr>
        <w:spacing w:line="360" w:lineRule="auto"/>
        <w:ind w:firstLine="480"/>
        <w:rPr>
          <w:rFonts w:ascii="宋体" w:hAnsi="宋体" w:cs="宋体"/>
          <w:color w:val="auto"/>
          <w:sz w:val="24"/>
          <w:highlight w:val="none"/>
        </w:rPr>
      </w:pPr>
      <w:r>
        <w:rPr>
          <w:rFonts w:hint="eastAsia" w:ascii="宋体" w:hAnsi="宋体" w:cs="宋体"/>
          <w:bCs/>
          <w:color w:val="auto"/>
          <w:sz w:val="24"/>
          <w:highlight w:val="none"/>
        </w:rPr>
        <w:t>第八条</w:t>
      </w:r>
      <w:r>
        <w:rPr>
          <w:rFonts w:hint="eastAsia" w:ascii="宋体" w:hAnsi="宋体" w:cs="宋体"/>
          <w:color w:val="auto"/>
          <w:sz w:val="24"/>
          <w:highlight w:val="none"/>
        </w:rPr>
        <w:t>本合同一式六份，双方各执三份。</w:t>
      </w:r>
    </w:p>
    <w:p w14:paraId="4BB20B68">
      <w:pPr>
        <w:spacing w:line="360" w:lineRule="auto"/>
        <w:rPr>
          <w:rFonts w:ascii="宋体" w:hAnsi="宋体" w:cs="宋体"/>
          <w:color w:val="auto"/>
          <w:sz w:val="24"/>
          <w:highlight w:val="none"/>
        </w:rPr>
      </w:pPr>
    </w:p>
    <w:p w14:paraId="720B6A1B">
      <w:pPr>
        <w:spacing w:line="360" w:lineRule="auto"/>
        <w:rPr>
          <w:rFonts w:ascii="宋体" w:hAnsi="宋体" w:cs="宋体"/>
          <w:color w:val="auto"/>
          <w:sz w:val="24"/>
          <w:highlight w:val="none"/>
        </w:rPr>
      </w:pPr>
    </w:p>
    <w:p w14:paraId="6ADD94F7">
      <w:pPr>
        <w:spacing w:line="360" w:lineRule="auto"/>
        <w:jc w:val="left"/>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rPr>
        <w:tab/>
      </w:r>
      <w:r>
        <w:rPr>
          <w:rFonts w:hint="eastAsia" w:ascii="宋体" w:hAnsi="宋体" w:cs="宋体"/>
          <w:color w:val="auto"/>
          <w:sz w:val="24"/>
          <w:highlight w:val="none"/>
        </w:rPr>
        <w:t xml:space="preserve">（盖单位章）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乙方：（盖单位章）</w:t>
      </w:r>
    </w:p>
    <w:p w14:paraId="6E46EDBF">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14:paraId="632BF0CE">
      <w:pPr>
        <w:spacing w:line="360" w:lineRule="auto"/>
        <w:jc w:val="left"/>
        <w:rPr>
          <w:rFonts w:ascii="宋体" w:hAnsi="宋体" w:cs="宋体"/>
          <w:color w:val="auto"/>
          <w:sz w:val="24"/>
          <w:highlight w:val="none"/>
        </w:rPr>
      </w:pPr>
      <w:r>
        <w:rPr>
          <w:rFonts w:hint="eastAsia" w:ascii="宋体" w:hAnsi="宋体" w:cs="宋体"/>
          <w:color w:val="auto"/>
          <w:sz w:val="24"/>
          <w:highlight w:val="none"/>
        </w:rPr>
        <w:t>或其委托代理人：（签字或盖章）          或其委托代理人：（签字或盖章）</w:t>
      </w:r>
    </w:p>
    <w:p w14:paraId="7610B367">
      <w:pPr>
        <w:spacing w:line="360" w:lineRule="auto"/>
        <w:jc w:val="left"/>
        <w:rPr>
          <w:rFonts w:ascii="宋体" w:hAnsi="宋体" w:cs="宋体"/>
          <w:color w:val="auto"/>
          <w:sz w:val="24"/>
          <w:highlight w:val="none"/>
        </w:rPr>
      </w:pPr>
    </w:p>
    <w:p w14:paraId="42199C5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年 </w:t>
      </w:r>
      <w:r>
        <w:rPr>
          <w:rFonts w:hint="eastAsia" w:ascii="宋体" w:hAnsi="宋体" w:cs="宋体"/>
          <w:color w:val="auto"/>
          <w:sz w:val="24"/>
          <w:highlight w:val="none"/>
        </w:rPr>
        <w:tab/>
      </w:r>
      <w:r>
        <w:rPr>
          <w:rFonts w:hint="eastAsia" w:ascii="宋体" w:hAnsi="宋体" w:cs="宋体"/>
          <w:color w:val="auto"/>
          <w:sz w:val="24"/>
          <w:highlight w:val="none"/>
        </w:rPr>
        <w:t xml:space="preserve">  月 </w:t>
      </w:r>
      <w:r>
        <w:rPr>
          <w:rFonts w:hint="eastAsia" w:ascii="宋体" w:hAnsi="宋体" w:cs="宋体"/>
          <w:color w:val="auto"/>
          <w:sz w:val="24"/>
          <w:highlight w:val="none"/>
        </w:rPr>
        <w:tab/>
      </w:r>
      <w:r>
        <w:rPr>
          <w:rFonts w:hint="eastAsia" w:ascii="宋体" w:hAnsi="宋体" w:cs="宋体"/>
          <w:color w:val="auto"/>
          <w:sz w:val="24"/>
          <w:highlight w:val="none"/>
        </w:rPr>
        <w:t xml:space="preserve">  日</w:t>
      </w:r>
    </w:p>
    <w:p w14:paraId="0B3C7C43">
      <w:pPr>
        <w:rPr>
          <w:rFonts w:ascii="宋体" w:hAnsi="宋体" w:cs="宋体"/>
          <w:color w:val="auto"/>
          <w:sz w:val="36"/>
          <w:szCs w:val="36"/>
          <w:highlight w:val="none"/>
        </w:rPr>
        <w:sectPr>
          <w:pgSz w:w="11906" w:h="16838"/>
          <w:pgMar w:top="1429" w:right="1429" w:bottom="1429" w:left="1429" w:header="851" w:footer="992" w:gutter="0"/>
          <w:cols w:space="1701" w:num="1"/>
          <w:rtlGutter w:val="0"/>
          <w:docGrid w:linePitch="360" w:charSpace="0"/>
        </w:sectPr>
      </w:pPr>
    </w:p>
    <w:p w14:paraId="2C0B9309">
      <w:pPr>
        <w:spacing w:line="360" w:lineRule="auto"/>
        <w:jc w:val="center"/>
        <w:rPr>
          <w:rFonts w:ascii="宋体" w:hAnsi="宋体" w:cs="宋体"/>
          <w:color w:val="auto"/>
          <w:sz w:val="28"/>
          <w:szCs w:val="28"/>
          <w:highlight w:val="none"/>
        </w:rPr>
      </w:pPr>
      <w:r>
        <w:rPr>
          <w:rFonts w:hint="eastAsia" w:ascii="宋体" w:hAnsi="宋体" w:cs="宋体"/>
          <w:b/>
          <w:color w:val="auto"/>
          <w:sz w:val="36"/>
          <w:szCs w:val="36"/>
          <w:highlight w:val="none"/>
        </w:rPr>
        <w:t>第六部分</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质疑提出和处理</w:t>
      </w:r>
    </w:p>
    <w:p w14:paraId="7205652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一、质疑的提出</w:t>
      </w:r>
    </w:p>
    <w:p w14:paraId="40F576EF">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(一)质疑人的身份要求      </w:t>
      </w:r>
    </w:p>
    <w:p w14:paraId="0C35A84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1.提出质疑的供应商应当是参与所质疑项目采购活动的供应商。</w:t>
      </w:r>
    </w:p>
    <w:p w14:paraId="7E5ED590">
      <w:pPr>
        <w:pStyle w:val="8"/>
        <w:snapToGrid w:val="0"/>
        <w:spacing w:after="0" w:line="360" w:lineRule="auto"/>
        <w:ind w:left="0" w:leftChars="0" w:firstLine="480" w:firstLineChars="200"/>
        <w:contextualSpacing/>
        <w:rPr>
          <w:rFonts w:ascii="宋体" w:hAnsi="宋体" w:cs="宋体"/>
          <w:color w:val="auto"/>
          <w:sz w:val="24"/>
          <w:highlight w:val="none"/>
        </w:rPr>
      </w:pPr>
      <w:r>
        <w:rPr>
          <w:rFonts w:ascii="宋体" w:hAnsi="宋体" w:cs="宋体"/>
          <w:color w:val="auto"/>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69A03DCE">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 (二)质疑提出的格式要求   </w:t>
      </w:r>
    </w:p>
    <w:p w14:paraId="59975B5C">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1.质疑</w:t>
      </w:r>
      <w:r>
        <w:rPr>
          <w:rFonts w:hint="eastAsia" w:ascii="宋体" w:hAnsi="宋体" w:cs="宋体"/>
          <w:color w:val="auto"/>
          <w:sz w:val="24"/>
          <w:highlight w:val="none"/>
        </w:rPr>
        <w:t>应</w:t>
      </w:r>
      <w:r>
        <w:rPr>
          <w:rFonts w:hint="eastAsia" w:ascii="宋体" w:hAnsi="宋体" w:cs="宋体"/>
          <w:color w:val="auto"/>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67D172B2">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2.质疑函应包括：    </w:t>
      </w:r>
    </w:p>
    <w:p w14:paraId="290E37F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1）质疑供应商的名称、地址、邮编、联系人及联系电话；</w:t>
      </w:r>
    </w:p>
    <w:p w14:paraId="4A983818">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2）具体、明确的质疑事项及明确的请求；</w:t>
      </w:r>
    </w:p>
    <w:p w14:paraId="52853A7A">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3）质疑的事实依据和必要的法律依据；</w:t>
      </w:r>
    </w:p>
    <w:p w14:paraId="1FB1C2D0">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4）提起质疑的日期；</w:t>
      </w:r>
    </w:p>
    <w:p w14:paraId="213C27D9">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5）认为自己合法权益受到损害或可能受到损害的相关证据材料；                            </w:t>
      </w:r>
    </w:p>
    <w:p w14:paraId="7879338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color w:val="auto"/>
          <w:sz w:val="24"/>
          <w:highlight w:val="none"/>
        </w:rPr>
        <w:t>采购人</w:t>
      </w:r>
      <w:r>
        <w:rPr>
          <w:rFonts w:hint="eastAsia" w:ascii="宋体" w:hAnsi="宋体" w:cs="宋体"/>
          <w:color w:val="auto"/>
          <w:sz w:val="24"/>
          <w:highlight w:val="none"/>
          <w:lang w:val="zh-CN"/>
        </w:rPr>
        <w:t>将不予受理。质疑人委托代理质疑的，应当向采购人提交授权委托书，并载明委托代理的具体权限和事项。</w:t>
      </w:r>
    </w:p>
    <w:p w14:paraId="258450B3">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3.质疑函需遵循的原则：</w:t>
      </w:r>
    </w:p>
    <w:p w14:paraId="12B0D29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48348AF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（三）质疑提出的时效要求</w:t>
      </w:r>
    </w:p>
    <w:p w14:paraId="495E7C7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1A178C97">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1）对可以质疑的采购文件提出质疑的，为收到采购文件之日或者采购文件公告期限届满之日；</w:t>
      </w:r>
    </w:p>
    <w:p w14:paraId="0886F4BF">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2）对采购过程提出质疑的，为各采购程序环节结束之日；</w:t>
      </w:r>
    </w:p>
    <w:p w14:paraId="7591FC1D">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3）对成交或者成交结果提出质疑的，为成交或者成交结果公告期限届满之日。                 </w:t>
      </w:r>
    </w:p>
    <w:p w14:paraId="503BBC0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供应商认为采购文件使自己的权益受到损害的，可以按照招标公告第八项要求向采购人提出质疑；供应商认为采购过程和采购结果使自己的权益受到损害的，可以以书面形式向采购人或采购人提出质疑。</w:t>
      </w:r>
    </w:p>
    <w:p w14:paraId="0069AE98">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2.供应商应在法定质疑期一次性提出针对同一采购程序环节的质疑。                         </w:t>
      </w:r>
    </w:p>
    <w:p w14:paraId="18D9F507">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二、《质疑函》的受理和答复</w:t>
      </w:r>
    </w:p>
    <w:p w14:paraId="052FDE4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 </w:t>
      </w:r>
      <w:r>
        <w:rPr>
          <w:rFonts w:hint="eastAsia" w:ascii="宋体" w:hAnsi="宋体" w:cs="宋体"/>
          <w:color w:val="auto"/>
          <w:sz w:val="24"/>
          <w:highlight w:val="none"/>
          <w:lang w:val="zh-CN"/>
        </w:rPr>
        <w:t>采购人收到质疑函后，将对质疑的形式和内容进行审查，如质疑函内容、格式不符合规定，采购人将告知质疑人进行补正。</w:t>
      </w:r>
    </w:p>
    <w:p w14:paraId="06AB0CCB">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2. </w:t>
      </w:r>
      <w:r>
        <w:rPr>
          <w:rFonts w:hint="eastAsia" w:ascii="宋体" w:hAnsi="宋体" w:cs="宋体"/>
          <w:color w:val="auto"/>
          <w:sz w:val="24"/>
          <w:highlight w:val="none"/>
          <w:lang w:val="zh-CN"/>
        </w:rPr>
        <w:t>质疑人应当在法定质疑期限内进行补正并重新提交质疑函，拒不补正或者在法定期限内未重新提交质疑函的，为无效质疑，采购人将不予受理。</w:t>
      </w:r>
    </w:p>
    <w:p w14:paraId="4C9BF6AC">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3.采购人或采购代理机构答复供应商质疑应当采用书面方式并依法送达，质疑供应商或其委托代理人拒绝签收的视为已经送达。</w:t>
      </w:r>
    </w:p>
    <w:p w14:paraId="47D1A334">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三、质疑处理</w:t>
      </w:r>
    </w:p>
    <w:p w14:paraId="4FF32839">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1. </w:t>
      </w:r>
      <w:r>
        <w:rPr>
          <w:rFonts w:hint="eastAsia" w:ascii="宋体" w:hAnsi="宋体" w:cs="宋体"/>
          <w:color w:val="auto"/>
          <w:sz w:val="24"/>
          <w:highlight w:val="none"/>
          <w:lang w:val="zh-CN"/>
        </w:rPr>
        <w:t>质疑成立的处理</w:t>
      </w:r>
    </w:p>
    <w:p w14:paraId="3A8F23E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 xml:space="preserve">1）对于内容、格式符合规定的质疑函，采购人在收到谈判供应商的书面质疑后七个工作日内作出书面答复，但答复的内容不得涉及商业秘密。                       </w:t>
      </w:r>
    </w:p>
    <w:p w14:paraId="122DE75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50247722">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ascii="宋体" w:hAnsi="宋体" w:cs="宋体"/>
          <w:color w:val="auto"/>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0E1292E">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质疑答复导致成交、成交结果改变的，采购人或者采购代理机构应当将有关情况书面报告本级财政部门。</w:t>
      </w:r>
    </w:p>
    <w:p w14:paraId="484B1B9A">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2.质疑不成立的处理</w:t>
      </w:r>
    </w:p>
    <w:p w14:paraId="45B90405">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若质疑不成立，或者成立未对成交、成交结果构成影响的，继续开展采购活动。</w:t>
      </w:r>
      <w:r>
        <w:rPr>
          <w:rFonts w:ascii="宋体" w:hAnsi="宋体" w:cs="宋体"/>
          <w:color w:val="auto"/>
          <w:sz w:val="24"/>
          <w:highlight w:val="none"/>
          <w:lang w:val="zh-CN"/>
        </w:rPr>
        <w:t xml:space="preserve">                  </w:t>
      </w:r>
    </w:p>
    <w:p w14:paraId="6336736D">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ascii="宋体" w:hAnsi="宋体" w:cs="宋体"/>
          <w:color w:val="auto"/>
          <w:sz w:val="24"/>
          <w:highlight w:val="none"/>
          <w:lang w:val="zh-CN"/>
        </w:rPr>
        <w:t xml:space="preserve">3.虚假质疑的处理          </w:t>
      </w:r>
    </w:p>
    <w:p w14:paraId="5F5FE7E1">
      <w:pPr>
        <w:pStyle w:val="8"/>
        <w:snapToGrid w:val="0"/>
        <w:spacing w:after="0" w:line="360" w:lineRule="auto"/>
        <w:ind w:left="0" w:leftChars="0" w:firstLine="480" w:firstLineChars="200"/>
        <w:contextualSpacing/>
        <w:rPr>
          <w:rFonts w:ascii="宋体" w:hAnsi="宋体" w:cs="宋体"/>
          <w:color w:val="auto"/>
          <w:sz w:val="24"/>
          <w:highlight w:val="none"/>
          <w:lang w:val="zh-CN"/>
        </w:rPr>
      </w:pPr>
      <w:r>
        <w:rPr>
          <w:rFonts w:hint="eastAsia" w:ascii="宋体" w:hAnsi="宋体" w:cs="宋体"/>
          <w:color w:val="auto"/>
          <w:sz w:val="24"/>
          <w:highlight w:val="none"/>
          <w:lang w:val="zh-CN"/>
        </w:rPr>
        <w:t>供应商提出书面质疑必须有理、有据，不得恶意质疑或提交虚假质疑。否则，一经查实，采购人有权依据相关规定，报请主管部门对该供应商进行相应的处罚。</w:t>
      </w:r>
      <w:r>
        <w:rPr>
          <w:rFonts w:ascii="宋体" w:hAnsi="宋体" w:cs="宋体"/>
          <w:color w:val="auto"/>
          <w:sz w:val="24"/>
          <w:highlight w:val="none"/>
          <w:lang w:val="zh-CN"/>
        </w:rPr>
        <w:t xml:space="preserve">                        </w:t>
      </w:r>
    </w:p>
    <w:p w14:paraId="1B08514A">
      <w:pPr>
        <w:autoSpaceDE w:val="0"/>
        <w:autoSpaceDN w:val="0"/>
        <w:adjustRightInd w:val="0"/>
        <w:snapToGrid w:val="0"/>
        <w:spacing w:line="360" w:lineRule="auto"/>
        <w:contextualSpacing/>
        <w:rPr>
          <w:rFonts w:ascii="宋体" w:hAnsi="宋体" w:cs="宋体"/>
          <w:color w:val="auto"/>
          <w:sz w:val="28"/>
          <w:szCs w:val="28"/>
          <w:highlight w:val="none"/>
          <w:lang w:val="zh-CN"/>
        </w:rPr>
      </w:pPr>
    </w:p>
    <w:p w14:paraId="44940A8E">
      <w:pPr>
        <w:autoSpaceDE w:val="0"/>
        <w:autoSpaceDN w:val="0"/>
        <w:adjustRightInd w:val="0"/>
        <w:snapToGrid w:val="0"/>
        <w:spacing w:line="360" w:lineRule="auto"/>
        <w:ind w:left="3630" w:right="210" w:hanging="3092"/>
        <w:outlineLvl w:val="0"/>
        <w:rPr>
          <w:rFonts w:ascii="宋体" w:hAnsi="宋体" w:cs="宋体"/>
          <w:color w:val="auto"/>
          <w:sz w:val="28"/>
          <w:szCs w:val="28"/>
          <w:highlight w:val="none"/>
          <w:lang w:val="zh-CN"/>
        </w:rPr>
      </w:pPr>
    </w:p>
    <w:p w14:paraId="6DE60B53">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693AEB52">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41268385">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968B0F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CC1FD2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7E2504D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67636BC0">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2DDABDC4">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42B7D738">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554DE606">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1A6FA758">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14111323">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p>
    <w:p w14:paraId="3846741F">
      <w:pPr>
        <w:adjustRightInd w:val="0"/>
        <w:snapToGrid w:val="0"/>
        <w:spacing w:line="360" w:lineRule="auto"/>
        <w:jc w:val="center"/>
        <w:rPr>
          <w:rFonts w:ascii="宋体" w:hAnsi="宋体" w:cs="仿宋"/>
          <w:bCs/>
          <w:color w:val="auto"/>
          <w:sz w:val="44"/>
          <w:szCs w:val="44"/>
          <w:highlight w:val="none"/>
        </w:rPr>
      </w:pPr>
      <w:r>
        <w:rPr>
          <w:rFonts w:ascii="宋体" w:hAnsi="宋体" w:cs="宋体"/>
          <w:b/>
          <w:bCs/>
          <w:color w:val="auto"/>
          <w:sz w:val="36"/>
          <w:szCs w:val="36"/>
          <w:highlight w:val="none"/>
          <w:lang w:val="zh-CN"/>
        </w:rPr>
        <w:br w:type="page"/>
      </w:r>
      <w:r>
        <w:rPr>
          <w:rFonts w:hint="eastAsia" w:ascii="宋体" w:hAnsi="宋体" w:cs="仿宋"/>
          <w:bCs/>
          <w:color w:val="auto"/>
          <w:sz w:val="44"/>
          <w:szCs w:val="44"/>
          <w:highlight w:val="none"/>
        </w:rPr>
        <w:t>质疑函范本</w:t>
      </w:r>
    </w:p>
    <w:p w14:paraId="1EFA3D7E">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一、质疑供应商基本信息</w:t>
      </w:r>
    </w:p>
    <w:p w14:paraId="5F102856">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质疑供应商：</w:t>
      </w:r>
    </w:p>
    <w:p w14:paraId="13CB555A">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               邮编：</w:t>
      </w:r>
    </w:p>
    <w:p w14:paraId="6F24E67E">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联系人：             联系电话：</w:t>
      </w:r>
    </w:p>
    <w:p w14:paraId="2C35DA53">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授权代表：</w:t>
      </w:r>
    </w:p>
    <w:p w14:paraId="223D1E43">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联系电话：</w:t>
      </w:r>
    </w:p>
    <w:p w14:paraId="40ACB131">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地址：               邮编：</w:t>
      </w:r>
    </w:p>
    <w:p w14:paraId="1784992C">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二、质疑项目基本情况</w:t>
      </w:r>
    </w:p>
    <w:p w14:paraId="5D88CF9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质疑项目的名称：</w:t>
      </w:r>
    </w:p>
    <w:p w14:paraId="087CE584">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质疑项目的编号：     包号：</w:t>
      </w:r>
    </w:p>
    <w:p w14:paraId="744A6F4B">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采购人名称：</w:t>
      </w:r>
    </w:p>
    <w:p w14:paraId="63B1EE79">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采购文件获取日期：</w:t>
      </w:r>
    </w:p>
    <w:p w14:paraId="5150D4D2">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三、质疑事项具体内容</w:t>
      </w:r>
    </w:p>
    <w:p w14:paraId="5812B77F">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质疑事项1：</w:t>
      </w:r>
    </w:p>
    <w:p w14:paraId="1F681557">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事实依据：</w:t>
      </w:r>
    </w:p>
    <w:p w14:paraId="54776737">
      <w:pPr>
        <w:adjustRightInd w:val="0"/>
        <w:snapToGrid w:val="0"/>
        <w:spacing w:line="360" w:lineRule="auto"/>
        <w:rPr>
          <w:rFonts w:ascii="宋体" w:hAnsi="宋体" w:cs="仿宋"/>
          <w:color w:val="auto"/>
          <w:sz w:val="24"/>
          <w:highlight w:val="none"/>
        </w:rPr>
      </w:pPr>
    </w:p>
    <w:p w14:paraId="34E206CF">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法律依据：</w:t>
      </w:r>
    </w:p>
    <w:p w14:paraId="4D8B7A50">
      <w:pPr>
        <w:adjustRightInd w:val="0"/>
        <w:snapToGrid w:val="0"/>
        <w:spacing w:line="360" w:lineRule="auto"/>
        <w:rPr>
          <w:rFonts w:ascii="宋体" w:hAnsi="宋体" w:cs="仿宋"/>
          <w:color w:val="auto"/>
          <w:sz w:val="24"/>
          <w:highlight w:val="none"/>
          <w:u w:val="dotted"/>
        </w:rPr>
      </w:pPr>
    </w:p>
    <w:p w14:paraId="39B56C35">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质疑事项2</w:t>
      </w:r>
    </w:p>
    <w:p w14:paraId="4E2FB362">
      <w:pPr>
        <w:adjustRightInd w:val="0"/>
        <w:snapToGrid w:val="0"/>
        <w:spacing w:line="360" w:lineRule="auto"/>
        <w:rPr>
          <w:rFonts w:ascii="宋体" w:hAnsi="宋体" w:cs="仿宋"/>
          <w:color w:val="auto"/>
          <w:sz w:val="24"/>
          <w:highlight w:val="none"/>
        </w:rPr>
      </w:pPr>
      <w:r>
        <w:rPr>
          <w:rFonts w:hint="eastAsia" w:ascii="宋体" w:hAnsi="宋体" w:cs="仿宋"/>
          <w:color w:val="auto"/>
          <w:sz w:val="24"/>
          <w:highlight w:val="none"/>
        </w:rPr>
        <w:t>……</w:t>
      </w:r>
    </w:p>
    <w:p w14:paraId="6FA8AF98">
      <w:pPr>
        <w:adjustRightInd w:val="0"/>
        <w:snapToGrid w:val="0"/>
        <w:spacing w:line="360" w:lineRule="auto"/>
        <w:rPr>
          <w:rFonts w:ascii="宋体" w:hAnsi="宋体" w:cs="仿宋"/>
          <w:bCs/>
          <w:color w:val="auto"/>
          <w:sz w:val="24"/>
          <w:highlight w:val="none"/>
        </w:rPr>
      </w:pPr>
      <w:r>
        <w:rPr>
          <w:rFonts w:hint="eastAsia" w:ascii="宋体" w:hAnsi="宋体" w:cs="仿宋"/>
          <w:bCs/>
          <w:color w:val="auto"/>
          <w:sz w:val="24"/>
          <w:highlight w:val="none"/>
        </w:rPr>
        <w:t>四、与质疑事项相关的质疑请求</w:t>
      </w:r>
    </w:p>
    <w:p w14:paraId="151C4E5D">
      <w:pPr>
        <w:adjustRightInd w:val="0"/>
        <w:snapToGrid w:val="0"/>
        <w:spacing w:line="360" w:lineRule="auto"/>
        <w:rPr>
          <w:rFonts w:ascii="宋体" w:hAnsi="宋体" w:cs="仿宋"/>
          <w:color w:val="auto"/>
          <w:sz w:val="24"/>
          <w:highlight w:val="none"/>
          <w:u w:val="dotted"/>
        </w:rPr>
      </w:pPr>
      <w:r>
        <w:rPr>
          <w:rFonts w:hint="eastAsia" w:ascii="宋体" w:hAnsi="宋体" w:cs="仿宋"/>
          <w:color w:val="auto"/>
          <w:sz w:val="24"/>
          <w:highlight w:val="none"/>
        </w:rPr>
        <w:t>请求：</w:t>
      </w:r>
    </w:p>
    <w:p w14:paraId="4C103AB8">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签字(签章)：                   公章：                      </w:t>
      </w:r>
    </w:p>
    <w:p w14:paraId="4E6ECC24">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日期：    </w:t>
      </w:r>
    </w:p>
    <w:p w14:paraId="01C5EA70">
      <w:pPr>
        <w:adjustRightInd w:val="0"/>
        <w:snapToGrid w:val="0"/>
        <w:spacing w:line="360" w:lineRule="auto"/>
        <w:rPr>
          <w:rFonts w:ascii="宋体" w:hAnsi="宋体" w:cs="仿宋"/>
          <w:color w:val="auto"/>
          <w:sz w:val="32"/>
          <w:szCs w:val="32"/>
          <w:highlight w:val="none"/>
        </w:rPr>
      </w:pPr>
    </w:p>
    <w:p w14:paraId="49A780E3">
      <w:pPr>
        <w:adjustRightInd w:val="0"/>
        <w:snapToGrid w:val="0"/>
        <w:spacing w:line="360" w:lineRule="auto"/>
        <w:rPr>
          <w:rFonts w:ascii="宋体" w:hAnsi="宋体"/>
          <w:b/>
          <w:color w:val="auto"/>
          <w:sz w:val="32"/>
          <w:szCs w:val="32"/>
          <w:highlight w:val="none"/>
        </w:rPr>
      </w:pPr>
    </w:p>
    <w:p w14:paraId="791B798B">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br w:type="page"/>
      </w:r>
    </w:p>
    <w:p w14:paraId="1A3A14E0">
      <w:pPr>
        <w:adjustRightInd w:val="0"/>
        <w:snapToGrid w:val="0"/>
        <w:spacing w:line="360" w:lineRule="auto"/>
        <w:rPr>
          <w:rFonts w:ascii="宋体" w:hAnsi="宋体"/>
          <w:b/>
          <w:color w:val="auto"/>
          <w:sz w:val="32"/>
          <w:szCs w:val="32"/>
          <w:highlight w:val="none"/>
        </w:rPr>
      </w:pPr>
      <w:r>
        <w:rPr>
          <w:rFonts w:hint="eastAsia" w:ascii="宋体" w:hAnsi="宋体"/>
          <w:b/>
          <w:color w:val="auto"/>
          <w:sz w:val="32"/>
          <w:szCs w:val="32"/>
          <w:highlight w:val="none"/>
        </w:rPr>
        <w:t>质疑函制作说明：</w:t>
      </w:r>
    </w:p>
    <w:p w14:paraId="3FE23783">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1.供应商提出质疑时，应提交质疑函和必要的证明材料。</w:t>
      </w:r>
    </w:p>
    <w:p w14:paraId="7B703A1B">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3472B2D">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3.质疑供应商若对项目的某一分包进行质疑，质疑函中应列明具体分包号。</w:t>
      </w:r>
    </w:p>
    <w:p w14:paraId="4FFDEBCC">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4.质疑函的质疑事项应具体、明确，并有必要的事实依据和法律依据。</w:t>
      </w:r>
    </w:p>
    <w:p w14:paraId="4ED0DAF1">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5.质疑函的质疑请求应与质疑事项相关。</w:t>
      </w:r>
    </w:p>
    <w:p w14:paraId="1CAC57D2">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FC10F18">
      <w:pPr>
        <w:widowControl/>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14:paraId="79AA7B62">
      <w:pPr>
        <w:autoSpaceDE w:val="0"/>
        <w:autoSpaceDN w:val="0"/>
        <w:adjustRightInd w:val="0"/>
        <w:snapToGrid w:val="0"/>
        <w:spacing w:line="360" w:lineRule="auto"/>
        <w:ind w:left="4513" w:right="210" w:hanging="4513"/>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第七部分</w:t>
      </w:r>
      <w:r>
        <w:rPr>
          <w:rFonts w:ascii="宋体" w:hAnsi="宋体" w:cs="宋体"/>
          <w:b/>
          <w:bCs/>
          <w:color w:val="auto"/>
          <w:sz w:val="36"/>
          <w:szCs w:val="36"/>
          <w:highlight w:val="none"/>
          <w:lang w:val="zh-CN"/>
        </w:rPr>
        <w:t xml:space="preserve">  </w:t>
      </w:r>
      <w:r>
        <w:rPr>
          <w:rFonts w:hint="eastAsia" w:ascii="宋体" w:hAnsi="宋体" w:cs="宋体"/>
          <w:b/>
          <w:bCs/>
          <w:color w:val="auto"/>
          <w:sz w:val="36"/>
          <w:szCs w:val="36"/>
          <w:highlight w:val="none"/>
          <w:lang w:val="zh-CN"/>
        </w:rPr>
        <w:t>响应文件组成</w:t>
      </w:r>
    </w:p>
    <w:p w14:paraId="5F61F16A">
      <w:pPr>
        <w:snapToGrid w:val="0"/>
        <w:spacing w:line="360" w:lineRule="auto"/>
        <w:ind w:firstLine="458" w:firstLineChars="200"/>
        <w:jc w:val="left"/>
        <w:rPr>
          <w:rFonts w:ascii="宋体" w:hAnsi="宋体" w:cs="宋体"/>
          <w:b/>
          <w:color w:val="auto"/>
          <w:spacing w:val="-6"/>
          <w:sz w:val="24"/>
          <w:highlight w:val="none"/>
        </w:rPr>
      </w:pPr>
      <w:r>
        <w:rPr>
          <w:rFonts w:hint="eastAsia" w:ascii="宋体" w:hAnsi="宋体" w:cs="宋体"/>
          <w:b/>
          <w:color w:val="auto"/>
          <w:spacing w:val="-6"/>
          <w:sz w:val="24"/>
          <w:highlight w:val="none"/>
        </w:rPr>
        <w:t>响应文件由资格审查、价格响应文件、电子版响应文件三</w:t>
      </w:r>
      <w:r>
        <w:rPr>
          <w:rFonts w:hint="eastAsia" w:ascii="宋体" w:hAnsi="宋体" w:cs="宋体"/>
          <w:b/>
          <w:color w:val="auto"/>
          <w:sz w:val="24"/>
          <w:highlight w:val="none"/>
        </w:rPr>
        <w:t>部分组成</w:t>
      </w:r>
      <w:r>
        <w:rPr>
          <w:rFonts w:hint="eastAsia" w:ascii="宋体" w:hAnsi="宋体" w:cs="宋体"/>
          <w:b/>
          <w:color w:val="auto"/>
          <w:spacing w:val="-6"/>
          <w:sz w:val="24"/>
          <w:highlight w:val="none"/>
        </w:rPr>
        <w:t>。</w:t>
      </w:r>
    </w:p>
    <w:p w14:paraId="57AC4F71">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一、资格审查</w:t>
      </w:r>
    </w:p>
    <w:p w14:paraId="49B82690">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资格声明函原件；</w:t>
      </w:r>
    </w:p>
    <w:p w14:paraId="64914F83">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授权委托书或法定代表人身份证明原件；</w:t>
      </w:r>
    </w:p>
    <w:p w14:paraId="430885BE">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ascii="宋体" w:hAnsi="宋体" w:cs="宋体"/>
          <w:color w:val="auto"/>
          <w:sz w:val="24"/>
          <w:highlight w:val="none"/>
        </w:rPr>
        <w:t>供应商信用承诺书原件；</w:t>
      </w:r>
    </w:p>
    <w:p w14:paraId="78C87335">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w:t>
      </w:r>
      <w:r>
        <w:rPr>
          <w:rFonts w:ascii="宋体" w:hAnsi="宋体" w:cs="宋体"/>
          <w:color w:val="auto"/>
          <w:sz w:val="24"/>
          <w:highlight w:val="none"/>
        </w:rPr>
        <w:t>供应商基本情况表、</w:t>
      </w:r>
      <w:r>
        <w:rPr>
          <w:rFonts w:hint="eastAsia" w:ascii="宋体" w:hAnsi="宋体" w:cs="宋体"/>
          <w:color w:val="auto"/>
          <w:sz w:val="24"/>
          <w:highlight w:val="none"/>
        </w:rPr>
        <w:t>拟投入本标段主要人员情况表、拟投入本标段主要人员经历表</w:t>
      </w:r>
      <w:r>
        <w:rPr>
          <w:rFonts w:ascii="宋体" w:hAnsi="宋体" w:cs="宋体"/>
          <w:color w:val="auto"/>
          <w:sz w:val="24"/>
          <w:highlight w:val="none"/>
        </w:rPr>
        <w:t>及按竞争性谈判公告资格要求提供相应的佐证材料（以下材料均须提供扫描件（或复印件）并加盖公章）；</w:t>
      </w:r>
    </w:p>
    <w:p w14:paraId="0F9F2EF2">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1）企业法人营业执照或事业单位法人登记证明或社会组织或其他组织或自然人证明材料； </w:t>
      </w:r>
    </w:p>
    <w:p w14:paraId="3ACE6FD6">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r>
        <w:rPr>
          <w:rFonts w:hint="eastAsia" w:ascii="宋体" w:hAnsi="宋体" w:cs="宋体"/>
          <w:color w:val="auto"/>
          <w:sz w:val="24"/>
          <w:highlight w:val="none"/>
        </w:rPr>
        <w:t>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14:paraId="31FB9BDF">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.其它需要提交的资格审查材料。</w:t>
      </w:r>
    </w:p>
    <w:p w14:paraId="59F5DF90">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二、价格响应文件</w:t>
      </w:r>
    </w:p>
    <w:p w14:paraId="45701FA4">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谈判报价总表；</w:t>
      </w:r>
    </w:p>
    <w:p w14:paraId="4AF90B45">
      <w:pPr>
        <w:tabs>
          <w:tab w:val="left" w:pos="3375"/>
        </w:tabs>
        <w:autoSpaceDE w:val="0"/>
        <w:autoSpaceDN w:val="0"/>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2.分项报价明细表；</w:t>
      </w:r>
    </w:p>
    <w:p w14:paraId="27BFB549">
      <w:pPr>
        <w:tabs>
          <w:tab w:val="left" w:pos="3375"/>
        </w:tabs>
        <w:autoSpaceDE w:val="0"/>
        <w:autoSpaceDN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cs="宋体" w:asciiTheme="minorEastAsia" w:hAnsiTheme="minorEastAsia" w:eastAsiaTheme="minorEastAsia"/>
          <w:color w:val="auto"/>
          <w:sz w:val="24"/>
          <w:highlight w:val="none"/>
        </w:rPr>
        <w:t>《中小企业声明函》等原件</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ascii="宋体" w:hAnsi="宋体" w:cs="宋体"/>
          <w:color w:val="auto"/>
          <w:sz w:val="24"/>
          <w:highlight w:val="none"/>
          <w:lang w:val="en-US" w:eastAsia="zh-CN"/>
        </w:rPr>
        <w:t>。</w:t>
      </w:r>
    </w:p>
    <w:p w14:paraId="40415988">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注：1.</w:t>
      </w:r>
      <w:r>
        <w:rPr>
          <w:rFonts w:ascii="宋体" w:hAnsi="宋体" w:cs="宋体"/>
          <w:b/>
          <w:color w:val="auto"/>
          <w:kern w:val="0"/>
          <w:sz w:val="24"/>
          <w:highlight w:val="none"/>
          <w:lang w:val="zh-CN"/>
        </w:rPr>
        <w:t>供应商应依照规定提交各类声明函、承诺函，不再同时提供原件备查或提供有关部门出具的相关证明文件。但中标或成交供应商，应</w:t>
      </w:r>
      <w:r>
        <w:rPr>
          <w:rFonts w:hint="eastAsia" w:ascii="宋体" w:hAnsi="宋体" w:cs="宋体"/>
          <w:b/>
          <w:color w:val="auto"/>
          <w:kern w:val="0"/>
          <w:sz w:val="24"/>
          <w:highlight w:val="none"/>
          <w:lang w:val="zh-CN"/>
        </w:rPr>
        <w:t>做好提交声明函、承诺函相应原件的核查准备</w:t>
      </w:r>
      <w:r>
        <w:rPr>
          <w:rFonts w:ascii="宋体" w:hAnsi="宋体" w:cs="宋体"/>
          <w:b/>
          <w:color w:val="auto"/>
          <w:kern w:val="0"/>
          <w:sz w:val="24"/>
          <w:highlight w:val="none"/>
          <w:lang w:val="zh-CN"/>
        </w:rPr>
        <w:t>；核查后发现虚假或违背承诺的，依照相关法律法规规定处理</w:t>
      </w:r>
      <w:r>
        <w:rPr>
          <w:rFonts w:hint="eastAsia" w:ascii="宋体" w:hAnsi="宋体" w:cs="宋体"/>
          <w:b/>
          <w:color w:val="auto"/>
          <w:kern w:val="0"/>
          <w:sz w:val="24"/>
          <w:highlight w:val="none"/>
          <w:lang w:val="zh-CN"/>
        </w:rPr>
        <w:t>。</w:t>
      </w:r>
    </w:p>
    <w:p w14:paraId="412BA0E4">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2.如为自然人投标，以上</w:t>
      </w:r>
      <w:r>
        <w:rPr>
          <w:rFonts w:hint="eastAsia" w:ascii="宋体" w:hAnsi="宋体" w:cs="宋体"/>
          <w:b/>
          <w:color w:val="auto"/>
          <w:spacing w:val="-6"/>
          <w:sz w:val="24"/>
          <w:highlight w:val="none"/>
        </w:rPr>
        <w:t>资格审查、价格响应文件</w:t>
      </w:r>
      <w:r>
        <w:rPr>
          <w:rFonts w:hint="eastAsia" w:ascii="宋体" w:hAnsi="宋体" w:cs="宋体"/>
          <w:b/>
          <w:color w:val="auto"/>
          <w:kern w:val="0"/>
          <w:sz w:val="24"/>
          <w:highlight w:val="none"/>
          <w:lang w:val="zh-CN"/>
        </w:rPr>
        <w:t>两部分材料每页须自然人亲笔签名无须盖公章。</w:t>
      </w:r>
    </w:p>
    <w:p w14:paraId="46B5DD4E">
      <w:pPr>
        <w:tabs>
          <w:tab w:val="left" w:pos="3375"/>
        </w:tabs>
        <w:autoSpaceDE w:val="0"/>
        <w:autoSpaceDN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三、电子版响应文件</w:t>
      </w:r>
    </w:p>
    <w:p w14:paraId="3715D843">
      <w:pPr>
        <w:tabs>
          <w:tab w:val="left" w:pos="3375"/>
        </w:tabs>
        <w:autoSpaceDE w:val="0"/>
        <w:autoSpaceDN w:val="0"/>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电子版响应文件（按“第二部分</w:t>
      </w:r>
      <w:r>
        <w:rPr>
          <w:rFonts w:ascii="宋体" w:hAnsi="宋体" w:cs="宋体"/>
          <w:b/>
          <w:bCs/>
          <w:color w:val="auto"/>
          <w:sz w:val="24"/>
          <w:highlight w:val="none"/>
        </w:rPr>
        <w:t xml:space="preserve"> </w:t>
      </w:r>
      <w:r>
        <w:rPr>
          <w:rFonts w:hint="eastAsia" w:ascii="宋体" w:hAnsi="宋体" w:cs="宋体"/>
          <w:b/>
          <w:bCs/>
          <w:color w:val="auto"/>
          <w:sz w:val="24"/>
          <w:highlight w:val="none"/>
        </w:rPr>
        <w:t>谈判须知”中电子版响应文件要求</w:t>
      </w:r>
      <w:r>
        <w:rPr>
          <w:rFonts w:hint="eastAsia" w:ascii="宋体" w:hAnsi="宋体" w:cs="仿宋_GB2312"/>
          <w:b/>
          <w:bCs/>
          <w:color w:val="auto"/>
          <w:sz w:val="24"/>
          <w:highlight w:val="none"/>
          <w:lang w:val="zh-CN"/>
        </w:rPr>
        <w:t>提供</w:t>
      </w:r>
      <w:r>
        <w:rPr>
          <w:rFonts w:hint="eastAsia" w:ascii="宋体" w:hAnsi="宋体" w:cs="宋体"/>
          <w:b/>
          <w:bCs/>
          <w:color w:val="auto"/>
          <w:sz w:val="24"/>
          <w:highlight w:val="none"/>
        </w:rPr>
        <w:t>）。</w:t>
      </w:r>
    </w:p>
    <w:p w14:paraId="2E8DE94B">
      <w:pPr>
        <w:tabs>
          <w:tab w:val="left" w:pos="3375"/>
        </w:tabs>
        <w:autoSpaceDE w:val="0"/>
        <w:autoSpaceDN w:val="0"/>
        <w:adjustRightInd w:val="0"/>
        <w:snapToGrid w:val="0"/>
        <w:spacing w:line="360" w:lineRule="auto"/>
        <w:contextualSpacing/>
        <w:rPr>
          <w:rFonts w:ascii="宋体" w:hAnsi="宋体" w:cs="宋体"/>
          <w:color w:val="auto"/>
          <w:sz w:val="28"/>
          <w:szCs w:val="28"/>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第一部分格式：</w:t>
      </w:r>
    </w:p>
    <w:p w14:paraId="06A263D2">
      <w:pPr>
        <w:tabs>
          <w:tab w:val="left" w:pos="159"/>
        </w:tabs>
        <w:spacing w:line="360" w:lineRule="auto"/>
        <w:rPr>
          <w:rFonts w:ascii="宋体" w:hAnsi="宋体" w:cs="宋体"/>
          <w:color w:val="auto"/>
          <w:sz w:val="28"/>
          <w:szCs w:val="28"/>
          <w:highlight w:val="none"/>
        </w:rPr>
      </w:pPr>
    </w:p>
    <w:p w14:paraId="0B5F8D35">
      <w:pPr>
        <w:snapToGrid w:val="0"/>
        <w:spacing w:line="360" w:lineRule="auto"/>
        <w:ind w:firstLine="906" w:firstLineChars="206"/>
        <w:contextualSpacing/>
        <w:rPr>
          <w:rFonts w:ascii="宋体" w:hAnsi="宋体" w:cs="宋体"/>
          <w:color w:val="auto"/>
          <w:sz w:val="44"/>
          <w:szCs w:val="44"/>
          <w:highlight w:val="none"/>
        </w:rPr>
      </w:pPr>
    </w:p>
    <w:p w14:paraId="182A87A7">
      <w:pPr>
        <w:autoSpaceDE w:val="0"/>
        <w:autoSpaceDN w:val="0"/>
        <w:adjustRightInd w:val="0"/>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bCs/>
          <w:color w:val="auto"/>
          <w:sz w:val="44"/>
          <w:szCs w:val="44"/>
          <w:highlight w:val="none"/>
          <w:lang w:eastAsia="zh-CN"/>
        </w:rPr>
        <w:t>沪陕高速公路海门城区至南通东段客车差异化收费政策实施情况评估服务项目</w:t>
      </w:r>
    </w:p>
    <w:p w14:paraId="603AC5A9">
      <w:pPr>
        <w:pStyle w:val="18"/>
        <w:spacing w:line="360" w:lineRule="auto"/>
        <w:rPr>
          <w:color w:val="auto"/>
          <w:highlight w:val="none"/>
        </w:rPr>
      </w:pPr>
    </w:p>
    <w:p w14:paraId="6B4DFCC1">
      <w:pPr>
        <w:tabs>
          <w:tab w:val="left" w:pos="6300"/>
        </w:tabs>
        <w:snapToGrid w:val="0"/>
        <w:spacing w:line="360" w:lineRule="auto"/>
        <w:jc w:val="center"/>
        <w:rPr>
          <w:rFonts w:ascii="宋体" w:hAnsi="宋体" w:cs="宋体"/>
          <w:b/>
          <w:color w:val="auto"/>
          <w:w w:val="80"/>
          <w:sz w:val="32"/>
          <w:szCs w:val="32"/>
          <w:highlight w:val="none"/>
        </w:rPr>
      </w:pPr>
      <w:r>
        <w:rPr>
          <w:rFonts w:hint="eastAsia" w:ascii="宋体" w:hAnsi="宋体" w:cs="宋体"/>
          <w:b/>
          <w:color w:val="auto"/>
          <w:w w:val="80"/>
          <w:sz w:val="32"/>
          <w:szCs w:val="32"/>
          <w:highlight w:val="none"/>
        </w:rPr>
        <w:t>项目编号：</w:t>
      </w:r>
      <w:r>
        <w:rPr>
          <w:rFonts w:ascii="宋体" w:hAnsi="宋体" w:cs="宋体"/>
          <w:b/>
          <w:color w:val="auto"/>
          <w:w w:val="80"/>
          <w:sz w:val="32"/>
          <w:szCs w:val="32"/>
          <w:highlight w:val="none"/>
        </w:rPr>
        <w:t xml:space="preserve"> </w:t>
      </w:r>
    </w:p>
    <w:p w14:paraId="1BB4EC37">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2769626F">
      <w:pPr>
        <w:spacing w:after="6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（资格审查文件）</w:t>
      </w:r>
    </w:p>
    <w:p w14:paraId="46FC6052">
      <w:pPr>
        <w:spacing w:after="60" w:line="360" w:lineRule="auto"/>
        <w:jc w:val="center"/>
        <w:rPr>
          <w:rFonts w:ascii="宋体" w:hAnsi="宋体" w:cs="宋体"/>
          <w:b/>
          <w:bCs/>
          <w:color w:val="auto"/>
          <w:sz w:val="72"/>
          <w:szCs w:val="72"/>
          <w:highlight w:val="none"/>
        </w:rPr>
      </w:pPr>
    </w:p>
    <w:p w14:paraId="6B1D35E9">
      <w:pPr>
        <w:spacing w:after="60" w:line="360" w:lineRule="auto"/>
        <w:jc w:val="center"/>
        <w:rPr>
          <w:rFonts w:ascii="宋体" w:hAnsi="宋体" w:cs="宋体"/>
          <w:b/>
          <w:bCs/>
          <w:color w:val="auto"/>
          <w:sz w:val="72"/>
          <w:szCs w:val="72"/>
          <w:highlight w:val="none"/>
        </w:rPr>
      </w:pPr>
    </w:p>
    <w:p w14:paraId="78E20044">
      <w:pPr>
        <w:pStyle w:val="18"/>
        <w:spacing w:line="360" w:lineRule="auto"/>
        <w:ind w:left="0" w:leftChars="0" w:firstLine="0" w:firstLineChars="0"/>
        <w:rPr>
          <w:rFonts w:ascii="宋体" w:hAnsi="宋体" w:cs="宋体"/>
          <w:b/>
          <w:bCs/>
          <w:color w:val="auto"/>
          <w:sz w:val="72"/>
          <w:szCs w:val="72"/>
          <w:highlight w:val="none"/>
        </w:rPr>
      </w:pPr>
    </w:p>
    <w:p w14:paraId="0E77CF66">
      <w:pPr>
        <w:spacing w:after="60" w:line="360" w:lineRule="auto"/>
        <w:jc w:val="center"/>
        <w:rPr>
          <w:rFonts w:ascii="宋体" w:hAnsi="宋体" w:cs="宋体"/>
          <w:b/>
          <w:bCs/>
          <w:color w:val="auto"/>
          <w:sz w:val="72"/>
          <w:szCs w:val="72"/>
          <w:highlight w:val="none"/>
        </w:rPr>
      </w:pPr>
    </w:p>
    <w:p w14:paraId="21481AA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供应商（盖单位公章）：</w:t>
      </w:r>
    </w:p>
    <w:p w14:paraId="0012B3F0">
      <w:pPr>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rPr>
        <w:t>法定代表人（或其委托代理人）（签名或盖章）：</w:t>
      </w:r>
    </w:p>
    <w:p w14:paraId="0610F09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日</w:t>
      </w:r>
      <w:r>
        <w:rPr>
          <w:rFonts w:ascii="宋体" w:hAnsi="宋体" w:cs="宋体"/>
          <w:b/>
          <w:color w:val="auto"/>
          <w:sz w:val="24"/>
          <w:highlight w:val="none"/>
        </w:rPr>
        <w:t xml:space="preserve">    </w:t>
      </w:r>
      <w:r>
        <w:rPr>
          <w:rFonts w:hint="eastAsia" w:ascii="宋体" w:hAnsi="宋体" w:cs="宋体"/>
          <w:b/>
          <w:color w:val="auto"/>
          <w:sz w:val="24"/>
          <w:highlight w:val="none"/>
        </w:rPr>
        <w:t>期：</w:t>
      </w:r>
    </w:p>
    <w:p w14:paraId="4922E148">
      <w:pPr>
        <w:snapToGrid w:val="0"/>
        <w:spacing w:line="360" w:lineRule="auto"/>
        <w:contextualSpacing/>
        <w:jc w:val="left"/>
        <w:rPr>
          <w:rFonts w:ascii="宋体" w:hAnsi="宋体" w:cs="宋体"/>
          <w:color w:val="auto"/>
          <w:sz w:val="24"/>
          <w:highlight w:val="none"/>
        </w:rPr>
      </w:pPr>
      <w:r>
        <w:rPr>
          <w:rFonts w:ascii="宋体" w:hAnsi="宋体" w:cs="宋体"/>
          <w:color w:val="auto"/>
          <w:sz w:val="24"/>
          <w:highlight w:val="none"/>
        </w:rPr>
        <w:br w:type="page"/>
      </w:r>
      <w:r>
        <w:rPr>
          <w:rFonts w:hint="eastAsia" w:ascii="宋体" w:hAnsi="宋体" w:cs="宋体"/>
          <w:color w:val="auto"/>
          <w:sz w:val="28"/>
          <w:szCs w:val="28"/>
          <w:highlight w:val="none"/>
        </w:rPr>
        <w:t>（一）资格审查文件</w:t>
      </w:r>
    </w:p>
    <w:p w14:paraId="3007FD14">
      <w:pPr>
        <w:snapToGrid w:val="0"/>
        <w:spacing w:line="360" w:lineRule="auto"/>
        <w:contextualSpacing/>
        <w:jc w:val="lef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08C1A17">
      <w:pPr>
        <w:snapToGrid w:val="0"/>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70696400">
      <w:pPr>
        <w:spacing w:line="360" w:lineRule="auto"/>
        <w:jc w:val="center"/>
        <w:rPr>
          <w:rFonts w:ascii="宋体" w:hAnsi="宋体" w:cs="宋体"/>
          <w:b/>
          <w:color w:val="auto"/>
          <w:sz w:val="24"/>
          <w:highlight w:val="none"/>
        </w:rPr>
      </w:pPr>
    </w:p>
    <w:p w14:paraId="3CC31ADF">
      <w:pPr>
        <w:snapToGrid w:val="0"/>
        <w:spacing w:line="360" w:lineRule="auto"/>
        <w:contextualSpacing/>
        <w:rPr>
          <w:rFonts w:ascii="宋体" w:hAnsi="宋体" w:cs="宋体"/>
          <w:b/>
          <w:color w:val="auto"/>
          <w:sz w:val="24"/>
          <w:highlight w:val="none"/>
        </w:rPr>
      </w:pPr>
      <w:r>
        <w:rPr>
          <w:rFonts w:hint="eastAsia" w:ascii="宋体" w:hAnsi="宋体" w:cs="宋体"/>
          <w:b/>
          <w:color w:val="auto"/>
          <w:sz w:val="24"/>
          <w:highlight w:val="none"/>
          <w:u w:val="single"/>
        </w:rPr>
        <w:t>南通市公路事业发展中心</w:t>
      </w:r>
      <w:r>
        <w:rPr>
          <w:rFonts w:hint="eastAsia" w:ascii="宋体" w:hAnsi="宋体" w:cs="宋体"/>
          <w:b/>
          <w:color w:val="auto"/>
          <w:sz w:val="24"/>
          <w:highlight w:val="none"/>
        </w:rPr>
        <w:t>：</w:t>
      </w:r>
    </w:p>
    <w:p w14:paraId="07774D03">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pacing w:val="-5"/>
          <w:sz w:val="24"/>
          <w:highlight w:val="none"/>
        </w:rPr>
        <w:t>（单位名称）</w:t>
      </w:r>
      <w:r>
        <w:rPr>
          <w:rFonts w:hint="eastAsia" w:ascii="宋体" w:hAnsi="宋体" w:cs="宋体"/>
          <w:color w:val="auto"/>
          <w:sz w:val="24"/>
          <w:highlight w:val="none"/>
        </w:rPr>
        <w:t>认真对照</w:t>
      </w:r>
      <w:r>
        <w:rPr>
          <w:rFonts w:ascii="宋体" w:hAnsi="宋体" w:cs="宋体"/>
          <w:color w:val="auto"/>
          <w:sz w:val="24"/>
          <w:highlight w:val="none"/>
          <w:u w:val="single"/>
        </w:rPr>
        <w:t xml:space="preserve">     （项目名称）                   项目</w:t>
      </w:r>
      <w:r>
        <w:rPr>
          <w:rFonts w:hint="eastAsia" w:ascii="宋体" w:hAnsi="宋体" w:cs="宋体"/>
          <w:color w:val="auto"/>
          <w:sz w:val="24"/>
          <w:highlight w:val="none"/>
        </w:rPr>
        <w:t>谈判文件（含所有澄清、修改文件），符合贵方提出的资格要求，自愿报名参加响应，并郑重声明：</w:t>
      </w:r>
    </w:p>
    <w:p w14:paraId="00EBF6AD">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我单位具有独立承担民事责任的能力；</w:t>
      </w:r>
    </w:p>
    <w:p w14:paraId="30D196CC">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我单位具有良好的商业信誉和健全的财务会计制度；</w:t>
      </w:r>
    </w:p>
    <w:p w14:paraId="5721B2DF">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我单位具有履行合同所必需的设备和专业技术能力；</w:t>
      </w:r>
    </w:p>
    <w:p w14:paraId="76746C5A">
      <w:pPr>
        <w:snapToGri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我单位有依法缴纳税收和社会保障资金的良好记录；</w:t>
      </w:r>
    </w:p>
    <w:p w14:paraId="5B0E7AFD">
      <w:pPr>
        <w:snapToGrid w:val="0"/>
        <w:spacing w:line="360" w:lineRule="auto"/>
        <w:ind w:firstLine="480" w:firstLineChars="200"/>
        <w:contextualSpacing/>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我单位参加政府采购活动前3年内在经营活动中（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31626DF1">
      <w:pPr>
        <w:snapToGrid w:val="0"/>
        <w:spacing w:line="360" w:lineRule="auto"/>
        <w:ind w:firstLine="420"/>
        <w:contextualSpacing/>
        <w:rPr>
          <w:rFonts w:ascii="宋体" w:hAnsi="宋体" w:cs="宋体"/>
          <w:color w:val="auto"/>
          <w:sz w:val="28"/>
          <w:szCs w:val="28"/>
          <w:highlight w:val="none"/>
        </w:rPr>
      </w:pPr>
    </w:p>
    <w:p w14:paraId="148CDCAE">
      <w:pPr>
        <w:snapToGrid w:val="0"/>
        <w:spacing w:line="360" w:lineRule="auto"/>
        <w:ind w:firstLine="4440" w:firstLineChars="1850"/>
        <w:contextualSpacing/>
        <w:rPr>
          <w:rFonts w:ascii="宋体" w:hAnsi="宋体" w:cs="宋体"/>
          <w:color w:val="auto"/>
          <w:sz w:val="24"/>
          <w:highlight w:val="none"/>
        </w:rPr>
      </w:pPr>
    </w:p>
    <w:p w14:paraId="79DDFCB8">
      <w:pPr>
        <w:snapToGrid w:val="0"/>
        <w:spacing w:line="360" w:lineRule="auto"/>
        <w:ind w:firstLine="4440" w:firstLineChars="1850"/>
        <w:contextualSpacing/>
        <w:rPr>
          <w:rFonts w:ascii="宋体" w:hAnsi="宋体" w:cs="宋体"/>
          <w:color w:val="auto"/>
          <w:sz w:val="24"/>
          <w:highlight w:val="none"/>
        </w:rPr>
      </w:pPr>
    </w:p>
    <w:p w14:paraId="2B59734E">
      <w:pPr>
        <w:snapToGrid w:val="0"/>
        <w:spacing w:line="360" w:lineRule="auto"/>
        <w:ind w:firstLine="4440" w:firstLineChars="1850"/>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7003A44F">
      <w:pPr>
        <w:snapToGrid w:val="0"/>
        <w:spacing w:line="360" w:lineRule="auto"/>
        <w:contextualSpacing/>
        <w:rPr>
          <w:rFonts w:ascii="宋体" w:hAnsi="宋体" w:cs="宋体"/>
          <w:color w:val="auto"/>
          <w:sz w:val="24"/>
          <w:highlight w:val="none"/>
        </w:rPr>
      </w:pPr>
    </w:p>
    <w:p w14:paraId="79068181">
      <w:pPr>
        <w:snapToGrid w:val="0"/>
        <w:spacing w:line="360" w:lineRule="auto"/>
        <w:ind w:firstLine="4440" w:firstLineChars="1850"/>
        <w:contextualSpacing/>
        <w:rPr>
          <w:rFonts w:ascii="宋体" w:hAnsi="宋体" w:cs="宋体"/>
          <w:bCs/>
          <w:color w:val="auto"/>
          <w:sz w:val="24"/>
          <w:highlight w:val="none"/>
        </w:rPr>
      </w:pP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hint="eastAsia" w:ascii="宋体" w:hAnsi="宋体" w:cs="宋体"/>
          <w:bCs/>
          <w:color w:val="auto"/>
          <w:sz w:val="24"/>
          <w:highlight w:val="none"/>
        </w:rPr>
        <w:t>月</w:t>
      </w:r>
      <w:r>
        <w:rPr>
          <w:rFonts w:ascii="宋体" w:hAnsi="宋体" w:cs="宋体"/>
          <w:bCs/>
          <w:color w:val="auto"/>
          <w:sz w:val="24"/>
          <w:highlight w:val="none"/>
        </w:rPr>
        <w:t xml:space="preserve">    </w:t>
      </w:r>
      <w:r>
        <w:rPr>
          <w:rFonts w:hint="eastAsia" w:ascii="宋体" w:hAnsi="宋体" w:cs="宋体"/>
          <w:bCs/>
          <w:color w:val="auto"/>
          <w:sz w:val="24"/>
          <w:highlight w:val="none"/>
        </w:rPr>
        <w:t>日</w:t>
      </w:r>
    </w:p>
    <w:p w14:paraId="018F818D">
      <w:pPr>
        <w:spacing w:line="360" w:lineRule="auto"/>
        <w:ind w:firstLine="576" w:firstLineChars="206"/>
        <w:rPr>
          <w:rFonts w:ascii="宋体" w:hAnsi="宋体" w:cs="宋体"/>
          <w:color w:val="auto"/>
          <w:sz w:val="28"/>
          <w:szCs w:val="28"/>
          <w:highlight w:val="none"/>
        </w:rPr>
      </w:pPr>
    </w:p>
    <w:p w14:paraId="1B419883">
      <w:pPr>
        <w:spacing w:line="360" w:lineRule="auto"/>
        <w:ind w:firstLine="576" w:firstLineChars="206"/>
        <w:rPr>
          <w:rFonts w:ascii="宋体" w:hAnsi="宋体" w:cs="宋体"/>
          <w:color w:val="auto"/>
          <w:sz w:val="28"/>
          <w:szCs w:val="28"/>
          <w:highlight w:val="none"/>
        </w:rPr>
      </w:pPr>
    </w:p>
    <w:p w14:paraId="6F2B6FE2">
      <w:pPr>
        <w:spacing w:line="360" w:lineRule="auto"/>
        <w:ind w:firstLine="576" w:firstLineChars="206"/>
        <w:rPr>
          <w:rFonts w:ascii="宋体" w:hAnsi="宋体" w:cs="宋体"/>
          <w:color w:val="auto"/>
          <w:sz w:val="28"/>
          <w:szCs w:val="28"/>
          <w:highlight w:val="none"/>
        </w:rPr>
      </w:pPr>
    </w:p>
    <w:p w14:paraId="7B32F1D5">
      <w:pPr>
        <w:spacing w:line="360" w:lineRule="auto"/>
        <w:ind w:firstLine="576" w:firstLineChars="206"/>
        <w:rPr>
          <w:rFonts w:ascii="宋体" w:hAnsi="宋体" w:cs="宋体"/>
          <w:color w:val="auto"/>
          <w:sz w:val="28"/>
          <w:szCs w:val="28"/>
          <w:highlight w:val="none"/>
        </w:rPr>
      </w:pPr>
    </w:p>
    <w:p w14:paraId="43613143">
      <w:pPr>
        <w:snapToGrid w:val="0"/>
        <w:spacing w:line="360" w:lineRule="auto"/>
        <w:contextualSpacing/>
        <w:rPr>
          <w:rFonts w:ascii="宋体" w:hAnsi="宋体" w:cs="宋体"/>
          <w:color w:val="auto"/>
          <w:sz w:val="28"/>
          <w:szCs w:val="28"/>
          <w:highlight w:val="none"/>
        </w:rPr>
      </w:pPr>
      <w:r>
        <w:rPr>
          <w:rFonts w:ascii="宋体" w:hAnsi="宋体" w:cs="宋体"/>
          <w:b/>
          <w:bCs/>
          <w:color w:val="auto"/>
          <w:sz w:val="72"/>
          <w:szCs w:val="72"/>
          <w:highlight w:val="none"/>
        </w:rPr>
        <w:br w:type="page"/>
      </w:r>
      <w:r>
        <w:rPr>
          <w:rFonts w:hint="eastAsia" w:ascii="宋体" w:hAnsi="宋体" w:cs="宋体"/>
          <w:color w:val="auto"/>
          <w:sz w:val="28"/>
          <w:szCs w:val="28"/>
          <w:highlight w:val="none"/>
        </w:rPr>
        <w:t>附件二：</w:t>
      </w:r>
    </w:p>
    <w:p w14:paraId="565E9C46">
      <w:pPr>
        <w:spacing w:beforeLines="5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授权委托书或法定代表人身份证明</w:t>
      </w:r>
    </w:p>
    <w:p w14:paraId="3CD40FE5">
      <w:pPr>
        <w:topLinePunct/>
        <w:spacing w:beforeLines="50" w:afterLines="5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（一）授权委托书</w:t>
      </w:r>
    </w:p>
    <w:p w14:paraId="074F203A">
      <w:pPr>
        <w:topLinePunct/>
        <w:spacing w:beforeLines="50" w:line="360" w:lineRule="auto"/>
        <w:ind w:firstLine="561"/>
        <w:rPr>
          <w:rFonts w:ascii="宋体" w:hAnsi="宋体" w:cs="宋体"/>
          <w:color w:val="auto"/>
          <w:sz w:val="24"/>
          <w:highlight w:val="none"/>
          <w:u w:val="singl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(姓名)</w:t>
      </w:r>
      <w:r>
        <w:rPr>
          <w:rFonts w:hint="eastAsia" w:ascii="宋体" w:hAnsi="宋体" w:cs="宋体"/>
          <w:color w:val="auto"/>
          <w:sz w:val="24"/>
          <w:highlight w:val="none"/>
        </w:rPr>
        <w:t>系</w:t>
      </w:r>
      <w:r>
        <w:rPr>
          <w:rFonts w:ascii="宋体" w:hAnsi="宋体" w:cs="宋体"/>
          <w:color w:val="auto"/>
          <w:sz w:val="24"/>
          <w:highlight w:val="none"/>
          <w:u w:val="single"/>
        </w:rPr>
        <w:t>(供应商名称)</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(姓名)</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项目</w:t>
      </w:r>
      <w:r>
        <w:rPr>
          <w:rFonts w:hint="eastAsia" w:ascii="宋体" w:hAnsi="宋体" w:cs="宋体"/>
          <w:color w:val="auto"/>
          <w:sz w:val="24"/>
          <w:highlight w:val="none"/>
        </w:rPr>
        <w:t>响应文件、签订合同和处理有关事宜，其法律后果由我方承担。</w:t>
      </w:r>
    </w:p>
    <w:p w14:paraId="3E5031B1">
      <w:pPr>
        <w:topLinePunct/>
        <w:spacing w:line="360" w:lineRule="auto"/>
        <w:rPr>
          <w:rFonts w:ascii="宋体" w:hAnsi="宋体" w:cs="宋体"/>
          <w:color w:val="auto"/>
          <w:sz w:val="24"/>
          <w:highlight w:val="none"/>
        </w:rPr>
      </w:pPr>
    </w:p>
    <w:p w14:paraId="18624B19">
      <w:pPr>
        <w:topLinePunct/>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委托期限：自本委托书签署之日起至投标有效期期满。</w:t>
      </w:r>
    </w:p>
    <w:p w14:paraId="609D36D1">
      <w:pPr>
        <w:topLinePunct/>
        <w:spacing w:line="360" w:lineRule="auto"/>
        <w:rPr>
          <w:rFonts w:ascii="宋体" w:hAnsi="宋体" w:cs="宋体"/>
          <w:color w:val="auto"/>
          <w:sz w:val="24"/>
          <w:highlight w:val="none"/>
        </w:rPr>
      </w:pPr>
    </w:p>
    <w:p w14:paraId="58BBC52F">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代理人无转委托权。</w:t>
      </w:r>
    </w:p>
    <w:p w14:paraId="74E04FC4">
      <w:pPr>
        <w:topLinePunct/>
        <w:spacing w:line="360" w:lineRule="auto"/>
        <w:rPr>
          <w:rFonts w:ascii="宋体" w:hAnsi="宋体" w:cs="宋体"/>
          <w:color w:val="auto"/>
          <w:sz w:val="24"/>
          <w:highlight w:val="none"/>
        </w:rPr>
      </w:pPr>
    </w:p>
    <w:p w14:paraId="36920558">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highlight w:val="none"/>
        </w:rPr>
        <w:t>法定代表人身份证明</w:t>
      </w:r>
      <w:r>
        <w:rPr>
          <w:rFonts w:hint="eastAsia" w:ascii="宋体" w:hAnsi="宋体" w:cs="宋体"/>
          <w:color w:val="auto"/>
          <w:sz w:val="24"/>
          <w:highlight w:val="none"/>
        </w:rPr>
        <w:t>及委托代理人身份证复印件。</w:t>
      </w:r>
    </w:p>
    <w:p w14:paraId="729FD9EF">
      <w:pPr>
        <w:topLinePunct/>
        <w:spacing w:line="360" w:lineRule="auto"/>
        <w:ind w:firstLine="480" w:firstLineChars="200"/>
        <w:rPr>
          <w:rFonts w:ascii="宋体" w:hAnsi="宋体" w:cs="宋体"/>
          <w:color w:val="auto"/>
          <w:sz w:val="24"/>
          <w:highlight w:val="none"/>
        </w:rPr>
      </w:pPr>
    </w:p>
    <w:p w14:paraId="26739D35">
      <w:pPr>
        <w:topLinePunct/>
        <w:spacing w:line="360" w:lineRule="auto"/>
        <w:rPr>
          <w:rFonts w:ascii="宋体" w:hAnsi="宋体" w:cs="宋体"/>
          <w:color w:val="auto"/>
          <w:sz w:val="24"/>
          <w:highlight w:val="none"/>
        </w:rPr>
      </w:pPr>
    </w:p>
    <w:p w14:paraId="4451AEDF">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FF5C0F9">
      <w:pPr>
        <w:topLinePunct/>
        <w:spacing w:line="360" w:lineRule="auto"/>
        <w:rPr>
          <w:rFonts w:ascii="宋体" w:hAnsi="宋体" w:cs="宋体"/>
          <w:color w:val="auto"/>
          <w:sz w:val="24"/>
          <w:highlight w:val="none"/>
        </w:rPr>
      </w:pPr>
    </w:p>
    <w:p w14:paraId="46258B59">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法定代表人</w:t>
      </w:r>
      <w:r>
        <w:rPr>
          <w:rFonts w:ascii="宋体" w:hAnsi="宋体" w:cs="宋体"/>
          <w:color w:val="auto"/>
          <w:sz w:val="24"/>
          <w:highlight w:val="none"/>
          <w:u w:val="single"/>
        </w:rPr>
        <w:t>(签名或签章)</w:t>
      </w:r>
      <w:r>
        <w:rPr>
          <w:rFonts w:hint="eastAsia" w:ascii="宋体" w:hAnsi="宋体" w:cs="宋体"/>
          <w:color w:val="auto"/>
          <w:sz w:val="24"/>
          <w:highlight w:val="none"/>
        </w:rPr>
        <w:t>：</w:t>
      </w:r>
    </w:p>
    <w:p w14:paraId="1C008CDF">
      <w:pPr>
        <w:topLinePunct/>
        <w:spacing w:line="360" w:lineRule="auto"/>
        <w:rPr>
          <w:rFonts w:ascii="宋体" w:hAnsi="宋体" w:cs="宋体"/>
          <w:color w:val="auto"/>
          <w:sz w:val="24"/>
          <w:highlight w:val="none"/>
        </w:rPr>
      </w:pPr>
    </w:p>
    <w:p w14:paraId="25286D52">
      <w:pPr>
        <w:wordWrap w:val="0"/>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身份证号码：</w:t>
      </w:r>
    </w:p>
    <w:p w14:paraId="6A886D45">
      <w:pPr>
        <w:topLinePunct/>
        <w:spacing w:line="360" w:lineRule="auto"/>
        <w:rPr>
          <w:rFonts w:ascii="宋体" w:hAnsi="宋体" w:cs="宋体"/>
          <w:color w:val="auto"/>
          <w:sz w:val="24"/>
          <w:highlight w:val="none"/>
        </w:rPr>
      </w:pPr>
    </w:p>
    <w:p w14:paraId="72377D3E">
      <w:pPr>
        <w:topLinePunct/>
        <w:spacing w:line="360" w:lineRule="auto"/>
        <w:jc w:val="left"/>
        <w:rPr>
          <w:rFonts w:ascii="宋体" w:hAns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(签名或签章)</w:t>
      </w:r>
      <w:r>
        <w:rPr>
          <w:rFonts w:hint="eastAsia" w:ascii="宋体" w:hAnsi="宋体" w:cs="宋体"/>
          <w:color w:val="auto"/>
          <w:sz w:val="24"/>
          <w:highlight w:val="none"/>
        </w:rPr>
        <w:t>：</w:t>
      </w:r>
    </w:p>
    <w:p w14:paraId="7072AA5F">
      <w:pPr>
        <w:topLinePunct/>
        <w:spacing w:line="360" w:lineRule="auto"/>
        <w:rPr>
          <w:rFonts w:ascii="宋体" w:hAnsi="宋体" w:cs="宋体"/>
          <w:color w:val="auto"/>
          <w:sz w:val="24"/>
          <w:highlight w:val="none"/>
        </w:rPr>
      </w:pPr>
    </w:p>
    <w:p w14:paraId="57149B19">
      <w:pPr>
        <w:wordWrap w:val="0"/>
        <w:topLinePunct/>
        <w:spacing w:line="360" w:lineRule="auto"/>
        <w:rPr>
          <w:rFonts w:ascii="宋体" w:hAnsi="宋体" w:cs="宋体"/>
          <w:color w:val="auto"/>
          <w:sz w:val="24"/>
          <w:highlight w:val="none"/>
        </w:rPr>
      </w:pPr>
      <w:r>
        <w:rPr>
          <w:rFonts w:hint="eastAsia" w:ascii="宋体" w:hAnsi="宋体" w:cs="宋体"/>
          <w:color w:val="auto"/>
          <w:sz w:val="24"/>
          <w:highlight w:val="none"/>
        </w:rPr>
        <w:t>身份证号码：</w:t>
      </w:r>
    </w:p>
    <w:p w14:paraId="6E074C9E">
      <w:pPr>
        <w:topLinePunct/>
        <w:spacing w:beforeLines="50" w:afterLines="50" w:line="360" w:lineRule="auto"/>
        <w:jc w:val="center"/>
        <w:rPr>
          <w:rFonts w:ascii="宋体" w:hAnsi="宋体" w:cs="宋体"/>
          <w:color w:val="auto"/>
          <w:sz w:val="24"/>
          <w:highlight w:val="none"/>
        </w:rPr>
      </w:pPr>
      <w:r>
        <w:rPr>
          <w:rFonts w:ascii="宋体" w:hAnsi="宋体" w:cs="宋体"/>
          <w:color w:val="auto"/>
          <w:sz w:val="24"/>
          <w:highlight w:val="none"/>
        </w:rPr>
        <w:t xml:space="preserve">                      年    月     日</w:t>
      </w:r>
    </w:p>
    <w:p w14:paraId="5C1A273E">
      <w:pPr>
        <w:topLinePunct/>
        <w:spacing w:line="360" w:lineRule="auto"/>
        <w:ind w:firstLine="560" w:firstLineChars="200"/>
        <w:rPr>
          <w:rFonts w:ascii="宋体" w:hAnsi="宋体" w:cs="宋体"/>
          <w:color w:val="auto"/>
          <w:sz w:val="28"/>
          <w:szCs w:val="28"/>
          <w:highlight w:val="none"/>
        </w:rPr>
      </w:pPr>
    </w:p>
    <w:p w14:paraId="1F0FC6AD">
      <w:pPr>
        <w:spacing w:beforeLines="50" w:afterLines="50" w:line="360" w:lineRule="auto"/>
        <w:jc w:val="left"/>
        <w:rPr>
          <w:rFonts w:ascii="宋体" w:hAnsi="宋体" w:cs="宋体"/>
          <w:b/>
          <w:bCs/>
          <w:color w:val="auto"/>
          <w:highlight w:val="none"/>
        </w:rPr>
      </w:pPr>
      <w:r>
        <w:rPr>
          <w:rFonts w:hint="eastAsia" w:ascii="宋体" w:hAnsi="宋体" w:cs="宋体"/>
          <w:b/>
          <w:bCs/>
          <w:color w:val="auto"/>
          <w:highlight w:val="none"/>
        </w:rPr>
        <w:t>注：如果由供应商的法定代表人签署响应文件，则无须提交授权委托书。</w:t>
      </w:r>
    </w:p>
    <w:p w14:paraId="1A3E706C">
      <w:pPr>
        <w:pStyle w:val="36"/>
        <w:topLinePunct/>
        <w:spacing w:line="360" w:lineRule="auto"/>
        <w:ind w:left="560" w:firstLine="0" w:firstLineChars="0"/>
        <w:jc w:val="center"/>
        <w:rPr>
          <w:rFonts w:ascii="宋体" w:hAnsi="宋体" w:cs="宋体"/>
          <w:b/>
          <w:color w:val="auto"/>
          <w:sz w:val="28"/>
          <w:szCs w:val="28"/>
          <w:highlight w:val="none"/>
        </w:rPr>
      </w:pPr>
      <w:r>
        <w:rPr>
          <w:rFonts w:ascii="宋体" w:hAnsi="宋体" w:cs="宋体"/>
          <w:color w:val="auto"/>
          <w:sz w:val="27"/>
          <w:szCs w:val="27"/>
          <w:highlight w:val="none"/>
        </w:rPr>
        <w:br w:type="page"/>
      </w:r>
      <w:r>
        <w:rPr>
          <w:rFonts w:ascii="宋体" w:hAnsi="宋体" w:cs="宋体"/>
          <w:b/>
          <w:color w:val="auto"/>
          <w:sz w:val="28"/>
          <w:szCs w:val="28"/>
          <w:highlight w:val="none"/>
        </w:rPr>
        <w:t>(二)法定代表人身份证明</w:t>
      </w:r>
    </w:p>
    <w:p w14:paraId="2138544E">
      <w:pPr>
        <w:topLinePunct/>
        <w:spacing w:line="360" w:lineRule="auto"/>
        <w:rPr>
          <w:rFonts w:ascii="宋体" w:hAnsi="宋体" w:cs="宋体"/>
          <w:color w:val="auto"/>
          <w:sz w:val="28"/>
          <w:szCs w:val="28"/>
          <w:highlight w:val="none"/>
        </w:rPr>
      </w:pPr>
    </w:p>
    <w:p w14:paraId="69863AB9">
      <w:pPr>
        <w:topLinePunct/>
        <w:spacing w:line="360" w:lineRule="auto"/>
        <w:rPr>
          <w:rFonts w:ascii="宋体" w:hAnsi="宋体" w:cs="宋体"/>
          <w:color w:val="auto"/>
          <w:sz w:val="28"/>
          <w:szCs w:val="28"/>
          <w:highlight w:val="none"/>
        </w:rPr>
      </w:pPr>
    </w:p>
    <w:p w14:paraId="4E75D59B">
      <w:pPr>
        <w:topLinePunct/>
        <w:adjustRightInd w:val="0"/>
        <w:snapToGrid w:val="0"/>
        <w:spacing w:line="360" w:lineRule="auto"/>
        <w:rPr>
          <w:rFonts w:ascii="宋体" w:hAnsi="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18E1426D">
      <w:pPr>
        <w:topLinePunct/>
        <w:adjustRightInd w:val="0"/>
        <w:snapToGrid w:val="0"/>
        <w:spacing w:line="360" w:lineRule="auto"/>
        <w:rPr>
          <w:rFonts w:ascii="宋体" w:hAnsi="宋体"/>
          <w:color w:val="auto"/>
          <w:sz w:val="24"/>
          <w:highlight w:val="none"/>
        </w:rPr>
      </w:pPr>
    </w:p>
    <w:p w14:paraId="779A16E3">
      <w:pPr>
        <w:topLinePunct/>
        <w:spacing w:line="360" w:lineRule="auto"/>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0EE91E0A">
      <w:pPr>
        <w:pStyle w:val="7"/>
        <w:rPr>
          <w:color w:val="auto"/>
          <w:highlight w:val="none"/>
        </w:rPr>
      </w:pPr>
    </w:p>
    <w:p w14:paraId="3DAACBDF">
      <w:pPr>
        <w:topLinePunct/>
        <w:spacing w:line="360" w:lineRule="auto"/>
        <w:rPr>
          <w:rFonts w:ascii="宋体" w:hAnsi="宋体" w:cs="宋体"/>
          <w:color w:val="auto"/>
          <w:sz w:val="24"/>
          <w:highlight w:val="none"/>
        </w:rPr>
      </w:pPr>
      <w:r>
        <w:rPr>
          <w:rFonts w:hint="eastAsia" w:ascii="宋体" w:hAnsi="宋体" w:cs="宋体"/>
          <w:color w:val="auto"/>
          <w:sz w:val="24"/>
          <w:highlight w:val="none"/>
        </w:rPr>
        <w:t>系</w:t>
      </w:r>
      <w:r>
        <w:rPr>
          <w:rFonts w:ascii="宋体" w:hAnsi="宋体" w:cs="宋体"/>
          <w:color w:val="auto"/>
          <w:sz w:val="24"/>
          <w:highlight w:val="none"/>
          <w:u w:val="single"/>
        </w:rPr>
        <w:t>(</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30989681">
      <w:pPr>
        <w:topLinePunct/>
        <w:spacing w:line="360" w:lineRule="auto"/>
        <w:rPr>
          <w:rFonts w:ascii="宋体" w:hAnsi="宋体" w:cs="宋体"/>
          <w:color w:val="auto"/>
          <w:sz w:val="24"/>
          <w:highlight w:val="none"/>
        </w:rPr>
      </w:pPr>
    </w:p>
    <w:p w14:paraId="35A564E4">
      <w:pPr>
        <w:topLinePunct/>
        <w:spacing w:line="360" w:lineRule="auto"/>
        <w:rPr>
          <w:rFonts w:ascii="宋体" w:hAnsi="宋体" w:cs="宋体"/>
          <w:color w:val="auto"/>
          <w:sz w:val="24"/>
          <w:highlight w:val="none"/>
        </w:rPr>
      </w:pPr>
      <w:r>
        <w:rPr>
          <w:rFonts w:hint="eastAsia" w:ascii="宋体" w:hAnsi="宋体" w:cs="宋体"/>
          <w:color w:val="auto"/>
          <w:sz w:val="24"/>
          <w:highlight w:val="none"/>
        </w:rPr>
        <w:t>特此证明。</w:t>
      </w:r>
    </w:p>
    <w:p w14:paraId="1E5D11BC">
      <w:pPr>
        <w:topLinePunct/>
        <w:spacing w:line="360" w:lineRule="auto"/>
        <w:rPr>
          <w:rFonts w:ascii="宋体" w:hAnsi="宋体" w:cs="宋体"/>
          <w:color w:val="auto"/>
          <w:sz w:val="24"/>
          <w:highlight w:val="none"/>
        </w:rPr>
      </w:pPr>
    </w:p>
    <w:p w14:paraId="0F7F9975">
      <w:pPr>
        <w:topLinePunct/>
        <w:spacing w:line="360" w:lineRule="auto"/>
        <w:rPr>
          <w:rFonts w:ascii="宋体" w:hAnsi="宋体" w:cs="宋体"/>
          <w:color w:val="auto"/>
          <w:sz w:val="24"/>
          <w:highlight w:val="none"/>
        </w:rPr>
      </w:pPr>
      <w:r>
        <w:rPr>
          <w:rFonts w:hint="eastAsia" w:ascii="宋体" w:hAnsi="宋体" w:cs="宋体"/>
          <w:color w:val="auto"/>
          <w:sz w:val="24"/>
          <w:highlight w:val="none"/>
        </w:rPr>
        <w:t>附：法定代表人身份证复印件。</w:t>
      </w:r>
    </w:p>
    <w:p w14:paraId="5ECBC7C7">
      <w:pPr>
        <w:topLinePunct/>
        <w:spacing w:line="360" w:lineRule="auto"/>
        <w:rPr>
          <w:rFonts w:ascii="宋体" w:hAnsi="宋体" w:cs="宋体"/>
          <w:color w:val="auto"/>
          <w:sz w:val="24"/>
          <w:highlight w:val="none"/>
        </w:rPr>
      </w:pPr>
    </w:p>
    <w:p w14:paraId="3AC14D9A">
      <w:pPr>
        <w:topLinePunct/>
        <w:spacing w:line="360" w:lineRule="auto"/>
        <w:rPr>
          <w:rFonts w:ascii="宋体" w:hAnsi="宋体" w:cs="宋体"/>
          <w:color w:val="auto"/>
          <w:sz w:val="24"/>
          <w:highlight w:val="none"/>
        </w:rPr>
      </w:pPr>
    </w:p>
    <w:p w14:paraId="6AE01FD8">
      <w:pPr>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响应供应商（盖单位公章）</w:t>
      </w:r>
    </w:p>
    <w:p w14:paraId="6ABD5429">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0D8FC798">
      <w:pPr>
        <w:topLinePunct/>
        <w:spacing w:line="360" w:lineRule="auto"/>
        <w:rPr>
          <w:rFonts w:ascii="宋体" w:hAnsi="宋体" w:cs="宋体"/>
          <w:color w:val="auto"/>
          <w:sz w:val="28"/>
          <w:szCs w:val="28"/>
          <w:highlight w:val="none"/>
        </w:rPr>
      </w:pPr>
    </w:p>
    <w:p w14:paraId="0F83BEB8">
      <w:pPr>
        <w:topLinePunct/>
        <w:spacing w:line="360" w:lineRule="auto"/>
        <w:rPr>
          <w:rFonts w:ascii="宋体" w:hAnsi="宋体" w:cs="宋体"/>
          <w:color w:val="auto"/>
          <w:sz w:val="28"/>
          <w:szCs w:val="28"/>
          <w:highlight w:val="none"/>
        </w:rPr>
      </w:pPr>
    </w:p>
    <w:p w14:paraId="356E6280">
      <w:pPr>
        <w:snapToGrid w:val="0"/>
        <w:spacing w:line="360" w:lineRule="auto"/>
        <w:contextualSpacing/>
        <w:rPr>
          <w:rFonts w:ascii="宋体" w:hAnsi="宋体" w:cs="宋体"/>
          <w:b/>
          <w:color w:val="auto"/>
          <w:sz w:val="28"/>
          <w:szCs w:val="28"/>
          <w:highlight w:val="none"/>
        </w:rPr>
      </w:pPr>
    </w:p>
    <w:p w14:paraId="10A8D39C">
      <w:pPr>
        <w:spacing w:beforeLines="50" w:afterLines="50" w:line="360" w:lineRule="auto"/>
        <w:rPr>
          <w:rFonts w:ascii="宋体" w:hAnsi="宋体" w:cs="宋体"/>
          <w:b/>
          <w:color w:val="auto"/>
          <w:sz w:val="28"/>
          <w:szCs w:val="28"/>
          <w:highlight w:val="none"/>
        </w:rPr>
      </w:pPr>
    </w:p>
    <w:p w14:paraId="005694B4">
      <w:pPr>
        <w:pStyle w:val="18"/>
        <w:spacing w:line="360" w:lineRule="auto"/>
        <w:rPr>
          <w:color w:val="auto"/>
          <w:highlight w:val="none"/>
        </w:rPr>
      </w:pPr>
    </w:p>
    <w:p w14:paraId="24246B3E">
      <w:pPr>
        <w:pStyle w:val="18"/>
        <w:spacing w:line="360" w:lineRule="auto"/>
        <w:rPr>
          <w:color w:val="auto"/>
          <w:highlight w:val="none"/>
        </w:rPr>
      </w:pPr>
    </w:p>
    <w:p w14:paraId="72EB2A34">
      <w:pPr>
        <w:pStyle w:val="18"/>
        <w:spacing w:line="360" w:lineRule="auto"/>
        <w:rPr>
          <w:color w:val="auto"/>
          <w:highlight w:val="none"/>
        </w:rPr>
      </w:pPr>
    </w:p>
    <w:p w14:paraId="322C9851">
      <w:pPr>
        <w:pStyle w:val="18"/>
        <w:spacing w:line="360" w:lineRule="auto"/>
        <w:rPr>
          <w:color w:val="auto"/>
          <w:highlight w:val="none"/>
        </w:rPr>
      </w:pPr>
    </w:p>
    <w:p w14:paraId="651A37F5">
      <w:pPr>
        <w:pStyle w:val="18"/>
        <w:spacing w:line="360" w:lineRule="auto"/>
        <w:rPr>
          <w:color w:val="auto"/>
          <w:highlight w:val="none"/>
        </w:rPr>
      </w:pPr>
    </w:p>
    <w:p w14:paraId="7CF6E07C">
      <w:pPr>
        <w:pStyle w:val="18"/>
        <w:spacing w:line="360" w:lineRule="auto"/>
        <w:rPr>
          <w:color w:val="auto"/>
          <w:highlight w:val="none"/>
        </w:rPr>
      </w:pPr>
    </w:p>
    <w:p w14:paraId="74098EFA">
      <w:pPr>
        <w:pStyle w:val="18"/>
        <w:spacing w:line="360" w:lineRule="auto"/>
        <w:rPr>
          <w:color w:val="auto"/>
          <w:highlight w:val="none"/>
        </w:rPr>
      </w:pPr>
    </w:p>
    <w:p w14:paraId="1BBE5B80">
      <w:pPr>
        <w:pStyle w:val="18"/>
        <w:spacing w:line="360" w:lineRule="auto"/>
        <w:rPr>
          <w:color w:val="auto"/>
          <w:highlight w:val="none"/>
        </w:rPr>
      </w:pPr>
    </w:p>
    <w:p w14:paraId="08731571">
      <w:pPr>
        <w:pStyle w:val="33"/>
        <w:spacing w:beforeLines="50" w:afterLines="50" w:line="360" w:lineRule="auto"/>
        <w:jc w:val="left"/>
        <w:rPr>
          <w:rFonts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附件三：</w:t>
      </w:r>
      <w:r>
        <w:rPr>
          <w:rFonts w:ascii="宋体" w:hAnsi="宋体" w:eastAsia="宋体" w:cs="宋体"/>
          <w:b w:val="0"/>
          <w:color w:val="auto"/>
          <w:sz w:val="28"/>
          <w:szCs w:val="28"/>
          <w:highlight w:val="none"/>
        </w:rPr>
        <w:t xml:space="preserve">                </w:t>
      </w:r>
    </w:p>
    <w:p w14:paraId="58A1D255">
      <w:pPr>
        <w:pStyle w:val="33"/>
        <w:spacing w:beforeLines="50" w:afterLines="50"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供应商信用承诺书</w:t>
      </w:r>
    </w:p>
    <w:p w14:paraId="4D14229B">
      <w:pPr>
        <w:spacing w:line="360" w:lineRule="auto"/>
        <w:rPr>
          <w:rFonts w:ascii="宋体" w:hAnsi="宋体" w:cs="宋体"/>
          <w:color w:val="auto"/>
          <w:spacing w:val="-5"/>
          <w:sz w:val="24"/>
          <w:highlight w:val="none"/>
        </w:rPr>
      </w:pPr>
      <w:r>
        <w:rPr>
          <w:rFonts w:hint="eastAsia" w:ascii="宋体" w:hAnsi="宋体" w:cs="宋体"/>
          <w:color w:val="auto"/>
          <w:spacing w:val="-5"/>
          <w:sz w:val="24"/>
          <w:highlight w:val="none"/>
        </w:rPr>
        <w:t>致：</w:t>
      </w:r>
      <w:r>
        <w:rPr>
          <w:rFonts w:hint="eastAsia" w:ascii="宋体" w:hAnsi="宋体" w:cs="宋体"/>
          <w:color w:val="auto"/>
          <w:sz w:val="24"/>
          <w:highlight w:val="none"/>
          <w:u w:val="single"/>
        </w:rPr>
        <w:t>南通市公路事业发展中心</w:t>
      </w:r>
    </w:p>
    <w:p w14:paraId="1B4FB195">
      <w:pPr>
        <w:spacing w:line="560" w:lineRule="exact"/>
        <w:ind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我单位</w:t>
      </w:r>
      <w:r>
        <w:rPr>
          <w:rFonts w:ascii="宋体" w:hAnsi="宋体" w:cs="宋体"/>
          <w:color w:val="auto"/>
          <w:spacing w:val="-5"/>
          <w:sz w:val="24"/>
          <w:highlight w:val="none"/>
        </w:rPr>
        <w:t xml:space="preserve"> </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rPr>
        <w:t>（单位名称）自愿参加</w:t>
      </w:r>
      <w:r>
        <w:rPr>
          <w:rFonts w:ascii="宋体" w:hAnsi="宋体" w:cs="宋体"/>
          <w:color w:val="auto"/>
          <w:spacing w:val="-5"/>
          <w:sz w:val="24"/>
          <w:highlight w:val="none"/>
          <w:u w:val="single"/>
        </w:rPr>
        <w:t xml:space="preserve">                 </w:t>
      </w:r>
      <w:r>
        <w:rPr>
          <w:rFonts w:hint="eastAsia" w:ascii="宋体" w:hAnsi="宋体" w:cs="宋体"/>
          <w:color w:val="auto"/>
          <w:spacing w:val="-5"/>
          <w:sz w:val="24"/>
          <w:highlight w:val="none"/>
        </w:rPr>
        <w:t>项目的投标活动，并郑重承诺：</w:t>
      </w:r>
    </w:p>
    <w:p w14:paraId="07542D80">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在本项目的投标活动中遵守国家法律法规和有关规定，遵循公开、公平、公正和诚信原则。</w:t>
      </w:r>
    </w:p>
    <w:p w14:paraId="5577952A">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响应文件中所有内容均为我单位真实意愿表达，相关信息真实有效。</w:t>
      </w:r>
    </w:p>
    <w:p w14:paraId="0F71D1C6">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无弄虚作假，无围标串标行为。</w:t>
      </w:r>
    </w:p>
    <w:p w14:paraId="0E58074F">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若我方成交，在合同履行过程中严格执行有关法律、法规、规章和规范性文件的规定，不转包和违法分包。</w:t>
      </w:r>
    </w:p>
    <w:p w14:paraId="2CE55982">
      <w:pPr>
        <w:numPr>
          <w:ilvl w:val="0"/>
          <w:numId w:val="2"/>
        </w:numPr>
        <w:spacing w:line="360" w:lineRule="auto"/>
        <w:ind w:left="0" w:firstLine="460" w:firstLineChars="200"/>
        <w:rPr>
          <w:rFonts w:ascii="宋体" w:hAnsi="宋体" w:cs="宋体"/>
          <w:color w:val="auto"/>
          <w:spacing w:val="-5"/>
          <w:sz w:val="24"/>
          <w:highlight w:val="none"/>
        </w:rPr>
      </w:pPr>
      <w:r>
        <w:rPr>
          <w:rFonts w:hint="eastAsia" w:ascii="宋体" w:hAnsi="宋体" w:cs="宋体"/>
          <w:color w:val="auto"/>
          <w:spacing w:val="-5"/>
          <w:sz w:val="24"/>
          <w:highlight w:val="none"/>
        </w:rPr>
        <w:t>我方如有违背承诺，愿意接受国家和相关主管部门依法进行的处罚，并记入相关责任主体和责任人信用档案，同时在相关网站上公开。</w:t>
      </w:r>
    </w:p>
    <w:p w14:paraId="29784817">
      <w:pPr>
        <w:spacing w:line="360" w:lineRule="auto"/>
        <w:ind w:firstLine="4370" w:firstLineChars="1900"/>
        <w:rPr>
          <w:rFonts w:ascii="宋体" w:hAnsi="宋体" w:cs="宋体"/>
          <w:color w:val="auto"/>
          <w:spacing w:val="-5"/>
          <w:sz w:val="24"/>
          <w:highlight w:val="none"/>
        </w:rPr>
      </w:pPr>
    </w:p>
    <w:p w14:paraId="48FB2314">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4199055D">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11F147D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C05792F">
      <w:pPr>
        <w:spacing w:line="360" w:lineRule="auto"/>
        <w:rPr>
          <w:rFonts w:ascii="宋体" w:hAnsi="宋体" w:cs="宋体"/>
          <w:color w:val="auto"/>
          <w:sz w:val="28"/>
          <w:szCs w:val="28"/>
          <w:highlight w:val="none"/>
        </w:rPr>
      </w:pPr>
      <w:r>
        <w:rPr>
          <w:rFonts w:ascii="宋体" w:hAnsi="宋体" w:cs="宋体"/>
          <w:color w:val="auto"/>
          <w:sz w:val="24"/>
          <w:highlight w:val="none"/>
        </w:rPr>
        <w:br w:type="page"/>
      </w:r>
    </w:p>
    <w:p w14:paraId="38ABFEC4">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rPr>
        <w:t>：</w:t>
      </w:r>
    </w:p>
    <w:p w14:paraId="43F469F4">
      <w:pPr>
        <w:snapToGrid w:val="0"/>
        <w:spacing w:line="360" w:lineRule="auto"/>
        <w:jc w:val="center"/>
        <w:outlineLvl w:val="2"/>
        <w:rPr>
          <w:rFonts w:ascii="宋体" w:hAnsi="宋体" w:cs="宋体"/>
          <w:color w:val="auto"/>
          <w:highlight w:val="none"/>
        </w:rPr>
      </w:pPr>
      <w:r>
        <w:rPr>
          <w:rFonts w:hint="eastAsia" w:ascii="宋体" w:hAnsi="宋体" w:cs="宋体"/>
          <w:b/>
          <w:bCs/>
          <w:color w:val="auto"/>
          <w:sz w:val="28"/>
          <w:szCs w:val="28"/>
          <w:highlight w:val="none"/>
        </w:rPr>
        <w:t>供应商基本情况表</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14DD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4AEE1E8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供应商全称</w:t>
            </w:r>
          </w:p>
        </w:tc>
        <w:tc>
          <w:tcPr>
            <w:tcW w:w="6859" w:type="dxa"/>
            <w:gridSpan w:val="3"/>
            <w:vAlign w:val="center"/>
          </w:tcPr>
          <w:p w14:paraId="2F622A13">
            <w:pPr>
              <w:spacing w:line="360" w:lineRule="auto"/>
              <w:jc w:val="center"/>
              <w:rPr>
                <w:rFonts w:ascii="宋体" w:hAnsi="宋体" w:cs="宋体"/>
                <w:b/>
                <w:color w:val="auto"/>
                <w:szCs w:val="21"/>
                <w:highlight w:val="none"/>
              </w:rPr>
            </w:pPr>
          </w:p>
        </w:tc>
      </w:tr>
      <w:tr w14:paraId="139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1259CA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主要业务范围</w:t>
            </w:r>
          </w:p>
        </w:tc>
        <w:tc>
          <w:tcPr>
            <w:tcW w:w="6859" w:type="dxa"/>
            <w:gridSpan w:val="3"/>
            <w:vAlign w:val="center"/>
          </w:tcPr>
          <w:p w14:paraId="117BD13E">
            <w:pPr>
              <w:spacing w:line="360" w:lineRule="auto"/>
              <w:jc w:val="center"/>
              <w:rPr>
                <w:rFonts w:ascii="宋体" w:hAnsi="宋体" w:cs="宋体"/>
                <w:b/>
                <w:color w:val="auto"/>
                <w:szCs w:val="21"/>
                <w:highlight w:val="none"/>
              </w:rPr>
            </w:pPr>
          </w:p>
        </w:tc>
      </w:tr>
      <w:tr w14:paraId="608A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6F27F9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法定代表人姓名</w:t>
            </w:r>
          </w:p>
        </w:tc>
        <w:tc>
          <w:tcPr>
            <w:tcW w:w="3036" w:type="dxa"/>
            <w:vAlign w:val="center"/>
          </w:tcPr>
          <w:p w14:paraId="0F700231">
            <w:pPr>
              <w:spacing w:line="360" w:lineRule="auto"/>
              <w:jc w:val="center"/>
              <w:rPr>
                <w:rFonts w:ascii="宋体" w:hAnsi="宋体" w:cs="宋体"/>
                <w:b/>
                <w:color w:val="auto"/>
                <w:szCs w:val="21"/>
                <w:highlight w:val="none"/>
              </w:rPr>
            </w:pPr>
          </w:p>
        </w:tc>
        <w:tc>
          <w:tcPr>
            <w:tcW w:w="1536" w:type="dxa"/>
            <w:vAlign w:val="center"/>
          </w:tcPr>
          <w:p w14:paraId="1E71ED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p>
        </w:tc>
        <w:tc>
          <w:tcPr>
            <w:tcW w:w="2287" w:type="dxa"/>
          </w:tcPr>
          <w:p w14:paraId="012FE33E">
            <w:pPr>
              <w:spacing w:line="360" w:lineRule="auto"/>
              <w:rPr>
                <w:rFonts w:ascii="宋体" w:hAnsi="宋体" w:cs="宋体"/>
                <w:b/>
                <w:color w:val="auto"/>
                <w:szCs w:val="21"/>
                <w:highlight w:val="none"/>
              </w:rPr>
            </w:pPr>
          </w:p>
        </w:tc>
      </w:tr>
      <w:tr w14:paraId="502F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0898DC1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供应商地址</w:t>
            </w:r>
          </w:p>
        </w:tc>
        <w:tc>
          <w:tcPr>
            <w:tcW w:w="3036" w:type="dxa"/>
            <w:vAlign w:val="center"/>
          </w:tcPr>
          <w:p w14:paraId="6B36DD74">
            <w:pPr>
              <w:spacing w:line="360" w:lineRule="auto"/>
              <w:jc w:val="center"/>
              <w:rPr>
                <w:rFonts w:ascii="宋体" w:hAnsi="宋体" w:cs="宋体"/>
                <w:b/>
                <w:color w:val="auto"/>
                <w:szCs w:val="21"/>
                <w:highlight w:val="none"/>
              </w:rPr>
            </w:pPr>
          </w:p>
        </w:tc>
        <w:tc>
          <w:tcPr>
            <w:tcW w:w="1536" w:type="dxa"/>
            <w:vAlign w:val="center"/>
          </w:tcPr>
          <w:p w14:paraId="7DA0BB0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287" w:type="dxa"/>
          </w:tcPr>
          <w:p w14:paraId="4DBA8CB8">
            <w:pPr>
              <w:spacing w:line="360" w:lineRule="auto"/>
              <w:rPr>
                <w:rFonts w:ascii="宋体" w:hAnsi="宋体" w:cs="宋体"/>
                <w:b/>
                <w:color w:val="auto"/>
                <w:szCs w:val="21"/>
                <w:highlight w:val="none"/>
              </w:rPr>
            </w:pPr>
          </w:p>
        </w:tc>
      </w:tr>
      <w:tr w14:paraId="1647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7F51A1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w:t>
            </w:r>
            <w:r>
              <w:rPr>
                <w:rFonts w:ascii="宋体" w:hAnsi="宋体" w:cs="宋体"/>
                <w:color w:val="auto"/>
                <w:szCs w:val="21"/>
                <w:highlight w:val="none"/>
              </w:rPr>
              <w:t xml:space="preserve">       </w:t>
            </w:r>
            <w:r>
              <w:rPr>
                <w:rFonts w:hint="eastAsia" w:ascii="宋体" w:hAnsi="宋体" w:cs="宋体"/>
                <w:color w:val="auto"/>
                <w:szCs w:val="21"/>
                <w:highlight w:val="none"/>
              </w:rPr>
              <w:t>话</w:t>
            </w:r>
          </w:p>
        </w:tc>
        <w:tc>
          <w:tcPr>
            <w:tcW w:w="3036" w:type="dxa"/>
            <w:vAlign w:val="center"/>
          </w:tcPr>
          <w:p w14:paraId="4BBAC25B">
            <w:pPr>
              <w:spacing w:line="360" w:lineRule="auto"/>
              <w:jc w:val="center"/>
              <w:rPr>
                <w:rFonts w:ascii="宋体" w:hAnsi="宋体" w:cs="宋体"/>
                <w:b/>
                <w:color w:val="auto"/>
                <w:szCs w:val="21"/>
                <w:highlight w:val="none"/>
              </w:rPr>
            </w:pPr>
          </w:p>
        </w:tc>
        <w:tc>
          <w:tcPr>
            <w:tcW w:w="1536" w:type="dxa"/>
            <w:vAlign w:val="center"/>
          </w:tcPr>
          <w:p w14:paraId="5AF4B0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传</w:t>
            </w:r>
            <w:r>
              <w:rPr>
                <w:rFonts w:ascii="宋体" w:hAnsi="宋体" w:cs="宋体"/>
                <w:color w:val="auto"/>
                <w:szCs w:val="21"/>
                <w:highlight w:val="none"/>
              </w:rPr>
              <w:t xml:space="preserve">   </w:t>
            </w:r>
            <w:r>
              <w:rPr>
                <w:rFonts w:hint="eastAsia" w:ascii="宋体" w:hAnsi="宋体" w:cs="宋体"/>
                <w:color w:val="auto"/>
                <w:szCs w:val="21"/>
                <w:highlight w:val="none"/>
              </w:rPr>
              <w:t>真</w:t>
            </w:r>
          </w:p>
        </w:tc>
        <w:tc>
          <w:tcPr>
            <w:tcW w:w="2287" w:type="dxa"/>
          </w:tcPr>
          <w:p w14:paraId="4C33FA52">
            <w:pPr>
              <w:spacing w:line="360" w:lineRule="auto"/>
              <w:rPr>
                <w:rFonts w:ascii="宋体" w:hAnsi="宋体" w:cs="宋体"/>
                <w:b/>
                <w:color w:val="auto"/>
                <w:szCs w:val="21"/>
                <w:highlight w:val="none"/>
              </w:rPr>
            </w:pPr>
          </w:p>
        </w:tc>
      </w:tr>
      <w:tr w14:paraId="5281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1930D1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成立日期</w:t>
            </w:r>
          </w:p>
        </w:tc>
        <w:tc>
          <w:tcPr>
            <w:tcW w:w="3036" w:type="dxa"/>
            <w:vAlign w:val="center"/>
          </w:tcPr>
          <w:p w14:paraId="7C4B0082">
            <w:pPr>
              <w:spacing w:line="360" w:lineRule="auto"/>
              <w:jc w:val="center"/>
              <w:rPr>
                <w:rFonts w:ascii="宋体" w:hAnsi="宋体" w:cs="宋体"/>
                <w:b/>
                <w:color w:val="auto"/>
                <w:szCs w:val="21"/>
                <w:highlight w:val="none"/>
              </w:rPr>
            </w:pPr>
          </w:p>
        </w:tc>
        <w:tc>
          <w:tcPr>
            <w:tcW w:w="1536" w:type="dxa"/>
            <w:vAlign w:val="center"/>
          </w:tcPr>
          <w:p w14:paraId="7CEE4F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现</w:t>
            </w:r>
            <w:r>
              <w:rPr>
                <w:rFonts w:ascii="宋体" w:hAnsi="宋体" w:cs="宋体"/>
                <w:color w:val="auto"/>
                <w:szCs w:val="21"/>
                <w:highlight w:val="none"/>
              </w:rPr>
              <w:t xml:space="preserve"> </w:t>
            </w:r>
            <w:r>
              <w:rPr>
                <w:rFonts w:hint="eastAsia" w:ascii="宋体" w:hAnsi="宋体" w:cs="宋体"/>
                <w:color w:val="auto"/>
                <w:szCs w:val="21"/>
                <w:highlight w:val="none"/>
              </w:rPr>
              <w:t>有</w:t>
            </w:r>
            <w:r>
              <w:rPr>
                <w:rFonts w:ascii="宋体" w:hAnsi="宋体" w:cs="宋体"/>
                <w:color w:val="auto"/>
                <w:szCs w:val="21"/>
                <w:highlight w:val="none"/>
              </w:rPr>
              <w:t xml:space="preserve"> </w:t>
            </w:r>
            <w:r>
              <w:rPr>
                <w:rFonts w:hint="eastAsia" w:ascii="宋体" w:hAnsi="宋体" w:cs="宋体"/>
                <w:color w:val="auto"/>
                <w:szCs w:val="21"/>
                <w:highlight w:val="none"/>
              </w:rPr>
              <w:t>职</w:t>
            </w:r>
          </w:p>
          <w:p w14:paraId="0A9773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ascii="宋体" w:hAnsi="宋体" w:cs="宋体"/>
                <w:color w:val="auto"/>
                <w:szCs w:val="21"/>
                <w:highlight w:val="none"/>
              </w:rPr>
              <w:t xml:space="preserve"> </w:t>
            </w:r>
            <w:r>
              <w:rPr>
                <w:rFonts w:hint="eastAsia" w:ascii="宋体" w:hAnsi="宋体" w:cs="宋体"/>
                <w:color w:val="auto"/>
                <w:szCs w:val="21"/>
                <w:highlight w:val="none"/>
              </w:rPr>
              <w:t>数</w:t>
            </w:r>
          </w:p>
        </w:tc>
        <w:tc>
          <w:tcPr>
            <w:tcW w:w="2287" w:type="dxa"/>
          </w:tcPr>
          <w:p w14:paraId="6C3BA507">
            <w:pPr>
              <w:spacing w:line="360" w:lineRule="auto"/>
              <w:rPr>
                <w:rFonts w:ascii="宋体" w:hAnsi="宋体" w:cs="宋体"/>
                <w:b/>
                <w:color w:val="auto"/>
                <w:szCs w:val="21"/>
                <w:highlight w:val="none"/>
              </w:rPr>
            </w:pPr>
          </w:p>
        </w:tc>
      </w:tr>
      <w:tr w14:paraId="4042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2D875ACC">
            <w:pPr>
              <w:pStyle w:val="13"/>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资质等级证书（如有）</w:t>
            </w:r>
          </w:p>
        </w:tc>
        <w:tc>
          <w:tcPr>
            <w:tcW w:w="6859" w:type="dxa"/>
            <w:gridSpan w:val="3"/>
          </w:tcPr>
          <w:p w14:paraId="50A34D21">
            <w:pPr>
              <w:spacing w:line="360" w:lineRule="auto"/>
              <w:rPr>
                <w:rFonts w:ascii="宋体" w:hAnsi="宋体" w:cs="宋体"/>
                <w:b/>
                <w:color w:val="auto"/>
                <w:szCs w:val="21"/>
                <w:highlight w:val="none"/>
              </w:rPr>
            </w:pPr>
          </w:p>
          <w:p w14:paraId="7019BE39">
            <w:pPr>
              <w:spacing w:line="360" w:lineRule="auto"/>
              <w:rPr>
                <w:rFonts w:ascii="宋体" w:hAnsi="宋体" w:cs="宋体"/>
                <w:color w:val="auto"/>
                <w:szCs w:val="21"/>
                <w:highlight w:val="none"/>
              </w:rPr>
            </w:pPr>
            <w:r>
              <w:rPr>
                <w:rFonts w:hint="eastAsia" w:ascii="宋体" w:hAnsi="宋体" w:cs="宋体"/>
                <w:color w:val="auto"/>
                <w:szCs w:val="21"/>
                <w:highlight w:val="none"/>
              </w:rPr>
              <w:t>等</w:t>
            </w:r>
            <w:r>
              <w:rPr>
                <w:rFonts w:ascii="宋体" w:hAnsi="宋体" w:cs="宋体"/>
                <w:color w:val="auto"/>
                <w:szCs w:val="21"/>
                <w:highlight w:val="none"/>
              </w:rPr>
              <w:t xml:space="preserve"> </w:t>
            </w:r>
            <w:r>
              <w:rPr>
                <w:rFonts w:hint="eastAsia" w:ascii="宋体" w:hAnsi="宋体" w:cs="宋体"/>
                <w:color w:val="auto"/>
                <w:szCs w:val="21"/>
                <w:highlight w:val="none"/>
              </w:rPr>
              <w:t>级：</w:t>
            </w:r>
            <w:r>
              <w:rPr>
                <w:rFonts w:ascii="宋体" w:hAnsi="宋体" w:cs="宋体"/>
                <w:color w:val="auto"/>
                <w:szCs w:val="21"/>
                <w:highlight w:val="none"/>
              </w:rPr>
              <w:t xml:space="preserve">                   </w:t>
            </w:r>
            <w:r>
              <w:rPr>
                <w:rFonts w:hint="eastAsia" w:ascii="宋体" w:hAnsi="宋体" w:cs="宋体"/>
                <w:color w:val="auto"/>
                <w:szCs w:val="21"/>
                <w:highlight w:val="none"/>
              </w:rPr>
              <w:t>证书号：</w:t>
            </w:r>
          </w:p>
        </w:tc>
      </w:tr>
      <w:tr w14:paraId="0D6C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567" w:type="dxa"/>
            <w:gridSpan w:val="4"/>
            <w:tcBorders>
              <w:bottom w:val="single" w:color="auto" w:sz="4" w:space="0"/>
            </w:tcBorders>
          </w:tcPr>
          <w:p w14:paraId="10A1D627">
            <w:pPr>
              <w:spacing w:line="360" w:lineRule="auto"/>
              <w:rPr>
                <w:rFonts w:ascii="宋体" w:hAnsi="宋体" w:cs="宋体"/>
                <w:color w:val="auto"/>
                <w:szCs w:val="21"/>
                <w:highlight w:val="none"/>
              </w:rPr>
            </w:pPr>
            <w:r>
              <w:rPr>
                <w:rFonts w:hint="eastAsia" w:ascii="宋体" w:hAnsi="宋体" w:cs="宋体"/>
                <w:color w:val="auto"/>
                <w:szCs w:val="21"/>
                <w:highlight w:val="none"/>
              </w:rPr>
              <w:t>单位简介：</w:t>
            </w:r>
          </w:p>
          <w:p w14:paraId="4803C728">
            <w:pPr>
              <w:spacing w:line="360" w:lineRule="auto"/>
              <w:ind w:firstLine="2880"/>
              <w:rPr>
                <w:rFonts w:ascii="宋体" w:hAnsi="宋体" w:cs="宋体"/>
                <w:color w:val="auto"/>
                <w:szCs w:val="21"/>
                <w:highlight w:val="none"/>
              </w:rPr>
            </w:pPr>
          </w:p>
          <w:p w14:paraId="04905E0B">
            <w:pPr>
              <w:spacing w:line="360" w:lineRule="auto"/>
              <w:ind w:firstLine="2880"/>
              <w:rPr>
                <w:rFonts w:ascii="宋体" w:hAnsi="宋体" w:cs="宋体"/>
                <w:color w:val="auto"/>
                <w:szCs w:val="21"/>
                <w:highlight w:val="none"/>
              </w:rPr>
            </w:pPr>
          </w:p>
          <w:p w14:paraId="54451DE3">
            <w:pPr>
              <w:spacing w:line="360" w:lineRule="auto"/>
              <w:rPr>
                <w:rFonts w:ascii="宋体" w:hAnsi="宋体" w:cs="宋体"/>
                <w:color w:val="auto"/>
                <w:szCs w:val="21"/>
                <w:highlight w:val="none"/>
              </w:rPr>
            </w:pPr>
          </w:p>
          <w:p w14:paraId="7686C626">
            <w:pPr>
              <w:spacing w:line="360" w:lineRule="auto"/>
              <w:rPr>
                <w:rFonts w:ascii="宋体" w:hAnsi="宋体" w:cs="宋体"/>
                <w:color w:val="auto"/>
                <w:szCs w:val="21"/>
                <w:highlight w:val="none"/>
              </w:rPr>
            </w:pPr>
            <w:r>
              <w:rPr>
                <w:rFonts w:hint="eastAsia" w:ascii="宋体" w:hAnsi="宋体" w:cs="宋体"/>
                <w:color w:val="auto"/>
                <w:szCs w:val="21"/>
                <w:highlight w:val="none"/>
              </w:rPr>
              <w:t>技术人员总数：</w:t>
            </w:r>
            <w:r>
              <w:rPr>
                <w:rFonts w:ascii="宋体" w:hAnsi="宋体" w:cs="宋体"/>
                <w:color w:val="auto"/>
                <w:szCs w:val="21"/>
                <w:highlight w:val="none"/>
              </w:rPr>
              <w:t xml:space="preserve">      </w:t>
            </w:r>
            <w:r>
              <w:rPr>
                <w:rFonts w:hint="eastAsia" w:ascii="宋体" w:hAnsi="宋体" w:cs="宋体"/>
                <w:color w:val="auto"/>
                <w:szCs w:val="21"/>
                <w:highlight w:val="none"/>
              </w:rPr>
              <w:t>人</w:t>
            </w:r>
          </w:p>
        </w:tc>
      </w:tr>
    </w:tbl>
    <w:p w14:paraId="183B7BB3">
      <w:pPr>
        <w:pStyle w:val="18"/>
        <w:spacing w:line="360" w:lineRule="auto"/>
        <w:ind w:left="0" w:leftChars="0" w:firstLine="0" w:firstLineChars="0"/>
        <w:rPr>
          <w:rFonts w:ascii="宋体" w:hAnsi="宋体" w:cs="宋体"/>
          <w:color w:val="auto"/>
          <w:sz w:val="24"/>
          <w:highlight w:val="none"/>
        </w:rPr>
      </w:pPr>
    </w:p>
    <w:p w14:paraId="2B59D817">
      <w:pPr>
        <w:pStyle w:val="18"/>
        <w:spacing w:line="360" w:lineRule="auto"/>
        <w:ind w:firstLine="480"/>
        <w:rPr>
          <w:rFonts w:ascii="宋体" w:hAnsi="宋体" w:cs="宋体"/>
          <w:color w:val="auto"/>
          <w:sz w:val="24"/>
          <w:highlight w:val="none"/>
        </w:rPr>
      </w:pPr>
    </w:p>
    <w:p w14:paraId="2F8446C5">
      <w:pPr>
        <w:pStyle w:val="18"/>
        <w:spacing w:line="360" w:lineRule="auto"/>
        <w:ind w:firstLine="480"/>
        <w:rPr>
          <w:rFonts w:ascii="宋体" w:hAnsi="宋体" w:cs="宋体"/>
          <w:color w:val="auto"/>
          <w:sz w:val="24"/>
          <w:highlight w:val="none"/>
        </w:rPr>
      </w:pPr>
    </w:p>
    <w:p w14:paraId="33B3C66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785BABA7">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227EA230">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日</w:t>
      </w:r>
      <w:r>
        <w:rPr>
          <w:rFonts w:ascii="宋体" w:hAnsi="宋体" w:cs="宋体"/>
          <w:bCs/>
          <w:color w:val="auto"/>
          <w:sz w:val="24"/>
          <w:highlight w:val="none"/>
        </w:rPr>
        <w:t xml:space="preserve">    </w:t>
      </w:r>
      <w:r>
        <w:rPr>
          <w:rFonts w:hint="eastAsia" w:ascii="宋体" w:hAnsi="宋体" w:cs="宋体"/>
          <w:bCs/>
          <w:color w:val="auto"/>
          <w:sz w:val="24"/>
          <w:highlight w:val="none"/>
        </w:rPr>
        <w:t>期：</w:t>
      </w:r>
    </w:p>
    <w:p w14:paraId="1929B021">
      <w:pPr>
        <w:snapToGrid w:val="0"/>
        <w:spacing w:line="360" w:lineRule="auto"/>
        <w:ind w:firstLine="1200" w:firstLineChars="500"/>
        <w:rPr>
          <w:rFonts w:ascii="宋体" w:hAnsi="宋体" w:cs="宋体"/>
          <w:color w:val="auto"/>
          <w:sz w:val="24"/>
          <w:highlight w:val="none"/>
        </w:rPr>
      </w:pPr>
    </w:p>
    <w:p w14:paraId="7C21207E">
      <w:pPr>
        <w:snapToGrid w:val="0"/>
        <w:spacing w:line="360" w:lineRule="auto"/>
        <w:rPr>
          <w:rFonts w:ascii="宋体" w:hAnsi="宋体" w:cs="宋体"/>
          <w:color w:val="auto"/>
          <w:sz w:val="24"/>
          <w:highlight w:val="none"/>
        </w:rPr>
      </w:pPr>
    </w:p>
    <w:p w14:paraId="1089F9E5">
      <w:pPr>
        <w:pStyle w:val="18"/>
        <w:spacing w:line="360" w:lineRule="auto"/>
        <w:rPr>
          <w:color w:val="auto"/>
          <w:highlight w:val="none"/>
        </w:rPr>
      </w:pPr>
    </w:p>
    <w:p w14:paraId="11E8F3A8">
      <w:pPr>
        <w:widowControl/>
        <w:jc w:val="left"/>
        <w:rPr>
          <w:color w:val="auto"/>
          <w:highlight w:val="none"/>
        </w:rPr>
      </w:pPr>
      <w:r>
        <w:rPr>
          <w:color w:val="auto"/>
          <w:highlight w:val="none"/>
        </w:rPr>
        <w:br w:type="page"/>
      </w:r>
    </w:p>
    <w:p w14:paraId="129B9182">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w:t>
      </w:r>
    </w:p>
    <w:p w14:paraId="44577689">
      <w:pPr>
        <w:ind w:firstLine="482"/>
        <w:jc w:val="center"/>
        <w:rPr>
          <w:rFonts w:ascii="宋体" w:hAnsi="宋体" w:cs="宋体"/>
          <w:color w:val="auto"/>
          <w:sz w:val="24"/>
          <w:highlight w:val="none"/>
        </w:rPr>
      </w:pPr>
    </w:p>
    <w:p w14:paraId="75062EDA">
      <w:pPr>
        <w:snapToGrid w:val="0"/>
        <w:spacing w:line="360" w:lineRule="auto"/>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拟投入本标段主要人员情况表</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52"/>
        <w:gridCol w:w="832"/>
        <w:gridCol w:w="495"/>
        <w:gridCol w:w="836"/>
        <w:gridCol w:w="665"/>
        <w:gridCol w:w="1012"/>
        <w:gridCol w:w="1191"/>
        <w:gridCol w:w="1048"/>
        <w:gridCol w:w="800"/>
        <w:gridCol w:w="769"/>
      </w:tblGrid>
      <w:tr w14:paraId="1DB9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2" w:type="pct"/>
            <w:vMerge w:val="restart"/>
            <w:vAlign w:val="center"/>
          </w:tcPr>
          <w:p w14:paraId="3F46AD18">
            <w:pPr>
              <w:spacing w:line="360" w:lineRule="auto"/>
              <w:rPr>
                <w:rFonts w:ascii="宋体" w:hAnsi="宋体" w:cs="宋体"/>
                <w:color w:val="auto"/>
                <w:sz w:val="20"/>
                <w:highlight w:val="none"/>
              </w:rPr>
            </w:pPr>
            <w:r>
              <w:rPr>
                <w:rFonts w:hint="eastAsia" w:ascii="宋体" w:hAnsi="宋体" w:cs="宋体"/>
                <w:color w:val="auto"/>
                <w:kern w:val="0"/>
                <w:sz w:val="20"/>
                <w:highlight w:val="none"/>
              </w:rPr>
              <w:t>序号</w:t>
            </w:r>
          </w:p>
        </w:tc>
        <w:tc>
          <w:tcPr>
            <w:tcW w:w="525" w:type="pct"/>
            <w:vMerge w:val="restart"/>
            <w:vAlign w:val="center"/>
          </w:tcPr>
          <w:p w14:paraId="6909D47D">
            <w:pPr>
              <w:spacing w:line="360" w:lineRule="auto"/>
              <w:rPr>
                <w:rFonts w:ascii="宋体" w:hAnsi="宋体" w:cs="宋体"/>
                <w:color w:val="auto"/>
                <w:sz w:val="20"/>
                <w:highlight w:val="none"/>
              </w:rPr>
            </w:pPr>
            <w:r>
              <w:rPr>
                <w:rFonts w:hint="eastAsia" w:ascii="宋体" w:hAnsi="宋体" w:cs="宋体"/>
                <w:color w:val="auto"/>
                <w:kern w:val="0"/>
                <w:sz w:val="20"/>
                <w:highlight w:val="none"/>
              </w:rPr>
              <w:t>在本项目任职</w:t>
            </w:r>
          </w:p>
        </w:tc>
        <w:tc>
          <w:tcPr>
            <w:tcW w:w="459" w:type="pct"/>
            <w:vMerge w:val="restart"/>
            <w:vAlign w:val="center"/>
          </w:tcPr>
          <w:p w14:paraId="73FE234E">
            <w:pPr>
              <w:spacing w:line="360" w:lineRule="auto"/>
              <w:rPr>
                <w:rFonts w:ascii="宋体" w:hAnsi="宋体" w:cs="宋体"/>
                <w:color w:val="auto"/>
                <w:sz w:val="20"/>
                <w:highlight w:val="none"/>
              </w:rPr>
            </w:pPr>
            <w:r>
              <w:rPr>
                <w:rFonts w:hint="eastAsia" w:ascii="宋体" w:hAnsi="宋体" w:cs="宋体"/>
                <w:color w:val="auto"/>
                <w:kern w:val="0"/>
                <w:sz w:val="20"/>
                <w:highlight w:val="none"/>
              </w:rPr>
              <w:t>姓名</w:t>
            </w:r>
          </w:p>
        </w:tc>
        <w:tc>
          <w:tcPr>
            <w:tcW w:w="273" w:type="pct"/>
            <w:vMerge w:val="restart"/>
            <w:vAlign w:val="center"/>
          </w:tcPr>
          <w:p w14:paraId="4C741088">
            <w:pPr>
              <w:spacing w:line="360" w:lineRule="auto"/>
              <w:rPr>
                <w:rFonts w:ascii="宋体" w:hAnsi="宋体" w:cs="宋体"/>
                <w:color w:val="auto"/>
                <w:sz w:val="20"/>
                <w:highlight w:val="none"/>
              </w:rPr>
            </w:pPr>
            <w:r>
              <w:rPr>
                <w:rFonts w:hint="eastAsia" w:ascii="宋体" w:hAnsi="宋体" w:cs="宋体"/>
                <w:color w:val="auto"/>
                <w:kern w:val="0"/>
                <w:sz w:val="20"/>
                <w:highlight w:val="none"/>
              </w:rPr>
              <w:t>学历</w:t>
            </w:r>
          </w:p>
        </w:tc>
        <w:tc>
          <w:tcPr>
            <w:tcW w:w="461" w:type="pct"/>
            <w:vMerge w:val="restart"/>
            <w:vAlign w:val="center"/>
          </w:tcPr>
          <w:p w14:paraId="14A4A685">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技术</w:t>
            </w:r>
          </w:p>
          <w:p w14:paraId="0CACFA9E">
            <w:pPr>
              <w:spacing w:line="360" w:lineRule="auto"/>
              <w:rPr>
                <w:rFonts w:ascii="宋体" w:hAnsi="宋体" w:cs="宋体"/>
                <w:color w:val="auto"/>
                <w:sz w:val="20"/>
                <w:highlight w:val="none"/>
              </w:rPr>
            </w:pPr>
            <w:r>
              <w:rPr>
                <w:rFonts w:hint="eastAsia" w:ascii="宋体" w:hAnsi="宋体" w:cs="宋体"/>
                <w:color w:val="auto"/>
                <w:kern w:val="0"/>
                <w:sz w:val="20"/>
                <w:highlight w:val="none"/>
              </w:rPr>
              <w:t>职称</w:t>
            </w:r>
          </w:p>
        </w:tc>
        <w:tc>
          <w:tcPr>
            <w:tcW w:w="367" w:type="pct"/>
            <w:vMerge w:val="restart"/>
            <w:vAlign w:val="center"/>
          </w:tcPr>
          <w:p w14:paraId="27DA739F">
            <w:pPr>
              <w:spacing w:line="360" w:lineRule="auto"/>
              <w:rPr>
                <w:rFonts w:ascii="宋体" w:hAnsi="宋体" w:cs="宋体"/>
                <w:color w:val="auto"/>
                <w:sz w:val="20"/>
                <w:highlight w:val="none"/>
              </w:rPr>
            </w:pPr>
            <w:r>
              <w:rPr>
                <w:rFonts w:hint="eastAsia" w:ascii="宋体" w:hAnsi="宋体" w:cs="宋体"/>
                <w:color w:val="auto"/>
                <w:kern w:val="0"/>
                <w:sz w:val="20"/>
                <w:highlight w:val="none"/>
              </w:rPr>
              <w:t>专业</w:t>
            </w:r>
          </w:p>
        </w:tc>
        <w:tc>
          <w:tcPr>
            <w:tcW w:w="1215" w:type="pct"/>
            <w:gridSpan w:val="2"/>
            <w:vAlign w:val="center"/>
          </w:tcPr>
          <w:p w14:paraId="21916D2E">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执业或职业资格证明</w:t>
            </w:r>
          </w:p>
        </w:tc>
        <w:tc>
          <w:tcPr>
            <w:tcW w:w="578" w:type="pct"/>
            <w:vMerge w:val="restart"/>
            <w:vAlign w:val="center"/>
          </w:tcPr>
          <w:p w14:paraId="11C1A567">
            <w:pPr>
              <w:spacing w:line="360" w:lineRule="auto"/>
              <w:rPr>
                <w:rFonts w:ascii="宋体" w:hAnsi="宋体" w:cs="宋体"/>
                <w:color w:val="auto"/>
                <w:sz w:val="20"/>
                <w:highlight w:val="none"/>
              </w:rPr>
            </w:pPr>
            <w:r>
              <w:rPr>
                <w:rFonts w:hint="eastAsia" w:ascii="宋体" w:hAnsi="宋体" w:cs="宋体"/>
                <w:color w:val="auto"/>
                <w:kern w:val="0"/>
                <w:sz w:val="20"/>
                <w:highlight w:val="none"/>
              </w:rPr>
              <w:t>身份证号</w:t>
            </w:r>
          </w:p>
        </w:tc>
        <w:tc>
          <w:tcPr>
            <w:tcW w:w="441" w:type="pct"/>
            <w:vMerge w:val="restart"/>
            <w:vAlign w:val="center"/>
          </w:tcPr>
          <w:p w14:paraId="6CE30830">
            <w:pPr>
              <w:widowControl/>
              <w:autoSpaceDE w:val="0"/>
              <w:autoSpaceDN w:val="0"/>
              <w:jc w:val="center"/>
              <w:textAlignment w:val="bottom"/>
              <w:rPr>
                <w:rFonts w:ascii="宋体" w:hAnsi="宋体" w:cs="宋体"/>
                <w:color w:val="auto"/>
                <w:sz w:val="20"/>
                <w:highlight w:val="none"/>
              </w:rPr>
            </w:pPr>
            <w:r>
              <w:rPr>
                <w:rFonts w:hint="eastAsia" w:ascii="宋体" w:hAnsi="宋体" w:cs="宋体"/>
                <w:color w:val="auto"/>
                <w:kern w:val="0"/>
                <w:sz w:val="20"/>
                <w:szCs w:val="22"/>
                <w:highlight w:val="none"/>
                <w:lang w:val="zh-CN" w:bidi="zh-CN"/>
              </w:rPr>
              <w:t>社保缴纳单位</w:t>
            </w:r>
          </w:p>
        </w:tc>
        <w:tc>
          <w:tcPr>
            <w:tcW w:w="424" w:type="pct"/>
            <w:vMerge w:val="restart"/>
            <w:vAlign w:val="center"/>
          </w:tcPr>
          <w:p w14:paraId="3B2F4079">
            <w:pPr>
              <w:spacing w:line="360" w:lineRule="auto"/>
              <w:rPr>
                <w:rFonts w:ascii="宋体" w:hAnsi="宋体" w:cs="宋体"/>
                <w:color w:val="auto"/>
                <w:sz w:val="20"/>
                <w:highlight w:val="none"/>
              </w:rPr>
            </w:pPr>
            <w:r>
              <w:rPr>
                <w:rFonts w:hint="eastAsia" w:ascii="宋体" w:hAnsi="宋体" w:cs="宋体"/>
                <w:color w:val="auto"/>
                <w:sz w:val="20"/>
                <w:highlight w:val="none"/>
              </w:rPr>
              <w:t>备注</w:t>
            </w:r>
          </w:p>
        </w:tc>
      </w:tr>
      <w:tr w14:paraId="387E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Merge w:val="continue"/>
            <w:vAlign w:val="center"/>
          </w:tcPr>
          <w:p w14:paraId="6C3E4360">
            <w:pPr>
              <w:spacing w:line="360" w:lineRule="auto"/>
              <w:rPr>
                <w:rFonts w:ascii="宋体" w:hAnsi="宋体" w:cs="宋体"/>
                <w:b/>
                <w:color w:val="auto"/>
                <w:sz w:val="24"/>
                <w:highlight w:val="none"/>
              </w:rPr>
            </w:pPr>
          </w:p>
        </w:tc>
        <w:tc>
          <w:tcPr>
            <w:tcW w:w="525" w:type="pct"/>
            <w:vMerge w:val="continue"/>
            <w:vAlign w:val="center"/>
          </w:tcPr>
          <w:p w14:paraId="4745177F">
            <w:pPr>
              <w:spacing w:line="360" w:lineRule="auto"/>
              <w:rPr>
                <w:rFonts w:ascii="宋体" w:hAnsi="宋体" w:cs="宋体"/>
                <w:b/>
                <w:color w:val="auto"/>
                <w:sz w:val="24"/>
                <w:highlight w:val="none"/>
              </w:rPr>
            </w:pPr>
          </w:p>
        </w:tc>
        <w:tc>
          <w:tcPr>
            <w:tcW w:w="459" w:type="pct"/>
            <w:vMerge w:val="continue"/>
            <w:vAlign w:val="center"/>
          </w:tcPr>
          <w:p w14:paraId="3C7FF611">
            <w:pPr>
              <w:spacing w:line="360" w:lineRule="auto"/>
              <w:rPr>
                <w:rFonts w:ascii="宋体" w:hAnsi="宋体" w:cs="宋体"/>
                <w:b/>
                <w:color w:val="auto"/>
                <w:sz w:val="24"/>
                <w:highlight w:val="none"/>
              </w:rPr>
            </w:pPr>
          </w:p>
        </w:tc>
        <w:tc>
          <w:tcPr>
            <w:tcW w:w="273" w:type="pct"/>
            <w:vMerge w:val="continue"/>
            <w:vAlign w:val="center"/>
          </w:tcPr>
          <w:p w14:paraId="4F41D28F">
            <w:pPr>
              <w:spacing w:line="360" w:lineRule="auto"/>
              <w:rPr>
                <w:rFonts w:ascii="宋体" w:hAnsi="宋体" w:cs="宋体"/>
                <w:b/>
                <w:color w:val="auto"/>
                <w:sz w:val="24"/>
                <w:highlight w:val="none"/>
              </w:rPr>
            </w:pPr>
          </w:p>
        </w:tc>
        <w:tc>
          <w:tcPr>
            <w:tcW w:w="461" w:type="pct"/>
            <w:vMerge w:val="continue"/>
            <w:vAlign w:val="center"/>
          </w:tcPr>
          <w:p w14:paraId="169C8E86">
            <w:pPr>
              <w:spacing w:line="360" w:lineRule="auto"/>
              <w:rPr>
                <w:rFonts w:ascii="宋体" w:hAnsi="宋体" w:cs="宋体"/>
                <w:b/>
                <w:color w:val="auto"/>
                <w:sz w:val="24"/>
                <w:highlight w:val="none"/>
              </w:rPr>
            </w:pPr>
          </w:p>
        </w:tc>
        <w:tc>
          <w:tcPr>
            <w:tcW w:w="367" w:type="pct"/>
            <w:vMerge w:val="continue"/>
            <w:vAlign w:val="center"/>
          </w:tcPr>
          <w:p w14:paraId="6206C8DE">
            <w:pPr>
              <w:spacing w:line="360" w:lineRule="auto"/>
              <w:rPr>
                <w:rFonts w:ascii="宋体" w:hAnsi="宋体" w:cs="宋体"/>
                <w:b/>
                <w:color w:val="auto"/>
                <w:sz w:val="24"/>
                <w:highlight w:val="none"/>
              </w:rPr>
            </w:pPr>
          </w:p>
        </w:tc>
        <w:tc>
          <w:tcPr>
            <w:tcW w:w="558" w:type="pct"/>
            <w:vAlign w:val="center"/>
          </w:tcPr>
          <w:p w14:paraId="0042FBF7">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证书</w:t>
            </w:r>
          </w:p>
          <w:p w14:paraId="2230E18F">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名称</w:t>
            </w:r>
          </w:p>
        </w:tc>
        <w:tc>
          <w:tcPr>
            <w:tcW w:w="657" w:type="pct"/>
            <w:vAlign w:val="center"/>
          </w:tcPr>
          <w:p w14:paraId="13D1B01D">
            <w:pPr>
              <w:spacing w:line="360" w:lineRule="auto"/>
              <w:rPr>
                <w:rFonts w:ascii="宋体" w:hAnsi="宋体" w:cs="宋体"/>
                <w:color w:val="auto"/>
                <w:kern w:val="0"/>
                <w:sz w:val="20"/>
                <w:highlight w:val="none"/>
              </w:rPr>
            </w:pPr>
            <w:r>
              <w:rPr>
                <w:rFonts w:hint="eastAsia" w:ascii="宋体" w:hAnsi="宋体" w:cs="宋体"/>
                <w:color w:val="auto"/>
                <w:kern w:val="0"/>
                <w:sz w:val="20"/>
                <w:highlight w:val="none"/>
              </w:rPr>
              <w:t>证号</w:t>
            </w:r>
          </w:p>
        </w:tc>
        <w:tc>
          <w:tcPr>
            <w:tcW w:w="578" w:type="pct"/>
            <w:vMerge w:val="continue"/>
            <w:vAlign w:val="center"/>
          </w:tcPr>
          <w:p w14:paraId="1557557A">
            <w:pPr>
              <w:spacing w:line="360" w:lineRule="auto"/>
              <w:rPr>
                <w:rFonts w:ascii="宋体" w:hAnsi="宋体" w:cs="宋体"/>
                <w:b/>
                <w:color w:val="auto"/>
                <w:sz w:val="24"/>
                <w:highlight w:val="none"/>
              </w:rPr>
            </w:pPr>
          </w:p>
        </w:tc>
        <w:tc>
          <w:tcPr>
            <w:tcW w:w="441" w:type="pct"/>
            <w:vMerge w:val="continue"/>
            <w:vAlign w:val="center"/>
          </w:tcPr>
          <w:p w14:paraId="31D730A0">
            <w:pPr>
              <w:spacing w:line="360" w:lineRule="auto"/>
              <w:rPr>
                <w:rFonts w:ascii="宋体" w:hAnsi="宋体" w:cs="宋体"/>
                <w:b/>
                <w:color w:val="auto"/>
                <w:sz w:val="24"/>
                <w:highlight w:val="none"/>
              </w:rPr>
            </w:pPr>
          </w:p>
        </w:tc>
        <w:tc>
          <w:tcPr>
            <w:tcW w:w="424" w:type="pct"/>
            <w:vMerge w:val="continue"/>
            <w:vAlign w:val="center"/>
          </w:tcPr>
          <w:p w14:paraId="6FD5821E">
            <w:pPr>
              <w:spacing w:line="360" w:lineRule="auto"/>
              <w:rPr>
                <w:rFonts w:ascii="宋体" w:hAnsi="宋体" w:cs="宋体"/>
                <w:b/>
                <w:color w:val="auto"/>
                <w:sz w:val="24"/>
                <w:highlight w:val="none"/>
              </w:rPr>
            </w:pPr>
          </w:p>
        </w:tc>
      </w:tr>
      <w:tr w14:paraId="4C20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3F00F24">
            <w:pPr>
              <w:spacing w:line="360" w:lineRule="auto"/>
              <w:rPr>
                <w:rFonts w:ascii="宋体" w:hAnsi="宋体" w:cs="宋体"/>
                <w:b/>
                <w:color w:val="auto"/>
                <w:sz w:val="24"/>
                <w:highlight w:val="none"/>
              </w:rPr>
            </w:pPr>
          </w:p>
        </w:tc>
        <w:tc>
          <w:tcPr>
            <w:tcW w:w="525" w:type="pct"/>
            <w:vAlign w:val="center"/>
          </w:tcPr>
          <w:p w14:paraId="382A0BE8">
            <w:pPr>
              <w:spacing w:line="360" w:lineRule="auto"/>
              <w:rPr>
                <w:rFonts w:ascii="宋体" w:hAnsi="宋体" w:cs="宋体"/>
                <w:b/>
                <w:color w:val="auto"/>
                <w:sz w:val="24"/>
                <w:highlight w:val="none"/>
              </w:rPr>
            </w:pPr>
          </w:p>
        </w:tc>
        <w:tc>
          <w:tcPr>
            <w:tcW w:w="459" w:type="pct"/>
            <w:vAlign w:val="center"/>
          </w:tcPr>
          <w:p w14:paraId="4D8A38EF">
            <w:pPr>
              <w:spacing w:line="360" w:lineRule="auto"/>
              <w:rPr>
                <w:rFonts w:ascii="宋体" w:hAnsi="宋体" w:cs="宋体"/>
                <w:b/>
                <w:color w:val="auto"/>
                <w:sz w:val="24"/>
                <w:highlight w:val="none"/>
              </w:rPr>
            </w:pPr>
          </w:p>
        </w:tc>
        <w:tc>
          <w:tcPr>
            <w:tcW w:w="273" w:type="pct"/>
            <w:vAlign w:val="center"/>
          </w:tcPr>
          <w:p w14:paraId="7E5B6286">
            <w:pPr>
              <w:spacing w:line="360" w:lineRule="auto"/>
              <w:rPr>
                <w:rFonts w:ascii="宋体" w:hAnsi="宋体" w:cs="宋体"/>
                <w:b/>
                <w:color w:val="auto"/>
                <w:sz w:val="24"/>
                <w:highlight w:val="none"/>
              </w:rPr>
            </w:pPr>
          </w:p>
        </w:tc>
        <w:tc>
          <w:tcPr>
            <w:tcW w:w="461" w:type="pct"/>
            <w:vAlign w:val="center"/>
          </w:tcPr>
          <w:p w14:paraId="2C287FDF">
            <w:pPr>
              <w:spacing w:line="360" w:lineRule="auto"/>
              <w:rPr>
                <w:rFonts w:ascii="宋体" w:hAnsi="宋体" w:cs="宋体"/>
                <w:b/>
                <w:color w:val="auto"/>
                <w:sz w:val="24"/>
                <w:highlight w:val="none"/>
              </w:rPr>
            </w:pPr>
          </w:p>
        </w:tc>
        <w:tc>
          <w:tcPr>
            <w:tcW w:w="367" w:type="pct"/>
            <w:vAlign w:val="center"/>
          </w:tcPr>
          <w:p w14:paraId="0953CEE2">
            <w:pPr>
              <w:spacing w:line="360" w:lineRule="auto"/>
              <w:rPr>
                <w:rFonts w:ascii="宋体" w:hAnsi="宋体" w:cs="宋体"/>
                <w:b/>
                <w:color w:val="auto"/>
                <w:sz w:val="24"/>
                <w:highlight w:val="none"/>
              </w:rPr>
            </w:pPr>
          </w:p>
        </w:tc>
        <w:tc>
          <w:tcPr>
            <w:tcW w:w="558" w:type="pct"/>
            <w:vAlign w:val="center"/>
          </w:tcPr>
          <w:p w14:paraId="2B9C04B1">
            <w:pPr>
              <w:spacing w:line="360" w:lineRule="auto"/>
              <w:rPr>
                <w:rFonts w:ascii="宋体" w:hAnsi="宋体" w:cs="宋体"/>
                <w:b/>
                <w:color w:val="auto"/>
                <w:sz w:val="24"/>
                <w:highlight w:val="none"/>
              </w:rPr>
            </w:pPr>
          </w:p>
        </w:tc>
        <w:tc>
          <w:tcPr>
            <w:tcW w:w="657" w:type="pct"/>
            <w:vAlign w:val="center"/>
          </w:tcPr>
          <w:p w14:paraId="19F72915">
            <w:pPr>
              <w:spacing w:line="360" w:lineRule="auto"/>
              <w:rPr>
                <w:rFonts w:ascii="宋体" w:hAnsi="宋体" w:cs="宋体"/>
                <w:b/>
                <w:color w:val="auto"/>
                <w:sz w:val="24"/>
                <w:highlight w:val="none"/>
              </w:rPr>
            </w:pPr>
          </w:p>
        </w:tc>
        <w:tc>
          <w:tcPr>
            <w:tcW w:w="578" w:type="pct"/>
            <w:vAlign w:val="center"/>
          </w:tcPr>
          <w:p w14:paraId="4249FE94">
            <w:pPr>
              <w:spacing w:line="360" w:lineRule="auto"/>
              <w:rPr>
                <w:rFonts w:ascii="宋体" w:hAnsi="宋体" w:cs="宋体"/>
                <w:b/>
                <w:color w:val="auto"/>
                <w:sz w:val="24"/>
                <w:highlight w:val="none"/>
              </w:rPr>
            </w:pPr>
          </w:p>
        </w:tc>
        <w:tc>
          <w:tcPr>
            <w:tcW w:w="441" w:type="pct"/>
            <w:vAlign w:val="center"/>
          </w:tcPr>
          <w:p w14:paraId="6EE340CC">
            <w:pPr>
              <w:spacing w:line="360" w:lineRule="auto"/>
              <w:rPr>
                <w:rFonts w:ascii="宋体" w:hAnsi="宋体" w:cs="宋体"/>
                <w:b/>
                <w:color w:val="auto"/>
                <w:sz w:val="24"/>
                <w:highlight w:val="none"/>
              </w:rPr>
            </w:pPr>
          </w:p>
        </w:tc>
        <w:tc>
          <w:tcPr>
            <w:tcW w:w="424" w:type="pct"/>
            <w:vAlign w:val="center"/>
          </w:tcPr>
          <w:p w14:paraId="3586C426">
            <w:pPr>
              <w:spacing w:line="360" w:lineRule="auto"/>
              <w:rPr>
                <w:rFonts w:ascii="宋体" w:hAnsi="宋体" w:cs="宋体"/>
                <w:b/>
                <w:color w:val="auto"/>
                <w:sz w:val="24"/>
                <w:highlight w:val="none"/>
              </w:rPr>
            </w:pPr>
          </w:p>
        </w:tc>
      </w:tr>
      <w:tr w14:paraId="30D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5207514">
            <w:pPr>
              <w:spacing w:line="360" w:lineRule="auto"/>
              <w:rPr>
                <w:rFonts w:ascii="宋体" w:hAnsi="宋体" w:cs="宋体"/>
                <w:b/>
                <w:color w:val="auto"/>
                <w:sz w:val="24"/>
                <w:highlight w:val="none"/>
              </w:rPr>
            </w:pPr>
          </w:p>
        </w:tc>
        <w:tc>
          <w:tcPr>
            <w:tcW w:w="525" w:type="pct"/>
            <w:vAlign w:val="center"/>
          </w:tcPr>
          <w:p w14:paraId="78420391">
            <w:pPr>
              <w:spacing w:line="360" w:lineRule="auto"/>
              <w:rPr>
                <w:rFonts w:ascii="宋体" w:hAnsi="宋体" w:cs="宋体"/>
                <w:b/>
                <w:color w:val="auto"/>
                <w:sz w:val="24"/>
                <w:highlight w:val="none"/>
              </w:rPr>
            </w:pPr>
          </w:p>
        </w:tc>
        <w:tc>
          <w:tcPr>
            <w:tcW w:w="459" w:type="pct"/>
            <w:vAlign w:val="center"/>
          </w:tcPr>
          <w:p w14:paraId="36304CBC">
            <w:pPr>
              <w:spacing w:line="360" w:lineRule="auto"/>
              <w:rPr>
                <w:rFonts w:ascii="宋体" w:hAnsi="宋体" w:cs="宋体"/>
                <w:b/>
                <w:color w:val="auto"/>
                <w:sz w:val="24"/>
                <w:highlight w:val="none"/>
              </w:rPr>
            </w:pPr>
          </w:p>
        </w:tc>
        <w:tc>
          <w:tcPr>
            <w:tcW w:w="273" w:type="pct"/>
            <w:vAlign w:val="center"/>
          </w:tcPr>
          <w:p w14:paraId="700F9E4E">
            <w:pPr>
              <w:spacing w:line="360" w:lineRule="auto"/>
              <w:rPr>
                <w:rFonts w:ascii="宋体" w:hAnsi="宋体" w:cs="宋体"/>
                <w:b/>
                <w:color w:val="auto"/>
                <w:sz w:val="24"/>
                <w:highlight w:val="none"/>
              </w:rPr>
            </w:pPr>
          </w:p>
        </w:tc>
        <w:tc>
          <w:tcPr>
            <w:tcW w:w="461" w:type="pct"/>
            <w:vAlign w:val="center"/>
          </w:tcPr>
          <w:p w14:paraId="193B5188">
            <w:pPr>
              <w:spacing w:line="360" w:lineRule="auto"/>
              <w:rPr>
                <w:rFonts w:ascii="宋体" w:hAnsi="宋体" w:cs="宋体"/>
                <w:b/>
                <w:color w:val="auto"/>
                <w:sz w:val="24"/>
                <w:highlight w:val="none"/>
              </w:rPr>
            </w:pPr>
          </w:p>
        </w:tc>
        <w:tc>
          <w:tcPr>
            <w:tcW w:w="367" w:type="pct"/>
            <w:vAlign w:val="center"/>
          </w:tcPr>
          <w:p w14:paraId="1B01DDA1">
            <w:pPr>
              <w:spacing w:line="360" w:lineRule="auto"/>
              <w:rPr>
                <w:rFonts w:ascii="宋体" w:hAnsi="宋体" w:cs="宋体"/>
                <w:b/>
                <w:color w:val="auto"/>
                <w:sz w:val="24"/>
                <w:highlight w:val="none"/>
              </w:rPr>
            </w:pPr>
          </w:p>
        </w:tc>
        <w:tc>
          <w:tcPr>
            <w:tcW w:w="558" w:type="pct"/>
            <w:vAlign w:val="center"/>
          </w:tcPr>
          <w:p w14:paraId="0B8449C1">
            <w:pPr>
              <w:spacing w:line="360" w:lineRule="auto"/>
              <w:rPr>
                <w:rFonts w:ascii="宋体" w:hAnsi="宋体" w:cs="宋体"/>
                <w:b/>
                <w:color w:val="auto"/>
                <w:sz w:val="24"/>
                <w:highlight w:val="none"/>
              </w:rPr>
            </w:pPr>
          </w:p>
        </w:tc>
        <w:tc>
          <w:tcPr>
            <w:tcW w:w="657" w:type="pct"/>
            <w:vAlign w:val="center"/>
          </w:tcPr>
          <w:p w14:paraId="7EC736A3">
            <w:pPr>
              <w:spacing w:line="360" w:lineRule="auto"/>
              <w:rPr>
                <w:rFonts w:ascii="宋体" w:hAnsi="宋体" w:cs="宋体"/>
                <w:b/>
                <w:color w:val="auto"/>
                <w:sz w:val="24"/>
                <w:highlight w:val="none"/>
              </w:rPr>
            </w:pPr>
          </w:p>
        </w:tc>
        <w:tc>
          <w:tcPr>
            <w:tcW w:w="578" w:type="pct"/>
            <w:vAlign w:val="center"/>
          </w:tcPr>
          <w:p w14:paraId="6843259E">
            <w:pPr>
              <w:spacing w:line="360" w:lineRule="auto"/>
              <w:rPr>
                <w:rFonts w:ascii="宋体" w:hAnsi="宋体" w:cs="宋体"/>
                <w:b/>
                <w:color w:val="auto"/>
                <w:sz w:val="24"/>
                <w:highlight w:val="none"/>
              </w:rPr>
            </w:pPr>
          </w:p>
        </w:tc>
        <w:tc>
          <w:tcPr>
            <w:tcW w:w="441" w:type="pct"/>
            <w:vAlign w:val="center"/>
          </w:tcPr>
          <w:p w14:paraId="1BBBA175">
            <w:pPr>
              <w:spacing w:line="360" w:lineRule="auto"/>
              <w:rPr>
                <w:rFonts w:ascii="宋体" w:hAnsi="宋体" w:cs="宋体"/>
                <w:b/>
                <w:color w:val="auto"/>
                <w:sz w:val="24"/>
                <w:highlight w:val="none"/>
              </w:rPr>
            </w:pPr>
          </w:p>
        </w:tc>
        <w:tc>
          <w:tcPr>
            <w:tcW w:w="424" w:type="pct"/>
            <w:vAlign w:val="center"/>
          </w:tcPr>
          <w:p w14:paraId="7209CA7B">
            <w:pPr>
              <w:spacing w:line="360" w:lineRule="auto"/>
              <w:rPr>
                <w:rFonts w:ascii="宋体" w:hAnsi="宋体" w:cs="宋体"/>
                <w:b/>
                <w:color w:val="auto"/>
                <w:sz w:val="24"/>
                <w:highlight w:val="none"/>
              </w:rPr>
            </w:pPr>
          </w:p>
        </w:tc>
      </w:tr>
      <w:tr w14:paraId="397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B1751BC">
            <w:pPr>
              <w:spacing w:line="360" w:lineRule="auto"/>
              <w:rPr>
                <w:rFonts w:ascii="宋体" w:hAnsi="宋体" w:cs="宋体"/>
                <w:b/>
                <w:color w:val="auto"/>
                <w:sz w:val="24"/>
                <w:highlight w:val="none"/>
              </w:rPr>
            </w:pPr>
          </w:p>
        </w:tc>
        <w:tc>
          <w:tcPr>
            <w:tcW w:w="525" w:type="pct"/>
            <w:vAlign w:val="center"/>
          </w:tcPr>
          <w:p w14:paraId="33D7AED8">
            <w:pPr>
              <w:spacing w:line="360" w:lineRule="auto"/>
              <w:rPr>
                <w:rFonts w:ascii="宋体" w:hAnsi="宋体" w:cs="宋体"/>
                <w:b/>
                <w:color w:val="auto"/>
                <w:sz w:val="24"/>
                <w:highlight w:val="none"/>
              </w:rPr>
            </w:pPr>
          </w:p>
        </w:tc>
        <w:tc>
          <w:tcPr>
            <w:tcW w:w="459" w:type="pct"/>
            <w:vAlign w:val="center"/>
          </w:tcPr>
          <w:p w14:paraId="796F2399">
            <w:pPr>
              <w:spacing w:line="360" w:lineRule="auto"/>
              <w:rPr>
                <w:rFonts w:ascii="宋体" w:hAnsi="宋体" w:cs="宋体"/>
                <w:b/>
                <w:color w:val="auto"/>
                <w:sz w:val="24"/>
                <w:highlight w:val="none"/>
              </w:rPr>
            </w:pPr>
          </w:p>
        </w:tc>
        <w:tc>
          <w:tcPr>
            <w:tcW w:w="273" w:type="pct"/>
            <w:vAlign w:val="center"/>
          </w:tcPr>
          <w:p w14:paraId="2A8A75F2">
            <w:pPr>
              <w:spacing w:line="360" w:lineRule="auto"/>
              <w:rPr>
                <w:rFonts w:ascii="宋体" w:hAnsi="宋体" w:cs="宋体"/>
                <w:b/>
                <w:color w:val="auto"/>
                <w:sz w:val="24"/>
                <w:highlight w:val="none"/>
              </w:rPr>
            </w:pPr>
          </w:p>
        </w:tc>
        <w:tc>
          <w:tcPr>
            <w:tcW w:w="461" w:type="pct"/>
            <w:vAlign w:val="center"/>
          </w:tcPr>
          <w:p w14:paraId="5F42F49D">
            <w:pPr>
              <w:spacing w:line="360" w:lineRule="auto"/>
              <w:rPr>
                <w:rFonts w:ascii="宋体" w:hAnsi="宋体" w:cs="宋体"/>
                <w:b/>
                <w:color w:val="auto"/>
                <w:sz w:val="24"/>
                <w:highlight w:val="none"/>
              </w:rPr>
            </w:pPr>
          </w:p>
        </w:tc>
        <w:tc>
          <w:tcPr>
            <w:tcW w:w="367" w:type="pct"/>
            <w:vAlign w:val="center"/>
          </w:tcPr>
          <w:p w14:paraId="7DC32181">
            <w:pPr>
              <w:spacing w:line="360" w:lineRule="auto"/>
              <w:rPr>
                <w:rFonts w:ascii="宋体" w:hAnsi="宋体" w:cs="宋体"/>
                <w:b/>
                <w:color w:val="auto"/>
                <w:sz w:val="24"/>
                <w:highlight w:val="none"/>
              </w:rPr>
            </w:pPr>
          </w:p>
        </w:tc>
        <w:tc>
          <w:tcPr>
            <w:tcW w:w="558" w:type="pct"/>
            <w:vAlign w:val="center"/>
          </w:tcPr>
          <w:p w14:paraId="6B3B5C83">
            <w:pPr>
              <w:spacing w:line="360" w:lineRule="auto"/>
              <w:rPr>
                <w:rFonts w:ascii="宋体" w:hAnsi="宋体" w:cs="宋体"/>
                <w:b/>
                <w:color w:val="auto"/>
                <w:sz w:val="24"/>
                <w:highlight w:val="none"/>
              </w:rPr>
            </w:pPr>
          </w:p>
        </w:tc>
        <w:tc>
          <w:tcPr>
            <w:tcW w:w="657" w:type="pct"/>
            <w:vAlign w:val="center"/>
          </w:tcPr>
          <w:p w14:paraId="14A2BD90">
            <w:pPr>
              <w:spacing w:line="360" w:lineRule="auto"/>
              <w:rPr>
                <w:rFonts w:ascii="宋体" w:hAnsi="宋体" w:cs="宋体"/>
                <w:b/>
                <w:color w:val="auto"/>
                <w:sz w:val="24"/>
                <w:highlight w:val="none"/>
              </w:rPr>
            </w:pPr>
          </w:p>
        </w:tc>
        <w:tc>
          <w:tcPr>
            <w:tcW w:w="578" w:type="pct"/>
            <w:vAlign w:val="center"/>
          </w:tcPr>
          <w:p w14:paraId="01BBCE80">
            <w:pPr>
              <w:spacing w:line="360" w:lineRule="auto"/>
              <w:rPr>
                <w:rFonts w:ascii="宋体" w:hAnsi="宋体" w:cs="宋体"/>
                <w:b/>
                <w:color w:val="auto"/>
                <w:sz w:val="24"/>
                <w:highlight w:val="none"/>
              </w:rPr>
            </w:pPr>
          </w:p>
        </w:tc>
        <w:tc>
          <w:tcPr>
            <w:tcW w:w="441" w:type="pct"/>
            <w:vAlign w:val="center"/>
          </w:tcPr>
          <w:p w14:paraId="592FEB03">
            <w:pPr>
              <w:spacing w:line="360" w:lineRule="auto"/>
              <w:rPr>
                <w:rFonts w:ascii="宋体" w:hAnsi="宋体" w:cs="宋体"/>
                <w:b/>
                <w:color w:val="auto"/>
                <w:sz w:val="24"/>
                <w:highlight w:val="none"/>
              </w:rPr>
            </w:pPr>
          </w:p>
        </w:tc>
        <w:tc>
          <w:tcPr>
            <w:tcW w:w="424" w:type="pct"/>
            <w:vAlign w:val="center"/>
          </w:tcPr>
          <w:p w14:paraId="09987692">
            <w:pPr>
              <w:spacing w:line="360" w:lineRule="auto"/>
              <w:rPr>
                <w:rFonts w:ascii="宋体" w:hAnsi="宋体" w:cs="宋体"/>
                <w:b/>
                <w:color w:val="auto"/>
                <w:sz w:val="24"/>
                <w:highlight w:val="none"/>
              </w:rPr>
            </w:pPr>
          </w:p>
        </w:tc>
      </w:tr>
      <w:tr w14:paraId="1EAE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239BECA8">
            <w:pPr>
              <w:spacing w:line="360" w:lineRule="auto"/>
              <w:rPr>
                <w:rFonts w:ascii="宋体" w:hAnsi="宋体" w:cs="宋体"/>
                <w:b/>
                <w:color w:val="auto"/>
                <w:sz w:val="24"/>
                <w:highlight w:val="none"/>
              </w:rPr>
            </w:pPr>
          </w:p>
        </w:tc>
        <w:tc>
          <w:tcPr>
            <w:tcW w:w="525" w:type="pct"/>
            <w:vAlign w:val="center"/>
          </w:tcPr>
          <w:p w14:paraId="3766FD4B">
            <w:pPr>
              <w:spacing w:line="360" w:lineRule="auto"/>
              <w:rPr>
                <w:rFonts w:ascii="宋体" w:hAnsi="宋体" w:cs="宋体"/>
                <w:b/>
                <w:color w:val="auto"/>
                <w:sz w:val="24"/>
                <w:highlight w:val="none"/>
              </w:rPr>
            </w:pPr>
          </w:p>
        </w:tc>
        <w:tc>
          <w:tcPr>
            <w:tcW w:w="459" w:type="pct"/>
            <w:vAlign w:val="center"/>
          </w:tcPr>
          <w:p w14:paraId="196DF260">
            <w:pPr>
              <w:spacing w:line="360" w:lineRule="auto"/>
              <w:rPr>
                <w:rFonts w:ascii="宋体" w:hAnsi="宋体" w:cs="宋体"/>
                <w:b/>
                <w:color w:val="auto"/>
                <w:sz w:val="24"/>
                <w:highlight w:val="none"/>
              </w:rPr>
            </w:pPr>
          </w:p>
        </w:tc>
        <w:tc>
          <w:tcPr>
            <w:tcW w:w="273" w:type="pct"/>
            <w:vAlign w:val="center"/>
          </w:tcPr>
          <w:p w14:paraId="6E005676">
            <w:pPr>
              <w:spacing w:line="360" w:lineRule="auto"/>
              <w:rPr>
                <w:rFonts w:ascii="宋体" w:hAnsi="宋体" w:cs="宋体"/>
                <w:b/>
                <w:color w:val="auto"/>
                <w:sz w:val="24"/>
                <w:highlight w:val="none"/>
              </w:rPr>
            </w:pPr>
          </w:p>
        </w:tc>
        <w:tc>
          <w:tcPr>
            <w:tcW w:w="461" w:type="pct"/>
            <w:vAlign w:val="center"/>
          </w:tcPr>
          <w:p w14:paraId="2B38DE43">
            <w:pPr>
              <w:spacing w:line="360" w:lineRule="auto"/>
              <w:rPr>
                <w:rFonts w:ascii="宋体" w:hAnsi="宋体" w:cs="宋体"/>
                <w:b/>
                <w:color w:val="auto"/>
                <w:sz w:val="24"/>
                <w:highlight w:val="none"/>
              </w:rPr>
            </w:pPr>
          </w:p>
        </w:tc>
        <w:tc>
          <w:tcPr>
            <w:tcW w:w="367" w:type="pct"/>
            <w:vAlign w:val="center"/>
          </w:tcPr>
          <w:p w14:paraId="5C5A423B">
            <w:pPr>
              <w:spacing w:line="360" w:lineRule="auto"/>
              <w:rPr>
                <w:rFonts w:ascii="宋体" w:hAnsi="宋体" w:cs="宋体"/>
                <w:b/>
                <w:color w:val="auto"/>
                <w:sz w:val="24"/>
                <w:highlight w:val="none"/>
              </w:rPr>
            </w:pPr>
          </w:p>
        </w:tc>
        <w:tc>
          <w:tcPr>
            <w:tcW w:w="558" w:type="pct"/>
            <w:vAlign w:val="center"/>
          </w:tcPr>
          <w:p w14:paraId="2035A693">
            <w:pPr>
              <w:spacing w:line="360" w:lineRule="auto"/>
              <w:rPr>
                <w:rFonts w:ascii="宋体" w:hAnsi="宋体" w:cs="宋体"/>
                <w:b/>
                <w:color w:val="auto"/>
                <w:sz w:val="24"/>
                <w:highlight w:val="none"/>
              </w:rPr>
            </w:pPr>
          </w:p>
        </w:tc>
        <w:tc>
          <w:tcPr>
            <w:tcW w:w="657" w:type="pct"/>
            <w:vAlign w:val="center"/>
          </w:tcPr>
          <w:p w14:paraId="12058FAB">
            <w:pPr>
              <w:spacing w:line="360" w:lineRule="auto"/>
              <w:rPr>
                <w:rFonts w:ascii="宋体" w:hAnsi="宋体" w:cs="宋体"/>
                <w:b/>
                <w:color w:val="auto"/>
                <w:sz w:val="24"/>
                <w:highlight w:val="none"/>
              </w:rPr>
            </w:pPr>
          </w:p>
        </w:tc>
        <w:tc>
          <w:tcPr>
            <w:tcW w:w="578" w:type="pct"/>
            <w:vAlign w:val="center"/>
          </w:tcPr>
          <w:p w14:paraId="58D2A10A">
            <w:pPr>
              <w:spacing w:line="360" w:lineRule="auto"/>
              <w:rPr>
                <w:rFonts w:ascii="宋体" w:hAnsi="宋体" w:cs="宋体"/>
                <w:b/>
                <w:color w:val="auto"/>
                <w:sz w:val="24"/>
                <w:highlight w:val="none"/>
              </w:rPr>
            </w:pPr>
          </w:p>
        </w:tc>
        <w:tc>
          <w:tcPr>
            <w:tcW w:w="441" w:type="pct"/>
            <w:vAlign w:val="center"/>
          </w:tcPr>
          <w:p w14:paraId="366835B6">
            <w:pPr>
              <w:spacing w:line="360" w:lineRule="auto"/>
              <w:rPr>
                <w:rFonts w:ascii="宋体" w:hAnsi="宋体" w:cs="宋体"/>
                <w:b/>
                <w:color w:val="auto"/>
                <w:sz w:val="24"/>
                <w:highlight w:val="none"/>
              </w:rPr>
            </w:pPr>
          </w:p>
        </w:tc>
        <w:tc>
          <w:tcPr>
            <w:tcW w:w="424" w:type="pct"/>
            <w:vAlign w:val="center"/>
          </w:tcPr>
          <w:p w14:paraId="2BEC679F">
            <w:pPr>
              <w:spacing w:line="360" w:lineRule="auto"/>
              <w:rPr>
                <w:rFonts w:ascii="宋体" w:hAnsi="宋体" w:cs="宋体"/>
                <w:b/>
                <w:color w:val="auto"/>
                <w:sz w:val="24"/>
                <w:highlight w:val="none"/>
              </w:rPr>
            </w:pPr>
          </w:p>
        </w:tc>
      </w:tr>
      <w:tr w14:paraId="0B8B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6AFCF038">
            <w:pPr>
              <w:spacing w:line="360" w:lineRule="auto"/>
              <w:rPr>
                <w:rFonts w:ascii="宋体" w:hAnsi="宋体" w:cs="宋体"/>
                <w:b/>
                <w:color w:val="auto"/>
                <w:sz w:val="24"/>
                <w:highlight w:val="none"/>
              </w:rPr>
            </w:pPr>
          </w:p>
        </w:tc>
        <w:tc>
          <w:tcPr>
            <w:tcW w:w="525" w:type="pct"/>
            <w:vAlign w:val="center"/>
          </w:tcPr>
          <w:p w14:paraId="0F08DA3F">
            <w:pPr>
              <w:spacing w:line="360" w:lineRule="auto"/>
              <w:rPr>
                <w:rFonts w:ascii="宋体" w:hAnsi="宋体" w:cs="宋体"/>
                <w:b/>
                <w:color w:val="auto"/>
                <w:sz w:val="24"/>
                <w:highlight w:val="none"/>
              </w:rPr>
            </w:pPr>
          </w:p>
        </w:tc>
        <w:tc>
          <w:tcPr>
            <w:tcW w:w="459" w:type="pct"/>
            <w:vAlign w:val="center"/>
          </w:tcPr>
          <w:p w14:paraId="34B2E4D4">
            <w:pPr>
              <w:spacing w:line="360" w:lineRule="auto"/>
              <w:rPr>
                <w:rFonts w:ascii="宋体" w:hAnsi="宋体" w:cs="宋体"/>
                <w:b/>
                <w:color w:val="auto"/>
                <w:sz w:val="24"/>
                <w:highlight w:val="none"/>
              </w:rPr>
            </w:pPr>
          </w:p>
        </w:tc>
        <w:tc>
          <w:tcPr>
            <w:tcW w:w="273" w:type="pct"/>
            <w:vAlign w:val="center"/>
          </w:tcPr>
          <w:p w14:paraId="2ABD6204">
            <w:pPr>
              <w:spacing w:line="360" w:lineRule="auto"/>
              <w:rPr>
                <w:rFonts w:ascii="宋体" w:hAnsi="宋体" w:cs="宋体"/>
                <w:b/>
                <w:color w:val="auto"/>
                <w:sz w:val="24"/>
                <w:highlight w:val="none"/>
              </w:rPr>
            </w:pPr>
          </w:p>
        </w:tc>
        <w:tc>
          <w:tcPr>
            <w:tcW w:w="461" w:type="pct"/>
            <w:vAlign w:val="center"/>
          </w:tcPr>
          <w:p w14:paraId="0EE2BD27">
            <w:pPr>
              <w:spacing w:line="360" w:lineRule="auto"/>
              <w:rPr>
                <w:rFonts w:ascii="宋体" w:hAnsi="宋体" w:cs="宋体"/>
                <w:b/>
                <w:color w:val="auto"/>
                <w:sz w:val="24"/>
                <w:highlight w:val="none"/>
              </w:rPr>
            </w:pPr>
          </w:p>
        </w:tc>
        <w:tc>
          <w:tcPr>
            <w:tcW w:w="367" w:type="pct"/>
            <w:vAlign w:val="center"/>
          </w:tcPr>
          <w:p w14:paraId="41F65DE4">
            <w:pPr>
              <w:spacing w:line="360" w:lineRule="auto"/>
              <w:rPr>
                <w:rFonts w:ascii="宋体" w:hAnsi="宋体" w:cs="宋体"/>
                <w:b/>
                <w:color w:val="auto"/>
                <w:sz w:val="24"/>
                <w:highlight w:val="none"/>
              </w:rPr>
            </w:pPr>
          </w:p>
        </w:tc>
        <w:tc>
          <w:tcPr>
            <w:tcW w:w="558" w:type="pct"/>
            <w:vAlign w:val="center"/>
          </w:tcPr>
          <w:p w14:paraId="5318567D">
            <w:pPr>
              <w:spacing w:line="360" w:lineRule="auto"/>
              <w:rPr>
                <w:rFonts w:ascii="宋体" w:hAnsi="宋体" w:cs="宋体"/>
                <w:b/>
                <w:color w:val="auto"/>
                <w:sz w:val="24"/>
                <w:highlight w:val="none"/>
              </w:rPr>
            </w:pPr>
          </w:p>
        </w:tc>
        <w:tc>
          <w:tcPr>
            <w:tcW w:w="657" w:type="pct"/>
            <w:vAlign w:val="center"/>
          </w:tcPr>
          <w:p w14:paraId="2DD2549F">
            <w:pPr>
              <w:spacing w:line="360" w:lineRule="auto"/>
              <w:rPr>
                <w:rFonts w:ascii="宋体" w:hAnsi="宋体" w:cs="宋体"/>
                <w:b/>
                <w:color w:val="auto"/>
                <w:sz w:val="24"/>
                <w:highlight w:val="none"/>
              </w:rPr>
            </w:pPr>
          </w:p>
        </w:tc>
        <w:tc>
          <w:tcPr>
            <w:tcW w:w="578" w:type="pct"/>
            <w:vAlign w:val="center"/>
          </w:tcPr>
          <w:p w14:paraId="260FCF47">
            <w:pPr>
              <w:spacing w:line="360" w:lineRule="auto"/>
              <w:rPr>
                <w:rFonts w:ascii="宋体" w:hAnsi="宋体" w:cs="宋体"/>
                <w:b/>
                <w:color w:val="auto"/>
                <w:sz w:val="24"/>
                <w:highlight w:val="none"/>
              </w:rPr>
            </w:pPr>
          </w:p>
        </w:tc>
        <w:tc>
          <w:tcPr>
            <w:tcW w:w="441" w:type="pct"/>
            <w:vAlign w:val="center"/>
          </w:tcPr>
          <w:p w14:paraId="1F5C168C">
            <w:pPr>
              <w:spacing w:line="360" w:lineRule="auto"/>
              <w:rPr>
                <w:rFonts w:ascii="宋体" w:hAnsi="宋体" w:cs="宋体"/>
                <w:b/>
                <w:color w:val="auto"/>
                <w:sz w:val="24"/>
                <w:highlight w:val="none"/>
              </w:rPr>
            </w:pPr>
          </w:p>
        </w:tc>
        <w:tc>
          <w:tcPr>
            <w:tcW w:w="424" w:type="pct"/>
            <w:vAlign w:val="center"/>
          </w:tcPr>
          <w:p w14:paraId="4CA31FBF">
            <w:pPr>
              <w:spacing w:line="360" w:lineRule="auto"/>
              <w:rPr>
                <w:rFonts w:ascii="宋体" w:hAnsi="宋体" w:cs="宋体"/>
                <w:b/>
                <w:color w:val="auto"/>
                <w:sz w:val="24"/>
                <w:highlight w:val="none"/>
              </w:rPr>
            </w:pPr>
          </w:p>
        </w:tc>
      </w:tr>
      <w:tr w14:paraId="3CEA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106366AE">
            <w:pPr>
              <w:spacing w:line="360" w:lineRule="auto"/>
              <w:rPr>
                <w:rFonts w:ascii="宋体" w:hAnsi="宋体" w:cs="宋体"/>
                <w:b/>
                <w:color w:val="auto"/>
                <w:sz w:val="24"/>
                <w:highlight w:val="none"/>
              </w:rPr>
            </w:pPr>
          </w:p>
        </w:tc>
        <w:tc>
          <w:tcPr>
            <w:tcW w:w="525" w:type="pct"/>
            <w:vAlign w:val="center"/>
          </w:tcPr>
          <w:p w14:paraId="7C8F302E">
            <w:pPr>
              <w:spacing w:line="360" w:lineRule="auto"/>
              <w:rPr>
                <w:rFonts w:ascii="宋体" w:hAnsi="宋体" w:cs="宋体"/>
                <w:b/>
                <w:color w:val="auto"/>
                <w:sz w:val="24"/>
                <w:highlight w:val="none"/>
              </w:rPr>
            </w:pPr>
          </w:p>
        </w:tc>
        <w:tc>
          <w:tcPr>
            <w:tcW w:w="459" w:type="pct"/>
            <w:vAlign w:val="center"/>
          </w:tcPr>
          <w:p w14:paraId="498B6EF0">
            <w:pPr>
              <w:spacing w:line="360" w:lineRule="auto"/>
              <w:rPr>
                <w:rFonts w:ascii="宋体" w:hAnsi="宋体" w:cs="宋体"/>
                <w:b/>
                <w:color w:val="auto"/>
                <w:sz w:val="24"/>
                <w:highlight w:val="none"/>
              </w:rPr>
            </w:pPr>
          </w:p>
        </w:tc>
        <w:tc>
          <w:tcPr>
            <w:tcW w:w="273" w:type="pct"/>
            <w:vAlign w:val="center"/>
          </w:tcPr>
          <w:p w14:paraId="0DB1B2ED">
            <w:pPr>
              <w:spacing w:line="360" w:lineRule="auto"/>
              <w:rPr>
                <w:rFonts w:ascii="宋体" w:hAnsi="宋体" w:cs="宋体"/>
                <w:b/>
                <w:color w:val="auto"/>
                <w:sz w:val="24"/>
                <w:highlight w:val="none"/>
              </w:rPr>
            </w:pPr>
          </w:p>
        </w:tc>
        <w:tc>
          <w:tcPr>
            <w:tcW w:w="461" w:type="pct"/>
            <w:vAlign w:val="center"/>
          </w:tcPr>
          <w:p w14:paraId="03E16599">
            <w:pPr>
              <w:spacing w:line="360" w:lineRule="auto"/>
              <w:rPr>
                <w:rFonts w:ascii="宋体" w:hAnsi="宋体" w:cs="宋体"/>
                <w:b/>
                <w:color w:val="auto"/>
                <w:sz w:val="24"/>
                <w:highlight w:val="none"/>
              </w:rPr>
            </w:pPr>
          </w:p>
        </w:tc>
        <w:tc>
          <w:tcPr>
            <w:tcW w:w="367" w:type="pct"/>
            <w:vAlign w:val="center"/>
          </w:tcPr>
          <w:p w14:paraId="0EC9BE04">
            <w:pPr>
              <w:spacing w:line="360" w:lineRule="auto"/>
              <w:rPr>
                <w:rFonts w:ascii="宋体" w:hAnsi="宋体" w:cs="宋体"/>
                <w:b/>
                <w:color w:val="auto"/>
                <w:sz w:val="24"/>
                <w:highlight w:val="none"/>
              </w:rPr>
            </w:pPr>
          </w:p>
        </w:tc>
        <w:tc>
          <w:tcPr>
            <w:tcW w:w="558" w:type="pct"/>
            <w:vAlign w:val="center"/>
          </w:tcPr>
          <w:p w14:paraId="3B3EDDC6">
            <w:pPr>
              <w:spacing w:line="360" w:lineRule="auto"/>
              <w:rPr>
                <w:rFonts w:ascii="宋体" w:hAnsi="宋体" w:cs="宋体"/>
                <w:b/>
                <w:color w:val="auto"/>
                <w:sz w:val="24"/>
                <w:highlight w:val="none"/>
              </w:rPr>
            </w:pPr>
          </w:p>
        </w:tc>
        <w:tc>
          <w:tcPr>
            <w:tcW w:w="657" w:type="pct"/>
            <w:vAlign w:val="center"/>
          </w:tcPr>
          <w:p w14:paraId="13BF4415">
            <w:pPr>
              <w:spacing w:line="360" w:lineRule="auto"/>
              <w:rPr>
                <w:rFonts w:ascii="宋体" w:hAnsi="宋体" w:cs="宋体"/>
                <w:b/>
                <w:color w:val="auto"/>
                <w:sz w:val="24"/>
                <w:highlight w:val="none"/>
              </w:rPr>
            </w:pPr>
          </w:p>
        </w:tc>
        <w:tc>
          <w:tcPr>
            <w:tcW w:w="578" w:type="pct"/>
            <w:vAlign w:val="center"/>
          </w:tcPr>
          <w:p w14:paraId="340174BE">
            <w:pPr>
              <w:spacing w:line="360" w:lineRule="auto"/>
              <w:rPr>
                <w:rFonts w:ascii="宋体" w:hAnsi="宋体" w:cs="宋体"/>
                <w:b/>
                <w:color w:val="auto"/>
                <w:sz w:val="24"/>
                <w:highlight w:val="none"/>
              </w:rPr>
            </w:pPr>
          </w:p>
        </w:tc>
        <w:tc>
          <w:tcPr>
            <w:tcW w:w="441" w:type="pct"/>
            <w:vAlign w:val="center"/>
          </w:tcPr>
          <w:p w14:paraId="0984940E">
            <w:pPr>
              <w:spacing w:line="360" w:lineRule="auto"/>
              <w:rPr>
                <w:rFonts w:ascii="宋体" w:hAnsi="宋体" w:cs="宋体"/>
                <w:b/>
                <w:color w:val="auto"/>
                <w:sz w:val="24"/>
                <w:highlight w:val="none"/>
              </w:rPr>
            </w:pPr>
          </w:p>
        </w:tc>
        <w:tc>
          <w:tcPr>
            <w:tcW w:w="424" w:type="pct"/>
            <w:vAlign w:val="center"/>
          </w:tcPr>
          <w:p w14:paraId="1D137835">
            <w:pPr>
              <w:spacing w:line="360" w:lineRule="auto"/>
              <w:rPr>
                <w:rFonts w:ascii="宋体" w:hAnsi="宋体" w:cs="宋体"/>
                <w:b/>
                <w:color w:val="auto"/>
                <w:sz w:val="24"/>
                <w:highlight w:val="none"/>
              </w:rPr>
            </w:pPr>
          </w:p>
        </w:tc>
      </w:tr>
      <w:tr w14:paraId="670F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41308F53">
            <w:pPr>
              <w:spacing w:line="360" w:lineRule="auto"/>
              <w:rPr>
                <w:rFonts w:ascii="宋体" w:hAnsi="宋体" w:cs="宋体"/>
                <w:b/>
                <w:color w:val="auto"/>
                <w:sz w:val="24"/>
                <w:highlight w:val="none"/>
              </w:rPr>
            </w:pPr>
          </w:p>
        </w:tc>
        <w:tc>
          <w:tcPr>
            <w:tcW w:w="525" w:type="pct"/>
            <w:vAlign w:val="center"/>
          </w:tcPr>
          <w:p w14:paraId="5342E9DB">
            <w:pPr>
              <w:spacing w:line="360" w:lineRule="auto"/>
              <w:rPr>
                <w:rFonts w:ascii="宋体" w:hAnsi="宋体" w:cs="宋体"/>
                <w:b/>
                <w:color w:val="auto"/>
                <w:sz w:val="24"/>
                <w:highlight w:val="none"/>
              </w:rPr>
            </w:pPr>
          </w:p>
        </w:tc>
        <w:tc>
          <w:tcPr>
            <w:tcW w:w="459" w:type="pct"/>
            <w:vAlign w:val="center"/>
          </w:tcPr>
          <w:p w14:paraId="52520F26">
            <w:pPr>
              <w:spacing w:line="360" w:lineRule="auto"/>
              <w:rPr>
                <w:rFonts w:ascii="宋体" w:hAnsi="宋体" w:cs="宋体"/>
                <w:b/>
                <w:color w:val="auto"/>
                <w:sz w:val="24"/>
                <w:highlight w:val="none"/>
              </w:rPr>
            </w:pPr>
          </w:p>
        </w:tc>
        <w:tc>
          <w:tcPr>
            <w:tcW w:w="273" w:type="pct"/>
            <w:vAlign w:val="center"/>
          </w:tcPr>
          <w:p w14:paraId="42CB9308">
            <w:pPr>
              <w:spacing w:line="360" w:lineRule="auto"/>
              <w:rPr>
                <w:rFonts w:ascii="宋体" w:hAnsi="宋体" w:cs="宋体"/>
                <w:b/>
                <w:color w:val="auto"/>
                <w:sz w:val="24"/>
                <w:highlight w:val="none"/>
              </w:rPr>
            </w:pPr>
          </w:p>
        </w:tc>
        <w:tc>
          <w:tcPr>
            <w:tcW w:w="461" w:type="pct"/>
            <w:vAlign w:val="center"/>
          </w:tcPr>
          <w:p w14:paraId="79FDD66C">
            <w:pPr>
              <w:spacing w:line="360" w:lineRule="auto"/>
              <w:rPr>
                <w:rFonts w:ascii="宋体" w:hAnsi="宋体" w:cs="宋体"/>
                <w:b/>
                <w:color w:val="auto"/>
                <w:sz w:val="24"/>
                <w:highlight w:val="none"/>
              </w:rPr>
            </w:pPr>
          </w:p>
        </w:tc>
        <w:tc>
          <w:tcPr>
            <w:tcW w:w="367" w:type="pct"/>
            <w:vAlign w:val="center"/>
          </w:tcPr>
          <w:p w14:paraId="62F8283E">
            <w:pPr>
              <w:spacing w:line="360" w:lineRule="auto"/>
              <w:rPr>
                <w:rFonts w:ascii="宋体" w:hAnsi="宋体" w:cs="宋体"/>
                <w:b/>
                <w:color w:val="auto"/>
                <w:sz w:val="24"/>
                <w:highlight w:val="none"/>
              </w:rPr>
            </w:pPr>
          </w:p>
        </w:tc>
        <w:tc>
          <w:tcPr>
            <w:tcW w:w="558" w:type="pct"/>
            <w:vAlign w:val="center"/>
          </w:tcPr>
          <w:p w14:paraId="66E46B06">
            <w:pPr>
              <w:spacing w:line="360" w:lineRule="auto"/>
              <w:rPr>
                <w:rFonts w:ascii="宋体" w:hAnsi="宋体" w:cs="宋体"/>
                <w:b/>
                <w:color w:val="auto"/>
                <w:sz w:val="24"/>
                <w:highlight w:val="none"/>
              </w:rPr>
            </w:pPr>
          </w:p>
        </w:tc>
        <w:tc>
          <w:tcPr>
            <w:tcW w:w="657" w:type="pct"/>
            <w:vAlign w:val="center"/>
          </w:tcPr>
          <w:p w14:paraId="33AD0823">
            <w:pPr>
              <w:spacing w:line="360" w:lineRule="auto"/>
              <w:rPr>
                <w:rFonts w:ascii="宋体" w:hAnsi="宋体" w:cs="宋体"/>
                <w:b/>
                <w:color w:val="auto"/>
                <w:sz w:val="24"/>
                <w:highlight w:val="none"/>
              </w:rPr>
            </w:pPr>
          </w:p>
        </w:tc>
        <w:tc>
          <w:tcPr>
            <w:tcW w:w="578" w:type="pct"/>
            <w:vAlign w:val="center"/>
          </w:tcPr>
          <w:p w14:paraId="4F5AF7D1">
            <w:pPr>
              <w:spacing w:line="360" w:lineRule="auto"/>
              <w:rPr>
                <w:rFonts w:ascii="宋体" w:hAnsi="宋体" w:cs="宋体"/>
                <w:b/>
                <w:color w:val="auto"/>
                <w:sz w:val="24"/>
                <w:highlight w:val="none"/>
              </w:rPr>
            </w:pPr>
          </w:p>
        </w:tc>
        <w:tc>
          <w:tcPr>
            <w:tcW w:w="441" w:type="pct"/>
            <w:vAlign w:val="center"/>
          </w:tcPr>
          <w:p w14:paraId="434333F3">
            <w:pPr>
              <w:spacing w:line="360" w:lineRule="auto"/>
              <w:rPr>
                <w:rFonts w:ascii="宋体" w:hAnsi="宋体" w:cs="宋体"/>
                <w:b/>
                <w:color w:val="auto"/>
                <w:sz w:val="24"/>
                <w:highlight w:val="none"/>
              </w:rPr>
            </w:pPr>
          </w:p>
        </w:tc>
        <w:tc>
          <w:tcPr>
            <w:tcW w:w="424" w:type="pct"/>
            <w:vAlign w:val="center"/>
          </w:tcPr>
          <w:p w14:paraId="7515FA06">
            <w:pPr>
              <w:spacing w:line="360" w:lineRule="auto"/>
              <w:rPr>
                <w:rFonts w:ascii="宋体" w:hAnsi="宋体" w:cs="宋体"/>
                <w:b/>
                <w:color w:val="auto"/>
                <w:sz w:val="24"/>
                <w:highlight w:val="none"/>
              </w:rPr>
            </w:pPr>
          </w:p>
        </w:tc>
      </w:tr>
      <w:tr w14:paraId="1712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vAlign w:val="center"/>
          </w:tcPr>
          <w:p w14:paraId="0155728B">
            <w:pPr>
              <w:spacing w:line="360" w:lineRule="auto"/>
              <w:rPr>
                <w:rFonts w:ascii="宋体" w:hAnsi="宋体" w:cs="宋体"/>
                <w:b/>
                <w:color w:val="auto"/>
                <w:sz w:val="24"/>
                <w:highlight w:val="none"/>
              </w:rPr>
            </w:pPr>
          </w:p>
        </w:tc>
        <w:tc>
          <w:tcPr>
            <w:tcW w:w="525" w:type="pct"/>
            <w:vAlign w:val="center"/>
          </w:tcPr>
          <w:p w14:paraId="67530B6C">
            <w:pPr>
              <w:spacing w:line="360" w:lineRule="auto"/>
              <w:rPr>
                <w:rFonts w:ascii="宋体" w:hAnsi="宋体" w:cs="宋体"/>
                <w:b/>
                <w:color w:val="auto"/>
                <w:sz w:val="24"/>
                <w:highlight w:val="none"/>
              </w:rPr>
            </w:pPr>
          </w:p>
        </w:tc>
        <w:tc>
          <w:tcPr>
            <w:tcW w:w="459" w:type="pct"/>
            <w:vAlign w:val="center"/>
          </w:tcPr>
          <w:p w14:paraId="388B5E08">
            <w:pPr>
              <w:spacing w:line="360" w:lineRule="auto"/>
              <w:rPr>
                <w:rFonts w:ascii="宋体" w:hAnsi="宋体" w:cs="宋体"/>
                <w:b/>
                <w:color w:val="auto"/>
                <w:sz w:val="24"/>
                <w:highlight w:val="none"/>
              </w:rPr>
            </w:pPr>
          </w:p>
        </w:tc>
        <w:tc>
          <w:tcPr>
            <w:tcW w:w="273" w:type="pct"/>
            <w:vAlign w:val="center"/>
          </w:tcPr>
          <w:p w14:paraId="5FA39BA5">
            <w:pPr>
              <w:spacing w:line="360" w:lineRule="auto"/>
              <w:rPr>
                <w:rFonts w:ascii="宋体" w:hAnsi="宋体" w:cs="宋体"/>
                <w:b/>
                <w:color w:val="auto"/>
                <w:sz w:val="24"/>
                <w:highlight w:val="none"/>
              </w:rPr>
            </w:pPr>
          </w:p>
        </w:tc>
        <w:tc>
          <w:tcPr>
            <w:tcW w:w="461" w:type="pct"/>
            <w:vAlign w:val="center"/>
          </w:tcPr>
          <w:p w14:paraId="58B393DC">
            <w:pPr>
              <w:spacing w:line="360" w:lineRule="auto"/>
              <w:rPr>
                <w:rFonts w:ascii="宋体" w:hAnsi="宋体" w:cs="宋体"/>
                <w:b/>
                <w:color w:val="auto"/>
                <w:sz w:val="24"/>
                <w:highlight w:val="none"/>
              </w:rPr>
            </w:pPr>
          </w:p>
        </w:tc>
        <w:tc>
          <w:tcPr>
            <w:tcW w:w="367" w:type="pct"/>
            <w:vAlign w:val="center"/>
          </w:tcPr>
          <w:p w14:paraId="68A11AC3">
            <w:pPr>
              <w:spacing w:line="360" w:lineRule="auto"/>
              <w:rPr>
                <w:rFonts w:ascii="宋体" w:hAnsi="宋体" w:cs="宋体"/>
                <w:b/>
                <w:color w:val="auto"/>
                <w:sz w:val="24"/>
                <w:highlight w:val="none"/>
              </w:rPr>
            </w:pPr>
          </w:p>
        </w:tc>
        <w:tc>
          <w:tcPr>
            <w:tcW w:w="558" w:type="pct"/>
            <w:vAlign w:val="center"/>
          </w:tcPr>
          <w:p w14:paraId="26B5E636">
            <w:pPr>
              <w:spacing w:line="360" w:lineRule="auto"/>
              <w:rPr>
                <w:rFonts w:ascii="宋体" w:hAnsi="宋体" w:cs="宋体"/>
                <w:b/>
                <w:color w:val="auto"/>
                <w:sz w:val="24"/>
                <w:highlight w:val="none"/>
              </w:rPr>
            </w:pPr>
          </w:p>
        </w:tc>
        <w:tc>
          <w:tcPr>
            <w:tcW w:w="657" w:type="pct"/>
            <w:vAlign w:val="center"/>
          </w:tcPr>
          <w:p w14:paraId="36E31BD4">
            <w:pPr>
              <w:spacing w:line="360" w:lineRule="auto"/>
              <w:rPr>
                <w:rFonts w:ascii="宋体" w:hAnsi="宋体" w:cs="宋体"/>
                <w:b/>
                <w:color w:val="auto"/>
                <w:sz w:val="24"/>
                <w:highlight w:val="none"/>
              </w:rPr>
            </w:pPr>
          </w:p>
        </w:tc>
        <w:tc>
          <w:tcPr>
            <w:tcW w:w="578" w:type="pct"/>
            <w:vAlign w:val="center"/>
          </w:tcPr>
          <w:p w14:paraId="24876C61">
            <w:pPr>
              <w:spacing w:line="360" w:lineRule="auto"/>
              <w:rPr>
                <w:rFonts w:ascii="宋体" w:hAnsi="宋体" w:cs="宋体"/>
                <w:b/>
                <w:color w:val="auto"/>
                <w:sz w:val="24"/>
                <w:highlight w:val="none"/>
              </w:rPr>
            </w:pPr>
          </w:p>
        </w:tc>
        <w:tc>
          <w:tcPr>
            <w:tcW w:w="441" w:type="pct"/>
            <w:vAlign w:val="center"/>
          </w:tcPr>
          <w:p w14:paraId="708A8FA1">
            <w:pPr>
              <w:spacing w:line="360" w:lineRule="auto"/>
              <w:rPr>
                <w:rFonts w:ascii="宋体" w:hAnsi="宋体" w:cs="宋体"/>
                <w:b/>
                <w:color w:val="auto"/>
                <w:sz w:val="24"/>
                <w:highlight w:val="none"/>
              </w:rPr>
            </w:pPr>
          </w:p>
        </w:tc>
        <w:tc>
          <w:tcPr>
            <w:tcW w:w="424" w:type="pct"/>
            <w:vAlign w:val="center"/>
          </w:tcPr>
          <w:p w14:paraId="7E610CC3">
            <w:pPr>
              <w:spacing w:line="360" w:lineRule="auto"/>
              <w:rPr>
                <w:rFonts w:ascii="宋体" w:hAnsi="宋体" w:cs="宋体"/>
                <w:b/>
                <w:color w:val="auto"/>
                <w:sz w:val="24"/>
                <w:highlight w:val="none"/>
              </w:rPr>
            </w:pPr>
          </w:p>
        </w:tc>
      </w:tr>
    </w:tbl>
    <w:p w14:paraId="59A447D7">
      <w:pPr>
        <w:keepNext/>
        <w:keepLines/>
        <w:adjustRightInd w:val="0"/>
        <w:snapToGrid w:val="0"/>
        <w:spacing w:line="360" w:lineRule="auto"/>
        <w:rPr>
          <w:rFonts w:ascii="宋体" w:hAnsi="宋体" w:cs="宋体"/>
          <w:b/>
          <w:bCs/>
          <w:color w:val="auto"/>
          <w:szCs w:val="21"/>
          <w:highlight w:val="none"/>
        </w:rPr>
      </w:pPr>
    </w:p>
    <w:p w14:paraId="47949940">
      <w:pPr>
        <w:widowControl/>
        <w:jc w:val="left"/>
        <w:rPr>
          <w:rFonts w:ascii="宋体" w:hAnsi="宋体" w:cs="宋体"/>
          <w:color w:val="auto"/>
          <w:sz w:val="24"/>
          <w:highlight w:val="none"/>
        </w:rPr>
      </w:pPr>
      <w:r>
        <w:rPr>
          <w:rFonts w:ascii="宋体" w:hAnsi="宋体" w:cs="宋体"/>
          <w:color w:val="auto"/>
          <w:sz w:val="24"/>
          <w:highlight w:val="none"/>
        </w:rPr>
        <w:br w:type="page"/>
      </w:r>
    </w:p>
    <w:p w14:paraId="3A99A722">
      <w:pPr>
        <w:snapToGrid w:val="0"/>
        <w:spacing w:line="360" w:lineRule="auto"/>
        <w:outlineLvl w:val="2"/>
        <w:rPr>
          <w:rFonts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w:t>
      </w:r>
    </w:p>
    <w:p w14:paraId="18CC3D89">
      <w:pPr>
        <w:snapToGrid w:val="0"/>
        <w:spacing w:line="360" w:lineRule="auto"/>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拟投入本标段主要人员经历表</w:t>
      </w:r>
    </w:p>
    <w:tbl>
      <w:tblPr>
        <w:tblStyle w:val="19"/>
        <w:tblW w:w="5000" w:type="pct"/>
        <w:jc w:val="center"/>
        <w:tblLayout w:type="autofit"/>
        <w:tblCellMar>
          <w:top w:w="0" w:type="dxa"/>
          <w:left w:w="0" w:type="dxa"/>
          <w:bottom w:w="0" w:type="dxa"/>
          <w:right w:w="0" w:type="dxa"/>
        </w:tblCellMar>
      </w:tblPr>
      <w:tblGrid>
        <w:gridCol w:w="450"/>
        <w:gridCol w:w="1021"/>
        <w:gridCol w:w="584"/>
        <w:gridCol w:w="1021"/>
        <w:gridCol w:w="1021"/>
        <w:gridCol w:w="1023"/>
        <w:gridCol w:w="2042"/>
        <w:gridCol w:w="1907"/>
      </w:tblGrid>
      <w:tr w14:paraId="7CF24847">
        <w:tblPrEx>
          <w:tblCellMar>
            <w:top w:w="0" w:type="dxa"/>
            <w:left w:w="0" w:type="dxa"/>
            <w:bottom w:w="0" w:type="dxa"/>
            <w:right w:w="0" w:type="dxa"/>
          </w:tblCellMar>
        </w:tblPrEx>
        <w:trPr>
          <w:trHeight w:val="52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6978C0">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959203">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担任职务</w:t>
            </w: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6C8B1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B6AB2F">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开工时间</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99C8D0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竣工时间</w:t>
            </w: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5D4458E">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项目职务</w:t>
            </w: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E4CF558">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67B662">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项目简介</w:t>
            </w:r>
          </w:p>
        </w:tc>
      </w:tr>
      <w:tr w14:paraId="06E23220">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963F7A">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196372">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DCC8B9">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8FEB65">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533B11A">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7FE711B">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7660B0">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C90174">
            <w:pPr>
              <w:widowControl/>
              <w:jc w:val="left"/>
              <w:textAlignment w:val="bottom"/>
              <w:rPr>
                <w:rFonts w:ascii="宋体" w:hAnsi="宋体" w:cs="宋体"/>
                <w:color w:val="auto"/>
                <w:kern w:val="0"/>
                <w:szCs w:val="21"/>
                <w:highlight w:val="none"/>
              </w:rPr>
            </w:pPr>
          </w:p>
        </w:tc>
      </w:tr>
      <w:tr w14:paraId="385B937C">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38CDB2B">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BDEC20">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7FBD707">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EE8C896">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A8AF29">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9CDB03">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C528F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0C0106">
            <w:pPr>
              <w:widowControl/>
              <w:jc w:val="left"/>
              <w:textAlignment w:val="bottom"/>
              <w:rPr>
                <w:rFonts w:ascii="宋体" w:hAnsi="宋体" w:cs="宋体"/>
                <w:color w:val="auto"/>
                <w:kern w:val="0"/>
                <w:szCs w:val="21"/>
                <w:highlight w:val="none"/>
              </w:rPr>
            </w:pPr>
          </w:p>
        </w:tc>
      </w:tr>
      <w:tr w14:paraId="1F05EB5D">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82A84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42F8CA1">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A1D653">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38AB3F">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9B1360">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2A4AA4">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F2C3CA9">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7D365C">
            <w:pPr>
              <w:widowControl/>
              <w:jc w:val="left"/>
              <w:textAlignment w:val="bottom"/>
              <w:rPr>
                <w:rFonts w:ascii="宋体" w:hAnsi="宋体" w:cs="宋体"/>
                <w:color w:val="auto"/>
                <w:kern w:val="0"/>
                <w:szCs w:val="21"/>
                <w:highlight w:val="none"/>
              </w:rPr>
            </w:pPr>
          </w:p>
        </w:tc>
      </w:tr>
      <w:tr w14:paraId="138B14F8">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2448A9D">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45FBC6">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12C1EC">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5B785D">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B27FC5">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8D72CD">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8E1F6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1807590">
            <w:pPr>
              <w:widowControl/>
              <w:jc w:val="left"/>
              <w:textAlignment w:val="bottom"/>
              <w:rPr>
                <w:rFonts w:ascii="宋体" w:hAnsi="宋体" w:cs="宋体"/>
                <w:color w:val="auto"/>
                <w:kern w:val="0"/>
                <w:szCs w:val="21"/>
                <w:highlight w:val="none"/>
              </w:rPr>
            </w:pPr>
          </w:p>
        </w:tc>
      </w:tr>
      <w:tr w14:paraId="14D7469F">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01C075">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21852C5">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C38DB2C">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C1136ED">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984518B">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BFE0656">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B5D8B9">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3BD08D">
            <w:pPr>
              <w:widowControl/>
              <w:jc w:val="left"/>
              <w:textAlignment w:val="bottom"/>
              <w:rPr>
                <w:rFonts w:ascii="宋体" w:hAnsi="宋体" w:cs="宋体"/>
                <w:color w:val="auto"/>
                <w:kern w:val="0"/>
                <w:szCs w:val="21"/>
                <w:highlight w:val="none"/>
              </w:rPr>
            </w:pPr>
          </w:p>
        </w:tc>
      </w:tr>
      <w:tr w14:paraId="3C38E481">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7B992D7">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57A889">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AD2683">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E43389">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0733EC">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5BEEEE">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2C3B2AE">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F718E0">
            <w:pPr>
              <w:widowControl/>
              <w:jc w:val="left"/>
              <w:textAlignment w:val="bottom"/>
              <w:rPr>
                <w:rFonts w:ascii="宋体" w:hAnsi="宋体" w:cs="宋体"/>
                <w:color w:val="auto"/>
                <w:kern w:val="0"/>
                <w:szCs w:val="21"/>
                <w:highlight w:val="none"/>
              </w:rPr>
            </w:pPr>
          </w:p>
        </w:tc>
      </w:tr>
      <w:tr w14:paraId="6DCE68D8">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1F35A86">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D74E5F">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0568518">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82B7D0">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3C3988">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3BBC01">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F9286E">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6CBAF5">
            <w:pPr>
              <w:widowControl/>
              <w:jc w:val="left"/>
              <w:textAlignment w:val="bottom"/>
              <w:rPr>
                <w:rFonts w:ascii="宋体" w:hAnsi="宋体" w:cs="宋体"/>
                <w:color w:val="auto"/>
                <w:kern w:val="0"/>
                <w:szCs w:val="21"/>
                <w:highlight w:val="none"/>
              </w:rPr>
            </w:pPr>
          </w:p>
        </w:tc>
      </w:tr>
      <w:tr w14:paraId="2E72F670">
        <w:tblPrEx>
          <w:tblCellMar>
            <w:top w:w="0" w:type="dxa"/>
            <w:left w:w="0" w:type="dxa"/>
            <w:bottom w:w="0" w:type="dxa"/>
            <w:right w:w="0" w:type="dxa"/>
          </w:tblCellMar>
        </w:tblPrEx>
        <w:trPr>
          <w:trHeight w:val="567"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CCEF9C">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B9A48">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0981E7">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CABEB6">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033FE6">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3BE78A">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43B3711">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E635DB">
            <w:pPr>
              <w:widowControl/>
              <w:jc w:val="left"/>
              <w:textAlignment w:val="bottom"/>
              <w:rPr>
                <w:rFonts w:ascii="宋体" w:hAnsi="宋体" w:cs="宋体"/>
                <w:color w:val="auto"/>
                <w:kern w:val="0"/>
                <w:szCs w:val="21"/>
                <w:highlight w:val="none"/>
              </w:rPr>
            </w:pPr>
          </w:p>
        </w:tc>
      </w:tr>
      <w:tr w14:paraId="41725DC7">
        <w:tblPrEx>
          <w:tblCellMar>
            <w:top w:w="0" w:type="dxa"/>
            <w:left w:w="0" w:type="dxa"/>
            <w:bottom w:w="0" w:type="dxa"/>
            <w:right w:w="0" w:type="dxa"/>
          </w:tblCellMar>
        </w:tblPrEx>
        <w:trPr>
          <w:trHeight w:val="250" w:hRule="atLeast"/>
          <w:jc w:val="center"/>
        </w:trPr>
        <w:tc>
          <w:tcPr>
            <w:tcW w:w="2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12761A9">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F89D70D">
            <w:pPr>
              <w:widowControl/>
              <w:jc w:val="left"/>
              <w:textAlignment w:val="bottom"/>
              <w:rPr>
                <w:rFonts w:ascii="宋体" w:hAnsi="宋体" w:cs="宋体"/>
                <w:color w:val="auto"/>
                <w:kern w:val="0"/>
                <w:szCs w:val="21"/>
                <w:highlight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839A982">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EE1B9A">
            <w:pPr>
              <w:widowControl/>
              <w:jc w:val="left"/>
              <w:textAlignment w:val="bottom"/>
              <w:rPr>
                <w:rFonts w:ascii="宋体" w:hAnsi="宋体" w:cs="宋体"/>
                <w:color w:val="auto"/>
                <w:kern w:val="0"/>
                <w:szCs w:val="21"/>
                <w:highlight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5450A3">
            <w:pPr>
              <w:widowControl/>
              <w:jc w:val="left"/>
              <w:textAlignment w:val="bottom"/>
              <w:rPr>
                <w:rFonts w:ascii="宋体" w:hAnsi="宋体" w:cs="宋体"/>
                <w:color w:val="auto"/>
                <w:kern w:val="0"/>
                <w:szCs w:val="21"/>
                <w:highlight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D918F7">
            <w:pPr>
              <w:widowControl/>
              <w:jc w:val="left"/>
              <w:textAlignment w:val="bottom"/>
              <w:rPr>
                <w:rFonts w:ascii="宋体" w:hAnsi="宋体" w:cs="宋体"/>
                <w:color w:val="auto"/>
                <w:kern w:val="0"/>
                <w:szCs w:val="21"/>
                <w:highlight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2F975D">
            <w:pPr>
              <w:widowControl/>
              <w:jc w:val="left"/>
              <w:textAlignment w:val="bottom"/>
              <w:rPr>
                <w:rFonts w:ascii="宋体" w:hAnsi="宋体" w:cs="宋体"/>
                <w:color w:val="auto"/>
                <w:kern w:val="0"/>
                <w:szCs w:val="21"/>
                <w:highlight w:val="none"/>
              </w:rPr>
            </w:pPr>
          </w:p>
        </w:tc>
        <w:tc>
          <w:tcPr>
            <w:tcW w:w="105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8CF1008">
            <w:pPr>
              <w:widowControl/>
              <w:jc w:val="left"/>
              <w:textAlignment w:val="bottom"/>
              <w:rPr>
                <w:rFonts w:ascii="宋体" w:hAnsi="宋体" w:cs="宋体"/>
                <w:color w:val="auto"/>
                <w:kern w:val="0"/>
                <w:szCs w:val="21"/>
                <w:highlight w:val="none"/>
              </w:rPr>
            </w:pPr>
          </w:p>
        </w:tc>
      </w:tr>
    </w:tbl>
    <w:p w14:paraId="4B0C4273">
      <w:pPr>
        <w:keepNext/>
        <w:keepLines/>
        <w:adjustRightInd w:val="0"/>
        <w:snapToGrid w:val="0"/>
        <w:spacing w:line="360" w:lineRule="auto"/>
        <w:rPr>
          <w:rFonts w:ascii="宋体" w:hAnsi="宋体" w:cs="宋体"/>
          <w:b/>
          <w:bCs/>
          <w:color w:val="auto"/>
          <w:szCs w:val="21"/>
          <w:highlight w:val="none"/>
        </w:rPr>
      </w:pPr>
    </w:p>
    <w:p w14:paraId="0F0A952C">
      <w:pPr>
        <w:pStyle w:val="18"/>
        <w:spacing w:line="360" w:lineRule="auto"/>
        <w:rPr>
          <w:color w:val="auto"/>
          <w:highlight w:val="none"/>
        </w:rPr>
      </w:pPr>
    </w:p>
    <w:p w14:paraId="4AF6FB8E">
      <w:pPr>
        <w:widowControl/>
        <w:jc w:val="left"/>
        <w:rPr>
          <w:rFonts w:ascii="宋体" w:hAnsi="宋体" w:cs="宋体"/>
          <w:color w:val="auto"/>
          <w:sz w:val="24"/>
          <w:highlight w:val="none"/>
        </w:rPr>
      </w:pPr>
      <w:r>
        <w:rPr>
          <w:rFonts w:ascii="宋体" w:hAnsi="宋体" w:cs="宋体"/>
          <w:color w:val="auto"/>
          <w:sz w:val="24"/>
          <w:highlight w:val="none"/>
        </w:rPr>
        <w:br w:type="page"/>
      </w:r>
    </w:p>
    <w:p w14:paraId="6C7190D5">
      <w:pPr>
        <w:tabs>
          <w:tab w:val="left" w:pos="3375"/>
        </w:tabs>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附竞争性谈判公告资格要求提供相应的佐证材料（以下材料均须提供扫描件（或复印件）并加盖公章）；</w:t>
      </w:r>
    </w:p>
    <w:p w14:paraId="0C0AF5AF">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1）企业法人营业执照或事业单位法人登记证明或社会组织或其他组织或自然人证明材料； </w:t>
      </w:r>
    </w:p>
    <w:p w14:paraId="2F98807A">
      <w:pPr>
        <w:tabs>
          <w:tab w:val="left" w:pos="3375"/>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供应商自2020年1月1日以来（以合同签订日期为准），具有高速公路差异化收费政策实施情况评估，或高速公路差异化收费交通影响评估，或高速公路差异化收费社会稳定评估项目业绩</w:t>
      </w:r>
      <w:r>
        <w:rPr>
          <w:rFonts w:hint="eastAsia" w:ascii="宋体" w:hAnsi="宋体" w:cs="宋体"/>
          <w:color w:val="auto"/>
          <w:sz w:val="24"/>
          <w:highlight w:val="none"/>
        </w:rPr>
        <w:t>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w:t>
      </w:r>
    </w:p>
    <w:p w14:paraId="655C498E">
      <w:pPr>
        <w:tabs>
          <w:tab w:val="left" w:pos="3375"/>
        </w:tabs>
        <w:autoSpaceDE w:val="0"/>
        <w:autoSpaceDN w:val="0"/>
        <w:adjustRightInd w:val="0"/>
        <w:snapToGrid w:val="0"/>
        <w:spacing w:line="360" w:lineRule="auto"/>
        <w:rPr>
          <w:rFonts w:ascii="宋体" w:hAnsi="宋体" w:cs="宋体"/>
          <w:color w:val="auto"/>
          <w:sz w:val="24"/>
          <w:highlight w:val="none"/>
        </w:rPr>
      </w:pPr>
    </w:p>
    <w:p w14:paraId="7D529D22">
      <w:pPr>
        <w:widowControl/>
        <w:jc w:val="left"/>
        <w:rPr>
          <w:rFonts w:ascii="宋体" w:hAnsi="宋体" w:cs="宋体"/>
          <w:color w:val="auto"/>
          <w:sz w:val="24"/>
          <w:highlight w:val="none"/>
        </w:rPr>
      </w:pPr>
      <w:r>
        <w:rPr>
          <w:rFonts w:ascii="宋体" w:hAnsi="宋体" w:cs="宋体"/>
          <w:color w:val="auto"/>
          <w:sz w:val="24"/>
          <w:highlight w:val="none"/>
        </w:rPr>
        <w:br w:type="page"/>
      </w:r>
    </w:p>
    <w:p w14:paraId="4E0C1987">
      <w:pPr>
        <w:tabs>
          <w:tab w:val="left" w:pos="3375"/>
        </w:tabs>
        <w:spacing w:line="360" w:lineRule="auto"/>
        <w:rPr>
          <w:rFonts w:ascii="宋体" w:hAnsi="宋体" w:cs="宋体"/>
          <w:color w:val="auto"/>
          <w:sz w:val="24"/>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w:t>
      </w:r>
      <w:r>
        <w:rPr>
          <w:rFonts w:ascii="宋体" w:hAnsi="宋体" w:cs="宋体"/>
          <w:color w:val="auto"/>
          <w:sz w:val="28"/>
          <w:szCs w:val="28"/>
          <w:highlight w:val="none"/>
        </w:rPr>
        <w:t xml:space="preserve">           </w:t>
      </w:r>
      <w:r>
        <w:rPr>
          <w:rFonts w:hint="eastAsia" w:ascii="宋体" w:hAnsi="宋体" w:cs="宋体"/>
          <w:color w:val="auto"/>
          <w:sz w:val="24"/>
          <w:highlight w:val="none"/>
        </w:rPr>
        <w:t>其它需要提交的资格审查材料</w:t>
      </w:r>
    </w:p>
    <w:p w14:paraId="71B9A804">
      <w:pPr>
        <w:pStyle w:val="18"/>
        <w:spacing w:line="360" w:lineRule="auto"/>
        <w:rPr>
          <w:color w:val="auto"/>
          <w:highlight w:val="none"/>
        </w:rPr>
      </w:pPr>
    </w:p>
    <w:p w14:paraId="565AD123">
      <w:pPr>
        <w:tabs>
          <w:tab w:val="left" w:pos="3375"/>
        </w:tabs>
        <w:autoSpaceDE w:val="0"/>
        <w:autoSpaceDN w:val="0"/>
        <w:adjustRightInd w:val="0"/>
        <w:snapToGrid w:val="0"/>
        <w:spacing w:line="360" w:lineRule="auto"/>
        <w:contextualSpacing/>
        <w:rPr>
          <w:rFonts w:ascii="宋体" w:hAnsi="宋体" w:cs="宋体"/>
          <w:color w:val="auto"/>
          <w:sz w:val="24"/>
          <w:highlight w:val="none"/>
        </w:rPr>
      </w:pPr>
      <w:r>
        <w:rPr>
          <w:rFonts w:hint="eastAsia" w:ascii="宋体" w:hAnsi="宋体" w:cs="宋体"/>
          <w:color w:val="auto"/>
          <w:sz w:val="24"/>
          <w:highlight w:val="none"/>
        </w:rPr>
        <w:t>①其他</w:t>
      </w:r>
    </w:p>
    <w:p w14:paraId="02B266CC">
      <w:pPr>
        <w:tabs>
          <w:tab w:val="left" w:pos="3375"/>
        </w:tabs>
        <w:autoSpaceDE w:val="0"/>
        <w:autoSpaceDN w:val="0"/>
        <w:adjustRightInd w:val="0"/>
        <w:snapToGrid w:val="0"/>
        <w:spacing w:line="360" w:lineRule="auto"/>
        <w:contextualSpacing/>
        <w:rPr>
          <w:rFonts w:ascii="宋体" w:hAnsi="宋体" w:cs="宋体"/>
          <w:color w:val="auto"/>
          <w:sz w:val="28"/>
          <w:szCs w:val="28"/>
          <w:highlight w:val="none"/>
        </w:rPr>
      </w:pPr>
      <w:r>
        <w:rPr>
          <w:rFonts w:ascii="宋体" w:hAnsi="宋体" w:cs="宋体"/>
          <w:color w:val="auto"/>
          <w:sz w:val="24"/>
          <w:highlight w:val="none"/>
        </w:rPr>
        <w:t>...</w:t>
      </w:r>
      <w:r>
        <w:rPr>
          <w:rFonts w:ascii="宋体" w:hAnsi="宋体" w:cs="宋体"/>
          <w:color w:val="auto"/>
          <w:sz w:val="24"/>
          <w:highlight w:val="none"/>
        </w:rPr>
        <w:br w:type="page"/>
      </w:r>
      <w:r>
        <w:rPr>
          <w:rFonts w:hint="eastAsia" w:ascii="宋体" w:hAnsi="宋体" w:cs="宋体"/>
          <w:color w:val="auto"/>
          <w:sz w:val="28"/>
          <w:szCs w:val="28"/>
          <w:highlight w:val="none"/>
        </w:rPr>
        <w:t>第二部分格式：</w:t>
      </w:r>
    </w:p>
    <w:p w14:paraId="3CFE48D0">
      <w:pPr>
        <w:snapToGrid w:val="0"/>
        <w:spacing w:line="360" w:lineRule="auto"/>
        <w:contextualSpacing/>
        <w:rPr>
          <w:rFonts w:ascii="宋体" w:hAnsi="宋体" w:cs="宋体"/>
          <w:color w:val="auto"/>
          <w:sz w:val="32"/>
          <w:szCs w:val="32"/>
          <w:highlight w:val="none"/>
        </w:rPr>
      </w:pPr>
    </w:p>
    <w:p w14:paraId="4F05FB57">
      <w:pPr>
        <w:autoSpaceDE w:val="0"/>
        <w:autoSpaceDN w:val="0"/>
        <w:adjustRightInd w:val="0"/>
        <w:spacing w:line="360" w:lineRule="auto"/>
        <w:jc w:val="center"/>
        <w:rPr>
          <w:rFonts w:ascii="宋体" w:hAnsi="宋体" w:cs="宋体"/>
          <w:b/>
          <w:color w:val="auto"/>
          <w:sz w:val="32"/>
          <w:szCs w:val="32"/>
          <w:highlight w:val="none"/>
        </w:rPr>
      </w:pPr>
    </w:p>
    <w:p w14:paraId="1AA6D4B6">
      <w:pPr>
        <w:autoSpaceDE w:val="0"/>
        <w:autoSpaceDN w:val="0"/>
        <w:adjustRightInd w:val="0"/>
        <w:spacing w:line="360" w:lineRule="auto"/>
        <w:jc w:val="center"/>
        <w:rPr>
          <w:rFonts w:hint="eastAsia" w:ascii="宋体" w:hAnsi="宋体" w:eastAsia="宋体" w:cs="宋体"/>
          <w:b/>
          <w:color w:val="auto"/>
          <w:sz w:val="48"/>
          <w:szCs w:val="48"/>
          <w:highlight w:val="none"/>
          <w:lang w:eastAsia="zh-CN"/>
        </w:rPr>
      </w:pPr>
      <w:r>
        <w:rPr>
          <w:rFonts w:hint="eastAsia" w:hAnsi="宋体" w:cs="宋体"/>
          <w:b/>
          <w:bCs/>
          <w:color w:val="auto"/>
          <w:sz w:val="44"/>
          <w:szCs w:val="44"/>
          <w:highlight w:val="none"/>
          <w:lang w:eastAsia="zh-CN"/>
        </w:rPr>
        <w:t>沪陕高速公路海门城区至南通东段客车差异化收费政策实施情况评估服务项目</w:t>
      </w:r>
    </w:p>
    <w:p w14:paraId="015C1E86">
      <w:pPr>
        <w:pStyle w:val="18"/>
        <w:spacing w:line="360" w:lineRule="auto"/>
        <w:rPr>
          <w:color w:val="auto"/>
          <w:highlight w:val="none"/>
        </w:rPr>
      </w:pPr>
    </w:p>
    <w:p w14:paraId="51BF7A0F">
      <w:pPr>
        <w:tabs>
          <w:tab w:val="left" w:pos="6300"/>
        </w:tabs>
        <w:snapToGrid w:val="0"/>
        <w:spacing w:line="360" w:lineRule="auto"/>
        <w:ind w:firstLine="3344" w:firstLineChars="1300"/>
        <w:jc w:val="both"/>
        <w:rPr>
          <w:rFonts w:ascii="宋体" w:hAnsi="宋体" w:cs="宋体"/>
          <w:b/>
          <w:color w:val="auto"/>
          <w:w w:val="80"/>
          <w:sz w:val="32"/>
          <w:szCs w:val="32"/>
          <w:highlight w:val="none"/>
        </w:rPr>
      </w:pPr>
      <w:r>
        <w:rPr>
          <w:rFonts w:hint="eastAsia" w:ascii="宋体" w:hAnsi="宋体" w:cs="宋体"/>
          <w:b/>
          <w:color w:val="auto"/>
          <w:w w:val="80"/>
          <w:sz w:val="32"/>
          <w:szCs w:val="32"/>
          <w:highlight w:val="none"/>
        </w:rPr>
        <w:t>项目编号：</w:t>
      </w:r>
    </w:p>
    <w:p w14:paraId="43352ABB">
      <w:pPr>
        <w:spacing w:after="60" w:line="360" w:lineRule="auto"/>
        <w:ind w:firstLine="3373" w:firstLineChars="1050"/>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w:t>
      </w:r>
    </w:p>
    <w:p w14:paraId="43EB0F7C">
      <w:pPr>
        <w:spacing w:after="60" w:line="360" w:lineRule="auto"/>
        <w:ind w:firstLine="3213" w:firstLineChars="1000"/>
        <w:jc w:val="both"/>
        <w:rPr>
          <w:rFonts w:ascii="宋体" w:hAnsi="宋体" w:cs="宋体"/>
          <w:b/>
          <w:bCs/>
          <w:color w:val="auto"/>
          <w:sz w:val="32"/>
          <w:szCs w:val="32"/>
          <w:highlight w:val="none"/>
        </w:rPr>
      </w:pPr>
      <w:r>
        <w:rPr>
          <w:rFonts w:hint="eastAsia" w:ascii="宋体" w:hAnsi="宋体" w:cs="宋体"/>
          <w:b/>
          <w:bCs/>
          <w:color w:val="auto"/>
          <w:sz w:val="32"/>
          <w:szCs w:val="32"/>
          <w:highlight w:val="none"/>
        </w:rPr>
        <w:t>（价格响应文件）</w:t>
      </w:r>
    </w:p>
    <w:p w14:paraId="479865BD">
      <w:pPr>
        <w:spacing w:after="60" w:line="360" w:lineRule="auto"/>
        <w:jc w:val="center"/>
        <w:rPr>
          <w:rFonts w:ascii="宋体" w:hAnsi="宋体" w:cs="宋体"/>
          <w:b/>
          <w:bCs/>
          <w:color w:val="auto"/>
          <w:sz w:val="72"/>
          <w:szCs w:val="72"/>
          <w:highlight w:val="none"/>
        </w:rPr>
      </w:pPr>
    </w:p>
    <w:p w14:paraId="445D814C">
      <w:pPr>
        <w:spacing w:after="60" w:line="360" w:lineRule="auto"/>
        <w:jc w:val="center"/>
        <w:rPr>
          <w:rFonts w:ascii="宋体" w:hAnsi="宋体" w:cs="宋体"/>
          <w:b/>
          <w:bCs/>
          <w:color w:val="auto"/>
          <w:sz w:val="72"/>
          <w:szCs w:val="72"/>
          <w:highlight w:val="none"/>
        </w:rPr>
      </w:pPr>
    </w:p>
    <w:p w14:paraId="142AF417">
      <w:pPr>
        <w:spacing w:after="60" w:line="360" w:lineRule="auto"/>
        <w:jc w:val="center"/>
        <w:rPr>
          <w:rFonts w:ascii="宋体" w:hAnsi="宋体" w:cs="宋体"/>
          <w:b/>
          <w:bCs/>
          <w:color w:val="auto"/>
          <w:sz w:val="72"/>
          <w:szCs w:val="72"/>
          <w:highlight w:val="none"/>
        </w:rPr>
      </w:pPr>
    </w:p>
    <w:p w14:paraId="633C51BD">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049AD406">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46F9C900">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0C5179D">
      <w:pPr>
        <w:pStyle w:val="18"/>
        <w:spacing w:line="360" w:lineRule="auto"/>
        <w:rPr>
          <w:color w:val="auto"/>
          <w:highlight w:val="none"/>
        </w:rPr>
      </w:pPr>
    </w:p>
    <w:p w14:paraId="4D522972">
      <w:pPr>
        <w:rPr>
          <w:rFonts w:ascii="宋体" w:hAnsi="宋体" w:cs="宋体"/>
          <w:color w:val="auto"/>
          <w:sz w:val="32"/>
          <w:szCs w:val="32"/>
          <w:highlight w:val="none"/>
        </w:rPr>
      </w:pPr>
      <w:r>
        <w:rPr>
          <w:rFonts w:ascii="宋体" w:hAnsi="宋体" w:cs="宋体"/>
          <w:color w:val="auto"/>
          <w:sz w:val="32"/>
          <w:szCs w:val="32"/>
          <w:highlight w:val="none"/>
        </w:rPr>
        <w:br w:type="page"/>
      </w:r>
    </w:p>
    <w:p w14:paraId="42415D64">
      <w:pPr>
        <w:snapToGrid w:val="0"/>
        <w:spacing w:line="360" w:lineRule="auto"/>
        <w:contextualSpacing/>
        <w:rPr>
          <w:rFonts w:ascii="宋体" w:hAnsi="宋体" w:cs="宋体"/>
          <w:color w:val="auto"/>
          <w:sz w:val="32"/>
          <w:szCs w:val="32"/>
          <w:highlight w:val="none"/>
        </w:rPr>
      </w:pPr>
      <w:r>
        <w:rPr>
          <w:rFonts w:hint="eastAsia" w:ascii="宋体" w:hAnsi="宋体" w:cs="宋体"/>
          <w:color w:val="auto"/>
          <w:sz w:val="32"/>
          <w:szCs w:val="32"/>
          <w:highlight w:val="none"/>
        </w:rPr>
        <w:t>附件一：</w:t>
      </w:r>
    </w:p>
    <w:p w14:paraId="4451038D">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谈判报价总表</w:t>
      </w:r>
    </w:p>
    <w:tbl>
      <w:tblPr>
        <w:tblStyle w:val="19"/>
        <w:tblW w:w="8377" w:type="dxa"/>
        <w:tblInd w:w="95" w:type="dxa"/>
        <w:tblLayout w:type="fixed"/>
        <w:tblCellMar>
          <w:top w:w="0" w:type="dxa"/>
          <w:left w:w="108" w:type="dxa"/>
          <w:bottom w:w="0" w:type="dxa"/>
          <w:right w:w="108" w:type="dxa"/>
        </w:tblCellMar>
      </w:tblPr>
      <w:tblGrid>
        <w:gridCol w:w="2890"/>
        <w:gridCol w:w="3738"/>
        <w:gridCol w:w="236"/>
        <w:gridCol w:w="1513"/>
      </w:tblGrid>
      <w:tr w14:paraId="4690520F">
        <w:tblPrEx>
          <w:tblCellMar>
            <w:top w:w="0" w:type="dxa"/>
            <w:left w:w="108" w:type="dxa"/>
            <w:bottom w:w="0" w:type="dxa"/>
            <w:right w:w="108" w:type="dxa"/>
          </w:tblCellMar>
        </w:tblPrEx>
        <w:trPr>
          <w:trHeight w:val="405" w:hRule="atLeast"/>
        </w:trPr>
        <w:tc>
          <w:tcPr>
            <w:tcW w:w="2890" w:type="dxa"/>
            <w:tcBorders>
              <w:top w:val="nil"/>
              <w:left w:val="nil"/>
              <w:bottom w:val="nil"/>
              <w:right w:val="nil"/>
            </w:tcBorders>
            <w:noWrap/>
            <w:vAlign w:val="center"/>
          </w:tcPr>
          <w:p w14:paraId="44353E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项目名称：</w:t>
            </w:r>
          </w:p>
        </w:tc>
        <w:tc>
          <w:tcPr>
            <w:tcW w:w="3738" w:type="dxa"/>
            <w:tcBorders>
              <w:top w:val="nil"/>
              <w:left w:val="nil"/>
              <w:bottom w:val="nil"/>
              <w:right w:val="nil"/>
            </w:tcBorders>
            <w:noWrap/>
            <w:vAlign w:val="center"/>
          </w:tcPr>
          <w:p w14:paraId="5A0DC584">
            <w:pPr>
              <w:widowControl/>
              <w:spacing w:line="360" w:lineRule="auto"/>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63F30D65">
            <w:pPr>
              <w:widowControl/>
              <w:spacing w:line="360" w:lineRule="auto"/>
              <w:jc w:val="left"/>
              <w:rPr>
                <w:rFonts w:ascii="宋体" w:hAnsi="宋体" w:cs="宋体"/>
                <w:color w:val="auto"/>
                <w:kern w:val="0"/>
                <w:sz w:val="24"/>
                <w:highlight w:val="none"/>
              </w:rPr>
            </w:pPr>
          </w:p>
        </w:tc>
        <w:tc>
          <w:tcPr>
            <w:tcW w:w="1513" w:type="dxa"/>
            <w:tcBorders>
              <w:top w:val="nil"/>
              <w:left w:val="nil"/>
              <w:bottom w:val="nil"/>
              <w:right w:val="nil"/>
            </w:tcBorders>
            <w:noWrap/>
            <w:vAlign w:val="center"/>
          </w:tcPr>
          <w:p w14:paraId="0C0852B0">
            <w:pPr>
              <w:widowControl/>
              <w:spacing w:line="360" w:lineRule="auto"/>
              <w:jc w:val="left"/>
              <w:rPr>
                <w:rFonts w:ascii="宋体" w:hAnsi="宋体" w:cs="宋体"/>
                <w:color w:val="auto"/>
                <w:kern w:val="0"/>
                <w:sz w:val="24"/>
                <w:highlight w:val="none"/>
              </w:rPr>
            </w:pPr>
          </w:p>
        </w:tc>
      </w:tr>
      <w:tr w14:paraId="637F3119">
        <w:tblPrEx>
          <w:tblCellMar>
            <w:top w:w="0" w:type="dxa"/>
            <w:left w:w="108" w:type="dxa"/>
            <w:bottom w:w="0" w:type="dxa"/>
            <w:right w:w="108" w:type="dxa"/>
          </w:tblCellMar>
        </w:tblPrEx>
        <w:trPr>
          <w:trHeight w:val="420" w:hRule="atLeast"/>
        </w:trPr>
        <w:tc>
          <w:tcPr>
            <w:tcW w:w="2890" w:type="dxa"/>
            <w:tcBorders>
              <w:top w:val="nil"/>
              <w:left w:val="nil"/>
              <w:bottom w:val="nil"/>
              <w:right w:val="nil"/>
            </w:tcBorders>
            <w:noWrap/>
            <w:vAlign w:val="center"/>
          </w:tcPr>
          <w:p w14:paraId="12E46E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tc>
        <w:tc>
          <w:tcPr>
            <w:tcW w:w="3738" w:type="dxa"/>
            <w:tcBorders>
              <w:top w:val="nil"/>
              <w:left w:val="nil"/>
              <w:bottom w:val="nil"/>
              <w:right w:val="nil"/>
            </w:tcBorders>
            <w:noWrap/>
            <w:vAlign w:val="center"/>
          </w:tcPr>
          <w:p w14:paraId="253CAC3E">
            <w:pPr>
              <w:widowControl/>
              <w:spacing w:line="360" w:lineRule="auto"/>
              <w:jc w:val="left"/>
              <w:rPr>
                <w:rFonts w:ascii="宋体" w:hAnsi="宋体" w:cs="宋体"/>
                <w:color w:val="auto"/>
                <w:kern w:val="0"/>
                <w:sz w:val="24"/>
                <w:highlight w:val="none"/>
              </w:rPr>
            </w:pPr>
          </w:p>
        </w:tc>
        <w:tc>
          <w:tcPr>
            <w:tcW w:w="236" w:type="dxa"/>
            <w:tcBorders>
              <w:top w:val="nil"/>
              <w:left w:val="nil"/>
              <w:bottom w:val="nil"/>
              <w:right w:val="nil"/>
            </w:tcBorders>
            <w:noWrap/>
            <w:vAlign w:val="center"/>
          </w:tcPr>
          <w:p w14:paraId="64C216FF">
            <w:pPr>
              <w:widowControl/>
              <w:spacing w:line="360" w:lineRule="auto"/>
              <w:jc w:val="left"/>
              <w:rPr>
                <w:rFonts w:ascii="宋体" w:hAnsi="宋体" w:cs="宋体"/>
                <w:color w:val="auto"/>
                <w:kern w:val="0"/>
                <w:sz w:val="24"/>
                <w:highlight w:val="none"/>
              </w:rPr>
            </w:pPr>
          </w:p>
        </w:tc>
        <w:tc>
          <w:tcPr>
            <w:tcW w:w="1513" w:type="dxa"/>
            <w:tcBorders>
              <w:top w:val="nil"/>
              <w:left w:val="nil"/>
              <w:bottom w:val="nil"/>
              <w:right w:val="nil"/>
            </w:tcBorders>
            <w:noWrap/>
            <w:vAlign w:val="center"/>
          </w:tcPr>
          <w:p w14:paraId="3B37CA5E">
            <w:pPr>
              <w:widowControl/>
              <w:spacing w:line="360" w:lineRule="auto"/>
              <w:jc w:val="left"/>
              <w:rPr>
                <w:rFonts w:ascii="宋体" w:hAnsi="宋体" w:cs="宋体"/>
                <w:color w:val="auto"/>
                <w:kern w:val="0"/>
                <w:sz w:val="24"/>
                <w:highlight w:val="none"/>
              </w:rPr>
            </w:pPr>
          </w:p>
        </w:tc>
      </w:tr>
      <w:tr w14:paraId="23F81A01">
        <w:tblPrEx>
          <w:tblCellMar>
            <w:top w:w="0" w:type="dxa"/>
            <w:left w:w="108" w:type="dxa"/>
            <w:bottom w:w="0" w:type="dxa"/>
            <w:right w:w="108" w:type="dxa"/>
          </w:tblCellMar>
        </w:tblPrEx>
        <w:trPr>
          <w:trHeight w:val="383" w:hRule="atLeast"/>
        </w:trPr>
        <w:tc>
          <w:tcPr>
            <w:tcW w:w="2890" w:type="dxa"/>
            <w:vMerge w:val="restart"/>
            <w:tcBorders>
              <w:top w:val="single" w:color="auto" w:sz="4" w:space="0"/>
              <w:left w:val="single" w:color="auto" w:sz="4" w:space="0"/>
              <w:bottom w:val="single" w:color="auto" w:sz="4" w:space="0"/>
              <w:right w:val="single" w:color="auto" w:sz="4" w:space="0"/>
            </w:tcBorders>
            <w:noWrap/>
            <w:vAlign w:val="center"/>
          </w:tcPr>
          <w:p w14:paraId="3720775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487" w:type="dxa"/>
            <w:gridSpan w:val="3"/>
            <w:tcBorders>
              <w:top w:val="single" w:color="auto" w:sz="4" w:space="0"/>
              <w:left w:val="nil"/>
              <w:bottom w:val="single" w:color="auto" w:sz="4" w:space="0"/>
              <w:right w:val="single" w:color="auto" w:sz="4" w:space="0"/>
            </w:tcBorders>
            <w:noWrap/>
            <w:vAlign w:val="center"/>
          </w:tcPr>
          <w:p w14:paraId="07D9BB9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大写：</w:t>
            </w:r>
          </w:p>
        </w:tc>
      </w:tr>
      <w:tr w14:paraId="14FE373F">
        <w:tblPrEx>
          <w:tblCellMar>
            <w:top w:w="0" w:type="dxa"/>
            <w:left w:w="108" w:type="dxa"/>
            <w:bottom w:w="0" w:type="dxa"/>
            <w:right w:w="108" w:type="dxa"/>
          </w:tblCellMar>
        </w:tblPrEx>
        <w:trPr>
          <w:trHeight w:val="417" w:hRule="atLeast"/>
        </w:trPr>
        <w:tc>
          <w:tcPr>
            <w:tcW w:w="2890" w:type="dxa"/>
            <w:vMerge w:val="continue"/>
            <w:tcBorders>
              <w:top w:val="single" w:color="auto" w:sz="4" w:space="0"/>
              <w:left w:val="single" w:color="auto" w:sz="4" w:space="0"/>
              <w:bottom w:val="single" w:color="auto" w:sz="4" w:space="0"/>
              <w:right w:val="single" w:color="auto" w:sz="4" w:space="0"/>
            </w:tcBorders>
            <w:vAlign w:val="center"/>
          </w:tcPr>
          <w:p w14:paraId="61F1F0D4">
            <w:pPr>
              <w:widowControl/>
              <w:spacing w:line="360" w:lineRule="auto"/>
              <w:jc w:val="center"/>
              <w:rPr>
                <w:rFonts w:ascii="宋体" w:hAnsi="宋体" w:cs="宋体"/>
                <w:color w:val="auto"/>
                <w:kern w:val="0"/>
                <w:sz w:val="24"/>
                <w:highlight w:val="none"/>
              </w:rPr>
            </w:pPr>
          </w:p>
        </w:tc>
        <w:tc>
          <w:tcPr>
            <w:tcW w:w="5487" w:type="dxa"/>
            <w:gridSpan w:val="3"/>
            <w:tcBorders>
              <w:top w:val="single" w:color="auto" w:sz="4" w:space="0"/>
              <w:left w:val="nil"/>
              <w:bottom w:val="single" w:color="auto" w:sz="4" w:space="0"/>
              <w:right w:val="single" w:color="auto" w:sz="4" w:space="0"/>
            </w:tcBorders>
            <w:noWrap/>
            <w:vAlign w:val="center"/>
          </w:tcPr>
          <w:p w14:paraId="2398646C">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小写：</w:t>
            </w:r>
          </w:p>
        </w:tc>
      </w:tr>
    </w:tbl>
    <w:p w14:paraId="434AC05E">
      <w:pPr>
        <w:snapToGrid w:val="0"/>
        <w:spacing w:line="360" w:lineRule="auto"/>
        <w:ind w:firstLine="480" w:firstLineChars="200"/>
        <w:contextualSpacing/>
        <w:jc w:val="left"/>
        <w:rPr>
          <w:rFonts w:ascii="宋体" w:hAnsi="宋体" w:cs="宋体"/>
          <w:color w:val="auto"/>
          <w:sz w:val="24"/>
          <w:highlight w:val="none"/>
        </w:rPr>
      </w:pPr>
    </w:p>
    <w:p w14:paraId="6F226CC0">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65ACD699">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594DC52F">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0CCCE1E">
      <w:pPr>
        <w:snapToGrid w:val="0"/>
        <w:spacing w:line="360" w:lineRule="auto"/>
        <w:ind w:firstLine="480" w:firstLineChars="200"/>
        <w:contextualSpacing/>
        <w:jc w:val="left"/>
        <w:rPr>
          <w:rFonts w:ascii="宋体" w:hAnsi="宋体" w:cs="宋体"/>
          <w:color w:val="auto"/>
          <w:sz w:val="24"/>
          <w:highlight w:val="none"/>
        </w:rPr>
      </w:pPr>
    </w:p>
    <w:p w14:paraId="4E36D24E">
      <w:pPr>
        <w:pStyle w:val="18"/>
        <w:spacing w:line="360" w:lineRule="auto"/>
        <w:rPr>
          <w:color w:val="auto"/>
          <w:highlight w:val="none"/>
        </w:rPr>
      </w:pPr>
    </w:p>
    <w:p w14:paraId="0FF22306">
      <w:pPr>
        <w:pStyle w:val="18"/>
        <w:spacing w:line="360" w:lineRule="auto"/>
        <w:rPr>
          <w:color w:val="auto"/>
          <w:highlight w:val="none"/>
        </w:rPr>
      </w:pPr>
    </w:p>
    <w:p w14:paraId="0147ADCF">
      <w:pPr>
        <w:pStyle w:val="18"/>
        <w:spacing w:line="360" w:lineRule="auto"/>
        <w:rPr>
          <w:color w:val="auto"/>
          <w:highlight w:val="none"/>
        </w:rPr>
      </w:pPr>
    </w:p>
    <w:p w14:paraId="1543559F">
      <w:pPr>
        <w:pStyle w:val="18"/>
        <w:spacing w:line="360" w:lineRule="auto"/>
        <w:rPr>
          <w:color w:val="auto"/>
          <w:highlight w:val="none"/>
        </w:rPr>
      </w:pPr>
    </w:p>
    <w:p w14:paraId="42E16215">
      <w:pPr>
        <w:snapToGrid w:val="0"/>
        <w:spacing w:line="360" w:lineRule="auto"/>
        <w:ind w:firstLine="482" w:firstLineChars="200"/>
        <w:contextualSpacing/>
        <w:jc w:val="left"/>
        <w:rPr>
          <w:rFonts w:ascii="宋体" w:hAnsi="宋体"/>
          <w:color w:val="auto"/>
          <w:sz w:val="28"/>
          <w:szCs w:val="28"/>
          <w:highlight w:val="none"/>
        </w:rPr>
      </w:pPr>
      <w:r>
        <w:rPr>
          <w:rFonts w:hint="eastAsia" w:ascii="宋体" w:hAnsi="宋体" w:cs="宋体"/>
          <w:b/>
          <w:color w:val="auto"/>
          <w:sz w:val="24"/>
          <w:highlight w:val="none"/>
        </w:rPr>
        <w:t>注：</w:t>
      </w:r>
      <w:r>
        <w:rPr>
          <w:rFonts w:hint="eastAsia" w:ascii="宋体" w:hAnsi="宋体" w:cs="宋体"/>
          <w:b/>
          <w:color w:val="auto"/>
          <w:kern w:val="0"/>
          <w:sz w:val="24"/>
          <w:highlight w:val="none"/>
        </w:rPr>
        <w:t>供应商</w:t>
      </w:r>
      <w:r>
        <w:rPr>
          <w:rFonts w:hint="eastAsia" w:ascii="宋体" w:hAnsi="宋体"/>
          <w:b/>
          <w:color w:val="auto"/>
          <w:sz w:val="24"/>
          <w:highlight w:val="none"/>
        </w:rPr>
        <w:t>此表为首轮报价，最终报价在谈判现场填写。</w:t>
      </w:r>
      <w:r>
        <w:rPr>
          <w:rFonts w:hint="eastAsia" w:ascii="宋体" w:hAnsi="宋体" w:cs="宋体"/>
          <w:b/>
          <w:color w:val="auto"/>
          <w:kern w:val="0"/>
          <w:sz w:val="24"/>
          <w:highlight w:val="none"/>
        </w:rPr>
        <w:t>响应文件密封提交时只需填写谈判报价（首次）的报价。</w:t>
      </w:r>
    </w:p>
    <w:p w14:paraId="5592D12E">
      <w:pPr>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br w:type="page"/>
      </w:r>
    </w:p>
    <w:p w14:paraId="0B377DC2">
      <w:pPr>
        <w:spacing w:line="360" w:lineRule="auto"/>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w:t>
      </w:r>
    </w:p>
    <w:p w14:paraId="3943BDE2">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分项报价明细表</w:t>
      </w:r>
    </w:p>
    <w:p w14:paraId="756AB3D8">
      <w:pPr>
        <w:spacing w:line="360" w:lineRule="auto"/>
        <w:jc w:val="center"/>
        <w:rPr>
          <w:rFonts w:ascii="宋体" w:hAnsi="宋体" w:cs="宋体"/>
          <w:color w:val="auto"/>
          <w:sz w:val="28"/>
          <w:szCs w:val="28"/>
          <w:highlight w:val="none"/>
        </w:rPr>
      </w:pPr>
      <w:r>
        <w:rPr>
          <w:rFonts w:hint="eastAsia" w:ascii="宋体" w:hAnsi="宋体" w:cs="宋体"/>
          <w:b/>
          <w:bCs/>
          <w:color w:val="auto"/>
          <w:sz w:val="32"/>
          <w:szCs w:val="32"/>
          <w:highlight w:val="none"/>
        </w:rPr>
        <w:t>（格式自拟）</w:t>
      </w:r>
    </w:p>
    <w:p w14:paraId="32A1AD54">
      <w:pPr>
        <w:snapToGrid w:val="0"/>
        <w:spacing w:line="360" w:lineRule="auto"/>
        <w:outlineLvl w:val="0"/>
        <w:rPr>
          <w:rFonts w:ascii="宋体" w:hAnsi="宋体" w:cs="宋体"/>
          <w:color w:val="auto"/>
          <w:sz w:val="24"/>
          <w:highlight w:val="none"/>
        </w:rPr>
      </w:pPr>
    </w:p>
    <w:p w14:paraId="455788C4">
      <w:pPr>
        <w:spacing w:line="360" w:lineRule="auto"/>
        <w:rPr>
          <w:rFonts w:ascii="宋体" w:hAnsi="宋体" w:cs="宋体"/>
          <w:bCs/>
          <w:color w:val="auto"/>
          <w:sz w:val="24"/>
          <w:highlight w:val="none"/>
        </w:rPr>
      </w:pPr>
      <w:r>
        <w:rPr>
          <w:rFonts w:hint="eastAsia" w:ascii="宋体" w:hAnsi="宋体" w:cs="宋体"/>
          <w:bCs/>
          <w:color w:val="auto"/>
          <w:sz w:val="24"/>
          <w:highlight w:val="none"/>
        </w:rPr>
        <w:t>供应商（盖单位公章）：</w:t>
      </w:r>
    </w:p>
    <w:p w14:paraId="712D3AD9">
      <w:pPr>
        <w:spacing w:line="360" w:lineRule="auto"/>
        <w:rPr>
          <w:rFonts w:ascii="宋体" w:hAnsi="宋体" w:cs="宋体"/>
          <w:bCs/>
          <w:color w:val="auto"/>
          <w:sz w:val="24"/>
          <w:highlight w:val="none"/>
          <w:u w:val="single"/>
        </w:rPr>
      </w:pPr>
      <w:r>
        <w:rPr>
          <w:rFonts w:hint="eastAsia" w:ascii="宋体" w:hAnsi="宋体" w:cs="宋体"/>
          <w:bCs/>
          <w:color w:val="auto"/>
          <w:sz w:val="24"/>
          <w:highlight w:val="none"/>
        </w:rPr>
        <w:t>法定代表人（或其委托代理人）（签名或盖章）：</w:t>
      </w:r>
    </w:p>
    <w:p w14:paraId="77677673">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FCBD8E8">
      <w:pPr>
        <w:snapToGrid w:val="0"/>
        <w:spacing w:line="360" w:lineRule="auto"/>
        <w:ind w:firstLine="1200" w:firstLineChars="500"/>
        <w:rPr>
          <w:rFonts w:ascii="宋体" w:hAnsi="宋体" w:cs="宋体"/>
          <w:color w:val="auto"/>
          <w:sz w:val="24"/>
          <w:highlight w:val="none"/>
        </w:rPr>
      </w:pPr>
    </w:p>
    <w:p w14:paraId="4DF12981">
      <w:pPr>
        <w:snapToGrid w:val="0"/>
        <w:spacing w:line="360" w:lineRule="auto"/>
        <w:outlineLvl w:val="0"/>
        <w:rPr>
          <w:rFonts w:ascii="宋体" w:hAnsi="宋体" w:cs="宋体"/>
          <w:color w:val="auto"/>
          <w:sz w:val="24"/>
          <w:highlight w:val="none"/>
        </w:rPr>
      </w:pPr>
    </w:p>
    <w:p w14:paraId="58F8F750">
      <w:pPr>
        <w:snapToGrid w:val="0"/>
        <w:spacing w:line="360" w:lineRule="auto"/>
        <w:outlineLvl w:val="0"/>
        <w:rPr>
          <w:rFonts w:ascii="宋体" w:hAnsi="宋体" w:cs="宋体"/>
          <w:color w:val="auto"/>
          <w:sz w:val="24"/>
          <w:highlight w:val="none"/>
        </w:rPr>
      </w:pPr>
    </w:p>
    <w:p w14:paraId="5F8A7C63">
      <w:pPr>
        <w:snapToGrid w:val="0"/>
        <w:spacing w:line="360" w:lineRule="auto"/>
        <w:contextualSpacing/>
        <w:rPr>
          <w:rFonts w:ascii="宋体" w:hAnsi="宋体" w:cs="宋体"/>
          <w:color w:val="auto"/>
          <w:sz w:val="32"/>
          <w:szCs w:val="32"/>
          <w:highlight w:val="none"/>
        </w:rPr>
      </w:pPr>
    </w:p>
    <w:p w14:paraId="1E6B8E35">
      <w:pPr>
        <w:rPr>
          <w:rFonts w:hint="eastAsia"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br w:type="page"/>
      </w:r>
    </w:p>
    <w:p w14:paraId="5EFC28D9">
      <w:pPr>
        <w:widowControl/>
        <w:spacing w:line="360" w:lineRule="auto"/>
        <w:jc w:val="left"/>
        <w:rPr>
          <w:rFonts w:ascii="宋体" w:hAnsi="宋体" w:cs="宋体"/>
          <w:color w:val="auto"/>
          <w:sz w:val="28"/>
          <w:szCs w:val="28"/>
          <w:highlight w:val="none"/>
        </w:rPr>
      </w:pPr>
      <w:r>
        <w:rPr>
          <w:rFonts w:hint="eastAsia" w:cs="宋体" w:asciiTheme="minorEastAsia" w:hAnsiTheme="minorEastAsia" w:eastAsiaTheme="minorEastAsia"/>
          <w:color w:val="auto"/>
          <w:sz w:val="28"/>
          <w:szCs w:val="28"/>
          <w:highlight w:val="none"/>
        </w:rPr>
        <w:t>附件</w:t>
      </w:r>
      <w:r>
        <w:rPr>
          <w:rFonts w:hint="eastAsia" w:cs="宋体" w:asciiTheme="minorEastAsia" w:hAnsiTheme="minorEastAsia" w:eastAsiaTheme="minorEastAsia"/>
          <w:color w:val="auto"/>
          <w:sz w:val="28"/>
          <w:szCs w:val="28"/>
          <w:highlight w:val="none"/>
          <w:lang w:val="en-US" w:eastAsia="zh-CN"/>
        </w:rPr>
        <w:t>三</w:t>
      </w:r>
      <w:r>
        <w:rPr>
          <w:rFonts w:hint="eastAsia" w:cs="宋体" w:asciiTheme="minorEastAsia" w:hAnsiTheme="minorEastAsia" w:eastAsiaTheme="minorEastAsia"/>
          <w:color w:val="auto"/>
          <w:sz w:val="28"/>
          <w:szCs w:val="28"/>
          <w:highlight w:val="none"/>
        </w:rPr>
        <w:t>：</w:t>
      </w:r>
      <w:r>
        <w:rPr>
          <w:rFonts w:hint="eastAsia" w:ascii="宋体" w:hAnsi="宋体" w:cs="宋体"/>
          <w:color w:val="auto"/>
          <w:sz w:val="28"/>
          <w:szCs w:val="28"/>
          <w:highlight w:val="none"/>
        </w:rPr>
        <w:t>《中小企业声明函》等（如有）</w:t>
      </w:r>
    </w:p>
    <w:p w14:paraId="02C5757D">
      <w:pPr>
        <w:snapToGrid w:val="0"/>
        <w:spacing w:line="300" w:lineRule="auto"/>
        <w:outlineLvl w:val="0"/>
        <w:rPr>
          <w:rFonts w:ascii="宋体" w:hAnsi="宋体" w:cs="宋体"/>
          <w:color w:val="auto"/>
          <w:sz w:val="28"/>
          <w:szCs w:val="28"/>
          <w:highlight w:val="none"/>
        </w:rPr>
      </w:pPr>
    </w:p>
    <w:p w14:paraId="144E734A">
      <w:pPr>
        <w:spacing w:before="120" w:beforeLines="50" w:after="120" w:afterLines="50" w:line="300" w:lineRule="auto"/>
        <w:jc w:val="center"/>
        <w:outlineLvl w:val="0"/>
        <w:rPr>
          <w:rFonts w:ascii="宋体" w:hAnsi="宋体" w:cs="宋体"/>
          <w:b/>
          <w:bCs/>
          <w:color w:val="auto"/>
          <w:sz w:val="28"/>
          <w:szCs w:val="28"/>
          <w:highlight w:val="none"/>
          <w:lang w:bidi="zh-CN"/>
        </w:rPr>
      </w:pPr>
      <w:r>
        <w:rPr>
          <w:rFonts w:hint="eastAsia" w:ascii="宋体" w:hAnsi="宋体" w:cs="宋体"/>
          <w:b/>
          <w:bCs/>
          <w:color w:val="auto"/>
          <w:sz w:val="28"/>
          <w:szCs w:val="28"/>
          <w:highlight w:val="none"/>
          <w:lang w:bidi="zh-CN"/>
        </w:rPr>
        <w:t>中小企业声明函（工程、服务）</w:t>
      </w:r>
    </w:p>
    <w:p w14:paraId="52038807">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本公司（联合体）郑重声明，根据《政府采购促进中小企业发展管理办法》（财库﹝2020﹞46 号）的规定，本公司（联合体）参加</w:t>
      </w:r>
      <w:r>
        <w:rPr>
          <w:rFonts w:hint="eastAsia" w:ascii="宋体" w:hAnsi="宋体" w:cs="宋体"/>
          <w:color w:val="auto"/>
          <w:sz w:val="24"/>
          <w:highlight w:val="none"/>
          <w:u w:val="single"/>
          <w:lang w:bidi="zh-CN"/>
        </w:rPr>
        <w:t>（单位名称）</w:t>
      </w:r>
      <w:r>
        <w:rPr>
          <w:rFonts w:hint="eastAsia" w:ascii="宋体" w:hAnsi="宋体" w:cs="宋体"/>
          <w:color w:val="auto"/>
          <w:sz w:val="24"/>
          <w:highlight w:val="none"/>
          <w:lang w:bidi="zh-CN"/>
        </w:rPr>
        <w:t>的</w:t>
      </w:r>
      <w:r>
        <w:rPr>
          <w:rFonts w:hint="eastAsia" w:ascii="宋体" w:hAnsi="宋体" w:cs="宋体"/>
          <w:color w:val="auto"/>
          <w:sz w:val="24"/>
          <w:highlight w:val="none"/>
          <w:u w:val="single"/>
          <w:lang w:bidi="zh-CN"/>
        </w:rPr>
        <w:t>（项目名称）</w:t>
      </w:r>
      <w:r>
        <w:rPr>
          <w:rFonts w:hint="eastAsia" w:ascii="宋体" w:hAnsi="宋体" w:cs="宋体"/>
          <w:color w:val="auto"/>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4683480B">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1.</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50865520">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2.</w:t>
      </w:r>
      <w:r>
        <w:rPr>
          <w:rFonts w:hint="eastAsia" w:ascii="宋体" w:hAnsi="宋体" w:cs="宋体"/>
          <w:color w:val="auto"/>
          <w:sz w:val="24"/>
          <w:highlight w:val="none"/>
          <w:u w:val="single"/>
          <w:lang w:bidi="zh-CN"/>
        </w:rPr>
        <w:t>（标的名称）</w:t>
      </w:r>
      <w:r>
        <w:rPr>
          <w:rFonts w:hint="eastAsia" w:ascii="宋体" w:hAnsi="宋体" w:cs="宋体"/>
          <w:color w:val="auto"/>
          <w:sz w:val="24"/>
          <w:highlight w:val="none"/>
          <w:lang w:bidi="zh-CN"/>
        </w:rPr>
        <w:t>，属于（</w:t>
      </w:r>
      <w:r>
        <w:rPr>
          <w:rFonts w:hint="eastAsia" w:ascii="宋体" w:hAnsi="宋体" w:cs="宋体"/>
          <w:color w:val="auto"/>
          <w:sz w:val="24"/>
          <w:highlight w:val="none"/>
          <w:u w:val="single"/>
          <w:lang w:bidi="zh-CN"/>
        </w:rPr>
        <w:t>所属行业）</w:t>
      </w:r>
      <w:r>
        <w:rPr>
          <w:rFonts w:hint="eastAsia" w:ascii="宋体" w:hAnsi="宋体" w:cs="宋体"/>
          <w:color w:val="auto"/>
          <w:sz w:val="24"/>
          <w:highlight w:val="none"/>
          <w:lang w:bidi="zh-CN"/>
        </w:rPr>
        <w:t>；承建（承接）企业为</w:t>
      </w:r>
      <w:r>
        <w:rPr>
          <w:rFonts w:hint="eastAsia" w:ascii="宋体" w:hAnsi="宋体" w:cs="宋体"/>
          <w:color w:val="auto"/>
          <w:sz w:val="24"/>
          <w:highlight w:val="none"/>
          <w:u w:val="single"/>
          <w:lang w:bidi="zh-CN"/>
        </w:rPr>
        <w:t>（企业名称）</w:t>
      </w:r>
      <w:r>
        <w:rPr>
          <w:rFonts w:hint="eastAsia" w:ascii="宋体" w:hAnsi="宋体" w:cs="宋体"/>
          <w:color w:val="auto"/>
          <w:sz w:val="24"/>
          <w:highlight w:val="none"/>
          <w:lang w:bidi="zh-CN"/>
        </w:rPr>
        <w:t>，从业人员</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人，营业收入为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万元，资产总额为</w:t>
      </w:r>
      <w:r>
        <w:rPr>
          <w:rFonts w:hint="eastAsia" w:ascii="宋体" w:hAnsi="宋体" w:cs="宋体"/>
          <w:color w:val="auto"/>
          <w:sz w:val="24"/>
          <w:highlight w:val="none"/>
          <w:u w:val="single"/>
          <w:lang w:bidi="zh-CN"/>
        </w:rPr>
        <w:tab/>
      </w:r>
      <w:r>
        <w:rPr>
          <w:rFonts w:hint="eastAsia" w:ascii="宋体" w:hAnsi="宋体" w:cs="宋体"/>
          <w:color w:val="auto"/>
          <w:sz w:val="24"/>
          <w:highlight w:val="none"/>
          <w:lang w:bidi="zh-CN"/>
        </w:rPr>
        <w:t>万元，属于</w:t>
      </w:r>
      <w:r>
        <w:rPr>
          <w:rFonts w:hint="eastAsia" w:ascii="宋体" w:hAnsi="宋体" w:cs="宋体"/>
          <w:color w:val="auto"/>
          <w:sz w:val="24"/>
          <w:highlight w:val="none"/>
          <w:u w:val="single"/>
          <w:lang w:bidi="zh-CN"/>
        </w:rPr>
        <w:t>（中型企业、小型企业、微型企业）</w:t>
      </w:r>
      <w:r>
        <w:rPr>
          <w:rFonts w:hint="eastAsia" w:ascii="宋体" w:hAnsi="宋体" w:cs="宋体"/>
          <w:color w:val="auto"/>
          <w:sz w:val="24"/>
          <w:highlight w:val="none"/>
          <w:lang w:bidi="zh-CN"/>
        </w:rPr>
        <w:t>；</w:t>
      </w:r>
    </w:p>
    <w:p w14:paraId="0A31F9AA">
      <w:pPr>
        <w:adjustRightInd w:val="0"/>
        <w:snapToGrid w:val="0"/>
        <w:spacing w:line="360" w:lineRule="auto"/>
        <w:outlineLvl w:val="0"/>
        <w:rPr>
          <w:rFonts w:ascii="宋体" w:hAnsi="宋体" w:cs="宋体"/>
          <w:color w:val="auto"/>
          <w:sz w:val="24"/>
          <w:highlight w:val="none"/>
          <w:lang w:bidi="zh-CN"/>
        </w:rPr>
      </w:pPr>
      <w:r>
        <w:rPr>
          <w:rFonts w:hint="eastAsia" w:ascii="宋体" w:hAnsi="宋体" w:cs="宋体"/>
          <w:color w:val="auto"/>
          <w:sz w:val="24"/>
          <w:highlight w:val="none"/>
          <w:lang w:bidi="zh-CN"/>
        </w:rPr>
        <w:t>……</w:t>
      </w:r>
    </w:p>
    <w:p w14:paraId="0FD91030">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以上企业，不属于大企业的分支机构，不存在控股股东为大企业的情形，也不存在与大企业的负责人为同一人的情形。</w:t>
      </w:r>
    </w:p>
    <w:p w14:paraId="2BB89E61">
      <w:pPr>
        <w:adjustRightInd w:val="0"/>
        <w:snapToGrid w:val="0"/>
        <w:spacing w:line="360" w:lineRule="auto"/>
        <w:ind w:firstLine="480" w:firstLineChars="200"/>
        <w:outlineLvl w:val="0"/>
        <w:rPr>
          <w:rFonts w:ascii="宋体" w:hAnsi="宋体" w:cs="宋体"/>
          <w:color w:val="auto"/>
          <w:sz w:val="24"/>
          <w:highlight w:val="none"/>
          <w:lang w:bidi="zh-CN"/>
        </w:rPr>
      </w:pPr>
      <w:r>
        <w:rPr>
          <w:rFonts w:hint="eastAsia" w:ascii="宋体" w:hAnsi="宋体" w:cs="宋体"/>
          <w:color w:val="auto"/>
          <w:sz w:val="24"/>
          <w:highlight w:val="none"/>
          <w:lang w:bidi="zh-CN"/>
        </w:rPr>
        <w:t>本企业对上述声明内容的真实性负责。如有虚假，将依法承担相应责任。</w:t>
      </w:r>
    </w:p>
    <w:p w14:paraId="4DBCF79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1B550315">
      <w:pPr>
        <w:adjustRightInd w:val="0"/>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2、中标或成交供应商为小型、微型单位的，此声明函将随中标或成交结果同时公告，接受社会监督。）</w:t>
      </w:r>
    </w:p>
    <w:p w14:paraId="537AC3A8">
      <w:pPr>
        <w:adjustRightInd w:val="0"/>
        <w:snapToGrid w:val="0"/>
        <w:spacing w:line="360" w:lineRule="auto"/>
        <w:outlineLvl w:val="0"/>
        <w:rPr>
          <w:rFonts w:ascii="宋体" w:hAnsi="宋体" w:cs="宋体"/>
          <w:color w:val="auto"/>
          <w:sz w:val="24"/>
          <w:highlight w:val="none"/>
          <w:lang w:bidi="zh-CN"/>
        </w:rPr>
      </w:pPr>
    </w:p>
    <w:p w14:paraId="7F17A0E4">
      <w:pPr>
        <w:adjustRightInd w:val="0"/>
        <w:snapToGrid w:val="0"/>
        <w:spacing w:line="360" w:lineRule="auto"/>
        <w:outlineLvl w:val="0"/>
        <w:rPr>
          <w:rFonts w:ascii="宋体" w:hAnsi="宋体" w:cs="宋体"/>
          <w:color w:val="auto"/>
          <w:sz w:val="24"/>
          <w:highlight w:val="none"/>
          <w:lang w:bidi="zh-CN"/>
        </w:rPr>
      </w:pPr>
    </w:p>
    <w:p w14:paraId="73125B34">
      <w:pPr>
        <w:adjustRightInd w:val="0"/>
        <w:snapToGrid w:val="0"/>
        <w:spacing w:line="36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企业名称（盖章）：</w:t>
      </w:r>
    </w:p>
    <w:p w14:paraId="6AE79DAB">
      <w:pPr>
        <w:spacing w:line="300" w:lineRule="auto"/>
        <w:ind w:firstLine="4200" w:firstLineChars="1750"/>
        <w:outlineLvl w:val="0"/>
        <w:rPr>
          <w:rFonts w:ascii="宋体" w:hAnsi="宋体" w:cs="宋体"/>
          <w:color w:val="auto"/>
          <w:sz w:val="24"/>
          <w:highlight w:val="none"/>
          <w:lang w:bidi="zh-CN"/>
        </w:rPr>
      </w:pPr>
      <w:r>
        <w:rPr>
          <w:rFonts w:hint="eastAsia" w:ascii="宋体" w:hAnsi="宋体" w:cs="宋体"/>
          <w:color w:val="auto"/>
          <w:sz w:val="24"/>
          <w:highlight w:val="none"/>
          <w:lang w:bidi="zh-CN"/>
        </w:rPr>
        <w:t>日期：</w:t>
      </w:r>
    </w:p>
    <w:p w14:paraId="2DD13304">
      <w:pPr>
        <w:spacing w:line="560" w:lineRule="exact"/>
        <w:ind w:firstLine="240" w:firstLineChars="100"/>
        <w:rPr>
          <w:rFonts w:ascii="宋体" w:hAnsi="宋体" w:cs="宋体"/>
          <w:color w:val="auto"/>
          <w:sz w:val="24"/>
          <w:highlight w:val="none"/>
        </w:rPr>
      </w:pPr>
    </w:p>
    <w:p w14:paraId="3B824D4E">
      <w:pPr>
        <w:spacing w:line="300" w:lineRule="auto"/>
        <w:contextualSpacing/>
        <w:rPr>
          <w:rFonts w:ascii="宋体" w:hAnsi="宋体" w:cs="宋体"/>
          <w:color w:val="auto"/>
          <w:sz w:val="24"/>
          <w:highlight w:val="none"/>
        </w:rPr>
      </w:pPr>
    </w:p>
    <w:p w14:paraId="6B042A3A">
      <w:pPr>
        <w:spacing w:line="6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残疾人福利性单位声明函</w:t>
      </w:r>
    </w:p>
    <w:p w14:paraId="33A66511">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32D085E">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0D9FFED">
      <w:pPr>
        <w:spacing w:line="588"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（备注：1、供应商如不提供此声明函，价格将不做相应扣除。</w:t>
      </w:r>
    </w:p>
    <w:p w14:paraId="76E409C7">
      <w:pPr>
        <w:spacing w:line="588" w:lineRule="exact"/>
        <w:ind w:firstLine="1440" w:firstLineChars="600"/>
        <w:rPr>
          <w:rFonts w:ascii="宋体" w:hAnsi="宋体" w:cs="宋体"/>
          <w:color w:val="auto"/>
          <w:sz w:val="24"/>
          <w:highlight w:val="none"/>
        </w:rPr>
      </w:pPr>
      <w:r>
        <w:rPr>
          <w:rFonts w:hint="eastAsia" w:ascii="宋体" w:hAnsi="宋体" w:cs="宋体"/>
          <w:color w:val="auto"/>
          <w:sz w:val="24"/>
          <w:highlight w:val="none"/>
        </w:rPr>
        <w:t>2、中标或成交供应商为残疾人福利单位的，此声明函将随中标或成交结果同时公告，接受社会监督）</w:t>
      </w:r>
    </w:p>
    <w:p w14:paraId="2B64C386">
      <w:pPr>
        <w:spacing w:line="588" w:lineRule="exact"/>
        <w:ind w:firstLine="480" w:firstLineChars="200"/>
        <w:rPr>
          <w:rFonts w:ascii="宋体" w:hAnsi="宋体" w:cs="宋体"/>
          <w:color w:val="auto"/>
          <w:sz w:val="24"/>
          <w:highlight w:val="none"/>
        </w:rPr>
      </w:pPr>
    </w:p>
    <w:p w14:paraId="68CF0AD0">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供应商全称（盖章）：</w:t>
      </w:r>
    </w:p>
    <w:p w14:paraId="32E2FCE3">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877FEB8">
      <w:pPr>
        <w:spacing w:line="420" w:lineRule="exact"/>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监狱和戒毒企业证明材料</w:t>
      </w:r>
    </w:p>
    <w:p w14:paraId="05D3168D">
      <w:pPr>
        <w:spacing w:line="420" w:lineRule="exact"/>
        <w:ind w:firstLine="495" w:firstLineChars="177"/>
        <w:rPr>
          <w:rFonts w:ascii="宋体" w:hAnsi="宋体" w:cs="宋体"/>
          <w:color w:val="auto"/>
          <w:sz w:val="28"/>
          <w:szCs w:val="28"/>
          <w:highlight w:val="none"/>
        </w:rPr>
      </w:pPr>
    </w:p>
    <w:p w14:paraId="7E280453">
      <w:pPr>
        <w:spacing w:line="420" w:lineRule="exact"/>
        <w:ind w:firstLine="426" w:firstLineChars="177"/>
        <w:jc w:val="center"/>
        <w:rPr>
          <w:rFonts w:ascii="宋体" w:hAnsi="宋体" w:cs="宋体"/>
          <w:b/>
          <w:color w:val="auto"/>
          <w:sz w:val="24"/>
          <w:highlight w:val="none"/>
        </w:rPr>
      </w:pPr>
      <w:r>
        <w:rPr>
          <w:rFonts w:hint="eastAsia" w:ascii="宋体" w:hAnsi="宋体" w:cs="宋体"/>
          <w:b/>
          <w:color w:val="auto"/>
          <w:sz w:val="24"/>
          <w:highlight w:val="none"/>
        </w:rPr>
        <w:t>（格式自拟）</w:t>
      </w:r>
    </w:p>
    <w:p w14:paraId="1942C201">
      <w:pPr>
        <w:spacing w:line="420" w:lineRule="exact"/>
        <w:ind w:firstLine="424" w:firstLineChars="177"/>
        <w:rPr>
          <w:rFonts w:ascii="宋体" w:hAnsi="宋体" w:cs="宋体"/>
          <w:color w:val="auto"/>
          <w:sz w:val="24"/>
          <w:highlight w:val="none"/>
        </w:rPr>
      </w:pPr>
    </w:p>
    <w:p w14:paraId="122223EF">
      <w:pPr>
        <w:spacing w:line="42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CB63B63">
      <w:pPr>
        <w:rPr>
          <w:rFonts w:ascii="宋体" w:hAnsi="宋体" w:cs="宋体"/>
          <w:color w:val="auto"/>
          <w:sz w:val="28"/>
          <w:szCs w:val="28"/>
          <w:highlight w:val="none"/>
        </w:rPr>
      </w:pPr>
    </w:p>
    <w:p w14:paraId="0EC02A41">
      <w:pPr>
        <w:spacing w:line="360" w:lineRule="auto"/>
        <w:rPr>
          <w:color w:val="auto"/>
          <w:highlight w:val="none"/>
        </w:rPr>
      </w:pPr>
    </w:p>
    <w:sectPr>
      <w:footerReference r:id="rId4" w:type="default"/>
      <w:pgSz w:w="11907" w:h="16839"/>
      <w:pgMar w:top="1429" w:right="1429" w:bottom="1429" w:left="1429" w:header="720" w:footer="720" w:gutter="0"/>
      <w:cols w:space="72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B1D4">
    <w:pPr>
      <w:pStyle w:val="50"/>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A846D">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8BA846D">
                    <w:pPr>
                      <w:pStyle w:val="14"/>
                    </w:pPr>
                    <w:r>
                      <w:fldChar w:fldCharType="begin"/>
                    </w:r>
                    <w:r>
                      <w:instrText xml:space="preserve"> PAGE  \* MERGEFORMAT </w:instrText>
                    </w:r>
                    <w:r>
                      <w:fldChar w:fldCharType="separate"/>
                    </w:r>
                    <w:r>
                      <w:t>20</w:t>
                    </w:r>
                    <w:r>
                      <w:fldChar w:fldCharType="end"/>
                    </w:r>
                  </w:p>
                </w:txbxContent>
              </v:textbox>
            </v:shape>
          </w:pict>
        </mc:Fallback>
      </mc:AlternateContent>
    </w: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E774">
    <w:pPr>
      <w:pStyle w:val="14"/>
      <w:jc w:val="center"/>
    </w:pPr>
    <w:r>
      <w:fldChar w:fldCharType="begin"/>
    </w:r>
    <w:r>
      <w:instrText xml:space="preserve"> PAGE   \* MERGEFORMAT </w:instrText>
    </w:r>
    <w:r>
      <w:fldChar w:fldCharType="separate"/>
    </w:r>
    <w:r>
      <w:rPr>
        <w:lang w:val="zh-CN"/>
      </w:rPr>
      <w:t>49</w:t>
    </w:r>
    <w:r>
      <w:rPr>
        <w:lang w:val="zh-CN"/>
      </w:rPr>
      <w:fldChar w:fldCharType="end"/>
    </w:r>
  </w:p>
  <w:p w14:paraId="0EC7833F">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49AB3"/>
    <w:multiLevelType w:val="singleLevel"/>
    <w:tmpl w:val="EE149AB3"/>
    <w:lvl w:ilvl="0" w:tentative="0">
      <w:start w:val="2"/>
      <w:numFmt w:val="decimal"/>
      <w:suff w:val="nothing"/>
      <w:lvlText w:val="（%1）"/>
      <w:lvlJc w:val="left"/>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M2YyZDMyNGE0NzM0ODZiOTFiNjEzNzgyZTQyMjMifQ=="/>
  </w:docVars>
  <w:rsids>
    <w:rsidRoot w:val="004E6A01"/>
    <w:rsid w:val="00004F3A"/>
    <w:rsid w:val="0002042E"/>
    <w:rsid w:val="000251AD"/>
    <w:rsid w:val="000251B3"/>
    <w:rsid w:val="000275F4"/>
    <w:rsid w:val="00042FB7"/>
    <w:rsid w:val="00045C4B"/>
    <w:rsid w:val="00057671"/>
    <w:rsid w:val="0006779E"/>
    <w:rsid w:val="000713C9"/>
    <w:rsid w:val="00075515"/>
    <w:rsid w:val="00081D7A"/>
    <w:rsid w:val="00083434"/>
    <w:rsid w:val="00085DCC"/>
    <w:rsid w:val="00086F5E"/>
    <w:rsid w:val="0008732D"/>
    <w:rsid w:val="00091AD9"/>
    <w:rsid w:val="000B7929"/>
    <w:rsid w:val="000D7998"/>
    <w:rsid w:val="000E05F2"/>
    <w:rsid w:val="000F1D62"/>
    <w:rsid w:val="000F3FC3"/>
    <w:rsid w:val="000F4F2C"/>
    <w:rsid w:val="000F7399"/>
    <w:rsid w:val="001116CB"/>
    <w:rsid w:val="001137DC"/>
    <w:rsid w:val="00115F3B"/>
    <w:rsid w:val="00127BAE"/>
    <w:rsid w:val="00130D3A"/>
    <w:rsid w:val="00131C02"/>
    <w:rsid w:val="00147540"/>
    <w:rsid w:val="0016523B"/>
    <w:rsid w:val="0016650C"/>
    <w:rsid w:val="001770FD"/>
    <w:rsid w:val="00182098"/>
    <w:rsid w:val="001842F7"/>
    <w:rsid w:val="0018438D"/>
    <w:rsid w:val="001A6770"/>
    <w:rsid w:val="001B5DC9"/>
    <w:rsid w:val="001C4492"/>
    <w:rsid w:val="001D5D25"/>
    <w:rsid w:val="001E071B"/>
    <w:rsid w:val="00201938"/>
    <w:rsid w:val="00213A61"/>
    <w:rsid w:val="00230629"/>
    <w:rsid w:val="00232282"/>
    <w:rsid w:val="00236D08"/>
    <w:rsid w:val="002401BF"/>
    <w:rsid w:val="00256063"/>
    <w:rsid w:val="00257BE2"/>
    <w:rsid w:val="00264234"/>
    <w:rsid w:val="00266C43"/>
    <w:rsid w:val="002749CA"/>
    <w:rsid w:val="002759BB"/>
    <w:rsid w:val="00286488"/>
    <w:rsid w:val="00292F49"/>
    <w:rsid w:val="00295D41"/>
    <w:rsid w:val="002A1EF6"/>
    <w:rsid w:val="002A2058"/>
    <w:rsid w:val="002A2D50"/>
    <w:rsid w:val="002C7C03"/>
    <w:rsid w:val="002D0784"/>
    <w:rsid w:val="002D1B82"/>
    <w:rsid w:val="002D3954"/>
    <w:rsid w:val="002F07A0"/>
    <w:rsid w:val="002F3F3E"/>
    <w:rsid w:val="00307F9B"/>
    <w:rsid w:val="00340ED2"/>
    <w:rsid w:val="003568B4"/>
    <w:rsid w:val="003628A6"/>
    <w:rsid w:val="003737A4"/>
    <w:rsid w:val="00377E58"/>
    <w:rsid w:val="00384813"/>
    <w:rsid w:val="003869DB"/>
    <w:rsid w:val="00392F74"/>
    <w:rsid w:val="00393094"/>
    <w:rsid w:val="00395368"/>
    <w:rsid w:val="003B60A0"/>
    <w:rsid w:val="003D2526"/>
    <w:rsid w:val="003E5033"/>
    <w:rsid w:val="00400A6D"/>
    <w:rsid w:val="004020C3"/>
    <w:rsid w:val="0041349D"/>
    <w:rsid w:val="004212D6"/>
    <w:rsid w:val="00423603"/>
    <w:rsid w:val="004275E8"/>
    <w:rsid w:val="00433583"/>
    <w:rsid w:val="00433757"/>
    <w:rsid w:val="004633D9"/>
    <w:rsid w:val="004854B7"/>
    <w:rsid w:val="004A2FCB"/>
    <w:rsid w:val="004B2F8E"/>
    <w:rsid w:val="004C1C13"/>
    <w:rsid w:val="004C2519"/>
    <w:rsid w:val="004C4040"/>
    <w:rsid w:val="004C5425"/>
    <w:rsid w:val="004D2DE0"/>
    <w:rsid w:val="004D6CF7"/>
    <w:rsid w:val="004E1835"/>
    <w:rsid w:val="004E1FBD"/>
    <w:rsid w:val="004E589E"/>
    <w:rsid w:val="004E66CD"/>
    <w:rsid w:val="004E6A01"/>
    <w:rsid w:val="004F4D44"/>
    <w:rsid w:val="0050218A"/>
    <w:rsid w:val="00505E24"/>
    <w:rsid w:val="00506000"/>
    <w:rsid w:val="00506326"/>
    <w:rsid w:val="00507573"/>
    <w:rsid w:val="00507A5F"/>
    <w:rsid w:val="00512B27"/>
    <w:rsid w:val="005305DD"/>
    <w:rsid w:val="00534926"/>
    <w:rsid w:val="00542063"/>
    <w:rsid w:val="00543BF8"/>
    <w:rsid w:val="0056330A"/>
    <w:rsid w:val="00583FBC"/>
    <w:rsid w:val="00597572"/>
    <w:rsid w:val="005B6827"/>
    <w:rsid w:val="005C303E"/>
    <w:rsid w:val="005C4729"/>
    <w:rsid w:val="005C63ED"/>
    <w:rsid w:val="005D0729"/>
    <w:rsid w:val="005E6254"/>
    <w:rsid w:val="006010BE"/>
    <w:rsid w:val="00601AF2"/>
    <w:rsid w:val="006038D8"/>
    <w:rsid w:val="00604959"/>
    <w:rsid w:val="006057AD"/>
    <w:rsid w:val="006078DA"/>
    <w:rsid w:val="00607E8B"/>
    <w:rsid w:val="00617200"/>
    <w:rsid w:val="00620788"/>
    <w:rsid w:val="00622F81"/>
    <w:rsid w:val="006259E2"/>
    <w:rsid w:val="0062661C"/>
    <w:rsid w:val="00634758"/>
    <w:rsid w:val="00635C44"/>
    <w:rsid w:val="0067146F"/>
    <w:rsid w:val="00672395"/>
    <w:rsid w:val="00676F9B"/>
    <w:rsid w:val="0068582A"/>
    <w:rsid w:val="00686279"/>
    <w:rsid w:val="006B3A9D"/>
    <w:rsid w:val="006C344A"/>
    <w:rsid w:val="006D3752"/>
    <w:rsid w:val="006E1FF7"/>
    <w:rsid w:val="006E6582"/>
    <w:rsid w:val="006E6F24"/>
    <w:rsid w:val="006F1AFD"/>
    <w:rsid w:val="006F7925"/>
    <w:rsid w:val="0070645D"/>
    <w:rsid w:val="00713FCC"/>
    <w:rsid w:val="00720EE5"/>
    <w:rsid w:val="00750DE2"/>
    <w:rsid w:val="00760F2B"/>
    <w:rsid w:val="00771021"/>
    <w:rsid w:val="007715CC"/>
    <w:rsid w:val="007923FE"/>
    <w:rsid w:val="00793B48"/>
    <w:rsid w:val="007A140C"/>
    <w:rsid w:val="007A264D"/>
    <w:rsid w:val="007B3699"/>
    <w:rsid w:val="007D34CA"/>
    <w:rsid w:val="007E06DE"/>
    <w:rsid w:val="007E700E"/>
    <w:rsid w:val="007F06AA"/>
    <w:rsid w:val="007F1D1B"/>
    <w:rsid w:val="007F406D"/>
    <w:rsid w:val="007F7FF6"/>
    <w:rsid w:val="00803B60"/>
    <w:rsid w:val="008165D1"/>
    <w:rsid w:val="008228A1"/>
    <w:rsid w:val="00827675"/>
    <w:rsid w:val="00835C5D"/>
    <w:rsid w:val="00864CF4"/>
    <w:rsid w:val="00880ABF"/>
    <w:rsid w:val="008851FB"/>
    <w:rsid w:val="008A0B38"/>
    <w:rsid w:val="008A164E"/>
    <w:rsid w:val="008A4C76"/>
    <w:rsid w:val="008B52F2"/>
    <w:rsid w:val="008C2935"/>
    <w:rsid w:val="008C73F9"/>
    <w:rsid w:val="008D609E"/>
    <w:rsid w:val="008E152E"/>
    <w:rsid w:val="008E303C"/>
    <w:rsid w:val="00916282"/>
    <w:rsid w:val="00916A6F"/>
    <w:rsid w:val="0093280D"/>
    <w:rsid w:val="009358CD"/>
    <w:rsid w:val="00956E3C"/>
    <w:rsid w:val="00974781"/>
    <w:rsid w:val="009A429D"/>
    <w:rsid w:val="009A5950"/>
    <w:rsid w:val="009B537B"/>
    <w:rsid w:val="009B7218"/>
    <w:rsid w:val="009C044F"/>
    <w:rsid w:val="009D069A"/>
    <w:rsid w:val="009F1422"/>
    <w:rsid w:val="00A001A2"/>
    <w:rsid w:val="00A20419"/>
    <w:rsid w:val="00A25890"/>
    <w:rsid w:val="00A40B79"/>
    <w:rsid w:val="00A53576"/>
    <w:rsid w:val="00A53B00"/>
    <w:rsid w:val="00A55F45"/>
    <w:rsid w:val="00A56DDD"/>
    <w:rsid w:val="00A60AC1"/>
    <w:rsid w:val="00A6528F"/>
    <w:rsid w:val="00A656FE"/>
    <w:rsid w:val="00A65FA9"/>
    <w:rsid w:val="00A7620F"/>
    <w:rsid w:val="00A76A64"/>
    <w:rsid w:val="00A772A9"/>
    <w:rsid w:val="00A9061C"/>
    <w:rsid w:val="00A90756"/>
    <w:rsid w:val="00A92BAC"/>
    <w:rsid w:val="00A93AD2"/>
    <w:rsid w:val="00A95735"/>
    <w:rsid w:val="00AA1048"/>
    <w:rsid w:val="00AA6F7C"/>
    <w:rsid w:val="00AB4D2B"/>
    <w:rsid w:val="00AB6A73"/>
    <w:rsid w:val="00AC0D86"/>
    <w:rsid w:val="00AD2158"/>
    <w:rsid w:val="00AE0EFC"/>
    <w:rsid w:val="00AE775C"/>
    <w:rsid w:val="00AF682B"/>
    <w:rsid w:val="00AF6E03"/>
    <w:rsid w:val="00B06300"/>
    <w:rsid w:val="00B1021A"/>
    <w:rsid w:val="00B40AFC"/>
    <w:rsid w:val="00B41417"/>
    <w:rsid w:val="00B61AFD"/>
    <w:rsid w:val="00B64175"/>
    <w:rsid w:val="00B65D51"/>
    <w:rsid w:val="00B71D6D"/>
    <w:rsid w:val="00B746AF"/>
    <w:rsid w:val="00B76409"/>
    <w:rsid w:val="00B76A32"/>
    <w:rsid w:val="00B84A3A"/>
    <w:rsid w:val="00B86772"/>
    <w:rsid w:val="00BA2BE4"/>
    <w:rsid w:val="00BA416B"/>
    <w:rsid w:val="00BB0E4E"/>
    <w:rsid w:val="00BB3093"/>
    <w:rsid w:val="00BC3F76"/>
    <w:rsid w:val="00BD0FC5"/>
    <w:rsid w:val="00BD68EA"/>
    <w:rsid w:val="00BE0A7F"/>
    <w:rsid w:val="00BE2864"/>
    <w:rsid w:val="00BE6DC9"/>
    <w:rsid w:val="00BF1195"/>
    <w:rsid w:val="00C01910"/>
    <w:rsid w:val="00C228EB"/>
    <w:rsid w:val="00C312B4"/>
    <w:rsid w:val="00C43777"/>
    <w:rsid w:val="00C541F8"/>
    <w:rsid w:val="00C56D1C"/>
    <w:rsid w:val="00C61138"/>
    <w:rsid w:val="00C6220A"/>
    <w:rsid w:val="00C62972"/>
    <w:rsid w:val="00C74B22"/>
    <w:rsid w:val="00C929CF"/>
    <w:rsid w:val="00C9548B"/>
    <w:rsid w:val="00CA3341"/>
    <w:rsid w:val="00CC03F9"/>
    <w:rsid w:val="00CC3DAD"/>
    <w:rsid w:val="00CD071E"/>
    <w:rsid w:val="00CD47DF"/>
    <w:rsid w:val="00CF3F31"/>
    <w:rsid w:val="00D126A1"/>
    <w:rsid w:val="00D13471"/>
    <w:rsid w:val="00D135E9"/>
    <w:rsid w:val="00D146BE"/>
    <w:rsid w:val="00D22E94"/>
    <w:rsid w:val="00D261A2"/>
    <w:rsid w:val="00D26B1A"/>
    <w:rsid w:val="00D53D23"/>
    <w:rsid w:val="00D5594D"/>
    <w:rsid w:val="00D771CB"/>
    <w:rsid w:val="00D84BAB"/>
    <w:rsid w:val="00D85E26"/>
    <w:rsid w:val="00D930DE"/>
    <w:rsid w:val="00D93671"/>
    <w:rsid w:val="00D95214"/>
    <w:rsid w:val="00D9581B"/>
    <w:rsid w:val="00DA63E5"/>
    <w:rsid w:val="00DB642F"/>
    <w:rsid w:val="00DF21CE"/>
    <w:rsid w:val="00DF57EB"/>
    <w:rsid w:val="00DF76CA"/>
    <w:rsid w:val="00DF7BB8"/>
    <w:rsid w:val="00E065BC"/>
    <w:rsid w:val="00E177D1"/>
    <w:rsid w:val="00E233DD"/>
    <w:rsid w:val="00E24069"/>
    <w:rsid w:val="00E310E6"/>
    <w:rsid w:val="00E4427F"/>
    <w:rsid w:val="00E71640"/>
    <w:rsid w:val="00E72D4F"/>
    <w:rsid w:val="00E80077"/>
    <w:rsid w:val="00E86056"/>
    <w:rsid w:val="00E87250"/>
    <w:rsid w:val="00E93F70"/>
    <w:rsid w:val="00E9633A"/>
    <w:rsid w:val="00EA3EEB"/>
    <w:rsid w:val="00EB0A1D"/>
    <w:rsid w:val="00EB578E"/>
    <w:rsid w:val="00EC243E"/>
    <w:rsid w:val="00EC3373"/>
    <w:rsid w:val="00EC797C"/>
    <w:rsid w:val="00ED26AE"/>
    <w:rsid w:val="00F2328A"/>
    <w:rsid w:val="00F32BA9"/>
    <w:rsid w:val="00F335E9"/>
    <w:rsid w:val="00F34928"/>
    <w:rsid w:val="00F34FA8"/>
    <w:rsid w:val="00F511D3"/>
    <w:rsid w:val="00F52E82"/>
    <w:rsid w:val="00F55EEF"/>
    <w:rsid w:val="00F608C4"/>
    <w:rsid w:val="00F6696F"/>
    <w:rsid w:val="00F71569"/>
    <w:rsid w:val="00F71642"/>
    <w:rsid w:val="00F80A25"/>
    <w:rsid w:val="00F8180C"/>
    <w:rsid w:val="00F8483F"/>
    <w:rsid w:val="00FA6E97"/>
    <w:rsid w:val="00FB2D0C"/>
    <w:rsid w:val="00FB61AB"/>
    <w:rsid w:val="00FC019B"/>
    <w:rsid w:val="00FD49BD"/>
    <w:rsid w:val="00FE043A"/>
    <w:rsid w:val="00FE1FB6"/>
    <w:rsid w:val="01747E56"/>
    <w:rsid w:val="01877B89"/>
    <w:rsid w:val="0272202F"/>
    <w:rsid w:val="02C10E79"/>
    <w:rsid w:val="030A0A72"/>
    <w:rsid w:val="036543A8"/>
    <w:rsid w:val="03912F41"/>
    <w:rsid w:val="03F139E0"/>
    <w:rsid w:val="040E4083"/>
    <w:rsid w:val="040F3E66"/>
    <w:rsid w:val="0429473C"/>
    <w:rsid w:val="04473600"/>
    <w:rsid w:val="045A3333"/>
    <w:rsid w:val="04CE307C"/>
    <w:rsid w:val="054507D8"/>
    <w:rsid w:val="05B9052D"/>
    <w:rsid w:val="066B7744"/>
    <w:rsid w:val="067B57E2"/>
    <w:rsid w:val="069847C0"/>
    <w:rsid w:val="07117EF5"/>
    <w:rsid w:val="071C0D73"/>
    <w:rsid w:val="071F2B16"/>
    <w:rsid w:val="07534719"/>
    <w:rsid w:val="07630750"/>
    <w:rsid w:val="07CD3E87"/>
    <w:rsid w:val="08000695"/>
    <w:rsid w:val="080F7306"/>
    <w:rsid w:val="081A5BC8"/>
    <w:rsid w:val="08251EAA"/>
    <w:rsid w:val="0849203C"/>
    <w:rsid w:val="08FE7A55"/>
    <w:rsid w:val="091F2D9D"/>
    <w:rsid w:val="094445B2"/>
    <w:rsid w:val="09CD3B5E"/>
    <w:rsid w:val="0A9469B8"/>
    <w:rsid w:val="0ADB0F46"/>
    <w:rsid w:val="0AEA2F37"/>
    <w:rsid w:val="0B291CB1"/>
    <w:rsid w:val="0B2C354F"/>
    <w:rsid w:val="0B8909A2"/>
    <w:rsid w:val="0BA26B08"/>
    <w:rsid w:val="0BD75FB3"/>
    <w:rsid w:val="0C9B4A10"/>
    <w:rsid w:val="0CE87367"/>
    <w:rsid w:val="0CF06F2A"/>
    <w:rsid w:val="0D324ED3"/>
    <w:rsid w:val="0D676AC1"/>
    <w:rsid w:val="0DA0452F"/>
    <w:rsid w:val="0DB316AF"/>
    <w:rsid w:val="0DBA3094"/>
    <w:rsid w:val="0DCE08EE"/>
    <w:rsid w:val="0DED6FC6"/>
    <w:rsid w:val="0E455054"/>
    <w:rsid w:val="0EF01DD1"/>
    <w:rsid w:val="0F7554C5"/>
    <w:rsid w:val="0F7D3354"/>
    <w:rsid w:val="103263BC"/>
    <w:rsid w:val="10853E2D"/>
    <w:rsid w:val="10B262A5"/>
    <w:rsid w:val="113A4C18"/>
    <w:rsid w:val="114C66F9"/>
    <w:rsid w:val="115F3764"/>
    <w:rsid w:val="11BC59E1"/>
    <w:rsid w:val="11E903EC"/>
    <w:rsid w:val="11E905CC"/>
    <w:rsid w:val="127F48AC"/>
    <w:rsid w:val="129A3494"/>
    <w:rsid w:val="1304176A"/>
    <w:rsid w:val="138C54D3"/>
    <w:rsid w:val="14092AD7"/>
    <w:rsid w:val="14356E6D"/>
    <w:rsid w:val="14467430"/>
    <w:rsid w:val="149F5FD8"/>
    <w:rsid w:val="14A01236"/>
    <w:rsid w:val="14C447F8"/>
    <w:rsid w:val="155D11DB"/>
    <w:rsid w:val="1574347F"/>
    <w:rsid w:val="15A703A2"/>
    <w:rsid w:val="1606331B"/>
    <w:rsid w:val="16227A29"/>
    <w:rsid w:val="16663DD9"/>
    <w:rsid w:val="16A91EF8"/>
    <w:rsid w:val="16BF171B"/>
    <w:rsid w:val="16FE0496"/>
    <w:rsid w:val="17BB43A9"/>
    <w:rsid w:val="180C273E"/>
    <w:rsid w:val="18455C50"/>
    <w:rsid w:val="188034A7"/>
    <w:rsid w:val="19017DC9"/>
    <w:rsid w:val="19110F6E"/>
    <w:rsid w:val="19393A07"/>
    <w:rsid w:val="196071E6"/>
    <w:rsid w:val="19C21C4E"/>
    <w:rsid w:val="1A1A55E6"/>
    <w:rsid w:val="1A2A36F0"/>
    <w:rsid w:val="1A2E6111"/>
    <w:rsid w:val="1A933CA0"/>
    <w:rsid w:val="1AA93651"/>
    <w:rsid w:val="1ABE47DE"/>
    <w:rsid w:val="1AF20311"/>
    <w:rsid w:val="1B22107E"/>
    <w:rsid w:val="1B6F1962"/>
    <w:rsid w:val="1B6F2CBA"/>
    <w:rsid w:val="1BB13D28"/>
    <w:rsid w:val="1BBB6955"/>
    <w:rsid w:val="1C2F10F1"/>
    <w:rsid w:val="1C425DBD"/>
    <w:rsid w:val="1CA00480"/>
    <w:rsid w:val="1CD37CCF"/>
    <w:rsid w:val="1D047E88"/>
    <w:rsid w:val="1D8316F5"/>
    <w:rsid w:val="1DA619A9"/>
    <w:rsid w:val="1DD106B2"/>
    <w:rsid w:val="1DEB1048"/>
    <w:rsid w:val="1E081BFA"/>
    <w:rsid w:val="1E237B35"/>
    <w:rsid w:val="1E270522"/>
    <w:rsid w:val="1E6E4153"/>
    <w:rsid w:val="1EC81FB4"/>
    <w:rsid w:val="1F3E1D77"/>
    <w:rsid w:val="20672C08"/>
    <w:rsid w:val="207277FE"/>
    <w:rsid w:val="20B740F8"/>
    <w:rsid w:val="20F656B2"/>
    <w:rsid w:val="212136FE"/>
    <w:rsid w:val="213F1567"/>
    <w:rsid w:val="2180471A"/>
    <w:rsid w:val="21A32365"/>
    <w:rsid w:val="21B20622"/>
    <w:rsid w:val="21E464DA"/>
    <w:rsid w:val="21E72831"/>
    <w:rsid w:val="23DC390D"/>
    <w:rsid w:val="24262DDA"/>
    <w:rsid w:val="242C0022"/>
    <w:rsid w:val="244F0582"/>
    <w:rsid w:val="24B14D99"/>
    <w:rsid w:val="24E24F53"/>
    <w:rsid w:val="250E3F9A"/>
    <w:rsid w:val="253F5855"/>
    <w:rsid w:val="258A313E"/>
    <w:rsid w:val="25E95111"/>
    <w:rsid w:val="25F27417"/>
    <w:rsid w:val="26062EC3"/>
    <w:rsid w:val="26154EB4"/>
    <w:rsid w:val="26280B3A"/>
    <w:rsid w:val="2665112C"/>
    <w:rsid w:val="26914E82"/>
    <w:rsid w:val="26995AE5"/>
    <w:rsid w:val="26D66D39"/>
    <w:rsid w:val="277F4CDB"/>
    <w:rsid w:val="28054DDB"/>
    <w:rsid w:val="28A22899"/>
    <w:rsid w:val="28FB2A87"/>
    <w:rsid w:val="29E32845"/>
    <w:rsid w:val="29F17728"/>
    <w:rsid w:val="29FB2613"/>
    <w:rsid w:val="2AC60E73"/>
    <w:rsid w:val="2B400C25"/>
    <w:rsid w:val="2B565E8C"/>
    <w:rsid w:val="2BB24484"/>
    <w:rsid w:val="2BBB1C53"/>
    <w:rsid w:val="2BD66E93"/>
    <w:rsid w:val="2C22657D"/>
    <w:rsid w:val="2C8D7E9A"/>
    <w:rsid w:val="2CAD22EA"/>
    <w:rsid w:val="2CFC0B7C"/>
    <w:rsid w:val="2D241E80"/>
    <w:rsid w:val="2D382760"/>
    <w:rsid w:val="2D413F36"/>
    <w:rsid w:val="2D5B7F98"/>
    <w:rsid w:val="2EA846EB"/>
    <w:rsid w:val="2EF35FAE"/>
    <w:rsid w:val="2F034443"/>
    <w:rsid w:val="2F4744A7"/>
    <w:rsid w:val="2F4D56BE"/>
    <w:rsid w:val="2FA06136"/>
    <w:rsid w:val="2FAA0D63"/>
    <w:rsid w:val="301937F3"/>
    <w:rsid w:val="308A02D6"/>
    <w:rsid w:val="30CD4226"/>
    <w:rsid w:val="31457DBA"/>
    <w:rsid w:val="32D103B5"/>
    <w:rsid w:val="32E021DD"/>
    <w:rsid w:val="331C1F78"/>
    <w:rsid w:val="347D07F4"/>
    <w:rsid w:val="348222AE"/>
    <w:rsid w:val="34A55D05"/>
    <w:rsid w:val="34E16FD5"/>
    <w:rsid w:val="35246EC1"/>
    <w:rsid w:val="352549E8"/>
    <w:rsid w:val="35790469"/>
    <w:rsid w:val="35FE7713"/>
    <w:rsid w:val="362F1FC2"/>
    <w:rsid w:val="36323860"/>
    <w:rsid w:val="36DA1FCE"/>
    <w:rsid w:val="37461371"/>
    <w:rsid w:val="377C48B6"/>
    <w:rsid w:val="379C71E3"/>
    <w:rsid w:val="38033706"/>
    <w:rsid w:val="383E473E"/>
    <w:rsid w:val="38481C7E"/>
    <w:rsid w:val="38593C76"/>
    <w:rsid w:val="386046B4"/>
    <w:rsid w:val="386C7E6A"/>
    <w:rsid w:val="38DB7C21"/>
    <w:rsid w:val="38EA6F99"/>
    <w:rsid w:val="39293AA4"/>
    <w:rsid w:val="392C4704"/>
    <w:rsid w:val="3A5825AC"/>
    <w:rsid w:val="3A640854"/>
    <w:rsid w:val="3B932D52"/>
    <w:rsid w:val="3C326368"/>
    <w:rsid w:val="3C805A5B"/>
    <w:rsid w:val="3C857888"/>
    <w:rsid w:val="3DE95A11"/>
    <w:rsid w:val="3E130148"/>
    <w:rsid w:val="3E287A22"/>
    <w:rsid w:val="3E4747AC"/>
    <w:rsid w:val="3E530817"/>
    <w:rsid w:val="3E841E5A"/>
    <w:rsid w:val="3EBD5D47"/>
    <w:rsid w:val="3EF913BF"/>
    <w:rsid w:val="3F1735F3"/>
    <w:rsid w:val="3F220916"/>
    <w:rsid w:val="3F9B5FD2"/>
    <w:rsid w:val="3FA4757D"/>
    <w:rsid w:val="3FAE21A9"/>
    <w:rsid w:val="3FCE45FA"/>
    <w:rsid w:val="402266F3"/>
    <w:rsid w:val="409867F9"/>
    <w:rsid w:val="41407380"/>
    <w:rsid w:val="414D59F2"/>
    <w:rsid w:val="420B38E3"/>
    <w:rsid w:val="42116A20"/>
    <w:rsid w:val="425F0A93"/>
    <w:rsid w:val="43340C18"/>
    <w:rsid w:val="433B01F8"/>
    <w:rsid w:val="4355293C"/>
    <w:rsid w:val="4366313D"/>
    <w:rsid w:val="438065B1"/>
    <w:rsid w:val="439E1AC6"/>
    <w:rsid w:val="43F16B09"/>
    <w:rsid w:val="441B1DD7"/>
    <w:rsid w:val="4456696C"/>
    <w:rsid w:val="44604B4B"/>
    <w:rsid w:val="448B0D0B"/>
    <w:rsid w:val="449A7EB1"/>
    <w:rsid w:val="45280308"/>
    <w:rsid w:val="4554492E"/>
    <w:rsid w:val="456A6B72"/>
    <w:rsid w:val="461B536E"/>
    <w:rsid w:val="46B64A65"/>
    <w:rsid w:val="46C41658"/>
    <w:rsid w:val="46D17D48"/>
    <w:rsid w:val="46DF28B7"/>
    <w:rsid w:val="47021090"/>
    <w:rsid w:val="47653A95"/>
    <w:rsid w:val="47BE4F54"/>
    <w:rsid w:val="47CD5197"/>
    <w:rsid w:val="48580F04"/>
    <w:rsid w:val="49180694"/>
    <w:rsid w:val="492434DC"/>
    <w:rsid w:val="492B6619"/>
    <w:rsid w:val="497D7EEC"/>
    <w:rsid w:val="4A4C4A99"/>
    <w:rsid w:val="4AA541A9"/>
    <w:rsid w:val="4B810772"/>
    <w:rsid w:val="4BEB6533"/>
    <w:rsid w:val="4C942727"/>
    <w:rsid w:val="4CAF7AAD"/>
    <w:rsid w:val="4CBB4158"/>
    <w:rsid w:val="4CC74E8B"/>
    <w:rsid w:val="4D16138E"/>
    <w:rsid w:val="4D7367E0"/>
    <w:rsid w:val="4DC332C4"/>
    <w:rsid w:val="4E4F2DA9"/>
    <w:rsid w:val="4ED84B4D"/>
    <w:rsid w:val="4F7B197C"/>
    <w:rsid w:val="4F7D74A2"/>
    <w:rsid w:val="4F9071D6"/>
    <w:rsid w:val="4FF43C08"/>
    <w:rsid w:val="4FF9121F"/>
    <w:rsid w:val="50E40072"/>
    <w:rsid w:val="50ED2406"/>
    <w:rsid w:val="5100368A"/>
    <w:rsid w:val="510734C7"/>
    <w:rsid w:val="51D33CF1"/>
    <w:rsid w:val="528A4D50"/>
    <w:rsid w:val="52B458D1"/>
    <w:rsid w:val="534F73A8"/>
    <w:rsid w:val="538C5F06"/>
    <w:rsid w:val="54292322"/>
    <w:rsid w:val="543E2C5B"/>
    <w:rsid w:val="556F3D31"/>
    <w:rsid w:val="55911EF9"/>
    <w:rsid w:val="55AA4D69"/>
    <w:rsid w:val="55F20EB5"/>
    <w:rsid w:val="56847368"/>
    <w:rsid w:val="56EB388B"/>
    <w:rsid w:val="56F64708"/>
    <w:rsid w:val="57405985"/>
    <w:rsid w:val="57607DD5"/>
    <w:rsid w:val="576A78C0"/>
    <w:rsid w:val="580C278E"/>
    <w:rsid w:val="580F0DED"/>
    <w:rsid w:val="585D4315"/>
    <w:rsid w:val="58607961"/>
    <w:rsid w:val="59112BBF"/>
    <w:rsid w:val="591B0458"/>
    <w:rsid w:val="59B461B6"/>
    <w:rsid w:val="59CE33A8"/>
    <w:rsid w:val="5A0709DC"/>
    <w:rsid w:val="5A9F0C15"/>
    <w:rsid w:val="5AF2343A"/>
    <w:rsid w:val="5B4F78F6"/>
    <w:rsid w:val="5C4001D5"/>
    <w:rsid w:val="5C553C81"/>
    <w:rsid w:val="5D3F223B"/>
    <w:rsid w:val="5D5061F6"/>
    <w:rsid w:val="5DAA7FFC"/>
    <w:rsid w:val="5DC90594"/>
    <w:rsid w:val="5DD706C5"/>
    <w:rsid w:val="5DD76949"/>
    <w:rsid w:val="5DDD4037"/>
    <w:rsid w:val="5E2A0C6B"/>
    <w:rsid w:val="5E954808"/>
    <w:rsid w:val="5E99633A"/>
    <w:rsid w:val="5EC24ED2"/>
    <w:rsid w:val="5EFD5F0A"/>
    <w:rsid w:val="5F37766E"/>
    <w:rsid w:val="5F531FCE"/>
    <w:rsid w:val="5FAB74A0"/>
    <w:rsid w:val="5FE84C67"/>
    <w:rsid w:val="600F2399"/>
    <w:rsid w:val="61C251E9"/>
    <w:rsid w:val="61F554B8"/>
    <w:rsid w:val="62051CA5"/>
    <w:rsid w:val="622D6B06"/>
    <w:rsid w:val="628E741B"/>
    <w:rsid w:val="62A50D92"/>
    <w:rsid w:val="62EC6671"/>
    <w:rsid w:val="632779F9"/>
    <w:rsid w:val="632C670F"/>
    <w:rsid w:val="63365E8E"/>
    <w:rsid w:val="6340727D"/>
    <w:rsid w:val="63E44A84"/>
    <w:rsid w:val="6433216B"/>
    <w:rsid w:val="64611EBE"/>
    <w:rsid w:val="6468651B"/>
    <w:rsid w:val="646F3406"/>
    <w:rsid w:val="64847A17"/>
    <w:rsid w:val="658D448B"/>
    <w:rsid w:val="66646E77"/>
    <w:rsid w:val="67A737C4"/>
    <w:rsid w:val="67D8186C"/>
    <w:rsid w:val="68FA4718"/>
    <w:rsid w:val="690D021B"/>
    <w:rsid w:val="69845BA5"/>
    <w:rsid w:val="699E7743"/>
    <w:rsid w:val="69A9560C"/>
    <w:rsid w:val="69D361E5"/>
    <w:rsid w:val="69D40B5D"/>
    <w:rsid w:val="69EE3DC3"/>
    <w:rsid w:val="6A9F256B"/>
    <w:rsid w:val="6AD06BC8"/>
    <w:rsid w:val="6AFB3CEC"/>
    <w:rsid w:val="6B2E439E"/>
    <w:rsid w:val="6B2E5A13"/>
    <w:rsid w:val="6B477DA3"/>
    <w:rsid w:val="6B9419A4"/>
    <w:rsid w:val="6BF6440D"/>
    <w:rsid w:val="6C112375"/>
    <w:rsid w:val="6C4452FB"/>
    <w:rsid w:val="6CB9496E"/>
    <w:rsid w:val="6CFC26C4"/>
    <w:rsid w:val="6D01750D"/>
    <w:rsid w:val="6D141A36"/>
    <w:rsid w:val="6D2A25C0"/>
    <w:rsid w:val="6D5910F7"/>
    <w:rsid w:val="6D6B4986"/>
    <w:rsid w:val="6E6B7334"/>
    <w:rsid w:val="6F0B4673"/>
    <w:rsid w:val="6F1F3C7A"/>
    <w:rsid w:val="6F3F60CB"/>
    <w:rsid w:val="703D18FA"/>
    <w:rsid w:val="70910BA8"/>
    <w:rsid w:val="70D36A14"/>
    <w:rsid w:val="710A7803"/>
    <w:rsid w:val="71461992"/>
    <w:rsid w:val="71D64C8D"/>
    <w:rsid w:val="726454F7"/>
    <w:rsid w:val="72A20E4A"/>
    <w:rsid w:val="72EC0317"/>
    <w:rsid w:val="7306587D"/>
    <w:rsid w:val="739C3532"/>
    <w:rsid w:val="73C96FD0"/>
    <w:rsid w:val="73E62FB9"/>
    <w:rsid w:val="74806F69"/>
    <w:rsid w:val="74DE3297"/>
    <w:rsid w:val="74F667BF"/>
    <w:rsid w:val="755A3C5E"/>
    <w:rsid w:val="755A7887"/>
    <w:rsid w:val="75660855"/>
    <w:rsid w:val="757557F6"/>
    <w:rsid w:val="75F419BD"/>
    <w:rsid w:val="763044F2"/>
    <w:rsid w:val="763B583E"/>
    <w:rsid w:val="7656290B"/>
    <w:rsid w:val="76676633"/>
    <w:rsid w:val="76A41635"/>
    <w:rsid w:val="76E652B4"/>
    <w:rsid w:val="77057BFA"/>
    <w:rsid w:val="77642B72"/>
    <w:rsid w:val="779C055E"/>
    <w:rsid w:val="77D2116F"/>
    <w:rsid w:val="78287713"/>
    <w:rsid w:val="78FA19E0"/>
    <w:rsid w:val="790E7239"/>
    <w:rsid w:val="792175AB"/>
    <w:rsid w:val="794D2D3E"/>
    <w:rsid w:val="7A490C0F"/>
    <w:rsid w:val="7A9E1627"/>
    <w:rsid w:val="7AD85D51"/>
    <w:rsid w:val="7C1F31A8"/>
    <w:rsid w:val="7CCD11BA"/>
    <w:rsid w:val="7D480840"/>
    <w:rsid w:val="7D5D253D"/>
    <w:rsid w:val="7E573431"/>
    <w:rsid w:val="7E5F04E9"/>
    <w:rsid w:val="7E68412B"/>
    <w:rsid w:val="7EFE565A"/>
    <w:rsid w:val="7F052E8D"/>
    <w:rsid w:val="7F3C1105"/>
    <w:rsid w:val="7FC22B2C"/>
    <w:rsid w:val="7FE30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8"/>
    <w:qFormat/>
    <w:uiPriority w:val="0"/>
    <w:pPr>
      <w:ind w:firstLine="420"/>
    </w:pPr>
    <w:rPr>
      <w:szCs w:val="20"/>
    </w:rPr>
  </w:style>
  <w:style w:type="paragraph" w:styleId="6">
    <w:name w:val="annotation text"/>
    <w:basedOn w:val="1"/>
    <w:link w:val="43"/>
    <w:unhideWhenUsed/>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link w:val="25"/>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Block Text"/>
    <w:basedOn w:val="1"/>
    <w:semiHidden/>
    <w:unhideWhenUsed/>
    <w:qFormat/>
    <w:uiPriority w:val="99"/>
    <w:pPr>
      <w:spacing w:after="120"/>
      <w:ind w:left="1440" w:leftChars="700" w:right="1440" w:rightChars="70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link w:val="30"/>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Autospacing="1" w:afterAutospacing="1"/>
      <w:jc w:val="left"/>
    </w:pPr>
    <w:rPr>
      <w:rFonts w:ascii="宋体" w:hAnsi="宋体"/>
      <w:kern w:val="0"/>
      <w:sz w:val="24"/>
    </w:rPr>
  </w:style>
  <w:style w:type="paragraph" w:styleId="17">
    <w:name w:val="annotation subject"/>
    <w:basedOn w:val="6"/>
    <w:next w:val="6"/>
    <w:link w:val="44"/>
    <w:semiHidden/>
    <w:unhideWhenUsed/>
    <w:qFormat/>
    <w:uiPriority w:val="99"/>
    <w:rPr>
      <w:b/>
      <w:bCs/>
    </w:rPr>
  </w:style>
  <w:style w:type="paragraph" w:styleId="18">
    <w:name w:val="Body Text First Indent 2"/>
    <w:basedOn w:val="8"/>
    <w:link w:val="26"/>
    <w:unhideWhenUsed/>
    <w:qFormat/>
    <w:uiPriority w:val="99"/>
    <w:pPr>
      <w:ind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FF"/>
      <w:u w:val="single"/>
    </w:rPr>
  </w:style>
  <w:style w:type="character" w:styleId="23">
    <w:name w:val="annotation reference"/>
    <w:unhideWhenUsed/>
    <w:qFormat/>
    <w:uiPriority w:val="0"/>
    <w:rPr>
      <w:sz w:val="21"/>
      <w:szCs w:val="21"/>
    </w:rPr>
  </w:style>
  <w:style w:type="paragraph" w:customStyle="1" w:styleId="24">
    <w:name w:val="Default"/>
    <w:next w:val="1"/>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5">
    <w:name w:val="正文文本缩进 Char"/>
    <w:basedOn w:val="21"/>
    <w:link w:val="8"/>
    <w:semiHidden/>
    <w:qFormat/>
    <w:uiPriority w:val="99"/>
    <w:rPr>
      <w:rFonts w:ascii="Times New Roman" w:hAnsi="Times New Roman" w:eastAsia="宋体" w:cs="Times New Roman"/>
      <w:szCs w:val="24"/>
    </w:rPr>
  </w:style>
  <w:style w:type="character" w:customStyle="1" w:styleId="26">
    <w:name w:val="正文首行缩进 2 Char"/>
    <w:basedOn w:val="25"/>
    <w:link w:val="18"/>
    <w:qFormat/>
    <w:uiPriority w:val="99"/>
    <w:rPr>
      <w:rFonts w:ascii="Times New Roman" w:hAnsi="Times New Roman" w:eastAsia="宋体" w:cs="Times New Roman"/>
      <w:szCs w:val="24"/>
    </w:rPr>
  </w:style>
  <w:style w:type="character" w:customStyle="1" w:styleId="27">
    <w:name w:val="正文文本缩进 Char1"/>
    <w:qFormat/>
    <w:uiPriority w:val="0"/>
    <w:rPr>
      <w:kern w:val="2"/>
      <w:sz w:val="21"/>
      <w:szCs w:val="24"/>
    </w:rPr>
  </w:style>
  <w:style w:type="character" w:customStyle="1" w:styleId="28">
    <w:name w:val="正文缩进 Char"/>
    <w:link w:val="5"/>
    <w:qFormat/>
    <w:uiPriority w:val="0"/>
    <w:rPr>
      <w:rFonts w:ascii="Times New Roman" w:hAnsi="Times New Roman" w:eastAsia="宋体" w:cs="Times New Roman"/>
      <w:szCs w:val="20"/>
    </w:rPr>
  </w:style>
  <w:style w:type="character" w:customStyle="1" w:styleId="29">
    <w:name w:val="批注框文本 Char"/>
    <w:basedOn w:val="21"/>
    <w:link w:val="13"/>
    <w:qFormat/>
    <w:uiPriority w:val="0"/>
    <w:rPr>
      <w:rFonts w:ascii="Times New Roman" w:hAnsi="Times New Roman" w:eastAsia="宋体" w:cs="Times New Roman"/>
      <w:sz w:val="18"/>
      <w:szCs w:val="18"/>
    </w:rPr>
  </w:style>
  <w:style w:type="character" w:customStyle="1" w:styleId="30">
    <w:name w:val="页脚 Char"/>
    <w:basedOn w:val="21"/>
    <w:link w:val="14"/>
    <w:qFormat/>
    <w:uiPriority w:val="99"/>
    <w:rPr>
      <w:rFonts w:ascii="Times New Roman" w:hAnsi="Times New Roman" w:eastAsia="宋体" w:cs="Times New Roman"/>
      <w:sz w:val="18"/>
      <w:szCs w:val="18"/>
    </w:rPr>
  </w:style>
  <w:style w:type="character" w:customStyle="1" w:styleId="31">
    <w:name w:val="正文缩进2格 Char"/>
    <w:link w:val="32"/>
    <w:qFormat/>
    <w:locked/>
    <w:uiPriority w:val="0"/>
    <w:rPr>
      <w:rFonts w:ascii="仿宋_GB2312" w:hAnsi="宋体" w:eastAsia="仿宋_GB2312"/>
      <w:sz w:val="31"/>
      <w:szCs w:val="28"/>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cstheme="minorBidi"/>
      <w:sz w:val="31"/>
      <w:szCs w:val="28"/>
    </w:rPr>
  </w:style>
  <w:style w:type="paragraph" w:customStyle="1" w:styleId="33">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4">
    <w:name w:val="我的正文 Char"/>
    <w:link w:val="35"/>
    <w:qFormat/>
    <w:locked/>
    <w:uiPriority w:val="0"/>
    <w:rPr>
      <w:rFonts w:ascii="宋体" w:hAnsi="宋体"/>
      <w:sz w:val="24"/>
      <w:szCs w:val="24"/>
    </w:rPr>
  </w:style>
  <w:style w:type="paragraph" w:customStyle="1" w:styleId="35">
    <w:name w:val="我的正文"/>
    <w:basedOn w:val="1"/>
    <w:link w:val="34"/>
    <w:qFormat/>
    <w:uiPriority w:val="0"/>
    <w:pPr>
      <w:snapToGrid w:val="0"/>
      <w:spacing w:line="300" w:lineRule="auto"/>
      <w:ind w:firstLine="150" w:firstLineChars="150"/>
    </w:pPr>
    <w:rPr>
      <w:rFonts w:ascii="宋体" w:hAnsi="宋体" w:eastAsiaTheme="minorEastAsia" w:cstheme="minorBidi"/>
      <w:sz w:val="24"/>
    </w:rPr>
  </w:style>
  <w:style w:type="paragraph" w:customStyle="1" w:styleId="36">
    <w:name w:val="列出段落1"/>
    <w:basedOn w:val="1"/>
    <w:qFormat/>
    <w:uiPriority w:val="34"/>
    <w:pPr>
      <w:ind w:firstLine="420" w:firstLineChars="200"/>
    </w:pPr>
  </w:style>
  <w:style w:type="character" w:customStyle="1" w:styleId="37">
    <w:name w:val="fontstyle01"/>
    <w:qFormat/>
    <w:uiPriority w:val="0"/>
    <w:rPr>
      <w:rFonts w:hint="eastAsia" w:ascii="宋体" w:hAnsi="宋体" w:eastAsia="宋体"/>
      <w:color w:val="000000"/>
      <w:sz w:val="24"/>
      <w:szCs w:val="24"/>
    </w:rPr>
  </w:style>
  <w:style w:type="paragraph" w:styleId="38">
    <w:name w:val="List Paragraph"/>
    <w:basedOn w:val="1"/>
    <w:qFormat/>
    <w:uiPriority w:val="34"/>
    <w:pPr>
      <w:ind w:firstLine="420" w:firstLineChars="200"/>
    </w:pPr>
  </w:style>
  <w:style w:type="paragraph" w:customStyle="1" w:styleId="39">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40">
    <w:name w:val="页眉 Char"/>
    <w:basedOn w:val="21"/>
    <w:link w:val="15"/>
    <w:qFormat/>
    <w:uiPriority w:val="99"/>
    <w:rPr>
      <w:rFonts w:ascii="Times New Roman" w:hAnsi="Times New Roman" w:eastAsia="宋体" w:cs="Times New Roman"/>
      <w:sz w:val="18"/>
      <w:szCs w:val="18"/>
    </w:rPr>
  </w:style>
  <w:style w:type="character" w:customStyle="1" w:styleId="41">
    <w:name w:val="font61"/>
    <w:basedOn w:val="21"/>
    <w:qFormat/>
    <w:uiPriority w:val="0"/>
    <w:rPr>
      <w:rFonts w:hint="eastAsia" w:ascii="宋体" w:hAnsi="宋体" w:eastAsia="宋体" w:cs="宋体"/>
      <w:color w:val="FF0000"/>
      <w:sz w:val="20"/>
      <w:szCs w:val="20"/>
      <w:u w:val="none"/>
    </w:rPr>
  </w:style>
  <w:style w:type="character" w:customStyle="1" w:styleId="42">
    <w:name w:val="font31"/>
    <w:basedOn w:val="21"/>
    <w:qFormat/>
    <w:uiPriority w:val="0"/>
    <w:rPr>
      <w:rFonts w:hint="eastAsia" w:ascii="宋体" w:hAnsi="宋体" w:eastAsia="宋体" w:cs="宋体"/>
      <w:color w:val="000000"/>
      <w:sz w:val="20"/>
      <w:szCs w:val="20"/>
      <w:u w:val="none"/>
    </w:rPr>
  </w:style>
  <w:style w:type="character" w:customStyle="1" w:styleId="43">
    <w:name w:val="批注文字 Char"/>
    <w:basedOn w:val="21"/>
    <w:link w:val="6"/>
    <w:qFormat/>
    <w:uiPriority w:val="0"/>
    <w:rPr>
      <w:kern w:val="2"/>
      <w:sz w:val="21"/>
      <w:szCs w:val="24"/>
    </w:rPr>
  </w:style>
  <w:style w:type="character" w:customStyle="1" w:styleId="44">
    <w:name w:val="批注主题 Char"/>
    <w:basedOn w:val="43"/>
    <w:link w:val="17"/>
    <w:qFormat/>
    <w:uiPriority w:val="0"/>
    <w:rPr>
      <w:kern w:val="2"/>
      <w:sz w:val="21"/>
      <w:szCs w:val="24"/>
    </w:rPr>
  </w:style>
  <w:style w:type="paragraph" w:customStyle="1" w:styleId="45">
    <w:name w:val="p0"/>
    <w:basedOn w:val="1"/>
    <w:qFormat/>
    <w:uiPriority w:val="0"/>
    <w:pPr>
      <w:widowControl/>
    </w:pPr>
    <w:rPr>
      <w:rFonts w:ascii="Calibri" w:hAnsi="Calibri" w:cs="宋体"/>
      <w:kern w:val="0"/>
      <w:szCs w:val="21"/>
    </w:rPr>
  </w:style>
  <w:style w:type="paragraph" w:customStyle="1" w:styleId="46">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paragraph" w:customStyle="1" w:styleId="47">
    <w:name w:val="_Style 8"/>
    <w:basedOn w:val="1"/>
    <w:qFormat/>
    <w:uiPriority w:val="0"/>
    <w:pPr>
      <w:spacing w:after="120"/>
      <w:ind w:firstLine="100" w:firstLineChars="100"/>
    </w:pPr>
    <w:rPr>
      <w:rFonts w:ascii="Calibri" w:hAnsi="Calibri"/>
      <w:szCs w:val="22"/>
    </w:rPr>
  </w:style>
  <w:style w:type="paragraph" w:customStyle="1" w:styleId="48">
    <w:name w:val="正文2"/>
    <w:qFormat/>
    <w:uiPriority w:val="0"/>
    <w:pPr>
      <w:widowControl w:val="0"/>
      <w:spacing w:before="156" w:line="360" w:lineRule="auto"/>
      <w:ind w:firstLine="200"/>
      <w:jc w:val="both"/>
    </w:pPr>
    <w:rPr>
      <w:rFonts w:ascii="Times New Roman" w:hAnsi="Times New Roman" w:eastAsia="宋体" w:cs="Times New Roman"/>
      <w:sz w:val="24"/>
      <w:lang w:val="en-US" w:eastAsia="zh-CN" w:bidi="ar-SA"/>
    </w:rPr>
  </w:style>
  <w:style w:type="paragraph" w:customStyle="1" w:styleId="49">
    <w:name w:val="纯文本1"/>
    <w:basedOn w:val="1"/>
    <w:qFormat/>
    <w:uiPriority w:val="0"/>
    <w:rPr>
      <w:rFonts w:ascii="宋体" w:hAnsi="Courier New" w:cs="Courier New"/>
      <w:szCs w:val="21"/>
    </w:rPr>
  </w:style>
  <w:style w:type="paragraph" w:customStyle="1" w:styleId="50">
    <w:name w:val="页脚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DD0AD-D418-4265-B900-D1E0014608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12320</Words>
  <Characters>12735</Characters>
  <Lines>157</Lines>
  <Paragraphs>44</Paragraphs>
  <TotalTime>2</TotalTime>
  <ScaleCrop>false</ScaleCrop>
  <LinksUpToDate>false</LinksUpToDate>
  <CharactersWithSpaces>13004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2023-12-01T01:56:00Z</dcterms:created>
  <dc:creator>吉加兵</dc:creator>
  <cp:lastModifiedBy>WPS_1542117345</cp:lastModifiedBy>
  <cp:lastPrinted>2022-03-01T06:57:00Z</cp:lastPrinted>
  <dcterms:modified xsi:type="dcterms:W3CDTF">2025-05-28T09:12:41Z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BB43C2EFA2064B36BE31A0481D812D77_13</vt:lpwstr>
  </property>
  <property fmtid="{D5CDD505-2E9C-101B-9397-08002B2CF9AE}" pid="4" name="KSOTemplateDocerSaveRecord">
    <vt:lpwstr>eyJoZGlkIjoiZmMxNTFmN2NlZTk0MGQ1OTkxM2M1ZDNhNDkyN2Q1NDciLCJ1c2VySWQiOiI0Mjc4NTY2NzMifQ==</vt:lpwstr>
  </property>
</Properties>
</file>