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59D67">
      <w:pPr>
        <w:shd w:val="clear" w:color="auto" w:fill="auto"/>
        <w:spacing w:line="500" w:lineRule="exact"/>
        <w:jc w:val="center"/>
        <w:rPr>
          <w:rFonts w:ascii="Times New Roman"/>
          <w:b/>
          <w:color w:val="auto"/>
          <w:spacing w:val="20"/>
          <w:sz w:val="44"/>
          <w:highlight w:val="none"/>
          <w:u w:val="single"/>
        </w:rPr>
      </w:pPr>
    </w:p>
    <w:p w14:paraId="15E1E0FA">
      <w:pPr>
        <w:shd w:val="clear" w:color="auto" w:fill="auto"/>
        <w:spacing w:line="500" w:lineRule="exact"/>
        <w:jc w:val="center"/>
        <w:rPr>
          <w:rFonts w:hint="eastAsia" w:ascii="Times New Roman" w:eastAsia="宋体"/>
          <w:b/>
          <w:color w:val="auto"/>
          <w:spacing w:val="20"/>
          <w:sz w:val="44"/>
          <w:highlight w:val="none"/>
          <w:u w:val="single"/>
          <w:lang w:eastAsia="zh-CN"/>
        </w:rPr>
      </w:pPr>
      <w:r>
        <w:rPr>
          <w:rFonts w:hint="eastAsia"/>
          <w:b/>
          <w:color w:val="auto"/>
          <w:spacing w:val="20"/>
          <w:sz w:val="36"/>
          <w:szCs w:val="21"/>
          <w:highlight w:val="none"/>
          <w:u w:val="single"/>
          <w:lang w:eastAsia="zh-CN"/>
        </w:rPr>
        <w:t>南通市区出租汽车运力规模评估研究项目</w:t>
      </w:r>
    </w:p>
    <w:p w14:paraId="09B31989">
      <w:pPr>
        <w:shd w:val="clear" w:color="auto" w:fill="auto"/>
        <w:jc w:val="center"/>
        <w:rPr>
          <w:rFonts w:ascii="Times New Roman" w:eastAsia="华文新魏"/>
          <w:b/>
          <w:color w:val="auto"/>
          <w:sz w:val="100"/>
          <w:szCs w:val="100"/>
          <w:highlight w:val="none"/>
        </w:rPr>
      </w:pPr>
      <w:r>
        <w:rPr>
          <w:rFonts w:ascii="Times New Roman" w:eastAsia="华文新魏"/>
          <w:b/>
          <w:color w:val="auto"/>
          <w:sz w:val="100"/>
          <w:szCs w:val="100"/>
          <w:highlight w:val="none"/>
        </w:rPr>
        <w:t>采购招标文件</w:t>
      </w:r>
    </w:p>
    <w:p w14:paraId="04C24A86">
      <w:pPr>
        <w:shd w:val="clear" w:color="auto" w:fill="auto"/>
        <w:rPr>
          <w:rFonts w:ascii="Times New Roman"/>
          <w:color w:val="auto"/>
          <w:highlight w:val="none"/>
        </w:rPr>
      </w:pPr>
    </w:p>
    <w:p w14:paraId="321EDA84">
      <w:pPr>
        <w:shd w:val="clear" w:color="auto" w:fill="auto"/>
        <w:spacing w:line="500" w:lineRule="exact"/>
        <w:jc w:val="center"/>
        <w:rPr>
          <w:rFonts w:ascii="Times New Roman" w:eastAsia="仿宋_GB2312"/>
          <w:b/>
          <w:color w:val="auto"/>
          <w:sz w:val="36"/>
          <w:highlight w:val="none"/>
        </w:rPr>
      </w:pPr>
    </w:p>
    <w:p w14:paraId="611345C3">
      <w:pPr>
        <w:shd w:val="clear" w:color="auto" w:fill="auto"/>
        <w:spacing w:line="500" w:lineRule="exact"/>
        <w:jc w:val="center"/>
        <w:rPr>
          <w:rFonts w:ascii="Times New Roman" w:eastAsia="仿宋_GB2312"/>
          <w:b/>
          <w:color w:val="auto"/>
          <w:sz w:val="36"/>
          <w:highlight w:val="none"/>
        </w:rPr>
      </w:pPr>
    </w:p>
    <w:p w14:paraId="0E247730">
      <w:pPr>
        <w:shd w:val="clear" w:color="auto" w:fill="auto"/>
        <w:spacing w:line="500" w:lineRule="exact"/>
        <w:jc w:val="center"/>
        <w:rPr>
          <w:rFonts w:ascii="Times New Roman" w:eastAsia="仿宋_GB2312"/>
          <w:b/>
          <w:color w:val="auto"/>
          <w:sz w:val="36"/>
          <w:highlight w:val="none"/>
        </w:rPr>
      </w:pPr>
    </w:p>
    <w:p w14:paraId="6CFB388A">
      <w:pPr>
        <w:shd w:val="clear" w:color="auto" w:fill="auto"/>
        <w:spacing w:line="500" w:lineRule="exact"/>
        <w:rPr>
          <w:rFonts w:ascii="Times New Roman" w:eastAsia="仿宋_GB2312"/>
          <w:color w:val="auto"/>
          <w:highlight w:val="none"/>
        </w:rPr>
      </w:pPr>
      <w:r>
        <w:rPr>
          <w:rFonts w:ascii="Times New Roman" w:eastAsia="仿宋_GB2312"/>
          <w:color w:val="auto"/>
          <w:highlight w:val="none"/>
        </w:rPr>
        <w:pict>
          <v:shape id="_x0000_s1026" o:spid="_x0000_s1026" o:spt="75" type="#_x0000_t75" style="position:absolute;left:0pt;margin-left:136.5pt;margin-top:31.2pt;height:140.95pt;width:183.75pt;mso-wrap-distance-bottom:0pt;mso-wrap-distance-top:0pt;z-index:251659264;mso-width-relative:page;mso-height-relative:page;" o:ole="t" filled="f" stroked="f" coordsize="21600,21600" o:allowincell="f">
            <v:path/>
            <v:fill on="f" focussize="0,0"/>
            <v:stroke on="f"/>
            <v:imagedata r:id="rId7" o:title=""/>
            <o:lock v:ext="edit" aspectratio="t"/>
            <w10:wrap type="topAndBottom"/>
          </v:shape>
          <o:OLEObject Type="Embed" ProgID="" ShapeID="_x0000_s1026" DrawAspect="Content" ObjectID="_1468075725" r:id="rId6">
            <o:LockedField>false</o:LockedField>
          </o:OLEObject>
        </w:pict>
      </w:r>
    </w:p>
    <w:p w14:paraId="35373F2D">
      <w:pPr>
        <w:shd w:val="clear" w:color="auto" w:fill="auto"/>
        <w:spacing w:line="500" w:lineRule="exact"/>
        <w:jc w:val="center"/>
        <w:rPr>
          <w:rFonts w:ascii="Times New Roman" w:eastAsia="仿宋_GB2312"/>
          <w:color w:val="auto"/>
          <w:sz w:val="32"/>
          <w:highlight w:val="none"/>
        </w:rPr>
      </w:pPr>
    </w:p>
    <w:p w14:paraId="63FA5145">
      <w:pPr>
        <w:shd w:val="clear" w:color="auto" w:fill="auto"/>
        <w:spacing w:line="500" w:lineRule="exact"/>
        <w:rPr>
          <w:rFonts w:ascii="Times New Roman" w:eastAsia="仿宋_GB2312"/>
          <w:color w:val="auto"/>
          <w:sz w:val="32"/>
          <w:highlight w:val="none"/>
        </w:rPr>
      </w:pPr>
    </w:p>
    <w:p w14:paraId="5A3B53B9">
      <w:pPr>
        <w:shd w:val="clear" w:color="auto" w:fill="auto"/>
        <w:spacing w:line="500" w:lineRule="exact"/>
        <w:jc w:val="center"/>
        <w:rPr>
          <w:rFonts w:ascii="Times New Roman" w:eastAsia="仿宋_GB2312"/>
          <w:color w:val="auto"/>
          <w:sz w:val="32"/>
          <w:highlight w:val="none"/>
        </w:rPr>
      </w:pPr>
    </w:p>
    <w:p w14:paraId="3AB74CFA">
      <w:pPr>
        <w:shd w:val="clear" w:color="auto" w:fill="auto"/>
        <w:spacing w:line="500" w:lineRule="exact"/>
        <w:jc w:val="center"/>
        <w:rPr>
          <w:rFonts w:ascii="Times New Roman" w:eastAsia="仿宋_GB2312"/>
          <w:color w:val="auto"/>
          <w:sz w:val="32"/>
          <w:highlight w:val="none"/>
        </w:rPr>
      </w:pPr>
    </w:p>
    <w:p w14:paraId="249CB85B">
      <w:pPr>
        <w:shd w:val="clear" w:color="auto" w:fill="auto"/>
        <w:spacing w:line="500" w:lineRule="exact"/>
        <w:jc w:val="center"/>
        <w:rPr>
          <w:rFonts w:ascii="Times New Roman" w:eastAsia="仿宋_GB2312"/>
          <w:color w:val="auto"/>
          <w:sz w:val="32"/>
          <w:highlight w:val="none"/>
        </w:rPr>
      </w:pPr>
    </w:p>
    <w:p w14:paraId="24912C35">
      <w:pPr>
        <w:shd w:val="clear" w:color="auto" w:fill="auto"/>
        <w:spacing w:line="500" w:lineRule="exact"/>
        <w:jc w:val="center"/>
        <w:rPr>
          <w:rFonts w:hint="eastAsia" w:ascii="Times New Roman" w:eastAsia="宋体"/>
          <w:color w:val="auto"/>
          <w:spacing w:val="20"/>
          <w:sz w:val="28"/>
          <w:szCs w:val="28"/>
          <w:highlight w:val="none"/>
          <w:lang w:eastAsia="zh-CN"/>
        </w:rPr>
      </w:pPr>
      <w:r>
        <w:rPr>
          <w:rFonts w:ascii="Times New Roman"/>
          <w:color w:val="auto"/>
          <w:spacing w:val="20"/>
          <w:sz w:val="28"/>
          <w:szCs w:val="28"/>
          <w:highlight w:val="none"/>
        </w:rPr>
        <w:t>采购单位</w:t>
      </w:r>
      <w:r>
        <w:rPr>
          <w:rFonts w:ascii="Times New Roman"/>
          <w:color w:val="auto"/>
          <w:spacing w:val="20"/>
          <w:sz w:val="28"/>
          <w:szCs w:val="28"/>
          <w:highlight w:val="none"/>
          <w:u w:val="single"/>
        </w:rPr>
        <w:t>：</w:t>
      </w:r>
      <w:r>
        <w:rPr>
          <w:rFonts w:hint="eastAsia" w:ascii="Times New Roman"/>
          <w:color w:val="auto"/>
          <w:spacing w:val="20"/>
          <w:sz w:val="28"/>
          <w:szCs w:val="28"/>
          <w:highlight w:val="none"/>
          <w:u w:val="single"/>
        </w:rPr>
        <w:t>南通市交通运输局</w:t>
      </w:r>
    </w:p>
    <w:p w14:paraId="354C2938">
      <w:pPr>
        <w:shd w:val="clear" w:color="auto" w:fill="auto"/>
        <w:spacing w:line="500" w:lineRule="exact"/>
        <w:jc w:val="center"/>
        <w:rPr>
          <w:rFonts w:hint="eastAsia" w:ascii="Times New Roman" w:eastAsia="宋体"/>
          <w:color w:val="auto"/>
          <w:spacing w:val="20"/>
          <w:sz w:val="28"/>
          <w:szCs w:val="28"/>
          <w:highlight w:val="none"/>
          <w:lang w:eastAsia="zh-CN"/>
        </w:rPr>
      </w:pPr>
      <w:r>
        <w:rPr>
          <w:rFonts w:ascii="Times New Roman"/>
          <w:color w:val="auto"/>
          <w:spacing w:val="20"/>
          <w:sz w:val="28"/>
          <w:szCs w:val="28"/>
          <w:highlight w:val="none"/>
        </w:rPr>
        <w:t>代理单位</w:t>
      </w:r>
      <w:r>
        <w:rPr>
          <w:rFonts w:ascii="Times New Roman"/>
          <w:color w:val="auto"/>
          <w:spacing w:val="20"/>
          <w:sz w:val="28"/>
          <w:szCs w:val="28"/>
          <w:highlight w:val="none"/>
          <w:u w:val="single"/>
        </w:rPr>
        <w:t>：</w:t>
      </w:r>
      <w:r>
        <w:rPr>
          <w:rFonts w:hint="eastAsia" w:ascii="Times New Roman"/>
          <w:color w:val="auto"/>
          <w:spacing w:val="20"/>
          <w:sz w:val="28"/>
          <w:szCs w:val="28"/>
          <w:highlight w:val="none"/>
          <w:u w:val="single"/>
          <w:lang w:eastAsia="zh-CN"/>
        </w:rPr>
        <w:t>江苏建诚工程咨询有限公司</w:t>
      </w:r>
    </w:p>
    <w:p w14:paraId="541BF8C1">
      <w:pPr>
        <w:shd w:val="clear" w:color="auto" w:fill="auto"/>
        <w:spacing w:line="500" w:lineRule="exact"/>
        <w:jc w:val="center"/>
        <w:rPr>
          <w:rFonts w:ascii="Times New Roman"/>
          <w:color w:val="auto"/>
          <w:spacing w:val="20"/>
          <w:sz w:val="28"/>
          <w:szCs w:val="28"/>
          <w:highlight w:val="none"/>
        </w:rPr>
      </w:pPr>
      <w:r>
        <w:rPr>
          <w:rFonts w:ascii="Times New Roman"/>
          <w:color w:val="auto"/>
          <w:spacing w:val="20"/>
          <w:sz w:val="28"/>
          <w:szCs w:val="28"/>
          <w:highlight w:val="none"/>
        </w:rPr>
        <w:t>日期：</w:t>
      </w:r>
      <w:r>
        <w:rPr>
          <w:rFonts w:hint="eastAsia" w:ascii="Times New Roman"/>
          <w:color w:val="auto"/>
          <w:spacing w:val="20"/>
          <w:sz w:val="28"/>
          <w:szCs w:val="28"/>
          <w:highlight w:val="none"/>
          <w:u w:val="single"/>
        </w:rPr>
        <w:t>2</w:t>
      </w:r>
      <w:r>
        <w:rPr>
          <w:rFonts w:ascii="Times New Roman"/>
          <w:color w:val="auto"/>
          <w:spacing w:val="20"/>
          <w:sz w:val="28"/>
          <w:szCs w:val="28"/>
          <w:highlight w:val="none"/>
          <w:u w:val="single"/>
        </w:rPr>
        <w:t>02</w:t>
      </w:r>
      <w:r>
        <w:rPr>
          <w:rFonts w:hint="eastAsia" w:ascii="Times New Roman"/>
          <w:color w:val="auto"/>
          <w:spacing w:val="20"/>
          <w:sz w:val="28"/>
          <w:szCs w:val="28"/>
          <w:highlight w:val="none"/>
          <w:u w:val="single"/>
          <w:lang w:val="en-US" w:eastAsia="zh-CN"/>
        </w:rPr>
        <w:t>5</w:t>
      </w:r>
      <w:r>
        <w:rPr>
          <w:rFonts w:hint="eastAsia" w:ascii="Times New Roman"/>
          <w:color w:val="auto"/>
          <w:spacing w:val="20"/>
          <w:sz w:val="28"/>
          <w:szCs w:val="28"/>
          <w:highlight w:val="none"/>
          <w:u w:val="single"/>
        </w:rPr>
        <w:t>年</w:t>
      </w:r>
      <w:r>
        <w:rPr>
          <w:rFonts w:hint="eastAsia" w:ascii="Times New Roman"/>
          <w:color w:val="auto"/>
          <w:spacing w:val="20"/>
          <w:sz w:val="28"/>
          <w:szCs w:val="28"/>
          <w:highlight w:val="none"/>
          <w:u w:val="single"/>
          <w:lang w:val="en-US" w:eastAsia="zh-CN"/>
        </w:rPr>
        <w:t>5</w:t>
      </w:r>
      <w:r>
        <w:rPr>
          <w:rFonts w:hint="eastAsia" w:ascii="Times New Roman"/>
          <w:color w:val="auto"/>
          <w:spacing w:val="20"/>
          <w:sz w:val="28"/>
          <w:szCs w:val="28"/>
          <w:highlight w:val="none"/>
          <w:u w:val="single"/>
        </w:rPr>
        <w:t>月</w:t>
      </w:r>
      <w:r>
        <w:rPr>
          <w:rFonts w:hint="eastAsia" w:ascii="Times New Roman"/>
          <w:color w:val="auto"/>
          <w:spacing w:val="20"/>
          <w:sz w:val="28"/>
          <w:szCs w:val="28"/>
          <w:highlight w:val="none"/>
          <w:u w:val="single"/>
          <w:lang w:val="en-US" w:eastAsia="zh-CN"/>
        </w:rPr>
        <w:t>22</w:t>
      </w:r>
      <w:r>
        <w:rPr>
          <w:rFonts w:hint="eastAsia" w:ascii="Times New Roman"/>
          <w:color w:val="auto"/>
          <w:spacing w:val="20"/>
          <w:sz w:val="28"/>
          <w:szCs w:val="28"/>
          <w:highlight w:val="none"/>
          <w:u w:val="single"/>
        </w:rPr>
        <w:t>日</w:t>
      </w:r>
    </w:p>
    <w:p w14:paraId="6CB1FA5A">
      <w:pPr>
        <w:shd w:val="clear" w:color="auto" w:fill="auto"/>
        <w:adjustRightInd w:val="0"/>
        <w:snapToGrid w:val="0"/>
        <w:ind w:left="-180" w:leftChars="-75"/>
        <w:rPr>
          <w:rFonts w:ascii="Times New Roman"/>
          <w:snapToGrid w:val="0"/>
          <w:color w:val="auto"/>
          <w:sz w:val="26"/>
          <w:szCs w:val="28"/>
          <w:highlight w:val="none"/>
          <w:u w:val="single"/>
        </w:rPr>
      </w:pPr>
      <w:r>
        <w:rPr>
          <w:rFonts w:ascii="Times New Roman"/>
          <w:snapToGrid w:val="0"/>
          <w:color w:val="auto"/>
          <w:sz w:val="26"/>
          <w:szCs w:val="28"/>
          <w:highlight w:val="none"/>
          <w:u w:val="single"/>
        </w:rPr>
        <w:t xml:space="preserve">                                                                    </w:t>
      </w:r>
    </w:p>
    <w:p w14:paraId="062679C2">
      <w:pPr>
        <w:shd w:val="clear" w:color="auto" w:fill="auto"/>
        <w:spacing w:line="500" w:lineRule="exact"/>
        <w:jc w:val="center"/>
        <w:rPr>
          <w:rFonts w:ascii="Times New Roman"/>
          <w:color w:val="auto"/>
          <w:sz w:val="44"/>
          <w:szCs w:val="44"/>
          <w:highlight w:val="none"/>
        </w:rPr>
      </w:pPr>
      <w:r>
        <w:rPr>
          <w:rFonts w:ascii="Times New Roman"/>
          <w:color w:val="auto"/>
          <w:sz w:val="44"/>
          <w:szCs w:val="44"/>
          <w:highlight w:val="none"/>
        </w:rPr>
        <w:br w:type="page"/>
      </w:r>
      <w:r>
        <w:rPr>
          <w:rFonts w:ascii="Times New Roman"/>
          <w:color w:val="auto"/>
          <w:sz w:val="44"/>
          <w:szCs w:val="44"/>
          <w:highlight w:val="none"/>
        </w:rPr>
        <w:t>目      录</w:t>
      </w:r>
    </w:p>
    <w:p w14:paraId="7B9ADBFF">
      <w:pPr>
        <w:shd w:val="clear" w:color="auto" w:fill="auto"/>
        <w:spacing w:line="500" w:lineRule="exact"/>
        <w:jc w:val="center"/>
        <w:rPr>
          <w:rFonts w:ascii="Times New Roman"/>
          <w:color w:val="auto"/>
          <w:sz w:val="44"/>
          <w:highlight w:val="none"/>
        </w:rPr>
      </w:pPr>
    </w:p>
    <w:p w14:paraId="040571D0">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第一部分  招标公告</w:t>
      </w:r>
    </w:p>
    <w:p w14:paraId="540F5B39">
      <w:pPr>
        <w:shd w:val="clear" w:color="auto" w:fill="auto"/>
        <w:tabs>
          <w:tab w:val="left" w:pos="7740"/>
        </w:tabs>
        <w:spacing w:line="500" w:lineRule="exact"/>
        <w:rPr>
          <w:rFonts w:ascii="Times New Roman"/>
          <w:color w:val="auto"/>
          <w:sz w:val="32"/>
          <w:szCs w:val="32"/>
          <w:highlight w:val="none"/>
        </w:rPr>
      </w:pPr>
    </w:p>
    <w:p w14:paraId="779A4255">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第二部分  投标须知</w:t>
      </w:r>
    </w:p>
    <w:p w14:paraId="0BB2EC41">
      <w:pPr>
        <w:shd w:val="clear" w:color="auto" w:fill="auto"/>
        <w:spacing w:line="500" w:lineRule="exact"/>
        <w:rPr>
          <w:rFonts w:ascii="Times New Roman"/>
          <w:color w:val="auto"/>
          <w:sz w:val="32"/>
          <w:szCs w:val="32"/>
          <w:highlight w:val="none"/>
        </w:rPr>
      </w:pPr>
    </w:p>
    <w:p w14:paraId="7B982361">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第三部分  项目需求说明</w:t>
      </w:r>
    </w:p>
    <w:p w14:paraId="31184EE4">
      <w:pPr>
        <w:pStyle w:val="6"/>
        <w:shd w:val="clear" w:color="auto" w:fill="auto"/>
        <w:tabs>
          <w:tab w:val="left" w:pos="7740"/>
          <w:tab w:val="left" w:pos="7920"/>
        </w:tabs>
        <w:spacing w:line="500" w:lineRule="exact"/>
        <w:ind w:left="0"/>
        <w:rPr>
          <w:rFonts w:ascii="Times New Roman" w:eastAsia="宋体"/>
          <w:color w:val="auto"/>
          <w:sz w:val="32"/>
          <w:szCs w:val="32"/>
          <w:highlight w:val="none"/>
        </w:rPr>
      </w:pPr>
    </w:p>
    <w:p w14:paraId="7B97780A">
      <w:pPr>
        <w:shd w:val="clear" w:color="auto" w:fill="auto"/>
        <w:tabs>
          <w:tab w:val="left" w:pos="7740"/>
        </w:tabs>
        <w:spacing w:line="500" w:lineRule="exact"/>
        <w:rPr>
          <w:rFonts w:ascii="Times New Roman"/>
          <w:color w:val="auto"/>
          <w:spacing w:val="2"/>
          <w:sz w:val="32"/>
          <w:szCs w:val="32"/>
          <w:highlight w:val="none"/>
        </w:rPr>
      </w:pPr>
      <w:r>
        <w:rPr>
          <w:rFonts w:ascii="Times New Roman"/>
          <w:color w:val="auto"/>
          <w:sz w:val="32"/>
          <w:szCs w:val="32"/>
          <w:highlight w:val="none"/>
        </w:rPr>
        <w:t xml:space="preserve">第四部分  </w:t>
      </w:r>
      <w:r>
        <w:rPr>
          <w:rFonts w:ascii="Times New Roman"/>
          <w:bCs/>
          <w:color w:val="auto"/>
          <w:sz w:val="32"/>
          <w:szCs w:val="32"/>
          <w:highlight w:val="none"/>
        </w:rPr>
        <w:t>开标和评标</w:t>
      </w:r>
    </w:p>
    <w:p w14:paraId="050100AD">
      <w:pPr>
        <w:shd w:val="clear" w:color="auto" w:fill="auto"/>
        <w:spacing w:line="500" w:lineRule="exact"/>
        <w:rPr>
          <w:rFonts w:ascii="Times New Roman"/>
          <w:color w:val="auto"/>
          <w:sz w:val="32"/>
          <w:szCs w:val="32"/>
          <w:highlight w:val="none"/>
        </w:rPr>
      </w:pPr>
    </w:p>
    <w:p w14:paraId="5B99DDE1">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第五部分  合同签订与验收付款</w:t>
      </w:r>
    </w:p>
    <w:p w14:paraId="764E596D">
      <w:pPr>
        <w:shd w:val="clear" w:color="auto" w:fill="auto"/>
        <w:spacing w:line="500" w:lineRule="exact"/>
        <w:rPr>
          <w:rFonts w:ascii="Times New Roman"/>
          <w:color w:val="auto"/>
          <w:sz w:val="32"/>
          <w:szCs w:val="32"/>
          <w:highlight w:val="none"/>
        </w:rPr>
      </w:pPr>
    </w:p>
    <w:p w14:paraId="715B96F8">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第六部分  质疑提出和处理</w:t>
      </w:r>
    </w:p>
    <w:p w14:paraId="1221E26B">
      <w:pPr>
        <w:shd w:val="clear" w:color="auto" w:fill="auto"/>
        <w:spacing w:line="500" w:lineRule="exact"/>
        <w:rPr>
          <w:rFonts w:ascii="Times New Roman"/>
          <w:color w:val="auto"/>
          <w:sz w:val="32"/>
          <w:szCs w:val="32"/>
          <w:highlight w:val="none"/>
        </w:rPr>
      </w:pPr>
    </w:p>
    <w:p w14:paraId="447FE809">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第七部分  投标文件组成</w:t>
      </w:r>
    </w:p>
    <w:p w14:paraId="267D4256">
      <w:pPr>
        <w:shd w:val="clear" w:color="auto" w:fill="auto"/>
        <w:snapToGrid w:val="0"/>
        <w:spacing w:line="300" w:lineRule="auto"/>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 xml:space="preserve">第一部分  </w:t>
      </w:r>
      <w:bookmarkStart w:id="0" w:name="OLE_LINK5"/>
      <w:bookmarkStart w:id="1" w:name="OLE_LINK7"/>
      <w:r>
        <w:rPr>
          <w:rFonts w:ascii="Times New Roman"/>
          <w:b/>
          <w:color w:val="auto"/>
          <w:sz w:val="36"/>
          <w:szCs w:val="36"/>
          <w:highlight w:val="none"/>
        </w:rPr>
        <w:t>招标公告</w:t>
      </w:r>
    </w:p>
    <w:bookmarkEnd w:id="0"/>
    <w:bookmarkEnd w:id="1"/>
    <w:p w14:paraId="1E045DEC">
      <w:pPr>
        <w:shd w:val="clear" w:color="auto" w:fill="auto"/>
        <w:snapToGrid w:val="0"/>
        <w:spacing w:line="480" w:lineRule="exact"/>
        <w:ind w:firstLine="480" w:firstLineChars="200"/>
        <w:rPr>
          <w:rFonts w:ascii="Times New Roman"/>
          <w:color w:val="auto"/>
          <w:highlight w:val="none"/>
        </w:rPr>
      </w:pPr>
      <w:r>
        <w:rPr>
          <w:rFonts w:ascii="Times New Roman"/>
          <w:bCs/>
          <w:color w:val="auto"/>
          <w:highlight w:val="none"/>
        </w:rPr>
        <w:t>项目概况：</w:t>
      </w:r>
      <w:r>
        <w:rPr>
          <w:rFonts w:hint="eastAsia" w:ascii="Times New Roman"/>
          <w:color w:val="auto"/>
          <w:highlight w:val="none"/>
          <w:u w:val="single"/>
          <w:lang w:eastAsia="zh-CN"/>
        </w:rPr>
        <w:t>南通市区出租汽车运力规模评估研究项目</w:t>
      </w:r>
      <w:r>
        <w:rPr>
          <w:rFonts w:ascii="Times New Roman"/>
          <w:color w:val="auto"/>
          <w:highlight w:val="none"/>
        </w:rPr>
        <w:t>的潜在投标人应在</w:t>
      </w:r>
      <w:r>
        <w:rPr>
          <w:rFonts w:ascii="Times New Roman"/>
          <w:bCs/>
          <w:color w:val="auto"/>
          <w:highlight w:val="none"/>
        </w:rPr>
        <w:t>南通市</w:t>
      </w:r>
      <w:r>
        <w:rPr>
          <w:rFonts w:hint="eastAsia" w:ascii="Times New Roman"/>
          <w:bCs/>
          <w:color w:val="auto"/>
          <w:highlight w:val="none"/>
          <w:lang w:eastAsia="zh-CN"/>
        </w:rPr>
        <w:t>南通市交通运输局</w:t>
      </w:r>
      <w:r>
        <w:rPr>
          <w:rFonts w:hint="eastAsia" w:ascii="Times New Roman"/>
          <w:bCs/>
          <w:color w:val="auto"/>
          <w:highlight w:val="none"/>
          <w:lang w:val="en-US" w:eastAsia="zh-CN"/>
        </w:rPr>
        <w:t>-公告公示栏</w:t>
      </w:r>
      <w:r>
        <w:rPr>
          <w:rFonts w:ascii="Times New Roman"/>
          <w:color w:val="auto"/>
          <w:highlight w:val="none"/>
        </w:rPr>
        <w:t>获取招标文件，并于</w:t>
      </w:r>
      <w:r>
        <w:rPr>
          <w:rFonts w:ascii="Times New Roman"/>
          <w:color w:val="auto"/>
          <w:highlight w:val="none"/>
          <w:u w:val="single"/>
        </w:rPr>
        <w:t xml:space="preserve"> </w:t>
      </w:r>
      <w:r>
        <w:rPr>
          <w:rFonts w:hint="eastAsia" w:ascii="Times New Roman"/>
          <w:color w:val="auto"/>
          <w:highlight w:val="none"/>
          <w:u w:val="single"/>
        </w:rPr>
        <w:t>202</w:t>
      </w:r>
      <w:r>
        <w:rPr>
          <w:rFonts w:hint="eastAsia" w:ascii="Times New Roman"/>
          <w:color w:val="auto"/>
          <w:highlight w:val="none"/>
          <w:u w:val="single"/>
          <w:lang w:val="en-US" w:eastAsia="zh-CN"/>
        </w:rPr>
        <w:t>5</w:t>
      </w:r>
      <w:r>
        <w:rPr>
          <w:rFonts w:ascii="Times New Roman"/>
          <w:color w:val="auto"/>
          <w:highlight w:val="none"/>
          <w:u w:val="single"/>
        </w:rPr>
        <w:t>年</w:t>
      </w:r>
      <w:r>
        <w:rPr>
          <w:rFonts w:hint="eastAsia" w:ascii="Times New Roman"/>
          <w:color w:val="auto"/>
          <w:highlight w:val="none"/>
          <w:u w:val="single"/>
          <w:lang w:val="en-US" w:eastAsia="zh-CN"/>
        </w:rPr>
        <w:t>06</w:t>
      </w:r>
      <w:r>
        <w:rPr>
          <w:rFonts w:ascii="Times New Roman"/>
          <w:color w:val="auto"/>
          <w:highlight w:val="none"/>
          <w:u w:val="single"/>
        </w:rPr>
        <w:t>月</w:t>
      </w:r>
      <w:r>
        <w:rPr>
          <w:rFonts w:hint="eastAsia" w:ascii="Times New Roman"/>
          <w:color w:val="auto"/>
          <w:highlight w:val="none"/>
          <w:u w:val="single"/>
          <w:lang w:val="en-US" w:eastAsia="zh-CN"/>
        </w:rPr>
        <w:t>13</w:t>
      </w:r>
      <w:r>
        <w:rPr>
          <w:rFonts w:ascii="Times New Roman"/>
          <w:color w:val="auto"/>
          <w:highlight w:val="none"/>
          <w:u w:val="single"/>
        </w:rPr>
        <w:t>日</w:t>
      </w:r>
      <w:r>
        <w:rPr>
          <w:rFonts w:hint="eastAsia" w:ascii="Times New Roman"/>
          <w:color w:val="auto"/>
          <w:highlight w:val="none"/>
          <w:u w:val="single"/>
          <w:lang w:val="en-US" w:eastAsia="zh-CN"/>
        </w:rPr>
        <w:t>14</w:t>
      </w:r>
      <w:r>
        <w:rPr>
          <w:rFonts w:ascii="Times New Roman"/>
          <w:color w:val="auto"/>
          <w:highlight w:val="none"/>
          <w:u w:val="single"/>
        </w:rPr>
        <w:t>点</w:t>
      </w:r>
      <w:r>
        <w:rPr>
          <w:rFonts w:hint="eastAsia" w:ascii="Times New Roman"/>
          <w:color w:val="auto"/>
          <w:highlight w:val="none"/>
          <w:u w:val="single"/>
          <w:lang w:val="en-US" w:eastAsia="zh-CN"/>
        </w:rPr>
        <w:t>0</w:t>
      </w:r>
      <w:r>
        <w:rPr>
          <w:rFonts w:hint="eastAsia" w:ascii="Times New Roman"/>
          <w:color w:val="auto"/>
          <w:highlight w:val="none"/>
          <w:u w:val="single"/>
        </w:rPr>
        <w:t>0</w:t>
      </w:r>
      <w:r>
        <w:rPr>
          <w:rFonts w:ascii="Times New Roman"/>
          <w:color w:val="auto"/>
          <w:highlight w:val="none"/>
          <w:u w:val="single"/>
        </w:rPr>
        <w:t>分</w:t>
      </w:r>
      <w:r>
        <w:rPr>
          <w:rFonts w:ascii="Times New Roman"/>
          <w:color w:val="auto"/>
          <w:highlight w:val="none"/>
        </w:rPr>
        <w:t>（北京时间）前递交投标文件。</w:t>
      </w:r>
    </w:p>
    <w:p w14:paraId="578D6897">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 xml:space="preserve"> 一、项目基本情况</w:t>
      </w:r>
    </w:p>
    <w:p w14:paraId="6403BC3A">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项目编号：</w:t>
      </w:r>
      <w:r>
        <w:rPr>
          <w:rFonts w:hint="eastAsia"/>
          <w:color w:val="auto"/>
          <w:highlight w:val="none"/>
          <w:lang w:val="en-US" w:eastAsia="zh-CN"/>
        </w:rPr>
        <w:t xml:space="preserve"> </w:t>
      </w:r>
    </w:p>
    <w:p w14:paraId="5AB25859">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项目名称：</w:t>
      </w:r>
      <w:r>
        <w:rPr>
          <w:rFonts w:hint="eastAsia" w:ascii="Times New Roman"/>
          <w:color w:val="auto"/>
          <w:highlight w:val="none"/>
          <w:u w:val="single"/>
          <w:lang w:eastAsia="zh-CN"/>
        </w:rPr>
        <w:t>南通市区出租汽车运力规模评估研究项目</w:t>
      </w:r>
    </w:p>
    <w:p w14:paraId="3FA4BE69">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 xml:space="preserve">最高限价： </w:t>
      </w:r>
      <w:r>
        <w:rPr>
          <w:rFonts w:hint="eastAsia" w:ascii="Times New Roman"/>
          <w:color w:val="auto"/>
          <w:highlight w:val="none"/>
          <w:u w:val="single"/>
          <w:lang w:val="en-US" w:eastAsia="zh-CN"/>
        </w:rPr>
        <w:t xml:space="preserve"> 35 </w:t>
      </w:r>
      <w:r>
        <w:rPr>
          <w:rFonts w:hint="eastAsia" w:ascii="Times New Roman"/>
          <w:color w:val="auto"/>
          <w:highlight w:val="none"/>
          <w:u w:val="none"/>
          <w:lang w:val="en-US" w:eastAsia="zh-CN"/>
        </w:rPr>
        <w:t>万</w:t>
      </w:r>
      <w:r>
        <w:rPr>
          <w:rFonts w:hint="eastAsia" w:ascii="Times New Roman"/>
          <w:color w:val="auto"/>
          <w:highlight w:val="none"/>
        </w:rPr>
        <w:t>元</w:t>
      </w:r>
    </w:p>
    <w:p w14:paraId="0B2EA764">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采购需求：详见</w:t>
      </w:r>
      <w:r>
        <w:rPr>
          <w:rFonts w:ascii="Times New Roman"/>
          <w:color w:val="auto"/>
          <w:spacing w:val="7"/>
          <w:highlight w:val="none"/>
        </w:rPr>
        <w:t>第三部分</w:t>
      </w:r>
      <w:r>
        <w:rPr>
          <w:rFonts w:ascii="Times New Roman"/>
          <w:color w:val="auto"/>
          <w:highlight w:val="none"/>
        </w:rPr>
        <w:t>项目需求。</w:t>
      </w:r>
    </w:p>
    <w:p w14:paraId="0C5B6135">
      <w:pPr>
        <w:shd w:val="clear" w:color="auto" w:fill="auto"/>
        <w:spacing w:line="600" w:lineRule="exact"/>
        <w:ind w:firstLine="480" w:firstLineChars="200"/>
        <w:rPr>
          <w:rFonts w:hint="eastAsia" w:ascii="Times New Roman"/>
          <w:color w:val="auto"/>
          <w:spacing w:val="7"/>
          <w:highlight w:val="none"/>
        </w:rPr>
      </w:pPr>
      <w:r>
        <w:rPr>
          <w:rFonts w:ascii="Times New Roman"/>
          <w:color w:val="auto"/>
          <w:highlight w:val="none"/>
        </w:rPr>
        <w:t>合同履行期限：</w:t>
      </w:r>
      <w:r>
        <w:rPr>
          <w:rFonts w:hint="eastAsia" w:ascii="宋体" w:hAnsi="宋体" w:eastAsia="宋体" w:cs="Times New Roman"/>
          <w:b w:val="0"/>
          <w:bCs w:val="0"/>
          <w:sz w:val="24"/>
          <w:szCs w:val="28"/>
          <w:highlight w:val="none"/>
          <w:u w:val="single"/>
        </w:rPr>
        <w:t>自合同签订之日</w:t>
      </w:r>
      <w:r>
        <w:rPr>
          <w:rFonts w:hint="eastAsia" w:ascii="宋体" w:hAnsi="宋体" w:cs="Times New Roman"/>
          <w:b w:val="0"/>
          <w:bCs w:val="0"/>
          <w:sz w:val="24"/>
          <w:szCs w:val="28"/>
          <w:highlight w:val="none"/>
          <w:u w:val="single"/>
          <w:lang w:eastAsia="zh-CN"/>
        </w:rPr>
        <w:t>起</w:t>
      </w:r>
      <w:r>
        <w:rPr>
          <w:rFonts w:hint="eastAsia" w:ascii="宋体" w:hAnsi="宋体" w:cs="Times New Roman"/>
          <w:b w:val="0"/>
          <w:bCs w:val="0"/>
          <w:sz w:val="24"/>
          <w:szCs w:val="28"/>
          <w:highlight w:val="none"/>
          <w:u w:val="single"/>
          <w:lang w:val="en-US" w:eastAsia="zh-CN"/>
        </w:rPr>
        <w:t>2个月内</w:t>
      </w:r>
      <w:r>
        <w:rPr>
          <w:rFonts w:hint="eastAsia" w:ascii="宋体" w:hAnsi="宋体" w:eastAsia="宋体" w:cs="Times New Roman"/>
          <w:b w:val="0"/>
          <w:bCs w:val="0"/>
          <w:sz w:val="24"/>
          <w:szCs w:val="28"/>
          <w:highlight w:val="none"/>
          <w:u w:val="single"/>
        </w:rPr>
        <w:t>。</w:t>
      </w:r>
    </w:p>
    <w:p w14:paraId="44D24ECE">
      <w:pPr>
        <w:shd w:val="clear" w:color="auto" w:fill="auto"/>
        <w:spacing w:line="600" w:lineRule="exact"/>
        <w:ind w:firstLine="480" w:firstLineChars="200"/>
        <w:rPr>
          <w:rFonts w:ascii="Times New Roman"/>
          <w:color w:val="auto"/>
          <w:highlight w:val="none"/>
        </w:rPr>
      </w:pPr>
      <w:r>
        <w:rPr>
          <w:rFonts w:ascii="Times New Roman"/>
          <w:color w:val="auto"/>
          <w:highlight w:val="none"/>
        </w:rPr>
        <w:t>本项目不接受联合体投标。</w:t>
      </w:r>
    </w:p>
    <w:p w14:paraId="2B261D59">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二、申请人的资格要求：</w:t>
      </w:r>
    </w:p>
    <w:p w14:paraId="7CCB0626">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2.1、</w:t>
      </w:r>
      <w:r>
        <w:rPr>
          <w:rFonts w:hint="eastAsia" w:ascii="Times New Roman"/>
          <w:color w:val="auto"/>
          <w:highlight w:val="none"/>
          <w:u w:val="single"/>
        </w:rPr>
        <w:t>符合《中华人民共和国政府采购法》第二十二条的规定：</w:t>
      </w:r>
    </w:p>
    <w:p w14:paraId="2F76A2B2">
      <w:pPr>
        <w:shd w:val="clear" w:color="auto" w:fill="auto"/>
        <w:snapToGrid w:val="0"/>
        <w:spacing w:line="480" w:lineRule="exact"/>
        <w:ind w:firstLine="480" w:firstLineChars="200"/>
        <w:rPr>
          <w:rFonts w:hint="default" w:ascii="Times New Roman"/>
          <w:color w:val="auto"/>
          <w:highlight w:val="none"/>
          <w:u w:val="single"/>
          <w:lang w:val="en-US" w:eastAsia="zh-CN"/>
        </w:rPr>
      </w:pPr>
      <w:r>
        <w:rPr>
          <w:rFonts w:hint="eastAsia" w:ascii="Times New Roman"/>
          <w:color w:val="auto"/>
          <w:highlight w:val="none"/>
          <w:u w:val="single"/>
          <w:lang w:val="en-US" w:eastAsia="zh-CN"/>
        </w:rPr>
        <w:t>2.2、</w:t>
      </w:r>
      <w:r>
        <w:rPr>
          <w:rFonts w:ascii="Times New Roman" w:hAnsi="Times New Roman" w:eastAsia="宋体" w:cs="Times New Roman"/>
          <w:sz w:val="24"/>
          <w:szCs w:val="24"/>
          <w:highlight w:val="none"/>
          <w:u w:val="single"/>
        </w:rPr>
        <w:t>落实政府采购政策需满足的资格要求：本项目专门面向中小微型企业采购。供应商为中小微企业、监狱企业或残疾人福利性单位的，需按照采购文件要求提供《中小企业声明函》、《残疾人福利性单位声明函》或监狱和戒毒企业证明材料（本项目为其他未列明行业）</w:t>
      </w:r>
      <w:bookmarkStart w:id="8" w:name="_GoBack"/>
      <w:bookmarkEnd w:id="8"/>
      <w:r>
        <w:rPr>
          <w:rFonts w:hint="eastAsia" w:ascii="Times New Roman" w:hAnsi="Times New Roman" w:eastAsia="宋体" w:cs="Times New Roman"/>
          <w:sz w:val="24"/>
          <w:szCs w:val="24"/>
          <w:highlight w:val="none"/>
          <w:u w:val="single"/>
          <w:lang w:val="en-US" w:eastAsia="zh-CN"/>
        </w:rPr>
        <w:t>;</w:t>
      </w:r>
    </w:p>
    <w:p w14:paraId="2DF78921">
      <w:pPr>
        <w:shd w:val="clear" w:color="auto" w:fill="auto"/>
        <w:snapToGrid w:val="0"/>
        <w:spacing w:line="480" w:lineRule="exact"/>
        <w:ind w:firstLine="480" w:firstLineChars="200"/>
        <w:rPr>
          <w:rFonts w:hint="default" w:ascii="Times New Roman"/>
          <w:color w:val="auto"/>
          <w:highlight w:val="none"/>
          <w:u w:val="single"/>
          <w:lang w:val="en-US" w:eastAsia="zh-CN"/>
        </w:rPr>
      </w:pPr>
      <w:r>
        <w:rPr>
          <w:rFonts w:hint="eastAsia" w:ascii="Times New Roman"/>
          <w:color w:val="auto"/>
          <w:highlight w:val="none"/>
          <w:u w:val="single"/>
          <w:lang w:val="en-US" w:eastAsia="zh-CN"/>
        </w:rPr>
        <w:t>2.3、未被“信用中国”网站（www.creditchina.gov.cn）、“中国政府采购网”（www.ccgp.gov.cn）列入失信被执行人、重大税收违法案件当事人名单、政府采购严重违法失信行为记录名单。</w:t>
      </w:r>
    </w:p>
    <w:p w14:paraId="130FF95E">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2.4、</w:t>
      </w:r>
      <w:r>
        <w:rPr>
          <w:rFonts w:hint="eastAsia" w:ascii="Times New Roman"/>
          <w:color w:val="auto"/>
          <w:highlight w:val="none"/>
          <w:u w:val="single"/>
        </w:rPr>
        <w:t>合格供应商的其他条件：</w:t>
      </w:r>
    </w:p>
    <w:p w14:paraId="0A96E319">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2.4.1</w:t>
      </w:r>
      <w:r>
        <w:rPr>
          <w:rFonts w:hint="eastAsia" w:ascii="Times New Roman"/>
          <w:color w:val="auto"/>
          <w:highlight w:val="none"/>
          <w:u w:val="single"/>
        </w:rPr>
        <w:t>单位负责人为同一人或者存在直接控股、管理关系的不同供应商，不得参加同一合同项下的政府采购活动；</w:t>
      </w:r>
    </w:p>
    <w:p w14:paraId="45F88970">
      <w:pPr>
        <w:shd w:val="clear" w:color="auto" w:fill="auto"/>
        <w:snapToGrid w:val="0"/>
        <w:spacing w:line="480" w:lineRule="exact"/>
        <w:ind w:firstLine="480" w:firstLineChars="200"/>
        <w:rPr>
          <w:highlight w:val="none"/>
        </w:rPr>
      </w:pPr>
      <w:r>
        <w:rPr>
          <w:rFonts w:hint="eastAsia" w:ascii="Times New Roman"/>
          <w:color w:val="auto"/>
          <w:highlight w:val="none"/>
          <w:u w:val="single"/>
          <w:lang w:val="en-US" w:eastAsia="zh-CN"/>
        </w:rPr>
        <w:t>2.4</w:t>
      </w:r>
      <w:r>
        <w:rPr>
          <w:rFonts w:hint="eastAsia" w:ascii="Times New Roman"/>
          <w:color w:val="auto"/>
          <w:highlight w:val="none"/>
          <w:u w:val="single"/>
        </w:rPr>
        <w:t>.</w:t>
      </w:r>
      <w:r>
        <w:rPr>
          <w:rFonts w:hint="eastAsia" w:ascii="Times New Roman"/>
          <w:color w:val="auto"/>
          <w:highlight w:val="none"/>
          <w:u w:val="single"/>
          <w:lang w:val="en-US" w:eastAsia="zh-CN"/>
        </w:rPr>
        <w:t>2</w:t>
      </w:r>
      <w:r>
        <w:rPr>
          <w:rFonts w:hint="eastAsia" w:ascii="Times New Roman"/>
          <w:color w:val="auto"/>
          <w:highlight w:val="none"/>
          <w:u w:val="single"/>
        </w:rPr>
        <w:t xml:space="preserve">本项目不接受联合体投标。 </w:t>
      </w:r>
    </w:p>
    <w:p w14:paraId="4AF20548">
      <w:pPr>
        <w:shd w:val="clear" w:color="auto" w:fill="auto"/>
        <w:snapToGrid w:val="0"/>
        <w:spacing w:line="480" w:lineRule="exact"/>
        <w:ind w:firstLine="482" w:firstLineChars="200"/>
        <w:rPr>
          <w:rFonts w:hint="eastAsia" w:ascii="Times New Roman"/>
          <w:b/>
          <w:color w:val="auto"/>
          <w:highlight w:val="none"/>
        </w:rPr>
      </w:pPr>
      <w:r>
        <w:rPr>
          <w:rFonts w:ascii="Times New Roman"/>
          <w:b/>
          <w:color w:val="auto"/>
          <w:highlight w:val="none"/>
        </w:rPr>
        <w:t>三、</w:t>
      </w:r>
      <w:r>
        <w:rPr>
          <w:rFonts w:hint="eastAsia" w:ascii="Times New Roman"/>
          <w:b/>
          <w:color w:val="auto"/>
          <w:highlight w:val="none"/>
        </w:rPr>
        <w:t>申请信息：</w:t>
      </w:r>
    </w:p>
    <w:p w14:paraId="55D5C376">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申请时间：自采购公告上网发布之日起至2025年</w:t>
      </w:r>
      <w:r>
        <w:rPr>
          <w:rFonts w:hint="eastAsia" w:ascii="Times New Roman"/>
          <w:b/>
          <w:color w:val="auto"/>
          <w:highlight w:val="none"/>
          <w:lang w:val="en-US" w:eastAsia="zh-CN"/>
        </w:rPr>
        <w:t>5</w:t>
      </w:r>
      <w:r>
        <w:rPr>
          <w:rFonts w:hint="eastAsia" w:ascii="Times New Roman"/>
          <w:b/>
          <w:color w:val="auto"/>
          <w:highlight w:val="none"/>
        </w:rPr>
        <w:t>月</w:t>
      </w:r>
      <w:r>
        <w:rPr>
          <w:rFonts w:hint="eastAsia" w:ascii="Times New Roman"/>
          <w:b/>
          <w:color w:val="auto"/>
          <w:highlight w:val="none"/>
          <w:lang w:val="en-US" w:eastAsia="zh-CN"/>
        </w:rPr>
        <w:t>29</w:t>
      </w:r>
      <w:r>
        <w:rPr>
          <w:rFonts w:hint="eastAsia" w:ascii="Times New Roman"/>
          <w:b/>
          <w:color w:val="auto"/>
          <w:highlight w:val="none"/>
        </w:rPr>
        <w:t>日，每日工作时间：上午9:00—11:00整，下午13:30—17:00整（节假日除外）。</w:t>
      </w:r>
    </w:p>
    <w:p w14:paraId="73917F72">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申请地点：采购代理（江苏建诚工程咨询有限公司）</w:t>
      </w:r>
    </w:p>
    <w:p w14:paraId="6F14EE51">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申请地址：南通市崇川区崇川路58号南通产业研究院9号601室</w:t>
      </w:r>
    </w:p>
    <w:p w14:paraId="709A3485">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申请方式：现场领取（也可以联系招标代理，通过电汇方式获取招标文件，联系人：</w:t>
      </w:r>
      <w:r>
        <w:rPr>
          <w:rFonts w:hint="eastAsia" w:ascii="Times New Roman"/>
          <w:b/>
          <w:color w:val="auto"/>
          <w:highlight w:val="none"/>
          <w:lang w:eastAsia="zh-CN"/>
        </w:rPr>
        <w:t>陆妍</w:t>
      </w:r>
      <w:r>
        <w:rPr>
          <w:rFonts w:hint="eastAsia" w:ascii="Times New Roman"/>
          <w:b/>
          <w:color w:val="auto"/>
          <w:highlight w:val="none"/>
        </w:rPr>
        <w:t>，联系方式：</w:t>
      </w:r>
      <w:r>
        <w:rPr>
          <w:rFonts w:hint="eastAsia" w:ascii="Times New Roman"/>
          <w:b/>
          <w:color w:val="auto"/>
          <w:highlight w:val="none"/>
          <w:lang w:val="en-US" w:eastAsia="zh-CN"/>
        </w:rPr>
        <w:t>13862995261</w:t>
      </w:r>
      <w:r>
        <w:rPr>
          <w:rFonts w:hint="eastAsia" w:ascii="Times New Roman"/>
          <w:b/>
          <w:color w:val="auto"/>
          <w:highlight w:val="none"/>
        </w:rPr>
        <w:t>；QQ：</w:t>
      </w:r>
      <w:r>
        <w:rPr>
          <w:rFonts w:hint="eastAsia" w:ascii="Times New Roman"/>
          <w:b/>
          <w:color w:val="auto"/>
          <w:highlight w:val="none"/>
          <w:lang w:val="en-US" w:eastAsia="zh-CN"/>
        </w:rPr>
        <w:t>735763345</w:t>
      </w:r>
      <w:r>
        <w:rPr>
          <w:rFonts w:hint="eastAsia" w:ascii="Times New Roman"/>
          <w:b/>
          <w:color w:val="auto"/>
          <w:highlight w:val="none"/>
        </w:rPr>
        <w:t>）。</w:t>
      </w:r>
    </w:p>
    <w:p w14:paraId="47DE9B10">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申请提供资料：按附件提供《申请函》</w:t>
      </w:r>
    </w:p>
    <w:p w14:paraId="4AF4BD09">
      <w:pPr>
        <w:shd w:val="clear" w:color="auto" w:fill="auto"/>
        <w:snapToGrid w:val="0"/>
        <w:spacing w:line="480" w:lineRule="exact"/>
        <w:ind w:firstLine="482" w:firstLineChars="200"/>
        <w:rPr>
          <w:rFonts w:hint="eastAsia" w:ascii="Times New Roman" w:eastAsia="宋体"/>
          <w:b/>
          <w:color w:val="auto"/>
          <w:highlight w:val="none"/>
          <w:lang w:eastAsia="zh-CN"/>
        </w:rPr>
      </w:pPr>
      <w:r>
        <w:rPr>
          <w:rFonts w:hint="eastAsia" w:ascii="Times New Roman"/>
          <w:b/>
          <w:color w:val="auto"/>
          <w:highlight w:val="none"/>
        </w:rPr>
        <w:t>未按要求进行申请的不具备投标资格</w:t>
      </w:r>
      <w:r>
        <w:rPr>
          <w:rFonts w:hint="eastAsia" w:ascii="Times New Roman"/>
          <w:b/>
          <w:color w:val="auto"/>
          <w:highlight w:val="none"/>
          <w:lang w:eastAsia="zh-CN"/>
        </w:rPr>
        <w:t>。</w:t>
      </w:r>
    </w:p>
    <w:p w14:paraId="7676E658">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四、提交投标文件截止时间、开标时间和地点</w:t>
      </w:r>
    </w:p>
    <w:p w14:paraId="05CDF8B5">
      <w:pPr>
        <w:shd w:val="clear" w:color="auto" w:fill="auto"/>
        <w:snapToGrid w:val="0"/>
        <w:spacing w:line="480" w:lineRule="exact"/>
        <w:ind w:firstLine="480" w:firstLineChars="200"/>
        <w:rPr>
          <w:rFonts w:hint="eastAsia" w:ascii="Times New Roman"/>
          <w:color w:val="auto"/>
          <w:highlight w:val="none"/>
        </w:rPr>
      </w:pPr>
      <w:r>
        <w:rPr>
          <w:rFonts w:hint="eastAsia" w:ascii="Times New Roman"/>
          <w:color w:val="auto"/>
          <w:highlight w:val="none"/>
        </w:rPr>
        <w:t>响应文件递交截止时间：2025年</w:t>
      </w:r>
      <w:r>
        <w:rPr>
          <w:rFonts w:hint="eastAsia" w:ascii="Times New Roman"/>
          <w:color w:val="auto"/>
          <w:highlight w:val="none"/>
          <w:lang w:val="en-US" w:eastAsia="zh-CN"/>
        </w:rPr>
        <w:t>6</w:t>
      </w:r>
      <w:r>
        <w:rPr>
          <w:rFonts w:hint="eastAsia" w:ascii="Times New Roman"/>
          <w:color w:val="auto"/>
          <w:highlight w:val="none"/>
        </w:rPr>
        <w:t>月</w:t>
      </w:r>
      <w:r>
        <w:rPr>
          <w:rFonts w:hint="eastAsia" w:ascii="Times New Roman"/>
          <w:color w:val="auto"/>
          <w:highlight w:val="none"/>
          <w:lang w:val="en-US" w:eastAsia="zh-CN"/>
        </w:rPr>
        <w:t xml:space="preserve"> 13</w:t>
      </w:r>
      <w:r>
        <w:rPr>
          <w:rFonts w:hint="eastAsia" w:ascii="Times New Roman"/>
          <w:color w:val="auto"/>
          <w:highlight w:val="none"/>
        </w:rPr>
        <w:t>日14:00（北京时间）</w:t>
      </w:r>
    </w:p>
    <w:p w14:paraId="46F65563">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rPr>
        <w:t>响应文件递交地址：市政务中心北停车楼14楼西会议室（崇川区工农南路150-1号），如有变动，另行通知</w:t>
      </w:r>
      <w:r>
        <w:rPr>
          <w:rFonts w:ascii="Times New Roman"/>
          <w:color w:val="auto"/>
          <w:highlight w:val="none"/>
        </w:rPr>
        <w:t>。</w:t>
      </w:r>
    </w:p>
    <w:p w14:paraId="29EA8280">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五、公告期限</w:t>
      </w:r>
    </w:p>
    <w:p w14:paraId="4D5D8A09">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自本公告发布之日起</w:t>
      </w:r>
      <w:r>
        <w:rPr>
          <w:rFonts w:hint="eastAsia" w:ascii="Times New Roman"/>
          <w:color w:val="auto"/>
          <w:highlight w:val="none"/>
          <w:lang w:val="en-US" w:eastAsia="zh-CN"/>
        </w:rPr>
        <w:t>5</w:t>
      </w:r>
      <w:r>
        <w:rPr>
          <w:rFonts w:ascii="Times New Roman"/>
          <w:color w:val="auto"/>
          <w:highlight w:val="none"/>
        </w:rPr>
        <w:t>个工作日。</w:t>
      </w:r>
    </w:p>
    <w:p w14:paraId="000AEF4C">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六、其他补充事宜</w:t>
      </w:r>
    </w:p>
    <w:p w14:paraId="7AE5D64D">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1.投标保证金：免收</w:t>
      </w:r>
    </w:p>
    <w:p w14:paraId="1FCBDB78">
      <w:pPr>
        <w:shd w:val="clear" w:color="auto" w:fill="auto"/>
        <w:snapToGrid w:val="0"/>
        <w:spacing w:line="480" w:lineRule="exact"/>
        <w:ind w:firstLine="480" w:firstLineChars="200"/>
        <w:rPr>
          <w:rFonts w:ascii="Times New Roman"/>
          <w:b/>
          <w:color w:val="auto"/>
          <w:highlight w:val="none"/>
        </w:rPr>
      </w:pPr>
      <w:r>
        <w:rPr>
          <w:rFonts w:ascii="Times New Roman"/>
          <w:color w:val="auto"/>
          <w:highlight w:val="none"/>
        </w:rPr>
        <w:t>2.项目开标活动模式：</w:t>
      </w:r>
      <w:r>
        <w:rPr>
          <w:rFonts w:ascii="Times New Roman"/>
          <w:bCs/>
          <w:color w:val="auto"/>
          <w:highlight w:val="none"/>
        </w:rPr>
        <w:t>现场投标模式</w:t>
      </w:r>
    </w:p>
    <w:p w14:paraId="155CC479">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3</w:t>
      </w:r>
      <w:r>
        <w:rPr>
          <w:rFonts w:ascii="Times New Roman"/>
          <w:color w:val="auto"/>
          <w:highlight w:val="none"/>
        </w:rPr>
        <w:t>.对项目需求部分（供应商其他资格要求、项目需求、评分标准）的询问、质疑请向采购人提出，由采购人负责答复；对项目招标文件其它部分的询问请向</w:t>
      </w:r>
      <w:r>
        <w:rPr>
          <w:rFonts w:hint="eastAsia" w:ascii="Times New Roman"/>
          <w:color w:val="auto"/>
          <w:highlight w:val="none"/>
          <w:lang w:val="en-US" w:eastAsia="zh-CN"/>
        </w:rPr>
        <w:t>采购代理</w:t>
      </w:r>
      <w:r>
        <w:rPr>
          <w:rFonts w:ascii="Times New Roman"/>
          <w:color w:val="auto"/>
          <w:highlight w:val="none"/>
        </w:rPr>
        <w:t>提出。</w:t>
      </w:r>
    </w:p>
    <w:p w14:paraId="756A7413">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4</w:t>
      </w:r>
      <w:r>
        <w:rPr>
          <w:rFonts w:ascii="Times New Roman"/>
          <w:color w:val="auto"/>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44F9D100">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七、对本次招标提出询问，请按以下方式联系。</w:t>
      </w:r>
    </w:p>
    <w:p w14:paraId="21751D13">
      <w:pPr>
        <w:shd w:val="clear" w:color="auto" w:fill="auto"/>
        <w:adjustRightInd w:val="0"/>
        <w:snapToGrid w:val="0"/>
        <w:spacing w:line="480" w:lineRule="exact"/>
        <w:ind w:firstLine="480" w:firstLineChars="200"/>
        <w:rPr>
          <w:rFonts w:hint="eastAsia" w:ascii="Times New Roman"/>
          <w:color w:val="auto"/>
          <w:highlight w:val="none"/>
        </w:rPr>
      </w:pPr>
      <w:r>
        <w:rPr>
          <w:rFonts w:ascii="Times New Roman"/>
          <w:color w:val="auto"/>
          <w:highlight w:val="none"/>
        </w:rPr>
        <w:t xml:space="preserve">1. </w:t>
      </w:r>
      <w:r>
        <w:rPr>
          <w:rFonts w:hint="eastAsia" w:ascii="Times New Roman"/>
          <w:color w:val="auto"/>
          <w:highlight w:val="none"/>
        </w:rPr>
        <w:t>采购人名称：南通市交通运输局</w:t>
      </w:r>
    </w:p>
    <w:p w14:paraId="6876A442">
      <w:pPr>
        <w:shd w:val="clear" w:color="auto" w:fill="auto"/>
        <w:adjustRightInd w:val="0"/>
        <w:snapToGrid w:val="0"/>
        <w:spacing w:line="480" w:lineRule="exact"/>
        <w:ind w:firstLine="480" w:firstLineChars="200"/>
        <w:rPr>
          <w:rFonts w:hint="default" w:ascii="Times New Roman" w:eastAsia="宋体"/>
          <w:color w:val="auto"/>
          <w:highlight w:val="none"/>
          <w:lang w:val="en-US" w:eastAsia="zh-CN"/>
        </w:rPr>
      </w:pPr>
      <w:r>
        <w:rPr>
          <w:rFonts w:hint="eastAsia" w:ascii="Times New Roman"/>
          <w:color w:val="auto"/>
          <w:highlight w:val="none"/>
        </w:rPr>
        <w:t>联系地址：市政务中心北停车楼</w:t>
      </w:r>
      <w:r>
        <w:rPr>
          <w:rFonts w:hint="eastAsia" w:ascii="Times New Roman"/>
          <w:color w:val="auto"/>
          <w:highlight w:val="none"/>
          <w:lang w:val="en-US" w:eastAsia="zh-CN"/>
        </w:rPr>
        <w:t>1420室</w:t>
      </w:r>
    </w:p>
    <w:p w14:paraId="71862F3B">
      <w:pPr>
        <w:shd w:val="clear" w:color="auto" w:fill="auto"/>
        <w:adjustRightInd w:val="0"/>
        <w:snapToGrid w:val="0"/>
        <w:spacing w:line="480" w:lineRule="exact"/>
        <w:ind w:firstLine="480" w:firstLineChars="200"/>
        <w:rPr>
          <w:rFonts w:hint="default" w:ascii="Times New Roman" w:eastAsia="宋体"/>
          <w:color w:val="auto"/>
          <w:highlight w:val="none"/>
          <w:lang w:val="en-US" w:eastAsia="zh-CN"/>
        </w:rPr>
      </w:pPr>
      <w:r>
        <w:rPr>
          <w:rFonts w:hint="eastAsia" w:ascii="Times New Roman"/>
          <w:color w:val="auto"/>
          <w:highlight w:val="none"/>
        </w:rPr>
        <w:t>联 系 人：</w:t>
      </w:r>
      <w:r>
        <w:rPr>
          <w:rFonts w:hint="eastAsia" w:ascii="Times New Roman"/>
          <w:color w:val="auto"/>
          <w:highlight w:val="none"/>
          <w:lang w:val="en-US" w:eastAsia="zh-CN"/>
        </w:rPr>
        <w:t xml:space="preserve"> 赵  慰</w:t>
      </w:r>
    </w:p>
    <w:p w14:paraId="016E1AF1">
      <w:pPr>
        <w:shd w:val="clear" w:color="auto" w:fill="auto"/>
        <w:adjustRightInd w:val="0"/>
        <w:snapToGrid w:val="0"/>
        <w:spacing w:line="480" w:lineRule="exact"/>
        <w:ind w:firstLine="480" w:firstLineChars="200"/>
        <w:rPr>
          <w:rFonts w:hint="default" w:ascii="Times New Roman" w:eastAsia="宋体"/>
          <w:color w:val="auto"/>
          <w:highlight w:val="none"/>
          <w:lang w:val="en-US" w:eastAsia="zh-CN"/>
        </w:rPr>
      </w:pPr>
      <w:r>
        <w:rPr>
          <w:rFonts w:hint="eastAsia" w:ascii="Times New Roman"/>
          <w:color w:val="auto"/>
          <w:highlight w:val="none"/>
        </w:rPr>
        <w:t>电    话：</w:t>
      </w:r>
      <w:r>
        <w:rPr>
          <w:rFonts w:hint="eastAsia" w:ascii="Times New Roman"/>
          <w:color w:val="auto"/>
          <w:highlight w:val="none"/>
          <w:lang w:val="en-US" w:eastAsia="zh-CN"/>
        </w:rPr>
        <w:t xml:space="preserve"> 0513-59003731</w:t>
      </w:r>
    </w:p>
    <w:p w14:paraId="165EF4A1">
      <w:pPr>
        <w:widowControl/>
        <w:shd w:val="clear" w:color="auto" w:fill="auto"/>
        <w:adjustRightInd w:val="0"/>
        <w:snapToGrid w:val="0"/>
        <w:spacing w:line="480" w:lineRule="exact"/>
        <w:ind w:firstLine="480" w:firstLineChars="200"/>
        <w:jc w:val="left"/>
        <w:rPr>
          <w:rFonts w:ascii="Times New Roman"/>
          <w:color w:val="auto"/>
          <w:highlight w:val="none"/>
        </w:rPr>
      </w:pPr>
      <w:r>
        <w:rPr>
          <w:rFonts w:ascii="Times New Roman"/>
          <w:color w:val="auto"/>
          <w:highlight w:val="none"/>
        </w:rPr>
        <w:t>2. 采购代理机构信息</w:t>
      </w:r>
    </w:p>
    <w:p w14:paraId="52D25C52">
      <w:pPr>
        <w:widowControl/>
        <w:shd w:val="clear" w:color="auto" w:fill="auto"/>
        <w:adjustRightInd w:val="0"/>
        <w:snapToGrid w:val="0"/>
        <w:spacing w:line="480" w:lineRule="exact"/>
        <w:ind w:firstLine="480" w:firstLineChars="200"/>
        <w:jc w:val="left"/>
        <w:rPr>
          <w:rFonts w:hint="eastAsia" w:ascii="Times New Roman" w:eastAsia="宋体"/>
          <w:color w:val="auto"/>
          <w:highlight w:val="none"/>
          <w:lang w:eastAsia="zh-CN"/>
        </w:rPr>
      </w:pPr>
      <w:r>
        <w:rPr>
          <w:rFonts w:ascii="Times New Roman"/>
          <w:color w:val="auto"/>
          <w:highlight w:val="none"/>
        </w:rPr>
        <w:t>名 称：</w:t>
      </w:r>
      <w:r>
        <w:rPr>
          <w:rFonts w:hint="eastAsia"/>
          <w:color w:val="auto"/>
          <w:highlight w:val="none"/>
          <w:lang w:eastAsia="zh-CN"/>
        </w:rPr>
        <w:t>江苏建诚工程咨询有限公司</w:t>
      </w:r>
    </w:p>
    <w:p w14:paraId="08126226">
      <w:pPr>
        <w:widowControl/>
        <w:shd w:val="clear" w:color="auto" w:fill="auto"/>
        <w:adjustRightInd w:val="0"/>
        <w:snapToGrid w:val="0"/>
        <w:spacing w:line="480" w:lineRule="exact"/>
        <w:ind w:firstLine="480" w:firstLineChars="200"/>
        <w:jc w:val="left"/>
        <w:rPr>
          <w:rFonts w:ascii="Times New Roman"/>
          <w:color w:val="auto"/>
          <w:highlight w:val="none"/>
        </w:rPr>
      </w:pPr>
      <w:r>
        <w:rPr>
          <w:rFonts w:ascii="Times New Roman"/>
          <w:color w:val="auto"/>
          <w:highlight w:val="none"/>
        </w:rPr>
        <w:t>地 址：</w:t>
      </w:r>
      <w:r>
        <w:rPr>
          <w:rFonts w:hint="eastAsia" w:ascii="Times New Roman"/>
          <w:color w:val="auto"/>
          <w:highlight w:val="none"/>
        </w:rPr>
        <w:t>南通市崇川区崇川路58号产业技术研究院9幢601室</w:t>
      </w:r>
    </w:p>
    <w:p w14:paraId="284C48D7">
      <w:pPr>
        <w:widowControl/>
        <w:shd w:val="clear" w:color="auto" w:fill="auto"/>
        <w:adjustRightInd w:val="0"/>
        <w:snapToGrid w:val="0"/>
        <w:spacing w:line="480" w:lineRule="exact"/>
        <w:ind w:firstLine="480" w:firstLineChars="200"/>
        <w:jc w:val="left"/>
        <w:rPr>
          <w:rFonts w:hint="default" w:ascii="Times New Roman" w:eastAsia="宋体"/>
          <w:color w:val="auto"/>
          <w:highlight w:val="none"/>
          <w:lang w:val="en-US" w:eastAsia="zh-CN"/>
        </w:rPr>
      </w:pPr>
      <w:r>
        <w:rPr>
          <w:rFonts w:ascii="Times New Roman"/>
          <w:color w:val="auto"/>
          <w:highlight w:val="none"/>
        </w:rPr>
        <w:t>联系方式：</w:t>
      </w:r>
      <w:r>
        <w:rPr>
          <w:rFonts w:hint="eastAsia"/>
          <w:color w:val="auto"/>
          <w:highlight w:val="none"/>
          <w:lang w:val="en-US" w:eastAsia="zh-CN"/>
        </w:rPr>
        <w:t>陆妍</w:t>
      </w:r>
      <w:r>
        <w:rPr>
          <w:rFonts w:hint="eastAsia"/>
          <w:color w:val="auto"/>
          <w:highlight w:val="none"/>
        </w:rPr>
        <w:t xml:space="preserve"> </w:t>
      </w:r>
      <w:r>
        <w:rPr>
          <w:color w:val="auto"/>
          <w:highlight w:val="none"/>
        </w:rPr>
        <w:t>1</w:t>
      </w:r>
      <w:r>
        <w:rPr>
          <w:rFonts w:hint="eastAsia"/>
          <w:color w:val="auto"/>
          <w:highlight w:val="none"/>
          <w:lang w:val="en-US" w:eastAsia="zh-CN"/>
        </w:rPr>
        <w:t>3862995261</w:t>
      </w:r>
    </w:p>
    <w:p w14:paraId="2B6B2AD0">
      <w:pPr>
        <w:numPr>
          <w:ilvl w:val="0"/>
          <w:numId w:val="1"/>
        </w:numPr>
        <w:shd w:val="clear" w:color="auto" w:fill="auto"/>
        <w:adjustRightInd w:val="0"/>
        <w:snapToGrid w:val="0"/>
        <w:spacing w:line="480" w:lineRule="exact"/>
        <w:ind w:firstLine="480" w:firstLineChars="200"/>
        <w:rPr>
          <w:rFonts w:ascii="Times New Roman"/>
          <w:color w:val="auto"/>
          <w:highlight w:val="none"/>
        </w:rPr>
      </w:pPr>
      <w:r>
        <w:rPr>
          <w:rFonts w:ascii="Times New Roman"/>
          <w:color w:val="auto"/>
          <w:highlight w:val="none"/>
        </w:rPr>
        <w:t>项目联系方式</w:t>
      </w:r>
    </w:p>
    <w:p w14:paraId="62DA196D">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招标文件制作人：</w:t>
      </w:r>
      <w:r>
        <w:rPr>
          <w:rFonts w:hint="eastAsia"/>
          <w:color w:val="auto"/>
          <w:highlight w:val="none"/>
          <w:lang w:val="en-US" w:eastAsia="zh-CN"/>
        </w:rPr>
        <w:t>陆妍</w:t>
      </w:r>
    </w:p>
    <w:p w14:paraId="6A33288F">
      <w:pPr>
        <w:shd w:val="clear" w:color="auto" w:fill="auto"/>
        <w:snapToGrid w:val="0"/>
        <w:spacing w:line="480" w:lineRule="exact"/>
        <w:ind w:firstLine="480" w:firstLineChars="200"/>
        <w:rPr>
          <w:rFonts w:hint="default" w:ascii="Times New Roman" w:eastAsia="宋体"/>
          <w:color w:val="auto"/>
          <w:highlight w:val="none"/>
          <w:lang w:val="en-US" w:eastAsia="zh-CN"/>
        </w:rPr>
      </w:pPr>
      <w:r>
        <w:rPr>
          <w:rFonts w:ascii="Times New Roman"/>
          <w:color w:val="auto"/>
          <w:highlight w:val="none"/>
        </w:rPr>
        <w:t>电 话：</w:t>
      </w:r>
      <w:r>
        <w:rPr>
          <w:rFonts w:hint="eastAsia"/>
          <w:color w:val="auto"/>
          <w:highlight w:val="none"/>
          <w:lang w:val="en-US" w:eastAsia="zh-CN"/>
        </w:rPr>
        <w:t>13862995261</w:t>
      </w:r>
    </w:p>
    <w:p w14:paraId="3050449B">
      <w:pPr>
        <w:shd w:val="clear" w:color="auto" w:fill="auto"/>
        <w:adjustRightInd w:val="0"/>
        <w:snapToGrid w:val="0"/>
        <w:spacing w:line="300" w:lineRule="auto"/>
        <w:contextualSpacing/>
        <w:jc w:val="center"/>
        <w:rPr>
          <w:rFonts w:ascii="Times New Roman"/>
          <w:color w:val="auto"/>
          <w:sz w:val="28"/>
          <w:szCs w:val="28"/>
          <w:highlight w:val="none"/>
        </w:rPr>
      </w:pPr>
      <w:r>
        <w:rPr>
          <w:rFonts w:ascii="Times New Roman"/>
          <w:b/>
          <w:color w:val="auto"/>
          <w:sz w:val="36"/>
          <w:szCs w:val="36"/>
          <w:highlight w:val="none"/>
        </w:rPr>
        <w:br w:type="page"/>
      </w:r>
      <w:r>
        <w:rPr>
          <w:rFonts w:ascii="Times New Roman"/>
          <w:b/>
          <w:color w:val="auto"/>
          <w:sz w:val="36"/>
          <w:szCs w:val="36"/>
          <w:highlight w:val="none"/>
        </w:rPr>
        <w:t>第二部分  投标须知</w:t>
      </w:r>
    </w:p>
    <w:p w14:paraId="0403C27A">
      <w:pPr>
        <w:shd w:val="clear" w:color="auto" w:fill="auto"/>
        <w:snapToGrid w:val="0"/>
        <w:spacing w:line="480" w:lineRule="exact"/>
        <w:ind w:firstLine="361" w:firstLineChars="150"/>
        <w:outlineLvl w:val="0"/>
        <w:rPr>
          <w:rFonts w:ascii="Times New Roman"/>
          <w:color w:val="auto"/>
          <w:highlight w:val="none"/>
        </w:rPr>
      </w:pPr>
      <w:r>
        <w:rPr>
          <w:rFonts w:ascii="Times New Roman"/>
          <w:b/>
          <w:color w:val="auto"/>
          <w:highlight w:val="none"/>
        </w:rPr>
        <w:t>一、招标文件由采购人或代理机构解释</w:t>
      </w:r>
      <w:r>
        <w:rPr>
          <w:rFonts w:ascii="Times New Roman"/>
          <w:color w:val="auto"/>
          <w:highlight w:val="none"/>
        </w:rPr>
        <w:t>。</w:t>
      </w:r>
    </w:p>
    <w:p w14:paraId="19E3A31F">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供应商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14:paraId="6E7AE234">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投标人应认真审阅招标文件中所有的事项、格式、条款和规范要求等，如果投标人没有按照招标文件要求提交投标文件，或者投标文件没有对招标文件做出实质性响应，其投标将被拒绝，投标人自行承担责任。</w:t>
      </w:r>
    </w:p>
    <w:p w14:paraId="50E2CF0D">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二、招标文件的澄清、修改、答疑</w:t>
      </w:r>
    </w:p>
    <w:p w14:paraId="47CA50D7">
      <w:pPr>
        <w:pStyle w:val="6"/>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1、采购人有权对发出的招标文件进行必要的澄清或修改。</w:t>
      </w:r>
    </w:p>
    <w:p w14:paraId="2693829B">
      <w:pPr>
        <w:pStyle w:val="6"/>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2、采购人可视情取消、延长相关时间。</w:t>
      </w:r>
    </w:p>
    <w:p w14:paraId="721C972F">
      <w:pPr>
        <w:pStyle w:val="6"/>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3、采购人对招标文件的澄清、修改将构成招标文件的一部分，对投标人具有约束力。</w:t>
      </w:r>
    </w:p>
    <w:p w14:paraId="6C8893F9">
      <w:pPr>
        <w:pStyle w:val="6"/>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4、投标人由于对招标文件的任何推论和误解以及采购人对有关问题的口头解释所造成的后果，均由投标人自负。</w:t>
      </w:r>
    </w:p>
    <w:p w14:paraId="07576825">
      <w:pPr>
        <w:pStyle w:val="6"/>
        <w:shd w:val="clear" w:color="auto" w:fill="auto"/>
        <w:snapToGrid w:val="0"/>
        <w:spacing w:line="480" w:lineRule="exact"/>
        <w:ind w:left="0" w:firstLine="480" w:firstLineChars="200"/>
        <w:contextualSpacing/>
        <w:rPr>
          <w:rFonts w:ascii="Times New Roman" w:eastAsia="宋体"/>
          <w:color w:val="auto"/>
          <w:sz w:val="24"/>
          <w:szCs w:val="24"/>
          <w:highlight w:val="none"/>
        </w:rPr>
      </w:pPr>
      <w:r>
        <w:rPr>
          <w:rFonts w:ascii="Times New Roman" w:eastAsia="宋体"/>
          <w:color w:val="auto"/>
          <w:sz w:val="24"/>
          <w:szCs w:val="24"/>
          <w:highlight w:val="none"/>
        </w:rPr>
        <w:t>5、采购人视情组织答疑会。</w:t>
      </w:r>
    </w:p>
    <w:p w14:paraId="69D6E202">
      <w:pPr>
        <w:shd w:val="clear" w:color="auto" w:fill="auto"/>
        <w:autoSpaceDE w:val="0"/>
        <w:autoSpaceDN w:val="0"/>
        <w:adjustRightInd w:val="0"/>
        <w:snapToGrid w:val="0"/>
        <w:spacing w:after="120" w:line="480" w:lineRule="exact"/>
        <w:ind w:firstLine="562"/>
        <w:contextualSpacing/>
        <w:rPr>
          <w:rFonts w:ascii="Times New Roman"/>
          <w:b/>
          <w:bCs/>
          <w:color w:val="auto"/>
          <w:highlight w:val="none"/>
        </w:rPr>
      </w:pPr>
      <w:r>
        <w:rPr>
          <w:rFonts w:ascii="Times New Roman"/>
          <w:b/>
          <w:bCs/>
          <w:color w:val="auto"/>
          <w:highlight w:val="none"/>
          <w:lang w:val="zh-CN"/>
        </w:rPr>
        <w:t>三、投标文件的编写、递交、上传</w:t>
      </w:r>
    </w:p>
    <w:p w14:paraId="1F4226FA">
      <w:pPr>
        <w:shd w:val="clear" w:color="auto" w:fill="auto"/>
        <w:autoSpaceDE w:val="0"/>
        <w:autoSpaceDN w:val="0"/>
        <w:adjustRightInd w:val="0"/>
        <w:snapToGrid w:val="0"/>
        <w:spacing w:line="480" w:lineRule="exact"/>
        <w:ind w:right="210" w:firstLine="560"/>
        <w:rPr>
          <w:rFonts w:ascii="Times New Roman"/>
          <w:b/>
          <w:color w:val="auto"/>
          <w:highlight w:val="none"/>
        </w:rPr>
      </w:pPr>
      <w:r>
        <w:rPr>
          <w:rFonts w:ascii="Times New Roman"/>
          <w:b/>
          <w:color w:val="auto"/>
          <w:highlight w:val="none"/>
        </w:rPr>
        <w:t>（一）投标文件的编写</w:t>
      </w:r>
    </w:p>
    <w:p w14:paraId="2106A302">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供应商按“第七部分 投标文件组成”要求编写投标文件。</w:t>
      </w:r>
    </w:p>
    <w:p w14:paraId="335AAE2B">
      <w:pPr>
        <w:shd w:val="clear" w:color="auto" w:fill="auto"/>
        <w:snapToGrid w:val="0"/>
        <w:spacing w:line="480" w:lineRule="exact"/>
        <w:ind w:firstLine="482" w:firstLineChars="200"/>
        <w:contextualSpacing/>
        <w:rPr>
          <w:rFonts w:ascii="Times New Roman" w:eastAsia="仿宋_GB2312"/>
          <w:b/>
          <w:color w:val="auto"/>
          <w:highlight w:val="none"/>
        </w:rPr>
      </w:pPr>
      <w:r>
        <w:rPr>
          <w:rFonts w:ascii="Times New Roman"/>
          <w:b/>
          <w:color w:val="auto"/>
          <w:highlight w:val="none"/>
        </w:rPr>
        <w:t>（二）投标文件的递交</w:t>
      </w:r>
    </w:p>
    <w:p w14:paraId="1911D843">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1、投标文件三部分内容（资格审查文件、商务技术文件、报价文件）须分别单独密封，并牢固装订成册，不得相互混淆，文件自编目录并连续标注页码，不得将内容拆开。报价文件不得出现于其他投标文件中。</w:t>
      </w:r>
    </w:p>
    <w:p w14:paraId="649AB6A0">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2、投标文件每一部分内容均须提供“一正、肆副”纸质投标文件，并将正本、副本及图纸类等（如需提供图纸等其它资料的话）合并密封，统一装在一个密封袋或密封箱内（如有A3大小的图纸类，可单独密封）。</w:t>
      </w:r>
    </w:p>
    <w:p w14:paraId="1EBDB97B">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3、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14:paraId="3BB7E537">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4、投标文件密封后应标明投标文件项目名称、项目编号、分包号、边缝处加盖单位骑缝章或骑缝签字。</w:t>
      </w:r>
    </w:p>
    <w:p w14:paraId="4F2D122F">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5、递交时间：供应商须在规定的投标文件接收截止时间前送达指定地点。</w:t>
      </w:r>
    </w:p>
    <w:p w14:paraId="623F9E98">
      <w:pPr>
        <w:shd w:val="clear" w:color="auto" w:fill="auto"/>
        <w:snapToGrid w:val="0"/>
        <w:spacing w:line="480" w:lineRule="exact"/>
        <w:ind w:firstLine="602" w:firstLineChars="250"/>
        <w:contextualSpacing/>
        <w:rPr>
          <w:rFonts w:ascii="Times New Roman"/>
          <w:b/>
          <w:color w:val="auto"/>
          <w:highlight w:val="none"/>
        </w:rPr>
      </w:pPr>
      <w:r>
        <w:rPr>
          <w:rFonts w:ascii="Times New Roman"/>
          <w:b/>
          <w:color w:val="auto"/>
          <w:highlight w:val="none"/>
        </w:rPr>
        <w:t>友情提醒：代理机构将拒绝接收未按照招标文件要求密封的投标文件，拒绝接收在投标文件接收截止时间后递交的投标文件。</w:t>
      </w:r>
    </w:p>
    <w:p w14:paraId="1B0E087B">
      <w:pPr>
        <w:shd w:val="clear" w:color="auto" w:fill="auto"/>
        <w:snapToGrid w:val="0"/>
        <w:spacing w:line="460" w:lineRule="exact"/>
        <w:ind w:firstLine="482" w:firstLineChars="200"/>
        <w:outlineLvl w:val="1"/>
        <w:rPr>
          <w:rFonts w:ascii="Times New Roman"/>
          <w:b/>
          <w:bCs/>
          <w:color w:val="auto"/>
          <w:highlight w:val="none"/>
        </w:rPr>
      </w:pPr>
      <w:r>
        <w:rPr>
          <w:rFonts w:ascii="Times New Roman"/>
          <w:b/>
          <w:bCs/>
          <w:color w:val="auto"/>
          <w:highlight w:val="none"/>
        </w:rPr>
        <w:t>四、投标文件的有效期</w:t>
      </w:r>
    </w:p>
    <w:p w14:paraId="753ED347">
      <w:pPr>
        <w:shd w:val="clear" w:color="auto" w:fill="auto"/>
        <w:snapToGrid w:val="0"/>
        <w:spacing w:line="460" w:lineRule="exact"/>
        <w:ind w:firstLine="480" w:firstLineChars="200"/>
        <w:rPr>
          <w:rFonts w:ascii="Times New Roman"/>
          <w:color w:val="auto"/>
          <w:highlight w:val="none"/>
        </w:rPr>
      </w:pPr>
      <w:r>
        <w:rPr>
          <w:rFonts w:ascii="Times New Roman"/>
          <w:color w:val="auto"/>
          <w:highlight w:val="none"/>
        </w:rPr>
        <w:t>1、从投标文件接收截止之日算起，</w:t>
      </w:r>
      <w:r>
        <w:rPr>
          <w:rFonts w:hint="eastAsia" w:ascii="Times New Roman"/>
          <w:b/>
          <w:color w:val="auto"/>
          <w:highlight w:val="none"/>
          <w:u w:val="single"/>
        </w:rPr>
        <w:t>45</w:t>
      </w:r>
      <w:r>
        <w:rPr>
          <w:rFonts w:ascii="Times New Roman"/>
          <w:b/>
          <w:color w:val="auto"/>
          <w:highlight w:val="none"/>
          <w:u w:val="single"/>
        </w:rPr>
        <w:t xml:space="preserve"> </w:t>
      </w:r>
      <w:r>
        <w:rPr>
          <w:rFonts w:ascii="Times New Roman"/>
          <w:color w:val="auto"/>
          <w:highlight w:val="none"/>
        </w:rPr>
        <w:t>个“日历天”内投标书应保持有效。有效期短于这个规定期限的，投标将被拒绝。</w:t>
      </w:r>
    </w:p>
    <w:p w14:paraId="0F004223">
      <w:pPr>
        <w:shd w:val="clear" w:color="auto" w:fill="auto"/>
        <w:snapToGrid w:val="0"/>
        <w:spacing w:line="460" w:lineRule="exact"/>
        <w:ind w:firstLine="470" w:firstLineChars="196"/>
        <w:outlineLvl w:val="1"/>
        <w:rPr>
          <w:rFonts w:ascii="Times New Roman"/>
          <w:b/>
          <w:color w:val="auto"/>
          <w:highlight w:val="none"/>
        </w:rPr>
      </w:pPr>
      <w:r>
        <w:rPr>
          <w:rFonts w:ascii="Times New Roman"/>
          <w:color w:val="auto"/>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0BEF44A7">
      <w:pPr>
        <w:shd w:val="clear" w:color="auto" w:fill="auto"/>
        <w:snapToGrid w:val="0"/>
        <w:spacing w:line="480" w:lineRule="exact"/>
        <w:ind w:firstLine="482" w:firstLineChars="200"/>
        <w:contextualSpacing/>
        <w:rPr>
          <w:rFonts w:ascii="Times New Roman"/>
          <w:b/>
          <w:color w:val="auto"/>
          <w:highlight w:val="none"/>
        </w:rPr>
      </w:pPr>
      <w:r>
        <w:rPr>
          <w:rFonts w:ascii="Times New Roman"/>
          <w:b/>
          <w:color w:val="auto"/>
          <w:highlight w:val="none"/>
        </w:rPr>
        <w:t>五、投标报价</w:t>
      </w:r>
    </w:p>
    <w:p w14:paraId="0A76B82C">
      <w:pPr>
        <w:pStyle w:val="6"/>
        <w:shd w:val="clear" w:color="auto" w:fill="auto"/>
        <w:snapToGrid w:val="0"/>
        <w:spacing w:line="480" w:lineRule="exact"/>
        <w:ind w:left="0" w:firstLine="480" w:firstLineChars="200"/>
        <w:contextualSpacing/>
        <w:rPr>
          <w:rFonts w:ascii="Times New Roman" w:eastAsia="宋体"/>
          <w:b/>
          <w:color w:val="auto"/>
          <w:sz w:val="24"/>
          <w:szCs w:val="24"/>
          <w:highlight w:val="none"/>
        </w:rPr>
      </w:pPr>
      <w:r>
        <w:rPr>
          <w:rFonts w:ascii="Times New Roman" w:eastAsia="宋体"/>
          <w:color w:val="auto"/>
          <w:sz w:val="24"/>
          <w:szCs w:val="24"/>
          <w:highlight w:val="none"/>
        </w:rPr>
        <w:t>一个标的（段）只允许一个报价，不接受任何有选择性的报价。</w:t>
      </w:r>
    </w:p>
    <w:p w14:paraId="3A937E10">
      <w:pPr>
        <w:shd w:val="clear" w:color="auto" w:fill="auto"/>
        <w:snapToGrid w:val="0"/>
        <w:spacing w:line="480" w:lineRule="exact"/>
        <w:ind w:firstLine="482" w:firstLineChars="200"/>
        <w:rPr>
          <w:rFonts w:ascii="Times New Roman"/>
          <w:color w:val="auto"/>
          <w:highlight w:val="none"/>
        </w:rPr>
      </w:pPr>
      <w:r>
        <w:rPr>
          <w:rFonts w:ascii="Times New Roman"/>
          <w:b/>
          <w:bCs/>
          <w:color w:val="auto"/>
          <w:highlight w:val="none"/>
        </w:rPr>
        <w:t>六、</w:t>
      </w:r>
      <w:r>
        <w:rPr>
          <w:rFonts w:ascii="Times New Roman"/>
          <w:b/>
          <w:color w:val="auto"/>
          <w:highlight w:val="none"/>
        </w:rPr>
        <w:t>投标</w:t>
      </w:r>
      <w:r>
        <w:rPr>
          <w:rFonts w:ascii="Times New Roman"/>
          <w:b/>
          <w:bCs/>
          <w:color w:val="auto"/>
          <w:highlight w:val="none"/>
        </w:rPr>
        <w:t>费用</w:t>
      </w:r>
    </w:p>
    <w:p w14:paraId="1B0CD3FA">
      <w:pPr>
        <w:shd w:val="clear" w:color="auto" w:fill="auto"/>
        <w:snapToGrid w:val="0"/>
        <w:spacing w:line="480" w:lineRule="exact"/>
        <w:ind w:firstLine="480" w:firstLineChars="200"/>
        <w:rPr>
          <w:rFonts w:hint="eastAsia" w:ascii="Times New Roman"/>
          <w:color w:val="auto"/>
          <w:highlight w:val="none"/>
        </w:rPr>
      </w:pPr>
      <w:r>
        <w:rPr>
          <w:rFonts w:ascii="Times New Roman"/>
          <w:color w:val="auto"/>
          <w:highlight w:val="none"/>
        </w:rPr>
        <w:t>1、</w:t>
      </w:r>
      <w:r>
        <w:rPr>
          <w:rFonts w:hint="eastAsia" w:ascii="Times New Roman"/>
          <w:color w:val="auto"/>
          <w:highlight w:val="none"/>
          <w:lang w:val="en-US" w:eastAsia="zh-CN"/>
        </w:rPr>
        <w:t>招标</w:t>
      </w:r>
      <w:r>
        <w:rPr>
          <w:rFonts w:hint="eastAsia" w:ascii="Times New Roman"/>
          <w:color w:val="auto"/>
          <w:highlight w:val="none"/>
        </w:rPr>
        <w:t>采购文件每套收取工本费300元，不予退还。</w:t>
      </w:r>
    </w:p>
    <w:p w14:paraId="7B3EAB9B">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2</w:t>
      </w:r>
      <w:r>
        <w:rPr>
          <w:rFonts w:hint="eastAsia" w:ascii="Times New Roman"/>
          <w:color w:val="auto"/>
          <w:highlight w:val="none"/>
        </w:rPr>
        <w:t>、招标代理费：根据国家计委关于印发《招标代理服务收费管理暂行办法》的通知（计价格[2002]1980号）、《国家发展改革委关于降低部分建设项目收费标准规范收费行为等有关问题的通知》（发改价格【2011】534号）的78%计取，按照成交价计算并由成交供应商支付，不足6000元按照6000元计；此部分费用包含在投标报价中，不单独计量支付，成交供应商应在领取成交通知书的同时一次性向招标代理单位支付（按照采购人与代理单位签订的代理合同执行）</w:t>
      </w:r>
      <w:r>
        <w:rPr>
          <w:rFonts w:ascii="Times New Roman"/>
          <w:color w:val="auto"/>
          <w:highlight w:val="none"/>
        </w:rPr>
        <w:t>。</w:t>
      </w:r>
    </w:p>
    <w:p w14:paraId="442B4786">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3</w:t>
      </w:r>
      <w:r>
        <w:rPr>
          <w:rFonts w:ascii="Times New Roman"/>
          <w:color w:val="auto"/>
          <w:highlight w:val="none"/>
        </w:rPr>
        <w:t>、采购人不收取任何费用。</w:t>
      </w:r>
    </w:p>
    <w:p w14:paraId="59CB4107">
      <w:pPr>
        <w:shd w:val="clear" w:color="auto" w:fill="auto"/>
        <w:snapToGrid w:val="0"/>
        <w:spacing w:line="480" w:lineRule="exact"/>
        <w:ind w:firstLine="555"/>
        <w:contextualSpacing/>
        <w:jc w:val="center"/>
        <w:rPr>
          <w:rFonts w:ascii="Times New Roman"/>
          <w:color w:val="auto"/>
          <w:sz w:val="28"/>
          <w:szCs w:val="28"/>
          <w:highlight w:val="none"/>
          <w:u w:val="single"/>
        </w:rPr>
      </w:pPr>
      <w:r>
        <w:rPr>
          <w:rFonts w:ascii="Times New Roman"/>
          <w:color w:val="auto"/>
          <w:highlight w:val="none"/>
          <w:u w:val="single"/>
        </w:rPr>
        <w:br w:type="page"/>
      </w:r>
      <w:r>
        <w:rPr>
          <w:rFonts w:ascii="Times New Roman"/>
          <w:b/>
          <w:bCs/>
          <w:color w:val="auto"/>
          <w:sz w:val="36"/>
          <w:szCs w:val="36"/>
          <w:highlight w:val="none"/>
        </w:rPr>
        <w:t>第三部分  项目需求说明</w:t>
      </w:r>
      <w:bookmarkStart w:id="2" w:name="OLE_LINK4"/>
      <w:bookmarkStart w:id="3" w:name="OLE_LINK3"/>
    </w:p>
    <w:p w14:paraId="7DB18092">
      <w:pPr>
        <w:rPr>
          <w:rFonts w:ascii="宋体" w:hAnsi="宋体"/>
          <w:b/>
          <w:bCs/>
          <w:sz w:val="28"/>
          <w:szCs w:val="32"/>
        </w:rPr>
      </w:pPr>
      <w:r>
        <w:rPr>
          <w:rFonts w:hint="eastAsia" w:ascii="宋体" w:hAnsi="宋体"/>
          <w:b/>
          <w:bCs/>
          <w:sz w:val="28"/>
          <w:szCs w:val="32"/>
        </w:rPr>
        <w:t>一、项目需求</w:t>
      </w:r>
    </w:p>
    <w:p w14:paraId="6F847C50">
      <w:pPr>
        <w:spacing w:line="360" w:lineRule="auto"/>
        <w:ind w:firstLine="482" w:firstLineChars="200"/>
        <w:jc w:val="left"/>
        <w:rPr>
          <w:rFonts w:ascii="宋体" w:hAnsi="宋体"/>
          <w:b/>
          <w:bCs/>
          <w:sz w:val="24"/>
          <w:szCs w:val="28"/>
        </w:rPr>
      </w:pPr>
      <w:r>
        <w:rPr>
          <w:rFonts w:hint="eastAsia" w:ascii="宋体" w:hAnsi="宋体"/>
          <w:b/>
          <w:bCs/>
          <w:sz w:val="24"/>
          <w:szCs w:val="28"/>
        </w:rPr>
        <w:t>1、项目概况：</w:t>
      </w:r>
    </w:p>
    <w:p w14:paraId="4D8B31A0">
      <w:pPr>
        <w:spacing w:line="360" w:lineRule="auto"/>
        <w:ind w:firstLine="480" w:firstLineChars="200"/>
        <w:jc w:val="left"/>
        <w:rPr>
          <w:rFonts w:hint="eastAsia" w:ascii="宋体" w:hAnsi="宋体"/>
          <w:sz w:val="24"/>
          <w:szCs w:val="28"/>
        </w:rPr>
      </w:pPr>
      <w:r>
        <w:rPr>
          <w:rFonts w:hint="eastAsia" w:ascii="宋体" w:hAnsi="宋体"/>
          <w:sz w:val="24"/>
          <w:szCs w:val="28"/>
        </w:rPr>
        <w:t>出租汽车是城市综合交通运输体系的组成部分，是城市公共交通的补充，为社会公众提供个性化运输服务。近年来，受私人小客车、网约车、共享单车、地铁等因素影响，南通市区出租汽车行业发生了很大的变化，尤其是网约车的快速兴起对出租汽车客运市场形成冲击，其低廉的价格、便捷的打车方式、准点可控的服务优势吸引驾驶员和乘客快速融入，市场规模快速增长，在挤占巡游车市场的同时，也加剧了网约车内部竞争，导致巡游车、网约车收入“双降”，出租汽车行业稳定发展面临挑战，深化出租汽车行业改革迫在眉睫。</w:t>
      </w:r>
    </w:p>
    <w:p w14:paraId="25A8700E">
      <w:pPr>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为有效应对南通市区出租汽车行业面临的困境，依据《关于深化改革推进出租汽车行业健康发展的指导意见》（国办发〔2016〕58号）、《网络预约出租汽车经营服务管理暂行办法》（交通运输部令2022年第42号）等文件，有必要科学研究分析出租汽车市场需求，测算出租汽车合理运力规模，建立出租汽车运力规模动态调整机制，为加强出租汽车行业管理、促进行业适度有序稳定健康发展提供科学依据。</w:t>
      </w:r>
    </w:p>
    <w:p w14:paraId="7F32987F">
      <w:pPr>
        <w:spacing w:line="360" w:lineRule="auto"/>
        <w:ind w:firstLine="482" w:firstLineChars="200"/>
        <w:jc w:val="left"/>
        <w:rPr>
          <w:rFonts w:ascii="宋体" w:hAnsi="宋体"/>
          <w:b w:val="0"/>
          <w:bCs w:val="0"/>
          <w:sz w:val="24"/>
          <w:szCs w:val="28"/>
        </w:rPr>
      </w:pPr>
      <w:r>
        <w:rPr>
          <w:rFonts w:ascii="宋体" w:hAnsi="宋体"/>
          <w:b/>
          <w:bCs/>
          <w:sz w:val="24"/>
          <w:szCs w:val="28"/>
        </w:rPr>
        <w:t>2、</w:t>
      </w:r>
      <w:r>
        <w:rPr>
          <w:rFonts w:hint="eastAsia" w:ascii="宋体" w:hAnsi="宋体"/>
          <w:b/>
          <w:bCs/>
          <w:sz w:val="24"/>
          <w:szCs w:val="28"/>
        </w:rPr>
        <w:t>研究目的</w:t>
      </w:r>
      <w:r>
        <w:rPr>
          <w:rFonts w:hint="eastAsia" w:hAnsi="宋体"/>
          <w:b/>
          <w:bCs/>
          <w:sz w:val="24"/>
          <w:szCs w:val="28"/>
          <w:lang w:eastAsia="zh-CN"/>
        </w:rPr>
        <w:t>：</w:t>
      </w:r>
    </w:p>
    <w:p w14:paraId="6E23C187">
      <w:pPr>
        <w:spacing w:line="360" w:lineRule="auto"/>
        <w:ind w:firstLine="480" w:firstLineChars="200"/>
        <w:jc w:val="left"/>
        <w:rPr>
          <w:rFonts w:hint="eastAsia" w:ascii="宋体" w:hAnsi="宋体"/>
          <w:sz w:val="24"/>
          <w:szCs w:val="28"/>
        </w:rPr>
      </w:pPr>
      <w:r>
        <w:rPr>
          <w:rFonts w:hint="eastAsia" w:ascii="宋体" w:hAnsi="宋体"/>
          <w:sz w:val="24"/>
          <w:szCs w:val="28"/>
        </w:rPr>
        <w:t>（一）</w:t>
      </w:r>
      <w:r>
        <w:rPr>
          <w:rFonts w:hint="eastAsia" w:hAnsi="宋体"/>
          <w:sz w:val="24"/>
          <w:szCs w:val="28"/>
          <w:lang w:eastAsia="zh-CN"/>
        </w:rPr>
        <w:t>、</w:t>
      </w:r>
      <w:r>
        <w:rPr>
          <w:rFonts w:hint="eastAsia" w:ascii="宋体" w:hAnsi="宋体"/>
          <w:sz w:val="24"/>
          <w:szCs w:val="28"/>
        </w:rPr>
        <w:t>分析行业发展现状，剖析行业当前存在问题。通过对比分析，深入调研南通市区巡游车和网约车行业发展现状，包括运营分析、营收分析等，剖析出租汽车行业存在的问题。</w:t>
      </w:r>
    </w:p>
    <w:p w14:paraId="20FBCE33">
      <w:pPr>
        <w:spacing w:line="360" w:lineRule="auto"/>
        <w:ind w:firstLine="480" w:firstLineChars="200"/>
        <w:jc w:val="left"/>
        <w:rPr>
          <w:rFonts w:hint="eastAsia" w:ascii="宋体" w:hAnsi="宋体"/>
          <w:sz w:val="24"/>
          <w:szCs w:val="28"/>
        </w:rPr>
      </w:pPr>
      <w:r>
        <w:rPr>
          <w:rFonts w:hint="eastAsia" w:ascii="宋体" w:hAnsi="宋体"/>
          <w:sz w:val="24"/>
          <w:szCs w:val="28"/>
        </w:rPr>
        <w:t>（二）</w:t>
      </w:r>
      <w:r>
        <w:rPr>
          <w:rFonts w:hint="eastAsia" w:hAnsi="宋体"/>
          <w:sz w:val="24"/>
          <w:szCs w:val="28"/>
          <w:lang w:eastAsia="zh-CN"/>
        </w:rPr>
        <w:t>、</w:t>
      </w:r>
      <w:r>
        <w:rPr>
          <w:rFonts w:hint="eastAsia" w:ascii="宋体" w:hAnsi="宋体"/>
          <w:sz w:val="24"/>
          <w:szCs w:val="28"/>
        </w:rPr>
        <w:t>测算运力合理规模，引导行业健康有序发展。在巡游车和网约车无序竞争的背景下，结合市场供需分析测算南通市区巡游车和网约车合理规模，建立出租汽车运力规模动态调整机制，引导行业发展从无序扩张的增量发展阶段进入规范平稳的协调发展阶段，实现南通市区出租汽车供需总体基本平衡。</w:t>
      </w:r>
    </w:p>
    <w:p w14:paraId="602CECE0">
      <w:pPr>
        <w:spacing w:line="360" w:lineRule="auto"/>
        <w:ind w:firstLine="480" w:firstLineChars="200"/>
        <w:jc w:val="left"/>
        <w:rPr>
          <w:rFonts w:hint="eastAsia" w:ascii="宋体" w:hAnsi="宋体"/>
          <w:sz w:val="24"/>
          <w:szCs w:val="28"/>
        </w:rPr>
      </w:pPr>
      <w:r>
        <w:rPr>
          <w:rFonts w:hint="eastAsia" w:ascii="宋体" w:hAnsi="宋体"/>
          <w:sz w:val="24"/>
          <w:szCs w:val="28"/>
        </w:rPr>
        <w:t>（三）</w:t>
      </w:r>
      <w:r>
        <w:rPr>
          <w:rFonts w:hint="eastAsia" w:hAnsi="宋体"/>
          <w:sz w:val="24"/>
          <w:szCs w:val="28"/>
          <w:lang w:eastAsia="zh-CN"/>
        </w:rPr>
        <w:t>、</w:t>
      </w:r>
      <w:r>
        <w:rPr>
          <w:rFonts w:hint="eastAsia" w:ascii="宋体" w:hAnsi="宋体"/>
          <w:sz w:val="24"/>
          <w:szCs w:val="28"/>
        </w:rPr>
        <w:t>给出行业管控建议，提供行业管理政策支撑。研究国内外城市出租汽车行业发展政策，总结先进经验，明确南通市区巡游车和网约车发展定位，针对南通市区出租汽车行业存在的问题，提出有针对性的管理策略和实施建议，为行业管理提供政策支撑。</w:t>
      </w:r>
    </w:p>
    <w:p w14:paraId="72BF1A4C">
      <w:pPr>
        <w:numPr>
          <w:ilvl w:val="0"/>
          <w:numId w:val="2"/>
        </w:numPr>
        <w:spacing w:line="360" w:lineRule="auto"/>
        <w:ind w:firstLine="482" w:firstLineChars="200"/>
        <w:jc w:val="left"/>
        <w:rPr>
          <w:rFonts w:hint="eastAsia" w:ascii="宋体" w:hAnsi="宋体"/>
          <w:b/>
          <w:bCs/>
          <w:sz w:val="24"/>
          <w:szCs w:val="28"/>
        </w:rPr>
      </w:pPr>
      <w:r>
        <w:rPr>
          <w:rFonts w:hint="eastAsia" w:ascii="宋体" w:hAnsi="宋体"/>
          <w:b/>
          <w:bCs/>
          <w:sz w:val="24"/>
          <w:szCs w:val="28"/>
        </w:rPr>
        <w:t>主要研究内容</w:t>
      </w:r>
      <w:r>
        <w:rPr>
          <w:rFonts w:hint="eastAsia" w:hAnsi="宋体"/>
          <w:b/>
          <w:bCs/>
          <w:sz w:val="24"/>
          <w:szCs w:val="28"/>
          <w:lang w:eastAsia="zh-CN"/>
        </w:rPr>
        <w:t>：</w:t>
      </w:r>
    </w:p>
    <w:p w14:paraId="5541EA4F">
      <w:pPr>
        <w:numPr>
          <w:ilvl w:val="0"/>
          <w:numId w:val="0"/>
        </w:numPr>
        <w:spacing w:line="360" w:lineRule="auto"/>
        <w:ind w:firstLine="480" w:firstLineChars="200"/>
        <w:jc w:val="left"/>
        <w:rPr>
          <w:rFonts w:hint="eastAsia" w:ascii="宋体" w:hAnsi="宋体"/>
          <w:b w:val="0"/>
          <w:bCs w:val="0"/>
          <w:sz w:val="24"/>
          <w:szCs w:val="28"/>
        </w:rPr>
      </w:pPr>
      <w:r>
        <w:rPr>
          <w:rFonts w:hint="eastAsia" w:ascii="宋体" w:hAnsi="宋体"/>
          <w:b w:val="0"/>
          <w:bCs w:val="0"/>
          <w:sz w:val="24"/>
          <w:szCs w:val="28"/>
        </w:rPr>
        <w:t>（一）</w:t>
      </w:r>
      <w:r>
        <w:rPr>
          <w:rFonts w:hint="eastAsia" w:hAnsi="宋体"/>
          <w:b w:val="0"/>
          <w:bCs w:val="0"/>
          <w:sz w:val="24"/>
          <w:szCs w:val="28"/>
          <w:lang w:eastAsia="zh-CN"/>
        </w:rPr>
        <w:t>、</w:t>
      </w:r>
      <w:r>
        <w:rPr>
          <w:rFonts w:hint="eastAsia" w:ascii="宋体" w:hAnsi="宋体"/>
          <w:b w:val="0"/>
          <w:bCs w:val="0"/>
          <w:sz w:val="24"/>
          <w:szCs w:val="28"/>
        </w:rPr>
        <w:t>巡游车发展现状分析。对南通市区巡游出租汽车经营企业、车辆、驾驶员、运营服务、营收等进行分析，全面掌握巡游出租汽车发展中存在的问题。</w:t>
      </w:r>
    </w:p>
    <w:p w14:paraId="4199DE60">
      <w:pPr>
        <w:numPr>
          <w:ilvl w:val="0"/>
          <w:numId w:val="0"/>
        </w:numPr>
        <w:spacing w:line="360" w:lineRule="auto"/>
        <w:ind w:firstLine="480" w:firstLineChars="200"/>
        <w:jc w:val="left"/>
        <w:rPr>
          <w:rFonts w:hint="eastAsia" w:ascii="宋体" w:hAnsi="宋体"/>
          <w:b w:val="0"/>
          <w:bCs w:val="0"/>
          <w:sz w:val="24"/>
          <w:szCs w:val="28"/>
        </w:rPr>
      </w:pPr>
      <w:r>
        <w:rPr>
          <w:rFonts w:hint="eastAsia" w:ascii="宋体" w:hAnsi="宋体"/>
          <w:b w:val="0"/>
          <w:bCs w:val="0"/>
          <w:sz w:val="24"/>
          <w:szCs w:val="28"/>
        </w:rPr>
        <w:t>（二）</w:t>
      </w:r>
      <w:r>
        <w:rPr>
          <w:rFonts w:hint="eastAsia" w:hAnsi="宋体"/>
          <w:b w:val="0"/>
          <w:bCs w:val="0"/>
          <w:sz w:val="24"/>
          <w:szCs w:val="28"/>
          <w:lang w:eastAsia="zh-CN"/>
        </w:rPr>
        <w:t>、</w:t>
      </w:r>
      <w:r>
        <w:rPr>
          <w:rFonts w:hint="eastAsia" w:ascii="宋体" w:hAnsi="宋体"/>
          <w:b w:val="0"/>
          <w:bCs w:val="0"/>
          <w:sz w:val="24"/>
          <w:szCs w:val="28"/>
        </w:rPr>
        <w:t>网约车发展现状分析。对南通市区网约车经营企业、车辆、驾驶员、运营服务、营收等进行分析，包括未取证网约车，全面掌握网络预约出租汽车发展中存在的问题。</w:t>
      </w:r>
    </w:p>
    <w:p w14:paraId="62CE1B84">
      <w:pPr>
        <w:numPr>
          <w:ilvl w:val="0"/>
          <w:numId w:val="0"/>
        </w:numPr>
        <w:spacing w:line="360" w:lineRule="auto"/>
        <w:ind w:firstLine="480" w:firstLineChars="200"/>
        <w:jc w:val="left"/>
        <w:rPr>
          <w:rFonts w:hint="eastAsia" w:ascii="宋体" w:hAnsi="宋体"/>
          <w:b w:val="0"/>
          <w:bCs w:val="0"/>
          <w:sz w:val="24"/>
          <w:szCs w:val="28"/>
        </w:rPr>
      </w:pPr>
      <w:r>
        <w:rPr>
          <w:rFonts w:hint="eastAsia" w:ascii="宋体" w:hAnsi="宋体"/>
          <w:b w:val="0"/>
          <w:bCs w:val="0"/>
          <w:sz w:val="24"/>
          <w:szCs w:val="28"/>
        </w:rPr>
        <w:t>（三）</w:t>
      </w:r>
      <w:r>
        <w:rPr>
          <w:rFonts w:hint="eastAsia" w:hAnsi="宋体"/>
          <w:b w:val="0"/>
          <w:bCs w:val="0"/>
          <w:sz w:val="24"/>
          <w:szCs w:val="28"/>
          <w:lang w:eastAsia="zh-CN"/>
        </w:rPr>
        <w:t>、</w:t>
      </w:r>
      <w:r>
        <w:rPr>
          <w:rFonts w:hint="eastAsia" w:ascii="宋体" w:hAnsi="宋体"/>
          <w:b w:val="0"/>
          <w:bCs w:val="0"/>
          <w:sz w:val="24"/>
          <w:szCs w:val="28"/>
        </w:rPr>
        <w:t>出租汽车运力需求测算。结合南通市社会经济、人口岗位、居民出行特征等因素，采用供需平衡模型测算南通市区出租汽车合理运力规模。</w:t>
      </w:r>
    </w:p>
    <w:p w14:paraId="1D8E6532">
      <w:pPr>
        <w:numPr>
          <w:ilvl w:val="0"/>
          <w:numId w:val="0"/>
        </w:numPr>
        <w:spacing w:line="360" w:lineRule="auto"/>
        <w:ind w:firstLine="480" w:firstLineChars="200"/>
        <w:jc w:val="left"/>
        <w:rPr>
          <w:rFonts w:hint="eastAsia" w:ascii="宋体" w:hAnsi="宋体"/>
          <w:b w:val="0"/>
          <w:bCs w:val="0"/>
          <w:sz w:val="24"/>
          <w:szCs w:val="28"/>
        </w:rPr>
      </w:pPr>
      <w:r>
        <w:rPr>
          <w:rFonts w:hint="eastAsia" w:ascii="宋体" w:hAnsi="宋体"/>
          <w:b w:val="0"/>
          <w:bCs w:val="0"/>
          <w:sz w:val="24"/>
          <w:szCs w:val="28"/>
        </w:rPr>
        <w:t>（四）</w:t>
      </w:r>
      <w:r>
        <w:rPr>
          <w:rFonts w:hint="eastAsia" w:hAnsi="宋体"/>
          <w:b w:val="0"/>
          <w:bCs w:val="0"/>
          <w:sz w:val="24"/>
          <w:szCs w:val="28"/>
          <w:lang w:eastAsia="zh-CN"/>
        </w:rPr>
        <w:t>、</w:t>
      </w:r>
      <w:r>
        <w:rPr>
          <w:rFonts w:hint="eastAsia" w:ascii="宋体" w:hAnsi="宋体"/>
          <w:b w:val="0"/>
          <w:bCs w:val="0"/>
          <w:sz w:val="24"/>
          <w:szCs w:val="28"/>
        </w:rPr>
        <w:t>出租汽车运力规模动态调整机制研究。在深入剖析南通市区出租汽车运营现状的基础上，提出南通市区出租汽车运力规模动态调整评估指标及触发条件。</w:t>
      </w:r>
    </w:p>
    <w:p w14:paraId="12F40B42">
      <w:pPr>
        <w:numPr>
          <w:ilvl w:val="0"/>
          <w:numId w:val="0"/>
        </w:numPr>
        <w:spacing w:line="360" w:lineRule="auto"/>
        <w:ind w:firstLine="480" w:firstLineChars="200"/>
        <w:jc w:val="left"/>
        <w:rPr>
          <w:rFonts w:hint="eastAsia" w:ascii="宋体" w:hAnsi="宋体"/>
          <w:b w:val="0"/>
          <w:bCs w:val="0"/>
          <w:sz w:val="24"/>
          <w:szCs w:val="28"/>
        </w:rPr>
      </w:pPr>
      <w:r>
        <w:rPr>
          <w:rFonts w:hint="eastAsia" w:ascii="宋体" w:hAnsi="宋体"/>
          <w:b w:val="0"/>
          <w:bCs w:val="0"/>
          <w:sz w:val="24"/>
          <w:szCs w:val="28"/>
        </w:rPr>
        <w:t>（五）</w:t>
      </w:r>
      <w:r>
        <w:rPr>
          <w:rFonts w:hint="eastAsia" w:hAnsi="宋体"/>
          <w:b w:val="0"/>
          <w:bCs w:val="0"/>
          <w:sz w:val="24"/>
          <w:szCs w:val="28"/>
          <w:lang w:eastAsia="zh-CN"/>
        </w:rPr>
        <w:t>、</w:t>
      </w:r>
      <w:r>
        <w:rPr>
          <w:rFonts w:hint="eastAsia" w:ascii="宋体" w:hAnsi="宋体"/>
          <w:b w:val="0"/>
          <w:bCs w:val="0"/>
          <w:sz w:val="24"/>
          <w:szCs w:val="28"/>
        </w:rPr>
        <w:t>出租汽车管理对策与建议。借鉴国内外城市出租汽车行业管理经验，提出南通市区出租汽车行业发展思路，针对南通市出租汽车发展存在问题，提出切实可行的管理对策与建议。</w:t>
      </w:r>
    </w:p>
    <w:p w14:paraId="639179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 w:val="0"/>
          <w:bCs w:val="0"/>
          <w:sz w:val="24"/>
          <w:szCs w:val="28"/>
          <w:highlight w:val="none"/>
          <w:lang w:val="zh-CN"/>
        </w:rPr>
      </w:pPr>
      <w:r>
        <w:rPr>
          <w:rFonts w:hint="eastAsia" w:ascii="宋体" w:hAnsi="宋体" w:eastAsia="宋体" w:cs="Times New Roman"/>
          <w:b w:val="0"/>
          <w:bCs w:val="0"/>
          <w:sz w:val="24"/>
          <w:szCs w:val="28"/>
          <w:lang w:val="en-US" w:eastAsia="zh-CN"/>
        </w:rPr>
        <w:t>4、</w:t>
      </w:r>
      <w:r>
        <w:rPr>
          <w:rFonts w:hint="eastAsia" w:ascii="宋体" w:hAnsi="宋体" w:eastAsia="宋体" w:cs="Times New Roman"/>
          <w:b w:val="0"/>
          <w:bCs w:val="0"/>
          <w:sz w:val="24"/>
          <w:szCs w:val="28"/>
          <w:highlight w:val="none"/>
        </w:rPr>
        <w:t>预算金额：</w:t>
      </w:r>
      <w:r>
        <w:rPr>
          <w:rFonts w:hint="eastAsia" w:ascii="宋体" w:hAnsi="宋体" w:eastAsia="宋体" w:cs="Times New Roman"/>
          <w:b w:val="0"/>
          <w:bCs w:val="0"/>
          <w:sz w:val="24"/>
          <w:szCs w:val="28"/>
          <w:highlight w:val="none"/>
          <w:u w:val="single"/>
        </w:rPr>
        <w:t xml:space="preserve"> </w:t>
      </w:r>
      <w:r>
        <w:rPr>
          <w:rFonts w:hint="eastAsia" w:ascii="宋体" w:hAnsi="宋体" w:cs="Times New Roman"/>
          <w:b w:val="0"/>
          <w:bCs w:val="0"/>
          <w:sz w:val="24"/>
          <w:szCs w:val="28"/>
          <w:highlight w:val="none"/>
          <w:u w:val="single"/>
          <w:lang w:val="en-US" w:eastAsia="zh-CN"/>
        </w:rPr>
        <w:t xml:space="preserve">35 </w:t>
      </w:r>
      <w:r>
        <w:rPr>
          <w:rFonts w:hint="eastAsia" w:ascii="宋体" w:hAnsi="宋体" w:eastAsia="宋体" w:cs="Times New Roman"/>
          <w:b w:val="0"/>
          <w:bCs w:val="0"/>
          <w:sz w:val="24"/>
          <w:szCs w:val="28"/>
          <w:highlight w:val="none"/>
        </w:rPr>
        <w:t>万元</w:t>
      </w:r>
    </w:p>
    <w:p w14:paraId="09DAD2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ascii="宋体" w:hAnsi="宋体"/>
          <w:sz w:val="24"/>
          <w:highlight w:val="none"/>
          <w:lang w:val="zh-CN"/>
        </w:rPr>
      </w:pPr>
      <w:r>
        <w:rPr>
          <w:rFonts w:hint="eastAsia" w:ascii="宋体" w:hAnsi="宋体"/>
          <w:b/>
          <w:bCs/>
          <w:sz w:val="24"/>
          <w:highlight w:val="none"/>
          <w:lang w:val="en-US" w:eastAsia="zh-CN"/>
        </w:rPr>
        <w:t>5、</w:t>
      </w:r>
      <w:r>
        <w:rPr>
          <w:rFonts w:hint="eastAsia" w:ascii="宋体" w:hAnsi="宋体" w:eastAsia="宋体" w:cs="Times New Roman"/>
          <w:b w:val="0"/>
          <w:bCs w:val="0"/>
          <w:sz w:val="24"/>
          <w:szCs w:val="28"/>
          <w:highlight w:val="none"/>
          <w:u w:val="single"/>
        </w:rPr>
        <w:t>合同履行期限</w:t>
      </w:r>
      <w:r>
        <w:rPr>
          <w:rFonts w:hint="eastAsia" w:ascii="宋体" w:hAnsi="宋体" w:eastAsia="宋体" w:cs="Times New Roman"/>
          <w:b w:val="0"/>
          <w:bCs w:val="0"/>
          <w:sz w:val="24"/>
          <w:szCs w:val="28"/>
          <w:highlight w:val="none"/>
          <w:u w:val="single"/>
          <w:lang w:val="zh-CN"/>
        </w:rPr>
        <w:t>：</w:t>
      </w:r>
      <w:r>
        <w:rPr>
          <w:rFonts w:hint="eastAsia" w:ascii="宋体" w:hAnsi="宋体" w:eastAsia="宋体" w:cs="Times New Roman"/>
          <w:b w:val="0"/>
          <w:bCs w:val="0"/>
          <w:sz w:val="24"/>
          <w:szCs w:val="28"/>
          <w:highlight w:val="none"/>
          <w:u w:val="single"/>
        </w:rPr>
        <w:t>自合同签订之日</w:t>
      </w:r>
      <w:r>
        <w:rPr>
          <w:rFonts w:hint="eastAsia" w:ascii="宋体" w:hAnsi="宋体" w:cs="Times New Roman"/>
          <w:b w:val="0"/>
          <w:bCs w:val="0"/>
          <w:sz w:val="24"/>
          <w:szCs w:val="28"/>
          <w:highlight w:val="none"/>
          <w:u w:val="single"/>
          <w:lang w:eastAsia="zh-CN"/>
        </w:rPr>
        <w:t>起</w:t>
      </w:r>
      <w:r>
        <w:rPr>
          <w:rFonts w:hint="eastAsia" w:ascii="宋体" w:hAnsi="宋体" w:cs="Times New Roman"/>
          <w:b w:val="0"/>
          <w:bCs w:val="0"/>
          <w:sz w:val="24"/>
          <w:szCs w:val="28"/>
          <w:highlight w:val="none"/>
          <w:u w:val="single"/>
          <w:lang w:val="en-US" w:eastAsia="zh-CN"/>
        </w:rPr>
        <w:t>2个月内</w:t>
      </w:r>
      <w:r>
        <w:rPr>
          <w:rFonts w:hint="eastAsia" w:ascii="宋体" w:hAnsi="宋体" w:eastAsia="宋体" w:cs="Times New Roman"/>
          <w:b w:val="0"/>
          <w:bCs w:val="0"/>
          <w:sz w:val="24"/>
          <w:szCs w:val="28"/>
          <w:highlight w:val="none"/>
          <w:u w:val="single"/>
        </w:rPr>
        <w:t>。</w:t>
      </w:r>
    </w:p>
    <w:p w14:paraId="1A5529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lang w:val="en-US" w:eastAsia="zh-CN"/>
        </w:rPr>
        <w:t>6、</w:t>
      </w:r>
      <w:r>
        <w:rPr>
          <w:rFonts w:hint="eastAsia" w:ascii="宋体" w:hAnsi="宋体"/>
          <w:b/>
          <w:bCs/>
          <w:sz w:val="24"/>
          <w:highlight w:val="none"/>
        </w:rPr>
        <w:t>进度安排</w:t>
      </w:r>
    </w:p>
    <w:p w14:paraId="7C8D7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月：前期资料收集，拟定提资清单及报告框架，预先开展线上线下调研工作；收集汇总</w:t>
      </w:r>
      <w:r>
        <w:rPr>
          <w:rFonts w:hint="eastAsia" w:ascii="宋体" w:hAnsi="宋体"/>
          <w:sz w:val="24"/>
          <w:highlight w:val="none"/>
          <w:lang w:eastAsia="zh-CN"/>
        </w:rPr>
        <w:t>出租客运</w:t>
      </w:r>
      <w:r>
        <w:rPr>
          <w:rFonts w:hint="eastAsia" w:ascii="宋体" w:hAnsi="宋体"/>
          <w:sz w:val="24"/>
          <w:highlight w:val="none"/>
        </w:rPr>
        <w:t>发展数据，开始报告内容形成初稿，同步准备初期成果汇报；</w:t>
      </w:r>
    </w:p>
    <w:p w14:paraId="4CF16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2、20</w:t>
      </w:r>
      <w:r>
        <w:rPr>
          <w:rFonts w:hint="eastAsia" w:ascii="宋体" w:hAnsi="宋体"/>
          <w:sz w:val="24"/>
          <w:highlight w:val="none"/>
          <w:lang w:val="en-US" w:eastAsia="zh-CN"/>
        </w:rPr>
        <w:t>25</w:t>
      </w:r>
      <w:r>
        <w:rPr>
          <w:rFonts w:hint="eastAsia" w:ascii="宋体" w:hAnsi="宋体"/>
          <w:sz w:val="24"/>
          <w:highlight w:val="none"/>
        </w:rPr>
        <w:t>年</w:t>
      </w:r>
      <w:r>
        <w:rPr>
          <w:rFonts w:hint="eastAsia" w:ascii="宋体" w:hAnsi="宋体"/>
          <w:sz w:val="24"/>
          <w:highlight w:val="none"/>
          <w:lang w:val="en-US" w:eastAsia="zh-CN"/>
        </w:rPr>
        <w:t>7月中旬前</w:t>
      </w:r>
      <w:r>
        <w:rPr>
          <w:rFonts w:hint="eastAsia" w:ascii="宋体" w:hAnsi="宋体"/>
          <w:sz w:val="24"/>
          <w:highlight w:val="none"/>
        </w:rPr>
        <w:t>根据意见，对初稿进行调整润色，形成中期成果；</w:t>
      </w:r>
    </w:p>
    <w:p w14:paraId="505452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31日前</w:t>
      </w:r>
      <w:r>
        <w:rPr>
          <w:rFonts w:hint="eastAsia" w:ascii="宋体" w:hAnsi="宋体"/>
          <w:sz w:val="24"/>
          <w:highlight w:val="none"/>
        </w:rPr>
        <w:t>：组织专家评审，根据专家意见完善报告内容，形成最终成果，准备结题出版打印。</w:t>
      </w:r>
    </w:p>
    <w:p w14:paraId="180CC44B">
      <w:pPr>
        <w:pStyle w:val="2"/>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以上时间要求为暂定计划安排，具体以业主相关要求更新及时响应，在研究过程中适当进行调整。</w:t>
      </w:r>
    </w:p>
    <w:p w14:paraId="5BB20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成果要求</w:t>
      </w:r>
    </w:p>
    <w:p w14:paraId="2368C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 xml:space="preserve">项目成果包括但不限于： </w:t>
      </w:r>
    </w:p>
    <w:p w14:paraId="293BD93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研究报告：南通市区出租汽车运力规模评估研究报告</w:t>
      </w:r>
    </w:p>
    <w:p w14:paraId="70047F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提交成果要求 （1）纸质文档应包括评价报告等材料的打印本</w:t>
      </w:r>
      <w:r>
        <w:rPr>
          <w:rFonts w:hint="eastAsia" w:ascii="宋体" w:hAnsi="宋体"/>
          <w:sz w:val="24"/>
          <w:highlight w:val="none"/>
          <w:lang w:eastAsia="zh-CN"/>
        </w:rPr>
        <w:t>，</w:t>
      </w:r>
      <w:r>
        <w:rPr>
          <w:rFonts w:hint="eastAsia" w:ascii="宋体" w:hAnsi="宋体"/>
          <w:sz w:val="24"/>
          <w:highlight w:val="none"/>
        </w:rPr>
        <w:t xml:space="preserve">具体套数视情况而定；（2）电子文件应包括正式成果的所有电子文件。（验收报告为 word 格式，以及汇报材料为 ppt 格式，台账资料为 PDF、Excel、jpg 等格式）。 </w:t>
      </w:r>
    </w:p>
    <w:p w14:paraId="638F7E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lang w:val="zh-CN"/>
        </w:rPr>
      </w:pPr>
      <w:r>
        <w:rPr>
          <w:rFonts w:hint="eastAsia" w:ascii="宋体" w:hAnsi="宋体"/>
          <w:b/>
          <w:bCs/>
          <w:sz w:val="24"/>
          <w:highlight w:val="none"/>
          <w:lang w:val="en-US" w:eastAsia="zh-CN"/>
        </w:rPr>
        <w:t>8、</w:t>
      </w:r>
      <w:r>
        <w:rPr>
          <w:rFonts w:hint="eastAsia" w:ascii="宋体" w:hAnsi="宋体"/>
          <w:b/>
          <w:bCs/>
          <w:sz w:val="24"/>
          <w:highlight w:val="none"/>
          <w:lang w:val="zh-CN"/>
        </w:rPr>
        <w:t>付款方式</w:t>
      </w:r>
    </w:p>
    <w:p w14:paraId="0A360D29">
      <w:pPr>
        <w:spacing w:line="360" w:lineRule="auto"/>
        <w:ind w:firstLine="480" w:firstLineChars="200"/>
        <w:jc w:val="left"/>
        <w:rPr>
          <w:rFonts w:ascii="宋体" w:hAnsi="宋体"/>
          <w:sz w:val="24"/>
          <w:szCs w:val="28"/>
          <w:highlight w:val="none"/>
        </w:rPr>
      </w:pPr>
      <w:r>
        <w:rPr>
          <w:rFonts w:hint="eastAsia" w:ascii="宋体" w:hAnsi="宋体" w:eastAsia="宋体" w:cs="宋体"/>
          <w:b w:val="0"/>
          <w:bCs w:val="0"/>
          <w:color w:val="000000"/>
          <w:sz w:val="24"/>
          <w:szCs w:val="24"/>
          <w:highlight w:val="none"/>
        </w:rPr>
        <w:t>合同签订后30日历天内，由甲方支付合同总价的50%</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乙方提交研究成果验收通过后，由甲方支付剩余合同总价的50%。 在支付款项前，乙方须提供有效的增值税发票。</w:t>
      </w:r>
    </w:p>
    <w:bookmarkEnd w:id="2"/>
    <w:bookmarkEnd w:id="3"/>
    <w:p w14:paraId="62CA6D56">
      <w:pPr>
        <w:shd w:val="clear" w:color="auto" w:fill="auto"/>
        <w:snapToGrid w:val="0"/>
        <w:spacing w:line="300" w:lineRule="auto"/>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第四部分  开标和评标</w:t>
      </w:r>
    </w:p>
    <w:p w14:paraId="66AF7812">
      <w:pPr>
        <w:shd w:val="clear" w:color="auto" w:fill="auto"/>
        <w:tabs>
          <w:tab w:val="left" w:pos="3585"/>
        </w:tabs>
        <w:snapToGrid w:val="0"/>
        <w:spacing w:line="480" w:lineRule="exact"/>
        <w:ind w:firstLine="463" w:firstLineChars="192"/>
        <w:rPr>
          <w:rFonts w:ascii="Times New Roman"/>
          <w:b/>
          <w:color w:val="auto"/>
          <w:highlight w:val="none"/>
        </w:rPr>
      </w:pPr>
      <w:r>
        <w:rPr>
          <w:rFonts w:ascii="Times New Roman"/>
          <w:b/>
          <w:bCs/>
          <w:color w:val="auto"/>
          <w:highlight w:val="none"/>
        </w:rPr>
        <w:t>一、</w:t>
      </w:r>
      <w:r>
        <w:rPr>
          <w:rFonts w:ascii="Times New Roman"/>
          <w:b/>
          <w:color w:val="auto"/>
          <w:highlight w:val="none"/>
        </w:rPr>
        <w:t>采购人委托代理机构组织开标</w:t>
      </w:r>
    </w:p>
    <w:p w14:paraId="12A98BD1">
      <w:pPr>
        <w:shd w:val="clear" w:color="auto" w:fill="auto"/>
        <w:tabs>
          <w:tab w:val="left" w:pos="3585"/>
        </w:tabs>
        <w:snapToGrid w:val="0"/>
        <w:spacing w:line="480" w:lineRule="exact"/>
        <w:ind w:firstLine="460" w:firstLineChars="192"/>
        <w:rPr>
          <w:rFonts w:ascii="Times New Roman"/>
          <w:color w:val="auto"/>
          <w:highlight w:val="none"/>
        </w:rPr>
      </w:pPr>
      <w:r>
        <w:rPr>
          <w:rFonts w:ascii="Times New Roman"/>
          <w:color w:val="auto"/>
          <w:highlight w:val="none"/>
          <w:lang w:val="zh-CN"/>
        </w:rPr>
        <w:t>投标人须持有效身份</w:t>
      </w:r>
      <w:r>
        <w:rPr>
          <w:rFonts w:ascii="Times New Roman"/>
          <w:color w:val="auto"/>
          <w:highlight w:val="none"/>
        </w:rPr>
        <w:t>证明</w:t>
      </w:r>
      <w:r>
        <w:rPr>
          <w:rFonts w:ascii="Times New Roman"/>
          <w:color w:val="auto"/>
          <w:highlight w:val="none"/>
          <w:lang w:val="zh-CN"/>
        </w:rPr>
        <w:t>参加开标会。</w:t>
      </w:r>
    </w:p>
    <w:p w14:paraId="36421C31">
      <w:pPr>
        <w:numPr>
          <w:ilvl w:val="0"/>
          <w:numId w:val="4"/>
        </w:numPr>
        <w:shd w:val="clear" w:color="auto" w:fill="auto"/>
        <w:snapToGrid w:val="0"/>
        <w:spacing w:line="480" w:lineRule="exact"/>
        <w:ind w:firstLine="570"/>
        <w:rPr>
          <w:rFonts w:ascii="Times New Roman"/>
          <w:b/>
          <w:bCs/>
          <w:color w:val="auto"/>
          <w:highlight w:val="none"/>
        </w:rPr>
      </w:pPr>
      <w:r>
        <w:rPr>
          <w:rFonts w:ascii="Times New Roman"/>
          <w:b/>
          <w:bCs/>
          <w:color w:val="auto"/>
          <w:highlight w:val="none"/>
        </w:rPr>
        <w:t>评委会由有关专家组成</w:t>
      </w:r>
      <w:r>
        <w:rPr>
          <w:rFonts w:ascii="Times New Roman"/>
          <w:b/>
          <w:color w:val="auto"/>
          <w:highlight w:val="none"/>
        </w:rPr>
        <w:t>，按照</w:t>
      </w:r>
      <w:r>
        <w:rPr>
          <w:rFonts w:ascii="Times New Roman"/>
          <w:b/>
          <w:bCs/>
          <w:color w:val="auto"/>
          <w:highlight w:val="none"/>
        </w:rPr>
        <w:t>公平、公正、择优的原则进行</w:t>
      </w:r>
      <w:r>
        <w:rPr>
          <w:rFonts w:ascii="Times New Roman"/>
          <w:b/>
          <w:color w:val="auto"/>
          <w:highlight w:val="none"/>
        </w:rPr>
        <w:t>独立</w:t>
      </w:r>
      <w:r>
        <w:rPr>
          <w:rFonts w:ascii="Times New Roman"/>
          <w:b/>
          <w:bCs/>
          <w:color w:val="auto"/>
          <w:highlight w:val="none"/>
        </w:rPr>
        <w:t>评标。</w:t>
      </w:r>
    </w:p>
    <w:p w14:paraId="452197A8">
      <w:pPr>
        <w:shd w:val="clear" w:color="auto" w:fill="auto"/>
        <w:snapToGrid w:val="0"/>
        <w:spacing w:line="480" w:lineRule="exact"/>
        <w:ind w:firstLine="480" w:firstLineChars="200"/>
        <w:rPr>
          <w:rFonts w:ascii="Times New Roman"/>
          <w:b/>
          <w:bCs/>
          <w:color w:val="auto"/>
          <w:highlight w:val="none"/>
        </w:rPr>
      </w:pPr>
      <w:r>
        <w:rPr>
          <w:rFonts w:ascii="Times New Roman"/>
          <w:bCs/>
          <w:color w:val="auto"/>
          <w:highlight w:val="none"/>
        </w:rPr>
        <w:t>评委会由</w:t>
      </w:r>
      <w:r>
        <w:rPr>
          <w:rFonts w:hint="eastAsia" w:ascii="Times New Roman"/>
          <w:bCs/>
          <w:color w:val="auto"/>
          <w:highlight w:val="none"/>
          <w:lang w:val="en-US" w:eastAsia="zh-CN"/>
        </w:rPr>
        <w:t>3位</w:t>
      </w:r>
      <w:r>
        <w:rPr>
          <w:rFonts w:ascii="Times New Roman"/>
          <w:bCs/>
          <w:color w:val="auto"/>
          <w:highlight w:val="none"/>
        </w:rPr>
        <w:t>评审专家组成，评审专家在专家库中随机抽取。</w:t>
      </w:r>
    </w:p>
    <w:p w14:paraId="3B095113">
      <w:pPr>
        <w:shd w:val="clear" w:color="auto" w:fill="auto"/>
        <w:snapToGrid w:val="0"/>
        <w:spacing w:line="480" w:lineRule="exact"/>
        <w:ind w:firstLine="570"/>
        <w:rPr>
          <w:rFonts w:ascii="Times New Roman"/>
          <w:b/>
          <w:bCs/>
          <w:color w:val="auto"/>
          <w:highlight w:val="none"/>
        </w:rPr>
      </w:pPr>
      <w:r>
        <w:rPr>
          <w:rFonts w:ascii="Times New Roman"/>
          <w:b/>
          <w:bCs/>
          <w:color w:val="auto"/>
          <w:highlight w:val="none"/>
        </w:rPr>
        <w:t>（一）评审内容</w:t>
      </w:r>
    </w:p>
    <w:p w14:paraId="281413AA">
      <w:pPr>
        <w:shd w:val="clear" w:color="auto" w:fill="auto"/>
        <w:snapToGrid w:val="0"/>
        <w:spacing w:line="480" w:lineRule="exact"/>
        <w:ind w:firstLine="480" w:firstLineChars="200"/>
        <w:jc w:val="left"/>
        <w:rPr>
          <w:rFonts w:ascii="Times New Roman"/>
          <w:bCs/>
          <w:color w:val="auto"/>
          <w:highlight w:val="none"/>
        </w:rPr>
      </w:pPr>
      <w:r>
        <w:rPr>
          <w:rFonts w:ascii="Times New Roman"/>
          <w:bCs/>
          <w:color w:val="auto"/>
          <w:highlight w:val="none"/>
        </w:rPr>
        <w:t>1、是否递交投标文件；</w:t>
      </w:r>
    </w:p>
    <w:p w14:paraId="3AC0B380">
      <w:pPr>
        <w:shd w:val="clear" w:color="auto" w:fill="auto"/>
        <w:snapToGrid w:val="0"/>
        <w:spacing w:line="480" w:lineRule="exact"/>
        <w:ind w:firstLine="480" w:firstLineChars="200"/>
        <w:jc w:val="left"/>
        <w:rPr>
          <w:rFonts w:ascii="Times New Roman"/>
          <w:bCs/>
          <w:color w:val="auto"/>
          <w:highlight w:val="none"/>
        </w:rPr>
      </w:pPr>
      <w:r>
        <w:rPr>
          <w:rFonts w:ascii="Times New Roman"/>
          <w:bCs/>
          <w:color w:val="auto"/>
          <w:highlight w:val="none"/>
        </w:rPr>
        <w:t>2、投标资格是否符合（由</w:t>
      </w:r>
      <w:r>
        <w:rPr>
          <w:rFonts w:ascii="Times New Roman"/>
          <w:color w:val="auto"/>
          <w:highlight w:val="none"/>
        </w:rPr>
        <w:t>采购人</w:t>
      </w:r>
      <w:r>
        <w:rPr>
          <w:rFonts w:ascii="Times New Roman"/>
          <w:bCs/>
          <w:color w:val="auto"/>
          <w:highlight w:val="none"/>
        </w:rPr>
        <w:t>审查）；</w:t>
      </w:r>
    </w:p>
    <w:p w14:paraId="352299D8">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3、投标文件是否完整；</w:t>
      </w:r>
    </w:p>
    <w:p w14:paraId="766B659B">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4、投标文件是否恰当地签署；</w:t>
      </w:r>
    </w:p>
    <w:p w14:paraId="73B38381">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5、是否作出实质性响应（是否有实质性响应，只根据投标文件本身，而不寻求外部证据）；</w:t>
      </w:r>
    </w:p>
    <w:p w14:paraId="24C48FF0">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6、是否有计算错误。</w:t>
      </w:r>
    </w:p>
    <w:p w14:paraId="7DC2F26C">
      <w:pPr>
        <w:shd w:val="clear" w:color="auto" w:fill="auto"/>
        <w:snapToGrid w:val="0"/>
        <w:spacing w:line="480" w:lineRule="exact"/>
        <w:ind w:firstLine="482" w:firstLineChars="200"/>
        <w:rPr>
          <w:rFonts w:ascii="Times New Roman"/>
          <w:b/>
          <w:bCs/>
          <w:color w:val="auto"/>
          <w:highlight w:val="none"/>
        </w:rPr>
      </w:pPr>
      <w:r>
        <w:rPr>
          <w:rFonts w:ascii="Times New Roman"/>
          <w:b/>
          <w:bCs/>
          <w:color w:val="auto"/>
          <w:highlight w:val="none"/>
        </w:rPr>
        <w:t>（二）相应的规定</w:t>
      </w:r>
    </w:p>
    <w:p w14:paraId="21C7DA6F">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1、投标文件中开标一览表（报价表）内容与投标文件中相应内容不一致的，以开标一览表（报价表）为准；</w:t>
      </w:r>
    </w:p>
    <w:p w14:paraId="74EA33D3">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2、大写金额和小写金额不一致的，以大写金额为准；</w:t>
      </w:r>
    </w:p>
    <w:p w14:paraId="66C05868">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3、单价金额小数点或者百分比有明显错位的，以开标一览表的总价为准，并修改单价；</w:t>
      </w:r>
    </w:p>
    <w:p w14:paraId="1A41B5ED">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4、总价金额与按单价汇总金额不一致的，以单价金额计算结果为准。</w:t>
      </w:r>
    </w:p>
    <w:p w14:paraId="58818966">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同时出现两种以上不一致的，按照前款规定的顺序修正。修正后的报价按照财政部第87号令第五十一条第二款的规定经投标人确认后产生约束力，投标人不确认的，其投标无效。</w:t>
      </w:r>
    </w:p>
    <w:p w14:paraId="19F3F466">
      <w:pPr>
        <w:shd w:val="clear" w:color="auto" w:fill="auto"/>
        <w:tabs>
          <w:tab w:val="left" w:pos="3585"/>
        </w:tabs>
        <w:snapToGrid w:val="0"/>
        <w:spacing w:line="480" w:lineRule="exact"/>
        <w:ind w:firstLine="482" w:firstLineChars="200"/>
        <w:rPr>
          <w:rFonts w:ascii="Times New Roman"/>
          <w:b/>
          <w:bCs/>
          <w:color w:val="auto"/>
          <w:highlight w:val="none"/>
        </w:rPr>
      </w:pPr>
      <w:r>
        <w:rPr>
          <w:rFonts w:ascii="Times New Roman"/>
          <w:b/>
          <w:bCs/>
          <w:color w:val="auto"/>
          <w:highlight w:val="none"/>
        </w:rPr>
        <w:t>三、</w:t>
      </w:r>
      <w:r>
        <w:rPr>
          <w:rFonts w:ascii="Times New Roman"/>
          <w:b/>
          <w:color w:val="auto"/>
          <w:highlight w:val="none"/>
        </w:rPr>
        <w:t>陈述、演示、</w:t>
      </w:r>
      <w:r>
        <w:rPr>
          <w:rFonts w:ascii="Times New Roman"/>
          <w:b/>
          <w:bCs/>
          <w:color w:val="auto"/>
          <w:highlight w:val="none"/>
        </w:rPr>
        <w:t>答疑、澄清</w:t>
      </w:r>
    </w:p>
    <w:p w14:paraId="01465647">
      <w:pPr>
        <w:shd w:val="clear" w:color="auto" w:fill="auto"/>
        <w:snapToGrid w:val="0"/>
        <w:spacing w:line="480" w:lineRule="exact"/>
        <w:ind w:firstLine="570"/>
        <w:rPr>
          <w:rFonts w:ascii="Times New Roman"/>
          <w:b/>
          <w:color w:val="auto"/>
          <w:highlight w:val="none"/>
        </w:rPr>
      </w:pPr>
      <w:r>
        <w:rPr>
          <w:rFonts w:ascii="Times New Roman"/>
          <w:color w:val="auto"/>
          <w:highlight w:val="none"/>
          <w:shd w:val="clear" w:color="auto" w:fill="FFFFFF"/>
        </w:rPr>
        <w:t>如评委会认为有必要，投标人按评委会的要求作陈述、演示、</w:t>
      </w:r>
      <w:r>
        <w:rPr>
          <w:rFonts w:ascii="Times New Roman"/>
          <w:color w:val="auto"/>
          <w:highlight w:val="none"/>
        </w:rPr>
        <w:t>答疑及澄清其投标内容。时间由评委会掌握。</w:t>
      </w:r>
    </w:p>
    <w:p w14:paraId="1A9B060A">
      <w:pPr>
        <w:shd w:val="clear" w:color="auto" w:fill="auto"/>
        <w:snapToGrid w:val="0"/>
        <w:spacing w:line="480" w:lineRule="exact"/>
        <w:ind w:firstLine="570"/>
        <w:rPr>
          <w:rFonts w:ascii="Times New Roman"/>
          <w:color w:val="auto"/>
          <w:highlight w:val="none"/>
        </w:rPr>
      </w:pPr>
      <w:r>
        <w:rPr>
          <w:rFonts w:ascii="Times New Roman"/>
          <w:color w:val="auto"/>
          <w:highlight w:val="none"/>
        </w:rPr>
        <w:t>重要澄清答复应是书面的，但不得对投标内容进行实质性修改。</w:t>
      </w:r>
    </w:p>
    <w:p w14:paraId="0C49977F">
      <w:pPr>
        <w:shd w:val="clear" w:color="auto" w:fill="auto"/>
        <w:snapToGrid w:val="0"/>
        <w:spacing w:line="480" w:lineRule="exact"/>
        <w:ind w:firstLine="570"/>
        <w:rPr>
          <w:rFonts w:ascii="Times New Roman"/>
          <w:b/>
          <w:color w:val="auto"/>
          <w:highlight w:val="none"/>
        </w:rPr>
      </w:pPr>
      <w:r>
        <w:rPr>
          <w:rFonts w:ascii="Times New Roman"/>
          <w:b/>
          <w:color w:val="auto"/>
          <w:highlight w:val="none"/>
        </w:rPr>
        <w:t>四、出现下列情形之一的，作无效投标处理</w:t>
      </w:r>
    </w:p>
    <w:p w14:paraId="350FB3F6">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投标文件未按招标文件要求密封、签署、盖章及主要资料不齐全或加盖电子签章；</w:t>
      </w:r>
    </w:p>
    <w:p w14:paraId="1AAB171A">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不具备招标文件中规定的资格要求的；</w:t>
      </w:r>
    </w:p>
    <w:p w14:paraId="1B8441A2">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未通过符合性检查的；</w:t>
      </w:r>
    </w:p>
    <w:p w14:paraId="2DA340B6">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报价超过招标文件中规定的预算金额或者最高限价的；</w:t>
      </w:r>
    </w:p>
    <w:p w14:paraId="0C5BEB43">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同一投标人提交两个（含两个）以上不同的投标报价的；</w:t>
      </w:r>
    </w:p>
    <w:p w14:paraId="6951A390">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报价文件出现在其他投标文件中的；</w:t>
      </w:r>
    </w:p>
    <w:p w14:paraId="241D2A28">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投标文件含有采购人不能接受的附加条件的；</w:t>
      </w:r>
    </w:p>
    <w:p w14:paraId="5FA703DF">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不符合招标文件中规定的其他实质性要求和条件的；</w:t>
      </w:r>
    </w:p>
    <w:p w14:paraId="1FFF7741">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投标人的商务技术部分得分相差悬殊，评标委员会认为得分畸低者没有实质性响应的</w:t>
      </w:r>
      <w:r>
        <w:rPr>
          <w:rFonts w:hint="eastAsia" w:ascii="Times New Roman"/>
          <w:color w:val="auto"/>
          <w:highlight w:val="none"/>
          <w:lang w:eastAsia="zh-CN"/>
        </w:rPr>
        <w:t>；</w:t>
      </w:r>
      <w:r>
        <w:rPr>
          <w:rFonts w:ascii="Times New Roman"/>
          <w:color w:val="auto"/>
          <w:highlight w:val="none"/>
        </w:rPr>
        <w:t>合性审查投标人的报价，有可能影响产品质量或者不能诚信履约的，要求其在合理的时间内提供说明，必要时提交相关证明材料；投标人不能证明其报价合理性的，评标委员会应当将其作为无效投标处理；</w:t>
      </w:r>
    </w:p>
    <w:p w14:paraId="228AAB43">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投标人 “信用中国”网站（www.creditchina.gov.cn）</w:t>
      </w:r>
      <w:r>
        <w:rPr>
          <w:rFonts w:hint="eastAsia" w:ascii="Times New Roman"/>
          <w:color w:val="auto"/>
          <w:highlight w:val="none"/>
        </w:rPr>
        <w:t>、“中国政府采购网”（www.ccgp.gov.cn）</w:t>
      </w:r>
      <w:r>
        <w:rPr>
          <w:rFonts w:ascii="Times New Roman"/>
          <w:color w:val="auto"/>
          <w:highlight w:val="none"/>
        </w:rPr>
        <w:t>列入失信被执行人或重大税收违法案件当事人名单或政府采购严重失信行为记录名单。或查询“信用中国”</w:t>
      </w:r>
      <w:r>
        <w:rPr>
          <w:rFonts w:hint="eastAsia" w:ascii="Times New Roman"/>
          <w:color w:val="auto"/>
          <w:highlight w:val="none"/>
        </w:rPr>
        <w:t>、“中国政府采购网”等</w:t>
      </w:r>
      <w:r>
        <w:rPr>
          <w:rFonts w:ascii="Times New Roman"/>
          <w:color w:val="auto"/>
          <w:highlight w:val="none"/>
        </w:rPr>
        <w:t>网站后发现投标人存在其他不符合《中华人民共和国政府采购法》第二十二条规定条件的信用记录；</w:t>
      </w:r>
    </w:p>
    <w:p w14:paraId="6DA4DECA">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不同的投标人投标文件制作机器码、文件创建标识码一致的；</w:t>
      </w:r>
    </w:p>
    <w:p w14:paraId="71838162">
      <w:pPr>
        <w:numPr>
          <w:ilvl w:val="0"/>
          <w:numId w:val="5"/>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 xml:space="preserve">其他法律、法规及本招标文件规定的属无效投标的情形。  </w:t>
      </w:r>
    </w:p>
    <w:p w14:paraId="73C5FDDF">
      <w:pPr>
        <w:shd w:val="clear" w:color="auto" w:fill="auto"/>
        <w:snapToGrid w:val="0"/>
        <w:spacing w:line="480" w:lineRule="exact"/>
        <w:ind w:firstLine="570"/>
        <w:rPr>
          <w:rFonts w:ascii="Times New Roman"/>
          <w:b/>
          <w:color w:val="auto"/>
          <w:highlight w:val="none"/>
        </w:rPr>
      </w:pPr>
      <w:r>
        <w:rPr>
          <w:rFonts w:ascii="Times New Roman"/>
          <w:b/>
          <w:color w:val="auto"/>
          <w:highlight w:val="none"/>
        </w:rPr>
        <w:t>五、出现下列情形之一的，作废标处理</w:t>
      </w:r>
    </w:p>
    <w:p w14:paraId="3F6085B2">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 xml:space="preserve">1、符合专业条件的投标人或者对招标文件作实质响应的投标人不足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家的；</w:t>
      </w:r>
    </w:p>
    <w:p w14:paraId="0B0EF20B">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2、出现影响采购公正的违法违规行为的；</w:t>
      </w:r>
    </w:p>
    <w:p w14:paraId="4CE7E7C0">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3、投标人的报价均超过了采购预算，采购人不能支付的；</w:t>
      </w:r>
    </w:p>
    <w:p w14:paraId="5E44EE50">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4、因重大变故，采购任务取消的；</w:t>
      </w:r>
    </w:p>
    <w:p w14:paraId="44B87F90">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5、评标委员会认定招标文件存在歧义、重大缺陷导致评审工作无法进行；</w:t>
      </w:r>
    </w:p>
    <w:p w14:paraId="371D557F">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6、因系统故障原因造成开评标无法继续进行的。</w:t>
      </w:r>
    </w:p>
    <w:p w14:paraId="4264BA64">
      <w:pPr>
        <w:shd w:val="clear" w:color="auto" w:fill="auto"/>
        <w:snapToGrid w:val="0"/>
        <w:spacing w:line="480" w:lineRule="exact"/>
        <w:ind w:firstLine="555"/>
        <w:rPr>
          <w:rFonts w:ascii="Times New Roman"/>
          <w:color w:val="auto"/>
          <w:highlight w:val="none"/>
        </w:rPr>
      </w:pPr>
      <w:r>
        <w:rPr>
          <w:rFonts w:ascii="Times New Roman"/>
          <w:color w:val="auto"/>
          <w:highlight w:val="none"/>
        </w:rPr>
        <w:t>上述均保留评委会认定可以确定为无效投标或废标的其他情况。</w:t>
      </w:r>
    </w:p>
    <w:p w14:paraId="11E87B60">
      <w:pPr>
        <w:shd w:val="clear" w:color="auto" w:fill="auto"/>
        <w:snapToGrid w:val="0"/>
        <w:spacing w:line="480" w:lineRule="exact"/>
        <w:ind w:firstLine="555"/>
        <w:rPr>
          <w:rFonts w:ascii="Times New Roman"/>
          <w:b/>
          <w:color w:val="auto"/>
          <w:highlight w:val="none"/>
        </w:rPr>
      </w:pPr>
      <w:r>
        <w:rPr>
          <w:rFonts w:ascii="Times New Roman"/>
          <w:b/>
          <w:color w:val="auto"/>
          <w:highlight w:val="none"/>
        </w:rPr>
        <w:t>六</w:t>
      </w:r>
      <w:r>
        <w:rPr>
          <w:rFonts w:ascii="Times New Roman"/>
          <w:color w:val="auto"/>
          <w:highlight w:val="none"/>
        </w:rPr>
        <w:t>、</w:t>
      </w:r>
      <w:r>
        <w:rPr>
          <w:rFonts w:ascii="Times New Roman"/>
          <w:b/>
          <w:color w:val="auto"/>
          <w:highlight w:val="none"/>
        </w:rPr>
        <w:t>变更为其他方式采购的情形</w:t>
      </w:r>
    </w:p>
    <w:p w14:paraId="0140F4C8">
      <w:pPr>
        <w:shd w:val="clear" w:color="auto" w:fill="auto"/>
        <w:autoSpaceDE w:val="0"/>
        <w:autoSpaceDN w:val="0"/>
        <w:adjustRightInd w:val="0"/>
        <w:snapToGrid w:val="0"/>
        <w:spacing w:line="480" w:lineRule="exact"/>
        <w:ind w:firstLine="480" w:firstLineChars="200"/>
        <w:rPr>
          <w:rFonts w:ascii="Times New Roman"/>
          <w:color w:val="auto"/>
          <w:highlight w:val="none"/>
          <w:lang w:val="zh-CN"/>
        </w:rPr>
      </w:pPr>
      <w:r>
        <w:rPr>
          <w:rFonts w:ascii="Times New Roman"/>
          <w:color w:val="auto"/>
          <w:highlight w:val="none"/>
        </w:rPr>
        <w:t>投标截止时间出现：参加投标的供应商不足</w:t>
      </w:r>
      <w:r>
        <w:rPr>
          <w:rFonts w:ascii="Times New Roman"/>
          <w:color w:val="auto"/>
          <w:highlight w:val="none"/>
          <w:u w:val="single"/>
        </w:rPr>
        <w:t xml:space="preserve">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家的，及评标中出现符合专业条件的供应商或对招标文件作实质响应的投标人不足</w:t>
      </w:r>
      <w:r>
        <w:rPr>
          <w:rFonts w:ascii="Times New Roman"/>
          <w:color w:val="auto"/>
          <w:highlight w:val="none"/>
          <w:u w:val="single"/>
        </w:rPr>
        <w:t xml:space="preserve">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家如下情形时，除采购任务取消外，采购人报告</w:t>
      </w:r>
      <w:r>
        <w:rPr>
          <w:rFonts w:hint="eastAsia" w:ascii="Times New Roman"/>
          <w:color w:val="auto"/>
          <w:highlight w:val="none"/>
          <w:lang w:val="en-US" w:eastAsia="zh-CN"/>
        </w:rPr>
        <w:t>主管部门</w:t>
      </w:r>
      <w:r>
        <w:rPr>
          <w:rFonts w:ascii="Times New Roman"/>
          <w:color w:val="auto"/>
          <w:highlight w:val="none"/>
        </w:rPr>
        <w:t>，视情采取其他方式采购。</w:t>
      </w:r>
      <w:r>
        <w:rPr>
          <w:rFonts w:ascii="Times New Roman"/>
          <w:color w:val="auto"/>
          <w:highlight w:val="none"/>
          <w:lang w:val="zh-CN"/>
        </w:rPr>
        <w:t>本次招标文件中对供应商资质、技术等要求，将作为</w:t>
      </w:r>
      <w:r>
        <w:rPr>
          <w:rFonts w:ascii="Times New Roman"/>
          <w:color w:val="auto"/>
          <w:highlight w:val="none"/>
        </w:rPr>
        <w:t>其他</w:t>
      </w:r>
      <w:r>
        <w:rPr>
          <w:rFonts w:ascii="Times New Roman"/>
          <w:color w:val="auto"/>
          <w:highlight w:val="none"/>
          <w:lang w:val="zh-CN"/>
        </w:rPr>
        <w:t>方式采购的基本要求和依据。原已经参加投标并符合要求的供应商，根据自愿原则，参加</w:t>
      </w:r>
      <w:r>
        <w:rPr>
          <w:rFonts w:ascii="Times New Roman"/>
          <w:color w:val="auto"/>
          <w:highlight w:val="none"/>
        </w:rPr>
        <w:t>其他</w:t>
      </w:r>
      <w:r>
        <w:rPr>
          <w:rFonts w:ascii="Times New Roman"/>
          <w:color w:val="auto"/>
          <w:highlight w:val="none"/>
          <w:lang w:val="zh-CN"/>
        </w:rPr>
        <w:t>方式采购。</w:t>
      </w:r>
    </w:p>
    <w:p w14:paraId="5EDC0C28">
      <w:pPr>
        <w:pStyle w:val="13"/>
        <w:shd w:val="clear" w:color="auto" w:fill="auto"/>
        <w:snapToGrid w:val="0"/>
        <w:spacing w:before="0" w:after="0" w:line="500" w:lineRule="exact"/>
        <w:ind w:left="0" w:right="0" w:firstLine="482" w:firstLineChars="200"/>
        <w:jc w:val="left"/>
        <w:rPr>
          <w:rFonts w:ascii="Times New Roman" w:hAnsi="Times New Roman"/>
          <w:b/>
          <w:color w:val="auto"/>
          <w:kern w:val="2"/>
          <w:highlight w:val="none"/>
        </w:rPr>
      </w:pPr>
      <w:r>
        <w:rPr>
          <w:rFonts w:ascii="Times New Roman" w:hAnsi="Times New Roman"/>
          <w:b/>
          <w:color w:val="auto"/>
          <w:highlight w:val="none"/>
        </w:rPr>
        <w:t>七、</w:t>
      </w:r>
      <w:r>
        <w:rPr>
          <w:rFonts w:ascii="Times New Roman" w:hAnsi="Times New Roman"/>
          <w:b/>
          <w:color w:val="auto"/>
          <w:kern w:val="2"/>
          <w:highlight w:val="none"/>
        </w:rPr>
        <w:t>评标流程和评标标准</w:t>
      </w:r>
    </w:p>
    <w:p w14:paraId="21F7C322">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采用综合评分法。分资格审查文件、商务技术文件、报价文件三部分评审，总分值为100分，加分和减分因素除外。</w:t>
      </w:r>
    </w:p>
    <w:p w14:paraId="51D2D2EB">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首先由采购</w:t>
      </w:r>
      <w:r>
        <w:rPr>
          <w:rFonts w:hint="eastAsia" w:ascii="Times New Roman"/>
          <w:color w:val="auto"/>
          <w:szCs w:val="24"/>
          <w:highlight w:val="none"/>
          <w:lang w:val="en-US" w:eastAsia="zh-CN"/>
        </w:rPr>
        <w:t>代理</w:t>
      </w:r>
      <w:r>
        <w:rPr>
          <w:rFonts w:ascii="Times New Roman"/>
          <w:color w:val="auto"/>
          <w:szCs w:val="24"/>
          <w:highlight w:val="none"/>
        </w:rPr>
        <w:t>对投标人资格进行审查，然后评标委员会对符合资格的投标人的投标文件进行符合性审查，最后评标委员会对符合性审查合格的投标文件商务、技术部分进行评估，综合比较与评价。待商务技术文件评审结束后，进行报价文件的开启、评审。投标人商务、技术部分和价格部分的合计分值，为该投标人的评标总得分。</w:t>
      </w:r>
    </w:p>
    <w:p w14:paraId="6E5DDACF">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20B7CF36">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评委在认真审阅投标文件的基础上，根据各投标文件的响应程度独立评判，不得统一打分。</w:t>
      </w:r>
    </w:p>
    <w:p w14:paraId="5A469B5B">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（一）采购</w:t>
      </w:r>
      <w:r>
        <w:rPr>
          <w:rFonts w:hint="eastAsia" w:ascii="Times New Roman"/>
          <w:b/>
          <w:color w:val="auto"/>
          <w:szCs w:val="24"/>
          <w:highlight w:val="none"/>
          <w:lang w:val="en-US" w:eastAsia="zh-CN"/>
        </w:rPr>
        <w:t>代理</w:t>
      </w:r>
      <w:r>
        <w:rPr>
          <w:rFonts w:ascii="Times New Roman"/>
          <w:b/>
          <w:color w:val="auto"/>
          <w:szCs w:val="24"/>
          <w:highlight w:val="none"/>
        </w:rPr>
        <w:t>对投标人资格进行审查。</w:t>
      </w:r>
    </w:p>
    <w:p w14:paraId="09C5B3EF">
      <w:pPr>
        <w:pStyle w:val="14"/>
        <w:shd w:val="clear" w:color="auto" w:fill="auto"/>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投标人资格不合格的，其投标文件判定为无效投标文件。</w:t>
      </w:r>
    </w:p>
    <w:p w14:paraId="26DD2B54">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（二）评标委员会对符合资格投标人的投标文件进行符合性审查。</w:t>
      </w:r>
    </w:p>
    <w:p w14:paraId="4C7F30F8">
      <w:pPr>
        <w:pStyle w:val="14"/>
        <w:shd w:val="clear" w:color="auto" w:fill="auto"/>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未通过符合性审查的投标文件，将被判为不满足招标文件实质性要求。 </w:t>
      </w:r>
    </w:p>
    <w:p w14:paraId="671677C4">
      <w:pPr>
        <w:shd w:val="clear" w:color="auto" w:fill="auto"/>
        <w:snapToGrid w:val="0"/>
        <w:spacing w:line="480" w:lineRule="exact"/>
        <w:ind w:firstLine="570"/>
        <w:rPr>
          <w:rFonts w:ascii="Times New Roman"/>
          <w:bCs/>
          <w:color w:val="auto"/>
          <w:szCs w:val="24"/>
          <w:highlight w:val="none"/>
          <w:lang w:val="zh-CN"/>
        </w:rPr>
      </w:pPr>
      <w:r>
        <w:rPr>
          <w:rFonts w:ascii="Times New Roman"/>
          <w:b/>
          <w:color w:val="auto"/>
          <w:szCs w:val="24"/>
          <w:highlight w:val="none"/>
        </w:rPr>
        <w:t>（</w:t>
      </w:r>
      <w:r>
        <w:rPr>
          <w:rFonts w:ascii="Times New Roman"/>
          <w:b/>
          <w:color w:val="auto"/>
          <w:szCs w:val="24"/>
          <w:highlight w:val="none"/>
          <w:lang w:val="zh-CN"/>
        </w:rPr>
        <w:t>三</w:t>
      </w:r>
      <w:r>
        <w:rPr>
          <w:rFonts w:ascii="Times New Roman"/>
          <w:b/>
          <w:color w:val="auto"/>
          <w:szCs w:val="24"/>
          <w:highlight w:val="none"/>
        </w:rPr>
        <w:t>）</w:t>
      </w:r>
      <w:r>
        <w:rPr>
          <w:rFonts w:ascii="Times New Roman"/>
          <w:b/>
          <w:color w:val="auto"/>
          <w:szCs w:val="24"/>
          <w:highlight w:val="none"/>
          <w:lang w:val="zh-CN"/>
        </w:rPr>
        <w:t>商务技术分：</w:t>
      </w:r>
      <w:r>
        <w:rPr>
          <w:rFonts w:ascii="Times New Roman"/>
          <w:bCs/>
          <w:color w:val="auto"/>
          <w:szCs w:val="24"/>
          <w:highlight w:val="none"/>
          <w:u w:val="single"/>
        </w:rPr>
        <w:t xml:space="preserve"> </w:t>
      </w:r>
      <w:r>
        <w:rPr>
          <w:rFonts w:hint="eastAsia" w:ascii="Times New Roman"/>
          <w:bCs/>
          <w:color w:val="auto"/>
          <w:szCs w:val="24"/>
          <w:highlight w:val="none"/>
          <w:u w:val="single"/>
          <w:lang w:val="en-US" w:eastAsia="zh-CN"/>
        </w:rPr>
        <w:t>9</w:t>
      </w:r>
      <w:r>
        <w:rPr>
          <w:rFonts w:hint="eastAsia" w:ascii="Times New Roman"/>
          <w:bCs/>
          <w:color w:val="auto"/>
          <w:szCs w:val="24"/>
          <w:highlight w:val="none"/>
          <w:u w:val="single"/>
        </w:rPr>
        <w:t>0</w:t>
      </w:r>
      <w:r>
        <w:rPr>
          <w:rFonts w:ascii="Times New Roman"/>
          <w:bCs/>
          <w:color w:val="auto"/>
          <w:szCs w:val="24"/>
          <w:highlight w:val="none"/>
          <w:u w:val="single"/>
        </w:rPr>
        <w:t xml:space="preserve"> </w:t>
      </w:r>
      <w:r>
        <w:rPr>
          <w:rFonts w:ascii="Times New Roman"/>
          <w:bCs/>
          <w:color w:val="auto"/>
          <w:szCs w:val="24"/>
          <w:highlight w:val="none"/>
          <w:lang w:val="zh-CN"/>
        </w:rPr>
        <w:t>分</w:t>
      </w:r>
    </w:p>
    <w:p w14:paraId="4B381B47">
      <w:pPr>
        <w:shd w:val="clear" w:color="auto" w:fill="auto"/>
        <w:adjustRightInd w:val="0"/>
        <w:snapToGrid w:val="0"/>
        <w:spacing w:line="500" w:lineRule="exact"/>
        <w:ind w:firstLine="480" w:firstLineChars="200"/>
        <w:jc w:val="left"/>
        <w:rPr>
          <w:rFonts w:ascii="Times New Roman"/>
          <w:color w:val="auto"/>
          <w:szCs w:val="24"/>
          <w:highlight w:val="none"/>
        </w:rPr>
      </w:pPr>
      <w:r>
        <w:rPr>
          <w:rFonts w:ascii="Times New Roman"/>
          <w:color w:val="auto"/>
          <w:szCs w:val="24"/>
          <w:highlight w:val="none"/>
        </w:rPr>
        <w:t>各投标人得分为评委会成员评分的算术平均分，分值保留小数点后两位。</w:t>
      </w:r>
    </w:p>
    <w:p w14:paraId="5DCE353F">
      <w:pPr>
        <w:spacing w:line="500" w:lineRule="exact"/>
        <w:ind w:firstLine="480" w:firstLineChars="200"/>
        <w:rPr>
          <w:rFonts w:ascii="宋体" w:hAnsi="宋体" w:cs="宋体"/>
          <w:bCs/>
          <w:sz w:val="24"/>
        </w:rPr>
      </w:pPr>
    </w:p>
    <w:tbl>
      <w:tblPr>
        <w:tblStyle w:val="11"/>
        <w:tblpPr w:leftFromText="180" w:rightFromText="180" w:vertAnchor="text" w:tblpXSpec="center" w:tblpY="1"/>
        <w:tblOverlap w:val="never"/>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80"/>
        <w:gridCol w:w="801"/>
      </w:tblGrid>
      <w:tr w14:paraId="713B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26" w:type="dxa"/>
            <w:noWrap w:val="0"/>
            <w:vAlign w:val="center"/>
          </w:tcPr>
          <w:p w14:paraId="78F34404">
            <w:pPr>
              <w:spacing w:line="500" w:lineRule="exact"/>
              <w:jc w:val="center"/>
              <w:rPr>
                <w:rFonts w:ascii="宋体" w:hAnsi="宋体" w:cs="宋体"/>
                <w:b/>
                <w:sz w:val="24"/>
              </w:rPr>
            </w:pPr>
            <w:r>
              <w:rPr>
                <w:rFonts w:hint="eastAsia" w:ascii="宋体" w:hAnsi="宋体" w:cs="宋体"/>
                <w:b/>
                <w:sz w:val="24"/>
              </w:rPr>
              <w:t>评分项目</w:t>
            </w:r>
          </w:p>
        </w:tc>
        <w:tc>
          <w:tcPr>
            <w:tcW w:w="7280" w:type="dxa"/>
            <w:noWrap w:val="0"/>
            <w:vAlign w:val="center"/>
          </w:tcPr>
          <w:p w14:paraId="6EB0D912">
            <w:pPr>
              <w:spacing w:line="500" w:lineRule="exact"/>
              <w:jc w:val="center"/>
              <w:rPr>
                <w:rFonts w:ascii="宋体" w:hAnsi="宋体" w:cs="宋体"/>
                <w:b/>
                <w:sz w:val="24"/>
              </w:rPr>
            </w:pPr>
            <w:r>
              <w:rPr>
                <w:rFonts w:hint="eastAsia" w:ascii="宋体" w:hAnsi="宋体" w:cs="宋体"/>
                <w:b/>
                <w:sz w:val="24"/>
              </w:rPr>
              <w:t>评分细则</w:t>
            </w:r>
          </w:p>
        </w:tc>
        <w:tc>
          <w:tcPr>
            <w:tcW w:w="801" w:type="dxa"/>
            <w:noWrap w:val="0"/>
            <w:vAlign w:val="center"/>
          </w:tcPr>
          <w:p w14:paraId="2A5A3B4B">
            <w:pPr>
              <w:spacing w:line="500" w:lineRule="exact"/>
              <w:jc w:val="center"/>
              <w:rPr>
                <w:rFonts w:ascii="宋体" w:hAnsi="宋体" w:cs="宋体"/>
                <w:b/>
                <w:sz w:val="24"/>
              </w:rPr>
            </w:pPr>
            <w:r>
              <w:rPr>
                <w:rFonts w:hint="eastAsia" w:ascii="宋体" w:hAnsi="宋体" w:cs="宋体"/>
                <w:b/>
                <w:sz w:val="24"/>
              </w:rPr>
              <w:t>分值</w:t>
            </w:r>
          </w:p>
        </w:tc>
      </w:tr>
      <w:tr w14:paraId="6409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26" w:type="dxa"/>
            <w:vMerge w:val="restart"/>
            <w:noWrap w:val="0"/>
            <w:vAlign w:val="center"/>
          </w:tcPr>
          <w:p w14:paraId="389846FB">
            <w:pPr>
              <w:spacing w:line="500" w:lineRule="exact"/>
              <w:jc w:val="center"/>
              <w:rPr>
                <w:rFonts w:ascii="宋体" w:hAnsi="宋体" w:cs="宋体"/>
                <w:sz w:val="24"/>
              </w:rPr>
            </w:pPr>
            <w:r>
              <w:rPr>
                <w:rFonts w:hint="eastAsia" w:ascii="宋体" w:hAnsi="宋体" w:cs="宋体"/>
                <w:sz w:val="24"/>
              </w:rPr>
              <w:t>服务方案（</w:t>
            </w:r>
            <w:r>
              <w:rPr>
                <w:rFonts w:hint="eastAsia" w:hAnsi="宋体" w:cs="宋体"/>
                <w:sz w:val="24"/>
                <w:lang w:val="en-US" w:eastAsia="zh-CN"/>
              </w:rPr>
              <w:t>58</w:t>
            </w:r>
            <w:r>
              <w:rPr>
                <w:rFonts w:hint="eastAsia" w:ascii="宋体" w:hAnsi="宋体" w:cs="宋体"/>
                <w:sz w:val="24"/>
              </w:rPr>
              <w:t>分）</w:t>
            </w:r>
          </w:p>
        </w:tc>
        <w:tc>
          <w:tcPr>
            <w:tcW w:w="7280" w:type="dxa"/>
            <w:noWrap w:val="0"/>
            <w:vAlign w:val="center"/>
          </w:tcPr>
          <w:p w14:paraId="3466755A">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val="0"/>
                <w:bCs w:val="0"/>
                <w:color w:val="000000"/>
                <w:sz w:val="24"/>
                <w:szCs w:val="24"/>
              </w:rPr>
              <w:t xml:space="preserve">对本项目的理解与认识 </w:t>
            </w:r>
            <w:r>
              <w:rPr>
                <w:rFonts w:hint="eastAsia" w:ascii="宋体" w:hAnsi="宋体" w:eastAsia="宋体" w:cs="宋体"/>
                <w:b/>
                <w:bCs/>
                <w:sz w:val="24"/>
                <w:szCs w:val="24"/>
              </w:rPr>
              <w:t>（</w:t>
            </w:r>
            <w:r>
              <w:rPr>
                <w:rFonts w:hint="eastAsia" w:hAnsi="宋体" w:eastAsia="宋体" w:cs="宋体"/>
                <w:b/>
                <w:bCs/>
                <w:sz w:val="24"/>
                <w:szCs w:val="24"/>
                <w:lang w:val="en-US" w:eastAsia="zh-CN"/>
              </w:rPr>
              <w:t>20</w:t>
            </w:r>
            <w:r>
              <w:rPr>
                <w:rFonts w:hint="eastAsia" w:ascii="宋体" w:hAnsi="宋体" w:eastAsia="宋体" w:cs="宋体"/>
                <w:b/>
                <w:bCs/>
                <w:sz w:val="24"/>
                <w:szCs w:val="24"/>
              </w:rPr>
              <w:t>分）</w:t>
            </w:r>
          </w:p>
          <w:p w14:paraId="75464D16">
            <w:pPr>
              <w:spacing w:line="360" w:lineRule="auto"/>
              <w:ind w:firstLine="0" w:firstLineChars="0"/>
              <w:jc w:val="left"/>
              <w:rPr>
                <w:rFonts w:hint="eastAsia" w:ascii="宋体" w:hAnsi="宋体" w:eastAsia="宋体" w:cs="宋体"/>
                <w:b w:val="0"/>
                <w:bCs w:val="0"/>
                <w:color w:val="000000"/>
                <w:sz w:val="24"/>
                <w:szCs w:val="24"/>
              </w:rPr>
            </w:pPr>
            <w:r>
              <w:rPr>
                <w:rFonts w:hint="eastAsia" w:hAnsi="宋体" w:eastAsia="宋体" w:cs="宋体"/>
                <w:b w:val="0"/>
                <w:bCs w:val="0"/>
                <w:color w:val="000000"/>
                <w:sz w:val="24"/>
                <w:szCs w:val="24"/>
                <w:lang w:eastAsia="zh-CN"/>
              </w:rPr>
              <w:t>（</w:t>
            </w:r>
            <w:r>
              <w:rPr>
                <w:rFonts w:hint="eastAsia" w:hAnsi="宋体" w:eastAsia="宋体" w:cs="宋体"/>
                <w:b w:val="0"/>
                <w:bCs w:val="0"/>
                <w:color w:val="000000"/>
                <w:sz w:val="24"/>
                <w:szCs w:val="24"/>
                <w:lang w:val="en-US" w:eastAsia="zh-CN"/>
              </w:rPr>
              <w:t>1</w:t>
            </w:r>
            <w:r>
              <w:rPr>
                <w:rFonts w:hint="eastAsia"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项目背景（10分） </w:t>
            </w:r>
          </w:p>
          <w:p w14:paraId="090756EC">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对本项目开展背景的理解与认识准确详细，得10分； </w:t>
            </w:r>
          </w:p>
          <w:p w14:paraId="4A56F940">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对本项目开展背景的理解与认识较准确详细，得7分； </w:t>
            </w:r>
          </w:p>
          <w:p w14:paraId="1E836E54">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对本项目开展背景的理解与认识一般，得4分； </w:t>
            </w:r>
          </w:p>
          <w:p w14:paraId="64591F0F">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对本项目开展背景的理解与认识不准确，得1分； </w:t>
            </w:r>
          </w:p>
          <w:p w14:paraId="5C5FE305">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其他不得分。</w:t>
            </w:r>
          </w:p>
          <w:p w14:paraId="398C7624">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hAnsi="宋体" w:eastAsia="宋体" w:cs="宋体"/>
                <w:b w:val="0"/>
                <w:bCs w:val="0"/>
                <w:color w:val="000000"/>
                <w:sz w:val="24"/>
                <w:szCs w:val="24"/>
                <w:lang w:eastAsia="zh-CN"/>
              </w:rPr>
              <w:t>（</w:t>
            </w:r>
            <w:r>
              <w:rPr>
                <w:rFonts w:hint="eastAsia" w:hAnsi="宋体" w:eastAsia="宋体" w:cs="宋体"/>
                <w:b w:val="0"/>
                <w:bCs w:val="0"/>
                <w:color w:val="000000"/>
                <w:sz w:val="24"/>
                <w:szCs w:val="24"/>
                <w:lang w:val="en-US" w:eastAsia="zh-CN"/>
              </w:rPr>
              <w:t>2</w:t>
            </w:r>
            <w:r>
              <w:rPr>
                <w:rFonts w:hint="eastAsia"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发展水平（10分） </w:t>
            </w:r>
          </w:p>
          <w:p w14:paraId="546F489D">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对南通市区出租汽车市场发展水平认识准确详细，得10分； </w:t>
            </w:r>
          </w:p>
          <w:p w14:paraId="466E2178">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对南通市区出租汽车市场发展水平认识较准确详细，得7分； </w:t>
            </w:r>
          </w:p>
          <w:p w14:paraId="1D2CA4A8">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对南通市区出租汽车市场发展水平认识一般，得4分； </w:t>
            </w:r>
          </w:p>
          <w:p w14:paraId="69B56337">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对南通市区出租汽车市场水平认识不准确，得1分； </w:t>
            </w:r>
          </w:p>
          <w:p w14:paraId="4F81CE5E">
            <w:pPr>
              <w:numPr>
                <w:ilvl w:val="0"/>
                <w:numId w:val="0"/>
              </w:numPr>
              <w:spacing w:line="360" w:lineRule="auto"/>
              <w:ind w:left="0" w:firstLine="0" w:firstLineChars="0"/>
              <w:jc w:val="left"/>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其他不得分。</w:t>
            </w:r>
          </w:p>
        </w:tc>
        <w:tc>
          <w:tcPr>
            <w:tcW w:w="801" w:type="dxa"/>
            <w:noWrap w:val="0"/>
            <w:vAlign w:val="center"/>
          </w:tcPr>
          <w:p w14:paraId="68FE7BCE">
            <w:pPr>
              <w:spacing w:line="500" w:lineRule="exact"/>
              <w:jc w:val="center"/>
              <w:rPr>
                <w:rFonts w:hint="default" w:ascii="宋体" w:hAnsi="宋体" w:eastAsia="宋体" w:cs="宋体"/>
                <w:sz w:val="24"/>
                <w:lang w:val="en-US" w:eastAsia="zh-CN"/>
              </w:rPr>
            </w:pPr>
            <w:r>
              <w:rPr>
                <w:rFonts w:hint="eastAsia" w:hAnsi="宋体" w:cs="宋体"/>
                <w:sz w:val="24"/>
                <w:lang w:val="en-US" w:eastAsia="zh-CN"/>
              </w:rPr>
              <w:t>20</w:t>
            </w:r>
          </w:p>
        </w:tc>
      </w:tr>
      <w:tr w14:paraId="5A15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26" w:type="dxa"/>
            <w:vMerge w:val="continue"/>
            <w:noWrap w:val="0"/>
            <w:vAlign w:val="center"/>
          </w:tcPr>
          <w:p w14:paraId="54A7A51C">
            <w:pPr>
              <w:spacing w:line="500" w:lineRule="exact"/>
              <w:rPr>
                <w:rFonts w:ascii="宋体" w:hAnsi="宋体" w:cs="宋体"/>
                <w:sz w:val="24"/>
              </w:rPr>
            </w:pPr>
          </w:p>
        </w:tc>
        <w:tc>
          <w:tcPr>
            <w:tcW w:w="7280" w:type="dxa"/>
            <w:noWrap w:val="0"/>
            <w:vAlign w:val="top"/>
          </w:tcPr>
          <w:p w14:paraId="6514B1F1">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val="0"/>
                <w:bCs w:val="0"/>
                <w:color w:val="000000"/>
                <w:sz w:val="24"/>
                <w:szCs w:val="24"/>
              </w:rPr>
              <w:t>针对关键性技 术问题的认识 和对策措施</w:t>
            </w:r>
            <w:r>
              <w:rPr>
                <w:rFonts w:hint="eastAsia" w:ascii="宋体" w:hAnsi="宋体" w:eastAsia="宋体" w:cs="宋体"/>
                <w:b/>
                <w:bCs/>
                <w:sz w:val="24"/>
                <w:szCs w:val="24"/>
              </w:rPr>
              <w:t>（</w:t>
            </w:r>
            <w:r>
              <w:rPr>
                <w:rFonts w:hint="eastAsia" w:hAnsi="宋体" w:eastAsia="宋体" w:cs="宋体"/>
                <w:b/>
                <w:bCs/>
                <w:sz w:val="24"/>
                <w:szCs w:val="24"/>
                <w:lang w:val="en-US" w:eastAsia="zh-CN"/>
              </w:rPr>
              <w:t>20</w:t>
            </w:r>
            <w:r>
              <w:rPr>
                <w:rFonts w:hint="eastAsia" w:ascii="宋体" w:hAnsi="宋体" w:eastAsia="宋体" w:cs="宋体"/>
                <w:b/>
                <w:bCs/>
                <w:sz w:val="24"/>
                <w:szCs w:val="24"/>
              </w:rPr>
              <w:t>分）</w:t>
            </w:r>
          </w:p>
          <w:p w14:paraId="6EC1DDAB">
            <w:pPr>
              <w:spacing w:line="360" w:lineRule="auto"/>
              <w:ind w:firstLine="0" w:firstLineChars="0"/>
              <w:jc w:val="left"/>
              <w:rPr>
                <w:rFonts w:hint="eastAsia" w:ascii="宋体" w:hAnsi="宋体" w:eastAsia="宋体" w:cs="宋体"/>
                <w:b w:val="0"/>
                <w:bCs w:val="0"/>
                <w:color w:val="000000"/>
                <w:sz w:val="24"/>
                <w:szCs w:val="24"/>
              </w:rPr>
            </w:pPr>
            <w:r>
              <w:rPr>
                <w:rFonts w:hint="eastAsia" w:hAnsi="宋体" w:eastAsia="宋体" w:cs="宋体"/>
                <w:b w:val="0"/>
                <w:bCs w:val="0"/>
                <w:color w:val="000000"/>
                <w:sz w:val="24"/>
                <w:szCs w:val="24"/>
                <w:lang w:eastAsia="zh-CN"/>
              </w:rPr>
              <w:t>（</w:t>
            </w:r>
            <w:r>
              <w:rPr>
                <w:rFonts w:hint="eastAsia" w:hAnsi="宋体" w:eastAsia="宋体" w:cs="宋体"/>
                <w:b w:val="0"/>
                <w:bCs w:val="0"/>
                <w:color w:val="000000"/>
                <w:sz w:val="24"/>
                <w:szCs w:val="24"/>
                <w:lang w:val="en-US" w:eastAsia="zh-CN"/>
              </w:rPr>
              <w:t>1</w:t>
            </w:r>
            <w:r>
              <w:rPr>
                <w:rFonts w:hint="eastAsia"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关键性技术问题（10分） </w:t>
            </w:r>
          </w:p>
          <w:p w14:paraId="0114DC17">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关键性技术问题分析全面、准确，得10分；</w:t>
            </w:r>
          </w:p>
          <w:p w14:paraId="353FAB89">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关键性技术问题分析较全面、准确，得7分； </w:t>
            </w:r>
          </w:p>
          <w:p w14:paraId="0982110C">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关键性技术问题分析片面，得4分；</w:t>
            </w:r>
          </w:p>
          <w:p w14:paraId="5F7C5732">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关键性技术问题分析不准确，得1分；</w:t>
            </w:r>
          </w:p>
          <w:p w14:paraId="77A15554">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其他不得分。</w:t>
            </w:r>
          </w:p>
          <w:p w14:paraId="07BFA846">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hAnsi="宋体" w:eastAsia="宋体" w:cs="宋体"/>
                <w:b w:val="0"/>
                <w:bCs w:val="0"/>
                <w:color w:val="000000"/>
                <w:sz w:val="24"/>
                <w:szCs w:val="24"/>
                <w:lang w:eastAsia="zh-CN"/>
              </w:rPr>
              <w:t>（</w:t>
            </w:r>
            <w:r>
              <w:rPr>
                <w:rFonts w:hint="eastAsia" w:hAnsi="宋体" w:eastAsia="宋体" w:cs="宋体"/>
                <w:b w:val="0"/>
                <w:bCs w:val="0"/>
                <w:color w:val="000000"/>
                <w:sz w:val="24"/>
                <w:szCs w:val="24"/>
                <w:lang w:val="en-US" w:eastAsia="zh-CN"/>
              </w:rPr>
              <w:t>2</w:t>
            </w:r>
            <w:r>
              <w:rPr>
                <w:rFonts w:hint="eastAsia"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对策措施（10分）</w:t>
            </w:r>
          </w:p>
          <w:p w14:paraId="2AA9589D">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对策措施合理可行，得10分； </w:t>
            </w:r>
          </w:p>
          <w:p w14:paraId="581AEBF3">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对策措施较合理可行，得7分； </w:t>
            </w:r>
          </w:p>
          <w:p w14:paraId="13AB28DF">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对策措施一般，得4分；</w:t>
            </w:r>
          </w:p>
          <w:p w14:paraId="1B3E51AD">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对策措施不合理，得1分； </w:t>
            </w:r>
          </w:p>
          <w:p w14:paraId="5DF16B8B">
            <w:pPr>
              <w:numPr>
                <w:ilvl w:val="0"/>
                <w:numId w:val="0"/>
              </w:numPr>
              <w:spacing w:line="360" w:lineRule="auto"/>
              <w:ind w:left="0" w:firstLine="0" w:firstLineChars="0"/>
              <w:jc w:val="left"/>
              <w:rPr>
                <w:rFonts w:hint="eastAsia" w:hAnsi="宋体" w:eastAsia="宋体" w:cs="宋体"/>
                <w:sz w:val="24"/>
                <w:szCs w:val="24"/>
              </w:rPr>
            </w:pPr>
            <w:r>
              <w:rPr>
                <w:rFonts w:hint="eastAsia" w:ascii="宋体" w:hAnsi="宋体" w:eastAsia="宋体" w:cs="宋体"/>
                <w:b w:val="0"/>
                <w:bCs w:val="0"/>
                <w:color w:val="000000"/>
                <w:sz w:val="24"/>
                <w:szCs w:val="24"/>
              </w:rPr>
              <w:t>其他不得分。</w:t>
            </w:r>
          </w:p>
        </w:tc>
        <w:tc>
          <w:tcPr>
            <w:tcW w:w="801" w:type="dxa"/>
            <w:noWrap w:val="0"/>
            <w:vAlign w:val="center"/>
          </w:tcPr>
          <w:p w14:paraId="6DE1B668">
            <w:pPr>
              <w:spacing w:line="500" w:lineRule="exact"/>
              <w:jc w:val="center"/>
              <w:rPr>
                <w:rFonts w:hint="default" w:ascii="宋体" w:hAnsi="宋体" w:eastAsia="宋体" w:cs="宋体"/>
                <w:sz w:val="24"/>
                <w:lang w:val="en-US" w:eastAsia="zh-CN"/>
              </w:rPr>
            </w:pPr>
            <w:r>
              <w:rPr>
                <w:rFonts w:hint="eastAsia" w:hAnsi="宋体" w:cs="宋体"/>
                <w:sz w:val="24"/>
                <w:lang w:val="en-US" w:eastAsia="zh-CN"/>
              </w:rPr>
              <w:t>20</w:t>
            </w:r>
          </w:p>
        </w:tc>
      </w:tr>
      <w:tr w14:paraId="5AAA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26" w:type="dxa"/>
            <w:vMerge w:val="continue"/>
            <w:noWrap w:val="0"/>
            <w:vAlign w:val="center"/>
          </w:tcPr>
          <w:p w14:paraId="0E5253E6">
            <w:pPr>
              <w:spacing w:line="500" w:lineRule="exact"/>
              <w:rPr>
                <w:rFonts w:ascii="宋体" w:hAnsi="宋体" w:cs="宋体"/>
                <w:sz w:val="24"/>
              </w:rPr>
            </w:pPr>
          </w:p>
        </w:tc>
        <w:tc>
          <w:tcPr>
            <w:tcW w:w="7280" w:type="dxa"/>
            <w:noWrap w:val="0"/>
            <w:vAlign w:val="top"/>
          </w:tcPr>
          <w:p w14:paraId="74B2FF6A">
            <w:pPr>
              <w:spacing w:line="360" w:lineRule="auto"/>
              <w:ind w:firstLine="0" w:firstLineChars="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3.</w:t>
            </w:r>
            <w:r>
              <w:rPr>
                <w:rFonts w:hint="eastAsia" w:ascii="宋体" w:hAnsi="宋体" w:eastAsia="宋体" w:cs="宋体"/>
                <w:b w:val="0"/>
                <w:bCs w:val="0"/>
                <w:color w:val="000000"/>
                <w:sz w:val="24"/>
                <w:szCs w:val="24"/>
              </w:rPr>
              <w:t>工作组织、进度计划</w:t>
            </w:r>
            <w:r>
              <w:rPr>
                <w:rFonts w:hint="eastAsia" w:ascii="宋体" w:hAnsi="宋体" w:eastAsia="宋体" w:cs="宋体"/>
                <w:b/>
                <w:bCs/>
                <w:color w:val="000000"/>
                <w:sz w:val="24"/>
                <w:szCs w:val="24"/>
                <w:lang w:val="zh-CN"/>
              </w:rPr>
              <w:t>（</w:t>
            </w:r>
            <w:r>
              <w:rPr>
                <w:rFonts w:hint="eastAsia" w:ascii="宋体" w:hAnsi="宋体" w:eastAsia="宋体" w:cs="宋体"/>
                <w:b/>
                <w:bCs/>
                <w:color w:val="000000"/>
                <w:sz w:val="24"/>
                <w:szCs w:val="24"/>
              </w:rPr>
              <w:t>10分</w:t>
            </w:r>
            <w:r>
              <w:rPr>
                <w:rFonts w:hint="eastAsia" w:ascii="宋体" w:hAnsi="宋体" w:eastAsia="宋体" w:cs="宋体"/>
                <w:b/>
                <w:bCs/>
                <w:color w:val="000000"/>
                <w:sz w:val="24"/>
                <w:szCs w:val="24"/>
                <w:lang w:val="zh-CN"/>
              </w:rPr>
              <w:t>）</w:t>
            </w:r>
          </w:p>
          <w:p w14:paraId="10C092CD">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工作组织和进度计划方案完善、合理，得10分； </w:t>
            </w:r>
          </w:p>
          <w:p w14:paraId="1935562F">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工作组织和进度计划方案较完善、较合理，得7分；</w:t>
            </w:r>
          </w:p>
          <w:p w14:paraId="01D5DD09">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工作组织和进度计划方案基本完善、基本合理，得4分； </w:t>
            </w:r>
          </w:p>
          <w:p w14:paraId="0984B76B">
            <w:pPr>
              <w:spacing w:line="360" w:lineRule="auto"/>
              <w:ind w:firstLine="0" w:firstLineChars="0"/>
              <w:jc w:val="left"/>
              <w:rPr>
                <w:rFonts w:hint="eastAsia" w:hAnsi="宋体" w:eastAsia="宋体" w:cs="宋体"/>
                <w:sz w:val="24"/>
                <w:szCs w:val="24"/>
                <w:lang w:val="zh-CN"/>
              </w:rPr>
            </w:pPr>
            <w:r>
              <w:rPr>
                <w:rFonts w:hint="eastAsia" w:ascii="宋体" w:hAnsi="宋体" w:eastAsia="宋体" w:cs="宋体"/>
                <w:b w:val="0"/>
                <w:bCs w:val="0"/>
                <w:color w:val="000000"/>
                <w:sz w:val="24"/>
                <w:szCs w:val="24"/>
              </w:rPr>
              <w:t>工作组织和进度计划方案不完善、不合理得1分； 其他不得分。</w:t>
            </w:r>
          </w:p>
        </w:tc>
        <w:tc>
          <w:tcPr>
            <w:tcW w:w="801" w:type="dxa"/>
            <w:noWrap w:val="0"/>
            <w:vAlign w:val="center"/>
          </w:tcPr>
          <w:p w14:paraId="2BA035DC">
            <w:pPr>
              <w:spacing w:line="500" w:lineRule="exact"/>
              <w:jc w:val="center"/>
              <w:rPr>
                <w:rFonts w:ascii="宋体" w:hAnsi="宋体" w:cs="宋体"/>
                <w:sz w:val="24"/>
              </w:rPr>
            </w:pPr>
            <w:r>
              <w:rPr>
                <w:rFonts w:hint="eastAsia" w:ascii="宋体" w:hAnsi="宋体" w:cs="宋体"/>
                <w:sz w:val="24"/>
              </w:rPr>
              <w:t>10</w:t>
            </w:r>
          </w:p>
        </w:tc>
      </w:tr>
      <w:tr w14:paraId="49AA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26" w:type="dxa"/>
            <w:vMerge w:val="continue"/>
            <w:noWrap w:val="0"/>
            <w:vAlign w:val="center"/>
          </w:tcPr>
          <w:p w14:paraId="497BF850">
            <w:pPr>
              <w:spacing w:line="500" w:lineRule="exact"/>
              <w:rPr>
                <w:rFonts w:ascii="宋体" w:hAnsi="宋体" w:cs="宋体"/>
                <w:sz w:val="24"/>
              </w:rPr>
            </w:pPr>
          </w:p>
        </w:tc>
        <w:tc>
          <w:tcPr>
            <w:tcW w:w="7280" w:type="dxa"/>
            <w:noWrap w:val="0"/>
            <w:vAlign w:val="top"/>
          </w:tcPr>
          <w:p w14:paraId="41E0E8B0">
            <w:pPr>
              <w:spacing w:line="360" w:lineRule="auto"/>
              <w:ind w:firstLine="0" w:firstLineChars="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4.</w:t>
            </w:r>
            <w:r>
              <w:rPr>
                <w:rFonts w:hint="eastAsia" w:ascii="宋体" w:hAnsi="宋体" w:eastAsia="宋体" w:cs="宋体"/>
                <w:b w:val="0"/>
                <w:bCs w:val="0"/>
                <w:color w:val="000000"/>
                <w:sz w:val="24"/>
                <w:szCs w:val="24"/>
              </w:rPr>
              <w:t>质量保证措施、进度保障措施及后续服务</w:t>
            </w:r>
            <w:r>
              <w:rPr>
                <w:rFonts w:hint="eastAsia" w:hAnsi="宋体" w:eastAsia="宋体" w:cs="宋体"/>
                <w:b w:val="0"/>
                <w:bCs w:val="0"/>
                <w:color w:val="000000"/>
                <w:sz w:val="24"/>
                <w:szCs w:val="24"/>
                <w:lang w:eastAsia="zh-CN"/>
              </w:rPr>
              <w:t>（</w:t>
            </w:r>
            <w:r>
              <w:rPr>
                <w:rFonts w:hint="eastAsia" w:hAnsi="宋体" w:eastAsia="宋体" w:cs="宋体"/>
                <w:b/>
                <w:bCs/>
                <w:color w:val="000000"/>
                <w:sz w:val="24"/>
                <w:szCs w:val="24"/>
                <w:lang w:eastAsia="zh-CN"/>
              </w:rPr>
              <w:t>8</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val="zh-CN"/>
              </w:rPr>
              <w:t>）</w:t>
            </w:r>
          </w:p>
          <w:p w14:paraId="1880F36D">
            <w:pPr>
              <w:spacing w:line="360" w:lineRule="auto"/>
              <w:ind w:firstLine="0" w:firstLineChars="0"/>
              <w:jc w:val="left"/>
              <w:rPr>
                <w:rFonts w:hint="eastAsia" w:ascii="宋体" w:hAnsi="宋体" w:eastAsia="宋体" w:cs="宋体"/>
                <w:b w:val="0"/>
                <w:bCs w:val="0"/>
                <w:color w:val="000000"/>
                <w:sz w:val="24"/>
                <w:szCs w:val="24"/>
              </w:rPr>
            </w:pPr>
            <w:r>
              <w:rPr>
                <w:rFonts w:hint="eastAsia" w:hAnsi="宋体" w:eastAsia="宋体" w:cs="宋体"/>
                <w:b w:val="0"/>
                <w:bCs w:val="0"/>
                <w:color w:val="000000"/>
                <w:sz w:val="24"/>
                <w:szCs w:val="24"/>
                <w:lang w:eastAsia="zh-CN"/>
              </w:rPr>
              <w:t>（</w:t>
            </w:r>
            <w:r>
              <w:rPr>
                <w:rFonts w:hint="eastAsia" w:hAnsi="宋体" w:eastAsia="宋体" w:cs="宋体"/>
                <w:b w:val="0"/>
                <w:bCs w:val="0"/>
                <w:color w:val="000000"/>
                <w:sz w:val="24"/>
                <w:szCs w:val="24"/>
                <w:lang w:val="en-US" w:eastAsia="zh-CN"/>
              </w:rPr>
              <w:t>1</w:t>
            </w:r>
            <w:r>
              <w:rPr>
                <w:rFonts w:hint="eastAsia"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质量保证措施、进度保障措施（4分）</w:t>
            </w:r>
          </w:p>
          <w:p w14:paraId="38BF9DE8">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质量保证措施、进度保障措施完善、可行，得4分；</w:t>
            </w:r>
          </w:p>
          <w:p w14:paraId="3C6AEE21">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质量保证措施、进度保障措施较完善，得3分； </w:t>
            </w:r>
          </w:p>
          <w:p w14:paraId="147479C3">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质量保证措施、进度保障措施有欠缺但不影响项目实施的，得2分； </w:t>
            </w:r>
          </w:p>
          <w:p w14:paraId="312E22EC">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质量保证措施、进度保障措施一般，得1分； </w:t>
            </w:r>
          </w:p>
          <w:p w14:paraId="7CEB2CE5">
            <w:pPr>
              <w:spacing w:line="360" w:lineRule="auto"/>
              <w:ind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其他不得分。</w:t>
            </w:r>
          </w:p>
          <w:p w14:paraId="7DAD4E55">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hAnsi="宋体" w:eastAsia="宋体" w:cs="宋体"/>
                <w:b w:val="0"/>
                <w:bCs w:val="0"/>
                <w:color w:val="000000"/>
                <w:sz w:val="24"/>
                <w:szCs w:val="24"/>
                <w:lang w:eastAsia="zh-CN"/>
              </w:rPr>
              <w:t>（</w:t>
            </w:r>
            <w:r>
              <w:rPr>
                <w:rFonts w:hint="eastAsia" w:hAnsi="宋体" w:eastAsia="宋体" w:cs="宋体"/>
                <w:b w:val="0"/>
                <w:bCs w:val="0"/>
                <w:color w:val="000000"/>
                <w:sz w:val="24"/>
                <w:szCs w:val="24"/>
                <w:lang w:val="en-US" w:eastAsia="zh-CN"/>
              </w:rPr>
              <w:t>2</w:t>
            </w:r>
            <w:r>
              <w:rPr>
                <w:rFonts w:hint="eastAsia"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后续服务安排（4分） </w:t>
            </w:r>
          </w:p>
          <w:p w14:paraId="3BBE1B5E">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后续服务安排合理可行，得 4 分； </w:t>
            </w:r>
          </w:p>
          <w:p w14:paraId="159E0A15">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后续服务安排较合理可行，得3分；</w:t>
            </w:r>
          </w:p>
          <w:p w14:paraId="40CAF452">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后续服务安排有欠缺但不影响项目实施的，得2分； </w:t>
            </w:r>
          </w:p>
          <w:p w14:paraId="111E9790">
            <w:pPr>
              <w:numPr>
                <w:ilvl w:val="0"/>
                <w:numId w:val="0"/>
              </w:numPr>
              <w:spacing w:line="360" w:lineRule="auto"/>
              <w:ind w:left="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后续服务安排一般，得1分；</w:t>
            </w:r>
          </w:p>
          <w:p w14:paraId="0552C80E">
            <w:pPr>
              <w:numPr>
                <w:ilvl w:val="0"/>
                <w:numId w:val="0"/>
              </w:numPr>
              <w:spacing w:line="360" w:lineRule="auto"/>
              <w:ind w:left="0" w:firstLine="0" w:firstLineChars="0"/>
              <w:jc w:val="left"/>
              <w:rPr>
                <w:rFonts w:hint="eastAsia" w:hAnsi="宋体" w:eastAsia="宋体" w:cs="宋体"/>
                <w:sz w:val="24"/>
                <w:szCs w:val="24"/>
              </w:rPr>
            </w:pPr>
            <w:r>
              <w:rPr>
                <w:rFonts w:hint="eastAsia" w:ascii="宋体" w:hAnsi="宋体" w:eastAsia="宋体" w:cs="宋体"/>
                <w:b w:val="0"/>
                <w:bCs w:val="0"/>
                <w:color w:val="000000"/>
                <w:sz w:val="24"/>
                <w:szCs w:val="24"/>
              </w:rPr>
              <w:t xml:space="preserve"> 其他不得分。</w:t>
            </w:r>
          </w:p>
        </w:tc>
        <w:tc>
          <w:tcPr>
            <w:tcW w:w="801" w:type="dxa"/>
            <w:noWrap w:val="0"/>
            <w:vAlign w:val="center"/>
          </w:tcPr>
          <w:p w14:paraId="1BD55B48">
            <w:pPr>
              <w:spacing w:line="500" w:lineRule="exact"/>
              <w:jc w:val="center"/>
              <w:rPr>
                <w:rFonts w:hint="eastAsia" w:ascii="宋体" w:hAnsi="宋体" w:eastAsia="宋体" w:cs="宋体"/>
                <w:sz w:val="24"/>
                <w:lang w:eastAsia="zh-CN"/>
              </w:rPr>
            </w:pPr>
            <w:r>
              <w:rPr>
                <w:rFonts w:hint="eastAsia" w:hAnsi="宋体" w:cs="宋体"/>
                <w:sz w:val="24"/>
                <w:lang w:val="en-US" w:eastAsia="zh-CN"/>
              </w:rPr>
              <w:t>8</w:t>
            </w:r>
          </w:p>
        </w:tc>
      </w:tr>
      <w:tr w14:paraId="3874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26" w:type="dxa"/>
            <w:noWrap w:val="0"/>
            <w:vAlign w:val="center"/>
          </w:tcPr>
          <w:p w14:paraId="7D074ED4">
            <w:pPr>
              <w:snapToGrid w:val="0"/>
              <w:spacing w:line="500" w:lineRule="exact"/>
              <w:jc w:val="center"/>
              <w:rPr>
                <w:rFonts w:ascii="宋体" w:hAnsi="宋体" w:cs="宋体"/>
                <w:sz w:val="24"/>
              </w:rPr>
            </w:pPr>
            <w:r>
              <w:rPr>
                <w:rFonts w:hint="eastAsia" w:ascii="宋体" w:hAnsi="宋体" w:cs="宋体"/>
                <w:sz w:val="24"/>
              </w:rPr>
              <w:t>人员配置</w:t>
            </w:r>
          </w:p>
          <w:p w14:paraId="270F4826">
            <w:pPr>
              <w:snapToGrid w:val="0"/>
              <w:spacing w:line="500" w:lineRule="exact"/>
              <w:jc w:val="center"/>
              <w:rPr>
                <w:rFonts w:ascii="宋体" w:hAnsi="宋体" w:cs="宋体"/>
                <w:sz w:val="24"/>
              </w:rPr>
            </w:pPr>
            <w:r>
              <w:rPr>
                <w:rFonts w:hint="eastAsia" w:ascii="宋体" w:hAnsi="宋体" w:cs="宋体"/>
                <w:sz w:val="24"/>
              </w:rPr>
              <w:t>（</w:t>
            </w:r>
            <w:r>
              <w:rPr>
                <w:rFonts w:hint="eastAsia" w:hAnsi="宋体" w:cs="宋体"/>
                <w:sz w:val="24"/>
                <w:lang w:val="en-US" w:eastAsia="zh-CN"/>
              </w:rPr>
              <w:t>12</w:t>
            </w:r>
            <w:r>
              <w:rPr>
                <w:rFonts w:hint="eastAsia" w:ascii="宋体" w:hAnsi="宋体" w:cs="宋体"/>
                <w:sz w:val="24"/>
              </w:rPr>
              <w:t>分）</w:t>
            </w:r>
          </w:p>
        </w:tc>
        <w:tc>
          <w:tcPr>
            <w:tcW w:w="7280" w:type="dxa"/>
            <w:noWrap w:val="0"/>
            <w:vAlign w:val="center"/>
          </w:tcPr>
          <w:p w14:paraId="231AD374">
            <w:pPr>
              <w:spacing w:line="500" w:lineRule="exact"/>
              <w:ind w:firstLine="480" w:firstLineChars="200"/>
              <w:rPr>
                <w:rFonts w:hint="eastAsia" w:ascii="宋体"/>
                <w:color w:val="000000"/>
                <w:sz w:val="24"/>
              </w:rPr>
            </w:pPr>
            <w:r>
              <w:rPr>
                <w:rFonts w:hint="eastAsia" w:ascii="宋体" w:hAnsi="宋体" w:cs="宋体"/>
                <w:bCs/>
                <w:sz w:val="24"/>
              </w:rPr>
              <w:t>1.项目负责人：</w:t>
            </w:r>
            <w:r>
              <w:rPr>
                <w:rFonts w:hint="eastAsia" w:ascii="宋体"/>
                <w:color w:val="000000"/>
                <w:sz w:val="24"/>
              </w:rPr>
              <w:t>拟投入项目负责人</w:t>
            </w:r>
            <w:r>
              <w:rPr>
                <w:rFonts w:hint="eastAsia" w:ascii="宋体" w:hAnsi="宋体" w:cs="宋体"/>
                <w:bCs/>
                <w:sz w:val="24"/>
              </w:rPr>
              <w:t>具备高级工程师、注册咨询工程师（投资）和注册规划师的，每提供一项得</w:t>
            </w:r>
            <w:r>
              <w:rPr>
                <w:rFonts w:hint="eastAsia" w:hAnsi="宋体" w:cs="宋体"/>
                <w:bCs/>
                <w:sz w:val="24"/>
                <w:lang w:val="en-US" w:eastAsia="zh-CN"/>
              </w:rPr>
              <w:t>2</w:t>
            </w:r>
            <w:r>
              <w:rPr>
                <w:rFonts w:hint="eastAsia" w:ascii="宋体" w:hAnsi="宋体" w:cs="宋体"/>
                <w:bCs/>
                <w:sz w:val="24"/>
              </w:rPr>
              <w:t>分，</w:t>
            </w:r>
            <w:r>
              <w:rPr>
                <w:rFonts w:hint="eastAsia" w:ascii="宋体"/>
                <w:color w:val="000000"/>
                <w:sz w:val="24"/>
              </w:rPr>
              <w:t>最高得</w:t>
            </w:r>
            <w:r>
              <w:rPr>
                <w:rFonts w:hint="eastAsia"/>
                <w:color w:val="000000"/>
                <w:sz w:val="24"/>
                <w:lang w:val="en-US" w:eastAsia="zh-CN"/>
              </w:rPr>
              <w:t>6</w:t>
            </w:r>
            <w:r>
              <w:rPr>
                <w:rFonts w:hint="eastAsia" w:ascii="宋体"/>
                <w:color w:val="000000"/>
                <w:sz w:val="24"/>
              </w:rPr>
              <w:t>分。</w:t>
            </w:r>
          </w:p>
          <w:p w14:paraId="20BD185B">
            <w:pPr>
              <w:spacing w:line="500" w:lineRule="exact"/>
              <w:ind w:firstLine="480" w:firstLineChars="200"/>
              <w:rPr>
                <w:rFonts w:hint="eastAsia" w:ascii="宋体" w:hAnsi="宋体" w:cs="宋体"/>
                <w:bCs/>
                <w:sz w:val="24"/>
              </w:rPr>
            </w:pPr>
            <w:r>
              <w:rPr>
                <w:rFonts w:hint="eastAsia" w:hAnsi="宋体" w:cs="宋体"/>
                <w:bCs/>
                <w:sz w:val="24"/>
                <w:lang w:val="en-US" w:eastAsia="zh-CN"/>
              </w:rPr>
              <w:t>2</w:t>
            </w:r>
            <w:r>
              <w:rPr>
                <w:rFonts w:hint="eastAsia" w:ascii="宋体" w:hAnsi="宋体" w:cs="宋体"/>
                <w:bCs/>
                <w:sz w:val="24"/>
              </w:rPr>
              <w:t>.</w:t>
            </w:r>
            <w:r>
              <w:rPr>
                <w:rFonts w:hint="eastAsia" w:ascii="宋体"/>
                <w:color w:val="000000"/>
                <w:sz w:val="24"/>
              </w:rPr>
              <w:t>项目组成员</w:t>
            </w:r>
            <w:r>
              <w:rPr>
                <w:rFonts w:hint="eastAsia" w:ascii="宋体" w:hAnsi="宋体" w:cs="宋体"/>
                <w:bCs/>
                <w:sz w:val="24"/>
              </w:rPr>
              <w:t>（除项目负责人外）：</w:t>
            </w:r>
            <w:r>
              <w:rPr>
                <w:rFonts w:hint="eastAsia" w:ascii="宋体"/>
                <w:color w:val="000000"/>
                <w:sz w:val="24"/>
              </w:rPr>
              <w:t>拟投入项目组成员</w:t>
            </w:r>
            <w:r>
              <w:rPr>
                <w:rFonts w:hint="eastAsia" w:ascii="宋体" w:hAnsi="宋体" w:cs="宋体"/>
                <w:bCs/>
                <w:sz w:val="24"/>
              </w:rPr>
              <w:t>具备中级及以上技术职称的，有一个加</w:t>
            </w:r>
            <w:r>
              <w:rPr>
                <w:rFonts w:hint="eastAsia" w:hAnsi="宋体" w:cs="宋体"/>
                <w:bCs/>
                <w:sz w:val="24"/>
                <w:lang w:val="en-US" w:eastAsia="zh-CN"/>
              </w:rPr>
              <w:t>2</w:t>
            </w:r>
            <w:r>
              <w:rPr>
                <w:rFonts w:hint="eastAsia" w:ascii="宋体" w:hAnsi="宋体" w:cs="宋体"/>
                <w:bCs/>
                <w:sz w:val="24"/>
              </w:rPr>
              <w:t>分，最多加</w:t>
            </w:r>
            <w:r>
              <w:rPr>
                <w:rFonts w:hint="eastAsia" w:hAnsi="宋体" w:cs="宋体"/>
                <w:bCs/>
                <w:sz w:val="24"/>
                <w:lang w:val="en-US" w:eastAsia="zh-CN"/>
              </w:rPr>
              <w:t>6</w:t>
            </w:r>
            <w:r>
              <w:rPr>
                <w:rFonts w:hint="eastAsia" w:ascii="宋体" w:hAnsi="宋体" w:cs="宋体"/>
                <w:bCs/>
                <w:sz w:val="24"/>
              </w:rPr>
              <w:t xml:space="preserve">分。  </w:t>
            </w:r>
          </w:p>
          <w:p w14:paraId="67CDA41B">
            <w:pPr>
              <w:spacing w:line="500" w:lineRule="exact"/>
              <w:ind w:firstLine="482" w:firstLineChars="200"/>
            </w:pPr>
            <w:r>
              <w:rPr>
                <w:rFonts w:hint="eastAsia" w:ascii="宋体"/>
                <w:b/>
                <w:bCs/>
                <w:color w:val="000000"/>
                <w:sz w:val="24"/>
              </w:rPr>
              <w:t>注：提供以上证书加盖公章，拟投入项目组成员（含项目负责人）须为投标单位专职工作人员，需提供近1</w:t>
            </w:r>
            <w:r>
              <w:rPr>
                <w:rFonts w:ascii="宋体"/>
                <w:b/>
                <w:bCs/>
                <w:color w:val="000000"/>
                <w:sz w:val="24"/>
              </w:rPr>
              <w:t>-3</w:t>
            </w:r>
            <w:r>
              <w:rPr>
                <w:rFonts w:hint="eastAsia" w:ascii="宋体"/>
                <w:b/>
                <w:bCs/>
                <w:color w:val="000000"/>
                <w:sz w:val="24"/>
              </w:rPr>
              <w:t>个月内任意一个月投标单位为其缴纳的社保证明。</w:t>
            </w:r>
          </w:p>
        </w:tc>
        <w:tc>
          <w:tcPr>
            <w:tcW w:w="801" w:type="dxa"/>
            <w:noWrap w:val="0"/>
            <w:vAlign w:val="center"/>
          </w:tcPr>
          <w:p w14:paraId="6F8F3B70">
            <w:pPr>
              <w:spacing w:line="500" w:lineRule="exact"/>
              <w:jc w:val="center"/>
              <w:rPr>
                <w:rFonts w:ascii="宋体" w:hAnsi="宋体" w:cs="宋体"/>
                <w:sz w:val="24"/>
              </w:rPr>
            </w:pPr>
            <w:r>
              <w:rPr>
                <w:rFonts w:hint="eastAsia" w:hAnsi="宋体" w:cs="宋体"/>
                <w:sz w:val="24"/>
                <w:lang w:val="en-US" w:eastAsia="zh-CN"/>
              </w:rPr>
              <w:t>12</w:t>
            </w:r>
          </w:p>
        </w:tc>
      </w:tr>
      <w:tr w14:paraId="165D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26" w:type="dxa"/>
            <w:vMerge w:val="restart"/>
            <w:noWrap w:val="0"/>
            <w:vAlign w:val="center"/>
          </w:tcPr>
          <w:p w14:paraId="302EFB43">
            <w:pPr>
              <w:spacing w:line="500" w:lineRule="exact"/>
              <w:jc w:val="center"/>
              <w:rPr>
                <w:rFonts w:hint="eastAsia" w:ascii="宋体" w:hAnsi="宋体" w:eastAsia="宋体" w:cs="宋体"/>
                <w:sz w:val="24"/>
                <w:lang w:eastAsia="zh-CN"/>
              </w:rPr>
            </w:pPr>
            <w:r>
              <w:rPr>
                <w:rFonts w:hint="eastAsia" w:ascii="宋体" w:hAnsi="宋体" w:cs="宋体"/>
                <w:sz w:val="24"/>
              </w:rPr>
              <w:t>企业</w:t>
            </w:r>
            <w:r>
              <w:rPr>
                <w:rFonts w:hint="eastAsia" w:hAnsi="宋体" w:cs="宋体"/>
                <w:sz w:val="24"/>
                <w:lang w:eastAsia="zh-CN"/>
              </w:rPr>
              <w:t>综合实力</w:t>
            </w:r>
          </w:p>
          <w:p w14:paraId="4BF69236">
            <w:pPr>
              <w:spacing w:line="500" w:lineRule="exact"/>
              <w:ind w:firstLine="240" w:firstLineChars="100"/>
              <w:rPr>
                <w:rFonts w:hint="eastAsia" w:ascii="宋体" w:hAnsi="宋体" w:cs="宋体"/>
                <w:sz w:val="24"/>
              </w:rPr>
            </w:pPr>
            <w:r>
              <w:rPr>
                <w:rFonts w:hint="eastAsia" w:ascii="宋体" w:hAnsi="宋体" w:cs="宋体"/>
                <w:sz w:val="24"/>
              </w:rPr>
              <w:t>（</w:t>
            </w:r>
            <w:r>
              <w:rPr>
                <w:rFonts w:hint="eastAsia" w:hAnsi="宋体" w:cs="宋体"/>
                <w:sz w:val="24"/>
                <w:lang w:val="en-US" w:eastAsia="zh-CN"/>
              </w:rPr>
              <w:t>8</w:t>
            </w:r>
            <w:r>
              <w:rPr>
                <w:rFonts w:hint="eastAsia" w:ascii="宋体" w:hAnsi="宋体" w:cs="宋体"/>
                <w:sz w:val="24"/>
              </w:rPr>
              <w:t>分）</w:t>
            </w:r>
          </w:p>
        </w:tc>
        <w:tc>
          <w:tcPr>
            <w:tcW w:w="7280" w:type="dxa"/>
            <w:noWrap w:val="0"/>
            <w:vAlign w:val="center"/>
          </w:tcPr>
          <w:p w14:paraId="0ED9EB32">
            <w:pPr>
              <w:pStyle w:val="4"/>
              <w:spacing w:line="500" w:lineRule="exact"/>
              <w:ind w:firstLine="480" w:firstLineChars="200"/>
              <w:rPr>
                <w:sz w:val="24"/>
              </w:rPr>
            </w:pPr>
            <w:r>
              <w:rPr>
                <w:rFonts w:hint="eastAsia"/>
                <w:sz w:val="24"/>
              </w:rPr>
              <w:t>（1）供应商具有有效期内的城乡规划乙级资质得</w:t>
            </w:r>
            <w:r>
              <w:rPr>
                <w:rFonts w:hint="eastAsia"/>
                <w:sz w:val="24"/>
                <w:lang w:val="en-US" w:eastAsia="zh-CN"/>
              </w:rPr>
              <w:t>1</w:t>
            </w:r>
            <w:r>
              <w:rPr>
                <w:sz w:val="24"/>
              </w:rPr>
              <w:t>分</w:t>
            </w:r>
            <w:r>
              <w:rPr>
                <w:rFonts w:hint="eastAsia"/>
                <w:sz w:val="24"/>
              </w:rPr>
              <w:t>、具有有效期内的城乡规划甲级资质得</w:t>
            </w:r>
            <w:r>
              <w:rPr>
                <w:rFonts w:hint="eastAsia"/>
                <w:sz w:val="24"/>
                <w:lang w:val="en-US" w:eastAsia="zh-CN"/>
              </w:rPr>
              <w:t>2</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w:t>
            </w:r>
            <w:r>
              <w:rPr>
                <w:rFonts w:hint="eastAsia" w:ascii="宋体"/>
                <w:color w:val="000000"/>
                <w:sz w:val="24"/>
              </w:rPr>
              <w:t>。</w:t>
            </w:r>
          </w:p>
          <w:p w14:paraId="23D01A94">
            <w:pPr>
              <w:pStyle w:val="4"/>
              <w:spacing w:line="500" w:lineRule="exact"/>
              <w:ind w:firstLine="480" w:firstLineChars="200"/>
              <w:rPr>
                <w:rFonts w:hint="eastAsia" w:ascii="宋体"/>
                <w:color w:val="000000"/>
                <w:sz w:val="24"/>
              </w:rPr>
            </w:pPr>
            <w:r>
              <w:rPr>
                <w:rFonts w:hint="eastAsia"/>
                <w:sz w:val="24"/>
              </w:rPr>
              <w:t>注：提供以上证书复印件并投标人加盖公章。</w:t>
            </w:r>
          </w:p>
        </w:tc>
        <w:tc>
          <w:tcPr>
            <w:tcW w:w="801" w:type="dxa"/>
            <w:noWrap w:val="0"/>
            <w:vAlign w:val="center"/>
          </w:tcPr>
          <w:p w14:paraId="47D8F8E8">
            <w:pPr>
              <w:spacing w:line="500" w:lineRule="exact"/>
              <w:jc w:val="center"/>
              <w:rPr>
                <w:rFonts w:hint="eastAsia" w:ascii="宋体" w:hAnsi="宋体" w:eastAsia="宋体" w:cs="宋体"/>
                <w:sz w:val="24"/>
                <w:lang w:eastAsia="zh-CN"/>
              </w:rPr>
            </w:pPr>
            <w:r>
              <w:rPr>
                <w:rFonts w:hint="eastAsia" w:hAnsi="宋体" w:cs="宋体"/>
                <w:sz w:val="24"/>
                <w:lang w:val="en-US" w:eastAsia="zh-CN"/>
              </w:rPr>
              <w:t>2</w:t>
            </w:r>
          </w:p>
        </w:tc>
      </w:tr>
      <w:tr w14:paraId="4486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26" w:type="dxa"/>
            <w:vMerge w:val="continue"/>
            <w:noWrap w:val="0"/>
            <w:vAlign w:val="center"/>
          </w:tcPr>
          <w:p w14:paraId="36BA6A8A">
            <w:pPr>
              <w:spacing w:line="500" w:lineRule="exact"/>
              <w:rPr>
                <w:rFonts w:ascii="宋体" w:hAnsi="宋体" w:cs="宋体"/>
                <w:sz w:val="24"/>
              </w:rPr>
            </w:pPr>
          </w:p>
        </w:tc>
        <w:tc>
          <w:tcPr>
            <w:tcW w:w="7280" w:type="dxa"/>
            <w:noWrap w:val="0"/>
            <w:vAlign w:val="center"/>
          </w:tcPr>
          <w:p w14:paraId="3B4B7F32">
            <w:pPr>
              <w:pStyle w:val="4"/>
              <w:spacing w:line="500" w:lineRule="exact"/>
              <w:ind w:firstLine="480" w:firstLineChars="200"/>
              <w:rPr>
                <w:rFonts w:hint="eastAsia"/>
                <w:sz w:val="24"/>
              </w:rPr>
            </w:pPr>
            <w:r>
              <w:rPr>
                <w:rFonts w:hint="eastAsia"/>
                <w:sz w:val="24"/>
              </w:rPr>
              <w:t>（</w:t>
            </w:r>
            <w:r>
              <w:rPr>
                <w:sz w:val="24"/>
              </w:rPr>
              <w:t>2</w:t>
            </w:r>
            <w:r>
              <w:rPr>
                <w:rFonts w:hint="eastAsia"/>
                <w:sz w:val="24"/>
              </w:rPr>
              <w:t>）具有有效期内的职业健康安全管理体</w:t>
            </w:r>
            <w:r>
              <w:rPr>
                <w:rFonts w:hint="eastAsia" w:ascii="宋体" w:hAnsi="宋体" w:cs="宋体"/>
                <w:sz w:val="24"/>
              </w:rPr>
              <w:t>系认证证书</w:t>
            </w:r>
            <w:r>
              <w:rPr>
                <w:rFonts w:hint="eastAsia"/>
                <w:sz w:val="24"/>
              </w:rPr>
              <w:t>得</w:t>
            </w:r>
            <w:r>
              <w:rPr>
                <w:rFonts w:hint="eastAsia"/>
                <w:sz w:val="24"/>
                <w:lang w:val="en-US" w:eastAsia="zh-CN"/>
              </w:rPr>
              <w:t>2</w:t>
            </w:r>
            <w:r>
              <w:rPr>
                <w:sz w:val="24"/>
              </w:rPr>
              <w:t>分</w:t>
            </w:r>
            <w:r>
              <w:rPr>
                <w:rFonts w:hint="eastAsia" w:ascii="宋体" w:hAnsi="宋体" w:cs="宋体"/>
                <w:sz w:val="24"/>
              </w:rPr>
              <w:t>、</w:t>
            </w:r>
            <w:r>
              <w:rPr>
                <w:rFonts w:hint="eastAsia"/>
                <w:sz w:val="24"/>
              </w:rPr>
              <w:t>具有有效期内的</w:t>
            </w:r>
            <w:r>
              <w:rPr>
                <w:rFonts w:hint="eastAsia" w:ascii="宋体" w:hAnsi="宋体" w:cs="宋体"/>
                <w:sz w:val="24"/>
              </w:rPr>
              <w:t>质量管理体系认证证书</w:t>
            </w:r>
            <w:r>
              <w:rPr>
                <w:rFonts w:hint="eastAsia"/>
                <w:sz w:val="24"/>
              </w:rPr>
              <w:t>得</w:t>
            </w:r>
            <w:r>
              <w:rPr>
                <w:rFonts w:hint="eastAsia"/>
                <w:sz w:val="24"/>
                <w:lang w:val="en-US" w:eastAsia="zh-CN"/>
              </w:rPr>
              <w:t>2</w:t>
            </w:r>
            <w:r>
              <w:rPr>
                <w:sz w:val="24"/>
              </w:rPr>
              <w:t>分</w:t>
            </w:r>
            <w:r>
              <w:rPr>
                <w:rFonts w:hint="eastAsia" w:ascii="宋体" w:hAnsi="宋体" w:cs="宋体"/>
                <w:sz w:val="24"/>
              </w:rPr>
              <w:t>、</w:t>
            </w:r>
            <w:r>
              <w:rPr>
                <w:rFonts w:hint="eastAsia"/>
                <w:sz w:val="24"/>
              </w:rPr>
              <w:t>具有有效期内的</w:t>
            </w:r>
            <w:r>
              <w:rPr>
                <w:rFonts w:hint="eastAsia" w:ascii="宋体" w:hAnsi="宋体" w:cs="宋体"/>
                <w:sz w:val="24"/>
              </w:rPr>
              <w:t>环境管理体系认证证书</w:t>
            </w:r>
            <w:r>
              <w:rPr>
                <w:rFonts w:hint="eastAsia"/>
                <w:sz w:val="24"/>
              </w:rPr>
              <w:t>得</w:t>
            </w:r>
            <w:r>
              <w:rPr>
                <w:rFonts w:hint="eastAsia"/>
                <w:sz w:val="24"/>
                <w:lang w:val="en-US" w:eastAsia="zh-CN"/>
              </w:rPr>
              <w:t>2</w:t>
            </w:r>
            <w:r>
              <w:rPr>
                <w:sz w:val="24"/>
              </w:rPr>
              <w:t>分</w:t>
            </w:r>
            <w:r>
              <w:rPr>
                <w:rFonts w:hint="eastAsia" w:ascii="宋体" w:hAnsi="宋体" w:cs="宋体"/>
                <w:sz w:val="24"/>
              </w:rPr>
              <w:t>，本项最高得</w:t>
            </w:r>
            <w:r>
              <w:rPr>
                <w:rFonts w:hint="eastAsia" w:hAnsi="宋体" w:cs="宋体"/>
                <w:sz w:val="24"/>
                <w:lang w:val="en-US" w:eastAsia="zh-CN"/>
              </w:rPr>
              <w:t>6</w:t>
            </w:r>
            <w:r>
              <w:rPr>
                <w:rFonts w:hint="eastAsia" w:ascii="宋体" w:hAnsi="宋体" w:cs="宋体"/>
                <w:sz w:val="24"/>
              </w:rPr>
              <w:t>分</w:t>
            </w:r>
            <w:r>
              <w:rPr>
                <w:rFonts w:hint="eastAsia"/>
                <w:sz w:val="24"/>
              </w:rPr>
              <w:t>。</w:t>
            </w:r>
          </w:p>
          <w:p w14:paraId="51796AF6">
            <w:pPr>
              <w:pStyle w:val="4"/>
              <w:spacing w:line="500" w:lineRule="exact"/>
              <w:ind w:firstLine="480" w:firstLineChars="200"/>
              <w:rPr>
                <w:rFonts w:hint="eastAsia"/>
                <w:sz w:val="24"/>
              </w:rPr>
            </w:pPr>
            <w:r>
              <w:rPr>
                <w:rFonts w:hint="eastAsia"/>
                <w:sz w:val="24"/>
              </w:rPr>
              <w:t>注：提供以上证书复印件并投标人加盖公章。</w:t>
            </w:r>
          </w:p>
        </w:tc>
        <w:tc>
          <w:tcPr>
            <w:tcW w:w="801" w:type="dxa"/>
            <w:noWrap w:val="0"/>
            <w:vAlign w:val="center"/>
          </w:tcPr>
          <w:p w14:paraId="6AC7A568">
            <w:pPr>
              <w:spacing w:line="500" w:lineRule="exact"/>
              <w:jc w:val="center"/>
              <w:rPr>
                <w:rFonts w:hint="eastAsia" w:ascii="宋体" w:hAnsi="宋体" w:eastAsia="宋体" w:cs="宋体"/>
                <w:sz w:val="24"/>
                <w:lang w:eastAsia="zh-CN"/>
              </w:rPr>
            </w:pPr>
            <w:r>
              <w:rPr>
                <w:rFonts w:hint="eastAsia" w:hAnsi="宋体" w:cs="宋体"/>
                <w:sz w:val="24"/>
                <w:lang w:val="en-US" w:eastAsia="zh-CN"/>
              </w:rPr>
              <w:t>6</w:t>
            </w:r>
          </w:p>
        </w:tc>
      </w:tr>
      <w:tr w14:paraId="31A3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6" w:type="dxa"/>
            <w:noWrap w:val="0"/>
            <w:vAlign w:val="center"/>
          </w:tcPr>
          <w:p w14:paraId="6CDF05DC">
            <w:pPr>
              <w:spacing w:line="500" w:lineRule="exact"/>
              <w:jc w:val="center"/>
              <w:rPr>
                <w:rFonts w:ascii="宋体" w:hAnsi="宋体" w:cs="宋体"/>
                <w:sz w:val="24"/>
              </w:rPr>
            </w:pPr>
            <w:r>
              <w:rPr>
                <w:rFonts w:hint="eastAsia" w:ascii="宋体" w:hAnsi="宋体" w:cs="宋体"/>
                <w:sz w:val="24"/>
              </w:rPr>
              <w:t>企业业绩</w:t>
            </w:r>
          </w:p>
          <w:p w14:paraId="206A8A0B">
            <w:pPr>
              <w:spacing w:line="500" w:lineRule="exact"/>
              <w:jc w:val="center"/>
              <w:rPr>
                <w:rFonts w:ascii="宋体" w:hAnsi="宋体" w:cs="宋体"/>
                <w:sz w:val="24"/>
              </w:rPr>
            </w:pPr>
            <w:r>
              <w:rPr>
                <w:rFonts w:hint="eastAsia" w:ascii="宋体" w:hAnsi="宋体" w:cs="宋体"/>
                <w:sz w:val="24"/>
              </w:rPr>
              <w:t>（1</w:t>
            </w:r>
            <w:r>
              <w:rPr>
                <w:rFonts w:hint="eastAsia" w:hAnsi="宋体" w:cs="宋体"/>
                <w:sz w:val="24"/>
                <w:lang w:val="en-US" w:eastAsia="zh-CN"/>
              </w:rPr>
              <w:t>2</w:t>
            </w:r>
            <w:r>
              <w:rPr>
                <w:rFonts w:hint="eastAsia" w:ascii="宋体" w:hAnsi="宋体" w:cs="宋体"/>
                <w:sz w:val="24"/>
              </w:rPr>
              <w:t>分）</w:t>
            </w:r>
          </w:p>
        </w:tc>
        <w:tc>
          <w:tcPr>
            <w:tcW w:w="7280" w:type="dxa"/>
            <w:noWrap w:val="0"/>
            <w:vAlign w:val="center"/>
          </w:tcPr>
          <w:p w14:paraId="5AC440DC">
            <w:pPr>
              <w:pStyle w:val="15"/>
              <w:autoSpaceDE/>
              <w:autoSpaceDN/>
              <w:adjustRightInd/>
              <w:spacing w:line="500" w:lineRule="exact"/>
              <w:ind w:firstLine="480" w:firstLineChars="200"/>
              <w:rPr>
                <w:rFonts w:hint="eastAsia" w:hAnsi="宋体"/>
                <w:lang w:val="en-US" w:eastAsia="zh-CN"/>
              </w:rPr>
            </w:pPr>
            <w:r>
              <w:rPr>
                <w:rFonts w:ascii="Times New Roman" w:hAnsi="Times New Roman" w:eastAsia="宋体" w:cs="Times New Roman"/>
                <w:sz w:val="24"/>
                <w:szCs w:val="24"/>
              </w:rPr>
              <w:t>2022年1月1日以来，投标人承担过一个客运行业评估分析研究的业绩得3分，最高得12分</w:t>
            </w:r>
            <w:r>
              <w:rPr>
                <w:rFonts w:hint="eastAsia" w:hAnsi="宋体"/>
                <w:lang w:val="en-US" w:eastAsia="zh-CN"/>
              </w:rPr>
              <w:t xml:space="preserve">  </w:t>
            </w:r>
          </w:p>
          <w:p w14:paraId="244ADC9B">
            <w:pPr>
              <w:pStyle w:val="15"/>
              <w:autoSpaceDE/>
              <w:autoSpaceDN/>
              <w:adjustRightInd/>
              <w:spacing w:line="500" w:lineRule="exact"/>
              <w:ind w:firstLine="482" w:firstLineChars="200"/>
              <w:rPr>
                <w:rFonts w:hint="eastAsia"/>
              </w:rPr>
            </w:pPr>
            <w:r>
              <w:rPr>
                <w:rFonts w:hint="eastAsia" w:hAnsi="宋体"/>
                <w:b/>
                <w:bCs/>
              </w:rPr>
              <w:t>注：以上业绩需提供合同复印件并投标人加盖公章，包括合同金额、双方名称及盖章。</w:t>
            </w:r>
          </w:p>
        </w:tc>
        <w:tc>
          <w:tcPr>
            <w:tcW w:w="801" w:type="dxa"/>
            <w:noWrap w:val="0"/>
            <w:vAlign w:val="center"/>
          </w:tcPr>
          <w:p w14:paraId="4C24A4B4">
            <w:pPr>
              <w:spacing w:line="500" w:lineRule="exact"/>
              <w:jc w:val="center"/>
              <w:rPr>
                <w:rFonts w:hint="eastAsia" w:ascii="宋体" w:hAnsi="宋体" w:eastAsia="宋体" w:cs="宋体"/>
                <w:sz w:val="24"/>
                <w:lang w:eastAsia="zh-CN"/>
              </w:rPr>
            </w:pPr>
            <w:r>
              <w:rPr>
                <w:rFonts w:hint="eastAsia" w:ascii="宋体" w:hAnsi="宋体" w:cs="宋体"/>
                <w:sz w:val="24"/>
              </w:rPr>
              <w:t>1</w:t>
            </w:r>
            <w:r>
              <w:rPr>
                <w:rFonts w:hint="eastAsia" w:hAnsi="宋体" w:cs="宋体"/>
                <w:sz w:val="24"/>
                <w:lang w:val="en-US" w:eastAsia="zh-CN"/>
              </w:rPr>
              <w:t>2</w:t>
            </w:r>
          </w:p>
        </w:tc>
      </w:tr>
    </w:tbl>
    <w:p w14:paraId="17E76351">
      <w:pPr>
        <w:shd w:val="clear" w:color="auto" w:fill="auto"/>
        <w:snapToGrid w:val="0"/>
        <w:spacing w:line="480" w:lineRule="exact"/>
        <w:ind w:firstLine="241" w:firstLineChars="100"/>
        <w:rPr>
          <w:rFonts w:ascii="Times New Roman"/>
          <w:bCs/>
          <w:color w:val="auto"/>
          <w:szCs w:val="24"/>
          <w:highlight w:val="none"/>
        </w:rPr>
      </w:pPr>
      <w:r>
        <w:rPr>
          <w:rFonts w:ascii="Times New Roman"/>
          <w:b/>
          <w:color w:val="auto"/>
          <w:szCs w:val="24"/>
          <w:highlight w:val="none"/>
        </w:rPr>
        <w:t>（四）</w:t>
      </w:r>
      <w:r>
        <w:rPr>
          <w:rFonts w:ascii="Times New Roman"/>
          <w:b/>
          <w:color w:val="auto"/>
          <w:szCs w:val="24"/>
          <w:highlight w:val="none"/>
          <w:lang w:val="zh-CN"/>
        </w:rPr>
        <w:t>价格分</w:t>
      </w:r>
      <w:r>
        <w:rPr>
          <w:rFonts w:ascii="Times New Roman"/>
          <w:b/>
          <w:color w:val="auto"/>
          <w:szCs w:val="24"/>
          <w:highlight w:val="none"/>
        </w:rPr>
        <w:t>：</w:t>
      </w:r>
      <w:r>
        <w:rPr>
          <w:rFonts w:hint="eastAsia" w:ascii="Times New Roman"/>
          <w:bCs/>
          <w:color w:val="auto"/>
          <w:szCs w:val="24"/>
          <w:highlight w:val="none"/>
          <w:u w:val="single"/>
          <w:lang w:val="en-US" w:eastAsia="zh-CN"/>
        </w:rPr>
        <w:t>1</w:t>
      </w:r>
      <w:r>
        <w:rPr>
          <w:rFonts w:hint="eastAsia" w:ascii="Times New Roman"/>
          <w:bCs/>
          <w:color w:val="auto"/>
          <w:szCs w:val="24"/>
          <w:highlight w:val="none"/>
          <w:u w:val="single"/>
        </w:rPr>
        <w:t>0</w:t>
      </w:r>
      <w:r>
        <w:rPr>
          <w:rFonts w:ascii="Times New Roman"/>
          <w:bCs/>
          <w:color w:val="auto"/>
          <w:szCs w:val="24"/>
          <w:highlight w:val="none"/>
          <w:u w:val="single"/>
        </w:rPr>
        <w:t xml:space="preserve"> </w:t>
      </w:r>
      <w:r>
        <w:rPr>
          <w:rFonts w:ascii="Times New Roman"/>
          <w:bCs/>
          <w:color w:val="auto"/>
          <w:szCs w:val="24"/>
          <w:highlight w:val="none"/>
          <w:lang w:val="zh-CN"/>
        </w:rPr>
        <w:t>分</w:t>
      </w:r>
    </w:p>
    <w:p w14:paraId="17520880">
      <w:pPr>
        <w:shd w:val="clear" w:color="auto" w:fill="auto"/>
        <w:adjustRightInd w:val="0"/>
        <w:snapToGrid w:val="0"/>
        <w:spacing w:line="500" w:lineRule="exact"/>
        <w:ind w:firstLine="480" w:firstLineChars="200"/>
        <w:rPr>
          <w:rFonts w:ascii="Times New Roman"/>
          <w:color w:val="auto"/>
          <w:szCs w:val="24"/>
          <w:highlight w:val="none"/>
        </w:rPr>
      </w:pPr>
      <w:r>
        <w:rPr>
          <w:rFonts w:ascii="Times New Roman"/>
          <w:color w:val="auto"/>
          <w:szCs w:val="24"/>
          <w:highlight w:val="none"/>
        </w:rPr>
        <w:t>价格分统一采用低价优先法计算，即满足招标文件要求且投标价格最低的投标报价为评标基准价，其价格分为满分。其他投标人的价格分统一按照下列公式计算：</w:t>
      </w:r>
    </w:p>
    <w:p w14:paraId="6452087D">
      <w:pPr>
        <w:shd w:val="clear" w:color="auto" w:fill="auto"/>
        <w:adjustRightInd w:val="0"/>
        <w:snapToGrid w:val="0"/>
        <w:spacing w:line="500" w:lineRule="exact"/>
        <w:ind w:firstLine="480" w:firstLineChars="200"/>
        <w:rPr>
          <w:rFonts w:ascii="Times New Roman"/>
          <w:color w:val="auto"/>
          <w:szCs w:val="24"/>
          <w:highlight w:val="none"/>
        </w:rPr>
      </w:pPr>
      <w:r>
        <w:rPr>
          <w:rFonts w:ascii="Times New Roman"/>
          <w:color w:val="auto"/>
          <w:szCs w:val="24"/>
          <w:highlight w:val="none"/>
        </w:rPr>
        <w:t>投标报价得分=（评标基准价/投标报价）×价格权值×100</w:t>
      </w:r>
    </w:p>
    <w:p w14:paraId="48215914">
      <w:pPr>
        <w:shd w:val="clear" w:color="auto" w:fill="auto"/>
        <w:snapToGrid w:val="0"/>
        <w:spacing w:line="480" w:lineRule="exact"/>
        <w:ind w:firstLine="570"/>
        <w:rPr>
          <w:rFonts w:ascii="Times New Roman"/>
          <w:bCs/>
          <w:color w:val="auto"/>
          <w:highlight w:val="none"/>
        </w:rPr>
      </w:pPr>
      <w:r>
        <w:rPr>
          <w:rFonts w:ascii="Times New Roman"/>
          <w:bCs/>
          <w:color w:val="auto"/>
          <w:highlight w:val="none"/>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3E865011">
      <w:pPr>
        <w:shd w:val="clear" w:color="auto" w:fill="auto"/>
        <w:snapToGrid w:val="0"/>
        <w:spacing w:line="480" w:lineRule="exact"/>
        <w:ind w:firstLine="570"/>
        <w:rPr>
          <w:rFonts w:ascii="Times New Roman"/>
          <w:bCs/>
          <w:color w:val="auto"/>
          <w:highlight w:val="none"/>
        </w:rPr>
      </w:pPr>
      <w:r>
        <w:rPr>
          <w:rFonts w:ascii="Times New Roman"/>
          <w:bCs/>
          <w:color w:val="auto"/>
          <w:highlight w:val="none"/>
        </w:rPr>
        <w:t>评委对中标候选人报价总表和明细表进行审核，应审核供应商投标报价是否前后一致、大小写金额是否一致、总价金额与单价汇总金额是否一致。对过高过低报价的并作为中标候选人的，应重点审核报价明细表</w:t>
      </w:r>
      <w:r>
        <w:rPr>
          <w:rFonts w:hint="eastAsia" w:ascii="Times New Roman"/>
          <w:bCs/>
          <w:color w:val="auto"/>
          <w:highlight w:val="none"/>
        </w:rPr>
        <w:t>是</w:t>
      </w:r>
      <w:r>
        <w:rPr>
          <w:rFonts w:ascii="Times New Roman"/>
          <w:bCs/>
          <w:color w:val="auto"/>
          <w:highlight w:val="none"/>
        </w:rPr>
        <w:t>否</w:t>
      </w:r>
      <w:r>
        <w:rPr>
          <w:rFonts w:hint="eastAsia" w:ascii="Times New Roman"/>
          <w:bCs/>
          <w:color w:val="auto"/>
          <w:highlight w:val="none"/>
        </w:rPr>
        <w:t>有</w:t>
      </w:r>
      <w:r>
        <w:rPr>
          <w:rFonts w:ascii="Times New Roman"/>
          <w:bCs/>
          <w:color w:val="auto"/>
          <w:highlight w:val="none"/>
        </w:rPr>
        <w:t>重大重复报价或漏项报价等情况，一经发现，现场请中标候选人予以澄清，明显过错或不能澄清的，经超半数以上评委认定，有权取消供应商中标候选人资格。</w:t>
      </w:r>
    </w:p>
    <w:p w14:paraId="44D645E6">
      <w:pPr>
        <w:shd w:val="clear" w:color="auto" w:fill="auto"/>
        <w:adjustRightInd w:val="0"/>
        <w:snapToGrid w:val="0"/>
        <w:spacing w:line="500" w:lineRule="exact"/>
        <w:ind w:firstLine="570"/>
        <w:rPr>
          <w:rFonts w:ascii="Times New Roman"/>
          <w:color w:val="auto"/>
          <w:szCs w:val="24"/>
          <w:highlight w:val="none"/>
        </w:rPr>
      </w:pPr>
      <w:r>
        <w:rPr>
          <w:rFonts w:ascii="Times New Roman"/>
          <w:color w:val="auto"/>
          <w:szCs w:val="24"/>
          <w:highlight w:val="none"/>
        </w:rPr>
        <w:t>评委会汇总各评委评分后，按照得分从高到低的顺序推荐三名中标候选人，并编写评标报告。</w:t>
      </w:r>
    </w:p>
    <w:p w14:paraId="72F53C81">
      <w:pPr>
        <w:shd w:val="clear" w:color="auto" w:fill="auto"/>
        <w:adjustRightInd w:val="0"/>
        <w:snapToGrid w:val="0"/>
        <w:spacing w:line="500" w:lineRule="exact"/>
        <w:ind w:firstLine="570"/>
        <w:rPr>
          <w:rFonts w:ascii="Times New Roman"/>
          <w:bCs/>
          <w:color w:val="auto"/>
          <w:szCs w:val="24"/>
          <w:highlight w:val="none"/>
        </w:rPr>
      </w:pPr>
      <w:r>
        <w:rPr>
          <w:rFonts w:ascii="Times New Roman"/>
          <w:b/>
          <w:color w:val="auto"/>
          <w:szCs w:val="24"/>
          <w:highlight w:val="none"/>
        </w:rPr>
        <w:t>采购人委托评委会</w:t>
      </w:r>
      <w:r>
        <w:rPr>
          <w:rFonts w:ascii="Times New Roman"/>
          <w:bCs/>
          <w:color w:val="auto"/>
          <w:szCs w:val="24"/>
          <w:highlight w:val="none"/>
        </w:rPr>
        <w:t>在评标报告确定的中标候选人名单中按顺序确定中标人。中标候选人并列的，由采购人或者采购人委托评标委员会按照现场抽签方式确定中标人。</w:t>
      </w:r>
    </w:p>
    <w:p w14:paraId="6B4E51C3">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（七）采购代理机构宣布评标结果。</w:t>
      </w:r>
    </w:p>
    <w:p w14:paraId="2249F17D">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（八）公告中标结果</w:t>
      </w:r>
    </w:p>
    <w:p w14:paraId="0F0F95FD">
      <w:pPr>
        <w:shd w:val="clear" w:color="auto" w:fill="auto"/>
        <w:snapToGrid w:val="0"/>
        <w:spacing w:line="480" w:lineRule="exact"/>
        <w:ind w:firstLine="570"/>
        <w:rPr>
          <w:rFonts w:ascii="Times New Roman"/>
          <w:b/>
          <w:color w:val="auto"/>
          <w:szCs w:val="24"/>
          <w:highlight w:val="none"/>
        </w:rPr>
      </w:pPr>
      <w:r>
        <w:rPr>
          <w:rFonts w:ascii="Times New Roman"/>
          <w:color w:val="auto"/>
          <w:szCs w:val="24"/>
          <w:highlight w:val="none"/>
        </w:rPr>
        <w:t>自确定中标人之日起2个工作日内，在</w:t>
      </w:r>
      <w:r>
        <w:rPr>
          <w:rFonts w:ascii="Times New Roman"/>
          <w:bCs/>
          <w:color w:val="auto"/>
          <w:highlight w:val="none"/>
        </w:rPr>
        <w:t>南通市</w:t>
      </w:r>
      <w:r>
        <w:rPr>
          <w:rFonts w:hint="eastAsia" w:ascii="Times New Roman"/>
          <w:bCs/>
          <w:color w:val="auto"/>
          <w:highlight w:val="none"/>
          <w:lang w:eastAsia="zh-CN"/>
        </w:rPr>
        <w:t>南通市交通运输局</w:t>
      </w:r>
      <w:r>
        <w:rPr>
          <w:rFonts w:hint="eastAsia" w:ascii="Times New Roman"/>
          <w:bCs/>
          <w:color w:val="auto"/>
          <w:highlight w:val="none"/>
          <w:lang w:val="en-US" w:eastAsia="zh-CN"/>
        </w:rPr>
        <w:t>-公告公示栏</w:t>
      </w:r>
      <w:r>
        <w:rPr>
          <w:rFonts w:ascii="Times New Roman"/>
          <w:color w:val="auto"/>
          <w:szCs w:val="24"/>
          <w:highlight w:val="none"/>
        </w:rPr>
        <w:t>中标结果，公告期限为1个工作日。</w:t>
      </w:r>
    </w:p>
    <w:p w14:paraId="73011550">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（九）发放中标通知书</w:t>
      </w:r>
    </w:p>
    <w:p w14:paraId="43F83CF3">
      <w:pPr>
        <w:shd w:val="clear" w:color="auto" w:fill="auto"/>
        <w:snapToGrid w:val="0"/>
        <w:spacing w:line="480" w:lineRule="exact"/>
        <w:ind w:firstLine="480" w:firstLineChars="200"/>
        <w:contextualSpacing/>
        <w:rPr>
          <w:rFonts w:ascii="Times New Roman"/>
          <w:color w:val="auto"/>
          <w:szCs w:val="24"/>
          <w:highlight w:val="none"/>
          <w:u w:val="single"/>
        </w:rPr>
      </w:pPr>
      <w:r>
        <w:rPr>
          <w:rFonts w:ascii="Times New Roman"/>
          <w:color w:val="auto"/>
          <w:szCs w:val="24"/>
          <w:highlight w:val="none"/>
        </w:rPr>
        <w:t>中标通知书发放条件和途径：</w:t>
      </w:r>
      <w:r>
        <w:rPr>
          <w:rFonts w:hint="eastAsia" w:ascii="Times New Roman"/>
          <w:color w:val="auto"/>
          <w:szCs w:val="24"/>
          <w:highlight w:val="none"/>
        </w:rPr>
        <w:t>发布</w:t>
      </w:r>
      <w:r>
        <w:rPr>
          <w:rFonts w:ascii="Times New Roman"/>
          <w:color w:val="auto"/>
          <w:szCs w:val="24"/>
          <w:highlight w:val="none"/>
        </w:rPr>
        <w:t>中标结果公告</w:t>
      </w:r>
      <w:r>
        <w:rPr>
          <w:rFonts w:hint="eastAsia" w:ascii="Times New Roman"/>
          <w:color w:val="auto"/>
          <w:szCs w:val="24"/>
          <w:highlight w:val="none"/>
        </w:rPr>
        <w:t>的同时，采购人或者采购代理机构应当向中标人发放中标通知书。</w:t>
      </w:r>
      <w:r>
        <w:rPr>
          <w:rFonts w:ascii="Times New Roman"/>
          <w:color w:val="auto"/>
          <w:szCs w:val="24"/>
          <w:highlight w:val="none"/>
        </w:rPr>
        <w:t>领取地址：</w:t>
      </w:r>
      <w:r>
        <w:rPr>
          <w:rFonts w:hint="eastAsia" w:ascii="Times New Roman"/>
          <w:color w:val="auto"/>
          <w:szCs w:val="24"/>
          <w:highlight w:val="none"/>
          <w:u w:val="single"/>
        </w:rPr>
        <w:t>南通市崇川区崇川路58号产业技术研究院9幢601室</w:t>
      </w:r>
      <w:r>
        <w:rPr>
          <w:rFonts w:ascii="Times New Roman"/>
          <w:color w:val="auto"/>
          <w:szCs w:val="24"/>
          <w:highlight w:val="none"/>
          <w:u w:val="single"/>
        </w:rPr>
        <w:t>，</w:t>
      </w:r>
      <w:r>
        <w:rPr>
          <w:rFonts w:ascii="Times New Roman"/>
          <w:color w:val="auto"/>
          <w:szCs w:val="24"/>
          <w:highlight w:val="none"/>
        </w:rPr>
        <w:t>电话：</w:t>
      </w:r>
      <w:r>
        <w:rPr>
          <w:rFonts w:ascii="Times New Roman"/>
          <w:color w:val="auto"/>
          <w:szCs w:val="24"/>
          <w:highlight w:val="none"/>
          <w:u w:val="single"/>
        </w:rPr>
        <w:t xml:space="preserve"> </w:t>
      </w:r>
      <w:r>
        <w:rPr>
          <w:rFonts w:hint="eastAsia" w:ascii="Times New Roman"/>
          <w:color w:val="auto"/>
          <w:szCs w:val="24"/>
          <w:highlight w:val="none"/>
          <w:u w:val="single"/>
          <w:lang w:val="en-US" w:eastAsia="zh-CN"/>
        </w:rPr>
        <w:t>13862995261</w:t>
      </w:r>
      <w:r>
        <w:rPr>
          <w:rFonts w:ascii="Times New Roman"/>
          <w:color w:val="auto"/>
          <w:szCs w:val="24"/>
          <w:highlight w:val="none"/>
          <w:u w:val="single"/>
        </w:rPr>
        <w:t xml:space="preserve"> 。</w:t>
      </w:r>
    </w:p>
    <w:p w14:paraId="01F3752A">
      <w:pPr>
        <w:shd w:val="clear" w:color="auto" w:fill="auto"/>
        <w:snapToGrid w:val="0"/>
        <w:spacing w:line="480" w:lineRule="exact"/>
        <w:ind w:firstLine="480" w:firstLineChars="200"/>
        <w:rPr>
          <w:rFonts w:ascii="Times New Roman"/>
          <w:color w:val="auto"/>
          <w:szCs w:val="24"/>
          <w:highlight w:val="none"/>
        </w:rPr>
      </w:pPr>
      <w:r>
        <w:rPr>
          <w:rFonts w:ascii="Times New Roman"/>
          <w:color w:val="auto"/>
          <w:szCs w:val="24"/>
          <w:highlight w:val="none"/>
        </w:rPr>
        <w:t>中标通知书对采购人和中标供应商均具有法律效力。中标通知书发出后，采购人改变中标结果的，或者中标供应商放弃中标项目的，应当依法承担法律责任。</w:t>
      </w:r>
    </w:p>
    <w:p w14:paraId="425F9E7B">
      <w:pPr>
        <w:shd w:val="clear" w:color="auto" w:fill="auto"/>
        <w:snapToGrid w:val="0"/>
        <w:spacing w:line="480" w:lineRule="exact"/>
        <w:ind w:firstLine="477" w:firstLineChars="198"/>
        <w:rPr>
          <w:rFonts w:ascii="Times New Roman"/>
          <w:b/>
          <w:color w:val="auto"/>
          <w:highlight w:val="none"/>
        </w:rPr>
      </w:pPr>
      <w:r>
        <w:rPr>
          <w:rFonts w:ascii="Times New Roman"/>
          <w:b/>
          <w:color w:val="auto"/>
          <w:highlight w:val="none"/>
        </w:rPr>
        <w:t>八、其他注意事项</w:t>
      </w:r>
    </w:p>
    <w:p w14:paraId="708E3F29">
      <w:pPr>
        <w:shd w:val="clear" w:color="auto" w:fill="auto"/>
        <w:snapToGrid w:val="0"/>
        <w:spacing w:line="480" w:lineRule="exact"/>
        <w:ind w:firstLine="570"/>
        <w:rPr>
          <w:rFonts w:ascii="Times New Roman"/>
          <w:color w:val="auto"/>
          <w:highlight w:val="none"/>
        </w:rPr>
      </w:pPr>
      <w:r>
        <w:rPr>
          <w:rFonts w:ascii="Times New Roman"/>
          <w:color w:val="auto"/>
          <w:highlight w:val="none"/>
        </w:rPr>
        <w:t>1、在投标、开标时间，投标人不得向评委询问情况，不得进行旨在影响评标结果的活动。</w:t>
      </w:r>
    </w:p>
    <w:p w14:paraId="2E5DAE7A">
      <w:pPr>
        <w:shd w:val="clear" w:color="auto" w:fill="auto"/>
        <w:snapToGrid w:val="0"/>
        <w:spacing w:line="480" w:lineRule="exact"/>
        <w:ind w:firstLine="570"/>
        <w:rPr>
          <w:rFonts w:ascii="Times New Roman"/>
          <w:color w:val="auto"/>
          <w:highlight w:val="none"/>
        </w:rPr>
      </w:pPr>
      <w:r>
        <w:rPr>
          <w:rFonts w:ascii="Times New Roman"/>
          <w:color w:val="auto"/>
          <w:highlight w:val="none"/>
        </w:rPr>
        <w:t>2、评委会不得向投标人解释落标原因。</w:t>
      </w:r>
    </w:p>
    <w:p w14:paraId="5489EFE7">
      <w:pPr>
        <w:shd w:val="clear" w:color="auto" w:fill="auto"/>
        <w:snapToGrid w:val="0"/>
        <w:spacing w:line="480" w:lineRule="exact"/>
        <w:ind w:firstLine="570"/>
        <w:rPr>
          <w:rFonts w:ascii="Times New Roman"/>
          <w:color w:val="auto"/>
          <w:highlight w:val="none"/>
        </w:rPr>
      </w:pPr>
      <w:r>
        <w:rPr>
          <w:rFonts w:ascii="Times New Roman"/>
          <w:color w:val="auto"/>
          <w:highlight w:val="none"/>
        </w:rPr>
        <w:t>3、在投标、评标过程中，如果投标人联合故意抬高报价或出现其他不正当行为，采购人有权中止投标或评标。</w:t>
      </w:r>
    </w:p>
    <w:p w14:paraId="32AC73FA">
      <w:pPr>
        <w:shd w:val="clear" w:color="auto" w:fill="auto"/>
        <w:snapToGrid w:val="0"/>
        <w:spacing w:line="480" w:lineRule="exact"/>
        <w:ind w:firstLine="570"/>
        <w:rPr>
          <w:rFonts w:ascii="Times New Roman"/>
          <w:color w:val="auto"/>
          <w:highlight w:val="none"/>
        </w:rPr>
      </w:pPr>
      <w:r>
        <w:rPr>
          <w:rFonts w:ascii="Times New Roman"/>
          <w:color w:val="auto"/>
          <w:highlight w:val="none"/>
        </w:rPr>
        <w:t>4、凡在投标、开标过程中，已提示是否异议的事项，投标人当时没有提出异议的，事后不得针对上述事项提出质疑。</w:t>
      </w:r>
    </w:p>
    <w:p w14:paraId="7606C932">
      <w:pPr>
        <w:shd w:val="clear" w:color="auto" w:fill="auto"/>
        <w:adjustRightInd w:val="0"/>
        <w:snapToGrid w:val="0"/>
        <w:spacing w:line="500" w:lineRule="exact"/>
        <w:ind w:firstLine="477" w:firstLineChars="198"/>
        <w:rPr>
          <w:rFonts w:ascii="Times New Roman"/>
          <w:b/>
          <w:color w:val="auto"/>
          <w:szCs w:val="24"/>
          <w:highlight w:val="none"/>
        </w:rPr>
        <w:sectPr>
          <w:footerReference r:id="rId3" w:type="default"/>
          <w:pgSz w:w="11906" w:h="16838"/>
          <w:pgMar w:top="1418" w:right="1474" w:bottom="1418" w:left="1474" w:header="851" w:footer="907" w:gutter="0"/>
          <w:cols w:space="720" w:num="1"/>
          <w:docGrid w:type="lines" w:linePitch="326" w:charSpace="0"/>
        </w:sectPr>
      </w:pPr>
    </w:p>
    <w:p w14:paraId="638D741A">
      <w:pPr>
        <w:shd w:val="clear" w:color="auto" w:fill="auto"/>
        <w:snapToGrid w:val="0"/>
        <w:spacing w:line="300" w:lineRule="auto"/>
        <w:jc w:val="center"/>
        <w:outlineLvl w:val="0"/>
        <w:rPr>
          <w:rFonts w:ascii="Times New Roman"/>
          <w:b/>
          <w:color w:val="auto"/>
          <w:sz w:val="36"/>
          <w:szCs w:val="36"/>
          <w:highlight w:val="none"/>
        </w:rPr>
      </w:pPr>
      <w:r>
        <w:rPr>
          <w:rFonts w:ascii="Times New Roman"/>
          <w:b/>
          <w:color w:val="auto"/>
          <w:sz w:val="36"/>
          <w:szCs w:val="36"/>
          <w:highlight w:val="none"/>
        </w:rPr>
        <w:t>第五部分  合同签订与验收付款</w:t>
      </w:r>
    </w:p>
    <w:p w14:paraId="1044ED37">
      <w:pPr>
        <w:shd w:val="clear" w:color="auto" w:fill="auto"/>
        <w:snapToGrid w:val="0"/>
        <w:spacing w:line="300" w:lineRule="auto"/>
        <w:jc w:val="center"/>
        <w:rPr>
          <w:rFonts w:ascii="Times New Roman"/>
          <w:color w:val="auto"/>
          <w:sz w:val="28"/>
          <w:szCs w:val="28"/>
          <w:highlight w:val="none"/>
        </w:rPr>
      </w:pPr>
    </w:p>
    <w:p w14:paraId="0D522FA4">
      <w:pPr>
        <w:shd w:val="clear" w:color="auto" w:fill="auto"/>
        <w:snapToGrid w:val="0"/>
        <w:spacing w:line="480" w:lineRule="exact"/>
        <w:ind w:firstLine="482" w:firstLineChars="200"/>
        <w:contextualSpacing/>
        <w:rPr>
          <w:rFonts w:ascii="Times New Roman"/>
          <w:color w:val="auto"/>
          <w:highlight w:val="none"/>
        </w:rPr>
      </w:pPr>
      <w:r>
        <w:rPr>
          <w:rFonts w:ascii="Times New Roman"/>
          <w:b/>
          <w:color w:val="auto"/>
          <w:highlight w:val="none"/>
        </w:rPr>
        <w:t>一</w:t>
      </w:r>
      <w:r>
        <w:rPr>
          <w:rFonts w:ascii="Times New Roman"/>
          <w:color w:val="auto"/>
          <w:highlight w:val="none"/>
        </w:rPr>
        <w:t>、</w:t>
      </w:r>
      <w:r>
        <w:rPr>
          <w:rFonts w:ascii="Times New Roman"/>
          <w:b/>
          <w:bCs/>
          <w:color w:val="auto"/>
          <w:highlight w:val="none"/>
        </w:rPr>
        <w:t>中标供应商和采购人需在《中标通知书》发出之日起15日内签订合同。</w:t>
      </w:r>
      <w:r>
        <w:rPr>
          <w:rFonts w:ascii="Times New Roman"/>
          <w:color w:val="auto"/>
          <w:highlight w:val="none"/>
        </w:rPr>
        <w:t>合同签订后中标供应商方可履约，否则引起的一切后果由中标供应商自行承担。</w:t>
      </w:r>
      <w:r>
        <w:rPr>
          <w:rFonts w:ascii="Times New Roman"/>
          <w:bCs/>
          <w:color w:val="auto"/>
          <w:highlight w:val="none"/>
        </w:rPr>
        <w:t>纸质合同一式</w:t>
      </w:r>
      <w:r>
        <w:rPr>
          <w:rFonts w:ascii="Times New Roman"/>
          <w:bCs/>
          <w:color w:val="auto"/>
          <w:highlight w:val="none"/>
          <w:u w:val="single"/>
        </w:rPr>
        <w:t xml:space="preserve"> </w:t>
      </w:r>
      <w:r>
        <w:rPr>
          <w:rFonts w:hint="eastAsia" w:ascii="Times New Roman"/>
          <w:bCs/>
          <w:color w:val="auto"/>
          <w:highlight w:val="none"/>
          <w:u w:val="single"/>
          <w:lang w:val="en-US" w:eastAsia="zh-CN"/>
        </w:rPr>
        <w:t>陆</w:t>
      </w:r>
      <w:r>
        <w:rPr>
          <w:rFonts w:ascii="Times New Roman"/>
          <w:bCs/>
          <w:color w:val="auto"/>
          <w:highlight w:val="none"/>
          <w:u w:val="single"/>
        </w:rPr>
        <w:t xml:space="preserve"> </w:t>
      </w:r>
      <w:r>
        <w:rPr>
          <w:rFonts w:ascii="Times New Roman"/>
          <w:bCs/>
          <w:color w:val="auto"/>
          <w:highlight w:val="none"/>
        </w:rPr>
        <w:t>份，采购人、供应商各</w:t>
      </w:r>
      <w:r>
        <w:rPr>
          <w:rFonts w:ascii="Times New Roman"/>
          <w:bCs/>
          <w:color w:val="auto"/>
          <w:highlight w:val="none"/>
          <w:u w:val="single"/>
        </w:rPr>
        <w:t xml:space="preserve">  </w:t>
      </w:r>
      <w:r>
        <w:rPr>
          <w:rFonts w:hint="eastAsia" w:ascii="Times New Roman"/>
          <w:bCs/>
          <w:color w:val="auto"/>
          <w:highlight w:val="none"/>
          <w:u w:val="single"/>
        </w:rPr>
        <w:t xml:space="preserve">叁 </w:t>
      </w:r>
      <w:r>
        <w:rPr>
          <w:rFonts w:ascii="Times New Roman"/>
          <w:bCs/>
          <w:color w:val="auto"/>
          <w:highlight w:val="none"/>
        </w:rPr>
        <w:t>份；</w:t>
      </w:r>
      <w:r>
        <w:rPr>
          <w:rFonts w:ascii="Times New Roman"/>
          <w:b/>
          <w:bCs/>
          <w:color w:val="auto"/>
          <w:highlight w:val="none"/>
        </w:rPr>
        <w:t>同时，采购合同需在合同签订之日起2个工作日内进行合同公告。</w:t>
      </w:r>
      <w:r>
        <w:rPr>
          <w:rFonts w:ascii="Times New Roman"/>
          <w:color w:val="auto"/>
          <w:highlight w:val="none"/>
          <w:lang w:val="zh-CN"/>
        </w:rPr>
        <w:t>所签合同不得对采购文件作实质性修改</w:t>
      </w:r>
      <w:r>
        <w:rPr>
          <w:rFonts w:ascii="Times New Roman"/>
          <w:color w:val="auto"/>
          <w:highlight w:val="none"/>
        </w:rPr>
        <w:t>。采购人不得向中标供应商提出不合理的要求作为签订合同的条件，不得与中标供应商私下订立背离采购文件实质性内容的协议。</w:t>
      </w:r>
    </w:p>
    <w:p w14:paraId="1F1EA21D">
      <w:pPr>
        <w:shd w:val="clear" w:color="auto" w:fill="auto"/>
        <w:snapToGrid w:val="0"/>
        <w:spacing w:line="480" w:lineRule="exact"/>
        <w:ind w:firstLine="472" w:firstLineChars="196"/>
        <w:contextualSpacing/>
        <w:rPr>
          <w:rFonts w:ascii="Times New Roman"/>
          <w:color w:val="auto"/>
          <w:highlight w:val="none"/>
        </w:rPr>
      </w:pPr>
      <w:r>
        <w:rPr>
          <w:rFonts w:ascii="Times New Roman"/>
          <w:b/>
          <w:color w:val="auto"/>
          <w:highlight w:val="none"/>
        </w:rPr>
        <w:t>二</w:t>
      </w:r>
      <w:r>
        <w:rPr>
          <w:rFonts w:ascii="Times New Roman"/>
          <w:color w:val="auto"/>
          <w:highlight w:val="none"/>
        </w:rPr>
        <w:t>、</w:t>
      </w:r>
      <w:bookmarkStart w:id="4" w:name="OLE_LINK1"/>
      <w:bookmarkStart w:id="5" w:name="OLE_LINK2"/>
      <w:r>
        <w:rPr>
          <w:rFonts w:ascii="Times New Roman"/>
          <w:color w:val="auto"/>
          <w:highlight w:val="none"/>
        </w:rPr>
        <w:t>采购人按合同约定积极配合中标供应商履约，中标供应商履约到位后，</w:t>
      </w:r>
      <w:r>
        <w:rPr>
          <w:rFonts w:hint="eastAsia" w:ascii="Times New Roman"/>
          <w:color w:val="auto"/>
          <w:highlight w:val="none"/>
          <w:lang w:val="en-US" w:eastAsia="zh-CN"/>
        </w:rPr>
        <w:t>由</w:t>
      </w:r>
      <w:r>
        <w:rPr>
          <w:rFonts w:ascii="Times New Roman"/>
          <w:color w:val="auto"/>
          <w:highlight w:val="none"/>
        </w:rPr>
        <w:t>采购人组织验收，并出具验收报告，验收合格的支付相应款项。</w:t>
      </w:r>
    </w:p>
    <w:p w14:paraId="09F30E6A">
      <w:pPr>
        <w:shd w:val="clear" w:color="auto" w:fill="auto"/>
        <w:snapToGrid w:val="0"/>
        <w:spacing w:line="480" w:lineRule="exact"/>
        <w:ind w:firstLine="480" w:firstLineChars="200"/>
        <w:contextualSpacing/>
        <w:rPr>
          <w:rFonts w:ascii="Times New Roman"/>
          <w:color w:val="auto"/>
          <w:highlight w:val="none"/>
        </w:rPr>
      </w:pPr>
      <w:r>
        <w:rPr>
          <w:rFonts w:ascii="Times New Roman"/>
          <w:color w:val="auto"/>
          <w:highlight w:val="none"/>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1879855D">
      <w:pPr>
        <w:shd w:val="clear" w:color="auto" w:fill="auto"/>
        <w:snapToGrid w:val="0"/>
        <w:spacing w:line="480" w:lineRule="exact"/>
        <w:ind w:firstLine="480" w:firstLineChars="200"/>
        <w:contextualSpacing/>
        <w:rPr>
          <w:rFonts w:ascii="Times New Roman"/>
          <w:color w:val="auto"/>
          <w:highlight w:val="none"/>
        </w:rPr>
      </w:pPr>
      <w:r>
        <w:rPr>
          <w:rFonts w:ascii="Times New Roman"/>
          <w:color w:val="auto"/>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21833391">
      <w:pPr>
        <w:pStyle w:val="3"/>
        <w:shd w:val="clear" w:color="auto" w:fill="auto"/>
        <w:kinsoku w:val="0"/>
        <w:topLinePunct/>
        <w:autoSpaceDE w:val="0"/>
        <w:autoSpaceDN w:val="0"/>
        <w:snapToGrid w:val="0"/>
        <w:spacing w:line="480" w:lineRule="exact"/>
        <w:ind w:right="210" w:firstLine="513" w:firstLineChars="214"/>
        <w:contextualSpacing/>
        <w:rPr>
          <w:color w:val="auto"/>
          <w:sz w:val="24"/>
          <w:highlight w:val="none"/>
        </w:rPr>
      </w:pPr>
      <w:r>
        <w:rPr>
          <w:color w:val="auto"/>
          <w:sz w:val="24"/>
          <w:szCs w:val="24"/>
          <w:highlight w:val="none"/>
          <w:lang w:val="zh-CN"/>
        </w:rPr>
        <w:t>五、</w:t>
      </w:r>
      <w:r>
        <w:rPr>
          <w:b/>
          <w:color w:val="auto"/>
          <w:sz w:val="24"/>
          <w:szCs w:val="24"/>
          <w:highlight w:val="none"/>
        </w:rPr>
        <w:t>不响应付款方式的，视同无效投标处理。</w:t>
      </w:r>
      <w:r>
        <w:rPr>
          <w:b/>
          <w:color w:val="auto"/>
          <w:sz w:val="24"/>
          <w:highlight w:val="none"/>
        </w:rPr>
        <w:t>实际付款方式以最终签订采购合同为准。</w:t>
      </w:r>
    </w:p>
    <w:p w14:paraId="16B75405">
      <w:pPr>
        <w:pStyle w:val="3"/>
        <w:shd w:val="clear" w:color="auto" w:fill="auto"/>
        <w:kinsoku w:val="0"/>
        <w:topLinePunct/>
        <w:autoSpaceDE w:val="0"/>
        <w:autoSpaceDN w:val="0"/>
        <w:snapToGrid w:val="0"/>
        <w:spacing w:line="480" w:lineRule="exact"/>
        <w:ind w:right="210" w:firstLine="480" w:firstLineChars="200"/>
        <w:contextualSpacing/>
        <w:rPr>
          <w:color w:val="auto"/>
          <w:sz w:val="28"/>
          <w:szCs w:val="28"/>
          <w:highlight w:val="none"/>
        </w:rPr>
      </w:pPr>
      <w:r>
        <w:rPr>
          <w:color w:val="auto"/>
          <w:sz w:val="24"/>
          <w:szCs w:val="24"/>
          <w:highlight w:val="none"/>
        </w:rPr>
        <w:t>款项由采购人按相关财务支付规定办理支付手续。不得故意拖延支付时间</w:t>
      </w:r>
      <w:bookmarkEnd w:id="4"/>
      <w:bookmarkEnd w:id="5"/>
      <w:r>
        <w:rPr>
          <w:color w:val="auto"/>
          <w:sz w:val="24"/>
          <w:szCs w:val="24"/>
          <w:highlight w:val="none"/>
        </w:rPr>
        <w:t>。</w:t>
      </w:r>
    </w:p>
    <w:p w14:paraId="7E673E25">
      <w:pPr>
        <w:numPr>
          <w:ilvl w:val="0"/>
          <w:numId w:val="6"/>
        </w:numPr>
        <w:shd w:val="clear" w:color="auto" w:fill="auto"/>
        <w:kinsoku w:val="0"/>
        <w:topLinePunct/>
        <w:autoSpaceDE w:val="0"/>
        <w:autoSpaceDN w:val="0"/>
        <w:snapToGrid w:val="0"/>
        <w:spacing w:line="480" w:lineRule="exact"/>
        <w:ind w:right="210" w:firstLine="513" w:firstLineChars="214"/>
        <w:contextualSpacing/>
        <w:rPr>
          <w:rFonts w:ascii="Times New Roman"/>
          <w:color w:val="auto"/>
          <w:highlight w:val="none"/>
        </w:rPr>
      </w:pPr>
      <w:r>
        <w:rPr>
          <w:rFonts w:ascii="Times New Roman"/>
          <w:color w:val="auto"/>
          <w:highlight w:val="none"/>
        </w:rPr>
        <w:t>合同主要条款</w:t>
      </w:r>
    </w:p>
    <w:p w14:paraId="5CE0A25B">
      <w:pPr>
        <w:shd w:val="clear" w:color="auto" w:fill="auto"/>
        <w:kinsoku w:val="0"/>
        <w:topLinePunct/>
        <w:autoSpaceDE w:val="0"/>
        <w:autoSpaceDN w:val="0"/>
        <w:snapToGrid w:val="0"/>
        <w:spacing w:line="480" w:lineRule="exact"/>
        <w:ind w:right="210" w:firstLine="599" w:firstLineChars="214"/>
        <w:contextualSpacing/>
        <w:rPr>
          <w:rFonts w:ascii="Times New Roman" w:eastAsia="仿宋_GB2312"/>
          <w:color w:val="auto"/>
          <w:sz w:val="28"/>
          <w:szCs w:val="28"/>
          <w:highlight w:val="none"/>
          <w:lang w:val="zh-CN"/>
        </w:rPr>
      </w:pPr>
    </w:p>
    <w:p w14:paraId="282BC99D">
      <w:pPr>
        <w:shd w:val="clear" w:color="auto" w:fill="auto"/>
        <w:tabs>
          <w:tab w:val="left" w:pos="1050"/>
          <w:tab w:val="right" w:leader="dot" w:pos="9402"/>
        </w:tabs>
        <w:snapToGrid/>
        <w:spacing w:before="312" w:beforeLines="100" w:line="520" w:lineRule="exact"/>
        <w:jc w:val="center"/>
        <w:outlineLvl w:val="9"/>
        <w:rPr>
          <w:rFonts w:ascii="Times New Roman"/>
          <w:b/>
          <w:bCs/>
          <w:color w:val="auto"/>
          <w:w w:val="80"/>
          <w:sz w:val="36"/>
          <w:szCs w:val="36"/>
          <w:highlight w:val="none"/>
        </w:rPr>
      </w:pPr>
      <w:r>
        <w:rPr>
          <w:rFonts w:ascii="Times New Roman"/>
          <w:b/>
          <w:bCs/>
          <w:color w:val="auto"/>
          <w:w w:val="80"/>
          <w:sz w:val="36"/>
          <w:szCs w:val="36"/>
          <w:highlight w:val="none"/>
        </w:rPr>
        <w:br w:type="page"/>
      </w:r>
      <w:r>
        <w:rPr>
          <w:rFonts w:ascii="Times New Roman"/>
          <w:b/>
          <w:bCs/>
          <w:color w:val="auto"/>
          <w:w w:val="80"/>
          <w:sz w:val="36"/>
          <w:szCs w:val="36"/>
          <w:highlight w:val="none"/>
        </w:rPr>
        <w:t>采购项目合同书</w:t>
      </w:r>
    </w:p>
    <w:p w14:paraId="6BDC2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以下为中标后签定本项目合同的通用条款，中标人不得提出实质性的修改，关于专用条 款将由采购人与中标人结合本项目具体情况协商后签订。 </w:t>
      </w:r>
    </w:p>
    <w:p w14:paraId="55670A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000000"/>
          <w:sz w:val="24"/>
          <w:szCs w:val="24"/>
          <w:u w:val="single"/>
          <w:lang w:val="en-US" w:eastAsia="zh-CN"/>
        </w:rPr>
      </w:pPr>
      <w:r>
        <w:rPr>
          <w:rFonts w:hint="eastAsia" w:ascii="宋体" w:hAnsi="宋体" w:eastAsia="宋体" w:cs="宋体"/>
          <w:b w:val="0"/>
          <w:bCs w:val="0"/>
          <w:color w:val="000000"/>
          <w:sz w:val="24"/>
          <w:szCs w:val="24"/>
        </w:rPr>
        <w:t>项目名称：</w:t>
      </w:r>
      <w:r>
        <w:rPr>
          <w:rFonts w:hint="eastAsia" w:ascii="宋体" w:hAnsi="宋体" w:eastAsia="宋体" w:cs="宋体"/>
          <w:b w:val="0"/>
          <w:bCs w:val="0"/>
          <w:color w:val="000000"/>
          <w:sz w:val="24"/>
          <w:szCs w:val="24"/>
          <w:u w:val="single"/>
          <w:lang w:val="en-US" w:eastAsia="zh-CN"/>
        </w:rPr>
        <w:t xml:space="preserve">                               </w:t>
      </w:r>
    </w:p>
    <w:p w14:paraId="33DDF0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项目编号：</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 xml:space="preserve"> </w:t>
      </w:r>
    </w:p>
    <w:p w14:paraId="696A82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 方：</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 xml:space="preserve">（采购人） </w:t>
      </w:r>
    </w:p>
    <w:p w14:paraId="28E68C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 方：</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 xml:space="preserve">（供应商） </w:t>
      </w:r>
    </w:p>
    <w:p w14:paraId="1A5D01B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乙双方根据 项目公开招标的结果，签署本合同。 </w:t>
      </w:r>
    </w:p>
    <w:p w14:paraId="5052EC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b w:val="0"/>
          <w:bCs w:val="0"/>
          <w:color w:val="000000"/>
          <w:sz w:val="24"/>
          <w:szCs w:val="24"/>
          <w:highlight w:val="none"/>
        </w:rPr>
        <w:t>一、项目名称：</w:t>
      </w:r>
      <w:r>
        <w:rPr>
          <w:rFonts w:hint="eastAsia" w:ascii="宋体" w:hAnsi="宋体"/>
          <w:sz w:val="24"/>
          <w:highlight w:val="none"/>
          <w:lang w:val="en-US" w:eastAsia="zh-CN"/>
        </w:rPr>
        <w:t>南通市区出租汽车运力规模评估研究</w:t>
      </w:r>
      <w:r>
        <w:rPr>
          <w:rFonts w:hint="default" w:ascii="Times New Roman" w:hAnsi="Times New Roman" w:eastAsia="宋体" w:cs="Times New Roman"/>
          <w:b w:val="0"/>
          <w:bCs w:val="0"/>
          <w:color w:val="000000"/>
          <w:sz w:val="21"/>
          <w:szCs w:val="21"/>
          <w:highlight w:val="none"/>
        </w:rPr>
        <w:t xml:space="preserve"> </w:t>
      </w:r>
    </w:p>
    <w:p w14:paraId="5CFD15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二、服务期</w:t>
      </w:r>
      <w:r>
        <w:rPr>
          <w:rFonts w:hint="eastAsia" w:ascii="宋体" w:hAnsi="宋体" w:eastAsia="宋体" w:cs="Times New Roman"/>
          <w:b w:val="0"/>
          <w:bCs w:val="0"/>
          <w:sz w:val="24"/>
          <w:szCs w:val="28"/>
          <w:highlight w:val="none"/>
          <w:u w:val="single"/>
        </w:rPr>
        <w:t>自合同签订之日</w:t>
      </w:r>
      <w:r>
        <w:rPr>
          <w:rFonts w:hint="eastAsia" w:ascii="宋体" w:hAnsi="宋体" w:cs="Times New Roman"/>
          <w:b w:val="0"/>
          <w:bCs w:val="0"/>
          <w:sz w:val="24"/>
          <w:szCs w:val="28"/>
          <w:highlight w:val="none"/>
          <w:u w:val="single"/>
          <w:lang w:eastAsia="zh-CN"/>
        </w:rPr>
        <w:t>起</w:t>
      </w:r>
      <w:r>
        <w:rPr>
          <w:rFonts w:hint="eastAsia" w:ascii="宋体" w:hAnsi="宋体" w:cs="Times New Roman"/>
          <w:b w:val="0"/>
          <w:bCs w:val="0"/>
          <w:sz w:val="24"/>
          <w:szCs w:val="28"/>
          <w:highlight w:val="none"/>
          <w:u w:val="single"/>
          <w:lang w:val="en-US" w:eastAsia="zh-CN"/>
        </w:rPr>
        <w:t>2个月内。</w:t>
      </w:r>
      <w:r>
        <w:rPr>
          <w:rFonts w:hint="eastAsia" w:ascii="宋体" w:hAnsi="宋体" w:eastAsia="宋体" w:cs="宋体"/>
          <w:b w:val="0"/>
          <w:bCs w:val="0"/>
          <w:color w:val="000000"/>
          <w:sz w:val="24"/>
          <w:szCs w:val="24"/>
          <w:highlight w:val="none"/>
        </w:rPr>
        <w:t xml:space="preserve"> </w:t>
      </w:r>
    </w:p>
    <w:p w14:paraId="6F832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三、成果要求：（1）《</w:t>
      </w:r>
      <w:r>
        <w:rPr>
          <w:rFonts w:hint="eastAsia" w:ascii="宋体" w:hAnsi="宋体"/>
          <w:sz w:val="24"/>
          <w:highlight w:val="none"/>
          <w:lang w:val="en-US" w:eastAsia="zh-CN"/>
        </w:rPr>
        <w:t>南通市区出租汽车运力规模评估研究</w:t>
      </w:r>
      <w:r>
        <w:rPr>
          <w:rFonts w:hint="eastAsia" w:ascii="宋体" w:hAnsi="宋体" w:eastAsia="宋体" w:cs="宋体"/>
          <w:b w:val="0"/>
          <w:bCs w:val="0"/>
          <w:color w:val="000000"/>
          <w:sz w:val="24"/>
          <w:szCs w:val="24"/>
          <w:highlight w:val="none"/>
        </w:rPr>
        <w:t>》</w:t>
      </w:r>
      <w:r>
        <w:rPr>
          <w:rFonts w:hint="eastAsia" w:ascii="宋体" w:hAnsi="宋体"/>
          <w:sz w:val="24"/>
          <w:highlight w:val="none"/>
        </w:rPr>
        <w:t>纸质文档应包括评价报告等材料的打印本</w:t>
      </w:r>
      <w:r>
        <w:rPr>
          <w:rFonts w:hint="eastAsia" w:ascii="宋体" w:hAnsi="宋体" w:eastAsia="宋体" w:cs="宋体"/>
          <w:b w:val="0"/>
          <w:bCs w:val="0"/>
          <w:color w:val="000000"/>
          <w:sz w:val="24"/>
          <w:szCs w:val="24"/>
          <w:highlight w:val="none"/>
        </w:rPr>
        <w:t>，具体套数视情况而定；（2）</w:t>
      </w:r>
      <w:r>
        <w:rPr>
          <w:rFonts w:hint="eastAsia" w:ascii="宋体" w:hAnsi="宋体"/>
          <w:sz w:val="24"/>
          <w:highlight w:val="none"/>
        </w:rPr>
        <w:t xml:space="preserve">电子文件应包括正式成果的所有电子文件。（验收报告为 word 格式，以及汇报材料为 ppt 格式，台账资料为 PDF、Excel、jpg 等格式）。 </w:t>
      </w:r>
      <w:r>
        <w:rPr>
          <w:rFonts w:hint="eastAsia" w:ascii="宋体" w:hAnsi="宋体" w:eastAsia="宋体" w:cs="宋体"/>
          <w:b w:val="0"/>
          <w:bCs w:val="0"/>
          <w:color w:val="000000"/>
          <w:sz w:val="24"/>
          <w:szCs w:val="24"/>
          <w:highlight w:val="none"/>
        </w:rPr>
        <w:t xml:space="preserve"> </w:t>
      </w:r>
    </w:p>
    <w:p w14:paraId="62CEBD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highlight w:val="none"/>
        </w:rPr>
        <w:t>四、验收标准：《</w:t>
      </w:r>
      <w:r>
        <w:rPr>
          <w:rFonts w:hint="eastAsia" w:ascii="宋体" w:hAnsi="宋体"/>
          <w:sz w:val="24"/>
          <w:highlight w:val="none"/>
          <w:lang w:val="en-US" w:eastAsia="zh-CN"/>
        </w:rPr>
        <w:t>南通市区出租汽车运力规模评估研究</w:t>
      </w:r>
      <w:r>
        <w:rPr>
          <w:rFonts w:hint="eastAsia" w:ascii="宋体" w:hAnsi="宋体" w:eastAsia="宋体" w:cs="宋体"/>
          <w:b w:val="0"/>
          <w:bCs w:val="0"/>
          <w:color w:val="000000"/>
          <w:sz w:val="24"/>
          <w:szCs w:val="24"/>
          <w:highlight w:val="none"/>
        </w:rPr>
        <w:t>》研究成果满足相关规范和国 家、省、市政策的要求，成果内容的现状分析全面、趋势</w:t>
      </w:r>
      <w:r>
        <w:rPr>
          <w:rFonts w:hint="eastAsia" w:ascii="宋体" w:hAnsi="宋体" w:eastAsia="宋体" w:cs="宋体"/>
          <w:b w:val="0"/>
          <w:bCs w:val="0"/>
          <w:color w:val="000000"/>
          <w:sz w:val="24"/>
          <w:szCs w:val="24"/>
        </w:rPr>
        <w:t>研判正确、需求预测精准、发展目标科学、建设任务合理、保障措施到位，能够</w:t>
      </w:r>
      <w:r>
        <w:rPr>
          <w:rFonts w:hint="eastAsia" w:ascii="宋体" w:hAnsi="宋体"/>
          <w:sz w:val="24"/>
          <w:szCs w:val="28"/>
        </w:rPr>
        <w:t>测算出租汽车合理运力规模，建立出租汽车运力规模动态调整机制，为加强出租汽车行业管理、促进行业适度有序稳定健康发展提供科学依据</w:t>
      </w:r>
      <w:r>
        <w:rPr>
          <w:rFonts w:hint="eastAsia" w:ascii="宋体" w:hAnsi="宋体" w:eastAsia="宋体" w:cs="宋体"/>
          <w:b w:val="0"/>
          <w:bCs w:val="0"/>
          <w:color w:val="000000"/>
          <w:sz w:val="24"/>
          <w:szCs w:val="24"/>
        </w:rPr>
        <w:t xml:space="preserve">。 </w:t>
      </w:r>
    </w:p>
    <w:p w14:paraId="108E10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五、其他应说明事项： </w:t>
      </w:r>
    </w:p>
    <w:p w14:paraId="6343B1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（1）供应方受采购方委托完成的规划纲要、规划成果、版权归采购方。未经采购方允许，不得将技术成果、版权向第三方转让。 </w:t>
      </w:r>
    </w:p>
    <w:p w14:paraId="2D87DE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（2）没有经过采购方许可，供应方不得向其它第三方单位或个人提供或透漏采购方提供的资料和数据，不得自行发布、发表规划纲要、规划成果；供应方不得将规划纲要、规划成果作为其它商业用途。 </w:t>
      </w:r>
    </w:p>
    <w:p w14:paraId="0DCA8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（3）其余详情见采购需求 </w:t>
      </w:r>
    </w:p>
    <w:p w14:paraId="79E92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六、甲乙双方职责和义务</w:t>
      </w:r>
    </w:p>
    <w:p w14:paraId="5E8EA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1、甲方向乙方提供开展本项目研究工作所需的有关资料，对乙方所需调查提供必要的协 调帮助。 </w:t>
      </w:r>
    </w:p>
    <w:p w14:paraId="19FBD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2、按照合同约定，甲方及时向乙方拨付研究工作经费。 </w:t>
      </w:r>
    </w:p>
    <w:p w14:paraId="37DDD5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b w:val="0"/>
          <w:bCs w:val="0"/>
          <w:color w:val="000000"/>
          <w:sz w:val="24"/>
          <w:szCs w:val="24"/>
        </w:rPr>
      </w:pPr>
      <w:r>
        <w:rPr>
          <w:rFonts w:hint="default" w:ascii="Times New Roman" w:hAnsi="Times New Roman" w:eastAsia="宋体" w:cs="Times New Roman"/>
          <w:b w:val="0"/>
          <w:bCs w:val="0"/>
          <w:color w:val="000000"/>
          <w:sz w:val="18"/>
          <w:szCs w:val="18"/>
        </w:rPr>
        <w:t xml:space="preserve"> </w:t>
      </w:r>
      <w:r>
        <w:rPr>
          <w:rFonts w:hint="eastAsia" w:ascii="宋体" w:hAnsi="宋体" w:eastAsia="宋体" w:cs="宋体"/>
          <w:b w:val="0"/>
          <w:bCs w:val="0"/>
          <w:color w:val="000000"/>
          <w:sz w:val="24"/>
          <w:szCs w:val="24"/>
        </w:rPr>
        <w:t xml:space="preserve">3、乙方对提交甲方的成果质量负责。 </w:t>
      </w:r>
    </w:p>
    <w:p w14:paraId="2B3086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4、乙方严格按照国家相关规定、本合同及甲方要求开展工作。经甲方评议审查后，负责 修改不符合本合同和技术要求的内容。</w:t>
      </w:r>
    </w:p>
    <w:p w14:paraId="45920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5、乙方按本合同规定时间向甲方提交合同所列各项工作成果。 </w:t>
      </w:r>
    </w:p>
    <w:p w14:paraId="0608A6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七、工作经费及支付方式 </w:t>
      </w:r>
    </w:p>
    <w:p w14:paraId="1AED3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rPr>
        <w:t>1、工作经费 本合同金额为（大写）：____________元（__________元）人民币。（合同费用包 括项目调研费、编制费、成果印刷费、现场费用、交通工具使用费、通信费用、相关规划资 料等收集费、公众参与组织费、代理服务费、法定取费与税金等全部费用，即完成</w:t>
      </w:r>
      <w:r>
        <w:rPr>
          <w:rFonts w:hint="eastAsia" w:ascii="宋体" w:hAnsi="宋体"/>
          <w:sz w:val="24"/>
          <w:highlight w:val="none"/>
          <w:lang w:val="en-US" w:eastAsia="zh-CN"/>
        </w:rPr>
        <w:t>南通市区出租汽车运力规模评估研究</w:t>
      </w:r>
      <w:r>
        <w:rPr>
          <w:rFonts w:hint="eastAsia" w:ascii="宋体" w:hAnsi="宋体" w:eastAsia="宋体" w:cs="宋体"/>
          <w:b w:val="0"/>
          <w:bCs w:val="0"/>
          <w:color w:val="000000"/>
          <w:sz w:val="24"/>
          <w:szCs w:val="24"/>
          <w:highlight w:val="none"/>
        </w:rPr>
        <w:t xml:space="preserve">的全部费用。） </w:t>
      </w:r>
    </w:p>
    <w:p w14:paraId="6AA3FB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2、支付方式 </w:t>
      </w:r>
    </w:p>
    <w:p w14:paraId="7ED220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①合同签订后30日历天内，由甲方支付合同总价的50%。 </w:t>
      </w:r>
    </w:p>
    <w:p w14:paraId="702AD6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②乙方提交研究成果验收通过后，由甲方支付剩余合同总价的50%。 </w:t>
      </w:r>
    </w:p>
    <w:p w14:paraId="2B3DA8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③在支付款项前，乙方须提供有效的增值税发票。 </w:t>
      </w:r>
    </w:p>
    <w:p w14:paraId="0D0562C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甲乙双方违约责任 </w:t>
      </w:r>
    </w:p>
    <w:p w14:paraId="0CD56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b w:val="0"/>
          <w:bCs w:val="0"/>
          <w:color w:val="000000"/>
          <w:sz w:val="24"/>
          <w:szCs w:val="24"/>
        </w:rPr>
        <w:t xml:space="preserve">1、由于变更计划、未按期提供研究工作必需的资料或工作条件不具备而造成乙方工作的 返工、窝工或修改，甲方应按乙方实际消耗的工作量增付费用。 </w:t>
      </w:r>
    </w:p>
    <w:p w14:paraId="160617A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rPr>
        <w:t>2、甲方超过合同规定的日期付费时，应偿付逾期的违约金，违约金每逾期一天按</w:t>
      </w:r>
      <w:r>
        <w:rPr>
          <w:rFonts w:hint="eastAsia" w:ascii="宋体" w:hAnsi="宋体" w:eastAsia="宋体" w:cs="宋体"/>
          <w:b w:val="0"/>
          <w:bCs w:val="0"/>
          <w:color w:val="000000"/>
          <w:sz w:val="24"/>
          <w:szCs w:val="24"/>
          <w:highlight w:val="none"/>
        </w:rPr>
        <w:t xml:space="preserve">相应部分工作经费的千分之一计算。 </w:t>
      </w:r>
    </w:p>
    <w:p w14:paraId="3805075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3、因本项目成果质量低劣引起返工或因乙方原因未按期提交项目成果，由乙方继续完善工作，并视造成损失大小减收工作经费。 </w:t>
      </w:r>
    </w:p>
    <w:p w14:paraId="4ABAAE1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4、未按合同规定的期限提交工作成果，每拖延一天，应向甲方交纳相应部分工作经费千分之一的违约金。 </w:t>
      </w:r>
    </w:p>
    <w:p w14:paraId="33F1B99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九、合同生效及其它 </w:t>
      </w:r>
    </w:p>
    <w:p w14:paraId="484BE2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1、合同经双方法定代表人或授权委托代表人签字并加盖单位公章，经采购中心见证盖章后生效。 </w:t>
      </w:r>
    </w:p>
    <w:p w14:paraId="7D898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2、本合同未尽事宜，双方协商解决。凡经双方同意，并经双方签字认可的有效文件均作 为本合同的附件。 </w:t>
      </w:r>
    </w:p>
    <w:p w14:paraId="28C1B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3、本合同正本一式陆份，具有同等法律效力，甲方、乙方各叁份。 </w:t>
      </w:r>
    </w:p>
    <w:p w14:paraId="14E7AD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宋体" w:cs="Times New Roman"/>
          <w:b w:val="0"/>
          <w:bCs w:val="0"/>
          <w:color w:val="000000"/>
          <w:sz w:val="18"/>
          <w:szCs w:val="18"/>
        </w:rPr>
      </w:pPr>
    </w:p>
    <w:p w14:paraId="22CE05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宋体" w:cs="Times New Roman"/>
          <w:b w:val="0"/>
          <w:bCs w:val="0"/>
          <w:color w:val="000000"/>
          <w:sz w:val="18"/>
          <w:szCs w:val="18"/>
        </w:rPr>
      </w:pPr>
    </w:p>
    <w:p w14:paraId="40522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b w:val="0"/>
          <w:bCs w:val="0"/>
          <w:color w:val="000000"/>
          <w:sz w:val="24"/>
          <w:szCs w:val="24"/>
        </w:rPr>
      </w:pPr>
      <w:r>
        <w:rPr>
          <w:rFonts w:hint="default" w:ascii="Times New Roman" w:hAnsi="Times New Roman" w:eastAsia="宋体" w:cs="Times New Roman"/>
          <w:b w:val="0"/>
          <w:bCs w:val="0"/>
          <w:color w:val="000000"/>
          <w:sz w:val="18"/>
          <w:szCs w:val="18"/>
        </w:rPr>
        <w:t xml:space="preserve"> </w:t>
      </w:r>
      <w:r>
        <w:rPr>
          <w:rFonts w:hint="eastAsia" w:ascii="宋体" w:hAnsi="宋体" w:eastAsia="宋体" w:cs="宋体"/>
          <w:b w:val="0"/>
          <w:bCs w:val="0"/>
          <w:color w:val="000000"/>
          <w:sz w:val="24"/>
          <w:szCs w:val="24"/>
        </w:rPr>
        <w:t xml:space="preserve">甲方： (盖章)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乙方： (盖章)</w:t>
      </w:r>
    </w:p>
    <w:p w14:paraId="69D3D1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地址：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地址： </w:t>
      </w:r>
    </w:p>
    <w:p w14:paraId="26898F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法定代表人或授权代表：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法定代表人或授权代表：</w:t>
      </w:r>
    </w:p>
    <w:p w14:paraId="46AC0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联系电话：</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 联系电话：</w:t>
      </w:r>
    </w:p>
    <w:p w14:paraId="43FA5F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p>
    <w:p w14:paraId="5810D2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p>
    <w:p w14:paraId="23AB97A0">
      <w:pPr>
        <w:shd w:val="clear" w:color="auto" w:fill="auto"/>
        <w:spacing w:line="360" w:lineRule="auto"/>
        <w:ind w:firstLine="0" w:firstLineChars="0"/>
        <w:rPr>
          <w:rFonts w:cs="宋体"/>
          <w:b/>
          <w:bCs/>
          <w:color w:val="auto"/>
          <w:kern w:val="2"/>
          <w:sz w:val="21"/>
          <w:szCs w:val="21"/>
          <w:highlight w:val="none"/>
        </w:rPr>
      </w:pPr>
      <w:r>
        <w:rPr>
          <w:rFonts w:hint="eastAsia" w:ascii="宋体" w:hAnsi="宋体" w:eastAsia="宋体" w:cs="宋体"/>
          <w:b w:val="0"/>
          <w:bCs w:val="0"/>
          <w:color w:val="000000"/>
          <w:sz w:val="24"/>
          <w:szCs w:val="24"/>
        </w:rPr>
        <w:t xml:space="preserve"> 签订日期： 202</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 xml:space="preserve"> 年 月 日</w:t>
      </w:r>
    </w:p>
    <w:p w14:paraId="0697569B">
      <w:pPr>
        <w:widowControl/>
        <w:spacing w:line="360" w:lineRule="auto"/>
        <w:ind w:firstLine="0" w:firstLineChars="0"/>
        <w:jc w:val="both"/>
        <w:rPr>
          <w:rFonts w:hint="eastAsia" w:ascii="宋体" w:hAnsi="宋体"/>
          <w:b/>
          <w:snapToGrid w:val="0"/>
          <w:kern w:val="0"/>
          <w:sz w:val="30"/>
          <w:szCs w:val="30"/>
        </w:rPr>
      </w:pPr>
    </w:p>
    <w:p w14:paraId="2F5A23E3">
      <w:pPr>
        <w:widowControl/>
        <w:spacing w:line="360" w:lineRule="auto"/>
        <w:ind w:firstLine="0" w:firstLineChars="0"/>
        <w:jc w:val="both"/>
        <w:rPr>
          <w:rFonts w:hint="eastAsia" w:ascii="宋体" w:hAnsi="宋体"/>
          <w:b/>
          <w:snapToGrid w:val="0"/>
          <w:kern w:val="0"/>
          <w:sz w:val="30"/>
          <w:szCs w:val="30"/>
        </w:rPr>
      </w:pPr>
    </w:p>
    <w:p w14:paraId="69FF90C8">
      <w:pPr>
        <w:widowControl/>
        <w:spacing w:line="360" w:lineRule="auto"/>
        <w:ind w:firstLine="0" w:firstLineChars="0"/>
        <w:jc w:val="both"/>
        <w:rPr>
          <w:rFonts w:hint="eastAsia" w:ascii="宋体" w:hAnsi="宋体"/>
          <w:b/>
          <w:snapToGrid w:val="0"/>
          <w:kern w:val="0"/>
          <w:sz w:val="30"/>
          <w:szCs w:val="30"/>
        </w:rPr>
      </w:pPr>
    </w:p>
    <w:p w14:paraId="2BF446B7">
      <w:pPr>
        <w:widowControl/>
        <w:spacing w:line="360" w:lineRule="auto"/>
        <w:ind w:firstLine="0" w:firstLineChars="0"/>
        <w:jc w:val="both"/>
        <w:rPr>
          <w:rFonts w:hint="eastAsia" w:ascii="宋体" w:hAnsi="宋体"/>
          <w:b/>
          <w:snapToGrid w:val="0"/>
          <w:kern w:val="0"/>
          <w:sz w:val="30"/>
          <w:szCs w:val="30"/>
        </w:rPr>
      </w:pPr>
    </w:p>
    <w:p w14:paraId="42E82509">
      <w:pPr>
        <w:widowControl/>
        <w:spacing w:line="360" w:lineRule="auto"/>
        <w:ind w:firstLine="0" w:firstLineChars="0"/>
        <w:jc w:val="both"/>
        <w:rPr>
          <w:rFonts w:hint="eastAsia" w:ascii="宋体" w:hAnsi="宋体"/>
          <w:b/>
          <w:snapToGrid w:val="0"/>
          <w:kern w:val="0"/>
          <w:sz w:val="30"/>
          <w:szCs w:val="30"/>
        </w:rPr>
      </w:pPr>
    </w:p>
    <w:p w14:paraId="131C8CCB">
      <w:pPr>
        <w:widowControl/>
        <w:spacing w:line="360" w:lineRule="auto"/>
        <w:ind w:firstLine="0" w:firstLineChars="0"/>
        <w:jc w:val="both"/>
        <w:rPr>
          <w:rFonts w:hint="eastAsia" w:ascii="宋体" w:hAnsi="宋体"/>
          <w:b/>
          <w:snapToGrid w:val="0"/>
          <w:kern w:val="0"/>
          <w:sz w:val="30"/>
          <w:szCs w:val="30"/>
        </w:rPr>
      </w:pPr>
    </w:p>
    <w:p w14:paraId="22B19AB1">
      <w:pPr>
        <w:widowControl/>
        <w:spacing w:line="360" w:lineRule="auto"/>
        <w:ind w:firstLine="0" w:firstLineChars="0"/>
        <w:jc w:val="both"/>
        <w:rPr>
          <w:rFonts w:hint="eastAsia" w:ascii="宋体" w:hAnsi="宋体"/>
          <w:b/>
          <w:snapToGrid w:val="0"/>
          <w:kern w:val="0"/>
          <w:sz w:val="30"/>
          <w:szCs w:val="30"/>
        </w:rPr>
      </w:pPr>
    </w:p>
    <w:p w14:paraId="258432A7">
      <w:pPr>
        <w:widowControl/>
        <w:spacing w:line="360" w:lineRule="auto"/>
        <w:ind w:firstLine="0" w:firstLineChars="0"/>
        <w:jc w:val="both"/>
        <w:rPr>
          <w:rFonts w:hint="eastAsia" w:ascii="宋体" w:hAnsi="宋体"/>
          <w:b/>
          <w:snapToGrid w:val="0"/>
          <w:kern w:val="0"/>
          <w:sz w:val="30"/>
          <w:szCs w:val="30"/>
        </w:rPr>
      </w:pPr>
    </w:p>
    <w:p w14:paraId="23A5C8D9">
      <w:pPr>
        <w:widowControl/>
        <w:spacing w:line="360" w:lineRule="auto"/>
        <w:ind w:firstLine="0" w:firstLineChars="0"/>
        <w:jc w:val="both"/>
        <w:rPr>
          <w:rFonts w:hint="eastAsia" w:ascii="宋体" w:hAnsi="宋体"/>
          <w:b/>
          <w:snapToGrid w:val="0"/>
          <w:kern w:val="0"/>
          <w:sz w:val="30"/>
          <w:szCs w:val="30"/>
        </w:rPr>
      </w:pPr>
    </w:p>
    <w:p w14:paraId="3B2D0B4C">
      <w:pPr>
        <w:widowControl/>
        <w:spacing w:line="360" w:lineRule="auto"/>
        <w:ind w:firstLine="0" w:firstLineChars="0"/>
        <w:jc w:val="both"/>
        <w:rPr>
          <w:rFonts w:hint="eastAsia" w:ascii="宋体" w:hAnsi="宋体"/>
          <w:b/>
          <w:snapToGrid w:val="0"/>
          <w:kern w:val="0"/>
          <w:sz w:val="30"/>
          <w:szCs w:val="30"/>
        </w:rPr>
      </w:pPr>
    </w:p>
    <w:p w14:paraId="309CDD15">
      <w:pPr>
        <w:widowControl/>
        <w:spacing w:line="360" w:lineRule="auto"/>
        <w:ind w:firstLine="0" w:firstLineChars="0"/>
        <w:jc w:val="both"/>
        <w:rPr>
          <w:rFonts w:hint="eastAsia" w:ascii="宋体" w:hAnsi="宋体"/>
          <w:b/>
          <w:snapToGrid w:val="0"/>
          <w:kern w:val="0"/>
          <w:sz w:val="30"/>
          <w:szCs w:val="30"/>
        </w:rPr>
      </w:pPr>
    </w:p>
    <w:p w14:paraId="5B934920">
      <w:pPr>
        <w:widowControl/>
        <w:spacing w:line="360" w:lineRule="auto"/>
        <w:ind w:firstLine="0" w:firstLineChars="0"/>
        <w:jc w:val="both"/>
        <w:rPr>
          <w:rFonts w:hint="eastAsia" w:ascii="宋体" w:hAnsi="宋体"/>
          <w:b/>
          <w:snapToGrid w:val="0"/>
          <w:kern w:val="0"/>
          <w:sz w:val="30"/>
          <w:szCs w:val="30"/>
        </w:rPr>
      </w:pPr>
    </w:p>
    <w:p w14:paraId="0CE9F196">
      <w:pPr>
        <w:widowControl/>
        <w:spacing w:line="360" w:lineRule="auto"/>
        <w:ind w:firstLine="0" w:firstLineChars="0"/>
        <w:jc w:val="both"/>
        <w:rPr>
          <w:rFonts w:hint="eastAsia" w:ascii="宋体" w:hAnsi="宋体"/>
          <w:b/>
          <w:snapToGrid w:val="0"/>
          <w:kern w:val="0"/>
          <w:sz w:val="30"/>
          <w:szCs w:val="30"/>
        </w:rPr>
      </w:pPr>
    </w:p>
    <w:p w14:paraId="480DC712">
      <w:pPr>
        <w:widowControl/>
        <w:spacing w:line="360" w:lineRule="auto"/>
        <w:ind w:firstLine="0" w:firstLineChars="0"/>
        <w:jc w:val="both"/>
        <w:rPr>
          <w:rFonts w:hint="eastAsia" w:ascii="宋体" w:hAnsi="宋体"/>
          <w:b/>
          <w:snapToGrid w:val="0"/>
          <w:kern w:val="0"/>
          <w:sz w:val="30"/>
          <w:szCs w:val="30"/>
        </w:rPr>
      </w:pPr>
    </w:p>
    <w:p w14:paraId="6EB78D8E">
      <w:pPr>
        <w:widowControl/>
        <w:spacing w:line="360" w:lineRule="auto"/>
        <w:ind w:firstLine="0" w:firstLineChars="0"/>
        <w:jc w:val="both"/>
        <w:rPr>
          <w:rFonts w:hint="eastAsia" w:ascii="宋体" w:hAnsi="宋体"/>
          <w:b/>
          <w:snapToGrid w:val="0"/>
          <w:kern w:val="0"/>
          <w:sz w:val="30"/>
          <w:szCs w:val="30"/>
        </w:rPr>
      </w:pPr>
    </w:p>
    <w:p w14:paraId="70D966A2">
      <w:pPr>
        <w:widowControl/>
        <w:spacing w:line="360" w:lineRule="auto"/>
        <w:ind w:firstLine="0" w:firstLineChars="0"/>
        <w:jc w:val="both"/>
        <w:rPr>
          <w:rFonts w:hint="eastAsia" w:ascii="宋体" w:hAnsi="宋体"/>
          <w:b/>
          <w:snapToGrid w:val="0"/>
          <w:kern w:val="0"/>
          <w:sz w:val="30"/>
          <w:szCs w:val="30"/>
        </w:rPr>
      </w:pPr>
    </w:p>
    <w:p w14:paraId="733F1192">
      <w:pPr>
        <w:widowControl/>
        <w:spacing w:line="360" w:lineRule="auto"/>
        <w:ind w:firstLine="602" w:firstLineChars="200"/>
        <w:jc w:val="center"/>
        <w:rPr>
          <w:rFonts w:ascii="宋体" w:hAnsi="宋体"/>
          <w:b/>
          <w:snapToGrid w:val="0"/>
          <w:kern w:val="0"/>
          <w:sz w:val="30"/>
          <w:szCs w:val="30"/>
        </w:rPr>
      </w:pPr>
      <w:r>
        <w:rPr>
          <w:rFonts w:hint="eastAsia" w:hAnsi="宋体"/>
          <w:b/>
          <w:snapToGrid w:val="0"/>
          <w:kern w:val="0"/>
          <w:sz w:val="30"/>
          <w:szCs w:val="30"/>
          <w:lang w:eastAsia="zh-CN"/>
        </w:rPr>
        <w:t>南通市区出租汽车运力规模评估研究项目</w:t>
      </w:r>
    </w:p>
    <w:p w14:paraId="4B2C4F8E">
      <w:pPr>
        <w:widowControl/>
        <w:spacing w:line="360" w:lineRule="auto"/>
        <w:ind w:firstLine="602" w:firstLineChars="200"/>
        <w:jc w:val="center"/>
        <w:rPr>
          <w:rFonts w:hint="eastAsia" w:ascii="宋体" w:hAnsi="宋体"/>
          <w:b/>
          <w:snapToGrid w:val="0"/>
          <w:kern w:val="0"/>
          <w:sz w:val="30"/>
          <w:szCs w:val="30"/>
        </w:rPr>
      </w:pPr>
      <w:r>
        <w:rPr>
          <w:rFonts w:hint="eastAsia" w:ascii="宋体" w:hAnsi="宋体"/>
          <w:b/>
          <w:snapToGrid w:val="0"/>
          <w:kern w:val="0"/>
          <w:sz w:val="30"/>
          <w:szCs w:val="30"/>
        </w:rPr>
        <w:t>廉洁合同</w:t>
      </w:r>
    </w:p>
    <w:p w14:paraId="3941BFA2">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cs="宋体"/>
          <w:sz w:val="24"/>
        </w:rPr>
        <w:t>根</w:t>
      </w:r>
      <w:r>
        <w:rPr>
          <w:rFonts w:hint="eastAsia" w:ascii="宋体" w:hAnsi="宋体"/>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 w:val="24"/>
          <w:u w:val="single"/>
        </w:rPr>
        <w:t xml:space="preserve">          </w:t>
      </w:r>
      <w:r>
        <w:rPr>
          <w:rFonts w:hint="eastAsia" w:ascii="宋体" w:hAnsi="宋体"/>
          <w:sz w:val="24"/>
        </w:rPr>
        <w:t>（以下称发包人或甲方）与承包人</w:t>
      </w:r>
      <w:r>
        <w:rPr>
          <w:rFonts w:hint="eastAsia" w:ascii="宋体" w:hAnsi="宋体"/>
          <w:sz w:val="24"/>
          <w:u w:val="single"/>
        </w:rPr>
        <w:t xml:space="preserve">   （全称）  </w:t>
      </w:r>
      <w:r>
        <w:rPr>
          <w:rFonts w:hint="eastAsia" w:ascii="宋体" w:hAnsi="宋体"/>
          <w:sz w:val="24"/>
        </w:rPr>
        <w:t>（以下称承包人或乙方），特订立如下合同。</w:t>
      </w:r>
    </w:p>
    <w:p w14:paraId="4AAEFECB">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第一条 甲乙双方的权利和义务</w:t>
      </w:r>
    </w:p>
    <w:p w14:paraId="1FA518B2">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（一）严格遵守国家有关法律法规及交通运输部的有关规定。</w:t>
      </w:r>
    </w:p>
    <w:p w14:paraId="553A0AD8">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（二）严格执行</w:t>
      </w:r>
      <w:r>
        <w:rPr>
          <w:rFonts w:hint="eastAsia" w:ascii="宋体" w:hAnsi="宋体"/>
          <w:sz w:val="24"/>
          <w:u w:val="single"/>
        </w:rPr>
        <w:t xml:space="preserve">             </w:t>
      </w:r>
      <w:r>
        <w:rPr>
          <w:rFonts w:hint="eastAsia" w:ascii="宋体" w:hAnsi="宋体"/>
          <w:sz w:val="24"/>
        </w:rPr>
        <w:t>项目的合同文件，自觉按合同办事。</w:t>
      </w:r>
    </w:p>
    <w:p w14:paraId="6AAEA734">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（三）双方的业务活动坚持公开、公正、诚信、透明的原则（除法律认定的商业秘密和合同文件另有规定之外），不得损害国家和集体利益，违反工程建设管理规章制度。</w:t>
      </w:r>
    </w:p>
    <w:p w14:paraId="1B545329">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（四）建立健全廉政制度，开展廉政教育，设立廉政告示牌，公布举报电话，监督并认真查处违法违纪行为。</w:t>
      </w:r>
    </w:p>
    <w:p w14:paraId="647FA813">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（五）发现对方在业务活动中有违反廉政规定的行为，有及时提醒对方纠正的权利和义务。</w:t>
      </w:r>
    </w:p>
    <w:p w14:paraId="4F13F1DB">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（六）发现对方严重违反本合同义务条款的行为，有向其上级有关部门举报、建议给予处理并要求告知处理结果的权利。影响合同履行的，可按照合同中关于合同解除的约定处理。</w:t>
      </w:r>
    </w:p>
    <w:p w14:paraId="37A95D1A">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第二条 发包人的义务</w:t>
      </w:r>
    </w:p>
    <w:p w14:paraId="29DFB9AB">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（一）</w:t>
      </w:r>
      <w:r>
        <w:rPr>
          <w:rFonts w:hint="eastAsia" w:ascii="宋体" w:hAnsi="宋体" w:cs="宋体"/>
          <w:sz w:val="24"/>
        </w:rPr>
        <w:t>发包人作为工程项目的建设单位，认真履行合同规定的发包人责任。</w:t>
      </w:r>
    </w:p>
    <w:p w14:paraId="4EFAAA18">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（二）发包人及其工作人员不得索要或接受承包人的礼金、有价证券和物品，不得在承包人报销任何应由发包人或个人支付的费用等。</w:t>
      </w:r>
    </w:p>
    <w:p w14:paraId="2CB929A1">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（三）发包人工作人员不得参加承包人安排的宴请和娱乐活动；不得接受承包人提供的通讯工具、交通工具和办公用品等。</w:t>
      </w:r>
    </w:p>
    <w:p w14:paraId="69ECABD4">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（四）发包人及其工作人员不得要求或者接受承包人为其住房装修、婚丧嫁娶活动、配偶子女的工作安排以及出国出境、旅游等提供方便等。</w:t>
      </w:r>
    </w:p>
    <w:p w14:paraId="6FA22E27">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（五）发包人工作人员的配偶、子女不得从事与发包人工程有关的分包项目。</w:t>
      </w:r>
    </w:p>
    <w:p w14:paraId="1706A59A">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第三条 承包人的义务</w:t>
      </w:r>
    </w:p>
    <w:p w14:paraId="306688BA">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（一）承包人不得以任何理由向发包人及其工作人员行贿或馈赠礼金、有价证券、礼品。</w:t>
      </w:r>
    </w:p>
    <w:p w14:paraId="52317202">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（二）承包人不得以任何名义为发包人及其工作人员报销应由发包人或个人支付的任何费用。</w:t>
      </w:r>
    </w:p>
    <w:p w14:paraId="55B79088">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（三）承包人不得以任何理由安排发包人工作人员参加宴请及娱乐活动。</w:t>
      </w:r>
    </w:p>
    <w:p w14:paraId="5A0B8FCA">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（四）承包人不得为发包人单位和个人购置或提供通讯工具、交通工具和办公用品等。</w:t>
      </w:r>
    </w:p>
    <w:p w14:paraId="432FFBBC">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（五）承包人及其工作人员不得索取或接受工作关系单位的礼金、有价证券和物品，不得在工作关系单位报销任何应由承包人或个人支付的费用。</w:t>
      </w:r>
    </w:p>
    <w:p w14:paraId="4665F8FD">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（六）承包人及其工作人员必须严格按照工作规程办事，不得损害发包人利益。</w:t>
      </w:r>
    </w:p>
    <w:p w14:paraId="3A67AA07">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第四条 违约责任</w:t>
      </w:r>
    </w:p>
    <w:p w14:paraId="3566DF89">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（一）发包人及其工作人员违反本合同第一、二条；按管理权限，依据有关规定给予党纪、政纪或组织处理；涉嫌犯罪的，移交司法机关追究刑事责任；给承包人单位造成经济损失的，应予以赔偿。</w:t>
      </w:r>
    </w:p>
    <w:p w14:paraId="6F3AF6F6">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二）承包人及其工作人员违反本合同第一、三条，按管理权限依据有关规定，给予党纪、政纪或组织处理；给发包人单位造成经济损失的，应予以赔偿，并按照违纪违法认定金额的双倍承担违约金。合同款项未完全支付的，违约金在支付时予以扣减；合同款已支付承包人或未支付款不足以支付违约金的，承包人另行支付违约金。情节严重的，发包人建议交通工程建设主管部门给予承包人一至三年内不得进入其主管的交通工程建设市场的处罚。</w:t>
      </w:r>
    </w:p>
    <w:p w14:paraId="2E00EEA5">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第五条本合同有效期为甲乙双方签署之日起至该项目服务期结束之日止。</w:t>
      </w:r>
    </w:p>
    <w:p w14:paraId="2E87FC3D">
      <w:pPr>
        <w:snapToGrid w:val="0"/>
        <w:spacing w:before="0" w:beforeLines="0" w:after="0" w:afterLines="0" w:line="360" w:lineRule="auto"/>
        <w:ind w:firstLine="480" w:firstLineChars="200"/>
        <w:jc w:val="left"/>
        <w:rPr>
          <w:rFonts w:hint="eastAsia" w:ascii="宋体" w:hAnsi="宋体"/>
          <w:sz w:val="24"/>
        </w:rPr>
      </w:pPr>
      <w:r>
        <w:rPr>
          <w:rFonts w:hint="eastAsia" w:ascii="宋体" w:hAnsi="宋体"/>
          <w:sz w:val="24"/>
        </w:rPr>
        <w:t>第六条本合同作为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项目合同的附件，与本项目合同具有同等的法律效力，经合同双方签署后立即生效。</w:t>
      </w:r>
    </w:p>
    <w:p w14:paraId="6893AF5F">
      <w:pPr>
        <w:snapToGrid w:val="0"/>
        <w:spacing w:before="0" w:beforeLines="0" w:after="0" w:afterLines="0" w:line="360" w:lineRule="auto"/>
        <w:ind w:firstLine="480" w:firstLineChars="200"/>
        <w:jc w:val="left"/>
        <w:rPr>
          <w:rFonts w:ascii="宋体" w:hAnsi="宋体"/>
          <w:sz w:val="24"/>
        </w:rPr>
      </w:pPr>
      <w:r>
        <w:rPr>
          <w:rFonts w:hint="eastAsia" w:ascii="宋体" w:hAnsi="宋体"/>
          <w:sz w:val="24"/>
        </w:rPr>
        <w:t>第七条本合同一式陆份，甲、乙双方各执叁份。</w:t>
      </w:r>
    </w:p>
    <w:p w14:paraId="13647A70">
      <w:pPr>
        <w:tabs>
          <w:tab w:val="left" w:pos="7980"/>
        </w:tabs>
        <w:snapToGrid w:val="0"/>
        <w:spacing w:before="0" w:beforeLines="0" w:after="0" w:afterLines="0" w:line="360" w:lineRule="auto"/>
        <w:ind w:firstLine="480" w:firstLineChars="200"/>
        <w:jc w:val="left"/>
        <w:rPr>
          <w:rFonts w:ascii="宋体" w:hAnsi="宋体"/>
          <w:sz w:val="24"/>
        </w:rPr>
      </w:pPr>
      <w:r>
        <w:rPr>
          <w:rFonts w:hint="eastAsia" w:ascii="宋体" w:hAnsi="宋体"/>
          <w:sz w:val="24"/>
        </w:rPr>
        <w:t>发  包  人：</w:t>
      </w:r>
      <w:r>
        <w:rPr>
          <w:rFonts w:hint="eastAsia" w:ascii="宋体" w:hAnsi="宋体"/>
          <w:sz w:val="24"/>
          <w:u w:val="single"/>
        </w:rPr>
        <w:t xml:space="preserve">    （盖  章）    </w:t>
      </w:r>
      <w:r>
        <w:rPr>
          <w:rFonts w:hint="eastAsia" w:ascii="宋体" w:hAnsi="宋体"/>
          <w:sz w:val="24"/>
        </w:rPr>
        <w:t xml:space="preserve">             承     包     人：</w:t>
      </w:r>
      <w:r>
        <w:rPr>
          <w:rFonts w:hint="eastAsia" w:ascii="宋体" w:hAnsi="宋体"/>
          <w:sz w:val="24"/>
          <w:u w:val="single"/>
        </w:rPr>
        <w:t xml:space="preserve">  （盖  章）  </w:t>
      </w:r>
      <w:r>
        <w:rPr>
          <w:rFonts w:hint="eastAsia" w:ascii="宋体" w:hAnsi="宋体"/>
          <w:sz w:val="24"/>
        </w:rPr>
        <w:t xml:space="preserve"> </w:t>
      </w:r>
    </w:p>
    <w:p w14:paraId="01292893">
      <w:pPr>
        <w:tabs>
          <w:tab w:val="left" w:pos="7980"/>
        </w:tabs>
        <w:snapToGrid w:val="0"/>
        <w:spacing w:before="0" w:beforeLines="0" w:after="0" w:afterLines="0" w:line="360" w:lineRule="auto"/>
        <w:ind w:firstLine="480" w:firstLineChars="200"/>
        <w:jc w:val="left"/>
        <w:rPr>
          <w:rFonts w:ascii="宋体" w:hAnsi="宋体"/>
          <w:sz w:val="24"/>
        </w:rPr>
      </w:pPr>
      <w:r>
        <w:rPr>
          <w:rFonts w:hint="eastAsia" w:ascii="宋体" w:hAnsi="宋体"/>
          <w:sz w:val="24"/>
        </w:rPr>
        <w:t>法定代表人                                 法定代表人</w:t>
      </w:r>
    </w:p>
    <w:p w14:paraId="20ECFC27">
      <w:pPr>
        <w:tabs>
          <w:tab w:val="left" w:pos="7980"/>
        </w:tabs>
        <w:snapToGrid w:val="0"/>
        <w:spacing w:before="0" w:beforeLines="0" w:after="0" w:afterLines="0" w:line="360" w:lineRule="auto"/>
        <w:ind w:firstLine="480" w:firstLineChars="200"/>
        <w:jc w:val="left"/>
        <w:rPr>
          <w:rFonts w:ascii="宋体" w:hAnsi="宋体"/>
          <w:sz w:val="24"/>
        </w:rPr>
      </w:pPr>
      <w:r>
        <w:rPr>
          <w:rFonts w:hint="eastAsia" w:ascii="宋体" w:hAnsi="宋体"/>
          <w:sz w:val="24"/>
        </w:rPr>
        <w:t>或其授权代理人：</w:t>
      </w:r>
      <w:r>
        <w:rPr>
          <w:rFonts w:hint="eastAsia" w:ascii="宋体" w:hAnsi="宋体"/>
          <w:sz w:val="24"/>
          <w:u w:val="single"/>
        </w:rPr>
        <w:t xml:space="preserve">  （签  字）  </w:t>
      </w:r>
      <w:r>
        <w:rPr>
          <w:rFonts w:hint="eastAsia" w:ascii="宋体" w:hAnsi="宋体"/>
          <w:sz w:val="24"/>
        </w:rPr>
        <w:t xml:space="preserve">             或其授权代理人：</w:t>
      </w:r>
      <w:r>
        <w:rPr>
          <w:rFonts w:hint="eastAsia" w:ascii="宋体" w:hAnsi="宋体"/>
          <w:sz w:val="24"/>
          <w:u w:val="single"/>
        </w:rPr>
        <w:t xml:space="preserve">  （签  字）  </w:t>
      </w:r>
    </w:p>
    <w:p w14:paraId="2F48039C">
      <w:pPr>
        <w:snapToGrid w:val="0"/>
        <w:spacing w:beforeLines="0" w:afterLines="0" w:line="360" w:lineRule="auto"/>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bookmarkStart w:id="6" w:name="_Toc85163278"/>
      <w:bookmarkStart w:id="7" w:name="_Toc173630730"/>
      <w:r>
        <w:rPr>
          <w:rFonts w:hint="eastAsia" w:ascii="宋体" w:hAnsi="宋体"/>
          <w:sz w:val="24"/>
        </w:rPr>
        <w:t>日</w:t>
      </w:r>
      <w:bookmarkEnd w:id="6"/>
      <w:bookmarkEnd w:id="7"/>
    </w:p>
    <w:p w14:paraId="312710AA">
      <w:pPr>
        <w:shd w:val="clear" w:color="auto" w:fill="auto"/>
        <w:snapToGrid w:val="0"/>
        <w:spacing w:line="480" w:lineRule="exact"/>
        <w:ind w:firstLine="480" w:firstLineChars="200"/>
        <w:contextualSpacing/>
        <w:jc w:val="left"/>
        <w:outlineLvl w:val="9"/>
        <w:rPr>
          <w:rFonts w:ascii="Times New Roman" w:hAnsi="Times New Roman" w:eastAsia="宋体" w:cs="Times New Roman"/>
          <w:b w:val="0"/>
          <w:color w:val="auto"/>
          <w:sz w:val="24"/>
          <w:szCs w:val="20"/>
          <w:highlight w:val="none"/>
        </w:rPr>
        <w:sectPr>
          <w:footerReference r:id="rId4" w:type="default"/>
          <w:pgSz w:w="11906" w:h="16838"/>
          <w:pgMar w:top="1418" w:right="1474" w:bottom="1418" w:left="1474" w:header="851" w:footer="907" w:gutter="0"/>
          <w:cols w:space="720" w:num="1"/>
          <w:docGrid w:type="lines" w:linePitch="312" w:charSpace="0"/>
        </w:sectPr>
      </w:pPr>
    </w:p>
    <w:p w14:paraId="1D03EBD5">
      <w:pPr>
        <w:shd w:val="clear" w:color="auto" w:fill="auto"/>
        <w:snapToGrid w:val="0"/>
        <w:spacing w:line="400" w:lineRule="atLeast"/>
        <w:ind w:firstLine="723" w:firstLineChars="200"/>
        <w:jc w:val="center"/>
        <w:outlineLvl w:val="0"/>
        <w:rPr>
          <w:rFonts w:ascii="Times New Roman" w:eastAsia="仿宋_GB2312"/>
          <w:b/>
          <w:color w:val="auto"/>
          <w:sz w:val="36"/>
          <w:szCs w:val="36"/>
          <w:highlight w:val="none"/>
        </w:rPr>
      </w:pPr>
      <w:r>
        <w:rPr>
          <w:rFonts w:ascii="Times New Roman" w:eastAsia="仿宋_GB2312"/>
          <w:b/>
          <w:color w:val="auto"/>
          <w:sz w:val="36"/>
          <w:szCs w:val="36"/>
          <w:highlight w:val="none"/>
        </w:rPr>
        <w:t>第六部分  质疑提出和处理</w:t>
      </w:r>
    </w:p>
    <w:p w14:paraId="7C39938E">
      <w:pPr>
        <w:pStyle w:val="6"/>
        <w:shd w:val="clear" w:color="auto" w:fill="auto"/>
        <w:snapToGrid w:val="0"/>
        <w:spacing w:line="400" w:lineRule="atLeast"/>
        <w:ind w:left="0" w:firstLine="640" w:firstLineChars="200"/>
        <w:contextualSpacing/>
        <w:rPr>
          <w:rFonts w:ascii="Times New Roman"/>
          <w:color w:val="auto"/>
          <w:sz w:val="32"/>
          <w:szCs w:val="32"/>
          <w:highlight w:val="none"/>
        </w:rPr>
      </w:pPr>
    </w:p>
    <w:p w14:paraId="197D7565">
      <w:pPr>
        <w:shd w:val="clear" w:color="auto" w:fill="auto"/>
        <w:snapToGrid w:val="0"/>
        <w:spacing w:after="120" w:line="400" w:lineRule="atLeast"/>
        <w:ind w:firstLine="482" w:firstLineChars="200"/>
        <w:contextualSpacing/>
        <w:rPr>
          <w:rFonts w:ascii="Times New Roman" w:eastAsia="仿宋_GB2312"/>
          <w:color w:val="auto"/>
          <w:sz w:val="32"/>
          <w:szCs w:val="32"/>
          <w:highlight w:val="none"/>
        </w:rPr>
      </w:pPr>
      <w:r>
        <w:rPr>
          <w:rFonts w:ascii="Times New Roman"/>
          <w:b/>
          <w:bCs/>
          <w:color w:val="auto"/>
          <w:highlight w:val="none"/>
          <w:u w:val="thick" w:color="FF0000"/>
        </w:rPr>
        <w:t>质疑函格式参见附件</w:t>
      </w:r>
      <w:r>
        <w:rPr>
          <w:rFonts w:ascii="Times New Roman"/>
          <w:b/>
          <w:bCs/>
          <w:color w:val="auto"/>
          <w:highlight w:val="none"/>
        </w:rPr>
        <w:t>。</w:t>
      </w:r>
    </w:p>
    <w:p w14:paraId="053940BC">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一、质疑的提出</w:t>
      </w:r>
    </w:p>
    <w:p w14:paraId="2AAEBAA1">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(一)质疑人的身份要求      </w:t>
      </w:r>
    </w:p>
    <w:p w14:paraId="0B31DC36">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1.提出质疑的供应商应当是参与所质疑项目采购活动的供应商。</w:t>
      </w:r>
    </w:p>
    <w:p w14:paraId="79C7D1C5">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2.潜在供应商已依法获取其可质疑的采购文件的，可以对该文件提出质疑。对采购文件提出质疑的，应当在获取采购文件或者采购文件公告期限届满之日起7个工作日内提出。</w:t>
      </w:r>
    </w:p>
    <w:p w14:paraId="7C100E49">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(二)质疑提出的格式要求   </w:t>
      </w:r>
    </w:p>
    <w:p w14:paraId="3B9A33F8">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14:paraId="5C59661F">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2.质疑函应包括：    </w:t>
      </w:r>
    </w:p>
    <w:p w14:paraId="398BFCAC">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（1）质疑投标人的名称、地址、邮编、联系人及联系电话；</w:t>
      </w:r>
    </w:p>
    <w:p w14:paraId="586D9BC7">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（2）质疑项目的名称、编号；</w:t>
      </w:r>
    </w:p>
    <w:p w14:paraId="136C9AB0">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（3）具体、明确的质疑事项和与质疑事项相关的请求；</w:t>
      </w:r>
    </w:p>
    <w:p w14:paraId="01556269">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（4）事实依据；</w:t>
      </w:r>
    </w:p>
    <w:p w14:paraId="713D5F2F">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（5）必要的法律依据； </w:t>
      </w:r>
    </w:p>
    <w:p w14:paraId="43BC1EEC">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（6）提出质疑的日期。</w:t>
      </w:r>
    </w:p>
    <w:p w14:paraId="4EA1A1B9">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14:paraId="6BEE56C7">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3.质疑函需遵循的原则：</w:t>
      </w:r>
    </w:p>
    <w:p w14:paraId="40FBA2B1">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31A917E8">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（三）质疑提出的时效要求</w:t>
      </w:r>
    </w:p>
    <w:p w14:paraId="2F5EBA9D">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投标人认为采购文件、采购过程和采购结果使自己的权益受到损害的，可以在知道或应知其权益受到损害之日起七个工作日内，以书面形式向采购人、采购代理机构提出质疑。上述应知其权益受到损害之日，是指： </w:t>
      </w:r>
    </w:p>
    <w:p w14:paraId="71899AC9">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（1）对可以质疑的采购文件提出质疑的，为收到采购文件之日或者采购文件公告期限届满之日；</w:t>
      </w:r>
    </w:p>
    <w:p w14:paraId="3A5E8371">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（2）对采购过程提出质疑的，为各采购程序环节结束之日；</w:t>
      </w:r>
    </w:p>
    <w:p w14:paraId="1DFDED5A">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（3）对中标或者成交结果提出质疑的，为中标或者成交结果公告期限届满之日。</w:t>
      </w:r>
    </w:p>
    <w:p w14:paraId="01C3EE9A">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投标人认为采购文件使自己的权益受到损害的，可以向采购人、采购代理机构提出质疑；投标人认为采购过程和采购结果使自己的权益受到损害的，可以以书面形式向采购人、采购代理机构提出质疑。</w:t>
      </w:r>
    </w:p>
    <w:p w14:paraId="23AAD2CF">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2.投标人应在法定质疑期一次性提出针对同一采购程序环节的质疑。 </w:t>
      </w:r>
    </w:p>
    <w:p w14:paraId="3ABA386D">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二、《质疑函》的受理和答复</w:t>
      </w:r>
    </w:p>
    <w:p w14:paraId="201EBCD8">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1.采购人、采购代理机构收到质疑函后，将对质疑的形式和内容进行审查，如质疑函内容、格式不符合规定，需告知质疑人进行补正。</w:t>
      </w:r>
    </w:p>
    <w:p w14:paraId="05687EBA">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 质疑人应当在法定质疑期限内进行补正并重新提交质疑函，拒不补正或者在法定期限内未重新提交质疑函的，为无效质疑，不予受理。</w:t>
      </w:r>
    </w:p>
    <w:p w14:paraId="74F0381C">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3.采购人、采购代理机构答复供应商质疑应当采用书面方式并依法送达，质疑供应商或其委托代理人拒绝签收的视为已经送达。</w:t>
      </w:r>
    </w:p>
    <w:p w14:paraId="4F26A3FB">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4.采购人负责供应商质疑答复。采购人委托采购代理机构采购的，采购代理机构在委托授权范围内作出答复。</w:t>
      </w:r>
    </w:p>
    <w:p w14:paraId="0499A863">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三、质疑处理</w:t>
      </w:r>
    </w:p>
    <w:p w14:paraId="11D4B70A">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 质疑成立的处理</w:t>
      </w:r>
    </w:p>
    <w:p w14:paraId="0F15739B">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（1）对于内容、格式符合规定的质疑函，采购人、采购代理机构在收到投标供应商的书面质疑后七个工作日内作出书面答复，但答复的内容不得涉及商业秘密。</w:t>
      </w:r>
    </w:p>
    <w:p w14:paraId="6DE0679D">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（2）对采购文件提出的质疑，依法通过澄清或者修改可以继续开展采购活动的，澄清或者修改采购文件后继续开展采购活动；否则应当修改采购文件后重新开展采购活动。</w:t>
      </w:r>
    </w:p>
    <w:p w14:paraId="41FCD2DA">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（3）对采购过程、中标或者成交结果提出的质疑，合格供应商符合法定数量时，可以从合格的候选人中另行确定中标、成交供应商的，应当依法另行确定中标供应商；否则应当重新开展采购活动。</w:t>
      </w:r>
    </w:p>
    <w:p w14:paraId="669068D2">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质疑答复导致中标、成交结果改变的，采购人或者采购代理机构应当将有关情况书面报告本级财政部门。</w:t>
      </w:r>
    </w:p>
    <w:p w14:paraId="53BF117D">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2.质疑不成立的处理</w:t>
      </w:r>
    </w:p>
    <w:p w14:paraId="2BA29C6D">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若质疑不成立，或者成立未对中标、成交结果构成影响的，继续开展采购活动。3.虚假质疑的处理</w:t>
      </w:r>
    </w:p>
    <w:p w14:paraId="1963C222">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（1）投标人提出书面质疑必须有理、有据，不得恶意质疑或提交虚假质疑。否则，一经查实，采购人有权依据采购的有关规定，报请监管部门对该投标人进行相应的行政处罚。</w:t>
      </w:r>
    </w:p>
    <w:p w14:paraId="3A3E1CB1">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（2）在江苏省范围内一年累计三次以上质疑，均查无实据的供应商将按失信行为记入该注册供应商诚信档案中。</w:t>
      </w:r>
    </w:p>
    <w:p w14:paraId="664D430D">
      <w:pPr>
        <w:pStyle w:val="6"/>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（3）采购人、采购代理机构受理质疑和答复相关咨询，联系电话详见招标公告。</w:t>
      </w:r>
    </w:p>
    <w:p w14:paraId="283D33D6">
      <w:pPr>
        <w:shd w:val="clear" w:color="auto" w:fill="auto"/>
        <w:snapToGrid w:val="0"/>
        <w:spacing w:line="440" w:lineRule="exact"/>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第七部分  投标文件组成</w:t>
      </w:r>
    </w:p>
    <w:p w14:paraId="3D71072C">
      <w:pPr>
        <w:shd w:val="clear" w:color="auto" w:fill="auto"/>
        <w:snapToGrid w:val="0"/>
        <w:spacing w:line="440" w:lineRule="exact"/>
        <w:ind w:firstLine="555"/>
        <w:jc w:val="left"/>
        <w:rPr>
          <w:rFonts w:ascii="Times New Roman"/>
          <w:b/>
          <w:color w:val="auto"/>
          <w:highlight w:val="none"/>
        </w:rPr>
      </w:pPr>
      <w:r>
        <w:rPr>
          <w:rFonts w:ascii="Times New Roman"/>
          <w:b/>
          <w:color w:val="auto"/>
          <w:highlight w:val="none"/>
        </w:rPr>
        <w:t>投标文件由资格审查文件、商务技术文件、报价文件三部分组成，相关</w:t>
      </w:r>
      <w:r>
        <w:rPr>
          <w:rFonts w:ascii="Times New Roman"/>
          <w:b/>
          <w:color w:val="auto"/>
          <w:highlight w:val="none"/>
          <w:lang w:val="zh-CN"/>
        </w:rPr>
        <w:t>格式参见附件</w:t>
      </w:r>
      <w:r>
        <w:rPr>
          <w:rFonts w:ascii="Times New Roman"/>
          <w:b/>
          <w:color w:val="auto"/>
          <w:highlight w:val="none"/>
        </w:rPr>
        <w:t>。</w:t>
      </w:r>
    </w:p>
    <w:p w14:paraId="5E4798AD">
      <w:pPr>
        <w:numPr>
          <w:ilvl w:val="0"/>
          <w:numId w:val="9"/>
        </w:numPr>
        <w:shd w:val="clear" w:color="auto" w:fill="auto"/>
        <w:snapToGrid w:val="0"/>
        <w:spacing w:line="440" w:lineRule="exact"/>
        <w:ind w:firstLine="482" w:firstLineChars="200"/>
        <w:contextualSpacing/>
        <w:rPr>
          <w:rFonts w:ascii="Times New Roman"/>
          <w:color w:val="auto"/>
          <w:highlight w:val="none"/>
          <w:lang w:val="zh-CN"/>
        </w:rPr>
      </w:pPr>
      <w:r>
        <w:rPr>
          <w:rFonts w:ascii="Times New Roman"/>
          <w:b/>
          <w:bCs/>
          <w:color w:val="auto"/>
          <w:highlight w:val="none"/>
          <w:lang w:val="zh-CN"/>
        </w:rPr>
        <w:t>资格审查</w:t>
      </w:r>
      <w:r>
        <w:rPr>
          <w:rFonts w:ascii="Times New Roman"/>
          <w:b/>
          <w:bCs/>
          <w:color w:val="auto"/>
          <w:highlight w:val="none"/>
        </w:rPr>
        <w:t>文件</w:t>
      </w:r>
      <w:r>
        <w:rPr>
          <w:rFonts w:ascii="Times New Roman"/>
          <w:b/>
          <w:bCs/>
          <w:color w:val="auto"/>
          <w:highlight w:val="none"/>
          <w:lang w:val="zh-CN"/>
        </w:rPr>
        <w:t>（不能出现报价、商务技术</w:t>
      </w:r>
      <w:r>
        <w:rPr>
          <w:rFonts w:ascii="Times New Roman"/>
          <w:b/>
          <w:bCs/>
          <w:color w:val="auto"/>
          <w:highlight w:val="none"/>
        </w:rPr>
        <w:t>文件</w:t>
      </w:r>
      <w:r>
        <w:rPr>
          <w:rFonts w:ascii="Times New Roman"/>
          <w:b/>
          <w:bCs/>
          <w:color w:val="auto"/>
          <w:highlight w:val="none"/>
          <w:lang w:val="zh-CN"/>
        </w:rPr>
        <w:t>）</w:t>
      </w:r>
    </w:p>
    <w:p w14:paraId="739DB2AE">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投标人符合《政府采购法》第二十二条规定条件的承诺函；</w:t>
      </w:r>
    </w:p>
    <w:p w14:paraId="4458B137">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法定代表人身份证明书；</w:t>
      </w:r>
    </w:p>
    <w:p w14:paraId="3D7B0880">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法定代表人授权委托书原件，投标代表本人身份证复印件；</w:t>
      </w:r>
    </w:p>
    <w:p w14:paraId="6D98F7CC">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hint="eastAsia" w:ascii="Times New Roman"/>
          <w:color w:val="auto"/>
          <w:highlight w:val="none"/>
        </w:rPr>
        <w:t>未被“信用中国”网站（www.creditchina.gov.cn）、“中国政府采购网”（www.ccgp.gov.cn）列入失信被执行人、重大税收违法案件当事人名单、政府采购严重违法失信行为记录名单</w:t>
      </w:r>
      <w:r>
        <w:rPr>
          <w:rFonts w:ascii="Times New Roman"/>
          <w:color w:val="auto"/>
          <w:highlight w:val="none"/>
          <w:lang w:val="zh-CN"/>
        </w:rPr>
        <w:t>；</w:t>
      </w:r>
    </w:p>
    <w:p w14:paraId="3319398B">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供应商信用承诺书；</w:t>
      </w:r>
    </w:p>
    <w:p w14:paraId="10EDEF5A">
      <w:pPr>
        <w:numPr>
          <w:ilvl w:val="0"/>
          <w:numId w:val="10"/>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声明函（格式详见</w:t>
      </w:r>
      <w:r>
        <w:rPr>
          <w:rFonts w:hint="eastAsia" w:ascii="Times New Roman"/>
          <w:color w:val="auto"/>
          <w:highlight w:val="none"/>
          <w:lang w:val="en-US" w:eastAsia="zh-CN"/>
        </w:rPr>
        <w:t>招标</w:t>
      </w:r>
      <w:r>
        <w:rPr>
          <w:rFonts w:hint="eastAsia" w:ascii="Times New Roman"/>
          <w:color w:val="auto"/>
          <w:highlight w:val="none"/>
          <w:lang w:val="zh-CN"/>
        </w:rPr>
        <w:t>文件第七部分）。</w:t>
      </w:r>
    </w:p>
    <w:p w14:paraId="292136E3">
      <w:pPr>
        <w:numPr>
          <w:ilvl w:val="0"/>
          <w:numId w:val="10"/>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供应商基本情况表（格式详见</w:t>
      </w:r>
      <w:r>
        <w:rPr>
          <w:rFonts w:hint="eastAsia" w:ascii="Times New Roman"/>
          <w:color w:val="auto"/>
          <w:highlight w:val="none"/>
          <w:lang w:val="en-US" w:eastAsia="zh-CN"/>
        </w:rPr>
        <w:t>招标</w:t>
      </w:r>
      <w:r>
        <w:rPr>
          <w:rFonts w:hint="eastAsia" w:ascii="Times New Roman"/>
          <w:color w:val="auto"/>
          <w:highlight w:val="none"/>
          <w:lang w:val="zh-CN"/>
        </w:rPr>
        <w:t>文件第七部分）。</w:t>
      </w:r>
    </w:p>
    <w:p w14:paraId="32ADECD0">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hint="eastAsia" w:ascii="Times New Roman"/>
          <w:color w:val="auto"/>
          <w:highlight w:val="none"/>
          <w:lang w:val="zh-CN"/>
        </w:rPr>
        <w:t>其它需要提交的资格审查证明材料</w:t>
      </w:r>
      <w:r>
        <w:rPr>
          <w:rFonts w:ascii="Times New Roman"/>
          <w:color w:val="auto"/>
          <w:highlight w:val="none"/>
          <w:lang w:val="zh-CN"/>
        </w:rPr>
        <w:t>。</w:t>
      </w:r>
    </w:p>
    <w:p w14:paraId="6E5DA628">
      <w:pPr>
        <w:shd w:val="clear" w:color="auto" w:fill="auto"/>
        <w:snapToGrid w:val="0"/>
        <w:spacing w:line="440" w:lineRule="exact"/>
        <w:ind w:firstLine="482" w:firstLineChars="200"/>
        <w:contextualSpacing/>
        <w:rPr>
          <w:rFonts w:ascii="Times New Roman"/>
          <w:b/>
          <w:bCs/>
          <w:color w:val="auto"/>
          <w:highlight w:val="none"/>
          <w:lang w:val="zh-CN"/>
        </w:rPr>
      </w:pPr>
      <w:r>
        <w:rPr>
          <w:rFonts w:ascii="Times New Roman"/>
          <w:b/>
          <w:bCs/>
          <w:color w:val="auto"/>
          <w:highlight w:val="none"/>
          <w:lang w:val="zh-CN"/>
        </w:rPr>
        <w:t>二、商务技术</w:t>
      </w:r>
      <w:r>
        <w:rPr>
          <w:rFonts w:ascii="Times New Roman"/>
          <w:b/>
          <w:bCs/>
          <w:color w:val="auto"/>
          <w:highlight w:val="none"/>
        </w:rPr>
        <w:t>文件</w:t>
      </w:r>
      <w:r>
        <w:rPr>
          <w:rFonts w:ascii="Times New Roman"/>
          <w:b/>
          <w:bCs/>
          <w:color w:val="auto"/>
          <w:highlight w:val="none"/>
          <w:lang w:val="zh-CN"/>
        </w:rPr>
        <w:t>（不能出现报价）</w:t>
      </w:r>
    </w:p>
    <w:p w14:paraId="03A3E672">
      <w:pPr>
        <w:numPr>
          <w:ilvl w:val="0"/>
          <w:numId w:val="0"/>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为方便评委评审，请供应商按评审办法中所涉及的事项顺序进行编制，可以补充相关材料。以下</w:t>
      </w:r>
      <w:r>
        <w:rPr>
          <w:rFonts w:hint="eastAsia" w:ascii="Times New Roman"/>
          <w:color w:val="auto"/>
          <w:highlight w:val="none"/>
          <w:lang w:val="en-US" w:eastAsia="zh-CN"/>
        </w:rPr>
        <w:t>1-7</w:t>
      </w:r>
      <w:r>
        <w:rPr>
          <w:rFonts w:hint="eastAsia" w:ascii="Times New Roman"/>
          <w:color w:val="auto"/>
          <w:highlight w:val="none"/>
          <w:lang w:val="zh-CN"/>
        </w:rPr>
        <w:t>项均须提供扫描件（或复印件）并加盖供应商单位章。</w:t>
      </w:r>
    </w:p>
    <w:p w14:paraId="22CAE515">
      <w:pPr>
        <w:numPr>
          <w:ilvl w:val="0"/>
          <w:numId w:val="11"/>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宋体" w:hAnsi="宋体" w:cs="宋体"/>
          <w:sz w:val="24"/>
        </w:rPr>
        <w:t>服务方案</w:t>
      </w:r>
    </w:p>
    <w:p w14:paraId="3EF9ED6E">
      <w:pPr>
        <w:numPr>
          <w:ilvl w:val="0"/>
          <w:numId w:val="11"/>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人员配备一览表</w:t>
      </w:r>
    </w:p>
    <w:p w14:paraId="3D9F8E37">
      <w:pPr>
        <w:numPr>
          <w:ilvl w:val="0"/>
          <w:numId w:val="11"/>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企业综合实力</w:t>
      </w:r>
    </w:p>
    <w:p w14:paraId="3FE742B0">
      <w:pPr>
        <w:numPr>
          <w:ilvl w:val="0"/>
          <w:numId w:val="11"/>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类似业绩一览表</w:t>
      </w:r>
    </w:p>
    <w:p w14:paraId="20D3FD45">
      <w:pPr>
        <w:numPr>
          <w:ilvl w:val="0"/>
          <w:numId w:val="11"/>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评标办法中所涉及的事项需提供的所有资料；</w:t>
      </w:r>
    </w:p>
    <w:p w14:paraId="3E266475">
      <w:pPr>
        <w:numPr>
          <w:ilvl w:val="0"/>
          <w:numId w:val="11"/>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评标办法中未涉及的事项，投标供应商认为需要提交的其他资料；</w:t>
      </w:r>
    </w:p>
    <w:p w14:paraId="55B0D05B">
      <w:pPr>
        <w:numPr>
          <w:ilvl w:val="0"/>
          <w:numId w:val="11"/>
        </w:numPr>
        <w:shd w:val="clear" w:color="auto" w:fill="auto"/>
        <w:snapToGrid w:val="0"/>
        <w:spacing w:line="440" w:lineRule="exact"/>
        <w:ind w:firstLine="480" w:firstLineChars="200"/>
        <w:contextualSpacing/>
        <w:rPr>
          <w:rFonts w:ascii="Times New Roman"/>
          <w:color w:val="auto"/>
          <w:highlight w:val="none"/>
          <w:lang w:val="zh-CN"/>
        </w:rPr>
      </w:pPr>
      <w:r>
        <w:rPr>
          <w:rFonts w:hint="eastAsia" w:ascii="Times New Roman"/>
          <w:color w:val="auto"/>
          <w:highlight w:val="none"/>
          <w:lang w:val="en-US" w:eastAsia="zh-CN"/>
        </w:rPr>
        <w:t>招标</w:t>
      </w:r>
      <w:r>
        <w:rPr>
          <w:rFonts w:hint="eastAsia" w:ascii="Times New Roman"/>
          <w:color w:val="auto"/>
          <w:highlight w:val="none"/>
          <w:lang w:val="zh-CN"/>
        </w:rPr>
        <w:t>文件中要求提供的其他材料</w:t>
      </w:r>
      <w:r>
        <w:rPr>
          <w:rFonts w:ascii="Times New Roman"/>
          <w:color w:val="auto"/>
          <w:highlight w:val="none"/>
          <w:lang w:val="zh-CN"/>
        </w:rPr>
        <w:t>。</w:t>
      </w:r>
    </w:p>
    <w:p w14:paraId="2BC2E117">
      <w:pPr>
        <w:shd w:val="clear" w:color="auto" w:fill="auto"/>
        <w:snapToGrid w:val="0"/>
        <w:spacing w:line="440" w:lineRule="exact"/>
        <w:ind w:firstLine="463" w:firstLineChars="192"/>
        <w:contextualSpacing/>
        <w:rPr>
          <w:rFonts w:ascii="Times New Roman"/>
          <w:b/>
          <w:bCs/>
          <w:color w:val="auto"/>
          <w:highlight w:val="none"/>
          <w:lang w:val="zh-CN"/>
        </w:rPr>
      </w:pPr>
      <w:r>
        <w:rPr>
          <w:rFonts w:ascii="Times New Roman"/>
          <w:b/>
          <w:bCs/>
          <w:color w:val="auto"/>
          <w:highlight w:val="none"/>
          <w:lang w:val="zh-CN"/>
        </w:rPr>
        <w:t>三、</w:t>
      </w:r>
      <w:r>
        <w:rPr>
          <w:rFonts w:ascii="Times New Roman"/>
          <w:b/>
          <w:bCs/>
          <w:color w:val="auto"/>
          <w:highlight w:val="none"/>
        </w:rPr>
        <w:t>报价文件</w:t>
      </w:r>
    </w:p>
    <w:p w14:paraId="45052F7A">
      <w:pPr>
        <w:numPr>
          <w:ilvl w:val="0"/>
          <w:numId w:val="12"/>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开标一览表；</w:t>
      </w:r>
    </w:p>
    <w:p w14:paraId="23296527">
      <w:pPr>
        <w:shd w:val="clear" w:color="auto" w:fill="auto"/>
        <w:snapToGrid w:val="0"/>
        <w:spacing w:line="440" w:lineRule="exact"/>
        <w:ind w:firstLine="480" w:firstLineChars="200"/>
        <w:contextualSpacing/>
        <w:rPr>
          <w:rFonts w:ascii="Times New Roman"/>
          <w:color w:val="auto"/>
          <w:highlight w:val="none"/>
          <w:lang w:val="zh-CN"/>
        </w:rPr>
      </w:pPr>
    </w:p>
    <w:p w14:paraId="3AFC6BAF">
      <w:pPr>
        <w:tabs>
          <w:tab w:val="left" w:pos="1965"/>
        </w:tabs>
        <w:rPr>
          <w:rFonts w:ascii="宋体" w:hAnsi="宋体"/>
          <w:sz w:val="28"/>
          <w:szCs w:val="28"/>
        </w:rPr>
      </w:pPr>
      <w:r>
        <w:rPr>
          <w:rFonts w:ascii="Times New Roman" w:eastAsia="方正黑体_GBK"/>
          <w:color w:val="auto"/>
          <w:sz w:val="32"/>
          <w:szCs w:val="32"/>
          <w:highlight w:val="none"/>
          <w:lang w:val="zh-CN"/>
        </w:rPr>
        <w:br w:type="page"/>
      </w:r>
      <w:r>
        <w:rPr>
          <w:rFonts w:hint="eastAsia" w:ascii="宋体" w:hAnsi="宋体"/>
          <w:sz w:val="28"/>
          <w:szCs w:val="28"/>
        </w:rPr>
        <w:t>第一部分格式：</w:t>
      </w:r>
    </w:p>
    <w:p w14:paraId="4B71925F">
      <w:pPr>
        <w:tabs>
          <w:tab w:val="left" w:pos="159"/>
        </w:tabs>
        <w:rPr>
          <w:rFonts w:hint="eastAsia" w:ascii="宋体" w:hAnsi="宋体"/>
          <w:sz w:val="28"/>
          <w:szCs w:val="28"/>
        </w:rPr>
      </w:pPr>
    </w:p>
    <w:p w14:paraId="5302FEAB">
      <w:pPr>
        <w:autoSpaceDE w:val="0"/>
        <w:autoSpaceDN w:val="0"/>
        <w:adjustRightInd w:val="0"/>
        <w:jc w:val="center"/>
        <w:rPr>
          <w:rFonts w:hint="eastAsia" w:ascii="宋体" w:hAnsi="宋体"/>
          <w:b/>
          <w:sz w:val="36"/>
          <w:szCs w:val="36"/>
        </w:rPr>
      </w:pPr>
    </w:p>
    <w:p w14:paraId="7D88147C">
      <w:pPr>
        <w:spacing w:after="60" w:line="360" w:lineRule="auto"/>
        <w:jc w:val="center"/>
        <w:rPr>
          <w:rFonts w:ascii="宋体" w:hAnsi="宋体"/>
          <w:b/>
          <w:sz w:val="36"/>
          <w:szCs w:val="36"/>
        </w:rPr>
      </w:pPr>
      <w:r>
        <w:rPr>
          <w:rFonts w:hint="eastAsia" w:hAnsi="宋体"/>
          <w:b/>
          <w:sz w:val="36"/>
          <w:szCs w:val="36"/>
          <w:lang w:eastAsia="zh-CN"/>
        </w:rPr>
        <w:t>南通市区出租汽车运力规模评估研究项目</w:t>
      </w:r>
      <w:r>
        <w:rPr>
          <w:rFonts w:hint="eastAsia" w:ascii="宋体" w:hAnsi="宋体"/>
          <w:b/>
          <w:sz w:val="36"/>
          <w:szCs w:val="36"/>
        </w:rPr>
        <w:t>项目</w:t>
      </w:r>
    </w:p>
    <w:p w14:paraId="385F68EC">
      <w:pPr>
        <w:pStyle w:val="10"/>
        <w:rPr>
          <w:rFonts w:ascii="宋体" w:hAnsi="宋体"/>
        </w:rPr>
      </w:pPr>
    </w:p>
    <w:p w14:paraId="5774BE60">
      <w:pPr>
        <w:pStyle w:val="10"/>
        <w:rPr>
          <w:rFonts w:hint="eastAsia" w:ascii="宋体" w:hAnsi="宋体"/>
        </w:rPr>
      </w:pPr>
    </w:p>
    <w:p w14:paraId="098F70F9">
      <w:pPr>
        <w:pStyle w:val="10"/>
        <w:rPr>
          <w:rFonts w:ascii="宋体" w:hAnsi="宋体"/>
        </w:rPr>
      </w:pPr>
    </w:p>
    <w:p w14:paraId="254ECBA8">
      <w:pPr>
        <w:pStyle w:val="10"/>
        <w:rPr>
          <w:rFonts w:hint="eastAsia" w:ascii="宋体" w:hAnsi="宋体"/>
        </w:rPr>
      </w:pPr>
    </w:p>
    <w:p w14:paraId="01F73F72">
      <w:pPr>
        <w:spacing w:after="60" w:line="360" w:lineRule="auto"/>
        <w:jc w:val="center"/>
        <w:rPr>
          <w:rFonts w:hint="eastAsia" w:ascii="宋体" w:hAnsi="宋体"/>
          <w:b/>
          <w:bCs/>
          <w:sz w:val="48"/>
          <w:szCs w:val="48"/>
        </w:rPr>
      </w:pPr>
      <w:r>
        <w:rPr>
          <w:rFonts w:hint="eastAsia" w:ascii="宋体" w:hAnsi="宋体"/>
          <w:b/>
          <w:bCs/>
          <w:sz w:val="48"/>
          <w:szCs w:val="48"/>
        </w:rPr>
        <w:t>响应文件</w:t>
      </w:r>
    </w:p>
    <w:p w14:paraId="3C25BA04">
      <w:pPr>
        <w:spacing w:after="60" w:line="360" w:lineRule="auto"/>
        <w:jc w:val="center"/>
        <w:rPr>
          <w:rFonts w:hint="eastAsia" w:ascii="宋体" w:hAnsi="宋体"/>
          <w:b/>
          <w:bCs/>
          <w:sz w:val="48"/>
          <w:szCs w:val="48"/>
        </w:rPr>
      </w:pPr>
      <w:r>
        <w:rPr>
          <w:rFonts w:hint="eastAsia" w:ascii="宋体" w:hAnsi="宋体"/>
          <w:b/>
          <w:bCs/>
          <w:sz w:val="48"/>
          <w:szCs w:val="48"/>
        </w:rPr>
        <w:t>（资格审查文件）</w:t>
      </w:r>
    </w:p>
    <w:p w14:paraId="1BB83840">
      <w:pPr>
        <w:spacing w:after="60"/>
        <w:jc w:val="center"/>
        <w:rPr>
          <w:rFonts w:hint="eastAsia" w:ascii="宋体" w:hAnsi="宋体"/>
          <w:b/>
          <w:bCs/>
          <w:sz w:val="72"/>
          <w:szCs w:val="72"/>
        </w:rPr>
      </w:pPr>
    </w:p>
    <w:p w14:paraId="3352442B">
      <w:pPr>
        <w:spacing w:after="60"/>
        <w:jc w:val="center"/>
        <w:rPr>
          <w:rFonts w:hint="eastAsia" w:ascii="宋体" w:hAnsi="宋体"/>
          <w:b/>
          <w:bCs/>
          <w:sz w:val="72"/>
          <w:szCs w:val="72"/>
        </w:rPr>
      </w:pPr>
    </w:p>
    <w:p w14:paraId="434CEEBB">
      <w:pPr>
        <w:pStyle w:val="5"/>
        <w:rPr>
          <w:rFonts w:hint="eastAsia" w:ascii="宋体" w:hAnsi="宋体" w:eastAsia="宋体"/>
        </w:rPr>
      </w:pPr>
    </w:p>
    <w:p w14:paraId="31FCE4FB">
      <w:pPr>
        <w:ind w:left="1487" w:leftChars="171" w:hanging="1077" w:hangingChars="383"/>
        <w:rPr>
          <w:rFonts w:hint="eastAsia" w:ascii="宋体" w:hAnsi="宋体"/>
          <w:b/>
          <w:sz w:val="28"/>
          <w:szCs w:val="28"/>
        </w:rPr>
      </w:pPr>
      <w:r>
        <w:rPr>
          <w:rFonts w:hint="eastAsia" w:ascii="宋体" w:hAnsi="宋体"/>
          <w:b/>
          <w:sz w:val="28"/>
          <w:szCs w:val="28"/>
        </w:rPr>
        <w:t>供应商（盖公章）：</w:t>
      </w:r>
      <w:r>
        <w:rPr>
          <w:rFonts w:hint="eastAsia" w:ascii="宋体" w:hAnsi="宋体"/>
          <w:b/>
          <w:sz w:val="28"/>
          <w:szCs w:val="28"/>
          <w:u w:val="single"/>
        </w:rPr>
        <w:t xml:space="preserve">                                              </w:t>
      </w:r>
    </w:p>
    <w:p w14:paraId="2AD08BFF">
      <w:pPr>
        <w:ind w:left="1487" w:leftChars="171" w:hanging="1077" w:hangingChars="383"/>
        <w:rPr>
          <w:rFonts w:hint="eastAsia" w:ascii="宋体" w:hAnsi="宋体"/>
          <w:b/>
          <w:sz w:val="28"/>
          <w:szCs w:val="28"/>
        </w:rPr>
      </w:pPr>
    </w:p>
    <w:p w14:paraId="260C4519">
      <w:pPr>
        <w:ind w:left="1487" w:leftChars="171" w:hanging="1077" w:hangingChars="383"/>
        <w:rPr>
          <w:rFonts w:hint="eastAsia" w:ascii="宋体" w:hAnsi="宋体"/>
          <w:b/>
          <w:sz w:val="28"/>
          <w:szCs w:val="28"/>
          <w:u w:val="single"/>
        </w:rPr>
      </w:pPr>
      <w:r>
        <w:rPr>
          <w:rFonts w:hint="eastAsia" w:ascii="宋体" w:hAnsi="宋体"/>
          <w:b/>
          <w:sz w:val="28"/>
          <w:szCs w:val="28"/>
        </w:rPr>
        <w:t>法定代表人（或其委托代理人）（签字或盖章）</w:t>
      </w:r>
      <w:r>
        <w:rPr>
          <w:rFonts w:hint="eastAsia" w:ascii="宋体" w:hAnsi="宋体"/>
          <w:b/>
          <w:sz w:val="28"/>
          <w:szCs w:val="28"/>
          <w:u w:val="single"/>
        </w:rPr>
        <w:t xml:space="preserve">                              </w:t>
      </w:r>
    </w:p>
    <w:p w14:paraId="498807D0">
      <w:pPr>
        <w:spacing w:line="312" w:lineRule="auto"/>
        <w:rPr>
          <w:rFonts w:hint="eastAsia" w:ascii="宋体" w:hAnsi="宋体"/>
          <w:b/>
          <w:sz w:val="28"/>
          <w:szCs w:val="28"/>
        </w:rPr>
      </w:pPr>
      <w:r>
        <w:rPr>
          <w:rFonts w:hint="eastAsia" w:ascii="宋体" w:hAnsi="宋体"/>
          <w:b/>
          <w:sz w:val="28"/>
          <w:szCs w:val="28"/>
        </w:rPr>
        <w:t xml:space="preserve"> </w:t>
      </w:r>
    </w:p>
    <w:p w14:paraId="07FBBABD">
      <w:pPr>
        <w:shd w:val="clear" w:color="auto" w:fill="auto"/>
        <w:snapToGrid w:val="0"/>
        <w:spacing w:line="440" w:lineRule="exact"/>
        <w:contextualSpacing/>
        <w:rPr>
          <w:rFonts w:ascii="Times New Roman" w:eastAsia="方正黑体_GBK"/>
          <w:color w:val="auto"/>
          <w:sz w:val="32"/>
          <w:szCs w:val="32"/>
          <w:highlight w:val="none"/>
          <w:lang w:val="zh-CN"/>
        </w:rPr>
        <w:sectPr>
          <w:pgSz w:w="11906" w:h="16838"/>
          <w:pgMar w:top="1418" w:right="1474" w:bottom="1418" w:left="1474" w:header="851" w:footer="907" w:gutter="0"/>
          <w:cols w:space="720" w:num="1"/>
          <w:docGrid w:type="lines" w:linePitch="312" w:charSpace="0"/>
        </w:sectPr>
      </w:pPr>
      <w:r>
        <w:rPr>
          <w:rFonts w:hint="eastAsia" w:ascii="宋体" w:hAnsi="宋体"/>
          <w:b/>
          <w:sz w:val="28"/>
          <w:szCs w:val="28"/>
        </w:rPr>
        <w:t>日    期：</w:t>
      </w:r>
      <w:r>
        <w:rPr>
          <w:rFonts w:hint="eastAsia" w:ascii="宋体" w:hAnsi="宋体"/>
          <w:b/>
          <w:sz w:val="28"/>
          <w:szCs w:val="28"/>
          <w:u w:val="single"/>
        </w:rPr>
        <w:t xml:space="preserve">                                                      </w:t>
      </w:r>
    </w:p>
    <w:p w14:paraId="77E26F90">
      <w:pPr>
        <w:shd w:val="clear" w:color="auto" w:fill="auto"/>
        <w:snapToGrid w:val="0"/>
        <w:spacing w:line="44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附件1</w:t>
      </w:r>
    </w:p>
    <w:p w14:paraId="6A268591">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投标人符合《政府采购法》第二十二条规定条件的声明函</w:t>
      </w:r>
    </w:p>
    <w:p w14:paraId="3AD721BA">
      <w:pPr>
        <w:shd w:val="clear" w:color="auto" w:fill="auto"/>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Cs w:val="24"/>
          <w:highlight w:val="none"/>
        </w:rPr>
        <w:t xml:space="preserve">                       </w:t>
      </w:r>
      <w:r>
        <w:rPr>
          <w:rFonts w:hint="eastAsia" w:ascii="宋体" w:hAnsi="宋体" w:eastAsia="宋体" w:cs="宋体"/>
          <w:b/>
          <w:bCs/>
          <w:color w:val="auto"/>
          <w:sz w:val="24"/>
          <w:szCs w:val="24"/>
          <w:highlight w:val="none"/>
        </w:rPr>
        <w:t xml:space="preserve">   </w:t>
      </w:r>
    </w:p>
    <w:p w14:paraId="119628DE">
      <w:pPr>
        <w:shd w:val="clear" w:color="auto" w:fill="auto"/>
        <w:spacing w:line="52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Cs/>
          <w:color w:val="auto"/>
          <w:szCs w:val="24"/>
          <w:highlight w:val="none"/>
        </w:rPr>
        <w:t>我单位参加</w:t>
      </w:r>
      <w:r>
        <w:rPr>
          <w:rFonts w:hint="eastAsia" w:ascii="宋体" w:hAnsi="宋体" w:eastAsia="宋体" w:cs="宋体"/>
          <w:bCs/>
          <w:color w:val="auto"/>
          <w:szCs w:val="24"/>
          <w:highlight w:val="none"/>
          <w:u w:val="single"/>
        </w:rPr>
        <w:t>________________ _</w:t>
      </w:r>
      <w:r>
        <w:rPr>
          <w:rFonts w:hint="eastAsia" w:ascii="宋体" w:hAnsi="宋体" w:eastAsia="宋体" w:cs="宋体"/>
          <w:bCs/>
          <w:color w:val="auto"/>
          <w:szCs w:val="24"/>
          <w:highlight w:val="none"/>
        </w:rPr>
        <w:t>（项目名称），</w:t>
      </w:r>
      <w:r>
        <w:rPr>
          <w:rFonts w:hint="eastAsia" w:ascii="宋体" w:hAnsi="宋体" w:eastAsia="宋体" w:cs="宋体"/>
          <w:bCs/>
          <w:color w:val="auto"/>
          <w:szCs w:val="24"/>
          <w:highlight w:val="none"/>
          <w:u w:val="single"/>
        </w:rPr>
        <w:t>_______ __________</w:t>
      </w:r>
      <w:r>
        <w:rPr>
          <w:rFonts w:hint="eastAsia" w:ascii="宋体" w:hAnsi="宋体" w:eastAsia="宋体" w:cs="宋体"/>
          <w:bCs/>
          <w:color w:val="auto"/>
          <w:szCs w:val="24"/>
          <w:highlight w:val="none"/>
        </w:rPr>
        <w:t>（项目编号）投标活动。针对《中华人民共和国政府采购法》第二十二条规定做出如下声明：</w:t>
      </w:r>
    </w:p>
    <w:p w14:paraId="7F823AE4">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1.我单位具有独立承担民事责任的能力；</w:t>
      </w:r>
    </w:p>
    <w:p w14:paraId="4A753260">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2.我单位具有良好的商业信誉和健全的财务会计制度；</w:t>
      </w:r>
    </w:p>
    <w:p w14:paraId="64E6A71D">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3.我单位具有履行合同所必需的设备和专业技术能力；</w:t>
      </w:r>
    </w:p>
    <w:p w14:paraId="6A023210">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4.我单位有依法缴纳税收和社会保障资金的良好记录；</w:t>
      </w:r>
    </w:p>
    <w:p w14:paraId="4968E354">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B470E63">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6.我单位满足法律、行政法规规定的其他条件。</w:t>
      </w:r>
    </w:p>
    <w:p w14:paraId="48098A7F">
      <w:pPr>
        <w:shd w:val="clear" w:color="auto" w:fill="auto"/>
        <w:spacing w:line="500" w:lineRule="exact"/>
        <w:ind w:firstLine="482"/>
        <w:rPr>
          <w:rFonts w:hint="eastAsia" w:ascii="宋体" w:hAnsi="宋体" w:eastAsia="宋体" w:cs="宋体"/>
          <w:color w:val="auto"/>
          <w:szCs w:val="24"/>
          <w:highlight w:val="none"/>
        </w:rPr>
      </w:pPr>
    </w:p>
    <w:p w14:paraId="4364B889">
      <w:pPr>
        <w:shd w:val="clear" w:color="auto" w:fill="auto"/>
        <w:spacing w:line="500" w:lineRule="exact"/>
        <w:rPr>
          <w:rFonts w:hint="eastAsia" w:ascii="宋体" w:hAnsi="宋体" w:eastAsia="宋体" w:cs="宋体"/>
          <w:color w:val="auto"/>
          <w:szCs w:val="24"/>
          <w:highlight w:val="none"/>
        </w:rPr>
      </w:pPr>
    </w:p>
    <w:p w14:paraId="6943ED59">
      <w:pPr>
        <w:shd w:val="clear" w:color="auto" w:fill="auto"/>
        <w:spacing w:line="500" w:lineRule="exact"/>
        <w:rPr>
          <w:rFonts w:hint="eastAsia" w:ascii="宋体" w:hAnsi="宋体" w:eastAsia="宋体" w:cs="宋体"/>
          <w:bCs/>
          <w:color w:val="auto"/>
          <w:szCs w:val="24"/>
          <w:highlight w:val="none"/>
        </w:rPr>
      </w:pPr>
    </w:p>
    <w:p w14:paraId="0A8AEDEF">
      <w:pPr>
        <w:shd w:val="clear" w:color="auto" w:fill="auto"/>
        <w:spacing w:line="500" w:lineRule="exact"/>
        <w:rPr>
          <w:rFonts w:hint="eastAsia" w:ascii="宋体" w:hAnsi="宋体" w:eastAsia="宋体" w:cs="宋体"/>
          <w:bCs/>
          <w:color w:val="auto"/>
          <w:szCs w:val="24"/>
          <w:highlight w:val="none"/>
        </w:rPr>
      </w:pPr>
    </w:p>
    <w:p w14:paraId="598DFA68">
      <w:pPr>
        <w:shd w:val="clear" w:color="auto" w:fill="auto"/>
        <w:spacing w:line="500" w:lineRule="exact"/>
        <w:rPr>
          <w:rFonts w:hint="eastAsia" w:ascii="宋体" w:hAnsi="宋体" w:eastAsia="宋体" w:cs="宋体"/>
          <w:bCs/>
          <w:color w:val="auto"/>
          <w:szCs w:val="24"/>
          <w:highlight w:val="none"/>
        </w:rPr>
      </w:pPr>
    </w:p>
    <w:p w14:paraId="6901D43E">
      <w:pPr>
        <w:shd w:val="clear" w:color="auto" w:fill="auto"/>
        <w:spacing w:line="460" w:lineRule="exact"/>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承诺人名称（公章）：</w:t>
      </w:r>
    </w:p>
    <w:p w14:paraId="71965466">
      <w:pPr>
        <w:shd w:val="clear" w:color="auto" w:fill="auto"/>
        <w:spacing w:line="460" w:lineRule="exact"/>
        <w:jc w:val="righ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w:t>
      </w:r>
    </w:p>
    <w:p w14:paraId="4EA81622">
      <w:pPr>
        <w:shd w:val="clear" w:color="auto" w:fill="auto"/>
        <w:spacing w:line="460" w:lineRule="exact"/>
        <w:jc w:val="righ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日期：</w:t>
      </w:r>
      <w:r>
        <w:rPr>
          <w:rFonts w:hint="eastAsia" w:ascii="宋体" w:hAnsi="宋体" w:eastAsia="宋体" w:cs="宋体"/>
          <w:bCs/>
          <w:color w:val="auto"/>
          <w:szCs w:val="24"/>
          <w:highlight w:val="none"/>
          <w:u w:val="single"/>
        </w:rPr>
        <w:t>______</w:t>
      </w:r>
      <w:r>
        <w:rPr>
          <w:rFonts w:hint="eastAsia" w:ascii="宋体" w:hAnsi="宋体" w:eastAsia="宋体" w:cs="宋体"/>
          <w:bCs/>
          <w:color w:val="auto"/>
          <w:szCs w:val="24"/>
          <w:highlight w:val="none"/>
        </w:rPr>
        <w:t>年</w:t>
      </w:r>
      <w:r>
        <w:rPr>
          <w:rFonts w:hint="eastAsia" w:ascii="宋体" w:hAnsi="宋体" w:eastAsia="宋体" w:cs="宋体"/>
          <w:bCs/>
          <w:color w:val="auto"/>
          <w:szCs w:val="24"/>
          <w:highlight w:val="none"/>
          <w:u w:val="single"/>
        </w:rPr>
        <w:t xml:space="preserve">    </w:t>
      </w:r>
      <w:r>
        <w:rPr>
          <w:rFonts w:hint="eastAsia" w:ascii="宋体" w:hAnsi="宋体" w:eastAsia="宋体" w:cs="宋体"/>
          <w:bCs/>
          <w:color w:val="auto"/>
          <w:szCs w:val="24"/>
          <w:highlight w:val="none"/>
        </w:rPr>
        <w:t>月</w:t>
      </w:r>
      <w:r>
        <w:rPr>
          <w:rFonts w:hint="eastAsia" w:ascii="宋体" w:hAnsi="宋体" w:eastAsia="宋体" w:cs="宋体"/>
          <w:bCs/>
          <w:color w:val="auto"/>
          <w:szCs w:val="24"/>
          <w:highlight w:val="none"/>
          <w:u w:val="single"/>
        </w:rPr>
        <w:t xml:space="preserve">    </w:t>
      </w:r>
      <w:r>
        <w:rPr>
          <w:rFonts w:hint="eastAsia" w:ascii="宋体" w:hAnsi="宋体" w:eastAsia="宋体" w:cs="宋体"/>
          <w:bCs/>
          <w:color w:val="auto"/>
          <w:szCs w:val="24"/>
          <w:highlight w:val="none"/>
        </w:rPr>
        <w:t>日</w:t>
      </w:r>
    </w:p>
    <w:p w14:paraId="67E3F09D">
      <w:pPr>
        <w:shd w:val="clear" w:color="auto" w:fill="auto"/>
        <w:snapToGrid w:val="0"/>
        <w:spacing w:line="40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附件2</w:t>
      </w:r>
    </w:p>
    <w:p w14:paraId="7A9F3E57">
      <w:pPr>
        <w:pStyle w:val="16"/>
        <w:shd w:val="clear" w:color="auto" w:fill="auto"/>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w:t>
      </w:r>
    </w:p>
    <w:p w14:paraId="7E184E27">
      <w:pPr>
        <w:shd w:val="clear" w:color="auto" w:fill="auto"/>
        <w:spacing w:line="480" w:lineRule="exact"/>
        <w:rPr>
          <w:rFonts w:hint="eastAsia" w:ascii="宋体" w:hAnsi="宋体" w:eastAsia="宋体" w:cs="宋体"/>
          <w:color w:val="auto"/>
          <w:szCs w:val="24"/>
          <w:highlight w:val="none"/>
        </w:rPr>
      </w:pPr>
    </w:p>
    <w:p w14:paraId="432E8C87">
      <w:pPr>
        <w:shd w:val="clear" w:color="auto" w:fill="auto"/>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 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632F8937">
      <w:pPr>
        <w:shd w:val="clear" w:color="auto" w:fill="auto"/>
        <w:spacing w:line="480" w:lineRule="exact"/>
        <w:ind w:firstLine="4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32CC0F5F">
      <w:pPr>
        <w:shd w:val="clear" w:color="auto" w:fill="auto"/>
        <w:spacing w:line="480" w:lineRule="exact"/>
        <w:ind w:firstLine="480"/>
        <w:rPr>
          <w:rFonts w:hint="eastAsia" w:ascii="宋体" w:hAnsi="宋体" w:eastAsia="宋体" w:cs="宋体"/>
          <w:color w:val="auto"/>
          <w:szCs w:val="24"/>
          <w:highlight w:val="none"/>
        </w:rPr>
      </w:pPr>
    </w:p>
    <w:p w14:paraId="2763E488">
      <w:pPr>
        <w:pStyle w:val="17"/>
        <w:shd w:val="clear" w:color="auto" w:fill="auto"/>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注：提供法定代表人的身份证复印件盖公章</w:t>
      </w:r>
    </w:p>
    <w:p w14:paraId="1BAF6C98">
      <w:pPr>
        <w:shd w:val="clear" w:color="auto" w:fill="auto"/>
        <w:snapToGrid w:val="0"/>
        <w:spacing w:line="400" w:lineRule="exact"/>
        <w:contextualSpacing/>
        <w:rPr>
          <w:rFonts w:hint="eastAsia" w:ascii="宋体" w:hAnsi="宋体" w:eastAsia="宋体" w:cs="宋体"/>
          <w:color w:val="auto"/>
          <w:sz w:val="24"/>
          <w:szCs w:val="24"/>
          <w:highlight w:val="none"/>
          <w:lang w:val="zh-CN"/>
        </w:rPr>
      </w:pPr>
    </w:p>
    <w:p w14:paraId="5AE0CBA0">
      <w:pPr>
        <w:shd w:val="clear" w:color="auto" w:fill="auto"/>
        <w:snapToGrid w:val="0"/>
        <w:spacing w:line="40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附件3</w:t>
      </w:r>
    </w:p>
    <w:p w14:paraId="4C280BCB">
      <w:pPr>
        <w:shd w:val="clear" w:color="auto" w:fill="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法定代表人授权委托书</w:t>
      </w:r>
    </w:p>
    <w:p w14:paraId="135F67E3">
      <w:pPr>
        <w:shd w:val="clear" w:color="auto" w:fill="auto"/>
        <w:rPr>
          <w:rFonts w:hint="eastAsia" w:ascii="宋体" w:hAnsi="宋体" w:eastAsia="宋体" w:cs="宋体"/>
          <w:color w:val="auto"/>
          <w:sz w:val="24"/>
          <w:szCs w:val="24"/>
          <w:highlight w:val="none"/>
        </w:rPr>
      </w:pPr>
    </w:p>
    <w:p w14:paraId="56B75587">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姓名）系————（授权单位名称）的法定代表人，现委托-------（姓名）（身份证号——————）为我方代理人，以我方名义全权处理与本次采购项目（编号：----------）有关的一切事务，其法律后果由我方承担。</w:t>
      </w:r>
    </w:p>
    <w:p w14:paraId="710CD92E">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本授权书于---年---月---日起生效。代理人无转委托权。</w:t>
      </w:r>
    </w:p>
    <w:p w14:paraId="5CE65C1F">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代理人(被授权人):------</w:t>
      </w:r>
    </w:p>
    <w:p w14:paraId="49A756AB">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授权单位名称（盖章）：-----</w:t>
      </w:r>
    </w:p>
    <w:p w14:paraId="49469DC5">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授权单位法定代表人（签字或盖章）：-----</w:t>
      </w:r>
    </w:p>
    <w:p w14:paraId="24B6C68C">
      <w:pPr>
        <w:shd w:val="clear" w:color="auto" w:fill="auto"/>
        <w:jc w:val="right"/>
        <w:rPr>
          <w:rFonts w:hint="eastAsia" w:ascii="宋体" w:hAnsi="宋体" w:eastAsia="宋体" w:cs="宋体"/>
          <w:color w:val="auto"/>
          <w:sz w:val="24"/>
          <w:szCs w:val="24"/>
          <w:highlight w:val="none"/>
        </w:rPr>
      </w:pPr>
    </w:p>
    <w:p w14:paraId="1A2CFAC5">
      <w:pPr>
        <w:shd w:val="clear" w:color="auto" w:fill="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XXXX年XX月XX日</w:t>
      </w:r>
    </w:p>
    <w:p w14:paraId="197E5DE2">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p>
    <w:p w14:paraId="71E81FB1">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注：提供投标代表本人身份证复印件盖公章</w:t>
      </w:r>
    </w:p>
    <w:p w14:paraId="69C68F05">
      <w:pPr>
        <w:pStyle w:val="16"/>
        <w:shd w:val="clear" w:color="auto" w:fill="auto"/>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 xml:space="preserve">附件4 </w:t>
      </w:r>
    </w:p>
    <w:p w14:paraId="1247F8AD">
      <w:pPr>
        <w:shd w:val="clear" w:color="auto" w:fill="auto"/>
        <w:spacing w:before="240" w:line="312" w:lineRule="auto"/>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供应商信用承诺书</w:t>
      </w:r>
    </w:p>
    <w:p w14:paraId="5614B8E2">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为营造公开、公平、公正的交易环境，树立诚信守法的投标人形象，本人代表本单位作出以下承诺：</w:t>
      </w:r>
    </w:p>
    <w:p w14:paraId="2A8DD041">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0977133">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二、严格依照国家和省、市、县关于采购等方面的法律、法规、规章、规范性文件，参加招标投标活动；积极履行社会责任，促进廉政建设；</w:t>
      </w:r>
    </w:p>
    <w:p w14:paraId="2722F109">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bidi="ar"/>
        </w:rPr>
        <w:t>三</w:t>
      </w:r>
      <w:r>
        <w:rPr>
          <w:rFonts w:hint="eastAsia" w:ascii="宋体" w:hAnsi="宋体" w:eastAsia="宋体" w:cs="宋体"/>
          <w:color w:val="auto"/>
          <w:szCs w:val="24"/>
          <w:highlight w:val="none"/>
          <w:lang w:val="zh-CN" w:bidi="ar"/>
        </w:rPr>
        <w:t>、自我约束、自我管理，守合同、重信用，不参与围标串标、弄虚作假、骗取中标、干扰评标、违约毁约、恶意投诉等行为，主动维护招标投标的良好秩序；</w:t>
      </w:r>
    </w:p>
    <w:p w14:paraId="6DD4539C">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五、本单位自愿接受采购有关行政监督部门的依法检查。如发生违法违规或不良行为或存在其他法律法规对招标投标行为予以限制的情形，自愿接受采购有关行政监督部门依法给予的行政处罚（处理），并依法承担相应的法律责任；</w:t>
      </w:r>
    </w:p>
    <w:p w14:paraId="30058AEE">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六、自觉接受政府部门、行业组织、社会公众、新闻舆论等监督；</w:t>
      </w:r>
    </w:p>
    <w:p w14:paraId="1F9D6220">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七、上述承诺已向本单位员工作了宣传教育；</w:t>
      </w:r>
    </w:p>
    <w:p w14:paraId="1E1604A4">
      <w:pPr>
        <w:shd w:val="clear" w:color="auto" w:fill="auto"/>
        <w:spacing w:line="360" w:lineRule="auto"/>
        <w:ind w:firstLine="48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bidi="ar"/>
        </w:rPr>
        <w:t>如有违反上述承诺的不良行为，本单位同意将其予以上网公示。</w:t>
      </w:r>
    </w:p>
    <w:p w14:paraId="05CD95D2">
      <w:pPr>
        <w:shd w:val="clear" w:color="auto" w:fill="auto"/>
        <w:spacing w:line="360" w:lineRule="auto"/>
        <w:rPr>
          <w:rFonts w:hint="eastAsia" w:ascii="宋体" w:hAnsi="宋体" w:eastAsia="宋体" w:cs="宋体"/>
          <w:color w:val="auto"/>
          <w:szCs w:val="24"/>
          <w:highlight w:val="none"/>
          <w:lang w:val="zh-CN"/>
        </w:rPr>
      </w:pPr>
    </w:p>
    <w:p w14:paraId="502575C2">
      <w:pPr>
        <w:shd w:val="clear" w:color="auto" w:fill="auto"/>
        <w:spacing w:line="360" w:lineRule="auto"/>
        <w:ind w:firstLine="4560" w:firstLineChars="1900"/>
        <w:rPr>
          <w:rFonts w:hint="eastAsia" w:ascii="宋体" w:hAnsi="宋体" w:eastAsia="宋体" w:cs="宋体"/>
          <w:color w:val="auto"/>
          <w:szCs w:val="24"/>
          <w:highlight w:val="none"/>
          <w:lang w:val="zh-CN"/>
        </w:rPr>
      </w:pPr>
    </w:p>
    <w:p w14:paraId="0CF24AC6">
      <w:pPr>
        <w:shd w:val="clear" w:color="auto" w:fill="auto"/>
        <w:spacing w:line="360" w:lineRule="auto"/>
        <w:ind w:firstLine="2640" w:firstLineChars="1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bidi="ar"/>
        </w:rPr>
        <w:t>投标供应商全称(盖公章)：</w:t>
      </w:r>
    </w:p>
    <w:p w14:paraId="26966DE2">
      <w:pPr>
        <w:shd w:val="clear" w:color="auto" w:fill="auto"/>
        <w:spacing w:line="360" w:lineRule="auto"/>
        <w:ind w:firstLine="2640" w:firstLineChars="1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bidi="ar"/>
        </w:rPr>
        <w:t>法定代表人（签字或盖章）：</w:t>
      </w:r>
    </w:p>
    <w:p w14:paraId="566DC62E">
      <w:pPr>
        <w:snapToGrid w:val="0"/>
        <w:spacing w:line="300" w:lineRule="auto"/>
        <w:contextualSpacing/>
        <w:rPr>
          <w:rFonts w:hint="eastAsia" w:ascii="宋体" w:hAnsi="宋体"/>
          <w:sz w:val="28"/>
          <w:szCs w:val="28"/>
        </w:rPr>
      </w:pPr>
      <w:r>
        <w:rPr>
          <w:rFonts w:hint="eastAsia" w:ascii="宋体" w:hAnsi="宋体" w:eastAsia="宋体" w:cs="宋体"/>
          <w:color w:val="auto"/>
          <w:sz w:val="24"/>
          <w:szCs w:val="24"/>
          <w:highlight w:val="none"/>
          <w:lang w:val="zh-CN" w:bidi="ar"/>
        </w:rPr>
        <w:t>时间：  年  月   日</w:t>
      </w:r>
      <w:r>
        <w:rPr>
          <w:rFonts w:hint="eastAsia" w:ascii="宋体" w:hAnsi="宋体"/>
          <w:sz w:val="28"/>
          <w:szCs w:val="28"/>
        </w:rPr>
        <w:br w:type="page"/>
      </w:r>
      <w:r>
        <w:rPr>
          <w:rFonts w:hint="eastAsia" w:ascii="宋体" w:hAnsi="宋体"/>
          <w:sz w:val="28"/>
          <w:szCs w:val="28"/>
        </w:rPr>
        <w:t>附件</w:t>
      </w:r>
      <w:r>
        <w:rPr>
          <w:rFonts w:hint="eastAsia" w:hAnsi="宋体"/>
          <w:sz w:val="28"/>
          <w:szCs w:val="28"/>
          <w:lang w:val="en-US" w:eastAsia="zh-CN"/>
        </w:rPr>
        <w:t>5</w:t>
      </w:r>
      <w:r>
        <w:rPr>
          <w:rFonts w:hint="eastAsia" w:ascii="宋体" w:hAnsi="宋体"/>
          <w:sz w:val="28"/>
          <w:szCs w:val="28"/>
        </w:rPr>
        <w:t>：</w:t>
      </w:r>
    </w:p>
    <w:p w14:paraId="7A520085">
      <w:pPr>
        <w:spacing w:line="360" w:lineRule="auto"/>
        <w:jc w:val="center"/>
        <w:rPr>
          <w:rFonts w:hint="eastAsia" w:ascii="宋体" w:hAnsi="宋体"/>
          <w:b/>
          <w:sz w:val="36"/>
          <w:szCs w:val="36"/>
        </w:rPr>
      </w:pPr>
      <w:r>
        <w:rPr>
          <w:rFonts w:hint="eastAsia" w:ascii="宋体" w:hAnsi="宋体"/>
          <w:b/>
          <w:sz w:val="36"/>
          <w:szCs w:val="36"/>
        </w:rPr>
        <w:t>供应商基本情况表</w:t>
      </w:r>
    </w:p>
    <w:tbl>
      <w:tblPr>
        <w:tblStyle w:val="11"/>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141F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8" w:type="dxa"/>
            <w:noWrap w:val="0"/>
            <w:vAlign w:val="center"/>
          </w:tcPr>
          <w:p w14:paraId="5CE505F9">
            <w:pPr>
              <w:jc w:val="center"/>
              <w:rPr>
                <w:rFonts w:hint="eastAsia" w:ascii="宋体" w:hAnsi="宋体" w:cs="宋体"/>
                <w:sz w:val="24"/>
              </w:rPr>
            </w:pPr>
            <w:r>
              <w:rPr>
                <w:rFonts w:hint="eastAsia" w:ascii="宋体" w:hAnsi="宋体" w:cs="宋体"/>
                <w:sz w:val="24"/>
              </w:rPr>
              <w:t>供应商全称</w:t>
            </w:r>
          </w:p>
        </w:tc>
        <w:tc>
          <w:tcPr>
            <w:tcW w:w="6859" w:type="dxa"/>
            <w:gridSpan w:val="3"/>
            <w:noWrap w:val="0"/>
            <w:vAlign w:val="center"/>
          </w:tcPr>
          <w:p w14:paraId="065E5D3E">
            <w:pPr>
              <w:jc w:val="center"/>
              <w:rPr>
                <w:rFonts w:hint="eastAsia" w:ascii="宋体" w:hAnsi="宋体" w:cs="宋体"/>
                <w:b/>
                <w:sz w:val="24"/>
              </w:rPr>
            </w:pPr>
          </w:p>
        </w:tc>
      </w:tr>
      <w:tr w14:paraId="073C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8" w:type="dxa"/>
            <w:noWrap w:val="0"/>
            <w:vAlign w:val="center"/>
          </w:tcPr>
          <w:p w14:paraId="4CFC88B5">
            <w:pPr>
              <w:jc w:val="center"/>
              <w:rPr>
                <w:rFonts w:hint="eastAsia" w:ascii="宋体" w:hAnsi="宋体" w:cs="宋体"/>
                <w:sz w:val="24"/>
              </w:rPr>
            </w:pPr>
            <w:r>
              <w:rPr>
                <w:rFonts w:hint="eastAsia" w:ascii="宋体" w:hAnsi="宋体" w:cs="宋体"/>
                <w:sz w:val="24"/>
              </w:rPr>
              <w:t>主要业务范围</w:t>
            </w:r>
          </w:p>
        </w:tc>
        <w:tc>
          <w:tcPr>
            <w:tcW w:w="6859" w:type="dxa"/>
            <w:gridSpan w:val="3"/>
            <w:noWrap w:val="0"/>
            <w:vAlign w:val="center"/>
          </w:tcPr>
          <w:p w14:paraId="0E40C70D">
            <w:pPr>
              <w:jc w:val="center"/>
              <w:rPr>
                <w:rFonts w:hint="eastAsia" w:ascii="宋体" w:hAnsi="宋体" w:cs="宋体"/>
                <w:b/>
                <w:sz w:val="24"/>
              </w:rPr>
            </w:pPr>
          </w:p>
        </w:tc>
      </w:tr>
      <w:tr w14:paraId="4B4B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8" w:type="dxa"/>
            <w:noWrap w:val="0"/>
            <w:vAlign w:val="center"/>
          </w:tcPr>
          <w:p w14:paraId="3EFEDD30">
            <w:pPr>
              <w:jc w:val="center"/>
              <w:rPr>
                <w:rFonts w:hint="eastAsia" w:ascii="宋体" w:hAnsi="宋体" w:cs="宋体"/>
                <w:sz w:val="24"/>
              </w:rPr>
            </w:pPr>
            <w:r>
              <w:rPr>
                <w:rFonts w:hint="eastAsia" w:ascii="宋体" w:hAnsi="宋体" w:cs="宋体"/>
                <w:sz w:val="24"/>
              </w:rPr>
              <w:t>法定代表人姓名</w:t>
            </w:r>
          </w:p>
        </w:tc>
        <w:tc>
          <w:tcPr>
            <w:tcW w:w="3036" w:type="dxa"/>
            <w:noWrap w:val="0"/>
            <w:vAlign w:val="center"/>
          </w:tcPr>
          <w:p w14:paraId="19A9CE21">
            <w:pPr>
              <w:jc w:val="center"/>
              <w:rPr>
                <w:rFonts w:hint="eastAsia" w:ascii="宋体" w:hAnsi="宋体" w:cs="宋体"/>
                <w:b/>
                <w:sz w:val="24"/>
              </w:rPr>
            </w:pPr>
          </w:p>
        </w:tc>
        <w:tc>
          <w:tcPr>
            <w:tcW w:w="1536" w:type="dxa"/>
            <w:noWrap w:val="0"/>
            <w:vAlign w:val="center"/>
          </w:tcPr>
          <w:p w14:paraId="45B96B3C">
            <w:pPr>
              <w:jc w:val="center"/>
              <w:rPr>
                <w:rFonts w:hint="eastAsia" w:ascii="宋体" w:hAnsi="宋体" w:cs="宋体"/>
                <w:sz w:val="24"/>
              </w:rPr>
            </w:pPr>
            <w:r>
              <w:rPr>
                <w:rFonts w:hint="eastAsia" w:ascii="宋体" w:hAnsi="宋体" w:cs="宋体"/>
                <w:sz w:val="24"/>
              </w:rPr>
              <w:t>职    务</w:t>
            </w:r>
          </w:p>
        </w:tc>
        <w:tc>
          <w:tcPr>
            <w:tcW w:w="2287" w:type="dxa"/>
            <w:noWrap w:val="0"/>
            <w:vAlign w:val="top"/>
          </w:tcPr>
          <w:p w14:paraId="4A2D6A77">
            <w:pPr>
              <w:rPr>
                <w:rFonts w:hint="eastAsia" w:ascii="宋体" w:hAnsi="宋体" w:cs="宋体"/>
                <w:b/>
                <w:sz w:val="24"/>
              </w:rPr>
            </w:pPr>
          </w:p>
        </w:tc>
      </w:tr>
      <w:tr w14:paraId="7A18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8" w:type="dxa"/>
            <w:noWrap w:val="0"/>
            <w:vAlign w:val="center"/>
          </w:tcPr>
          <w:p w14:paraId="4DFFD548">
            <w:pPr>
              <w:jc w:val="center"/>
              <w:rPr>
                <w:rFonts w:hint="eastAsia" w:ascii="宋体" w:hAnsi="宋体" w:cs="宋体"/>
                <w:sz w:val="24"/>
              </w:rPr>
            </w:pPr>
            <w:r>
              <w:rPr>
                <w:rFonts w:hint="eastAsia" w:ascii="宋体" w:hAnsi="宋体" w:cs="宋体"/>
                <w:sz w:val="24"/>
              </w:rPr>
              <w:t>供应商地址</w:t>
            </w:r>
          </w:p>
        </w:tc>
        <w:tc>
          <w:tcPr>
            <w:tcW w:w="3036" w:type="dxa"/>
            <w:noWrap w:val="0"/>
            <w:vAlign w:val="center"/>
          </w:tcPr>
          <w:p w14:paraId="568FD41B">
            <w:pPr>
              <w:jc w:val="center"/>
              <w:rPr>
                <w:rFonts w:hint="eastAsia" w:ascii="宋体" w:hAnsi="宋体" w:cs="宋体"/>
                <w:b/>
                <w:sz w:val="24"/>
              </w:rPr>
            </w:pPr>
          </w:p>
        </w:tc>
        <w:tc>
          <w:tcPr>
            <w:tcW w:w="1536" w:type="dxa"/>
            <w:noWrap w:val="0"/>
            <w:vAlign w:val="center"/>
          </w:tcPr>
          <w:p w14:paraId="2B3FE168">
            <w:pPr>
              <w:jc w:val="center"/>
              <w:rPr>
                <w:rFonts w:hint="eastAsia" w:ascii="宋体" w:hAnsi="宋体" w:cs="宋体"/>
                <w:sz w:val="24"/>
              </w:rPr>
            </w:pPr>
            <w:r>
              <w:rPr>
                <w:rFonts w:hint="eastAsia" w:ascii="宋体" w:hAnsi="宋体" w:cs="宋体"/>
                <w:sz w:val="24"/>
              </w:rPr>
              <w:t>邮政编码</w:t>
            </w:r>
          </w:p>
        </w:tc>
        <w:tc>
          <w:tcPr>
            <w:tcW w:w="2287" w:type="dxa"/>
            <w:noWrap w:val="0"/>
            <w:vAlign w:val="top"/>
          </w:tcPr>
          <w:p w14:paraId="02578F8B">
            <w:pPr>
              <w:rPr>
                <w:rFonts w:hint="eastAsia" w:ascii="宋体" w:hAnsi="宋体" w:cs="宋体"/>
                <w:b/>
                <w:sz w:val="24"/>
              </w:rPr>
            </w:pPr>
          </w:p>
        </w:tc>
      </w:tr>
      <w:tr w14:paraId="0F07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8" w:type="dxa"/>
            <w:noWrap w:val="0"/>
            <w:vAlign w:val="center"/>
          </w:tcPr>
          <w:p w14:paraId="1DF68BDC">
            <w:pPr>
              <w:jc w:val="center"/>
              <w:rPr>
                <w:rFonts w:hint="eastAsia" w:ascii="宋体" w:hAnsi="宋体" w:cs="宋体"/>
                <w:sz w:val="24"/>
              </w:rPr>
            </w:pPr>
            <w:r>
              <w:rPr>
                <w:rFonts w:hint="eastAsia" w:ascii="宋体" w:hAnsi="宋体" w:cs="宋体"/>
                <w:sz w:val="24"/>
              </w:rPr>
              <w:t>电       话</w:t>
            </w:r>
          </w:p>
        </w:tc>
        <w:tc>
          <w:tcPr>
            <w:tcW w:w="3036" w:type="dxa"/>
            <w:noWrap w:val="0"/>
            <w:vAlign w:val="center"/>
          </w:tcPr>
          <w:p w14:paraId="08EBE03B">
            <w:pPr>
              <w:jc w:val="center"/>
              <w:rPr>
                <w:rFonts w:hint="eastAsia" w:ascii="宋体" w:hAnsi="宋体" w:cs="宋体"/>
                <w:b/>
                <w:sz w:val="24"/>
              </w:rPr>
            </w:pPr>
          </w:p>
        </w:tc>
        <w:tc>
          <w:tcPr>
            <w:tcW w:w="1536" w:type="dxa"/>
            <w:noWrap w:val="0"/>
            <w:vAlign w:val="center"/>
          </w:tcPr>
          <w:p w14:paraId="127BB6E1">
            <w:pPr>
              <w:jc w:val="center"/>
              <w:rPr>
                <w:rFonts w:hint="eastAsia" w:ascii="宋体" w:hAnsi="宋体" w:cs="宋体"/>
                <w:sz w:val="24"/>
              </w:rPr>
            </w:pPr>
            <w:r>
              <w:rPr>
                <w:rFonts w:hint="eastAsia" w:ascii="宋体" w:hAnsi="宋体" w:cs="宋体"/>
                <w:sz w:val="24"/>
              </w:rPr>
              <w:t>传   真</w:t>
            </w:r>
          </w:p>
        </w:tc>
        <w:tc>
          <w:tcPr>
            <w:tcW w:w="2287" w:type="dxa"/>
            <w:noWrap w:val="0"/>
            <w:vAlign w:val="top"/>
          </w:tcPr>
          <w:p w14:paraId="076A6F6E">
            <w:pPr>
              <w:rPr>
                <w:rFonts w:hint="eastAsia" w:ascii="宋体" w:hAnsi="宋体" w:cs="宋体"/>
                <w:b/>
                <w:sz w:val="24"/>
              </w:rPr>
            </w:pPr>
          </w:p>
        </w:tc>
      </w:tr>
      <w:tr w14:paraId="7870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8" w:type="dxa"/>
            <w:noWrap w:val="0"/>
            <w:vAlign w:val="center"/>
          </w:tcPr>
          <w:p w14:paraId="1F4934B5">
            <w:pPr>
              <w:jc w:val="center"/>
              <w:rPr>
                <w:rFonts w:hint="eastAsia" w:ascii="宋体" w:hAnsi="宋体" w:cs="宋体"/>
                <w:sz w:val="24"/>
              </w:rPr>
            </w:pPr>
            <w:r>
              <w:rPr>
                <w:rFonts w:hint="eastAsia" w:ascii="宋体" w:hAnsi="宋体" w:cs="宋体"/>
                <w:sz w:val="24"/>
              </w:rPr>
              <w:t>成立日期</w:t>
            </w:r>
          </w:p>
        </w:tc>
        <w:tc>
          <w:tcPr>
            <w:tcW w:w="3036" w:type="dxa"/>
            <w:noWrap w:val="0"/>
            <w:vAlign w:val="center"/>
          </w:tcPr>
          <w:p w14:paraId="5E458BEB">
            <w:pPr>
              <w:jc w:val="center"/>
              <w:rPr>
                <w:rFonts w:hint="eastAsia" w:ascii="宋体" w:hAnsi="宋体" w:cs="宋体"/>
                <w:b/>
                <w:sz w:val="24"/>
              </w:rPr>
            </w:pPr>
          </w:p>
        </w:tc>
        <w:tc>
          <w:tcPr>
            <w:tcW w:w="1536" w:type="dxa"/>
            <w:noWrap w:val="0"/>
            <w:vAlign w:val="center"/>
          </w:tcPr>
          <w:p w14:paraId="30AF66CA">
            <w:pPr>
              <w:jc w:val="center"/>
              <w:rPr>
                <w:rFonts w:hint="eastAsia" w:ascii="宋体" w:hAnsi="宋体" w:cs="宋体"/>
                <w:sz w:val="24"/>
              </w:rPr>
            </w:pPr>
            <w:r>
              <w:rPr>
                <w:rFonts w:hint="eastAsia" w:ascii="宋体" w:hAnsi="宋体" w:cs="宋体"/>
                <w:sz w:val="24"/>
              </w:rPr>
              <w:t>现 有 职</w:t>
            </w:r>
          </w:p>
          <w:p w14:paraId="3DD39D07">
            <w:pPr>
              <w:jc w:val="center"/>
              <w:rPr>
                <w:rFonts w:hint="eastAsia" w:ascii="宋体" w:hAnsi="宋体" w:cs="宋体"/>
                <w:sz w:val="24"/>
              </w:rPr>
            </w:pPr>
            <w:r>
              <w:rPr>
                <w:rFonts w:hint="eastAsia" w:ascii="宋体" w:hAnsi="宋体" w:cs="宋体"/>
                <w:sz w:val="24"/>
              </w:rPr>
              <w:t>工 人 数</w:t>
            </w:r>
          </w:p>
        </w:tc>
        <w:tc>
          <w:tcPr>
            <w:tcW w:w="2287" w:type="dxa"/>
            <w:noWrap w:val="0"/>
            <w:vAlign w:val="top"/>
          </w:tcPr>
          <w:p w14:paraId="46A338EB">
            <w:pPr>
              <w:rPr>
                <w:rFonts w:hint="eastAsia" w:ascii="宋体" w:hAnsi="宋体" w:cs="宋体"/>
                <w:b/>
                <w:sz w:val="24"/>
              </w:rPr>
            </w:pPr>
          </w:p>
        </w:tc>
      </w:tr>
      <w:tr w14:paraId="4DDE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8" w:type="dxa"/>
            <w:noWrap w:val="0"/>
            <w:vAlign w:val="center"/>
          </w:tcPr>
          <w:p w14:paraId="0C288A5B">
            <w:pPr>
              <w:pStyle w:val="8"/>
              <w:jc w:val="center"/>
              <w:rPr>
                <w:rFonts w:hint="eastAsia" w:ascii="宋体" w:hAnsi="宋体" w:cs="宋体"/>
                <w:sz w:val="24"/>
                <w:szCs w:val="24"/>
              </w:rPr>
            </w:pPr>
            <w:r>
              <w:rPr>
                <w:rFonts w:hint="eastAsia" w:ascii="宋体" w:hAnsi="宋体" w:cs="宋体"/>
                <w:sz w:val="24"/>
                <w:szCs w:val="24"/>
              </w:rPr>
              <w:t>资质等级证书（如有）</w:t>
            </w:r>
          </w:p>
        </w:tc>
        <w:tc>
          <w:tcPr>
            <w:tcW w:w="6859" w:type="dxa"/>
            <w:gridSpan w:val="3"/>
            <w:noWrap w:val="0"/>
            <w:vAlign w:val="top"/>
          </w:tcPr>
          <w:p w14:paraId="2DA9350B">
            <w:pPr>
              <w:rPr>
                <w:rFonts w:hint="eastAsia" w:ascii="宋体" w:hAnsi="宋体" w:cs="宋体"/>
                <w:b/>
                <w:sz w:val="24"/>
              </w:rPr>
            </w:pPr>
          </w:p>
          <w:p w14:paraId="47C9006E">
            <w:pPr>
              <w:rPr>
                <w:rFonts w:hint="eastAsia" w:ascii="宋体" w:hAnsi="宋体" w:cs="宋体"/>
                <w:sz w:val="24"/>
              </w:rPr>
            </w:pPr>
            <w:r>
              <w:rPr>
                <w:rFonts w:hint="eastAsia" w:ascii="宋体" w:hAnsi="宋体" w:cs="宋体"/>
                <w:sz w:val="24"/>
              </w:rPr>
              <w:t>等 级：                   证书号：</w:t>
            </w:r>
          </w:p>
        </w:tc>
      </w:tr>
      <w:tr w14:paraId="290F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67" w:type="dxa"/>
            <w:gridSpan w:val="4"/>
            <w:tcBorders>
              <w:bottom w:val="single" w:color="auto" w:sz="4" w:space="0"/>
            </w:tcBorders>
            <w:noWrap w:val="0"/>
            <w:vAlign w:val="top"/>
          </w:tcPr>
          <w:p w14:paraId="0D7546D1">
            <w:pPr>
              <w:rPr>
                <w:rFonts w:hint="eastAsia" w:ascii="宋体" w:hAnsi="宋体" w:cs="宋体"/>
                <w:sz w:val="24"/>
              </w:rPr>
            </w:pPr>
            <w:r>
              <w:rPr>
                <w:rFonts w:hint="eastAsia" w:ascii="宋体" w:hAnsi="宋体" w:cs="宋体"/>
                <w:sz w:val="24"/>
              </w:rPr>
              <w:t>单位简介：</w:t>
            </w:r>
          </w:p>
          <w:p w14:paraId="2245CE68">
            <w:pPr>
              <w:ind w:firstLine="2880"/>
              <w:rPr>
                <w:rFonts w:hint="eastAsia" w:ascii="宋体" w:hAnsi="宋体" w:cs="宋体"/>
                <w:sz w:val="24"/>
              </w:rPr>
            </w:pPr>
          </w:p>
          <w:p w14:paraId="63FABEDA">
            <w:pPr>
              <w:ind w:firstLine="2880"/>
              <w:rPr>
                <w:rFonts w:hint="eastAsia" w:ascii="宋体" w:hAnsi="宋体" w:cs="宋体"/>
                <w:sz w:val="24"/>
              </w:rPr>
            </w:pPr>
          </w:p>
          <w:p w14:paraId="2FB2BDA9">
            <w:pPr>
              <w:rPr>
                <w:rFonts w:hint="eastAsia" w:ascii="宋体" w:hAnsi="宋体" w:cs="宋体"/>
                <w:sz w:val="24"/>
              </w:rPr>
            </w:pPr>
          </w:p>
        </w:tc>
      </w:tr>
    </w:tbl>
    <w:p w14:paraId="42E27CD7">
      <w:pPr>
        <w:pStyle w:val="10"/>
        <w:ind w:firstLine="480"/>
        <w:rPr>
          <w:rFonts w:hint="eastAsia" w:ascii="宋体" w:hAnsi="宋体" w:cs="宋体"/>
          <w:sz w:val="24"/>
        </w:rPr>
      </w:pPr>
    </w:p>
    <w:p w14:paraId="2861F304">
      <w:pPr>
        <w:snapToGrid w:val="0"/>
        <w:spacing w:line="360" w:lineRule="auto"/>
        <w:ind w:firstLine="3600" w:firstLineChars="1500"/>
        <w:rPr>
          <w:rFonts w:hint="eastAsia" w:ascii="宋体" w:hAnsi="宋体" w:cs="宋体"/>
          <w:sz w:val="24"/>
        </w:rPr>
      </w:pPr>
      <w:r>
        <w:rPr>
          <w:rFonts w:hint="eastAsia" w:ascii="宋体" w:hAnsi="宋体" w:cs="宋体"/>
          <w:sz w:val="24"/>
        </w:rPr>
        <w:t>供应商（盖单位章）：</w:t>
      </w:r>
      <w:r>
        <w:rPr>
          <w:rFonts w:hint="eastAsia" w:ascii="宋体" w:hAnsi="宋体" w:cs="宋体"/>
          <w:sz w:val="24"/>
          <w:u w:val="single"/>
        </w:rPr>
        <w:t xml:space="preserve">                    </w:t>
      </w:r>
    </w:p>
    <w:p w14:paraId="0866BC66">
      <w:pPr>
        <w:kinsoku w:val="0"/>
        <w:topLinePunct/>
        <w:snapToGrid w:val="0"/>
        <w:spacing w:line="360" w:lineRule="auto"/>
        <w:ind w:firstLine="3600" w:firstLineChars="1500"/>
        <w:rPr>
          <w:rFonts w:ascii="宋体" w:hAnsi="宋体" w:cs="仿宋_GB2312"/>
          <w:sz w:val="24"/>
        </w:rPr>
      </w:pPr>
      <w:r>
        <w:rPr>
          <w:rFonts w:hint="eastAsia" w:ascii="宋体" w:hAnsi="宋体" w:cs="仿宋_GB2312"/>
          <w:sz w:val="24"/>
        </w:rPr>
        <w:t>法定代表人或其委托代理人（签字或盖章）：</w:t>
      </w:r>
    </w:p>
    <w:p w14:paraId="0099FD34">
      <w:pPr>
        <w:shd w:val="clear" w:color="auto" w:fill="auto"/>
        <w:snapToGrid w:val="0"/>
        <w:spacing w:line="360" w:lineRule="auto"/>
        <w:ind w:firstLine="3600" w:firstLineChars="1500"/>
        <w:rPr>
          <w:rFonts w:hint="eastAsia" w:ascii="宋体" w:hAnsi="宋体" w:eastAsia="宋体" w:cs="宋体"/>
          <w:color w:val="auto"/>
          <w:sz w:val="24"/>
          <w:szCs w:val="24"/>
          <w:highlight w:val="none"/>
        </w:rPr>
      </w:pPr>
      <w:r>
        <w:rPr>
          <w:rFonts w:hint="eastAsia" w:ascii="宋体" w:hAnsi="宋体" w:cs="宋体"/>
          <w:sz w:val="24"/>
        </w:rPr>
        <w:t>年    月    日</w:t>
      </w:r>
    </w:p>
    <w:p w14:paraId="191B110D">
      <w:pPr>
        <w:snapToGrid w:val="0"/>
        <w:spacing w:line="300" w:lineRule="auto"/>
        <w:contextualSpacing/>
        <w:rPr>
          <w:rFonts w:ascii="宋体" w:hAnsi="宋体"/>
          <w:sz w:val="28"/>
          <w:szCs w:val="28"/>
        </w:rPr>
      </w:pPr>
      <w:r>
        <w:rPr>
          <w:rFonts w:hint="eastAsia" w:ascii="宋体" w:hAnsi="宋体" w:eastAsia="宋体" w:cs="宋体"/>
          <w:color w:val="auto"/>
          <w:sz w:val="24"/>
          <w:szCs w:val="24"/>
          <w:highlight w:val="none"/>
        </w:rPr>
        <w:br w:type="page"/>
      </w:r>
      <w:r>
        <w:rPr>
          <w:rFonts w:hint="eastAsia" w:ascii="宋体" w:hAnsi="宋体"/>
          <w:sz w:val="28"/>
          <w:szCs w:val="28"/>
        </w:rPr>
        <w:t>第二部分格式：</w:t>
      </w:r>
    </w:p>
    <w:p w14:paraId="707C05C3">
      <w:pPr>
        <w:snapToGrid w:val="0"/>
        <w:spacing w:line="300" w:lineRule="auto"/>
        <w:contextualSpacing/>
        <w:rPr>
          <w:rFonts w:hint="eastAsia" w:ascii="宋体" w:hAnsi="宋体"/>
          <w:sz w:val="32"/>
          <w:szCs w:val="32"/>
        </w:rPr>
      </w:pPr>
    </w:p>
    <w:p w14:paraId="4B943BB2">
      <w:pPr>
        <w:spacing w:after="60" w:line="360" w:lineRule="auto"/>
        <w:jc w:val="center"/>
        <w:rPr>
          <w:rFonts w:ascii="宋体" w:hAnsi="宋体"/>
          <w:b/>
          <w:sz w:val="36"/>
          <w:szCs w:val="36"/>
        </w:rPr>
      </w:pPr>
      <w:r>
        <w:rPr>
          <w:rFonts w:hint="eastAsia" w:hAnsi="宋体"/>
          <w:b/>
          <w:sz w:val="36"/>
          <w:szCs w:val="36"/>
          <w:lang w:eastAsia="zh-CN"/>
        </w:rPr>
        <w:t>南通市区出租汽车运力规模评估研究项目</w:t>
      </w:r>
      <w:r>
        <w:rPr>
          <w:rFonts w:hint="eastAsia" w:ascii="宋体" w:hAnsi="宋体"/>
          <w:b/>
          <w:sz w:val="36"/>
          <w:szCs w:val="36"/>
        </w:rPr>
        <w:t>项目</w:t>
      </w:r>
    </w:p>
    <w:p w14:paraId="575B43C9">
      <w:pPr>
        <w:pStyle w:val="10"/>
        <w:rPr>
          <w:rFonts w:ascii="宋体" w:hAnsi="宋体"/>
        </w:rPr>
      </w:pPr>
    </w:p>
    <w:p w14:paraId="68C2020F">
      <w:pPr>
        <w:pStyle w:val="10"/>
        <w:rPr>
          <w:rFonts w:ascii="宋体" w:hAnsi="宋体"/>
        </w:rPr>
      </w:pPr>
    </w:p>
    <w:p w14:paraId="0B6F6AEA">
      <w:pPr>
        <w:pStyle w:val="10"/>
        <w:rPr>
          <w:rFonts w:ascii="宋体" w:hAnsi="宋体"/>
        </w:rPr>
      </w:pPr>
    </w:p>
    <w:p w14:paraId="7BB664AA">
      <w:pPr>
        <w:pStyle w:val="10"/>
        <w:rPr>
          <w:rFonts w:hint="eastAsia" w:ascii="宋体" w:hAnsi="宋体"/>
        </w:rPr>
      </w:pPr>
    </w:p>
    <w:p w14:paraId="747574E3">
      <w:pPr>
        <w:spacing w:after="60" w:line="360" w:lineRule="auto"/>
        <w:jc w:val="center"/>
        <w:rPr>
          <w:rFonts w:hint="eastAsia" w:ascii="宋体" w:hAnsi="宋体"/>
          <w:b/>
          <w:bCs/>
          <w:sz w:val="72"/>
          <w:szCs w:val="72"/>
        </w:rPr>
      </w:pPr>
      <w:r>
        <w:rPr>
          <w:rFonts w:hint="eastAsia" w:ascii="宋体" w:hAnsi="宋体"/>
          <w:b/>
          <w:bCs/>
          <w:sz w:val="72"/>
          <w:szCs w:val="72"/>
        </w:rPr>
        <w:t>响应文件</w:t>
      </w:r>
    </w:p>
    <w:p w14:paraId="1C0C8BE1">
      <w:pPr>
        <w:spacing w:after="60" w:line="360" w:lineRule="auto"/>
        <w:jc w:val="center"/>
        <w:rPr>
          <w:rFonts w:hint="eastAsia" w:ascii="宋体" w:hAnsi="宋体"/>
          <w:b/>
          <w:bCs/>
          <w:sz w:val="52"/>
          <w:szCs w:val="52"/>
        </w:rPr>
      </w:pPr>
      <w:r>
        <w:rPr>
          <w:rFonts w:hint="eastAsia" w:ascii="宋体" w:hAnsi="宋体"/>
          <w:b/>
          <w:bCs/>
          <w:sz w:val="52"/>
          <w:szCs w:val="52"/>
        </w:rPr>
        <w:t>（商务技术响应文件）</w:t>
      </w:r>
    </w:p>
    <w:p w14:paraId="2F7A7C27">
      <w:pPr>
        <w:spacing w:after="60"/>
        <w:jc w:val="center"/>
        <w:rPr>
          <w:rFonts w:ascii="宋体" w:hAnsi="宋体"/>
          <w:b/>
          <w:sz w:val="52"/>
        </w:rPr>
      </w:pPr>
    </w:p>
    <w:p w14:paraId="4F3CF0D9">
      <w:pPr>
        <w:spacing w:after="60"/>
        <w:jc w:val="center"/>
        <w:rPr>
          <w:rFonts w:ascii="宋体" w:hAnsi="宋体"/>
          <w:b/>
          <w:sz w:val="52"/>
        </w:rPr>
      </w:pPr>
    </w:p>
    <w:p w14:paraId="15B3BD7C">
      <w:pPr>
        <w:spacing w:after="60"/>
        <w:jc w:val="center"/>
        <w:rPr>
          <w:rFonts w:hint="eastAsia" w:ascii="宋体" w:hAnsi="宋体"/>
          <w:b/>
          <w:bCs/>
          <w:sz w:val="72"/>
          <w:szCs w:val="72"/>
        </w:rPr>
      </w:pPr>
    </w:p>
    <w:p w14:paraId="30101EA2">
      <w:pPr>
        <w:ind w:left="1487" w:leftChars="171" w:hanging="1077" w:hangingChars="383"/>
        <w:rPr>
          <w:rFonts w:hint="eastAsia" w:ascii="宋体" w:hAnsi="宋体"/>
          <w:b/>
          <w:sz w:val="28"/>
          <w:szCs w:val="28"/>
        </w:rPr>
      </w:pPr>
      <w:r>
        <w:rPr>
          <w:rFonts w:hint="eastAsia" w:ascii="宋体" w:hAnsi="宋体"/>
          <w:b/>
          <w:sz w:val="28"/>
          <w:szCs w:val="28"/>
        </w:rPr>
        <w:t>供应商（盖单位章）：</w:t>
      </w:r>
      <w:r>
        <w:rPr>
          <w:rFonts w:hint="eastAsia" w:ascii="宋体" w:hAnsi="宋体"/>
          <w:b/>
          <w:sz w:val="28"/>
          <w:szCs w:val="28"/>
          <w:u w:val="single"/>
        </w:rPr>
        <w:t xml:space="preserve">                                              </w:t>
      </w:r>
    </w:p>
    <w:p w14:paraId="262FB83F">
      <w:pPr>
        <w:ind w:left="1487" w:leftChars="171" w:hanging="1077" w:hangingChars="383"/>
        <w:rPr>
          <w:rFonts w:hint="eastAsia" w:ascii="宋体" w:hAnsi="宋体"/>
          <w:b/>
          <w:sz w:val="28"/>
          <w:szCs w:val="28"/>
        </w:rPr>
      </w:pPr>
    </w:p>
    <w:p w14:paraId="60E1FF14">
      <w:pPr>
        <w:ind w:left="1487" w:leftChars="171" w:hanging="1077" w:hangingChars="383"/>
        <w:rPr>
          <w:rFonts w:hint="eastAsia" w:ascii="宋体" w:hAnsi="宋体"/>
          <w:b/>
          <w:sz w:val="28"/>
          <w:szCs w:val="28"/>
          <w:u w:val="single"/>
        </w:rPr>
      </w:pPr>
      <w:r>
        <w:rPr>
          <w:rFonts w:hint="eastAsia" w:ascii="宋体" w:hAnsi="宋体"/>
          <w:b/>
          <w:sz w:val="28"/>
          <w:szCs w:val="28"/>
        </w:rPr>
        <w:t>法定代表人（或其委托代理人）（签字或盖章）</w:t>
      </w:r>
      <w:r>
        <w:rPr>
          <w:rFonts w:hint="eastAsia" w:ascii="宋体" w:hAnsi="宋体"/>
          <w:b/>
          <w:sz w:val="28"/>
          <w:szCs w:val="28"/>
          <w:u w:val="single"/>
        </w:rPr>
        <w:t xml:space="preserve">                              </w:t>
      </w:r>
    </w:p>
    <w:p w14:paraId="71ACEC7F">
      <w:pPr>
        <w:spacing w:line="312" w:lineRule="auto"/>
        <w:rPr>
          <w:rFonts w:hint="eastAsia" w:ascii="宋体" w:hAnsi="宋体"/>
          <w:b/>
          <w:sz w:val="28"/>
          <w:szCs w:val="28"/>
        </w:rPr>
      </w:pPr>
      <w:r>
        <w:rPr>
          <w:rFonts w:hint="eastAsia" w:ascii="宋体" w:hAnsi="宋体"/>
          <w:b/>
          <w:sz w:val="28"/>
          <w:szCs w:val="28"/>
        </w:rPr>
        <w:t xml:space="preserve"> </w:t>
      </w:r>
    </w:p>
    <w:p w14:paraId="7DFA19F4">
      <w:pPr>
        <w:ind w:left="1487" w:leftChars="171" w:hanging="1077" w:hangingChars="383"/>
        <w:rPr>
          <w:rFonts w:hint="eastAsia" w:ascii="宋体" w:hAnsi="宋体"/>
          <w:b/>
          <w:sz w:val="28"/>
          <w:szCs w:val="28"/>
          <w:u w:val="single"/>
        </w:rPr>
      </w:pPr>
      <w:r>
        <w:rPr>
          <w:rFonts w:hint="eastAsia" w:ascii="宋体" w:hAnsi="宋体"/>
          <w:b/>
          <w:sz w:val="28"/>
          <w:szCs w:val="28"/>
        </w:rPr>
        <w:t>日    期：</w:t>
      </w:r>
      <w:r>
        <w:rPr>
          <w:rFonts w:hint="eastAsia" w:ascii="宋体" w:hAnsi="宋体"/>
          <w:b/>
          <w:sz w:val="28"/>
          <w:szCs w:val="28"/>
          <w:u w:val="single"/>
        </w:rPr>
        <w:t xml:space="preserve">                                                       </w:t>
      </w:r>
    </w:p>
    <w:p w14:paraId="00B4ACE3">
      <w:pPr>
        <w:widowControl/>
        <w:shd w:val="clear" w:color="auto" w:fill="FFFFFF"/>
        <w:spacing w:line="440" w:lineRule="exact"/>
        <w:ind w:firstLine="643" w:firstLineChars="200"/>
        <w:jc w:val="left"/>
        <w:rPr>
          <w:rFonts w:ascii="宋体" w:hAnsi="宋体"/>
          <w:b/>
          <w:sz w:val="32"/>
          <w:szCs w:val="32"/>
          <w:u w:val="single"/>
        </w:rPr>
      </w:pPr>
    </w:p>
    <w:p w14:paraId="35ED556F">
      <w:pPr>
        <w:widowControl/>
        <w:shd w:val="clear" w:color="auto" w:fill="FFFFFF"/>
        <w:spacing w:line="440" w:lineRule="exact"/>
        <w:ind w:firstLine="643" w:firstLineChars="200"/>
        <w:jc w:val="left"/>
        <w:rPr>
          <w:rFonts w:hint="eastAsia" w:ascii="宋体" w:hAnsi="宋体" w:cs="宋体"/>
          <w:spacing w:val="7"/>
          <w:kern w:val="0"/>
          <w:sz w:val="24"/>
        </w:rPr>
      </w:pPr>
      <w:r>
        <w:rPr>
          <w:rFonts w:ascii="宋体" w:hAnsi="宋体"/>
          <w:b/>
          <w:sz w:val="32"/>
          <w:szCs w:val="32"/>
          <w:u w:val="single"/>
        </w:rPr>
        <w:br w:type="page"/>
      </w:r>
      <w:r>
        <w:rPr>
          <w:rFonts w:hint="eastAsia" w:ascii="宋体" w:hAnsi="宋体" w:cs="宋体"/>
          <w:spacing w:val="7"/>
          <w:kern w:val="0"/>
          <w:sz w:val="24"/>
        </w:rPr>
        <w:t>为方便评委评审，请供应商按评审办法中所涉及的事项顺序进行编制，可以补充相关材料。以下</w:t>
      </w:r>
      <w:r>
        <w:rPr>
          <w:rFonts w:hint="eastAsia" w:hAnsi="宋体" w:cs="宋体"/>
          <w:spacing w:val="7"/>
          <w:kern w:val="0"/>
          <w:sz w:val="24"/>
          <w:lang w:val="en-US" w:eastAsia="zh-CN"/>
        </w:rPr>
        <w:t>1-7</w:t>
      </w:r>
      <w:r>
        <w:rPr>
          <w:rFonts w:hint="eastAsia" w:ascii="宋体" w:hAnsi="宋体" w:cs="宋体"/>
          <w:spacing w:val="7"/>
          <w:kern w:val="0"/>
          <w:sz w:val="24"/>
        </w:rPr>
        <w:t>项均须提供扫描件（或复印件）并加盖供应商单位章。</w:t>
      </w:r>
    </w:p>
    <w:p w14:paraId="64AEE915">
      <w:pPr>
        <w:numPr>
          <w:ilvl w:val="0"/>
          <w:numId w:val="0"/>
        </w:numPr>
        <w:shd w:val="clear" w:color="auto" w:fill="auto"/>
        <w:snapToGrid w:val="0"/>
        <w:spacing w:line="440" w:lineRule="exact"/>
        <w:ind w:firstLine="508" w:firstLineChars="200"/>
        <w:contextualSpacing/>
        <w:rPr>
          <w:rFonts w:hint="eastAsia" w:ascii="宋体" w:hAnsi="宋体" w:cs="宋体"/>
          <w:sz w:val="24"/>
        </w:rPr>
      </w:pPr>
      <w:r>
        <w:rPr>
          <w:rFonts w:hint="eastAsia" w:hAnsi="宋体" w:cs="宋体"/>
          <w:spacing w:val="7"/>
          <w:kern w:val="0"/>
          <w:sz w:val="24"/>
          <w:lang w:val="en-US" w:eastAsia="zh-CN"/>
        </w:rPr>
        <w:t>1、</w:t>
      </w:r>
      <w:r>
        <w:rPr>
          <w:rFonts w:hint="eastAsia" w:ascii="宋体" w:hAnsi="宋体" w:cs="宋体"/>
          <w:sz w:val="24"/>
        </w:rPr>
        <w:t>服务方案</w:t>
      </w:r>
    </w:p>
    <w:p w14:paraId="4251BE03">
      <w:pPr>
        <w:numPr>
          <w:ilvl w:val="0"/>
          <w:numId w:val="12"/>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人员配备一览表</w:t>
      </w:r>
    </w:p>
    <w:p w14:paraId="12DB1041">
      <w:pPr>
        <w:numPr>
          <w:ilvl w:val="0"/>
          <w:numId w:val="12"/>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企业综合实力</w:t>
      </w:r>
    </w:p>
    <w:p w14:paraId="182C8B18">
      <w:pPr>
        <w:numPr>
          <w:ilvl w:val="0"/>
          <w:numId w:val="12"/>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类似业绩一览表</w:t>
      </w:r>
    </w:p>
    <w:p w14:paraId="5C2FF7A2">
      <w:pPr>
        <w:numPr>
          <w:ilvl w:val="0"/>
          <w:numId w:val="12"/>
        </w:numPr>
        <w:shd w:val="clear" w:color="auto" w:fill="auto"/>
        <w:snapToGrid w:val="0"/>
        <w:spacing w:line="440" w:lineRule="exact"/>
        <w:ind w:firstLine="480" w:firstLineChars="200"/>
        <w:contextualSpacing/>
        <w:rPr>
          <w:rFonts w:hint="eastAsia" w:ascii="Times New Roman"/>
          <w:color w:val="auto"/>
          <w:highlight w:val="none"/>
          <w:lang w:val="zh-CN"/>
        </w:rPr>
      </w:pPr>
      <w:r>
        <w:rPr>
          <w:rFonts w:hint="eastAsia" w:ascii="Times New Roman"/>
          <w:color w:val="auto"/>
          <w:highlight w:val="none"/>
          <w:lang w:val="zh-CN"/>
        </w:rPr>
        <w:t>评标办法中所涉及的事项需提供的所有资料；</w:t>
      </w:r>
    </w:p>
    <w:p w14:paraId="538EFB4B">
      <w:pPr>
        <w:numPr>
          <w:ilvl w:val="0"/>
          <w:numId w:val="12"/>
        </w:numPr>
        <w:shd w:val="clear" w:color="auto" w:fill="auto"/>
        <w:snapToGrid w:val="0"/>
        <w:spacing w:line="440" w:lineRule="exact"/>
        <w:ind w:firstLine="480" w:firstLineChars="200"/>
        <w:contextualSpacing/>
        <w:rPr>
          <w:rFonts w:ascii="Times New Roman"/>
          <w:color w:val="auto"/>
          <w:highlight w:val="none"/>
          <w:lang w:val="zh-CN"/>
        </w:rPr>
      </w:pPr>
      <w:r>
        <w:rPr>
          <w:rFonts w:hint="eastAsia" w:ascii="Times New Roman"/>
          <w:color w:val="auto"/>
          <w:highlight w:val="none"/>
          <w:lang w:val="zh-CN"/>
        </w:rPr>
        <w:t>评标办法中未涉及的事项，投标供应商认为需要提交的其他资料；</w:t>
      </w:r>
    </w:p>
    <w:p w14:paraId="17AF7F2B">
      <w:pPr>
        <w:numPr>
          <w:ilvl w:val="0"/>
          <w:numId w:val="12"/>
        </w:numPr>
        <w:shd w:val="clear" w:color="auto" w:fill="auto"/>
        <w:snapToGrid w:val="0"/>
        <w:spacing w:line="440" w:lineRule="exact"/>
        <w:ind w:firstLine="480" w:firstLineChars="200"/>
        <w:contextualSpacing/>
        <w:rPr>
          <w:rFonts w:ascii="Times New Roman"/>
          <w:color w:val="auto"/>
          <w:highlight w:val="none"/>
          <w:lang w:val="zh-CN"/>
        </w:rPr>
      </w:pPr>
      <w:r>
        <w:rPr>
          <w:rFonts w:hint="eastAsia" w:ascii="Times New Roman"/>
          <w:color w:val="auto"/>
          <w:highlight w:val="none"/>
          <w:lang w:val="en-US" w:eastAsia="zh-CN"/>
        </w:rPr>
        <w:t>招标</w:t>
      </w:r>
      <w:r>
        <w:rPr>
          <w:rFonts w:hint="eastAsia" w:ascii="Times New Roman"/>
          <w:color w:val="auto"/>
          <w:highlight w:val="none"/>
          <w:lang w:val="zh-CN"/>
        </w:rPr>
        <w:t>文件中要求提供的其他材料</w:t>
      </w:r>
      <w:r>
        <w:rPr>
          <w:rFonts w:ascii="Times New Roman"/>
          <w:color w:val="auto"/>
          <w:highlight w:val="none"/>
          <w:lang w:val="zh-CN"/>
        </w:rPr>
        <w:t>。</w:t>
      </w:r>
    </w:p>
    <w:p w14:paraId="786BFB35">
      <w:pPr>
        <w:widowControl/>
        <w:shd w:val="clear" w:color="auto" w:fill="FFFFFF"/>
        <w:spacing w:line="440" w:lineRule="exact"/>
        <w:ind w:firstLine="508" w:firstLineChars="200"/>
        <w:jc w:val="left"/>
        <w:rPr>
          <w:rFonts w:ascii="宋体" w:hAnsi="宋体" w:cs="宋体"/>
          <w:spacing w:val="7"/>
          <w:kern w:val="0"/>
          <w:sz w:val="24"/>
        </w:rPr>
      </w:pPr>
    </w:p>
    <w:p w14:paraId="7A6FD8F4">
      <w:pPr>
        <w:widowControl/>
        <w:shd w:val="clear" w:color="auto" w:fill="FFFFFF"/>
        <w:snapToGrid w:val="0"/>
        <w:spacing w:line="360" w:lineRule="auto"/>
        <w:ind w:firstLine="508" w:firstLineChars="200"/>
        <w:jc w:val="left"/>
        <w:rPr>
          <w:rFonts w:ascii="宋体" w:hAnsi="宋体" w:cs="宋体"/>
          <w:spacing w:val="7"/>
          <w:kern w:val="0"/>
          <w:sz w:val="24"/>
        </w:rPr>
      </w:pPr>
    </w:p>
    <w:p w14:paraId="693D51E5">
      <w:pPr>
        <w:widowControl/>
        <w:shd w:val="clear" w:color="auto" w:fill="FFFFFF"/>
        <w:snapToGrid w:val="0"/>
        <w:spacing w:line="360" w:lineRule="auto"/>
        <w:ind w:firstLine="508" w:firstLineChars="200"/>
        <w:jc w:val="left"/>
        <w:rPr>
          <w:rFonts w:ascii="宋体" w:hAnsi="宋体" w:cs="宋体"/>
          <w:spacing w:val="7"/>
          <w:kern w:val="0"/>
          <w:sz w:val="24"/>
        </w:rPr>
      </w:pPr>
    </w:p>
    <w:p w14:paraId="43251F25">
      <w:pPr>
        <w:snapToGrid w:val="0"/>
        <w:spacing w:line="300" w:lineRule="auto"/>
        <w:contextualSpacing/>
        <w:rPr>
          <w:rFonts w:hint="eastAsia" w:ascii="宋体" w:hAnsi="宋体"/>
          <w:sz w:val="28"/>
          <w:szCs w:val="28"/>
        </w:rPr>
      </w:pPr>
      <w:r>
        <w:rPr>
          <w:rFonts w:ascii="宋体" w:hAnsi="宋体"/>
          <w:b/>
          <w:sz w:val="32"/>
          <w:szCs w:val="32"/>
          <w:u w:val="single"/>
        </w:rPr>
        <w:br w:type="page"/>
      </w:r>
      <w:r>
        <w:rPr>
          <w:rFonts w:hint="eastAsia" w:ascii="宋体" w:hAnsi="宋体"/>
          <w:sz w:val="28"/>
          <w:szCs w:val="28"/>
        </w:rPr>
        <w:t>附件</w:t>
      </w:r>
      <w:r>
        <w:rPr>
          <w:rFonts w:hint="eastAsia" w:hAnsi="宋体"/>
          <w:sz w:val="28"/>
          <w:szCs w:val="28"/>
          <w:lang w:val="en-US" w:eastAsia="zh-CN"/>
        </w:rPr>
        <w:t>6</w:t>
      </w:r>
      <w:r>
        <w:rPr>
          <w:rFonts w:hint="eastAsia" w:ascii="宋体" w:hAnsi="宋体"/>
          <w:sz w:val="28"/>
          <w:szCs w:val="28"/>
        </w:rPr>
        <w:t>：</w:t>
      </w:r>
    </w:p>
    <w:p w14:paraId="52427C4A">
      <w:pPr>
        <w:widowControl/>
        <w:spacing w:line="360" w:lineRule="auto"/>
        <w:jc w:val="center"/>
        <w:rPr>
          <w:rFonts w:hint="eastAsia" w:ascii="宋体" w:hAnsi="宋体"/>
          <w:b/>
          <w:kern w:val="0"/>
          <w:szCs w:val="21"/>
        </w:rPr>
      </w:pPr>
      <w:r>
        <w:rPr>
          <w:rFonts w:hint="eastAsia" w:ascii="宋体" w:hAnsi="宋体"/>
          <w:b/>
          <w:sz w:val="30"/>
          <w:szCs w:val="30"/>
        </w:rPr>
        <w:t>类似业绩一览表</w:t>
      </w:r>
    </w:p>
    <w:tbl>
      <w:tblPr>
        <w:tblStyle w:val="11"/>
        <w:tblW w:w="520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9"/>
        <w:gridCol w:w="1327"/>
        <w:gridCol w:w="1229"/>
        <w:gridCol w:w="1352"/>
        <w:gridCol w:w="1352"/>
        <w:gridCol w:w="1348"/>
        <w:gridCol w:w="1296"/>
        <w:gridCol w:w="975"/>
      </w:tblGrid>
      <w:tr w14:paraId="47207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0" w:type="pct"/>
            <w:tcBorders>
              <w:top w:val="single" w:color="auto" w:sz="4" w:space="0"/>
              <w:left w:val="single" w:color="auto" w:sz="4" w:space="0"/>
              <w:bottom w:val="single" w:color="auto" w:sz="4" w:space="0"/>
              <w:right w:val="single" w:color="auto" w:sz="4" w:space="0"/>
            </w:tcBorders>
            <w:noWrap w:val="0"/>
            <w:vAlign w:val="center"/>
          </w:tcPr>
          <w:p w14:paraId="446256A7">
            <w:pPr>
              <w:widowControl/>
              <w:spacing w:before="240" w:beforeLines="100" w:after="240" w:afterLines="100"/>
              <w:jc w:val="center"/>
              <w:rPr>
                <w:rFonts w:ascii="宋体" w:hAnsi="宋体"/>
                <w:kern w:val="0"/>
                <w:sz w:val="24"/>
              </w:rPr>
            </w:pPr>
            <w:r>
              <w:rPr>
                <w:rFonts w:hint="eastAsia" w:ascii="宋体" w:hAnsi="宋体"/>
                <w:kern w:val="0"/>
                <w:sz w:val="24"/>
              </w:rPr>
              <w:t>序号</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3CFAD700">
            <w:pPr>
              <w:widowControl/>
              <w:spacing w:before="240" w:beforeLines="100" w:after="240" w:afterLines="100"/>
              <w:jc w:val="center"/>
              <w:rPr>
                <w:rFonts w:ascii="宋体" w:hAnsi="宋体"/>
                <w:kern w:val="0"/>
                <w:sz w:val="24"/>
              </w:rPr>
            </w:pPr>
            <w:r>
              <w:rPr>
                <w:rFonts w:hint="eastAsia" w:ascii="宋体" w:hAnsi="宋体"/>
                <w:kern w:val="0"/>
                <w:sz w:val="24"/>
              </w:rPr>
              <w:t>项目名称</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7FF1F4A0">
            <w:pPr>
              <w:widowControl/>
              <w:spacing w:before="240" w:beforeLines="100" w:after="240" w:afterLines="100"/>
              <w:jc w:val="center"/>
              <w:rPr>
                <w:rFonts w:ascii="宋体" w:hAnsi="宋体"/>
                <w:kern w:val="0"/>
                <w:sz w:val="24"/>
              </w:rPr>
            </w:pPr>
            <w:r>
              <w:rPr>
                <w:rFonts w:hint="eastAsia" w:ascii="宋体" w:hAnsi="宋体"/>
                <w:kern w:val="0"/>
                <w:sz w:val="24"/>
              </w:rPr>
              <w:t>项目地点</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0EBDDF6C">
            <w:pPr>
              <w:widowControl/>
              <w:spacing w:before="240" w:beforeLines="100" w:after="240" w:afterLines="100"/>
              <w:jc w:val="center"/>
              <w:rPr>
                <w:rFonts w:ascii="宋体" w:hAnsi="宋体"/>
                <w:kern w:val="0"/>
                <w:sz w:val="24"/>
              </w:rPr>
            </w:pPr>
            <w:r>
              <w:rPr>
                <w:rFonts w:hint="eastAsia" w:ascii="宋体" w:hAnsi="宋体"/>
                <w:kern w:val="0"/>
                <w:sz w:val="24"/>
              </w:rPr>
              <w:t>合同金额（元）</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2ADE1415">
            <w:pPr>
              <w:widowControl/>
              <w:spacing w:before="240" w:beforeLines="100" w:after="240" w:afterLines="100"/>
              <w:jc w:val="center"/>
              <w:rPr>
                <w:rFonts w:hint="eastAsia" w:ascii="宋体" w:hAnsi="宋体"/>
                <w:kern w:val="0"/>
                <w:sz w:val="24"/>
              </w:rPr>
            </w:pPr>
            <w:r>
              <w:rPr>
                <w:rFonts w:hint="eastAsia" w:ascii="宋体" w:hAnsi="宋体"/>
                <w:kern w:val="0"/>
                <w:sz w:val="24"/>
              </w:rPr>
              <w:t>合同签订</w:t>
            </w:r>
          </w:p>
          <w:p w14:paraId="7120FF3B">
            <w:pPr>
              <w:widowControl/>
              <w:spacing w:before="240" w:beforeLines="100" w:after="240" w:afterLines="100"/>
              <w:jc w:val="center"/>
              <w:rPr>
                <w:rFonts w:ascii="宋体" w:hAnsi="宋体"/>
                <w:kern w:val="0"/>
                <w:sz w:val="24"/>
              </w:rPr>
            </w:pPr>
            <w:r>
              <w:rPr>
                <w:rFonts w:hint="eastAsia" w:ascii="宋体" w:hAnsi="宋体"/>
                <w:kern w:val="0"/>
                <w:sz w:val="24"/>
              </w:rPr>
              <w:t>日期</w:t>
            </w:r>
          </w:p>
        </w:tc>
        <w:tc>
          <w:tcPr>
            <w:tcW w:w="705" w:type="pct"/>
            <w:tcBorders>
              <w:top w:val="single" w:color="auto" w:sz="4" w:space="0"/>
              <w:left w:val="single" w:color="auto" w:sz="4" w:space="0"/>
              <w:bottom w:val="single" w:color="auto" w:sz="4" w:space="0"/>
              <w:right w:val="single" w:color="auto" w:sz="4" w:space="0"/>
            </w:tcBorders>
            <w:noWrap w:val="0"/>
            <w:vAlign w:val="center"/>
          </w:tcPr>
          <w:p w14:paraId="53C06F72">
            <w:pPr>
              <w:widowControl/>
              <w:spacing w:before="240" w:beforeLines="100" w:after="240" w:afterLines="100"/>
              <w:jc w:val="center"/>
              <w:rPr>
                <w:rFonts w:ascii="宋体" w:hAnsi="宋体"/>
                <w:kern w:val="0"/>
                <w:sz w:val="24"/>
              </w:rPr>
            </w:pPr>
            <w:r>
              <w:rPr>
                <w:rFonts w:hint="eastAsia" w:ascii="宋体" w:hAnsi="宋体"/>
                <w:kern w:val="0"/>
                <w:sz w:val="24"/>
              </w:rPr>
              <w:t>项目负责人</w:t>
            </w:r>
          </w:p>
        </w:tc>
        <w:tc>
          <w:tcPr>
            <w:tcW w:w="678" w:type="pct"/>
            <w:tcBorders>
              <w:top w:val="single" w:color="auto" w:sz="4" w:space="0"/>
              <w:left w:val="single" w:color="auto" w:sz="4" w:space="0"/>
              <w:bottom w:val="single" w:color="auto" w:sz="4" w:space="0"/>
              <w:right w:val="single" w:color="auto" w:sz="4" w:space="0"/>
            </w:tcBorders>
            <w:noWrap w:val="0"/>
            <w:vAlign w:val="center"/>
          </w:tcPr>
          <w:p w14:paraId="29514DE4">
            <w:pPr>
              <w:widowControl/>
              <w:spacing w:before="240" w:beforeLines="100" w:after="240" w:afterLines="100"/>
              <w:jc w:val="center"/>
              <w:rPr>
                <w:rFonts w:ascii="宋体" w:hAnsi="宋体"/>
                <w:kern w:val="0"/>
                <w:sz w:val="24"/>
              </w:rPr>
            </w:pPr>
            <w:r>
              <w:rPr>
                <w:rFonts w:hint="eastAsia" w:ascii="宋体" w:hAnsi="宋体"/>
                <w:kern w:val="0"/>
                <w:sz w:val="24"/>
              </w:rPr>
              <w:t>完工日期</w:t>
            </w:r>
          </w:p>
        </w:tc>
        <w:tc>
          <w:tcPr>
            <w:tcW w:w="510" w:type="pct"/>
            <w:tcBorders>
              <w:top w:val="single" w:color="auto" w:sz="4" w:space="0"/>
              <w:left w:val="single" w:color="auto" w:sz="4" w:space="0"/>
              <w:bottom w:val="single" w:color="auto" w:sz="4" w:space="0"/>
              <w:right w:val="single" w:color="auto" w:sz="4" w:space="0"/>
            </w:tcBorders>
            <w:noWrap w:val="0"/>
            <w:vAlign w:val="center"/>
          </w:tcPr>
          <w:p w14:paraId="1839CB55">
            <w:pPr>
              <w:widowControl/>
              <w:spacing w:before="240" w:beforeLines="100" w:after="240" w:afterLines="100"/>
              <w:jc w:val="center"/>
              <w:rPr>
                <w:rFonts w:hint="eastAsia" w:ascii="宋体" w:hAnsi="宋体"/>
                <w:kern w:val="0"/>
                <w:sz w:val="24"/>
              </w:rPr>
            </w:pPr>
            <w:r>
              <w:rPr>
                <w:rFonts w:hint="eastAsia" w:ascii="宋体" w:hAnsi="宋体"/>
                <w:kern w:val="0"/>
                <w:sz w:val="24"/>
              </w:rPr>
              <w:t>备注</w:t>
            </w:r>
          </w:p>
        </w:tc>
      </w:tr>
      <w:tr w14:paraId="4BFBF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0" w:type="pct"/>
            <w:tcBorders>
              <w:top w:val="single" w:color="auto" w:sz="4" w:space="0"/>
              <w:left w:val="single" w:color="auto" w:sz="4" w:space="0"/>
              <w:bottom w:val="single" w:color="auto" w:sz="4" w:space="0"/>
              <w:right w:val="single" w:color="auto" w:sz="4" w:space="0"/>
            </w:tcBorders>
            <w:noWrap w:val="0"/>
            <w:vAlign w:val="center"/>
          </w:tcPr>
          <w:p w14:paraId="55C5DB32">
            <w:pPr>
              <w:widowControl/>
              <w:spacing w:before="240" w:beforeLines="100" w:after="240" w:afterLines="100"/>
              <w:jc w:val="center"/>
              <w:rPr>
                <w:rFonts w:ascii="宋体" w:hAnsi="宋体"/>
                <w:kern w:val="0"/>
                <w:sz w:val="24"/>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43129511">
            <w:pPr>
              <w:widowControl/>
              <w:spacing w:before="240" w:beforeLines="100" w:after="240" w:afterLines="100"/>
              <w:jc w:val="center"/>
              <w:rPr>
                <w:rFonts w:ascii="宋体" w:hAnsi="宋体"/>
                <w:kern w:val="0"/>
                <w:sz w:val="24"/>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256FD3E5">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5E02CC3B">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20B1A548">
            <w:pPr>
              <w:widowControl/>
              <w:spacing w:before="240" w:beforeLines="100" w:after="240" w:afterLines="100"/>
              <w:jc w:val="center"/>
              <w:rPr>
                <w:rFonts w:ascii="宋体" w:hAnsi="宋体"/>
                <w:kern w:val="0"/>
                <w:sz w:val="24"/>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431083B4">
            <w:pPr>
              <w:widowControl/>
              <w:spacing w:before="240" w:beforeLines="100" w:after="240" w:afterLines="100"/>
              <w:jc w:val="center"/>
              <w:rPr>
                <w:rFonts w:ascii="宋体" w:hAnsi="宋体"/>
                <w:kern w:val="0"/>
                <w:sz w:val="24"/>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71E2C7E0">
            <w:pPr>
              <w:widowControl/>
              <w:spacing w:before="240" w:beforeLines="100" w:after="240" w:afterLines="100"/>
              <w:jc w:val="center"/>
              <w:rPr>
                <w:rFonts w:ascii="宋体" w:hAnsi="宋体"/>
                <w:kern w:val="0"/>
                <w:sz w:val="24"/>
              </w:rPr>
            </w:pPr>
          </w:p>
        </w:tc>
        <w:tc>
          <w:tcPr>
            <w:tcW w:w="510" w:type="pct"/>
            <w:tcBorders>
              <w:top w:val="single" w:color="auto" w:sz="4" w:space="0"/>
              <w:left w:val="single" w:color="auto" w:sz="4" w:space="0"/>
              <w:bottom w:val="single" w:color="auto" w:sz="4" w:space="0"/>
              <w:right w:val="single" w:color="auto" w:sz="4" w:space="0"/>
            </w:tcBorders>
            <w:noWrap w:val="0"/>
            <w:vAlign w:val="center"/>
          </w:tcPr>
          <w:p w14:paraId="5ECFB9A9">
            <w:pPr>
              <w:widowControl/>
              <w:spacing w:before="240" w:beforeLines="100" w:after="240" w:afterLines="100"/>
              <w:jc w:val="center"/>
              <w:rPr>
                <w:rFonts w:ascii="宋体" w:hAnsi="宋体"/>
                <w:kern w:val="0"/>
                <w:sz w:val="24"/>
              </w:rPr>
            </w:pPr>
          </w:p>
        </w:tc>
      </w:tr>
      <w:tr w14:paraId="61576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0" w:type="pct"/>
            <w:tcBorders>
              <w:top w:val="single" w:color="auto" w:sz="4" w:space="0"/>
              <w:left w:val="single" w:color="auto" w:sz="4" w:space="0"/>
              <w:bottom w:val="single" w:color="auto" w:sz="4" w:space="0"/>
              <w:right w:val="single" w:color="auto" w:sz="4" w:space="0"/>
            </w:tcBorders>
            <w:noWrap w:val="0"/>
            <w:vAlign w:val="center"/>
          </w:tcPr>
          <w:p w14:paraId="247512A6">
            <w:pPr>
              <w:widowControl/>
              <w:spacing w:before="240" w:beforeLines="100" w:after="240" w:afterLines="100"/>
              <w:jc w:val="center"/>
              <w:rPr>
                <w:rFonts w:ascii="宋体" w:hAnsi="宋体"/>
                <w:kern w:val="0"/>
                <w:sz w:val="24"/>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60C140F2">
            <w:pPr>
              <w:widowControl/>
              <w:spacing w:before="240" w:beforeLines="100" w:after="240" w:afterLines="100"/>
              <w:jc w:val="center"/>
              <w:rPr>
                <w:rFonts w:ascii="宋体" w:hAnsi="宋体"/>
                <w:kern w:val="0"/>
                <w:sz w:val="24"/>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4F2128BB">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1B67C576">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583EABA6">
            <w:pPr>
              <w:widowControl/>
              <w:spacing w:before="240" w:beforeLines="100" w:after="240" w:afterLines="100"/>
              <w:jc w:val="center"/>
              <w:rPr>
                <w:rFonts w:ascii="宋体" w:hAnsi="宋体"/>
                <w:kern w:val="0"/>
                <w:sz w:val="24"/>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21474608">
            <w:pPr>
              <w:widowControl/>
              <w:spacing w:before="240" w:beforeLines="100" w:after="240" w:afterLines="100"/>
              <w:jc w:val="center"/>
              <w:rPr>
                <w:rFonts w:ascii="宋体" w:hAnsi="宋体"/>
                <w:kern w:val="0"/>
                <w:sz w:val="24"/>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134652F0">
            <w:pPr>
              <w:widowControl/>
              <w:spacing w:before="240" w:beforeLines="100" w:after="240" w:afterLines="100"/>
              <w:jc w:val="center"/>
              <w:rPr>
                <w:rFonts w:ascii="宋体" w:hAnsi="宋体"/>
                <w:kern w:val="0"/>
                <w:sz w:val="24"/>
              </w:rPr>
            </w:pPr>
          </w:p>
        </w:tc>
        <w:tc>
          <w:tcPr>
            <w:tcW w:w="510" w:type="pct"/>
            <w:tcBorders>
              <w:top w:val="single" w:color="auto" w:sz="4" w:space="0"/>
              <w:left w:val="single" w:color="auto" w:sz="4" w:space="0"/>
              <w:bottom w:val="single" w:color="auto" w:sz="4" w:space="0"/>
              <w:right w:val="single" w:color="auto" w:sz="4" w:space="0"/>
            </w:tcBorders>
            <w:noWrap w:val="0"/>
            <w:vAlign w:val="center"/>
          </w:tcPr>
          <w:p w14:paraId="44C507AF">
            <w:pPr>
              <w:widowControl/>
              <w:spacing w:before="240" w:beforeLines="100" w:after="240" w:afterLines="100"/>
              <w:jc w:val="center"/>
              <w:rPr>
                <w:rFonts w:ascii="宋体" w:hAnsi="宋体"/>
                <w:kern w:val="0"/>
                <w:sz w:val="24"/>
              </w:rPr>
            </w:pPr>
          </w:p>
        </w:tc>
      </w:tr>
      <w:tr w14:paraId="783BC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0" w:type="pct"/>
            <w:tcBorders>
              <w:top w:val="single" w:color="auto" w:sz="4" w:space="0"/>
              <w:left w:val="single" w:color="auto" w:sz="4" w:space="0"/>
              <w:bottom w:val="single" w:color="auto" w:sz="4" w:space="0"/>
              <w:right w:val="single" w:color="auto" w:sz="4" w:space="0"/>
            </w:tcBorders>
            <w:noWrap w:val="0"/>
            <w:vAlign w:val="center"/>
          </w:tcPr>
          <w:p w14:paraId="651BF67C">
            <w:pPr>
              <w:widowControl/>
              <w:spacing w:before="240" w:beforeLines="100" w:after="240" w:afterLines="100"/>
              <w:jc w:val="center"/>
              <w:rPr>
                <w:rFonts w:ascii="宋体" w:hAnsi="宋体"/>
                <w:kern w:val="0"/>
                <w:sz w:val="24"/>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52CC798A">
            <w:pPr>
              <w:widowControl/>
              <w:spacing w:before="240" w:beforeLines="100" w:after="240" w:afterLines="100"/>
              <w:jc w:val="center"/>
              <w:rPr>
                <w:rFonts w:ascii="宋体" w:hAnsi="宋体"/>
                <w:kern w:val="0"/>
                <w:sz w:val="24"/>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1CABF60D">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29B0CCB1">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3405C750">
            <w:pPr>
              <w:widowControl/>
              <w:spacing w:before="240" w:beforeLines="100" w:after="240" w:afterLines="100"/>
              <w:jc w:val="center"/>
              <w:rPr>
                <w:rFonts w:ascii="宋体" w:hAnsi="宋体"/>
                <w:kern w:val="0"/>
                <w:sz w:val="24"/>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00A3CB80">
            <w:pPr>
              <w:widowControl/>
              <w:spacing w:before="240" w:beforeLines="100" w:after="240" w:afterLines="100"/>
              <w:jc w:val="center"/>
              <w:rPr>
                <w:rFonts w:ascii="宋体" w:hAnsi="宋体"/>
                <w:kern w:val="0"/>
                <w:sz w:val="24"/>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889003E">
            <w:pPr>
              <w:widowControl/>
              <w:spacing w:before="240" w:beforeLines="100" w:after="240" w:afterLines="100"/>
              <w:jc w:val="center"/>
              <w:rPr>
                <w:rFonts w:ascii="宋体" w:hAnsi="宋体"/>
                <w:kern w:val="0"/>
                <w:sz w:val="24"/>
              </w:rPr>
            </w:pPr>
          </w:p>
        </w:tc>
        <w:tc>
          <w:tcPr>
            <w:tcW w:w="510" w:type="pct"/>
            <w:tcBorders>
              <w:top w:val="single" w:color="auto" w:sz="4" w:space="0"/>
              <w:left w:val="single" w:color="auto" w:sz="4" w:space="0"/>
              <w:bottom w:val="single" w:color="auto" w:sz="4" w:space="0"/>
              <w:right w:val="single" w:color="auto" w:sz="4" w:space="0"/>
            </w:tcBorders>
            <w:noWrap w:val="0"/>
            <w:vAlign w:val="center"/>
          </w:tcPr>
          <w:p w14:paraId="67274CE1">
            <w:pPr>
              <w:widowControl/>
              <w:spacing w:before="240" w:beforeLines="100" w:after="240" w:afterLines="100"/>
              <w:jc w:val="center"/>
              <w:rPr>
                <w:rFonts w:ascii="宋体" w:hAnsi="宋体"/>
                <w:kern w:val="0"/>
                <w:sz w:val="24"/>
              </w:rPr>
            </w:pPr>
          </w:p>
        </w:tc>
      </w:tr>
      <w:tr w14:paraId="002B9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0" w:type="pct"/>
            <w:tcBorders>
              <w:top w:val="single" w:color="auto" w:sz="4" w:space="0"/>
              <w:left w:val="single" w:color="auto" w:sz="4" w:space="0"/>
              <w:bottom w:val="single" w:color="auto" w:sz="4" w:space="0"/>
              <w:right w:val="single" w:color="auto" w:sz="4" w:space="0"/>
            </w:tcBorders>
            <w:noWrap w:val="0"/>
            <w:vAlign w:val="center"/>
          </w:tcPr>
          <w:p w14:paraId="2FBA39F3">
            <w:pPr>
              <w:widowControl/>
              <w:spacing w:before="240" w:beforeLines="100" w:after="240" w:afterLines="100"/>
              <w:jc w:val="center"/>
              <w:rPr>
                <w:rFonts w:ascii="宋体" w:hAnsi="宋体"/>
                <w:kern w:val="0"/>
                <w:sz w:val="24"/>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11E1FA05">
            <w:pPr>
              <w:widowControl/>
              <w:spacing w:before="240" w:beforeLines="100" w:after="240" w:afterLines="100"/>
              <w:jc w:val="center"/>
              <w:rPr>
                <w:rFonts w:ascii="宋体" w:hAnsi="宋体"/>
                <w:kern w:val="0"/>
                <w:sz w:val="24"/>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5100A516">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02049432">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4499F236">
            <w:pPr>
              <w:widowControl/>
              <w:spacing w:before="240" w:beforeLines="100" w:after="240" w:afterLines="100"/>
              <w:jc w:val="center"/>
              <w:rPr>
                <w:rFonts w:ascii="宋体" w:hAnsi="宋体"/>
                <w:kern w:val="0"/>
                <w:sz w:val="24"/>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6A80C1E5">
            <w:pPr>
              <w:widowControl/>
              <w:spacing w:before="240" w:beforeLines="100" w:after="240" w:afterLines="100"/>
              <w:jc w:val="center"/>
              <w:rPr>
                <w:rFonts w:ascii="宋体" w:hAnsi="宋体"/>
                <w:kern w:val="0"/>
                <w:sz w:val="24"/>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0D911D95">
            <w:pPr>
              <w:widowControl/>
              <w:spacing w:before="240" w:beforeLines="100" w:after="240" w:afterLines="100"/>
              <w:jc w:val="center"/>
              <w:rPr>
                <w:rFonts w:ascii="宋体" w:hAnsi="宋体"/>
                <w:kern w:val="0"/>
                <w:sz w:val="24"/>
              </w:rPr>
            </w:pPr>
          </w:p>
        </w:tc>
        <w:tc>
          <w:tcPr>
            <w:tcW w:w="510" w:type="pct"/>
            <w:tcBorders>
              <w:top w:val="single" w:color="auto" w:sz="4" w:space="0"/>
              <w:left w:val="single" w:color="auto" w:sz="4" w:space="0"/>
              <w:bottom w:val="single" w:color="auto" w:sz="4" w:space="0"/>
              <w:right w:val="single" w:color="auto" w:sz="4" w:space="0"/>
            </w:tcBorders>
            <w:noWrap w:val="0"/>
            <w:vAlign w:val="center"/>
          </w:tcPr>
          <w:p w14:paraId="70CFF087">
            <w:pPr>
              <w:widowControl/>
              <w:spacing w:before="240" w:beforeLines="100" w:after="240" w:afterLines="100"/>
              <w:jc w:val="center"/>
              <w:rPr>
                <w:rFonts w:ascii="宋体" w:hAnsi="宋体"/>
                <w:kern w:val="0"/>
                <w:sz w:val="24"/>
              </w:rPr>
            </w:pPr>
          </w:p>
        </w:tc>
      </w:tr>
      <w:tr w14:paraId="1459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0" w:type="pct"/>
            <w:tcBorders>
              <w:top w:val="single" w:color="auto" w:sz="4" w:space="0"/>
              <w:left w:val="single" w:color="auto" w:sz="4" w:space="0"/>
              <w:bottom w:val="single" w:color="auto" w:sz="4" w:space="0"/>
              <w:right w:val="single" w:color="auto" w:sz="4" w:space="0"/>
            </w:tcBorders>
            <w:noWrap w:val="0"/>
            <w:vAlign w:val="center"/>
          </w:tcPr>
          <w:p w14:paraId="5EE1514B">
            <w:pPr>
              <w:widowControl/>
              <w:spacing w:before="240" w:beforeLines="100" w:after="240" w:afterLines="100"/>
              <w:jc w:val="center"/>
              <w:rPr>
                <w:rFonts w:ascii="宋体" w:hAnsi="宋体"/>
                <w:kern w:val="0"/>
                <w:sz w:val="24"/>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187875EF">
            <w:pPr>
              <w:widowControl/>
              <w:spacing w:before="240" w:beforeLines="100" w:after="240" w:afterLines="100"/>
              <w:jc w:val="center"/>
              <w:rPr>
                <w:rFonts w:ascii="宋体" w:hAnsi="宋体"/>
                <w:kern w:val="0"/>
                <w:sz w:val="24"/>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1D0B642D">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7823077E">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3C48A2AA">
            <w:pPr>
              <w:widowControl/>
              <w:spacing w:before="240" w:beforeLines="100" w:after="240" w:afterLines="100"/>
              <w:jc w:val="center"/>
              <w:rPr>
                <w:rFonts w:ascii="宋体" w:hAnsi="宋体"/>
                <w:kern w:val="0"/>
                <w:sz w:val="24"/>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69EF206C">
            <w:pPr>
              <w:widowControl/>
              <w:spacing w:before="240" w:beforeLines="100" w:after="240" w:afterLines="100"/>
              <w:jc w:val="center"/>
              <w:rPr>
                <w:rFonts w:ascii="宋体" w:hAnsi="宋体"/>
                <w:kern w:val="0"/>
                <w:sz w:val="24"/>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50C371A0">
            <w:pPr>
              <w:widowControl/>
              <w:spacing w:before="240" w:beforeLines="100" w:after="240" w:afterLines="100"/>
              <w:jc w:val="center"/>
              <w:rPr>
                <w:rFonts w:ascii="宋体" w:hAnsi="宋体"/>
                <w:kern w:val="0"/>
                <w:sz w:val="24"/>
              </w:rPr>
            </w:pPr>
          </w:p>
        </w:tc>
        <w:tc>
          <w:tcPr>
            <w:tcW w:w="510" w:type="pct"/>
            <w:tcBorders>
              <w:top w:val="single" w:color="auto" w:sz="4" w:space="0"/>
              <w:left w:val="single" w:color="auto" w:sz="4" w:space="0"/>
              <w:bottom w:val="single" w:color="auto" w:sz="4" w:space="0"/>
              <w:right w:val="single" w:color="auto" w:sz="4" w:space="0"/>
            </w:tcBorders>
            <w:noWrap w:val="0"/>
            <w:vAlign w:val="center"/>
          </w:tcPr>
          <w:p w14:paraId="3684EC21">
            <w:pPr>
              <w:widowControl/>
              <w:spacing w:before="240" w:beforeLines="100" w:after="240" w:afterLines="100"/>
              <w:jc w:val="center"/>
              <w:rPr>
                <w:rFonts w:ascii="宋体" w:hAnsi="宋体"/>
                <w:kern w:val="0"/>
                <w:sz w:val="24"/>
              </w:rPr>
            </w:pPr>
          </w:p>
        </w:tc>
      </w:tr>
      <w:tr w14:paraId="74EE2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0" w:type="pct"/>
            <w:tcBorders>
              <w:top w:val="single" w:color="auto" w:sz="4" w:space="0"/>
              <w:left w:val="single" w:color="auto" w:sz="4" w:space="0"/>
              <w:bottom w:val="single" w:color="auto" w:sz="4" w:space="0"/>
              <w:right w:val="single" w:color="auto" w:sz="4" w:space="0"/>
            </w:tcBorders>
            <w:noWrap w:val="0"/>
            <w:vAlign w:val="center"/>
          </w:tcPr>
          <w:p w14:paraId="6F29EEE7">
            <w:pPr>
              <w:widowControl/>
              <w:spacing w:before="240" w:beforeLines="100" w:after="240" w:afterLines="100"/>
              <w:jc w:val="center"/>
              <w:rPr>
                <w:rFonts w:ascii="宋体" w:hAnsi="宋体"/>
                <w:kern w:val="0"/>
                <w:sz w:val="24"/>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02DB1DCE">
            <w:pPr>
              <w:widowControl/>
              <w:spacing w:before="240" w:beforeLines="100" w:after="240" w:afterLines="100"/>
              <w:jc w:val="center"/>
              <w:rPr>
                <w:rFonts w:ascii="宋体" w:hAnsi="宋体"/>
                <w:kern w:val="0"/>
                <w:sz w:val="24"/>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5F4A5632">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7B9942CD">
            <w:pPr>
              <w:widowControl/>
              <w:spacing w:before="240" w:beforeLines="100" w:after="240" w:afterLines="100"/>
              <w:jc w:val="center"/>
              <w:rPr>
                <w:rFonts w:ascii="宋体" w:hAnsi="宋体"/>
                <w:kern w:val="0"/>
                <w:sz w:val="24"/>
              </w:rPr>
            </w:pPr>
          </w:p>
        </w:tc>
        <w:tc>
          <w:tcPr>
            <w:tcW w:w="707" w:type="pct"/>
            <w:tcBorders>
              <w:top w:val="single" w:color="auto" w:sz="4" w:space="0"/>
              <w:left w:val="single" w:color="auto" w:sz="4" w:space="0"/>
              <w:bottom w:val="single" w:color="auto" w:sz="4" w:space="0"/>
              <w:right w:val="single" w:color="auto" w:sz="4" w:space="0"/>
            </w:tcBorders>
            <w:noWrap w:val="0"/>
            <w:vAlign w:val="center"/>
          </w:tcPr>
          <w:p w14:paraId="23397962">
            <w:pPr>
              <w:widowControl/>
              <w:spacing w:before="240" w:beforeLines="100" w:after="240" w:afterLines="100"/>
              <w:jc w:val="center"/>
              <w:rPr>
                <w:rFonts w:ascii="宋体" w:hAnsi="宋体"/>
                <w:kern w:val="0"/>
                <w:sz w:val="24"/>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0D2DA9AC">
            <w:pPr>
              <w:widowControl/>
              <w:spacing w:before="240" w:beforeLines="100" w:after="240" w:afterLines="100"/>
              <w:jc w:val="center"/>
              <w:rPr>
                <w:rFonts w:ascii="宋体" w:hAnsi="宋体"/>
                <w:kern w:val="0"/>
                <w:sz w:val="24"/>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62BB023E">
            <w:pPr>
              <w:widowControl/>
              <w:spacing w:before="240" w:beforeLines="100" w:after="240" w:afterLines="100"/>
              <w:jc w:val="center"/>
              <w:rPr>
                <w:rFonts w:ascii="宋体" w:hAnsi="宋体"/>
                <w:kern w:val="0"/>
                <w:sz w:val="24"/>
              </w:rPr>
            </w:pPr>
          </w:p>
        </w:tc>
        <w:tc>
          <w:tcPr>
            <w:tcW w:w="510" w:type="pct"/>
            <w:tcBorders>
              <w:top w:val="single" w:color="auto" w:sz="4" w:space="0"/>
              <w:left w:val="single" w:color="auto" w:sz="4" w:space="0"/>
              <w:bottom w:val="single" w:color="auto" w:sz="4" w:space="0"/>
              <w:right w:val="single" w:color="auto" w:sz="4" w:space="0"/>
            </w:tcBorders>
            <w:noWrap w:val="0"/>
            <w:vAlign w:val="center"/>
          </w:tcPr>
          <w:p w14:paraId="720A9508">
            <w:pPr>
              <w:widowControl/>
              <w:spacing w:before="240" w:beforeLines="100" w:after="240" w:afterLines="100"/>
              <w:jc w:val="center"/>
              <w:rPr>
                <w:rFonts w:ascii="宋体" w:hAnsi="宋体"/>
                <w:kern w:val="0"/>
                <w:sz w:val="24"/>
              </w:rPr>
            </w:pPr>
          </w:p>
        </w:tc>
      </w:tr>
    </w:tbl>
    <w:p w14:paraId="15757508">
      <w:pPr>
        <w:snapToGrid w:val="0"/>
        <w:spacing w:line="300" w:lineRule="auto"/>
        <w:contextualSpacing/>
        <w:rPr>
          <w:rFonts w:hint="eastAsia" w:ascii="宋体" w:hAnsi="宋体"/>
          <w:sz w:val="28"/>
          <w:szCs w:val="28"/>
        </w:rPr>
      </w:pPr>
      <w:r>
        <w:rPr>
          <w:rFonts w:ascii="宋体" w:hAnsi="宋体"/>
          <w:b/>
          <w:sz w:val="32"/>
          <w:szCs w:val="32"/>
          <w:u w:val="single"/>
        </w:rPr>
        <w:br w:type="page"/>
      </w:r>
      <w:r>
        <w:rPr>
          <w:rFonts w:hint="eastAsia" w:ascii="宋体" w:hAnsi="宋体"/>
          <w:sz w:val="28"/>
          <w:szCs w:val="28"/>
        </w:rPr>
        <w:t>附件</w:t>
      </w:r>
      <w:r>
        <w:rPr>
          <w:rFonts w:hint="eastAsia" w:hAnsi="宋体"/>
          <w:sz w:val="28"/>
          <w:szCs w:val="28"/>
          <w:lang w:val="en-US" w:eastAsia="zh-CN"/>
        </w:rPr>
        <w:t>7</w:t>
      </w:r>
      <w:r>
        <w:rPr>
          <w:rFonts w:hint="eastAsia" w:ascii="宋体" w:hAnsi="宋体"/>
          <w:sz w:val="28"/>
          <w:szCs w:val="28"/>
        </w:rPr>
        <w:t>：</w:t>
      </w:r>
    </w:p>
    <w:p w14:paraId="2D8ED6EC">
      <w:pPr>
        <w:spacing w:line="360" w:lineRule="auto"/>
        <w:jc w:val="center"/>
        <w:rPr>
          <w:rFonts w:hint="eastAsia" w:ascii="宋体" w:hAnsi="宋体"/>
          <w:b/>
          <w:sz w:val="30"/>
          <w:szCs w:val="30"/>
        </w:rPr>
      </w:pPr>
      <w:r>
        <w:rPr>
          <w:rFonts w:hint="eastAsia" w:ascii="宋体" w:hAnsi="宋体"/>
          <w:b/>
          <w:sz w:val="30"/>
          <w:szCs w:val="30"/>
        </w:rPr>
        <w:t>人员配备一览表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151"/>
        <w:gridCol w:w="1441"/>
        <w:gridCol w:w="2074"/>
        <w:gridCol w:w="1518"/>
        <w:gridCol w:w="2088"/>
      </w:tblGrid>
      <w:tr w14:paraId="1ECC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90" w:type="pct"/>
            <w:noWrap w:val="0"/>
            <w:vAlign w:val="center"/>
          </w:tcPr>
          <w:p w14:paraId="6EA7A089">
            <w:pPr>
              <w:widowControl/>
              <w:spacing w:before="240" w:beforeLines="100" w:after="240" w:afterLines="100"/>
              <w:jc w:val="center"/>
              <w:rPr>
                <w:rFonts w:hint="eastAsia" w:ascii="宋体" w:hAnsi="宋体"/>
                <w:kern w:val="0"/>
                <w:sz w:val="24"/>
              </w:rPr>
            </w:pPr>
            <w:r>
              <w:rPr>
                <w:rFonts w:hint="eastAsia" w:ascii="宋体" w:hAnsi="宋体"/>
                <w:kern w:val="0"/>
                <w:sz w:val="24"/>
              </w:rPr>
              <w:t>序号</w:t>
            </w:r>
          </w:p>
        </w:tc>
        <w:tc>
          <w:tcPr>
            <w:tcW w:w="627" w:type="pct"/>
            <w:noWrap w:val="0"/>
            <w:vAlign w:val="center"/>
          </w:tcPr>
          <w:p w14:paraId="27CAD136">
            <w:pPr>
              <w:widowControl/>
              <w:spacing w:before="240" w:beforeLines="100" w:after="240" w:afterLines="100"/>
              <w:jc w:val="center"/>
              <w:rPr>
                <w:rFonts w:hint="eastAsia" w:ascii="宋体" w:hAnsi="宋体"/>
                <w:kern w:val="0"/>
                <w:sz w:val="24"/>
              </w:rPr>
            </w:pPr>
            <w:r>
              <w:rPr>
                <w:rFonts w:hint="eastAsia" w:ascii="宋体" w:hAnsi="宋体"/>
                <w:kern w:val="0"/>
                <w:sz w:val="24"/>
              </w:rPr>
              <w:t>姓名</w:t>
            </w:r>
          </w:p>
        </w:tc>
        <w:tc>
          <w:tcPr>
            <w:tcW w:w="785" w:type="pct"/>
            <w:noWrap w:val="0"/>
            <w:vAlign w:val="center"/>
          </w:tcPr>
          <w:p w14:paraId="64E990B3">
            <w:pPr>
              <w:widowControl/>
              <w:spacing w:before="240" w:beforeLines="100" w:after="240" w:afterLines="100"/>
              <w:jc w:val="center"/>
              <w:rPr>
                <w:rFonts w:hint="eastAsia" w:ascii="宋体" w:hAnsi="宋体"/>
                <w:kern w:val="0"/>
                <w:sz w:val="24"/>
              </w:rPr>
            </w:pPr>
            <w:r>
              <w:rPr>
                <w:rFonts w:hint="eastAsia" w:ascii="宋体" w:hAnsi="宋体"/>
                <w:kern w:val="0"/>
                <w:sz w:val="24"/>
              </w:rPr>
              <w:t>在本项目中岗位</w:t>
            </w:r>
          </w:p>
        </w:tc>
        <w:tc>
          <w:tcPr>
            <w:tcW w:w="1130" w:type="pct"/>
            <w:noWrap w:val="0"/>
            <w:vAlign w:val="center"/>
          </w:tcPr>
          <w:p w14:paraId="5D026A44">
            <w:pPr>
              <w:widowControl/>
              <w:spacing w:before="240" w:beforeLines="100" w:after="240" w:afterLines="100"/>
              <w:jc w:val="center"/>
              <w:rPr>
                <w:rFonts w:hint="eastAsia" w:ascii="宋体" w:hAnsi="宋体"/>
                <w:kern w:val="0"/>
                <w:sz w:val="24"/>
              </w:rPr>
            </w:pPr>
            <w:r>
              <w:rPr>
                <w:rFonts w:hint="eastAsia" w:ascii="宋体" w:hAnsi="宋体"/>
                <w:kern w:val="0"/>
                <w:sz w:val="24"/>
              </w:rPr>
              <w:t>职称</w:t>
            </w:r>
          </w:p>
        </w:tc>
        <w:tc>
          <w:tcPr>
            <w:tcW w:w="827" w:type="pct"/>
            <w:noWrap w:val="0"/>
            <w:vAlign w:val="center"/>
          </w:tcPr>
          <w:p w14:paraId="0F30818E">
            <w:pPr>
              <w:widowControl/>
              <w:spacing w:before="240" w:beforeLines="100" w:after="240" w:afterLines="100"/>
              <w:jc w:val="center"/>
              <w:rPr>
                <w:rFonts w:hint="eastAsia" w:ascii="宋体" w:hAnsi="宋体"/>
                <w:kern w:val="0"/>
                <w:sz w:val="24"/>
              </w:rPr>
            </w:pPr>
            <w:r>
              <w:rPr>
                <w:rFonts w:hint="eastAsia" w:ascii="宋体" w:hAnsi="宋体"/>
                <w:kern w:val="0"/>
                <w:sz w:val="24"/>
              </w:rPr>
              <w:t>执业资格</w:t>
            </w:r>
          </w:p>
        </w:tc>
        <w:tc>
          <w:tcPr>
            <w:tcW w:w="1138" w:type="pct"/>
            <w:noWrap w:val="0"/>
            <w:vAlign w:val="center"/>
          </w:tcPr>
          <w:p w14:paraId="40D30A22">
            <w:pPr>
              <w:widowControl/>
              <w:spacing w:before="240" w:beforeLines="100" w:after="240" w:afterLines="100"/>
              <w:jc w:val="center"/>
              <w:rPr>
                <w:rFonts w:hint="eastAsia" w:ascii="宋体" w:hAnsi="宋体"/>
                <w:kern w:val="0"/>
                <w:sz w:val="24"/>
              </w:rPr>
            </w:pPr>
            <w:r>
              <w:rPr>
                <w:rFonts w:hint="eastAsia" w:ascii="宋体" w:hAnsi="宋体"/>
                <w:kern w:val="0"/>
                <w:sz w:val="24"/>
              </w:rPr>
              <w:t>工作年限</w:t>
            </w:r>
          </w:p>
        </w:tc>
      </w:tr>
      <w:tr w14:paraId="348A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90" w:type="pct"/>
            <w:noWrap w:val="0"/>
            <w:vAlign w:val="top"/>
          </w:tcPr>
          <w:p w14:paraId="7E0B9979">
            <w:pPr>
              <w:widowControl/>
              <w:spacing w:before="240" w:beforeLines="100" w:after="240" w:afterLines="100"/>
              <w:jc w:val="center"/>
              <w:rPr>
                <w:rFonts w:hint="eastAsia" w:ascii="宋体" w:hAnsi="宋体"/>
                <w:kern w:val="0"/>
                <w:sz w:val="24"/>
              </w:rPr>
            </w:pPr>
          </w:p>
        </w:tc>
        <w:tc>
          <w:tcPr>
            <w:tcW w:w="627" w:type="pct"/>
            <w:noWrap w:val="0"/>
            <w:vAlign w:val="top"/>
          </w:tcPr>
          <w:p w14:paraId="7F463562">
            <w:pPr>
              <w:widowControl/>
              <w:spacing w:before="240" w:beforeLines="100" w:after="240" w:afterLines="100"/>
              <w:jc w:val="center"/>
              <w:rPr>
                <w:rFonts w:hint="eastAsia" w:ascii="宋体" w:hAnsi="宋体"/>
                <w:kern w:val="0"/>
                <w:sz w:val="24"/>
              </w:rPr>
            </w:pPr>
          </w:p>
        </w:tc>
        <w:tc>
          <w:tcPr>
            <w:tcW w:w="785" w:type="pct"/>
            <w:noWrap w:val="0"/>
            <w:vAlign w:val="top"/>
          </w:tcPr>
          <w:p w14:paraId="2CD25E47">
            <w:pPr>
              <w:widowControl/>
              <w:spacing w:before="240" w:beforeLines="100" w:after="240" w:afterLines="100"/>
              <w:jc w:val="center"/>
              <w:rPr>
                <w:rFonts w:hint="eastAsia" w:ascii="宋体" w:hAnsi="宋体"/>
                <w:kern w:val="0"/>
                <w:sz w:val="24"/>
              </w:rPr>
            </w:pPr>
          </w:p>
        </w:tc>
        <w:tc>
          <w:tcPr>
            <w:tcW w:w="1130" w:type="pct"/>
            <w:noWrap w:val="0"/>
            <w:vAlign w:val="top"/>
          </w:tcPr>
          <w:p w14:paraId="01632CC4">
            <w:pPr>
              <w:widowControl/>
              <w:spacing w:before="240" w:beforeLines="100" w:after="240" w:afterLines="100"/>
              <w:jc w:val="center"/>
              <w:rPr>
                <w:rFonts w:hint="eastAsia" w:ascii="宋体" w:hAnsi="宋体"/>
                <w:kern w:val="0"/>
                <w:sz w:val="24"/>
              </w:rPr>
            </w:pPr>
          </w:p>
        </w:tc>
        <w:tc>
          <w:tcPr>
            <w:tcW w:w="827" w:type="pct"/>
            <w:noWrap w:val="0"/>
            <w:vAlign w:val="top"/>
          </w:tcPr>
          <w:p w14:paraId="27A68129">
            <w:pPr>
              <w:widowControl/>
              <w:spacing w:before="240" w:beforeLines="100" w:after="240" w:afterLines="100"/>
              <w:jc w:val="center"/>
              <w:rPr>
                <w:rFonts w:hint="eastAsia" w:ascii="宋体" w:hAnsi="宋体"/>
                <w:kern w:val="0"/>
                <w:sz w:val="24"/>
              </w:rPr>
            </w:pPr>
          </w:p>
        </w:tc>
        <w:tc>
          <w:tcPr>
            <w:tcW w:w="1138" w:type="pct"/>
            <w:noWrap w:val="0"/>
            <w:vAlign w:val="top"/>
          </w:tcPr>
          <w:p w14:paraId="480793C5">
            <w:pPr>
              <w:widowControl/>
              <w:spacing w:before="240" w:beforeLines="100" w:after="240" w:afterLines="100"/>
              <w:jc w:val="center"/>
              <w:rPr>
                <w:rFonts w:hint="eastAsia" w:ascii="宋体" w:hAnsi="宋体"/>
                <w:kern w:val="0"/>
                <w:sz w:val="24"/>
              </w:rPr>
            </w:pPr>
          </w:p>
        </w:tc>
      </w:tr>
      <w:tr w14:paraId="6F5A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90" w:type="pct"/>
            <w:noWrap w:val="0"/>
            <w:vAlign w:val="top"/>
          </w:tcPr>
          <w:p w14:paraId="2DB1D9A8">
            <w:pPr>
              <w:widowControl/>
              <w:spacing w:before="240" w:beforeLines="100" w:after="240" w:afterLines="100"/>
              <w:jc w:val="center"/>
              <w:rPr>
                <w:rFonts w:hint="eastAsia" w:ascii="宋体" w:hAnsi="宋体"/>
                <w:kern w:val="0"/>
                <w:sz w:val="24"/>
              </w:rPr>
            </w:pPr>
          </w:p>
        </w:tc>
        <w:tc>
          <w:tcPr>
            <w:tcW w:w="627" w:type="pct"/>
            <w:noWrap w:val="0"/>
            <w:vAlign w:val="top"/>
          </w:tcPr>
          <w:p w14:paraId="31059210">
            <w:pPr>
              <w:widowControl/>
              <w:spacing w:before="240" w:beforeLines="100" w:after="240" w:afterLines="100"/>
              <w:jc w:val="center"/>
              <w:rPr>
                <w:rFonts w:hint="eastAsia" w:ascii="宋体" w:hAnsi="宋体"/>
                <w:kern w:val="0"/>
                <w:sz w:val="24"/>
              </w:rPr>
            </w:pPr>
          </w:p>
        </w:tc>
        <w:tc>
          <w:tcPr>
            <w:tcW w:w="785" w:type="pct"/>
            <w:noWrap w:val="0"/>
            <w:vAlign w:val="top"/>
          </w:tcPr>
          <w:p w14:paraId="76E01E36">
            <w:pPr>
              <w:widowControl/>
              <w:spacing w:before="240" w:beforeLines="100" w:after="240" w:afterLines="100"/>
              <w:jc w:val="center"/>
              <w:rPr>
                <w:rFonts w:hint="eastAsia" w:ascii="宋体" w:hAnsi="宋体"/>
                <w:kern w:val="0"/>
                <w:sz w:val="24"/>
              </w:rPr>
            </w:pPr>
          </w:p>
        </w:tc>
        <w:tc>
          <w:tcPr>
            <w:tcW w:w="1130" w:type="pct"/>
            <w:noWrap w:val="0"/>
            <w:vAlign w:val="top"/>
          </w:tcPr>
          <w:p w14:paraId="227B3C05">
            <w:pPr>
              <w:widowControl/>
              <w:spacing w:before="240" w:beforeLines="100" w:after="240" w:afterLines="100"/>
              <w:jc w:val="center"/>
              <w:rPr>
                <w:rFonts w:hint="eastAsia" w:ascii="宋体" w:hAnsi="宋体"/>
                <w:kern w:val="0"/>
                <w:sz w:val="24"/>
              </w:rPr>
            </w:pPr>
          </w:p>
        </w:tc>
        <w:tc>
          <w:tcPr>
            <w:tcW w:w="827" w:type="pct"/>
            <w:noWrap w:val="0"/>
            <w:vAlign w:val="top"/>
          </w:tcPr>
          <w:p w14:paraId="25ED6F8B">
            <w:pPr>
              <w:widowControl/>
              <w:spacing w:before="240" w:beforeLines="100" w:after="240" w:afterLines="100"/>
              <w:jc w:val="center"/>
              <w:rPr>
                <w:rFonts w:hint="eastAsia" w:ascii="宋体" w:hAnsi="宋体"/>
                <w:kern w:val="0"/>
                <w:sz w:val="24"/>
              </w:rPr>
            </w:pPr>
          </w:p>
        </w:tc>
        <w:tc>
          <w:tcPr>
            <w:tcW w:w="1138" w:type="pct"/>
            <w:noWrap w:val="0"/>
            <w:vAlign w:val="top"/>
          </w:tcPr>
          <w:p w14:paraId="2C4B2B3A">
            <w:pPr>
              <w:widowControl/>
              <w:spacing w:before="240" w:beforeLines="100" w:after="240" w:afterLines="100"/>
              <w:jc w:val="center"/>
              <w:rPr>
                <w:rFonts w:hint="eastAsia" w:ascii="宋体" w:hAnsi="宋体"/>
                <w:kern w:val="0"/>
                <w:sz w:val="24"/>
              </w:rPr>
            </w:pPr>
          </w:p>
        </w:tc>
      </w:tr>
      <w:tr w14:paraId="5FEC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90" w:type="pct"/>
            <w:noWrap w:val="0"/>
            <w:vAlign w:val="top"/>
          </w:tcPr>
          <w:p w14:paraId="69F8DFF3">
            <w:pPr>
              <w:widowControl/>
              <w:spacing w:before="240" w:beforeLines="100" w:after="240" w:afterLines="100"/>
              <w:jc w:val="center"/>
              <w:rPr>
                <w:rFonts w:hint="eastAsia" w:ascii="宋体" w:hAnsi="宋体"/>
                <w:kern w:val="0"/>
                <w:sz w:val="24"/>
              </w:rPr>
            </w:pPr>
          </w:p>
        </w:tc>
        <w:tc>
          <w:tcPr>
            <w:tcW w:w="627" w:type="pct"/>
            <w:noWrap w:val="0"/>
            <w:vAlign w:val="top"/>
          </w:tcPr>
          <w:p w14:paraId="5730C3AF">
            <w:pPr>
              <w:widowControl/>
              <w:spacing w:before="240" w:beforeLines="100" w:after="240" w:afterLines="100"/>
              <w:jc w:val="center"/>
              <w:rPr>
                <w:rFonts w:hint="eastAsia" w:ascii="宋体" w:hAnsi="宋体"/>
                <w:kern w:val="0"/>
                <w:sz w:val="24"/>
              </w:rPr>
            </w:pPr>
          </w:p>
        </w:tc>
        <w:tc>
          <w:tcPr>
            <w:tcW w:w="785" w:type="pct"/>
            <w:noWrap w:val="0"/>
            <w:vAlign w:val="top"/>
          </w:tcPr>
          <w:p w14:paraId="72678D66">
            <w:pPr>
              <w:widowControl/>
              <w:spacing w:before="240" w:beforeLines="100" w:after="240" w:afterLines="100"/>
              <w:jc w:val="center"/>
              <w:rPr>
                <w:rFonts w:hint="eastAsia" w:ascii="宋体" w:hAnsi="宋体"/>
                <w:kern w:val="0"/>
                <w:sz w:val="24"/>
              </w:rPr>
            </w:pPr>
          </w:p>
        </w:tc>
        <w:tc>
          <w:tcPr>
            <w:tcW w:w="1130" w:type="pct"/>
            <w:noWrap w:val="0"/>
            <w:vAlign w:val="top"/>
          </w:tcPr>
          <w:p w14:paraId="37A58150">
            <w:pPr>
              <w:widowControl/>
              <w:spacing w:before="240" w:beforeLines="100" w:after="240" w:afterLines="100"/>
              <w:jc w:val="center"/>
              <w:rPr>
                <w:rFonts w:hint="eastAsia" w:ascii="宋体" w:hAnsi="宋体"/>
                <w:kern w:val="0"/>
                <w:sz w:val="24"/>
              </w:rPr>
            </w:pPr>
          </w:p>
        </w:tc>
        <w:tc>
          <w:tcPr>
            <w:tcW w:w="827" w:type="pct"/>
            <w:noWrap w:val="0"/>
            <w:vAlign w:val="top"/>
          </w:tcPr>
          <w:p w14:paraId="1337968C">
            <w:pPr>
              <w:widowControl/>
              <w:spacing w:before="240" w:beforeLines="100" w:after="240" w:afterLines="100"/>
              <w:jc w:val="center"/>
              <w:rPr>
                <w:rFonts w:hint="eastAsia" w:ascii="宋体" w:hAnsi="宋体"/>
                <w:kern w:val="0"/>
                <w:sz w:val="24"/>
              </w:rPr>
            </w:pPr>
          </w:p>
        </w:tc>
        <w:tc>
          <w:tcPr>
            <w:tcW w:w="1138" w:type="pct"/>
            <w:noWrap w:val="0"/>
            <w:vAlign w:val="top"/>
          </w:tcPr>
          <w:p w14:paraId="31F6AFE0">
            <w:pPr>
              <w:widowControl/>
              <w:spacing w:before="240" w:beforeLines="100" w:after="240" w:afterLines="100"/>
              <w:jc w:val="center"/>
              <w:rPr>
                <w:rFonts w:hint="eastAsia" w:ascii="宋体" w:hAnsi="宋体"/>
                <w:kern w:val="0"/>
                <w:sz w:val="24"/>
              </w:rPr>
            </w:pPr>
          </w:p>
        </w:tc>
      </w:tr>
      <w:tr w14:paraId="23E5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90" w:type="pct"/>
            <w:noWrap w:val="0"/>
            <w:vAlign w:val="top"/>
          </w:tcPr>
          <w:p w14:paraId="3D59CC43">
            <w:pPr>
              <w:widowControl/>
              <w:spacing w:before="240" w:beforeLines="100" w:after="240" w:afterLines="100"/>
              <w:jc w:val="center"/>
              <w:rPr>
                <w:rFonts w:hint="eastAsia" w:ascii="宋体" w:hAnsi="宋体"/>
                <w:kern w:val="0"/>
                <w:sz w:val="24"/>
              </w:rPr>
            </w:pPr>
          </w:p>
        </w:tc>
        <w:tc>
          <w:tcPr>
            <w:tcW w:w="627" w:type="pct"/>
            <w:noWrap w:val="0"/>
            <w:vAlign w:val="top"/>
          </w:tcPr>
          <w:p w14:paraId="0BBC4105">
            <w:pPr>
              <w:widowControl/>
              <w:spacing w:before="240" w:beforeLines="100" w:after="240" w:afterLines="100"/>
              <w:jc w:val="center"/>
              <w:rPr>
                <w:rFonts w:hint="eastAsia" w:ascii="宋体" w:hAnsi="宋体"/>
                <w:kern w:val="0"/>
                <w:sz w:val="24"/>
              </w:rPr>
            </w:pPr>
          </w:p>
        </w:tc>
        <w:tc>
          <w:tcPr>
            <w:tcW w:w="785" w:type="pct"/>
            <w:noWrap w:val="0"/>
            <w:vAlign w:val="top"/>
          </w:tcPr>
          <w:p w14:paraId="3AFEFC4A">
            <w:pPr>
              <w:widowControl/>
              <w:spacing w:before="240" w:beforeLines="100" w:after="240" w:afterLines="100"/>
              <w:jc w:val="center"/>
              <w:rPr>
                <w:rFonts w:hint="eastAsia" w:ascii="宋体" w:hAnsi="宋体"/>
                <w:kern w:val="0"/>
                <w:sz w:val="24"/>
              </w:rPr>
            </w:pPr>
          </w:p>
        </w:tc>
        <w:tc>
          <w:tcPr>
            <w:tcW w:w="1130" w:type="pct"/>
            <w:noWrap w:val="0"/>
            <w:vAlign w:val="top"/>
          </w:tcPr>
          <w:p w14:paraId="43C03706">
            <w:pPr>
              <w:widowControl/>
              <w:spacing w:before="240" w:beforeLines="100" w:after="240" w:afterLines="100"/>
              <w:jc w:val="center"/>
              <w:rPr>
                <w:rFonts w:hint="eastAsia" w:ascii="宋体" w:hAnsi="宋体"/>
                <w:kern w:val="0"/>
                <w:sz w:val="24"/>
              </w:rPr>
            </w:pPr>
          </w:p>
        </w:tc>
        <w:tc>
          <w:tcPr>
            <w:tcW w:w="827" w:type="pct"/>
            <w:noWrap w:val="0"/>
            <w:vAlign w:val="top"/>
          </w:tcPr>
          <w:p w14:paraId="0227CBDB">
            <w:pPr>
              <w:widowControl/>
              <w:spacing w:before="240" w:beforeLines="100" w:after="240" w:afterLines="100"/>
              <w:jc w:val="center"/>
              <w:rPr>
                <w:rFonts w:hint="eastAsia" w:ascii="宋体" w:hAnsi="宋体"/>
                <w:kern w:val="0"/>
                <w:sz w:val="24"/>
              </w:rPr>
            </w:pPr>
          </w:p>
        </w:tc>
        <w:tc>
          <w:tcPr>
            <w:tcW w:w="1138" w:type="pct"/>
            <w:noWrap w:val="0"/>
            <w:vAlign w:val="top"/>
          </w:tcPr>
          <w:p w14:paraId="0AFEC7B5">
            <w:pPr>
              <w:widowControl/>
              <w:spacing w:before="240" w:beforeLines="100" w:after="240" w:afterLines="100"/>
              <w:jc w:val="center"/>
              <w:rPr>
                <w:rFonts w:hint="eastAsia" w:ascii="宋体" w:hAnsi="宋体"/>
                <w:kern w:val="0"/>
                <w:sz w:val="24"/>
              </w:rPr>
            </w:pPr>
          </w:p>
        </w:tc>
      </w:tr>
      <w:tr w14:paraId="7C53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90" w:type="pct"/>
            <w:noWrap w:val="0"/>
            <w:vAlign w:val="top"/>
          </w:tcPr>
          <w:p w14:paraId="167F61E3">
            <w:pPr>
              <w:widowControl/>
              <w:spacing w:before="240" w:beforeLines="100" w:after="240" w:afterLines="100"/>
              <w:jc w:val="center"/>
              <w:rPr>
                <w:rFonts w:hint="eastAsia" w:ascii="宋体" w:hAnsi="宋体"/>
                <w:kern w:val="0"/>
                <w:sz w:val="24"/>
              </w:rPr>
            </w:pPr>
          </w:p>
        </w:tc>
        <w:tc>
          <w:tcPr>
            <w:tcW w:w="627" w:type="pct"/>
            <w:noWrap w:val="0"/>
            <w:vAlign w:val="top"/>
          </w:tcPr>
          <w:p w14:paraId="4E7003FF">
            <w:pPr>
              <w:widowControl/>
              <w:spacing w:before="240" w:beforeLines="100" w:after="240" w:afterLines="100"/>
              <w:jc w:val="center"/>
              <w:rPr>
                <w:rFonts w:hint="eastAsia" w:ascii="宋体" w:hAnsi="宋体"/>
                <w:kern w:val="0"/>
                <w:sz w:val="24"/>
              </w:rPr>
            </w:pPr>
          </w:p>
        </w:tc>
        <w:tc>
          <w:tcPr>
            <w:tcW w:w="785" w:type="pct"/>
            <w:noWrap w:val="0"/>
            <w:vAlign w:val="top"/>
          </w:tcPr>
          <w:p w14:paraId="322D98C0">
            <w:pPr>
              <w:widowControl/>
              <w:spacing w:before="240" w:beforeLines="100" w:after="240" w:afterLines="100"/>
              <w:jc w:val="center"/>
              <w:rPr>
                <w:rFonts w:hint="eastAsia" w:ascii="宋体" w:hAnsi="宋体"/>
                <w:kern w:val="0"/>
                <w:sz w:val="24"/>
              </w:rPr>
            </w:pPr>
          </w:p>
        </w:tc>
        <w:tc>
          <w:tcPr>
            <w:tcW w:w="1130" w:type="pct"/>
            <w:noWrap w:val="0"/>
            <w:vAlign w:val="top"/>
          </w:tcPr>
          <w:p w14:paraId="23294FE6">
            <w:pPr>
              <w:widowControl/>
              <w:spacing w:before="240" w:beforeLines="100" w:after="240" w:afterLines="100"/>
              <w:jc w:val="center"/>
              <w:rPr>
                <w:rFonts w:hint="eastAsia" w:ascii="宋体" w:hAnsi="宋体"/>
                <w:kern w:val="0"/>
                <w:sz w:val="24"/>
              </w:rPr>
            </w:pPr>
          </w:p>
        </w:tc>
        <w:tc>
          <w:tcPr>
            <w:tcW w:w="827" w:type="pct"/>
            <w:noWrap w:val="0"/>
            <w:vAlign w:val="top"/>
          </w:tcPr>
          <w:p w14:paraId="4D2F0B0A">
            <w:pPr>
              <w:widowControl/>
              <w:spacing w:before="240" w:beforeLines="100" w:after="240" w:afterLines="100"/>
              <w:jc w:val="center"/>
              <w:rPr>
                <w:rFonts w:hint="eastAsia" w:ascii="宋体" w:hAnsi="宋体"/>
                <w:kern w:val="0"/>
                <w:sz w:val="24"/>
              </w:rPr>
            </w:pPr>
          </w:p>
        </w:tc>
        <w:tc>
          <w:tcPr>
            <w:tcW w:w="1138" w:type="pct"/>
            <w:noWrap w:val="0"/>
            <w:vAlign w:val="top"/>
          </w:tcPr>
          <w:p w14:paraId="2EBF8149">
            <w:pPr>
              <w:widowControl/>
              <w:spacing w:before="240" w:beforeLines="100" w:after="240" w:afterLines="100"/>
              <w:jc w:val="center"/>
              <w:rPr>
                <w:rFonts w:hint="eastAsia" w:ascii="宋体" w:hAnsi="宋体"/>
                <w:kern w:val="0"/>
                <w:sz w:val="24"/>
              </w:rPr>
            </w:pPr>
          </w:p>
        </w:tc>
      </w:tr>
      <w:tr w14:paraId="4684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90" w:type="pct"/>
            <w:noWrap w:val="0"/>
            <w:vAlign w:val="top"/>
          </w:tcPr>
          <w:p w14:paraId="49EBCC2A">
            <w:pPr>
              <w:widowControl/>
              <w:spacing w:before="240" w:beforeLines="100" w:after="240" w:afterLines="100"/>
              <w:jc w:val="center"/>
              <w:rPr>
                <w:rFonts w:hint="eastAsia" w:ascii="宋体" w:hAnsi="宋体"/>
                <w:kern w:val="0"/>
                <w:sz w:val="24"/>
              </w:rPr>
            </w:pPr>
          </w:p>
        </w:tc>
        <w:tc>
          <w:tcPr>
            <w:tcW w:w="627" w:type="pct"/>
            <w:noWrap w:val="0"/>
            <w:vAlign w:val="top"/>
          </w:tcPr>
          <w:p w14:paraId="31B059C9">
            <w:pPr>
              <w:widowControl/>
              <w:spacing w:before="240" w:beforeLines="100" w:after="240" w:afterLines="100"/>
              <w:jc w:val="center"/>
              <w:rPr>
                <w:rFonts w:hint="eastAsia" w:ascii="宋体" w:hAnsi="宋体"/>
                <w:kern w:val="0"/>
                <w:sz w:val="24"/>
              </w:rPr>
            </w:pPr>
          </w:p>
        </w:tc>
        <w:tc>
          <w:tcPr>
            <w:tcW w:w="785" w:type="pct"/>
            <w:noWrap w:val="0"/>
            <w:vAlign w:val="top"/>
          </w:tcPr>
          <w:p w14:paraId="4E591EEA">
            <w:pPr>
              <w:widowControl/>
              <w:spacing w:before="240" w:beforeLines="100" w:after="240" w:afterLines="100"/>
              <w:jc w:val="center"/>
              <w:rPr>
                <w:rFonts w:hint="eastAsia" w:ascii="宋体" w:hAnsi="宋体"/>
                <w:kern w:val="0"/>
                <w:sz w:val="24"/>
              </w:rPr>
            </w:pPr>
          </w:p>
        </w:tc>
        <w:tc>
          <w:tcPr>
            <w:tcW w:w="1130" w:type="pct"/>
            <w:noWrap w:val="0"/>
            <w:vAlign w:val="top"/>
          </w:tcPr>
          <w:p w14:paraId="37D0D268">
            <w:pPr>
              <w:widowControl/>
              <w:spacing w:before="240" w:beforeLines="100" w:after="240" w:afterLines="100"/>
              <w:jc w:val="center"/>
              <w:rPr>
                <w:rFonts w:hint="eastAsia" w:ascii="宋体" w:hAnsi="宋体"/>
                <w:kern w:val="0"/>
                <w:sz w:val="24"/>
              </w:rPr>
            </w:pPr>
          </w:p>
        </w:tc>
        <w:tc>
          <w:tcPr>
            <w:tcW w:w="827" w:type="pct"/>
            <w:noWrap w:val="0"/>
            <w:vAlign w:val="top"/>
          </w:tcPr>
          <w:p w14:paraId="624DB7EA">
            <w:pPr>
              <w:widowControl/>
              <w:spacing w:before="240" w:beforeLines="100" w:after="240" w:afterLines="100"/>
              <w:jc w:val="center"/>
              <w:rPr>
                <w:rFonts w:hint="eastAsia" w:ascii="宋体" w:hAnsi="宋体"/>
                <w:kern w:val="0"/>
                <w:sz w:val="24"/>
              </w:rPr>
            </w:pPr>
          </w:p>
        </w:tc>
        <w:tc>
          <w:tcPr>
            <w:tcW w:w="1138" w:type="pct"/>
            <w:noWrap w:val="0"/>
            <w:vAlign w:val="top"/>
          </w:tcPr>
          <w:p w14:paraId="66F9B854">
            <w:pPr>
              <w:widowControl/>
              <w:spacing w:before="240" w:beforeLines="100" w:after="240" w:afterLines="100"/>
              <w:jc w:val="center"/>
              <w:rPr>
                <w:rFonts w:hint="eastAsia" w:ascii="宋体" w:hAnsi="宋体"/>
                <w:kern w:val="0"/>
                <w:sz w:val="24"/>
              </w:rPr>
            </w:pPr>
          </w:p>
        </w:tc>
      </w:tr>
    </w:tbl>
    <w:p w14:paraId="0BEE0678">
      <w:pPr>
        <w:spacing w:line="360" w:lineRule="auto"/>
        <w:jc w:val="center"/>
        <w:rPr>
          <w:rFonts w:hint="eastAsia" w:ascii="宋体" w:hAnsi="宋体"/>
          <w:b/>
          <w:sz w:val="30"/>
          <w:szCs w:val="30"/>
        </w:rPr>
      </w:pPr>
    </w:p>
    <w:p w14:paraId="45E20C85">
      <w:pPr>
        <w:snapToGrid w:val="0"/>
        <w:spacing w:line="300" w:lineRule="auto"/>
        <w:contextualSpacing/>
        <w:rPr>
          <w:rFonts w:hint="eastAsia" w:ascii="宋体" w:hAnsi="宋体"/>
          <w:sz w:val="28"/>
          <w:szCs w:val="28"/>
        </w:rPr>
      </w:pPr>
      <w:r>
        <w:rPr>
          <w:rFonts w:ascii="宋体" w:hAnsi="宋体"/>
          <w:b/>
          <w:sz w:val="32"/>
          <w:szCs w:val="32"/>
          <w:u w:val="single"/>
        </w:rPr>
        <w:br w:type="page"/>
      </w:r>
      <w:r>
        <w:rPr>
          <w:rFonts w:hint="eastAsia" w:ascii="宋体" w:hAnsi="宋体"/>
          <w:sz w:val="28"/>
          <w:szCs w:val="28"/>
        </w:rPr>
        <w:t>第三部分格式：</w:t>
      </w:r>
    </w:p>
    <w:p w14:paraId="514D71EF">
      <w:pPr>
        <w:spacing w:after="60" w:line="360" w:lineRule="auto"/>
        <w:jc w:val="center"/>
        <w:rPr>
          <w:rFonts w:ascii="宋体" w:hAnsi="宋体"/>
          <w:b/>
          <w:bCs/>
          <w:sz w:val="44"/>
          <w:szCs w:val="44"/>
        </w:rPr>
      </w:pPr>
    </w:p>
    <w:p w14:paraId="64EC52BD">
      <w:pPr>
        <w:spacing w:after="60" w:line="360" w:lineRule="auto"/>
        <w:jc w:val="center"/>
        <w:rPr>
          <w:rFonts w:ascii="宋体" w:hAnsi="宋体"/>
          <w:b/>
          <w:sz w:val="36"/>
          <w:szCs w:val="36"/>
        </w:rPr>
      </w:pPr>
      <w:r>
        <w:rPr>
          <w:rFonts w:hint="eastAsia" w:hAnsi="宋体"/>
          <w:b/>
          <w:sz w:val="36"/>
          <w:szCs w:val="36"/>
          <w:lang w:eastAsia="zh-CN"/>
        </w:rPr>
        <w:t>南通市区出租汽车运力规模评估研究项目</w:t>
      </w:r>
      <w:r>
        <w:rPr>
          <w:rFonts w:hint="eastAsia" w:ascii="宋体" w:hAnsi="宋体"/>
          <w:b/>
          <w:sz w:val="36"/>
          <w:szCs w:val="36"/>
        </w:rPr>
        <w:t>项目</w:t>
      </w:r>
    </w:p>
    <w:p w14:paraId="3FF25C60">
      <w:pPr>
        <w:pStyle w:val="10"/>
        <w:rPr>
          <w:rFonts w:hint="eastAsia" w:ascii="宋体" w:hAnsi="宋体"/>
        </w:rPr>
      </w:pPr>
    </w:p>
    <w:p w14:paraId="4085C62A">
      <w:pPr>
        <w:pStyle w:val="5"/>
        <w:rPr>
          <w:rFonts w:ascii="宋体" w:hAnsi="宋体" w:eastAsia="宋体"/>
          <w:lang w:val="en-US" w:bidi="ar-SA"/>
        </w:rPr>
      </w:pPr>
    </w:p>
    <w:p w14:paraId="0EBC52C6">
      <w:pPr>
        <w:rPr>
          <w:rFonts w:ascii="宋体" w:hAnsi="宋体"/>
        </w:rPr>
      </w:pPr>
    </w:p>
    <w:p w14:paraId="05DC2949">
      <w:pPr>
        <w:pStyle w:val="5"/>
        <w:rPr>
          <w:rFonts w:hint="eastAsia" w:ascii="宋体" w:hAnsi="宋体" w:eastAsia="宋体"/>
          <w:lang w:val="en-US" w:bidi="ar-SA"/>
        </w:rPr>
      </w:pPr>
    </w:p>
    <w:p w14:paraId="1966A614">
      <w:pPr>
        <w:spacing w:after="60" w:line="360" w:lineRule="auto"/>
        <w:jc w:val="center"/>
        <w:rPr>
          <w:rFonts w:hint="eastAsia" w:ascii="宋体" w:hAnsi="宋体"/>
          <w:b/>
          <w:bCs/>
          <w:sz w:val="48"/>
          <w:szCs w:val="48"/>
        </w:rPr>
      </w:pPr>
      <w:r>
        <w:rPr>
          <w:rFonts w:hint="eastAsia" w:ascii="宋体" w:hAnsi="宋体"/>
          <w:b/>
          <w:bCs/>
          <w:sz w:val="48"/>
          <w:szCs w:val="48"/>
        </w:rPr>
        <w:t>响应文件</w:t>
      </w:r>
    </w:p>
    <w:p w14:paraId="30B0F005">
      <w:pPr>
        <w:spacing w:after="60" w:line="360" w:lineRule="auto"/>
        <w:jc w:val="center"/>
        <w:rPr>
          <w:rFonts w:hint="eastAsia" w:ascii="宋体" w:hAnsi="宋体"/>
          <w:b/>
          <w:bCs/>
          <w:sz w:val="48"/>
          <w:szCs w:val="48"/>
        </w:rPr>
      </w:pPr>
      <w:r>
        <w:rPr>
          <w:rFonts w:hint="eastAsia" w:ascii="宋体" w:hAnsi="宋体"/>
          <w:b/>
          <w:bCs/>
          <w:sz w:val="48"/>
          <w:szCs w:val="48"/>
        </w:rPr>
        <w:t>（价格响应文件）</w:t>
      </w:r>
    </w:p>
    <w:p w14:paraId="09B14E9A">
      <w:pPr>
        <w:spacing w:after="60"/>
        <w:jc w:val="center"/>
        <w:rPr>
          <w:rFonts w:hint="eastAsia" w:ascii="宋体" w:hAnsi="宋体"/>
          <w:b/>
          <w:bCs/>
          <w:sz w:val="72"/>
          <w:szCs w:val="72"/>
        </w:rPr>
      </w:pPr>
    </w:p>
    <w:p w14:paraId="7E0C86C4">
      <w:pPr>
        <w:spacing w:after="60"/>
        <w:jc w:val="center"/>
        <w:rPr>
          <w:rFonts w:hint="eastAsia" w:ascii="宋体" w:hAnsi="宋体"/>
          <w:b/>
          <w:bCs/>
          <w:sz w:val="72"/>
          <w:szCs w:val="72"/>
        </w:rPr>
      </w:pPr>
    </w:p>
    <w:p w14:paraId="397152A4">
      <w:pPr>
        <w:spacing w:after="60"/>
        <w:jc w:val="center"/>
        <w:rPr>
          <w:rFonts w:hint="eastAsia" w:ascii="宋体" w:hAnsi="宋体"/>
          <w:b/>
          <w:bCs/>
          <w:sz w:val="72"/>
          <w:szCs w:val="72"/>
        </w:rPr>
      </w:pPr>
    </w:p>
    <w:p w14:paraId="4C787653">
      <w:pPr>
        <w:ind w:left="1487" w:leftChars="171" w:hanging="1077" w:hangingChars="383"/>
        <w:rPr>
          <w:rFonts w:hint="eastAsia" w:ascii="宋体" w:hAnsi="宋体"/>
          <w:b/>
          <w:sz w:val="28"/>
          <w:szCs w:val="28"/>
        </w:rPr>
      </w:pPr>
      <w:r>
        <w:rPr>
          <w:rFonts w:hint="eastAsia" w:ascii="宋体" w:hAnsi="宋体"/>
          <w:b/>
          <w:sz w:val="28"/>
          <w:szCs w:val="28"/>
        </w:rPr>
        <w:t>供应商（盖单位章）：</w:t>
      </w:r>
      <w:r>
        <w:rPr>
          <w:rFonts w:hint="eastAsia" w:ascii="宋体" w:hAnsi="宋体"/>
          <w:b/>
          <w:sz w:val="28"/>
          <w:szCs w:val="28"/>
          <w:u w:val="single"/>
        </w:rPr>
        <w:t xml:space="preserve">                                              </w:t>
      </w:r>
    </w:p>
    <w:p w14:paraId="08C79308">
      <w:pPr>
        <w:ind w:left="1487" w:leftChars="171" w:hanging="1077" w:hangingChars="383"/>
        <w:rPr>
          <w:rFonts w:hint="eastAsia" w:ascii="宋体" w:hAnsi="宋体"/>
          <w:b/>
          <w:sz w:val="28"/>
          <w:szCs w:val="28"/>
        </w:rPr>
      </w:pPr>
    </w:p>
    <w:p w14:paraId="79CEC7D3">
      <w:pPr>
        <w:ind w:left="1487" w:leftChars="171" w:hanging="1077" w:hangingChars="383"/>
        <w:rPr>
          <w:rFonts w:hint="eastAsia" w:ascii="宋体" w:hAnsi="宋体"/>
          <w:b/>
          <w:sz w:val="28"/>
          <w:szCs w:val="28"/>
          <w:u w:val="single"/>
        </w:rPr>
      </w:pPr>
      <w:r>
        <w:rPr>
          <w:rFonts w:hint="eastAsia" w:ascii="宋体" w:hAnsi="宋体"/>
          <w:b/>
          <w:sz w:val="28"/>
          <w:szCs w:val="28"/>
        </w:rPr>
        <w:t>法定代表人（或其委托代理人）（签字或盖章）</w:t>
      </w:r>
      <w:r>
        <w:rPr>
          <w:rFonts w:hint="eastAsia" w:ascii="宋体" w:hAnsi="宋体"/>
          <w:b/>
          <w:sz w:val="28"/>
          <w:szCs w:val="28"/>
          <w:u w:val="single"/>
        </w:rPr>
        <w:t xml:space="preserve">                              </w:t>
      </w:r>
    </w:p>
    <w:p w14:paraId="1D54D115">
      <w:pPr>
        <w:spacing w:line="312" w:lineRule="auto"/>
        <w:rPr>
          <w:rFonts w:hint="eastAsia" w:ascii="宋体" w:hAnsi="宋体"/>
          <w:b/>
          <w:sz w:val="28"/>
          <w:szCs w:val="28"/>
        </w:rPr>
      </w:pPr>
      <w:r>
        <w:rPr>
          <w:rFonts w:hint="eastAsia" w:ascii="宋体" w:hAnsi="宋体"/>
          <w:b/>
          <w:sz w:val="28"/>
          <w:szCs w:val="28"/>
        </w:rPr>
        <w:t xml:space="preserve"> </w:t>
      </w:r>
    </w:p>
    <w:p w14:paraId="4292607A">
      <w:pPr>
        <w:ind w:left="1487" w:leftChars="171" w:hanging="1077" w:hangingChars="383"/>
        <w:rPr>
          <w:rFonts w:hint="eastAsia" w:ascii="宋体" w:hAnsi="宋体"/>
          <w:b/>
          <w:sz w:val="28"/>
          <w:szCs w:val="28"/>
          <w:u w:val="single"/>
        </w:rPr>
      </w:pPr>
      <w:r>
        <w:rPr>
          <w:rFonts w:hint="eastAsia" w:ascii="宋体" w:hAnsi="宋体"/>
          <w:b/>
          <w:sz w:val="28"/>
          <w:szCs w:val="28"/>
        </w:rPr>
        <w:t>日    期：</w:t>
      </w:r>
      <w:r>
        <w:rPr>
          <w:rFonts w:hint="eastAsia" w:ascii="宋体" w:hAnsi="宋体"/>
          <w:b/>
          <w:sz w:val="28"/>
          <w:szCs w:val="28"/>
          <w:u w:val="single"/>
        </w:rPr>
        <w:t xml:space="preserve">                                                       </w:t>
      </w:r>
    </w:p>
    <w:p w14:paraId="53557C9D">
      <w:pPr>
        <w:snapToGrid w:val="0"/>
        <w:spacing w:line="300" w:lineRule="auto"/>
        <w:rPr>
          <w:rFonts w:hint="eastAsia" w:ascii="宋体" w:hAnsi="宋体"/>
          <w:sz w:val="32"/>
          <w:szCs w:val="32"/>
        </w:rPr>
      </w:pPr>
    </w:p>
    <w:p w14:paraId="3CC0D52D">
      <w:pPr>
        <w:snapToGrid w:val="0"/>
        <w:ind w:firstLine="480" w:firstLineChars="150"/>
        <w:rPr>
          <w:rFonts w:hint="eastAsia" w:ascii="宋体" w:hAnsi="宋体"/>
          <w:sz w:val="32"/>
          <w:szCs w:val="32"/>
        </w:rPr>
      </w:pPr>
      <w:r>
        <w:rPr>
          <w:rFonts w:hint="eastAsia" w:ascii="宋体" w:hAnsi="宋体"/>
          <w:sz w:val="32"/>
          <w:szCs w:val="32"/>
        </w:rPr>
        <w:br w:type="page"/>
      </w:r>
      <w:r>
        <w:rPr>
          <w:rFonts w:hint="eastAsia" w:ascii="宋体" w:hAnsi="宋体"/>
          <w:sz w:val="32"/>
          <w:szCs w:val="32"/>
        </w:rPr>
        <w:t>附件</w:t>
      </w:r>
      <w:r>
        <w:rPr>
          <w:rFonts w:hint="eastAsia" w:hAnsi="宋体"/>
          <w:sz w:val="32"/>
          <w:szCs w:val="32"/>
          <w:lang w:val="en-US" w:eastAsia="zh-CN"/>
        </w:rPr>
        <w:t>8</w:t>
      </w:r>
      <w:r>
        <w:rPr>
          <w:rFonts w:hint="eastAsia" w:ascii="宋体" w:hAnsi="宋体"/>
          <w:sz w:val="32"/>
          <w:szCs w:val="32"/>
        </w:rPr>
        <w:t>：</w:t>
      </w:r>
    </w:p>
    <w:p w14:paraId="4B1BBB5D">
      <w:pPr>
        <w:snapToGrid w:val="0"/>
        <w:ind w:firstLine="663" w:firstLineChars="150"/>
        <w:jc w:val="center"/>
        <w:rPr>
          <w:rFonts w:hint="eastAsia" w:ascii="宋体" w:hAnsi="宋体"/>
          <w:b/>
          <w:sz w:val="44"/>
          <w:szCs w:val="44"/>
        </w:rPr>
      </w:pPr>
      <w:r>
        <w:rPr>
          <w:rFonts w:hint="eastAsia" w:ascii="宋体" w:hAnsi="宋体"/>
          <w:b/>
          <w:sz w:val="44"/>
          <w:szCs w:val="44"/>
        </w:rPr>
        <w:t>响应报价总表</w:t>
      </w:r>
    </w:p>
    <w:tbl>
      <w:tblPr>
        <w:tblStyle w:val="11"/>
        <w:tblW w:w="98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7353"/>
      </w:tblGrid>
      <w:tr w14:paraId="0EF3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56" w:type="dxa"/>
            <w:noWrap w:val="0"/>
            <w:vAlign w:val="center"/>
          </w:tcPr>
          <w:p w14:paraId="2AA91CDF">
            <w:pPr>
              <w:snapToGrid w:val="0"/>
              <w:spacing w:line="420" w:lineRule="exact"/>
              <w:ind w:left="1137" w:hanging="1137" w:hangingChars="472"/>
              <w:jc w:val="center"/>
              <w:rPr>
                <w:rFonts w:hint="eastAsia" w:ascii="宋体" w:hAnsi="宋体" w:cs="宋体"/>
                <w:b/>
                <w:bCs/>
                <w:sz w:val="24"/>
                <w:szCs w:val="24"/>
              </w:rPr>
            </w:pPr>
            <w:r>
              <w:rPr>
                <w:rFonts w:hint="eastAsia" w:ascii="宋体" w:hAnsi="宋体" w:cs="宋体"/>
                <w:b/>
                <w:bCs/>
                <w:sz w:val="24"/>
                <w:szCs w:val="24"/>
              </w:rPr>
              <w:t>项目名称</w:t>
            </w:r>
          </w:p>
        </w:tc>
        <w:tc>
          <w:tcPr>
            <w:tcW w:w="7353" w:type="dxa"/>
            <w:noWrap w:val="0"/>
            <w:vAlign w:val="center"/>
          </w:tcPr>
          <w:p w14:paraId="2D8BEFF0">
            <w:pPr>
              <w:snapToGrid w:val="0"/>
              <w:spacing w:line="420" w:lineRule="exact"/>
              <w:ind w:left="1376" w:hanging="1376" w:hangingChars="571"/>
              <w:jc w:val="left"/>
              <w:rPr>
                <w:rFonts w:hint="eastAsia" w:ascii="宋体" w:hAnsi="宋体" w:cs="宋体"/>
                <w:b/>
                <w:bCs/>
                <w:sz w:val="24"/>
                <w:szCs w:val="24"/>
              </w:rPr>
            </w:pPr>
            <w:r>
              <w:rPr>
                <w:rFonts w:hint="eastAsia" w:hAnsi="宋体" w:cs="宋体"/>
                <w:b/>
                <w:bCs/>
                <w:sz w:val="24"/>
                <w:szCs w:val="24"/>
                <w:lang w:eastAsia="zh-CN"/>
              </w:rPr>
              <w:t>南通市区出租汽车运力规模评估研究项目</w:t>
            </w:r>
            <w:r>
              <w:rPr>
                <w:rFonts w:hint="eastAsia" w:ascii="宋体" w:hAnsi="宋体" w:cs="宋体"/>
                <w:b/>
                <w:bCs/>
                <w:sz w:val="24"/>
                <w:szCs w:val="24"/>
              </w:rPr>
              <w:t xml:space="preserve">项目 </w:t>
            </w:r>
            <w:r>
              <w:rPr>
                <w:rFonts w:ascii="宋体" w:hAnsi="宋体" w:cs="宋体"/>
                <w:b/>
                <w:bCs/>
                <w:sz w:val="24"/>
                <w:szCs w:val="24"/>
              </w:rPr>
              <w:t xml:space="preserve">    </w:t>
            </w:r>
          </w:p>
        </w:tc>
      </w:tr>
      <w:tr w14:paraId="3148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456" w:type="dxa"/>
            <w:noWrap w:val="0"/>
            <w:vAlign w:val="center"/>
          </w:tcPr>
          <w:p w14:paraId="583741D4">
            <w:pPr>
              <w:snapToGrid w:val="0"/>
              <w:spacing w:line="420" w:lineRule="exact"/>
              <w:ind w:left="2"/>
              <w:jc w:val="center"/>
              <w:rPr>
                <w:rFonts w:hint="eastAsia" w:ascii="宋体" w:hAnsi="宋体" w:cs="宋体"/>
                <w:b/>
                <w:bCs/>
                <w:sz w:val="24"/>
                <w:szCs w:val="24"/>
              </w:rPr>
            </w:pPr>
            <w:r>
              <w:rPr>
                <w:rFonts w:hint="eastAsia" w:ascii="宋体" w:hAnsi="宋体" w:cs="宋体"/>
                <w:b/>
                <w:bCs/>
                <w:sz w:val="24"/>
                <w:szCs w:val="24"/>
              </w:rPr>
              <w:t>响应总报价</w:t>
            </w:r>
          </w:p>
        </w:tc>
        <w:tc>
          <w:tcPr>
            <w:tcW w:w="7353" w:type="dxa"/>
            <w:noWrap w:val="0"/>
            <w:vAlign w:val="center"/>
          </w:tcPr>
          <w:p w14:paraId="69DEF3CB">
            <w:pPr>
              <w:snapToGrid w:val="0"/>
              <w:spacing w:line="420" w:lineRule="exact"/>
              <w:ind w:left="1203" w:hanging="1203" w:hangingChars="472"/>
              <w:rPr>
                <w:rFonts w:ascii="宋体" w:hAnsi="宋体" w:cs="宋体"/>
                <w:b/>
                <w:bCs/>
                <w:sz w:val="24"/>
                <w:szCs w:val="24"/>
              </w:rPr>
            </w:pPr>
            <w:r>
              <w:rPr>
                <w:rFonts w:hint="eastAsia" w:ascii="宋体" w:hAnsi="宋体" w:cs="宋体"/>
                <w:b/>
                <w:bCs/>
                <w:spacing w:val="7"/>
                <w:kern w:val="0"/>
                <w:sz w:val="24"/>
                <w:szCs w:val="24"/>
              </w:rPr>
              <w:t>大写：</w:t>
            </w:r>
            <w:r>
              <w:rPr>
                <w:rFonts w:hint="eastAsia" w:ascii="宋体" w:hAnsi="宋体" w:cs="宋体"/>
                <w:b/>
                <w:bCs/>
                <w:spacing w:val="7"/>
                <w:kern w:val="0"/>
                <w:sz w:val="24"/>
                <w:szCs w:val="24"/>
                <w:u w:val="single"/>
              </w:rPr>
              <w:t xml:space="preserve"> </w:t>
            </w:r>
            <w:r>
              <w:rPr>
                <w:rFonts w:ascii="宋体" w:hAnsi="宋体" w:cs="宋体"/>
                <w:b/>
                <w:bCs/>
                <w:spacing w:val="7"/>
                <w:kern w:val="0"/>
                <w:sz w:val="24"/>
                <w:szCs w:val="24"/>
                <w:u w:val="single"/>
              </w:rPr>
              <w:t xml:space="preserve">        </w:t>
            </w:r>
            <w:r>
              <w:rPr>
                <w:rFonts w:hint="eastAsia" w:ascii="宋体" w:hAnsi="宋体" w:cs="宋体"/>
                <w:b/>
                <w:bCs/>
                <w:spacing w:val="7"/>
                <w:kern w:val="0"/>
                <w:sz w:val="24"/>
                <w:szCs w:val="24"/>
              </w:rPr>
              <w:t>（¥</w:t>
            </w:r>
            <w:r>
              <w:rPr>
                <w:rFonts w:ascii="宋体" w:hAnsi="宋体" w:cs="宋体"/>
                <w:b/>
                <w:bCs/>
                <w:spacing w:val="7"/>
                <w:kern w:val="0"/>
                <w:sz w:val="24"/>
                <w:szCs w:val="24"/>
                <w:u w:val="single"/>
              </w:rPr>
              <w:t xml:space="preserve">       </w:t>
            </w:r>
            <w:r>
              <w:rPr>
                <w:rFonts w:hint="eastAsia" w:ascii="宋体" w:hAnsi="宋体" w:cs="宋体"/>
                <w:b/>
                <w:bCs/>
                <w:spacing w:val="7"/>
                <w:kern w:val="0"/>
                <w:sz w:val="24"/>
                <w:szCs w:val="24"/>
              </w:rPr>
              <w:t>）</w:t>
            </w:r>
          </w:p>
        </w:tc>
      </w:tr>
      <w:tr w14:paraId="46C2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456" w:type="dxa"/>
            <w:noWrap w:val="0"/>
            <w:vAlign w:val="center"/>
          </w:tcPr>
          <w:p w14:paraId="60744D92">
            <w:pPr>
              <w:snapToGrid w:val="0"/>
              <w:spacing w:line="420" w:lineRule="exact"/>
              <w:ind w:left="2"/>
              <w:jc w:val="center"/>
              <w:rPr>
                <w:rFonts w:hint="eastAsia" w:ascii="宋体" w:hAnsi="宋体" w:cs="宋体"/>
                <w:b/>
                <w:bCs/>
                <w:sz w:val="24"/>
                <w:szCs w:val="24"/>
              </w:rPr>
            </w:pPr>
            <w:r>
              <w:rPr>
                <w:rFonts w:hint="eastAsia" w:ascii="宋体" w:hAnsi="宋体" w:cs="宋体"/>
                <w:b/>
                <w:bCs/>
                <w:sz w:val="24"/>
                <w:szCs w:val="24"/>
              </w:rPr>
              <w:t>付款条件</w:t>
            </w:r>
          </w:p>
        </w:tc>
        <w:tc>
          <w:tcPr>
            <w:tcW w:w="7353" w:type="dxa"/>
            <w:noWrap w:val="0"/>
            <w:vAlign w:val="center"/>
          </w:tcPr>
          <w:p w14:paraId="011CC6EF">
            <w:pPr>
              <w:snapToGrid w:val="0"/>
              <w:spacing w:line="420" w:lineRule="exact"/>
              <w:ind w:left="2"/>
              <w:rPr>
                <w:rFonts w:hint="eastAsia" w:ascii="宋体" w:hAnsi="宋体" w:cs="宋体"/>
                <w:b/>
                <w:bCs/>
                <w:sz w:val="24"/>
                <w:szCs w:val="24"/>
              </w:rPr>
            </w:pPr>
            <w:r>
              <w:rPr>
                <w:rFonts w:hint="eastAsia" w:ascii="宋体" w:hAnsi="宋体" w:cs="宋体"/>
                <w:b/>
                <w:bCs/>
                <w:sz w:val="24"/>
                <w:szCs w:val="24"/>
              </w:rPr>
              <w:t>完全接受并响应本项目</w:t>
            </w:r>
            <w:r>
              <w:rPr>
                <w:rFonts w:hint="eastAsia" w:hAnsi="宋体" w:cs="宋体"/>
                <w:b/>
                <w:bCs/>
                <w:sz w:val="24"/>
                <w:szCs w:val="24"/>
                <w:lang w:val="en-US" w:eastAsia="zh-CN"/>
              </w:rPr>
              <w:t>招标</w:t>
            </w:r>
            <w:r>
              <w:rPr>
                <w:rFonts w:hint="eastAsia" w:ascii="宋体" w:hAnsi="宋体" w:cs="宋体"/>
                <w:b/>
                <w:bCs/>
                <w:sz w:val="24"/>
                <w:szCs w:val="24"/>
              </w:rPr>
              <w:t>文件的要求。</w:t>
            </w:r>
          </w:p>
        </w:tc>
      </w:tr>
    </w:tbl>
    <w:p w14:paraId="7A9248D5">
      <w:pPr>
        <w:snapToGrid w:val="0"/>
        <w:spacing w:line="360" w:lineRule="auto"/>
        <w:rPr>
          <w:rFonts w:hint="eastAsia" w:ascii="宋体" w:hAnsi="宋体" w:cs="宋体"/>
          <w:sz w:val="24"/>
          <w:szCs w:val="24"/>
        </w:rPr>
      </w:pPr>
    </w:p>
    <w:p w14:paraId="107FB623">
      <w:pPr>
        <w:snapToGrid w:val="0"/>
        <w:spacing w:line="360" w:lineRule="auto"/>
        <w:rPr>
          <w:rFonts w:hint="eastAsia" w:ascii="宋体" w:hAnsi="宋体" w:cs="宋体"/>
          <w:sz w:val="24"/>
          <w:szCs w:val="24"/>
        </w:rPr>
      </w:pPr>
      <w:r>
        <w:rPr>
          <w:rFonts w:hint="eastAsia" w:ascii="宋体" w:hAnsi="宋体" w:cs="宋体"/>
          <w:sz w:val="24"/>
          <w:szCs w:val="24"/>
        </w:rPr>
        <w:t>供应商（盖单位章）：</w:t>
      </w:r>
      <w:r>
        <w:rPr>
          <w:rFonts w:hint="eastAsia" w:ascii="宋体" w:hAnsi="宋体" w:cs="宋体"/>
          <w:sz w:val="24"/>
          <w:szCs w:val="24"/>
          <w:u w:val="single"/>
        </w:rPr>
        <w:t xml:space="preserve">                    </w:t>
      </w:r>
    </w:p>
    <w:p w14:paraId="285070BC">
      <w:pPr>
        <w:kinsoku w:val="0"/>
        <w:topLinePunct/>
        <w:snapToGrid w:val="0"/>
        <w:spacing w:line="360" w:lineRule="auto"/>
        <w:rPr>
          <w:rFonts w:ascii="宋体" w:hAnsi="宋体" w:cs="仿宋_GB2312"/>
          <w:sz w:val="24"/>
          <w:szCs w:val="24"/>
        </w:rPr>
      </w:pPr>
      <w:r>
        <w:rPr>
          <w:rFonts w:hint="eastAsia" w:ascii="宋体" w:hAnsi="宋体" w:cs="仿宋_GB2312"/>
          <w:sz w:val="24"/>
          <w:szCs w:val="24"/>
        </w:rPr>
        <w:t>法定代表人或其委托代理人（签字或盖章）：</w:t>
      </w:r>
    </w:p>
    <w:p w14:paraId="53C6D44A">
      <w:pPr>
        <w:snapToGrid w:val="0"/>
        <w:spacing w:line="360" w:lineRule="auto"/>
        <w:rPr>
          <w:rFonts w:hint="eastAsia" w:ascii="宋体" w:hAnsi="宋体" w:cs="宋体"/>
          <w:sz w:val="24"/>
          <w:szCs w:val="24"/>
        </w:rPr>
      </w:pPr>
      <w:r>
        <w:rPr>
          <w:rFonts w:hint="eastAsia" w:ascii="宋体" w:hAnsi="宋体" w:cs="宋体"/>
          <w:sz w:val="24"/>
          <w:szCs w:val="24"/>
        </w:rPr>
        <w:t>年    月    日</w:t>
      </w:r>
    </w:p>
    <w:p w14:paraId="1CAE3A25">
      <w:pPr>
        <w:kinsoku w:val="0"/>
        <w:topLinePunct/>
        <w:snapToGrid w:val="0"/>
        <w:spacing w:line="420" w:lineRule="exact"/>
        <w:rPr>
          <w:rFonts w:hint="eastAsia" w:ascii="宋体" w:hAnsi="宋体" w:cs="宋体"/>
          <w:sz w:val="24"/>
          <w:szCs w:val="24"/>
        </w:rPr>
      </w:pPr>
    </w:p>
    <w:p w14:paraId="39EE8EF5">
      <w:pPr>
        <w:kinsoku w:val="0"/>
        <w:topLinePunct/>
        <w:snapToGrid w:val="0"/>
        <w:spacing w:line="420" w:lineRule="exact"/>
        <w:rPr>
          <w:rFonts w:hint="eastAsia" w:ascii="宋体" w:hAnsi="宋体" w:cs="宋体"/>
          <w:sz w:val="24"/>
          <w:szCs w:val="24"/>
        </w:rPr>
      </w:pPr>
    </w:p>
    <w:p w14:paraId="3E98A77C">
      <w:pPr>
        <w:snapToGrid w:val="0"/>
        <w:spacing w:line="420" w:lineRule="exact"/>
        <w:rPr>
          <w:rFonts w:hint="eastAsia" w:ascii="宋体" w:hAnsi="宋体" w:cs="宋体"/>
          <w:b/>
          <w:bCs/>
          <w:sz w:val="24"/>
          <w:szCs w:val="24"/>
        </w:rPr>
      </w:pPr>
      <w:r>
        <w:rPr>
          <w:rFonts w:hint="eastAsia" w:ascii="宋体" w:hAnsi="宋体" w:cs="宋体"/>
          <w:b/>
          <w:bCs/>
          <w:sz w:val="24"/>
          <w:szCs w:val="24"/>
        </w:rPr>
        <w:t>注：</w:t>
      </w:r>
    </w:p>
    <w:p w14:paraId="1772F630">
      <w:pPr>
        <w:snapToGrid w:val="0"/>
        <w:spacing w:line="420" w:lineRule="exact"/>
        <w:rPr>
          <w:rFonts w:hint="eastAsia" w:ascii="宋体" w:hAnsi="宋体" w:cs="宋体"/>
          <w:sz w:val="24"/>
          <w:szCs w:val="24"/>
          <w:u w:val="thick" w:color="FF0000"/>
        </w:rPr>
      </w:pPr>
      <w:r>
        <w:rPr>
          <w:rFonts w:hint="eastAsia" w:ascii="宋体" w:hAnsi="宋体" w:cs="宋体"/>
          <w:sz w:val="24"/>
          <w:szCs w:val="24"/>
        </w:rPr>
        <w:t>（1）</w:t>
      </w:r>
      <w:r>
        <w:rPr>
          <w:rFonts w:hint="eastAsia" w:ascii="宋体" w:hAnsi="宋体" w:cs="宋体"/>
          <w:b/>
          <w:bCs/>
          <w:sz w:val="24"/>
          <w:szCs w:val="24"/>
          <w:u w:val="thick" w:color="FF0000"/>
        </w:rPr>
        <w:t>本表为格式表，不得改动，必须提供。</w:t>
      </w:r>
    </w:p>
    <w:p w14:paraId="584BDE2A">
      <w:pPr>
        <w:snapToGrid w:val="0"/>
        <w:spacing w:line="300" w:lineRule="auto"/>
        <w:contextualSpacing/>
        <w:rPr>
          <w:rFonts w:ascii="宋体" w:hAnsi="宋体"/>
          <w:sz w:val="32"/>
          <w:szCs w:val="32"/>
        </w:rPr>
      </w:pPr>
    </w:p>
    <w:p w14:paraId="0B36411C">
      <w:pPr>
        <w:snapToGrid w:val="0"/>
        <w:spacing w:line="300" w:lineRule="auto"/>
        <w:contextualSpacing/>
        <w:rPr>
          <w:rFonts w:ascii="宋体" w:hAnsi="宋体"/>
          <w:sz w:val="32"/>
          <w:szCs w:val="32"/>
        </w:rPr>
      </w:pPr>
    </w:p>
    <w:p w14:paraId="0AB9455F">
      <w:pPr>
        <w:snapToGrid w:val="0"/>
        <w:spacing w:line="300" w:lineRule="auto"/>
        <w:contextualSpacing/>
        <w:rPr>
          <w:rFonts w:hint="eastAsia" w:ascii="宋体" w:hAnsi="宋体"/>
          <w:sz w:val="28"/>
          <w:szCs w:val="28"/>
        </w:rPr>
      </w:pPr>
      <w:r>
        <w:rPr>
          <w:rFonts w:ascii="宋体" w:hAnsi="宋体"/>
          <w:sz w:val="32"/>
          <w:szCs w:val="32"/>
        </w:rPr>
        <w:br w:type="page"/>
      </w:r>
      <w:r>
        <w:rPr>
          <w:rFonts w:hint="eastAsia" w:ascii="宋体" w:hAnsi="宋体"/>
          <w:sz w:val="28"/>
          <w:szCs w:val="28"/>
        </w:rPr>
        <w:t>附件</w:t>
      </w:r>
      <w:r>
        <w:rPr>
          <w:rFonts w:hint="eastAsia" w:hAnsi="宋体"/>
          <w:sz w:val="28"/>
          <w:szCs w:val="28"/>
          <w:lang w:val="en-US" w:eastAsia="zh-CN"/>
        </w:rPr>
        <w:t>9</w:t>
      </w:r>
      <w:r>
        <w:rPr>
          <w:rFonts w:hint="eastAsia" w:ascii="宋体" w:hAnsi="宋体"/>
          <w:sz w:val="28"/>
          <w:szCs w:val="28"/>
        </w:rPr>
        <w:t>：</w:t>
      </w:r>
    </w:p>
    <w:p w14:paraId="5869374D">
      <w:pPr>
        <w:spacing w:after="120" w:afterLines="50" w:line="360" w:lineRule="auto"/>
        <w:jc w:val="center"/>
        <w:rPr>
          <w:rFonts w:hint="eastAsia" w:ascii="宋体" w:hAnsi="宋体"/>
          <w:b/>
          <w:sz w:val="32"/>
          <w:szCs w:val="32"/>
        </w:rPr>
      </w:pPr>
      <w:r>
        <w:rPr>
          <w:rFonts w:hint="eastAsia" w:ascii="宋体" w:hAnsi="宋体"/>
          <w:b/>
          <w:sz w:val="32"/>
          <w:szCs w:val="32"/>
        </w:rPr>
        <w:t>中小企业声明函</w:t>
      </w:r>
    </w:p>
    <w:p w14:paraId="4F81E903">
      <w:pPr>
        <w:spacing w:line="360" w:lineRule="auto"/>
        <w:ind w:firstLine="480" w:firstLineChars="200"/>
        <w:jc w:val="left"/>
        <w:rPr>
          <w:rFonts w:hint="eastAsia" w:ascii="宋体" w:hAnsi="宋体"/>
          <w:sz w:val="24"/>
          <w:szCs w:val="24"/>
        </w:rPr>
      </w:pPr>
      <w:r>
        <w:rPr>
          <w:rFonts w:hint="eastAsia" w:ascii="宋体" w:hAnsi="宋体"/>
          <w:sz w:val="24"/>
          <w:szCs w:val="24"/>
        </w:rPr>
        <w:t>本公司（联合体）郑重声明，根据《政府采购促进中小企业发展管理办法》（财库﹝2020﹞46 号）的规定，本公司（联合体）参加</w:t>
      </w:r>
      <w:r>
        <w:rPr>
          <w:rFonts w:hint="eastAsia" w:ascii="宋体" w:hAnsi="宋体"/>
          <w:sz w:val="24"/>
          <w:szCs w:val="24"/>
          <w:u w:val="single"/>
        </w:rPr>
        <w:t xml:space="preserve">   （单位名称）    </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采购活动，服务全部由符合政策要求的中小企业承接。相关企业</w:t>
      </w:r>
      <w:r>
        <w:rPr>
          <w:rFonts w:ascii="宋体" w:hAnsi="宋体"/>
          <w:sz w:val="24"/>
          <w:szCs w:val="24"/>
          <w:lang w:bidi="zh-CN"/>
        </w:rPr>
        <w:t>（含联合体中的中小企业、签订分包意向协议的中小企业）</w:t>
      </w:r>
      <w:r>
        <w:rPr>
          <w:rFonts w:hint="eastAsia" w:ascii="宋体" w:hAnsi="宋体"/>
          <w:sz w:val="24"/>
          <w:szCs w:val="24"/>
        </w:rPr>
        <w:t>的具体情况如下：</w:t>
      </w:r>
    </w:p>
    <w:p w14:paraId="7F3C05D9">
      <w:pPr>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 xml:space="preserve">（标的名称） </w:t>
      </w:r>
      <w:r>
        <w:rPr>
          <w:rFonts w:hint="eastAsia" w:ascii="宋体" w:hAnsi="宋体"/>
          <w:sz w:val="24"/>
          <w:szCs w:val="24"/>
        </w:rPr>
        <w:t>，属于</w:t>
      </w:r>
      <w:r>
        <w:rPr>
          <w:rFonts w:ascii="宋体" w:hAnsi="宋体"/>
          <w:sz w:val="24"/>
          <w:szCs w:val="24"/>
          <w:lang w:bidi="zh-CN"/>
        </w:rPr>
        <w:t>（</w:t>
      </w:r>
      <w:r>
        <w:rPr>
          <w:rFonts w:ascii="宋体" w:hAnsi="宋体"/>
          <w:sz w:val="24"/>
          <w:szCs w:val="24"/>
          <w:u w:val="single"/>
          <w:lang w:bidi="zh-CN"/>
        </w:rPr>
        <w:t>采购文件中明确的所属行业）</w:t>
      </w:r>
      <w:r>
        <w:rPr>
          <w:rFonts w:hint="eastAsia" w:ascii="宋体" w:hAnsi="宋体"/>
          <w:sz w:val="24"/>
          <w:szCs w:val="24"/>
        </w:rPr>
        <w:t>；承接企业为</w:t>
      </w:r>
      <w:r>
        <w:rPr>
          <w:rFonts w:hint="eastAsia" w:ascii="宋体" w:hAnsi="宋体" w:cs="宋体"/>
          <w:spacing w:val="7"/>
          <w:kern w:val="0"/>
          <w:sz w:val="24"/>
          <w:szCs w:val="24"/>
          <w:u w:val="single"/>
        </w:rPr>
        <w:t xml:space="preserve">   </w:t>
      </w:r>
      <w:r>
        <w:rPr>
          <w:rFonts w:hint="eastAsia" w:ascii="宋体" w:hAnsi="宋体"/>
          <w:sz w:val="24"/>
          <w:szCs w:val="24"/>
          <w:u w:val="single"/>
        </w:rPr>
        <w:t xml:space="preserve">（企业名称） </w:t>
      </w:r>
      <w:r>
        <w:rPr>
          <w:rFonts w:hint="eastAsia" w:ascii="宋体" w:hAnsi="宋体" w:cs="宋体"/>
          <w:spacing w:val="7"/>
          <w:kern w:val="0"/>
          <w:sz w:val="24"/>
          <w:szCs w:val="24"/>
          <w:u w:val="single"/>
        </w:rPr>
        <w:t xml:space="preserve">  </w:t>
      </w:r>
      <w:r>
        <w:rPr>
          <w:rFonts w:hint="eastAsia" w:ascii="宋体" w:hAnsi="宋体"/>
          <w:sz w:val="24"/>
          <w:szCs w:val="24"/>
        </w:rPr>
        <w:t>，从业人员</w:t>
      </w:r>
      <w:r>
        <w:rPr>
          <w:rFonts w:hint="eastAsia" w:ascii="宋体" w:hAnsi="宋体" w:cs="宋体"/>
          <w:spacing w:val="7"/>
          <w:kern w:val="0"/>
          <w:sz w:val="24"/>
          <w:szCs w:val="24"/>
          <w:u w:val="single"/>
        </w:rPr>
        <w:t xml:space="preserve">      </w:t>
      </w:r>
      <w:r>
        <w:rPr>
          <w:rFonts w:hint="eastAsia" w:ascii="宋体" w:hAnsi="宋体"/>
          <w:sz w:val="24"/>
          <w:szCs w:val="24"/>
        </w:rPr>
        <w:t>人，营业收入为</w:t>
      </w:r>
      <w:r>
        <w:rPr>
          <w:rFonts w:hint="eastAsia" w:ascii="宋体" w:hAnsi="宋体" w:cs="宋体"/>
          <w:spacing w:val="7"/>
          <w:kern w:val="0"/>
          <w:sz w:val="24"/>
          <w:szCs w:val="24"/>
          <w:u w:val="single"/>
        </w:rPr>
        <w:t xml:space="preserve">        </w:t>
      </w:r>
      <w:r>
        <w:rPr>
          <w:rFonts w:hint="eastAsia" w:ascii="宋体" w:hAnsi="宋体"/>
          <w:sz w:val="24"/>
          <w:szCs w:val="24"/>
        </w:rPr>
        <w:t>万元，资产总额为</w:t>
      </w:r>
      <w:r>
        <w:rPr>
          <w:rFonts w:hint="eastAsia" w:ascii="宋体" w:hAnsi="宋体" w:cs="宋体"/>
          <w:spacing w:val="7"/>
          <w:kern w:val="0"/>
          <w:sz w:val="24"/>
          <w:szCs w:val="24"/>
          <w:u w:val="single"/>
        </w:rPr>
        <w:t xml:space="preserve">        </w:t>
      </w:r>
      <w:r>
        <w:rPr>
          <w:rFonts w:hint="eastAsia" w:ascii="宋体" w:hAnsi="宋体"/>
          <w:sz w:val="24"/>
          <w:szCs w:val="24"/>
        </w:rPr>
        <w:t>万元，属于</w:t>
      </w:r>
      <w:r>
        <w:rPr>
          <w:rFonts w:hint="eastAsia" w:ascii="宋体" w:hAnsi="宋体" w:cs="宋体"/>
          <w:spacing w:val="7"/>
          <w:kern w:val="0"/>
          <w:sz w:val="24"/>
          <w:szCs w:val="24"/>
          <w:u w:val="single"/>
        </w:rPr>
        <w:t xml:space="preserve">   </w:t>
      </w:r>
      <w:r>
        <w:rPr>
          <w:rFonts w:ascii="宋体" w:hAnsi="宋体"/>
          <w:sz w:val="24"/>
          <w:szCs w:val="24"/>
          <w:u w:val="single"/>
          <w:lang w:bidi="zh-CN"/>
        </w:rPr>
        <w:t>（中型企业、小型企业、微型企业）</w:t>
      </w:r>
      <w:r>
        <w:rPr>
          <w:rFonts w:ascii="宋体" w:hAnsi="宋体"/>
          <w:sz w:val="24"/>
          <w:szCs w:val="24"/>
          <w:lang w:bidi="zh-CN"/>
        </w:rPr>
        <w:t>；</w:t>
      </w:r>
    </w:p>
    <w:p w14:paraId="6E6B8DBC">
      <w:pPr>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 xml:space="preserve">（标的名称） </w:t>
      </w:r>
      <w:r>
        <w:rPr>
          <w:rFonts w:hint="eastAsia" w:ascii="宋体" w:hAnsi="宋体"/>
          <w:sz w:val="24"/>
          <w:szCs w:val="24"/>
        </w:rPr>
        <w:t>，属于</w:t>
      </w:r>
      <w:r>
        <w:rPr>
          <w:rFonts w:ascii="宋体" w:hAnsi="宋体"/>
          <w:sz w:val="24"/>
          <w:szCs w:val="24"/>
          <w:lang w:bidi="zh-CN"/>
        </w:rPr>
        <w:t>（</w:t>
      </w:r>
      <w:r>
        <w:rPr>
          <w:rFonts w:ascii="宋体" w:hAnsi="宋体"/>
          <w:sz w:val="24"/>
          <w:szCs w:val="24"/>
          <w:u w:val="single"/>
          <w:lang w:bidi="zh-CN"/>
        </w:rPr>
        <w:t>采购文件中明确的所属行业）</w:t>
      </w:r>
      <w:r>
        <w:rPr>
          <w:rFonts w:hint="eastAsia" w:ascii="宋体" w:hAnsi="宋体"/>
          <w:sz w:val="24"/>
          <w:szCs w:val="24"/>
        </w:rPr>
        <w:t>；承接企业为</w:t>
      </w:r>
      <w:r>
        <w:rPr>
          <w:rFonts w:hint="eastAsia" w:ascii="宋体" w:hAnsi="宋体" w:cs="宋体"/>
          <w:spacing w:val="7"/>
          <w:kern w:val="0"/>
          <w:sz w:val="24"/>
          <w:szCs w:val="24"/>
          <w:u w:val="single"/>
        </w:rPr>
        <w:t xml:space="preserve">   </w:t>
      </w:r>
      <w:r>
        <w:rPr>
          <w:rFonts w:hint="eastAsia" w:ascii="宋体" w:hAnsi="宋体"/>
          <w:sz w:val="24"/>
          <w:szCs w:val="24"/>
          <w:u w:val="single"/>
        </w:rPr>
        <w:t xml:space="preserve">（企业名称） </w:t>
      </w:r>
      <w:r>
        <w:rPr>
          <w:rFonts w:hint="eastAsia" w:ascii="宋体" w:hAnsi="宋体" w:cs="宋体"/>
          <w:spacing w:val="7"/>
          <w:kern w:val="0"/>
          <w:sz w:val="24"/>
          <w:szCs w:val="24"/>
          <w:u w:val="single"/>
        </w:rPr>
        <w:t xml:space="preserve">  </w:t>
      </w:r>
      <w:r>
        <w:rPr>
          <w:rFonts w:hint="eastAsia" w:ascii="宋体" w:hAnsi="宋体"/>
          <w:sz w:val="24"/>
          <w:szCs w:val="24"/>
        </w:rPr>
        <w:t>，从业人员</w:t>
      </w:r>
      <w:r>
        <w:rPr>
          <w:rFonts w:hint="eastAsia" w:ascii="宋体" w:hAnsi="宋体" w:cs="宋体"/>
          <w:spacing w:val="7"/>
          <w:kern w:val="0"/>
          <w:sz w:val="24"/>
          <w:szCs w:val="24"/>
          <w:u w:val="single"/>
        </w:rPr>
        <w:t xml:space="preserve">      </w:t>
      </w:r>
      <w:r>
        <w:rPr>
          <w:rFonts w:hint="eastAsia" w:ascii="宋体" w:hAnsi="宋体"/>
          <w:sz w:val="24"/>
          <w:szCs w:val="24"/>
        </w:rPr>
        <w:t>人，营业收入为</w:t>
      </w:r>
      <w:r>
        <w:rPr>
          <w:rFonts w:hint="eastAsia" w:ascii="宋体" w:hAnsi="宋体" w:cs="宋体"/>
          <w:spacing w:val="7"/>
          <w:kern w:val="0"/>
          <w:sz w:val="24"/>
          <w:szCs w:val="24"/>
          <w:u w:val="single"/>
        </w:rPr>
        <w:t xml:space="preserve">        </w:t>
      </w:r>
      <w:r>
        <w:rPr>
          <w:rFonts w:hint="eastAsia" w:ascii="宋体" w:hAnsi="宋体"/>
          <w:sz w:val="24"/>
          <w:szCs w:val="24"/>
        </w:rPr>
        <w:t>万元，资产总额为</w:t>
      </w:r>
      <w:r>
        <w:rPr>
          <w:rFonts w:hint="eastAsia" w:ascii="宋体" w:hAnsi="宋体" w:cs="宋体"/>
          <w:spacing w:val="7"/>
          <w:kern w:val="0"/>
          <w:sz w:val="24"/>
          <w:szCs w:val="24"/>
          <w:u w:val="single"/>
        </w:rPr>
        <w:t xml:space="preserve">        </w:t>
      </w:r>
      <w:r>
        <w:rPr>
          <w:rFonts w:hint="eastAsia" w:ascii="宋体" w:hAnsi="宋体"/>
          <w:sz w:val="24"/>
          <w:szCs w:val="24"/>
        </w:rPr>
        <w:t>万元，属于</w:t>
      </w:r>
      <w:r>
        <w:rPr>
          <w:rFonts w:hint="eastAsia" w:ascii="宋体" w:hAnsi="宋体" w:cs="宋体"/>
          <w:spacing w:val="7"/>
          <w:kern w:val="0"/>
          <w:sz w:val="24"/>
          <w:szCs w:val="24"/>
          <w:u w:val="single"/>
        </w:rPr>
        <w:t xml:space="preserve">   </w:t>
      </w:r>
      <w:r>
        <w:rPr>
          <w:rFonts w:ascii="宋体" w:hAnsi="宋体"/>
          <w:sz w:val="24"/>
          <w:szCs w:val="24"/>
          <w:u w:val="single"/>
          <w:lang w:bidi="zh-CN"/>
        </w:rPr>
        <w:t>（中型企业、小型企业、微型企业）</w:t>
      </w:r>
      <w:r>
        <w:rPr>
          <w:rFonts w:ascii="宋体" w:hAnsi="宋体"/>
          <w:sz w:val="24"/>
          <w:szCs w:val="24"/>
          <w:lang w:bidi="zh-CN"/>
        </w:rPr>
        <w:t>；</w:t>
      </w:r>
    </w:p>
    <w:p w14:paraId="13C2D992">
      <w:pPr>
        <w:spacing w:line="360" w:lineRule="auto"/>
        <w:ind w:firstLine="480" w:firstLineChars="200"/>
        <w:jc w:val="left"/>
        <w:rPr>
          <w:rFonts w:ascii="宋体" w:hAnsi="宋体"/>
          <w:sz w:val="24"/>
          <w:szCs w:val="24"/>
        </w:rPr>
      </w:pPr>
      <w:r>
        <w:rPr>
          <w:rFonts w:hint="eastAsia" w:ascii="宋体" w:hAnsi="宋体"/>
          <w:sz w:val="24"/>
          <w:szCs w:val="24"/>
        </w:rPr>
        <w:t>....</w:t>
      </w:r>
    </w:p>
    <w:p w14:paraId="3A09079A">
      <w:pPr>
        <w:spacing w:line="360" w:lineRule="auto"/>
        <w:ind w:firstLine="480" w:firstLineChars="200"/>
        <w:jc w:val="left"/>
        <w:rPr>
          <w:rFonts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14:paraId="57084E92">
      <w:pPr>
        <w:spacing w:line="360" w:lineRule="auto"/>
        <w:ind w:firstLine="480" w:firstLineChars="200"/>
        <w:jc w:val="left"/>
        <w:rPr>
          <w:rFonts w:ascii="宋体" w:hAnsi="宋体"/>
          <w:sz w:val="24"/>
          <w:szCs w:val="24"/>
        </w:rPr>
      </w:pPr>
      <w:r>
        <w:rPr>
          <w:rFonts w:ascii="宋体" w:hAnsi="宋体"/>
          <w:sz w:val="24"/>
          <w:szCs w:val="24"/>
        </w:rPr>
        <w:t>本企业对上述声明内容的真实性负责。如有虚假，将依法承担相应责任。</w:t>
      </w:r>
    </w:p>
    <w:p w14:paraId="6520A840">
      <w:pPr>
        <w:spacing w:line="360" w:lineRule="auto"/>
        <w:ind w:firstLine="480" w:firstLineChars="200"/>
        <w:jc w:val="right"/>
        <w:rPr>
          <w:rFonts w:ascii="宋体" w:hAnsi="宋体"/>
          <w:sz w:val="24"/>
          <w:szCs w:val="24"/>
        </w:rPr>
      </w:pPr>
    </w:p>
    <w:p w14:paraId="0F38CC7D">
      <w:pPr>
        <w:spacing w:line="360" w:lineRule="auto"/>
        <w:ind w:firstLine="480" w:firstLineChars="200"/>
        <w:jc w:val="right"/>
        <w:rPr>
          <w:rFonts w:ascii="宋体" w:hAnsi="宋体"/>
          <w:sz w:val="24"/>
          <w:szCs w:val="24"/>
        </w:rPr>
      </w:pPr>
    </w:p>
    <w:p w14:paraId="42B98D11">
      <w:pPr>
        <w:spacing w:line="360" w:lineRule="auto"/>
        <w:ind w:firstLine="480" w:firstLineChars="200"/>
        <w:jc w:val="right"/>
        <w:rPr>
          <w:rFonts w:hint="eastAsia" w:ascii="宋体" w:hAnsi="宋体"/>
          <w:sz w:val="24"/>
          <w:szCs w:val="24"/>
        </w:rPr>
      </w:pPr>
      <w:r>
        <w:rPr>
          <w:rFonts w:ascii="宋体" w:hAnsi="宋体"/>
          <w:sz w:val="24"/>
          <w:szCs w:val="24"/>
        </w:rPr>
        <w:t>企业名称（盖章）：</w:t>
      </w:r>
    </w:p>
    <w:p w14:paraId="3157A8BB">
      <w:pPr>
        <w:spacing w:line="360" w:lineRule="auto"/>
        <w:ind w:firstLine="480" w:firstLineChars="200"/>
        <w:jc w:val="right"/>
        <w:rPr>
          <w:rFonts w:ascii="宋体" w:hAnsi="宋体"/>
          <w:sz w:val="24"/>
          <w:szCs w:val="24"/>
        </w:rPr>
      </w:pPr>
      <w:r>
        <w:rPr>
          <w:rFonts w:ascii="宋体" w:hAnsi="宋体"/>
          <w:sz w:val="24"/>
          <w:szCs w:val="24"/>
        </w:rPr>
        <w:t>日期：</w:t>
      </w:r>
    </w:p>
    <w:p w14:paraId="17E9EF5A">
      <w:pPr>
        <w:snapToGrid w:val="0"/>
        <w:spacing w:line="300" w:lineRule="auto"/>
        <w:contextualSpacing/>
        <w:rPr>
          <w:rFonts w:hint="eastAsia" w:ascii="宋体" w:hAnsi="宋体"/>
          <w:sz w:val="28"/>
          <w:szCs w:val="28"/>
        </w:rPr>
      </w:pPr>
      <w:r>
        <w:rPr>
          <w:rFonts w:hint="eastAsia" w:ascii="宋体" w:hAnsi="宋体"/>
          <w:sz w:val="28"/>
          <w:szCs w:val="28"/>
        </w:rPr>
        <w:br w:type="page"/>
      </w:r>
      <w:r>
        <w:rPr>
          <w:rFonts w:hint="eastAsia" w:ascii="宋体" w:hAnsi="宋体"/>
          <w:sz w:val="28"/>
          <w:szCs w:val="28"/>
        </w:rPr>
        <w:t>附件1</w:t>
      </w:r>
      <w:r>
        <w:rPr>
          <w:rFonts w:hint="eastAsia" w:hAnsi="宋体"/>
          <w:sz w:val="28"/>
          <w:szCs w:val="28"/>
          <w:lang w:val="en-US" w:eastAsia="zh-CN"/>
        </w:rPr>
        <w:t>0</w:t>
      </w:r>
      <w:r>
        <w:rPr>
          <w:rFonts w:hint="eastAsia" w:ascii="宋体" w:hAnsi="宋体"/>
          <w:sz w:val="28"/>
          <w:szCs w:val="28"/>
        </w:rPr>
        <w:t>：</w:t>
      </w:r>
    </w:p>
    <w:p w14:paraId="51F72B25">
      <w:pPr>
        <w:spacing w:after="120" w:afterLines="50" w:line="360" w:lineRule="auto"/>
        <w:jc w:val="center"/>
        <w:rPr>
          <w:rFonts w:hint="eastAsia" w:ascii="宋体" w:hAnsi="宋体"/>
          <w:b/>
          <w:sz w:val="32"/>
          <w:szCs w:val="32"/>
        </w:rPr>
      </w:pPr>
      <w:r>
        <w:rPr>
          <w:rFonts w:hint="eastAsia" w:ascii="宋体" w:hAnsi="宋体"/>
          <w:b/>
          <w:sz w:val="32"/>
          <w:szCs w:val="32"/>
        </w:rPr>
        <w:t>残疾人福利性单位声明函</w:t>
      </w:r>
    </w:p>
    <w:p w14:paraId="01D37138">
      <w:pPr>
        <w:spacing w:line="588" w:lineRule="exact"/>
        <w:ind w:firstLine="480" w:firstLineChars="200"/>
        <w:rPr>
          <w:rFonts w:hint="eastAsia"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单位的项目编号为</w:t>
      </w:r>
      <w:r>
        <w:rPr>
          <w:rFonts w:hint="eastAsia" w:ascii="宋体" w:hAnsi="宋体"/>
          <w:sz w:val="24"/>
          <w:szCs w:val="24"/>
          <w:u w:val="single"/>
        </w:rPr>
        <w:t xml:space="preserve">  /  </w:t>
      </w:r>
      <w:r>
        <w:rPr>
          <w:rFonts w:hint="eastAsia" w:ascii="宋体" w:hAnsi="宋体"/>
          <w:sz w:val="24"/>
          <w:szCs w:val="24"/>
        </w:rPr>
        <w:t>的</w:t>
      </w:r>
      <w:r>
        <w:rPr>
          <w:rFonts w:hint="eastAsia" w:ascii="宋体" w:hAnsi="宋体"/>
          <w:sz w:val="24"/>
          <w:szCs w:val="24"/>
          <w:u w:val="single"/>
        </w:rPr>
        <w:t xml:space="preserve">                      </w:t>
      </w:r>
      <w:r>
        <w:rPr>
          <w:rFonts w:hint="eastAsia" w:ascii="宋体" w:hAnsi="宋体"/>
          <w:sz w:val="24"/>
          <w:szCs w:val="24"/>
        </w:rPr>
        <w:t>项目采购活动由本单位提供服务。</w:t>
      </w:r>
    </w:p>
    <w:p w14:paraId="285F8118">
      <w:pPr>
        <w:spacing w:line="588" w:lineRule="exact"/>
        <w:ind w:firstLine="480" w:firstLineChars="200"/>
        <w:rPr>
          <w:rFonts w:hint="eastAsia" w:ascii="宋体" w:hAnsi="宋体"/>
          <w:sz w:val="24"/>
          <w:szCs w:val="24"/>
        </w:rPr>
      </w:pPr>
      <w:r>
        <w:rPr>
          <w:rFonts w:hint="eastAsia" w:ascii="宋体" w:hAnsi="宋体"/>
          <w:sz w:val="24"/>
          <w:szCs w:val="24"/>
        </w:rPr>
        <w:t>本单位对上述声明的真实性负责。如有虚假，将依法承担相应责任。</w:t>
      </w:r>
    </w:p>
    <w:p w14:paraId="1AB24862">
      <w:pPr>
        <w:spacing w:line="588" w:lineRule="exact"/>
        <w:ind w:firstLine="480" w:firstLineChars="200"/>
        <w:rPr>
          <w:rFonts w:ascii="宋体" w:hAnsi="宋体"/>
          <w:sz w:val="24"/>
          <w:szCs w:val="24"/>
        </w:rPr>
      </w:pPr>
      <w:r>
        <w:rPr>
          <w:rFonts w:hint="eastAsia" w:ascii="宋体" w:hAnsi="宋体"/>
          <w:sz w:val="24"/>
          <w:szCs w:val="24"/>
        </w:rPr>
        <w:t>（备注：1、供应商如不提供此声明函，价格将不做相应扣除。2、成交供应商为残疾人福利单位的，此声明函将随成交结果同时公告，接受社会监督）</w:t>
      </w:r>
    </w:p>
    <w:p w14:paraId="63A83A0B">
      <w:pPr>
        <w:spacing w:line="588" w:lineRule="exact"/>
        <w:ind w:firstLine="504" w:firstLineChars="200"/>
        <w:rPr>
          <w:rFonts w:hint="eastAsia" w:ascii="宋体" w:hAnsi="宋体"/>
          <w:spacing w:val="6"/>
          <w:sz w:val="24"/>
          <w:szCs w:val="24"/>
        </w:rPr>
      </w:pPr>
    </w:p>
    <w:p w14:paraId="2B425AEE">
      <w:pPr>
        <w:tabs>
          <w:tab w:val="left" w:pos="4860"/>
        </w:tabs>
        <w:spacing w:line="588" w:lineRule="exact"/>
        <w:ind w:right="1560" w:firstLine="480" w:firstLineChars="200"/>
        <w:jc w:val="center"/>
        <w:rPr>
          <w:rFonts w:ascii="宋体" w:hAnsi="宋体"/>
          <w:sz w:val="24"/>
          <w:szCs w:val="24"/>
        </w:rPr>
      </w:pPr>
      <w:r>
        <w:rPr>
          <w:rFonts w:hint="eastAsia" w:ascii="宋体" w:hAnsi="宋体"/>
          <w:sz w:val="24"/>
          <w:szCs w:val="24"/>
        </w:rPr>
        <w:t xml:space="preserve">                         供应商全称（盖章）：</w:t>
      </w:r>
    </w:p>
    <w:p w14:paraId="70274AE4">
      <w:pPr>
        <w:tabs>
          <w:tab w:val="left" w:pos="4860"/>
        </w:tabs>
        <w:spacing w:line="588" w:lineRule="exact"/>
        <w:ind w:right="1560" w:firstLine="480" w:firstLineChars="200"/>
        <w:jc w:val="center"/>
        <w:rPr>
          <w:rFonts w:ascii="宋体" w:hAnsi="宋体"/>
          <w:sz w:val="24"/>
          <w:szCs w:val="24"/>
        </w:rPr>
      </w:pPr>
      <w:r>
        <w:rPr>
          <w:rFonts w:hint="eastAsia" w:ascii="宋体" w:hAnsi="宋体"/>
          <w:sz w:val="24"/>
          <w:szCs w:val="24"/>
        </w:rPr>
        <w:t xml:space="preserve">              日  期：</w:t>
      </w:r>
    </w:p>
    <w:p w14:paraId="1D6EA375">
      <w:pPr>
        <w:ind w:firstLine="420"/>
        <w:rPr>
          <w:rFonts w:hint="eastAsia" w:ascii="宋体" w:hAnsi="宋体"/>
          <w:sz w:val="28"/>
          <w:szCs w:val="28"/>
        </w:rPr>
      </w:pPr>
    </w:p>
    <w:p w14:paraId="3B905D1B">
      <w:pPr>
        <w:spacing w:after="120" w:afterLines="50" w:line="560" w:lineRule="exact"/>
        <w:ind w:firstLine="240" w:firstLineChars="100"/>
        <w:jc w:val="center"/>
        <w:rPr>
          <w:rFonts w:hint="eastAsia" w:ascii="宋体" w:hAnsi="宋体"/>
        </w:rPr>
      </w:pPr>
    </w:p>
    <w:p w14:paraId="1E0F018A">
      <w:pPr>
        <w:rPr>
          <w:rFonts w:hint="eastAsia" w:ascii="宋体" w:hAnsi="宋体"/>
        </w:rPr>
      </w:pPr>
    </w:p>
    <w:p w14:paraId="6991C450">
      <w:pPr>
        <w:pStyle w:val="5"/>
        <w:rPr>
          <w:rFonts w:hint="eastAsia" w:ascii="宋体" w:hAnsi="宋体" w:eastAsia="宋体"/>
          <w:lang w:val="en-US" w:bidi="ar-SA"/>
        </w:rPr>
      </w:pPr>
    </w:p>
    <w:p w14:paraId="0E00C954">
      <w:pPr>
        <w:rPr>
          <w:rFonts w:hint="eastAsia" w:ascii="宋体" w:hAnsi="宋体"/>
        </w:rPr>
      </w:pPr>
    </w:p>
    <w:p w14:paraId="238D089C">
      <w:pPr>
        <w:pStyle w:val="5"/>
        <w:rPr>
          <w:rFonts w:hint="eastAsia" w:ascii="宋体" w:hAnsi="宋体" w:eastAsia="宋体"/>
          <w:lang w:val="en-US" w:bidi="ar-SA"/>
        </w:rPr>
      </w:pPr>
    </w:p>
    <w:p w14:paraId="39C828D1">
      <w:pPr>
        <w:rPr>
          <w:rFonts w:hint="eastAsia" w:ascii="宋体" w:hAnsi="宋体"/>
        </w:rPr>
      </w:pPr>
    </w:p>
    <w:p w14:paraId="3E84899D">
      <w:pPr>
        <w:pStyle w:val="5"/>
        <w:rPr>
          <w:rFonts w:hint="eastAsia" w:ascii="宋体" w:hAnsi="宋体" w:eastAsia="宋体"/>
          <w:lang w:val="en-US" w:bidi="ar-SA"/>
        </w:rPr>
      </w:pPr>
    </w:p>
    <w:p w14:paraId="15EABD06">
      <w:pPr>
        <w:rPr>
          <w:rFonts w:hint="eastAsia" w:ascii="宋体" w:hAnsi="宋体"/>
        </w:rPr>
      </w:pPr>
    </w:p>
    <w:p w14:paraId="56AEB4E0">
      <w:pPr>
        <w:snapToGrid w:val="0"/>
        <w:spacing w:line="300" w:lineRule="auto"/>
        <w:contextualSpacing/>
        <w:rPr>
          <w:rFonts w:hint="eastAsia" w:ascii="宋体" w:hAnsi="宋体" w:eastAsia="宋体"/>
          <w:sz w:val="28"/>
          <w:szCs w:val="28"/>
          <w:lang w:eastAsia="zh-CN"/>
        </w:rPr>
      </w:pPr>
      <w:r>
        <w:rPr>
          <w:rFonts w:ascii="宋体" w:hAnsi="宋体"/>
          <w:sz w:val="28"/>
          <w:szCs w:val="28"/>
        </w:rPr>
        <w:br w:type="page"/>
      </w:r>
      <w:r>
        <w:rPr>
          <w:rFonts w:ascii="宋体" w:hAnsi="宋体"/>
          <w:sz w:val="28"/>
          <w:szCs w:val="28"/>
        </w:rPr>
        <w:t>附件</w:t>
      </w:r>
      <w:r>
        <w:rPr>
          <w:rFonts w:hint="eastAsia" w:ascii="宋体" w:hAnsi="宋体"/>
          <w:sz w:val="28"/>
          <w:szCs w:val="28"/>
        </w:rPr>
        <w:t>1</w:t>
      </w:r>
      <w:r>
        <w:rPr>
          <w:rFonts w:hint="eastAsia" w:hAnsi="宋体"/>
          <w:sz w:val="28"/>
          <w:szCs w:val="28"/>
          <w:lang w:val="en-US" w:eastAsia="zh-CN"/>
        </w:rPr>
        <w:t>1</w:t>
      </w:r>
    </w:p>
    <w:p w14:paraId="679214E5">
      <w:pPr>
        <w:snapToGrid w:val="0"/>
        <w:spacing w:line="420" w:lineRule="exact"/>
        <w:ind w:firstLine="569" w:firstLineChars="177"/>
        <w:jc w:val="center"/>
        <w:rPr>
          <w:rFonts w:ascii="宋体" w:hAnsi="宋体" w:cs="宋体"/>
          <w:b/>
          <w:sz w:val="32"/>
          <w:szCs w:val="28"/>
        </w:rPr>
      </w:pPr>
      <w:r>
        <w:rPr>
          <w:rFonts w:hint="eastAsia" w:ascii="宋体" w:hAnsi="宋体" w:cs="宋体"/>
          <w:b/>
          <w:sz w:val="32"/>
          <w:szCs w:val="28"/>
        </w:rPr>
        <w:t>监狱和戒毒企业证明材料</w:t>
      </w:r>
    </w:p>
    <w:p w14:paraId="7902071C">
      <w:pPr>
        <w:snapToGrid w:val="0"/>
        <w:spacing w:line="420" w:lineRule="exact"/>
        <w:ind w:firstLine="495" w:firstLineChars="177"/>
        <w:rPr>
          <w:rFonts w:hint="eastAsia" w:ascii="宋体" w:hAnsi="宋体" w:cs="宋体"/>
          <w:sz w:val="28"/>
          <w:szCs w:val="28"/>
        </w:rPr>
      </w:pPr>
    </w:p>
    <w:p w14:paraId="3BC22A28">
      <w:pPr>
        <w:snapToGrid w:val="0"/>
        <w:spacing w:line="420" w:lineRule="exact"/>
        <w:ind w:firstLine="498" w:firstLineChars="177"/>
        <w:jc w:val="center"/>
        <w:rPr>
          <w:rFonts w:hint="eastAsia" w:ascii="宋体" w:hAnsi="宋体" w:cs="宋体"/>
          <w:b/>
          <w:sz w:val="28"/>
          <w:szCs w:val="28"/>
        </w:rPr>
      </w:pPr>
      <w:r>
        <w:rPr>
          <w:rFonts w:hint="eastAsia" w:ascii="宋体" w:hAnsi="宋体" w:cs="宋体"/>
          <w:b/>
          <w:sz w:val="28"/>
          <w:szCs w:val="28"/>
        </w:rPr>
        <w:t>（格式自拟）</w:t>
      </w:r>
    </w:p>
    <w:p w14:paraId="48C057D0">
      <w:pPr>
        <w:snapToGrid w:val="0"/>
        <w:spacing w:line="420" w:lineRule="exact"/>
        <w:ind w:firstLine="424" w:firstLineChars="177"/>
        <w:rPr>
          <w:rFonts w:ascii="宋体" w:hAnsi="宋体" w:cs="宋体"/>
          <w:sz w:val="24"/>
          <w:szCs w:val="24"/>
        </w:rPr>
      </w:pPr>
    </w:p>
    <w:p w14:paraId="50D8C9CD">
      <w:pPr>
        <w:snapToGrid w:val="0"/>
        <w:spacing w:line="420" w:lineRule="exact"/>
        <w:ind w:firstLine="566" w:firstLineChars="236"/>
        <w:rPr>
          <w:rFonts w:ascii="宋体" w:hAnsi="宋体" w:cs="宋体"/>
          <w:sz w:val="24"/>
          <w:szCs w:val="24"/>
        </w:rPr>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05B0CDD">
      <w:pPr>
        <w:shd w:val="clear" w:color="auto" w:fill="auto"/>
        <w:rPr>
          <w:rFonts w:hint="eastAsia" w:ascii="宋体" w:hAnsi="宋体" w:eastAsia="宋体" w:cs="宋体"/>
          <w:color w:val="auto"/>
          <w:sz w:val="24"/>
          <w:szCs w:val="24"/>
          <w:highlight w:val="none"/>
        </w:rPr>
      </w:pPr>
    </w:p>
    <w:p w14:paraId="339EA89E">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p>
    <w:p w14:paraId="4DC3A316">
      <w:pPr>
        <w:shd w:val="clear" w:color="auto" w:fill="auto"/>
        <w:snapToGrid w:val="0"/>
        <w:spacing w:line="4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hAnsi="宋体" w:eastAsia="宋体" w:cs="宋体"/>
          <w:color w:val="auto"/>
          <w:sz w:val="24"/>
          <w:szCs w:val="24"/>
          <w:highlight w:val="none"/>
          <w:lang w:val="en-US" w:eastAsia="zh-CN"/>
        </w:rPr>
        <w:t>12</w:t>
      </w:r>
    </w:p>
    <w:p w14:paraId="2C4F4972">
      <w:pPr>
        <w:shd w:val="clear" w:color="auto" w:fill="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质疑函范本</w:t>
      </w:r>
    </w:p>
    <w:p w14:paraId="54D68391">
      <w:pPr>
        <w:shd w:val="clear" w:color="auto" w:fill="auto"/>
        <w:adjustRightInd w:val="0"/>
        <w:snapToGrid w:val="0"/>
        <w:spacing w:before="312"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23136EE0">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p>
    <w:p w14:paraId="60BE95FB">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w:t>
      </w:r>
    </w:p>
    <w:p w14:paraId="7ACBA4A2">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联系电话：</w:t>
      </w:r>
    </w:p>
    <w:p w14:paraId="48D262DD">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p>
    <w:p w14:paraId="2A94A512">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2D837034">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        邮箱：</w:t>
      </w:r>
    </w:p>
    <w:p w14:paraId="3F55F298">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72174248">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0BA40D30">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质疑项目的编号：包号：</w:t>
      </w:r>
    </w:p>
    <w:p w14:paraId="0919CBD0">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p>
    <w:p w14:paraId="68F85B3A">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p>
    <w:p w14:paraId="66D49AFD">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35A402E">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p>
    <w:p w14:paraId="3C047A14">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p>
    <w:p w14:paraId="52CA87A7">
      <w:pPr>
        <w:shd w:val="clear" w:color="auto" w:fill="auto"/>
        <w:adjustRightInd w:val="0"/>
        <w:snapToGrid w:val="0"/>
        <w:spacing w:line="360" w:lineRule="auto"/>
        <w:rPr>
          <w:rFonts w:hint="eastAsia" w:ascii="宋体" w:hAnsi="宋体" w:eastAsia="宋体" w:cs="宋体"/>
          <w:color w:val="auto"/>
          <w:sz w:val="24"/>
          <w:szCs w:val="24"/>
          <w:highlight w:val="none"/>
        </w:rPr>
      </w:pPr>
    </w:p>
    <w:p w14:paraId="657132F5">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p>
    <w:p w14:paraId="72268C86">
      <w:pPr>
        <w:shd w:val="clear" w:color="auto" w:fill="auto"/>
        <w:adjustRightInd w:val="0"/>
        <w:snapToGrid w:val="0"/>
        <w:spacing w:line="360" w:lineRule="auto"/>
        <w:rPr>
          <w:rFonts w:hint="eastAsia" w:ascii="宋体" w:hAnsi="宋体" w:eastAsia="宋体" w:cs="宋体"/>
          <w:color w:val="auto"/>
          <w:sz w:val="24"/>
          <w:szCs w:val="24"/>
          <w:highlight w:val="none"/>
          <w:u w:val="dotted"/>
        </w:rPr>
      </w:pPr>
    </w:p>
    <w:p w14:paraId="70B0A2EA">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3D0FCF04">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36AFCA">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6C46FF92">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p>
    <w:p w14:paraId="6E462513">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364EBB24">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5922EEA0">
      <w:pPr>
        <w:shd w:val="clear" w:color="auto" w:fill="auto"/>
        <w:adjustRightInd w:val="0"/>
        <w:snapToGrid w:val="0"/>
        <w:spacing w:line="360" w:lineRule="auto"/>
        <w:rPr>
          <w:rFonts w:hint="eastAsia" w:ascii="宋体" w:hAnsi="宋体" w:eastAsia="宋体" w:cs="宋体"/>
          <w:color w:val="auto"/>
          <w:sz w:val="24"/>
          <w:szCs w:val="24"/>
          <w:highlight w:val="none"/>
        </w:rPr>
      </w:pPr>
    </w:p>
    <w:p w14:paraId="569E6998">
      <w:pPr>
        <w:shd w:val="clear" w:color="auto" w:fill="auto"/>
        <w:rPr>
          <w:rFonts w:hint="eastAsia" w:ascii="宋体" w:hAnsi="宋体" w:eastAsia="宋体" w:cs="宋体"/>
          <w:b/>
          <w:color w:val="auto"/>
          <w:sz w:val="24"/>
          <w:szCs w:val="24"/>
          <w:highlight w:val="none"/>
        </w:rPr>
      </w:pPr>
    </w:p>
    <w:p w14:paraId="667D2651">
      <w:pPr>
        <w:shd w:val="clear" w:color="auto" w:fil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4D09634C">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0132059D">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3A9F12">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6780607D">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6AB6269">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38E4811D">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C2464D6"/>
    <w:sectPr>
      <w:pgSz w:w="11906" w:h="16838"/>
      <w:pgMar w:top="1418" w:right="14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3DBB">
    <w:pPr>
      <w:pStyle w:val="9"/>
      <w:jc w:val="center"/>
    </w:pPr>
    <w:r>
      <w:fldChar w:fldCharType="begin"/>
    </w:r>
    <w:r>
      <w:instrText xml:space="preserve"> PAGE   \* MERGEFORMAT </w:instrText>
    </w:r>
    <w:r>
      <w:fldChar w:fldCharType="separate"/>
    </w:r>
    <w:r>
      <w:rPr>
        <w:lang w:val="zh-CN"/>
      </w:rP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969A">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516E9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63516E9F"/>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A6ED"/>
    <w:multiLevelType w:val="singleLevel"/>
    <w:tmpl w:val="8C63A6ED"/>
    <w:lvl w:ilvl="0" w:tentative="0">
      <w:start w:val="6"/>
      <w:numFmt w:val="chineseCounting"/>
      <w:suff w:val="nothing"/>
      <w:lvlText w:val="%1、"/>
      <w:lvlJc w:val="left"/>
      <w:rPr>
        <w:rFonts w:hint="eastAsia"/>
      </w:rPr>
    </w:lvl>
  </w:abstractNum>
  <w:abstractNum w:abstractNumId="1">
    <w:nsid w:val="9E0FC42D"/>
    <w:multiLevelType w:val="singleLevel"/>
    <w:tmpl w:val="9E0FC42D"/>
    <w:lvl w:ilvl="0" w:tentative="0">
      <w:start w:val="1"/>
      <w:numFmt w:val="decimal"/>
      <w:suff w:val="nothing"/>
      <w:lvlText w:val="%1、"/>
      <w:lvlJc w:val="left"/>
    </w:lvl>
  </w:abstractNum>
  <w:abstractNum w:abstractNumId="2">
    <w:nsid w:val="AC011AB1"/>
    <w:multiLevelType w:val="singleLevel"/>
    <w:tmpl w:val="AC011AB1"/>
    <w:lvl w:ilvl="0" w:tentative="0">
      <w:start w:val="3"/>
      <w:numFmt w:val="decimal"/>
      <w:suff w:val="nothing"/>
      <w:lvlText w:val="%1、"/>
      <w:lvlJc w:val="left"/>
    </w:lvl>
  </w:abstractNum>
  <w:abstractNum w:abstractNumId="3">
    <w:nsid w:val="EC57CC19"/>
    <w:multiLevelType w:val="singleLevel"/>
    <w:tmpl w:val="EC57CC19"/>
    <w:lvl w:ilvl="0" w:tentative="0">
      <w:start w:val="2"/>
      <w:numFmt w:val="chineseCounting"/>
      <w:suff w:val="nothing"/>
      <w:lvlText w:val="%1、"/>
      <w:lvlJc w:val="left"/>
      <w:rPr>
        <w:rFonts w:hint="eastAsia"/>
      </w:rPr>
    </w:lvl>
  </w:abstractNum>
  <w:abstractNum w:abstractNumId="4">
    <w:nsid w:val="101856BF"/>
    <w:multiLevelType w:val="singleLevel"/>
    <w:tmpl w:val="101856BF"/>
    <w:lvl w:ilvl="0" w:tentative="0">
      <w:start w:val="1"/>
      <w:numFmt w:val="decimal"/>
      <w:suff w:val="nothing"/>
      <w:lvlText w:val="%1、"/>
      <w:lvlJc w:val="left"/>
    </w:lvl>
  </w:abstractNum>
  <w:abstractNum w:abstractNumId="5">
    <w:nsid w:val="2BDF7112"/>
    <w:multiLevelType w:val="singleLevel"/>
    <w:tmpl w:val="2BDF7112"/>
    <w:lvl w:ilvl="0" w:tentative="0">
      <w:start w:val="8"/>
      <w:numFmt w:val="chineseCounting"/>
      <w:suff w:val="nothing"/>
      <w:lvlText w:val="%1、"/>
      <w:lvlJc w:val="left"/>
      <w:rPr>
        <w:rFonts w:hint="eastAsia"/>
      </w:rPr>
    </w:lvl>
  </w:abstractNum>
  <w:abstractNum w:abstractNumId="6">
    <w:nsid w:val="43657FEE"/>
    <w:multiLevelType w:val="singleLevel"/>
    <w:tmpl w:val="43657FEE"/>
    <w:lvl w:ilvl="0" w:tentative="0">
      <w:start w:val="1"/>
      <w:numFmt w:val="decimal"/>
      <w:suff w:val="nothing"/>
      <w:lvlText w:val="%1、"/>
      <w:lvlJc w:val="left"/>
    </w:lvl>
  </w:abstractNum>
  <w:abstractNum w:abstractNumId="7">
    <w:nsid w:val="4405C25D"/>
    <w:multiLevelType w:val="singleLevel"/>
    <w:tmpl w:val="4405C25D"/>
    <w:lvl w:ilvl="0" w:tentative="0">
      <w:start w:val="1"/>
      <w:numFmt w:val="chineseCounting"/>
      <w:suff w:val="nothing"/>
      <w:lvlText w:val="%1、"/>
      <w:lvlJc w:val="left"/>
      <w:rPr>
        <w:rFonts w:hint="eastAsia"/>
      </w:rPr>
    </w:lvl>
  </w:abstractNum>
  <w:abstractNum w:abstractNumId="8">
    <w:nsid w:val="4C2E8DB6"/>
    <w:multiLevelType w:val="singleLevel"/>
    <w:tmpl w:val="4C2E8DB6"/>
    <w:lvl w:ilvl="0" w:tentative="0">
      <w:start w:val="1"/>
      <w:numFmt w:val="decimal"/>
      <w:suff w:val="nothing"/>
      <w:lvlText w:val="%1、"/>
      <w:lvlJc w:val="left"/>
    </w:lvl>
  </w:abstractNum>
  <w:abstractNum w:abstractNumId="9">
    <w:nsid w:val="4E31E413"/>
    <w:multiLevelType w:val="singleLevel"/>
    <w:tmpl w:val="4E31E413"/>
    <w:lvl w:ilvl="0" w:tentative="0">
      <w:start w:val="3"/>
      <w:numFmt w:val="decimal"/>
      <w:suff w:val="space"/>
      <w:lvlText w:val="%1."/>
      <w:lvlJc w:val="left"/>
    </w:lvl>
  </w:abstractNum>
  <w:abstractNum w:abstractNumId="10">
    <w:nsid w:val="53C2DCFD"/>
    <w:multiLevelType w:val="singleLevel"/>
    <w:tmpl w:val="53C2DCFD"/>
    <w:lvl w:ilvl="0" w:tentative="0">
      <w:start w:val="1"/>
      <w:numFmt w:val="decimal"/>
      <w:suff w:val="nothing"/>
      <w:lvlText w:val="%1、"/>
      <w:lvlJc w:val="left"/>
      <w:rPr>
        <w:rFonts w:hint="default"/>
        <w:color w:val="auto"/>
      </w:rPr>
    </w:lvl>
  </w:abstractNum>
  <w:abstractNum w:abstractNumId="11">
    <w:nsid w:val="56417EF4"/>
    <w:multiLevelType w:val="singleLevel"/>
    <w:tmpl w:val="56417EF4"/>
    <w:lvl w:ilvl="0" w:tentative="0">
      <w:start w:val="1"/>
      <w:numFmt w:val="ideographTraditional"/>
      <w:suff w:val="nothing"/>
      <w:lvlText w:val="%1、"/>
      <w:lvlJc w:val="left"/>
      <w:rPr>
        <w:rFonts w:hint="eastAsia"/>
      </w:rPr>
    </w:lvl>
  </w:abstractNum>
  <w:num w:numId="1">
    <w:abstractNumId w:val="9"/>
  </w:num>
  <w:num w:numId="2">
    <w:abstractNumId w:val="2"/>
  </w:num>
  <w:num w:numId="3">
    <w:abstractNumId w:val="1"/>
  </w:num>
  <w:num w:numId="4">
    <w:abstractNumId w:val="3"/>
  </w:num>
  <w:num w:numId="5">
    <w:abstractNumId w:val="10"/>
  </w:num>
  <w:num w:numId="6">
    <w:abstractNumId w:val="0"/>
  </w:num>
  <w:num w:numId="7">
    <w:abstractNumId w:val="11"/>
  </w:num>
  <w:num w:numId="8">
    <w:abstractNumId w:val="5"/>
  </w:num>
  <w:num w:numId="9">
    <w:abstractNumId w:val="7"/>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25DD2"/>
    <w:rsid w:val="012374D1"/>
    <w:rsid w:val="04273267"/>
    <w:rsid w:val="049E43BB"/>
    <w:rsid w:val="09D05E45"/>
    <w:rsid w:val="12C25DD2"/>
    <w:rsid w:val="1FD00CB2"/>
    <w:rsid w:val="2C257D50"/>
    <w:rsid w:val="3BD74C8E"/>
    <w:rsid w:val="402D7572"/>
    <w:rsid w:val="49940929"/>
    <w:rsid w:val="4FA73A42"/>
    <w:rsid w:val="534C75C2"/>
    <w:rsid w:val="65566374"/>
    <w:rsid w:val="68342ED2"/>
    <w:rsid w:val="692D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99"/>
    <w:pPr>
      <w:widowControl w:val="0"/>
      <w:ind w:firstLine="624"/>
      <w:jc w:val="both"/>
      <w:textAlignment w:val="center"/>
    </w:pPr>
    <w:rPr>
      <w:rFonts w:ascii="Calibri" w:hAnsi="Calibri" w:eastAsia="宋体" w:cs="Calibri"/>
      <w:kern w:val="2"/>
      <w:sz w:val="21"/>
      <w:szCs w:val="21"/>
      <w:lang w:val="en-US" w:eastAsia="zh-CN" w:bidi="ar-SA"/>
    </w:rPr>
  </w:style>
  <w:style w:type="paragraph" w:styleId="3">
    <w:name w:val="Normal Indent"/>
    <w:basedOn w:val="1"/>
    <w:qFormat/>
    <w:uiPriority w:val="0"/>
    <w:pPr>
      <w:ind w:firstLine="420"/>
    </w:pPr>
    <w:rPr>
      <w:rFonts w:ascii="Times New Roman"/>
      <w:sz w:val="20"/>
    </w:rPr>
  </w:style>
  <w:style w:type="paragraph" w:styleId="4">
    <w:name w:val="annotation text"/>
    <w:basedOn w:val="1"/>
    <w:unhideWhenUsed/>
    <w:qFormat/>
    <w:uiPriority w:val="99"/>
    <w:pPr>
      <w:jc w:val="left"/>
    </w:pPr>
  </w:style>
  <w:style w:type="paragraph" w:styleId="5">
    <w:name w:val="Body Text"/>
    <w:basedOn w:val="1"/>
    <w:next w:val="1"/>
    <w:qFormat/>
    <w:uiPriority w:val="0"/>
    <w:rPr>
      <w:rFonts w:ascii="仿宋_GB2312" w:eastAsia="仿宋_GB2312"/>
    </w:rPr>
  </w:style>
  <w:style w:type="paragraph" w:styleId="6">
    <w:name w:val="Body Text Indent"/>
    <w:basedOn w:val="1"/>
    <w:next w:val="7"/>
    <w:uiPriority w:val="0"/>
    <w:pPr>
      <w:ind w:left="765"/>
    </w:pPr>
    <w:rPr>
      <w:rFonts w:ascii="仿宋_GB2312" w:eastAsia="仿宋_GB2312"/>
      <w:sz w:val="28"/>
    </w:rPr>
  </w:style>
  <w:style w:type="paragraph" w:styleId="7">
    <w:name w:val="envelope return"/>
    <w:basedOn w:val="1"/>
    <w:unhideWhenUsed/>
    <w:qFormat/>
    <w:uiPriority w:val="99"/>
    <w:pPr>
      <w:snapToGrid w:val="0"/>
    </w:pPr>
    <w:rPr>
      <w:rFonts w:ascii="Arial" w:hAnsi="Arial"/>
    </w:rPr>
  </w:style>
  <w:style w:type="paragraph" w:styleId="8">
    <w:name w:val="Balloon Text"/>
    <w:basedOn w:val="1"/>
    <w:semiHidden/>
    <w:qFormat/>
    <w:uiPriority w:val="0"/>
    <w:rPr>
      <w:rFonts w:ascii="Times New Roman"/>
      <w:sz w:val="18"/>
      <w:szCs w:val="18"/>
    </w:rPr>
  </w:style>
  <w:style w:type="paragraph" w:styleId="9">
    <w:name w:val="footer"/>
    <w:basedOn w:val="1"/>
    <w:qFormat/>
    <w:uiPriority w:val="99"/>
    <w:pPr>
      <w:tabs>
        <w:tab w:val="center" w:pos="4153"/>
        <w:tab w:val="right" w:pos="8306"/>
      </w:tabs>
      <w:snapToGrid w:val="0"/>
      <w:jc w:val="left"/>
    </w:pPr>
    <w:rPr>
      <w:rFonts w:ascii="Times New Roman"/>
      <w:sz w:val="18"/>
    </w:rPr>
  </w:style>
  <w:style w:type="paragraph" w:styleId="10">
    <w:name w:val="Body Text First Indent 2"/>
    <w:basedOn w:val="6"/>
    <w:unhideWhenUsed/>
    <w:qFormat/>
    <w:uiPriority w:val="99"/>
    <w:pPr>
      <w:spacing w:after="120"/>
      <w:ind w:left="420" w:leftChars="200" w:firstLine="420" w:firstLineChars="200"/>
    </w:pPr>
    <w:rPr>
      <w:kern w:val="2"/>
      <w:sz w:val="21"/>
      <w:szCs w:val="24"/>
    </w:rPr>
  </w:style>
  <w:style w:type="paragraph" w:customStyle="1" w:styleId="13">
    <w:name w:val="普通正文"/>
    <w:basedOn w:val="1"/>
    <w:qFormat/>
    <w:uiPriority w:val="0"/>
    <w:pPr>
      <w:adjustRightInd w:val="0"/>
      <w:spacing w:before="120" w:after="120" w:line="360" w:lineRule="auto"/>
      <w:ind w:left="-2" w:right="120" w:firstLine="480"/>
      <w:jc w:val="center"/>
      <w:textAlignment w:val="baseline"/>
    </w:pPr>
    <w:rPr>
      <w:rFonts w:ascii="Arial" w:hAnsi="Arial"/>
      <w:szCs w:val="24"/>
    </w:rPr>
  </w:style>
  <w:style w:type="paragraph" w:customStyle="1" w:styleId="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6674</Words>
  <Characters>6953</Characters>
  <Lines>0</Lines>
  <Paragraphs>0</Paragraphs>
  <TotalTime>2</TotalTime>
  <ScaleCrop>false</ScaleCrop>
  <LinksUpToDate>false</LinksUpToDate>
  <CharactersWithSpaces>7122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2025-05-22T06:00:00Z</dcterms:created>
  <dc:creator>亦木</dc:creator>
  <cp:lastModifiedBy>妍妍夏日</cp:lastModifiedBy>
  <dcterms:modified xsi:type="dcterms:W3CDTF">2025-05-23T01:43:52Z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1655469637AA4FB68C8890B1F76ED2AB_11</vt:lpwstr>
  </property>
  <property fmtid="{D5CDD505-2E9C-101B-9397-08002B2CF9AE}" pid="4" name="KSOTemplateDocerSaveRecord">
    <vt:lpwstr>eyJoZGlkIjoiODI0MjYxOGU1NzI1ODA3ODZkM2NhY2UxMzZiMDdlYzAiLCJ1c2VySWQiOiI5Mjk5NTYwMTcifQ==</vt:lpwstr>
  </property>
</Properties>
</file>